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rFonts w:ascii="黑体" w:hAnsi="黑体" w:eastAsia="黑体" w:cs="黑体"/>
          <w:bCs/>
          <w:color w:val="000000" w:themeColor="text1"/>
          <w:kern w:val="0"/>
          <w:sz w:val="32"/>
          <w:szCs w:val="32"/>
          <w14:textFill>
            <w14:solidFill>
              <w14:schemeClr w14:val="tx1"/>
            </w14:solidFill>
          </w14:textFill>
        </w:rPr>
      </w:pPr>
      <w:r>
        <w:rPr>
          <w:rFonts w:hint="eastAsia" w:ascii="黑体" w:hAnsi="黑体" w:eastAsia="黑体" w:cs="黑体"/>
          <w:bCs/>
          <w:color w:val="000000" w:themeColor="text1"/>
          <w:kern w:val="0"/>
          <w:sz w:val="32"/>
          <w:szCs w:val="32"/>
          <w14:textFill>
            <w14:solidFill>
              <w14:schemeClr w14:val="tx1"/>
            </w14:solidFill>
          </w14:textFill>
        </w:rPr>
        <w:t>附表</w:t>
      </w:r>
      <w:r>
        <w:rPr>
          <w:rFonts w:ascii="黑体" w:hAnsi="黑体" w:eastAsia="黑体" w:cs="黑体"/>
          <w:bCs/>
          <w:color w:val="000000" w:themeColor="text1"/>
          <w:kern w:val="0"/>
          <w:sz w:val="32"/>
          <w:szCs w:val="32"/>
          <w14:textFill>
            <w14:solidFill>
              <w14:schemeClr w14:val="tx1"/>
            </w14:solidFill>
          </w14:textFill>
        </w:rPr>
        <w:t>1</w:t>
      </w:r>
    </w:p>
    <w:p>
      <w:pPr>
        <w:spacing w:before="156" w:beforeLines="50" w:after="156" w:afterLines="50"/>
        <w:jc w:val="center"/>
        <w:rPr>
          <w:rFonts w:ascii="黑体" w:eastAsia="黑体"/>
          <w:color w:val="000000" w:themeColor="text1"/>
          <w:sz w:val="36"/>
          <w:szCs w:val="36"/>
          <w14:textFill>
            <w14:solidFill>
              <w14:schemeClr w14:val="tx1"/>
            </w14:solidFill>
          </w14:textFill>
        </w:rPr>
      </w:pPr>
      <w:r>
        <w:rPr>
          <w:rFonts w:ascii="宋体" w:hAnsi="宋体"/>
          <w:b/>
          <w:sz w:val="32"/>
          <w:szCs w:val="32"/>
        </w:rPr>
        <w:tab/>
      </w:r>
      <w:r>
        <w:rPr>
          <w:rFonts w:hint="eastAsia" w:ascii="黑体" w:eastAsia="黑体"/>
          <w:b/>
          <w:sz w:val="30"/>
        </w:rPr>
        <w:t>协会标准项目建议书</w:t>
      </w:r>
    </w:p>
    <w:tbl>
      <w:tblPr>
        <w:tblStyle w:val="6"/>
        <w:tblW w:w="909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476"/>
        <w:gridCol w:w="1080"/>
        <w:gridCol w:w="450"/>
        <w:gridCol w:w="26"/>
        <w:gridCol w:w="424"/>
        <w:gridCol w:w="1084"/>
        <w:gridCol w:w="1525"/>
        <w:gridCol w:w="91"/>
        <w:gridCol w:w="1381"/>
        <w:gridCol w:w="44"/>
        <w:gridCol w:w="151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pStyle w:val="5"/>
              <w:pBdr>
                <w:bottom w:val="none" w:color="auto" w:sz="0" w:space="0"/>
              </w:pBdr>
              <w:tabs>
                <w:tab w:val="left" w:pos="420"/>
              </w:tabs>
              <w:snapToGrid/>
              <w:jc w:val="both"/>
              <w:rPr>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建议项目名称</w:t>
            </w:r>
          </w:p>
          <w:p>
            <w:pPr>
              <w:ind w:hanging="13"/>
              <w:rPr>
                <w:color w:val="000000" w:themeColor="text1"/>
                <w:sz w:val="18"/>
                <w14:textFill>
                  <w14:solidFill>
                    <w14:schemeClr w14:val="tx1"/>
                  </w14:solidFill>
                </w14:textFill>
              </w:rPr>
            </w:pPr>
            <w:r>
              <w:rPr>
                <w:color w:val="000000" w:themeColor="text1"/>
                <w:sz w:val="18"/>
                <w14:textFill>
                  <w14:solidFill>
                    <w14:schemeClr w14:val="tx1"/>
                  </w14:solidFill>
                </w14:textFill>
              </w:rPr>
              <w:t>(</w:t>
            </w:r>
            <w:r>
              <w:rPr>
                <w:rFonts w:hint="eastAsia"/>
                <w:color w:val="000000" w:themeColor="text1"/>
                <w:sz w:val="18"/>
                <w14:textFill>
                  <w14:solidFill>
                    <w14:schemeClr w14:val="tx1"/>
                  </w14:solidFill>
                </w14:textFill>
              </w:rPr>
              <w:t>中文</w:t>
            </w:r>
            <w:r>
              <w:rPr>
                <w:color w:val="000000" w:themeColor="text1"/>
                <w:sz w:val="18"/>
                <w14:textFill>
                  <w14:solidFill>
                    <w14:schemeClr w14:val="tx1"/>
                  </w14:solidFill>
                </w14:textFill>
              </w:rPr>
              <w:t>)</w:t>
            </w:r>
          </w:p>
        </w:tc>
        <w:tc>
          <w:tcPr>
            <w:tcW w:w="3064" w:type="dxa"/>
            <w:gridSpan w:val="5"/>
            <w:tcBorders>
              <w:top w:val="single" w:color="auto" w:sz="4" w:space="0"/>
              <w:left w:val="single" w:color="auto" w:sz="4" w:space="0"/>
              <w:bottom w:val="single" w:color="auto" w:sz="4" w:space="0"/>
              <w:right w:val="single" w:color="auto" w:sz="4" w:space="0"/>
            </w:tcBorders>
            <w:vAlign w:val="center"/>
          </w:tcPr>
          <w:p>
            <w:pPr>
              <w:rPr>
                <w:color w:val="000000" w:themeColor="text1"/>
                <w14:textFill>
                  <w14:solidFill>
                    <w14:schemeClr w14:val="tx1"/>
                  </w14:solidFill>
                </w14:textFill>
              </w:rPr>
            </w:pPr>
            <w:r>
              <w:rPr>
                <w:rFonts w:hint="eastAsia"/>
                <w:color w:val="000000" w:themeColor="text1"/>
                <w:sz w:val="18"/>
                <w:szCs w:val="18"/>
                <w14:textFill>
                  <w14:solidFill>
                    <w14:schemeClr w14:val="tx1"/>
                  </w14:solidFill>
                </w14:textFill>
              </w:rPr>
              <w:t>石墨单位产品</w:t>
            </w:r>
            <w:r>
              <w:rPr>
                <w:rFonts w:hint="eastAsia"/>
                <w:color w:val="000000" w:themeColor="text1"/>
                <w:sz w:val="18"/>
                <w:szCs w:val="18"/>
                <w:lang w:val="en-US" w:eastAsia="zh-CN"/>
                <w14:textFill>
                  <w14:solidFill>
                    <w14:schemeClr w14:val="tx1"/>
                  </w14:solidFill>
                </w14:textFill>
              </w:rPr>
              <w:t>能源消耗</w:t>
            </w:r>
            <w:r>
              <w:rPr>
                <w:rFonts w:hint="eastAsia"/>
                <w:color w:val="000000" w:themeColor="text1"/>
                <w:sz w:val="18"/>
                <w:szCs w:val="18"/>
                <w14:textFill>
                  <w14:solidFill>
                    <w14:schemeClr w14:val="tx1"/>
                  </w14:solidFill>
                </w14:textFill>
              </w:rPr>
              <w:t>限额</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建议项目名称</w:t>
            </w:r>
          </w:p>
          <w:p>
            <w:pPr>
              <w:rPr>
                <w:color w:val="000000" w:themeColor="text1"/>
                <w:sz w:val="15"/>
                <w14:textFill>
                  <w14:solidFill>
                    <w14:schemeClr w14:val="tx1"/>
                  </w14:solidFill>
                </w14:textFill>
              </w:rPr>
            </w:pP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英文</w:t>
            </w:r>
            <w:r>
              <w:rPr>
                <w:color w:val="000000" w:themeColor="text1"/>
                <w:sz w:val="18"/>
                <w:szCs w:val="18"/>
                <w14:textFill>
                  <w14:solidFill>
                    <w14:schemeClr w14:val="tx1"/>
                  </w14:solidFill>
                </w14:textFill>
              </w:rPr>
              <w:t>)</w:t>
            </w:r>
          </w:p>
        </w:tc>
        <w:tc>
          <w:tcPr>
            <w:tcW w:w="2942" w:type="dxa"/>
            <w:gridSpan w:val="3"/>
            <w:tcBorders>
              <w:top w:val="single" w:color="auto" w:sz="4" w:space="0"/>
              <w:left w:val="single" w:color="auto" w:sz="4" w:space="0"/>
              <w:bottom w:val="single" w:color="auto" w:sz="4" w:space="0"/>
              <w:right w:val="single" w:color="auto" w:sz="4" w:space="0"/>
            </w:tcBorders>
            <w:vAlign w:val="center"/>
          </w:tcPr>
          <w:p>
            <w:pPr>
              <w:rPr>
                <w:color w:val="000000" w:themeColor="text1"/>
                <w14:textFill>
                  <w14:solidFill>
                    <w14:schemeClr w14:val="tx1"/>
                  </w14:solidFill>
                </w14:textFill>
              </w:rPr>
            </w:pPr>
            <w:r>
              <w:rPr>
                <w:rFonts w:hint="eastAsia"/>
                <w:color w:val="000000" w:themeColor="text1"/>
                <w:sz w:val="18"/>
                <w:szCs w:val="18"/>
                <w14:textFill>
                  <w14:solidFill>
                    <w14:schemeClr w14:val="tx1"/>
                  </w14:solidFill>
                </w14:textFill>
              </w:rPr>
              <w:t>The norm of energy consumption per unit products of graphite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制定或修订</w:t>
            </w:r>
          </w:p>
        </w:tc>
        <w:tc>
          <w:tcPr>
            <w:tcW w:w="1530" w:type="dxa"/>
            <w:gridSpan w:val="2"/>
            <w:tcBorders>
              <w:top w:val="single" w:color="auto" w:sz="4" w:space="0"/>
              <w:left w:val="single" w:color="auto" w:sz="4" w:space="0"/>
              <w:bottom w:val="single" w:color="auto" w:sz="4" w:space="0"/>
              <w:right w:val="single" w:color="auto" w:sz="4" w:space="0"/>
            </w:tcBorders>
            <w:vAlign w:val="center"/>
          </w:tcPr>
          <w:p>
            <w:pPr>
              <w:ind w:firstLine="210" w:firstLineChars="100"/>
              <w:rPr>
                <w:color w:val="000000" w:themeColor="text1"/>
                <w:sz w:val="18"/>
                <w14:textFill>
                  <w14:solidFill>
                    <w14:schemeClr w14:val="tx1"/>
                  </w14:solidFill>
                </w14:textFill>
              </w:rPr>
            </w:pPr>
            <w:r>
              <w:rPr>
                <w:rFonts w:ascii="Wingdings 2" w:hAnsi="Wingdings 2"/>
                <w:color w:val="000000" w:themeColor="text1"/>
                <w:szCs w:val="21"/>
                <w14:textFill>
                  <w14:solidFill>
                    <w14:schemeClr w14:val="tx1"/>
                  </w14:solidFill>
                </w14:textFill>
              </w:rPr>
              <w:sym w:font="Wingdings 2" w:char="00A3"/>
            </w:r>
            <w:r>
              <w:rPr>
                <w:rFonts w:hint="eastAsia"/>
                <w:color w:val="000000" w:themeColor="text1"/>
                <w:sz w:val="18"/>
                <w14:textFill>
                  <w14:solidFill>
                    <w14:schemeClr w14:val="tx1"/>
                  </w14:solidFill>
                </w14:textFill>
              </w:rPr>
              <w:t>制定</w:t>
            </w:r>
          </w:p>
        </w:tc>
        <w:tc>
          <w:tcPr>
            <w:tcW w:w="1534" w:type="dxa"/>
            <w:gridSpan w:val="3"/>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rFonts w:hint="eastAsia" w:ascii="宋体" w:hAnsi="宋体"/>
                <w:color w:val="000000" w:themeColor="text1"/>
                <w:szCs w:val="21"/>
                <w14:textFill>
                  <w14:solidFill>
                    <w14:schemeClr w14:val="tx1"/>
                  </w14:solidFill>
                </w14:textFill>
              </w:rPr>
              <w:sym w:font="Wingdings 2" w:char="0052"/>
            </w:r>
            <w:r>
              <w:rPr>
                <w:rFonts w:hint="eastAsia"/>
                <w:color w:val="000000" w:themeColor="text1"/>
                <w:sz w:val="18"/>
                <w14:textFill>
                  <w14:solidFill>
                    <w14:schemeClr w14:val="tx1"/>
                  </w14:solidFill>
                </w14:textFill>
              </w:rPr>
              <w:t>修订</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被修订标准号</w:t>
            </w:r>
          </w:p>
        </w:tc>
        <w:tc>
          <w:tcPr>
            <w:tcW w:w="2942" w:type="dxa"/>
            <w:gridSpan w:val="3"/>
            <w:tcBorders>
              <w:top w:val="single" w:color="auto" w:sz="4" w:space="0"/>
              <w:left w:val="single" w:color="auto" w:sz="4" w:space="0"/>
              <w:bottom w:val="single" w:color="auto" w:sz="4" w:space="0"/>
              <w:right w:val="single" w:color="auto" w:sz="4" w:space="0"/>
            </w:tcBorders>
            <w:vAlign w:val="center"/>
          </w:tcPr>
          <w:p>
            <w:pPr>
              <w:rPr>
                <w:rFonts w:hint="default" w:eastAsia="宋体"/>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T/CBMF 154</w:t>
            </w:r>
            <w:r>
              <w:rPr>
                <w:rFonts w:hint="eastAsia"/>
                <w:color w:val="000000" w:themeColor="text1"/>
                <w:sz w:val="18"/>
                <w:lang w:eastAsia="zh-CN"/>
                <w14:textFill>
                  <w14:solidFill>
                    <w14:schemeClr w14:val="tx1"/>
                  </w14:solidFill>
                </w14:textFill>
              </w:rPr>
              <w:t>—</w:t>
            </w:r>
            <w:r>
              <w:rPr>
                <w:rFonts w:hint="eastAsia"/>
                <w:color w:val="000000" w:themeColor="text1"/>
                <w:sz w:val="18"/>
                <w:lang w:val="en-US" w:eastAsia="zh-CN"/>
                <w14:textFill>
                  <w14:solidFill>
                    <w14:schemeClr w14:val="tx1"/>
                  </w14:solidFill>
                </w14:textFill>
              </w:rPr>
              <w:t>2021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采用程度</w:t>
            </w:r>
          </w:p>
        </w:tc>
        <w:tc>
          <w:tcPr>
            <w:tcW w:w="1080" w:type="dxa"/>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color w:val="000000" w:themeColor="text1"/>
                <w:sz w:val="18"/>
                <w14:textFill>
                  <w14:solidFill>
                    <w14:schemeClr w14:val="tx1"/>
                  </w14:solidFill>
                </w14:textFill>
              </w:rPr>
              <w:t>IDT</w:t>
            </w:r>
          </w:p>
        </w:tc>
        <w:tc>
          <w:tcPr>
            <w:tcW w:w="900" w:type="dxa"/>
            <w:gridSpan w:val="3"/>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color w:val="000000" w:themeColor="text1"/>
                <w:sz w:val="18"/>
                <w14:textFill>
                  <w14:solidFill>
                    <w14:schemeClr w14:val="tx1"/>
                  </w14:solidFill>
                </w14:textFill>
              </w:rPr>
              <w:t>MOD</w:t>
            </w:r>
          </w:p>
        </w:tc>
        <w:tc>
          <w:tcPr>
            <w:tcW w:w="1084" w:type="dxa"/>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color w:val="000000" w:themeColor="text1"/>
                <w:sz w:val="18"/>
                <w14:textFill>
                  <w14:solidFill>
                    <w14:schemeClr w14:val="tx1"/>
                  </w14:solidFill>
                </w14:textFill>
              </w:rPr>
              <w:t>NEQ</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采标号</w:t>
            </w:r>
          </w:p>
        </w:tc>
        <w:tc>
          <w:tcPr>
            <w:tcW w:w="2942" w:type="dxa"/>
            <w:gridSpan w:val="3"/>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66"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pStyle w:val="5"/>
              <w:pBdr>
                <w:bottom w:val="none" w:color="auto" w:sz="0" w:space="0"/>
              </w:pBdr>
              <w:tabs>
                <w:tab w:val="left" w:pos="420"/>
              </w:tabs>
              <w:snapToGrid/>
              <w:jc w:val="both"/>
              <w:rPr>
                <w:color w:val="000000" w:themeColor="text1"/>
                <w:szCs w:val="24"/>
                <w14:textFill>
                  <w14:solidFill>
                    <w14:schemeClr w14:val="tx1"/>
                  </w14:solidFill>
                </w14:textFill>
              </w:rPr>
            </w:pPr>
            <w:r>
              <w:rPr>
                <w:rFonts w:hint="eastAsia"/>
                <w:color w:val="000000" w:themeColor="text1"/>
                <w14:textFill>
                  <w14:solidFill>
                    <w14:schemeClr w14:val="tx1"/>
                  </w14:solidFill>
                </w14:textFill>
              </w:rPr>
              <w:t>国际标准</w:t>
            </w:r>
            <w:r>
              <w:rPr>
                <w:rFonts w:hint="eastAsia"/>
                <w:color w:val="000000" w:themeColor="text1"/>
                <w:szCs w:val="24"/>
                <w14:textFill>
                  <w14:solidFill>
                    <w14:schemeClr w14:val="tx1"/>
                  </w14:solidFill>
                </w14:textFill>
              </w:rPr>
              <w:t>名称</w:t>
            </w:r>
          </w:p>
          <w:p>
            <w:pPr>
              <w:rPr>
                <w:color w:val="000000" w:themeColor="text1"/>
                <w:sz w:val="18"/>
                <w14:textFill>
                  <w14:solidFill>
                    <w14:schemeClr w14:val="tx1"/>
                  </w14:solidFill>
                </w14:textFill>
              </w:rPr>
            </w:pPr>
            <w:r>
              <w:rPr>
                <w:color w:val="000000" w:themeColor="text1"/>
                <w:sz w:val="18"/>
                <w14:textFill>
                  <w14:solidFill>
                    <w14:schemeClr w14:val="tx1"/>
                  </w14:solidFill>
                </w14:textFill>
              </w:rPr>
              <w:t>(</w:t>
            </w:r>
            <w:r>
              <w:rPr>
                <w:rFonts w:hint="eastAsia"/>
                <w:color w:val="000000" w:themeColor="text1"/>
                <w:sz w:val="18"/>
                <w14:textFill>
                  <w14:solidFill>
                    <w14:schemeClr w14:val="tx1"/>
                  </w14:solidFill>
                </w14:textFill>
              </w:rPr>
              <w:t>中文</w:t>
            </w:r>
            <w:r>
              <w:rPr>
                <w:color w:val="000000" w:themeColor="text1"/>
                <w:sz w:val="18"/>
                <w14:textFill>
                  <w14:solidFill>
                    <w14:schemeClr w14:val="tx1"/>
                  </w14:solidFill>
                </w14:textFill>
              </w:rPr>
              <w:t>)</w:t>
            </w:r>
          </w:p>
        </w:tc>
        <w:tc>
          <w:tcPr>
            <w:tcW w:w="3064" w:type="dxa"/>
            <w:gridSpan w:val="5"/>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国际标准名称</w:t>
            </w:r>
          </w:p>
          <w:p>
            <w:pPr>
              <w:rPr>
                <w:color w:val="000000" w:themeColor="text1"/>
                <w:sz w:val="18"/>
                <w14:textFill>
                  <w14:solidFill>
                    <w14:schemeClr w14:val="tx1"/>
                  </w14:solidFill>
                </w14:textFill>
              </w:rPr>
            </w:pP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英文</w:t>
            </w:r>
            <w:r>
              <w:rPr>
                <w:color w:val="000000" w:themeColor="text1"/>
                <w:sz w:val="18"/>
                <w:szCs w:val="18"/>
                <w14:textFill>
                  <w14:solidFill>
                    <w14:schemeClr w14:val="tx1"/>
                  </w14:solidFill>
                </w14:textFill>
              </w:rPr>
              <w:t>)</w:t>
            </w:r>
          </w:p>
        </w:tc>
        <w:tc>
          <w:tcPr>
            <w:tcW w:w="2942" w:type="dxa"/>
            <w:gridSpan w:val="3"/>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采用快速程序</w:t>
            </w:r>
          </w:p>
        </w:tc>
        <w:tc>
          <w:tcPr>
            <w:tcW w:w="3064" w:type="dxa"/>
            <w:gridSpan w:val="5"/>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color w:val="000000" w:themeColor="text1"/>
                <w:sz w:val="18"/>
                <w14:textFill>
                  <w14:solidFill>
                    <w14:schemeClr w14:val="tx1"/>
                  </w14:solidFill>
                </w14:textFill>
              </w:rPr>
              <w:t>FTP</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快速程序代码</w:t>
            </w:r>
          </w:p>
        </w:tc>
        <w:tc>
          <w:tcPr>
            <w:tcW w:w="1381" w:type="dxa"/>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color w:val="000000" w:themeColor="text1"/>
                <w:sz w:val="18"/>
                <w14:textFill>
                  <w14:solidFill>
                    <w14:schemeClr w14:val="tx1"/>
                  </w14:solidFill>
                </w14:textFill>
              </w:rPr>
              <w:t>B</w:t>
            </w:r>
          </w:p>
        </w:tc>
        <w:tc>
          <w:tcPr>
            <w:tcW w:w="1561" w:type="dxa"/>
            <w:gridSpan w:val="2"/>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color w:val="000000" w:themeColor="text1"/>
                <w:sz w:val="18"/>
                <w14:textFill>
                  <w14:solidFill>
                    <w14:schemeClr w14:val="tx1"/>
                  </w14:solidFill>
                </w14:textFill>
              </w:rPr>
              <w:t>C</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color w:val="000000" w:themeColor="text1"/>
                <w:sz w:val="18"/>
                <w14:textFill>
                  <w14:solidFill>
                    <w14:schemeClr w14:val="tx1"/>
                  </w14:solidFill>
                </w14:textFill>
              </w:rPr>
              <w:t>ICS</w:t>
            </w:r>
            <w:r>
              <w:rPr>
                <w:rFonts w:hint="eastAsia"/>
                <w:color w:val="000000" w:themeColor="text1"/>
                <w:sz w:val="18"/>
                <w14:textFill>
                  <w14:solidFill>
                    <w14:schemeClr w14:val="tx1"/>
                  </w14:solidFill>
                </w14:textFill>
              </w:rPr>
              <w:t>分类号</w:t>
            </w:r>
          </w:p>
        </w:tc>
        <w:tc>
          <w:tcPr>
            <w:tcW w:w="3064" w:type="dxa"/>
            <w:gridSpan w:val="5"/>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rFonts w:ascii="宋体" w:hAnsi="宋体"/>
                <w:color w:val="000000" w:themeColor="text1"/>
                <w:sz w:val="18"/>
                <w:szCs w:val="18"/>
                <w14:textFill>
                  <w14:solidFill>
                    <w14:schemeClr w14:val="tx1"/>
                  </w14:solidFill>
                </w14:textFill>
              </w:rPr>
              <w:t>73.0</w:t>
            </w:r>
            <w:r>
              <w:rPr>
                <w:rFonts w:hint="eastAsia" w:ascii="宋体" w:hAnsi="宋体"/>
                <w:color w:val="000000" w:themeColor="text1"/>
                <w:sz w:val="18"/>
                <w:szCs w:val="18"/>
                <w:lang w:val="en-US" w:eastAsia="zh-CN"/>
                <w14:textFill>
                  <w14:solidFill>
                    <w14:schemeClr w14:val="tx1"/>
                  </w14:solidFill>
                </w14:textFill>
              </w:rPr>
              <w:t>8</w:t>
            </w:r>
            <w:r>
              <w:rPr>
                <w:rFonts w:ascii="宋体" w:hAnsi="宋体"/>
                <w:color w:val="000000" w:themeColor="text1"/>
                <w:sz w:val="18"/>
                <w:szCs w:val="18"/>
                <w14:textFill>
                  <w14:solidFill>
                    <w14:schemeClr w14:val="tx1"/>
                  </w14:solidFill>
                </w14:textFill>
              </w:rPr>
              <w:t>0</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中国标准分类号</w:t>
            </w:r>
          </w:p>
        </w:tc>
        <w:tc>
          <w:tcPr>
            <w:tcW w:w="2942" w:type="dxa"/>
            <w:gridSpan w:val="3"/>
            <w:tcBorders>
              <w:top w:val="single" w:color="auto" w:sz="4" w:space="0"/>
              <w:left w:val="single" w:color="auto" w:sz="4" w:space="0"/>
              <w:bottom w:val="single" w:color="auto" w:sz="4" w:space="0"/>
              <w:right w:val="single" w:color="auto" w:sz="4" w:space="0"/>
            </w:tcBorders>
            <w:vAlign w:val="center"/>
          </w:tcPr>
          <w:p>
            <w:pPr>
              <w:rPr>
                <w:rFonts w:hint="eastAsia" w:eastAsia="宋体"/>
                <w:color w:val="000000" w:themeColor="text1"/>
                <w:sz w:val="18"/>
                <w:lang w:val="en-US" w:eastAsia="zh-CN"/>
                <w14:textFill>
                  <w14:solidFill>
                    <w14:schemeClr w14:val="tx1"/>
                  </w14:solidFill>
                </w14:textFill>
              </w:rPr>
            </w:pPr>
            <w:r>
              <w:rPr>
                <w:rFonts w:ascii="宋体" w:hAnsi="宋体"/>
                <w:color w:val="000000" w:themeColor="text1"/>
                <w:sz w:val="18"/>
                <w:szCs w:val="18"/>
                <w14:textFill>
                  <w14:solidFill>
                    <w14:schemeClr w14:val="tx1"/>
                  </w14:solidFill>
                </w14:textFill>
              </w:rPr>
              <w:t>Q6</w:t>
            </w:r>
            <w:r>
              <w:rPr>
                <w:rFonts w:hint="eastAsia" w:ascii="宋体" w:hAnsi="宋体"/>
                <w:color w:val="000000" w:themeColor="text1"/>
                <w:sz w:val="18"/>
                <w:szCs w:val="18"/>
                <w:lang w:val="en-US" w:eastAsia="zh-CN"/>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sz w:val="18"/>
              </w:rPr>
            </w:pPr>
            <w:r>
              <w:rPr>
                <w:rFonts w:hint="eastAsia" w:ascii="宋体" w:hAnsi="宋体"/>
                <w:sz w:val="18"/>
                <w:szCs w:val="18"/>
              </w:rPr>
              <w:t>标准主要起草单位</w:t>
            </w:r>
          </w:p>
        </w:tc>
        <w:tc>
          <w:tcPr>
            <w:tcW w:w="3064" w:type="dxa"/>
            <w:gridSpan w:val="5"/>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rFonts w:hint="eastAsia"/>
                <w:color w:val="000000" w:themeColor="text1"/>
                <w:sz w:val="18"/>
                <w:lang w:val="en-US" w:eastAsia="zh-CN"/>
                <w14:textFill>
                  <w14:solidFill>
                    <w14:schemeClr w14:val="tx1"/>
                  </w14:solidFill>
                </w14:textFill>
              </w:rPr>
              <w:t>咸阳非金属矿研究设计院有限公司、</w:t>
            </w:r>
            <w:r>
              <w:rPr>
                <w:rFonts w:hint="eastAsia"/>
                <w:color w:val="000000" w:themeColor="text1"/>
                <w:sz w:val="18"/>
                <w14:textFill>
                  <w14:solidFill>
                    <w14:schemeClr w14:val="tx1"/>
                  </w14:solidFill>
                </w14:textFill>
              </w:rPr>
              <w:t>中国非金属矿工业协会、</w:t>
            </w:r>
            <w:r>
              <w:rPr>
                <w:rFonts w:hint="eastAsia" w:ascii="宋体" w:hAnsi="宋体"/>
                <w:color w:val="000000" w:themeColor="text1"/>
                <w:sz w:val="18"/>
                <w:szCs w:val="18"/>
                <w14:textFill>
                  <w14:solidFill>
                    <w14:schemeClr w14:val="tx1"/>
                  </w14:solidFill>
                </w14:textFill>
              </w:rPr>
              <w:t>北京国建联信认证中心有限公司</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计划起止时间</w:t>
            </w:r>
          </w:p>
        </w:tc>
        <w:tc>
          <w:tcPr>
            <w:tcW w:w="2942" w:type="dxa"/>
            <w:gridSpan w:val="3"/>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color w:val="000000" w:themeColor="text1"/>
                <w:sz w:val="18"/>
                <w14:textFill>
                  <w14:solidFill>
                    <w14:schemeClr w14:val="tx1"/>
                  </w14:solidFill>
                </w14:textFill>
              </w:rPr>
              <w:t>202</w:t>
            </w:r>
            <w:r>
              <w:rPr>
                <w:rFonts w:hint="eastAsia"/>
                <w:color w:val="000000" w:themeColor="text1"/>
                <w:sz w:val="18"/>
                <w:lang w:val="en-US" w:eastAsia="zh-CN"/>
                <w14:textFill>
                  <w14:solidFill>
                    <w14:schemeClr w14:val="tx1"/>
                  </w14:solidFill>
                </w14:textFill>
              </w:rPr>
              <w:t>3</w:t>
            </w:r>
            <w:r>
              <w:rPr>
                <w:rFonts w:hint="eastAsia"/>
                <w:color w:val="000000" w:themeColor="text1"/>
                <w:sz w:val="18"/>
                <w14:textFill>
                  <w14:solidFill>
                    <w14:schemeClr w14:val="tx1"/>
                  </w14:solidFill>
                </w14:textFill>
              </w:rPr>
              <w:t>年</w:t>
            </w:r>
            <w:r>
              <w:rPr>
                <w:color w:val="000000" w:themeColor="text1"/>
                <w:sz w:val="18"/>
                <w14:textFill>
                  <w14:solidFill>
                    <w14:schemeClr w14:val="tx1"/>
                  </w14:solidFill>
                </w14:textFill>
              </w:rPr>
              <w:t>-202</w:t>
            </w:r>
            <w:r>
              <w:rPr>
                <w:rFonts w:hint="eastAsia"/>
                <w:color w:val="000000" w:themeColor="text1"/>
                <w:sz w:val="18"/>
                <w:lang w:val="en-US" w:eastAsia="zh-CN"/>
                <w14:textFill>
                  <w14:solidFill>
                    <w14:schemeClr w14:val="tx1"/>
                  </w14:solidFill>
                </w14:textFill>
              </w:rPr>
              <w:t>5</w:t>
            </w:r>
            <w:r>
              <w:rPr>
                <w:rFonts w:hint="eastAsia"/>
                <w:color w:val="000000" w:themeColor="text1"/>
                <w:sz w:val="18"/>
                <w14:textFill>
                  <w14:solidFill>
                    <w14:schemeClr w14:val="tx1"/>
                  </w14:solidFill>
                </w14:textFill>
              </w:rPr>
              <w:t>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1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目的、意义或必要性</w:t>
            </w:r>
          </w:p>
        </w:tc>
        <w:tc>
          <w:tcPr>
            <w:tcW w:w="7622" w:type="dxa"/>
            <w:gridSpan w:val="10"/>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石墨一直是现代工业与军工发展不可或缺的重要战略资源，被誉为21世纪支撑高新技术发展、新一轮科技革命的动力之源。</w:t>
            </w:r>
            <w:r>
              <w:rPr>
                <w:rFonts w:hint="eastAsia"/>
                <w:color w:val="000000" w:themeColor="text1"/>
                <w:sz w:val="18"/>
                <w:szCs w:val="18"/>
                <w:lang w:val="en-US" w:eastAsia="zh-CN"/>
                <w14:textFill>
                  <w14:solidFill>
                    <w14:schemeClr w14:val="tx1"/>
                  </w14:solidFill>
                </w14:textFill>
              </w:rPr>
              <w:t>目前，国内石墨采选矿企业约50家，初加工企业1000余家，深加工企业达2万余家；但90%为中小企业或初创企业，龙头企业较少。2021年天然石墨年产量约82万吨，占全球总产量79%，出口量约28万吨，进口量约8万吨；2021年人造石墨出货量约60.5万吨。当前石墨材料产品单位产值能耗为200kgce/万元国内生产总值</w:t>
            </w:r>
            <w:r>
              <w:rPr>
                <w:rFonts w:hint="eastAsia"/>
                <w:color w:val="000000" w:themeColor="text1"/>
                <w:sz w:val="18"/>
                <w:szCs w:val="18"/>
                <w14:textFill>
                  <w14:solidFill>
                    <w14:schemeClr w14:val="tx1"/>
                  </w14:solidFill>
                </w14:textFill>
              </w:rPr>
              <w:t>，</w:t>
            </w:r>
            <w:r>
              <w:rPr>
                <w:rFonts w:hint="eastAsia"/>
                <w:color w:val="000000" w:themeColor="text1"/>
                <w:sz w:val="18"/>
                <w:szCs w:val="18"/>
                <w:lang w:val="en-US" w:eastAsia="zh-CN"/>
                <w14:textFill>
                  <w14:solidFill>
                    <w14:schemeClr w14:val="tx1"/>
                  </w14:solidFill>
                </w14:textFill>
              </w:rPr>
              <w:t>企业在</w:t>
            </w:r>
            <w:r>
              <w:rPr>
                <w:rFonts w:hint="eastAsia"/>
                <w:color w:val="000000" w:themeColor="text1"/>
                <w:sz w:val="18"/>
                <w:szCs w:val="18"/>
                <w14:textFill>
                  <w14:solidFill>
                    <w14:schemeClr w14:val="tx1"/>
                  </w14:solidFill>
                </w14:textFill>
              </w:rPr>
              <w:t>生产过程中只注重产品质量，</w:t>
            </w:r>
            <w:r>
              <w:rPr>
                <w:rFonts w:hint="eastAsia"/>
                <w:color w:val="000000" w:themeColor="text1"/>
                <w:sz w:val="18"/>
                <w:szCs w:val="18"/>
                <w:lang w:val="en-US" w:eastAsia="zh-CN"/>
                <w14:textFill>
                  <w14:solidFill>
                    <w14:schemeClr w14:val="tx1"/>
                  </w14:solidFill>
                </w14:textFill>
              </w:rPr>
              <w:t>采用球磨、高温提纯、碳化等高能耗工艺，</w:t>
            </w:r>
            <w:r>
              <w:rPr>
                <w:rFonts w:hint="eastAsia"/>
                <w:color w:val="000000" w:themeColor="text1"/>
                <w:sz w:val="18"/>
                <w:szCs w:val="18"/>
                <w14:textFill>
                  <w14:solidFill>
                    <w14:schemeClr w14:val="tx1"/>
                  </w14:solidFill>
                </w14:textFill>
              </w:rPr>
              <w:t>对产品能耗意识较弱</w:t>
            </w:r>
            <w:r>
              <w:rPr>
                <w:rFonts w:hint="eastAsia"/>
                <w:color w:val="000000" w:themeColor="text1"/>
                <w:sz w:val="18"/>
                <w:szCs w:val="18"/>
                <w:lang w:eastAsia="zh-CN"/>
                <w14:textFill>
                  <w14:solidFill>
                    <w14:schemeClr w14:val="tx1"/>
                  </w14:solidFill>
                </w14:textFill>
              </w:rPr>
              <w:t>。</w:t>
            </w:r>
            <w:r>
              <w:rPr>
                <w:rFonts w:hint="eastAsia"/>
                <w:color w:val="000000" w:themeColor="text1"/>
                <w:sz w:val="18"/>
                <w:szCs w:val="18"/>
                <w14:textFill>
                  <w14:solidFill>
                    <w14:schemeClr w14:val="tx1"/>
                  </w14:solidFill>
                </w14:textFill>
              </w:rPr>
              <w:t>尤其在新一轮技术变革之下，石墨行业逐渐向规模化、智能化方向发展，众多在环保、科技方面投入不足、重复建设的小而散企业生产能耗较高，行业产能过剩</w:t>
            </w:r>
            <w:r>
              <w:rPr>
                <w:rFonts w:hint="eastAsia"/>
                <w:color w:val="000000" w:themeColor="text1"/>
                <w:sz w:val="18"/>
                <w:szCs w:val="18"/>
                <w:lang w:val="en-US" w:eastAsia="zh-CN"/>
                <w14:textFill>
                  <w14:solidFill>
                    <w14:schemeClr w14:val="tx1"/>
                  </w14:solidFill>
                </w14:textFill>
              </w:rPr>
              <w:t>严重、资源回收率低</w:t>
            </w:r>
            <w:r>
              <w:rPr>
                <w:rFonts w:hint="eastAsia"/>
                <w:color w:val="000000" w:themeColor="text1"/>
                <w:sz w:val="18"/>
                <w:szCs w:val="18"/>
                <w14:textFill>
                  <w14:solidFill>
                    <w14:schemeClr w14:val="tx1"/>
                  </w14:solidFill>
                </w14:textFill>
              </w:rPr>
              <w:t>。</w:t>
            </w:r>
          </w:p>
          <w:p>
            <w:pPr>
              <w:ind w:firstLine="360" w:firstLineChars="200"/>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国家发改委等部委相继发布《高耗能行业重点领域能效标杆水平和基准水平（2021年版）》，指出“参考国家现行单位产品能耗限额标准确定的准入值和限定值，根据行业实际情况、发展预期、生产装置整体能效水平等，统筹考虑如期实现碳达峰目标、保持生产供给平稳、便于企业操作实施等因素，科学划定各行业能效基准水平。工信部、科技部、自然资源部等联合发布《“十四五”原材料工业发展规划》，强调了单位产品能耗持续下降，污染物排放强度、总量双下降，矿渣、废渣等固废综合利用水平进一步提升等原材料工业发展要求，对我国石墨产业绿色高质量发展具有重要指导意义。</w:t>
            </w:r>
          </w:p>
          <w:p>
            <w:pPr>
              <w:ind w:firstLine="360" w:firstLineChars="200"/>
              <w:rPr>
                <w:rFonts w:hint="eastAsia" w:eastAsiaTheme="minorEastAsia"/>
                <w:sz w:val="18"/>
                <w:lang w:val="en-US" w:eastAsia="zh-CN"/>
              </w:rPr>
            </w:pPr>
            <w:r>
              <w:rPr>
                <w:rFonts w:hint="eastAsia"/>
                <w:color w:val="000000" w:themeColor="text1"/>
                <w:sz w:val="18"/>
                <w:szCs w:val="18"/>
                <w:lang w:val="en-US" w:eastAsia="zh-CN"/>
                <w14:textFill>
                  <w14:solidFill>
                    <w14:schemeClr w14:val="tx1"/>
                  </w14:solidFill>
                </w14:textFill>
              </w:rPr>
              <w:t>因此，</w:t>
            </w:r>
            <w:r>
              <w:rPr>
                <w:rFonts w:hint="eastAsia"/>
                <w:color w:val="000000" w:themeColor="text1"/>
                <w:sz w:val="18"/>
                <w:szCs w:val="18"/>
                <w14:textFill>
                  <w14:solidFill>
                    <w14:schemeClr w14:val="tx1"/>
                  </w14:solidFill>
                </w14:textFill>
              </w:rPr>
              <w:t>随着节能降碳及相关环保政策的逐步落实，使得当前有必要</w:t>
            </w:r>
            <w:r>
              <w:rPr>
                <w:rFonts w:hint="eastAsia"/>
                <w:color w:val="000000" w:themeColor="text1"/>
                <w:sz w:val="18"/>
                <w:szCs w:val="18"/>
                <w:lang w:val="en-US" w:eastAsia="zh-CN"/>
                <w14:textFill>
                  <w14:solidFill>
                    <w14:schemeClr w14:val="tx1"/>
                  </w14:solidFill>
                </w14:textFill>
              </w:rPr>
              <w:t>制修订</w:t>
            </w:r>
            <w:r>
              <w:rPr>
                <w:rFonts w:hint="eastAsia"/>
                <w:color w:val="000000" w:themeColor="text1"/>
                <w:sz w:val="18"/>
                <w:szCs w:val="18"/>
                <w14:textFill>
                  <w14:solidFill>
                    <w14:schemeClr w14:val="tx1"/>
                  </w14:solidFill>
                </w14:textFill>
              </w:rPr>
              <w:t>石墨能耗标准以满足整个行业发展需求，为规范石墨产业节能监察监测工作提供标准技术支撑，鼓励企业注重工艺改造优化，加强节能环保等方面的投入，加快淘汰落后产能，从根本上改变石墨产能过剩的现状。</w:t>
            </w:r>
            <w:r>
              <w:rPr>
                <w:rFonts w:hint="eastAsia"/>
                <w:color w:val="000000" w:themeColor="text1"/>
                <w:sz w:val="18"/>
                <w:szCs w:val="18"/>
                <w:lang w:val="en-US" w:eastAsia="zh-CN"/>
                <w14:textFill>
                  <w14:solidFill>
                    <w14:schemeClr w14:val="tx1"/>
                  </w14:solidFill>
                </w14:textFill>
              </w:rPr>
              <w:t>目前，中国建筑材料协会标准</w:t>
            </w:r>
            <w:r>
              <w:rPr>
                <w:rFonts w:hint="eastAsia" w:eastAsiaTheme="minorEastAsia"/>
                <w:sz w:val="18"/>
                <w:lang w:val="en-US" w:eastAsia="zh-CN"/>
              </w:rPr>
              <w:t>T/CBMF 154</w:t>
            </w:r>
            <w:r>
              <w:rPr>
                <w:rFonts w:hint="eastAsia"/>
                <w:color w:val="000000" w:themeColor="text1"/>
                <w:sz w:val="18"/>
                <w:lang w:eastAsia="zh-CN"/>
                <w14:textFill>
                  <w14:solidFill>
                    <w14:schemeClr w14:val="tx1"/>
                  </w14:solidFill>
                </w14:textFill>
              </w:rPr>
              <w:t>—</w:t>
            </w:r>
            <w:r>
              <w:rPr>
                <w:rFonts w:hint="eastAsia" w:eastAsiaTheme="minorEastAsia"/>
                <w:sz w:val="18"/>
                <w:lang w:val="en-US" w:eastAsia="zh-CN"/>
              </w:rPr>
              <w:t>2021</w:t>
            </w:r>
            <w:r>
              <w:rPr>
                <w:rFonts w:hint="eastAsia" w:eastAsiaTheme="minorEastAsia"/>
                <w:sz w:val="18"/>
              </w:rPr>
              <w:t>《</w:t>
            </w:r>
            <w:r>
              <w:rPr>
                <w:rFonts w:hint="eastAsia" w:eastAsiaTheme="minorEastAsia"/>
                <w:sz w:val="18"/>
                <w:lang w:val="en-US" w:eastAsia="zh-CN"/>
              </w:rPr>
              <w:t>石墨单位产品能源消耗限额</w:t>
            </w:r>
            <w:r>
              <w:rPr>
                <w:rFonts w:hint="eastAsia" w:eastAsiaTheme="minorEastAsia"/>
                <w:sz w:val="18"/>
              </w:rPr>
              <w:t>》</w:t>
            </w:r>
            <w:r>
              <w:rPr>
                <w:rFonts w:hint="eastAsia" w:eastAsiaTheme="minorEastAsia"/>
                <w:sz w:val="18"/>
                <w:lang w:val="en-US" w:eastAsia="zh-CN"/>
              </w:rPr>
              <w:t>只规定了鳞片石墨和微晶石墨粉能耗等级，针对人造石墨及球化石墨未进行规范；根据石墨行业绿色高质量发展需要，需对本标准进行修订，具体修订内容如下：</w:t>
            </w:r>
          </w:p>
          <w:p>
            <w:pPr>
              <w:ind w:firstLine="360" w:firstLineChars="200"/>
              <w:rPr>
                <w:rFonts w:hint="default"/>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1、更改了第1章范围。</w:t>
            </w:r>
          </w:p>
          <w:p>
            <w:pPr>
              <w:ind w:firstLine="360" w:firstLineChars="200"/>
              <w:rPr>
                <w:rFonts w:hint="eastAsia" w:eastAsiaTheme="minorEastAsia"/>
                <w:sz w:val="18"/>
                <w:lang w:val="en-US" w:eastAsia="zh-CN"/>
              </w:rPr>
            </w:pPr>
            <w:r>
              <w:rPr>
                <w:rFonts w:hint="eastAsia" w:eastAsiaTheme="minorEastAsia"/>
                <w:sz w:val="18"/>
                <w:lang w:val="en-US" w:eastAsia="zh-CN"/>
              </w:rPr>
              <w:t>2、增加了人造石墨能耗限额等级及要求、单位产品综合能耗的计算。</w:t>
            </w:r>
          </w:p>
          <w:p>
            <w:pPr>
              <w:ind w:firstLine="360" w:firstLineChars="200"/>
              <w:rPr>
                <w:rFonts w:hint="eastAsia" w:eastAsiaTheme="minorEastAsia"/>
                <w:sz w:val="18"/>
                <w:lang w:val="en-US" w:eastAsia="zh-CN"/>
              </w:rPr>
            </w:pPr>
            <w:r>
              <w:rPr>
                <w:rFonts w:hint="eastAsia" w:eastAsiaTheme="minorEastAsia"/>
                <w:sz w:val="18"/>
                <w:lang w:val="en-US" w:eastAsia="zh-CN"/>
              </w:rPr>
              <w:t>3、增加了球化石墨能耗限额等级及要求、单位产品综合能耗的计算。</w:t>
            </w:r>
          </w:p>
          <w:p>
            <w:pPr>
              <w:ind w:firstLine="360" w:firstLineChars="200"/>
              <w:rPr>
                <w:rFonts w:hint="default" w:eastAsia="宋体"/>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4、删除了附录A和附录B。折标准煤系数更改为参照GB/T 2589。</w:t>
            </w:r>
          </w:p>
          <w:p>
            <w:pPr>
              <w:ind w:firstLine="360" w:firstLineChars="200"/>
              <w:rPr>
                <w:color w:val="000000" w:themeColor="text1"/>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通过本标准的修订，</w:t>
            </w:r>
            <w:r>
              <w:rPr>
                <w:rFonts w:hint="eastAsia"/>
                <w:color w:val="000000" w:themeColor="text1"/>
                <w:sz w:val="18"/>
                <w:szCs w:val="18"/>
                <w14:textFill>
                  <w14:solidFill>
                    <w14:schemeClr w14:val="tx1"/>
                  </w14:solidFill>
                </w14:textFill>
              </w:rPr>
              <w:t>为石墨行业淘汰落后低效产能、投资项目节能</w:t>
            </w:r>
            <w:r>
              <w:rPr>
                <w:rFonts w:hint="eastAsia"/>
                <w:color w:val="000000" w:themeColor="text1"/>
                <w:sz w:val="18"/>
                <w:szCs w:val="18"/>
                <w:lang w:val="en-US" w:eastAsia="zh-CN"/>
                <w14:textFill>
                  <w14:solidFill>
                    <w14:schemeClr w14:val="tx1"/>
                  </w14:solidFill>
                </w14:textFill>
              </w:rPr>
              <w:t>监测</w:t>
            </w:r>
            <w:r>
              <w:rPr>
                <w:rFonts w:hint="eastAsia"/>
                <w:color w:val="000000" w:themeColor="text1"/>
                <w:sz w:val="18"/>
                <w:szCs w:val="18"/>
                <w14:textFill>
                  <w14:solidFill>
                    <w14:schemeClr w14:val="tx1"/>
                  </w14:solidFill>
                </w14:textFill>
              </w:rPr>
              <w:t>审查、能效“领跑”等节能措施的实施发挥重要技术支撑作用，优化产品结构促进石墨生产企业良性发展</w:t>
            </w:r>
            <w:r>
              <w:rPr>
                <w:rFonts w:hint="eastAsia"/>
                <w:color w:val="000000" w:themeColor="text1"/>
                <w:sz w:val="18"/>
                <w:szCs w:val="18"/>
                <w:lang w:eastAsia="zh-CN"/>
                <w14:textFill>
                  <w14:solidFill>
                    <w14:schemeClr w14:val="tx1"/>
                  </w14:solidFill>
                </w14:textFill>
              </w:rPr>
              <w:t>，</w:t>
            </w:r>
            <w:r>
              <w:rPr>
                <w:rFonts w:hint="eastAsia"/>
                <w:color w:val="000000" w:themeColor="text1"/>
                <w:sz w:val="18"/>
                <w:szCs w:val="18"/>
                <w14:textFill>
                  <w14:solidFill>
                    <w14:schemeClr w14:val="tx1"/>
                  </w14:solidFill>
                </w14:textFill>
              </w:rPr>
              <w:t>引领石墨企业加大节能减碳工作力度，有效带动石墨行业</w:t>
            </w:r>
            <w:r>
              <w:rPr>
                <w:rFonts w:hint="eastAsia"/>
                <w:color w:val="000000" w:themeColor="text1"/>
                <w:sz w:val="18"/>
                <w:szCs w:val="18"/>
                <w:lang w:val="en-US" w:eastAsia="zh-CN"/>
                <w14:textFill>
                  <w14:solidFill>
                    <w14:schemeClr w14:val="tx1"/>
                  </w14:solidFill>
                </w14:textFill>
              </w:rPr>
              <w:t>转型</w:t>
            </w:r>
            <w:r>
              <w:rPr>
                <w:rFonts w:hint="eastAsia"/>
                <w:color w:val="000000" w:themeColor="text1"/>
                <w:sz w:val="18"/>
                <w:szCs w:val="18"/>
                <w14:textFill>
                  <w14:solidFill>
                    <w14:schemeClr w14:val="tx1"/>
                  </w14:solidFill>
                </w14:textFill>
              </w:rPr>
              <w:t>升级，助推节能低碳技术和设备研发推广，提高我国石墨行业整体的制造、创新水平</w:t>
            </w:r>
            <w:r>
              <w:rPr>
                <w:rFonts w:hint="eastAsia"/>
                <w:color w:val="000000" w:themeColor="text1"/>
                <w:sz w:val="18"/>
                <w:szCs w:val="18"/>
                <w:lang w:eastAsia="zh-CN"/>
                <w14:textFill>
                  <w14:solidFill>
                    <w14:schemeClr w14:val="tx1"/>
                  </w14:solidFill>
                </w14:textFill>
              </w:rPr>
              <w:t>，</w:t>
            </w:r>
            <w:r>
              <w:rPr>
                <w:rFonts w:hint="eastAsia"/>
                <w:color w:val="000000" w:themeColor="text1"/>
                <w:sz w:val="18"/>
                <w:szCs w:val="18"/>
                <w14:textFill>
                  <w14:solidFill>
                    <w14:schemeClr w14:val="tx1"/>
                  </w14:solidFill>
                </w14:textFill>
              </w:rPr>
              <w:t>以先进的标准引领一批能效“领跑”企业达到国际先进水平，对石墨行业产生经济社会效益</w:t>
            </w:r>
            <w:r>
              <w:rPr>
                <w:rFonts w:hint="eastAsia"/>
                <w:color w:val="000000" w:themeColor="text1"/>
                <w:sz w:val="18"/>
                <w:szCs w:val="18"/>
                <w:lang w:eastAsia="zh-CN"/>
                <w14:textFill>
                  <w14:solidFill>
                    <w14:schemeClr w14:val="tx1"/>
                  </w14:solidFill>
                </w14:textFill>
              </w:rPr>
              <w:t>，</w:t>
            </w:r>
            <w:r>
              <w:rPr>
                <w:rFonts w:hint="eastAsia"/>
                <w:color w:val="000000" w:themeColor="text1"/>
                <w:sz w:val="18"/>
                <w:szCs w:val="18"/>
                <w14:textFill>
                  <w14:solidFill>
                    <w14:schemeClr w14:val="tx1"/>
                  </w14:solidFill>
                </w14:textFill>
              </w:rPr>
              <w:t>促进我国环保事业的发展，实现绿水青山的中国梦</w:t>
            </w:r>
            <w:r>
              <w:rPr>
                <w:rFonts w:hint="eastAsia"/>
                <w:color w:val="000000" w:themeColor="text1"/>
                <w:sz w:val="18"/>
                <w:szCs w:val="18"/>
                <w:lang w:eastAsia="zh-CN"/>
                <w14:textFill>
                  <w14:solidFill>
                    <w14:schemeClr w14:val="tx1"/>
                  </w14:solidFill>
                </w14:textFill>
              </w:rPr>
              <w:t>。</w:t>
            </w:r>
            <w:r>
              <w:rPr>
                <w:rFonts w:hint="eastAsia"/>
                <w:color w:val="000000" w:themeColor="text1"/>
                <w:sz w:val="18"/>
                <w:szCs w:val="18"/>
                <w14:textFill>
                  <w14:solidFill>
                    <w14:schemeClr w14:val="tx1"/>
                  </w14:solidFill>
                </w14:textFill>
              </w:rPr>
              <w:t>本文件符合我国产业政策，属于满足社会广泛关注的热点项目。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5"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范围和主要</w:t>
            </w:r>
          </w:p>
          <w:p>
            <w:pP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技术内容</w:t>
            </w:r>
          </w:p>
        </w:tc>
        <w:tc>
          <w:tcPr>
            <w:tcW w:w="7622" w:type="dxa"/>
            <w:gridSpan w:val="10"/>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1、范围</w:t>
            </w:r>
          </w:p>
          <w:p>
            <w:pPr>
              <w:ind w:firstLine="360" w:firstLineChars="200"/>
              <w:rPr>
                <w:rFonts w:hint="default"/>
                <w:color w:val="000000" w:themeColor="text1"/>
                <w:sz w:val="18"/>
                <w:lang w:val="en-US" w:eastAsia="zh-CN"/>
                <w14:textFill>
                  <w14:solidFill>
                    <w14:schemeClr w14:val="tx1"/>
                  </w14:solidFill>
                </w14:textFill>
              </w:rPr>
            </w:pPr>
            <w:r>
              <w:rPr>
                <w:rFonts w:hint="eastAsia"/>
                <w:color w:val="000000" w:themeColor="text1"/>
                <w:sz w:val="18"/>
                <w14:textFill>
                  <w14:solidFill>
                    <w14:schemeClr w14:val="tx1"/>
                  </w14:solidFill>
                </w14:textFill>
              </w:rPr>
              <w:t>本</w:t>
            </w:r>
            <w:r>
              <w:rPr>
                <w:rFonts w:hint="eastAsia"/>
                <w:color w:val="000000" w:themeColor="text1"/>
                <w:sz w:val="18"/>
                <w:lang w:val="en-US" w:eastAsia="zh-CN"/>
                <w14:textFill>
                  <w14:solidFill>
                    <w14:schemeClr w14:val="tx1"/>
                  </w14:solidFill>
                </w14:textFill>
              </w:rPr>
              <w:t>文件</w:t>
            </w:r>
            <w:r>
              <w:rPr>
                <w:rFonts w:hint="eastAsia"/>
                <w:color w:val="000000" w:themeColor="text1"/>
                <w:sz w:val="18"/>
                <w14:textFill>
                  <w14:solidFill>
                    <w14:schemeClr w14:val="tx1"/>
                  </w14:solidFill>
                </w14:textFill>
              </w:rPr>
              <w:t>规定了石墨单位产品能源消耗限额等级</w:t>
            </w:r>
            <w:r>
              <w:rPr>
                <w:rFonts w:hint="eastAsia"/>
                <w:color w:val="000000" w:themeColor="text1"/>
                <w:sz w:val="18"/>
                <w:lang w:val="en-US" w:eastAsia="zh-CN"/>
                <w14:textFill>
                  <w14:solidFill>
                    <w14:schemeClr w14:val="tx1"/>
                  </w14:solidFill>
                </w14:textFill>
              </w:rPr>
              <w:t>及</w:t>
            </w:r>
            <w:r>
              <w:rPr>
                <w:rFonts w:hint="eastAsia"/>
                <w:color w:val="000000" w:themeColor="text1"/>
                <w:sz w:val="18"/>
                <w14:textFill>
                  <w14:solidFill>
                    <w14:schemeClr w14:val="tx1"/>
                  </w14:solidFill>
                </w14:textFill>
              </w:rPr>
              <w:t>要求、统计范围和计算方法，适用于</w:t>
            </w:r>
            <w:r>
              <w:rPr>
                <w:rFonts w:hint="eastAsia"/>
                <w:color w:val="000000" w:themeColor="text1"/>
                <w:sz w:val="18"/>
                <w:lang w:val="en-US" w:eastAsia="zh-CN"/>
                <w14:textFill>
                  <w14:solidFill>
                    <w14:schemeClr w14:val="tx1"/>
                  </w14:solidFill>
                </w14:textFill>
              </w:rPr>
              <w:t>鳞片石墨</w:t>
            </w:r>
            <w:r>
              <w:rPr>
                <w:rFonts w:hint="eastAsia"/>
                <w:color w:val="000000" w:themeColor="text1"/>
                <w:sz w:val="18"/>
                <w:lang w:eastAsia="zh-CN"/>
                <w14:textFill>
                  <w14:solidFill>
                    <w14:schemeClr w14:val="tx1"/>
                  </w14:solidFill>
                </w14:textFill>
              </w:rPr>
              <w:t>、</w:t>
            </w:r>
            <w:r>
              <w:rPr>
                <w:rFonts w:hint="eastAsia"/>
                <w:color w:val="000000" w:themeColor="text1"/>
                <w:sz w:val="18"/>
                <w:lang w:val="en-US" w:eastAsia="zh-CN"/>
                <w14:textFill>
                  <w14:solidFill>
                    <w14:schemeClr w14:val="tx1"/>
                  </w14:solidFill>
                </w14:textFill>
              </w:rPr>
              <w:t>微晶石墨、人造石墨和球化石墨</w:t>
            </w:r>
            <w:r>
              <w:rPr>
                <w:rFonts w:hint="eastAsia"/>
                <w:color w:val="000000" w:themeColor="text1"/>
                <w:sz w:val="18"/>
                <w14:textFill>
                  <w14:solidFill>
                    <w14:schemeClr w14:val="tx1"/>
                  </w14:solidFill>
                </w14:textFill>
              </w:rPr>
              <w:t>生产企业能源消耗的计算、考核，以及对新建、改扩建项目的能源消耗控制。</w:t>
            </w:r>
          </w:p>
          <w:p>
            <w:pPr>
              <w:ind w:firstLine="360" w:firstLineChars="200"/>
              <w:rPr>
                <w:rFonts w:hint="default" w:eastAsia="宋体"/>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2、主要技术内容</w:t>
            </w:r>
          </w:p>
          <w:p>
            <w:pPr>
              <w:ind w:firstLine="360" w:firstLineChars="200"/>
              <w:rPr>
                <w:rFonts w:hint="eastAsia"/>
                <w:color w:val="000000" w:themeColor="text1"/>
                <w:sz w:val="18"/>
                <w14:textFill>
                  <w14:solidFill>
                    <w14:schemeClr w14:val="tx1"/>
                  </w14:solidFill>
                </w14:textFill>
              </w:rPr>
            </w:pPr>
            <w:r>
              <w:rPr>
                <w:rFonts w:hint="eastAsia"/>
                <w:color w:val="000000" w:themeColor="text1"/>
                <w:sz w:val="18"/>
                <w:lang w:eastAsia="zh-CN"/>
                <w14:textFill>
                  <w14:solidFill>
                    <w14:schemeClr w14:val="tx1"/>
                  </w14:solidFill>
                </w14:textFill>
              </w:rPr>
              <w:t>（</w:t>
            </w:r>
            <w:r>
              <w:rPr>
                <w:rFonts w:hint="eastAsia"/>
                <w:color w:val="000000" w:themeColor="text1"/>
                <w:sz w:val="18"/>
                <w:lang w:val="en-US" w:eastAsia="zh-CN"/>
                <w14:textFill>
                  <w14:solidFill>
                    <w14:schemeClr w14:val="tx1"/>
                  </w14:solidFill>
                </w14:textFill>
              </w:rPr>
              <w:t>1</w:t>
            </w:r>
            <w:r>
              <w:rPr>
                <w:rFonts w:hint="eastAsia"/>
                <w:color w:val="000000" w:themeColor="text1"/>
                <w:sz w:val="18"/>
                <w:lang w:eastAsia="zh-CN"/>
                <w14:textFill>
                  <w14:solidFill>
                    <w14:schemeClr w14:val="tx1"/>
                  </w14:solidFill>
                </w14:textFill>
              </w:rPr>
              <w:t>）</w:t>
            </w:r>
            <w:r>
              <w:rPr>
                <w:rFonts w:hint="eastAsia"/>
                <w:color w:val="000000" w:themeColor="text1"/>
                <w:sz w:val="18"/>
                <w14:textFill>
                  <w14:solidFill>
                    <w14:schemeClr w14:val="tx1"/>
                  </w14:solidFill>
                </w14:textFill>
              </w:rPr>
              <w:t>石墨产品分为鳞片石墨、微晶石墨</w:t>
            </w:r>
            <w:r>
              <w:rPr>
                <w:rFonts w:hint="eastAsia"/>
                <w:color w:val="000000" w:themeColor="text1"/>
                <w:sz w:val="18"/>
                <w:lang w:eastAsia="zh-CN"/>
                <w14:textFill>
                  <w14:solidFill>
                    <w14:schemeClr w14:val="tx1"/>
                  </w14:solidFill>
                </w14:textFill>
              </w:rPr>
              <w:t>、</w:t>
            </w:r>
            <w:r>
              <w:rPr>
                <w:rFonts w:hint="eastAsia"/>
                <w:color w:val="000000" w:themeColor="text1"/>
                <w:sz w:val="18"/>
                <w14:textFill>
                  <w14:solidFill>
                    <w14:schemeClr w14:val="tx1"/>
                  </w14:solidFill>
                </w14:textFill>
              </w:rPr>
              <w:t>人造石墨</w:t>
            </w:r>
            <w:r>
              <w:rPr>
                <w:rFonts w:hint="eastAsia"/>
                <w:color w:val="000000" w:themeColor="text1"/>
                <w:sz w:val="18"/>
                <w:lang w:val="en-US" w:eastAsia="zh-CN"/>
                <w14:textFill>
                  <w14:solidFill>
                    <w14:schemeClr w14:val="tx1"/>
                  </w14:solidFill>
                </w14:textFill>
              </w:rPr>
              <w:t>和球化石墨4</w:t>
            </w:r>
            <w:r>
              <w:rPr>
                <w:rFonts w:hint="eastAsia"/>
                <w:color w:val="000000" w:themeColor="text1"/>
                <w:sz w:val="18"/>
                <w14:textFill>
                  <w14:solidFill>
                    <w14:schemeClr w14:val="tx1"/>
                  </w14:solidFill>
                </w14:textFill>
              </w:rPr>
              <w:t>类，单位产品能耗限额等级分为1级、2级和3级。生产石墨产品的现有企业，其单位产品能耗限定值应满足3级指标要求；新建</w:t>
            </w:r>
            <w:r>
              <w:rPr>
                <w:rFonts w:hint="eastAsia"/>
                <w:color w:val="000000" w:themeColor="text1"/>
                <w:sz w:val="18"/>
                <w:lang w:val="en-US" w:eastAsia="zh-CN"/>
                <w14:textFill>
                  <w14:solidFill>
                    <w14:schemeClr w14:val="tx1"/>
                  </w14:solidFill>
                </w14:textFill>
              </w:rPr>
              <w:t>和</w:t>
            </w:r>
            <w:r>
              <w:rPr>
                <w:rFonts w:hint="eastAsia"/>
                <w:color w:val="000000" w:themeColor="text1"/>
                <w:sz w:val="18"/>
                <w14:textFill>
                  <w14:solidFill>
                    <w14:schemeClr w14:val="tx1"/>
                  </w14:solidFill>
                </w14:textFill>
              </w:rPr>
              <w:t>改扩建企业，其单位产品能耗准入值应满足2级指标要求。</w:t>
            </w:r>
          </w:p>
          <w:p>
            <w:pPr>
              <w:ind w:firstLine="360" w:firstLineChars="200"/>
              <w:rPr>
                <w:rFonts w:hint="eastAsia"/>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w:t>
            </w:r>
            <w:r>
              <w:rPr>
                <w:rFonts w:hint="eastAsia"/>
                <w:color w:val="000000" w:themeColor="text1"/>
                <w:sz w:val="18"/>
                <w:lang w:val="en-US" w:eastAsia="zh-CN"/>
                <w14:textFill>
                  <w14:solidFill>
                    <w14:schemeClr w14:val="tx1"/>
                  </w14:solidFill>
                </w14:textFill>
              </w:rPr>
              <w:t>2</w:t>
            </w:r>
            <w:r>
              <w:rPr>
                <w:rFonts w:hint="eastAsia"/>
                <w:color w:val="000000" w:themeColor="text1"/>
                <w:sz w:val="18"/>
                <w14:textFill>
                  <w14:solidFill>
                    <w14:schemeClr w14:val="tx1"/>
                  </w14:solidFill>
                </w14:textFill>
              </w:rPr>
              <w:t>）统计范围包括生产能耗、辅助生产系统能耗、附属生产系统能耗。在生产全过程中各种能源(包括电、燃油等)消耗量及耗能工质。</w:t>
            </w:r>
          </w:p>
          <w:p>
            <w:pPr>
              <w:ind w:firstLine="360" w:firstLineChars="200"/>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w:t>
            </w:r>
            <w:r>
              <w:rPr>
                <w:rFonts w:hint="eastAsia"/>
                <w:color w:val="000000" w:themeColor="text1"/>
                <w:sz w:val="18"/>
                <w:lang w:val="en-US" w:eastAsia="zh-CN"/>
                <w14:textFill>
                  <w14:solidFill>
                    <w14:schemeClr w14:val="tx1"/>
                  </w14:solidFill>
                </w14:textFill>
              </w:rPr>
              <w:t>3</w:t>
            </w:r>
            <w:r>
              <w:rPr>
                <w:rFonts w:hint="eastAsia"/>
                <w:color w:val="000000" w:themeColor="text1"/>
                <w:sz w:val="18"/>
                <w14:textFill>
                  <w14:solidFill>
                    <w14:schemeClr w14:val="tx1"/>
                  </w14:solidFill>
                </w14:textFill>
              </w:rPr>
              <w:t>）</w:t>
            </w:r>
            <w:r>
              <w:rPr>
                <w:rFonts w:hint="eastAsia"/>
                <w:color w:val="000000" w:themeColor="text1"/>
                <w:sz w:val="18"/>
                <w:lang w:val="en-US" w:eastAsia="zh-CN"/>
                <w14:textFill>
                  <w14:solidFill>
                    <w14:schemeClr w14:val="tx1"/>
                  </w14:solidFill>
                </w14:textFill>
              </w:rPr>
              <w:t>统计</w:t>
            </w:r>
            <w:r>
              <w:rPr>
                <w:rFonts w:hint="eastAsia"/>
                <w:color w:val="000000" w:themeColor="text1"/>
                <w:sz w:val="18"/>
                <w14:textFill>
                  <w14:solidFill>
                    <w14:schemeClr w14:val="tx1"/>
                  </w14:solidFill>
                </w14:textFill>
              </w:rPr>
              <w:t>方法利用符合GB 17167要求配备的能源计量器具对统计报告期内的能源数量和生产合格石墨</w:t>
            </w:r>
            <w:r>
              <w:rPr>
                <w:rFonts w:hint="eastAsia"/>
                <w:color w:val="000000" w:themeColor="text1"/>
                <w:sz w:val="18"/>
                <w:lang w:val="en-US" w:eastAsia="zh-CN"/>
                <w14:textFill>
                  <w14:solidFill>
                    <w14:schemeClr w14:val="tx1"/>
                  </w14:solidFill>
                </w14:textFill>
              </w:rPr>
              <w:t>产品</w:t>
            </w:r>
            <w:r>
              <w:rPr>
                <w:rFonts w:hint="eastAsia"/>
                <w:color w:val="000000" w:themeColor="text1"/>
                <w:sz w:val="18"/>
                <w14:textFill>
                  <w14:solidFill>
                    <w14:schemeClr w14:val="tx1"/>
                  </w14:solidFill>
                </w14:textFill>
              </w:rPr>
              <w:t>进行统计。</w:t>
            </w:r>
          </w:p>
          <w:p>
            <w:pPr>
              <w:ind w:firstLine="360" w:firstLineChars="200"/>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w:t>
            </w:r>
            <w:r>
              <w:rPr>
                <w:rFonts w:hint="eastAsia"/>
                <w:color w:val="000000" w:themeColor="text1"/>
                <w:sz w:val="18"/>
                <w:lang w:val="en-US" w:eastAsia="zh-CN"/>
                <w14:textFill>
                  <w14:solidFill>
                    <w14:schemeClr w14:val="tx1"/>
                  </w14:solidFill>
                </w14:textFill>
              </w:rPr>
              <w:t>4</w:t>
            </w:r>
            <w:r>
              <w:rPr>
                <w:rFonts w:hint="eastAsia"/>
                <w:color w:val="000000" w:themeColor="text1"/>
                <w:sz w:val="18"/>
                <w14:textFill>
                  <w14:solidFill>
                    <w14:schemeClr w14:val="tx1"/>
                  </w14:solidFill>
                </w14:textFill>
              </w:rPr>
              <w:t>）</w:t>
            </w:r>
            <w:r>
              <w:rPr>
                <w:rFonts w:hint="eastAsia"/>
                <w:color w:val="000000" w:themeColor="text1"/>
                <w:sz w:val="18"/>
                <w:lang w:val="en-US" w:eastAsia="zh-CN"/>
                <w14:textFill>
                  <w14:solidFill>
                    <w14:schemeClr w14:val="tx1"/>
                  </w14:solidFill>
                </w14:textFill>
              </w:rPr>
              <w:t>计算方法引入等效系数，</w:t>
            </w:r>
            <w:r>
              <w:rPr>
                <w:rFonts w:hint="eastAsia"/>
                <w:color w:val="000000" w:themeColor="text1"/>
                <w:sz w:val="18"/>
                <w14:textFill>
                  <w14:solidFill>
                    <w14:schemeClr w14:val="tx1"/>
                  </w14:solidFill>
                </w14:textFill>
              </w:rPr>
              <w:t>各种能源及耗能工质消耗量应折算为标准煤计算</w:t>
            </w:r>
            <w:r>
              <w:rPr>
                <w:rFonts w:hint="eastAsia"/>
                <w:color w:val="000000" w:themeColor="text1"/>
                <w:sz w:val="18"/>
                <w:lang w:eastAsia="zh-CN"/>
                <w14:textFill>
                  <w14:solidFill>
                    <w14:schemeClr w14:val="tx1"/>
                  </w14:solidFill>
                </w14:textFill>
              </w:rPr>
              <w:t>，</w:t>
            </w:r>
            <w:r>
              <w:rPr>
                <w:rFonts w:hint="eastAsia"/>
                <w:color w:val="000000" w:themeColor="text1"/>
                <w:sz w:val="18"/>
                <w14:textFill>
                  <w14:solidFill>
                    <w14:schemeClr w14:val="tx1"/>
                  </w14:solidFill>
                </w14:textFill>
              </w:rPr>
              <w:t>包括生产系统的各个生产环节，既不重复，又不漏计</w:t>
            </w:r>
            <w:r>
              <w:rPr>
                <w:rFonts w:hint="eastAsia"/>
                <w:color w:val="000000" w:themeColor="text1"/>
                <w:sz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17"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国内外情况</w:t>
            </w:r>
          </w:p>
          <w:p>
            <w:pP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简要说明</w:t>
            </w:r>
          </w:p>
        </w:tc>
        <w:tc>
          <w:tcPr>
            <w:tcW w:w="7622" w:type="dxa"/>
            <w:gridSpan w:val="10"/>
            <w:tcBorders>
              <w:top w:val="single" w:color="auto" w:sz="4" w:space="0"/>
              <w:left w:val="single" w:color="auto" w:sz="4" w:space="0"/>
              <w:bottom w:val="single" w:color="auto" w:sz="4" w:space="0"/>
              <w:right w:val="single" w:color="auto" w:sz="4" w:space="0"/>
            </w:tcBorders>
            <w:vAlign w:val="center"/>
          </w:tcPr>
          <w:p>
            <w:pPr>
              <w:numPr>
                <w:ilvl w:val="0"/>
                <w:numId w:val="1"/>
              </w:numP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国内外对该技术研究情况简要说明：</w:t>
            </w:r>
          </w:p>
          <w:p>
            <w:pPr>
              <w:ind w:firstLine="360" w:firstLineChars="200"/>
              <w:rPr>
                <w:rFonts w:hint="eastAsia"/>
                <w:color w:val="000000" w:themeColor="text1"/>
                <w:sz w:val="18"/>
                <w:lang w:eastAsia="zh-CN"/>
                <w14:textFill>
                  <w14:solidFill>
                    <w14:schemeClr w14:val="tx1"/>
                  </w14:solidFill>
                </w14:textFill>
              </w:rPr>
            </w:pPr>
            <w:r>
              <w:rPr>
                <w:rFonts w:hint="eastAsia"/>
                <w:color w:val="000000" w:themeColor="text1"/>
                <w:sz w:val="18"/>
                <w:lang w:eastAsia="zh-CN"/>
                <w14:textFill>
                  <w14:solidFill>
                    <w14:schemeClr w14:val="tx1"/>
                  </w14:solidFill>
                </w14:textFill>
              </w:rPr>
              <w:t>国外非常重视战略性矿产资源保障，2012年日本</w:t>
            </w:r>
            <w:r>
              <w:rPr>
                <w:rFonts w:hint="eastAsia"/>
                <w:color w:val="000000" w:themeColor="text1"/>
                <w:sz w:val="18"/>
                <w:lang w:val="en-US" w:eastAsia="zh-CN"/>
                <w14:textFill>
                  <w14:solidFill>
                    <w14:schemeClr w14:val="tx1"/>
                  </w14:solidFill>
                </w14:textFill>
              </w:rPr>
              <w:t>发布</w:t>
            </w:r>
            <w:r>
              <w:rPr>
                <w:rFonts w:hint="eastAsia"/>
                <w:color w:val="000000" w:themeColor="text1"/>
                <w:sz w:val="18"/>
                <w:lang w:eastAsia="zh-CN"/>
                <w14:textFill>
                  <w14:solidFill>
                    <w14:schemeClr w14:val="tx1"/>
                  </w14:solidFill>
                </w14:textFill>
              </w:rPr>
              <w:t>30种关键矿产中包</w:t>
            </w:r>
            <w:r>
              <w:rPr>
                <w:rFonts w:hint="eastAsia"/>
                <w:color w:val="000000" w:themeColor="text1"/>
                <w:sz w:val="18"/>
                <w:lang w:val="en-US" w:eastAsia="zh-CN"/>
                <w14:textFill>
                  <w14:solidFill>
                    <w14:schemeClr w14:val="tx1"/>
                  </w14:solidFill>
                </w14:textFill>
              </w:rPr>
              <w:t>含</w:t>
            </w:r>
            <w:r>
              <w:rPr>
                <w:rFonts w:hint="eastAsia"/>
                <w:color w:val="000000" w:themeColor="text1"/>
                <w:sz w:val="18"/>
                <w:lang w:eastAsia="zh-CN"/>
                <w14:textFill>
                  <w14:solidFill>
                    <w14:schemeClr w14:val="tx1"/>
                  </w14:solidFill>
                </w14:textFill>
              </w:rPr>
              <w:t>石墨；2017年欧盟公布的27种关键原材料中包</w:t>
            </w:r>
            <w:r>
              <w:rPr>
                <w:rFonts w:hint="eastAsia"/>
                <w:color w:val="000000" w:themeColor="text1"/>
                <w:sz w:val="18"/>
                <w:lang w:val="en-US" w:eastAsia="zh-CN"/>
                <w14:textFill>
                  <w14:solidFill>
                    <w14:schemeClr w14:val="tx1"/>
                  </w14:solidFill>
                </w14:textFill>
              </w:rPr>
              <w:t>含</w:t>
            </w:r>
            <w:r>
              <w:rPr>
                <w:rFonts w:hint="eastAsia"/>
                <w:color w:val="000000" w:themeColor="text1"/>
                <w:sz w:val="18"/>
                <w:lang w:eastAsia="zh-CN"/>
                <w14:textFill>
                  <w14:solidFill>
                    <w14:schemeClr w14:val="tx1"/>
                  </w14:solidFill>
                </w14:textFill>
              </w:rPr>
              <w:t>天然石墨；2018年美国内政部公布的35种关键矿产清单中包</w:t>
            </w:r>
            <w:r>
              <w:rPr>
                <w:rFonts w:hint="eastAsia"/>
                <w:color w:val="000000" w:themeColor="text1"/>
                <w:sz w:val="18"/>
                <w:lang w:val="en-US" w:eastAsia="zh-CN"/>
                <w14:textFill>
                  <w14:solidFill>
                    <w14:schemeClr w14:val="tx1"/>
                  </w14:solidFill>
                </w14:textFill>
              </w:rPr>
              <w:t>含</w:t>
            </w:r>
            <w:r>
              <w:rPr>
                <w:rFonts w:hint="eastAsia"/>
                <w:color w:val="000000" w:themeColor="text1"/>
                <w:sz w:val="18"/>
                <w:lang w:eastAsia="zh-CN"/>
                <w14:textFill>
                  <w14:solidFill>
                    <w14:schemeClr w14:val="tx1"/>
                  </w14:solidFill>
                </w14:textFill>
              </w:rPr>
              <w:t>天然石墨；2019年澳大利亚发布的《关键矿产战略2019》24种关键矿产中包括石墨。国内在2016年发布的《全国矿产资源规划（2016—2020）》，将晶质石墨列为战略性矿产。</w:t>
            </w:r>
          </w:p>
          <w:p>
            <w:pPr>
              <w:ind w:firstLine="360" w:firstLineChars="200"/>
              <w:rPr>
                <w:rFonts w:hint="eastAsia"/>
                <w:color w:val="000000" w:themeColor="text1"/>
                <w:sz w:val="18"/>
                <w:lang w:eastAsia="zh-CN"/>
                <w14:textFill>
                  <w14:solidFill>
                    <w14:schemeClr w14:val="tx1"/>
                  </w14:solidFill>
                </w14:textFill>
              </w:rPr>
            </w:pPr>
            <w:r>
              <w:rPr>
                <w:rFonts w:hint="eastAsia"/>
                <w:color w:val="000000" w:themeColor="text1"/>
                <w:sz w:val="18"/>
                <w:lang w:eastAsia="zh-CN"/>
                <w14:textFill>
                  <w14:solidFill>
                    <w14:schemeClr w14:val="tx1"/>
                  </w14:solidFill>
                </w14:textFill>
              </w:rPr>
              <w:t>据美国地质调查局(USGS)统计，世界石墨资源储量已超3亿t，其中，土耳其、中国和巴西占78.33%；我国是石墨资源大国，也是第一大生产国，除满足国内巨大的石墨需求外，还大量出口日本及欧洲各国，长期以来扮演着世界最大的天然石墨资源供应国的角色。</w:t>
            </w:r>
            <w:bookmarkStart w:id="0" w:name="_GoBack"/>
            <w:bookmarkEnd w:id="0"/>
          </w:p>
          <w:p>
            <w:pPr>
              <w:ind w:firstLine="360" w:firstLineChars="200"/>
              <w:rPr>
                <w:rFonts w:hint="eastAsia"/>
                <w:color w:val="000000" w:themeColor="text1"/>
                <w:sz w:val="18"/>
                <w14:textFill>
                  <w14:solidFill>
                    <w14:schemeClr w14:val="tx1"/>
                  </w14:solidFill>
                </w14:textFill>
              </w:rPr>
            </w:pPr>
            <w:r>
              <w:rPr>
                <w:rFonts w:hint="eastAsia"/>
                <w:color w:val="000000" w:themeColor="text1"/>
                <w:sz w:val="18"/>
                <w:lang w:eastAsia="zh-CN"/>
                <w14:textFill>
                  <w14:solidFill>
                    <w14:schemeClr w14:val="tx1"/>
                  </w14:solidFill>
                </w14:textFill>
              </w:rPr>
              <w:t>但目前国际ISO、IEC和美国ASTM、日本JIS、德国DIN等标准组织均以产品及测试法为主，未制定石墨、萤石产品能源消耗限额的相关标准。</w:t>
            </w:r>
          </w:p>
          <w:p>
            <w:pPr>
              <w:numPr>
                <w:ilvl w:val="0"/>
                <w:numId w:val="1"/>
              </w:numP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项目与国际标准或国外先进标准采用程度的考虑：</w:t>
            </w:r>
          </w:p>
          <w:p>
            <w:pPr>
              <w:snapToGrid w:val="0"/>
              <w:ind w:firstLine="360" w:firstLineChars="200"/>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该标准项目没有对应的国际标准或国外先进标准。</w:t>
            </w:r>
          </w:p>
          <w:p>
            <w:pPr>
              <w:numPr>
                <w:ilvl w:val="0"/>
                <w:numId w:val="1"/>
              </w:numP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与国内相关标准间的关系：</w:t>
            </w:r>
          </w:p>
          <w:p>
            <w:pPr>
              <w:ind w:firstLine="360" w:firstLineChars="200"/>
              <w:rPr>
                <w:rFonts w:hint="eastAsia"/>
                <w:color w:val="000000" w:themeColor="text1"/>
                <w:sz w:val="18"/>
                <w:lang w:eastAsia="zh-CN"/>
                <w14:textFill>
                  <w14:solidFill>
                    <w14:schemeClr w14:val="tx1"/>
                  </w14:solidFill>
                </w14:textFill>
              </w:rPr>
            </w:pPr>
            <w:r>
              <w:rPr>
                <w:rFonts w:hint="eastAsia"/>
                <w:color w:val="000000" w:themeColor="text1"/>
                <w:sz w:val="18"/>
                <w:lang w:eastAsia="zh-CN"/>
                <w14:textFill>
                  <w14:solidFill>
                    <w14:schemeClr w14:val="tx1"/>
                  </w14:solidFill>
                </w14:textFill>
              </w:rPr>
              <w:t>经查询，目前国内相关标准有：GB/T 3518—2008《鳞片石墨》、GB/T 3519—2008《微晶石墨》、GB 10698—1989《可膨胀石墨》、JC 524—1993《石墨产品能耗等级定额》、T/CBMF 154—2021《石墨单位产品能源消耗限额》等。其中JC 524标准对石墨产品能源消耗进行了规范，但随着技术发展，其技术要求已不能满足行业需求，T/CBMF 154标准中未规范人造石墨</w:t>
            </w:r>
            <w:r>
              <w:rPr>
                <w:rFonts w:hint="eastAsia"/>
                <w:color w:val="000000" w:themeColor="text1"/>
                <w:sz w:val="18"/>
                <w:lang w:val="en-US" w:eastAsia="zh-CN"/>
                <w14:textFill>
                  <w14:solidFill>
                    <w14:schemeClr w14:val="tx1"/>
                  </w14:solidFill>
                </w14:textFill>
              </w:rPr>
              <w:t>和球化石墨</w:t>
            </w:r>
            <w:r>
              <w:rPr>
                <w:rFonts w:hint="eastAsia"/>
                <w:color w:val="000000" w:themeColor="text1"/>
                <w:sz w:val="18"/>
                <w:lang w:eastAsia="zh-CN"/>
                <w14:textFill>
                  <w14:solidFill>
                    <w14:schemeClr w14:val="tx1"/>
                  </w14:solidFill>
                </w14:textFill>
              </w:rPr>
              <w:t>单位产品能源消耗。本标准的</w:t>
            </w:r>
            <w:r>
              <w:rPr>
                <w:rFonts w:hint="eastAsia"/>
                <w:color w:val="000000" w:themeColor="text1"/>
                <w:sz w:val="18"/>
                <w:lang w:val="en-US" w:eastAsia="zh-CN"/>
                <w14:textFill>
                  <w14:solidFill>
                    <w14:schemeClr w14:val="tx1"/>
                  </w14:solidFill>
                </w14:textFill>
              </w:rPr>
              <w:t>修订</w:t>
            </w:r>
            <w:r>
              <w:rPr>
                <w:rFonts w:hint="eastAsia"/>
                <w:color w:val="000000" w:themeColor="text1"/>
                <w:sz w:val="18"/>
                <w:lang w:eastAsia="zh-CN"/>
                <w14:textFill>
                  <w14:solidFill>
                    <w14:schemeClr w14:val="tx1"/>
                  </w14:solidFill>
                </w14:textFill>
              </w:rPr>
              <w:t>是新型产业发展需求和落实“双碳目标”的标准支撑，也是对石墨产品相关国家、行业标准的协调配套。</w:t>
            </w:r>
          </w:p>
          <w:p>
            <w:pPr>
              <w:numPr>
                <w:ilvl w:val="0"/>
                <w:numId w:val="1"/>
              </w:numP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指出是否发现有知识产权的问题；</w:t>
            </w:r>
          </w:p>
          <w:p>
            <w:pPr>
              <w:ind w:left="360"/>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本标准不涉及知识产权的问题。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45"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14:textFill>
                  <w14:solidFill>
                    <w14:schemeClr w14:val="tx1"/>
                  </w14:solidFill>
                </w14:textFill>
              </w:rPr>
            </w:pPr>
            <w:r>
              <w:rPr>
                <w:rFonts w:hint="eastAsia"/>
                <w:color w:val="000000" w:themeColor="text1"/>
                <w:sz w:val="18"/>
                <w:szCs w:val="18"/>
                <w14:textFill>
                  <w14:solidFill>
                    <w14:schemeClr w14:val="tx1"/>
                  </w14:solidFill>
                </w14:textFill>
              </w:rPr>
              <w:t>牵头</w:t>
            </w:r>
            <w:r>
              <w:rPr>
                <w:rFonts w:hint="eastAsia"/>
                <w:color w:val="000000" w:themeColor="text1"/>
                <w:sz w:val="18"/>
                <w14:textFill>
                  <w14:solidFill>
                    <w14:schemeClr w14:val="tx1"/>
                  </w14:solidFill>
                </w14:textFill>
              </w:rPr>
              <w:t>单位</w:t>
            </w:r>
          </w:p>
        </w:tc>
        <w:tc>
          <w:tcPr>
            <w:tcW w:w="1556" w:type="dxa"/>
            <w:gridSpan w:val="3"/>
            <w:tcBorders>
              <w:top w:val="single" w:color="auto" w:sz="4" w:space="0"/>
              <w:left w:val="single" w:color="auto" w:sz="4" w:space="0"/>
              <w:bottom w:val="single" w:color="auto" w:sz="4" w:space="0"/>
              <w:right w:val="single" w:color="auto" w:sz="4" w:space="0"/>
            </w:tcBorders>
            <w:vAlign w:val="center"/>
          </w:tcPr>
          <w:p>
            <w:pPr>
              <w:pStyle w:val="5"/>
              <w:pBdr>
                <w:bottom w:val="none" w:color="auto" w:sz="0" w:space="0"/>
              </w:pBdr>
              <w:tabs>
                <w:tab w:val="left" w:pos="420"/>
              </w:tabs>
              <w:snapToGrid/>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（签字、盖公章）</w:t>
            </w:r>
          </w:p>
          <w:p>
            <w:pPr>
              <w:pStyle w:val="5"/>
              <w:pBdr>
                <w:bottom w:val="none" w:color="auto" w:sz="0" w:space="0"/>
              </w:pBdr>
              <w:tabs>
                <w:tab w:val="left" w:pos="420"/>
              </w:tabs>
              <w:snapToGrid/>
              <w:jc w:val="both"/>
              <w:rPr>
                <w:color w:val="000000" w:themeColor="text1"/>
                <w14:textFill>
                  <w14:solidFill>
                    <w14:schemeClr w14:val="tx1"/>
                  </w14:solidFill>
                </w14:textFill>
              </w:rPr>
            </w:pPr>
          </w:p>
          <w:p>
            <w:pPr>
              <w:pStyle w:val="5"/>
              <w:pBdr>
                <w:bottom w:val="none" w:color="auto" w:sz="0" w:space="0"/>
              </w:pBdr>
              <w:tabs>
                <w:tab w:val="left" w:pos="420"/>
              </w:tabs>
              <w:snapToGrid/>
              <w:ind w:firstLine="450" w:firstLineChars="25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月日</w:t>
            </w:r>
          </w:p>
        </w:tc>
        <w:tc>
          <w:tcPr>
            <w:tcW w:w="1508" w:type="dxa"/>
            <w:gridSpan w:val="2"/>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标准化技术组织</w:t>
            </w:r>
          </w:p>
        </w:tc>
        <w:tc>
          <w:tcPr>
            <w:tcW w:w="1525" w:type="dxa"/>
            <w:tcBorders>
              <w:top w:val="single" w:color="auto" w:sz="4" w:space="0"/>
              <w:left w:val="single" w:color="auto" w:sz="4" w:space="0"/>
              <w:bottom w:val="single" w:color="auto" w:sz="4" w:space="0"/>
              <w:right w:val="single" w:color="auto" w:sz="4" w:space="0"/>
            </w:tcBorders>
            <w:vAlign w:val="center"/>
          </w:tcPr>
          <w:p>
            <w:pPr>
              <w:pStyle w:val="5"/>
              <w:pBdr>
                <w:bottom w:val="none" w:color="auto" w:sz="0" w:space="0"/>
              </w:pBdr>
              <w:tabs>
                <w:tab w:val="left" w:pos="420"/>
              </w:tabs>
              <w:snapToGrid/>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（签字、盖公章）</w:t>
            </w:r>
          </w:p>
          <w:p>
            <w:pPr>
              <w:pStyle w:val="5"/>
              <w:pBdr>
                <w:bottom w:val="none" w:color="auto" w:sz="0" w:space="0"/>
              </w:pBdr>
              <w:tabs>
                <w:tab w:val="left" w:pos="420"/>
              </w:tabs>
              <w:snapToGrid/>
              <w:jc w:val="both"/>
              <w:rPr>
                <w:color w:val="000000" w:themeColor="text1"/>
                <w14:textFill>
                  <w14:solidFill>
                    <w14:schemeClr w14:val="tx1"/>
                  </w14:solidFill>
                </w14:textFill>
              </w:rPr>
            </w:pPr>
          </w:p>
          <w:p>
            <w:pPr>
              <w:pStyle w:val="5"/>
              <w:pBdr>
                <w:bottom w:val="none" w:color="auto" w:sz="0" w:space="0"/>
              </w:pBdr>
              <w:tabs>
                <w:tab w:val="left" w:pos="420"/>
              </w:tabs>
              <w:snapToGrid/>
              <w:ind w:firstLine="540" w:firstLineChars="3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月日</w:t>
            </w:r>
          </w:p>
        </w:tc>
        <w:tc>
          <w:tcPr>
            <w:tcW w:w="1516" w:type="dxa"/>
            <w:gridSpan w:val="3"/>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部委托机构</w:t>
            </w:r>
          </w:p>
        </w:tc>
        <w:tc>
          <w:tcPr>
            <w:tcW w:w="1517" w:type="dxa"/>
            <w:tcBorders>
              <w:top w:val="single" w:color="auto" w:sz="4" w:space="0"/>
              <w:left w:val="single" w:color="auto" w:sz="4" w:space="0"/>
              <w:bottom w:val="single" w:color="auto" w:sz="4" w:space="0"/>
              <w:right w:val="single" w:color="auto" w:sz="4" w:space="0"/>
            </w:tcBorders>
            <w:vAlign w:val="center"/>
          </w:tcPr>
          <w:p>
            <w:pPr>
              <w:pStyle w:val="5"/>
              <w:pBdr>
                <w:bottom w:val="none" w:color="auto" w:sz="0" w:space="0"/>
              </w:pBdr>
              <w:tabs>
                <w:tab w:val="left" w:pos="420"/>
              </w:tabs>
              <w:snapToGrid/>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（签字、盖公章）</w:t>
            </w:r>
          </w:p>
          <w:p>
            <w:pPr>
              <w:pStyle w:val="5"/>
              <w:pBdr>
                <w:bottom w:val="none" w:color="auto" w:sz="0" w:space="0"/>
              </w:pBdr>
              <w:tabs>
                <w:tab w:val="left" w:pos="420"/>
              </w:tabs>
              <w:snapToGrid/>
              <w:jc w:val="both"/>
              <w:rPr>
                <w:color w:val="000000" w:themeColor="text1"/>
                <w14:textFill>
                  <w14:solidFill>
                    <w14:schemeClr w14:val="tx1"/>
                  </w14:solidFill>
                </w14:textFill>
              </w:rPr>
            </w:pPr>
          </w:p>
          <w:p>
            <w:pPr>
              <w:pStyle w:val="5"/>
              <w:pBdr>
                <w:bottom w:val="none" w:color="auto" w:sz="0" w:space="0"/>
              </w:pBdr>
              <w:tabs>
                <w:tab w:val="left" w:pos="420"/>
              </w:tabs>
              <w:snapToGrid/>
              <w:ind w:firstLine="450" w:firstLineChars="25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月日</w:t>
            </w:r>
          </w:p>
        </w:tc>
      </w:tr>
    </w:tbl>
    <w:p>
      <w:pPr>
        <w:snapToGrid w:val="0"/>
        <w:spacing w:before="156" w:beforeLines="50"/>
        <w:ind w:firstLine="503" w:firstLineChars="280"/>
        <w:rPr>
          <w:rFonts w:ascii="宋体" w:hAnsi="宋体"/>
          <w:sz w:val="18"/>
          <w:szCs w:val="18"/>
        </w:rPr>
      </w:pPr>
      <w:r>
        <w:rPr>
          <w:rFonts w:ascii="宋体" w:hAnsi="宋体"/>
          <w:sz w:val="18"/>
          <w:szCs w:val="18"/>
        </w:rPr>
        <w:t>[</w:t>
      </w:r>
      <w:r>
        <w:rPr>
          <w:rFonts w:hint="eastAsia" w:ascii="宋体" w:hAnsi="宋体"/>
          <w:sz w:val="18"/>
          <w:szCs w:val="18"/>
        </w:rPr>
        <w:t>注1</w:t>
      </w:r>
      <w:r>
        <w:rPr>
          <w:rFonts w:ascii="宋体" w:hAnsi="宋体"/>
          <w:sz w:val="18"/>
          <w:szCs w:val="18"/>
        </w:rPr>
        <w:t xml:space="preserve">] </w:t>
      </w:r>
      <w:r>
        <w:rPr>
          <w:rFonts w:hint="eastAsia" w:ascii="宋体" w:hAnsi="宋体"/>
          <w:sz w:val="18"/>
          <w:szCs w:val="18"/>
        </w:rPr>
        <w:t xml:space="preserve"> 填写制定或修订项目中，若选择修订必须填写被修订标准号；</w:t>
      </w:r>
    </w:p>
    <w:p>
      <w:pPr>
        <w:snapToGrid w:val="0"/>
        <w:ind w:firstLine="503" w:firstLineChars="280"/>
        <w:rPr>
          <w:rFonts w:ascii="宋体" w:hAnsi="宋体"/>
          <w:sz w:val="18"/>
          <w:szCs w:val="18"/>
        </w:rPr>
      </w:pPr>
      <w:r>
        <w:rPr>
          <w:rFonts w:ascii="宋体" w:hAnsi="宋体"/>
          <w:sz w:val="18"/>
          <w:szCs w:val="18"/>
        </w:rPr>
        <w:t>[</w:t>
      </w:r>
      <w:r>
        <w:rPr>
          <w:rFonts w:hint="eastAsia" w:ascii="宋体" w:hAnsi="宋体"/>
          <w:sz w:val="18"/>
          <w:szCs w:val="18"/>
        </w:rPr>
        <w:t>注2</w:t>
      </w:r>
      <w:r>
        <w:rPr>
          <w:rFonts w:ascii="宋体" w:hAnsi="宋体"/>
          <w:sz w:val="18"/>
          <w:szCs w:val="18"/>
        </w:rPr>
        <w:t>]</w:t>
      </w:r>
      <w:r>
        <w:rPr>
          <w:rFonts w:hint="eastAsia" w:ascii="宋体" w:hAnsi="宋体"/>
          <w:sz w:val="18"/>
          <w:szCs w:val="18"/>
        </w:rPr>
        <w:t xml:space="preserve">  选择采用国际标准，必须填写采标号及采用程度；</w:t>
      </w:r>
    </w:p>
    <w:p>
      <w:pPr>
        <w:ind w:firstLine="503" w:firstLineChars="280"/>
        <w:rPr>
          <w:sz w:val="18"/>
        </w:rPr>
      </w:pPr>
      <w:r>
        <w:rPr>
          <w:rFonts w:ascii="宋体" w:hAnsi="宋体"/>
          <w:sz w:val="18"/>
          <w:szCs w:val="18"/>
        </w:rPr>
        <w:t>[</w:t>
      </w:r>
      <w:r>
        <w:rPr>
          <w:rFonts w:hint="eastAsia" w:ascii="宋体" w:hAnsi="宋体"/>
          <w:sz w:val="18"/>
          <w:szCs w:val="18"/>
        </w:rPr>
        <w:t>注3</w:t>
      </w:r>
      <w:r>
        <w:rPr>
          <w:rFonts w:ascii="宋体" w:hAnsi="宋体"/>
          <w:sz w:val="18"/>
          <w:szCs w:val="18"/>
        </w:rPr>
        <w:t>]</w:t>
      </w:r>
      <w:r>
        <w:rPr>
          <w:rFonts w:hint="eastAsia" w:ascii="宋体" w:hAnsi="宋体"/>
          <w:sz w:val="18"/>
          <w:szCs w:val="18"/>
        </w:rPr>
        <w:t xml:space="preserve">  选择采用快速程序，必须填写快速程序代码。</w:t>
      </w:r>
    </w:p>
    <w:p>
      <w:pPr>
        <w:ind w:firstLine="420" w:firstLineChars="200"/>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3A63FB"/>
    <w:multiLevelType w:val="multilevel"/>
    <w:tmpl w:val="4A3A63FB"/>
    <w:lvl w:ilvl="0" w:tentative="0">
      <w:start w:val="1"/>
      <w:numFmt w:val="decimal"/>
      <w:pStyle w:val="15"/>
      <w:lvlText w:val="%1."/>
      <w:lvlJc w:val="left"/>
      <w:pPr>
        <w:tabs>
          <w:tab w:val="left" w:pos="360"/>
        </w:tabs>
        <w:ind w:left="360" w:hanging="360"/>
      </w:pPr>
      <w:rPr>
        <w:u w:val="single"/>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yZTU4MTVjYjUwMTRiM2IyNjNjMWI1ZTUyMGI5ODUifQ=="/>
  </w:docVars>
  <w:rsids>
    <w:rsidRoot w:val="00D94DE0"/>
    <w:rsid w:val="0001213B"/>
    <w:rsid w:val="000274E3"/>
    <w:rsid w:val="000D2684"/>
    <w:rsid w:val="000F1E95"/>
    <w:rsid w:val="00100549"/>
    <w:rsid w:val="00126298"/>
    <w:rsid w:val="00142093"/>
    <w:rsid w:val="00156F48"/>
    <w:rsid w:val="00165D07"/>
    <w:rsid w:val="001F512A"/>
    <w:rsid w:val="002063A7"/>
    <w:rsid w:val="00207E45"/>
    <w:rsid w:val="002105B6"/>
    <w:rsid w:val="00214B43"/>
    <w:rsid w:val="00246FBD"/>
    <w:rsid w:val="0025293A"/>
    <w:rsid w:val="00260D35"/>
    <w:rsid w:val="00280AB1"/>
    <w:rsid w:val="00282A74"/>
    <w:rsid w:val="002A62B6"/>
    <w:rsid w:val="002D1C6A"/>
    <w:rsid w:val="002D3204"/>
    <w:rsid w:val="002E6753"/>
    <w:rsid w:val="002F009B"/>
    <w:rsid w:val="002F6AAC"/>
    <w:rsid w:val="003003A8"/>
    <w:rsid w:val="00303A91"/>
    <w:rsid w:val="0031195C"/>
    <w:rsid w:val="00317DC3"/>
    <w:rsid w:val="00327FFA"/>
    <w:rsid w:val="00331A85"/>
    <w:rsid w:val="0033376B"/>
    <w:rsid w:val="00335376"/>
    <w:rsid w:val="00386F2C"/>
    <w:rsid w:val="003C31FB"/>
    <w:rsid w:val="003F0920"/>
    <w:rsid w:val="00417075"/>
    <w:rsid w:val="00417A3C"/>
    <w:rsid w:val="0042307A"/>
    <w:rsid w:val="00440002"/>
    <w:rsid w:val="004508A6"/>
    <w:rsid w:val="0045233F"/>
    <w:rsid w:val="00453F60"/>
    <w:rsid w:val="00461B78"/>
    <w:rsid w:val="004665C1"/>
    <w:rsid w:val="00493D0F"/>
    <w:rsid w:val="00497538"/>
    <w:rsid w:val="004B7F24"/>
    <w:rsid w:val="004C1257"/>
    <w:rsid w:val="004C12E9"/>
    <w:rsid w:val="004F5800"/>
    <w:rsid w:val="00515E4E"/>
    <w:rsid w:val="00543216"/>
    <w:rsid w:val="00577475"/>
    <w:rsid w:val="00583B22"/>
    <w:rsid w:val="0059266D"/>
    <w:rsid w:val="005A3C76"/>
    <w:rsid w:val="005A4B9F"/>
    <w:rsid w:val="005C2F40"/>
    <w:rsid w:val="00601E87"/>
    <w:rsid w:val="00676E04"/>
    <w:rsid w:val="006970D8"/>
    <w:rsid w:val="006D2F79"/>
    <w:rsid w:val="006E1ACD"/>
    <w:rsid w:val="00700D08"/>
    <w:rsid w:val="00725050"/>
    <w:rsid w:val="00726B08"/>
    <w:rsid w:val="00761953"/>
    <w:rsid w:val="00762C08"/>
    <w:rsid w:val="00785332"/>
    <w:rsid w:val="007973D8"/>
    <w:rsid w:val="007A53C3"/>
    <w:rsid w:val="007B488C"/>
    <w:rsid w:val="007C7A8F"/>
    <w:rsid w:val="007D6AE3"/>
    <w:rsid w:val="007E3140"/>
    <w:rsid w:val="007F05B9"/>
    <w:rsid w:val="007F5A9D"/>
    <w:rsid w:val="007F69BF"/>
    <w:rsid w:val="00801DDD"/>
    <w:rsid w:val="008053AF"/>
    <w:rsid w:val="00821AF3"/>
    <w:rsid w:val="00826A39"/>
    <w:rsid w:val="008405FF"/>
    <w:rsid w:val="0085044A"/>
    <w:rsid w:val="0085600A"/>
    <w:rsid w:val="00891172"/>
    <w:rsid w:val="0089340A"/>
    <w:rsid w:val="008977E3"/>
    <w:rsid w:val="008D7445"/>
    <w:rsid w:val="008F6FC7"/>
    <w:rsid w:val="00925C13"/>
    <w:rsid w:val="00936C38"/>
    <w:rsid w:val="009502CA"/>
    <w:rsid w:val="009610F9"/>
    <w:rsid w:val="00963575"/>
    <w:rsid w:val="0099206D"/>
    <w:rsid w:val="009A423E"/>
    <w:rsid w:val="009B20CA"/>
    <w:rsid w:val="009B31B8"/>
    <w:rsid w:val="009D4B8A"/>
    <w:rsid w:val="00A203F5"/>
    <w:rsid w:val="00A30E62"/>
    <w:rsid w:val="00A409D6"/>
    <w:rsid w:val="00A6454D"/>
    <w:rsid w:val="00AA528B"/>
    <w:rsid w:val="00AE0724"/>
    <w:rsid w:val="00AE6150"/>
    <w:rsid w:val="00B10F49"/>
    <w:rsid w:val="00B136D2"/>
    <w:rsid w:val="00B374D2"/>
    <w:rsid w:val="00B40891"/>
    <w:rsid w:val="00B461AE"/>
    <w:rsid w:val="00B50B58"/>
    <w:rsid w:val="00B52056"/>
    <w:rsid w:val="00B53888"/>
    <w:rsid w:val="00B848BA"/>
    <w:rsid w:val="00B9088A"/>
    <w:rsid w:val="00BD44B5"/>
    <w:rsid w:val="00BE7A51"/>
    <w:rsid w:val="00BF3925"/>
    <w:rsid w:val="00C041D9"/>
    <w:rsid w:val="00C05497"/>
    <w:rsid w:val="00C14564"/>
    <w:rsid w:val="00C15412"/>
    <w:rsid w:val="00C21E33"/>
    <w:rsid w:val="00C7673C"/>
    <w:rsid w:val="00CA4363"/>
    <w:rsid w:val="00CF2919"/>
    <w:rsid w:val="00D2052E"/>
    <w:rsid w:val="00D21EBD"/>
    <w:rsid w:val="00D72C40"/>
    <w:rsid w:val="00D94DE0"/>
    <w:rsid w:val="00DA143D"/>
    <w:rsid w:val="00DC2F35"/>
    <w:rsid w:val="00DC33FC"/>
    <w:rsid w:val="00DD2AAC"/>
    <w:rsid w:val="00DF107D"/>
    <w:rsid w:val="00E01748"/>
    <w:rsid w:val="00E0662C"/>
    <w:rsid w:val="00E4376C"/>
    <w:rsid w:val="00E618EB"/>
    <w:rsid w:val="00E75B78"/>
    <w:rsid w:val="00EA276D"/>
    <w:rsid w:val="00ED3965"/>
    <w:rsid w:val="00ED759B"/>
    <w:rsid w:val="00EE12FF"/>
    <w:rsid w:val="00F0510E"/>
    <w:rsid w:val="00F20CAE"/>
    <w:rsid w:val="00F44F39"/>
    <w:rsid w:val="00F73C5C"/>
    <w:rsid w:val="00FC6E3A"/>
    <w:rsid w:val="093138F8"/>
    <w:rsid w:val="243E1DF5"/>
    <w:rsid w:val="44205F30"/>
    <w:rsid w:val="4C8247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4"/>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customStyle="1" w:styleId="10">
    <w:name w:val="页眉 字符"/>
    <w:basedOn w:val="8"/>
    <w:link w:val="5"/>
    <w:qFormat/>
    <w:uiPriority w:val="0"/>
    <w:rPr>
      <w:rFonts w:ascii="Times New Roman" w:hAnsi="Times New Roman" w:eastAsia="宋体" w:cs="Times New Roman"/>
      <w:sz w:val="18"/>
      <w:szCs w:val="18"/>
    </w:rPr>
  </w:style>
  <w:style w:type="character" w:customStyle="1" w:styleId="11">
    <w:name w:val="页脚 字符"/>
    <w:basedOn w:val="8"/>
    <w:link w:val="4"/>
    <w:qFormat/>
    <w:uiPriority w:val="99"/>
    <w:rPr>
      <w:rFonts w:ascii="Times New Roman" w:hAnsi="Times New Roman" w:eastAsia="宋体" w:cs="Times New Roman"/>
      <w:sz w:val="18"/>
      <w:szCs w:val="18"/>
    </w:rPr>
  </w:style>
  <w:style w:type="paragraph" w:styleId="12">
    <w:name w:val="List Paragraph"/>
    <w:basedOn w:val="1"/>
    <w:qFormat/>
    <w:uiPriority w:val="34"/>
    <w:pPr>
      <w:ind w:firstLine="420" w:firstLineChars="200"/>
    </w:pPr>
  </w:style>
  <w:style w:type="character" w:customStyle="1" w:styleId="13">
    <w:name w:val="批注框文本 字符"/>
    <w:basedOn w:val="8"/>
    <w:link w:val="3"/>
    <w:semiHidden/>
    <w:qFormat/>
    <w:uiPriority w:val="99"/>
    <w:rPr>
      <w:rFonts w:ascii="Times New Roman" w:hAnsi="Times New Roman" w:eastAsia="宋体" w:cs="Times New Roman"/>
      <w:sz w:val="18"/>
      <w:szCs w:val="18"/>
    </w:rPr>
  </w:style>
  <w:style w:type="character" w:customStyle="1" w:styleId="14">
    <w:name w:val="标题 3 字符"/>
    <w:basedOn w:val="8"/>
    <w:link w:val="2"/>
    <w:qFormat/>
    <w:uiPriority w:val="9"/>
    <w:rPr>
      <w:rFonts w:ascii="宋体" w:hAnsi="宋体" w:eastAsia="宋体" w:cs="宋体"/>
      <w:b/>
      <w:bCs/>
      <w:sz w:val="27"/>
      <w:szCs w:val="27"/>
    </w:rPr>
  </w:style>
  <w:style w:type="paragraph" w:customStyle="1" w:styleId="15">
    <w:name w:val="列项——（一级）"/>
    <w:qFormat/>
    <w:uiPriority w:val="0"/>
    <w:pPr>
      <w:widowControl w:val="0"/>
      <w:numPr>
        <w:ilvl w:val="0"/>
        <w:numId w:val="1"/>
      </w:numPr>
      <w:jc w:val="both"/>
    </w:pPr>
    <w:rPr>
      <w:rFonts w:ascii="宋体" w:hAnsi="Times New Roman" w:eastAsia="宋体" w:cs="Times New Roman"/>
      <w:sz w:val="21"/>
      <w:lang w:val="en-US" w:eastAsia="zh-CN" w:bidi="ar-SA"/>
    </w:rPr>
  </w:style>
  <w:style w:type="paragraph" w:customStyle="1" w:styleId="16">
    <w:name w:val="Revision"/>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3268</Words>
  <Characters>3485</Characters>
  <Lines>19</Lines>
  <Paragraphs>5</Paragraphs>
  <TotalTime>2</TotalTime>
  <ScaleCrop>false</ScaleCrop>
  <LinksUpToDate>false</LinksUpToDate>
  <CharactersWithSpaces>3510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2021-11-08T09:22:00Z</dcterms:created>
  <dc:creator>zh</dc:creator>
  <cp:lastModifiedBy>imbalance</cp:lastModifiedBy>
  <dcterms:modified xsi:type="dcterms:W3CDTF">2023-03-14T01:51:42Z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9500CC32E3E646B8954B1B42CD9C5EF4</vt:lpwstr>
  </property>
</Properties>
</file>