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6529" w:rsidRDefault="00000000">
      <w:pPr>
        <w:snapToGrid w:val="0"/>
        <w:spacing w:line="360" w:lineRule="auto"/>
        <w:ind w:firstLineChars="0" w:firstLine="0"/>
        <w:jc w:val="center"/>
        <w:rPr>
          <w:rFonts w:ascii="宋体" w:eastAsia="宋体" w:hAnsi="宋体" w:cs="Times New Roman"/>
          <w:b/>
          <w:color w:val="000000" w:themeColor="text1"/>
        </w:rPr>
      </w:pPr>
      <w:r>
        <w:rPr>
          <w:rFonts w:ascii="宋体" w:eastAsia="宋体" w:hAnsi="宋体" w:cs="Times New Roman" w:hint="eastAsia"/>
          <w:b/>
          <w:color w:val="000000" w:themeColor="text1"/>
        </w:rPr>
        <w:t>协会标准项目建议书</w:t>
      </w:r>
    </w:p>
    <w:tbl>
      <w:tblPr>
        <w:tblW w:w="8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006"/>
        <w:gridCol w:w="773"/>
        <w:gridCol w:w="233"/>
        <w:gridCol w:w="965"/>
        <w:gridCol w:w="41"/>
        <w:gridCol w:w="1376"/>
        <w:gridCol w:w="178"/>
        <w:gridCol w:w="2231"/>
      </w:tblGrid>
      <w:tr w:rsidR="008C6529" w:rsidRPr="00952FCC" w:rsidTr="00952FCC">
        <w:trPr>
          <w:trHeight w:val="823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建议项目名称</w:t>
            </w:r>
          </w:p>
          <w:p w:rsidR="008C6529" w:rsidRPr="00952FCC" w:rsidRDefault="00000000" w:rsidP="00952FCC">
            <w:pPr>
              <w:snapToGrid w:val="0"/>
              <w:spacing w:line="360" w:lineRule="auto"/>
              <w:ind w:leftChars="-6" w:left="-6" w:hangingChars="7" w:hanging="13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(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中文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018" w:type="dxa"/>
            <w:gridSpan w:val="5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岩棉、矿渣棉及其制品行业节能诊断技术导则</w:t>
            </w:r>
          </w:p>
        </w:tc>
        <w:tc>
          <w:tcPr>
            <w:tcW w:w="1554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建议项目名称</w:t>
            </w:r>
          </w:p>
          <w:p w:rsidR="008C6529" w:rsidRPr="00952FCC" w:rsidRDefault="00000000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(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英文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31" w:type="dxa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Guidelines for diagnosis of energy saving in rock wool, slag wool and their products industry</w:t>
            </w:r>
          </w:p>
        </w:tc>
      </w:tr>
      <w:tr w:rsidR="008C6529" w:rsidRPr="00952FCC" w:rsidTr="00952FCC">
        <w:trPr>
          <w:cantSplit/>
          <w:trHeight w:val="424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制定或修订</w:t>
            </w:r>
          </w:p>
        </w:tc>
        <w:tc>
          <w:tcPr>
            <w:tcW w:w="1779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√ 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制定</w:t>
            </w:r>
          </w:p>
        </w:tc>
        <w:tc>
          <w:tcPr>
            <w:tcW w:w="1239" w:type="dxa"/>
            <w:gridSpan w:val="3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□ 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修订</w:t>
            </w:r>
          </w:p>
        </w:tc>
        <w:tc>
          <w:tcPr>
            <w:tcW w:w="1554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被修订标准号</w:t>
            </w:r>
          </w:p>
        </w:tc>
        <w:tc>
          <w:tcPr>
            <w:tcW w:w="2231" w:type="dxa"/>
            <w:vAlign w:val="center"/>
          </w:tcPr>
          <w:p w:rsidR="008C6529" w:rsidRPr="00952FCC" w:rsidRDefault="00C32E7E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无</w:t>
            </w:r>
          </w:p>
        </w:tc>
      </w:tr>
      <w:tr w:rsidR="008C6529" w:rsidRPr="00952FCC" w:rsidTr="00952FCC">
        <w:trPr>
          <w:cantSplit/>
          <w:trHeight w:val="428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采用程度</w:t>
            </w:r>
          </w:p>
        </w:tc>
        <w:tc>
          <w:tcPr>
            <w:tcW w:w="1006" w:type="dxa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□ IDT</w:t>
            </w:r>
          </w:p>
        </w:tc>
        <w:tc>
          <w:tcPr>
            <w:tcW w:w="1006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□ MOD</w:t>
            </w:r>
          </w:p>
        </w:tc>
        <w:tc>
          <w:tcPr>
            <w:tcW w:w="1006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□ NEQ</w:t>
            </w:r>
          </w:p>
        </w:tc>
        <w:tc>
          <w:tcPr>
            <w:tcW w:w="1554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采标号</w:t>
            </w:r>
          </w:p>
        </w:tc>
        <w:tc>
          <w:tcPr>
            <w:tcW w:w="2231" w:type="dxa"/>
            <w:vAlign w:val="center"/>
          </w:tcPr>
          <w:p w:rsidR="008C6529" w:rsidRPr="00952FCC" w:rsidRDefault="00C32E7E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无</w:t>
            </w:r>
          </w:p>
        </w:tc>
      </w:tr>
      <w:tr w:rsidR="008C6529" w:rsidRPr="00952FCC" w:rsidTr="00952FCC">
        <w:trPr>
          <w:cantSplit/>
          <w:trHeight w:val="428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国际标准名称（中文）</w:t>
            </w:r>
          </w:p>
        </w:tc>
        <w:tc>
          <w:tcPr>
            <w:tcW w:w="3018" w:type="dxa"/>
            <w:gridSpan w:val="5"/>
            <w:vAlign w:val="center"/>
          </w:tcPr>
          <w:p w:rsidR="008C6529" w:rsidRPr="00952FCC" w:rsidRDefault="00C32E7E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无</w:t>
            </w:r>
          </w:p>
        </w:tc>
        <w:tc>
          <w:tcPr>
            <w:tcW w:w="1554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国际标准名称（英文）</w:t>
            </w:r>
          </w:p>
        </w:tc>
        <w:tc>
          <w:tcPr>
            <w:tcW w:w="2231" w:type="dxa"/>
            <w:vAlign w:val="center"/>
          </w:tcPr>
          <w:p w:rsidR="008C6529" w:rsidRPr="00952FCC" w:rsidRDefault="00C32E7E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无</w:t>
            </w:r>
          </w:p>
        </w:tc>
      </w:tr>
      <w:tr w:rsidR="008C6529" w:rsidRPr="00952FCC" w:rsidTr="00952FCC">
        <w:trPr>
          <w:cantSplit/>
          <w:trHeight w:val="428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ICS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分类号</w:t>
            </w:r>
          </w:p>
        </w:tc>
        <w:tc>
          <w:tcPr>
            <w:tcW w:w="3018" w:type="dxa"/>
            <w:gridSpan w:val="5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91.100.60</w:t>
            </w:r>
          </w:p>
        </w:tc>
        <w:tc>
          <w:tcPr>
            <w:tcW w:w="1554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中国标准分类号</w:t>
            </w:r>
          </w:p>
        </w:tc>
        <w:tc>
          <w:tcPr>
            <w:tcW w:w="2231" w:type="dxa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Q25</w:t>
            </w:r>
          </w:p>
        </w:tc>
      </w:tr>
      <w:tr w:rsidR="008C6529" w:rsidRPr="00952FCC" w:rsidTr="00952FCC">
        <w:trPr>
          <w:cantSplit/>
          <w:trHeight w:val="483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标准主要起草单位</w:t>
            </w:r>
          </w:p>
        </w:tc>
        <w:tc>
          <w:tcPr>
            <w:tcW w:w="3018" w:type="dxa"/>
            <w:gridSpan w:val="5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北京国建联信认证中心有限公司</w:t>
            </w:r>
          </w:p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bookmarkStart w:id="0" w:name="OLE_LINK3"/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中国绝热节能材料协会</w:t>
            </w:r>
            <w:bookmarkEnd w:id="0"/>
          </w:p>
        </w:tc>
        <w:tc>
          <w:tcPr>
            <w:tcW w:w="1554" w:type="dxa"/>
            <w:gridSpan w:val="2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计划起止时间</w:t>
            </w:r>
          </w:p>
        </w:tc>
        <w:tc>
          <w:tcPr>
            <w:tcW w:w="2231" w:type="dxa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202</w:t>
            </w:r>
            <w:r w:rsidR="00952FCC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  <w:r w:rsidR="00952FCC"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-202</w:t>
            </w:r>
            <w:r w:rsidR="00952FCC"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.</w:t>
            </w:r>
            <w:r w:rsidR="00952FCC">
              <w:rPr>
                <w:rFonts w:ascii="Times New Roman" w:eastAsia="宋体" w:hAnsi="Times New Roman" w:cs="Times New Roman"/>
                <w:sz w:val="18"/>
                <w:szCs w:val="18"/>
              </w:rPr>
              <w:t>03</w:t>
            </w:r>
          </w:p>
        </w:tc>
      </w:tr>
      <w:tr w:rsidR="008C6529" w:rsidRPr="00952FCC" w:rsidTr="00952FCC">
        <w:trPr>
          <w:trHeight w:val="979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目的﹑意义或必要性</w:t>
            </w:r>
          </w:p>
        </w:tc>
        <w:tc>
          <w:tcPr>
            <w:tcW w:w="6803" w:type="dxa"/>
            <w:gridSpan w:val="8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节能诊断是对企业工艺技术装备、能源利用效率、能源管理体系开展的全面诊断，有利于帮助企业发现用能问题，查找节能潜力，提升能效和节能管理水平。“十三五”以来，通过健全节能政策法规、完善标准体系、强化节能监管、推动节能技术改造，企业能效水平持续提升，部分行业先进企业能效已达到国际先进水平。但受节能意识薄弱、技术力量不足、管理体系不健全等因素影响，不同地区、行业间的企业能效水平差距依然较大，企业进一步节能降耗、降本增效的需求十分迫切，节能降耗也是降低碳排放强度的必要路径，对国家的“碳达峰 碳中和”战略目标的实现具有重要意义。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为满足企业节能需求，支持企业深挖节能潜力，持续提升工业能效水平，推动工业绿色发展，国家工信部按照《“十三五”工业绿色发展规划》，制定了《工业节能诊断服务行动计划》。计划中明确了诊断内容，即围绕企业生产工艺流程和主要技术装备，做好能源利用、能源效率和能源管理三方面诊断工作。一是核定企业能源消费构成及消费量，编制企业能量平衡表，核算企业综合能源消费量，查找能源利用薄弱环节和突出问题。二是结合行业特点核算企业主要工序能耗及单位产品综合能耗，评估主要用能设备能效水平和实际运行情况，分析高效节能装备和先进节能技术推广应用潜力。三是检查能源管理岗位设置、能源计量器具配备、能源统计制度建立及执行等能源管理措施落实情况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计划中明确了两大类诊断服务对象，第一大类针对能源管理基础薄弱的企业，主要面向机械、电气、电子、轻工、纺织等行业。第二大类是引导重点高耗能行业开展专项诊断，主要面向技术、工艺、装备较先进、能源管理体系相对完善的钢铁、建材、石化化工、有色金属等行业，以年综合能源消费量10000吨标准煤以上（分别折合年原煤消费量约15000吨以上，年原油消费量约7000吨以上，年天然气消费量约800万立方米以上，年综合电耗约8000万千瓦时以上）的企业为重点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长期以来，岩棉、矿渣棉及其制品行业的节能工作开展相对缓慢，一方面是由于行业整体规模小，小企业众多，管理分散，能源管理基础薄弱；另一方面由于企业整体能耗水平偏低，节能监察等监管工作推进力度相对偏弱。随着“十三五”以来节能</w:t>
            </w: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lastRenderedPageBreak/>
              <w:t>减</w:t>
            </w:r>
            <w:proofErr w:type="gramStart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排工作</w:t>
            </w:r>
            <w:proofErr w:type="gramEnd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越来越受到各行各业的普遍重视，岩棉、矿渣棉及其制品行业近几年也逐步推进能源消耗限额、节能技术等工作的开展。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为了进一步推动岩棉、矿渣棉及其制品企业节能降耗，深挖节能潜力，统一 和规范工作程序和目标，根据节能法律法规和政策标准要求，结合行业实际情况、生产技术、技术装备等特点，研究编制《岩棉、矿渣棉及其制品行业节能诊断技术导则》标准，给予节能诊断工作重要的技术支撑，符合当前工作的需求，以指导岩棉、矿渣棉及其制品行业节能诊断工作的顺利开展，促进行业节能减排，推动建材行业节能与绿色发展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作为绿色制造标准体系的重要环节，《岩棉、矿渣棉及其制品行业节能诊断技术导则》标准的研究制定，将能耗限额、节能技术目录等文件与节能诊断工作有机融合，精准把握行业能源管理</w:t>
            </w:r>
            <w:proofErr w:type="gramStart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各核心</w:t>
            </w:r>
            <w:proofErr w:type="gramEnd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要素和环节，统一节能诊断的内容、方法和程序，督导企业加强能源管理，合</w:t>
            </w:r>
            <w:proofErr w:type="gramStart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规</w:t>
            </w:r>
            <w:proofErr w:type="gramEnd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生产，促进岩棉、矿渣棉及其制品行业能效提升与绿色发展。。</w:t>
            </w:r>
          </w:p>
          <w:p w:rsidR="008C6529" w:rsidRPr="00952FCC" w:rsidRDefault="008C6529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</w:p>
        </w:tc>
      </w:tr>
      <w:tr w:rsidR="008C6529" w:rsidRPr="00952FCC" w:rsidTr="00952FCC">
        <w:trPr>
          <w:trHeight w:val="50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范围和主要</w:t>
            </w:r>
          </w:p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技术内容</w:t>
            </w:r>
          </w:p>
        </w:tc>
        <w:tc>
          <w:tcPr>
            <w:tcW w:w="6803" w:type="dxa"/>
            <w:gridSpan w:val="8"/>
            <w:vAlign w:val="center"/>
          </w:tcPr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本标准适用于岩棉、矿渣棉及其制品企业的节能诊断。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主要技术内容：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1）术语和定义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2）节能诊断要求，包括能源利用诊断：能源消费复核、能源损失及余热回收利用情况、能源消耗计算；能源效率诊断：单位产品能耗指标对标达标分析、工序能耗指标对标达标分析、重点用能过程运行情况分析、重点用能设备能耗水平和运行情况分析、先进节能技术应用、淘汰落后生产工艺及高耗能机电设备情况；能源管理诊断：能源计量、统计分析情况诊断、用能管理制度改进节能潜力建议等内容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3）节能诊断实施，包括工作流程及工作实施：开展节能诊断工作应组建诊断团队，其中，诊断团队负责人应有中级及以上职称且具有至少5年以上节能工作经验，诊断团队应至少包含专家1名且具有至少5年以上的行业工作或研究经历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4）节能诊断报告，岩棉、矿渣棉及其制品生产企业节能诊断应形成文件化的诊断报告，报告应满足委托方的要求，并有企业的节能潜力、技术和管理改进建议。企业应根据诊断报告的要点和节能改进方向、措施建议，策划对能源目标和指标的改进，实施相关的节能技术和管理措施，形成文件化信息并纳入能源管理体系的监视测量和能源评审过程。能源绩效的改进实施情况和结果应报告能源主管部门、上级公司及其他必要相关方，并适时反馈节能诊断服务机构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5）附录，附录给出了节能诊断报告的模板及报告格式要求。</w:t>
            </w:r>
          </w:p>
        </w:tc>
      </w:tr>
      <w:tr w:rsidR="008C6529" w:rsidRPr="00952FCC" w:rsidTr="00952FCC">
        <w:trPr>
          <w:trHeight w:val="3444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国内外情况</w:t>
            </w:r>
          </w:p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简要说明</w:t>
            </w:r>
          </w:p>
        </w:tc>
        <w:tc>
          <w:tcPr>
            <w:tcW w:w="6803" w:type="dxa"/>
            <w:gridSpan w:val="8"/>
            <w:vAlign w:val="center"/>
          </w:tcPr>
          <w:p w:rsidR="008C6529" w:rsidRPr="00952FCC" w:rsidRDefault="00000000">
            <w:pPr>
              <w:pStyle w:val="a0"/>
              <w:numPr>
                <w:ilvl w:val="0"/>
                <w:numId w:val="2"/>
              </w:numPr>
              <w:snapToGrid w:val="0"/>
              <w:spacing w:line="360" w:lineRule="auto"/>
              <w:ind w:firstLineChars="0"/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  <w:t>国内外对该技术研究情况简要说明：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能源利用效率方面包括世界能源理事会、欧盟等开发了相应的能源效率指标体系，不过相对我国而言系统性不强，我国近年来重点在能源总量和能耗强度上实行双控，从标准、政策、技术、管理等各方面促进社会节能降耗工作开展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各行业能耗限额标准逐步完善，节能监察、阶梯电价等政策手段配合实施，在节能诊断、能效测试等方面相关行业也陆续出台技术规范，形成了较完善的工作体系。工信部从2019年推出《工业节能诊断服务行动计划》，开始全面开展工业领域的节能诊断工作。仅2020年一年就完成了10000余家工业企业的节能诊断。由中国建筑材料联合会组织开展的建材行业专项诊断中暂无岩棉、矿渣棉及其制品企业参加。目前诊断主要依据工信部发布的《节能诊断技术指南》，对岩棉、矿渣棉及其制品行业的适用性尚有待加强。岩棉、矿渣棉及其制品企业相比水泥等重点用能单位其能源消费总量较低，企业普遍对用能环节关注较弱，因此在节能诊断过程中还有相当大的节能潜力有待挖掘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  <w:t>2. 项目与国际标准或国外先进标准采用程度的考虑：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国际标准无相关参考。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  <w:t>3. 与国内相关标准间的关系：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本标准参考工业和信息化部发布的《节能诊断技术指南》，同时前期建材行业已经在</w:t>
            </w:r>
            <w:proofErr w:type="gramStart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研</w:t>
            </w:r>
            <w:proofErr w:type="gramEnd"/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的《水泥行业节能诊断技术导则》和《耐火材料行业节能诊断技术导则》标准已经有序开展，本标准的技术框架与其基本保持一致。本标准的出台将为岩棉、矿渣棉及其制品的节能工作开展打下良好基础。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  <w:u w:val="single"/>
              </w:rPr>
              <w:t>4. 指出是否发现有知识产权的问题。</w:t>
            </w:r>
          </w:p>
          <w:p w:rsidR="008C6529" w:rsidRPr="00952FCC" w:rsidRDefault="00000000">
            <w:pPr>
              <w:snapToGrid w:val="0"/>
              <w:spacing w:line="360" w:lineRule="auto"/>
              <w:ind w:firstLine="360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52FCC">
              <w:rPr>
                <w:rFonts w:asciiTheme="minorEastAsia" w:eastAsiaTheme="minorEastAsia" w:hAnsiTheme="minorEastAsia" w:cs="Times New Roman"/>
                <w:sz w:val="18"/>
                <w:szCs w:val="18"/>
              </w:rPr>
              <w:t>本标准项目不存在知识产权问题。</w:t>
            </w:r>
          </w:p>
        </w:tc>
      </w:tr>
      <w:tr w:rsidR="008C6529" w:rsidRPr="00952FCC" w:rsidTr="00952FCC">
        <w:trPr>
          <w:trHeight w:val="1868"/>
          <w:jc w:val="center"/>
        </w:trPr>
        <w:tc>
          <w:tcPr>
            <w:tcW w:w="1413" w:type="dxa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牵头单位</w:t>
            </w:r>
          </w:p>
        </w:tc>
        <w:tc>
          <w:tcPr>
            <w:tcW w:w="2977" w:type="dxa"/>
            <w:gridSpan w:val="4"/>
            <w:vAlign w:val="center"/>
          </w:tcPr>
          <w:p w:rsidR="00952FCC" w:rsidRPr="00952FCC" w:rsidRDefault="00952FCC" w:rsidP="00952FCC">
            <w:pPr>
              <w:snapToGrid w:val="0"/>
              <w:spacing w:line="360" w:lineRule="auto"/>
              <w:ind w:firstLineChars="0" w:firstLine="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北京国建联信认证中心有限公司</w:t>
            </w:r>
          </w:p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（签字、盖公章）</w:t>
            </w:r>
          </w:p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年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日</w:t>
            </w:r>
          </w:p>
        </w:tc>
        <w:tc>
          <w:tcPr>
            <w:tcW w:w="1417" w:type="dxa"/>
            <w:gridSpan w:val="2"/>
            <w:vAlign w:val="center"/>
          </w:tcPr>
          <w:p w:rsidR="008C6529" w:rsidRPr="00952FCC" w:rsidRDefault="00000000" w:rsidP="00952FCC">
            <w:pPr>
              <w:snapToGrid w:val="0"/>
              <w:spacing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归口管理部门</w:t>
            </w:r>
          </w:p>
        </w:tc>
        <w:tc>
          <w:tcPr>
            <w:tcW w:w="2409" w:type="dxa"/>
            <w:gridSpan w:val="2"/>
            <w:vAlign w:val="center"/>
          </w:tcPr>
          <w:p w:rsidR="008C6529" w:rsidRPr="00952FCC" w:rsidRDefault="00000000" w:rsidP="00952FCC">
            <w:pPr>
              <w:snapToGrid w:val="0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（签字、盖公章）</w:t>
            </w:r>
          </w:p>
          <w:p w:rsidR="008C6529" w:rsidRPr="00952FCC" w:rsidRDefault="008C6529" w:rsidP="00952FCC">
            <w:pPr>
              <w:snapToGrid w:val="0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8C6529" w:rsidRPr="00952FCC" w:rsidRDefault="00000000" w:rsidP="00952FCC">
            <w:pPr>
              <w:snapToGrid w:val="0"/>
              <w:ind w:firstLineChars="0" w:firstLine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年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月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Pr="00952FCC">
              <w:rPr>
                <w:rFonts w:ascii="Times New Roman" w:eastAsia="宋体" w:hAnsi="Times New Roman" w:cs="Times New Roman"/>
                <w:sz w:val="18"/>
                <w:szCs w:val="18"/>
              </w:rPr>
              <w:t>日</w:t>
            </w:r>
          </w:p>
        </w:tc>
      </w:tr>
    </w:tbl>
    <w:p w:rsidR="008C6529" w:rsidRPr="00952FCC" w:rsidRDefault="008C6529">
      <w:pPr>
        <w:snapToGrid w:val="0"/>
        <w:spacing w:beforeLines="50" w:before="156"/>
        <w:ind w:firstLineChars="280" w:firstLine="504"/>
        <w:rPr>
          <w:rFonts w:ascii="Times New Roman" w:eastAsia="宋体" w:hAnsi="Times New Roman" w:cs="Times New Roman"/>
          <w:sz w:val="18"/>
          <w:szCs w:val="18"/>
        </w:rPr>
      </w:pPr>
    </w:p>
    <w:p w:rsidR="008C6529" w:rsidRPr="00952FCC" w:rsidRDefault="00000000">
      <w:pPr>
        <w:snapToGrid w:val="0"/>
        <w:spacing w:beforeLines="50" w:before="156"/>
        <w:ind w:firstLineChars="280" w:firstLine="504"/>
        <w:rPr>
          <w:rFonts w:ascii="Times New Roman" w:eastAsia="宋体" w:hAnsi="Times New Roman" w:cs="Times New Roman"/>
          <w:sz w:val="18"/>
          <w:szCs w:val="18"/>
        </w:rPr>
      </w:pPr>
      <w:r w:rsidRPr="00952FCC">
        <w:rPr>
          <w:rFonts w:ascii="Times New Roman" w:eastAsia="宋体" w:hAnsi="Times New Roman" w:cs="Times New Roman"/>
          <w:sz w:val="18"/>
          <w:szCs w:val="18"/>
        </w:rPr>
        <w:t>[</w:t>
      </w:r>
      <w:r w:rsidRPr="00952FCC">
        <w:rPr>
          <w:rFonts w:ascii="Times New Roman" w:eastAsia="宋体" w:hAnsi="Times New Roman" w:cs="Times New Roman"/>
          <w:sz w:val="18"/>
          <w:szCs w:val="18"/>
        </w:rPr>
        <w:t>注</w:t>
      </w:r>
      <w:r w:rsidRPr="00952FCC">
        <w:rPr>
          <w:rFonts w:ascii="Times New Roman" w:eastAsia="宋体" w:hAnsi="Times New Roman" w:cs="Times New Roman"/>
          <w:sz w:val="18"/>
          <w:szCs w:val="18"/>
        </w:rPr>
        <w:t xml:space="preserve">1]  </w:t>
      </w:r>
      <w:r w:rsidRPr="00952FCC">
        <w:rPr>
          <w:rFonts w:ascii="Times New Roman" w:eastAsia="宋体" w:hAnsi="Times New Roman" w:cs="Times New Roman"/>
          <w:sz w:val="18"/>
          <w:szCs w:val="18"/>
        </w:rPr>
        <w:t>填写制定或修订项目中，若选择修订必须填写被修订标准号；</w:t>
      </w:r>
    </w:p>
    <w:p w:rsidR="008C6529" w:rsidRPr="00952FCC" w:rsidRDefault="00000000">
      <w:pPr>
        <w:snapToGrid w:val="0"/>
        <w:ind w:firstLineChars="280" w:firstLine="504"/>
        <w:rPr>
          <w:rFonts w:ascii="Times New Roman" w:eastAsia="宋体" w:hAnsi="Times New Roman" w:cs="Times New Roman"/>
          <w:sz w:val="18"/>
          <w:szCs w:val="18"/>
        </w:rPr>
      </w:pPr>
      <w:r w:rsidRPr="00952FCC">
        <w:rPr>
          <w:rFonts w:ascii="Times New Roman" w:eastAsia="宋体" w:hAnsi="Times New Roman" w:cs="Times New Roman"/>
          <w:sz w:val="18"/>
          <w:szCs w:val="18"/>
        </w:rPr>
        <w:t>[</w:t>
      </w:r>
      <w:r w:rsidRPr="00952FCC">
        <w:rPr>
          <w:rFonts w:ascii="Times New Roman" w:eastAsia="宋体" w:hAnsi="Times New Roman" w:cs="Times New Roman"/>
          <w:sz w:val="18"/>
          <w:szCs w:val="18"/>
        </w:rPr>
        <w:t>注</w:t>
      </w:r>
      <w:r w:rsidRPr="00952FCC">
        <w:rPr>
          <w:rFonts w:ascii="Times New Roman" w:eastAsia="宋体" w:hAnsi="Times New Roman" w:cs="Times New Roman"/>
          <w:sz w:val="18"/>
          <w:szCs w:val="18"/>
        </w:rPr>
        <w:t xml:space="preserve">2]  </w:t>
      </w:r>
      <w:r w:rsidRPr="00952FCC">
        <w:rPr>
          <w:rFonts w:ascii="Times New Roman" w:eastAsia="宋体" w:hAnsi="Times New Roman" w:cs="Times New Roman"/>
          <w:sz w:val="18"/>
          <w:szCs w:val="18"/>
        </w:rPr>
        <w:t>选择采用国际标准，必须填写采标号及采用程度；</w:t>
      </w:r>
    </w:p>
    <w:p w:rsidR="008C6529" w:rsidRPr="00952FCC" w:rsidRDefault="00000000" w:rsidP="00952FCC">
      <w:pPr>
        <w:snapToGrid w:val="0"/>
        <w:ind w:firstLineChars="280" w:firstLine="504"/>
        <w:rPr>
          <w:rFonts w:ascii="Times New Roman" w:eastAsia="宋体" w:hAnsi="Times New Roman" w:cs="Times New Roman"/>
          <w:sz w:val="18"/>
          <w:szCs w:val="18"/>
        </w:rPr>
      </w:pPr>
      <w:r w:rsidRPr="00952FCC">
        <w:rPr>
          <w:rFonts w:ascii="Times New Roman" w:eastAsia="宋体" w:hAnsi="Times New Roman" w:cs="Times New Roman"/>
          <w:sz w:val="18"/>
          <w:szCs w:val="18"/>
        </w:rPr>
        <w:t>[</w:t>
      </w:r>
      <w:r w:rsidRPr="00952FCC">
        <w:rPr>
          <w:rFonts w:ascii="Times New Roman" w:eastAsia="宋体" w:hAnsi="Times New Roman" w:cs="Times New Roman"/>
          <w:sz w:val="18"/>
          <w:szCs w:val="18"/>
        </w:rPr>
        <w:t>注</w:t>
      </w:r>
      <w:r w:rsidRPr="00952FCC">
        <w:rPr>
          <w:rFonts w:ascii="Times New Roman" w:eastAsia="宋体" w:hAnsi="Times New Roman" w:cs="Times New Roman"/>
          <w:sz w:val="18"/>
          <w:szCs w:val="18"/>
        </w:rPr>
        <w:t xml:space="preserve">3]  </w:t>
      </w:r>
      <w:r w:rsidRPr="00952FCC">
        <w:rPr>
          <w:rFonts w:ascii="Times New Roman" w:eastAsia="宋体" w:hAnsi="Times New Roman" w:cs="Times New Roman"/>
          <w:sz w:val="18"/>
          <w:szCs w:val="18"/>
        </w:rPr>
        <w:t>选择采用快速程序，必须填写快速程序代码。</w:t>
      </w:r>
    </w:p>
    <w:sectPr w:rsidR="008C6529" w:rsidRPr="00952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58DF" w:rsidRDefault="002458DF">
      <w:r>
        <w:separator/>
      </w:r>
    </w:p>
  </w:endnote>
  <w:endnote w:type="continuationSeparator" w:id="0">
    <w:p w:rsidR="002458DF" w:rsidRDefault="0024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C6529" w:rsidRDefault="008C6529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C6529" w:rsidRDefault="008C6529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C6529" w:rsidRDefault="008C6529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58DF" w:rsidRDefault="002458DF">
      <w:r>
        <w:separator/>
      </w:r>
    </w:p>
  </w:footnote>
  <w:footnote w:type="continuationSeparator" w:id="0">
    <w:p w:rsidR="002458DF" w:rsidRDefault="00245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C6529" w:rsidRDefault="008C6529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C6529" w:rsidRDefault="008C6529">
    <w:pPr>
      <w:pStyle w:val="a8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C6529" w:rsidRDefault="008C6529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B686A"/>
    <w:multiLevelType w:val="multilevel"/>
    <w:tmpl w:val="571B6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6FE7E59"/>
    <w:multiLevelType w:val="multilevel"/>
    <w:tmpl w:val="66FE7E59"/>
    <w:lvl w:ilvl="0">
      <w:start w:val="1"/>
      <w:numFmt w:val="chineseCountingThousand"/>
      <w:pStyle w:val="2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18215232">
    <w:abstractNumId w:val="1"/>
  </w:num>
  <w:num w:numId="2" w16cid:durableId="966350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QyODI5ZjE2ODYwMjQyMzVjMzdmNTFiN2U4OWY1MTgifQ=="/>
  </w:docVars>
  <w:rsids>
    <w:rsidRoot w:val="00F04B46"/>
    <w:rsid w:val="000069DF"/>
    <w:rsid w:val="000116DC"/>
    <w:rsid w:val="00013B3D"/>
    <w:rsid w:val="000172DE"/>
    <w:rsid w:val="0002488F"/>
    <w:rsid w:val="00055B32"/>
    <w:rsid w:val="00075544"/>
    <w:rsid w:val="00077641"/>
    <w:rsid w:val="000D6400"/>
    <w:rsid w:val="000E4401"/>
    <w:rsid w:val="000F1AA5"/>
    <w:rsid w:val="000F6200"/>
    <w:rsid w:val="0011395B"/>
    <w:rsid w:val="0012339C"/>
    <w:rsid w:val="00137AA4"/>
    <w:rsid w:val="00146137"/>
    <w:rsid w:val="00163314"/>
    <w:rsid w:val="00174E2D"/>
    <w:rsid w:val="00200A43"/>
    <w:rsid w:val="00204AC1"/>
    <w:rsid w:val="002458DF"/>
    <w:rsid w:val="002B7775"/>
    <w:rsid w:val="002D1EB6"/>
    <w:rsid w:val="002F104E"/>
    <w:rsid w:val="003070EF"/>
    <w:rsid w:val="003415B0"/>
    <w:rsid w:val="003C2365"/>
    <w:rsid w:val="003D51E7"/>
    <w:rsid w:val="003F7D1D"/>
    <w:rsid w:val="004069B5"/>
    <w:rsid w:val="00456CCA"/>
    <w:rsid w:val="0046432A"/>
    <w:rsid w:val="004864CA"/>
    <w:rsid w:val="004A6D7C"/>
    <w:rsid w:val="004E40EB"/>
    <w:rsid w:val="005008F9"/>
    <w:rsid w:val="00520355"/>
    <w:rsid w:val="0052413F"/>
    <w:rsid w:val="00525C00"/>
    <w:rsid w:val="00550D8A"/>
    <w:rsid w:val="00564101"/>
    <w:rsid w:val="00567368"/>
    <w:rsid w:val="005C7F47"/>
    <w:rsid w:val="00626CA1"/>
    <w:rsid w:val="00635D46"/>
    <w:rsid w:val="006565A8"/>
    <w:rsid w:val="00660729"/>
    <w:rsid w:val="00682108"/>
    <w:rsid w:val="00686EC4"/>
    <w:rsid w:val="00696E4E"/>
    <w:rsid w:val="00697440"/>
    <w:rsid w:val="006C1D61"/>
    <w:rsid w:val="006E5922"/>
    <w:rsid w:val="006F5E27"/>
    <w:rsid w:val="0070723A"/>
    <w:rsid w:val="0070776E"/>
    <w:rsid w:val="00740424"/>
    <w:rsid w:val="007649BE"/>
    <w:rsid w:val="007B17A1"/>
    <w:rsid w:val="00806880"/>
    <w:rsid w:val="00846C80"/>
    <w:rsid w:val="008873E4"/>
    <w:rsid w:val="008B02B9"/>
    <w:rsid w:val="008B607C"/>
    <w:rsid w:val="008C6529"/>
    <w:rsid w:val="008E68F0"/>
    <w:rsid w:val="009014D9"/>
    <w:rsid w:val="00941E53"/>
    <w:rsid w:val="00951D5C"/>
    <w:rsid w:val="00952FCC"/>
    <w:rsid w:val="00987400"/>
    <w:rsid w:val="009A01F8"/>
    <w:rsid w:val="009B600E"/>
    <w:rsid w:val="009B6E0E"/>
    <w:rsid w:val="009C26D2"/>
    <w:rsid w:val="009F45AA"/>
    <w:rsid w:val="00A34F15"/>
    <w:rsid w:val="00A360EE"/>
    <w:rsid w:val="00A7131D"/>
    <w:rsid w:val="00A91B4F"/>
    <w:rsid w:val="00A94825"/>
    <w:rsid w:val="00B21577"/>
    <w:rsid w:val="00B40FF9"/>
    <w:rsid w:val="00B42480"/>
    <w:rsid w:val="00B440EB"/>
    <w:rsid w:val="00B63B17"/>
    <w:rsid w:val="00B64879"/>
    <w:rsid w:val="00B94060"/>
    <w:rsid w:val="00B95645"/>
    <w:rsid w:val="00B9637B"/>
    <w:rsid w:val="00BD40CE"/>
    <w:rsid w:val="00BE645E"/>
    <w:rsid w:val="00BF030D"/>
    <w:rsid w:val="00BF3DEC"/>
    <w:rsid w:val="00BF6772"/>
    <w:rsid w:val="00C224CA"/>
    <w:rsid w:val="00C27421"/>
    <w:rsid w:val="00C32E7E"/>
    <w:rsid w:val="00C52E36"/>
    <w:rsid w:val="00C56AF8"/>
    <w:rsid w:val="00C63239"/>
    <w:rsid w:val="00C82B67"/>
    <w:rsid w:val="00C839DA"/>
    <w:rsid w:val="00CA4FE6"/>
    <w:rsid w:val="00CA5D11"/>
    <w:rsid w:val="00CD2E86"/>
    <w:rsid w:val="00D94931"/>
    <w:rsid w:val="00DA30C5"/>
    <w:rsid w:val="00DA557C"/>
    <w:rsid w:val="00DA600C"/>
    <w:rsid w:val="00DE62C7"/>
    <w:rsid w:val="00E0101E"/>
    <w:rsid w:val="00E31F50"/>
    <w:rsid w:val="00E663F6"/>
    <w:rsid w:val="00E8165B"/>
    <w:rsid w:val="00EA793C"/>
    <w:rsid w:val="00EB6B3D"/>
    <w:rsid w:val="00EC5589"/>
    <w:rsid w:val="00EE1797"/>
    <w:rsid w:val="00EE44C2"/>
    <w:rsid w:val="00F026B0"/>
    <w:rsid w:val="00F04B46"/>
    <w:rsid w:val="00F266AE"/>
    <w:rsid w:val="00F41B83"/>
    <w:rsid w:val="00F74743"/>
    <w:rsid w:val="00F9114B"/>
    <w:rsid w:val="00FB47FB"/>
    <w:rsid w:val="00FC2C04"/>
    <w:rsid w:val="00FE6F95"/>
    <w:rsid w:val="039D1574"/>
    <w:rsid w:val="07564269"/>
    <w:rsid w:val="07AC5FC4"/>
    <w:rsid w:val="0F891FA4"/>
    <w:rsid w:val="1DAB00F8"/>
    <w:rsid w:val="20EB6EA6"/>
    <w:rsid w:val="2A1B342D"/>
    <w:rsid w:val="340D6845"/>
    <w:rsid w:val="359735A9"/>
    <w:rsid w:val="3A3E675E"/>
    <w:rsid w:val="63360827"/>
    <w:rsid w:val="65893312"/>
    <w:rsid w:val="70131EF2"/>
    <w:rsid w:val="73C22253"/>
    <w:rsid w:val="73C4366D"/>
    <w:rsid w:val="747B0BF6"/>
    <w:rsid w:val="79062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A76F552-3596-43E2-90E2-04F3A10B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640"/>
      <w:jc w:val="both"/>
    </w:pPr>
    <w:rPr>
      <w:rFonts w:ascii="仿宋_GB2312" w:eastAsia="仿宋_GB2312" w:hAnsiTheme="minorHAnsi" w:cstheme="minorBidi"/>
      <w:kern w:val="2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line="360" w:lineRule="auto"/>
      <w:ind w:firstLineChars="0" w:firstLine="0"/>
      <w:jc w:val="center"/>
      <w:outlineLvl w:val="0"/>
    </w:pPr>
    <w:rPr>
      <w:rFonts w:ascii="黑体" w:eastAsia="黑体" w:hAnsi="黑体"/>
      <w:b/>
      <w:bCs/>
      <w:kern w:val="44"/>
      <w:sz w:val="36"/>
      <w:szCs w:val="36"/>
    </w:rPr>
  </w:style>
  <w:style w:type="paragraph" w:styleId="2">
    <w:name w:val="heading 2"/>
    <w:basedOn w:val="a0"/>
    <w:next w:val="a"/>
    <w:link w:val="20"/>
    <w:uiPriority w:val="9"/>
    <w:unhideWhenUsed/>
    <w:qFormat/>
    <w:pPr>
      <w:numPr>
        <w:numId w:val="1"/>
      </w:numPr>
      <w:ind w:firstLine="643"/>
      <w:outlineLvl w:val="1"/>
    </w:pPr>
    <w:rPr>
      <w:rFonts w:hAnsi="宋体"/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pPr>
      <w:ind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rFonts w:ascii="黑体" w:eastAsia="黑体" w:hAnsi="黑体"/>
      <w:b/>
      <w:bCs/>
      <w:kern w:val="44"/>
      <w:sz w:val="36"/>
      <w:szCs w:val="36"/>
    </w:rPr>
  </w:style>
  <w:style w:type="character" w:customStyle="1" w:styleId="20">
    <w:name w:val="标题 2 字符"/>
    <w:basedOn w:val="a1"/>
    <w:link w:val="2"/>
    <w:uiPriority w:val="9"/>
    <w:qFormat/>
    <w:rPr>
      <w:rFonts w:ascii="仿宋_GB2312" w:eastAsia="仿宋_GB2312" w:hAnsi="宋体"/>
      <w:b/>
      <w:sz w:val="32"/>
      <w:szCs w:val="32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仿宋_GB2312" w:eastAsia="仿宋_GB2312"/>
      <w:kern w:val="2"/>
      <w:sz w:val="18"/>
      <w:szCs w:val="18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ascii="仿宋_GB2312" w:eastAsia="仿宋_GB2312"/>
      <w:b/>
      <w:bCs/>
      <w:kern w:val="2"/>
      <w:sz w:val="32"/>
      <w:szCs w:val="32"/>
    </w:rPr>
  </w:style>
  <w:style w:type="character" w:customStyle="1" w:styleId="resourcetitle">
    <w:name w:val="resource_title"/>
    <w:basedOn w:val="a1"/>
    <w:qFormat/>
  </w:style>
  <w:style w:type="paragraph" w:customStyle="1" w:styleId="aa">
    <w:name w:val="段"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jcxh-pc</dc:creator>
  <cp:lastModifiedBy>ruanxinhui</cp:lastModifiedBy>
  <cp:revision>24</cp:revision>
  <cp:lastPrinted>2021-04-22T09:03:00Z</cp:lastPrinted>
  <dcterms:created xsi:type="dcterms:W3CDTF">2022-06-21T09:32:00Z</dcterms:created>
  <dcterms:modified xsi:type="dcterms:W3CDTF">2023-02-13T08:22:00Z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A8EF5C2C0CCF40A38BD5069299DC9720</vt:lpwstr>
  </property>
</Properties>
</file>