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B0CDF" w14:textId="77777777" w:rsidR="00095443" w:rsidRDefault="00D22486">
      <w:pPr>
        <w:tabs>
          <w:tab w:val="left" w:pos="7769"/>
        </w:tabs>
        <w:snapToGrid w:val="0"/>
        <w:spacing w:line="360" w:lineRule="auto"/>
        <w:jc w:val="center"/>
        <w:rPr>
          <w:rFonts w:ascii="宋体" w:eastAsia="宋体" w:hAnsi="宋体"/>
          <w:b/>
          <w:sz w:val="32"/>
          <w:szCs w:val="32"/>
        </w:rPr>
      </w:pPr>
      <w:bookmarkStart w:id="0" w:name="_GoBack"/>
      <w:bookmarkEnd w:id="0"/>
      <w:r>
        <w:rPr>
          <w:rFonts w:ascii="宋体" w:eastAsia="宋体" w:hAnsi="宋体" w:hint="eastAsia"/>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23"/>
        <w:gridCol w:w="540"/>
        <w:gridCol w:w="540"/>
        <w:gridCol w:w="928"/>
        <w:gridCol w:w="886"/>
        <w:gridCol w:w="957"/>
        <w:gridCol w:w="744"/>
        <w:gridCol w:w="1900"/>
      </w:tblGrid>
      <w:tr w:rsidR="00095443" w14:paraId="5E6831D0" w14:textId="77777777" w:rsidTr="003363A8">
        <w:trPr>
          <w:trHeight w:val="845"/>
          <w:jc w:val="center"/>
        </w:trPr>
        <w:tc>
          <w:tcPr>
            <w:tcW w:w="2122" w:type="dxa"/>
            <w:vAlign w:val="center"/>
          </w:tcPr>
          <w:p w14:paraId="2E899AEF"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建议项目名称</w:t>
            </w:r>
          </w:p>
          <w:p w14:paraId="70098715" w14:textId="77777777" w:rsidR="00095443" w:rsidRDefault="00D22486" w:rsidP="00DF628C">
            <w:pPr>
              <w:snapToGrid w:val="0"/>
              <w:ind w:leftChars="-6" w:left="-4" w:hangingChars="7" w:hanging="13"/>
              <w:jc w:val="center"/>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中文</w:t>
            </w:r>
            <w:r>
              <w:rPr>
                <w:rFonts w:ascii="宋体" w:eastAsia="宋体" w:hAnsi="宋体"/>
                <w:sz w:val="18"/>
                <w:szCs w:val="18"/>
              </w:rPr>
              <w:t>)</w:t>
            </w:r>
          </w:p>
        </w:tc>
        <w:tc>
          <w:tcPr>
            <w:tcW w:w="3131" w:type="dxa"/>
            <w:gridSpan w:val="4"/>
            <w:vAlign w:val="center"/>
          </w:tcPr>
          <w:p w14:paraId="38901CAD"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高活性贝利特硅酸盐水泥熟料</w:t>
            </w:r>
          </w:p>
        </w:tc>
        <w:tc>
          <w:tcPr>
            <w:tcW w:w="1843" w:type="dxa"/>
            <w:gridSpan w:val="2"/>
            <w:vAlign w:val="center"/>
          </w:tcPr>
          <w:p w14:paraId="0BA8EFFE"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建议项目名称</w:t>
            </w:r>
          </w:p>
          <w:p w14:paraId="6B0BA043" w14:textId="77777777" w:rsidR="00095443" w:rsidRDefault="00D22486" w:rsidP="00DF628C">
            <w:pPr>
              <w:snapToGrid w:val="0"/>
              <w:jc w:val="center"/>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英文</w:t>
            </w:r>
            <w:r>
              <w:rPr>
                <w:rFonts w:ascii="宋体" w:eastAsia="宋体" w:hAnsi="宋体"/>
                <w:sz w:val="18"/>
                <w:szCs w:val="18"/>
              </w:rPr>
              <w:t>)</w:t>
            </w:r>
          </w:p>
        </w:tc>
        <w:tc>
          <w:tcPr>
            <w:tcW w:w="2644" w:type="dxa"/>
            <w:gridSpan w:val="2"/>
            <w:vAlign w:val="center"/>
          </w:tcPr>
          <w:p w14:paraId="38102500" w14:textId="77777777" w:rsidR="00095443" w:rsidRPr="00DF628C" w:rsidRDefault="00D22486" w:rsidP="00DF628C">
            <w:pPr>
              <w:snapToGrid w:val="0"/>
              <w:rPr>
                <w:rFonts w:eastAsia="宋体"/>
                <w:sz w:val="18"/>
                <w:szCs w:val="18"/>
              </w:rPr>
            </w:pPr>
            <w:r w:rsidRPr="00DF628C">
              <w:rPr>
                <w:rFonts w:eastAsia="宋体"/>
                <w:sz w:val="18"/>
                <w:szCs w:val="18"/>
              </w:rPr>
              <w:t>Specification for Highly Active Belite Portland Cement Clinker</w:t>
            </w:r>
          </w:p>
        </w:tc>
      </w:tr>
      <w:tr w:rsidR="00095443" w14:paraId="417153A7" w14:textId="77777777" w:rsidTr="003363A8">
        <w:trPr>
          <w:cantSplit/>
          <w:trHeight w:val="435"/>
          <w:jc w:val="center"/>
        </w:trPr>
        <w:tc>
          <w:tcPr>
            <w:tcW w:w="2122" w:type="dxa"/>
            <w:vAlign w:val="center"/>
          </w:tcPr>
          <w:p w14:paraId="5E4BD6F8"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制定或修订</w:t>
            </w:r>
          </w:p>
        </w:tc>
        <w:tc>
          <w:tcPr>
            <w:tcW w:w="1663" w:type="dxa"/>
            <w:gridSpan w:val="2"/>
            <w:vAlign w:val="center"/>
          </w:tcPr>
          <w:p w14:paraId="1E82E334" w14:textId="77777777" w:rsidR="00095443" w:rsidRDefault="00D22486" w:rsidP="00DF628C">
            <w:pPr>
              <w:snapToGrid w:val="0"/>
              <w:rPr>
                <w:rFonts w:ascii="宋体" w:eastAsia="宋体" w:hAnsi="宋体"/>
                <w:sz w:val="18"/>
                <w:szCs w:val="18"/>
              </w:rPr>
            </w:pPr>
            <w:r>
              <w:rPr>
                <w:rFonts w:ascii="宋体" w:hAnsi="宋体" w:hint="eastAsia"/>
                <w:sz w:val="18"/>
                <w:szCs w:val="18"/>
              </w:rPr>
              <w:t>■</w:t>
            </w:r>
            <w:r>
              <w:rPr>
                <w:rFonts w:ascii="宋体" w:eastAsia="宋体" w:hAnsi="宋体" w:hint="eastAsia"/>
                <w:sz w:val="18"/>
                <w:szCs w:val="18"/>
              </w:rPr>
              <w:t xml:space="preserve"> 制定</w:t>
            </w:r>
          </w:p>
        </w:tc>
        <w:tc>
          <w:tcPr>
            <w:tcW w:w="1468" w:type="dxa"/>
            <w:gridSpan w:val="2"/>
            <w:vAlign w:val="center"/>
          </w:tcPr>
          <w:p w14:paraId="1E530614"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 修订</w:t>
            </w:r>
          </w:p>
        </w:tc>
        <w:tc>
          <w:tcPr>
            <w:tcW w:w="1843" w:type="dxa"/>
            <w:gridSpan w:val="2"/>
            <w:vAlign w:val="center"/>
          </w:tcPr>
          <w:p w14:paraId="721CEBFA"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被修订标准号</w:t>
            </w:r>
          </w:p>
        </w:tc>
        <w:tc>
          <w:tcPr>
            <w:tcW w:w="2644" w:type="dxa"/>
            <w:gridSpan w:val="2"/>
            <w:vAlign w:val="center"/>
          </w:tcPr>
          <w:p w14:paraId="5A95D74C"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w:t>
            </w:r>
          </w:p>
        </w:tc>
      </w:tr>
      <w:tr w:rsidR="00095443" w14:paraId="131CB0C4" w14:textId="77777777" w:rsidTr="003363A8">
        <w:trPr>
          <w:cantSplit/>
          <w:trHeight w:val="439"/>
          <w:jc w:val="center"/>
        </w:trPr>
        <w:tc>
          <w:tcPr>
            <w:tcW w:w="2122" w:type="dxa"/>
            <w:vAlign w:val="center"/>
          </w:tcPr>
          <w:p w14:paraId="33A30DBA"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采用程度</w:t>
            </w:r>
          </w:p>
        </w:tc>
        <w:tc>
          <w:tcPr>
            <w:tcW w:w="1123" w:type="dxa"/>
            <w:vAlign w:val="center"/>
          </w:tcPr>
          <w:p w14:paraId="11526D2B"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 xml:space="preserve">□ </w:t>
            </w:r>
            <w:r>
              <w:rPr>
                <w:rFonts w:eastAsia="宋体"/>
                <w:sz w:val="18"/>
                <w:szCs w:val="18"/>
              </w:rPr>
              <w:t>IDT</w:t>
            </w:r>
          </w:p>
        </w:tc>
        <w:tc>
          <w:tcPr>
            <w:tcW w:w="1080" w:type="dxa"/>
            <w:gridSpan w:val="2"/>
            <w:vAlign w:val="center"/>
          </w:tcPr>
          <w:p w14:paraId="2232C0DF"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 xml:space="preserve">□ </w:t>
            </w:r>
            <w:r>
              <w:rPr>
                <w:rFonts w:eastAsia="宋体"/>
                <w:sz w:val="18"/>
                <w:szCs w:val="18"/>
              </w:rPr>
              <w:t>MOD</w:t>
            </w:r>
          </w:p>
        </w:tc>
        <w:tc>
          <w:tcPr>
            <w:tcW w:w="928" w:type="dxa"/>
            <w:vAlign w:val="center"/>
          </w:tcPr>
          <w:p w14:paraId="101DF1F9"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 xml:space="preserve">□ </w:t>
            </w:r>
            <w:r>
              <w:rPr>
                <w:rFonts w:eastAsia="宋体"/>
                <w:sz w:val="18"/>
                <w:szCs w:val="18"/>
              </w:rPr>
              <w:t>NEQ</w:t>
            </w:r>
          </w:p>
        </w:tc>
        <w:tc>
          <w:tcPr>
            <w:tcW w:w="1843" w:type="dxa"/>
            <w:gridSpan w:val="2"/>
            <w:vAlign w:val="center"/>
          </w:tcPr>
          <w:p w14:paraId="67D89175"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采标号</w:t>
            </w:r>
          </w:p>
        </w:tc>
        <w:tc>
          <w:tcPr>
            <w:tcW w:w="2644" w:type="dxa"/>
            <w:gridSpan w:val="2"/>
            <w:vAlign w:val="center"/>
          </w:tcPr>
          <w:p w14:paraId="7A511196"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w:t>
            </w:r>
          </w:p>
        </w:tc>
      </w:tr>
      <w:tr w:rsidR="00095443" w14:paraId="7F5B8C78" w14:textId="77777777" w:rsidTr="003363A8">
        <w:trPr>
          <w:cantSplit/>
          <w:trHeight w:val="439"/>
          <w:jc w:val="center"/>
        </w:trPr>
        <w:tc>
          <w:tcPr>
            <w:tcW w:w="2122" w:type="dxa"/>
            <w:vAlign w:val="center"/>
          </w:tcPr>
          <w:p w14:paraId="4EB5F9B0"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国际标准名称（中文）</w:t>
            </w:r>
          </w:p>
        </w:tc>
        <w:tc>
          <w:tcPr>
            <w:tcW w:w="3131" w:type="dxa"/>
            <w:gridSpan w:val="4"/>
            <w:vAlign w:val="center"/>
          </w:tcPr>
          <w:p w14:paraId="3638AE67"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w:t>
            </w:r>
          </w:p>
        </w:tc>
        <w:tc>
          <w:tcPr>
            <w:tcW w:w="1843" w:type="dxa"/>
            <w:gridSpan w:val="2"/>
            <w:vAlign w:val="center"/>
          </w:tcPr>
          <w:p w14:paraId="37877A9D"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国际标准名称（英文）</w:t>
            </w:r>
          </w:p>
        </w:tc>
        <w:tc>
          <w:tcPr>
            <w:tcW w:w="2644" w:type="dxa"/>
            <w:gridSpan w:val="2"/>
            <w:vAlign w:val="center"/>
          </w:tcPr>
          <w:p w14:paraId="6377A0AA"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w:t>
            </w:r>
          </w:p>
        </w:tc>
      </w:tr>
      <w:tr w:rsidR="00095443" w14:paraId="32662509" w14:textId="77777777" w:rsidTr="003363A8">
        <w:trPr>
          <w:cantSplit/>
          <w:trHeight w:val="439"/>
          <w:jc w:val="center"/>
        </w:trPr>
        <w:tc>
          <w:tcPr>
            <w:tcW w:w="2122" w:type="dxa"/>
            <w:vAlign w:val="center"/>
          </w:tcPr>
          <w:p w14:paraId="7628DB51" w14:textId="77777777" w:rsidR="00095443" w:rsidRDefault="00D22486" w:rsidP="00DF628C">
            <w:pPr>
              <w:snapToGrid w:val="0"/>
              <w:jc w:val="center"/>
              <w:rPr>
                <w:rFonts w:ascii="宋体" w:eastAsia="宋体" w:hAnsi="宋体"/>
                <w:sz w:val="18"/>
                <w:szCs w:val="18"/>
              </w:rPr>
            </w:pPr>
            <w:r>
              <w:rPr>
                <w:rFonts w:ascii="宋体" w:eastAsia="宋体" w:hAnsi="宋体"/>
                <w:sz w:val="18"/>
                <w:szCs w:val="18"/>
              </w:rPr>
              <w:t>ICS</w:t>
            </w:r>
            <w:r>
              <w:rPr>
                <w:rFonts w:ascii="宋体" w:eastAsia="宋体" w:hAnsi="宋体" w:hint="eastAsia"/>
                <w:sz w:val="18"/>
                <w:szCs w:val="18"/>
              </w:rPr>
              <w:t>分类号</w:t>
            </w:r>
          </w:p>
        </w:tc>
        <w:tc>
          <w:tcPr>
            <w:tcW w:w="3131" w:type="dxa"/>
            <w:gridSpan w:val="4"/>
            <w:vAlign w:val="center"/>
          </w:tcPr>
          <w:p w14:paraId="187298DB" w14:textId="77777777" w:rsidR="00095443" w:rsidRDefault="00D22486" w:rsidP="00DF628C">
            <w:pPr>
              <w:snapToGrid w:val="0"/>
              <w:rPr>
                <w:rFonts w:eastAsia="宋体"/>
                <w:sz w:val="18"/>
                <w:szCs w:val="18"/>
              </w:rPr>
            </w:pPr>
            <w:r>
              <w:rPr>
                <w:rFonts w:eastAsia="宋体" w:hint="eastAsia"/>
                <w:sz w:val="18"/>
                <w:szCs w:val="18"/>
              </w:rPr>
              <w:t>01.040.91</w:t>
            </w:r>
          </w:p>
        </w:tc>
        <w:tc>
          <w:tcPr>
            <w:tcW w:w="1843" w:type="dxa"/>
            <w:gridSpan w:val="2"/>
            <w:vAlign w:val="center"/>
          </w:tcPr>
          <w:p w14:paraId="7F5EC8B8" w14:textId="77777777" w:rsidR="00095443" w:rsidRDefault="00D22486" w:rsidP="00DF628C">
            <w:pPr>
              <w:snapToGrid w:val="0"/>
              <w:jc w:val="center"/>
              <w:rPr>
                <w:rFonts w:eastAsia="宋体"/>
                <w:sz w:val="18"/>
                <w:szCs w:val="18"/>
              </w:rPr>
            </w:pPr>
            <w:r>
              <w:rPr>
                <w:rFonts w:eastAsia="宋体"/>
                <w:sz w:val="18"/>
                <w:szCs w:val="18"/>
              </w:rPr>
              <w:t>中国标准分类号</w:t>
            </w:r>
          </w:p>
        </w:tc>
        <w:tc>
          <w:tcPr>
            <w:tcW w:w="2644" w:type="dxa"/>
            <w:gridSpan w:val="2"/>
            <w:vAlign w:val="center"/>
          </w:tcPr>
          <w:p w14:paraId="72473FC4" w14:textId="77777777" w:rsidR="00095443" w:rsidRDefault="00EA641D" w:rsidP="00DF628C">
            <w:pPr>
              <w:snapToGrid w:val="0"/>
              <w:rPr>
                <w:rFonts w:eastAsia="宋体"/>
                <w:sz w:val="18"/>
                <w:szCs w:val="18"/>
              </w:rPr>
            </w:pPr>
            <w:hyperlink r:id="rId7" w:anchor="Q10" w:history="1">
              <w:r w:rsidR="00D22486">
                <w:rPr>
                  <w:rFonts w:eastAsia="宋体"/>
                  <w:sz w:val="18"/>
                  <w:szCs w:val="18"/>
                </w:rPr>
                <w:t>Q10/29</w:t>
              </w:r>
            </w:hyperlink>
          </w:p>
        </w:tc>
      </w:tr>
      <w:tr w:rsidR="00095443" w14:paraId="5E6C0AC2" w14:textId="77777777" w:rsidTr="003363A8">
        <w:trPr>
          <w:cantSplit/>
          <w:trHeight w:val="496"/>
          <w:jc w:val="center"/>
        </w:trPr>
        <w:tc>
          <w:tcPr>
            <w:tcW w:w="2122" w:type="dxa"/>
            <w:vAlign w:val="center"/>
          </w:tcPr>
          <w:p w14:paraId="13A7943A"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标准主要起草单位</w:t>
            </w:r>
          </w:p>
        </w:tc>
        <w:tc>
          <w:tcPr>
            <w:tcW w:w="3131" w:type="dxa"/>
            <w:gridSpan w:val="4"/>
            <w:vAlign w:val="center"/>
          </w:tcPr>
          <w:p w14:paraId="1EEE3343"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 xml:space="preserve">北京建筑材料科学研究总院有限公司 </w:t>
            </w:r>
          </w:p>
          <w:p w14:paraId="3331620A" w14:textId="77777777" w:rsidR="00095443" w:rsidRDefault="00D22486" w:rsidP="00DF628C">
            <w:pPr>
              <w:snapToGrid w:val="0"/>
              <w:rPr>
                <w:rFonts w:ascii="宋体" w:eastAsia="宋体" w:hAnsi="宋体"/>
                <w:sz w:val="18"/>
                <w:szCs w:val="18"/>
              </w:rPr>
            </w:pPr>
            <w:r>
              <w:rPr>
                <w:rFonts w:ascii="宋体" w:eastAsia="宋体" w:hAnsi="宋体" w:hint="eastAsia"/>
                <w:sz w:val="18"/>
                <w:szCs w:val="18"/>
              </w:rPr>
              <w:t>唐山冀东水泥股份有限公司</w:t>
            </w:r>
          </w:p>
        </w:tc>
        <w:tc>
          <w:tcPr>
            <w:tcW w:w="1843" w:type="dxa"/>
            <w:gridSpan w:val="2"/>
            <w:vAlign w:val="center"/>
          </w:tcPr>
          <w:p w14:paraId="088AE52A" w14:textId="77777777" w:rsidR="00095443" w:rsidRDefault="00D22486" w:rsidP="00DF628C">
            <w:pPr>
              <w:snapToGrid w:val="0"/>
              <w:jc w:val="center"/>
              <w:rPr>
                <w:rFonts w:ascii="宋体" w:eastAsia="宋体" w:hAnsi="宋体"/>
                <w:sz w:val="18"/>
                <w:szCs w:val="18"/>
              </w:rPr>
            </w:pPr>
            <w:r>
              <w:rPr>
                <w:rFonts w:ascii="宋体" w:eastAsia="宋体" w:hAnsi="宋体" w:hint="eastAsia"/>
                <w:sz w:val="18"/>
                <w:szCs w:val="18"/>
              </w:rPr>
              <w:t>计划起止时间</w:t>
            </w:r>
          </w:p>
        </w:tc>
        <w:tc>
          <w:tcPr>
            <w:tcW w:w="2644" w:type="dxa"/>
            <w:gridSpan w:val="2"/>
            <w:vAlign w:val="center"/>
          </w:tcPr>
          <w:p w14:paraId="53863354" w14:textId="77777777" w:rsidR="00095443" w:rsidRDefault="00D22486" w:rsidP="00DF628C">
            <w:pPr>
              <w:snapToGrid w:val="0"/>
              <w:rPr>
                <w:rFonts w:eastAsia="宋体"/>
                <w:sz w:val="18"/>
                <w:szCs w:val="18"/>
              </w:rPr>
            </w:pPr>
            <w:r>
              <w:rPr>
                <w:rFonts w:eastAsia="宋体" w:hint="eastAsia"/>
                <w:sz w:val="18"/>
                <w:szCs w:val="18"/>
              </w:rPr>
              <w:t>2023</w:t>
            </w:r>
            <w:r>
              <w:rPr>
                <w:rFonts w:eastAsia="宋体" w:hint="eastAsia"/>
                <w:sz w:val="18"/>
                <w:szCs w:val="18"/>
              </w:rPr>
              <w:t>年</w:t>
            </w:r>
            <w:r>
              <w:rPr>
                <w:rFonts w:eastAsia="宋体" w:hint="eastAsia"/>
                <w:sz w:val="18"/>
                <w:szCs w:val="18"/>
              </w:rPr>
              <w:t>1</w:t>
            </w:r>
            <w:r>
              <w:rPr>
                <w:rFonts w:eastAsia="宋体" w:hint="eastAsia"/>
                <w:sz w:val="18"/>
                <w:szCs w:val="18"/>
              </w:rPr>
              <w:t>月</w:t>
            </w:r>
            <w:r>
              <w:rPr>
                <w:rFonts w:eastAsia="宋体" w:hint="eastAsia"/>
                <w:sz w:val="18"/>
                <w:szCs w:val="18"/>
              </w:rPr>
              <w:t>1</w:t>
            </w:r>
            <w:r>
              <w:rPr>
                <w:rFonts w:eastAsia="宋体" w:hint="eastAsia"/>
                <w:sz w:val="18"/>
                <w:szCs w:val="18"/>
              </w:rPr>
              <w:t>日</w:t>
            </w:r>
            <w:r>
              <w:rPr>
                <w:rFonts w:eastAsia="宋体" w:hint="eastAsia"/>
                <w:sz w:val="18"/>
                <w:szCs w:val="18"/>
              </w:rPr>
              <w:t>-2023</w:t>
            </w:r>
            <w:r>
              <w:rPr>
                <w:rFonts w:eastAsia="宋体" w:hint="eastAsia"/>
                <w:sz w:val="18"/>
                <w:szCs w:val="18"/>
              </w:rPr>
              <w:t>年</w:t>
            </w:r>
            <w:r>
              <w:rPr>
                <w:rFonts w:eastAsia="宋体" w:hint="eastAsia"/>
                <w:sz w:val="18"/>
                <w:szCs w:val="18"/>
              </w:rPr>
              <w:t>12</w:t>
            </w:r>
            <w:r>
              <w:rPr>
                <w:rFonts w:eastAsia="宋体" w:hint="eastAsia"/>
                <w:sz w:val="18"/>
                <w:szCs w:val="18"/>
              </w:rPr>
              <w:t>月</w:t>
            </w:r>
            <w:r>
              <w:rPr>
                <w:rFonts w:eastAsia="宋体" w:hint="eastAsia"/>
                <w:sz w:val="18"/>
                <w:szCs w:val="18"/>
              </w:rPr>
              <w:t>31</w:t>
            </w:r>
            <w:r>
              <w:rPr>
                <w:rFonts w:eastAsia="宋体" w:hint="eastAsia"/>
                <w:sz w:val="18"/>
                <w:szCs w:val="18"/>
              </w:rPr>
              <w:t>日</w:t>
            </w:r>
          </w:p>
        </w:tc>
      </w:tr>
      <w:tr w:rsidR="00095443" w14:paraId="1EEEF841" w14:textId="77777777" w:rsidTr="003363A8">
        <w:trPr>
          <w:trHeight w:val="3731"/>
          <w:jc w:val="center"/>
        </w:trPr>
        <w:tc>
          <w:tcPr>
            <w:tcW w:w="2122" w:type="dxa"/>
            <w:vAlign w:val="center"/>
          </w:tcPr>
          <w:p w14:paraId="71E5AE3B"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目的</w:t>
            </w:r>
            <w:r>
              <w:rPr>
                <w:rFonts w:ascii="宋体" w:eastAsia="宋体" w:hAnsi="宋体"/>
                <w:sz w:val="18"/>
                <w:szCs w:val="18"/>
              </w:rPr>
              <w:t>﹑</w:t>
            </w:r>
            <w:r>
              <w:rPr>
                <w:rFonts w:ascii="宋体" w:eastAsia="宋体" w:hAnsi="宋体" w:hint="eastAsia"/>
                <w:sz w:val="18"/>
                <w:szCs w:val="18"/>
              </w:rPr>
              <w:t>意义或必</w:t>
            </w:r>
          </w:p>
          <w:p w14:paraId="135A1402"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要性</w:t>
            </w:r>
          </w:p>
        </w:tc>
        <w:tc>
          <w:tcPr>
            <w:tcW w:w="7618" w:type="dxa"/>
            <w:gridSpan w:val="8"/>
            <w:vAlign w:val="center"/>
          </w:tcPr>
          <w:p w14:paraId="01BE4CE6" w14:textId="7777777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水泥是当今全球用量最大的建筑材料之一，与此同时，水泥工业也是一个能源资源消耗大、环境污染和排放较重的行业，其生产消耗大量不可再生资源和能源，排放大量CO</w:t>
            </w:r>
            <w:r>
              <w:rPr>
                <w:rFonts w:ascii="宋体" w:eastAsia="宋体" w:hAnsi="宋体" w:hint="eastAsia"/>
                <w:sz w:val="18"/>
                <w:szCs w:val="18"/>
                <w:vertAlign w:val="subscript"/>
              </w:rPr>
              <w:t>2</w:t>
            </w:r>
            <w:r>
              <w:rPr>
                <w:rFonts w:ascii="宋体" w:eastAsia="宋体" w:hAnsi="宋体" w:hint="eastAsia"/>
                <w:sz w:val="18"/>
                <w:szCs w:val="18"/>
              </w:rPr>
              <w:t>温室气体以及 SO</w:t>
            </w:r>
            <w:r>
              <w:rPr>
                <w:rFonts w:ascii="宋体" w:eastAsia="宋体" w:hAnsi="宋体" w:hint="eastAsia"/>
                <w:sz w:val="18"/>
                <w:szCs w:val="18"/>
                <w:vertAlign w:val="subscript"/>
              </w:rPr>
              <w:t>2</w:t>
            </w:r>
            <w:r>
              <w:rPr>
                <w:rFonts w:ascii="宋体" w:eastAsia="宋体" w:hAnsi="宋体" w:hint="eastAsia"/>
                <w:sz w:val="18"/>
                <w:szCs w:val="18"/>
              </w:rPr>
              <w:t>、NO</w:t>
            </w:r>
            <w:r>
              <w:rPr>
                <w:rFonts w:ascii="宋体" w:eastAsia="宋体" w:hAnsi="宋体" w:hint="eastAsia"/>
                <w:sz w:val="18"/>
                <w:szCs w:val="18"/>
                <w:vertAlign w:val="subscript"/>
              </w:rPr>
              <w:t>x</w:t>
            </w:r>
            <w:r>
              <w:rPr>
                <w:rFonts w:ascii="宋体" w:eastAsia="宋体" w:hAnsi="宋体" w:hint="eastAsia"/>
                <w:sz w:val="18"/>
                <w:szCs w:val="18"/>
              </w:rPr>
              <w:t>等污染物，给生态环境带来了严重的负荷。世界范围内，传统水泥行业占人类活动排放二氧化碳总量的7%左右。我国水泥产量约占世界水泥产量的60%，其中熟料产量达13.4亿吨；水泥工业能耗约占全国总能耗的15%，占建材行业耗能总量近60%；消耗石灰石14亿吨以上，排放CO</w:t>
            </w:r>
            <w:r>
              <w:rPr>
                <w:rFonts w:ascii="宋体" w:eastAsia="宋体" w:hAnsi="宋体" w:hint="eastAsia"/>
                <w:sz w:val="18"/>
                <w:szCs w:val="18"/>
                <w:vertAlign w:val="subscript"/>
              </w:rPr>
              <w:t>2</w:t>
            </w:r>
            <w:r>
              <w:rPr>
                <w:rFonts w:ascii="宋体" w:eastAsia="宋体" w:hAnsi="宋体" w:hint="eastAsia"/>
                <w:sz w:val="18"/>
                <w:szCs w:val="18"/>
              </w:rPr>
              <w:t>达11亿吨以上，约占全国的10%，是典型的碳排放大户。按照我国提出的“碳达峰”、“碳中和”的双碳目标，水泥行业积极探索和大力发展新型低钙、低能耗水泥熟料，进一步降低水泥生产能耗，减少CO</w:t>
            </w:r>
            <w:r>
              <w:rPr>
                <w:rFonts w:ascii="宋体" w:eastAsia="宋体" w:hAnsi="宋体" w:hint="eastAsia"/>
                <w:sz w:val="18"/>
                <w:szCs w:val="18"/>
                <w:vertAlign w:val="subscript"/>
              </w:rPr>
              <w:t>2</w:t>
            </w:r>
            <w:r>
              <w:rPr>
                <w:rFonts w:ascii="宋体" w:eastAsia="宋体" w:hAnsi="宋体" w:hint="eastAsia"/>
                <w:sz w:val="18"/>
                <w:szCs w:val="18"/>
              </w:rPr>
              <w:t>排放，不仅是促进我国建设资源节约型国家的重要途径，也是实现国家节能减排重大发展目标的迫切需求。</w:t>
            </w:r>
          </w:p>
          <w:p w14:paraId="7C98C18F" w14:textId="7777777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高活性贝利特硅酸盐水泥熟料是以贝利特为主导矿物的低能源资源消耗和低排放的高性能水泥熟料体系，规模化使用钢渣、电石渣等钙基大宗工业固废以及低品位石灰石为替代原材料，降低高品位石灰石用量，在保证熟料良好性能的基础上，其烧成温度比硅酸盐水泥熟料低100℃左右，节能15%以上，NOx减排50%左右，CO</w:t>
            </w:r>
            <w:r>
              <w:rPr>
                <w:rFonts w:ascii="宋体" w:eastAsia="宋体" w:hAnsi="宋体" w:hint="eastAsia"/>
                <w:sz w:val="18"/>
                <w:szCs w:val="18"/>
                <w:vertAlign w:val="subscript"/>
              </w:rPr>
              <w:t>2</w:t>
            </w:r>
            <w:r>
              <w:rPr>
                <w:rFonts w:ascii="宋体" w:eastAsia="宋体" w:hAnsi="宋体" w:hint="eastAsia"/>
                <w:sz w:val="18"/>
                <w:szCs w:val="18"/>
              </w:rPr>
              <w:t>排放降低12%以上。能够显著降低水泥制备过程中能源资源消耗和碳排放，有规模化替代普通硅酸盐水泥熟料的可行性，其推广和应用将有力推动我国水泥工业节能减排和可持续发展。</w:t>
            </w:r>
          </w:p>
          <w:p w14:paraId="0B467906" w14:textId="77777777" w:rsidR="00095443" w:rsidRDefault="00EA3755">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目前，</w:t>
            </w:r>
            <w:r w:rsidR="00D22486">
              <w:rPr>
                <w:rFonts w:ascii="宋体" w:eastAsia="宋体" w:hAnsi="宋体" w:hint="eastAsia"/>
                <w:sz w:val="18"/>
                <w:szCs w:val="18"/>
              </w:rPr>
              <w:t>国内外</w:t>
            </w:r>
            <w:r>
              <w:rPr>
                <w:rFonts w:ascii="宋体" w:eastAsia="宋体" w:hAnsi="宋体" w:hint="eastAsia"/>
                <w:sz w:val="18"/>
                <w:szCs w:val="18"/>
              </w:rPr>
              <w:t>没有</w:t>
            </w:r>
            <w:r w:rsidR="00D22486">
              <w:rPr>
                <w:rFonts w:ascii="宋体" w:eastAsia="宋体" w:hAnsi="宋体" w:hint="eastAsia"/>
                <w:sz w:val="18"/>
                <w:szCs w:val="18"/>
              </w:rPr>
              <w:t>高活性贝利特硅酸盐水泥熟料的相关标准，其性能指标、检测方法、合格判定等均无统一明确规定，极大的阻碍了该熟料的推广及应用的安全性。本标准根据高活性贝利特硅酸盐水泥熟料性能特点，对该熟料定义、分类、性能指标要求、相关检测方法、出厂检验及合格评判标准等方面进行明确规定，建立该熟料产品质量评判体系。本标准的编制能够有效提升产品的安全性和规范化，降低应用过程产生产品质量问题的风险，促进该低碳低能耗熟料的规模化推广，拓宽其应用市场，进一步完善水泥熟料标准体系，推动水泥行业节能降耗和碳减排目标的实现。</w:t>
            </w:r>
          </w:p>
          <w:p w14:paraId="299D9F24" w14:textId="77777777" w:rsidR="00095443" w:rsidRDefault="00095443">
            <w:pPr>
              <w:pStyle w:val="2"/>
              <w:snapToGrid w:val="0"/>
              <w:spacing w:line="360" w:lineRule="auto"/>
              <w:ind w:firstLine="560"/>
            </w:pPr>
          </w:p>
        </w:tc>
      </w:tr>
      <w:tr w:rsidR="00095443" w14:paraId="06F947A6" w14:textId="77777777" w:rsidTr="003363A8">
        <w:trPr>
          <w:trHeight w:val="1051"/>
          <w:jc w:val="center"/>
        </w:trPr>
        <w:tc>
          <w:tcPr>
            <w:tcW w:w="2122" w:type="dxa"/>
            <w:vAlign w:val="center"/>
          </w:tcPr>
          <w:p w14:paraId="50B696BA"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范围和主要</w:t>
            </w:r>
          </w:p>
          <w:p w14:paraId="07C1317E"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技术内容</w:t>
            </w:r>
          </w:p>
        </w:tc>
        <w:tc>
          <w:tcPr>
            <w:tcW w:w="7618" w:type="dxa"/>
            <w:gridSpan w:val="8"/>
            <w:vAlign w:val="center"/>
          </w:tcPr>
          <w:p w14:paraId="19947309" w14:textId="77777777" w:rsidR="00095443" w:rsidRDefault="00D22486">
            <w:pPr>
              <w:snapToGrid w:val="0"/>
              <w:spacing w:line="360" w:lineRule="auto"/>
              <w:rPr>
                <w:rFonts w:ascii="宋体" w:eastAsia="宋体" w:hAnsi="宋体"/>
                <w:sz w:val="18"/>
                <w:szCs w:val="18"/>
              </w:rPr>
            </w:pPr>
            <w:r>
              <w:rPr>
                <w:rFonts w:ascii="宋体" w:eastAsia="宋体" w:hAnsi="宋体" w:hint="eastAsia"/>
                <w:sz w:val="18"/>
                <w:szCs w:val="18"/>
              </w:rPr>
              <w:t>标准的技术内容与适用范围；</w:t>
            </w:r>
          </w:p>
          <w:p w14:paraId="6F0DE5F3" w14:textId="7777777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本标准规定了高活性贝利特硅酸盐水泥熟料的定义和分类、技术要求、试验方法和验收规则等。</w:t>
            </w:r>
          </w:p>
          <w:p w14:paraId="033B98A3" w14:textId="7777777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本标准适用于贸易的高活性贝利特硅酸盐水泥熟料。</w:t>
            </w:r>
          </w:p>
          <w:p w14:paraId="41687B03" w14:textId="77777777" w:rsidR="004449B9" w:rsidRDefault="004449B9">
            <w:pPr>
              <w:snapToGrid w:val="0"/>
              <w:spacing w:line="360" w:lineRule="auto"/>
              <w:rPr>
                <w:rFonts w:ascii="宋体" w:eastAsia="宋体" w:hAnsi="宋体"/>
                <w:sz w:val="18"/>
                <w:szCs w:val="18"/>
              </w:rPr>
            </w:pPr>
          </w:p>
          <w:p w14:paraId="205B5459" w14:textId="7D65B1F2" w:rsidR="00095443" w:rsidRDefault="00D22486">
            <w:pPr>
              <w:snapToGrid w:val="0"/>
              <w:spacing w:line="360" w:lineRule="auto"/>
              <w:rPr>
                <w:rFonts w:ascii="宋体" w:eastAsia="宋体" w:hAnsi="宋体"/>
                <w:sz w:val="18"/>
                <w:szCs w:val="18"/>
              </w:rPr>
            </w:pPr>
            <w:r>
              <w:rPr>
                <w:rFonts w:ascii="宋体" w:eastAsia="宋体" w:hAnsi="宋体" w:hint="eastAsia"/>
                <w:sz w:val="18"/>
                <w:szCs w:val="18"/>
              </w:rPr>
              <w:lastRenderedPageBreak/>
              <w:t>主要章节</w:t>
            </w:r>
          </w:p>
          <w:p w14:paraId="6ABF9779" w14:textId="7777777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1范围</w:t>
            </w:r>
          </w:p>
          <w:p w14:paraId="5322F631" w14:textId="5DA3BD20" w:rsidR="00095443" w:rsidRDefault="001E755B">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主要阐述本标准的主要技术内容以及适用界限</w:t>
            </w:r>
            <w:r w:rsidR="00D22486">
              <w:rPr>
                <w:rFonts w:ascii="宋体" w:eastAsia="宋体" w:hAnsi="宋体" w:hint="eastAsia"/>
                <w:sz w:val="18"/>
                <w:szCs w:val="18"/>
              </w:rPr>
              <w:t>；</w:t>
            </w:r>
          </w:p>
          <w:p w14:paraId="7F4B8B97" w14:textId="7777777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2规范性引用文件</w:t>
            </w:r>
          </w:p>
          <w:p w14:paraId="10371F3D" w14:textId="6D9B5774" w:rsidR="00095443" w:rsidRDefault="001E755B">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列出了本标准规范性引用的标准清单</w:t>
            </w:r>
            <w:r w:rsidR="00D22486">
              <w:rPr>
                <w:rFonts w:ascii="宋体" w:eastAsia="宋体" w:hAnsi="宋体" w:hint="eastAsia"/>
                <w:sz w:val="18"/>
                <w:szCs w:val="18"/>
              </w:rPr>
              <w:t>；</w:t>
            </w:r>
          </w:p>
          <w:p w14:paraId="2DB6128C" w14:textId="1C7DA657"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3术语和定义</w:t>
            </w:r>
          </w:p>
          <w:p w14:paraId="3CF23EDB" w14:textId="1B631413" w:rsidR="00095443" w:rsidRDefault="00D22486" w:rsidP="007A78A5">
            <w:pPr>
              <w:pStyle w:val="2"/>
              <w:ind w:firstLine="360"/>
              <w:rPr>
                <w:rFonts w:ascii="宋体" w:hAnsi="宋体"/>
                <w:sz w:val="18"/>
                <w:szCs w:val="18"/>
              </w:rPr>
            </w:pPr>
            <w:r>
              <w:rPr>
                <w:rFonts w:ascii="宋体" w:hAnsi="宋体" w:hint="eastAsia"/>
                <w:sz w:val="18"/>
                <w:szCs w:val="18"/>
              </w:rPr>
              <w:t>规定了高活性贝利特硅酸盐水泥熟料的定义；</w:t>
            </w:r>
          </w:p>
          <w:p w14:paraId="25434279" w14:textId="303A017C" w:rsidR="007A78A5" w:rsidRDefault="007A78A5" w:rsidP="007A78A5">
            <w:pPr>
              <w:pStyle w:val="2"/>
              <w:ind w:firstLine="360"/>
              <w:rPr>
                <w:rFonts w:ascii="宋体" w:hAnsi="宋体"/>
                <w:sz w:val="18"/>
                <w:szCs w:val="18"/>
              </w:rPr>
            </w:pPr>
            <w:r>
              <w:rPr>
                <w:rFonts w:ascii="宋体" w:hAnsi="宋体" w:hint="eastAsia"/>
                <w:sz w:val="18"/>
                <w:szCs w:val="18"/>
              </w:rPr>
              <w:t>4</w:t>
            </w:r>
            <w:r>
              <w:rPr>
                <w:rFonts w:ascii="宋体" w:hAnsi="宋体"/>
                <w:sz w:val="18"/>
                <w:szCs w:val="18"/>
              </w:rPr>
              <w:t xml:space="preserve"> </w:t>
            </w:r>
            <w:r>
              <w:rPr>
                <w:rFonts w:ascii="宋体" w:hAnsi="宋体" w:hint="eastAsia"/>
                <w:sz w:val="18"/>
                <w:szCs w:val="18"/>
              </w:rPr>
              <w:t>分类和标记</w:t>
            </w:r>
          </w:p>
          <w:p w14:paraId="2EC1B016" w14:textId="4BEAAD76" w:rsidR="007A78A5" w:rsidRDefault="007A78A5" w:rsidP="00854295">
            <w:pPr>
              <w:pStyle w:val="2"/>
              <w:ind w:firstLine="360"/>
              <w:rPr>
                <w:rFonts w:ascii="宋体" w:hAnsi="宋体"/>
                <w:sz w:val="18"/>
                <w:szCs w:val="18"/>
              </w:rPr>
            </w:pPr>
            <w:r>
              <w:rPr>
                <w:rFonts w:ascii="宋体" w:hAnsi="宋体" w:hint="eastAsia"/>
                <w:sz w:val="18"/>
                <w:szCs w:val="18"/>
              </w:rPr>
              <w:t>按照高活性贝利特硅酸盐水泥熟料的用途和特征，规定了分类和标记。</w:t>
            </w:r>
          </w:p>
          <w:p w14:paraId="34972D6E" w14:textId="40364628" w:rsidR="007A78A5" w:rsidRPr="00854295" w:rsidRDefault="007A78A5" w:rsidP="007A78A5">
            <w:pPr>
              <w:pStyle w:val="2"/>
              <w:ind w:firstLine="360"/>
              <w:rPr>
                <w:rFonts w:ascii="宋体" w:hAnsi="宋体"/>
                <w:sz w:val="18"/>
                <w:szCs w:val="18"/>
              </w:rPr>
            </w:pPr>
            <w:r>
              <w:rPr>
                <w:rFonts w:ascii="宋体" w:hAnsi="宋体"/>
                <w:sz w:val="18"/>
                <w:szCs w:val="18"/>
              </w:rPr>
              <w:t>5</w:t>
            </w:r>
            <w:r w:rsidRPr="00854295">
              <w:rPr>
                <w:rFonts w:ascii="宋体" w:hAnsi="宋体"/>
                <w:sz w:val="18"/>
                <w:szCs w:val="18"/>
              </w:rPr>
              <w:t xml:space="preserve"> </w:t>
            </w:r>
            <w:r w:rsidRPr="00854295">
              <w:rPr>
                <w:rFonts w:ascii="宋体" w:hAnsi="宋体" w:hint="eastAsia"/>
                <w:sz w:val="18"/>
                <w:szCs w:val="18"/>
              </w:rPr>
              <w:t>一般要求</w:t>
            </w:r>
          </w:p>
          <w:p w14:paraId="6818B9E5" w14:textId="614F7B59" w:rsidR="007A78A5" w:rsidRPr="007A78A5" w:rsidRDefault="007A78A5" w:rsidP="00854295">
            <w:pPr>
              <w:pStyle w:val="2"/>
              <w:ind w:firstLine="360"/>
              <w:rPr>
                <w:rFonts w:ascii="宋体" w:hAnsi="宋体"/>
                <w:sz w:val="18"/>
                <w:szCs w:val="18"/>
              </w:rPr>
            </w:pPr>
            <w:r w:rsidRPr="00854295">
              <w:rPr>
                <w:rFonts w:ascii="宋体" w:hAnsi="宋体" w:hint="eastAsia"/>
                <w:sz w:val="18"/>
                <w:szCs w:val="18"/>
              </w:rPr>
              <w:t>规定的高活性贝利特硅酸盐水泥熟料所涉及的安全环保等要求。</w:t>
            </w:r>
          </w:p>
          <w:p w14:paraId="346221AA" w14:textId="4305E6C8" w:rsidR="00095443" w:rsidRDefault="007A78A5" w:rsidP="00854295">
            <w:pPr>
              <w:pStyle w:val="2"/>
              <w:ind w:firstLine="360"/>
              <w:rPr>
                <w:rFonts w:ascii="宋体" w:hAnsi="宋体"/>
                <w:sz w:val="18"/>
                <w:szCs w:val="18"/>
              </w:rPr>
            </w:pPr>
            <w:r>
              <w:rPr>
                <w:rFonts w:ascii="宋体" w:hAnsi="宋体"/>
                <w:sz w:val="18"/>
                <w:szCs w:val="18"/>
              </w:rPr>
              <w:t>6</w:t>
            </w:r>
            <w:r w:rsidR="00D22486">
              <w:rPr>
                <w:rFonts w:ascii="宋体" w:hAnsi="宋体" w:hint="eastAsia"/>
                <w:sz w:val="18"/>
                <w:szCs w:val="18"/>
              </w:rPr>
              <w:t>技术要求</w:t>
            </w:r>
          </w:p>
          <w:p w14:paraId="33B242E3" w14:textId="77777777" w:rsidR="00095443" w:rsidRDefault="00D22486" w:rsidP="00854295">
            <w:pPr>
              <w:pStyle w:val="2"/>
              <w:ind w:firstLine="360"/>
              <w:rPr>
                <w:rFonts w:ascii="宋体" w:hAnsi="宋体"/>
                <w:sz w:val="18"/>
                <w:szCs w:val="18"/>
              </w:rPr>
            </w:pPr>
            <w:r>
              <w:rPr>
                <w:rFonts w:ascii="宋体" w:hAnsi="宋体" w:hint="eastAsia"/>
                <w:sz w:val="18"/>
                <w:szCs w:val="18"/>
              </w:rPr>
              <w:t>规定了高活性贝利特硅酸盐水泥熟料化学性能指标、物理性能指标（凝结时间、安定性、抗压强度等）及其它要求；</w:t>
            </w:r>
          </w:p>
          <w:p w14:paraId="58BCC6EB" w14:textId="5473643E" w:rsidR="00095443" w:rsidRDefault="007A78A5">
            <w:pPr>
              <w:snapToGrid w:val="0"/>
              <w:spacing w:line="360" w:lineRule="auto"/>
              <w:ind w:firstLineChars="200" w:firstLine="360"/>
              <w:rPr>
                <w:rFonts w:ascii="宋体" w:eastAsia="宋体" w:hAnsi="宋体"/>
                <w:sz w:val="18"/>
                <w:szCs w:val="18"/>
              </w:rPr>
            </w:pPr>
            <w:r>
              <w:rPr>
                <w:rFonts w:ascii="宋体" w:eastAsia="宋体" w:hAnsi="宋体"/>
                <w:sz w:val="18"/>
                <w:szCs w:val="18"/>
              </w:rPr>
              <w:t>7</w:t>
            </w:r>
            <w:r w:rsidR="00D22486">
              <w:rPr>
                <w:rFonts w:ascii="宋体" w:eastAsia="宋体" w:hAnsi="宋体" w:hint="eastAsia"/>
                <w:sz w:val="18"/>
                <w:szCs w:val="18"/>
              </w:rPr>
              <w:t>试验方法</w:t>
            </w:r>
          </w:p>
          <w:p w14:paraId="5D281803" w14:textId="44F408D4" w:rsidR="00095443" w:rsidRDefault="00D22486">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规定了高活性贝利特硅酸盐水泥熟料化学性能、物理性能及其它要求的指标测试方法</w:t>
            </w:r>
            <w:r w:rsidR="00F875B2">
              <w:rPr>
                <w:rFonts w:ascii="宋体" w:eastAsia="宋体" w:hAnsi="宋体" w:hint="eastAsia"/>
                <w:sz w:val="18"/>
                <w:szCs w:val="18"/>
              </w:rPr>
              <w:t>；</w:t>
            </w:r>
          </w:p>
          <w:p w14:paraId="03BED07D" w14:textId="41660038" w:rsidR="00F875B2" w:rsidRDefault="007A78A5">
            <w:pPr>
              <w:pStyle w:val="2"/>
              <w:ind w:firstLine="360"/>
              <w:rPr>
                <w:rFonts w:ascii="宋体" w:hAnsi="宋体"/>
                <w:sz w:val="18"/>
                <w:szCs w:val="18"/>
              </w:rPr>
            </w:pPr>
            <w:r>
              <w:rPr>
                <w:rFonts w:ascii="宋体" w:hAnsi="宋体"/>
                <w:sz w:val="18"/>
                <w:szCs w:val="18"/>
              </w:rPr>
              <w:t xml:space="preserve">8 </w:t>
            </w:r>
            <w:r w:rsidR="001E755B">
              <w:rPr>
                <w:rFonts w:ascii="宋体" w:hAnsi="宋体" w:hint="eastAsia"/>
                <w:sz w:val="18"/>
                <w:szCs w:val="18"/>
              </w:rPr>
              <w:t>检验</w:t>
            </w:r>
            <w:r w:rsidR="00F875B2">
              <w:rPr>
                <w:rFonts w:ascii="宋体" w:hAnsi="宋体" w:hint="eastAsia"/>
                <w:sz w:val="18"/>
                <w:szCs w:val="18"/>
              </w:rPr>
              <w:t>规则</w:t>
            </w:r>
          </w:p>
          <w:p w14:paraId="3B53D55E" w14:textId="21BE1A72" w:rsidR="00F875B2" w:rsidRDefault="00F875B2">
            <w:pPr>
              <w:pStyle w:val="2"/>
              <w:ind w:firstLine="360"/>
              <w:rPr>
                <w:rFonts w:ascii="宋体" w:hAnsi="宋体"/>
                <w:sz w:val="18"/>
                <w:szCs w:val="18"/>
              </w:rPr>
            </w:pPr>
            <w:r>
              <w:rPr>
                <w:rFonts w:ascii="宋体" w:hAnsi="宋体" w:hint="eastAsia"/>
                <w:sz w:val="18"/>
                <w:szCs w:val="18"/>
              </w:rPr>
              <w:t>规定了高活性贝利特硅酸盐水泥熟料</w:t>
            </w:r>
            <w:r w:rsidR="007A78A5">
              <w:rPr>
                <w:rFonts w:ascii="宋体" w:hAnsi="宋体" w:hint="eastAsia"/>
                <w:sz w:val="18"/>
                <w:szCs w:val="18"/>
              </w:rPr>
              <w:t>出厂检验、型式检验、</w:t>
            </w:r>
            <w:proofErr w:type="gramStart"/>
            <w:r w:rsidR="007A78A5">
              <w:rPr>
                <w:rFonts w:ascii="宋体" w:hAnsi="宋体" w:hint="eastAsia"/>
                <w:sz w:val="18"/>
                <w:szCs w:val="18"/>
              </w:rPr>
              <w:t>批量与</w:t>
            </w:r>
            <w:proofErr w:type="gramEnd"/>
            <w:r w:rsidR="007A78A5">
              <w:rPr>
                <w:rFonts w:ascii="宋体" w:hAnsi="宋体" w:hint="eastAsia"/>
                <w:sz w:val="18"/>
                <w:szCs w:val="18"/>
              </w:rPr>
              <w:t>抽样、判定等</w:t>
            </w:r>
            <w:r w:rsidR="00EA057A">
              <w:rPr>
                <w:rFonts w:ascii="宋体" w:hAnsi="宋体" w:hint="eastAsia"/>
                <w:sz w:val="18"/>
                <w:szCs w:val="18"/>
              </w:rPr>
              <w:t>要求；</w:t>
            </w:r>
          </w:p>
          <w:p w14:paraId="0C851AC6" w14:textId="59FE5C06" w:rsidR="00095443" w:rsidRDefault="007A78A5">
            <w:pPr>
              <w:pStyle w:val="2"/>
              <w:ind w:firstLine="360"/>
              <w:rPr>
                <w:rFonts w:ascii="宋体" w:hAnsi="宋体"/>
                <w:sz w:val="18"/>
                <w:szCs w:val="18"/>
              </w:rPr>
            </w:pPr>
            <w:r>
              <w:rPr>
                <w:rFonts w:ascii="宋体" w:hAnsi="宋体"/>
                <w:sz w:val="18"/>
                <w:szCs w:val="18"/>
              </w:rPr>
              <w:t>9</w:t>
            </w:r>
            <w:r w:rsidR="001E755B">
              <w:rPr>
                <w:rFonts w:ascii="宋体" w:hAnsi="宋体" w:hint="eastAsia"/>
                <w:sz w:val="18"/>
                <w:szCs w:val="18"/>
              </w:rPr>
              <w:t>包装、标志、</w:t>
            </w:r>
            <w:r w:rsidR="00D22486">
              <w:rPr>
                <w:rFonts w:ascii="宋体" w:hAnsi="宋体" w:hint="eastAsia"/>
                <w:sz w:val="18"/>
                <w:szCs w:val="18"/>
              </w:rPr>
              <w:t>运输与贮存</w:t>
            </w:r>
          </w:p>
          <w:p w14:paraId="6960DAEB" w14:textId="71C17D74" w:rsidR="00095443" w:rsidRDefault="00D22486">
            <w:pPr>
              <w:pStyle w:val="2"/>
              <w:ind w:firstLine="360"/>
              <w:rPr>
                <w:rFonts w:ascii="宋体" w:hAnsi="宋体"/>
                <w:sz w:val="18"/>
                <w:szCs w:val="18"/>
              </w:rPr>
            </w:pPr>
            <w:r>
              <w:rPr>
                <w:rFonts w:ascii="宋体" w:hAnsi="宋体" w:hint="eastAsia"/>
                <w:sz w:val="18"/>
                <w:szCs w:val="18"/>
              </w:rPr>
              <w:t>规定了高活性贝利特硅酸盐水泥熟料</w:t>
            </w:r>
            <w:r w:rsidR="001E755B">
              <w:rPr>
                <w:rFonts w:ascii="宋体" w:hAnsi="宋体" w:hint="eastAsia"/>
                <w:sz w:val="18"/>
                <w:szCs w:val="18"/>
              </w:rPr>
              <w:t>的包装、标志、</w:t>
            </w:r>
            <w:r>
              <w:rPr>
                <w:rFonts w:ascii="宋体" w:hAnsi="宋体" w:hint="eastAsia"/>
                <w:sz w:val="18"/>
                <w:szCs w:val="18"/>
              </w:rPr>
              <w:t>运输和贮存要求。</w:t>
            </w:r>
          </w:p>
          <w:p w14:paraId="43BB6407" w14:textId="77777777" w:rsidR="00095443" w:rsidRDefault="00095443">
            <w:pPr>
              <w:snapToGrid w:val="0"/>
              <w:spacing w:line="360" w:lineRule="auto"/>
              <w:ind w:firstLineChars="200" w:firstLine="360"/>
              <w:rPr>
                <w:rFonts w:ascii="宋体" w:hAnsi="宋体"/>
                <w:sz w:val="18"/>
                <w:szCs w:val="18"/>
              </w:rPr>
            </w:pPr>
          </w:p>
        </w:tc>
      </w:tr>
      <w:tr w:rsidR="00095443" w14:paraId="78473C2B" w14:textId="77777777" w:rsidTr="003363A8">
        <w:trPr>
          <w:trHeight w:val="3533"/>
          <w:jc w:val="center"/>
        </w:trPr>
        <w:tc>
          <w:tcPr>
            <w:tcW w:w="2122" w:type="dxa"/>
            <w:vAlign w:val="center"/>
          </w:tcPr>
          <w:p w14:paraId="243E5C62"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lastRenderedPageBreak/>
              <w:t>国内外情况</w:t>
            </w:r>
          </w:p>
          <w:p w14:paraId="076AF478"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简要说明</w:t>
            </w:r>
          </w:p>
        </w:tc>
        <w:tc>
          <w:tcPr>
            <w:tcW w:w="7618" w:type="dxa"/>
            <w:gridSpan w:val="8"/>
            <w:vAlign w:val="center"/>
          </w:tcPr>
          <w:p w14:paraId="2D316368" w14:textId="77777777" w:rsidR="00095443" w:rsidRDefault="00D020D4">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高活性贝利特硅酸盐水泥熟料</w:t>
            </w:r>
            <w:r w:rsidR="00D22486">
              <w:rPr>
                <w:rFonts w:ascii="宋体" w:eastAsia="宋体" w:hAnsi="宋体" w:hint="eastAsia"/>
                <w:sz w:val="18"/>
                <w:szCs w:val="18"/>
              </w:rPr>
              <w:t>适用范围</w:t>
            </w:r>
            <w:r w:rsidR="00EA3755">
              <w:rPr>
                <w:rFonts w:ascii="宋体" w:eastAsia="宋体" w:hAnsi="宋体" w:hint="eastAsia"/>
                <w:sz w:val="18"/>
                <w:szCs w:val="18"/>
              </w:rPr>
              <w:t>规定</w:t>
            </w:r>
            <w:r w:rsidR="00D22486">
              <w:rPr>
                <w:rFonts w:ascii="宋体" w:eastAsia="宋体" w:hAnsi="宋体" w:hint="eastAsia"/>
                <w:sz w:val="18"/>
                <w:szCs w:val="18"/>
              </w:rPr>
              <w:t>的水泥矿物组成、理化性能特点与</w:t>
            </w:r>
            <w:r>
              <w:rPr>
                <w:rFonts w:ascii="宋体" w:eastAsia="宋体" w:hAnsi="宋体" w:hint="eastAsia"/>
                <w:sz w:val="18"/>
                <w:szCs w:val="18"/>
              </w:rPr>
              <w:t>现行《硅酸盐水泥熟料》（</w:t>
            </w:r>
            <w:r w:rsidRPr="00E33E2D">
              <w:rPr>
                <w:rFonts w:ascii="宋体" w:eastAsia="宋体" w:hAnsi="宋体"/>
                <w:sz w:val="18"/>
                <w:szCs w:val="18"/>
              </w:rPr>
              <w:t>GB/T 21372-2008</w:t>
            </w:r>
            <w:r>
              <w:rPr>
                <w:rFonts w:ascii="Arial" w:hAnsi="Arial" w:cs="Arial" w:hint="eastAsia"/>
                <w:color w:val="333333"/>
                <w:sz w:val="21"/>
                <w:szCs w:val="21"/>
                <w:shd w:val="clear" w:color="auto" w:fill="FFFFFF"/>
              </w:rPr>
              <w:t>）</w:t>
            </w:r>
            <w:r>
              <w:rPr>
                <w:rFonts w:ascii="宋体" w:eastAsia="宋体" w:hAnsi="宋体" w:hint="eastAsia"/>
                <w:sz w:val="18"/>
                <w:szCs w:val="18"/>
              </w:rPr>
              <w:t>标准规定的指标</w:t>
            </w:r>
            <w:r w:rsidR="00EA3755">
              <w:rPr>
                <w:rFonts w:ascii="宋体" w:eastAsia="宋体" w:hAnsi="宋体" w:hint="eastAsia"/>
                <w:sz w:val="18"/>
                <w:szCs w:val="18"/>
              </w:rPr>
              <w:t>明显不同，高活性贝</w:t>
            </w:r>
            <w:r w:rsidR="00D22486">
              <w:rPr>
                <w:rFonts w:ascii="宋体" w:eastAsia="宋体" w:hAnsi="宋体" w:hint="eastAsia"/>
                <w:sz w:val="18"/>
                <w:szCs w:val="18"/>
              </w:rPr>
              <w:t>利特水泥熟料不适合完全参照此标准。目前国内并未制定、颁布专门针对高活性贝利特水泥熟料的相关标准。</w:t>
            </w:r>
          </w:p>
          <w:p w14:paraId="5ABF4F04" w14:textId="77777777" w:rsidR="00095443" w:rsidRDefault="00D22486">
            <w:pPr>
              <w:snapToGrid w:val="0"/>
              <w:spacing w:line="360" w:lineRule="auto"/>
              <w:ind w:firstLineChars="200" w:firstLine="360"/>
              <w:jc w:val="left"/>
              <w:rPr>
                <w:rFonts w:eastAsia="宋体"/>
                <w:sz w:val="18"/>
                <w:szCs w:val="18"/>
              </w:rPr>
            </w:pPr>
            <w:r>
              <w:rPr>
                <w:rFonts w:ascii="宋体" w:eastAsia="宋体" w:hAnsi="宋体" w:hint="eastAsia"/>
                <w:sz w:val="18"/>
                <w:szCs w:val="18"/>
              </w:rPr>
              <w:t>也未查询到</w:t>
            </w:r>
            <w:r w:rsidR="00EA3755">
              <w:rPr>
                <w:rFonts w:ascii="宋体" w:eastAsia="宋体" w:hAnsi="宋体" w:hint="eastAsia"/>
                <w:sz w:val="18"/>
                <w:szCs w:val="18"/>
              </w:rPr>
              <w:t>国外</w:t>
            </w:r>
            <w:r>
              <w:rPr>
                <w:rFonts w:ascii="宋体" w:eastAsia="宋体" w:hAnsi="宋体" w:hint="eastAsia"/>
                <w:sz w:val="18"/>
                <w:szCs w:val="18"/>
              </w:rPr>
              <w:t>相关标准。</w:t>
            </w:r>
          </w:p>
        </w:tc>
      </w:tr>
      <w:tr w:rsidR="00095443" w14:paraId="34E623F7" w14:textId="77777777" w:rsidTr="003363A8">
        <w:trPr>
          <w:cantSplit/>
          <w:trHeight w:val="1162"/>
          <w:jc w:val="center"/>
        </w:trPr>
        <w:tc>
          <w:tcPr>
            <w:tcW w:w="2122" w:type="dxa"/>
            <w:shd w:val="clear" w:color="auto" w:fill="auto"/>
            <w:vAlign w:val="center"/>
          </w:tcPr>
          <w:p w14:paraId="5FDC3727" w14:textId="77777777" w:rsidR="00095443" w:rsidRPr="003363A8" w:rsidRDefault="00D22486" w:rsidP="00EA057A">
            <w:pPr>
              <w:pBdr>
                <w:bottom w:val="single" w:sz="6" w:space="1" w:color="auto"/>
              </w:pBdr>
              <w:snapToGrid w:val="0"/>
              <w:spacing w:line="360" w:lineRule="auto"/>
              <w:jc w:val="center"/>
              <w:rPr>
                <w:rFonts w:ascii="宋体" w:eastAsia="宋体" w:hAnsi="宋体"/>
                <w:sz w:val="18"/>
                <w:szCs w:val="18"/>
              </w:rPr>
            </w:pPr>
            <w:r w:rsidRPr="003363A8">
              <w:rPr>
                <w:rFonts w:ascii="宋体" w:eastAsia="宋体" w:hAnsi="宋体" w:hint="eastAsia"/>
                <w:sz w:val="18"/>
                <w:szCs w:val="18"/>
              </w:rPr>
              <w:t>牵头单位</w:t>
            </w:r>
          </w:p>
        </w:tc>
        <w:tc>
          <w:tcPr>
            <w:tcW w:w="4017" w:type="dxa"/>
            <w:gridSpan w:val="5"/>
            <w:vAlign w:val="center"/>
          </w:tcPr>
          <w:p w14:paraId="1E3CC4FD" w14:textId="77777777" w:rsidR="00095443" w:rsidRDefault="00D020D4">
            <w:pPr>
              <w:snapToGrid w:val="0"/>
              <w:spacing w:line="360" w:lineRule="auto"/>
              <w:jc w:val="center"/>
              <w:rPr>
                <w:rFonts w:ascii="宋体" w:eastAsia="宋体" w:hAnsi="宋体"/>
                <w:sz w:val="18"/>
                <w:szCs w:val="18"/>
              </w:rPr>
            </w:pPr>
            <w:r>
              <w:rPr>
                <w:rFonts w:ascii="宋体" w:eastAsia="宋体" w:hAnsi="宋体" w:hint="eastAsia"/>
                <w:sz w:val="18"/>
                <w:szCs w:val="18"/>
              </w:rPr>
              <w:t>北京建筑材料科学研究总院有限公司</w:t>
            </w:r>
          </w:p>
          <w:p w14:paraId="1C5DCE04" w14:textId="77777777" w:rsidR="00D020D4" w:rsidRPr="00D020D4" w:rsidRDefault="00D020D4" w:rsidP="00D020D4">
            <w:pPr>
              <w:snapToGrid w:val="0"/>
              <w:spacing w:line="360" w:lineRule="auto"/>
              <w:jc w:val="center"/>
              <w:rPr>
                <w:rFonts w:ascii="宋体" w:eastAsia="宋体" w:hAnsi="宋体"/>
                <w:sz w:val="18"/>
                <w:szCs w:val="18"/>
              </w:rPr>
            </w:pPr>
            <w:r w:rsidRPr="00D020D4">
              <w:rPr>
                <w:rFonts w:ascii="宋体" w:eastAsia="宋体" w:hAnsi="宋体" w:hint="eastAsia"/>
                <w:sz w:val="18"/>
                <w:szCs w:val="18"/>
              </w:rPr>
              <w:t>唐山冀东水泥股份有限公司</w:t>
            </w:r>
          </w:p>
          <w:p w14:paraId="55B53A75"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（签字、盖公章）月     日</w:t>
            </w:r>
          </w:p>
        </w:tc>
        <w:tc>
          <w:tcPr>
            <w:tcW w:w="1701" w:type="dxa"/>
            <w:gridSpan w:val="2"/>
            <w:vAlign w:val="center"/>
          </w:tcPr>
          <w:p w14:paraId="24906D87" w14:textId="77777777" w:rsidR="00095443" w:rsidRDefault="00D22486">
            <w:pPr>
              <w:snapToGrid w:val="0"/>
              <w:spacing w:line="360" w:lineRule="auto"/>
              <w:jc w:val="center"/>
              <w:rPr>
                <w:rFonts w:ascii="宋体" w:eastAsia="宋体" w:hAnsi="宋体"/>
                <w:sz w:val="18"/>
                <w:szCs w:val="18"/>
              </w:rPr>
            </w:pPr>
            <w:r>
              <w:rPr>
                <w:rFonts w:ascii="宋体" w:eastAsia="宋体" w:hAnsi="宋体" w:hint="eastAsia"/>
                <w:sz w:val="18"/>
                <w:szCs w:val="18"/>
              </w:rPr>
              <w:t>归口管理部门</w:t>
            </w:r>
          </w:p>
        </w:tc>
        <w:tc>
          <w:tcPr>
            <w:tcW w:w="1900" w:type="dxa"/>
            <w:vAlign w:val="center"/>
          </w:tcPr>
          <w:p w14:paraId="53C69169" w14:textId="77777777" w:rsidR="00095443" w:rsidRDefault="00095443">
            <w:pPr>
              <w:snapToGrid w:val="0"/>
              <w:spacing w:line="360" w:lineRule="auto"/>
              <w:rPr>
                <w:rFonts w:eastAsia="宋体"/>
                <w:sz w:val="18"/>
                <w:szCs w:val="18"/>
              </w:rPr>
            </w:pPr>
          </w:p>
          <w:p w14:paraId="03C539EC" w14:textId="77777777" w:rsidR="00095443" w:rsidRDefault="00D22486">
            <w:pPr>
              <w:snapToGrid w:val="0"/>
              <w:rPr>
                <w:rFonts w:eastAsia="宋体"/>
                <w:sz w:val="18"/>
                <w:szCs w:val="18"/>
              </w:rPr>
            </w:pPr>
            <w:r>
              <w:rPr>
                <w:rFonts w:eastAsia="宋体"/>
                <w:sz w:val="18"/>
                <w:szCs w:val="18"/>
              </w:rPr>
              <w:t>（签字、盖公章）</w:t>
            </w:r>
          </w:p>
          <w:p w14:paraId="404BBEDE" w14:textId="77777777" w:rsidR="00095443" w:rsidRDefault="00D22486">
            <w:pPr>
              <w:snapToGrid w:val="0"/>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14:paraId="7BFE81FC" w14:textId="77777777" w:rsidR="00095443" w:rsidRDefault="00D22486">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14:paraId="6DCD96C8" w14:textId="77777777" w:rsidR="00095443" w:rsidRDefault="00D22486">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14:paraId="031E68C7" w14:textId="77777777" w:rsidR="00095443" w:rsidRDefault="00D22486">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14:paraId="40A63FFB" w14:textId="77777777" w:rsidR="00095443" w:rsidRDefault="00095443">
      <w:pPr>
        <w:snapToGrid w:val="0"/>
        <w:rPr>
          <w:sz w:val="18"/>
          <w:szCs w:val="18"/>
        </w:rPr>
      </w:pPr>
    </w:p>
    <w:sectPr w:rsidR="000954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64E0" w14:textId="77777777" w:rsidR="00EA641D" w:rsidRDefault="00EA641D" w:rsidP="00EA3755">
      <w:r>
        <w:separator/>
      </w:r>
    </w:p>
  </w:endnote>
  <w:endnote w:type="continuationSeparator" w:id="0">
    <w:p w14:paraId="4A6F3563" w14:textId="77777777" w:rsidR="00EA641D" w:rsidRDefault="00EA641D" w:rsidP="00EA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7D69F" w14:textId="77777777" w:rsidR="00EA641D" w:rsidRDefault="00EA641D" w:rsidP="00EA3755">
      <w:r>
        <w:separator/>
      </w:r>
    </w:p>
  </w:footnote>
  <w:footnote w:type="continuationSeparator" w:id="0">
    <w:p w14:paraId="117A9C45" w14:textId="77777777" w:rsidR="00EA641D" w:rsidRDefault="00EA641D" w:rsidP="00EA3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940"/>
    <w:rsid w:val="00056475"/>
    <w:rsid w:val="00070E68"/>
    <w:rsid w:val="00074946"/>
    <w:rsid w:val="00095443"/>
    <w:rsid w:val="000B73C4"/>
    <w:rsid w:val="00122866"/>
    <w:rsid w:val="00126298"/>
    <w:rsid w:val="001E755B"/>
    <w:rsid w:val="00213DE9"/>
    <w:rsid w:val="00283658"/>
    <w:rsid w:val="002A17B1"/>
    <w:rsid w:val="002F10F2"/>
    <w:rsid w:val="0031195C"/>
    <w:rsid w:val="003363A8"/>
    <w:rsid w:val="00386898"/>
    <w:rsid w:val="0039284E"/>
    <w:rsid w:val="0039789B"/>
    <w:rsid w:val="003B260C"/>
    <w:rsid w:val="003F5FC8"/>
    <w:rsid w:val="004449B9"/>
    <w:rsid w:val="004713A4"/>
    <w:rsid w:val="004805A0"/>
    <w:rsid w:val="00484D87"/>
    <w:rsid w:val="00487603"/>
    <w:rsid w:val="004A37F2"/>
    <w:rsid w:val="004C5830"/>
    <w:rsid w:val="004E457D"/>
    <w:rsid w:val="00533E66"/>
    <w:rsid w:val="005B34B8"/>
    <w:rsid w:val="005C1AF9"/>
    <w:rsid w:val="00624B99"/>
    <w:rsid w:val="00662582"/>
    <w:rsid w:val="00662936"/>
    <w:rsid w:val="00665037"/>
    <w:rsid w:val="006A42EA"/>
    <w:rsid w:val="006F4246"/>
    <w:rsid w:val="00762C08"/>
    <w:rsid w:val="00776BF6"/>
    <w:rsid w:val="007A78A5"/>
    <w:rsid w:val="007C4CFA"/>
    <w:rsid w:val="007F5789"/>
    <w:rsid w:val="00826430"/>
    <w:rsid w:val="00854156"/>
    <w:rsid w:val="00854295"/>
    <w:rsid w:val="008736DB"/>
    <w:rsid w:val="008A6751"/>
    <w:rsid w:val="008B00CD"/>
    <w:rsid w:val="008B2D6A"/>
    <w:rsid w:val="0099630C"/>
    <w:rsid w:val="009C34CF"/>
    <w:rsid w:val="009F1940"/>
    <w:rsid w:val="00A01E58"/>
    <w:rsid w:val="00A1329E"/>
    <w:rsid w:val="00A313D2"/>
    <w:rsid w:val="00A8244D"/>
    <w:rsid w:val="00A90560"/>
    <w:rsid w:val="00AA4A62"/>
    <w:rsid w:val="00AA5038"/>
    <w:rsid w:val="00AB602D"/>
    <w:rsid w:val="00AE6150"/>
    <w:rsid w:val="00BF1975"/>
    <w:rsid w:val="00C0673A"/>
    <w:rsid w:val="00C11419"/>
    <w:rsid w:val="00C14FE8"/>
    <w:rsid w:val="00C172CA"/>
    <w:rsid w:val="00C51128"/>
    <w:rsid w:val="00C66A33"/>
    <w:rsid w:val="00C71964"/>
    <w:rsid w:val="00C80051"/>
    <w:rsid w:val="00CB0F00"/>
    <w:rsid w:val="00D020D4"/>
    <w:rsid w:val="00D1588D"/>
    <w:rsid w:val="00D22486"/>
    <w:rsid w:val="00D2440D"/>
    <w:rsid w:val="00D633F5"/>
    <w:rsid w:val="00D83A35"/>
    <w:rsid w:val="00DA6122"/>
    <w:rsid w:val="00DD166A"/>
    <w:rsid w:val="00DD6716"/>
    <w:rsid w:val="00DF5734"/>
    <w:rsid w:val="00DF628C"/>
    <w:rsid w:val="00E33E2D"/>
    <w:rsid w:val="00E46110"/>
    <w:rsid w:val="00E97E48"/>
    <w:rsid w:val="00EA057A"/>
    <w:rsid w:val="00EA3755"/>
    <w:rsid w:val="00EA641D"/>
    <w:rsid w:val="00EF7C2E"/>
    <w:rsid w:val="00F0146B"/>
    <w:rsid w:val="00F03189"/>
    <w:rsid w:val="00F57A24"/>
    <w:rsid w:val="00F76804"/>
    <w:rsid w:val="00F84407"/>
    <w:rsid w:val="00F875B2"/>
    <w:rsid w:val="00F966B4"/>
    <w:rsid w:val="01D13F0A"/>
    <w:rsid w:val="051816AA"/>
    <w:rsid w:val="066D757F"/>
    <w:rsid w:val="1164424C"/>
    <w:rsid w:val="14597CE8"/>
    <w:rsid w:val="15040008"/>
    <w:rsid w:val="173C3D8C"/>
    <w:rsid w:val="21C72D00"/>
    <w:rsid w:val="2B266050"/>
    <w:rsid w:val="311A2F3F"/>
    <w:rsid w:val="373B07EA"/>
    <w:rsid w:val="376A0BFD"/>
    <w:rsid w:val="3A0D311E"/>
    <w:rsid w:val="3BED12F1"/>
    <w:rsid w:val="3C956F3C"/>
    <w:rsid w:val="3F050A99"/>
    <w:rsid w:val="4094421F"/>
    <w:rsid w:val="52DC2273"/>
    <w:rsid w:val="55702960"/>
    <w:rsid w:val="59B04E98"/>
    <w:rsid w:val="5D143CFE"/>
    <w:rsid w:val="60A02A40"/>
    <w:rsid w:val="61610C65"/>
    <w:rsid w:val="61AD25AE"/>
    <w:rsid w:val="65CB6EDD"/>
    <w:rsid w:val="722E09DD"/>
    <w:rsid w:val="726B3E53"/>
    <w:rsid w:val="7B4F22DF"/>
    <w:rsid w:val="7E8D5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EFE5C"/>
  <w15:docId w15:val="{EF1F0114-21D8-4EFC-9FFC-53FD4C66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2"/>
    <w:qFormat/>
    <w:pPr>
      <w:widowControl w:val="0"/>
      <w:jc w:val="both"/>
    </w:pPr>
    <w:rPr>
      <w:rFonts w:eastAsia="仿宋_GB2312"/>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next w:val="a"/>
    <w:qFormat/>
    <w:pPr>
      <w:ind w:firstLineChars="192" w:firstLine="538"/>
    </w:pPr>
    <w:rPr>
      <w:rFonts w:ascii="Calibri" w:eastAsia="宋体" w:hAnsi="Calibri"/>
      <w:szCs w:val="24"/>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rPr>
  </w:style>
  <w:style w:type="paragraph" w:styleId="a8">
    <w:name w:val="Normal (Web)"/>
    <w:basedOn w:val="a"/>
    <w:uiPriority w:val="99"/>
    <w:unhideWhenUsed/>
    <w:qFormat/>
    <w:pPr>
      <w:widowControl/>
      <w:spacing w:before="100" w:beforeAutospacing="1" w:after="100" w:afterAutospacing="1"/>
      <w:jc w:val="left"/>
    </w:pPr>
    <w:rPr>
      <w:rFonts w:eastAsia="等线"/>
      <w:kern w:val="0"/>
      <w:sz w:val="24"/>
    </w:rPr>
  </w:style>
  <w:style w:type="character" w:styleId="a9">
    <w:name w:val="Emphasis"/>
    <w:basedOn w:val="a0"/>
    <w:uiPriority w:val="20"/>
    <w:qFormat/>
    <w:rPr>
      <w:i/>
    </w:rPr>
  </w:style>
  <w:style w:type="character" w:styleId="aa">
    <w:name w:val="Hyperlink"/>
    <w:basedOn w:val="a0"/>
    <w:uiPriority w:val="99"/>
    <w:semiHidden/>
    <w:unhideWhenUsed/>
    <w:rPr>
      <w:color w:val="0000FF"/>
      <w:u w:val="single"/>
    </w:rPr>
  </w:style>
  <w:style w:type="character" w:customStyle="1" w:styleId="a7">
    <w:name w:val="页眉 字符"/>
    <w:basedOn w:val="a0"/>
    <w:link w:val="a6"/>
    <w:qFormat/>
    <w:rPr>
      <w:rFonts w:ascii="Times New Roman" w:eastAsia="仿宋_GB2312" w:hAnsi="Times New Roman" w:cs="Times New Roman"/>
      <w:sz w:val="18"/>
      <w:szCs w:val="20"/>
    </w:rPr>
  </w:style>
  <w:style w:type="character" w:customStyle="1" w:styleId="a5">
    <w:name w:val="页脚 字符"/>
    <w:basedOn w:val="a0"/>
    <w:link w:val="a4"/>
    <w:uiPriority w:val="99"/>
    <w:qFormat/>
    <w:rPr>
      <w:rFonts w:ascii="Times New Roman" w:eastAsia="仿宋_GB2312" w:hAnsi="Times New Roman" w:cs="Times New Roman"/>
      <w:sz w:val="18"/>
      <w:szCs w:val="18"/>
    </w:rPr>
  </w:style>
  <w:style w:type="paragraph" w:styleId="ab">
    <w:name w:val="List Paragraph"/>
    <w:basedOn w:val="a"/>
    <w:uiPriority w:val="34"/>
    <w:qFormat/>
    <w:pPr>
      <w:ind w:firstLineChars="200" w:firstLine="420"/>
    </w:pPr>
  </w:style>
  <w:style w:type="paragraph" w:customStyle="1" w:styleId="ac">
    <w:name w:val="段"/>
    <w:qFormat/>
    <w:pPr>
      <w:tabs>
        <w:tab w:val="center" w:pos="4201"/>
        <w:tab w:val="right" w:leader="dot" w:pos="9298"/>
      </w:tabs>
      <w:autoSpaceDE w:val="0"/>
      <w:autoSpaceDN w:val="0"/>
      <w:ind w:firstLineChars="200" w:firstLine="420"/>
      <w:jc w:val="both"/>
    </w:pPr>
    <w:rPr>
      <w:rFonts w:ascii="宋体"/>
      <w:sz w:val="21"/>
    </w:rPr>
  </w:style>
  <w:style w:type="paragraph" w:styleId="ad">
    <w:name w:val="Revision"/>
    <w:hidden/>
    <w:uiPriority w:val="99"/>
    <w:semiHidden/>
    <w:rsid w:val="001E755B"/>
    <w:rPr>
      <w:rFonts w:eastAsia="仿宋_GB2312"/>
      <w:kern w:val="2"/>
      <w:sz w:val="28"/>
    </w:rPr>
  </w:style>
  <w:style w:type="paragraph" w:styleId="ae">
    <w:name w:val="Balloon Text"/>
    <w:basedOn w:val="a"/>
    <w:link w:val="af"/>
    <w:uiPriority w:val="99"/>
    <w:semiHidden/>
    <w:unhideWhenUsed/>
    <w:rsid w:val="00854295"/>
    <w:rPr>
      <w:sz w:val="18"/>
      <w:szCs w:val="18"/>
    </w:rPr>
  </w:style>
  <w:style w:type="character" w:customStyle="1" w:styleId="af">
    <w:name w:val="批注框文本 字符"/>
    <w:basedOn w:val="a0"/>
    <w:link w:val="ae"/>
    <w:uiPriority w:val="99"/>
    <w:semiHidden/>
    <w:rsid w:val="00854295"/>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haifeng/Desktop/%25E6%25A0%2587%25E5%2587%2586%25E5%25B7%25A5%25E4%25BD%259C%25E6%2596%2587%25E4%25BB%25B6/%25E4%25B8%25AD%25E5%259B%25BD%25E6%25A0%2587%25E5%2587%2586%25E5%2588%2586%25E7%25B1%25BB%25E5%258F%25B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dc:creator>
  <cp:lastModifiedBy>王欣宇</cp:lastModifiedBy>
  <cp:revision>3</cp:revision>
  <dcterms:created xsi:type="dcterms:W3CDTF">2022-11-11T10:57:00Z</dcterms:created>
  <dcterms:modified xsi:type="dcterms:W3CDTF">2023-03-16T21:05:00Z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0D298EBCBEFC4F3A81288F8479E47B09</vt:lpwstr>
  </property>
</Properties>
</file>