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line="380" w:lineRule="exact"/>
        <w:jc w:val="center"/>
        <w:rPr>
          <w:rFonts w:ascii="方正小标宋简体" w:eastAsia="方正小标宋简体"/>
          <w:sz w:val="40"/>
          <w:szCs w:val="40"/>
        </w:rPr>
      </w:pPr>
      <w:r>
        <w:rPr>
          <w:rFonts w:hint="eastAsia" w:ascii="方正小标宋简体" w:eastAsia="方正小标宋简体"/>
          <w:sz w:val="40"/>
          <w:szCs w:val="40"/>
        </w:rPr>
        <w:t>行业计量技术规范项目建议书</w:t>
      </w:r>
      <w:bookmarkStart w:id="0" w:name="_GoBack"/>
      <w:bookmarkEnd w:id="0"/>
    </w:p>
    <w:tbl>
      <w:tblPr>
        <w:tblStyle w:val="5"/>
        <w:tblW w:w="538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11" w:type="dxa"/>
          <w:left w:w="108" w:type="dxa"/>
          <w:bottom w:w="11" w:type="dxa"/>
          <w:right w:w="108" w:type="dxa"/>
        </w:tblCellMar>
      </w:tblPr>
      <w:tblGrid>
        <w:gridCol w:w="884"/>
        <w:gridCol w:w="888"/>
        <w:gridCol w:w="1068"/>
        <w:gridCol w:w="851"/>
        <w:gridCol w:w="1223"/>
        <w:gridCol w:w="905"/>
        <w:gridCol w:w="847"/>
        <w:gridCol w:w="25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80" w:hRule="atLeast"/>
          <w:jc w:val="center"/>
        </w:trPr>
        <w:tc>
          <w:tcPr>
            <w:tcW w:w="1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textAlignment w:val="auto"/>
              <w:rPr>
                <w:sz w:val="24"/>
                <w:szCs w:val="24"/>
              </w:rPr>
            </w:pPr>
            <w:r>
              <w:rPr>
                <w:rFonts w:hint="eastAsia"/>
                <w:sz w:val="24"/>
                <w:szCs w:val="24"/>
              </w:rPr>
              <w:t>建议项目名称</w:t>
            </w:r>
          </w:p>
        </w:tc>
        <w:tc>
          <w:tcPr>
            <w:tcW w:w="739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氧-乙炔烧蚀率测试仪校准规范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80" w:hRule="atLeast"/>
          <w:jc w:val="center"/>
        </w:trPr>
        <w:tc>
          <w:tcPr>
            <w:tcW w:w="1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制定或修订</w:t>
            </w:r>
          </w:p>
        </w:tc>
        <w:tc>
          <w:tcPr>
            <w:tcW w:w="31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ascii="宋体" w:hAnsi="宋体"/>
                <w:sz w:val="24"/>
                <w:szCs w:val="24"/>
              </w:rPr>
              <w:t>█</w:t>
            </w:r>
            <w:r>
              <w:rPr>
                <w:rFonts w:hint="eastAsia"/>
                <w:sz w:val="24"/>
                <w:szCs w:val="24"/>
              </w:rPr>
              <w:t>制定</w:t>
            </w:r>
            <w:r>
              <w:rPr>
                <w:rFonts w:hint="eastAsia" w:ascii="宋体" w:hAnsi="宋体"/>
                <w:sz w:val="24"/>
                <w:szCs w:val="24"/>
              </w:rPr>
              <w:t>□</w:t>
            </w:r>
            <w:r>
              <w:rPr>
                <w:rFonts w:hint="eastAsia"/>
                <w:sz w:val="24"/>
                <w:szCs w:val="24"/>
              </w:rPr>
              <w:t>修订</w:t>
            </w:r>
          </w:p>
        </w:tc>
        <w:tc>
          <w:tcPr>
            <w:tcW w:w="17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被修订计量技术规范号</w:t>
            </w:r>
          </w:p>
        </w:tc>
        <w:tc>
          <w:tcPr>
            <w:tcW w:w="25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eastAsia="宋体"/>
                <w:sz w:val="24"/>
                <w:szCs w:val="24"/>
                <w:lang w:val="en-US" w:eastAsia="zh-CN"/>
              </w:rPr>
            </w:pPr>
            <w:r>
              <w:rPr>
                <w:rFonts w:hint="eastAsia"/>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80" w:hRule="atLeast"/>
          <w:jc w:val="center"/>
        </w:trPr>
        <w:tc>
          <w:tcPr>
            <w:tcW w:w="1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计量技术规范性质</w:t>
            </w:r>
          </w:p>
        </w:tc>
        <w:tc>
          <w:tcPr>
            <w:tcW w:w="31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□检定规程</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sz w:val="24"/>
                <w:szCs w:val="24"/>
              </w:rPr>
            </w:pPr>
            <w:r>
              <w:rPr>
                <w:rFonts w:hint="eastAsia" w:ascii="宋体" w:hAnsi="宋体"/>
                <w:sz w:val="24"/>
                <w:szCs w:val="24"/>
              </w:rPr>
              <w:t>█</w:t>
            </w:r>
            <w:r>
              <w:rPr>
                <w:rFonts w:hint="eastAsia"/>
                <w:sz w:val="24"/>
                <w:szCs w:val="24"/>
              </w:rPr>
              <w:t>校准规范</w:t>
            </w:r>
          </w:p>
        </w:tc>
        <w:tc>
          <w:tcPr>
            <w:tcW w:w="17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ascii="宋体" w:hAnsi="宋体"/>
                <w:sz w:val="24"/>
                <w:szCs w:val="24"/>
              </w:rPr>
              <w:t>计量技术规范类别</w:t>
            </w:r>
          </w:p>
        </w:tc>
        <w:tc>
          <w:tcPr>
            <w:tcW w:w="25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□重点</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ascii="宋体" w:hAnsi="宋体"/>
                <w:sz w:val="24"/>
                <w:szCs w:val="24"/>
              </w:rPr>
              <w:t>█</w:t>
            </w:r>
            <w:r>
              <w:rPr>
                <w:rFonts w:hint="eastAsia"/>
                <w:sz w:val="24"/>
                <w:szCs w:val="24"/>
              </w:rPr>
              <w:t>基础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80" w:hRule="atLeast"/>
          <w:jc w:val="center"/>
        </w:trPr>
        <w:tc>
          <w:tcPr>
            <w:tcW w:w="1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主要起草单位</w:t>
            </w:r>
          </w:p>
        </w:tc>
        <w:tc>
          <w:tcPr>
            <w:tcW w:w="739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中国兵器工业第二</w:t>
            </w:r>
            <w:r>
              <w:rPr>
                <w:rFonts w:hint="eastAsia"/>
                <w:sz w:val="24"/>
                <w:szCs w:val="24"/>
                <w:lang w:val="en-US" w:eastAsia="zh-CN"/>
              </w:rPr>
              <w:t>〇</w:t>
            </w:r>
            <w:r>
              <w:rPr>
                <w:rFonts w:hint="eastAsia"/>
                <w:sz w:val="24"/>
                <w:szCs w:val="24"/>
              </w:rPr>
              <w:t>四研究所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80" w:hRule="atLeast"/>
          <w:jc w:val="center"/>
        </w:trPr>
        <w:tc>
          <w:tcPr>
            <w:tcW w:w="1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4"/>
                <w:szCs w:val="24"/>
              </w:rPr>
            </w:pPr>
            <w:r>
              <w:rPr>
                <w:rFonts w:hint="eastAsia"/>
                <w:color w:val="000000"/>
                <w:sz w:val="24"/>
                <w:szCs w:val="24"/>
              </w:rPr>
              <w:t>联系人</w:t>
            </w:r>
          </w:p>
        </w:tc>
        <w:tc>
          <w:tcPr>
            <w:tcW w:w="31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4"/>
                <w:szCs w:val="24"/>
              </w:rPr>
            </w:pPr>
            <w:r>
              <w:rPr>
                <w:rFonts w:hint="eastAsia"/>
                <w:color w:val="000000"/>
                <w:sz w:val="24"/>
                <w:szCs w:val="24"/>
              </w:rPr>
              <w:t>崔伟</w:t>
            </w:r>
          </w:p>
        </w:tc>
        <w:tc>
          <w:tcPr>
            <w:tcW w:w="17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 w:val="24"/>
                <w:szCs w:val="24"/>
              </w:rPr>
            </w:pPr>
            <w:r>
              <w:rPr>
                <w:rFonts w:hint="eastAsia"/>
                <w:color w:val="000000"/>
                <w:sz w:val="24"/>
                <w:szCs w:val="24"/>
              </w:rPr>
              <w:t>联系电话</w:t>
            </w:r>
          </w:p>
        </w:tc>
        <w:tc>
          <w:tcPr>
            <w:tcW w:w="25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13609200305</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80" w:hRule="atLeast"/>
          <w:jc w:val="center"/>
        </w:trPr>
        <w:tc>
          <w:tcPr>
            <w:tcW w:w="1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 w:val="24"/>
                <w:szCs w:val="24"/>
              </w:rPr>
            </w:pPr>
            <w:r>
              <w:rPr>
                <w:rFonts w:hint="eastAsia" w:ascii="宋体" w:hAnsi="宋体"/>
                <w:color w:val="000000"/>
                <w:sz w:val="24"/>
                <w:szCs w:val="24"/>
              </w:rPr>
              <w:t>任务年限</w:t>
            </w:r>
          </w:p>
        </w:tc>
        <w:tc>
          <w:tcPr>
            <w:tcW w:w="31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color w:val="000000"/>
                <w:sz w:val="24"/>
                <w:szCs w:val="24"/>
              </w:rPr>
            </w:pPr>
            <w:r>
              <w:rPr>
                <w:rFonts w:hint="eastAsia"/>
                <w:color w:val="000000"/>
                <w:sz w:val="24"/>
                <w:szCs w:val="24"/>
              </w:rPr>
              <w:t>2年</w:t>
            </w:r>
          </w:p>
        </w:tc>
        <w:tc>
          <w:tcPr>
            <w:tcW w:w="17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color w:val="000000"/>
                <w:sz w:val="24"/>
                <w:szCs w:val="24"/>
              </w:rPr>
            </w:pPr>
            <w:r>
              <w:rPr>
                <w:rFonts w:hint="eastAsia" w:ascii="宋体" w:hAnsi="宋体"/>
                <w:color w:val="000000"/>
                <w:sz w:val="24"/>
                <w:szCs w:val="24"/>
              </w:rPr>
              <w:t>申请经费</w:t>
            </w:r>
          </w:p>
        </w:tc>
        <w:tc>
          <w:tcPr>
            <w:tcW w:w="25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lang w:val="en-US" w:eastAsia="zh-CN"/>
              </w:rPr>
              <w:t>5</w:t>
            </w:r>
            <w:r>
              <w:rPr>
                <w:rFonts w:hint="eastAsia"/>
                <w:sz w:val="24"/>
                <w:szCs w:val="24"/>
              </w:rPr>
              <w:t>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80" w:hRule="atLeast"/>
          <w:jc w:val="center"/>
        </w:trPr>
        <w:tc>
          <w:tcPr>
            <w:tcW w:w="177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sz w:val="24"/>
                <w:szCs w:val="24"/>
              </w:rPr>
            </w:pPr>
            <w:r>
              <w:rPr>
                <w:rFonts w:hint="eastAsia"/>
                <w:sz w:val="24"/>
                <w:szCs w:val="24"/>
              </w:rPr>
              <w:t>参加单位</w:t>
            </w:r>
          </w:p>
        </w:tc>
        <w:tc>
          <w:tcPr>
            <w:tcW w:w="7398" w:type="dxa"/>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360" w:firstLineChars="150"/>
              <w:jc w:val="center"/>
              <w:textAlignment w:val="auto"/>
              <w:rPr>
                <w:rFonts w:hint="eastAsia" w:eastAsia="宋体"/>
                <w:sz w:val="24"/>
                <w:szCs w:val="24"/>
                <w:lang w:eastAsia="zh-CN"/>
              </w:rPr>
            </w:pPr>
            <w:r>
              <w:rPr>
                <w:rFonts w:hint="eastAsia"/>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jc w:val="center"/>
        </w:trPr>
        <w:tc>
          <w:tcPr>
            <w:tcW w:w="1772" w:type="dxa"/>
            <w:gridSpan w:val="2"/>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目的、意义和</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必要性</w:t>
            </w:r>
          </w:p>
        </w:tc>
        <w:tc>
          <w:tcPr>
            <w:tcW w:w="7398" w:type="dxa"/>
            <w:gridSpan w:val="6"/>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sz w:val="24"/>
                <w:szCs w:val="24"/>
              </w:rPr>
            </w:pPr>
            <w:r>
              <w:rPr>
                <w:rFonts w:hint="eastAsia"/>
                <w:sz w:val="24"/>
                <w:szCs w:val="24"/>
              </w:rPr>
              <w:t>火箭发动机绝热层及装药包覆层的烧蚀率是绝热层及包覆层的重要特性参量，对其准确测量可为火箭发动机的设计提供重要依据。烧蚀率通常采用常规的氧-乙炔烧蚀试验机进行测试，测试</w:t>
            </w:r>
            <w:r>
              <w:rPr>
                <w:rFonts w:hint="eastAsia" w:ascii="宋体"/>
                <w:bCs/>
                <w:sz w:val="24"/>
                <w:szCs w:val="24"/>
              </w:rPr>
              <w:t>原理是以稳定的氧</w:t>
            </w:r>
            <w:r>
              <w:rPr>
                <w:rFonts w:ascii="宋体"/>
                <w:bCs/>
                <w:sz w:val="24"/>
                <w:szCs w:val="24"/>
              </w:rPr>
              <w:t>-</w:t>
            </w:r>
            <w:r>
              <w:rPr>
                <w:rFonts w:hint="eastAsia" w:ascii="宋体"/>
                <w:bCs/>
                <w:sz w:val="24"/>
                <w:szCs w:val="24"/>
              </w:rPr>
              <w:t>乙炔焰流为热源，垂直对准试样进行烧蚀，以单位时间试样的烧蚀深度和质量变化大小来表征材料的耐烧蚀性能。</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sz w:val="24"/>
                <w:szCs w:val="24"/>
              </w:rPr>
            </w:pPr>
            <w:r>
              <w:rPr>
                <w:rFonts w:hint="eastAsia" w:ascii="宋体"/>
                <w:bCs/>
                <w:sz w:val="24"/>
                <w:szCs w:val="24"/>
              </w:rPr>
              <w:t>烧蚀率测试仪主要组成一般有：气源系统、水冷系统、主机系统、控制及测量系统、排风系统；一般附带有</w:t>
            </w:r>
            <w:r>
              <w:rPr>
                <w:rFonts w:hint="eastAsia" w:ascii="宋体" w:cs="宋体" w:hAnsiTheme="minorHAnsi"/>
                <w:kern w:val="0"/>
                <w:sz w:val="24"/>
                <w:szCs w:val="24"/>
              </w:rPr>
              <w:t>气体压力传感器、气体流量计、温度显示仪、测厚仪、电子天平、热电偶、涡轮</w:t>
            </w:r>
            <w:r>
              <w:rPr>
                <w:rFonts w:hint="eastAsia" w:ascii="宋体"/>
                <w:bCs/>
                <w:sz w:val="24"/>
                <w:szCs w:val="24"/>
              </w:rPr>
              <w:t>流量计等计量器具。</w:t>
            </w:r>
            <w:r>
              <w:rPr>
                <w:rFonts w:hint="eastAsia" w:ascii="宋体"/>
                <w:sz w:val="24"/>
                <w:szCs w:val="24"/>
              </w:rPr>
              <w:t>配备有水冷系统、排风系统、可燃气体检测装置，确保试验过程安全可靠，满足环保要求。</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目前，氧-乙炔烧蚀率测试仪生产和使用单位及型号较多，各仪器间差别较大，现还没有专用统一的检定规程或校准规范，使得材料烧蚀率的测量结果存在不一致性，难以实现对烧蚀材料进行准确、客观及一致的评价，为烧蚀材料的研究和质量保证带来困难。</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氧-乙炔烧蚀率测试仪校准规范的建立，可以保证不同测量仪器间的准确一致性，可以实现对烧蚀率的准确测量，满足当前耐烧蚀材料在科研、生产、加工和使用中对烧蚀率判定的迫切需求，可以为正确评价材料的耐烧蚀性能提供重要的数据保障，达到氧-乙炔烧蚀率测试量值统一的目的，应用范围还可扩展至包括含氟、酚醛等其它新型耐烧蚀率的测试。</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ascii="宋体"/>
                <w:sz w:val="24"/>
                <w:szCs w:val="24"/>
              </w:rPr>
            </w:pPr>
            <w:r>
              <w:rPr>
                <w:rFonts w:hint="eastAsia" w:ascii="宋体"/>
                <w:sz w:val="24"/>
                <w:szCs w:val="24"/>
              </w:rPr>
              <w:t>根据查新结果，国家、</w:t>
            </w:r>
            <w:r>
              <w:rPr>
                <w:rFonts w:hint="eastAsia"/>
                <w:sz w:val="24"/>
                <w:szCs w:val="24"/>
              </w:rPr>
              <w:t>本行业或其他行业还无相应测试仪技术规范。本校准规范的建立填补了烧蚀率专项性能测试领域空白。可在航天、兵器、化工等行业中的耐烧蚀材料及制品的研发及制造中得到广泛应用。</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jc w:val="center"/>
        </w:trPr>
        <w:tc>
          <w:tcPr>
            <w:tcW w:w="1772" w:type="dxa"/>
            <w:gridSpan w:val="2"/>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范围和主要</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计量特性</w:t>
            </w:r>
          </w:p>
        </w:tc>
        <w:tc>
          <w:tcPr>
            <w:tcW w:w="7398" w:type="dxa"/>
            <w:gridSpan w:val="6"/>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1. 本检定规程适用于氧-乙炔烧蚀率测试仪的校准</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2. 主要计量特性</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2.1氧-乙炔烧蚀测试仪</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2.1.1烧蚀枪喷嘴口径：（2.00~2.05）</w:t>
            </w:r>
            <w:r>
              <w:rPr>
                <w:sz w:val="24"/>
                <w:szCs w:val="24"/>
              </w:rPr>
              <w:t>mm</w:t>
            </w:r>
            <w:r>
              <w:rPr>
                <w:rFonts w:hint="eastAsia"/>
                <w:sz w:val="24"/>
                <w:szCs w:val="24"/>
              </w:rPr>
              <w:t>；</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2.1.2 烧蚀距离：（10±0.2）</w:t>
            </w:r>
            <w:r>
              <w:rPr>
                <w:sz w:val="24"/>
                <w:szCs w:val="24"/>
              </w:rPr>
              <w:t>mm</w:t>
            </w:r>
            <w:r>
              <w:rPr>
                <w:rFonts w:hint="eastAsia"/>
                <w:sz w:val="24"/>
                <w:szCs w:val="24"/>
              </w:rPr>
              <w:t>；</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2.1.3火焰热流密度：</w:t>
            </w:r>
            <w:r>
              <w:rPr>
                <w:sz w:val="24"/>
                <w:szCs w:val="24"/>
              </w:rPr>
              <w:t>4l86.8</w:t>
            </w:r>
            <w:r>
              <w:rPr>
                <w:rFonts w:hint="eastAsia"/>
                <w:sz w:val="24"/>
                <w:szCs w:val="24"/>
              </w:rPr>
              <w:t>×（</w:t>
            </w:r>
            <w:r>
              <w:rPr>
                <w:sz w:val="24"/>
                <w:szCs w:val="24"/>
              </w:rPr>
              <w:t>1</w:t>
            </w:r>
            <w:r>
              <w:rPr>
                <w:rFonts w:hint="eastAsia"/>
                <w:sz w:val="24"/>
                <w:szCs w:val="24"/>
              </w:rPr>
              <w:t>±7％）</w:t>
            </w:r>
            <w:r>
              <w:rPr>
                <w:sz w:val="24"/>
                <w:szCs w:val="24"/>
              </w:rPr>
              <w:t>kW</w:t>
            </w:r>
            <w:r>
              <w:rPr>
                <w:rFonts w:hint="eastAsia"/>
                <w:sz w:val="24"/>
                <w:szCs w:val="24"/>
              </w:rPr>
              <w:t>／</w:t>
            </w:r>
            <w:r>
              <w:rPr>
                <w:sz w:val="24"/>
                <w:szCs w:val="24"/>
              </w:rPr>
              <w:t>m</w:t>
            </w:r>
            <w:r>
              <w:rPr>
                <w:sz w:val="24"/>
                <w:szCs w:val="24"/>
                <w:vertAlign w:val="superscript"/>
              </w:rPr>
              <w:t xml:space="preserve"> 2</w:t>
            </w:r>
            <w:r>
              <w:rPr>
                <w:rFonts w:hint="eastAsia"/>
                <w:sz w:val="24"/>
                <w:szCs w:val="24"/>
              </w:rPr>
              <w:t>；</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2.2氧-乙炔烧蚀率重复性：</w:t>
            </w:r>
          </w:p>
          <w:p>
            <w:pPr>
              <w:keepNext w:val="0"/>
              <w:keepLines w:val="0"/>
              <w:pageBreakBefore w:val="0"/>
              <w:widowControl w:val="0"/>
              <w:kinsoku/>
              <w:wordWrap/>
              <w:overflowPunct/>
              <w:topLinePunct w:val="0"/>
              <w:autoSpaceDE/>
              <w:autoSpaceDN/>
              <w:bidi w:val="0"/>
              <w:spacing w:line="360" w:lineRule="auto"/>
              <w:ind w:firstLine="360" w:firstLineChars="150"/>
              <w:textAlignment w:val="auto"/>
              <w:rPr>
                <w:sz w:val="24"/>
                <w:szCs w:val="24"/>
              </w:rPr>
            </w:pPr>
            <w:r>
              <w:rPr>
                <w:rFonts w:hint="eastAsia"/>
                <w:sz w:val="24"/>
                <w:szCs w:val="24"/>
              </w:rPr>
              <w:t>包覆层烧蚀率不大于2%；</w:t>
            </w:r>
          </w:p>
          <w:p>
            <w:pPr>
              <w:keepNext w:val="0"/>
              <w:keepLines w:val="0"/>
              <w:pageBreakBefore w:val="0"/>
              <w:widowControl w:val="0"/>
              <w:kinsoku/>
              <w:wordWrap/>
              <w:overflowPunct/>
              <w:topLinePunct w:val="0"/>
              <w:autoSpaceDE/>
              <w:autoSpaceDN/>
              <w:bidi w:val="0"/>
              <w:spacing w:line="360" w:lineRule="auto"/>
              <w:ind w:firstLine="360" w:firstLineChars="150"/>
              <w:textAlignment w:val="auto"/>
              <w:rPr>
                <w:sz w:val="24"/>
                <w:szCs w:val="24"/>
              </w:rPr>
            </w:pPr>
            <w:r>
              <w:rPr>
                <w:rFonts w:hint="eastAsia"/>
                <w:sz w:val="24"/>
                <w:szCs w:val="24"/>
              </w:rPr>
              <w:t>绝热层烧蚀率不大于4%；</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2.3 烧蚀率示值误差不大于10%。</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3. 检定用设备</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3.1百分表</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测量范围：（0～20）</w:t>
            </w:r>
            <w:r>
              <w:rPr>
                <w:sz w:val="24"/>
                <w:szCs w:val="24"/>
              </w:rPr>
              <w:t>mm</w:t>
            </w:r>
            <w:r>
              <w:rPr>
                <w:rFonts w:hint="eastAsia"/>
                <w:sz w:val="24"/>
                <w:szCs w:val="24"/>
              </w:rPr>
              <w:t>，分度值：0.01</w:t>
            </w:r>
            <w:r>
              <w:rPr>
                <w:sz w:val="24"/>
                <w:szCs w:val="24"/>
              </w:rPr>
              <w:t>mm</w:t>
            </w:r>
            <w:r>
              <w:rPr>
                <w:rFonts w:hint="eastAsia"/>
                <w:sz w:val="24"/>
                <w:szCs w:val="24"/>
              </w:rPr>
              <w:t>；</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3.2游标卡尺</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测量范围：（0～150）</w:t>
            </w:r>
            <w:r>
              <w:rPr>
                <w:sz w:val="24"/>
                <w:szCs w:val="24"/>
              </w:rPr>
              <w:t>mm</w:t>
            </w:r>
            <w:r>
              <w:rPr>
                <w:rFonts w:hint="eastAsia"/>
                <w:sz w:val="24"/>
                <w:szCs w:val="24"/>
              </w:rPr>
              <w:t>，分度值：0.02</w:t>
            </w:r>
            <w:r>
              <w:rPr>
                <w:sz w:val="24"/>
                <w:szCs w:val="24"/>
              </w:rPr>
              <w:t>mm</w:t>
            </w:r>
            <w:r>
              <w:rPr>
                <w:rFonts w:hint="eastAsia"/>
                <w:sz w:val="24"/>
                <w:szCs w:val="24"/>
              </w:rPr>
              <w:t>；</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3.3 烧蚀喷嘴通止规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通规直径：（1.975~2.0）</w:t>
            </w:r>
            <w:r>
              <w:rPr>
                <w:sz w:val="24"/>
                <w:szCs w:val="24"/>
              </w:rPr>
              <w:t>mm</w:t>
            </w:r>
            <w:r>
              <w:rPr>
                <w:rFonts w:hint="eastAsia"/>
                <w:sz w:val="24"/>
                <w:szCs w:val="24"/>
              </w:rPr>
              <w:t>，止规直径:（2.05~2.075）</w:t>
            </w:r>
            <w:r>
              <w:rPr>
                <w:sz w:val="24"/>
                <w:szCs w:val="24"/>
              </w:rPr>
              <w:t>mm</w:t>
            </w:r>
            <w:r>
              <w:rPr>
                <w:rFonts w:hint="eastAsia"/>
                <w:sz w:val="24"/>
                <w:szCs w:val="24"/>
              </w:rPr>
              <w:t>；</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3.4 烧蚀距离量规</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圆台高度：（10±0.05）</w:t>
            </w:r>
            <w:r>
              <w:rPr>
                <w:sz w:val="24"/>
                <w:szCs w:val="24"/>
              </w:rPr>
              <w:t>mm</w:t>
            </w:r>
            <w:r>
              <w:rPr>
                <w:rFonts w:hint="eastAsia"/>
                <w:sz w:val="24"/>
                <w:szCs w:val="24"/>
              </w:rPr>
              <w:t>；</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3.5按</w:t>
            </w:r>
            <w:r>
              <w:rPr>
                <w:rFonts w:hint="eastAsia" w:asciiTheme="minorEastAsia" w:hAnsiTheme="minorEastAsia" w:eastAsiaTheme="minorEastAsia"/>
                <w:bCs/>
                <w:sz w:val="24"/>
                <w:szCs w:val="24"/>
              </w:rPr>
              <w:t>GJB/J5228-2003 “绝热层、包覆层氧-乙炔烧蚀率标准物质规范”</w:t>
            </w:r>
            <w:r>
              <w:rPr>
                <w:rFonts w:hint="eastAsia"/>
                <w:sz w:val="24"/>
                <w:szCs w:val="24"/>
              </w:rPr>
              <w:t>制造和定值的两种标准物质</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绝热层烧蚀率标准物质：（0.160~0.180）mm/s，</w:t>
            </w:r>
            <w:r>
              <w:rPr>
                <w:rFonts w:hint="eastAsia"/>
                <w:i/>
                <w:sz w:val="24"/>
                <w:szCs w:val="24"/>
              </w:rPr>
              <w:t>U</w:t>
            </w:r>
            <w:r>
              <w:rPr>
                <w:rFonts w:hint="eastAsia"/>
                <w:sz w:val="24"/>
                <w:szCs w:val="24"/>
              </w:rPr>
              <w:t>=0.10 mm/s</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sz w:val="24"/>
                <w:szCs w:val="24"/>
              </w:rPr>
            </w:pPr>
            <w:r>
              <w:rPr>
                <w:rFonts w:hint="eastAsia"/>
                <w:sz w:val="24"/>
                <w:szCs w:val="24"/>
              </w:rPr>
              <w:t>包覆层烧蚀率标准物质：（0.550~0.580）mm/s，</w:t>
            </w:r>
            <w:r>
              <w:rPr>
                <w:rFonts w:hint="eastAsia"/>
                <w:i/>
                <w:sz w:val="24"/>
                <w:szCs w:val="24"/>
              </w:rPr>
              <w:t>U</w:t>
            </w:r>
            <w:r>
              <w:rPr>
                <w:rFonts w:hint="eastAsia"/>
                <w:sz w:val="24"/>
                <w:szCs w:val="24"/>
              </w:rPr>
              <w:t>=0.17 mm/s</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r>
              <w:rPr>
                <w:rFonts w:hint="eastAsia"/>
                <w:sz w:val="24"/>
                <w:szCs w:val="24"/>
              </w:rPr>
              <w:t>4. 校准项目包括：外观及工作正常性、烧蚀系统、绝热层和包覆层烧蚀率标准物质的测试值及相对标准偏差。</w:t>
            </w:r>
          </w:p>
          <w:p>
            <w:pPr>
              <w:keepNext w:val="0"/>
              <w:keepLines w:val="0"/>
              <w:pageBreakBefore w:val="0"/>
              <w:widowControl w:val="0"/>
              <w:kinsoku/>
              <w:wordWrap/>
              <w:overflowPunct/>
              <w:topLinePunct w:val="0"/>
              <w:autoSpaceDE/>
              <w:autoSpaceDN/>
              <w:bidi w:val="0"/>
              <w:spacing w:line="360" w:lineRule="auto"/>
              <w:textAlignment w:val="auto"/>
              <w:rPr>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621" w:hRule="atLeast"/>
          <w:jc w:val="center"/>
        </w:trPr>
        <w:tc>
          <w:tcPr>
            <w:tcW w:w="1772" w:type="dxa"/>
            <w:gridSpan w:val="2"/>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水平</w:t>
            </w:r>
          </w:p>
        </w:tc>
        <w:tc>
          <w:tcPr>
            <w:tcW w:w="7398" w:type="dxa"/>
            <w:gridSpan w:val="6"/>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r>
              <w:rPr>
                <w:rFonts w:hint="eastAsia"/>
                <w:sz w:val="24"/>
                <w:szCs w:val="24"/>
              </w:rPr>
              <w:t>□国际先进</w:t>
            </w:r>
            <w:r>
              <w:rPr>
                <w:rFonts w:hint="eastAsia" w:ascii="宋体" w:hAnsi="宋体"/>
                <w:sz w:val="24"/>
                <w:szCs w:val="24"/>
              </w:rPr>
              <w:t>█</w:t>
            </w:r>
            <w:r>
              <w:rPr>
                <w:rFonts w:hint="eastAsia"/>
                <w:sz w:val="24"/>
                <w:szCs w:val="24"/>
              </w:rPr>
              <w:t>国内先进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914" w:hRule="atLeast"/>
          <w:jc w:val="center"/>
        </w:trPr>
        <w:tc>
          <w:tcPr>
            <w:tcW w:w="1772" w:type="dxa"/>
            <w:gridSpan w:val="2"/>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国内外情况</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简要说明</w:t>
            </w:r>
          </w:p>
        </w:tc>
        <w:tc>
          <w:tcPr>
            <w:tcW w:w="7398" w:type="dxa"/>
            <w:gridSpan w:val="6"/>
            <w:tcBorders>
              <w:top w:val="single" w:color="auto" w:sz="4" w:space="0"/>
              <w:left w:val="single" w:color="auto" w:sz="4" w:space="0"/>
              <w:bottom w:val="single" w:color="auto" w:sz="4" w:space="0"/>
              <w:right w:val="single" w:color="auto" w:sz="4" w:space="0"/>
            </w:tcBorders>
            <w:tcMar>
              <w:top w:w="28" w:type="dxa"/>
              <w:left w:w="108" w:type="dxa"/>
              <w:bottom w:w="28" w:type="dxa"/>
              <w:right w:w="108" w:type="dxa"/>
            </w:tcMar>
            <w:vAlign w:val="center"/>
          </w:tcPr>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r>
              <w:rPr>
                <w:sz w:val="24"/>
                <w:szCs w:val="24"/>
              </w:rPr>
              <w:t>1.</w:t>
            </w:r>
            <w:r>
              <w:rPr>
                <w:rFonts w:hint="eastAsia"/>
                <w:sz w:val="24"/>
                <w:szCs w:val="24"/>
              </w:rPr>
              <w:t>无相应的校准规范</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sz w:val="24"/>
                <w:szCs w:val="24"/>
              </w:rPr>
            </w:pPr>
            <w:r>
              <w:rPr>
                <w:sz w:val="24"/>
                <w:szCs w:val="24"/>
              </w:rPr>
              <w:t>2.</w:t>
            </w:r>
            <w:r>
              <w:rPr>
                <w:rFonts w:hint="eastAsia"/>
                <w:sz w:val="24"/>
                <w:szCs w:val="24"/>
              </w:rPr>
              <w:t>暂无发现有知识产权的问题，或涉及专利的情况；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11" w:type="dxa"/>
            <w:left w:w="108" w:type="dxa"/>
            <w:bottom w:w="11" w:type="dxa"/>
            <w:right w:w="108" w:type="dxa"/>
          </w:tblCellMar>
        </w:tblPrEx>
        <w:trPr>
          <w:trHeight w:val="2429" w:hRule="atLeast"/>
          <w:jc w:val="center"/>
        </w:trPr>
        <w:tc>
          <w:tcPr>
            <w:tcW w:w="8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主要</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起草单位</w:t>
            </w:r>
          </w:p>
        </w:tc>
        <w:tc>
          <w:tcPr>
            <w:tcW w:w="195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lang w:val="en-US" w:eastAsia="zh-CN"/>
              </w:rPr>
              <w:t xml:space="preserve"> </w:t>
            </w: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tc>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技术</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委员会</w:t>
            </w:r>
          </w:p>
        </w:tc>
        <w:tc>
          <w:tcPr>
            <w:tcW w:w="212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tc>
        <w:tc>
          <w:tcPr>
            <w:tcW w:w="84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部委托</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支撑</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单位</w:t>
            </w:r>
          </w:p>
        </w:tc>
        <w:tc>
          <w:tcPr>
            <w:tcW w:w="250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sz w:val="24"/>
                <w:szCs w:val="24"/>
              </w:rPr>
            </w:pPr>
            <w:r>
              <w:rPr>
                <w:rFonts w:hint="eastAsia"/>
                <w:sz w:val="24"/>
                <w:szCs w:val="24"/>
              </w:rPr>
              <w:t>年</w:t>
            </w:r>
            <w:r>
              <w:rPr>
                <w:rFonts w:hint="eastAsia"/>
                <w:sz w:val="24"/>
                <w:szCs w:val="24"/>
                <w:lang w:val="en-US" w:eastAsia="zh-CN"/>
              </w:rPr>
              <w:t xml:space="preserve"> </w:t>
            </w:r>
            <w:r>
              <w:rPr>
                <w:rFonts w:hint="eastAsia"/>
                <w:sz w:val="24"/>
                <w:szCs w:val="24"/>
              </w:rPr>
              <w:t>月</w:t>
            </w:r>
            <w:r>
              <w:rPr>
                <w:rFonts w:hint="eastAsia"/>
                <w:sz w:val="24"/>
                <w:szCs w:val="24"/>
                <w:lang w:val="en-US" w:eastAsia="zh-CN"/>
              </w:rPr>
              <w:t xml:space="preserve"> </w:t>
            </w:r>
            <w:r>
              <w:rPr>
                <w:rFonts w:hint="eastAsia"/>
                <w:sz w:val="24"/>
                <w:szCs w:val="24"/>
              </w:rPr>
              <w:t>日</w:t>
            </w:r>
          </w:p>
        </w:tc>
      </w:tr>
    </w:tbl>
    <w:p>
      <w:pPr>
        <w:widowControl/>
        <w:spacing w:line="340" w:lineRule="exact"/>
        <w:jc w:val="left"/>
        <w:rPr>
          <w:rFonts w:ascii="宋体" w:hAnsi="宋体" w:cs="仿宋_GB2312"/>
          <w:kern w:val="0"/>
          <w:sz w:val="32"/>
          <w:szCs w:val="32"/>
        </w:rPr>
      </w:pPr>
    </w:p>
    <w:sectPr>
      <w:headerReference r:id="rId3" w:type="first"/>
      <w:footerReference r:id="rId4" w:type="default"/>
      <w:pgSz w:w="11906" w:h="16838"/>
      <w:pgMar w:top="1440" w:right="1800" w:bottom="1135"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7"/>
      </w:rPr>
    </w:pPr>
    <w:r>
      <w:rPr>
        <w:rStyle w:val="7"/>
      </w:rPr>
      <w:fldChar w:fldCharType="begin"/>
    </w:r>
    <w:r>
      <w:rPr>
        <w:rStyle w:val="7"/>
      </w:rPr>
      <w:instrText xml:space="preserve">PAGE  </w:instrText>
    </w:r>
    <w:r>
      <w:rPr>
        <w:rStyle w:val="7"/>
      </w:rPr>
      <w:fldChar w:fldCharType="separate"/>
    </w:r>
    <w:r>
      <w:rPr>
        <w:rStyle w:val="7"/>
      </w:rPr>
      <w:t>3</w:t>
    </w:r>
    <w:r>
      <w:rPr>
        <w:rStyle w:val="7"/>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宋体"/>
        <w:sz w:val="24"/>
      </w:rPr>
      <w:t>GJB/J</w:t>
    </w:r>
    <w:r>
      <w:rPr>
        <w:rFonts w:hint="eastAsia" w:ascii="宋体"/>
        <w:sz w:val="24"/>
      </w:rPr>
      <w:t>××××</w:t>
    </w:r>
    <w:r>
      <w:rPr>
        <w:rFonts w:ascii="宋体"/>
        <w:sz w:val="24"/>
      </w:rPr>
      <w:t>-</w:t>
    </w:r>
    <w:r>
      <w:rPr>
        <w:rFonts w:hint="eastAsia" w:ascii="宋体"/>
        <w:sz w:val="24"/>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RkMDc3NDI4YWE5ODNkOWJjNTJkYWZmZjQ0MmNkNTkifQ=="/>
    <w:docVar w:name="KSO_WPS_MARK_KEY" w:val="41eae16f-46ce-494f-8e31-2b33d2dce73c"/>
  </w:docVars>
  <w:rsids>
    <w:rsidRoot w:val="00004FC2"/>
    <w:rsid w:val="00004FC2"/>
    <w:rsid w:val="00011F93"/>
    <w:rsid w:val="00027DC5"/>
    <w:rsid w:val="00042BFE"/>
    <w:rsid w:val="000B5105"/>
    <w:rsid w:val="000E4F42"/>
    <w:rsid w:val="00102F3D"/>
    <w:rsid w:val="001B03F3"/>
    <w:rsid w:val="001B10C4"/>
    <w:rsid w:val="001D37A4"/>
    <w:rsid w:val="00255604"/>
    <w:rsid w:val="00261D41"/>
    <w:rsid w:val="002B51A8"/>
    <w:rsid w:val="0030633A"/>
    <w:rsid w:val="00313CD0"/>
    <w:rsid w:val="003F6E9F"/>
    <w:rsid w:val="0041229D"/>
    <w:rsid w:val="00431329"/>
    <w:rsid w:val="00432D3F"/>
    <w:rsid w:val="004345BF"/>
    <w:rsid w:val="004533A0"/>
    <w:rsid w:val="004A1934"/>
    <w:rsid w:val="005040B6"/>
    <w:rsid w:val="005256CB"/>
    <w:rsid w:val="00595E61"/>
    <w:rsid w:val="005C5083"/>
    <w:rsid w:val="005E1F9D"/>
    <w:rsid w:val="0062347C"/>
    <w:rsid w:val="00631B69"/>
    <w:rsid w:val="00635E0E"/>
    <w:rsid w:val="006B13DB"/>
    <w:rsid w:val="007664AB"/>
    <w:rsid w:val="00792465"/>
    <w:rsid w:val="007968E5"/>
    <w:rsid w:val="008072C2"/>
    <w:rsid w:val="0085639E"/>
    <w:rsid w:val="00965E2D"/>
    <w:rsid w:val="00976684"/>
    <w:rsid w:val="00A12C4C"/>
    <w:rsid w:val="00A318DE"/>
    <w:rsid w:val="00A47629"/>
    <w:rsid w:val="00A87160"/>
    <w:rsid w:val="00AB4488"/>
    <w:rsid w:val="00AC749A"/>
    <w:rsid w:val="00AE01CC"/>
    <w:rsid w:val="00AE6159"/>
    <w:rsid w:val="00B01EE7"/>
    <w:rsid w:val="00B33CD6"/>
    <w:rsid w:val="00B42C80"/>
    <w:rsid w:val="00B56E49"/>
    <w:rsid w:val="00BC6EBF"/>
    <w:rsid w:val="00BE2FE1"/>
    <w:rsid w:val="00BF607A"/>
    <w:rsid w:val="00C137A3"/>
    <w:rsid w:val="00C5537C"/>
    <w:rsid w:val="00C75FFE"/>
    <w:rsid w:val="00C80984"/>
    <w:rsid w:val="00C90E58"/>
    <w:rsid w:val="00CC11FA"/>
    <w:rsid w:val="00D3100A"/>
    <w:rsid w:val="00D33D45"/>
    <w:rsid w:val="00D6465F"/>
    <w:rsid w:val="00D95307"/>
    <w:rsid w:val="00DE60A9"/>
    <w:rsid w:val="00DE78B8"/>
    <w:rsid w:val="00DF3538"/>
    <w:rsid w:val="00E35F5E"/>
    <w:rsid w:val="00E72909"/>
    <w:rsid w:val="00EA3D1A"/>
    <w:rsid w:val="00EB2EE7"/>
    <w:rsid w:val="00F02FBF"/>
    <w:rsid w:val="00F75401"/>
    <w:rsid w:val="00FA7FB3"/>
    <w:rsid w:val="00FD794B"/>
    <w:rsid w:val="0FB92908"/>
    <w:rsid w:val="20FF1B7E"/>
    <w:rsid w:val="307E236D"/>
    <w:rsid w:val="42F06635"/>
    <w:rsid w:val="441808D6"/>
    <w:rsid w:val="45DC4F9E"/>
    <w:rsid w:val="490E2DF4"/>
    <w:rsid w:val="54D26B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7">
    <w:name w:val="page number"/>
    <w:basedOn w:val="6"/>
    <w:semiHidden/>
    <w:qFormat/>
    <w:uiPriority w:val="0"/>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1220</Words>
  <Characters>1381</Characters>
  <Lines>11</Lines>
  <Paragraphs>3</Paragraphs>
  <TotalTime>3</TotalTime>
  <ScaleCrop>false</ScaleCrop>
  <LinksUpToDate>false</LinksUpToDate>
  <CharactersWithSpaces>1400</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2023-02-20T00:45:00Z</dcterms:created>
  <dc:creator>Sysceo.com</dc:creator>
  <cp:lastModifiedBy>winwin</cp:lastModifiedBy>
  <dcterms:modified xsi:type="dcterms:W3CDTF">2023-02-27T02:13:12Z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D95CDF2E93A74E8681B18A47F4292236</vt:lpwstr>
  </property>
</Properties>
</file>