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spacing w:line="360" w:lineRule="auto"/>
        <w:rPr>
          <w:b/>
          <w:color w:val="000000" w:themeColor="text1"/>
          <w:sz w:val="36"/>
          <w:szCs w:val="36"/>
        </w:rPr>
      </w:pPr>
    </w:p>
    <w:p>
      <w:pPr>
        <w:pageBreakBefore w:val="0"/>
        <w:kinsoku/>
        <w:wordWrap/>
        <w:overflowPunct/>
        <w:topLinePunct w:val="0"/>
        <w:bidi w:val="0"/>
        <w:spacing w:line="360" w:lineRule="auto"/>
        <w:rPr>
          <w:b/>
          <w:color w:val="000000" w:themeColor="text1"/>
          <w:sz w:val="36"/>
          <w:szCs w:val="36"/>
        </w:rPr>
      </w:pPr>
    </w:p>
    <w:p>
      <w:pPr>
        <w:pageBreakBefore w:val="0"/>
        <w:kinsoku/>
        <w:wordWrap/>
        <w:overflowPunct/>
        <w:topLinePunct w:val="0"/>
        <w:bidi w:val="0"/>
        <w:spacing w:line="360" w:lineRule="auto"/>
        <w:rPr>
          <w:b/>
          <w:color w:val="000000" w:themeColor="text1"/>
          <w:sz w:val="36"/>
          <w:szCs w:val="36"/>
        </w:rPr>
      </w:pPr>
    </w:p>
    <w:p>
      <w:pPr>
        <w:pageBreakBefore w:val="0"/>
        <w:kinsoku/>
        <w:wordWrap/>
        <w:overflowPunct/>
        <w:topLinePunct w:val="0"/>
        <w:bidi w:val="0"/>
        <w:spacing w:line="360" w:lineRule="auto"/>
        <w:rPr>
          <w:b/>
          <w:color w:val="000000" w:themeColor="text1"/>
          <w:sz w:val="52"/>
          <w:szCs w:val="52"/>
        </w:rPr>
      </w:pPr>
    </w:p>
    <w:p>
      <w:pPr>
        <w:pageBreakBefore w:val="0"/>
        <w:kinsoku/>
        <w:wordWrap/>
        <w:overflowPunct/>
        <w:topLinePunct w:val="0"/>
        <w:bidi w:val="0"/>
        <w:spacing w:line="360" w:lineRule="auto"/>
        <w:ind w:firstLine="260" w:firstLineChars="50"/>
        <w:jc w:val="center"/>
        <w:rPr>
          <w:rFonts w:ascii="方正小标宋简体" w:eastAsia="方正小标宋简体"/>
          <w:bCs/>
          <w:color w:val="000000" w:themeColor="text1"/>
          <w:sz w:val="52"/>
          <w:szCs w:val="52"/>
        </w:rPr>
      </w:pPr>
      <w:r>
        <w:rPr>
          <w:rFonts w:hint="eastAsia" w:ascii="方正小标宋简体" w:eastAsia="方正小标宋简体"/>
          <w:bCs/>
          <w:color w:val="000000" w:themeColor="text1"/>
          <w:sz w:val="52"/>
          <w:szCs w:val="52"/>
        </w:rPr>
        <w:t>《建材产品使用说明书 智能门锁》</w:t>
      </w:r>
    </w:p>
    <w:p>
      <w:pPr>
        <w:pageBreakBefore w:val="0"/>
        <w:kinsoku/>
        <w:wordWrap/>
        <w:overflowPunct/>
        <w:topLinePunct w:val="0"/>
        <w:bidi w:val="0"/>
        <w:spacing w:line="360" w:lineRule="auto"/>
        <w:ind w:firstLine="260" w:firstLineChars="50"/>
        <w:jc w:val="center"/>
        <w:rPr>
          <w:rFonts w:ascii="方正小标宋简体" w:eastAsia="方正小标宋简体"/>
          <w:bCs/>
          <w:color w:val="000000" w:themeColor="text1"/>
          <w:sz w:val="52"/>
          <w:szCs w:val="52"/>
        </w:rPr>
      </w:pPr>
      <w:r>
        <w:rPr>
          <w:rFonts w:hint="eastAsia" w:ascii="方正小标宋简体" w:eastAsia="方正小标宋简体"/>
          <w:bCs/>
          <w:color w:val="000000" w:themeColor="text1"/>
          <w:sz w:val="52"/>
          <w:szCs w:val="52"/>
        </w:rPr>
        <w:t>团体标准编制说明</w:t>
      </w:r>
    </w:p>
    <w:p>
      <w:pPr>
        <w:pageBreakBefore w:val="0"/>
        <w:kinsoku/>
        <w:wordWrap/>
        <w:overflowPunct/>
        <w:topLinePunct w:val="0"/>
        <w:bidi w:val="0"/>
        <w:spacing w:line="360" w:lineRule="auto"/>
        <w:jc w:val="center"/>
        <w:rPr>
          <w:b/>
          <w:color w:val="000000" w:themeColor="text1"/>
          <w:sz w:val="44"/>
          <w:szCs w:val="44"/>
        </w:rPr>
      </w:pPr>
    </w:p>
    <w:p>
      <w:pPr>
        <w:pageBreakBefore w:val="0"/>
        <w:kinsoku/>
        <w:wordWrap/>
        <w:overflowPunct/>
        <w:topLinePunct w:val="0"/>
        <w:bidi w:val="0"/>
        <w:spacing w:line="360" w:lineRule="auto"/>
        <w:jc w:val="center"/>
        <w:rPr>
          <w:b/>
          <w:color w:val="000000" w:themeColor="text1"/>
          <w:sz w:val="44"/>
          <w:szCs w:val="44"/>
        </w:rPr>
      </w:pPr>
      <w:r>
        <w:rPr>
          <w:rFonts w:hint="eastAsia"/>
          <w:b/>
          <w:color w:val="000000" w:themeColor="text1"/>
          <w:sz w:val="44"/>
          <w:szCs w:val="44"/>
        </w:rPr>
        <w:t>（报批稿）</w:t>
      </w:r>
    </w:p>
    <w:p>
      <w:pPr>
        <w:pageBreakBefore w:val="0"/>
        <w:kinsoku/>
        <w:wordWrap/>
        <w:overflowPunct/>
        <w:topLinePunct w:val="0"/>
        <w:bidi w:val="0"/>
        <w:spacing w:line="360" w:lineRule="auto"/>
        <w:jc w:val="center"/>
        <w:rPr>
          <w:b/>
          <w:color w:val="000000" w:themeColor="text1"/>
          <w:sz w:val="44"/>
          <w:szCs w:val="44"/>
        </w:rPr>
      </w:pPr>
    </w:p>
    <w:p>
      <w:pPr>
        <w:pageBreakBefore w:val="0"/>
        <w:kinsoku/>
        <w:wordWrap/>
        <w:overflowPunct/>
        <w:topLinePunct w:val="0"/>
        <w:bidi w:val="0"/>
        <w:spacing w:line="360" w:lineRule="auto"/>
        <w:jc w:val="center"/>
        <w:rPr>
          <w:b/>
          <w:color w:val="000000" w:themeColor="text1"/>
          <w:sz w:val="44"/>
          <w:szCs w:val="44"/>
        </w:rPr>
      </w:pPr>
    </w:p>
    <w:p>
      <w:pPr>
        <w:pageBreakBefore w:val="0"/>
        <w:kinsoku/>
        <w:wordWrap/>
        <w:overflowPunct/>
        <w:topLinePunct w:val="0"/>
        <w:bidi w:val="0"/>
        <w:spacing w:line="360" w:lineRule="auto"/>
        <w:rPr>
          <w:b/>
          <w:color w:val="000000" w:themeColor="text1"/>
          <w:sz w:val="44"/>
          <w:szCs w:val="44"/>
        </w:rPr>
      </w:pPr>
    </w:p>
    <w:p>
      <w:pPr>
        <w:pageBreakBefore w:val="0"/>
        <w:kinsoku/>
        <w:wordWrap/>
        <w:overflowPunct/>
        <w:topLinePunct w:val="0"/>
        <w:bidi w:val="0"/>
        <w:spacing w:line="360" w:lineRule="auto"/>
        <w:rPr>
          <w:b/>
          <w:color w:val="000000" w:themeColor="text1"/>
          <w:sz w:val="44"/>
          <w:szCs w:val="44"/>
        </w:rPr>
      </w:pPr>
    </w:p>
    <w:p>
      <w:pPr>
        <w:pageBreakBefore w:val="0"/>
        <w:kinsoku/>
        <w:wordWrap/>
        <w:overflowPunct/>
        <w:topLinePunct w:val="0"/>
        <w:bidi w:val="0"/>
        <w:spacing w:line="360" w:lineRule="auto"/>
        <w:rPr>
          <w:b/>
          <w:color w:val="000000" w:themeColor="text1"/>
          <w:sz w:val="44"/>
          <w:szCs w:val="44"/>
        </w:rPr>
      </w:pPr>
    </w:p>
    <w:p>
      <w:pPr>
        <w:pageBreakBefore w:val="0"/>
        <w:kinsoku/>
        <w:wordWrap/>
        <w:overflowPunct/>
        <w:topLinePunct w:val="0"/>
        <w:bidi w:val="0"/>
        <w:spacing w:line="360" w:lineRule="auto"/>
        <w:jc w:val="center"/>
        <w:rPr>
          <w:b/>
          <w:color w:val="000000" w:themeColor="text1"/>
          <w:sz w:val="44"/>
          <w:szCs w:val="44"/>
        </w:rPr>
      </w:pPr>
    </w:p>
    <w:p>
      <w:pPr>
        <w:pageBreakBefore w:val="0"/>
        <w:kinsoku/>
        <w:wordWrap/>
        <w:overflowPunct/>
        <w:topLinePunct w:val="0"/>
        <w:bidi w:val="0"/>
        <w:spacing w:line="360" w:lineRule="auto"/>
        <w:jc w:val="center"/>
        <w:rPr>
          <w:b/>
          <w:color w:val="000000" w:themeColor="text1"/>
          <w:sz w:val="44"/>
          <w:szCs w:val="44"/>
        </w:rPr>
      </w:pPr>
    </w:p>
    <w:p>
      <w:pPr>
        <w:pageBreakBefore w:val="0"/>
        <w:kinsoku/>
        <w:wordWrap/>
        <w:overflowPunct/>
        <w:topLinePunct w:val="0"/>
        <w:bidi w:val="0"/>
        <w:spacing w:line="360" w:lineRule="auto"/>
        <w:jc w:val="center"/>
        <w:rPr>
          <w:b/>
          <w:color w:val="000000" w:themeColor="text1"/>
          <w:sz w:val="44"/>
          <w:szCs w:val="44"/>
        </w:rPr>
      </w:pPr>
    </w:p>
    <w:p>
      <w:pPr>
        <w:pageBreakBefore w:val="0"/>
        <w:kinsoku/>
        <w:wordWrap/>
        <w:overflowPunct/>
        <w:topLinePunct w:val="0"/>
        <w:bidi w:val="0"/>
        <w:spacing w:line="360" w:lineRule="auto"/>
        <w:jc w:val="center"/>
        <w:rPr>
          <w:rFonts w:eastAsiaTheme="minorEastAsia"/>
          <w:b/>
          <w:color w:val="000000" w:themeColor="text1"/>
          <w:sz w:val="36"/>
          <w:szCs w:val="36"/>
        </w:rPr>
      </w:pPr>
      <w:r>
        <w:rPr>
          <w:rFonts w:hint="eastAsia" w:eastAsiaTheme="minorEastAsia"/>
          <w:b/>
          <w:color w:val="000000" w:themeColor="text1"/>
          <w:sz w:val="36"/>
          <w:szCs w:val="36"/>
        </w:rPr>
        <w:t>2</w:t>
      </w:r>
      <w:r>
        <w:rPr>
          <w:rFonts w:eastAsiaTheme="minorEastAsia"/>
          <w:b/>
          <w:color w:val="000000" w:themeColor="text1"/>
          <w:sz w:val="36"/>
          <w:szCs w:val="36"/>
        </w:rPr>
        <w:t>02</w:t>
      </w:r>
      <w:r>
        <w:rPr>
          <w:rFonts w:hint="eastAsia" w:eastAsiaTheme="minorEastAsia"/>
          <w:b/>
          <w:color w:val="000000" w:themeColor="text1"/>
          <w:sz w:val="36"/>
          <w:szCs w:val="36"/>
          <w:lang w:val="en-US" w:eastAsia="zh-CN"/>
        </w:rPr>
        <w:t>3</w:t>
      </w:r>
      <w:r>
        <w:rPr>
          <w:rFonts w:eastAsiaTheme="minorEastAsia"/>
          <w:b/>
          <w:color w:val="000000" w:themeColor="text1"/>
          <w:sz w:val="36"/>
          <w:szCs w:val="36"/>
        </w:rPr>
        <w:t>年</w:t>
      </w:r>
      <w:r>
        <w:rPr>
          <w:rFonts w:hint="eastAsia" w:eastAsiaTheme="minorEastAsia"/>
          <w:b/>
          <w:color w:val="000000" w:themeColor="text1"/>
          <w:sz w:val="36"/>
          <w:szCs w:val="36"/>
          <w:lang w:val="en-US" w:eastAsia="zh-CN"/>
        </w:rPr>
        <w:t>12</w:t>
      </w:r>
      <w:r>
        <w:rPr>
          <w:rFonts w:eastAsiaTheme="minorEastAsia"/>
          <w:b/>
          <w:color w:val="000000" w:themeColor="text1"/>
          <w:sz w:val="36"/>
          <w:szCs w:val="36"/>
        </w:rPr>
        <w:t>月</w:t>
      </w:r>
    </w:p>
    <w:p>
      <w:pPr>
        <w:pStyle w:val="25"/>
        <w:pageBreakBefore w:val="0"/>
        <w:framePr w:w="0" w:hRule="auto" w:wrap="auto" w:vAnchor="margin" w:hAnchor="text" w:xAlign="left" w:yAlign="inline"/>
        <w:kinsoku/>
        <w:wordWrap/>
        <w:overflowPunct/>
        <w:topLinePunct w:val="0"/>
        <w:bidi w:val="0"/>
        <w:spacing w:line="360" w:lineRule="auto"/>
        <w:rPr>
          <w:rFonts w:ascii="Times New Roman" w:eastAsia="宋体"/>
          <w:color w:val="000000" w:themeColor="text1"/>
          <w:sz w:val="32"/>
          <w:szCs w:val="32"/>
        </w:rPr>
      </w:pPr>
      <w:r>
        <w:rPr>
          <w:rFonts w:ascii="Times New Roman" w:eastAsia="宋体"/>
          <w:color w:val="000000" w:themeColor="text1"/>
          <w:sz w:val="32"/>
          <w:szCs w:val="32"/>
        </w:rPr>
        <w:br w:type="page"/>
      </w:r>
    </w:p>
    <w:sdt>
      <w:sdtPr>
        <w:rPr>
          <w:rFonts w:ascii="Times New Roman" w:hAnsi="Times New Roman" w:eastAsia="宋体" w:cs="Times New Roman"/>
          <w:color w:val="000000" w:themeColor="text1"/>
          <w:kern w:val="2"/>
          <w:sz w:val="21"/>
          <w:szCs w:val="24"/>
          <w:lang w:val="zh-CN"/>
        </w:rPr>
        <w:id w:val="207385740"/>
        <w:docPartObj>
          <w:docPartGallery w:val="Table of Contents"/>
          <w:docPartUnique/>
        </w:docPartObj>
      </w:sdtPr>
      <w:sdtEndPr>
        <w:rPr>
          <w:rFonts w:ascii="宋体" w:hAnsi="宋体" w:eastAsia="宋体" w:cs="宋体"/>
          <w:b/>
          <w:bCs/>
          <w:color w:val="000000" w:themeColor="text1"/>
          <w:kern w:val="0"/>
          <w:sz w:val="24"/>
          <w:szCs w:val="24"/>
          <w:lang w:val="zh-CN"/>
        </w:rPr>
      </w:sdtEndPr>
      <w:sdtContent>
        <w:p>
          <w:pPr>
            <w:pStyle w:val="59"/>
            <w:pageBreakBefore w:val="0"/>
            <w:kinsoku/>
            <w:wordWrap/>
            <w:overflowPunct/>
            <w:topLinePunct w:val="0"/>
            <w:bidi w:val="0"/>
            <w:spacing w:before="0" w:line="360" w:lineRule="auto"/>
            <w:jc w:val="both"/>
            <w:rPr>
              <w:rFonts w:ascii="Times New Roman" w:hAnsi="Times New Roman" w:eastAsia="宋体" w:cs="Times New Roman"/>
              <w:color w:val="000000" w:themeColor="text1"/>
              <w:kern w:val="2"/>
              <w:sz w:val="21"/>
              <w:szCs w:val="24"/>
              <w:lang w:val="zh-CN"/>
            </w:rPr>
          </w:pPr>
        </w:p>
        <w:p>
          <w:pPr>
            <w:pStyle w:val="59"/>
            <w:pageBreakBefore w:val="0"/>
            <w:kinsoku/>
            <w:wordWrap/>
            <w:overflowPunct/>
            <w:topLinePunct w:val="0"/>
            <w:bidi w:val="0"/>
            <w:spacing w:before="0" w:line="360" w:lineRule="auto"/>
            <w:jc w:val="center"/>
            <w:rPr>
              <w:rFonts w:ascii="Times New Roman" w:hAnsi="Times New Roman" w:eastAsia="黑体" w:cs="Times New Roman"/>
              <w:b/>
              <w:color w:val="000000" w:themeColor="text1"/>
              <w:lang w:val="zh-CN"/>
            </w:rPr>
          </w:pPr>
          <w:r>
            <w:rPr>
              <w:rFonts w:ascii="Times New Roman" w:hAnsi="Times New Roman" w:eastAsia="黑体" w:cs="Times New Roman"/>
              <w:b/>
              <w:color w:val="000000" w:themeColor="text1"/>
              <w:lang w:val="zh-CN"/>
            </w:rPr>
            <w:t>目  录</w:t>
          </w:r>
        </w:p>
        <w:p>
          <w:pPr>
            <w:pageBreakBefore w:val="0"/>
            <w:kinsoku/>
            <w:wordWrap/>
            <w:overflowPunct/>
            <w:topLinePunct w:val="0"/>
            <w:bidi w:val="0"/>
            <w:spacing w:line="360" w:lineRule="auto"/>
            <w:jc w:val="both"/>
            <w:rPr>
              <w:color w:val="000000" w:themeColor="text1"/>
              <w:lang w:val="zh-CN"/>
            </w:rPr>
          </w:pPr>
        </w:p>
        <w:p>
          <w:pPr>
            <w:pStyle w:val="15"/>
            <w:keepNext w:val="0"/>
            <w:keepLines w:val="0"/>
            <w:pageBreakBefore w:val="0"/>
            <w:widowControl/>
            <w:tabs>
              <w:tab w:val="right" w:leader="dot" w:pos="9468"/>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sz w:val="28"/>
            </w:rPr>
            <w:fldChar w:fldCharType="begin"/>
          </w:r>
          <w:r>
            <w:rPr>
              <w:rFonts w:hint="default" w:ascii="Times New Roman" w:hAnsi="Times New Roman" w:eastAsia="黑体" w:cs="Times New Roman"/>
              <w:bCs/>
              <w:color w:val="000000" w:themeColor="text1"/>
              <w:sz w:val="28"/>
            </w:rPr>
            <w:instrText xml:space="preserve"> TOC \o "1-3" \h \z \u </w:instrText>
          </w:r>
          <w:r>
            <w:rPr>
              <w:rFonts w:hint="default" w:ascii="Times New Roman" w:hAnsi="Times New Roman" w:eastAsia="黑体" w:cs="Times New Roman"/>
              <w:bCs/>
              <w:color w:val="000000" w:themeColor="text1"/>
              <w:sz w:val="28"/>
            </w:rPr>
            <w:fldChar w:fldCharType="separate"/>
          </w:r>
          <w:r>
            <w:rPr>
              <w:rFonts w:hint="default" w:ascii="Times New Roman" w:hAnsi="Times New Roman" w:eastAsia="黑体" w:cs="Times New Roman"/>
              <w:bCs/>
              <w:color w:val="000000" w:themeColor="text1"/>
            </w:rPr>
            <w:fldChar w:fldCharType="begin"/>
          </w:r>
          <w:r>
            <w:rPr>
              <w:rFonts w:hint="default" w:ascii="Times New Roman" w:hAnsi="Times New Roman" w:eastAsia="黑体" w:cs="Times New Roman"/>
              <w:bCs/>
            </w:rPr>
            <w:instrText xml:space="preserve"> HYPERLINK \l _Toc12522 </w:instrText>
          </w:r>
          <w:r>
            <w:rPr>
              <w:rFonts w:hint="default" w:ascii="Times New Roman" w:hAnsi="Times New Roman" w:eastAsia="黑体" w:cs="Times New Roman"/>
              <w:bCs/>
            </w:rPr>
            <w:fldChar w:fldCharType="separate"/>
          </w:r>
          <w:r>
            <w:rPr>
              <w:rFonts w:hint="default" w:ascii="Times New Roman" w:hAnsi="Times New Roman" w:eastAsia="黑体" w:cs="Times New Roman"/>
              <w:szCs w:val="28"/>
            </w:rPr>
            <w:t>1 标准编制工作简况</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_Toc12522 \h </w:instrText>
          </w:r>
          <w:r>
            <w:rPr>
              <w:rFonts w:hint="default" w:ascii="Times New Roman" w:hAnsi="Times New Roman" w:eastAsia="黑体" w:cs="Times New Roman"/>
            </w:rPr>
            <w:fldChar w:fldCharType="separate"/>
          </w:r>
          <w:r>
            <w:rPr>
              <w:rFonts w:hint="default" w:ascii="Times New Roman" w:hAnsi="Times New Roman" w:eastAsia="黑体" w:cs="Times New Roman"/>
            </w:rPr>
            <w:t>3</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rPr>
            <w:fldChar w:fldCharType="end"/>
          </w:r>
        </w:p>
        <w:p>
          <w:pPr>
            <w:pStyle w:val="9"/>
            <w:keepNext w:val="0"/>
            <w:keepLines w:val="0"/>
            <w:pageBreakBefore w:val="0"/>
            <w:widowControl/>
            <w:tabs>
              <w:tab w:val="right" w:leader="dot" w:pos="9468"/>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lang w:val="zh-CN"/>
            </w:rPr>
            <w:fldChar w:fldCharType="begin"/>
          </w:r>
          <w:r>
            <w:rPr>
              <w:rFonts w:hint="default" w:ascii="Times New Roman" w:hAnsi="Times New Roman" w:eastAsia="黑体" w:cs="Times New Roman"/>
              <w:bCs/>
              <w:lang w:val="zh-CN"/>
            </w:rPr>
            <w:instrText xml:space="preserve"> HYPERLINK \l _Toc24629 </w:instrText>
          </w:r>
          <w:r>
            <w:rPr>
              <w:rFonts w:hint="default" w:ascii="Times New Roman" w:hAnsi="Times New Roman" w:eastAsia="黑体" w:cs="Times New Roman"/>
              <w:bCs/>
              <w:lang w:val="zh-C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1.1 </w:t>
          </w:r>
          <w:r>
            <w:rPr>
              <w:rFonts w:hint="default" w:ascii="Times New Roman" w:hAnsi="Times New Roman" w:eastAsia="黑体" w:cs="Times New Roman"/>
              <w:szCs w:val="24"/>
            </w:rPr>
            <w:t>任务来源</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_Toc24629 \h </w:instrText>
          </w:r>
          <w:r>
            <w:rPr>
              <w:rFonts w:hint="default" w:ascii="Times New Roman" w:hAnsi="Times New Roman" w:eastAsia="黑体" w:cs="Times New Roman"/>
            </w:rPr>
            <w:fldChar w:fldCharType="separate"/>
          </w:r>
          <w:r>
            <w:rPr>
              <w:rFonts w:hint="default" w:ascii="Times New Roman" w:hAnsi="Times New Roman" w:eastAsia="黑体" w:cs="Times New Roman"/>
            </w:rPr>
            <w:t>3</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lang w:val="zh-CN"/>
            </w:rPr>
            <w:fldChar w:fldCharType="end"/>
          </w:r>
        </w:p>
        <w:p>
          <w:pPr>
            <w:pStyle w:val="9"/>
            <w:keepNext w:val="0"/>
            <w:keepLines w:val="0"/>
            <w:pageBreakBefore w:val="0"/>
            <w:widowControl/>
            <w:tabs>
              <w:tab w:val="right" w:leader="dot" w:pos="9468"/>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lang w:val="zh-CN"/>
            </w:rPr>
            <w:fldChar w:fldCharType="begin"/>
          </w:r>
          <w:r>
            <w:rPr>
              <w:rFonts w:hint="default" w:ascii="Times New Roman" w:hAnsi="Times New Roman" w:eastAsia="黑体" w:cs="Times New Roman"/>
              <w:bCs/>
              <w:lang w:val="zh-CN"/>
            </w:rPr>
            <w:instrText xml:space="preserve"> HYPERLINK \l _Toc17278 </w:instrText>
          </w:r>
          <w:r>
            <w:rPr>
              <w:rFonts w:hint="default" w:ascii="Times New Roman" w:hAnsi="Times New Roman" w:eastAsia="黑体" w:cs="Times New Roman"/>
              <w:bCs/>
              <w:lang w:val="zh-C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1.2 </w:t>
          </w:r>
          <w:r>
            <w:rPr>
              <w:rFonts w:hint="default" w:ascii="Times New Roman" w:hAnsi="Times New Roman" w:eastAsia="黑体" w:cs="Times New Roman"/>
              <w:szCs w:val="24"/>
            </w:rPr>
            <w:t>起草单位</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_Toc17278 \h </w:instrText>
          </w:r>
          <w:r>
            <w:rPr>
              <w:rFonts w:hint="default" w:ascii="Times New Roman" w:hAnsi="Times New Roman" w:eastAsia="黑体" w:cs="Times New Roman"/>
            </w:rPr>
            <w:fldChar w:fldCharType="separate"/>
          </w:r>
          <w:r>
            <w:rPr>
              <w:rFonts w:hint="default" w:ascii="Times New Roman" w:hAnsi="Times New Roman" w:eastAsia="黑体" w:cs="Times New Roman"/>
            </w:rPr>
            <w:t>3</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lang w:val="zh-CN"/>
            </w:rPr>
            <w:fldChar w:fldCharType="end"/>
          </w:r>
        </w:p>
        <w:p>
          <w:pPr>
            <w:pStyle w:val="9"/>
            <w:keepNext w:val="0"/>
            <w:keepLines w:val="0"/>
            <w:pageBreakBefore w:val="0"/>
            <w:widowControl/>
            <w:tabs>
              <w:tab w:val="right" w:leader="dot" w:pos="9468"/>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lang w:val="zh-CN"/>
            </w:rPr>
            <w:fldChar w:fldCharType="begin"/>
          </w:r>
          <w:r>
            <w:rPr>
              <w:rFonts w:hint="default" w:ascii="Times New Roman" w:hAnsi="Times New Roman" w:eastAsia="黑体" w:cs="Times New Roman"/>
              <w:bCs/>
              <w:lang w:val="zh-CN"/>
            </w:rPr>
            <w:instrText xml:space="preserve"> HYPERLINK \l _Toc30871 </w:instrText>
          </w:r>
          <w:r>
            <w:rPr>
              <w:rFonts w:hint="default" w:ascii="Times New Roman" w:hAnsi="Times New Roman" w:eastAsia="黑体" w:cs="Times New Roman"/>
              <w:bCs/>
              <w:lang w:val="zh-C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1.3 </w:t>
          </w:r>
          <w:r>
            <w:rPr>
              <w:rFonts w:hint="default" w:ascii="Times New Roman" w:hAnsi="Times New Roman" w:eastAsia="黑体" w:cs="Times New Roman"/>
              <w:szCs w:val="24"/>
            </w:rPr>
            <w:t>标准编制背景及必要性</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_Toc30871 \h </w:instrText>
          </w:r>
          <w:r>
            <w:rPr>
              <w:rFonts w:hint="default" w:ascii="Times New Roman" w:hAnsi="Times New Roman" w:eastAsia="黑体" w:cs="Times New Roman"/>
            </w:rPr>
            <w:fldChar w:fldCharType="separate"/>
          </w:r>
          <w:r>
            <w:rPr>
              <w:rFonts w:hint="default" w:ascii="Times New Roman" w:hAnsi="Times New Roman" w:eastAsia="黑体" w:cs="Times New Roman"/>
            </w:rPr>
            <w:t>3</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lang w:val="zh-CN"/>
            </w:rPr>
            <w:fldChar w:fldCharType="end"/>
          </w:r>
        </w:p>
        <w:p>
          <w:pPr>
            <w:pStyle w:val="15"/>
            <w:keepNext w:val="0"/>
            <w:keepLines w:val="0"/>
            <w:pageBreakBefore w:val="0"/>
            <w:widowControl/>
            <w:tabs>
              <w:tab w:val="right" w:leader="dot" w:pos="9468"/>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lang w:val="zh-CN"/>
            </w:rPr>
            <w:fldChar w:fldCharType="begin"/>
          </w:r>
          <w:r>
            <w:rPr>
              <w:rFonts w:hint="default" w:ascii="Times New Roman" w:hAnsi="Times New Roman" w:eastAsia="黑体" w:cs="Times New Roman"/>
              <w:bCs/>
              <w:lang w:val="zh-CN"/>
            </w:rPr>
            <w:instrText xml:space="preserve"> HYPERLINK \l _Toc25892 </w:instrText>
          </w:r>
          <w:r>
            <w:rPr>
              <w:rFonts w:hint="default" w:ascii="Times New Roman" w:hAnsi="Times New Roman" w:eastAsia="黑体" w:cs="Times New Roman"/>
              <w:bCs/>
              <w:lang w:val="zh-CN"/>
            </w:rPr>
            <w:fldChar w:fldCharType="separate"/>
          </w:r>
          <w:r>
            <w:rPr>
              <w:rFonts w:hint="default" w:ascii="Times New Roman" w:hAnsi="Times New Roman" w:eastAsia="黑体" w:cs="Times New Roman"/>
              <w:szCs w:val="28"/>
            </w:rPr>
            <w:t>2 标准编制的原则和主要内容</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_Toc25892 \h </w:instrText>
          </w:r>
          <w:r>
            <w:rPr>
              <w:rFonts w:hint="default" w:ascii="Times New Roman" w:hAnsi="Times New Roman" w:eastAsia="黑体" w:cs="Times New Roman"/>
            </w:rPr>
            <w:fldChar w:fldCharType="separate"/>
          </w:r>
          <w:r>
            <w:rPr>
              <w:rFonts w:hint="default" w:ascii="Times New Roman" w:hAnsi="Times New Roman" w:eastAsia="黑体" w:cs="Times New Roman"/>
            </w:rPr>
            <w:t>5</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lang w:val="zh-CN"/>
            </w:rPr>
            <w:fldChar w:fldCharType="end"/>
          </w:r>
        </w:p>
        <w:p>
          <w:pPr>
            <w:pStyle w:val="9"/>
            <w:keepNext w:val="0"/>
            <w:keepLines w:val="0"/>
            <w:pageBreakBefore w:val="0"/>
            <w:widowControl/>
            <w:tabs>
              <w:tab w:val="right" w:leader="dot" w:pos="9468"/>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lang w:val="zh-CN"/>
            </w:rPr>
            <w:fldChar w:fldCharType="begin"/>
          </w:r>
          <w:r>
            <w:rPr>
              <w:rFonts w:hint="default" w:ascii="Times New Roman" w:hAnsi="Times New Roman" w:eastAsia="黑体" w:cs="Times New Roman"/>
              <w:bCs/>
              <w:lang w:val="zh-CN"/>
            </w:rPr>
            <w:instrText xml:space="preserve"> HYPERLINK \l _Toc16867 </w:instrText>
          </w:r>
          <w:r>
            <w:rPr>
              <w:rFonts w:hint="default" w:ascii="Times New Roman" w:hAnsi="Times New Roman" w:eastAsia="黑体" w:cs="Times New Roman"/>
              <w:bCs/>
              <w:lang w:val="zh-CN"/>
            </w:rPr>
            <w:fldChar w:fldCharType="separate"/>
          </w:r>
          <w:r>
            <w:rPr>
              <w:rFonts w:hint="default" w:ascii="Times New Roman" w:hAnsi="Times New Roman" w:eastAsia="黑体" w:cs="Times New Roman"/>
              <w:szCs w:val="24"/>
            </w:rPr>
            <w:t>2.1 标准制定的原则</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_Toc16867 \h </w:instrText>
          </w:r>
          <w:r>
            <w:rPr>
              <w:rFonts w:hint="default" w:ascii="Times New Roman" w:hAnsi="Times New Roman" w:eastAsia="黑体" w:cs="Times New Roman"/>
            </w:rPr>
            <w:fldChar w:fldCharType="separate"/>
          </w:r>
          <w:r>
            <w:rPr>
              <w:rFonts w:hint="default" w:ascii="Times New Roman" w:hAnsi="Times New Roman" w:eastAsia="黑体" w:cs="Times New Roman"/>
            </w:rPr>
            <w:t>5</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lang w:val="zh-CN"/>
            </w:rPr>
            <w:fldChar w:fldCharType="end"/>
          </w:r>
        </w:p>
        <w:p>
          <w:pPr>
            <w:pStyle w:val="9"/>
            <w:keepNext w:val="0"/>
            <w:keepLines w:val="0"/>
            <w:pageBreakBefore w:val="0"/>
            <w:widowControl/>
            <w:tabs>
              <w:tab w:val="right" w:leader="dot" w:pos="9468"/>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lang w:val="zh-CN"/>
            </w:rPr>
            <w:fldChar w:fldCharType="begin"/>
          </w:r>
          <w:r>
            <w:rPr>
              <w:rFonts w:hint="default" w:ascii="Times New Roman" w:hAnsi="Times New Roman" w:eastAsia="黑体" w:cs="Times New Roman"/>
              <w:bCs/>
              <w:lang w:val="zh-CN"/>
            </w:rPr>
            <w:instrText xml:space="preserve"> HYPERLINK \l _Toc12964 </w:instrText>
          </w:r>
          <w:r>
            <w:rPr>
              <w:rFonts w:hint="default" w:ascii="Times New Roman" w:hAnsi="Times New Roman" w:eastAsia="黑体" w:cs="Times New Roman"/>
              <w:bCs/>
              <w:lang w:val="zh-CN"/>
            </w:rPr>
            <w:fldChar w:fldCharType="separate"/>
          </w:r>
          <w:r>
            <w:rPr>
              <w:rFonts w:hint="default" w:ascii="Times New Roman" w:hAnsi="Times New Roman" w:eastAsia="黑体" w:cs="Times New Roman"/>
              <w:szCs w:val="24"/>
            </w:rPr>
            <w:t>2.2 标准的主要内容</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_Toc12964 \h </w:instrText>
          </w:r>
          <w:r>
            <w:rPr>
              <w:rFonts w:hint="default" w:ascii="Times New Roman" w:hAnsi="Times New Roman" w:eastAsia="黑体" w:cs="Times New Roman"/>
            </w:rPr>
            <w:fldChar w:fldCharType="separate"/>
          </w:r>
          <w:r>
            <w:rPr>
              <w:rFonts w:hint="default" w:ascii="Times New Roman" w:hAnsi="Times New Roman" w:eastAsia="黑体" w:cs="Times New Roman"/>
            </w:rPr>
            <w:t>6</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lang w:val="zh-CN"/>
            </w:rPr>
            <w:fldChar w:fldCharType="end"/>
          </w:r>
        </w:p>
        <w:p>
          <w:pPr>
            <w:pStyle w:val="9"/>
            <w:keepNext w:val="0"/>
            <w:keepLines w:val="0"/>
            <w:pageBreakBefore w:val="0"/>
            <w:widowControl/>
            <w:tabs>
              <w:tab w:val="right" w:leader="dot" w:pos="9468"/>
            </w:tabs>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lang w:val="zh-CN"/>
            </w:rPr>
            <w:fldChar w:fldCharType="begin"/>
          </w:r>
          <w:r>
            <w:rPr>
              <w:rFonts w:hint="default" w:ascii="Times New Roman" w:hAnsi="Times New Roman" w:eastAsia="黑体" w:cs="Times New Roman"/>
              <w:bCs/>
              <w:lang w:val="zh-CN"/>
            </w:rPr>
            <w:instrText xml:space="preserve"> HYPERLINK \l _Toc16596 </w:instrText>
          </w:r>
          <w:r>
            <w:rPr>
              <w:rFonts w:hint="default" w:ascii="Times New Roman" w:hAnsi="Times New Roman" w:eastAsia="黑体" w:cs="Times New Roman"/>
              <w:bCs/>
              <w:lang w:val="zh-CN"/>
            </w:rPr>
            <w:fldChar w:fldCharType="separate"/>
          </w:r>
          <w:r>
            <w:rPr>
              <w:rFonts w:hint="default" w:ascii="Times New Roman" w:hAnsi="Times New Roman" w:eastAsia="黑体" w:cs="Times New Roman"/>
              <w:bCs/>
              <w:szCs w:val="24"/>
              <w:lang w:val="en-US" w:eastAsia="zh-CN" w:bidi="ar-SA"/>
            </w:rPr>
            <w:t>3 标准验证情况</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_Toc16596 \h </w:instrText>
          </w:r>
          <w:r>
            <w:rPr>
              <w:rFonts w:hint="default" w:ascii="Times New Roman" w:hAnsi="Times New Roman" w:eastAsia="黑体" w:cs="Times New Roman"/>
            </w:rPr>
            <w:fldChar w:fldCharType="separate"/>
          </w:r>
          <w:r>
            <w:rPr>
              <w:rFonts w:hint="default" w:ascii="Times New Roman" w:hAnsi="Times New Roman" w:eastAsia="黑体" w:cs="Times New Roman"/>
            </w:rPr>
            <w:t>14</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lang w:val="zh-CN"/>
            </w:rPr>
            <w:fldChar w:fldCharType="end"/>
          </w:r>
        </w:p>
        <w:p>
          <w:pPr>
            <w:pStyle w:val="9"/>
            <w:keepNext w:val="0"/>
            <w:keepLines w:val="0"/>
            <w:pageBreakBefore w:val="0"/>
            <w:widowControl/>
            <w:tabs>
              <w:tab w:val="right" w:leader="dot" w:pos="9468"/>
            </w:tabs>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lang w:val="zh-CN"/>
            </w:rPr>
            <w:fldChar w:fldCharType="begin"/>
          </w:r>
          <w:r>
            <w:rPr>
              <w:rFonts w:hint="default" w:ascii="Times New Roman" w:hAnsi="Times New Roman" w:eastAsia="黑体" w:cs="Times New Roman"/>
              <w:bCs/>
              <w:lang w:val="zh-CN"/>
            </w:rPr>
            <w:instrText xml:space="preserve"> HYPERLINK \l _Toc21655 </w:instrText>
          </w:r>
          <w:r>
            <w:rPr>
              <w:rFonts w:hint="default" w:ascii="Times New Roman" w:hAnsi="Times New Roman" w:eastAsia="黑体" w:cs="Times New Roman"/>
              <w:bCs/>
              <w:lang w:val="zh-CN"/>
            </w:rPr>
            <w:fldChar w:fldCharType="separate"/>
          </w:r>
          <w:r>
            <w:rPr>
              <w:rFonts w:hint="default" w:ascii="Times New Roman" w:hAnsi="Times New Roman" w:eastAsia="黑体" w:cs="Times New Roman"/>
              <w:bCs/>
              <w:szCs w:val="24"/>
              <w:lang w:val="en-US" w:eastAsia="zh-CN" w:bidi="ar-SA"/>
            </w:rPr>
            <w:t>4 标准中涉及</w:t>
          </w:r>
          <w:r>
            <w:rPr>
              <w:rFonts w:hint="default" w:ascii="Times New Roman" w:hAnsi="Times New Roman" w:eastAsia="黑体" w:cs="Times New Roman"/>
              <w:bCs/>
              <w:szCs w:val="24"/>
              <w:lang w:val="en-US" w:eastAsia="zh-CN" w:bidi="ar-SA"/>
            </w:rPr>
            <w:t>专利、知识产权情况说明</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_Toc21655 \h </w:instrText>
          </w:r>
          <w:r>
            <w:rPr>
              <w:rFonts w:hint="default" w:ascii="Times New Roman" w:hAnsi="Times New Roman" w:eastAsia="黑体" w:cs="Times New Roman"/>
            </w:rPr>
            <w:fldChar w:fldCharType="separate"/>
          </w:r>
          <w:r>
            <w:rPr>
              <w:rFonts w:hint="default" w:ascii="Times New Roman" w:hAnsi="Times New Roman" w:eastAsia="黑体" w:cs="Times New Roman"/>
            </w:rPr>
            <w:t>15</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lang w:val="zh-CN"/>
            </w:rPr>
            <w:fldChar w:fldCharType="end"/>
          </w:r>
        </w:p>
        <w:p>
          <w:pPr>
            <w:pStyle w:val="9"/>
            <w:keepNext w:val="0"/>
            <w:keepLines w:val="0"/>
            <w:pageBreakBefore w:val="0"/>
            <w:widowControl/>
            <w:tabs>
              <w:tab w:val="right" w:leader="dot" w:pos="9468"/>
            </w:tabs>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lang w:val="zh-CN"/>
            </w:rPr>
            <w:fldChar w:fldCharType="begin"/>
          </w:r>
          <w:r>
            <w:rPr>
              <w:rFonts w:hint="default" w:ascii="Times New Roman" w:hAnsi="Times New Roman" w:eastAsia="黑体" w:cs="Times New Roman"/>
              <w:bCs/>
              <w:lang w:val="zh-CN"/>
            </w:rPr>
            <w:instrText xml:space="preserve"> HYPERLINK \l _Toc32580 </w:instrText>
          </w:r>
          <w:r>
            <w:rPr>
              <w:rFonts w:hint="default" w:ascii="Times New Roman" w:hAnsi="Times New Roman" w:eastAsia="黑体" w:cs="Times New Roman"/>
              <w:bCs/>
              <w:lang w:val="zh-CN"/>
            </w:rPr>
            <w:fldChar w:fldCharType="separate"/>
          </w:r>
          <w:r>
            <w:rPr>
              <w:rFonts w:hint="default" w:ascii="Times New Roman" w:hAnsi="Times New Roman" w:eastAsia="黑体" w:cs="Times New Roman"/>
              <w:bCs/>
              <w:szCs w:val="24"/>
              <w:lang w:val="en-US" w:eastAsia="zh-CN" w:bidi="ar-SA"/>
            </w:rPr>
            <w:t>5 产业化情况、推广应用论证和预期达到的经济效果等情况；</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_Toc32580 \h </w:instrText>
          </w:r>
          <w:r>
            <w:rPr>
              <w:rFonts w:hint="default" w:ascii="Times New Roman" w:hAnsi="Times New Roman" w:eastAsia="黑体" w:cs="Times New Roman"/>
            </w:rPr>
            <w:fldChar w:fldCharType="separate"/>
          </w:r>
          <w:r>
            <w:rPr>
              <w:rFonts w:hint="default" w:ascii="Times New Roman" w:hAnsi="Times New Roman" w:eastAsia="黑体" w:cs="Times New Roman"/>
            </w:rPr>
            <w:t>15</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lang w:val="zh-CN"/>
            </w:rPr>
            <w:fldChar w:fldCharType="end"/>
          </w:r>
        </w:p>
        <w:p>
          <w:pPr>
            <w:pStyle w:val="9"/>
            <w:keepNext w:val="0"/>
            <w:keepLines w:val="0"/>
            <w:pageBreakBefore w:val="0"/>
            <w:widowControl/>
            <w:tabs>
              <w:tab w:val="right" w:leader="dot" w:pos="9468"/>
            </w:tabs>
            <w:kinsoku/>
            <w:wordWrap/>
            <w:overflowPunct/>
            <w:topLinePunct w:val="0"/>
            <w:autoSpaceDE/>
            <w:autoSpaceDN/>
            <w:bidi w:val="0"/>
            <w:adjustRightInd/>
            <w:snapToGrid/>
            <w:spacing w:line="360" w:lineRule="auto"/>
            <w:ind w:left="720" w:leftChars="200" w:hanging="240" w:hangingChars="100"/>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lang w:val="zh-CN"/>
            </w:rPr>
            <w:fldChar w:fldCharType="begin"/>
          </w:r>
          <w:r>
            <w:rPr>
              <w:rFonts w:hint="default" w:ascii="Times New Roman" w:hAnsi="Times New Roman" w:eastAsia="黑体" w:cs="Times New Roman"/>
              <w:bCs/>
              <w:lang w:val="zh-CN"/>
            </w:rPr>
            <w:instrText xml:space="preserve"> HYPERLINK \l _Toc10894 </w:instrText>
          </w:r>
          <w:r>
            <w:rPr>
              <w:rFonts w:hint="default" w:ascii="Times New Roman" w:hAnsi="Times New Roman" w:eastAsia="黑体" w:cs="Times New Roman"/>
              <w:bCs/>
              <w:lang w:val="zh-CN"/>
            </w:rPr>
            <w:fldChar w:fldCharType="separate"/>
          </w:r>
          <w:r>
            <w:rPr>
              <w:rFonts w:hint="default" w:ascii="Times New Roman" w:hAnsi="Times New Roman" w:eastAsia="黑体" w:cs="Times New Roman"/>
              <w:bCs/>
              <w:szCs w:val="24"/>
              <w:lang w:val="en-US" w:eastAsia="zh-CN" w:bidi="ar-SA"/>
            </w:rPr>
            <w:t>6 采用国际标准，与国际、国外同类标准水平的对比情况，国内外关键指标对比分析或与测试的国外样品、样机的相关数据对比情况；</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_Toc10894 \h </w:instrText>
          </w:r>
          <w:r>
            <w:rPr>
              <w:rFonts w:hint="default" w:ascii="Times New Roman" w:hAnsi="Times New Roman" w:eastAsia="黑体" w:cs="Times New Roman"/>
            </w:rPr>
            <w:fldChar w:fldCharType="separate"/>
          </w:r>
          <w:r>
            <w:rPr>
              <w:rFonts w:hint="default" w:ascii="Times New Roman" w:hAnsi="Times New Roman" w:eastAsia="黑体" w:cs="Times New Roman"/>
            </w:rPr>
            <w:t>15</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lang w:val="zh-CN"/>
            </w:rPr>
            <w:fldChar w:fldCharType="end"/>
          </w:r>
        </w:p>
        <w:p>
          <w:pPr>
            <w:pStyle w:val="9"/>
            <w:keepNext w:val="0"/>
            <w:keepLines w:val="0"/>
            <w:pageBreakBefore w:val="0"/>
            <w:widowControl/>
            <w:tabs>
              <w:tab w:val="right" w:leader="dot" w:pos="9468"/>
            </w:tabs>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lang w:val="zh-CN"/>
            </w:rPr>
            <w:fldChar w:fldCharType="begin"/>
          </w:r>
          <w:r>
            <w:rPr>
              <w:rFonts w:hint="default" w:ascii="Times New Roman" w:hAnsi="Times New Roman" w:eastAsia="黑体" w:cs="Times New Roman"/>
              <w:bCs/>
              <w:lang w:val="zh-CN"/>
            </w:rPr>
            <w:instrText xml:space="preserve"> HYPERLINK \l _Toc20274 </w:instrText>
          </w:r>
          <w:r>
            <w:rPr>
              <w:rFonts w:hint="default" w:ascii="Times New Roman" w:hAnsi="Times New Roman" w:eastAsia="黑体" w:cs="Times New Roman"/>
              <w:bCs/>
              <w:lang w:val="zh-CN"/>
            </w:rPr>
            <w:fldChar w:fldCharType="separate"/>
          </w:r>
          <w:r>
            <w:rPr>
              <w:rFonts w:hint="default" w:ascii="Times New Roman" w:hAnsi="Times New Roman" w:eastAsia="黑体" w:cs="Times New Roman"/>
              <w:bCs/>
              <w:szCs w:val="24"/>
              <w:lang w:val="en-US" w:eastAsia="zh-CN" w:bidi="ar-SA"/>
            </w:rPr>
            <w:t>7 与现行相关法律、法规、规章及相关标准，特别是强制性标准的协调性</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_Toc20274 \h </w:instrText>
          </w:r>
          <w:r>
            <w:rPr>
              <w:rFonts w:hint="default" w:ascii="Times New Roman" w:hAnsi="Times New Roman" w:eastAsia="黑体" w:cs="Times New Roman"/>
            </w:rPr>
            <w:fldChar w:fldCharType="separate"/>
          </w:r>
          <w:r>
            <w:rPr>
              <w:rFonts w:hint="default" w:ascii="Times New Roman" w:hAnsi="Times New Roman" w:eastAsia="黑体" w:cs="Times New Roman"/>
            </w:rPr>
            <w:t>15</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lang w:val="zh-CN"/>
            </w:rPr>
            <w:fldChar w:fldCharType="end"/>
          </w:r>
        </w:p>
        <w:p>
          <w:pPr>
            <w:pStyle w:val="9"/>
            <w:keepNext w:val="0"/>
            <w:keepLines w:val="0"/>
            <w:pageBreakBefore w:val="0"/>
            <w:widowControl/>
            <w:tabs>
              <w:tab w:val="right" w:leader="dot" w:pos="9468"/>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lang w:val="zh-CN"/>
            </w:rPr>
            <w:fldChar w:fldCharType="begin"/>
          </w:r>
          <w:r>
            <w:rPr>
              <w:rFonts w:hint="default" w:ascii="Times New Roman" w:hAnsi="Times New Roman" w:eastAsia="黑体" w:cs="Times New Roman"/>
              <w:bCs/>
              <w:lang w:val="zh-CN"/>
            </w:rPr>
            <w:instrText xml:space="preserve"> HYPERLINK \l _Toc13424 </w:instrText>
          </w:r>
          <w:r>
            <w:rPr>
              <w:rFonts w:hint="default" w:ascii="Times New Roman" w:hAnsi="Times New Roman" w:eastAsia="黑体" w:cs="Times New Roman"/>
              <w:bCs/>
              <w:lang w:val="zh-CN"/>
            </w:rPr>
            <w:fldChar w:fldCharType="separate"/>
          </w:r>
          <w:r>
            <w:rPr>
              <w:rFonts w:hint="default" w:ascii="Times New Roman" w:hAnsi="Times New Roman" w:eastAsia="黑体" w:cs="Times New Roman"/>
              <w:szCs w:val="24"/>
            </w:rPr>
            <w:t>7.1相关法律法规</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_Toc13424 \h </w:instrText>
          </w:r>
          <w:r>
            <w:rPr>
              <w:rFonts w:hint="default" w:ascii="Times New Roman" w:hAnsi="Times New Roman" w:eastAsia="黑体" w:cs="Times New Roman"/>
            </w:rPr>
            <w:fldChar w:fldCharType="separate"/>
          </w:r>
          <w:r>
            <w:rPr>
              <w:rFonts w:hint="default" w:ascii="Times New Roman" w:hAnsi="Times New Roman" w:eastAsia="黑体" w:cs="Times New Roman"/>
            </w:rPr>
            <w:t>15</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lang w:val="zh-CN"/>
            </w:rPr>
            <w:fldChar w:fldCharType="end"/>
          </w:r>
        </w:p>
        <w:p>
          <w:pPr>
            <w:pStyle w:val="15"/>
            <w:keepNext w:val="0"/>
            <w:keepLines w:val="0"/>
            <w:pageBreakBefore w:val="0"/>
            <w:widowControl/>
            <w:tabs>
              <w:tab w:val="right" w:leader="dot" w:pos="9468"/>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lang w:val="zh-CN"/>
            </w:rPr>
            <w:fldChar w:fldCharType="begin"/>
          </w:r>
          <w:r>
            <w:rPr>
              <w:rFonts w:hint="default" w:ascii="Times New Roman" w:hAnsi="Times New Roman" w:eastAsia="黑体" w:cs="Times New Roman"/>
              <w:bCs/>
              <w:lang w:val="zh-CN"/>
            </w:rPr>
            <w:instrText xml:space="preserve"> HYPERLINK \l _Toc30502 </w:instrText>
          </w:r>
          <w:r>
            <w:rPr>
              <w:rFonts w:hint="default" w:ascii="Times New Roman" w:hAnsi="Times New Roman" w:eastAsia="黑体" w:cs="Times New Roman"/>
              <w:bCs/>
              <w:lang w:val="zh-CN"/>
            </w:rPr>
            <w:fldChar w:fldCharType="separate"/>
          </w:r>
          <w:r>
            <w:rPr>
              <w:rFonts w:hint="default" w:ascii="Times New Roman" w:hAnsi="Times New Roman" w:eastAsia="黑体" w:cs="Times New Roman"/>
              <w:szCs w:val="28"/>
            </w:rPr>
            <w:t>8 重大意见分歧的处理依据和结果</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_Toc30502 \h </w:instrText>
          </w:r>
          <w:r>
            <w:rPr>
              <w:rFonts w:hint="default" w:ascii="Times New Roman" w:hAnsi="Times New Roman" w:eastAsia="黑体" w:cs="Times New Roman"/>
            </w:rPr>
            <w:fldChar w:fldCharType="separate"/>
          </w:r>
          <w:r>
            <w:rPr>
              <w:rFonts w:hint="default" w:ascii="Times New Roman" w:hAnsi="Times New Roman" w:eastAsia="黑体" w:cs="Times New Roman"/>
            </w:rPr>
            <w:t>19</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lang w:val="zh-CN"/>
            </w:rPr>
            <w:fldChar w:fldCharType="end"/>
          </w:r>
        </w:p>
        <w:p>
          <w:pPr>
            <w:pStyle w:val="15"/>
            <w:keepNext w:val="0"/>
            <w:keepLines w:val="0"/>
            <w:pageBreakBefore w:val="0"/>
            <w:widowControl/>
            <w:tabs>
              <w:tab w:val="right" w:leader="dot" w:pos="9468"/>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lang w:val="zh-CN"/>
            </w:rPr>
            <w:fldChar w:fldCharType="begin"/>
          </w:r>
          <w:r>
            <w:rPr>
              <w:rFonts w:hint="default" w:ascii="Times New Roman" w:hAnsi="Times New Roman" w:eastAsia="黑体" w:cs="Times New Roman"/>
              <w:bCs/>
              <w:lang w:val="zh-CN"/>
            </w:rPr>
            <w:instrText xml:space="preserve"> HYPERLINK \l _Toc21472 </w:instrText>
          </w:r>
          <w:r>
            <w:rPr>
              <w:rFonts w:hint="default" w:ascii="Times New Roman" w:hAnsi="Times New Roman" w:eastAsia="黑体" w:cs="Times New Roman"/>
              <w:bCs/>
              <w:lang w:val="zh-CN"/>
            </w:rPr>
            <w:fldChar w:fldCharType="separate"/>
          </w:r>
          <w:r>
            <w:rPr>
              <w:rFonts w:hint="default" w:ascii="Times New Roman" w:hAnsi="Times New Roman" w:eastAsia="黑体" w:cs="Times New Roman"/>
              <w:szCs w:val="28"/>
            </w:rPr>
            <w:t>9 标准性质的建议说明</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_Toc21472 \h </w:instrText>
          </w:r>
          <w:r>
            <w:rPr>
              <w:rFonts w:hint="default" w:ascii="Times New Roman" w:hAnsi="Times New Roman" w:eastAsia="黑体" w:cs="Times New Roman"/>
            </w:rPr>
            <w:fldChar w:fldCharType="separate"/>
          </w:r>
          <w:r>
            <w:rPr>
              <w:rFonts w:hint="default" w:ascii="Times New Roman" w:hAnsi="Times New Roman" w:eastAsia="黑体" w:cs="Times New Roman"/>
            </w:rPr>
            <w:t>19</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lang w:val="zh-CN"/>
            </w:rPr>
            <w:fldChar w:fldCharType="end"/>
          </w:r>
        </w:p>
        <w:p>
          <w:pPr>
            <w:pStyle w:val="15"/>
            <w:keepNext w:val="0"/>
            <w:keepLines w:val="0"/>
            <w:pageBreakBefore w:val="0"/>
            <w:widowControl/>
            <w:tabs>
              <w:tab w:val="right" w:leader="dot" w:pos="9468"/>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lang w:val="zh-CN"/>
            </w:rPr>
            <w:fldChar w:fldCharType="begin"/>
          </w:r>
          <w:r>
            <w:rPr>
              <w:rFonts w:hint="default" w:ascii="Times New Roman" w:hAnsi="Times New Roman" w:eastAsia="黑体" w:cs="Times New Roman"/>
              <w:bCs/>
              <w:lang w:val="zh-CN"/>
            </w:rPr>
            <w:instrText xml:space="preserve"> HYPERLINK \l _Toc6797 </w:instrText>
          </w:r>
          <w:r>
            <w:rPr>
              <w:rFonts w:hint="default" w:ascii="Times New Roman" w:hAnsi="Times New Roman" w:eastAsia="黑体" w:cs="Times New Roman"/>
              <w:bCs/>
              <w:lang w:val="zh-CN"/>
            </w:rPr>
            <w:fldChar w:fldCharType="separate"/>
          </w:r>
          <w:r>
            <w:rPr>
              <w:rFonts w:hint="default" w:ascii="Times New Roman" w:hAnsi="Times New Roman" w:eastAsia="黑体" w:cs="Times New Roman"/>
              <w:szCs w:val="28"/>
            </w:rPr>
            <w:t>10 贯彻标准的措施建议</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_Toc6797 \h </w:instrText>
          </w:r>
          <w:r>
            <w:rPr>
              <w:rFonts w:hint="default" w:ascii="Times New Roman" w:hAnsi="Times New Roman" w:eastAsia="黑体" w:cs="Times New Roman"/>
            </w:rPr>
            <w:fldChar w:fldCharType="separate"/>
          </w:r>
          <w:r>
            <w:rPr>
              <w:rFonts w:hint="default" w:ascii="Times New Roman" w:hAnsi="Times New Roman" w:eastAsia="黑体" w:cs="Times New Roman"/>
            </w:rPr>
            <w:t>19</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lang w:val="zh-CN"/>
            </w:rPr>
            <w:fldChar w:fldCharType="end"/>
          </w:r>
        </w:p>
        <w:p>
          <w:pPr>
            <w:pStyle w:val="15"/>
            <w:keepNext w:val="0"/>
            <w:keepLines w:val="0"/>
            <w:pageBreakBefore w:val="0"/>
            <w:widowControl/>
            <w:tabs>
              <w:tab w:val="right" w:leader="dot" w:pos="9468"/>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lang w:val="zh-CN"/>
            </w:rPr>
            <w:fldChar w:fldCharType="begin"/>
          </w:r>
          <w:r>
            <w:rPr>
              <w:rFonts w:hint="default" w:ascii="Times New Roman" w:hAnsi="Times New Roman" w:eastAsia="黑体" w:cs="Times New Roman"/>
              <w:bCs/>
              <w:lang w:val="zh-CN"/>
            </w:rPr>
            <w:instrText xml:space="preserve"> HYPERLINK \l _Toc3492 </w:instrText>
          </w:r>
          <w:r>
            <w:rPr>
              <w:rFonts w:hint="default" w:ascii="Times New Roman" w:hAnsi="Times New Roman" w:eastAsia="黑体" w:cs="Times New Roman"/>
              <w:bCs/>
              <w:lang w:val="zh-CN"/>
            </w:rPr>
            <w:fldChar w:fldCharType="separate"/>
          </w:r>
          <w:r>
            <w:rPr>
              <w:rFonts w:hint="default" w:ascii="Times New Roman" w:hAnsi="Times New Roman" w:eastAsia="黑体" w:cs="Times New Roman"/>
              <w:szCs w:val="28"/>
            </w:rPr>
            <w:t>11 废止现行有关标准的建议</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_Toc3492 \h </w:instrText>
          </w:r>
          <w:r>
            <w:rPr>
              <w:rFonts w:hint="default" w:ascii="Times New Roman" w:hAnsi="Times New Roman" w:eastAsia="黑体" w:cs="Times New Roman"/>
            </w:rPr>
            <w:fldChar w:fldCharType="separate"/>
          </w:r>
          <w:r>
            <w:rPr>
              <w:rFonts w:hint="default" w:ascii="Times New Roman" w:hAnsi="Times New Roman" w:eastAsia="黑体" w:cs="Times New Roman"/>
            </w:rPr>
            <w:t>20</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lang w:val="zh-CN"/>
            </w:rPr>
            <w:fldChar w:fldCharType="end"/>
          </w:r>
        </w:p>
        <w:p>
          <w:pPr>
            <w:pStyle w:val="15"/>
            <w:keepNext w:val="0"/>
            <w:keepLines w:val="0"/>
            <w:pageBreakBefore w:val="0"/>
            <w:widowControl/>
            <w:tabs>
              <w:tab w:val="right" w:leader="dot" w:pos="9468"/>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rPr>
          </w:pPr>
          <w:r>
            <w:rPr>
              <w:rFonts w:hint="default" w:ascii="Times New Roman" w:hAnsi="Times New Roman" w:eastAsia="黑体" w:cs="Times New Roman"/>
              <w:bCs/>
              <w:color w:val="000000" w:themeColor="text1"/>
              <w:lang w:val="zh-CN"/>
            </w:rPr>
            <w:fldChar w:fldCharType="begin"/>
          </w:r>
          <w:r>
            <w:rPr>
              <w:rFonts w:hint="default" w:ascii="Times New Roman" w:hAnsi="Times New Roman" w:eastAsia="黑体" w:cs="Times New Roman"/>
              <w:bCs/>
              <w:lang w:val="zh-CN"/>
            </w:rPr>
            <w:instrText xml:space="preserve"> HYPERLINK \l _Toc1529 </w:instrText>
          </w:r>
          <w:r>
            <w:rPr>
              <w:rFonts w:hint="default" w:ascii="Times New Roman" w:hAnsi="Times New Roman" w:eastAsia="黑体" w:cs="Times New Roman"/>
              <w:bCs/>
              <w:lang w:val="zh-CN"/>
            </w:rPr>
            <w:fldChar w:fldCharType="separate"/>
          </w:r>
          <w:r>
            <w:rPr>
              <w:rFonts w:hint="default" w:ascii="Times New Roman" w:hAnsi="Times New Roman" w:eastAsia="黑体" w:cs="Times New Roman"/>
              <w:szCs w:val="28"/>
            </w:rPr>
            <w:t>12 其他应说明的事项</w:t>
          </w:r>
          <w:r>
            <w:rPr>
              <w:rFonts w:hint="default" w:ascii="Times New Roman" w:hAnsi="Times New Roman" w:eastAsia="黑体" w:cs="Times New Roman"/>
            </w:rPr>
            <w:tab/>
          </w:r>
          <w:r>
            <w:rPr>
              <w:rFonts w:hint="default" w:ascii="Times New Roman" w:hAnsi="Times New Roman" w:eastAsia="黑体" w:cs="Times New Roman"/>
            </w:rPr>
            <w:fldChar w:fldCharType="begin"/>
          </w:r>
          <w:r>
            <w:rPr>
              <w:rFonts w:hint="default" w:ascii="Times New Roman" w:hAnsi="Times New Roman" w:eastAsia="黑体" w:cs="Times New Roman"/>
            </w:rPr>
            <w:instrText xml:space="preserve"> PAGEREF _Toc1529 \h </w:instrText>
          </w:r>
          <w:r>
            <w:rPr>
              <w:rFonts w:hint="default" w:ascii="Times New Roman" w:hAnsi="Times New Roman" w:eastAsia="黑体" w:cs="Times New Roman"/>
            </w:rPr>
            <w:fldChar w:fldCharType="separate"/>
          </w:r>
          <w:r>
            <w:rPr>
              <w:rFonts w:hint="default" w:ascii="Times New Roman" w:hAnsi="Times New Roman" w:eastAsia="黑体" w:cs="Times New Roman"/>
            </w:rPr>
            <w:t>20</w:t>
          </w:r>
          <w:r>
            <w:rPr>
              <w:rFonts w:hint="default" w:ascii="Times New Roman" w:hAnsi="Times New Roman" w:eastAsia="黑体" w:cs="Times New Roman"/>
            </w:rPr>
            <w:fldChar w:fldCharType="end"/>
          </w:r>
          <w:r>
            <w:rPr>
              <w:rFonts w:hint="default" w:ascii="Times New Roman" w:hAnsi="Times New Roman" w:eastAsia="黑体" w:cs="Times New Roman"/>
              <w:bCs/>
              <w:color w:val="000000" w:themeColor="text1"/>
              <w:lang w:val="zh-CN"/>
            </w:rPr>
            <w:fldChar w:fldCharType="end"/>
          </w:r>
        </w:p>
        <w:p>
          <w:pPr>
            <w:pStyle w:val="14"/>
            <w:keepNext w:val="0"/>
            <w:keepLines w:val="0"/>
            <w:pageBreakBefore w:val="0"/>
            <w:widowControl/>
            <w:tabs>
              <w:tab w:val="right" w:leader="dot" w:pos="9458"/>
            </w:tabs>
            <w:kinsoku/>
            <w:wordWrap/>
            <w:overflowPunct/>
            <w:topLinePunct w:val="0"/>
            <w:autoSpaceDE/>
            <w:autoSpaceDN/>
            <w:bidi w:val="0"/>
            <w:adjustRightInd/>
            <w:snapToGrid/>
            <w:spacing w:line="360" w:lineRule="auto"/>
            <w:jc w:val="both"/>
            <w:textAlignment w:val="auto"/>
            <w:rPr>
              <w:color w:val="000000" w:themeColor="text1"/>
            </w:rPr>
          </w:pPr>
          <w:r>
            <w:rPr>
              <w:rFonts w:hint="default" w:ascii="Times New Roman" w:hAnsi="Times New Roman" w:eastAsia="黑体" w:cs="Times New Roman"/>
              <w:bCs/>
              <w:color w:val="000000" w:themeColor="text1"/>
              <w:lang w:val="zh-CN"/>
            </w:rPr>
            <w:fldChar w:fldCharType="end"/>
          </w:r>
        </w:p>
      </w:sdtContent>
    </w:sdt>
    <w:p>
      <w:pPr>
        <w:pStyle w:val="25"/>
        <w:pageBreakBefore w:val="0"/>
        <w:framePr w:w="0" w:hRule="auto" w:wrap="auto" w:vAnchor="margin" w:hAnchor="text" w:xAlign="left" w:yAlign="inline"/>
        <w:kinsoku/>
        <w:wordWrap/>
        <w:overflowPunct/>
        <w:topLinePunct w:val="0"/>
        <w:bidi w:val="0"/>
        <w:spacing w:line="360" w:lineRule="auto"/>
        <w:rPr>
          <w:rFonts w:ascii="Times New Roman" w:eastAsia="宋体"/>
          <w:color w:val="000000" w:themeColor="text1"/>
          <w:sz w:val="32"/>
          <w:szCs w:val="32"/>
        </w:rPr>
      </w:pPr>
      <w:bookmarkStart w:id="29" w:name="_GoBack"/>
      <w:bookmarkEnd w:id="29"/>
    </w:p>
    <w:p>
      <w:pPr>
        <w:pageBreakBefore w:val="0"/>
        <w:kinsoku/>
        <w:wordWrap/>
        <w:overflowPunct/>
        <w:topLinePunct w:val="0"/>
        <w:bidi w:val="0"/>
        <w:spacing w:line="360" w:lineRule="auto"/>
        <w:jc w:val="center"/>
        <w:rPr>
          <w:rFonts w:ascii="方正小标宋简体" w:eastAsia="方正小标宋简体"/>
          <w:bCs/>
          <w:color w:val="000000" w:themeColor="text1"/>
          <w:sz w:val="48"/>
          <w:szCs w:val="44"/>
        </w:rPr>
      </w:pPr>
      <w:r>
        <w:rPr>
          <w:color w:val="000000" w:themeColor="text1"/>
          <w:sz w:val="48"/>
          <w:szCs w:val="48"/>
        </w:rPr>
        <w:br w:type="page"/>
      </w:r>
      <w:r>
        <w:rPr>
          <w:rFonts w:ascii="方正小标宋简体" w:eastAsia="方正小标宋简体"/>
          <w:bCs/>
          <w:color w:val="000000" w:themeColor="text1"/>
          <w:sz w:val="32"/>
          <w:szCs w:val="32"/>
        </w:rPr>
        <w:t>T/CBMF</w:t>
      </w:r>
      <w:r>
        <w:rPr>
          <w:rFonts w:hint="eastAsia" w:ascii="方正小标宋简体" w:eastAsia="方正小标宋简体"/>
          <w:bCs/>
          <w:color w:val="000000" w:themeColor="text1"/>
          <w:sz w:val="32"/>
          <w:szCs w:val="32"/>
        </w:rPr>
        <w:t xml:space="preserve"> XXXX-20XX《建材产品使用说明书 智能门锁》</w:t>
      </w:r>
    </w:p>
    <w:p>
      <w:pPr>
        <w:pageBreakBefore w:val="0"/>
        <w:kinsoku/>
        <w:wordWrap/>
        <w:overflowPunct/>
        <w:topLinePunct w:val="0"/>
        <w:bidi w:val="0"/>
        <w:spacing w:line="360" w:lineRule="auto"/>
        <w:jc w:val="center"/>
        <w:rPr>
          <w:rFonts w:ascii="方正小标宋简体" w:eastAsia="方正小标宋简体"/>
          <w:bCs/>
          <w:color w:val="000000" w:themeColor="text1"/>
          <w:sz w:val="32"/>
          <w:szCs w:val="32"/>
        </w:rPr>
      </w:pPr>
      <w:r>
        <w:rPr>
          <w:rFonts w:hint="eastAsia" w:ascii="方正小标宋简体" w:eastAsia="方正小标宋简体"/>
          <w:bCs/>
          <w:color w:val="000000" w:themeColor="text1"/>
          <w:sz w:val="32"/>
          <w:szCs w:val="32"/>
        </w:rPr>
        <w:t>团体标准编制说明</w:t>
      </w:r>
    </w:p>
    <w:p>
      <w:pPr>
        <w:pStyle w:val="27"/>
        <w:pageBreakBefore w:val="0"/>
        <w:kinsoku/>
        <w:wordWrap/>
        <w:overflowPunct/>
        <w:topLinePunct w:val="0"/>
        <w:bidi w:val="0"/>
        <w:spacing w:beforeLines="0" w:afterLines="0" w:line="360" w:lineRule="auto"/>
        <w:rPr>
          <w:rFonts w:ascii="Times New Roman"/>
          <w:color w:val="000000" w:themeColor="text1"/>
          <w:sz w:val="28"/>
          <w:szCs w:val="28"/>
        </w:rPr>
      </w:pPr>
      <w:bookmarkStart w:id="0" w:name="_Toc12522"/>
      <w:r>
        <w:rPr>
          <w:rFonts w:ascii="Times New Roman"/>
          <w:color w:val="000000" w:themeColor="text1"/>
          <w:sz w:val="28"/>
          <w:szCs w:val="28"/>
        </w:rPr>
        <w:t>1 标准编制工作简况</w:t>
      </w:r>
      <w:bookmarkEnd w:id="0"/>
    </w:p>
    <w:p>
      <w:pPr>
        <w:pStyle w:val="28"/>
        <w:pageBreakBefore w:val="0"/>
        <w:numPr>
          <w:ilvl w:val="1"/>
          <w:numId w:val="6"/>
        </w:numPr>
        <w:kinsoku/>
        <w:wordWrap/>
        <w:overflowPunct/>
        <w:topLinePunct w:val="0"/>
        <w:bidi w:val="0"/>
        <w:snapToGrid w:val="0"/>
        <w:spacing w:line="360" w:lineRule="auto"/>
        <w:ind w:left="0"/>
        <w:rPr>
          <w:color w:val="000000" w:themeColor="text1"/>
          <w:sz w:val="24"/>
          <w:szCs w:val="24"/>
        </w:rPr>
      </w:pPr>
      <w:bookmarkStart w:id="1" w:name="_Toc24629"/>
      <w:r>
        <w:rPr>
          <w:color w:val="000000" w:themeColor="text1"/>
          <w:sz w:val="24"/>
          <w:szCs w:val="24"/>
        </w:rPr>
        <w:t>任务来源</w:t>
      </w:r>
      <w:bookmarkEnd w:id="1"/>
    </w:p>
    <w:p>
      <w:pPr>
        <w:pageBreakBefore w:val="0"/>
        <w:kinsoku/>
        <w:wordWrap/>
        <w:overflowPunct/>
        <w:topLinePunct w:val="0"/>
        <w:bidi w:val="0"/>
        <w:spacing w:line="360" w:lineRule="auto"/>
        <w:ind w:firstLine="480" w:firstLineChars="200"/>
        <w:jc w:val="both"/>
        <w:rPr>
          <w:rFonts w:eastAsiaTheme="minorEastAsia"/>
          <w:color w:val="000000" w:themeColor="text1"/>
          <w:szCs w:val="28"/>
        </w:rPr>
      </w:pPr>
      <w:r>
        <w:rPr>
          <w:rFonts w:hint="eastAsia"/>
          <w:color w:val="000000" w:themeColor="text1"/>
        </w:rPr>
        <w:t>根据中国建筑材料联合会《关于下达</w:t>
      </w:r>
      <w:r>
        <w:rPr>
          <w:color w:val="000000" w:themeColor="text1"/>
        </w:rPr>
        <w:t>202</w:t>
      </w:r>
      <w:r>
        <w:rPr>
          <w:rFonts w:hint="eastAsia"/>
          <w:color w:val="000000" w:themeColor="text1"/>
          <w:lang w:val="en-US" w:eastAsia="zh-CN"/>
        </w:rPr>
        <w:t>3</w:t>
      </w:r>
      <w:r>
        <w:rPr>
          <w:color w:val="000000" w:themeColor="text1"/>
        </w:rPr>
        <w:t>年第</w:t>
      </w:r>
      <w:r>
        <w:rPr>
          <w:rFonts w:hint="eastAsia"/>
          <w:color w:val="000000" w:themeColor="text1"/>
          <w:lang w:val="en-US" w:eastAsia="zh-CN"/>
        </w:rPr>
        <w:t>一</w:t>
      </w:r>
      <w:r>
        <w:rPr>
          <w:color w:val="000000" w:themeColor="text1"/>
        </w:rPr>
        <w:t>批协会标准制定计划的通知》（中建材联标发〔202</w:t>
      </w:r>
      <w:r>
        <w:rPr>
          <w:rFonts w:hint="eastAsia"/>
          <w:color w:val="000000" w:themeColor="text1"/>
          <w:lang w:val="en-US" w:eastAsia="zh-CN"/>
        </w:rPr>
        <w:t>3</w:t>
      </w:r>
      <w:r>
        <w:rPr>
          <w:color w:val="000000" w:themeColor="text1"/>
        </w:rPr>
        <w:t>〕6号），《</w:t>
      </w:r>
      <w:r>
        <w:rPr>
          <w:rFonts w:hint="eastAsia"/>
          <w:color w:val="000000" w:themeColor="text1"/>
        </w:rPr>
        <w:t>建材产品使用说明书 智能门锁</w:t>
      </w:r>
      <w:r>
        <w:rPr>
          <w:color w:val="000000" w:themeColor="text1"/>
        </w:rPr>
        <w:t>》团体标准已列入度团体标准项目计划（计划编号：20</w:t>
      </w:r>
      <w:r>
        <w:rPr>
          <w:rFonts w:hint="eastAsia"/>
          <w:color w:val="000000" w:themeColor="text1"/>
          <w:lang w:val="en-US" w:eastAsia="zh-CN"/>
        </w:rPr>
        <w:t>23</w:t>
      </w:r>
      <w:r>
        <w:rPr>
          <w:color w:val="000000" w:themeColor="text1"/>
        </w:rPr>
        <w:t>-</w:t>
      </w:r>
      <w:r>
        <w:rPr>
          <w:rFonts w:hint="eastAsia"/>
          <w:color w:val="000000" w:themeColor="text1"/>
          <w:lang w:val="en-US" w:eastAsia="zh-CN"/>
        </w:rPr>
        <w:t>32</w:t>
      </w:r>
      <w:r>
        <w:rPr>
          <w:color w:val="000000" w:themeColor="text1"/>
        </w:rPr>
        <w:t>-xbjh），该标准的起草工作由</w:t>
      </w:r>
      <w:r>
        <w:rPr>
          <w:rFonts w:hint="eastAsia" w:ascii="Times New Roman" w:hAnsi="Times New Roman" w:eastAsia="宋体" w:cs="Times New Roman"/>
          <w:lang w:val="en-US" w:eastAsia="zh-CN"/>
        </w:rPr>
        <w:t>天津市贰拾壹站检测技术有限公司</w:t>
      </w:r>
      <w:r>
        <w:rPr>
          <w:rFonts w:hint="eastAsia" w:ascii="Times New Roman" w:hAnsi="Times New Roman" w:cs="Times New Roman"/>
          <w:lang w:val="en-US" w:eastAsia="zh-CN"/>
        </w:rPr>
        <w:t>等</w:t>
      </w:r>
      <w:r>
        <w:rPr>
          <w:color w:val="000000" w:themeColor="text1"/>
        </w:rPr>
        <w:t>单位负责。</w:t>
      </w:r>
    </w:p>
    <w:p>
      <w:pPr>
        <w:pStyle w:val="28"/>
        <w:pageBreakBefore w:val="0"/>
        <w:numPr>
          <w:ilvl w:val="1"/>
          <w:numId w:val="6"/>
        </w:numPr>
        <w:kinsoku/>
        <w:wordWrap/>
        <w:overflowPunct/>
        <w:topLinePunct w:val="0"/>
        <w:bidi w:val="0"/>
        <w:snapToGrid w:val="0"/>
        <w:spacing w:line="360" w:lineRule="auto"/>
        <w:ind w:left="0"/>
        <w:rPr>
          <w:color w:val="000000" w:themeColor="text1"/>
          <w:sz w:val="24"/>
          <w:szCs w:val="24"/>
        </w:rPr>
      </w:pPr>
      <w:bookmarkStart w:id="2" w:name="_Toc44068192"/>
      <w:bookmarkStart w:id="3" w:name="_Toc17278"/>
      <w:r>
        <w:rPr>
          <w:color w:val="000000" w:themeColor="text1"/>
          <w:sz w:val="24"/>
          <w:szCs w:val="24"/>
        </w:rPr>
        <w:t>起草单位</w:t>
      </w:r>
      <w:bookmarkEnd w:id="2"/>
      <w:bookmarkEnd w:id="3"/>
    </w:p>
    <w:p>
      <w:pPr>
        <w:pageBreakBefore w:val="0"/>
        <w:kinsoku/>
        <w:wordWrap/>
        <w:overflowPunct/>
        <w:topLinePunct w:val="0"/>
        <w:bidi w:val="0"/>
        <w:spacing w:line="360" w:lineRule="auto"/>
        <w:ind w:firstLine="480" w:firstLineChars="200"/>
        <w:jc w:val="both"/>
        <w:rPr>
          <w:rFonts w:eastAsiaTheme="majorEastAsia"/>
          <w:color w:val="000000" w:themeColor="text1"/>
        </w:rPr>
      </w:pPr>
      <w:r>
        <w:rPr>
          <w:rFonts w:hint="eastAsia" w:eastAsiaTheme="majorEastAsia"/>
          <w:color w:val="000000" w:themeColor="text1"/>
        </w:rPr>
        <w:t>本标准由</w:t>
      </w:r>
      <w:r>
        <w:rPr>
          <w:rFonts w:hint="eastAsia" w:ascii="Times New Roman" w:hAnsi="Times New Roman" w:eastAsia="宋体" w:cs="Times New Roman"/>
          <w:lang w:val="en-US" w:eastAsia="zh-CN"/>
        </w:rPr>
        <w:t>天津市贰拾壹站检测技术有限公司、鹿客科技（北京）股份有限公司、深圳市同创新佳科技有限公司、深圳市凯迪仕智能科技股份有限公司、浙江鲸云智能家居有限公司、永康市铄鑫安防科技有限公司</w:t>
      </w:r>
      <w:r>
        <w:rPr>
          <w:rFonts w:hint="eastAsia" w:eastAsiaTheme="majorEastAsia"/>
          <w:color w:val="000000" w:themeColor="text1"/>
        </w:rPr>
        <w:t>等单位共同起草，形成《建材产品使用说明书 智能门锁》标准的编制组。标准编制组分工如下：</w:t>
      </w:r>
    </w:p>
    <w:p>
      <w:pPr>
        <w:pageBreakBefore w:val="0"/>
        <w:kinsoku/>
        <w:wordWrap/>
        <w:overflowPunct/>
        <w:topLinePunct w:val="0"/>
        <w:bidi w:val="0"/>
        <w:spacing w:line="360" w:lineRule="auto"/>
        <w:ind w:firstLine="480" w:firstLineChars="200"/>
        <w:jc w:val="both"/>
        <w:rPr>
          <w:rFonts w:eastAsiaTheme="majorEastAsia"/>
          <w:color w:val="000000" w:themeColor="text1"/>
        </w:rPr>
      </w:pPr>
      <w:r>
        <w:rPr>
          <w:rFonts w:hint="eastAsia" w:eastAsiaTheme="majorEastAsia"/>
          <w:color w:val="000000" w:themeColor="text1"/>
        </w:rPr>
        <w:t>（</w:t>
      </w:r>
      <w:r>
        <w:rPr>
          <w:rFonts w:eastAsiaTheme="majorEastAsia"/>
          <w:color w:val="000000" w:themeColor="text1"/>
        </w:rPr>
        <w:t>1）</w:t>
      </w:r>
      <w:r>
        <w:rPr>
          <w:rFonts w:hint="eastAsia" w:ascii="Times New Roman" w:hAnsi="Times New Roman" w:eastAsia="宋体" w:cs="Times New Roman"/>
          <w:lang w:val="en-US" w:eastAsia="zh-CN"/>
        </w:rPr>
        <w:t>天津市贰拾壹站检测技术有限公司</w:t>
      </w:r>
      <w:r>
        <w:rPr>
          <w:rFonts w:eastAsiaTheme="majorEastAsia"/>
          <w:color w:val="000000" w:themeColor="text1"/>
        </w:rPr>
        <w:t>：主要负责标准立项、标准讨论会组织及筹备、标准相关文献搜集及分发、行业征求意见汇总、标准正文的编写及修改等。</w:t>
      </w:r>
    </w:p>
    <w:p>
      <w:pPr>
        <w:pageBreakBefore w:val="0"/>
        <w:kinsoku/>
        <w:wordWrap/>
        <w:overflowPunct/>
        <w:topLinePunct w:val="0"/>
        <w:bidi w:val="0"/>
        <w:spacing w:line="360" w:lineRule="auto"/>
        <w:ind w:firstLine="480" w:firstLineChars="200"/>
        <w:jc w:val="both"/>
        <w:rPr>
          <w:rFonts w:eastAsiaTheme="majorEastAsia"/>
          <w:color w:val="000000" w:themeColor="text1"/>
        </w:rPr>
      </w:pPr>
      <w:r>
        <w:rPr>
          <w:rFonts w:hint="eastAsia" w:eastAsiaTheme="majorEastAsia"/>
          <w:color w:val="000000" w:themeColor="text1"/>
        </w:rPr>
        <w:t>（</w:t>
      </w:r>
      <w:r>
        <w:rPr>
          <w:rFonts w:eastAsiaTheme="majorEastAsia"/>
          <w:color w:val="000000" w:themeColor="text1"/>
        </w:rPr>
        <w:t>2）</w:t>
      </w:r>
      <w:r>
        <w:rPr>
          <w:rFonts w:hint="eastAsia" w:ascii="Times New Roman" w:hAnsi="Times New Roman" w:eastAsia="宋体" w:cs="Times New Roman"/>
          <w:lang w:val="en-US" w:eastAsia="zh-CN"/>
        </w:rPr>
        <w:t>鹿客科技（北京）股份有限公司、深圳市同创新佳科技有限公司、深圳市凯迪仕智能科技股份有限公司、浙江鲸云智能家居有限公司、永康市铄鑫安防科技有限公司</w:t>
      </w:r>
      <w:r>
        <w:rPr>
          <w:rFonts w:eastAsiaTheme="majorEastAsia"/>
          <w:color w:val="000000" w:themeColor="text1"/>
        </w:rPr>
        <w:t>：在本标准制定过程中提供了大量技术支持，并开展相关调研、验证工</w:t>
      </w:r>
      <w:r>
        <w:rPr>
          <w:rFonts w:hint="eastAsia" w:eastAsiaTheme="majorEastAsia"/>
          <w:color w:val="000000" w:themeColor="text1"/>
          <w:lang w:eastAsia="zh-CN"/>
        </w:rPr>
        <w:t>；</w:t>
      </w:r>
      <w:r>
        <w:rPr>
          <w:rFonts w:eastAsiaTheme="majorEastAsia"/>
          <w:color w:val="000000" w:themeColor="text1"/>
        </w:rPr>
        <w:t>为本标准提供各类产品使用说明的材料，为本标准科学、合理制定奠定基础</w:t>
      </w:r>
      <w:r>
        <w:rPr>
          <w:rFonts w:eastAsiaTheme="minorEastAsia"/>
          <w:color w:val="000000" w:themeColor="text1"/>
          <w:szCs w:val="28"/>
        </w:rPr>
        <w:t>。</w:t>
      </w:r>
      <w:r>
        <w:rPr>
          <w:rFonts w:eastAsiaTheme="majorEastAsia"/>
          <w:color w:val="000000" w:themeColor="text1"/>
        </w:rPr>
        <w:t>。</w:t>
      </w:r>
    </w:p>
    <w:p>
      <w:pPr>
        <w:pStyle w:val="28"/>
        <w:pageBreakBefore w:val="0"/>
        <w:numPr>
          <w:ilvl w:val="1"/>
          <w:numId w:val="6"/>
        </w:numPr>
        <w:kinsoku/>
        <w:wordWrap/>
        <w:overflowPunct/>
        <w:topLinePunct w:val="0"/>
        <w:bidi w:val="0"/>
        <w:spacing w:line="360" w:lineRule="auto"/>
        <w:ind w:left="0"/>
        <w:rPr>
          <w:color w:val="000000" w:themeColor="text1"/>
          <w:sz w:val="24"/>
          <w:szCs w:val="24"/>
        </w:rPr>
      </w:pPr>
      <w:bookmarkStart w:id="4" w:name="_Toc44068193"/>
      <w:bookmarkStart w:id="5" w:name="_Toc30871"/>
      <w:r>
        <w:rPr>
          <w:color w:val="000000" w:themeColor="text1"/>
          <w:sz w:val="24"/>
          <w:szCs w:val="24"/>
        </w:rPr>
        <w:t>标准编制背景及必要性</w:t>
      </w:r>
      <w:bookmarkEnd w:id="4"/>
      <w:bookmarkEnd w:id="5"/>
    </w:p>
    <w:p>
      <w:pPr>
        <w:pStyle w:val="41"/>
        <w:pageBreakBefore w:val="0"/>
        <w:kinsoku/>
        <w:wordWrap/>
        <w:overflowPunct/>
        <w:topLinePunct w:val="0"/>
        <w:bidi w:val="0"/>
        <w:spacing w:line="360" w:lineRule="auto"/>
        <w:ind w:firstLine="0" w:firstLineChars="0"/>
        <w:rPr>
          <w:rFonts w:ascii="Times New Roman" w:eastAsia="黑体"/>
          <w:color w:val="000000" w:themeColor="text1"/>
          <w:sz w:val="24"/>
          <w:szCs w:val="24"/>
        </w:rPr>
      </w:pPr>
      <w:r>
        <w:rPr>
          <w:rFonts w:ascii="Times New Roman" w:eastAsia="黑体"/>
          <w:color w:val="000000" w:themeColor="text1"/>
          <w:sz w:val="24"/>
          <w:szCs w:val="24"/>
        </w:rPr>
        <w:t>1.3.1 编制背景</w:t>
      </w:r>
    </w:p>
    <w:p>
      <w:pPr>
        <w:pageBreakBefore w:val="0"/>
        <w:kinsoku/>
        <w:wordWrap/>
        <w:overflowPunct/>
        <w:topLinePunct w:val="0"/>
        <w:bidi w:val="0"/>
        <w:spacing w:line="360" w:lineRule="auto"/>
        <w:ind w:firstLine="480" w:firstLineChars="200"/>
        <w:jc w:val="both"/>
        <w:rPr>
          <w:rFonts w:hint="eastAsia" w:eastAsiaTheme="minorEastAsia"/>
          <w:color w:val="000000" w:themeColor="text1"/>
          <w:szCs w:val="28"/>
        </w:rPr>
      </w:pPr>
      <w:r>
        <w:rPr>
          <w:rFonts w:hint="eastAsia" w:eastAsiaTheme="minorEastAsia"/>
          <w:color w:val="000000" w:themeColor="text1"/>
          <w:szCs w:val="28"/>
        </w:rPr>
        <w:t>说明书是产品的生产企业向用户介绍产品性能、规格、用途、保养和使用方法等知识的材料。目前，建材类产品使用说明书的质量参差不齐，有些产品甚至不提供使用说明书，行业内也无相关标准对其进行规范。</w:t>
      </w:r>
    </w:p>
    <w:p>
      <w:pPr>
        <w:pageBreakBefore w:val="0"/>
        <w:kinsoku/>
        <w:wordWrap/>
        <w:overflowPunct/>
        <w:topLinePunct w:val="0"/>
        <w:bidi w:val="0"/>
        <w:spacing w:line="360" w:lineRule="auto"/>
        <w:ind w:firstLine="480" w:firstLineChars="200"/>
        <w:jc w:val="both"/>
        <w:rPr>
          <w:rFonts w:hint="eastAsia" w:eastAsiaTheme="minorEastAsia"/>
          <w:color w:val="000000" w:themeColor="text1"/>
          <w:szCs w:val="28"/>
        </w:rPr>
      </w:pPr>
      <w:r>
        <w:rPr>
          <w:rFonts w:hint="eastAsia" w:eastAsiaTheme="minorEastAsia"/>
          <w:color w:val="000000" w:themeColor="text1"/>
          <w:szCs w:val="28"/>
        </w:rPr>
        <w:t>2022 年工信息部等四部门印发《原材料工业“三品”实施方案》中提出：鼓励企业制定完善轮胎、涂料、装饰装修材料等产品使用说明书，提升下游用户使用体验。为此，中国建筑材料联合会牵头组织行业力量开展建材产品使用说明书系列标准的研制，规范建材产品使用说明书，支撑重点建材产品使用说明书规范机制的创建。智能门锁作为智能家居类建材产品，近年来伴随着行业持续高速发展，消费者对产品质量和全流程服务的期待也在不断提高。</w:t>
      </w:r>
    </w:p>
    <w:p>
      <w:pPr>
        <w:pageBreakBefore w:val="0"/>
        <w:kinsoku/>
        <w:wordWrap/>
        <w:overflowPunct/>
        <w:topLinePunct w:val="0"/>
        <w:bidi w:val="0"/>
        <w:spacing w:line="360" w:lineRule="auto"/>
        <w:ind w:firstLine="480" w:firstLineChars="200"/>
        <w:jc w:val="both"/>
        <w:rPr>
          <w:rFonts w:eastAsiaTheme="minorEastAsia"/>
          <w:color w:val="000000" w:themeColor="text1"/>
          <w:szCs w:val="28"/>
        </w:rPr>
      </w:pPr>
      <w:r>
        <w:rPr>
          <w:rFonts w:hint="eastAsia" w:eastAsiaTheme="minorEastAsia"/>
          <w:color w:val="000000" w:themeColor="text1"/>
          <w:szCs w:val="28"/>
        </w:rPr>
        <w:t>《建材产品使用说明书 智能门锁》的编制，为智能门锁企业编制产品说明书提供统一、科学的依据，进而引导用户正确使用和选用智能门锁产品，提升用户满意度。</w:t>
      </w:r>
    </w:p>
    <w:p>
      <w:pPr>
        <w:pageBreakBefore w:val="0"/>
        <w:kinsoku/>
        <w:wordWrap/>
        <w:overflowPunct/>
        <w:topLinePunct w:val="0"/>
        <w:bidi w:val="0"/>
        <w:spacing w:line="360" w:lineRule="auto"/>
        <w:ind w:firstLine="480" w:firstLineChars="200"/>
        <w:jc w:val="both"/>
        <w:rPr>
          <w:rFonts w:eastAsiaTheme="minorEastAsia"/>
          <w:color w:val="000000" w:themeColor="text1"/>
          <w:szCs w:val="28"/>
        </w:rPr>
      </w:pPr>
      <w:r>
        <w:rPr>
          <w:rFonts w:hint="eastAsia" w:eastAsiaTheme="minorEastAsia"/>
          <w:color w:val="000000" w:themeColor="text1"/>
          <w:szCs w:val="28"/>
        </w:rPr>
        <w:t>因此，制定《建材产品使用说明书 智能门锁》，为智能门锁企业编制产品说明书提供统一、科学的依据，进而引导用户正确使用和选用智能门锁产品，提升用户满意度</w:t>
      </w:r>
      <w:r>
        <w:rPr>
          <w:rFonts w:hint="eastAsia" w:eastAsiaTheme="minorEastAsia"/>
          <w:color w:val="000000" w:themeColor="text1"/>
          <w:szCs w:val="28"/>
          <w:lang w:eastAsia="zh-CN"/>
        </w:rPr>
        <w:t>，</w:t>
      </w:r>
      <w:r>
        <w:rPr>
          <w:rFonts w:hint="eastAsia" w:eastAsiaTheme="minorEastAsia"/>
          <w:color w:val="000000" w:themeColor="text1"/>
          <w:szCs w:val="28"/>
        </w:rPr>
        <w:t>提高智能门锁</w:t>
      </w:r>
      <w:r>
        <w:rPr>
          <w:rFonts w:hint="eastAsia" w:eastAsiaTheme="minorEastAsia"/>
          <w:color w:val="000000" w:themeColor="text1"/>
          <w:szCs w:val="28"/>
          <w:lang w:val="en-US" w:eastAsia="zh-CN"/>
        </w:rPr>
        <w:t>产</w:t>
      </w:r>
      <w:r>
        <w:rPr>
          <w:rFonts w:hint="eastAsia" w:eastAsiaTheme="minorEastAsia"/>
          <w:color w:val="000000" w:themeColor="text1"/>
          <w:szCs w:val="28"/>
        </w:rPr>
        <w:t>品的消费品质、感性质量、功能效应、健康安全、服务内涵等产品体系，为规范智能门锁行业发展秩序，支撑智能门锁行业高质量发展，促进中国速度向中国质量转变、中国产品向中国品牌转变，加快实现“宜业尚品、造福人类”的建材发展目标发挥积极作用。</w:t>
      </w:r>
    </w:p>
    <w:p>
      <w:pPr>
        <w:pStyle w:val="41"/>
        <w:pageBreakBefore w:val="0"/>
        <w:kinsoku/>
        <w:wordWrap/>
        <w:overflowPunct/>
        <w:topLinePunct w:val="0"/>
        <w:bidi w:val="0"/>
        <w:spacing w:line="360" w:lineRule="auto"/>
        <w:ind w:firstLine="0" w:firstLineChars="0"/>
        <w:rPr>
          <w:rFonts w:ascii="Times New Roman" w:eastAsia="黑体"/>
          <w:color w:val="000000" w:themeColor="text1"/>
          <w:sz w:val="24"/>
          <w:szCs w:val="24"/>
        </w:rPr>
      </w:pPr>
      <w:r>
        <w:rPr>
          <w:rFonts w:hint="eastAsia" w:ascii="Times New Roman" w:eastAsia="黑体"/>
          <w:color w:val="000000" w:themeColor="text1"/>
          <w:sz w:val="24"/>
          <w:szCs w:val="24"/>
        </w:rPr>
        <w:t>1.3.2</w:t>
      </w:r>
      <w:r>
        <w:rPr>
          <w:rFonts w:ascii="Times New Roman" w:eastAsia="黑体"/>
          <w:color w:val="000000" w:themeColor="text1"/>
          <w:sz w:val="24"/>
          <w:szCs w:val="24"/>
        </w:rPr>
        <w:t>主要工作过程</w:t>
      </w:r>
    </w:p>
    <w:p>
      <w:pPr>
        <w:pageBreakBefore w:val="0"/>
        <w:kinsoku/>
        <w:wordWrap/>
        <w:overflowPunct/>
        <w:topLinePunct w:val="0"/>
        <w:bidi w:val="0"/>
        <w:spacing w:line="360" w:lineRule="auto"/>
        <w:ind w:firstLine="480" w:firstLineChars="200"/>
        <w:jc w:val="both"/>
        <w:rPr>
          <w:color w:val="000000" w:themeColor="text1"/>
        </w:rPr>
      </w:pPr>
      <w:r>
        <w:rPr>
          <w:rFonts w:hint="eastAsia" w:eastAsiaTheme="minorEastAsia"/>
          <w:color w:val="000000" w:themeColor="text1"/>
          <w:szCs w:val="28"/>
          <w:highlight w:val="none"/>
        </w:rPr>
        <w:t>为贯彻中央经济工作会议和全国工业和信息化工作会议精神，落实《关于促进制造业产品和服务质量提升的实施意见》要求，推进工业质量品牌建设工作，支持制造业高质量发展以《中共中央 国务院关于开展质量提升行动的指导意见》，</w:t>
      </w:r>
      <w:r>
        <w:rPr>
          <w:rFonts w:eastAsiaTheme="minorEastAsia"/>
          <w:color w:val="000000" w:themeColor="text1"/>
          <w:szCs w:val="28"/>
          <w:highlight w:val="none"/>
        </w:rPr>
        <w:t>开展本标准的制定工作</w:t>
      </w:r>
      <w:r>
        <w:rPr>
          <w:rFonts w:hint="eastAsia" w:eastAsiaTheme="minorEastAsia"/>
          <w:color w:val="000000" w:themeColor="text1"/>
          <w:szCs w:val="28"/>
          <w:highlight w:val="none"/>
        </w:rPr>
        <w:t>。标准起草组在广泛收集</w:t>
      </w:r>
      <w:r>
        <w:rPr>
          <w:rFonts w:eastAsiaTheme="minorEastAsia"/>
          <w:color w:val="000000" w:themeColor="text1"/>
          <w:szCs w:val="28"/>
          <w:highlight w:val="none"/>
        </w:rPr>
        <w:t>研究</w:t>
      </w:r>
      <w:r>
        <w:rPr>
          <w:rFonts w:hint="eastAsia" w:eastAsiaTheme="minorEastAsia"/>
          <w:color w:val="000000" w:themeColor="text1"/>
          <w:szCs w:val="28"/>
          <w:highlight w:val="none"/>
        </w:rPr>
        <w:t>建材</w:t>
      </w:r>
      <w:r>
        <w:rPr>
          <w:rFonts w:eastAsiaTheme="minorEastAsia"/>
          <w:color w:val="000000" w:themeColor="text1"/>
          <w:szCs w:val="28"/>
          <w:highlight w:val="none"/>
        </w:rPr>
        <w:t>行业各类产品使用说明书的基础上，</w:t>
      </w:r>
      <w:r>
        <w:rPr>
          <w:rFonts w:hint="eastAsia" w:eastAsiaTheme="minorEastAsia"/>
          <w:color w:val="000000" w:themeColor="text1"/>
          <w:szCs w:val="28"/>
          <w:highlight w:val="none"/>
        </w:rPr>
        <w:t>充分考虑GB</w:t>
      </w:r>
      <w:r>
        <w:rPr>
          <w:rFonts w:eastAsiaTheme="minorEastAsia"/>
          <w:color w:val="000000" w:themeColor="text1"/>
          <w:szCs w:val="28"/>
          <w:highlight w:val="none"/>
        </w:rPr>
        <w:t>/T</w:t>
      </w:r>
      <w:r>
        <w:rPr>
          <w:rFonts w:hint="eastAsia" w:eastAsiaTheme="minorEastAsia"/>
          <w:color w:val="000000" w:themeColor="text1"/>
          <w:szCs w:val="28"/>
          <w:highlight w:val="none"/>
        </w:rPr>
        <w:t xml:space="preserve"> 5296.1</w:t>
      </w:r>
      <w:r>
        <w:rPr>
          <w:rFonts w:eastAsiaTheme="minorEastAsia"/>
          <w:color w:val="000000" w:themeColor="text1"/>
          <w:szCs w:val="28"/>
          <w:highlight w:val="none"/>
        </w:rPr>
        <w:t>-2012</w:t>
      </w:r>
      <w:r>
        <w:rPr>
          <w:rFonts w:hint="eastAsia" w:eastAsiaTheme="minorEastAsia"/>
          <w:color w:val="000000" w:themeColor="text1"/>
          <w:szCs w:val="28"/>
          <w:highlight w:val="none"/>
        </w:rPr>
        <w:t xml:space="preserve">《消费品使用说明 </w:t>
      </w:r>
      <w:r>
        <w:rPr>
          <w:rFonts w:eastAsiaTheme="minorEastAsia"/>
          <w:color w:val="000000" w:themeColor="text1"/>
          <w:szCs w:val="28"/>
          <w:highlight w:val="none"/>
        </w:rPr>
        <w:t xml:space="preserve"> </w:t>
      </w:r>
      <w:r>
        <w:rPr>
          <w:rFonts w:hint="eastAsia" w:eastAsiaTheme="minorEastAsia"/>
          <w:color w:val="000000" w:themeColor="text1"/>
          <w:szCs w:val="28"/>
          <w:highlight w:val="none"/>
        </w:rPr>
        <w:t>第1部分：总则》</w:t>
      </w:r>
      <w:r>
        <w:rPr>
          <w:rFonts w:hint="eastAsia" w:eastAsiaTheme="minorEastAsia"/>
          <w:color w:val="000000" w:themeColor="text1"/>
          <w:szCs w:val="28"/>
          <w:highlight w:val="none"/>
          <w:lang w:eastAsia="zh-CN"/>
        </w:rPr>
        <w:t>、</w:t>
      </w:r>
      <w:r>
        <w:rPr>
          <w:rFonts w:hint="eastAsia" w:eastAsiaTheme="minorEastAsia"/>
          <w:color w:val="000000" w:themeColor="text1"/>
          <w:szCs w:val="28"/>
          <w:highlight w:val="none"/>
        </w:rPr>
        <w:t>GB/T</w:t>
      </w:r>
      <w:r>
        <w:rPr>
          <w:rFonts w:eastAsiaTheme="minorEastAsia"/>
          <w:color w:val="000000" w:themeColor="text1"/>
          <w:szCs w:val="28"/>
          <w:highlight w:val="none"/>
        </w:rPr>
        <w:t xml:space="preserve"> </w:t>
      </w:r>
      <w:r>
        <w:rPr>
          <w:rFonts w:hint="eastAsia" w:eastAsiaTheme="minorEastAsia"/>
          <w:color w:val="000000" w:themeColor="text1"/>
          <w:szCs w:val="28"/>
          <w:highlight w:val="none"/>
        </w:rPr>
        <w:t>9969</w:t>
      </w:r>
      <w:r>
        <w:rPr>
          <w:rFonts w:eastAsiaTheme="minorEastAsia"/>
          <w:color w:val="000000" w:themeColor="text1"/>
          <w:szCs w:val="28"/>
          <w:highlight w:val="none"/>
        </w:rPr>
        <w:t>-2008</w:t>
      </w:r>
      <w:r>
        <w:rPr>
          <w:rFonts w:hint="eastAsia" w:eastAsiaTheme="minorEastAsia"/>
          <w:color w:val="000000" w:themeColor="text1"/>
          <w:szCs w:val="28"/>
          <w:highlight w:val="none"/>
        </w:rPr>
        <w:t xml:space="preserve">《工业产品使用说明书 </w:t>
      </w:r>
      <w:r>
        <w:rPr>
          <w:rFonts w:eastAsiaTheme="minorEastAsia"/>
          <w:color w:val="000000" w:themeColor="text1"/>
          <w:szCs w:val="28"/>
          <w:highlight w:val="none"/>
        </w:rPr>
        <w:t xml:space="preserve"> </w:t>
      </w:r>
      <w:r>
        <w:rPr>
          <w:rFonts w:hint="eastAsia" w:eastAsiaTheme="minorEastAsia"/>
          <w:color w:val="000000" w:themeColor="text1"/>
          <w:szCs w:val="28"/>
          <w:highlight w:val="none"/>
        </w:rPr>
        <w:t>总则》</w:t>
      </w:r>
      <w:r>
        <w:rPr>
          <w:rFonts w:hint="eastAsia" w:eastAsiaTheme="minorEastAsia"/>
          <w:color w:val="000000" w:themeColor="text1"/>
          <w:szCs w:val="28"/>
          <w:highlight w:val="none"/>
          <w:lang w:val="en-US" w:eastAsia="zh-CN"/>
        </w:rPr>
        <w:t>和</w:t>
      </w:r>
      <w:r>
        <w:rPr>
          <w:rFonts w:ascii="Times New Roman" w:hAnsi="Times New Roman" w:eastAsia="宋体" w:cs="Times New Roman"/>
          <w:highlight w:val="none"/>
        </w:rPr>
        <w:t>T</w:t>
      </w:r>
      <w:r>
        <w:rPr>
          <w:rFonts w:hint="eastAsia" w:ascii="Times New Roman" w:hAnsi="Times New Roman" w:eastAsia="宋体" w:cs="Times New Roman"/>
          <w:highlight w:val="none"/>
        </w:rPr>
        <w:t>/</w:t>
      </w:r>
      <w:r>
        <w:rPr>
          <w:rFonts w:ascii="Times New Roman" w:hAnsi="Times New Roman" w:eastAsia="宋体" w:cs="Times New Roman"/>
          <w:highlight w:val="none"/>
        </w:rPr>
        <w:t>CBMF 195-2022</w:t>
      </w:r>
      <w:r>
        <w:rPr>
          <w:rFonts w:hint="eastAsia" w:ascii="Times New Roman" w:hAnsi="Times New Roman" w:eastAsia="宋体" w:cs="Times New Roman"/>
          <w:highlight w:val="none"/>
        </w:rPr>
        <w:t>《</w:t>
      </w:r>
      <w:r>
        <w:rPr>
          <w:rFonts w:ascii="Times New Roman" w:hAnsi="Times New Roman" w:eastAsia="宋体" w:cs="Times New Roman"/>
          <w:highlight w:val="none"/>
        </w:rPr>
        <w:t>建材产品使用说明书 通用要求</w:t>
      </w:r>
      <w:r>
        <w:rPr>
          <w:rFonts w:hint="eastAsia" w:ascii="Times New Roman" w:hAnsi="Times New Roman" w:eastAsia="宋体" w:cs="Times New Roman"/>
          <w:highlight w:val="none"/>
        </w:rPr>
        <w:t>》</w:t>
      </w:r>
      <w:r>
        <w:rPr>
          <w:rFonts w:hint="eastAsia" w:eastAsiaTheme="minorEastAsia"/>
          <w:color w:val="000000" w:themeColor="text1"/>
          <w:szCs w:val="28"/>
          <w:highlight w:val="none"/>
        </w:rPr>
        <w:t>等标准</w:t>
      </w:r>
      <w:r>
        <w:rPr>
          <w:rFonts w:eastAsiaTheme="minorEastAsia"/>
          <w:color w:val="000000" w:themeColor="text1"/>
          <w:szCs w:val="28"/>
          <w:highlight w:val="none"/>
        </w:rPr>
        <w:t>文件的特点</w:t>
      </w:r>
      <w:r>
        <w:rPr>
          <w:rFonts w:hint="eastAsia" w:eastAsiaTheme="minorEastAsia"/>
          <w:color w:val="000000" w:themeColor="text1"/>
          <w:szCs w:val="28"/>
          <w:highlight w:val="none"/>
        </w:rPr>
        <w:t>，并</w:t>
      </w:r>
      <w:r>
        <w:rPr>
          <w:rFonts w:eastAsiaTheme="minorEastAsia"/>
          <w:color w:val="000000" w:themeColor="text1"/>
          <w:szCs w:val="28"/>
          <w:highlight w:val="none"/>
        </w:rPr>
        <w:t>结合</w:t>
      </w:r>
      <w:r>
        <w:rPr>
          <w:rFonts w:hint="eastAsia" w:eastAsiaTheme="minorEastAsia"/>
          <w:color w:val="000000" w:themeColor="text1"/>
          <w:szCs w:val="28"/>
          <w:highlight w:val="none"/>
          <w:lang w:val="en-US" w:eastAsia="zh-CN"/>
        </w:rPr>
        <w:t>智能门锁行</w:t>
      </w:r>
      <w:r>
        <w:rPr>
          <w:rFonts w:hint="eastAsia" w:eastAsiaTheme="minorEastAsia"/>
          <w:color w:val="000000" w:themeColor="text1"/>
          <w:szCs w:val="28"/>
          <w:highlight w:val="none"/>
        </w:rPr>
        <w:t>业</w:t>
      </w:r>
      <w:r>
        <w:rPr>
          <w:rFonts w:eastAsiaTheme="minorEastAsia"/>
          <w:color w:val="000000" w:themeColor="text1"/>
          <w:szCs w:val="28"/>
          <w:highlight w:val="none"/>
        </w:rPr>
        <w:t>产品使用说明的</w:t>
      </w:r>
      <w:r>
        <w:rPr>
          <w:rFonts w:hint="eastAsia" w:eastAsiaTheme="minorEastAsia"/>
          <w:color w:val="000000" w:themeColor="text1"/>
          <w:szCs w:val="28"/>
          <w:highlight w:val="none"/>
        </w:rPr>
        <w:t>实际情况</w:t>
      </w:r>
      <w:r>
        <w:rPr>
          <w:rFonts w:eastAsiaTheme="minorEastAsia"/>
          <w:color w:val="000000" w:themeColor="text1"/>
          <w:szCs w:val="28"/>
          <w:highlight w:val="none"/>
        </w:rPr>
        <w:t>，</w:t>
      </w:r>
      <w:r>
        <w:rPr>
          <w:rFonts w:hint="eastAsia" w:eastAsiaTheme="minorEastAsia"/>
          <w:color w:val="000000" w:themeColor="text1"/>
          <w:szCs w:val="28"/>
          <w:highlight w:val="none"/>
        </w:rPr>
        <w:t>制定完成</w:t>
      </w:r>
      <w:r>
        <w:rPr>
          <w:rFonts w:eastAsiaTheme="minorEastAsia"/>
          <w:color w:val="000000" w:themeColor="text1"/>
          <w:szCs w:val="28"/>
          <w:highlight w:val="none"/>
        </w:rPr>
        <w:t>了</w:t>
      </w:r>
      <w:r>
        <w:rPr>
          <w:rFonts w:hint="eastAsia" w:eastAsiaTheme="minorEastAsia"/>
          <w:color w:val="000000" w:themeColor="text1"/>
          <w:szCs w:val="28"/>
          <w:highlight w:val="none"/>
        </w:rPr>
        <w:t>本标准报批稿。</w:t>
      </w:r>
      <w:r>
        <w:rPr>
          <w:rFonts w:hint="eastAsia" w:eastAsiaTheme="minorEastAsia"/>
          <w:color w:val="000000" w:themeColor="text1"/>
          <w:szCs w:val="28"/>
        </w:rPr>
        <w:t>该标准</w:t>
      </w:r>
      <w:r>
        <w:rPr>
          <w:rFonts w:eastAsiaTheme="minorEastAsia"/>
          <w:color w:val="000000" w:themeColor="text1"/>
          <w:szCs w:val="28"/>
        </w:rPr>
        <w:t>给出了</w:t>
      </w:r>
      <w:r>
        <w:rPr>
          <w:rFonts w:hint="eastAsia" w:eastAsiaTheme="minorEastAsia"/>
          <w:color w:val="000000" w:themeColor="text1"/>
          <w:szCs w:val="28"/>
        </w:rPr>
        <w:t>智能门锁产品使用说明书</w:t>
      </w:r>
      <w:r>
        <w:rPr>
          <w:color w:val="000000" w:themeColor="text1"/>
        </w:rPr>
        <w:t>的</w:t>
      </w:r>
      <w:r>
        <w:rPr>
          <w:rFonts w:hint="eastAsia"/>
          <w:color w:val="000000" w:themeColor="text1"/>
        </w:rPr>
        <w:t>基</w:t>
      </w:r>
      <w:r>
        <w:rPr>
          <w:color w:val="000000" w:themeColor="text1"/>
        </w:rPr>
        <w:t>本要求</w:t>
      </w:r>
      <w:r>
        <w:rPr>
          <w:rFonts w:hint="eastAsia"/>
          <w:color w:val="000000" w:themeColor="text1"/>
        </w:rPr>
        <w:t>、编制</w:t>
      </w:r>
      <w:r>
        <w:rPr>
          <w:color w:val="000000" w:themeColor="text1"/>
        </w:rPr>
        <w:t>要求</w:t>
      </w:r>
      <w:r>
        <w:rPr>
          <w:rFonts w:hint="eastAsia"/>
          <w:color w:val="000000" w:themeColor="text1"/>
        </w:rPr>
        <w:t>、主要构成。</w:t>
      </w:r>
      <w:r>
        <w:rPr>
          <w:color w:val="000000" w:themeColor="text1"/>
        </w:rPr>
        <w:t>具体</w:t>
      </w:r>
      <w:r>
        <w:rPr>
          <w:rFonts w:hint="eastAsia"/>
          <w:color w:val="000000" w:themeColor="text1"/>
        </w:rPr>
        <w:t>编制</w:t>
      </w:r>
      <w:r>
        <w:rPr>
          <w:color w:val="000000" w:themeColor="text1"/>
        </w:rPr>
        <w:t>过程如下：</w:t>
      </w:r>
    </w:p>
    <w:p>
      <w:pPr>
        <w:pageBreakBefore w:val="0"/>
        <w:kinsoku/>
        <w:wordWrap/>
        <w:overflowPunct/>
        <w:topLinePunct w:val="0"/>
        <w:bidi w:val="0"/>
        <w:spacing w:line="360" w:lineRule="auto"/>
        <w:ind w:firstLine="480" w:firstLineChars="200"/>
        <w:jc w:val="both"/>
        <w:rPr>
          <w:rFonts w:eastAsiaTheme="minorEastAsia"/>
          <w:color w:val="000000" w:themeColor="text1"/>
          <w:szCs w:val="28"/>
        </w:rPr>
      </w:pPr>
      <w:r>
        <w:rPr>
          <w:rFonts w:hint="eastAsia" w:eastAsiaTheme="minorEastAsia"/>
          <w:color w:val="000000" w:themeColor="text1"/>
          <w:szCs w:val="28"/>
        </w:rPr>
        <w:t>202</w:t>
      </w:r>
      <w:r>
        <w:rPr>
          <w:rFonts w:hint="eastAsia" w:eastAsiaTheme="minorEastAsia"/>
          <w:color w:val="000000" w:themeColor="text1"/>
          <w:szCs w:val="28"/>
          <w:lang w:val="en-US" w:eastAsia="zh-CN"/>
        </w:rPr>
        <w:t>3</w:t>
      </w:r>
      <w:r>
        <w:rPr>
          <w:rFonts w:hint="eastAsia" w:eastAsiaTheme="minorEastAsia"/>
          <w:color w:val="000000" w:themeColor="text1"/>
          <w:szCs w:val="28"/>
        </w:rPr>
        <w:t>年</w:t>
      </w:r>
      <w:r>
        <w:rPr>
          <w:rFonts w:hint="eastAsia" w:eastAsiaTheme="minorEastAsia"/>
          <w:color w:val="000000" w:themeColor="text1"/>
          <w:szCs w:val="28"/>
          <w:lang w:val="en-US" w:eastAsia="zh-CN"/>
        </w:rPr>
        <w:t>4</w:t>
      </w:r>
      <w:r>
        <w:rPr>
          <w:rFonts w:hint="eastAsia" w:eastAsiaTheme="minorEastAsia"/>
          <w:color w:val="000000" w:themeColor="text1"/>
          <w:szCs w:val="28"/>
        </w:rPr>
        <w:t>月，中国</w:t>
      </w:r>
      <w:r>
        <w:rPr>
          <w:rFonts w:eastAsiaTheme="minorEastAsia"/>
          <w:color w:val="000000" w:themeColor="text1"/>
          <w:szCs w:val="28"/>
        </w:rPr>
        <w:t>建筑材料联合会</w:t>
      </w:r>
      <w:r>
        <w:rPr>
          <w:rFonts w:hint="eastAsia" w:eastAsiaTheme="minorEastAsia"/>
          <w:color w:val="000000" w:themeColor="text1"/>
          <w:szCs w:val="28"/>
        </w:rPr>
        <w:t>下达</w:t>
      </w:r>
      <w:r>
        <w:rPr>
          <w:rFonts w:eastAsiaTheme="minorEastAsia"/>
          <w:color w:val="000000" w:themeColor="text1"/>
          <w:szCs w:val="28"/>
        </w:rPr>
        <w:t>了</w:t>
      </w:r>
      <w:r>
        <w:rPr>
          <w:rFonts w:hint="eastAsia" w:eastAsiaTheme="minorEastAsia"/>
          <w:color w:val="000000" w:themeColor="text1"/>
          <w:szCs w:val="28"/>
        </w:rPr>
        <w:t>《建材产品使用说明书 智能门锁》</w:t>
      </w:r>
      <w:r>
        <w:rPr>
          <w:rFonts w:eastAsiaTheme="minorEastAsia"/>
          <w:color w:val="000000" w:themeColor="text1"/>
          <w:szCs w:val="28"/>
        </w:rPr>
        <w:t>团体标准</w:t>
      </w:r>
      <w:r>
        <w:rPr>
          <w:rFonts w:hint="eastAsia"/>
          <w:color w:val="000000" w:themeColor="text1"/>
        </w:rPr>
        <w:t>项目计划</w:t>
      </w:r>
      <w:r>
        <w:rPr>
          <w:color w:val="000000" w:themeColor="text1"/>
        </w:rPr>
        <w:t>，计划编号</w:t>
      </w:r>
      <w:r>
        <w:rPr>
          <w:rFonts w:hint="eastAsia"/>
          <w:color w:val="000000" w:themeColor="text1"/>
        </w:rPr>
        <w:t>为</w:t>
      </w:r>
      <w:r>
        <w:rPr>
          <w:color w:val="000000" w:themeColor="text1"/>
        </w:rPr>
        <w:t>20</w:t>
      </w:r>
      <w:r>
        <w:rPr>
          <w:rFonts w:hint="eastAsia"/>
          <w:color w:val="000000" w:themeColor="text1"/>
          <w:lang w:val="en-US" w:eastAsia="zh-CN"/>
        </w:rPr>
        <w:t>23</w:t>
      </w:r>
      <w:r>
        <w:rPr>
          <w:color w:val="000000" w:themeColor="text1"/>
        </w:rPr>
        <w:t>-</w:t>
      </w:r>
      <w:r>
        <w:rPr>
          <w:rFonts w:hint="eastAsia"/>
          <w:color w:val="000000" w:themeColor="text1"/>
          <w:lang w:val="en-US" w:eastAsia="zh-CN"/>
        </w:rPr>
        <w:t>32</w:t>
      </w:r>
      <w:r>
        <w:rPr>
          <w:color w:val="000000" w:themeColor="text1"/>
        </w:rPr>
        <w:t>-xbjh</w:t>
      </w:r>
      <w:r>
        <w:rPr>
          <w:rFonts w:hint="eastAsia" w:eastAsiaTheme="minorEastAsia"/>
          <w:color w:val="000000" w:themeColor="text1"/>
          <w:szCs w:val="28"/>
        </w:rPr>
        <w:t>。</w:t>
      </w:r>
    </w:p>
    <w:p>
      <w:pPr>
        <w:pageBreakBefore w:val="0"/>
        <w:kinsoku/>
        <w:wordWrap/>
        <w:overflowPunct/>
        <w:topLinePunct w:val="0"/>
        <w:bidi w:val="0"/>
        <w:spacing w:line="360" w:lineRule="auto"/>
        <w:ind w:firstLine="480" w:firstLineChars="200"/>
        <w:jc w:val="both"/>
        <w:rPr>
          <w:rFonts w:eastAsiaTheme="minorEastAsia"/>
          <w:color w:val="000000" w:themeColor="text1"/>
          <w:szCs w:val="28"/>
        </w:rPr>
      </w:pPr>
      <w:r>
        <w:rPr>
          <w:rFonts w:hint="eastAsia" w:eastAsiaTheme="minorEastAsia"/>
          <w:color w:val="000000" w:themeColor="text1"/>
          <w:szCs w:val="28"/>
        </w:rPr>
        <w:t>202</w:t>
      </w:r>
      <w:r>
        <w:rPr>
          <w:rFonts w:hint="eastAsia" w:eastAsiaTheme="minorEastAsia"/>
          <w:color w:val="000000" w:themeColor="text1"/>
          <w:szCs w:val="28"/>
          <w:lang w:val="en-US" w:eastAsia="zh-CN"/>
        </w:rPr>
        <w:t>3</w:t>
      </w:r>
      <w:r>
        <w:rPr>
          <w:rFonts w:hint="eastAsia" w:eastAsiaTheme="minorEastAsia"/>
          <w:color w:val="000000" w:themeColor="text1"/>
          <w:szCs w:val="28"/>
        </w:rPr>
        <w:t>年</w:t>
      </w:r>
      <w:r>
        <w:rPr>
          <w:rFonts w:hint="eastAsia" w:eastAsiaTheme="minorEastAsia"/>
          <w:color w:val="000000" w:themeColor="text1"/>
          <w:szCs w:val="28"/>
          <w:lang w:val="en-US" w:eastAsia="zh-CN"/>
        </w:rPr>
        <w:t>5</w:t>
      </w:r>
      <w:r>
        <w:rPr>
          <w:rFonts w:hint="eastAsia" w:eastAsiaTheme="minorEastAsia"/>
          <w:color w:val="000000" w:themeColor="text1"/>
          <w:szCs w:val="28"/>
        </w:rPr>
        <w:t>月</w:t>
      </w:r>
      <w:r>
        <w:rPr>
          <w:rFonts w:eastAsiaTheme="minorEastAsia"/>
          <w:color w:val="000000" w:themeColor="text1"/>
          <w:szCs w:val="28"/>
        </w:rPr>
        <w:t>，</w:t>
      </w:r>
      <w:r>
        <w:rPr>
          <w:rFonts w:hint="eastAsia" w:eastAsiaTheme="minorEastAsia"/>
          <w:color w:val="000000" w:themeColor="text1"/>
          <w:szCs w:val="28"/>
        </w:rPr>
        <w:t>编制组</w:t>
      </w:r>
      <w:r>
        <w:rPr>
          <w:rFonts w:hint="eastAsia" w:eastAsiaTheme="minorEastAsia"/>
          <w:color w:val="000000" w:themeColor="text1"/>
          <w:szCs w:val="28"/>
          <w:lang w:val="en-US" w:eastAsia="zh-CN"/>
        </w:rPr>
        <w:t>在收集、分析我国相关法律法规，参考其他标准编制经验，搜集相关论文及其他资料，总结提炼，了解行业特性，并依据《建材产品使用说明书 通用要求》（T/CBMF195-2022)标准进行后续编制工作。</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eastAsiaTheme="minorEastAsia"/>
          <w:color w:val="000000" w:themeColor="text1"/>
          <w:szCs w:val="28"/>
          <w:lang w:val="en-US" w:eastAsia="zh-CN"/>
        </w:rPr>
      </w:pPr>
      <w:r>
        <w:rPr>
          <w:rFonts w:hint="eastAsia" w:eastAsiaTheme="minorEastAsia"/>
          <w:color w:val="000000" w:themeColor="text1"/>
          <w:szCs w:val="28"/>
        </w:rPr>
        <w:t>20</w:t>
      </w:r>
      <w:r>
        <w:rPr>
          <w:rFonts w:eastAsiaTheme="minorEastAsia"/>
          <w:color w:val="000000" w:themeColor="text1"/>
          <w:szCs w:val="28"/>
        </w:rPr>
        <w:t>2</w:t>
      </w:r>
      <w:r>
        <w:rPr>
          <w:rFonts w:hint="eastAsia" w:eastAsiaTheme="minorEastAsia"/>
          <w:color w:val="000000" w:themeColor="text1"/>
          <w:szCs w:val="28"/>
          <w:lang w:val="en-US" w:eastAsia="zh-CN"/>
        </w:rPr>
        <w:t>3</w:t>
      </w:r>
      <w:r>
        <w:rPr>
          <w:rFonts w:hint="eastAsia" w:eastAsiaTheme="minorEastAsia"/>
          <w:color w:val="000000" w:themeColor="text1"/>
          <w:szCs w:val="28"/>
        </w:rPr>
        <w:t>年</w:t>
      </w:r>
      <w:r>
        <w:rPr>
          <w:rFonts w:hint="eastAsia" w:eastAsiaTheme="minorEastAsia"/>
          <w:color w:val="000000" w:themeColor="text1"/>
          <w:szCs w:val="28"/>
          <w:lang w:val="en-US" w:eastAsia="zh-CN"/>
        </w:rPr>
        <w:t>6-7</w:t>
      </w:r>
      <w:r>
        <w:rPr>
          <w:rFonts w:hint="eastAsia" w:eastAsiaTheme="minorEastAsia"/>
          <w:color w:val="000000" w:themeColor="text1"/>
          <w:szCs w:val="28"/>
        </w:rPr>
        <w:t>月，</w:t>
      </w:r>
      <w:r>
        <w:rPr>
          <w:rFonts w:hint="eastAsia" w:eastAsiaTheme="minorEastAsia"/>
          <w:color w:val="000000" w:themeColor="text1"/>
          <w:szCs w:val="28"/>
          <w:lang w:val="en-US" w:eastAsia="zh-CN"/>
        </w:rPr>
        <w:t>编制组以上述工作为基础，进一步分析讨论，研究国家、行业相关标准和技术资料，多次开展讨论，进一步完成标准制定工作，形成标准草案。</w:t>
      </w:r>
    </w:p>
    <w:p>
      <w:pPr>
        <w:pageBreakBefore w:val="0"/>
        <w:kinsoku/>
        <w:wordWrap/>
        <w:overflowPunct/>
        <w:topLinePunct w:val="0"/>
        <w:bidi w:val="0"/>
        <w:spacing w:line="360" w:lineRule="auto"/>
        <w:ind w:firstLine="480" w:firstLineChars="200"/>
        <w:jc w:val="both"/>
        <w:rPr>
          <w:rFonts w:hint="eastAsia" w:eastAsiaTheme="minorEastAsia"/>
          <w:color w:val="000000" w:themeColor="text1"/>
          <w:szCs w:val="28"/>
        </w:rPr>
      </w:pPr>
      <w:r>
        <w:rPr>
          <w:rFonts w:hint="eastAsia" w:eastAsiaTheme="minorEastAsia"/>
          <w:color w:val="000000" w:themeColor="text1"/>
          <w:szCs w:val="28"/>
          <w:lang w:val="en-US" w:eastAsia="zh-CN"/>
        </w:rPr>
        <w:t>2023年8月，</w:t>
      </w:r>
      <w:r>
        <w:rPr>
          <w:rFonts w:hint="eastAsia" w:eastAsiaTheme="minorEastAsia"/>
          <w:color w:val="000000" w:themeColor="text1"/>
          <w:szCs w:val="28"/>
        </w:rPr>
        <w:t>编制组组织行业专家讨论，编制组向与会专家和企业介绍了本标准的起草背景、过程和主要内容。会后，据与会代表的意见，标准编制组会后结合相关建材企业自身编制的产品使用说明书内容，对标准草案中有关条文进行了修改和完善，完成了建材行业标准《建筑材料产品使用说明书编写规范》征求意见稿（初稿），并向有关单位定向征求意见</w:t>
      </w:r>
    </w:p>
    <w:p>
      <w:pPr>
        <w:pageBreakBefore w:val="0"/>
        <w:kinsoku/>
        <w:wordWrap/>
        <w:overflowPunct/>
        <w:topLinePunct w:val="0"/>
        <w:bidi w:val="0"/>
        <w:spacing w:line="360" w:lineRule="auto"/>
        <w:ind w:firstLine="480" w:firstLineChars="200"/>
        <w:jc w:val="both"/>
        <w:rPr>
          <w:rFonts w:eastAsiaTheme="minorEastAsia"/>
          <w:color w:val="000000" w:themeColor="text1"/>
          <w:szCs w:val="28"/>
        </w:rPr>
      </w:pPr>
      <w:r>
        <w:rPr>
          <w:rFonts w:hint="eastAsia" w:eastAsiaTheme="minorEastAsia"/>
          <w:color w:val="000000" w:themeColor="text1"/>
          <w:szCs w:val="28"/>
        </w:rPr>
        <w:t>202</w:t>
      </w:r>
      <w:r>
        <w:rPr>
          <w:rFonts w:hint="eastAsia" w:eastAsiaTheme="minorEastAsia"/>
          <w:color w:val="000000" w:themeColor="text1"/>
          <w:szCs w:val="28"/>
          <w:lang w:val="en-US" w:eastAsia="zh-CN"/>
        </w:rPr>
        <w:t>3</w:t>
      </w:r>
      <w:r>
        <w:rPr>
          <w:rFonts w:hint="eastAsia" w:eastAsiaTheme="minorEastAsia"/>
          <w:color w:val="000000" w:themeColor="text1"/>
          <w:szCs w:val="28"/>
        </w:rPr>
        <w:t>年</w:t>
      </w:r>
      <w:r>
        <w:rPr>
          <w:rFonts w:hint="eastAsia" w:eastAsiaTheme="minorEastAsia"/>
          <w:color w:val="000000" w:themeColor="text1"/>
          <w:szCs w:val="28"/>
          <w:lang w:val="en-US" w:eastAsia="zh-CN"/>
        </w:rPr>
        <w:t>10</w:t>
      </w:r>
      <w:r>
        <w:rPr>
          <w:rFonts w:hint="eastAsia" w:eastAsiaTheme="minorEastAsia"/>
          <w:color w:val="000000" w:themeColor="text1"/>
          <w:szCs w:val="28"/>
        </w:rPr>
        <w:t>月，公开对外征求意见3</w:t>
      </w:r>
      <w:r>
        <w:rPr>
          <w:rFonts w:eastAsiaTheme="minorEastAsia"/>
          <w:color w:val="000000" w:themeColor="text1"/>
          <w:szCs w:val="28"/>
        </w:rPr>
        <w:t>0</w:t>
      </w:r>
      <w:r>
        <w:rPr>
          <w:rFonts w:hint="eastAsia" w:eastAsiaTheme="minorEastAsia"/>
          <w:color w:val="000000" w:themeColor="text1"/>
          <w:szCs w:val="28"/>
        </w:rPr>
        <w:t>天。</w:t>
      </w:r>
    </w:p>
    <w:p>
      <w:pPr>
        <w:pageBreakBefore w:val="0"/>
        <w:kinsoku/>
        <w:wordWrap/>
        <w:overflowPunct/>
        <w:topLinePunct w:val="0"/>
        <w:bidi w:val="0"/>
        <w:spacing w:line="360" w:lineRule="auto"/>
        <w:ind w:firstLine="480" w:firstLineChars="200"/>
        <w:jc w:val="both"/>
        <w:rPr>
          <w:rFonts w:eastAsiaTheme="minorEastAsia"/>
          <w:color w:val="000000" w:themeColor="text1"/>
          <w:szCs w:val="28"/>
        </w:rPr>
      </w:pPr>
      <w:r>
        <w:rPr>
          <w:rFonts w:hint="eastAsia" w:eastAsiaTheme="minorEastAsia"/>
          <w:color w:val="000000" w:themeColor="text1"/>
          <w:szCs w:val="28"/>
        </w:rPr>
        <w:t>2</w:t>
      </w:r>
      <w:r>
        <w:rPr>
          <w:rFonts w:eastAsiaTheme="minorEastAsia"/>
          <w:color w:val="000000" w:themeColor="text1"/>
          <w:szCs w:val="28"/>
        </w:rPr>
        <w:t>021</w:t>
      </w:r>
      <w:r>
        <w:rPr>
          <w:rFonts w:hint="eastAsia" w:eastAsiaTheme="minorEastAsia"/>
          <w:color w:val="000000" w:themeColor="text1"/>
          <w:szCs w:val="28"/>
        </w:rPr>
        <w:t>年1</w:t>
      </w:r>
      <w:r>
        <w:rPr>
          <w:rFonts w:eastAsiaTheme="minorEastAsia"/>
          <w:color w:val="000000" w:themeColor="text1"/>
          <w:szCs w:val="28"/>
        </w:rPr>
        <w:t>1</w:t>
      </w:r>
      <w:r>
        <w:rPr>
          <w:rFonts w:hint="eastAsia" w:eastAsiaTheme="minorEastAsia"/>
          <w:color w:val="000000" w:themeColor="text1"/>
          <w:szCs w:val="28"/>
        </w:rPr>
        <w:t>月，完成征求意见，期间定向发送《征求意见稿》的单位数</w:t>
      </w:r>
      <w:r>
        <w:rPr>
          <w:rFonts w:hint="eastAsia" w:eastAsiaTheme="minorEastAsia"/>
          <w:color w:val="000000" w:themeColor="text1"/>
          <w:szCs w:val="28"/>
          <w:lang w:val="en-US" w:eastAsia="zh-CN"/>
        </w:rPr>
        <w:t>15</w:t>
      </w:r>
      <w:r>
        <w:rPr>
          <w:rFonts w:hint="eastAsia" w:eastAsiaTheme="minorEastAsia"/>
          <w:color w:val="000000" w:themeColor="text1"/>
          <w:szCs w:val="28"/>
        </w:rPr>
        <w:t>个。编制组围绕征求意见情况进行汇总整理，</w:t>
      </w:r>
      <w:r>
        <w:rPr>
          <w:rFonts w:hint="eastAsia" w:eastAsiaTheme="minorEastAsia"/>
          <w:color w:val="000000" w:themeColor="text1"/>
          <w:szCs w:val="28"/>
          <w:lang w:val="en-US" w:eastAsia="zh-CN"/>
        </w:rPr>
        <w:t>对初稿进行了修改，</w:t>
      </w:r>
      <w:r>
        <w:rPr>
          <w:rFonts w:hint="eastAsia" w:eastAsiaTheme="minorEastAsia"/>
          <w:color w:val="000000" w:themeColor="text1"/>
          <w:szCs w:val="28"/>
        </w:rPr>
        <w:t>形成了送审稿。</w:t>
      </w:r>
    </w:p>
    <w:p>
      <w:pPr>
        <w:pStyle w:val="27"/>
        <w:pageBreakBefore w:val="0"/>
        <w:kinsoku/>
        <w:wordWrap/>
        <w:overflowPunct/>
        <w:topLinePunct w:val="0"/>
        <w:bidi w:val="0"/>
        <w:spacing w:beforeLines="0" w:afterLines="0" w:line="360" w:lineRule="auto"/>
        <w:rPr>
          <w:rFonts w:ascii="Times New Roman"/>
          <w:color w:val="000000" w:themeColor="text1"/>
          <w:sz w:val="28"/>
          <w:szCs w:val="28"/>
        </w:rPr>
      </w:pPr>
      <w:bookmarkStart w:id="6" w:name="_Toc25892"/>
      <w:r>
        <w:rPr>
          <w:rFonts w:ascii="Times New Roman"/>
          <w:color w:val="000000" w:themeColor="text1"/>
          <w:sz w:val="28"/>
          <w:szCs w:val="28"/>
        </w:rPr>
        <w:t>2 标准编制的原则和主要内容</w:t>
      </w:r>
      <w:bookmarkEnd w:id="6"/>
    </w:p>
    <w:p>
      <w:pPr>
        <w:pStyle w:val="28"/>
        <w:pageBreakBefore w:val="0"/>
        <w:kinsoku/>
        <w:wordWrap/>
        <w:overflowPunct/>
        <w:topLinePunct w:val="0"/>
        <w:bidi w:val="0"/>
        <w:spacing w:line="360" w:lineRule="auto"/>
        <w:rPr>
          <w:color w:val="000000" w:themeColor="text1"/>
          <w:sz w:val="24"/>
          <w:szCs w:val="24"/>
        </w:rPr>
      </w:pPr>
      <w:bookmarkStart w:id="7" w:name="_Toc16867"/>
      <w:r>
        <w:rPr>
          <w:color w:val="000000" w:themeColor="text1"/>
          <w:sz w:val="24"/>
          <w:szCs w:val="24"/>
        </w:rPr>
        <w:t>2.1 标准制定的原则</w:t>
      </w:r>
      <w:bookmarkEnd w:id="7"/>
    </w:p>
    <w:p>
      <w:pPr>
        <w:pageBreakBefore w:val="0"/>
        <w:kinsoku/>
        <w:wordWrap/>
        <w:overflowPunct/>
        <w:topLinePunct w:val="0"/>
        <w:bidi w:val="0"/>
        <w:spacing w:line="360" w:lineRule="auto"/>
        <w:ind w:firstLine="480" w:firstLineChars="200"/>
        <w:jc w:val="both"/>
        <w:rPr>
          <w:color w:val="000000" w:themeColor="text1"/>
        </w:rPr>
      </w:pPr>
      <w:r>
        <w:rPr>
          <w:rFonts w:ascii="Times New Roman" w:hAnsi="Times New Roman" w:eastAsia="宋体" w:cs="Times New Roman"/>
        </w:rPr>
        <w:t>本文件按照GB</w:t>
      </w:r>
      <w:r>
        <w:rPr>
          <w:rFonts w:hint="eastAsia" w:ascii="Times New Roman" w:hAnsi="Times New Roman" w:eastAsia="宋体" w:cs="Times New Roman"/>
        </w:rPr>
        <w:t>/</w:t>
      </w:r>
      <w:r>
        <w:rPr>
          <w:rFonts w:ascii="Times New Roman" w:hAnsi="Times New Roman" w:eastAsia="宋体" w:cs="Times New Roman"/>
        </w:rPr>
        <w:t>T 1.1—2020</w:t>
      </w:r>
      <w:r>
        <w:rPr>
          <w:rFonts w:hint="eastAsia" w:ascii="Times New Roman" w:hAnsi="Times New Roman" w:eastAsia="宋体" w:cs="Times New Roman"/>
        </w:rPr>
        <w:t>《</w:t>
      </w:r>
      <w:r>
        <w:rPr>
          <w:rFonts w:ascii="Times New Roman" w:hAnsi="Times New Roman" w:eastAsia="宋体" w:cs="Times New Roman"/>
        </w:rPr>
        <w:t>标准化工作导则  第1部分</w:t>
      </w:r>
      <w:r>
        <w:rPr>
          <w:rFonts w:hint="eastAsia" w:ascii="Times New Roman" w:hAnsi="Times New Roman" w:eastAsia="宋体" w:cs="Times New Roman"/>
        </w:rPr>
        <w:t>：</w:t>
      </w:r>
      <w:r>
        <w:rPr>
          <w:rFonts w:ascii="Times New Roman" w:hAnsi="Times New Roman" w:eastAsia="宋体" w:cs="Times New Roman"/>
        </w:rPr>
        <w:t>标准化文件的结构和起草规则</w:t>
      </w:r>
      <w:r>
        <w:rPr>
          <w:rFonts w:hint="eastAsia" w:ascii="Times New Roman" w:hAnsi="Times New Roman" w:eastAsia="宋体" w:cs="Times New Roman"/>
        </w:rPr>
        <w:t>》</w:t>
      </w:r>
      <w:r>
        <w:rPr>
          <w:rFonts w:ascii="Times New Roman" w:hAnsi="Times New Roman" w:eastAsia="宋体" w:cs="Times New Roman"/>
        </w:rPr>
        <w:t>和T</w:t>
      </w:r>
      <w:r>
        <w:rPr>
          <w:rFonts w:hint="eastAsia" w:ascii="Times New Roman" w:hAnsi="Times New Roman" w:eastAsia="宋体" w:cs="Times New Roman"/>
        </w:rPr>
        <w:t>/</w:t>
      </w:r>
      <w:r>
        <w:rPr>
          <w:rFonts w:ascii="Times New Roman" w:hAnsi="Times New Roman" w:eastAsia="宋体" w:cs="Times New Roman"/>
        </w:rPr>
        <w:t>CBMF 195-2022</w:t>
      </w:r>
      <w:r>
        <w:rPr>
          <w:rFonts w:hint="eastAsia" w:ascii="Times New Roman" w:hAnsi="Times New Roman" w:eastAsia="宋体" w:cs="Times New Roman"/>
        </w:rPr>
        <w:t>《</w:t>
      </w:r>
      <w:r>
        <w:rPr>
          <w:rFonts w:ascii="Times New Roman" w:hAnsi="Times New Roman" w:eastAsia="宋体" w:cs="Times New Roman"/>
        </w:rPr>
        <w:t>建材产品使用说明书 通用要求</w:t>
      </w:r>
      <w:r>
        <w:rPr>
          <w:rFonts w:hint="eastAsia" w:ascii="Times New Roman" w:hAnsi="Times New Roman" w:eastAsia="宋体" w:cs="Times New Roman"/>
        </w:rPr>
        <w:t>》</w:t>
      </w:r>
      <w:r>
        <w:rPr>
          <w:rFonts w:ascii="Times New Roman" w:hAnsi="Times New Roman" w:eastAsia="宋体" w:cs="Times New Roman"/>
        </w:rPr>
        <w:t>的规定起草</w:t>
      </w:r>
      <w:r>
        <w:rPr>
          <w:color w:val="000000" w:themeColor="text1"/>
        </w:rPr>
        <w:t>，</w:t>
      </w:r>
      <w:r>
        <w:rPr>
          <w:rFonts w:hint="eastAsia"/>
          <w:color w:val="000000" w:themeColor="text1"/>
        </w:rPr>
        <w:t>符合国家现行法律、法规政策文件要求。编制组</w:t>
      </w:r>
      <w:r>
        <w:rPr>
          <w:color w:val="000000" w:themeColor="text1"/>
        </w:rPr>
        <w:t>参</w:t>
      </w:r>
      <w:r>
        <w:rPr>
          <w:rFonts w:hint="eastAsia"/>
          <w:color w:val="000000" w:themeColor="text1"/>
        </w:rPr>
        <w:t>考</w:t>
      </w:r>
      <w:r>
        <w:rPr>
          <w:color w:val="000000" w:themeColor="text1"/>
        </w:rPr>
        <w:t>国内外相关标准，广泛调研国内</w:t>
      </w:r>
      <w:r>
        <w:rPr>
          <w:rFonts w:hint="eastAsia"/>
          <w:color w:val="000000" w:themeColor="text1"/>
          <w:lang w:val="en-US" w:eastAsia="zh-CN"/>
        </w:rPr>
        <w:t>智能门锁</w:t>
      </w:r>
      <w:r>
        <w:rPr>
          <w:color w:val="000000" w:themeColor="text1"/>
        </w:rPr>
        <w:t>行业</w:t>
      </w:r>
      <w:r>
        <w:rPr>
          <w:rFonts w:hint="eastAsia"/>
          <w:color w:val="000000" w:themeColor="text1"/>
        </w:rPr>
        <w:t>典型</w:t>
      </w:r>
      <w:r>
        <w:rPr>
          <w:color w:val="000000" w:themeColor="text1"/>
        </w:rPr>
        <w:t>企业实际情况，</w:t>
      </w:r>
      <w:r>
        <w:rPr>
          <w:rFonts w:hint="eastAsia"/>
          <w:color w:val="000000" w:themeColor="text1"/>
        </w:rPr>
        <w:t>从推动</w:t>
      </w:r>
      <w:r>
        <w:rPr>
          <w:rFonts w:hint="eastAsia"/>
          <w:color w:val="000000" w:themeColor="text1"/>
          <w:lang w:val="en-US" w:eastAsia="zh-CN"/>
        </w:rPr>
        <w:t>智能门锁</w:t>
      </w:r>
      <w:r>
        <w:rPr>
          <w:color w:val="000000" w:themeColor="text1"/>
        </w:rPr>
        <w:t>行业高质量</w:t>
      </w:r>
      <w:r>
        <w:rPr>
          <w:rFonts w:hint="eastAsia"/>
          <w:color w:val="000000" w:themeColor="text1"/>
        </w:rPr>
        <w:t>发展的角度，对</w:t>
      </w:r>
      <w:r>
        <w:rPr>
          <w:rFonts w:hint="eastAsia"/>
          <w:color w:val="000000" w:themeColor="text1"/>
          <w:lang w:val="en-US" w:eastAsia="zh-CN"/>
        </w:rPr>
        <w:t>智能门锁</w:t>
      </w:r>
      <w:r>
        <w:rPr>
          <w:color w:val="000000" w:themeColor="text1"/>
        </w:rPr>
        <w:t>产品使用说明书的</w:t>
      </w:r>
      <w:r>
        <w:rPr>
          <w:rFonts w:hint="eastAsia"/>
          <w:color w:val="000000" w:themeColor="text1"/>
        </w:rPr>
        <w:t>基</w:t>
      </w:r>
      <w:r>
        <w:rPr>
          <w:color w:val="000000" w:themeColor="text1"/>
        </w:rPr>
        <w:t>本要求</w:t>
      </w:r>
      <w:r>
        <w:rPr>
          <w:rFonts w:hint="eastAsia"/>
          <w:color w:val="000000" w:themeColor="text1"/>
        </w:rPr>
        <w:t>、编制</w:t>
      </w:r>
      <w:r>
        <w:rPr>
          <w:color w:val="000000" w:themeColor="text1"/>
        </w:rPr>
        <w:t>要求</w:t>
      </w:r>
      <w:r>
        <w:rPr>
          <w:rFonts w:hint="eastAsia"/>
          <w:color w:val="000000" w:themeColor="text1"/>
        </w:rPr>
        <w:t>和主要构成做出详细的规定。</w:t>
      </w:r>
    </w:p>
    <w:p>
      <w:pPr>
        <w:pageBreakBefore w:val="0"/>
        <w:kinsoku/>
        <w:wordWrap/>
        <w:overflowPunct/>
        <w:topLinePunct w:val="0"/>
        <w:bidi w:val="0"/>
        <w:spacing w:line="360" w:lineRule="auto"/>
        <w:ind w:firstLine="480" w:firstLineChars="200"/>
        <w:rPr>
          <w:color w:val="000000" w:themeColor="text1"/>
        </w:rPr>
      </w:pPr>
      <w:r>
        <w:rPr>
          <w:rFonts w:hint="eastAsia"/>
          <w:color w:val="000000" w:themeColor="text1"/>
          <w:lang w:val="en-US" w:eastAsia="zh-CN"/>
        </w:rPr>
        <w:t>智能门锁</w:t>
      </w:r>
      <w:r>
        <w:rPr>
          <w:color w:val="000000" w:themeColor="text1"/>
        </w:rPr>
        <w:t>产品使用说明书</w:t>
      </w:r>
      <w:r>
        <w:rPr>
          <w:rFonts w:hint="eastAsia"/>
          <w:color w:val="000000" w:themeColor="text1"/>
        </w:rPr>
        <w:t>的编制过程中遵循以下原则：</w:t>
      </w:r>
    </w:p>
    <w:p>
      <w:pPr>
        <w:pStyle w:val="5"/>
        <w:pageBreakBefore w:val="0"/>
        <w:kinsoku/>
        <w:wordWrap/>
        <w:overflowPunct/>
        <w:topLinePunct w:val="0"/>
        <w:bidi w:val="0"/>
        <w:spacing w:line="360" w:lineRule="auto"/>
        <w:rPr>
          <w:color w:val="000000" w:themeColor="text1"/>
        </w:rPr>
      </w:pPr>
      <w:r>
        <w:rPr>
          <w:rFonts w:hint="eastAsia"/>
          <w:color w:val="000000" w:themeColor="text1"/>
        </w:rPr>
        <w:t>2</w:t>
      </w:r>
      <w:r>
        <w:rPr>
          <w:color w:val="000000" w:themeColor="text1"/>
        </w:rPr>
        <w:t>.1.1</w:t>
      </w:r>
      <w:r>
        <w:rPr>
          <w:rFonts w:hint="eastAsia"/>
          <w:color w:val="000000" w:themeColor="text1"/>
        </w:rPr>
        <w:t>真实性</w:t>
      </w:r>
    </w:p>
    <w:p>
      <w:pPr>
        <w:pageBreakBefore w:val="0"/>
        <w:kinsoku/>
        <w:wordWrap/>
        <w:overflowPunct/>
        <w:topLinePunct w:val="0"/>
        <w:bidi w:val="0"/>
        <w:spacing w:line="360" w:lineRule="auto"/>
        <w:ind w:firstLine="480" w:firstLineChars="200"/>
        <w:jc w:val="both"/>
        <w:rPr>
          <w:color w:val="000000" w:themeColor="text1"/>
        </w:rPr>
      </w:pPr>
      <w:r>
        <w:rPr>
          <w:rFonts w:hint="eastAsia"/>
          <w:color w:val="000000" w:themeColor="text1"/>
        </w:rPr>
        <w:t>真实性原则是指产品标识上标注的相关信息应当反映出产品的真实质量状况，不能有虚假夸大的成分。《产品质量法》第二十七条对于产品标识的首要规定就是“必须真实”。例如，生产者虚假标注产品的生产日期、冒用他人厂名厂址、伪造生产许可证编号等行为均违反了真实性原则。真实性原则是生产者的诚实信用义务在产品标识上的体现，同时也是对消费者知情权的维护。</w:t>
      </w:r>
    </w:p>
    <w:p>
      <w:pPr>
        <w:pStyle w:val="5"/>
        <w:pageBreakBefore w:val="0"/>
        <w:kinsoku/>
        <w:wordWrap/>
        <w:overflowPunct/>
        <w:topLinePunct w:val="0"/>
        <w:bidi w:val="0"/>
        <w:spacing w:line="360" w:lineRule="auto"/>
        <w:rPr>
          <w:color w:val="000000" w:themeColor="text1"/>
        </w:rPr>
      </w:pPr>
      <w:r>
        <w:rPr>
          <w:rFonts w:hint="eastAsia"/>
          <w:color w:val="000000" w:themeColor="text1"/>
        </w:rPr>
        <w:t>2</w:t>
      </w:r>
      <w:r>
        <w:rPr>
          <w:color w:val="000000" w:themeColor="text1"/>
        </w:rPr>
        <w:t>.1.2</w:t>
      </w:r>
      <w:r>
        <w:rPr>
          <w:rFonts w:hint="eastAsia"/>
          <w:color w:val="000000" w:themeColor="text1"/>
        </w:rPr>
        <w:t>合法性</w:t>
      </w:r>
    </w:p>
    <w:p>
      <w:pPr>
        <w:pageBreakBefore w:val="0"/>
        <w:kinsoku/>
        <w:wordWrap/>
        <w:overflowPunct/>
        <w:topLinePunct w:val="0"/>
        <w:bidi w:val="0"/>
        <w:spacing w:line="360" w:lineRule="auto"/>
        <w:ind w:firstLine="480" w:firstLineChars="200"/>
        <w:jc w:val="both"/>
        <w:rPr>
          <w:color w:val="000000" w:themeColor="text1"/>
        </w:rPr>
      </w:pPr>
      <w:r>
        <w:rPr>
          <w:rFonts w:hint="eastAsia"/>
          <w:color w:val="000000" w:themeColor="text1"/>
        </w:rPr>
        <w:t>合法性原则包括两层含义，一是指产品说明书的相关内容要符合法律法规及强制性国家标准的规定；二是指产品说明书的相关内容不得违反法律法规的禁止性规定。</w:t>
      </w:r>
    </w:p>
    <w:p>
      <w:pPr>
        <w:pStyle w:val="5"/>
        <w:pageBreakBefore w:val="0"/>
        <w:kinsoku/>
        <w:wordWrap/>
        <w:overflowPunct/>
        <w:topLinePunct w:val="0"/>
        <w:bidi w:val="0"/>
        <w:spacing w:line="360" w:lineRule="auto"/>
        <w:rPr>
          <w:color w:val="000000" w:themeColor="text1"/>
        </w:rPr>
      </w:pPr>
      <w:r>
        <w:rPr>
          <w:rFonts w:hint="eastAsia"/>
          <w:color w:val="000000" w:themeColor="text1"/>
        </w:rPr>
        <w:t>2</w:t>
      </w:r>
      <w:r>
        <w:rPr>
          <w:color w:val="000000" w:themeColor="text1"/>
        </w:rPr>
        <w:t>.1.3</w:t>
      </w:r>
      <w:r>
        <w:rPr>
          <w:rFonts w:hint="eastAsia"/>
          <w:color w:val="000000" w:themeColor="text1"/>
        </w:rPr>
        <w:t>必要性</w:t>
      </w:r>
    </w:p>
    <w:p>
      <w:pPr>
        <w:pageBreakBefore w:val="0"/>
        <w:kinsoku/>
        <w:wordWrap/>
        <w:overflowPunct/>
        <w:topLinePunct w:val="0"/>
        <w:bidi w:val="0"/>
        <w:spacing w:line="360" w:lineRule="auto"/>
        <w:ind w:firstLine="480" w:firstLineChars="200"/>
        <w:jc w:val="both"/>
        <w:rPr>
          <w:color w:val="000000" w:themeColor="text1"/>
        </w:rPr>
      </w:pPr>
      <w:r>
        <w:rPr>
          <w:rFonts w:hint="eastAsia"/>
          <w:color w:val="000000" w:themeColor="text1"/>
        </w:rPr>
        <w:t>必要性又称适度性即产品说明书的相关内容足以反映出产品的质量状况，能够确保消费者的知情权。必要性原则要求，一方面按照规定应当提供的相关信息不应遗漏；另一方面，对于生产者可以自行提供的内容应谨慎，除必要内容外，其他内容并非越多越好。产品的说明内容如果画蛇添足，反而容易引发质量纠纷。</w:t>
      </w:r>
    </w:p>
    <w:p>
      <w:pPr>
        <w:pStyle w:val="5"/>
        <w:pageBreakBefore w:val="0"/>
        <w:kinsoku/>
        <w:wordWrap/>
        <w:overflowPunct/>
        <w:topLinePunct w:val="0"/>
        <w:bidi w:val="0"/>
        <w:spacing w:line="360" w:lineRule="auto"/>
        <w:rPr>
          <w:color w:val="000000" w:themeColor="text1"/>
        </w:rPr>
      </w:pPr>
      <w:r>
        <w:rPr>
          <w:rFonts w:hint="eastAsia"/>
          <w:color w:val="000000" w:themeColor="text1"/>
        </w:rPr>
        <w:t>2</w:t>
      </w:r>
      <w:r>
        <w:rPr>
          <w:color w:val="000000" w:themeColor="text1"/>
        </w:rPr>
        <w:t>.1.4</w:t>
      </w:r>
      <w:r>
        <w:rPr>
          <w:rFonts w:hint="eastAsia"/>
          <w:color w:val="000000" w:themeColor="text1"/>
        </w:rPr>
        <w:t>便利性</w:t>
      </w:r>
    </w:p>
    <w:p>
      <w:pPr>
        <w:pageBreakBefore w:val="0"/>
        <w:kinsoku/>
        <w:wordWrap/>
        <w:overflowPunct/>
        <w:topLinePunct w:val="0"/>
        <w:bidi w:val="0"/>
        <w:spacing w:line="360" w:lineRule="auto"/>
        <w:ind w:firstLine="480" w:firstLineChars="200"/>
        <w:jc w:val="both"/>
        <w:rPr>
          <w:color w:val="000000" w:themeColor="text1"/>
        </w:rPr>
      </w:pPr>
      <w:r>
        <w:rPr>
          <w:rFonts w:hint="eastAsia"/>
          <w:color w:val="000000" w:themeColor="text1"/>
        </w:rPr>
        <w:t>便利性是指说明书的各项内容让用户易辨认和识别。便利性原则：一是要求产品说明书中的内容语言准确、通俗、简洁，内容条理清楚、容易辨别。如印刷模糊不清、国内生产国内销售的产品使用繁体字等情形均与便利性不符；二是有关产品名称、厂名厂址、联系电话、生产日期、保质期、使用过程中的注意事项等重要信息以及针对老人、儿童等特殊人群的产品应当在显著位置予以标明（可以采用字体放大、突出显示、靠前排列、色彩醒目等方式），便于用户在选购时知晓。</w:t>
      </w:r>
    </w:p>
    <w:p>
      <w:pPr>
        <w:pStyle w:val="28"/>
        <w:pageBreakBefore w:val="0"/>
        <w:kinsoku/>
        <w:wordWrap/>
        <w:overflowPunct/>
        <w:topLinePunct w:val="0"/>
        <w:bidi w:val="0"/>
        <w:spacing w:line="360" w:lineRule="auto"/>
        <w:rPr>
          <w:color w:val="000000" w:themeColor="text1"/>
          <w:sz w:val="24"/>
          <w:szCs w:val="24"/>
        </w:rPr>
      </w:pPr>
      <w:bookmarkStart w:id="8" w:name="_Toc12964"/>
      <w:r>
        <w:rPr>
          <w:color w:val="000000" w:themeColor="text1"/>
          <w:sz w:val="24"/>
          <w:szCs w:val="24"/>
        </w:rPr>
        <w:t>2.2 标准的主要内容</w:t>
      </w:r>
      <w:bookmarkEnd w:id="8"/>
    </w:p>
    <w:p>
      <w:pPr>
        <w:pageBreakBefore w:val="0"/>
        <w:kinsoku/>
        <w:wordWrap/>
        <w:overflowPunct/>
        <w:topLinePunct w:val="0"/>
        <w:bidi w:val="0"/>
        <w:spacing w:line="360" w:lineRule="auto"/>
        <w:outlineLvl w:val="3"/>
        <w:rPr>
          <w:color w:val="000000" w:themeColor="text1"/>
        </w:rPr>
      </w:pPr>
      <w:r>
        <w:rPr>
          <w:rFonts w:hint="eastAsia"/>
          <w:color w:val="000000" w:themeColor="text1"/>
        </w:rPr>
        <w:t>（</w:t>
      </w:r>
      <w:r>
        <w:rPr>
          <w:rFonts w:hint="eastAsia"/>
          <w:color w:val="000000" w:themeColor="text1"/>
          <w:lang w:val="en-US" w:eastAsia="zh-CN"/>
        </w:rPr>
        <w:t>一</w:t>
      </w:r>
      <w:r>
        <w:rPr>
          <w:rFonts w:hint="eastAsia"/>
          <w:color w:val="000000" w:themeColor="text1"/>
        </w:rPr>
        <w:t>）标准正文</w:t>
      </w:r>
    </w:p>
    <w:p>
      <w:pPr>
        <w:pStyle w:val="5"/>
        <w:pageBreakBefore w:val="0"/>
        <w:kinsoku/>
        <w:wordWrap/>
        <w:overflowPunct/>
        <w:topLinePunct w:val="0"/>
        <w:bidi w:val="0"/>
        <w:spacing w:line="360" w:lineRule="auto"/>
        <w:rPr>
          <w:color w:val="000000" w:themeColor="text1"/>
        </w:rPr>
      </w:pPr>
      <w:bookmarkStart w:id="9" w:name="_Toc49883321"/>
      <w:bookmarkStart w:id="10" w:name="_Toc48292342"/>
      <w:r>
        <w:rPr>
          <w:color w:val="000000" w:themeColor="text1"/>
        </w:rPr>
        <w:t>2.2.1 标准的适用范围</w:t>
      </w:r>
      <w:bookmarkEnd w:id="9"/>
      <w:bookmarkEnd w:id="10"/>
    </w:p>
    <w:p>
      <w:pPr>
        <w:pageBreakBefore w:val="0"/>
        <w:kinsoku/>
        <w:wordWrap/>
        <w:overflowPunct/>
        <w:topLinePunct w:val="0"/>
        <w:bidi w:val="0"/>
        <w:spacing w:line="360" w:lineRule="auto"/>
        <w:ind w:firstLine="480" w:firstLineChars="200"/>
        <w:rPr>
          <w:rFonts w:ascii="Times New Roman" w:hAnsi="Times New Roman" w:cs="Times New Roman"/>
        </w:rPr>
      </w:pPr>
      <w:r>
        <w:rPr>
          <w:rFonts w:ascii="Times New Roman" w:hAnsi="Times New Roman" w:cs="Times New Roman"/>
        </w:rPr>
        <w:t>本文件规定了智能门锁产品使用说明书</w:t>
      </w:r>
      <w:r>
        <w:rPr>
          <w:rFonts w:hint="eastAsia" w:ascii="Times New Roman" w:hAnsi="Times New Roman" w:cs="Times New Roman"/>
        </w:rPr>
        <w:t>（</w:t>
      </w:r>
      <w:r>
        <w:rPr>
          <w:rFonts w:ascii="Times New Roman" w:hAnsi="Times New Roman" w:cs="Times New Roman"/>
        </w:rPr>
        <w:t>以下简称</w:t>
      </w:r>
      <w:r>
        <w:rPr>
          <w:rFonts w:hint="eastAsia" w:ascii="Times New Roman" w:hAnsi="Times New Roman" w:cs="Times New Roman"/>
        </w:rPr>
        <w:t>“</w:t>
      </w:r>
      <w:r>
        <w:rPr>
          <w:rFonts w:ascii="Times New Roman" w:hAnsi="Times New Roman" w:cs="Times New Roman"/>
        </w:rPr>
        <w:t>说明书</w:t>
      </w:r>
      <w:r>
        <w:rPr>
          <w:rFonts w:hint="eastAsia" w:ascii="Times New Roman" w:hAnsi="Times New Roman" w:cs="Times New Roman"/>
        </w:rPr>
        <w:t>”）</w:t>
      </w:r>
      <w:r>
        <w:rPr>
          <w:rFonts w:ascii="Times New Roman" w:hAnsi="Times New Roman" w:cs="Times New Roman"/>
        </w:rPr>
        <w:t>的基本要求</w:t>
      </w:r>
      <w:r>
        <w:rPr>
          <w:rFonts w:hint="eastAsia" w:ascii="Times New Roman" w:hAnsi="Times New Roman" w:cs="Times New Roman"/>
        </w:rPr>
        <w:t>、</w:t>
      </w:r>
      <w:r>
        <w:rPr>
          <w:rFonts w:ascii="Times New Roman" w:hAnsi="Times New Roman" w:cs="Times New Roman"/>
        </w:rPr>
        <w:t>编制要求</w:t>
      </w:r>
      <w:r>
        <w:rPr>
          <w:rFonts w:hint="eastAsia" w:ascii="Times New Roman" w:hAnsi="Times New Roman" w:cs="Times New Roman"/>
          <w:lang w:val="en-US" w:eastAsia="zh-CN"/>
        </w:rPr>
        <w:t>和</w:t>
      </w:r>
      <w:r>
        <w:rPr>
          <w:rFonts w:ascii="Times New Roman" w:hAnsi="Times New Roman" w:cs="Times New Roman"/>
        </w:rPr>
        <w:t>主要构成</w:t>
      </w:r>
      <w:r>
        <w:rPr>
          <w:rFonts w:hint="eastAsia" w:ascii="Times New Roman" w:hAnsi="Times New Roman" w:cs="Times New Roman"/>
        </w:rPr>
        <w:t>。</w:t>
      </w:r>
    </w:p>
    <w:p>
      <w:pPr>
        <w:pageBreakBefore w:val="0"/>
        <w:kinsoku/>
        <w:wordWrap/>
        <w:overflowPunct/>
        <w:topLinePunct w:val="0"/>
        <w:bidi w:val="0"/>
        <w:spacing w:line="360" w:lineRule="auto"/>
        <w:ind w:firstLine="480" w:firstLineChars="200"/>
        <w:rPr>
          <w:color w:val="000000" w:themeColor="text1"/>
        </w:rPr>
      </w:pPr>
      <w:r>
        <w:rPr>
          <w:rFonts w:ascii="Times New Roman" w:hAnsi="Times New Roman" w:cs="Times New Roman"/>
        </w:rPr>
        <w:t>本文件适用于智能门锁产品使用说明书的编写</w:t>
      </w:r>
      <w:r>
        <w:rPr>
          <w:rFonts w:hint="eastAsia" w:ascii="Times New Roman" w:hAnsi="Times New Roman" w:cs="Times New Roman"/>
        </w:rPr>
        <w:t>。</w:t>
      </w:r>
    </w:p>
    <w:p>
      <w:pPr>
        <w:pStyle w:val="5"/>
        <w:pageBreakBefore w:val="0"/>
        <w:kinsoku/>
        <w:wordWrap/>
        <w:overflowPunct/>
        <w:topLinePunct w:val="0"/>
        <w:bidi w:val="0"/>
        <w:spacing w:line="360" w:lineRule="auto"/>
        <w:rPr>
          <w:color w:val="000000" w:themeColor="text1"/>
        </w:rPr>
      </w:pPr>
      <w:bookmarkStart w:id="11" w:name="_Toc49883322"/>
      <w:bookmarkStart w:id="12" w:name="_Toc48292343"/>
      <w:r>
        <w:rPr>
          <w:color w:val="000000" w:themeColor="text1"/>
        </w:rPr>
        <w:t xml:space="preserve">2.2.2 </w:t>
      </w:r>
      <w:r>
        <w:rPr>
          <w:rFonts w:hint="eastAsia"/>
          <w:color w:val="000000" w:themeColor="text1"/>
        </w:rPr>
        <w:t>规范性</w:t>
      </w:r>
      <w:r>
        <w:rPr>
          <w:color w:val="000000" w:themeColor="text1"/>
        </w:rPr>
        <w:t>引用文件</w:t>
      </w:r>
      <w:bookmarkEnd w:id="11"/>
      <w:bookmarkEnd w:id="12"/>
    </w:p>
    <w:p>
      <w:pPr>
        <w:pageBreakBefore w:val="0"/>
        <w:kinsoku/>
        <w:wordWrap/>
        <w:overflowPunct/>
        <w:topLinePunct w:val="0"/>
        <w:bidi w:val="0"/>
        <w:spacing w:line="360" w:lineRule="auto"/>
        <w:ind w:firstLine="480" w:firstLineChars="200"/>
        <w:rPr>
          <w:rFonts w:hint="eastAsia" w:ascii="Times New Roman" w:hAnsi="Times New Roman" w:cs="Times New Roman"/>
          <w:highlight w:val="none"/>
          <w:lang w:val="en-US" w:eastAsia="zh-CN"/>
        </w:rPr>
      </w:pPr>
      <w:r>
        <w:rPr>
          <w:rFonts w:hint="eastAsia"/>
          <w:color w:val="000000" w:themeColor="text1"/>
          <w:lang w:eastAsia="zh-CN"/>
        </w:rPr>
        <w:t>（</w:t>
      </w:r>
      <w:r>
        <w:rPr>
          <w:rFonts w:hint="eastAsia"/>
          <w:color w:val="000000" w:themeColor="text1"/>
          <w:lang w:val="en-US" w:eastAsia="zh-CN"/>
        </w:rPr>
        <w:t>1）本标准在制定过程中引用</w:t>
      </w:r>
      <w:r>
        <w:rPr>
          <w:rFonts w:ascii="Times New Roman" w:hAnsi="Times New Roman" w:cs="Times New Roman"/>
          <w:highlight w:val="none"/>
        </w:rPr>
        <w:t>GB</w:t>
      </w:r>
      <w:r>
        <w:rPr>
          <w:rFonts w:hint="eastAsia" w:ascii="Times New Roman" w:hAnsi="Times New Roman" w:cs="Times New Roman"/>
          <w:highlight w:val="none"/>
        </w:rPr>
        <w:t>/</w:t>
      </w:r>
      <w:r>
        <w:rPr>
          <w:rFonts w:ascii="Times New Roman" w:hAnsi="Times New Roman" w:cs="Times New Roman"/>
          <w:highlight w:val="none"/>
        </w:rPr>
        <w:t>T 9969—2008</w:t>
      </w:r>
      <w:r>
        <w:rPr>
          <w:rFonts w:hint="eastAsia" w:ascii="Times New Roman" w:hAnsi="Times New Roman" w:cs="Times New Roman"/>
          <w:highlight w:val="none"/>
          <w:lang w:val="en-US" w:eastAsia="zh-CN"/>
        </w:rPr>
        <w:t xml:space="preserve"> 工业产品使用说明书 总则</w:t>
      </w:r>
    </w:p>
    <w:p>
      <w:pPr>
        <w:pageBreakBefore w:val="0"/>
        <w:kinsoku/>
        <w:wordWrap/>
        <w:overflowPunct/>
        <w:topLinePunct w:val="0"/>
        <w:bidi w:val="0"/>
        <w:spacing w:line="360" w:lineRule="auto"/>
        <w:ind w:firstLine="480" w:firstLineChars="200"/>
        <w:jc w:val="both"/>
        <w:rPr>
          <w:rFonts w:hint="default" w:ascii="Times New Roman" w:hAnsi="Times New Roman" w:cs="Times New Roman"/>
          <w:highlight w:val="none"/>
          <w:lang w:val="en-US" w:eastAsia="zh-CN"/>
        </w:rPr>
      </w:pPr>
      <w:r>
        <w:rPr>
          <w:rFonts w:hint="eastAsia" w:ascii="Times New Roman" w:hAnsi="Times New Roman" w:cs="Times New Roman"/>
          <w:highlight w:val="none"/>
        </w:rPr>
        <w:t>GB/T 9969</w:t>
      </w:r>
      <w:r>
        <w:rPr>
          <w:rFonts w:ascii="Times New Roman" w:hAnsi="Times New Roman" w:cs="Times New Roman"/>
          <w:highlight w:val="none"/>
        </w:rPr>
        <w:t>-2008对</w:t>
      </w:r>
      <w:r>
        <w:rPr>
          <w:rFonts w:hint="eastAsia" w:ascii="Times New Roman" w:hAnsi="Times New Roman" w:cs="Times New Roman"/>
          <w:highlight w:val="none"/>
        </w:rPr>
        <w:t>工业产品</w:t>
      </w:r>
      <w:r>
        <w:rPr>
          <w:rFonts w:ascii="Times New Roman" w:hAnsi="Times New Roman" w:cs="Times New Roman"/>
          <w:highlight w:val="none"/>
        </w:rPr>
        <w:t>使用说明</w:t>
      </w:r>
      <w:r>
        <w:rPr>
          <w:rFonts w:hint="eastAsia" w:ascii="Times New Roman" w:hAnsi="Times New Roman" w:cs="Times New Roman"/>
          <w:highlight w:val="none"/>
        </w:rPr>
        <w:t>书</w:t>
      </w:r>
      <w:r>
        <w:rPr>
          <w:rFonts w:ascii="Times New Roman" w:hAnsi="Times New Roman" w:cs="Times New Roman"/>
          <w:highlight w:val="none"/>
        </w:rPr>
        <w:t>的编写提出了相关要求，</w:t>
      </w:r>
      <w:r>
        <w:rPr>
          <w:rFonts w:hint="eastAsia" w:ascii="Times New Roman" w:hAnsi="Times New Roman" w:cs="Times New Roman"/>
          <w:highlight w:val="none"/>
        </w:rPr>
        <w:t>建材工业是属于工业领域，该标准是建材行业产品使用说明书的上位标准，GB/T 9969</w:t>
      </w:r>
      <w:r>
        <w:rPr>
          <w:rFonts w:ascii="Times New Roman" w:hAnsi="Times New Roman" w:cs="Times New Roman"/>
          <w:highlight w:val="none"/>
        </w:rPr>
        <w:t>-2008</w:t>
      </w:r>
      <w:r>
        <w:rPr>
          <w:rFonts w:hint="eastAsia" w:ascii="Times New Roman" w:hAnsi="Times New Roman" w:cs="Times New Roman"/>
          <w:highlight w:val="none"/>
        </w:rPr>
        <w:t>中第</w:t>
      </w:r>
      <w:r>
        <w:rPr>
          <w:rFonts w:hint="eastAsia" w:ascii="Times New Roman" w:hAnsi="Times New Roman" w:cs="Times New Roman"/>
          <w:highlight w:val="none"/>
          <w:lang w:val="en-US" w:eastAsia="zh-CN"/>
        </w:rPr>
        <w:t>5</w:t>
      </w:r>
      <w:r>
        <w:rPr>
          <w:rFonts w:hint="eastAsia" w:ascii="Times New Roman" w:hAnsi="Times New Roman" w:cs="Times New Roman"/>
          <w:highlight w:val="none"/>
        </w:rPr>
        <w:t>章编制要求等相关内容在本标准中引用，</w:t>
      </w:r>
      <w:r>
        <w:rPr>
          <w:rFonts w:ascii="Times New Roman" w:hAnsi="Times New Roman" w:cs="Times New Roman"/>
          <w:highlight w:val="none"/>
        </w:rPr>
        <w:t>因此</w:t>
      </w:r>
      <w:r>
        <w:rPr>
          <w:rFonts w:hint="eastAsia" w:ascii="Times New Roman" w:hAnsi="Times New Roman" w:cs="Times New Roman"/>
          <w:highlight w:val="none"/>
        </w:rPr>
        <w:t>将GB/T 9969</w:t>
      </w:r>
      <w:r>
        <w:rPr>
          <w:rFonts w:ascii="Times New Roman" w:hAnsi="Times New Roman" w:cs="Times New Roman"/>
          <w:highlight w:val="none"/>
        </w:rPr>
        <w:t>-2008</w:t>
      </w:r>
      <w:r>
        <w:rPr>
          <w:rFonts w:hint="eastAsia" w:ascii="Times New Roman" w:hAnsi="Times New Roman" w:cs="Times New Roman"/>
          <w:highlight w:val="none"/>
        </w:rPr>
        <w:t>《工业产品使用说明书总则》列入在引用文件</w:t>
      </w:r>
      <w:r>
        <w:rPr>
          <w:rFonts w:ascii="Times New Roman" w:hAnsi="Times New Roman" w:cs="Times New Roman"/>
          <w:highlight w:val="none"/>
        </w:rPr>
        <w:t>。</w:t>
      </w:r>
    </w:p>
    <w:p>
      <w:pPr>
        <w:pageBreakBefore w:val="0"/>
        <w:kinsoku/>
        <w:wordWrap/>
        <w:overflowPunct/>
        <w:topLinePunct w:val="0"/>
        <w:bidi w:val="0"/>
        <w:spacing w:line="360" w:lineRule="auto"/>
        <w:ind w:firstLine="480" w:firstLineChars="200"/>
        <w:rPr>
          <w:color w:val="000000" w:themeColor="text1"/>
        </w:rPr>
      </w:pPr>
      <w:r>
        <w:rPr>
          <w:rFonts w:hint="eastAsia"/>
          <w:color w:val="000000" w:themeColor="text1"/>
        </w:rPr>
        <w:t>（</w:t>
      </w:r>
      <w:r>
        <w:rPr>
          <w:rFonts w:hint="eastAsia"/>
          <w:color w:val="000000" w:themeColor="text1"/>
          <w:lang w:val="en-US" w:eastAsia="zh-CN"/>
        </w:rPr>
        <w:t>2</w:t>
      </w:r>
      <w:r>
        <w:rPr>
          <w:rFonts w:hint="eastAsia"/>
          <w:color w:val="000000" w:themeColor="text1"/>
        </w:rPr>
        <w:t>）</w:t>
      </w:r>
      <w:r>
        <w:rPr>
          <w:color w:val="000000" w:themeColor="text1"/>
        </w:rPr>
        <w:t>本标准在制定过程引用</w:t>
      </w:r>
      <w:r>
        <w:rPr>
          <w:rFonts w:ascii="Times New Roman" w:hAnsi="Times New Roman" w:cs="Times New Roman"/>
          <w:highlight w:val="none"/>
        </w:rPr>
        <w:t>T</w:t>
      </w:r>
      <w:r>
        <w:rPr>
          <w:rFonts w:hint="eastAsia" w:ascii="Times New Roman" w:hAnsi="Times New Roman" w:cs="Times New Roman"/>
          <w:highlight w:val="none"/>
        </w:rPr>
        <w:t>/</w:t>
      </w:r>
      <w:r>
        <w:rPr>
          <w:rFonts w:ascii="Times New Roman" w:hAnsi="Times New Roman" w:cs="Times New Roman"/>
          <w:highlight w:val="none"/>
        </w:rPr>
        <w:t>CBMF 195-2022 建材产品使用说明书 通用要求</w:t>
      </w:r>
    </w:p>
    <w:p>
      <w:pPr>
        <w:pageBreakBefore w:val="0"/>
        <w:kinsoku/>
        <w:wordWrap/>
        <w:overflowPunct/>
        <w:topLinePunct w:val="0"/>
        <w:bidi w:val="0"/>
        <w:spacing w:line="360" w:lineRule="auto"/>
        <w:ind w:firstLine="480" w:firstLineChars="200"/>
        <w:jc w:val="both"/>
        <w:rPr>
          <w:color w:val="000000" w:themeColor="text1"/>
        </w:rPr>
      </w:pPr>
      <w:r>
        <w:rPr>
          <w:rFonts w:ascii="Times New Roman" w:hAnsi="Times New Roman" w:cs="Times New Roman"/>
          <w:highlight w:val="none"/>
        </w:rPr>
        <w:t>T</w:t>
      </w:r>
      <w:r>
        <w:rPr>
          <w:rFonts w:hint="eastAsia" w:ascii="Times New Roman" w:hAnsi="Times New Roman" w:cs="Times New Roman"/>
          <w:highlight w:val="none"/>
        </w:rPr>
        <w:t>/</w:t>
      </w:r>
      <w:r>
        <w:rPr>
          <w:rFonts w:ascii="Times New Roman" w:hAnsi="Times New Roman" w:cs="Times New Roman"/>
          <w:highlight w:val="none"/>
        </w:rPr>
        <w:t>CBMF 195-2022</w:t>
      </w:r>
      <w:r>
        <w:rPr>
          <w:color w:val="000000" w:themeColor="text1"/>
        </w:rPr>
        <w:t>对</w:t>
      </w:r>
      <w:r>
        <w:rPr>
          <w:rFonts w:hint="eastAsia"/>
          <w:color w:val="000000" w:themeColor="text1"/>
          <w:lang w:val="en-US" w:eastAsia="zh-CN"/>
        </w:rPr>
        <w:t>建材</w:t>
      </w:r>
      <w:r>
        <w:rPr>
          <w:rFonts w:hint="eastAsia"/>
          <w:color w:val="000000" w:themeColor="text1"/>
        </w:rPr>
        <w:t>产品</w:t>
      </w:r>
      <w:r>
        <w:rPr>
          <w:color w:val="000000" w:themeColor="text1"/>
        </w:rPr>
        <w:t>使用说明</w:t>
      </w:r>
      <w:r>
        <w:rPr>
          <w:rFonts w:hint="eastAsia"/>
          <w:color w:val="000000" w:themeColor="text1"/>
        </w:rPr>
        <w:t>书</w:t>
      </w:r>
      <w:r>
        <w:rPr>
          <w:color w:val="000000" w:themeColor="text1"/>
        </w:rPr>
        <w:t>的编写提出了相关要求，</w:t>
      </w:r>
      <w:r>
        <w:rPr>
          <w:rFonts w:ascii="Times New Roman" w:hAnsi="Times New Roman" w:cs="Times New Roman"/>
        </w:rPr>
        <w:t>智能门锁产品</w:t>
      </w:r>
      <w:r>
        <w:rPr>
          <w:rFonts w:hint="eastAsia"/>
          <w:color w:val="000000" w:themeColor="text1"/>
        </w:rPr>
        <w:t>是属于</w:t>
      </w:r>
      <w:r>
        <w:rPr>
          <w:rFonts w:hint="eastAsia"/>
          <w:color w:val="000000" w:themeColor="text1"/>
          <w:lang w:val="en-US" w:eastAsia="zh-CN"/>
        </w:rPr>
        <w:t>建材</w:t>
      </w:r>
      <w:r>
        <w:rPr>
          <w:rFonts w:hint="eastAsia"/>
          <w:color w:val="000000" w:themeColor="text1"/>
        </w:rPr>
        <w:t>产品，该标准是</w:t>
      </w:r>
      <w:r>
        <w:rPr>
          <w:rFonts w:ascii="Times New Roman"/>
        </w:rPr>
        <w:t>建材产品使用说明书 智能门锁</w:t>
      </w:r>
      <w:r>
        <w:rPr>
          <w:rFonts w:hint="eastAsia"/>
          <w:color w:val="000000" w:themeColor="text1"/>
        </w:rPr>
        <w:t>的上位标准，</w:t>
      </w:r>
      <w:r>
        <w:rPr>
          <w:rFonts w:ascii="Times New Roman" w:hAnsi="Times New Roman" w:cs="Times New Roman"/>
          <w:highlight w:val="none"/>
        </w:rPr>
        <w:t>T</w:t>
      </w:r>
      <w:r>
        <w:rPr>
          <w:rFonts w:hint="eastAsia" w:ascii="Times New Roman" w:hAnsi="Times New Roman" w:cs="Times New Roman"/>
          <w:highlight w:val="none"/>
        </w:rPr>
        <w:t>/</w:t>
      </w:r>
      <w:r>
        <w:rPr>
          <w:rFonts w:ascii="Times New Roman" w:hAnsi="Times New Roman" w:cs="Times New Roman"/>
          <w:highlight w:val="none"/>
        </w:rPr>
        <w:t>CBMF 195-2022</w:t>
      </w:r>
      <w:r>
        <w:rPr>
          <w:rFonts w:hint="eastAsia" w:eastAsiaTheme="minorEastAsia"/>
          <w:color w:val="000000" w:themeColor="text1"/>
          <w:szCs w:val="28"/>
        </w:rPr>
        <w:t>中第4章</w:t>
      </w:r>
      <w:r>
        <w:rPr>
          <w:rFonts w:hint="eastAsia" w:eastAsiaTheme="minorEastAsia"/>
          <w:color w:val="000000" w:themeColor="text1"/>
          <w:lang w:val="en-US" w:eastAsia="zh-CN"/>
        </w:rPr>
        <w:t>基本</w:t>
      </w:r>
      <w:r>
        <w:rPr>
          <w:rFonts w:hint="eastAsia"/>
          <w:color w:val="000000" w:themeColor="text1"/>
        </w:rPr>
        <w:t>要求</w:t>
      </w:r>
      <w:r>
        <w:rPr>
          <w:rFonts w:hint="eastAsia"/>
          <w:color w:val="000000" w:themeColor="text1"/>
          <w:lang w:val="en-US" w:eastAsia="zh-CN"/>
        </w:rPr>
        <w:t>和第5章编制要求</w:t>
      </w:r>
      <w:r>
        <w:rPr>
          <w:rFonts w:hint="eastAsia"/>
          <w:color w:val="000000" w:themeColor="text1"/>
        </w:rPr>
        <w:t>等相关内容在本标准中引用，</w:t>
      </w:r>
      <w:r>
        <w:rPr>
          <w:color w:val="000000" w:themeColor="text1"/>
        </w:rPr>
        <w:t>因此</w:t>
      </w:r>
      <w:r>
        <w:rPr>
          <w:rFonts w:hint="eastAsia"/>
          <w:color w:val="000000" w:themeColor="text1"/>
        </w:rPr>
        <w:t>将</w:t>
      </w:r>
      <w:r>
        <w:rPr>
          <w:rFonts w:ascii="Times New Roman" w:hAnsi="Times New Roman" w:cs="Times New Roman"/>
          <w:highlight w:val="none"/>
        </w:rPr>
        <w:t>T</w:t>
      </w:r>
      <w:r>
        <w:rPr>
          <w:rFonts w:hint="eastAsia" w:ascii="Times New Roman" w:hAnsi="Times New Roman" w:cs="Times New Roman"/>
          <w:highlight w:val="none"/>
        </w:rPr>
        <w:t>/</w:t>
      </w:r>
      <w:r>
        <w:rPr>
          <w:rFonts w:ascii="Times New Roman" w:hAnsi="Times New Roman" w:cs="Times New Roman"/>
          <w:highlight w:val="none"/>
        </w:rPr>
        <w:t>CBMF 195-2022</w:t>
      </w:r>
      <w:r>
        <w:rPr>
          <w:rFonts w:hint="eastAsia" w:ascii="Times New Roman" w:hAnsi="Times New Roman" w:cs="Times New Roman"/>
          <w:highlight w:val="none"/>
          <w:lang w:eastAsia="zh-CN"/>
        </w:rPr>
        <w:t>《</w:t>
      </w:r>
      <w:r>
        <w:rPr>
          <w:rFonts w:ascii="Times New Roman" w:hAnsi="Times New Roman" w:cs="Times New Roman"/>
          <w:highlight w:val="none"/>
        </w:rPr>
        <w:t>建材产品使用说明书 通用要求</w:t>
      </w:r>
      <w:r>
        <w:rPr>
          <w:rFonts w:hint="eastAsia" w:ascii="Times New Roman" w:hAnsi="Times New Roman" w:cs="Times New Roman"/>
          <w:highlight w:val="none"/>
          <w:lang w:eastAsia="zh-CN"/>
        </w:rPr>
        <w:t>》</w:t>
      </w:r>
      <w:r>
        <w:rPr>
          <w:rFonts w:hint="eastAsia" w:eastAsiaTheme="minorEastAsia"/>
          <w:color w:val="000000" w:themeColor="text1"/>
          <w:szCs w:val="28"/>
        </w:rPr>
        <w:t>列入</w:t>
      </w:r>
      <w:r>
        <w:rPr>
          <w:rFonts w:hint="eastAsia"/>
          <w:color w:val="000000" w:themeColor="text1"/>
        </w:rPr>
        <w:t>在引用文件</w:t>
      </w:r>
      <w:r>
        <w:rPr>
          <w:color w:val="000000" w:themeColor="text1"/>
        </w:rPr>
        <w:t>。</w:t>
      </w:r>
    </w:p>
    <w:p>
      <w:pPr>
        <w:pStyle w:val="5"/>
        <w:pageBreakBefore w:val="0"/>
        <w:kinsoku/>
        <w:wordWrap/>
        <w:overflowPunct/>
        <w:topLinePunct w:val="0"/>
        <w:bidi w:val="0"/>
        <w:spacing w:line="360" w:lineRule="auto"/>
        <w:rPr>
          <w:color w:val="000000" w:themeColor="text1"/>
        </w:rPr>
      </w:pPr>
      <w:bookmarkStart w:id="13" w:name="_Toc48292344"/>
      <w:bookmarkStart w:id="14" w:name="_Toc49883323"/>
      <w:r>
        <w:rPr>
          <w:color w:val="000000" w:themeColor="text1"/>
        </w:rPr>
        <w:t>2.2.3  术语和定义</w:t>
      </w:r>
      <w:bookmarkEnd w:id="13"/>
      <w:bookmarkEnd w:id="14"/>
    </w:p>
    <w:p>
      <w:pPr>
        <w:pageBreakBefore w:val="0"/>
        <w:kinsoku/>
        <w:wordWrap/>
        <w:overflowPunct/>
        <w:topLinePunct w:val="0"/>
        <w:bidi w:val="0"/>
        <w:spacing w:line="360" w:lineRule="auto"/>
        <w:ind w:firstLine="480" w:firstLineChars="200"/>
        <w:rPr>
          <w:rFonts w:eastAsiaTheme="minorEastAsia"/>
          <w:color w:val="000000" w:themeColor="text1"/>
          <w:szCs w:val="28"/>
        </w:rPr>
      </w:pPr>
      <w:r>
        <w:rPr>
          <w:rFonts w:ascii="Times New Roman" w:hAnsi="Times New Roman" w:cs="Times New Roman"/>
        </w:rPr>
        <w:t>GB 36920-2017</w:t>
      </w:r>
      <w:r>
        <w:rPr>
          <w:rFonts w:hint="eastAsia" w:ascii="Times New Roman" w:hAnsi="Times New Roman" w:cs="Times New Roman"/>
        </w:rPr>
        <w:t>、</w:t>
      </w:r>
      <w:r>
        <w:rPr>
          <w:rFonts w:ascii="Times New Roman" w:hAnsi="Times New Roman" w:cs="Times New Roman"/>
        </w:rPr>
        <w:t>GB</w:t>
      </w:r>
      <w:r>
        <w:rPr>
          <w:rFonts w:hint="eastAsia" w:ascii="Times New Roman" w:hAnsi="Times New Roman" w:cs="Times New Roman"/>
        </w:rPr>
        <w:t>/</w:t>
      </w:r>
      <w:r>
        <w:rPr>
          <w:rFonts w:ascii="Times New Roman" w:hAnsi="Times New Roman" w:cs="Times New Roman"/>
        </w:rPr>
        <w:t>T 38155</w:t>
      </w:r>
      <w:r>
        <w:rPr>
          <w:rFonts w:hint="eastAsia" w:ascii="Times New Roman" w:hAnsi="Times New Roman" w:cs="Times New Roman"/>
        </w:rPr>
        <w:t>及</w:t>
      </w:r>
      <w:r>
        <w:rPr>
          <w:rFonts w:ascii="Times New Roman" w:hAnsi="Times New Roman" w:cs="Times New Roman"/>
        </w:rPr>
        <w:t>JG</w:t>
      </w:r>
      <w:r>
        <w:rPr>
          <w:rFonts w:hint="eastAsia" w:ascii="Times New Roman" w:hAnsi="Times New Roman" w:cs="Times New Roman"/>
        </w:rPr>
        <w:t>/</w:t>
      </w:r>
      <w:r>
        <w:rPr>
          <w:rFonts w:ascii="Times New Roman" w:hAnsi="Times New Roman" w:cs="Times New Roman"/>
        </w:rPr>
        <w:t>T 394-2012</w:t>
      </w:r>
      <w:r>
        <w:rPr>
          <w:rFonts w:hint="eastAsia" w:ascii="Times New Roman" w:hAnsi="Times New Roman" w:cs="Times New Roman"/>
          <w:lang w:val="en-US" w:eastAsia="zh-CN"/>
        </w:rPr>
        <w:t>界定</w:t>
      </w:r>
      <w:r>
        <w:rPr>
          <w:rFonts w:ascii="Times New Roman" w:hAnsi="Times New Roman" w:cs="Times New Roman"/>
        </w:rPr>
        <w:t>的术语和定义适用于本文件</w:t>
      </w:r>
      <w:r>
        <w:rPr>
          <w:rFonts w:hint="eastAsia" w:eastAsiaTheme="minorEastAsia"/>
          <w:color w:val="000000" w:themeColor="text1"/>
          <w:szCs w:val="28"/>
        </w:rPr>
        <w:t>。</w:t>
      </w:r>
    </w:p>
    <w:p>
      <w:pPr>
        <w:pStyle w:val="5"/>
        <w:pageBreakBefore w:val="0"/>
        <w:kinsoku/>
        <w:wordWrap/>
        <w:overflowPunct/>
        <w:topLinePunct w:val="0"/>
        <w:bidi w:val="0"/>
        <w:spacing w:line="360" w:lineRule="auto"/>
        <w:rPr>
          <w:color w:val="000000" w:themeColor="text1"/>
          <w:highlight w:val="none"/>
        </w:rPr>
      </w:pPr>
      <w:bookmarkStart w:id="15" w:name="_Toc48292345"/>
      <w:bookmarkStart w:id="16" w:name="_Toc49883324"/>
      <w:r>
        <w:rPr>
          <w:color w:val="000000" w:themeColor="text1"/>
          <w:highlight w:val="none"/>
        </w:rPr>
        <w:t xml:space="preserve">2.2.4  </w:t>
      </w:r>
      <w:bookmarkEnd w:id="15"/>
      <w:bookmarkEnd w:id="16"/>
      <w:r>
        <w:rPr>
          <w:rFonts w:hint="eastAsia"/>
          <w:color w:val="000000" w:themeColor="text1"/>
          <w:highlight w:val="none"/>
        </w:rPr>
        <w:t>基本要求</w:t>
      </w:r>
    </w:p>
    <w:p>
      <w:pPr>
        <w:pageBreakBefore w:val="0"/>
        <w:kinsoku/>
        <w:wordWrap/>
        <w:overflowPunct/>
        <w:topLinePunct w:val="0"/>
        <w:bidi w:val="0"/>
        <w:spacing w:line="360" w:lineRule="auto"/>
        <w:ind w:firstLine="480"/>
        <w:jc w:val="both"/>
        <w:rPr>
          <w:rFonts w:eastAsiaTheme="minorEastAsia"/>
          <w:color w:val="000000" w:themeColor="text1"/>
          <w:szCs w:val="28"/>
          <w:highlight w:val="none"/>
        </w:rPr>
      </w:pPr>
      <w:r>
        <w:rPr>
          <w:rFonts w:hint="eastAsia" w:eastAsiaTheme="minorEastAsia"/>
          <w:color w:val="000000" w:themeColor="text1"/>
          <w:szCs w:val="28"/>
          <w:highlight w:val="none"/>
        </w:rPr>
        <w:t>在充分考虑与国家相关法律法规以及国家标准和行业标准协调性，同时兼顾企业对产品的生产、推广宣传需求以及用户对产品的使用体验等前提下，本标准结合《中华人民共和国消费者权益保护法》《中华人民共和国产品质量法》等法律法规规定，参考建材领域相关产品标准，提出了</w:t>
      </w:r>
      <w:r>
        <w:rPr>
          <w:rFonts w:hint="eastAsia" w:eastAsiaTheme="minorEastAsia"/>
          <w:color w:val="000000" w:themeColor="text1"/>
          <w:szCs w:val="28"/>
          <w:highlight w:val="none"/>
          <w:lang w:val="en-US" w:eastAsia="zh-CN"/>
        </w:rPr>
        <w:t>智能门锁</w:t>
      </w:r>
      <w:r>
        <w:rPr>
          <w:rFonts w:hint="eastAsia" w:eastAsiaTheme="minorEastAsia"/>
          <w:color w:val="000000" w:themeColor="text1"/>
          <w:szCs w:val="28"/>
          <w:highlight w:val="none"/>
        </w:rPr>
        <w:t>产品使用说明书编制的基本要求。</w:t>
      </w:r>
    </w:p>
    <w:p>
      <w:pPr>
        <w:pageBreakBefore w:val="0"/>
        <w:kinsoku/>
        <w:wordWrap/>
        <w:overflowPunct/>
        <w:topLinePunct w:val="0"/>
        <w:bidi w:val="0"/>
        <w:spacing w:line="360" w:lineRule="auto"/>
        <w:ind w:firstLine="480"/>
        <w:jc w:val="both"/>
        <w:rPr>
          <w:rFonts w:hint="eastAsia" w:ascii="楷体" w:hAnsi="楷体" w:eastAsia="楷体"/>
          <w:color w:val="000000" w:themeColor="text1"/>
          <w:szCs w:val="28"/>
          <w:highlight w:val="none"/>
          <w:lang w:eastAsia="zh-CN"/>
        </w:rPr>
      </w:pPr>
      <w:r>
        <w:rPr>
          <w:rFonts w:ascii="楷体" w:hAnsi="楷体" w:eastAsia="楷体"/>
          <w:color w:val="000000" w:themeColor="text1"/>
          <w:szCs w:val="28"/>
          <w:highlight w:val="none"/>
        </w:rPr>
        <w:t>1</w:t>
      </w:r>
      <w:r>
        <w:rPr>
          <w:rFonts w:hint="eastAsia" w:ascii="楷体" w:hAnsi="楷体" w:eastAsia="楷体"/>
          <w:color w:val="000000" w:themeColor="text1"/>
          <w:szCs w:val="28"/>
          <w:highlight w:val="none"/>
        </w:rPr>
        <w:t>、智能门锁生产厂家应为制造完毕并检验合格的智能门锁配送对应的产品印刷版说明书或电子版说明书，其内容应与智能门锁产品实际状态相适应。</w:t>
      </w:r>
    </w:p>
    <w:p>
      <w:pPr>
        <w:pageBreakBefore w:val="0"/>
        <w:kinsoku/>
        <w:wordWrap/>
        <w:overflowPunct/>
        <w:topLinePunct w:val="0"/>
        <w:bidi w:val="0"/>
        <w:spacing w:line="360" w:lineRule="auto"/>
        <w:ind w:firstLine="495"/>
        <w:jc w:val="both"/>
        <w:rPr>
          <w:rFonts w:eastAsiaTheme="minorEastAsia"/>
          <w:color w:val="000000" w:themeColor="text1"/>
          <w:szCs w:val="28"/>
          <w:highlight w:val="none"/>
        </w:rPr>
      </w:pPr>
      <w:r>
        <w:rPr>
          <w:rFonts w:hint="eastAsia" w:eastAsiaTheme="minorEastAsia"/>
          <w:color w:val="000000" w:themeColor="text1"/>
          <w:szCs w:val="28"/>
          <w:highlight w:val="none"/>
        </w:rPr>
        <w:t>此条款内容借鉴并修改了G</w:t>
      </w:r>
      <w:r>
        <w:rPr>
          <w:rFonts w:eastAsiaTheme="minorEastAsia"/>
          <w:color w:val="000000" w:themeColor="text1"/>
          <w:szCs w:val="28"/>
          <w:highlight w:val="none"/>
        </w:rPr>
        <w:t>B/T 9969-2008</w:t>
      </w:r>
      <w:r>
        <w:rPr>
          <w:rFonts w:hint="eastAsia" w:eastAsiaTheme="minorEastAsia"/>
          <w:color w:val="000000" w:themeColor="text1"/>
          <w:szCs w:val="28"/>
          <w:highlight w:val="none"/>
        </w:rPr>
        <w:t>中3</w:t>
      </w:r>
      <w:r>
        <w:rPr>
          <w:rFonts w:eastAsiaTheme="minorEastAsia"/>
          <w:color w:val="000000" w:themeColor="text1"/>
          <w:szCs w:val="28"/>
          <w:highlight w:val="none"/>
        </w:rPr>
        <w:t>.2</w:t>
      </w:r>
      <w:r>
        <w:rPr>
          <w:rFonts w:hint="eastAsia" w:eastAsiaTheme="minorEastAsia"/>
          <w:color w:val="000000" w:themeColor="text1"/>
          <w:szCs w:val="28"/>
          <w:highlight w:val="none"/>
        </w:rPr>
        <w:t>。</w:t>
      </w:r>
    </w:p>
    <w:p>
      <w:pPr>
        <w:pageBreakBefore w:val="0"/>
        <w:kinsoku/>
        <w:wordWrap/>
        <w:overflowPunct/>
        <w:topLinePunct w:val="0"/>
        <w:bidi w:val="0"/>
        <w:spacing w:line="360" w:lineRule="auto"/>
        <w:ind w:firstLine="495"/>
        <w:jc w:val="both"/>
        <w:rPr>
          <w:bCs/>
          <w:color w:val="000000" w:themeColor="text1"/>
          <w:highlight w:val="none"/>
        </w:rPr>
      </w:pPr>
      <w:r>
        <w:rPr>
          <w:rFonts w:hint="eastAsia"/>
          <w:bCs/>
          <w:color w:val="000000" w:themeColor="text1"/>
          <w:highlight w:val="none"/>
        </w:rPr>
        <w:t>《中华人民共和国消费者权益保护法》中明确禁止商品进行虚假宣传、欺诈行为，因此企业在编制产品使用说明书过程中，应按照产品实际情况进行介绍，不应有错误的、欺骗性的、不实的或引起误解的内容，避免给用户造成误解和损失。</w:t>
      </w:r>
    </w:p>
    <w:p>
      <w:pPr>
        <w:pageBreakBefore w:val="0"/>
        <w:kinsoku/>
        <w:wordWrap/>
        <w:overflowPunct/>
        <w:topLinePunct w:val="0"/>
        <w:bidi w:val="0"/>
        <w:spacing w:line="360" w:lineRule="auto"/>
        <w:ind w:firstLine="495"/>
        <w:jc w:val="both"/>
        <w:rPr>
          <w:bCs/>
          <w:color w:val="000000" w:themeColor="text1"/>
          <w:highlight w:val="none"/>
        </w:rPr>
      </w:pPr>
      <w:r>
        <w:rPr>
          <w:bCs/>
          <w:color w:val="000000" w:themeColor="text1"/>
          <w:highlight w:val="none"/>
        </w:rPr>
        <w:t>同时</w:t>
      </w:r>
      <w:r>
        <w:rPr>
          <w:rFonts w:hint="eastAsia"/>
          <w:bCs/>
          <w:color w:val="000000" w:themeColor="text1"/>
          <w:highlight w:val="none"/>
        </w:rPr>
        <w:t>，</w:t>
      </w:r>
      <w:r>
        <w:rPr>
          <w:bCs/>
          <w:color w:val="000000" w:themeColor="text1"/>
          <w:highlight w:val="none"/>
        </w:rPr>
        <w:t>说明书的使用对象是面向用户</w:t>
      </w:r>
      <w:r>
        <w:rPr>
          <w:rFonts w:hint="eastAsia"/>
          <w:bCs/>
          <w:color w:val="000000" w:themeColor="text1"/>
          <w:highlight w:val="none"/>
        </w:rPr>
        <w:t>，</w:t>
      </w:r>
      <w:r>
        <w:rPr>
          <w:bCs/>
          <w:color w:val="000000" w:themeColor="text1"/>
          <w:highlight w:val="none"/>
        </w:rPr>
        <w:t>说明书的内容设计和表述方面</w:t>
      </w:r>
      <w:r>
        <w:rPr>
          <w:rFonts w:hint="eastAsia"/>
          <w:bCs/>
          <w:color w:val="000000" w:themeColor="text1"/>
          <w:highlight w:val="none"/>
        </w:rPr>
        <w:t>，</w:t>
      </w:r>
      <w:r>
        <w:rPr>
          <w:bCs/>
          <w:color w:val="000000" w:themeColor="text1"/>
          <w:highlight w:val="none"/>
        </w:rPr>
        <w:t>应站在用户的角度考虑</w:t>
      </w:r>
      <w:r>
        <w:rPr>
          <w:rFonts w:hint="eastAsia"/>
          <w:bCs/>
          <w:color w:val="000000" w:themeColor="text1"/>
          <w:highlight w:val="none"/>
        </w:rPr>
        <w:t>，</w:t>
      </w:r>
      <w:r>
        <w:rPr>
          <w:bCs/>
          <w:color w:val="000000" w:themeColor="text1"/>
          <w:highlight w:val="none"/>
        </w:rPr>
        <w:t>充分考虑用户的专业知识储备</w:t>
      </w:r>
      <w:r>
        <w:rPr>
          <w:rFonts w:hint="eastAsia"/>
          <w:bCs/>
          <w:color w:val="000000" w:themeColor="text1"/>
          <w:highlight w:val="none"/>
        </w:rPr>
        <w:t>，</w:t>
      </w:r>
      <w:r>
        <w:rPr>
          <w:bCs/>
          <w:color w:val="000000" w:themeColor="text1"/>
          <w:highlight w:val="none"/>
        </w:rPr>
        <w:t>尽可能让用户短时间内准确理解产品的关键信息</w:t>
      </w:r>
      <w:r>
        <w:rPr>
          <w:rFonts w:hint="eastAsia"/>
          <w:bCs/>
          <w:color w:val="000000" w:themeColor="text1"/>
          <w:highlight w:val="none"/>
        </w:rPr>
        <w:t>，</w:t>
      </w:r>
      <w:r>
        <w:rPr>
          <w:bCs/>
          <w:color w:val="000000" w:themeColor="text1"/>
          <w:highlight w:val="none"/>
        </w:rPr>
        <w:t>因此在说明书的内容方面</w:t>
      </w:r>
      <w:r>
        <w:rPr>
          <w:rFonts w:hint="eastAsia"/>
          <w:bCs/>
          <w:color w:val="000000" w:themeColor="text1"/>
          <w:highlight w:val="none"/>
        </w:rPr>
        <w:t>，</w:t>
      </w:r>
      <w:r>
        <w:rPr>
          <w:bCs/>
          <w:color w:val="000000" w:themeColor="text1"/>
          <w:highlight w:val="none"/>
        </w:rPr>
        <w:t>应简明</w:t>
      </w:r>
      <w:r>
        <w:rPr>
          <w:rFonts w:hint="eastAsia"/>
          <w:bCs/>
          <w:color w:val="000000" w:themeColor="text1"/>
          <w:highlight w:val="none"/>
        </w:rPr>
        <w:t>、</w:t>
      </w:r>
      <w:r>
        <w:rPr>
          <w:bCs/>
          <w:color w:val="000000" w:themeColor="text1"/>
          <w:highlight w:val="none"/>
        </w:rPr>
        <w:t>准确</w:t>
      </w:r>
      <w:r>
        <w:rPr>
          <w:rFonts w:hint="eastAsia"/>
          <w:bCs/>
          <w:color w:val="000000" w:themeColor="text1"/>
          <w:highlight w:val="none"/>
        </w:rPr>
        <w:t>、</w:t>
      </w:r>
      <w:r>
        <w:rPr>
          <w:bCs/>
          <w:color w:val="000000" w:themeColor="text1"/>
          <w:highlight w:val="none"/>
        </w:rPr>
        <w:t>易于理解和阅读</w:t>
      </w:r>
      <w:r>
        <w:rPr>
          <w:rFonts w:hint="eastAsia"/>
          <w:bCs/>
          <w:color w:val="000000" w:themeColor="text1"/>
          <w:highlight w:val="none"/>
        </w:rPr>
        <w:t>。</w:t>
      </w:r>
    </w:p>
    <w:p>
      <w:pPr>
        <w:pageBreakBefore w:val="0"/>
        <w:kinsoku/>
        <w:wordWrap/>
        <w:overflowPunct/>
        <w:topLinePunct w:val="0"/>
        <w:bidi w:val="0"/>
        <w:spacing w:line="360" w:lineRule="auto"/>
        <w:ind w:firstLine="480"/>
        <w:jc w:val="both"/>
        <w:rPr>
          <w:rFonts w:hint="eastAsia" w:ascii="楷体" w:hAnsi="楷体" w:eastAsia="楷体"/>
          <w:color w:val="000000" w:themeColor="text1"/>
          <w:szCs w:val="28"/>
          <w:highlight w:val="none"/>
        </w:rPr>
      </w:pPr>
      <w:r>
        <w:rPr>
          <w:rFonts w:hint="eastAsia" w:ascii="楷体" w:hAnsi="楷体" w:eastAsia="楷体"/>
          <w:color w:val="000000" w:themeColor="text1"/>
          <w:szCs w:val="28"/>
          <w:highlight w:val="none"/>
        </w:rPr>
        <w:t>2、智能门锁生产厂家应采用印刷版或电子版的方式配发说明书。电子版说明书应是完整版说明书。根据包装、运输和使用的需要，说明书宜使用二维码/条形码等电子标签作为载体或采用下列方式：</w:t>
      </w:r>
    </w:p>
    <w:p>
      <w:pPr>
        <w:pageBreakBefore w:val="0"/>
        <w:kinsoku/>
        <w:wordWrap/>
        <w:overflowPunct/>
        <w:topLinePunct w:val="0"/>
        <w:bidi w:val="0"/>
        <w:spacing w:line="360" w:lineRule="auto"/>
        <w:ind w:firstLine="480"/>
        <w:jc w:val="both"/>
        <w:rPr>
          <w:rFonts w:hint="eastAsia" w:ascii="楷体" w:hAnsi="楷体" w:eastAsia="楷体"/>
          <w:color w:val="000000" w:themeColor="text1"/>
          <w:szCs w:val="28"/>
          <w:highlight w:val="none"/>
        </w:rPr>
      </w:pPr>
      <w:r>
        <w:rPr>
          <w:rFonts w:hint="eastAsia" w:ascii="楷体" w:hAnsi="楷体" w:eastAsia="楷体"/>
          <w:color w:val="000000" w:themeColor="text1"/>
          <w:szCs w:val="28"/>
          <w:highlight w:val="none"/>
        </w:rPr>
        <w:t>a） 印制或粘贴在包装上；</w:t>
      </w:r>
    </w:p>
    <w:p>
      <w:pPr>
        <w:pageBreakBefore w:val="0"/>
        <w:kinsoku/>
        <w:wordWrap/>
        <w:overflowPunct/>
        <w:topLinePunct w:val="0"/>
        <w:bidi w:val="0"/>
        <w:spacing w:line="360" w:lineRule="auto"/>
        <w:ind w:firstLine="480"/>
        <w:jc w:val="both"/>
        <w:rPr>
          <w:rFonts w:ascii="楷体" w:hAnsi="楷体" w:eastAsia="楷体"/>
          <w:color w:val="000000" w:themeColor="text1"/>
          <w:szCs w:val="28"/>
          <w:highlight w:val="none"/>
        </w:rPr>
      </w:pPr>
      <w:r>
        <w:rPr>
          <w:rFonts w:hint="eastAsia" w:ascii="楷体" w:hAnsi="楷体" w:eastAsia="楷体"/>
          <w:color w:val="000000" w:themeColor="text1"/>
          <w:szCs w:val="28"/>
          <w:highlight w:val="none"/>
        </w:rPr>
        <w:t>b） 随同产品提供的文件或资料中。</w:t>
      </w:r>
    </w:p>
    <w:p>
      <w:pPr>
        <w:pageBreakBefore w:val="0"/>
        <w:kinsoku/>
        <w:wordWrap/>
        <w:overflowPunct/>
        <w:topLinePunct w:val="0"/>
        <w:bidi w:val="0"/>
        <w:spacing w:line="360" w:lineRule="auto"/>
        <w:ind w:firstLine="495"/>
        <w:jc w:val="both"/>
        <w:rPr>
          <w:bCs/>
          <w:color w:val="000000" w:themeColor="text1"/>
          <w:highlight w:val="none"/>
        </w:rPr>
      </w:pPr>
      <w:r>
        <w:rPr>
          <w:rFonts w:hint="eastAsia"/>
          <w:bCs/>
          <w:color w:val="000000" w:themeColor="text1"/>
          <w:highlight w:val="none"/>
        </w:rPr>
        <w:t>本条款明确说明书的载体。</w:t>
      </w:r>
      <w:r>
        <w:rPr>
          <w:rFonts w:hint="eastAsia"/>
          <w:bCs/>
          <w:color w:val="000000" w:themeColor="text1"/>
          <w:highlight w:val="none"/>
          <w:lang w:val="en-US" w:eastAsia="zh-CN"/>
        </w:rPr>
        <w:t>智能门锁</w:t>
      </w:r>
      <w:r>
        <w:rPr>
          <w:bCs/>
          <w:color w:val="000000" w:themeColor="text1"/>
          <w:highlight w:val="none"/>
        </w:rPr>
        <w:t>产品</w:t>
      </w:r>
      <w:r>
        <w:rPr>
          <w:rFonts w:hint="eastAsia"/>
          <w:bCs/>
          <w:color w:val="000000" w:themeColor="text1"/>
          <w:highlight w:val="none"/>
        </w:rPr>
        <w:t>包装很难或不能全面容纳</w:t>
      </w:r>
      <w:r>
        <w:rPr>
          <w:bCs/>
          <w:color w:val="000000" w:themeColor="text1"/>
          <w:highlight w:val="none"/>
        </w:rPr>
        <w:t>使用说明书</w:t>
      </w:r>
      <w:r>
        <w:rPr>
          <w:rFonts w:hint="eastAsia"/>
          <w:bCs/>
          <w:color w:val="000000" w:themeColor="text1"/>
          <w:highlight w:val="none"/>
        </w:rPr>
        <w:t>的内容</w:t>
      </w:r>
      <w:r>
        <w:rPr>
          <w:bCs/>
          <w:color w:val="000000" w:themeColor="text1"/>
          <w:highlight w:val="none"/>
        </w:rPr>
        <w:t>，如</w:t>
      </w:r>
      <w:r>
        <w:rPr>
          <w:rFonts w:hint="eastAsia"/>
          <w:bCs/>
          <w:color w:val="000000" w:themeColor="text1"/>
          <w:highlight w:val="none"/>
          <w:lang w:val="en-US" w:eastAsia="zh-CN"/>
        </w:rPr>
        <w:t>安装视频、图解</w:t>
      </w:r>
      <w:r>
        <w:rPr>
          <w:rFonts w:hint="eastAsia"/>
          <w:bCs/>
          <w:color w:val="000000" w:themeColor="text1"/>
          <w:highlight w:val="none"/>
        </w:rPr>
        <w:t>等</w:t>
      </w:r>
      <w:r>
        <w:rPr>
          <w:rFonts w:hint="eastAsia"/>
          <w:bCs/>
          <w:color w:val="000000" w:themeColor="text1"/>
          <w:highlight w:val="none"/>
          <w:lang w:val="en-US" w:eastAsia="zh-CN"/>
        </w:rPr>
        <w:t>无法纸质化，</w:t>
      </w:r>
      <w:r>
        <w:rPr>
          <w:bCs/>
          <w:color w:val="000000" w:themeColor="text1"/>
          <w:highlight w:val="none"/>
        </w:rPr>
        <w:t>为了方便用户使用，</w:t>
      </w:r>
      <w:r>
        <w:rPr>
          <w:rFonts w:hint="eastAsia"/>
          <w:bCs/>
          <w:color w:val="000000" w:themeColor="text1"/>
          <w:highlight w:val="none"/>
          <w:lang w:val="en-US" w:eastAsia="zh-CN"/>
        </w:rPr>
        <w:t>可</w:t>
      </w:r>
      <w:r>
        <w:rPr>
          <w:rFonts w:hint="eastAsia"/>
          <w:bCs/>
          <w:color w:val="000000" w:themeColor="text1"/>
          <w:highlight w:val="none"/>
        </w:rPr>
        <w:t>利用编码</w:t>
      </w:r>
      <w:r>
        <w:rPr>
          <w:bCs/>
          <w:color w:val="000000" w:themeColor="text1"/>
          <w:highlight w:val="none"/>
        </w:rPr>
        <w:t>技术提前录入</w:t>
      </w:r>
      <w:r>
        <w:rPr>
          <w:rFonts w:hint="eastAsia"/>
          <w:bCs/>
          <w:color w:val="000000" w:themeColor="text1"/>
          <w:highlight w:val="none"/>
        </w:rPr>
        <w:t>电子版</w:t>
      </w:r>
      <w:r>
        <w:rPr>
          <w:bCs/>
          <w:color w:val="000000" w:themeColor="text1"/>
          <w:highlight w:val="none"/>
        </w:rPr>
        <w:t>使用说明书</w:t>
      </w:r>
      <w:r>
        <w:rPr>
          <w:rFonts w:hint="eastAsia"/>
          <w:bCs/>
          <w:color w:val="000000" w:themeColor="text1"/>
          <w:highlight w:val="none"/>
        </w:rPr>
        <w:t>，并录入</w:t>
      </w:r>
      <w:r>
        <w:rPr>
          <w:bCs/>
          <w:color w:val="000000" w:themeColor="text1"/>
          <w:highlight w:val="none"/>
        </w:rPr>
        <w:t>到产品包装上</w:t>
      </w:r>
      <w:r>
        <w:rPr>
          <w:rFonts w:hint="eastAsia"/>
          <w:bCs/>
          <w:color w:val="000000" w:themeColor="text1"/>
          <w:highlight w:val="none"/>
        </w:rPr>
        <w:t>。</w:t>
      </w:r>
    </w:p>
    <w:p>
      <w:pPr>
        <w:pageBreakBefore w:val="0"/>
        <w:numPr>
          <w:ilvl w:val="0"/>
          <w:numId w:val="7"/>
        </w:numPr>
        <w:kinsoku/>
        <w:wordWrap/>
        <w:overflowPunct/>
        <w:topLinePunct w:val="0"/>
        <w:bidi w:val="0"/>
        <w:spacing w:line="360" w:lineRule="auto"/>
        <w:ind w:firstLine="480"/>
        <w:jc w:val="both"/>
      </w:pPr>
      <w:r>
        <w:rPr>
          <w:rFonts w:hint="eastAsia" w:ascii="楷体" w:hAnsi="楷体" w:eastAsia="楷体"/>
          <w:color w:val="000000" w:themeColor="text1"/>
          <w:szCs w:val="28"/>
          <w:highlight w:val="none"/>
          <w:lang w:val="en-US" w:eastAsia="zh-CN"/>
        </w:rPr>
        <w:t>说明书应</w:t>
      </w:r>
      <w:r>
        <w:rPr>
          <w:rFonts w:hint="eastAsia" w:ascii="楷体" w:hAnsi="楷体" w:eastAsia="楷体"/>
          <w:color w:val="000000" w:themeColor="text1"/>
          <w:szCs w:val="28"/>
          <w:highlight w:val="none"/>
          <w:lang w:eastAsia="zh-CN"/>
        </w:rPr>
        <w:t>注明智能门锁生产厂家名称、官方网站的网址及联系方式，以及说明书的出版日期、版本号等内容；注明智能门锁生产厂家合理的责任声明、法律声明及使用说明，但不应用来掩盖产品缺陷</w:t>
      </w:r>
      <w:r>
        <w:rPr>
          <w:rFonts w:hint="eastAsia" w:ascii="Times New Roman" w:hAnsi="Times New Roman" w:cs="Times New Roman"/>
          <w:kern w:val="2"/>
          <w:sz w:val="21"/>
          <w:lang w:eastAsia="zh-CN"/>
        </w:rPr>
        <w:t>。</w:t>
      </w:r>
    </w:p>
    <w:p>
      <w:pPr>
        <w:pageBreakBefore w:val="0"/>
        <w:numPr>
          <w:ilvl w:val="0"/>
          <w:numId w:val="0"/>
        </w:numPr>
        <w:kinsoku/>
        <w:wordWrap/>
        <w:overflowPunct/>
        <w:topLinePunct w:val="0"/>
        <w:bidi w:val="0"/>
        <w:spacing w:line="360" w:lineRule="auto"/>
        <w:ind w:firstLine="480" w:firstLineChars="200"/>
        <w:jc w:val="both"/>
        <w:rPr>
          <w:rFonts w:hint="default" w:eastAsiaTheme="minorEastAsia"/>
          <w:lang w:val="en-US" w:eastAsia="zh-CN"/>
        </w:rPr>
      </w:pPr>
      <w:r>
        <w:rPr>
          <w:rFonts w:hint="eastAsia" w:eastAsiaTheme="minorEastAsia"/>
          <w:color w:val="000000" w:themeColor="text1"/>
          <w:szCs w:val="28"/>
          <w:highlight w:val="none"/>
        </w:rPr>
        <w:t>本条款</w:t>
      </w:r>
      <w:r>
        <w:rPr>
          <w:rFonts w:hint="eastAsia" w:eastAsiaTheme="minorEastAsia"/>
          <w:color w:val="000000" w:themeColor="text1"/>
          <w:szCs w:val="28"/>
          <w:highlight w:val="none"/>
          <w:lang w:val="en-US" w:eastAsia="zh-CN"/>
        </w:rPr>
        <w:t>借鉴</w:t>
      </w:r>
      <w:r>
        <w:rPr>
          <w:rFonts w:hint="eastAsia" w:asciiTheme="minorEastAsia" w:hAnsiTheme="minorEastAsia" w:eastAsiaTheme="minorEastAsia"/>
          <w:color w:val="000000" w:themeColor="text1"/>
        </w:rPr>
        <w:t>《产品质量法》第二十七条</w:t>
      </w:r>
      <w:r>
        <w:rPr>
          <w:rFonts w:hint="eastAsia" w:asciiTheme="minorEastAsia" w:hAnsiTheme="minorEastAsia" w:eastAsiaTheme="minorEastAsia"/>
          <w:color w:val="000000" w:themeColor="text1"/>
          <w:lang w:val="en-US" w:eastAsia="zh-CN"/>
        </w:rPr>
        <w:t>规定</w:t>
      </w:r>
      <w:r>
        <w:rPr>
          <w:rFonts w:asciiTheme="minorEastAsia" w:hAnsiTheme="minorEastAsia" w:eastAsiaTheme="minorEastAsia"/>
          <w:color w:val="000000" w:themeColor="text1"/>
        </w:rPr>
        <w:t>产品或者其包装上的标识必须真实</w:t>
      </w:r>
      <w:r>
        <w:rPr>
          <w:rFonts w:hint="eastAsia" w:asciiTheme="minorEastAsia" w:hAnsiTheme="minorEastAsia" w:eastAsiaTheme="minorEastAsia"/>
          <w:color w:val="000000" w:themeColor="text1"/>
          <w:lang w:eastAsia="zh-CN"/>
        </w:rPr>
        <w:t>，</w:t>
      </w:r>
      <w:r>
        <w:rPr>
          <w:rFonts w:hint="eastAsia" w:asciiTheme="minorEastAsia" w:hAnsiTheme="minorEastAsia" w:eastAsiaTheme="minorEastAsia"/>
          <w:color w:val="000000" w:themeColor="text1"/>
          <w:lang w:val="en-US" w:eastAsia="zh-CN"/>
        </w:rPr>
        <w:t>并</w:t>
      </w:r>
      <w:r>
        <w:rPr>
          <w:rFonts w:asciiTheme="minorEastAsia" w:hAnsiTheme="minorEastAsia" w:eastAsiaTheme="minorEastAsia"/>
          <w:color w:val="000000" w:themeColor="text1"/>
        </w:rPr>
        <w:t>有</w:t>
      </w:r>
      <w:r>
        <w:rPr>
          <w:rFonts w:hint="eastAsia" w:asciiTheme="minorEastAsia" w:hAnsiTheme="minorEastAsia" w:eastAsiaTheme="minorEastAsia"/>
          <w:color w:val="000000" w:themeColor="text1"/>
        </w:rPr>
        <w:t>中文标明的产品名称、生产厂厂名和厂址</w:t>
      </w:r>
      <w:r>
        <w:rPr>
          <w:rFonts w:hint="eastAsia" w:asciiTheme="minorEastAsia" w:hAnsiTheme="minorEastAsia" w:eastAsiaTheme="minorEastAsia"/>
          <w:color w:val="000000" w:themeColor="text1"/>
          <w:lang w:eastAsia="zh-CN"/>
        </w:rPr>
        <w:t>，</w:t>
      </w:r>
      <w:r>
        <w:rPr>
          <w:rFonts w:hint="eastAsia" w:asciiTheme="minorEastAsia" w:hAnsiTheme="minorEastAsia" w:eastAsiaTheme="minorEastAsia"/>
          <w:color w:val="000000" w:themeColor="text1"/>
          <w:lang w:val="en-US" w:eastAsia="zh-CN"/>
        </w:rPr>
        <w:t>并</w:t>
      </w:r>
      <w:r>
        <w:rPr>
          <w:rFonts w:hint="eastAsia" w:eastAsiaTheme="minorEastAsia"/>
          <w:color w:val="000000" w:themeColor="text1"/>
          <w:szCs w:val="28"/>
          <w:highlight w:val="none"/>
          <w:lang w:val="en-US" w:eastAsia="zh-CN"/>
        </w:rPr>
        <w:t>通过对大量智能门锁及机械类产品说明书进行总结</w:t>
      </w:r>
      <w:r>
        <w:rPr>
          <w:rFonts w:hint="eastAsia" w:asciiTheme="minorEastAsia" w:hAnsiTheme="minorEastAsia" w:eastAsiaTheme="minorEastAsia"/>
          <w:color w:val="000000" w:themeColor="text1"/>
          <w:lang w:val="en-US" w:eastAsia="zh-CN"/>
        </w:rPr>
        <w:t>规定本条款。</w:t>
      </w:r>
    </w:p>
    <w:p>
      <w:pPr>
        <w:pageBreakBefore w:val="0"/>
        <w:numPr>
          <w:ilvl w:val="0"/>
          <w:numId w:val="7"/>
        </w:numPr>
        <w:kinsoku/>
        <w:wordWrap/>
        <w:overflowPunct/>
        <w:topLinePunct w:val="0"/>
        <w:bidi w:val="0"/>
        <w:spacing w:line="360" w:lineRule="auto"/>
        <w:ind w:left="0" w:leftChars="0" w:firstLine="480" w:firstLineChars="0"/>
        <w:jc w:val="both"/>
        <w:rPr>
          <w:rFonts w:hint="eastAsia" w:ascii="楷体" w:hAnsi="楷体" w:eastAsia="楷体"/>
          <w:color w:val="000000" w:themeColor="text1"/>
          <w:szCs w:val="28"/>
          <w:highlight w:val="none"/>
          <w:lang w:val="en-US" w:eastAsia="zh-CN"/>
        </w:rPr>
      </w:pPr>
      <w:r>
        <w:rPr>
          <w:rFonts w:hint="eastAsia" w:ascii="楷体" w:hAnsi="楷体" w:eastAsia="楷体"/>
          <w:color w:val="000000" w:themeColor="text1"/>
          <w:szCs w:val="28"/>
          <w:highlight w:val="none"/>
          <w:lang w:val="en-US" w:eastAsia="zh-CN"/>
        </w:rPr>
        <w:t>说明书应明确给出智能门锁产品用途和适用范围，给出主要结构、性能、型号、规格和正确安装、使用、操作、维修、保养和贮存等方法，以及保护操作者和产品的安全措施。</w:t>
      </w:r>
    </w:p>
    <w:p>
      <w:pPr>
        <w:pageBreakBefore w:val="0"/>
        <w:numPr>
          <w:ilvl w:val="0"/>
          <w:numId w:val="0"/>
        </w:numPr>
        <w:kinsoku/>
        <w:wordWrap/>
        <w:overflowPunct/>
        <w:topLinePunct w:val="0"/>
        <w:bidi w:val="0"/>
        <w:spacing w:line="360" w:lineRule="auto"/>
        <w:ind w:firstLine="480" w:firstLineChars="200"/>
        <w:jc w:val="both"/>
        <w:rPr>
          <w:rFonts w:hint="default"/>
          <w:color w:val="000000" w:themeColor="text1"/>
          <w:szCs w:val="28"/>
          <w:highlight w:val="none"/>
          <w:lang w:val="en-US" w:eastAsia="zh-CN"/>
        </w:rPr>
      </w:pPr>
      <w:r>
        <w:rPr>
          <w:rFonts w:hint="eastAsia"/>
          <w:color w:val="000000" w:themeColor="text1"/>
          <w:szCs w:val="28"/>
          <w:highlight w:val="none"/>
          <w:lang w:val="en-US" w:eastAsia="zh-CN"/>
        </w:rPr>
        <w:t>本条款借鉴</w:t>
      </w:r>
      <w:r>
        <w:rPr>
          <w:rFonts w:hint="eastAsia"/>
          <w:color w:val="000000" w:themeColor="text1"/>
          <w:szCs w:val="28"/>
          <w:highlight w:val="none"/>
        </w:rPr>
        <w:t>《工业产品质量责任条例》第九条</w:t>
      </w:r>
      <w:r>
        <w:rPr>
          <w:rFonts w:hint="eastAsia"/>
          <w:color w:val="000000" w:themeColor="text1"/>
          <w:szCs w:val="28"/>
          <w:highlight w:val="none"/>
          <w:lang w:val="en-US" w:eastAsia="zh-CN"/>
        </w:rPr>
        <w:t>中</w:t>
      </w:r>
      <w:r>
        <w:rPr>
          <w:rFonts w:hint="eastAsia"/>
          <w:color w:val="000000" w:themeColor="text1"/>
          <w:szCs w:val="28"/>
          <w:highlight w:val="none"/>
        </w:rPr>
        <w:t>产品出厂必须符合</w:t>
      </w:r>
      <w:r>
        <w:rPr>
          <w:rFonts w:hint="eastAsia"/>
          <w:color w:val="000000" w:themeColor="text1"/>
          <w:szCs w:val="28"/>
          <w:highlight w:val="none"/>
          <w:lang w:val="en-US" w:eastAsia="zh-CN"/>
        </w:rPr>
        <w:t>的要求，智能门锁属于</w:t>
      </w:r>
      <w:r>
        <w:rPr>
          <w:rFonts w:hint="eastAsia"/>
          <w:color w:val="000000" w:themeColor="text1"/>
          <w:szCs w:val="28"/>
          <w:highlight w:val="none"/>
        </w:rPr>
        <w:t>机器、设备、装置、仪表以及耐用消费品</w:t>
      </w:r>
      <w:r>
        <w:rPr>
          <w:rFonts w:hint="eastAsia"/>
          <w:color w:val="000000" w:themeColor="text1"/>
          <w:szCs w:val="28"/>
          <w:highlight w:val="none"/>
          <w:lang w:eastAsia="zh-CN"/>
        </w:rPr>
        <w:t>，</w:t>
      </w:r>
      <w:r>
        <w:rPr>
          <w:rFonts w:hint="eastAsia"/>
          <w:color w:val="000000" w:themeColor="text1"/>
          <w:szCs w:val="28"/>
          <w:highlight w:val="none"/>
          <w:lang w:val="en-US" w:eastAsia="zh-CN"/>
        </w:rPr>
        <w:t>应有详细的产品使用说明书</w:t>
      </w:r>
      <w:r>
        <w:rPr>
          <w:rFonts w:hint="eastAsia"/>
          <w:color w:val="000000" w:themeColor="text1"/>
          <w:szCs w:val="28"/>
          <w:highlight w:val="none"/>
        </w:rPr>
        <w:t>内容包括：产品的技术经济参数、使用寿命、使用范围、保证期限、安装方法、维修方法和保存条件、技术保养检修期以及其它有关产品设计参数的有效数据。</w:t>
      </w:r>
      <w:r>
        <w:rPr>
          <w:rFonts w:hint="eastAsia"/>
          <w:color w:val="000000" w:themeColor="text1"/>
          <w:szCs w:val="28"/>
          <w:highlight w:val="none"/>
          <w:lang w:val="en-US" w:eastAsia="zh-CN"/>
        </w:rPr>
        <w:t>本条款根据智能门锁产品的特性进行了修改。</w:t>
      </w:r>
    </w:p>
    <w:p>
      <w:pPr>
        <w:pageBreakBefore w:val="0"/>
        <w:numPr>
          <w:ilvl w:val="0"/>
          <w:numId w:val="8"/>
        </w:numPr>
        <w:kinsoku/>
        <w:wordWrap/>
        <w:overflowPunct/>
        <w:topLinePunct w:val="0"/>
        <w:bidi w:val="0"/>
        <w:spacing w:line="360" w:lineRule="auto"/>
        <w:ind w:left="0" w:leftChars="0" w:firstLine="480" w:firstLineChars="0"/>
        <w:jc w:val="both"/>
        <w:rPr>
          <w:rFonts w:hint="eastAsia" w:ascii="楷体" w:hAnsi="楷体" w:eastAsia="楷体"/>
          <w:color w:val="000000" w:themeColor="text1"/>
          <w:szCs w:val="28"/>
          <w:highlight w:val="none"/>
        </w:rPr>
      </w:pPr>
      <w:r>
        <w:rPr>
          <w:rFonts w:hint="eastAsia" w:ascii="楷体" w:hAnsi="楷体" w:eastAsia="楷体"/>
          <w:color w:val="000000" w:themeColor="text1"/>
          <w:szCs w:val="28"/>
          <w:highlight w:val="none"/>
        </w:rPr>
        <w:t>说明书中应显著标出安全说明或警示说明，并应提供注意事项、防护措施和发生意外时紧急处理办法等内容</w:t>
      </w:r>
    </w:p>
    <w:p>
      <w:pPr>
        <w:pageBreakBefore w:val="0"/>
        <w:kinsoku/>
        <w:wordWrap/>
        <w:overflowPunct/>
        <w:topLinePunct w:val="0"/>
        <w:bidi w:val="0"/>
        <w:spacing w:line="360" w:lineRule="auto"/>
        <w:ind w:firstLine="495"/>
        <w:jc w:val="both"/>
        <w:rPr>
          <w:rFonts w:hint="eastAsia"/>
        </w:rPr>
      </w:pPr>
      <w:r>
        <w:rPr>
          <w:bCs/>
          <w:color w:val="000000" w:themeColor="text1"/>
        </w:rPr>
        <w:t>本条在GB/T 9969-2008的第3.5的基础上</w:t>
      </w:r>
      <w:r>
        <w:rPr>
          <w:rFonts w:hint="eastAsia"/>
          <w:bCs/>
          <w:color w:val="000000" w:themeColor="text1"/>
        </w:rPr>
        <w:t>结合</w:t>
      </w:r>
      <w:r>
        <w:rPr>
          <w:rFonts w:hint="eastAsia"/>
          <w:bCs/>
          <w:color w:val="000000" w:themeColor="text1"/>
          <w:lang w:val="en-US" w:eastAsia="zh-CN"/>
        </w:rPr>
        <w:t>智能门锁</w:t>
      </w:r>
      <w:r>
        <w:rPr>
          <w:rFonts w:hint="eastAsia"/>
          <w:bCs/>
          <w:color w:val="000000" w:themeColor="text1"/>
        </w:rPr>
        <w:t>行业实际进行了内容修改</w:t>
      </w:r>
      <w:r>
        <w:rPr>
          <w:rFonts w:hint="eastAsia"/>
          <w:bCs/>
          <w:color w:val="000000" w:themeColor="text1"/>
          <w:lang w:eastAsia="zh-CN"/>
        </w:rPr>
        <w:t>。</w:t>
      </w:r>
      <w:r>
        <w:rPr>
          <w:rFonts w:hint="eastAsia"/>
          <w:bCs/>
          <w:color w:val="000000" w:themeColor="text1"/>
        </w:rPr>
        <w:t>本条与</w:t>
      </w:r>
      <w:r>
        <w:rPr>
          <w:bCs/>
          <w:color w:val="000000" w:themeColor="text1"/>
        </w:rPr>
        <w:t>人</w:t>
      </w:r>
      <w:r>
        <w:rPr>
          <w:rFonts w:hint="eastAsia"/>
          <w:bCs/>
          <w:color w:val="000000" w:themeColor="text1"/>
        </w:rPr>
        <w:t>身</w:t>
      </w:r>
      <w:r>
        <w:rPr>
          <w:bCs/>
          <w:color w:val="000000" w:themeColor="text1"/>
        </w:rPr>
        <w:t>健康、生命财产安全有关，</w:t>
      </w:r>
      <w:r>
        <w:rPr>
          <w:rFonts w:hint="eastAsia"/>
          <w:bCs/>
          <w:color w:val="000000" w:themeColor="text1"/>
        </w:rPr>
        <w:t>需要在</w:t>
      </w:r>
      <w:r>
        <w:rPr>
          <w:bCs/>
          <w:color w:val="000000" w:themeColor="text1"/>
        </w:rPr>
        <w:t>使用说明书</w:t>
      </w:r>
      <w:r>
        <w:rPr>
          <w:rFonts w:hint="eastAsia"/>
          <w:bCs/>
          <w:color w:val="000000" w:themeColor="text1"/>
        </w:rPr>
        <w:t>中</w:t>
      </w:r>
      <w:r>
        <w:rPr>
          <w:bCs/>
          <w:color w:val="000000" w:themeColor="text1"/>
        </w:rPr>
        <w:t>明确</w:t>
      </w:r>
      <w:r>
        <w:rPr>
          <w:rFonts w:hint="eastAsia"/>
          <w:bCs/>
          <w:color w:val="000000" w:themeColor="text1"/>
        </w:rPr>
        <w:t>注意事项、防护措施和发生意外时紧急处理办法等内容。</w:t>
      </w:r>
    </w:p>
    <w:p>
      <w:pPr>
        <w:pageBreakBefore w:val="0"/>
        <w:numPr>
          <w:ilvl w:val="0"/>
          <w:numId w:val="8"/>
        </w:numPr>
        <w:kinsoku/>
        <w:wordWrap/>
        <w:overflowPunct/>
        <w:topLinePunct w:val="0"/>
        <w:bidi w:val="0"/>
        <w:spacing w:line="360" w:lineRule="auto"/>
        <w:ind w:left="0" w:leftChars="0" w:firstLine="480" w:firstLineChars="0"/>
        <w:jc w:val="both"/>
        <w:rPr>
          <w:rFonts w:hint="default" w:ascii="宋体" w:hAnsi="宋体" w:eastAsia="宋体" w:cs="宋体"/>
          <w:b w:val="0"/>
          <w:bCs/>
          <w:color w:val="000000" w:themeColor="text1"/>
          <w:kern w:val="0"/>
          <w:sz w:val="24"/>
          <w:szCs w:val="24"/>
          <w:lang w:val="en-US" w:eastAsia="zh-CN" w:bidi="ar-SA"/>
        </w:rPr>
      </w:pPr>
      <w:r>
        <w:rPr>
          <w:rFonts w:hint="eastAsia" w:ascii="楷体" w:hAnsi="楷体" w:eastAsia="楷体"/>
          <w:color w:val="000000" w:themeColor="text1"/>
          <w:szCs w:val="28"/>
          <w:highlight w:val="none"/>
          <w:lang w:eastAsia="zh-CN"/>
        </w:rPr>
        <w:t>对于智能门锁使用过程中涉及隐私，应给出声明并说明相关风险。</w:t>
      </w:r>
    </w:p>
    <w:p>
      <w:pPr>
        <w:pageBreakBefore w:val="0"/>
        <w:numPr>
          <w:ilvl w:val="0"/>
          <w:numId w:val="0"/>
        </w:numPr>
        <w:kinsoku/>
        <w:wordWrap/>
        <w:overflowPunct/>
        <w:topLinePunct w:val="0"/>
        <w:bidi w:val="0"/>
        <w:spacing w:line="360" w:lineRule="auto"/>
        <w:ind w:left="480" w:leftChars="0"/>
        <w:jc w:val="both"/>
        <w:rPr>
          <w:rFonts w:hint="default" w:ascii="宋体" w:hAnsi="宋体" w:eastAsia="宋体" w:cs="宋体"/>
          <w:b w:val="0"/>
          <w:bCs/>
          <w:color w:val="000000" w:themeColor="text1"/>
          <w:kern w:val="0"/>
          <w:sz w:val="24"/>
          <w:szCs w:val="24"/>
          <w:lang w:val="en-US" w:eastAsia="zh-CN" w:bidi="ar-SA"/>
        </w:rPr>
      </w:pPr>
      <w:r>
        <w:rPr>
          <w:rFonts w:hint="eastAsia" w:ascii="宋体" w:hAnsi="宋体" w:eastAsia="宋体" w:cs="宋体"/>
          <w:b w:val="0"/>
          <w:bCs/>
          <w:color w:val="000000" w:themeColor="text1"/>
          <w:kern w:val="0"/>
          <w:sz w:val="24"/>
          <w:szCs w:val="24"/>
          <w:lang w:val="en-US" w:eastAsia="zh-CN" w:bidi="ar-SA"/>
        </w:rPr>
        <w:t>本条款通过</w:t>
      </w:r>
      <w:r>
        <w:rPr>
          <w:rFonts w:hint="eastAsia" w:cs="宋体"/>
          <w:b w:val="0"/>
          <w:bCs/>
          <w:color w:val="000000" w:themeColor="text1"/>
          <w:kern w:val="0"/>
          <w:sz w:val="24"/>
          <w:szCs w:val="24"/>
          <w:lang w:val="en-US" w:eastAsia="zh-CN" w:bidi="ar-SA"/>
        </w:rPr>
        <w:t>征询各方意见，智能门锁产品属于存在隐私风险的特殊产品，需给出声明。</w:t>
      </w:r>
    </w:p>
    <w:p>
      <w:pPr>
        <w:pageBreakBefore w:val="0"/>
        <w:numPr>
          <w:ilvl w:val="0"/>
          <w:numId w:val="0"/>
        </w:numPr>
        <w:kinsoku/>
        <w:wordWrap/>
        <w:overflowPunct/>
        <w:topLinePunct w:val="0"/>
        <w:bidi w:val="0"/>
        <w:spacing w:line="360" w:lineRule="auto"/>
        <w:ind w:left="480" w:leftChars="0"/>
        <w:jc w:val="both"/>
        <w:rPr>
          <w:rFonts w:ascii="楷体" w:hAnsi="楷体" w:eastAsia="楷体"/>
          <w:color w:val="000000" w:themeColor="text1"/>
          <w:szCs w:val="28"/>
          <w:highlight w:val="none"/>
        </w:rPr>
      </w:pPr>
      <w:r>
        <w:rPr>
          <w:rFonts w:hint="eastAsia" w:ascii="楷体" w:hAnsi="楷体" w:eastAsia="楷体"/>
          <w:color w:val="000000" w:themeColor="text1"/>
          <w:szCs w:val="28"/>
          <w:highlight w:val="none"/>
          <w:lang w:val="en-US" w:eastAsia="zh-CN"/>
        </w:rPr>
        <w:t>7</w:t>
      </w:r>
      <w:r>
        <w:rPr>
          <w:rFonts w:hint="eastAsia" w:ascii="楷体" w:hAnsi="楷体" w:eastAsia="楷体"/>
          <w:color w:val="000000" w:themeColor="text1"/>
          <w:szCs w:val="28"/>
          <w:highlight w:val="none"/>
        </w:rPr>
        <w:t>、</w:t>
      </w:r>
      <w:r>
        <w:rPr>
          <w:rFonts w:ascii="楷体" w:hAnsi="楷体" w:eastAsia="楷体"/>
          <w:color w:val="000000" w:themeColor="text1"/>
          <w:szCs w:val="28"/>
          <w:highlight w:val="none"/>
        </w:rPr>
        <w:t>说明书应尽可能设想用户可能遇到的问题，并提供预防和解决的办法</w:t>
      </w:r>
      <w:r>
        <w:rPr>
          <w:rFonts w:hint="eastAsia" w:ascii="楷体" w:hAnsi="楷体" w:eastAsia="楷体"/>
          <w:color w:val="000000" w:themeColor="text1"/>
          <w:szCs w:val="28"/>
          <w:highlight w:val="none"/>
        </w:rPr>
        <w:t>。</w:t>
      </w:r>
    </w:p>
    <w:p>
      <w:pPr>
        <w:pageBreakBefore w:val="0"/>
        <w:kinsoku/>
        <w:wordWrap/>
        <w:overflowPunct/>
        <w:topLinePunct w:val="0"/>
        <w:bidi w:val="0"/>
        <w:spacing w:line="360" w:lineRule="auto"/>
        <w:ind w:firstLine="480"/>
        <w:jc w:val="both"/>
        <w:rPr>
          <w:bCs/>
          <w:color w:val="000000" w:themeColor="text1"/>
          <w:highlight w:val="none"/>
        </w:rPr>
      </w:pPr>
      <w:r>
        <w:rPr>
          <w:rFonts w:hint="eastAsia"/>
          <w:color w:val="000000" w:themeColor="text1"/>
          <w:szCs w:val="28"/>
          <w:highlight w:val="none"/>
        </w:rPr>
        <w:t>产品说明书的目的就是帮助用户更好的使用产品。</w:t>
      </w:r>
      <w:r>
        <w:rPr>
          <w:rFonts w:hint="eastAsia"/>
          <w:bCs/>
          <w:color w:val="000000" w:themeColor="text1"/>
          <w:highlight w:val="none"/>
        </w:rPr>
        <w:t>为了使用户更好的了解和使用</w:t>
      </w:r>
      <w:r>
        <w:rPr>
          <w:rFonts w:hint="eastAsia"/>
          <w:bCs/>
          <w:color w:val="000000" w:themeColor="text1"/>
          <w:highlight w:val="none"/>
          <w:lang w:val="en-US" w:eastAsia="zh-CN"/>
        </w:rPr>
        <w:t>智能门锁</w:t>
      </w:r>
      <w:r>
        <w:rPr>
          <w:rFonts w:hint="eastAsia"/>
          <w:bCs/>
          <w:color w:val="000000" w:themeColor="text1"/>
          <w:highlight w:val="none"/>
        </w:rPr>
        <w:t>产品，企业在使用说明书中应充分考虑用户的需求和可能遇到的任何问题，并给予详细说明。</w:t>
      </w:r>
    </w:p>
    <w:p>
      <w:pPr>
        <w:pageBreakBefore w:val="0"/>
        <w:kinsoku/>
        <w:wordWrap/>
        <w:overflowPunct/>
        <w:topLinePunct w:val="0"/>
        <w:bidi w:val="0"/>
        <w:spacing w:line="360" w:lineRule="auto"/>
        <w:ind w:firstLine="480"/>
        <w:jc w:val="both"/>
        <w:rPr>
          <w:rFonts w:ascii="楷体" w:hAnsi="楷体" w:eastAsia="楷体"/>
          <w:color w:val="000000" w:themeColor="text1"/>
          <w:szCs w:val="28"/>
          <w:highlight w:val="none"/>
        </w:rPr>
      </w:pPr>
      <w:r>
        <w:rPr>
          <w:rFonts w:hint="eastAsia" w:ascii="楷体" w:hAnsi="楷体" w:eastAsia="楷体"/>
          <w:color w:val="000000" w:themeColor="text1"/>
          <w:szCs w:val="28"/>
          <w:highlight w:val="none"/>
          <w:lang w:val="en-US" w:eastAsia="zh-CN"/>
        </w:rPr>
        <w:t>8</w:t>
      </w:r>
      <w:r>
        <w:rPr>
          <w:rFonts w:hint="eastAsia" w:ascii="楷体" w:hAnsi="楷体" w:eastAsia="楷体"/>
          <w:color w:val="000000" w:themeColor="text1"/>
          <w:szCs w:val="28"/>
          <w:highlight w:val="none"/>
        </w:rPr>
        <w:t>、说明书中的相关信息应与该产品的其他公开资料，如产品广告或外包装等内容保持一致。</w:t>
      </w:r>
    </w:p>
    <w:p>
      <w:pPr>
        <w:pageBreakBefore w:val="0"/>
        <w:kinsoku/>
        <w:wordWrap/>
        <w:overflowPunct/>
        <w:topLinePunct w:val="0"/>
        <w:bidi w:val="0"/>
        <w:spacing w:line="360" w:lineRule="auto"/>
        <w:ind w:firstLine="480"/>
        <w:jc w:val="both"/>
        <w:rPr>
          <w:rFonts w:ascii="楷体" w:hAnsi="楷体" w:eastAsia="楷体"/>
          <w:color w:val="000000" w:themeColor="text1"/>
          <w:szCs w:val="28"/>
          <w:highlight w:val="none"/>
        </w:rPr>
      </w:pPr>
      <w:r>
        <w:rPr>
          <w:rFonts w:hint="eastAsia"/>
          <w:bCs/>
          <w:color w:val="000000" w:themeColor="text1"/>
          <w:highlight w:val="none"/>
        </w:rPr>
        <w:t>本条款与</w:t>
      </w:r>
      <w:r>
        <w:rPr>
          <w:bCs/>
          <w:color w:val="000000" w:themeColor="text1"/>
          <w:highlight w:val="none"/>
        </w:rPr>
        <w:t>GB/T 9969</w:t>
      </w:r>
      <w:r>
        <w:rPr>
          <w:rFonts w:hint="eastAsia"/>
          <w:bCs/>
          <w:color w:val="000000" w:themeColor="text1"/>
          <w:highlight w:val="none"/>
        </w:rPr>
        <w:t>-</w:t>
      </w:r>
      <w:r>
        <w:rPr>
          <w:bCs/>
          <w:color w:val="000000" w:themeColor="text1"/>
          <w:highlight w:val="none"/>
        </w:rPr>
        <w:t>2008的</w:t>
      </w:r>
      <w:r>
        <w:rPr>
          <w:rFonts w:hint="eastAsia"/>
          <w:bCs/>
          <w:color w:val="000000" w:themeColor="text1"/>
          <w:highlight w:val="none"/>
        </w:rPr>
        <w:t>3</w:t>
      </w:r>
      <w:r>
        <w:rPr>
          <w:bCs/>
          <w:color w:val="000000" w:themeColor="text1"/>
          <w:highlight w:val="none"/>
        </w:rPr>
        <w:t>.11一致</w:t>
      </w:r>
      <w:r>
        <w:rPr>
          <w:rFonts w:hint="eastAsia"/>
          <w:bCs/>
          <w:color w:val="000000" w:themeColor="text1"/>
          <w:highlight w:val="none"/>
        </w:rPr>
        <w:t>。《中华人民共和国消费者权益保护法》中明确禁止商品进行虚假宣传、欺诈行为，因此同一产品的技术内容的表述，在生产者的使用说明书和其他各类资料(如，广告或包装)中保持一致，避免给用户造成误解和损失，需要在本文件中强调。</w:t>
      </w:r>
    </w:p>
    <w:p>
      <w:pPr>
        <w:pStyle w:val="60"/>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highlight w:val="none"/>
          <w:lang w:val="en-US" w:eastAsia="zh-CN" w:bidi="ar-SA"/>
        </w:rPr>
      </w:pPr>
      <w:r>
        <w:rPr>
          <w:rFonts w:hint="eastAsia" w:ascii="楷体" w:hAnsi="楷体" w:eastAsia="楷体" w:cs="宋体"/>
          <w:color w:val="000000" w:themeColor="text1"/>
          <w:sz w:val="24"/>
          <w:szCs w:val="28"/>
          <w:highlight w:val="none"/>
          <w:lang w:val="en-US" w:eastAsia="zh-CN" w:bidi="ar-SA"/>
        </w:rPr>
        <w:t>9、智能门锁销售后，若需对涉及安全的使用说明进行修订，生产厂家应通过官方网站或其他有效的方式告知所有者。生产厂家应妥善保存智能门锁的印刷版及电子版（若有）说明书以便追溯，说明书应至少保存两年，并应通过智能门锁生产厂商官方网站公开提供检索、查询及下载服务。</w:t>
      </w:r>
    </w:p>
    <w:p>
      <w:pPr>
        <w:pageBreakBefore w:val="0"/>
        <w:kinsoku/>
        <w:wordWrap/>
        <w:overflowPunct/>
        <w:topLinePunct w:val="0"/>
        <w:bidi w:val="0"/>
        <w:spacing w:line="360" w:lineRule="auto"/>
        <w:ind w:firstLine="480"/>
        <w:jc w:val="both"/>
        <w:rPr>
          <w:rFonts w:hint="eastAsia"/>
          <w:bCs/>
          <w:color w:val="000000" w:themeColor="text1"/>
          <w:highlight w:val="none"/>
          <w:lang w:val="en-US" w:eastAsia="zh-CN"/>
        </w:rPr>
      </w:pPr>
      <w:r>
        <w:rPr>
          <w:rFonts w:hint="eastAsia"/>
          <w:bCs/>
          <w:color w:val="000000" w:themeColor="text1"/>
          <w:highlight w:val="none"/>
          <w:lang w:val="en-US" w:eastAsia="zh-CN"/>
        </w:rPr>
        <w:t>本条款借鉴《中国医疗器械生产质量管理规范》第五章第二十七条（四）中记录的保存期限从放行产品的日期起不少于2年，智能门锁同属机械类产品，故规定说明书应至少保存两年，并放置官网，以免用户丢失后无从查找。</w:t>
      </w:r>
    </w:p>
    <w:p>
      <w:pPr>
        <w:keepNext w:val="0"/>
        <w:keepLines w:val="0"/>
        <w:pageBreakBefore w:val="0"/>
        <w:widowControl/>
        <w:numPr>
          <w:ilvl w:val="0"/>
          <w:numId w:val="9"/>
        </w:numPr>
        <w:kinsoku/>
        <w:wordWrap/>
        <w:overflowPunct/>
        <w:topLinePunct w:val="0"/>
        <w:autoSpaceDE/>
        <w:autoSpaceDN/>
        <w:bidi w:val="0"/>
        <w:adjustRightInd/>
        <w:snapToGrid/>
        <w:spacing w:line="360" w:lineRule="auto"/>
        <w:ind w:firstLine="480" w:firstLineChars="200"/>
        <w:textAlignment w:val="auto"/>
        <w:rPr>
          <w:rFonts w:hint="default"/>
          <w:lang w:val="en-US" w:eastAsia="zh-CN"/>
        </w:rPr>
      </w:pPr>
      <w:r>
        <w:rPr>
          <w:rFonts w:hint="eastAsia" w:ascii="楷体" w:hAnsi="楷体" w:eastAsia="楷体" w:cs="宋体"/>
          <w:color w:val="000000" w:themeColor="text1"/>
          <w:sz w:val="24"/>
          <w:szCs w:val="28"/>
          <w:highlight w:val="none"/>
          <w:lang w:val="en-US" w:eastAsia="zh-CN" w:bidi="ar-SA"/>
        </w:rPr>
        <w:t>智能门锁说明书中应采取公众号、小程序或APP等至少一种方式提供智能门锁的使用方法。</w:t>
      </w:r>
    </w:p>
    <w:p>
      <w:pPr>
        <w:pageBreakBefore w:val="0"/>
        <w:kinsoku/>
        <w:wordWrap/>
        <w:overflowPunct/>
        <w:topLinePunct w:val="0"/>
        <w:bidi w:val="0"/>
        <w:spacing w:line="360" w:lineRule="auto"/>
        <w:ind w:firstLine="480"/>
        <w:jc w:val="both"/>
        <w:rPr>
          <w:rFonts w:hint="default"/>
          <w:bCs/>
          <w:color w:val="000000" w:themeColor="text1"/>
          <w:highlight w:val="none"/>
          <w:lang w:val="en-US" w:eastAsia="zh-CN"/>
        </w:rPr>
      </w:pPr>
      <w:r>
        <w:rPr>
          <w:rFonts w:hint="eastAsia"/>
          <w:bCs/>
          <w:color w:val="000000" w:themeColor="text1"/>
          <w:highlight w:val="none"/>
          <w:lang w:val="en-US" w:eastAsia="zh-CN"/>
        </w:rPr>
        <w:t>本条款基于智能门锁属于智能产品类别进行规定，智能产品一般配套公众号、小程序或APP等至少一种方式使用，说明书中应规定具体使用方法。</w:t>
      </w:r>
    </w:p>
    <w:p>
      <w:pPr>
        <w:pStyle w:val="5"/>
        <w:pageBreakBefore w:val="0"/>
        <w:kinsoku/>
        <w:wordWrap/>
        <w:overflowPunct/>
        <w:topLinePunct w:val="0"/>
        <w:bidi w:val="0"/>
        <w:spacing w:line="360" w:lineRule="auto"/>
        <w:rPr>
          <w:color w:val="000000" w:themeColor="text1"/>
        </w:rPr>
      </w:pPr>
      <w:r>
        <w:rPr>
          <w:rFonts w:hint="eastAsia"/>
          <w:color w:val="000000" w:themeColor="text1"/>
        </w:rPr>
        <w:t>2.2.5  编制要求</w:t>
      </w:r>
    </w:p>
    <w:p>
      <w:pPr>
        <w:pageBreakBefore w:val="0"/>
        <w:kinsoku/>
        <w:wordWrap/>
        <w:overflowPunct/>
        <w:topLinePunct w:val="0"/>
        <w:bidi w:val="0"/>
        <w:spacing w:line="360" w:lineRule="auto"/>
        <w:ind w:firstLine="495"/>
        <w:jc w:val="both"/>
        <w:rPr>
          <w:rFonts w:ascii="楷体" w:hAnsi="楷体" w:eastAsia="楷体"/>
          <w:bCs/>
          <w:color w:val="000000" w:themeColor="text1"/>
        </w:rPr>
      </w:pPr>
      <w:r>
        <w:rPr>
          <w:rFonts w:hint="eastAsia"/>
          <w:color w:val="000000" w:themeColor="text1"/>
        </w:rPr>
        <w:t>考虑到用户对产品使用说明书的易读性和易理解性，本部分提出以下条款，作为</w:t>
      </w:r>
      <w:r>
        <w:rPr>
          <w:rFonts w:hint="eastAsia"/>
          <w:color w:val="000000" w:themeColor="text1"/>
          <w:lang w:val="en-US" w:eastAsia="zh-CN"/>
        </w:rPr>
        <w:t>智能门锁</w:t>
      </w:r>
      <w:r>
        <w:rPr>
          <w:rFonts w:hint="eastAsia"/>
          <w:color w:val="000000" w:themeColor="text1"/>
        </w:rPr>
        <w:t>产品使用说明书编制要求。</w:t>
      </w:r>
    </w:p>
    <w:p>
      <w:pPr>
        <w:pageBreakBefore w:val="0"/>
        <w:kinsoku/>
        <w:wordWrap/>
        <w:overflowPunct/>
        <w:topLinePunct w:val="0"/>
        <w:bidi w:val="0"/>
        <w:spacing w:line="360" w:lineRule="auto"/>
        <w:ind w:firstLine="480"/>
        <w:jc w:val="both"/>
        <w:rPr>
          <w:rFonts w:ascii="楷体" w:hAnsi="楷体" w:eastAsia="楷体"/>
          <w:color w:val="000000" w:themeColor="text1"/>
          <w:szCs w:val="28"/>
        </w:rPr>
      </w:pPr>
      <w:r>
        <w:rPr>
          <w:rFonts w:hint="eastAsia" w:ascii="楷体" w:hAnsi="楷体" w:eastAsia="楷体"/>
          <w:color w:val="000000" w:themeColor="text1"/>
          <w:szCs w:val="28"/>
        </w:rPr>
        <w:t>1、</w:t>
      </w:r>
      <w:r>
        <w:rPr>
          <w:rFonts w:ascii="楷体" w:hAnsi="楷体" w:eastAsia="楷体"/>
          <w:color w:val="000000" w:themeColor="text1"/>
          <w:szCs w:val="28"/>
        </w:rPr>
        <w:t>说明书的文字、语言应符合GB/T 9969-2008的4.1要求。</w:t>
      </w:r>
    </w:p>
    <w:p>
      <w:pPr>
        <w:pageBreakBefore w:val="0"/>
        <w:kinsoku/>
        <w:wordWrap/>
        <w:overflowPunct/>
        <w:topLinePunct w:val="0"/>
        <w:bidi w:val="0"/>
        <w:spacing w:line="360" w:lineRule="auto"/>
        <w:ind w:firstLine="495"/>
        <w:jc w:val="both"/>
        <w:rPr>
          <w:color w:val="000000" w:themeColor="text1"/>
        </w:rPr>
      </w:pPr>
      <w:r>
        <w:rPr>
          <w:color w:val="000000" w:themeColor="text1"/>
        </w:rPr>
        <w:t>GB/T 9969-2008是</w:t>
      </w:r>
      <w:r>
        <w:rPr>
          <w:rFonts w:hint="eastAsia"/>
          <w:color w:val="000000" w:themeColor="text1"/>
        </w:rPr>
        <w:t>参考</w:t>
      </w:r>
      <w:r>
        <w:rPr>
          <w:color w:val="000000" w:themeColor="text1"/>
        </w:rPr>
        <w:t>ISO/IEC 37号指南：1995“消费品使用说明”</w:t>
      </w:r>
      <w:r>
        <w:rPr>
          <w:rFonts w:hint="eastAsia"/>
          <w:color w:val="000000" w:themeColor="text1"/>
        </w:rPr>
        <w:t>。</w:t>
      </w:r>
      <w:r>
        <w:rPr>
          <w:color w:val="000000" w:themeColor="text1"/>
        </w:rPr>
        <w:t>在整个编制要求里</w:t>
      </w:r>
      <w:r>
        <w:rPr>
          <w:rFonts w:hint="eastAsia"/>
          <w:color w:val="000000" w:themeColor="text1"/>
        </w:rPr>
        <w:t>，</w:t>
      </w:r>
      <w:r>
        <w:rPr>
          <w:color w:val="000000" w:themeColor="text1"/>
        </w:rPr>
        <w:t>对使用说明书规定的内容十分详尽且具体</w:t>
      </w:r>
      <w:r>
        <w:rPr>
          <w:rFonts w:hint="eastAsia"/>
          <w:color w:val="000000" w:themeColor="text1"/>
        </w:rPr>
        <w:t>，但是若按照</w:t>
      </w:r>
      <w:r>
        <w:rPr>
          <w:color w:val="000000" w:themeColor="text1"/>
        </w:rPr>
        <w:t>GB/T 9969-2008中的编制要求</w:t>
      </w:r>
      <w:r>
        <w:rPr>
          <w:rFonts w:hint="eastAsia"/>
          <w:color w:val="000000" w:themeColor="text1"/>
        </w:rPr>
        <w:t>，</w:t>
      </w:r>
      <w:r>
        <w:rPr>
          <w:color w:val="000000" w:themeColor="text1"/>
        </w:rPr>
        <w:t>格式内容上限制较多</w:t>
      </w:r>
      <w:r>
        <w:rPr>
          <w:rFonts w:hint="eastAsia"/>
          <w:color w:val="000000" w:themeColor="text1"/>
        </w:rPr>
        <w:t>，</w:t>
      </w:r>
      <w:r>
        <w:rPr>
          <w:color w:val="000000" w:themeColor="text1"/>
        </w:rPr>
        <w:t>相当一部分企业难以达到相关要求</w:t>
      </w:r>
      <w:r>
        <w:rPr>
          <w:rFonts w:hint="eastAsia"/>
          <w:color w:val="000000" w:themeColor="text1"/>
        </w:rPr>
        <w:t>，</w:t>
      </w:r>
      <w:r>
        <w:rPr>
          <w:color w:val="000000" w:themeColor="text1"/>
        </w:rPr>
        <w:t>因此本文件仅针对文字</w:t>
      </w:r>
      <w:r>
        <w:rPr>
          <w:rFonts w:hint="eastAsia"/>
          <w:color w:val="000000" w:themeColor="text1"/>
        </w:rPr>
        <w:t>、</w:t>
      </w:r>
      <w:r>
        <w:rPr>
          <w:color w:val="000000" w:themeColor="text1"/>
        </w:rPr>
        <w:t>语言等基本内容信息进行了引用</w:t>
      </w:r>
      <w:r>
        <w:rPr>
          <w:rFonts w:hint="eastAsia"/>
          <w:color w:val="000000" w:themeColor="text1"/>
        </w:rPr>
        <w:t>，</w:t>
      </w:r>
      <w:r>
        <w:rPr>
          <w:color w:val="000000" w:themeColor="text1"/>
        </w:rPr>
        <w:t>符合GB/T 9969-2008的4.1要求</w:t>
      </w:r>
      <w:r>
        <w:rPr>
          <w:rFonts w:hint="eastAsia"/>
          <w:color w:val="000000" w:themeColor="text1"/>
        </w:rPr>
        <w:t>，</w:t>
      </w:r>
      <w:r>
        <w:rPr>
          <w:color w:val="000000" w:themeColor="text1"/>
        </w:rPr>
        <w:t>在文字表述</w:t>
      </w:r>
      <w:r>
        <w:rPr>
          <w:rFonts w:hint="eastAsia"/>
          <w:color w:val="000000" w:themeColor="text1"/>
        </w:rPr>
        <w:t>、图表符号等方面不作详尽要求。</w:t>
      </w:r>
    </w:p>
    <w:p>
      <w:pPr>
        <w:pageBreakBefore w:val="0"/>
        <w:kinsoku/>
        <w:wordWrap/>
        <w:overflowPunct/>
        <w:topLinePunct w:val="0"/>
        <w:bidi w:val="0"/>
        <w:spacing w:line="360" w:lineRule="auto"/>
        <w:ind w:firstLine="480"/>
        <w:jc w:val="both"/>
        <w:rPr>
          <w:rFonts w:hint="eastAsia" w:ascii="楷体" w:hAnsi="楷体" w:eastAsia="楷体"/>
          <w:color w:val="000000" w:themeColor="text1"/>
          <w:szCs w:val="28"/>
        </w:rPr>
      </w:pPr>
      <w:r>
        <w:rPr>
          <w:rFonts w:ascii="楷体" w:hAnsi="楷体" w:eastAsia="楷体"/>
          <w:color w:val="000000" w:themeColor="text1"/>
          <w:szCs w:val="28"/>
        </w:rPr>
        <w:t>2</w:t>
      </w:r>
      <w:r>
        <w:rPr>
          <w:rFonts w:hint="eastAsia" w:ascii="楷体" w:hAnsi="楷体" w:eastAsia="楷体"/>
          <w:color w:val="000000" w:themeColor="text1"/>
          <w:szCs w:val="28"/>
        </w:rPr>
        <w:t>、说明书的文字、图示和视频应清晰、易于识别。为达到最佳效果，安全警示的格式和编写应考虑以下几点：</w:t>
      </w:r>
    </w:p>
    <w:p>
      <w:pPr>
        <w:pageBreakBefore w:val="0"/>
        <w:kinsoku/>
        <w:wordWrap/>
        <w:overflowPunct/>
        <w:topLinePunct w:val="0"/>
        <w:bidi w:val="0"/>
        <w:spacing w:line="360" w:lineRule="auto"/>
        <w:ind w:firstLine="480"/>
        <w:jc w:val="both"/>
        <w:rPr>
          <w:rFonts w:hint="eastAsia" w:ascii="楷体" w:hAnsi="楷体" w:eastAsia="楷体"/>
          <w:color w:val="000000" w:themeColor="text1"/>
          <w:szCs w:val="28"/>
        </w:rPr>
      </w:pPr>
      <w:r>
        <w:rPr>
          <w:rFonts w:hint="eastAsia" w:ascii="楷体" w:hAnsi="楷体" w:eastAsia="楷体"/>
          <w:color w:val="000000" w:themeColor="text1"/>
          <w:szCs w:val="28"/>
        </w:rPr>
        <w:t>——内容和图解要简明扼要；</w:t>
      </w:r>
    </w:p>
    <w:p>
      <w:pPr>
        <w:pageBreakBefore w:val="0"/>
        <w:kinsoku/>
        <w:wordWrap/>
        <w:overflowPunct/>
        <w:topLinePunct w:val="0"/>
        <w:bidi w:val="0"/>
        <w:spacing w:line="360" w:lineRule="auto"/>
        <w:ind w:firstLine="480"/>
        <w:jc w:val="both"/>
        <w:rPr>
          <w:rFonts w:hint="eastAsia" w:ascii="楷体" w:hAnsi="楷体" w:eastAsia="楷体"/>
          <w:color w:val="000000" w:themeColor="text1"/>
          <w:szCs w:val="28"/>
        </w:rPr>
      </w:pPr>
      <w:r>
        <w:rPr>
          <w:rFonts w:hint="eastAsia" w:ascii="楷体" w:hAnsi="楷体" w:eastAsia="楷体"/>
          <w:color w:val="000000" w:themeColor="text1"/>
          <w:szCs w:val="28"/>
        </w:rPr>
        <w:t>——安全警示的位置、内容和形式要醒目；</w:t>
      </w:r>
    </w:p>
    <w:p>
      <w:pPr>
        <w:pageBreakBefore w:val="0"/>
        <w:kinsoku/>
        <w:wordWrap/>
        <w:overflowPunct/>
        <w:topLinePunct w:val="0"/>
        <w:bidi w:val="0"/>
        <w:spacing w:line="360" w:lineRule="auto"/>
        <w:ind w:firstLine="480"/>
        <w:jc w:val="both"/>
        <w:rPr>
          <w:rFonts w:hint="eastAsia" w:ascii="楷体" w:hAnsi="楷体" w:eastAsia="楷体"/>
          <w:color w:val="000000" w:themeColor="text1"/>
          <w:szCs w:val="28"/>
        </w:rPr>
      </w:pPr>
      <w:r>
        <w:rPr>
          <w:rFonts w:hint="eastAsia" w:ascii="楷体" w:hAnsi="楷体" w:eastAsia="楷体"/>
          <w:color w:val="000000" w:themeColor="text1"/>
          <w:szCs w:val="28"/>
        </w:rPr>
        <w:t>——解释危害的性质（如果需要，解释危害的成因）；</w:t>
      </w:r>
    </w:p>
    <w:p>
      <w:pPr>
        <w:pageBreakBefore w:val="0"/>
        <w:kinsoku/>
        <w:wordWrap/>
        <w:overflowPunct/>
        <w:topLinePunct w:val="0"/>
        <w:bidi w:val="0"/>
        <w:spacing w:line="360" w:lineRule="auto"/>
        <w:ind w:firstLine="480"/>
        <w:jc w:val="both"/>
        <w:rPr>
          <w:rFonts w:hint="eastAsia" w:ascii="楷体" w:hAnsi="楷体" w:eastAsia="楷体"/>
          <w:color w:val="000000" w:themeColor="text1"/>
          <w:szCs w:val="28"/>
        </w:rPr>
      </w:pPr>
      <w:r>
        <w:rPr>
          <w:rFonts w:hint="eastAsia" w:ascii="楷体" w:hAnsi="楷体" w:eastAsia="楷体"/>
          <w:color w:val="000000" w:themeColor="text1"/>
          <w:szCs w:val="28"/>
        </w:rPr>
        <w:t>——对于如何正确操作给予清晰的指导；</w:t>
      </w:r>
    </w:p>
    <w:p>
      <w:pPr>
        <w:pageBreakBefore w:val="0"/>
        <w:kinsoku/>
        <w:wordWrap/>
        <w:overflowPunct/>
        <w:topLinePunct w:val="0"/>
        <w:bidi w:val="0"/>
        <w:spacing w:line="360" w:lineRule="auto"/>
        <w:ind w:firstLine="480"/>
        <w:jc w:val="both"/>
        <w:rPr>
          <w:rFonts w:hint="eastAsia" w:ascii="楷体" w:hAnsi="楷体" w:eastAsia="楷体"/>
          <w:color w:val="000000" w:themeColor="text1"/>
          <w:szCs w:val="28"/>
        </w:rPr>
      </w:pPr>
      <w:r>
        <w:rPr>
          <w:rFonts w:hint="eastAsia" w:ascii="楷体" w:hAnsi="楷体" w:eastAsia="楷体"/>
          <w:color w:val="000000" w:themeColor="text1"/>
          <w:szCs w:val="28"/>
        </w:rPr>
        <w:t>——对于如何避免危险给予清晰的指导；</w:t>
      </w:r>
    </w:p>
    <w:p>
      <w:pPr>
        <w:pageBreakBefore w:val="0"/>
        <w:kinsoku/>
        <w:wordWrap/>
        <w:overflowPunct/>
        <w:topLinePunct w:val="0"/>
        <w:bidi w:val="0"/>
        <w:spacing w:line="360" w:lineRule="auto"/>
        <w:ind w:firstLine="480"/>
        <w:jc w:val="both"/>
        <w:rPr>
          <w:rFonts w:hint="eastAsia" w:ascii="楷体" w:hAnsi="楷体" w:eastAsia="楷体"/>
          <w:color w:val="000000" w:themeColor="text1"/>
          <w:szCs w:val="28"/>
        </w:rPr>
      </w:pPr>
      <w:r>
        <w:rPr>
          <w:rFonts w:hint="eastAsia" w:ascii="楷体" w:hAnsi="楷体" w:eastAsia="楷体"/>
          <w:color w:val="000000" w:themeColor="text1"/>
          <w:szCs w:val="28"/>
        </w:rPr>
        <w:t>——使用的语言、图形符号和图解说明要清楚、准确；</w:t>
      </w:r>
    </w:p>
    <w:p>
      <w:pPr>
        <w:pageBreakBefore w:val="0"/>
        <w:kinsoku/>
        <w:wordWrap/>
        <w:overflowPunct/>
        <w:topLinePunct w:val="0"/>
        <w:bidi w:val="0"/>
        <w:spacing w:line="360" w:lineRule="auto"/>
        <w:ind w:firstLine="480"/>
        <w:jc w:val="both"/>
        <w:rPr>
          <w:rFonts w:ascii="楷体" w:hAnsi="楷体" w:eastAsia="楷体"/>
          <w:color w:val="000000" w:themeColor="text1"/>
          <w:szCs w:val="28"/>
        </w:rPr>
      </w:pPr>
      <w:r>
        <w:rPr>
          <w:rFonts w:hint="eastAsia" w:ascii="楷体" w:hAnsi="楷体" w:eastAsia="楷体"/>
          <w:color w:val="000000" w:themeColor="text1"/>
          <w:szCs w:val="28"/>
        </w:rPr>
        <w:t>——切记过于频繁重复警示以及错误的警示会削弱必须警示的效用。</w:t>
      </w:r>
    </w:p>
    <w:p>
      <w:pPr>
        <w:pageBreakBefore w:val="0"/>
        <w:kinsoku/>
        <w:wordWrap/>
        <w:overflowPunct/>
        <w:topLinePunct w:val="0"/>
        <w:bidi w:val="0"/>
        <w:spacing w:line="360" w:lineRule="auto"/>
        <w:ind w:firstLine="480"/>
        <w:jc w:val="both"/>
        <w:rPr>
          <w:rFonts w:ascii="楷体" w:hAnsi="楷体" w:eastAsia="楷体"/>
          <w:color w:val="000000" w:themeColor="text1"/>
          <w:szCs w:val="28"/>
        </w:rPr>
      </w:pPr>
      <w:r>
        <w:rPr>
          <w:rFonts w:hint="eastAsia"/>
          <w:color w:val="000000" w:themeColor="text1"/>
        </w:rPr>
        <w:t>本条款主要是对使用说明书的印刷、文本进行了规定，属于提高说明书的内容表述科学性和表述的易读性要求。</w:t>
      </w:r>
      <w:r>
        <w:rPr>
          <w:rFonts w:hint="eastAsia"/>
          <w:color w:val="000000" w:themeColor="text1"/>
          <w:lang w:val="en-US" w:eastAsia="zh-CN"/>
        </w:rPr>
        <w:t>同时</w:t>
      </w:r>
      <w:r>
        <w:rPr>
          <w:rFonts w:hint="eastAsia"/>
          <w:color w:val="000000" w:themeColor="text1"/>
        </w:rPr>
        <w:t>参考</w:t>
      </w:r>
      <w:r>
        <w:rPr>
          <w:color w:val="000000" w:themeColor="text1"/>
        </w:rPr>
        <w:t>GB/T 9969-2008的4.7.2</w:t>
      </w:r>
      <w:r>
        <w:rPr>
          <w:rFonts w:hint="eastAsia"/>
          <w:color w:val="000000" w:themeColor="text1"/>
        </w:rPr>
        <w:t>，安全警示是说明书中的重要内容，对于涉及人身健康和生命财产安全都应在说明书中给出必要的安全警示，根据安全警示相关要求，同时考虑企业编写说明书的易操作性，在编制要求中主要提出安全警告的强调形式。</w:t>
      </w:r>
    </w:p>
    <w:p>
      <w:pPr>
        <w:pageBreakBefore w:val="0"/>
        <w:kinsoku/>
        <w:wordWrap/>
        <w:overflowPunct/>
        <w:topLinePunct w:val="0"/>
        <w:bidi w:val="0"/>
        <w:spacing w:line="360" w:lineRule="auto"/>
        <w:ind w:firstLine="480"/>
        <w:jc w:val="both"/>
        <w:rPr>
          <w:rFonts w:ascii="楷体" w:hAnsi="楷体" w:eastAsia="楷体"/>
          <w:color w:val="000000" w:themeColor="text1"/>
          <w:szCs w:val="28"/>
        </w:rPr>
      </w:pPr>
      <w:r>
        <w:rPr>
          <w:rFonts w:ascii="楷体" w:hAnsi="楷体" w:eastAsia="楷体"/>
          <w:color w:val="000000" w:themeColor="text1"/>
          <w:szCs w:val="28"/>
        </w:rPr>
        <w:t>3</w:t>
      </w:r>
      <w:r>
        <w:rPr>
          <w:rFonts w:hint="eastAsia" w:ascii="楷体" w:hAnsi="楷体" w:eastAsia="楷体"/>
          <w:color w:val="000000" w:themeColor="text1"/>
          <w:szCs w:val="28"/>
        </w:rPr>
        <w:t>、说明书应使用简明的标题，帮助使用者能够快速查询所需内容。对于同一本使用说明书或由多本组成的使用说明书，重要部分的关联信息均应指引明确，以便查询</w:t>
      </w:r>
      <w:r>
        <w:rPr>
          <w:rFonts w:ascii="楷体" w:hAnsi="楷体" w:eastAsia="楷体"/>
          <w:color w:val="000000" w:themeColor="text1"/>
          <w:szCs w:val="28"/>
        </w:rPr>
        <w:t>。</w:t>
      </w:r>
    </w:p>
    <w:p>
      <w:pPr>
        <w:pageBreakBefore w:val="0"/>
        <w:kinsoku/>
        <w:wordWrap/>
        <w:overflowPunct/>
        <w:topLinePunct w:val="0"/>
        <w:bidi w:val="0"/>
        <w:spacing w:line="360" w:lineRule="auto"/>
        <w:ind w:firstLine="495"/>
        <w:jc w:val="both"/>
        <w:rPr>
          <w:color w:val="000000" w:themeColor="text1"/>
        </w:rPr>
      </w:pPr>
      <w:r>
        <w:rPr>
          <w:rFonts w:hint="eastAsia"/>
          <w:color w:val="000000" w:themeColor="text1"/>
        </w:rPr>
        <w:t>该条款对说明书的内容表述科学性和表述的易读性提出了具体要求</w:t>
      </w:r>
      <w:r>
        <w:rPr>
          <w:rFonts w:hint="eastAsia"/>
          <w:color w:val="000000" w:themeColor="text1"/>
          <w:lang w:eastAsia="zh-CN"/>
        </w:rPr>
        <w:t>，</w:t>
      </w:r>
      <w:r>
        <w:rPr>
          <w:rFonts w:hint="eastAsia"/>
          <w:color w:val="000000" w:themeColor="text1"/>
        </w:rPr>
        <w:t xml:space="preserve">便于用户快速了解产品关键信息。 </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4、说明书的内容表述应科学合理，符合操作程序。说明书中一句话应只包含一个要求，或最多包含几个紧密相关的要求，且应符合以下要求：</w:t>
      </w:r>
    </w:p>
    <w:p>
      <w:pPr>
        <w:pStyle w:val="60"/>
        <w:pageBreakBefore w:val="0"/>
        <w:kinsoku/>
        <w:wordWrap/>
        <w:overflowPunct/>
        <w:topLinePunct w:val="0"/>
        <w:bidi w:val="0"/>
        <w:spacing w:line="360" w:lineRule="auto"/>
        <w:ind w:firstLine="480" w:firstLineChars="200"/>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——应使用动词主动语态，不用被动态（如：“关闭电源”而不应表达为“确定电源被中断”）；</w:t>
      </w:r>
    </w:p>
    <w:p>
      <w:pPr>
        <w:pStyle w:val="60"/>
        <w:pageBreakBefore w:val="0"/>
        <w:kinsoku/>
        <w:wordWrap/>
        <w:overflowPunct/>
        <w:topLinePunct w:val="0"/>
        <w:bidi w:val="0"/>
        <w:spacing w:line="360" w:lineRule="auto"/>
        <w:ind w:firstLine="480" w:firstLineChars="200"/>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——要求应果断有力、而不模糊软弱（如：“不许暴力拆卸零部件”而不应表达为“零部件不应该被暴力拆卸”）；</w:t>
      </w:r>
    </w:p>
    <w:p>
      <w:pPr>
        <w:pageBreakBefore w:val="0"/>
        <w:kinsoku/>
        <w:wordWrap/>
        <w:overflowPunct/>
        <w:topLinePunct w:val="0"/>
        <w:bidi w:val="0"/>
        <w:spacing w:line="360" w:lineRule="auto"/>
        <w:ind w:firstLine="480"/>
        <w:jc w:val="both"/>
        <w:rPr>
          <w:rFonts w:ascii="楷体" w:hAnsi="楷体" w:eastAsia="楷体"/>
          <w:color w:val="000000" w:themeColor="text1"/>
          <w:szCs w:val="28"/>
        </w:rPr>
      </w:pPr>
      <w:r>
        <w:rPr>
          <w:rFonts w:hint="eastAsia" w:ascii="楷体" w:hAnsi="楷体" w:eastAsia="楷体" w:cs="宋体"/>
          <w:color w:val="000000" w:themeColor="text1"/>
          <w:sz w:val="24"/>
          <w:szCs w:val="28"/>
          <w:lang w:val="en-US" w:eastAsia="zh-CN" w:bidi="ar-SA"/>
        </w:rPr>
        <w:t>——表述直截了当，而不委婉（如：“输入密码”而不应表达为“使用者从机器输入密码”）。</w:t>
      </w:r>
    </w:p>
    <w:p>
      <w:pPr>
        <w:pageBreakBefore w:val="0"/>
        <w:kinsoku/>
        <w:wordWrap/>
        <w:overflowPunct/>
        <w:topLinePunct w:val="0"/>
        <w:bidi w:val="0"/>
        <w:spacing w:line="360" w:lineRule="auto"/>
        <w:ind w:firstLine="480"/>
        <w:jc w:val="both"/>
        <w:rPr>
          <w:rFonts w:ascii="楷体" w:hAnsi="楷体" w:eastAsia="楷体"/>
          <w:color w:val="000000" w:themeColor="text1"/>
          <w:szCs w:val="28"/>
        </w:rPr>
      </w:pPr>
      <w:r>
        <w:rPr>
          <w:rFonts w:hint="eastAsia"/>
          <w:color w:val="000000" w:themeColor="text1"/>
        </w:rPr>
        <w:t>该条款对说明书的内容表述科学性和表述的易读性提出了具体要求，便于用户快速了解产品关键信息。</w:t>
      </w:r>
    </w:p>
    <w:p>
      <w:pPr>
        <w:pageBreakBefore w:val="0"/>
        <w:kinsoku/>
        <w:wordWrap/>
        <w:overflowPunct/>
        <w:topLinePunct w:val="0"/>
        <w:bidi w:val="0"/>
        <w:spacing w:line="360" w:lineRule="auto"/>
        <w:ind w:firstLine="480"/>
        <w:jc w:val="both"/>
        <w:rPr>
          <w:rFonts w:ascii="楷体" w:hAnsi="楷体" w:eastAsia="楷体"/>
          <w:color w:val="000000" w:themeColor="text1"/>
          <w:szCs w:val="28"/>
        </w:rPr>
      </w:pPr>
      <w:r>
        <w:rPr>
          <w:rFonts w:hint="eastAsia" w:ascii="楷体" w:hAnsi="楷体" w:eastAsia="楷体"/>
          <w:color w:val="000000" w:themeColor="text1"/>
          <w:szCs w:val="28"/>
          <w:lang w:val="en-US" w:eastAsia="zh-CN"/>
        </w:rPr>
        <w:t>5</w:t>
      </w:r>
      <w:r>
        <w:rPr>
          <w:rFonts w:hint="eastAsia" w:ascii="楷体" w:hAnsi="楷体" w:eastAsia="楷体"/>
          <w:color w:val="000000" w:themeColor="text1"/>
          <w:szCs w:val="28"/>
        </w:rPr>
        <w:t>、</w:t>
      </w:r>
      <w:r>
        <w:rPr>
          <w:rFonts w:ascii="楷体" w:hAnsi="楷体" w:eastAsia="楷体"/>
          <w:color w:val="000000" w:themeColor="text1"/>
          <w:szCs w:val="28"/>
        </w:rPr>
        <w:t>在保证安全和正确使用的前提下，可根据产品的特点和使用要求对第6章的内容选择增减并合理排序</w:t>
      </w:r>
      <w:r>
        <w:rPr>
          <w:rFonts w:hint="eastAsia" w:ascii="楷体" w:hAnsi="楷体" w:eastAsia="楷体"/>
          <w:color w:val="000000" w:themeColor="text1"/>
          <w:szCs w:val="28"/>
        </w:rPr>
        <w:t>。</w:t>
      </w:r>
    </w:p>
    <w:p>
      <w:pPr>
        <w:pageBreakBefore w:val="0"/>
        <w:kinsoku/>
        <w:wordWrap/>
        <w:overflowPunct/>
        <w:topLinePunct w:val="0"/>
        <w:bidi w:val="0"/>
        <w:spacing w:line="360" w:lineRule="auto"/>
        <w:ind w:firstLine="480"/>
        <w:jc w:val="both"/>
        <w:rPr>
          <w:rFonts w:ascii="楷体" w:hAnsi="楷体" w:eastAsia="楷体"/>
          <w:color w:val="000000" w:themeColor="text1"/>
          <w:szCs w:val="28"/>
        </w:rPr>
      </w:pPr>
      <w:r>
        <w:rPr>
          <w:rFonts w:hint="eastAsia"/>
          <w:color w:val="000000" w:themeColor="text1"/>
        </w:rPr>
        <w:t>该条款参考</w:t>
      </w:r>
      <w:r>
        <w:rPr>
          <w:color w:val="000000" w:themeColor="text1"/>
        </w:rPr>
        <w:t>GB/T 9969-2008</w:t>
      </w:r>
      <w:r>
        <w:rPr>
          <w:rFonts w:hint="eastAsia"/>
          <w:color w:val="000000" w:themeColor="text1"/>
        </w:rPr>
        <w:t>中</w:t>
      </w:r>
      <w:r>
        <w:rPr>
          <w:color w:val="000000" w:themeColor="text1"/>
        </w:rPr>
        <w:t>4.8.1</w:t>
      </w:r>
      <w:r>
        <w:rPr>
          <w:rFonts w:hint="eastAsia"/>
          <w:color w:val="000000" w:themeColor="text1"/>
        </w:rPr>
        <w:t>，因为本文件中建材产品使用说明书主要构成在第六章体现，未以附录形式展示，因此对原条款进行了修改。</w:t>
      </w:r>
    </w:p>
    <w:p>
      <w:pPr>
        <w:pStyle w:val="5"/>
        <w:pageBreakBefore w:val="0"/>
        <w:kinsoku/>
        <w:wordWrap/>
        <w:overflowPunct/>
        <w:topLinePunct w:val="0"/>
        <w:bidi w:val="0"/>
        <w:spacing w:line="360" w:lineRule="auto"/>
        <w:jc w:val="both"/>
        <w:rPr>
          <w:color w:val="000000" w:themeColor="text1"/>
        </w:rPr>
      </w:pPr>
      <w:r>
        <w:rPr>
          <w:rFonts w:hint="eastAsia"/>
          <w:color w:val="000000" w:themeColor="text1"/>
        </w:rPr>
        <w:t>2</w:t>
      </w:r>
      <w:r>
        <w:rPr>
          <w:color w:val="000000" w:themeColor="text1"/>
        </w:rPr>
        <w:t xml:space="preserve">.2.6 </w:t>
      </w:r>
      <w:r>
        <w:rPr>
          <w:rFonts w:hint="eastAsia"/>
          <w:color w:val="000000" w:themeColor="text1"/>
        </w:rPr>
        <w:t>主要构成</w:t>
      </w:r>
    </w:p>
    <w:p>
      <w:pPr>
        <w:pageBreakBefore w:val="0"/>
        <w:kinsoku/>
        <w:wordWrap/>
        <w:overflowPunct/>
        <w:topLinePunct w:val="0"/>
        <w:bidi w:val="0"/>
        <w:spacing w:line="360" w:lineRule="auto"/>
        <w:ind w:firstLine="495"/>
        <w:jc w:val="both"/>
        <w:rPr>
          <w:rFonts w:ascii="Arial" w:hAnsi="Arial" w:cs="Arial"/>
          <w:color w:val="000000" w:themeColor="text1"/>
        </w:rPr>
      </w:pPr>
      <w:r>
        <w:rPr>
          <w:color w:val="000000" w:themeColor="text1"/>
        </w:rPr>
        <w:t>目前</w:t>
      </w:r>
      <w:r>
        <w:rPr>
          <w:rFonts w:hint="eastAsia"/>
          <w:color w:val="000000" w:themeColor="text1"/>
        </w:rPr>
        <w:t>，</w:t>
      </w:r>
      <w:r>
        <w:rPr>
          <w:color w:val="000000" w:themeColor="text1"/>
        </w:rPr>
        <w:t>我国许多法律法规中对产品说明提出了相关要求</w:t>
      </w:r>
      <w:r>
        <w:rPr>
          <w:rFonts w:hint="eastAsia"/>
          <w:color w:val="000000" w:themeColor="text1"/>
        </w:rPr>
        <w:t>，</w:t>
      </w:r>
      <w:r>
        <w:rPr>
          <w:rFonts w:ascii="Times New Roman" w:hAnsi="Times New Roman" w:eastAsia="宋体" w:cs="Times New Roman"/>
        </w:rPr>
        <w:t>GB</w:t>
      </w:r>
      <w:r>
        <w:rPr>
          <w:rFonts w:hint="eastAsia" w:ascii="Times New Roman" w:hAnsi="Times New Roman" w:eastAsia="宋体" w:cs="Times New Roman"/>
        </w:rPr>
        <w:t>/</w:t>
      </w:r>
      <w:r>
        <w:rPr>
          <w:rFonts w:ascii="Times New Roman" w:hAnsi="Times New Roman" w:eastAsia="宋体" w:cs="Times New Roman"/>
        </w:rPr>
        <w:t>T 1.1—2020</w:t>
      </w:r>
      <w:r>
        <w:rPr>
          <w:rFonts w:hint="eastAsia" w:ascii="Times New Roman" w:hAnsi="Times New Roman" w:eastAsia="宋体" w:cs="Times New Roman"/>
        </w:rPr>
        <w:t>《</w:t>
      </w:r>
      <w:r>
        <w:rPr>
          <w:rFonts w:ascii="Times New Roman" w:hAnsi="Times New Roman" w:eastAsia="宋体" w:cs="Times New Roman"/>
        </w:rPr>
        <w:t>标准化工作导则  第1部分</w:t>
      </w:r>
      <w:r>
        <w:rPr>
          <w:rFonts w:hint="eastAsia" w:ascii="Times New Roman" w:hAnsi="Times New Roman" w:eastAsia="宋体" w:cs="Times New Roman"/>
        </w:rPr>
        <w:t>：</w:t>
      </w:r>
      <w:r>
        <w:rPr>
          <w:rFonts w:ascii="Times New Roman" w:hAnsi="Times New Roman" w:eastAsia="宋体" w:cs="Times New Roman"/>
        </w:rPr>
        <w:t>标准化文件的结构和起草规则</w:t>
      </w:r>
      <w:r>
        <w:rPr>
          <w:rFonts w:hint="eastAsia" w:ascii="Times New Roman" w:hAnsi="Times New Roman" w:eastAsia="宋体" w:cs="Times New Roman"/>
        </w:rPr>
        <w:t>》</w:t>
      </w:r>
      <w:r>
        <w:rPr>
          <w:rFonts w:ascii="Times New Roman" w:hAnsi="Times New Roman" w:eastAsia="宋体" w:cs="Times New Roman"/>
        </w:rPr>
        <w:t>和T</w:t>
      </w:r>
      <w:r>
        <w:rPr>
          <w:rFonts w:hint="eastAsia" w:ascii="Times New Roman" w:hAnsi="Times New Roman" w:eastAsia="宋体" w:cs="Times New Roman"/>
        </w:rPr>
        <w:t>/</w:t>
      </w:r>
      <w:r>
        <w:rPr>
          <w:rFonts w:ascii="Times New Roman" w:hAnsi="Times New Roman" w:eastAsia="宋体" w:cs="Times New Roman"/>
        </w:rPr>
        <w:t>CBMF 195-2022</w:t>
      </w:r>
      <w:r>
        <w:rPr>
          <w:rFonts w:hint="eastAsia" w:ascii="Times New Roman" w:hAnsi="Times New Roman" w:eastAsia="宋体" w:cs="Times New Roman"/>
        </w:rPr>
        <w:t>《</w:t>
      </w:r>
      <w:r>
        <w:rPr>
          <w:rFonts w:ascii="Times New Roman" w:hAnsi="Times New Roman" w:eastAsia="宋体" w:cs="Times New Roman"/>
        </w:rPr>
        <w:t>建材产品使用说明书 通用要求</w:t>
      </w:r>
      <w:r>
        <w:rPr>
          <w:rFonts w:hint="eastAsia" w:ascii="Times New Roman" w:hAnsi="Times New Roman" w:eastAsia="宋体" w:cs="Times New Roman"/>
        </w:rPr>
        <w:t>》</w:t>
      </w:r>
      <w:r>
        <w:rPr>
          <w:rFonts w:hint="eastAsia" w:ascii="Times New Roman" w:hAnsi="Times New Roman" w:cs="Times New Roman"/>
          <w:lang w:val="en-US" w:eastAsia="zh-CN"/>
        </w:rPr>
        <w:t>是</w:t>
      </w:r>
      <w:r>
        <w:rPr>
          <w:color w:val="000000" w:themeColor="text1"/>
        </w:rPr>
        <w:t>《</w:t>
      </w:r>
      <w:r>
        <w:rPr>
          <w:rFonts w:hint="eastAsia"/>
          <w:color w:val="000000" w:themeColor="text1"/>
        </w:rPr>
        <w:t>建材产品使用说明书 智能门锁</w:t>
      </w:r>
      <w:r>
        <w:rPr>
          <w:color w:val="000000" w:themeColor="text1"/>
        </w:rPr>
        <w:t>》编制过程的指导文件</w:t>
      </w:r>
      <w:r>
        <w:rPr>
          <w:rFonts w:hint="eastAsia"/>
          <w:color w:val="000000" w:themeColor="text1"/>
        </w:rPr>
        <w:t>。为确保</w:t>
      </w:r>
      <w:r>
        <w:rPr>
          <w:color w:val="000000" w:themeColor="text1"/>
        </w:rPr>
        <w:t>《</w:t>
      </w:r>
      <w:r>
        <w:rPr>
          <w:rFonts w:hint="eastAsia"/>
          <w:color w:val="000000" w:themeColor="text1"/>
        </w:rPr>
        <w:t>建材产品使用说明书 智能门锁</w:t>
      </w:r>
      <w:r>
        <w:rPr>
          <w:color w:val="000000" w:themeColor="text1"/>
        </w:rPr>
        <w:t>》编制过程的合规性和协调性</w:t>
      </w:r>
      <w:r>
        <w:rPr>
          <w:rFonts w:hint="eastAsia"/>
          <w:color w:val="000000" w:themeColor="text1"/>
        </w:rPr>
        <w:t>，</w:t>
      </w:r>
      <w:r>
        <w:rPr>
          <w:color w:val="000000" w:themeColor="text1"/>
        </w:rPr>
        <w:t>对相关法律法规以及标准进行了重点介绍</w:t>
      </w:r>
      <w:r>
        <w:rPr>
          <w:rFonts w:hint="eastAsia"/>
          <w:color w:val="000000" w:themeColor="text1"/>
        </w:rPr>
        <w:t>。</w:t>
      </w:r>
    </w:p>
    <w:p>
      <w:pPr>
        <w:pStyle w:val="6"/>
        <w:pageBreakBefore w:val="0"/>
        <w:kinsoku/>
        <w:wordWrap/>
        <w:overflowPunct/>
        <w:topLinePunct w:val="0"/>
        <w:bidi w:val="0"/>
        <w:spacing w:line="360" w:lineRule="auto"/>
        <w:jc w:val="both"/>
        <w:rPr>
          <w:color w:val="000000" w:themeColor="text1"/>
        </w:rPr>
      </w:pPr>
      <w:r>
        <w:rPr>
          <w:rFonts w:hint="eastAsia"/>
          <w:color w:val="000000" w:themeColor="text1"/>
        </w:rPr>
        <w:t>2</w:t>
      </w:r>
      <w:r>
        <w:rPr>
          <w:color w:val="000000" w:themeColor="text1"/>
        </w:rPr>
        <w:t>.2.6.</w:t>
      </w:r>
      <w:r>
        <w:rPr>
          <w:rFonts w:hint="eastAsia"/>
          <w:color w:val="000000" w:themeColor="text1"/>
          <w:lang w:val="en-US" w:eastAsia="zh-CN"/>
        </w:rPr>
        <w:t>1智能门锁</w:t>
      </w:r>
      <w:r>
        <w:rPr>
          <w:color w:val="000000" w:themeColor="text1"/>
        </w:rPr>
        <w:t>产品使用说明书主要</w:t>
      </w:r>
      <w:r>
        <w:rPr>
          <w:rFonts w:hint="eastAsia"/>
          <w:color w:val="000000" w:themeColor="text1"/>
        </w:rPr>
        <w:t>构成</w:t>
      </w:r>
    </w:p>
    <w:p>
      <w:pPr>
        <w:pageBreakBefore w:val="0"/>
        <w:kinsoku/>
        <w:wordWrap/>
        <w:overflowPunct/>
        <w:topLinePunct w:val="0"/>
        <w:bidi w:val="0"/>
        <w:spacing w:line="360" w:lineRule="auto"/>
        <w:ind w:firstLine="480"/>
        <w:jc w:val="both"/>
        <w:rPr>
          <w:bCs/>
          <w:color w:val="000000" w:themeColor="text1"/>
        </w:rPr>
      </w:pPr>
      <w:r>
        <w:rPr>
          <w:rFonts w:hint="eastAsia"/>
          <w:bCs/>
          <w:color w:val="000000" w:themeColor="text1"/>
        </w:rPr>
        <w:t>该章节给出</w:t>
      </w:r>
      <w:r>
        <w:rPr>
          <w:rFonts w:hint="eastAsia"/>
          <w:color w:val="000000" w:themeColor="text1"/>
          <w:lang w:val="en-US" w:eastAsia="zh-CN"/>
        </w:rPr>
        <w:t>智能门锁</w:t>
      </w:r>
      <w:r>
        <w:rPr>
          <w:rFonts w:hint="eastAsia"/>
          <w:bCs/>
          <w:color w:val="000000" w:themeColor="text1"/>
        </w:rPr>
        <w:t>产品使用说明书中应该包含的主要内容，也是企业在编制产品使用说明书可参考的内容，具体如下：</w:t>
      </w:r>
    </w:p>
    <w:p>
      <w:pPr>
        <w:pageBreakBefore w:val="0"/>
        <w:tabs>
          <w:tab w:val="left" w:pos="6737"/>
        </w:tabs>
        <w:kinsoku/>
        <w:wordWrap/>
        <w:overflowPunct/>
        <w:topLinePunct w:val="0"/>
        <w:bidi w:val="0"/>
        <w:adjustRightInd w:val="0"/>
        <w:snapToGrid w:val="0"/>
        <w:spacing w:line="360" w:lineRule="auto"/>
        <w:ind w:firstLine="480" w:firstLineChars="200"/>
        <w:jc w:val="both"/>
        <w:rPr>
          <w:rFonts w:ascii="楷体" w:hAnsi="楷体" w:eastAsia="楷体"/>
          <w:color w:val="000000" w:themeColor="text1"/>
          <w:szCs w:val="28"/>
        </w:rPr>
      </w:pPr>
      <w:r>
        <w:rPr>
          <w:rFonts w:ascii="楷体" w:hAnsi="楷体" w:eastAsia="楷体"/>
          <w:color w:val="000000" w:themeColor="text1"/>
          <w:szCs w:val="28"/>
        </w:rPr>
        <w:t>1.标题</w:t>
      </w:r>
    </w:p>
    <w:p>
      <w:pPr>
        <w:pageBreakBefore w:val="0"/>
        <w:tabs>
          <w:tab w:val="left" w:pos="6737"/>
        </w:tabs>
        <w:kinsoku/>
        <w:wordWrap/>
        <w:overflowPunct/>
        <w:topLinePunct w:val="0"/>
        <w:bidi w:val="0"/>
        <w:adjustRightInd w:val="0"/>
        <w:snapToGrid w:val="0"/>
        <w:spacing w:line="360" w:lineRule="auto"/>
        <w:ind w:firstLine="480" w:firstLineChars="200"/>
        <w:jc w:val="both"/>
        <w:rPr>
          <w:rFonts w:hint="eastAsia" w:asciiTheme="minorEastAsia" w:hAnsiTheme="minorEastAsia" w:eastAsiaTheme="minorEastAsia"/>
          <w:color w:val="000000" w:themeColor="text1"/>
          <w:szCs w:val="28"/>
          <w:lang w:eastAsia="zh-CN"/>
        </w:rPr>
      </w:pPr>
      <w:r>
        <w:rPr>
          <w:rFonts w:hint="eastAsia" w:asciiTheme="minorEastAsia" w:hAnsiTheme="minorEastAsia" w:eastAsiaTheme="minorEastAsia"/>
          <w:color w:val="000000" w:themeColor="text1"/>
          <w:szCs w:val="28"/>
          <w:lang w:val="en-US" w:eastAsia="zh-CN"/>
        </w:rPr>
        <w:t>说明书</w:t>
      </w:r>
      <w:r>
        <w:rPr>
          <w:rFonts w:hint="eastAsia" w:asciiTheme="minorEastAsia" w:hAnsiTheme="minorEastAsia" w:eastAsiaTheme="minorEastAsia"/>
          <w:color w:val="000000" w:themeColor="text1"/>
          <w:szCs w:val="28"/>
          <w:lang w:eastAsia="zh-CN"/>
        </w:rPr>
        <w:t>封面</w:t>
      </w:r>
      <w:r>
        <w:rPr>
          <w:rFonts w:hint="eastAsia" w:asciiTheme="minorEastAsia" w:hAnsiTheme="minorEastAsia" w:eastAsiaTheme="minorEastAsia"/>
          <w:color w:val="000000" w:themeColor="text1"/>
          <w:szCs w:val="28"/>
          <w:lang w:val="en-US" w:eastAsia="zh-CN"/>
        </w:rPr>
        <w:t>应</w:t>
      </w:r>
      <w:r>
        <w:rPr>
          <w:rFonts w:hint="eastAsia" w:asciiTheme="minorEastAsia" w:hAnsiTheme="minorEastAsia" w:eastAsiaTheme="minorEastAsia"/>
          <w:color w:val="000000" w:themeColor="text1"/>
          <w:szCs w:val="28"/>
          <w:lang w:eastAsia="zh-CN"/>
        </w:rPr>
        <w:t>有“使用说明书”字样以及能准确识别产品类型的名称，</w:t>
      </w:r>
      <w:r>
        <w:rPr>
          <w:rFonts w:hint="eastAsia" w:asciiTheme="minorEastAsia" w:hAnsiTheme="minorEastAsia" w:eastAsiaTheme="minorEastAsia"/>
          <w:color w:val="000000" w:themeColor="text1"/>
          <w:szCs w:val="28"/>
          <w:lang w:val="en-US" w:eastAsia="zh-CN"/>
        </w:rPr>
        <w:t>标题</w:t>
      </w:r>
      <w:r>
        <w:rPr>
          <w:rFonts w:hint="eastAsia" w:asciiTheme="minorEastAsia" w:hAnsiTheme="minorEastAsia" w:eastAsiaTheme="minorEastAsia"/>
          <w:color w:val="000000" w:themeColor="text1"/>
          <w:szCs w:val="28"/>
          <w:lang w:eastAsia="zh-CN"/>
        </w:rPr>
        <w:t>应由“产品名称”与“使用说明书”组成。如</w:t>
      </w:r>
      <w:r>
        <w:rPr>
          <w:rFonts w:hint="eastAsia" w:asciiTheme="minorEastAsia" w:hAnsiTheme="minorEastAsia" w:eastAsiaTheme="minorEastAsia"/>
          <w:color w:val="000000" w:themeColor="text1"/>
          <w:szCs w:val="28"/>
          <w:lang w:val="en-US" w:eastAsia="zh-CN"/>
        </w:rPr>
        <w:t>共同</w:t>
      </w:r>
      <w:r>
        <w:rPr>
          <w:rFonts w:hint="eastAsia" w:asciiTheme="minorEastAsia" w:hAnsiTheme="minorEastAsia" w:eastAsiaTheme="minorEastAsia"/>
          <w:color w:val="000000" w:themeColor="text1"/>
          <w:szCs w:val="28"/>
          <w:lang w:eastAsia="zh-CN"/>
        </w:rPr>
        <w:t>适用于其他系列产品，请标明。</w:t>
      </w:r>
    </w:p>
    <w:p>
      <w:pPr>
        <w:pageBreakBefore w:val="0"/>
        <w:tabs>
          <w:tab w:val="left" w:pos="6737"/>
        </w:tabs>
        <w:kinsoku/>
        <w:wordWrap/>
        <w:overflowPunct/>
        <w:topLinePunct w:val="0"/>
        <w:bidi w:val="0"/>
        <w:adjustRightInd w:val="0"/>
        <w:snapToGrid w:val="0"/>
        <w:spacing w:line="360" w:lineRule="auto"/>
        <w:ind w:firstLine="480" w:firstLineChars="200"/>
        <w:jc w:val="both"/>
        <w:rPr>
          <w:rFonts w:hint="eastAsia" w:asciiTheme="minorEastAsia" w:hAnsiTheme="minorEastAsia" w:eastAsiaTheme="minorEastAsia"/>
          <w:color w:val="000000" w:themeColor="text1"/>
          <w:szCs w:val="28"/>
          <w:lang w:eastAsia="zh-CN"/>
        </w:rPr>
      </w:pPr>
      <w:r>
        <w:rPr>
          <w:rFonts w:hint="eastAsia" w:asciiTheme="minorEastAsia" w:hAnsiTheme="minorEastAsia" w:eastAsiaTheme="minorEastAsia"/>
          <w:color w:val="000000" w:themeColor="text1"/>
          <w:szCs w:val="28"/>
          <w:lang w:eastAsia="zh-CN"/>
        </w:rPr>
        <w:t>示例：XX智能门锁使用说明书。</w:t>
      </w:r>
    </w:p>
    <w:p>
      <w:pPr>
        <w:pageBreakBefore w:val="0"/>
        <w:tabs>
          <w:tab w:val="left" w:pos="6737"/>
        </w:tabs>
        <w:kinsoku/>
        <w:wordWrap/>
        <w:overflowPunct/>
        <w:topLinePunct w:val="0"/>
        <w:bidi w:val="0"/>
        <w:spacing w:line="360" w:lineRule="auto"/>
        <w:ind w:firstLine="480"/>
        <w:jc w:val="both"/>
        <w:rPr>
          <w:rFonts w:hint="eastAsia"/>
          <w:lang w:eastAsia="zh-CN"/>
        </w:rPr>
      </w:pPr>
      <w:r>
        <w:rPr>
          <w:rFonts w:asciiTheme="minorEastAsia" w:hAnsiTheme="minorEastAsia" w:eastAsiaTheme="minorEastAsia"/>
          <w:color w:val="000000" w:themeColor="text1"/>
          <w:szCs w:val="28"/>
        </w:rPr>
        <w:t>该内容是让用户直观了解说明书所适用的对象</w:t>
      </w:r>
      <w:r>
        <w:rPr>
          <w:rFonts w:hint="eastAsia" w:asciiTheme="minorEastAsia" w:hAnsiTheme="minorEastAsia" w:eastAsiaTheme="minorEastAsia"/>
          <w:color w:val="000000" w:themeColor="text1"/>
          <w:szCs w:val="28"/>
        </w:rPr>
        <w:t>。</w:t>
      </w:r>
    </w:p>
    <w:p>
      <w:pPr>
        <w:pageBreakBefore w:val="0"/>
        <w:tabs>
          <w:tab w:val="left" w:pos="6737"/>
        </w:tabs>
        <w:kinsoku/>
        <w:wordWrap/>
        <w:overflowPunct/>
        <w:topLinePunct w:val="0"/>
        <w:bidi w:val="0"/>
        <w:spacing w:line="360" w:lineRule="auto"/>
        <w:ind w:firstLine="480"/>
        <w:jc w:val="both"/>
        <w:rPr>
          <w:rFonts w:hint="eastAsia" w:ascii="楷体" w:hAnsi="楷体" w:eastAsia="楷体"/>
          <w:color w:val="000000" w:themeColor="text1"/>
          <w:szCs w:val="28"/>
          <w:lang w:eastAsia="zh-CN"/>
        </w:rPr>
      </w:pPr>
      <w:r>
        <w:rPr>
          <w:rFonts w:ascii="楷体" w:hAnsi="楷体" w:eastAsia="楷体"/>
          <w:color w:val="000000" w:themeColor="text1"/>
          <w:szCs w:val="28"/>
        </w:rPr>
        <w:t>2.</w:t>
      </w:r>
      <w:r>
        <w:rPr>
          <w:rFonts w:hint="eastAsia" w:ascii="楷体" w:hAnsi="楷体" w:eastAsia="楷体"/>
          <w:color w:val="000000" w:themeColor="text1"/>
          <w:szCs w:val="28"/>
          <w:lang w:val="en-US" w:eastAsia="zh-CN"/>
        </w:rPr>
        <w:t>目录与索引</w:t>
      </w:r>
    </w:p>
    <w:p>
      <w:pPr>
        <w:pStyle w:val="41"/>
        <w:pageBreakBefore w:val="0"/>
        <w:kinsoku/>
        <w:wordWrap/>
        <w:overflowPunct/>
        <w:topLinePunct w:val="0"/>
        <w:bidi w:val="0"/>
        <w:spacing w:line="360" w:lineRule="auto"/>
        <w:rPr>
          <w:rFonts w:ascii="Times New Roman" w:hAnsi="Times New Roman" w:cs="Times New Roman"/>
          <w:color w:val="000000"/>
        </w:rPr>
      </w:pPr>
      <w:r>
        <w:rPr>
          <w:rFonts w:ascii="Times New Roman" w:hAnsi="Times New Roman" w:cs="Times New Roman"/>
          <w:color w:val="000000"/>
        </w:rPr>
        <w:t>说明书</w:t>
      </w:r>
      <w:r>
        <w:rPr>
          <w:rFonts w:hint="eastAsia" w:ascii="Times New Roman" w:hAnsi="Times New Roman" w:cs="Times New Roman"/>
          <w:color w:val="000000"/>
          <w:lang w:val="en-US" w:eastAsia="zh-CN"/>
        </w:rPr>
        <w:t>宜提供</w:t>
      </w:r>
      <w:r>
        <w:rPr>
          <w:rFonts w:ascii="Times New Roman" w:hAnsi="Times New Roman" w:cs="Times New Roman"/>
          <w:color w:val="000000"/>
        </w:rPr>
        <w:t>目录或索引</w:t>
      </w:r>
      <w:r>
        <w:rPr>
          <w:rFonts w:hint="eastAsia" w:ascii="Times New Roman" w:hAnsi="Times New Roman" w:cs="Times New Roman"/>
          <w:color w:val="000000"/>
        </w:rPr>
        <w:t>（</w:t>
      </w:r>
      <w:r>
        <w:rPr>
          <w:rFonts w:ascii="Times New Roman" w:hAnsi="Times New Roman" w:cs="Times New Roman"/>
          <w:color w:val="000000"/>
        </w:rPr>
        <w:t>或其他可供使用者快速查询所需信息的检索方式</w:t>
      </w:r>
      <w:r>
        <w:rPr>
          <w:rFonts w:hint="eastAsia" w:ascii="Times New Roman" w:hAnsi="Times New Roman" w:cs="Times New Roman"/>
          <w:color w:val="000000"/>
        </w:rPr>
        <w:t>）；</w:t>
      </w:r>
    </w:p>
    <w:p>
      <w:pPr>
        <w:pageBreakBefore w:val="0"/>
        <w:tabs>
          <w:tab w:val="left" w:pos="6737"/>
        </w:tabs>
        <w:kinsoku/>
        <w:wordWrap/>
        <w:overflowPunct/>
        <w:topLinePunct w:val="0"/>
        <w:bidi w:val="0"/>
        <w:spacing w:line="360" w:lineRule="auto"/>
        <w:ind w:firstLine="480"/>
        <w:jc w:val="both"/>
        <w:rPr>
          <w:rFonts w:hint="eastAsia" w:ascii="楷体" w:hAnsi="楷体" w:eastAsia="楷体"/>
          <w:color w:val="000000" w:themeColor="text1"/>
          <w:szCs w:val="28"/>
          <w:lang w:val="en-US" w:eastAsia="zh-CN"/>
        </w:rPr>
      </w:pPr>
      <w:r>
        <w:rPr>
          <w:rFonts w:hint="eastAsia" w:ascii="楷体" w:hAnsi="楷体" w:eastAsia="楷体"/>
          <w:color w:val="000000" w:themeColor="text1"/>
          <w:szCs w:val="28"/>
          <w:lang w:val="en-US" w:eastAsia="zh-CN"/>
        </w:rPr>
        <w:t>3.产品标识</w:t>
      </w:r>
    </w:p>
    <w:p>
      <w:pPr>
        <w:pStyle w:val="60"/>
        <w:pageBreakBefore w:val="0"/>
        <w:kinsoku/>
        <w:wordWrap/>
        <w:overflowPunct/>
        <w:topLinePunct w:val="0"/>
        <w:bidi w:val="0"/>
        <w:spacing w:line="360" w:lineRule="auto"/>
        <w:ind w:firstLine="420" w:firstLineChars="200"/>
        <w:rPr>
          <w:rFonts w:ascii="Times New Roman" w:hAnsi="Times New Roman" w:cs="Times New Roman"/>
          <w:kern w:val="2"/>
          <w:sz w:val="21"/>
          <w:highlight w:val="none"/>
          <w:lang w:eastAsia="zh-CN"/>
        </w:rPr>
      </w:pPr>
      <w:r>
        <w:rPr>
          <w:rFonts w:hint="eastAsia" w:ascii="Times New Roman" w:hAnsi="Times New Roman" w:cs="Times New Roman"/>
          <w:kern w:val="2"/>
          <w:sz w:val="21"/>
          <w:highlight w:val="none"/>
          <w:lang w:eastAsia="zh-CN"/>
        </w:rPr>
        <w:t>说明书</w:t>
      </w:r>
      <w:r>
        <w:rPr>
          <w:rFonts w:ascii="Times New Roman" w:hAnsi="Times New Roman" w:cs="Times New Roman"/>
          <w:kern w:val="2"/>
          <w:sz w:val="21"/>
          <w:highlight w:val="none"/>
          <w:lang w:eastAsia="zh-CN"/>
        </w:rPr>
        <w:t>应提供必要的标识信息</w:t>
      </w:r>
      <w:r>
        <w:rPr>
          <w:rFonts w:hint="eastAsia" w:ascii="Times New Roman" w:hAnsi="Times New Roman" w:cs="Times New Roman"/>
          <w:kern w:val="2"/>
          <w:sz w:val="21"/>
          <w:highlight w:val="none"/>
          <w:lang w:eastAsia="zh-CN"/>
        </w:rPr>
        <w:t>。</w:t>
      </w:r>
    </w:p>
    <w:p>
      <w:pPr>
        <w:pageBreakBefore w:val="0"/>
        <w:tabs>
          <w:tab w:val="left" w:pos="6737"/>
        </w:tabs>
        <w:kinsoku/>
        <w:wordWrap/>
        <w:overflowPunct/>
        <w:topLinePunct w:val="0"/>
        <w:bidi w:val="0"/>
        <w:spacing w:line="360" w:lineRule="auto"/>
        <w:ind w:firstLine="480"/>
        <w:jc w:val="both"/>
        <w:rPr>
          <w:rFonts w:hint="eastAsia" w:ascii="Times New Roman" w:hAnsi="Times New Roman" w:cs="Times New Roman"/>
          <w:kern w:val="2"/>
          <w:sz w:val="21"/>
          <w:highlight w:val="none"/>
          <w:lang w:eastAsia="zh-CN"/>
        </w:rPr>
      </w:pPr>
      <w:r>
        <w:rPr>
          <w:rFonts w:ascii="Times New Roman" w:hAnsi="Times New Roman" w:cs="Times New Roman"/>
          <w:kern w:val="2"/>
          <w:sz w:val="21"/>
          <w:highlight w:val="none"/>
          <w:lang w:eastAsia="zh-CN"/>
        </w:rPr>
        <w:t>标识包括但不限于功能图标</w:t>
      </w:r>
      <w:r>
        <w:rPr>
          <w:rFonts w:hint="eastAsia" w:ascii="Times New Roman" w:hAnsi="Times New Roman" w:cs="Times New Roman"/>
          <w:kern w:val="2"/>
          <w:sz w:val="21"/>
          <w:highlight w:val="none"/>
          <w:lang w:eastAsia="zh-CN"/>
        </w:rPr>
        <w:t>，</w:t>
      </w:r>
      <w:r>
        <w:rPr>
          <w:rFonts w:ascii="Times New Roman" w:hAnsi="Times New Roman" w:cs="Times New Roman"/>
          <w:kern w:val="2"/>
          <w:sz w:val="21"/>
          <w:highlight w:val="none"/>
          <w:lang w:eastAsia="zh-CN"/>
        </w:rPr>
        <w:t>警示标志</w:t>
      </w:r>
      <w:r>
        <w:rPr>
          <w:rFonts w:hint="eastAsia" w:ascii="Times New Roman" w:hAnsi="Times New Roman" w:cs="Times New Roman"/>
          <w:kern w:val="2"/>
          <w:sz w:val="21"/>
          <w:highlight w:val="none"/>
          <w:lang w:eastAsia="zh-CN"/>
        </w:rPr>
        <w:t>，</w:t>
      </w:r>
      <w:r>
        <w:rPr>
          <w:rFonts w:ascii="Times New Roman" w:hAnsi="Times New Roman" w:cs="Times New Roman"/>
          <w:kern w:val="2"/>
          <w:sz w:val="21"/>
          <w:highlight w:val="none"/>
          <w:lang w:eastAsia="zh-CN"/>
        </w:rPr>
        <w:t>警示说明</w:t>
      </w:r>
      <w:r>
        <w:rPr>
          <w:rFonts w:hint="eastAsia" w:ascii="Times New Roman" w:hAnsi="Times New Roman" w:cs="Times New Roman"/>
          <w:kern w:val="2"/>
          <w:sz w:val="21"/>
          <w:highlight w:val="none"/>
          <w:lang w:eastAsia="zh-CN"/>
        </w:rPr>
        <w:t>、</w:t>
      </w:r>
      <w:r>
        <w:rPr>
          <w:rFonts w:ascii="Times New Roman" w:hAnsi="Times New Roman" w:cs="Times New Roman"/>
          <w:kern w:val="2"/>
          <w:sz w:val="21"/>
          <w:highlight w:val="none"/>
          <w:lang w:eastAsia="zh-CN"/>
        </w:rPr>
        <w:t>批准日期和有效期限及认证标志等</w:t>
      </w:r>
      <w:r>
        <w:rPr>
          <w:rFonts w:hint="eastAsia" w:ascii="Times New Roman" w:hAnsi="Times New Roman" w:cs="Times New Roman"/>
          <w:kern w:val="2"/>
          <w:sz w:val="21"/>
          <w:highlight w:val="none"/>
          <w:lang w:eastAsia="zh-CN"/>
        </w:rPr>
        <w:t>。</w:t>
      </w:r>
    </w:p>
    <w:p>
      <w:pPr>
        <w:pageBreakBefore w:val="0"/>
        <w:tabs>
          <w:tab w:val="left" w:pos="6737"/>
        </w:tabs>
        <w:kinsoku/>
        <w:wordWrap/>
        <w:overflowPunct/>
        <w:topLinePunct w:val="0"/>
        <w:bidi w:val="0"/>
        <w:spacing w:line="360" w:lineRule="auto"/>
        <w:ind w:firstLine="480"/>
        <w:jc w:val="both"/>
        <w:rPr>
          <w:rFonts w:ascii="楷体" w:hAnsi="楷体" w:eastAsia="楷体"/>
          <w:color w:val="000000" w:themeColor="text1"/>
          <w:szCs w:val="28"/>
        </w:rPr>
      </w:pPr>
      <w:r>
        <w:rPr>
          <w:rFonts w:hint="eastAsia" w:ascii="楷体" w:hAnsi="楷体" w:eastAsia="楷体"/>
          <w:color w:val="000000" w:themeColor="text1"/>
          <w:szCs w:val="28"/>
          <w:lang w:val="en-US" w:eastAsia="zh-CN"/>
        </w:rPr>
        <w:t>4</w:t>
      </w:r>
      <w:r>
        <w:rPr>
          <w:rFonts w:ascii="楷体" w:hAnsi="楷体" w:eastAsia="楷体"/>
          <w:color w:val="000000" w:themeColor="text1"/>
          <w:szCs w:val="28"/>
        </w:rPr>
        <w:t>.版本号和发布日期</w:t>
      </w:r>
    </w:p>
    <w:p>
      <w:pPr>
        <w:pStyle w:val="60"/>
        <w:pageBreakBefore w:val="0"/>
        <w:kinsoku/>
        <w:wordWrap/>
        <w:overflowPunct/>
        <w:topLinePunct w:val="0"/>
        <w:bidi w:val="0"/>
        <w:spacing w:line="360" w:lineRule="auto"/>
        <w:ind w:firstLine="420" w:firstLineChars="200"/>
        <w:rPr>
          <w:rFonts w:ascii="Times New Roman" w:hAnsi="Times New Roman" w:cs="Times New Roman"/>
          <w:kern w:val="2"/>
          <w:sz w:val="21"/>
          <w:lang w:eastAsia="zh-CN"/>
        </w:rPr>
      </w:pPr>
      <w:r>
        <w:rPr>
          <w:rFonts w:hint="eastAsia" w:ascii="Times New Roman" w:hAnsi="Times New Roman" w:cs="Times New Roman"/>
          <w:kern w:val="2"/>
          <w:sz w:val="21"/>
          <w:lang w:eastAsia="zh-CN"/>
        </w:rPr>
        <w:t>说明书</w:t>
      </w:r>
      <w:r>
        <w:rPr>
          <w:rFonts w:hint="eastAsia" w:ascii="Times New Roman" w:hAnsi="Times New Roman" w:cs="Times New Roman"/>
          <w:kern w:val="2"/>
          <w:sz w:val="21"/>
          <w:lang w:val="en-US" w:eastAsia="zh-CN"/>
        </w:rPr>
        <w:t>中</w:t>
      </w:r>
      <w:r>
        <w:rPr>
          <w:rFonts w:ascii="Times New Roman" w:hAnsi="Times New Roman" w:cs="Times New Roman"/>
          <w:kern w:val="2"/>
          <w:sz w:val="21"/>
          <w:lang w:eastAsia="zh-CN"/>
        </w:rPr>
        <w:t>应注明说明书版本编号和对应的发布日期</w:t>
      </w:r>
      <w:r>
        <w:rPr>
          <w:rFonts w:hint="eastAsia" w:ascii="Times New Roman" w:hAnsi="Times New Roman" w:cs="Times New Roman"/>
          <w:kern w:val="2"/>
          <w:sz w:val="21"/>
          <w:lang w:eastAsia="zh-CN"/>
        </w:rPr>
        <w:t>。</w:t>
      </w:r>
    </w:p>
    <w:p>
      <w:pPr>
        <w:pageBreakBefore w:val="0"/>
        <w:tabs>
          <w:tab w:val="left" w:pos="6737"/>
        </w:tabs>
        <w:kinsoku/>
        <w:wordWrap/>
        <w:overflowPunct/>
        <w:topLinePunct w:val="0"/>
        <w:bidi w:val="0"/>
        <w:adjustRightInd w:val="0"/>
        <w:snapToGrid w:val="0"/>
        <w:spacing w:line="360" w:lineRule="auto"/>
        <w:ind w:firstLine="480" w:firstLineChars="200"/>
        <w:jc w:val="both"/>
        <w:rPr>
          <w:rFonts w:hint="eastAsia" w:asciiTheme="minorEastAsia" w:hAnsiTheme="minorEastAsia" w:eastAsiaTheme="minorEastAsia"/>
          <w:color w:val="000000" w:themeColor="text1"/>
          <w:szCs w:val="28"/>
        </w:rPr>
      </w:pPr>
      <w:r>
        <w:rPr>
          <w:rFonts w:asciiTheme="minorEastAsia" w:hAnsiTheme="minorEastAsia" w:eastAsiaTheme="minorEastAsia"/>
          <w:color w:val="000000" w:themeColor="text1"/>
          <w:szCs w:val="28"/>
        </w:rPr>
        <w:t>产品生产过程会影响产品性能</w:t>
      </w:r>
      <w:r>
        <w:rPr>
          <w:rFonts w:hint="eastAsia" w:asciiTheme="minorEastAsia" w:hAnsiTheme="minorEastAsia" w:eastAsiaTheme="minorEastAsia"/>
          <w:color w:val="000000" w:themeColor="text1"/>
          <w:szCs w:val="28"/>
        </w:rPr>
        <w:t>，</w:t>
      </w:r>
      <w:r>
        <w:rPr>
          <w:rFonts w:asciiTheme="minorEastAsia" w:hAnsiTheme="minorEastAsia" w:eastAsiaTheme="minorEastAsia"/>
          <w:color w:val="000000" w:themeColor="text1"/>
          <w:szCs w:val="28"/>
        </w:rPr>
        <w:t>进而影响用户使用</w:t>
      </w:r>
      <w:r>
        <w:rPr>
          <w:rFonts w:hint="eastAsia" w:asciiTheme="minorEastAsia" w:hAnsiTheme="minorEastAsia" w:eastAsiaTheme="minorEastAsia"/>
          <w:color w:val="000000" w:themeColor="text1"/>
          <w:szCs w:val="28"/>
        </w:rPr>
        <w:t>。</w:t>
      </w:r>
      <w:r>
        <w:rPr>
          <w:rFonts w:asciiTheme="minorEastAsia" w:hAnsiTheme="minorEastAsia" w:eastAsiaTheme="minorEastAsia"/>
          <w:color w:val="000000" w:themeColor="text1"/>
          <w:szCs w:val="28"/>
        </w:rPr>
        <w:t>因此在产品性能发生变化</w:t>
      </w:r>
      <w:r>
        <w:rPr>
          <w:rFonts w:hint="eastAsia" w:asciiTheme="minorEastAsia" w:hAnsiTheme="minorEastAsia" w:eastAsiaTheme="minorEastAsia"/>
          <w:color w:val="000000" w:themeColor="text1"/>
          <w:szCs w:val="28"/>
        </w:rPr>
        <w:t>，</w:t>
      </w:r>
      <w:r>
        <w:rPr>
          <w:rFonts w:asciiTheme="minorEastAsia" w:hAnsiTheme="minorEastAsia" w:eastAsiaTheme="minorEastAsia"/>
          <w:color w:val="000000" w:themeColor="text1"/>
          <w:szCs w:val="28"/>
        </w:rPr>
        <w:t>原说明书版本不适用时</w:t>
      </w:r>
      <w:r>
        <w:rPr>
          <w:rFonts w:hint="eastAsia" w:asciiTheme="minorEastAsia" w:hAnsiTheme="minorEastAsia" w:eastAsiaTheme="minorEastAsia"/>
          <w:color w:val="000000" w:themeColor="text1"/>
          <w:szCs w:val="28"/>
        </w:rPr>
        <w:t>，</w:t>
      </w:r>
      <w:r>
        <w:rPr>
          <w:rFonts w:asciiTheme="minorEastAsia" w:hAnsiTheme="minorEastAsia" w:eastAsiaTheme="minorEastAsia"/>
          <w:color w:val="000000" w:themeColor="text1"/>
          <w:szCs w:val="28"/>
        </w:rPr>
        <w:t>企业应按照相关程序和要求更新说明书内容</w:t>
      </w:r>
      <w:r>
        <w:rPr>
          <w:rFonts w:hint="eastAsia" w:asciiTheme="minorEastAsia" w:hAnsiTheme="minorEastAsia" w:eastAsiaTheme="minorEastAsia"/>
          <w:color w:val="000000" w:themeColor="text1"/>
          <w:szCs w:val="28"/>
        </w:rPr>
        <w:t>。</w:t>
      </w:r>
      <w:r>
        <w:rPr>
          <w:rFonts w:asciiTheme="minorEastAsia" w:hAnsiTheme="minorEastAsia" w:eastAsiaTheme="minorEastAsia"/>
          <w:color w:val="000000" w:themeColor="text1"/>
          <w:szCs w:val="28"/>
        </w:rPr>
        <w:t>为了使用户能正确使用说明书</w:t>
      </w:r>
      <w:r>
        <w:rPr>
          <w:rFonts w:hint="eastAsia" w:asciiTheme="minorEastAsia" w:hAnsiTheme="minorEastAsia" w:eastAsiaTheme="minorEastAsia"/>
          <w:color w:val="000000" w:themeColor="text1"/>
          <w:szCs w:val="28"/>
        </w:rPr>
        <w:t>，</w:t>
      </w:r>
      <w:r>
        <w:rPr>
          <w:rFonts w:asciiTheme="minorEastAsia" w:hAnsiTheme="minorEastAsia" w:eastAsiaTheme="minorEastAsia"/>
          <w:color w:val="000000" w:themeColor="text1"/>
          <w:szCs w:val="28"/>
        </w:rPr>
        <w:t>应给出说明书的版本号和发布日期</w:t>
      </w:r>
      <w:r>
        <w:rPr>
          <w:rFonts w:hint="eastAsia" w:asciiTheme="minorEastAsia" w:hAnsiTheme="minorEastAsia" w:eastAsiaTheme="minorEastAsia"/>
          <w:color w:val="000000" w:themeColor="text1"/>
          <w:szCs w:val="28"/>
        </w:rPr>
        <w:t>，确保说明书能与产品形成对应关系，避免错误使用。</w:t>
      </w:r>
    </w:p>
    <w:p>
      <w:pPr>
        <w:pageBreakBefore w:val="0"/>
        <w:tabs>
          <w:tab w:val="left" w:pos="6737"/>
        </w:tabs>
        <w:kinsoku/>
        <w:wordWrap/>
        <w:overflowPunct/>
        <w:topLinePunct w:val="0"/>
        <w:bidi w:val="0"/>
        <w:spacing w:line="360" w:lineRule="auto"/>
        <w:ind w:firstLine="480"/>
        <w:jc w:val="both"/>
        <w:rPr>
          <w:rFonts w:ascii="楷体" w:hAnsi="楷体" w:eastAsia="楷体"/>
          <w:color w:val="000000" w:themeColor="text1"/>
          <w:szCs w:val="28"/>
        </w:rPr>
      </w:pPr>
      <w:r>
        <w:rPr>
          <w:rFonts w:hint="eastAsia" w:ascii="楷体" w:hAnsi="楷体" w:eastAsia="楷体"/>
          <w:color w:val="000000" w:themeColor="text1"/>
          <w:szCs w:val="28"/>
          <w:lang w:val="en-US" w:eastAsia="zh-CN"/>
        </w:rPr>
        <w:t>5</w:t>
      </w:r>
      <w:r>
        <w:rPr>
          <w:rFonts w:ascii="楷体" w:hAnsi="楷体" w:eastAsia="楷体"/>
          <w:color w:val="000000" w:themeColor="text1"/>
          <w:szCs w:val="28"/>
        </w:rPr>
        <w:t>.</w:t>
      </w:r>
      <w:r>
        <w:rPr>
          <w:rFonts w:hint="eastAsia" w:ascii="楷体" w:hAnsi="楷体" w:eastAsia="楷体"/>
          <w:color w:val="000000" w:themeColor="text1"/>
          <w:szCs w:val="28"/>
        </w:rPr>
        <w:t>主体内容</w:t>
      </w:r>
    </w:p>
    <w:p>
      <w:pPr>
        <w:pageBreakBefore w:val="0"/>
        <w:kinsoku/>
        <w:wordWrap/>
        <w:overflowPunct/>
        <w:topLinePunct w:val="0"/>
        <w:bidi w:val="0"/>
        <w:spacing w:line="360" w:lineRule="auto"/>
        <w:ind w:firstLine="480"/>
        <w:jc w:val="both"/>
        <w:rPr>
          <w:rFonts w:ascii="楷体" w:hAnsi="楷体" w:eastAsia="楷体"/>
          <w:color w:val="000000" w:themeColor="text1"/>
          <w:szCs w:val="28"/>
        </w:rPr>
      </w:pPr>
      <w:r>
        <w:rPr>
          <w:rFonts w:hint="eastAsia" w:ascii="楷体" w:hAnsi="楷体" w:eastAsia="楷体"/>
          <w:color w:val="000000" w:themeColor="text1"/>
          <w:szCs w:val="28"/>
        </w:rPr>
        <w:t>（1）</w:t>
      </w:r>
      <w:r>
        <w:rPr>
          <w:rFonts w:ascii="楷体" w:hAnsi="楷体" w:eastAsia="楷体"/>
          <w:color w:val="000000" w:themeColor="text1"/>
          <w:szCs w:val="28"/>
        </w:rPr>
        <w:t>产品名称</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通用名称为智能门锁。</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智能门锁生产厂家宜根据各自产品特性及特点命名产品，并提供产品型号。</w:t>
      </w:r>
    </w:p>
    <w:p>
      <w:pPr>
        <w:pageBreakBefore w:val="0"/>
        <w:kinsoku/>
        <w:wordWrap/>
        <w:overflowPunct/>
        <w:topLinePunct w:val="0"/>
        <w:bidi w:val="0"/>
        <w:spacing w:line="360" w:lineRule="auto"/>
        <w:ind w:firstLine="480"/>
        <w:jc w:val="both"/>
        <w:rPr>
          <w:rFonts w:ascii="楷体" w:hAnsi="楷体" w:eastAsia="楷体"/>
          <w:color w:val="000000" w:themeColor="text1"/>
          <w:szCs w:val="28"/>
        </w:rPr>
      </w:pPr>
      <w:r>
        <w:rPr>
          <w:rFonts w:hint="eastAsia" w:asciiTheme="minorEastAsia" w:hAnsiTheme="minorEastAsia" w:eastAsiaTheme="minorEastAsia"/>
          <w:color w:val="000000" w:themeColor="text1"/>
          <w:szCs w:val="28"/>
        </w:rPr>
        <w:t>通用名称是国家规定的统一名称，一般是指产品标准中所规定的名称。</w:t>
      </w:r>
      <w:r>
        <w:rPr>
          <w:rFonts w:asciiTheme="minorEastAsia" w:hAnsiTheme="minorEastAsia" w:eastAsiaTheme="minorEastAsia"/>
          <w:color w:val="000000" w:themeColor="text1"/>
          <w:szCs w:val="28"/>
        </w:rPr>
        <w:t>商品名称则是由不同生产企业对自己生产的产品所起的名字,并经过注册,具有专用权</w:t>
      </w:r>
      <w:r>
        <w:rPr>
          <w:rFonts w:hint="eastAsia" w:asciiTheme="minorEastAsia" w:hAnsiTheme="minorEastAsia" w:eastAsiaTheme="minorEastAsia"/>
          <w:color w:val="000000" w:themeColor="text1"/>
          <w:szCs w:val="28"/>
        </w:rPr>
        <w:t>。</w:t>
      </w:r>
    </w:p>
    <w:p>
      <w:pPr>
        <w:pageBreakBefore w:val="0"/>
        <w:kinsoku/>
        <w:wordWrap/>
        <w:overflowPunct/>
        <w:topLinePunct w:val="0"/>
        <w:bidi w:val="0"/>
        <w:spacing w:line="360" w:lineRule="auto"/>
        <w:ind w:firstLine="480"/>
        <w:jc w:val="both"/>
        <w:rPr>
          <w:rFonts w:hint="eastAsia" w:ascii="楷体" w:hAnsi="楷体" w:eastAsia="楷体"/>
          <w:color w:val="000000" w:themeColor="text1"/>
          <w:szCs w:val="28"/>
          <w:lang w:eastAsia="zh-CN"/>
        </w:rPr>
      </w:pPr>
      <w:r>
        <w:rPr>
          <w:rFonts w:hint="eastAsia" w:ascii="楷体" w:hAnsi="楷体" w:eastAsia="楷体"/>
          <w:color w:val="000000" w:themeColor="text1"/>
          <w:szCs w:val="28"/>
        </w:rPr>
        <w:t>（</w:t>
      </w:r>
      <w:r>
        <w:rPr>
          <w:rFonts w:ascii="楷体" w:hAnsi="楷体" w:eastAsia="楷体"/>
          <w:color w:val="000000" w:themeColor="text1"/>
          <w:szCs w:val="28"/>
        </w:rPr>
        <w:t>2</w:t>
      </w:r>
      <w:r>
        <w:rPr>
          <w:rFonts w:hint="eastAsia" w:ascii="楷体" w:hAnsi="楷体" w:eastAsia="楷体"/>
          <w:color w:val="000000" w:themeColor="text1"/>
          <w:szCs w:val="28"/>
        </w:rPr>
        <w:t>）产品</w:t>
      </w:r>
      <w:r>
        <w:rPr>
          <w:rFonts w:hint="eastAsia" w:ascii="楷体" w:hAnsi="楷体" w:eastAsia="楷体"/>
          <w:color w:val="000000" w:themeColor="text1"/>
          <w:szCs w:val="28"/>
          <w:lang w:val="en-US" w:eastAsia="zh-CN"/>
        </w:rPr>
        <w:t>介绍</w:t>
      </w:r>
    </w:p>
    <w:p>
      <w:pPr>
        <w:pageBreakBefore w:val="0"/>
        <w:kinsoku/>
        <w:wordWrap/>
        <w:overflowPunct/>
        <w:topLinePunct w:val="0"/>
        <w:bidi w:val="0"/>
        <w:spacing w:line="360" w:lineRule="auto"/>
        <w:ind w:firstLine="480"/>
        <w:jc w:val="both"/>
        <w:rPr>
          <w:rFonts w:hint="eastAsia" w:ascii="楷体" w:hAnsi="楷体" w:eastAsia="楷体"/>
          <w:color w:val="000000" w:themeColor="text1"/>
          <w:szCs w:val="28"/>
        </w:rPr>
      </w:pPr>
      <w:r>
        <w:rPr>
          <w:rFonts w:hint="eastAsia" w:ascii="楷体" w:hAnsi="楷体" w:eastAsia="楷体"/>
          <w:color w:val="000000" w:themeColor="text1"/>
          <w:szCs w:val="28"/>
        </w:rPr>
        <w:t>说明书中应提供产品概述、产品特性、产品参数和技术参数。</w:t>
      </w:r>
    </w:p>
    <w:p>
      <w:pPr>
        <w:pageBreakBefore w:val="0"/>
        <w:kinsoku/>
        <w:wordWrap/>
        <w:overflowPunct/>
        <w:topLinePunct w:val="0"/>
        <w:bidi w:val="0"/>
        <w:spacing w:line="360" w:lineRule="auto"/>
        <w:ind w:firstLine="480"/>
        <w:jc w:val="both"/>
        <w:rPr>
          <w:rFonts w:hint="eastAsia" w:ascii="楷体" w:hAnsi="楷体" w:eastAsia="楷体"/>
          <w:color w:val="000000" w:themeColor="text1"/>
          <w:szCs w:val="28"/>
        </w:rPr>
      </w:pPr>
      <w:r>
        <w:rPr>
          <w:rFonts w:hint="eastAsia" w:ascii="楷体" w:hAnsi="楷体" w:eastAsia="楷体"/>
          <w:color w:val="000000" w:themeColor="text1"/>
          <w:szCs w:val="28"/>
        </w:rPr>
        <w:t>产品参数包括但不限于产品名称、产品型号</w:t>
      </w:r>
      <w:r>
        <w:rPr>
          <w:rFonts w:hint="eastAsia" w:ascii="楷体" w:hAnsi="楷体" w:eastAsia="楷体"/>
          <w:color w:val="000000" w:themeColor="text1"/>
          <w:szCs w:val="28"/>
          <w:lang w:eastAsia="zh-CN"/>
        </w:rPr>
        <w:t>、</w:t>
      </w:r>
      <w:r>
        <w:rPr>
          <w:rFonts w:hint="eastAsia" w:ascii="楷体" w:hAnsi="楷体" w:eastAsia="楷体"/>
          <w:color w:val="000000" w:themeColor="text1"/>
          <w:szCs w:val="28"/>
        </w:rPr>
        <w:t>产品尺寸和产品净重。</w:t>
      </w:r>
    </w:p>
    <w:p>
      <w:pPr>
        <w:pageBreakBefore w:val="0"/>
        <w:kinsoku/>
        <w:wordWrap/>
        <w:overflowPunct/>
        <w:topLinePunct w:val="0"/>
        <w:bidi w:val="0"/>
        <w:spacing w:line="360" w:lineRule="auto"/>
        <w:ind w:firstLine="480"/>
        <w:jc w:val="both"/>
        <w:rPr>
          <w:rFonts w:hint="eastAsia" w:ascii="楷体" w:hAnsi="楷体" w:eastAsia="楷体"/>
          <w:color w:val="000000" w:themeColor="text1"/>
          <w:szCs w:val="28"/>
        </w:rPr>
      </w:pPr>
      <w:r>
        <w:rPr>
          <w:rFonts w:hint="eastAsia" w:ascii="楷体" w:hAnsi="楷体" w:eastAsia="楷体"/>
          <w:color w:val="000000" w:themeColor="text1"/>
          <w:szCs w:val="28"/>
        </w:rPr>
        <w:t>技术参数包括但不限于供电方式、无线连接、产品安全级别、锁芯安全级别、执行标准、工作温度、工作湿度、环境适应性等级。</w:t>
      </w:r>
    </w:p>
    <w:p>
      <w:pPr>
        <w:pageBreakBefore w:val="0"/>
        <w:kinsoku/>
        <w:wordWrap/>
        <w:overflowPunct/>
        <w:topLinePunct w:val="0"/>
        <w:bidi w:val="0"/>
        <w:spacing w:line="360" w:lineRule="auto"/>
        <w:ind w:firstLine="480"/>
        <w:jc w:val="both"/>
        <w:rPr>
          <w:rFonts w:hint="eastAsia" w:asciiTheme="minorEastAsia" w:hAnsiTheme="minorEastAsia" w:eastAsiaTheme="minorEastAsia"/>
          <w:color w:val="000000" w:themeColor="text1"/>
          <w:szCs w:val="28"/>
          <w:lang w:val="en-US" w:eastAsia="zh-CN"/>
        </w:rPr>
      </w:pPr>
      <w:r>
        <w:rPr>
          <w:rFonts w:hint="eastAsia" w:asciiTheme="minorEastAsia" w:hAnsiTheme="minorEastAsia" w:eastAsiaTheme="minorEastAsia"/>
          <w:color w:val="000000" w:themeColor="text1"/>
          <w:szCs w:val="28"/>
          <w:lang w:val="en-US" w:eastAsia="zh-CN"/>
        </w:rPr>
        <w:t>产品介绍能直观反映本产品信息，也是突出产品特点的内容。产品参数和技术参数等是用户了解产品质量最直观的方式，</w:t>
      </w:r>
      <w:r>
        <w:rPr>
          <w:rFonts w:hint="eastAsia" w:asciiTheme="minorEastAsia" w:hAnsiTheme="minorEastAsia" w:eastAsiaTheme="minorEastAsia"/>
          <w:color w:val="000000" w:themeColor="text1"/>
          <w:szCs w:val="28"/>
        </w:rPr>
        <w:t>产品使用说明书中提供主要性能参数也是企业进行自我声明的表现。产品的包装方法和规格能够促进用户更好的使用</w:t>
      </w:r>
      <w:r>
        <w:rPr>
          <w:rFonts w:hint="eastAsia" w:asciiTheme="minorEastAsia" w:hAnsiTheme="minorEastAsia" w:eastAsiaTheme="minorEastAsia"/>
          <w:color w:val="000000" w:themeColor="text1"/>
          <w:szCs w:val="28"/>
          <w:lang w:eastAsia="zh-CN"/>
        </w:rPr>
        <w:t>。</w:t>
      </w:r>
    </w:p>
    <w:p>
      <w:pPr>
        <w:pageBreakBefore w:val="0"/>
        <w:kinsoku/>
        <w:wordWrap/>
        <w:overflowPunct/>
        <w:topLinePunct w:val="0"/>
        <w:bidi w:val="0"/>
        <w:spacing w:line="360" w:lineRule="auto"/>
        <w:ind w:firstLine="480"/>
        <w:jc w:val="both"/>
        <w:rPr>
          <w:rFonts w:hint="default" w:ascii="楷体" w:hAnsi="楷体" w:eastAsia="楷体"/>
          <w:color w:val="000000" w:themeColor="text1"/>
          <w:szCs w:val="28"/>
          <w:lang w:val="en-US" w:eastAsia="zh-CN"/>
        </w:rPr>
      </w:pPr>
      <w:r>
        <w:rPr>
          <w:rFonts w:hint="eastAsia" w:ascii="楷体" w:hAnsi="楷体" w:eastAsia="楷体"/>
          <w:color w:val="000000" w:themeColor="text1"/>
          <w:szCs w:val="28"/>
        </w:rPr>
        <w:t>（</w:t>
      </w:r>
      <w:r>
        <w:rPr>
          <w:rFonts w:ascii="楷体" w:hAnsi="楷体" w:eastAsia="楷体"/>
          <w:color w:val="000000" w:themeColor="text1"/>
          <w:szCs w:val="28"/>
        </w:rPr>
        <w:t>3</w:t>
      </w:r>
      <w:r>
        <w:rPr>
          <w:rFonts w:hint="eastAsia" w:ascii="楷体" w:hAnsi="楷体" w:eastAsia="楷体"/>
          <w:color w:val="000000" w:themeColor="text1"/>
          <w:szCs w:val="28"/>
        </w:rPr>
        <w:t>）</w:t>
      </w:r>
      <w:r>
        <w:rPr>
          <w:rFonts w:ascii="楷体" w:hAnsi="楷体" w:eastAsia="楷体"/>
          <w:color w:val="000000" w:themeColor="text1"/>
          <w:szCs w:val="28"/>
        </w:rPr>
        <w:t>产品</w:t>
      </w:r>
      <w:r>
        <w:rPr>
          <w:rFonts w:hint="eastAsia" w:ascii="楷体" w:hAnsi="楷体" w:eastAsia="楷体"/>
          <w:color w:val="000000" w:themeColor="text1"/>
          <w:szCs w:val="28"/>
          <w:lang w:val="en-US" w:eastAsia="zh-CN"/>
        </w:rPr>
        <w:t>图及产品清单</w:t>
      </w:r>
    </w:p>
    <w:p>
      <w:pPr>
        <w:pageBreakBefore w:val="0"/>
        <w:kinsoku/>
        <w:wordWrap/>
        <w:overflowPunct/>
        <w:topLinePunct w:val="0"/>
        <w:bidi w:val="0"/>
        <w:spacing w:line="360" w:lineRule="auto"/>
        <w:ind w:firstLine="480"/>
        <w:jc w:val="both"/>
        <w:rPr>
          <w:rFonts w:hint="eastAsia" w:ascii="楷体" w:hAnsi="楷体" w:eastAsia="楷体"/>
          <w:color w:val="000000" w:themeColor="text1"/>
          <w:szCs w:val="28"/>
          <w:lang w:val="en-US" w:eastAsia="zh-CN"/>
        </w:rPr>
      </w:pPr>
      <w:r>
        <w:rPr>
          <w:rFonts w:hint="eastAsia" w:ascii="楷体" w:hAnsi="楷体" w:eastAsia="楷体"/>
          <w:color w:val="000000" w:themeColor="text1"/>
          <w:szCs w:val="28"/>
          <w:lang w:val="en-US" w:eastAsia="zh-CN"/>
        </w:rPr>
        <w:t>说明书中应展示产品的平面图或者爆炸图，应标明尺寸。</w:t>
      </w:r>
    </w:p>
    <w:p>
      <w:pPr>
        <w:pageBreakBefore w:val="0"/>
        <w:kinsoku/>
        <w:wordWrap/>
        <w:overflowPunct/>
        <w:topLinePunct w:val="0"/>
        <w:bidi w:val="0"/>
        <w:spacing w:line="360" w:lineRule="auto"/>
        <w:ind w:firstLine="480"/>
        <w:jc w:val="both"/>
        <w:rPr>
          <w:rFonts w:hint="eastAsia" w:ascii="楷体" w:hAnsi="楷体" w:eastAsia="楷体"/>
          <w:color w:val="000000" w:themeColor="text1"/>
          <w:szCs w:val="28"/>
          <w:lang w:eastAsia="zh-CN"/>
        </w:rPr>
      </w:pPr>
      <w:r>
        <w:rPr>
          <w:rFonts w:hint="eastAsia" w:ascii="楷体" w:hAnsi="楷体" w:eastAsia="楷体"/>
          <w:color w:val="000000" w:themeColor="text1"/>
          <w:szCs w:val="28"/>
          <w:lang w:val="en-US" w:eastAsia="zh-CN"/>
        </w:rPr>
        <w:t>说明书中应采用图片展示或者使用文字列明该产品各部件的清单，并标记出部件名称和数量。</w:t>
      </w:r>
    </w:p>
    <w:p>
      <w:pPr>
        <w:pageBreakBefore w:val="0"/>
        <w:kinsoku/>
        <w:wordWrap/>
        <w:overflowPunct/>
        <w:topLinePunct w:val="0"/>
        <w:bidi w:val="0"/>
        <w:spacing w:line="360" w:lineRule="auto"/>
        <w:ind w:firstLine="480"/>
        <w:jc w:val="both"/>
        <w:rPr>
          <w:rFonts w:asciiTheme="minorEastAsia" w:hAnsiTheme="minorEastAsia" w:eastAsiaTheme="minorEastAsia"/>
          <w:color w:val="000000" w:themeColor="text1"/>
          <w:szCs w:val="28"/>
        </w:rPr>
      </w:pPr>
      <w:r>
        <w:rPr>
          <w:rFonts w:hint="eastAsia" w:asciiTheme="minorEastAsia" w:hAnsiTheme="minorEastAsia" w:eastAsiaTheme="minorEastAsia"/>
          <w:color w:val="000000" w:themeColor="text1"/>
          <w:szCs w:val="28"/>
        </w:rPr>
        <w:t>产品</w:t>
      </w:r>
      <w:r>
        <w:rPr>
          <w:rFonts w:hint="eastAsia" w:asciiTheme="minorEastAsia" w:hAnsiTheme="minorEastAsia" w:eastAsiaTheme="minorEastAsia"/>
          <w:color w:val="000000" w:themeColor="text1"/>
          <w:szCs w:val="28"/>
          <w:lang w:val="en-US" w:eastAsia="zh-CN"/>
        </w:rPr>
        <w:t>清单可提示和指导用户检查产品是否完好以及后续使用，</w:t>
      </w:r>
      <w:r>
        <w:rPr>
          <w:rFonts w:hint="eastAsia" w:asciiTheme="minorEastAsia" w:hAnsiTheme="minorEastAsia" w:eastAsiaTheme="minorEastAsia"/>
          <w:color w:val="000000" w:themeColor="text1"/>
          <w:szCs w:val="28"/>
        </w:rPr>
        <w:t>因此</w:t>
      </w:r>
      <w:r>
        <w:rPr>
          <w:rFonts w:hint="eastAsia" w:asciiTheme="minorEastAsia" w:hAnsiTheme="minorEastAsia" w:eastAsiaTheme="minorEastAsia"/>
          <w:color w:val="000000" w:themeColor="text1"/>
          <w:szCs w:val="28"/>
          <w:lang w:val="en-US" w:eastAsia="zh-CN"/>
        </w:rPr>
        <w:t>智能门锁</w:t>
      </w:r>
      <w:r>
        <w:rPr>
          <w:rFonts w:hint="eastAsia" w:asciiTheme="minorEastAsia" w:hAnsiTheme="minorEastAsia" w:eastAsiaTheme="minorEastAsia"/>
          <w:color w:val="000000" w:themeColor="text1"/>
          <w:szCs w:val="28"/>
        </w:rPr>
        <w:t>产品使用说明书中，应提供相关信息。</w:t>
      </w:r>
    </w:p>
    <w:p>
      <w:pPr>
        <w:pageBreakBefore w:val="0"/>
        <w:kinsoku/>
        <w:wordWrap/>
        <w:overflowPunct/>
        <w:topLinePunct w:val="0"/>
        <w:bidi w:val="0"/>
        <w:spacing w:line="360" w:lineRule="auto"/>
        <w:ind w:firstLine="480"/>
        <w:jc w:val="both"/>
        <w:rPr>
          <w:rFonts w:hint="eastAsia" w:ascii="楷体" w:hAnsi="楷体" w:eastAsia="楷体"/>
          <w:color w:val="000000" w:themeColor="text1"/>
          <w:szCs w:val="28"/>
          <w:lang w:eastAsia="zh-CN"/>
        </w:rPr>
      </w:pPr>
      <w:r>
        <w:rPr>
          <w:rFonts w:hint="eastAsia" w:ascii="楷体" w:hAnsi="楷体" w:eastAsia="楷体"/>
          <w:color w:val="000000" w:themeColor="text1"/>
          <w:szCs w:val="28"/>
        </w:rPr>
        <w:t>（</w:t>
      </w:r>
      <w:r>
        <w:rPr>
          <w:rFonts w:ascii="楷体" w:hAnsi="楷体" w:eastAsia="楷体"/>
          <w:color w:val="000000" w:themeColor="text1"/>
          <w:szCs w:val="28"/>
        </w:rPr>
        <w:t>4</w:t>
      </w:r>
      <w:r>
        <w:rPr>
          <w:rFonts w:hint="eastAsia" w:ascii="楷体" w:hAnsi="楷体" w:eastAsia="楷体"/>
          <w:color w:val="000000" w:themeColor="text1"/>
          <w:szCs w:val="28"/>
        </w:rPr>
        <w:t>）</w:t>
      </w:r>
      <w:r>
        <w:rPr>
          <w:rFonts w:hint="eastAsia" w:ascii="楷体" w:hAnsi="楷体" w:eastAsia="楷体"/>
          <w:color w:val="000000" w:themeColor="text1"/>
          <w:szCs w:val="28"/>
          <w:lang w:val="en-US" w:eastAsia="zh-CN"/>
        </w:rPr>
        <w:t>产品安装</w:t>
      </w:r>
    </w:p>
    <w:p>
      <w:pPr>
        <w:pStyle w:val="60"/>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说明书中应提供安装注意事项和安装方法，应提供详细易懂的文字或图片说明，推荐注明视频版安装方法的获取方式。</w:t>
      </w:r>
    </w:p>
    <w:p>
      <w:pPr>
        <w:pStyle w:val="60"/>
        <w:keepNext w:val="0"/>
        <w:keepLines w:val="0"/>
        <w:pageBreakBefore w:val="0"/>
        <w:widowControl/>
        <w:kinsoku/>
        <w:wordWrap/>
        <w:overflowPunct/>
        <w:topLinePunct w:val="0"/>
        <w:bidi w:val="0"/>
        <w:adjustRightInd/>
        <w:snapToGrid/>
        <w:spacing w:line="360" w:lineRule="auto"/>
        <w:ind w:firstLine="480" w:firstLineChars="200"/>
        <w:textAlignment w:val="auto"/>
        <w:rPr>
          <w:rFonts w:hint="default"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安装注意事项宜包括适配门厚、电池选择和安装后检查方法。</w:t>
      </w:r>
    </w:p>
    <w:p>
      <w:pPr>
        <w:pStyle w:val="60"/>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安装方法中中宜涵盖下列信息：</w:t>
      </w:r>
    </w:p>
    <w:p>
      <w:pPr>
        <w:pStyle w:val="41"/>
        <w:keepNext w:val="0"/>
        <w:keepLines w:val="0"/>
        <w:pageBreakBefore w:val="0"/>
        <w:widowControl/>
        <w:numPr>
          <w:ilvl w:val="0"/>
          <w:numId w:val="10"/>
        </w:numPr>
        <w:kinsoku/>
        <w:wordWrap/>
        <w:overflowPunct/>
        <w:topLinePunct w:val="0"/>
        <w:bidi w:val="0"/>
        <w:adjustRightInd/>
        <w:snapToGrid/>
        <w:spacing w:line="360" w:lineRule="auto"/>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清除运输和包装限制以及设备运输夹具的方法；</w:t>
      </w:r>
    </w:p>
    <w:p>
      <w:pPr>
        <w:pStyle w:val="41"/>
        <w:keepNext w:val="0"/>
        <w:keepLines w:val="0"/>
        <w:pageBreakBefore w:val="0"/>
        <w:widowControl/>
        <w:numPr>
          <w:ilvl w:val="0"/>
          <w:numId w:val="10"/>
        </w:numPr>
        <w:kinsoku/>
        <w:wordWrap/>
        <w:overflowPunct/>
        <w:topLinePunct w:val="0"/>
        <w:bidi w:val="0"/>
        <w:adjustRightInd/>
        <w:snapToGrid/>
        <w:spacing w:line="360" w:lineRule="auto"/>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拆包（有外包装的）以及任何保护性和防护性包装的拆卸和安全处理程序；</w:t>
      </w:r>
    </w:p>
    <w:p>
      <w:pPr>
        <w:pStyle w:val="41"/>
        <w:keepNext w:val="0"/>
        <w:keepLines w:val="0"/>
        <w:pageBreakBefore w:val="0"/>
        <w:widowControl/>
        <w:numPr>
          <w:ilvl w:val="0"/>
          <w:numId w:val="10"/>
        </w:numPr>
        <w:kinsoku/>
        <w:wordWrap/>
        <w:overflowPunct/>
        <w:topLinePunct w:val="0"/>
        <w:bidi w:val="0"/>
        <w:adjustRightInd/>
        <w:snapToGrid/>
        <w:spacing w:line="360" w:lineRule="auto"/>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包装中含有的物品清单；使用、维护和维修所需的最小空间；</w:t>
      </w:r>
    </w:p>
    <w:p>
      <w:pPr>
        <w:pStyle w:val="41"/>
        <w:keepNext w:val="0"/>
        <w:keepLines w:val="0"/>
        <w:pageBreakBefore w:val="0"/>
        <w:widowControl/>
        <w:numPr>
          <w:ilvl w:val="0"/>
          <w:numId w:val="10"/>
        </w:numPr>
        <w:kinsoku/>
        <w:wordWrap/>
        <w:overflowPunct/>
        <w:topLinePunct w:val="0"/>
        <w:bidi w:val="0"/>
        <w:adjustRightInd/>
        <w:snapToGrid/>
        <w:spacing w:line="360" w:lineRule="auto"/>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布置图；</w:t>
      </w:r>
    </w:p>
    <w:p>
      <w:pPr>
        <w:pStyle w:val="41"/>
        <w:keepNext w:val="0"/>
        <w:keepLines w:val="0"/>
        <w:pageBreakBefore w:val="0"/>
        <w:widowControl/>
        <w:numPr>
          <w:ilvl w:val="0"/>
          <w:numId w:val="10"/>
        </w:numPr>
        <w:kinsoku/>
        <w:wordWrap/>
        <w:overflowPunct/>
        <w:topLinePunct w:val="0"/>
        <w:bidi w:val="0"/>
        <w:adjustRightInd/>
        <w:snapToGrid/>
        <w:spacing w:line="360" w:lineRule="auto"/>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互连图或表；</w:t>
      </w:r>
    </w:p>
    <w:p>
      <w:pPr>
        <w:pStyle w:val="41"/>
        <w:keepNext w:val="0"/>
        <w:keepLines w:val="0"/>
        <w:pageBreakBefore w:val="0"/>
        <w:widowControl/>
        <w:numPr>
          <w:ilvl w:val="0"/>
          <w:numId w:val="10"/>
        </w:numPr>
        <w:kinsoku/>
        <w:wordWrap/>
        <w:overflowPunct/>
        <w:topLinePunct w:val="0"/>
        <w:bidi w:val="0"/>
        <w:adjustRightInd/>
        <w:snapToGrid/>
        <w:spacing w:line="360" w:lineRule="auto"/>
        <w:textAlignment w:val="auto"/>
        <w:rPr>
          <w:rFonts w:hint="default"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组装和安装条件；</w:t>
      </w:r>
    </w:p>
    <w:p>
      <w:pPr>
        <w:pStyle w:val="41"/>
        <w:keepNext w:val="0"/>
        <w:keepLines w:val="0"/>
        <w:pageBreakBefore w:val="0"/>
        <w:widowControl/>
        <w:numPr>
          <w:ilvl w:val="0"/>
          <w:numId w:val="0"/>
        </w:numPr>
        <w:kinsoku/>
        <w:wordWrap/>
        <w:overflowPunct/>
        <w:topLinePunct w:val="0"/>
        <w:bidi w:val="0"/>
        <w:adjustRightInd/>
        <w:snapToGrid/>
        <w:spacing w:line="360" w:lineRule="auto"/>
        <w:ind w:firstLine="480" w:firstLineChars="200"/>
        <w:textAlignment w:val="auto"/>
        <w:rPr>
          <w:rFonts w:hint="default" w:cs="宋体" w:asciiTheme="minorEastAsia" w:hAnsiTheme="minorEastAsia" w:eastAsiaTheme="minorEastAsia"/>
          <w:color w:val="000000" w:themeColor="text1"/>
          <w:sz w:val="24"/>
          <w:szCs w:val="28"/>
          <w:lang w:val="en-US" w:eastAsia="zh-CN" w:bidi="ar-SA"/>
        </w:rPr>
      </w:pPr>
      <w:r>
        <w:rPr>
          <w:rFonts w:hint="eastAsia" w:cs="宋体" w:asciiTheme="minorEastAsia" w:hAnsiTheme="minorEastAsia" w:eastAsiaTheme="minorEastAsia"/>
          <w:color w:val="000000" w:themeColor="text1"/>
          <w:sz w:val="24"/>
          <w:szCs w:val="28"/>
          <w:lang w:val="en-US" w:eastAsia="zh-CN" w:bidi="ar-SA"/>
        </w:rPr>
        <w:t>提供安装的注意事项和安装方法，有助于用户更好的使用产品，提高用户对产品质量的信心。</w:t>
      </w:r>
    </w:p>
    <w:p>
      <w:pPr>
        <w:pageBreakBefore w:val="0"/>
        <w:numPr>
          <w:ilvl w:val="0"/>
          <w:numId w:val="0"/>
        </w:numPr>
        <w:kinsoku/>
        <w:wordWrap/>
        <w:overflowPunct/>
        <w:topLinePunct w:val="0"/>
        <w:bidi w:val="0"/>
        <w:spacing w:line="360" w:lineRule="auto"/>
        <w:ind w:leftChars="200"/>
        <w:jc w:val="both"/>
        <w:rPr>
          <w:rFonts w:hint="eastAsia" w:ascii="楷体" w:hAnsi="楷体" w:eastAsia="楷体"/>
          <w:color w:val="000000" w:themeColor="text1"/>
          <w:szCs w:val="28"/>
          <w:lang w:eastAsia="zh-CN"/>
        </w:rPr>
      </w:pPr>
      <w:r>
        <w:rPr>
          <w:rFonts w:hint="eastAsia" w:ascii="楷体" w:hAnsi="楷体" w:eastAsia="楷体"/>
          <w:color w:val="000000" w:themeColor="text1"/>
          <w:szCs w:val="28"/>
          <w:lang w:val="en-US" w:eastAsia="zh-CN"/>
        </w:rPr>
        <w:t>（5）产品功能</w:t>
      </w:r>
    </w:p>
    <w:p>
      <w:pPr>
        <w:pStyle w:val="60"/>
        <w:pageBreakBefore w:val="0"/>
        <w:kinsoku/>
        <w:wordWrap/>
        <w:overflowPunct/>
        <w:topLinePunct w:val="0"/>
        <w:bidi w:val="0"/>
        <w:spacing w:line="360" w:lineRule="auto"/>
        <w:ind w:firstLine="480" w:firstLineChars="200"/>
        <w:rPr>
          <w:rFonts w:hint="default"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说明书中应列明产品功能。</w:t>
      </w:r>
    </w:p>
    <w:p>
      <w:pPr>
        <w:pageBreakBefore w:val="0"/>
        <w:numPr>
          <w:ilvl w:val="0"/>
          <w:numId w:val="0"/>
        </w:numPr>
        <w:kinsoku/>
        <w:wordWrap/>
        <w:overflowPunct/>
        <w:topLinePunct w:val="0"/>
        <w:bidi w:val="0"/>
        <w:spacing w:line="360" w:lineRule="auto"/>
        <w:ind w:leftChars="200"/>
        <w:jc w:val="both"/>
        <w:rPr>
          <w:rFonts w:hint="eastAsia" w:ascii="楷体" w:hAnsi="楷体" w:eastAsia="楷体"/>
          <w:color w:val="000000" w:themeColor="text1"/>
          <w:szCs w:val="28"/>
          <w:lang w:val="en-US" w:eastAsia="zh-CN"/>
        </w:rPr>
      </w:pPr>
      <w:r>
        <w:rPr>
          <w:rFonts w:hint="eastAsia" w:ascii="楷体" w:hAnsi="楷体" w:eastAsia="楷体"/>
          <w:color w:val="000000" w:themeColor="text1"/>
          <w:szCs w:val="28"/>
          <w:lang w:val="en-US" w:eastAsia="zh-CN"/>
        </w:rPr>
        <w:t>5.1开门</w:t>
      </w:r>
    </w:p>
    <w:p>
      <w:pPr>
        <w:pageBreakBefore w:val="0"/>
        <w:numPr>
          <w:ilvl w:val="0"/>
          <w:numId w:val="0"/>
        </w:numPr>
        <w:kinsoku/>
        <w:wordWrap/>
        <w:overflowPunct/>
        <w:topLinePunct w:val="0"/>
        <w:bidi w:val="0"/>
        <w:spacing w:line="360" w:lineRule="auto"/>
        <w:ind w:leftChars="200"/>
        <w:jc w:val="both"/>
        <w:rPr>
          <w:rFonts w:hint="default" w:ascii="楷体" w:hAnsi="楷体" w:eastAsia="楷体"/>
          <w:color w:val="000000" w:themeColor="text1"/>
          <w:szCs w:val="28"/>
          <w:lang w:val="en-US" w:eastAsia="zh-CN"/>
        </w:rPr>
      </w:pPr>
      <w:r>
        <w:rPr>
          <w:rFonts w:hint="eastAsia" w:ascii="楷体" w:hAnsi="楷体" w:eastAsia="楷体"/>
          <w:color w:val="000000" w:themeColor="text1"/>
          <w:szCs w:val="28"/>
          <w:lang w:val="en-US" w:eastAsia="zh-CN"/>
        </w:rPr>
        <w:t>说明书中应用图示或文字介绍开门功能。</w:t>
      </w:r>
    </w:p>
    <w:p>
      <w:pPr>
        <w:pageBreakBefore w:val="0"/>
        <w:numPr>
          <w:ilvl w:val="0"/>
          <w:numId w:val="0"/>
        </w:numPr>
        <w:kinsoku/>
        <w:wordWrap/>
        <w:overflowPunct/>
        <w:topLinePunct w:val="0"/>
        <w:bidi w:val="0"/>
        <w:spacing w:line="360" w:lineRule="auto"/>
        <w:ind w:leftChars="200"/>
        <w:jc w:val="both"/>
        <w:rPr>
          <w:rFonts w:hint="eastAsia" w:ascii="楷体" w:hAnsi="楷体" w:eastAsia="楷体"/>
          <w:color w:val="000000" w:themeColor="text1"/>
          <w:szCs w:val="28"/>
          <w:lang w:val="en-US" w:eastAsia="zh-CN"/>
        </w:rPr>
      </w:pPr>
      <w:r>
        <w:rPr>
          <w:rFonts w:hint="eastAsia" w:ascii="楷体" w:hAnsi="楷体" w:eastAsia="楷体"/>
          <w:color w:val="000000" w:themeColor="text1"/>
          <w:szCs w:val="28"/>
          <w:lang w:val="en-US" w:eastAsia="zh-CN"/>
        </w:rPr>
        <w:t>5.2 报警</w:t>
      </w:r>
    </w:p>
    <w:p>
      <w:pPr>
        <w:pageBreakBefore w:val="0"/>
        <w:numPr>
          <w:ilvl w:val="0"/>
          <w:numId w:val="0"/>
        </w:numPr>
        <w:kinsoku/>
        <w:wordWrap/>
        <w:overflowPunct/>
        <w:topLinePunct w:val="0"/>
        <w:bidi w:val="0"/>
        <w:spacing w:line="360" w:lineRule="auto"/>
        <w:ind w:leftChars="200"/>
        <w:jc w:val="both"/>
        <w:rPr>
          <w:rFonts w:hint="default" w:ascii="楷体" w:hAnsi="楷体" w:eastAsia="楷体"/>
          <w:color w:val="000000" w:themeColor="text1"/>
          <w:szCs w:val="28"/>
          <w:lang w:val="en-US" w:eastAsia="zh-CN"/>
        </w:rPr>
      </w:pPr>
      <w:r>
        <w:rPr>
          <w:rFonts w:hint="eastAsia" w:ascii="楷体" w:hAnsi="楷体" w:eastAsia="楷体"/>
          <w:color w:val="000000" w:themeColor="text1"/>
          <w:szCs w:val="28"/>
          <w:lang w:val="en-US" w:eastAsia="zh-CN"/>
        </w:rPr>
        <w:t>说明书中应包含防撬报警、欠电报警等报警功能的说明和解决办法。</w:t>
      </w:r>
    </w:p>
    <w:p>
      <w:pPr>
        <w:pageBreakBefore w:val="0"/>
        <w:numPr>
          <w:ilvl w:val="0"/>
          <w:numId w:val="0"/>
        </w:numPr>
        <w:kinsoku/>
        <w:wordWrap/>
        <w:overflowPunct/>
        <w:topLinePunct w:val="0"/>
        <w:bidi w:val="0"/>
        <w:spacing w:line="360" w:lineRule="auto"/>
        <w:ind w:leftChars="200"/>
        <w:jc w:val="both"/>
        <w:rPr>
          <w:rFonts w:hint="eastAsia" w:ascii="楷体" w:hAnsi="楷体" w:eastAsia="楷体"/>
          <w:color w:val="000000" w:themeColor="text1"/>
          <w:szCs w:val="28"/>
          <w:lang w:val="en-US" w:eastAsia="zh-CN"/>
        </w:rPr>
      </w:pPr>
      <w:r>
        <w:rPr>
          <w:rFonts w:hint="eastAsia" w:ascii="楷体" w:hAnsi="楷体" w:eastAsia="楷体"/>
          <w:color w:val="000000" w:themeColor="text1"/>
          <w:szCs w:val="28"/>
          <w:lang w:val="en-US" w:eastAsia="zh-CN"/>
        </w:rPr>
        <w:t>5.3 应急</w:t>
      </w:r>
    </w:p>
    <w:p>
      <w:pPr>
        <w:pageBreakBefore w:val="0"/>
        <w:numPr>
          <w:ilvl w:val="0"/>
          <w:numId w:val="0"/>
        </w:numPr>
        <w:kinsoku/>
        <w:wordWrap/>
        <w:overflowPunct/>
        <w:topLinePunct w:val="0"/>
        <w:bidi w:val="0"/>
        <w:spacing w:line="360" w:lineRule="auto"/>
        <w:ind w:leftChars="200"/>
        <w:jc w:val="both"/>
        <w:rPr>
          <w:rFonts w:hint="eastAsia" w:ascii="楷体" w:hAnsi="楷体" w:eastAsia="楷体"/>
          <w:color w:val="000000" w:themeColor="text1"/>
          <w:szCs w:val="28"/>
          <w:lang w:val="en-US" w:eastAsia="zh-CN"/>
        </w:rPr>
      </w:pPr>
      <w:r>
        <w:rPr>
          <w:rFonts w:hint="eastAsia" w:ascii="楷体" w:hAnsi="楷体" w:eastAsia="楷体"/>
          <w:color w:val="000000" w:themeColor="text1"/>
          <w:szCs w:val="28"/>
          <w:lang w:val="en-US" w:eastAsia="zh-CN"/>
        </w:rPr>
        <w:t>说明书中应包含紧急备用钥匙或密码的获取方法和应急电源（如有）的使用方法。</w:t>
      </w:r>
    </w:p>
    <w:p>
      <w:pPr>
        <w:pageBreakBefore w:val="0"/>
        <w:kinsoku/>
        <w:wordWrap/>
        <w:overflowPunct/>
        <w:topLinePunct w:val="0"/>
        <w:bidi w:val="0"/>
        <w:spacing w:line="360" w:lineRule="auto"/>
        <w:ind w:firstLine="480" w:firstLineChars="200"/>
        <w:rPr>
          <w:rFonts w:hint="default"/>
          <w:lang w:val="en-US" w:eastAsia="zh-CN"/>
        </w:rPr>
      </w:pPr>
      <w:r>
        <w:rPr>
          <w:rFonts w:hint="eastAsia"/>
          <w:lang w:val="en-US" w:eastAsia="zh-CN"/>
        </w:rPr>
        <w:t>对产品功能的介绍有助于用户进一步了解本产品。</w:t>
      </w:r>
    </w:p>
    <w:p>
      <w:pPr>
        <w:pStyle w:val="60"/>
        <w:keepNext w:val="0"/>
        <w:keepLines w:val="0"/>
        <w:pageBreakBefore w:val="0"/>
        <w:widowControl/>
        <w:tabs>
          <w:tab w:val="left" w:pos="1852"/>
        </w:tabs>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（6）使用方法</w:t>
      </w:r>
    </w:p>
    <w:p>
      <w:pPr>
        <w:pStyle w:val="60"/>
        <w:keepNext w:val="0"/>
        <w:keepLines w:val="0"/>
        <w:pageBreakBefore w:val="0"/>
        <w:widowControl/>
        <w:tabs>
          <w:tab w:val="left" w:pos="1852"/>
        </w:tabs>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说明书中应有明确文字、图示或视频指导消费者进行使用。</w:t>
      </w:r>
    </w:p>
    <w:p>
      <w:pPr>
        <w:pStyle w:val="60"/>
        <w:keepNext w:val="0"/>
        <w:keepLines w:val="0"/>
        <w:pageBreakBefore w:val="0"/>
        <w:widowControl/>
        <w:tabs>
          <w:tab w:val="left" w:pos="1852"/>
        </w:tabs>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6.1 开锁方法</w:t>
      </w:r>
    </w:p>
    <w:p>
      <w:pPr>
        <w:pStyle w:val="60"/>
        <w:keepNext w:val="0"/>
        <w:keepLines w:val="0"/>
        <w:pageBreakBefore w:val="0"/>
        <w:widowControl/>
        <w:tabs>
          <w:tab w:val="left" w:pos="1852"/>
        </w:tabs>
        <w:kinsoku/>
        <w:wordWrap/>
        <w:overflowPunct/>
        <w:topLinePunct w:val="0"/>
        <w:autoSpaceDE/>
        <w:autoSpaceDN/>
        <w:bidi w:val="0"/>
        <w:adjustRightInd/>
        <w:snapToGrid/>
        <w:spacing w:line="360" w:lineRule="auto"/>
        <w:ind w:firstLine="480" w:firstLineChars="200"/>
        <w:textAlignment w:val="auto"/>
        <w:rPr>
          <w:rFonts w:hint="default"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说明书应根据产品自身功能特点，写明开锁方法，如指纹开锁、密码开锁、机械钥匙开启、应急开锁、APP开锁等。</w:t>
      </w:r>
    </w:p>
    <w:p>
      <w:pPr>
        <w:pStyle w:val="60"/>
        <w:keepNext w:val="0"/>
        <w:keepLines w:val="0"/>
        <w:pageBreakBefore w:val="0"/>
        <w:widowControl/>
        <w:tabs>
          <w:tab w:val="left" w:pos="1852"/>
        </w:tabs>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6.2 门锁定</w:t>
      </w:r>
    </w:p>
    <w:p>
      <w:pPr>
        <w:pStyle w:val="60"/>
        <w:keepNext w:val="0"/>
        <w:keepLines w:val="0"/>
        <w:pageBreakBefore w:val="0"/>
        <w:widowControl/>
        <w:tabs>
          <w:tab w:val="left" w:pos="1852"/>
        </w:tabs>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说明书中应注明门锁定的方法。</w:t>
      </w:r>
    </w:p>
    <w:p>
      <w:pPr>
        <w:pStyle w:val="60"/>
        <w:keepNext w:val="0"/>
        <w:keepLines w:val="0"/>
        <w:pageBreakBefore w:val="0"/>
        <w:widowControl/>
        <w:tabs>
          <w:tab w:val="left" w:pos="1852"/>
        </w:tabs>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6.3 清空功能说明</w:t>
      </w:r>
    </w:p>
    <w:p>
      <w:pPr>
        <w:pStyle w:val="60"/>
        <w:keepNext w:val="0"/>
        <w:keepLines w:val="0"/>
        <w:pageBreakBefore w:val="0"/>
        <w:widowControl/>
        <w:tabs>
          <w:tab w:val="left" w:pos="1852"/>
        </w:tabs>
        <w:kinsoku/>
        <w:wordWrap/>
        <w:overflowPunct/>
        <w:topLinePunct w:val="0"/>
        <w:autoSpaceDE/>
        <w:autoSpaceDN/>
        <w:bidi w:val="0"/>
        <w:adjustRightInd/>
        <w:snapToGrid/>
        <w:spacing w:line="360" w:lineRule="auto"/>
        <w:ind w:firstLine="480" w:firstLineChars="200"/>
        <w:textAlignment w:val="auto"/>
        <w:rPr>
          <w:rFonts w:hint="default"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说明书中应注明如何清空功能（恢复出厂设置）。</w:t>
      </w:r>
    </w:p>
    <w:p>
      <w:pPr>
        <w:pStyle w:val="60"/>
        <w:keepNext w:val="0"/>
        <w:keepLines w:val="0"/>
        <w:pageBreakBefore w:val="0"/>
        <w:widowControl/>
        <w:tabs>
          <w:tab w:val="left" w:pos="1852"/>
        </w:tabs>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6.4 功能设置说明</w:t>
      </w:r>
    </w:p>
    <w:p>
      <w:pPr>
        <w:pStyle w:val="60"/>
        <w:keepNext w:val="0"/>
        <w:keepLines w:val="0"/>
        <w:pageBreakBefore w:val="0"/>
        <w:widowControl/>
        <w:tabs>
          <w:tab w:val="left" w:pos="1852"/>
        </w:tabs>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说明书中应使用图示展示产品的各项功能如何设置。</w:t>
      </w:r>
    </w:p>
    <w:p>
      <w:pPr>
        <w:pStyle w:val="60"/>
        <w:keepNext w:val="0"/>
        <w:keepLines w:val="0"/>
        <w:pageBreakBefore w:val="0"/>
        <w:widowControl/>
        <w:tabs>
          <w:tab w:val="left" w:pos="1852"/>
        </w:tabs>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6.5 系统设置</w:t>
      </w:r>
    </w:p>
    <w:p>
      <w:pPr>
        <w:pStyle w:val="60"/>
        <w:keepNext w:val="0"/>
        <w:keepLines w:val="0"/>
        <w:pageBreakBefore w:val="0"/>
        <w:widowControl/>
        <w:tabs>
          <w:tab w:val="left" w:pos="1852"/>
        </w:tabs>
        <w:kinsoku/>
        <w:wordWrap/>
        <w:overflowPunct/>
        <w:topLinePunct w:val="0"/>
        <w:autoSpaceDE/>
        <w:autoSpaceDN/>
        <w:bidi w:val="0"/>
        <w:adjustRightInd/>
        <w:snapToGrid/>
        <w:spacing w:line="360" w:lineRule="auto"/>
        <w:ind w:firstLine="480" w:firstLineChars="200"/>
        <w:textAlignment w:val="auto"/>
        <w:rPr>
          <w:rFonts w:hint="default"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说明书中应注明系统设置方法，如时间、语言、音量、开锁模式、人体感应、关门时间、自动上锁时间设置等。</w:t>
      </w:r>
    </w:p>
    <w:p>
      <w:pPr>
        <w:pStyle w:val="60"/>
        <w:keepNext w:val="0"/>
        <w:keepLines w:val="0"/>
        <w:pageBreakBefore w:val="0"/>
        <w:widowControl/>
        <w:tabs>
          <w:tab w:val="left" w:pos="1852"/>
        </w:tabs>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6.6 联网操作说明（如有）</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对于部分可联网操作的智能门锁产品，说明书中应包含通过微信公众号、微信小程序或APP等使用时的联网操作说明。</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bidi="ar-SA"/>
        </w:rPr>
      </w:pPr>
      <w:r>
        <w:rPr>
          <w:rFonts w:hint="eastAsia" w:ascii="宋体" w:hAnsi="宋体" w:eastAsia="宋体" w:cs="宋体"/>
          <w:sz w:val="24"/>
          <w:szCs w:val="24"/>
          <w:lang w:val="en-US" w:eastAsia="zh-CN" w:bidi="ar-SA"/>
        </w:rPr>
        <w:t>使用文字、图示或视频可以直观地展示产品的使用方法，方便用户了解本产品的使用以及操作。</w:t>
      </w:r>
    </w:p>
    <w:p>
      <w:pPr>
        <w:pStyle w:val="60"/>
        <w:keepNext w:val="0"/>
        <w:keepLines w:val="0"/>
        <w:pageBreakBefore w:val="0"/>
        <w:widowControl/>
        <w:numPr>
          <w:ilvl w:val="0"/>
          <w:numId w:val="11"/>
        </w:numPr>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售后</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说明书中应对售后服务进行说明。</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7.1 生产产家质量承诺和服务</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说明书中应包含生产厂家对所生产的智能门锁产品做出的质量承诺，以及为此产品提供的后续维保服务。</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7.2 保修</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说明书中应提供保修卡，并写明保修条例。</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bidi="ar-SA"/>
        </w:rPr>
      </w:pPr>
      <w:r>
        <w:rPr>
          <w:rFonts w:hint="eastAsia" w:ascii="宋体" w:hAnsi="宋体" w:eastAsia="宋体" w:cs="宋体"/>
          <w:sz w:val="24"/>
          <w:szCs w:val="24"/>
          <w:lang w:val="en-US" w:eastAsia="zh-CN" w:bidi="ar-SA"/>
        </w:rPr>
        <w:t>说明书中提供售后信息，包含生产厂家的质量承诺和服务，能使用户对本产品更有信心，也为用户的后续使用提供了保障。</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（8）产品有效期及过期（或淘汰）的处置方法</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说明书中应注明包括产品贮存条件、保质期、有效期、过期/失效/破损的处置方法，以及寿命到期后的拆除、处置以及产品循环利用方法等内容。</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bidi="ar-SA"/>
        </w:rPr>
      </w:pPr>
      <w:r>
        <w:rPr>
          <w:rFonts w:hint="eastAsia" w:ascii="宋体" w:hAnsi="宋体" w:eastAsia="宋体" w:cs="宋体"/>
          <w:sz w:val="24"/>
          <w:szCs w:val="24"/>
          <w:lang w:val="en-US" w:eastAsia="zh-CN" w:bidi="ar-SA"/>
        </w:rPr>
        <w:t>智能门锁虽然属于寿命较长的智能机械产品，但依旧存在着松动、脱落、机械部件老化等问题，不规范使用会严重危害人身财产安全生产，企业须提供贮存条件、保质期、有效期、过期/失效/破损的处置方法，以及寿命到期后的拆除、处置以及产品循环利用方法。</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（9）注意事项和防护措施</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说明书中应写明注意事项和防护措施，不限于安装、运输、贮存、使用、电池、操作、维修与保养等注意事项，以及保护用户与产品的安全措施。</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宋体" w:hAnsi="宋体" w:eastAsia="宋体" w:cs="宋体"/>
          <w:sz w:val="24"/>
          <w:szCs w:val="24"/>
          <w:lang w:val="en-US" w:eastAsia="zh-CN" w:bidi="ar-SA"/>
        </w:rPr>
        <w:t>注意和提示事项，对于保障消费者的身体健康和人身、财产安全具有重要的作用。对于本产品，从生产到使用过程，主要包括上述几个环节，因此对于相关环节应提供必要的注意事项，促进用户更好的使用产品。</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（10）产品中有害物质的名称和含量</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说明书中应依据SJ/T11364的规定编制产品中有害物质的名称和含量表格。</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bidi="ar-SA"/>
        </w:rPr>
      </w:pPr>
      <w:r>
        <w:rPr>
          <w:rFonts w:hint="eastAsia" w:ascii="宋体" w:hAnsi="宋体" w:eastAsia="宋体" w:cs="宋体"/>
          <w:sz w:val="24"/>
          <w:szCs w:val="24"/>
          <w:lang w:val="en-US" w:eastAsia="zh-CN" w:bidi="ar-SA"/>
        </w:rPr>
        <w:t>在说明书中标出产品中有害物质的名称和含量，可以消除用户在使用本产品时对于健康问题的担忧。</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（11）生产者信息</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说明书中包括生产厂家、厂址、产地、联系方式和售后服务等信息。</w:t>
      </w:r>
    </w:p>
    <w:p>
      <w:pPr>
        <w:spacing w:line="360" w:lineRule="auto"/>
        <w:ind w:firstLine="480"/>
        <w:jc w:val="both"/>
        <w:rPr>
          <w:rFonts w:hint="eastAsia" w:ascii="楷体" w:hAnsi="楷体" w:eastAsia="楷体" w:cs="宋体"/>
          <w:color w:val="000000" w:themeColor="text1"/>
          <w:sz w:val="24"/>
          <w:szCs w:val="28"/>
          <w:lang w:val="en-US" w:eastAsia="zh-CN" w:bidi="ar-SA"/>
        </w:rPr>
      </w:pPr>
      <w:r>
        <w:rPr>
          <w:rFonts w:hint="eastAsia"/>
          <w:color w:val="000000" w:themeColor="text1"/>
        </w:rPr>
        <w:t>生产者的相关信息是生产者承担产品质量主体责任的体现，属于必须含有的信息，该条款是用户、监管等各方能联系企业的重要渠道之一，因此对于企业名称、地址及联系方式是必须提供的，此外为了解决用户遇到的问题和困难，鼓励企业提供售后服务咨询。</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（12）隐私说明和免责说明</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说明书中应包含厂家对产品涉及隐私情况的说明，包括但不限于如何收集用户的个人信息、如何使用客户的个人信息等。</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宋体"/>
          <w:color w:val="000000" w:themeColor="text1"/>
          <w:sz w:val="24"/>
          <w:szCs w:val="28"/>
          <w:lang w:val="en-US" w:eastAsia="zh-CN" w:bidi="ar-SA"/>
        </w:rPr>
      </w:pPr>
      <w:r>
        <w:rPr>
          <w:rFonts w:hint="eastAsia" w:ascii="楷体" w:hAnsi="楷体" w:eastAsia="楷体" w:cs="宋体"/>
          <w:color w:val="000000" w:themeColor="text1"/>
          <w:sz w:val="24"/>
          <w:szCs w:val="28"/>
          <w:lang w:val="en-US" w:eastAsia="zh-CN" w:bidi="ar-SA"/>
        </w:rPr>
        <w:t>说明书应在醒目位置标有“在使用前须认真阅读本使用说明书，阅读后妥善保存”或类似文字，应在醒目位置提醒使用者禁止对智能门锁进行非法改装。说明书中应对未按照规定要求使用产生的不良后果进行免责声明。</w:t>
      </w:r>
    </w:p>
    <w:p>
      <w:pPr>
        <w:pStyle w:val="6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000000" w:themeColor="text1"/>
          <w:sz w:val="24"/>
          <w:szCs w:val="24"/>
          <w:lang w:val="en-US" w:eastAsia="zh-CN" w:bidi="ar-SA"/>
        </w:rPr>
      </w:pPr>
      <w:r>
        <w:rPr>
          <w:rFonts w:hint="eastAsia" w:ascii="宋体" w:hAnsi="宋体" w:eastAsia="宋体" w:cs="宋体"/>
          <w:color w:val="000000" w:themeColor="text1"/>
          <w:sz w:val="24"/>
          <w:szCs w:val="24"/>
          <w:lang w:val="en-US" w:eastAsia="zh-CN" w:bidi="ar-SA"/>
        </w:rPr>
        <w:t>隐私说明和免责说明对用户起到警示作用，以免用户未按规范使用造成健康问题或财产损失，也为生产企业免去一些不必要的责任。本产品在使用过程中可能会涉及自己或他人的隐私，在说明书中有所规定，也保护了用户的知情权。</w:t>
      </w:r>
    </w:p>
    <w:p>
      <w:pPr>
        <w:pStyle w:val="28"/>
        <w:pageBreakBefore w:val="0"/>
        <w:kinsoku/>
        <w:wordWrap/>
        <w:overflowPunct/>
        <w:topLinePunct w:val="0"/>
        <w:bidi w:val="0"/>
        <w:spacing w:line="360" w:lineRule="auto"/>
        <w:jc w:val="both"/>
        <w:outlineLvl w:val="1"/>
        <w:rPr>
          <w:rFonts w:hint="eastAsia" w:ascii="宋体" w:hAnsi="宋体" w:eastAsia="宋体" w:cs="宋体"/>
          <w:b/>
          <w:bCs/>
          <w:color w:val="000000" w:themeColor="text1"/>
          <w:sz w:val="24"/>
          <w:szCs w:val="24"/>
          <w:lang w:val="en-US" w:eastAsia="zh-CN" w:bidi="ar-SA"/>
        </w:rPr>
      </w:pPr>
      <w:bookmarkStart w:id="17" w:name="_Toc16596"/>
      <w:bookmarkStart w:id="18" w:name="BookMark8"/>
      <w:r>
        <w:rPr>
          <w:rFonts w:hint="eastAsia" w:ascii="宋体" w:hAnsi="宋体" w:eastAsia="宋体" w:cs="宋体"/>
          <w:b/>
          <w:bCs/>
          <w:color w:val="000000" w:themeColor="text1"/>
          <w:sz w:val="24"/>
          <w:szCs w:val="24"/>
          <w:lang w:val="en-US" w:eastAsia="zh-CN" w:bidi="ar-SA"/>
        </w:rPr>
        <w:t>3 标准验证情况</w:t>
      </w:r>
      <w:bookmarkEnd w:id="17"/>
    </w:p>
    <w:p>
      <w:pPr>
        <w:pageBreakBefore w:val="0"/>
        <w:kinsoku/>
        <w:wordWrap/>
        <w:overflowPunct/>
        <w:topLinePunct w:val="0"/>
        <w:bidi w:val="0"/>
        <w:spacing w:line="360" w:lineRule="auto"/>
        <w:ind w:firstLine="495"/>
        <w:jc w:val="both"/>
        <w:rPr>
          <w:color w:val="000000" w:themeColor="text1"/>
        </w:rPr>
      </w:pPr>
      <w:r>
        <w:rPr>
          <w:rFonts w:hint="eastAsia"/>
          <w:color w:val="000000" w:themeColor="text1"/>
        </w:rPr>
        <w:t>本文件的验证为对现有企业正在使用的</w:t>
      </w:r>
      <w:r>
        <w:rPr>
          <w:rFonts w:hint="eastAsia"/>
          <w:color w:val="000000" w:themeColor="text1"/>
          <w:lang w:val="en-US" w:eastAsia="zh-CN"/>
        </w:rPr>
        <w:t>智能门锁</w:t>
      </w:r>
      <w:r>
        <w:rPr>
          <w:rFonts w:hint="eastAsia"/>
          <w:color w:val="000000" w:themeColor="text1"/>
        </w:rPr>
        <w:t>（使用）说明书或相关文件进行了收集整理研究，并与本文件进行了比对，结果显示本文件能够涵盖</w:t>
      </w:r>
      <w:r>
        <w:rPr>
          <w:rFonts w:hint="eastAsia"/>
          <w:color w:val="000000" w:themeColor="text1"/>
          <w:lang w:val="en-US" w:eastAsia="zh-CN"/>
        </w:rPr>
        <w:t>智能门锁</w:t>
      </w:r>
      <w:r>
        <w:rPr>
          <w:rFonts w:hint="eastAsia"/>
          <w:color w:val="000000" w:themeColor="text1"/>
        </w:rPr>
        <w:t>产品使用说明书的内容。</w:t>
      </w:r>
    </w:p>
    <w:bookmarkEnd w:id="18"/>
    <w:p>
      <w:pPr>
        <w:pStyle w:val="28"/>
        <w:pageBreakBefore w:val="0"/>
        <w:kinsoku/>
        <w:wordWrap/>
        <w:overflowPunct/>
        <w:topLinePunct w:val="0"/>
        <w:bidi w:val="0"/>
        <w:spacing w:line="360" w:lineRule="auto"/>
        <w:jc w:val="both"/>
        <w:outlineLvl w:val="1"/>
        <w:rPr>
          <w:rFonts w:hint="eastAsia" w:ascii="宋体" w:hAnsi="宋体" w:eastAsia="宋体" w:cs="宋体"/>
          <w:b/>
          <w:bCs/>
          <w:color w:val="000000" w:themeColor="text1"/>
          <w:sz w:val="24"/>
          <w:szCs w:val="24"/>
          <w:lang w:val="en-US" w:eastAsia="zh-CN" w:bidi="ar-SA"/>
        </w:rPr>
      </w:pPr>
      <w:bookmarkStart w:id="19" w:name="_Toc21655"/>
      <w:r>
        <w:rPr>
          <w:rFonts w:hint="eastAsia" w:ascii="宋体" w:hAnsi="宋体" w:eastAsia="宋体" w:cs="宋体"/>
          <w:b/>
          <w:bCs/>
          <w:color w:val="000000" w:themeColor="text1"/>
          <w:sz w:val="24"/>
          <w:szCs w:val="24"/>
          <w:lang w:val="en-US" w:eastAsia="zh-CN" w:bidi="ar-SA"/>
        </w:rPr>
        <w:t>4 标准中涉及专利、知识产权情况说明</w:t>
      </w:r>
      <w:bookmarkEnd w:id="19"/>
    </w:p>
    <w:p>
      <w:pPr>
        <w:pageBreakBefore w:val="0"/>
        <w:kinsoku/>
        <w:wordWrap/>
        <w:overflowPunct/>
        <w:topLinePunct w:val="0"/>
        <w:bidi w:val="0"/>
        <w:spacing w:line="360" w:lineRule="auto"/>
        <w:ind w:firstLine="480"/>
        <w:jc w:val="both"/>
        <w:rPr>
          <w:rFonts w:eastAsiaTheme="minorEastAsia"/>
          <w:color w:val="000000" w:themeColor="text1"/>
          <w:szCs w:val="28"/>
        </w:rPr>
      </w:pPr>
      <w:r>
        <w:rPr>
          <w:rFonts w:eastAsiaTheme="minorEastAsia"/>
          <w:color w:val="000000" w:themeColor="text1"/>
          <w:szCs w:val="28"/>
        </w:rPr>
        <w:t>经检索，本标准所列技术内容没有涉及专利和知识产权的情况。</w:t>
      </w:r>
    </w:p>
    <w:p>
      <w:pPr>
        <w:pStyle w:val="28"/>
        <w:pageBreakBefore w:val="0"/>
        <w:kinsoku/>
        <w:wordWrap/>
        <w:overflowPunct/>
        <w:topLinePunct w:val="0"/>
        <w:bidi w:val="0"/>
        <w:spacing w:line="360" w:lineRule="auto"/>
        <w:jc w:val="both"/>
        <w:outlineLvl w:val="1"/>
        <w:rPr>
          <w:rFonts w:hint="eastAsia" w:ascii="宋体" w:hAnsi="宋体" w:eastAsia="宋体" w:cs="宋体"/>
          <w:b/>
          <w:bCs/>
          <w:color w:val="000000" w:themeColor="text1"/>
          <w:sz w:val="24"/>
          <w:szCs w:val="24"/>
          <w:lang w:val="en-US" w:eastAsia="zh-CN" w:bidi="ar-SA"/>
        </w:rPr>
      </w:pPr>
      <w:bookmarkStart w:id="20" w:name="_Toc32580"/>
      <w:r>
        <w:rPr>
          <w:rFonts w:hint="eastAsia" w:ascii="宋体" w:hAnsi="宋体" w:eastAsia="宋体" w:cs="宋体"/>
          <w:b/>
          <w:bCs/>
          <w:color w:val="000000" w:themeColor="text1"/>
          <w:sz w:val="24"/>
          <w:szCs w:val="24"/>
          <w:lang w:val="en-US" w:eastAsia="zh-CN" w:bidi="ar-SA"/>
        </w:rPr>
        <w:t>5 产业化情况、推广应用论证和预期达到的经济效果等情况；</w:t>
      </w:r>
      <w:bookmarkEnd w:id="20"/>
    </w:p>
    <w:p>
      <w:pPr>
        <w:pageBreakBefore w:val="0"/>
        <w:kinsoku/>
        <w:wordWrap/>
        <w:overflowPunct/>
        <w:topLinePunct w:val="0"/>
        <w:bidi w:val="0"/>
        <w:spacing w:line="360" w:lineRule="auto"/>
        <w:ind w:firstLine="480"/>
        <w:jc w:val="both"/>
        <w:rPr>
          <w:rFonts w:ascii="Times New Roman"/>
          <w:color w:val="000000" w:themeColor="text1"/>
          <w:sz w:val="28"/>
          <w:szCs w:val="28"/>
        </w:rPr>
      </w:pPr>
      <w:r>
        <w:rPr>
          <w:rFonts w:eastAsiaTheme="minorEastAsia"/>
          <w:color w:val="000000" w:themeColor="text1"/>
          <w:szCs w:val="28"/>
        </w:rPr>
        <w:t>本标准</w:t>
      </w:r>
      <w:r>
        <w:rPr>
          <w:rFonts w:hint="eastAsia" w:eastAsiaTheme="minorEastAsia"/>
          <w:color w:val="000000" w:themeColor="text1"/>
          <w:szCs w:val="28"/>
        </w:rPr>
        <w:t>标准的发布将为</w:t>
      </w:r>
      <w:r>
        <w:rPr>
          <w:rFonts w:hint="eastAsia" w:eastAsiaTheme="minorEastAsia"/>
          <w:color w:val="000000" w:themeColor="text1"/>
          <w:szCs w:val="28"/>
          <w:lang w:val="en-US" w:eastAsia="zh-CN"/>
        </w:rPr>
        <w:t>智能门锁</w:t>
      </w:r>
      <w:r>
        <w:rPr>
          <w:rFonts w:hint="eastAsia" w:eastAsiaTheme="minorEastAsia"/>
          <w:color w:val="000000" w:themeColor="text1"/>
          <w:szCs w:val="28"/>
        </w:rPr>
        <w:t>企业编制产品说明书提供科学、统一的编制依据，进而规范</w:t>
      </w:r>
      <w:r>
        <w:rPr>
          <w:rFonts w:hint="eastAsia" w:eastAsiaTheme="minorEastAsia"/>
          <w:color w:val="000000" w:themeColor="text1"/>
          <w:szCs w:val="28"/>
          <w:lang w:val="en-US" w:eastAsia="zh-CN"/>
        </w:rPr>
        <w:t>该</w:t>
      </w:r>
      <w:r>
        <w:rPr>
          <w:rFonts w:hint="eastAsia" w:eastAsiaTheme="minorEastAsia"/>
          <w:color w:val="000000" w:themeColor="text1"/>
          <w:szCs w:val="28"/>
        </w:rPr>
        <w:t>行业产品说明书编写，提高说明书编写质量</w:t>
      </w:r>
      <w:r>
        <w:rPr>
          <w:rFonts w:hint="eastAsia" w:eastAsiaTheme="minorEastAsia"/>
          <w:color w:val="000000" w:themeColor="text1"/>
          <w:szCs w:val="28"/>
          <w:lang w:eastAsia="zh-CN"/>
        </w:rPr>
        <w:t>，</w:t>
      </w:r>
      <w:r>
        <w:rPr>
          <w:rFonts w:hint="eastAsia" w:eastAsiaTheme="minorEastAsia"/>
          <w:color w:val="000000" w:themeColor="text1"/>
          <w:szCs w:val="28"/>
        </w:rPr>
        <w:t>对全面提升</w:t>
      </w:r>
      <w:r>
        <w:rPr>
          <w:rFonts w:hint="eastAsia" w:eastAsiaTheme="minorEastAsia"/>
          <w:color w:val="000000" w:themeColor="text1"/>
          <w:szCs w:val="28"/>
          <w:lang w:val="en-US" w:eastAsia="zh-CN"/>
        </w:rPr>
        <w:t>智能门锁</w:t>
      </w:r>
      <w:r>
        <w:rPr>
          <w:rFonts w:hint="eastAsia" w:eastAsiaTheme="minorEastAsia"/>
          <w:color w:val="000000" w:themeColor="text1"/>
          <w:szCs w:val="28"/>
        </w:rPr>
        <w:t>产品质量水平，提升用户满意度，推动行业绿色低碳、安全高质量发展等方面有积极作用。</w:t>
      </w:r>
    </w:p>
    <w:p>
      <w:pPr>
        <w:pStyle w:val="28"/>
        <w:pageBreakBefore w:val="0"/>
        <w:kinsoku/>
        <w:wordWrap/>
        <w:overflowPunct/>
        <w:topLinePunct w:val="0"/>
        <w:bidi w:val="0"/>
        <w:spacing w:line="360" w:lineRule="auto"/>
        <w:jc w:val="both"/>
        <w:outlineLvl w:val="1"/>
        <w:rPr>
          <w:rFonts w:hint="eastAsia" w:ascii="宋体" w:hAnsi="宋体" w:eastAsia="宋体" w:cs="宋体"/>
          <w:b/>
          <w:bCs/>
          <w:color w:val="000000" w:themeColor="text1"/>
          <w:sz w:val="24"/>
          <w:szCs w:val="24"/>
          <w:lang w:val="en-US" w:eastAsia="zh-CN" w:bidi="ar-SA"/>
        </w:rPr>
      </w:pPr>
      <w:bookmarkStart w:id="21" w:name="_Toc10894"/>
      <w:r>
        <w:rPr>
          <w:rFonts w:hint="eastAsia" w:ascii="宋体" w:hAnsi="宋体" w:eastAsia="宋体" w:cs="宋体"/>
          <w:b/>
          <w:bCs/>
          <w:color w:val="000000" w:themeColor="text1"/>
          <w:sz w:val="24"/>
          <w:szCs w:val="24"/>
          <w:lang w:val="en-US" w:eastAsia="zh-CN" w:bidi="ar-SA"/>
        </w:rPr>
        <w:t>6 采用国际标准，与国际、国外同类标准水平的对比情况，国内外关键指标对比分析或与测试的国外样品、样机的相关数据对比情况；</w:t>
      </w:r>
      <w:bookmarkEnd w:id="21"/>
    </w:p>
    <w:p>
      <w:pPr>
        <w:pageBreakBefore w:val="0"/>
        <w:kinsoku/>
        <w:wordWrap/>
        <w:overflowPunct/>
        <w:topLinePunct w:val="0"/>
        <w:bidi w:val="0"/>
        <w:spacing w:line="360" w:lineRule="auto"/>
        <w:ind w:firstLine="480" w:firstLineChars="200"/>
        <w:jc w:val="both"/>
        <w:rPr>
          <w:color w:val="000000" w:themeColor="text1"/>
        </w:rPr>
      </w:pPr>
      <w:r>
        <w:rPr>
          <w:color w:val="000000" w:themeColor="text1"/>
        </w:rPr>
        <w:t>无。</w:t>
      </w:r>
    </w:p>
    <w:p>
      <w:pPr>
        <w:pStyle w:val="28"/>
        <w:pageBreakBefore w:val="0"/>
        <w:kinsoku/>
        <w:wordWrap/>
        <w:overflowPunct/>
        <w:topLinePunct w:val="0"/>
        <w:bidi w:val="0"/>
        <w:spacing w:line="360" w:lineRule="auto"/>
        <w:jc w:val="both"/>
        <w:outlineLvl w:val="1"/>
        <w:rPr>
          <w:rFonts w:hint="eastAsia" w:ascii="宋体" w:hAnsi="宋体" w:eastAsia="宋体" w:cs="宋体"/>
          <w:b/>
          <w:bCs/>
          <w:color w:val="000000" w:themeColor="text1"/>
          <w:sz w:val="24"/>
          <w:szCs w:val="24"/>
          <w:lang w:val="en-US" w:eastAsia="zh-CN" w:bidi="ar-SA"/>
        </w:rPr>
      </w:pPr>
      <w:bookmarkStart w:id="22" w:name="_Toc20274"/>
      <w:r>
        <w:rPr>
          <w:rFonts w:hint="eastAsia" w:ascii="宋体" w:hAnsi="宋体" w:eastAsia="宋体" w:cs="宋体"/>
          <w:b/>
          <w:bCs/>
          <w:color w:val="000000" w:themeColor="text1"/>
          <w:sz w:val="24"/>
          <w:szCs w:val="24"/>
          <w:lang w:val="en-US" w:eastAsia="zh-CN" w:bidi="ar-SA"/>
        </w:rPr>
        <w:t>7 与现行相关法律、法规、规章及相关标准，特别是强制性标准的协调性</w:t>
      </w:r>
      <w:bookmarkEnd w:id="22"/>
    </w:p>
    <w:p>
      <w:pPr>
        <w:pageBreakBefore w:val="0"/>
        <w:kinsoku/>
        <w:wordWrap/>
        <w:overflowPunct/>
        <w:topLinePunct w:val="0"/>
        <w:bidi w:val="0"/>
        <w:spacing w:line="360" w:lineRule="auto"/>
        <w:ind w:firstLine="495"/>
        <w:jc w:val="both"/>
        <w:rPr>
          <w:rFonts w:ascii="Arial" w:hAnsi="Arial" w:cs="Arial"/>
          <w:color w:val="000000" w:themeColor="text1"/>
        </w:rPr>
      </w:pPr>
      <w:r>
        <w:rPr>
          <w:color w:val="000000" w:themeColor="text1"/>
        </w:rPr>
        <w:t>目前</w:t>
      </w:r>
      <w:r>
        <w:rPr>
          <w:rFonts w:hint="eastAsia"/>
          <w:color w:val="000000" w:themeColor="text1"/>
        </w:rPr>
        <w:t>，</w:t>
      </w:r>
      <w:r>
        <w:rPr>
          <w:color w:val="000000" w:themeColor="text1"/>
        </w:rPr>
        <w:t>我国许多法律法规中对产品说明提出了相关要求</w:t>
      </w:r>
      <w:r>
        <w:rPr>
          <w:rFonts w:hint="eastAsia"/>
          <w:color w:val="000000" w:themeColor="text1"/>
        </w:rPr>
        <w:t>，</w:t>
      </w:r>
      <w:r>
        <w:rPr>
          <w:rFonts w:ascii="Times New Roman" w:hAnsi="Times New Roman" w:eastAsia="宋体" w:cs="Times New Roman"/>
        </w:rPr>
        <w:t>GB</w:t>
      </w:r>
      <w:r>
        <w:rPr>
          <w:rFonts w:hint="eastAsia" w:ascii="Times New Roman" w:hAnsi="Times New Roman" w:eastAsia="宋体" w:cs="Times New Roman"/>
        </w:rPr>
        <w:t>/</w:t>
      </w:r>
      <w:r>
        <w:rPr>
          <w:rFonts w:ascii="Times New Roman" w:hAnsi="Times New Roman" w:eastAsia="宋体" w:cs="Times New Roman"/>
        </w:rPr>
        <w:t>T 1.1—2020</w:t>
      </w:r>
      <w:r>
        <w:rPr>
          <w:rFonts w:hint="eastAsia" w:ascii="Times New Roman" w:hAnsi="Times New Roman" w:eastAsia="宋体" w:cs="Times New Roman"/>
        </w:rPr>
        <w:t>《</w:t>
      </w:r>
      <w:r>
        <w:rPr>
          <w:rFonts w:ascii="Times New Roman" w:hAnsi="Times New Roman" w:eastAsia="宋体" w:cs="Times New Roman"/>
        </w:rPr>
        <w:t>标准化工作导则  第1部分</w:t>
      </w:r>
      <w:r>
        <w:rPr>
          <w:rFonts w:hint="eastAsia" w:ascii="Times New Roman" w:hAnsi="Times New Roman" w:eastAsia="宋体" w:cs="Times New Roman"/>
        </w:rPr>
        <w:t>：</w:t>
      </w:r>
      <w:r>
        <w:rPr>
          <w:rFonts w:ascii="Times New Roman" w:hAnsi="Times New Roman" w:eastAsia="宋体" w:cs="Times New Roman"/>
        </w:rPr>
        <w:t>标准化文件的结构和起草规则</w:t>
      </w:r>
      <w:r>
        <w:rPr>
          <w:rFonts w:hint="eastAsia" w:ascii="Times New Roman" w:hAnsi="Times New Roman" w:eastAsia="宋体" w:cs="Times New Roman"/>
        </w:rPr>
        <w:t>》</w:t>
      </w:r>
      <w:r>
        <w:rPr>
          <w:rFonts w:ascii="Times New Roman" w:hAnsi="Times New Roman" w:eastAsia="宋体" w:cs="Times New Roman"/>
        </w:rPr>
        <w:t>和T</w:t>
      </w:r>
      <w:r>
        <w:rPr>
          <w:rFonts w:hint="eastAsia" w:ascii="Times New Roman" w:hAnsi="Times New Roman" w:eastAsia="宋体" w:cs="Times New Roman"/>
        </w:rPr>
        <w:t>/</w:t>
      </w:r>
      <w:r>
        <w:rPr>
          <w:rFonts w:ascii="Times New Roman" w:hAnsi="Times New Roman" w:eastAsia="宋体" w:cs="Times New Roman"/>
        </w:rPr>
        <w:t>CBMF 195-2022</w:t>
      </w:r>
      <w:r>
        <w:rPr>
          <w:rFonts w:hint="eastAsia" w:ascii="Times New Roman" w:hAnsi="Times New Roman" w:eastAsia="宋体" w:cs="Times New Roman"/>
        </w:rPr>
        <w:t>《</w:t>
      </w:r>
      <w:r>
        <w:rPr>
          <w:rFonts w:ascii="Times New Roman" w:hAnsi="Times New Roman" w:eastAsia="宋体" w:cs="Times New Roman"/>
        </w:rPr>
        <w:t>建材产品使用说明书 通用要求</w:t>
      </w:r>
      <w:r>
        <w:rPr>
          <w:rFonts w:hint="eastAsia" w:ascii="Times New Roman" w:hAnsi="Times New Roman" w:eastAsia="宋体" w:cs="Times New Roman"/>
        </w:rPr>
        <w:t>》</w:t>
      </w:r>
      <w:r>
        <w:rPr>
          <w:rFonts w:hint="eastAsia" w:ascii="Times New Roman" w:hAnsi="Times New Roman" w:cs="Times New Roman"/>
          <w:lang w:val="en-US" w:eastAsia="zh-CN"/>
        </w:rPr>
        <w:t>是</w:t>
      </w:r>
      <w:r>
        <w:rPr>
          <w:color w:val="000000" w:themeColor="text1"/>
        </w:rPr>
        <w:t>《</w:t>
      </w:r>
      <w:r>
        <w:rPr>
          <w:rFonts w:hint="eastAsia"/>
          <w:color w:val="000000" w:themeColor="text1"/>
        </w:rPr>
        <w:t>建材产品使用说明书 智能门锁</w:t>
      </w:r>
      <w:r>
        <w:rPr>
          <w:color w:val="000000" w:themeColor="text1"/>
        </w:rPr>
        <w:t>》编制过程的指导文件</w:t>
      </w:r>
      <w:r>
        <w:rPr>
          <w:rFonts w:hint="eastAsia"/>
          <w:color w:val="000000" w:themeColor="text1"/>
        </w:rPr>
        <w:t>。</w:t>
      </w:r>
      <w:r>
        <w:rPr>
          <w:color w:val="000000" w:themeColor="text1"/>
        </w:rPr>
        <w:t>《</w:t>
      </w:r>
      <w:r>
        <w:rPr>
          <w:rFonts w:hint="eastAsia"/>
          <w:color w:val="000000" w:themeColor="text1"/>
        </w:rPr>
        <w:t>建材产品使用说明书 智能门锁</w:t>
      </w:r>
      <w:r>
        <w:rPr>
          <w:color w:val="000000" w:themeColor="text1"/>
        </w:rPr>
        <w:t>》</w:t>
      </w:r>
      <w:r>
        <w:rPr>
          <w:rFonts w:hint="eastAsia"/>
          <w:color w:val="000000" w:themeColor="text1"/>
        </w:rPr>
        <w:t>与相关法律法规和标准协调一致，现</w:t>
      </w:r>
      <w:r>
        <w:rPr>
          <w:color w:val="000000" w:themeColor="text1"/>
        </w:rPr>
        <w:t>对相关法律法规以及标准进行重点介绍</w:t>
      </w:r>
      <w:r>
        <w:rPr>
          <w:rFonts w:hint="eastAsia"/>
          <w:color w:val="000000" w:themeColor="text1"/>
        </w:rPr>
        <w:t>。</w:t>
      </w:r>
    </w:p>
    <w:p>
      <w:pPr>
        <w:pStyle w:val="28"/>
        <w:pageBreakBefore w:val="0"/>
        <w:kinsoku/>
        <w:wordWrap/>
        <w:overflowPunct/>
        <w:topLinePunct w:val="0"/>
        <w:bidi w:val="0"/>
        <w:snapToGrid w:val="0"/>
        <w:spacing w:line="360" w:lineRule="auto"/>
        <w:jc w:val="both"/>
        <w:rPr>
          <w:color w:val="000000" w:themeColor="text1"/>
        </w:rPr>
      </w:pPr>
      <w:bookmarkStart w:id="23" w:name="_Toc13424"/>
      <w:r>
        <w:rPr>
          <w:color w:val="000000" w:themeColor="text1"/>
          <w:sz w:val="24"/>
          <w:szCs w:val="24"/>
        </w:rPr>
        <w:t>7.1</w:t>
      </w:r>
      <w:r>
        <w:rPr>
          <w:rFonts w:hint="eastAsia"/>
          <w:color w:val="000000" w:themeColor="text1"/>
          <w:sz w:val="24"/>
          <w:szCs w:val="24"/>
        </w:rPr>
        <w:t>相关法律法规</w:t>
      </w:r>
      <w:bookmarkEnd w:id="23"/>
    </w:p>
    <w:p>
      <w:pPr>
        <w:pStyle w:val="5"/>
        <w:pageBreakBefore w:val="0"/>
        <w:kinsoku/>
        <w:wordWrap/>
        <w:overflowPunct/>
        <w:topLinePunct w:val="0"/>
        <w:bidi w:val="0"/>
        <w:spacing w:line="360" w:lineRule="auto"/>
        <w:jc w:val="both"/>
        <w:rPr>
          <w:b w:val="0"/>
          <w:bCs w:val="0"/>
          <w:color w:val="000000" w:themeColor="text1"/>
        </w:rPr>
      </w:pPr>
      <w:r>
        <w:rPr>
          <w:color w:val="000000" w:themeColor="text1"/>
        </w:rPr>
        <w:t>7.1.1</w:t>
      </w:r>
      <w:r>
        <w:rPr>
          <w:rFonts w:hint="eastAsia"/>
          <w:color w:val="000000" w:themeColor="text1"/>
        </w:rPr>
        <w:t>与建材行业相关的法律</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中华人民共和国消费者权益保护法》第八条规定，消费者有权根据商品或者服务的不同情况，要求经营者提供商品的价格、产地、生产者、用途、性能、规格、等级、主要成份、生产日期、有效期限、检验合格证明、使用方法说明书、售后服务，或者服务的内容、规格、费用等有关情况。</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《工业产品质量责任条例》第九条</w:t>
      </w:r>
      <w:r>
        <w:rPr>
          <w:rFonts w:asciiTheme="minorEastAsia" w:hAnsiTheme="minorEastAsia" w:eastAsiaTheme="minorEastAsia"/>
          <w:color w:val="000000" w:themeColor="text1"/>
        </w:rPr>
        <w:t xml:space="preserve">  </w:t>
      </w:r>
      <w:r>
        <w:rPr>
          <w:rFonts w:hint="eastAsia" w:asciiTheme="minorEastAsia" w:hAnsiTheme="minorEastAsia" w:eastAsiaTheme="minorEastAsia"/>
          <w:color w:val="000000" w:themeColor="text1"/>
        </w:rPr>
        <w:t>产品出厂，必须符合下列要求：</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（一）达到本条例第二条规定的质量要求，有检验机构和检验人员签证的产品检验合格证；</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（二）根据不同特点，有产品名称、规格、型号、成份、含量、重量、用法、生产批号、出厂日期、生产厂家、厂址、产品技术标准编号等文字说明。限时使用的产品应注明失效时间。优质产品必须有标志；</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（三）实行生产许可证制度的产品，要有许可证编号、批准日期和有效期限；</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（四）机器、设备、装置、仪表以及耐用消费品，除符合本条（一）、（二）、（三）项要求外，还应有详细的产品使用说明书。内容包括：</w:t>
      </w:r>
      <w:r>
        <w:rPr>
          <w:rFonts w:hint="eastAsia" w:asciiTheme="minorEastAsia" w:hAnsiTheme="minorEastAsia" w:eastAsiaTheme="minorEastAsia"/>
          <w:b/>
          <w:bCs/>
          <w:color w:val="000000" w:themeColor="text1"/>
        </w:rPr>
        <w:t>产品的技术经济参数、使用寿命、使用范围、保证期限、安装方法、维修方法和保存条件、技术保养检修期以及其它有关产品设计参数的有效数据。</w:t>
      </w:r>
      <w:r>
        <w:rPr>
          <w:rFonts w:hint="eastAsia" w:asciiTheme="minorEastAsia" w:hAnsiTheme="minorEastAsia" w:eastAsiaTheme="minorEastAsia"/>
          <w:color w:val="000000" w:themeColor="text1"/>
        </w:rPr>
        <w:t>电器产品，应附有线路图和原理图；</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（五）包装必须符合国家有关规定和标准。剧毒、危险、易碎、怕压、需防潮、不准倒置的产品，在内外包装上必须有显著的</w:t>
      </w:r>
      <w:r>
        <w:rPr>
          <w:rFonts w:hint="eastAsia" w:asciiTheme="minorEastAsia" w:hAnsiTheme="minorEastAsia" w:eastAsiaTheme="minorEastAsia"/>
          <w:b/>
          <w:bCs/>
          <w:color w:val="000000" w:themeColor="text1"/>
        </w:rPr>
        <w:t>指示标志和储运注意事项</w:t>
      </w:r>
      <w:r>
        <w:rPr>
          <w:rFonts w:hint="eastAsia" w:asciiTheme="minorEastAsia" w:hAnsiTheme="minorEastAsia" w:eastAsiaTheme="minorEastAsia"/>
          <w:color w:val="000000" w:themeColor="text1"/>
        </w:rPr>
        <w:t>。产品包装上必须注明实际重量（净重和毛重）；</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（六）使用商标和分级分等的产品，在产品或包装上</w:t>
      </w:r>
      <w:r>
        <w:rPr>
          <w:rFonts w:hint="eastAsia" w:asciiTheme="minorEastAsia" w:hAnsiTheme="minorEastAsia" w:eastAsiaTheme="minorEastAsia"/>
          <w:b/>
          <w:bCs/>
          <w:color w:val="000000" w:themeColor="text1"/>
        </w:rPr>
        <w:t>应有商标和分级分等标记</w:t>
      </w:r>
      <w:r>
        <w:rPr>
          <w:rFonts w:hint="eastAsia" w:asciiTheme="minorEastAsia" w:hAnsiTheme="minorEastAsia" w:eastAsiaTheme="minorEastAsia"/>
          <w:color w:val="000000" w:themeColor="text1"/>
        </w:rPr>
        <w:t>；</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（七）符合国家安全、卫生、</w:t>
      </w:r>
      <w:r>
        <w:rPr>
          <w:rFonts w:hint="eastAsia" w:asciiTheme="minorEastAsia" w:hAnsiTheme="minorEastAsia" w:eastAsiaTheme="minorEastAsia"/>
          <w:b/>
          <w:bCs/>
          <w:color w:val="000000" w:themeColor="text1"/>
        </w:rPr>
        <w:t>环境保护和计量</w:t>
      </w:r>
      <w:r>
        <w:rPr>
          <w:rFonts w:hint="eastAsia" w:asciiTheme="minorEastAsia" w:hAnsiTheme="minorEastAsia" w:eastAsiaTheme="minorEastAsia"/>
          <w:color w:val="000000" w:themeColor="text1"/>
        </w:rPr>
        <w:t>等法规的要求。</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中华人民共和国产品质量法》作为规范在我国境内的产品生产和销售活动的法律，生产者对于产品的标注首先应当符合《产品质量法》的有关规定。《产品质量法》第二十七条、第二十八条、第三十条、第三十一条（具体见条款规定，下同）对于生产者应当标注的事项和禁止标注的事项作了明确规定。</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第二十七条　产品或者其包装上的标识必须真实，并符合下列要求：</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(一)有</w:t>
      </w:r>
      <w:r>
        <w:rPr>
          <w:rFonts w:asciiTheme="minorEastAsia" w:hAnsiTheme="minorEastAsia" w:eastAsiaTheme="minorEastAsia"/>
          <w:b/>
          <w:bCs/>
          <w:color w:val="000000" w:themeColor="text1"/>
        </w:rPr>
        <w:t>产品质量检验合格证明</w:t>
      </w:r>
      <w:r>
        <w:rPr>
          <w:rFonts w:asciiTheme="minorEastAsia" w:hAnsiTheme="minorEastAsia" w:eastAsiaTheme="minorEastAsia"/>
          <w:color w:val="000000" w:themeColor="text1"/>
        </w:rPr>
        <w:t>；</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(二)有</w:t>
      </w:r>
      <w:r>
        <w:rPr>
          <w:rFonts w:asciiTheme="minorEastAsia" w:hAnsiTheme="minorEastAsia" w:eastAsiaTheme="minorEastAsia"/>
          <w:b/>
          <w:bCs/>
          <w:color w:val="000000" w:themeColor="text1"/>
        </w:rPr>
        <w:t>中文标明的产品名称、生产厂厂名和厂址</w:t>
      </w:r>
      <w:r>
        <w:rPr>
          <w:rFonts w:asciiTheme="minorEastAsia" w:hAnsiTheme="minorEastAsia" w:eastAsiaTheme="minorEastAsia"/>
          <w:color w:val="000000" w:themeColor="text1"/>
        </w:rPr>
        <w:t>；</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(三)根据产品的特点和使用要求，需要标明</w:t>
      </w:r>
      <w:r>
        <w:rPr>
          <w:rFonts w:asciiTheme="minorEastAsia" w:hAnsiTheme="minorEastAsia" w:eastAsiaTheme="minorEastAsia"/>
          <w:b/>
          <w:bCs/>
          <w:color w:val="000000" w:themeColor="text1"/>
        </w:rPr>
        <w:t>产品规格、等级、所含主要成份的名称和含量</w:t>
      </w:r>
      <w:r>
        <w:rPr>
          <w:rFonts w:asciiTheme="minorEastAsia" w:hAnsiTheme="minorEastAsia" w:eastAsiaTheme="minorEastAsia"/>
          <w:color w:val="000000" w:themeColor="text1"/>
        </w:rPr>
        <w:t>的，用中文相应予以标明；需要事先让消费者知晓的，应当在外包装上标明，或者预先向消费者提供有关资料；</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(四)限期使用的产品，应当在显著位置清晰地标明</w:t>
      </w:r>
      <w:r>
        <w:rPr>
          <w:rFonts w:asciiTheme="minorEastAsia" w:hAnsiTheme="minorEastAsia" w:eastAsiaTheme="minorEastAsia"/>
          <w:b/>
          <w:bCs/>
          <w:color w:val="000000" w:themeColor="text1"/>
        </w:rPr>
        <w:t>生产日期和安全使用期或者失效日期</w:t>
      </w:r>
      <w:r>
        <w:rPr>
          <w:rFonts w:asciiTheme="minorEastAsia" w:hAnsiTheme="minorEastAsia" w:eastAsiaTheme="minorEastAsia"/>
          <w:color w:val="000000" w:themeColor="text1"/>
        </w:rPr>
        <w:t>；</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(五)使用不当，容易造成产品本身损坏或者可能危及人身、财产安全的产品，应当有</w:t>
      </w:r>
      <w:r>
        <w:rPr>
          <w:rFonts w:asciiTheme="minorEastAsia" w:hAnsiTheme="minorEastAsia" w:eastAsiaTheme="minorEastAsia"/>
          <w:b/>
          <w:bCs/>
          <w:color w:val="000000" w:themeColor="text1"/>
        </w:rPr>
        <w:t>警示标志或者中文警示</w:t>
      </w:r>
      <w:r>
        <w:rPr>
          <w:rFonts w:asciiTheme="minorEastAsia" w:hAnsiTheme="minorEastAsia" w:eastAsiaTheme="minorEastAsia"/>
          <w:color w:val="000000" w:themeColor="text1"/>
        </w:rPr>
        <w:t>说明。</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裸装的食品和其他根据产品的特点难以附加标识的裸装产品，可以不附加产品标识。</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第二十八条　易碎、易燃、易爆、有毒、有腐蚀性、有放射性等危险物品以及储运中不能倒置和其他有特殊要求的产品，其包装质量必须符合相应要求，依照国家有关规定作出</w:t>
      </w:r>
      <w:r>
        <w:rPr>
          <w:rFonts w:asciiTheme="minorEastAsia" w:hAnsiTheme="minorEastAsia" w:eastAsiaTheme="minorEastAsia"/>
          <w:b/>
          <w:bCs/>
          <w:color w:val="000000" w:themeColor="text1"/>
        </w:rPr>
        <w:t>警示标志或者中文警示说明，标明储运注意事项</w:t>
      </w:r>
      <w:r>
        <w:rPr>
          <w:rFonts w:asciiTheme="minorEastAsia" w:hAnsiTheme="minorEastAsia" w:eastAsiaTheme="minorEastAsia"/>
          <w:color w:val="000000" w:themeColor="text1"/>
        </w:rPr>
        <w:t>。</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第二十九条　生产者不得生产国家明令淘汰的产品。</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第三十条　生产者不得伪造产地，不得伪造或者冒用他人的厂名、厂址。</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第三十一条　生产者不得伪造或者冒用认证标志等质量标志。</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《江苏省惩治生产销售假冒伪劣商品行为条例》第六条、第七条对于生产销售的商品的标识作了规定。</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第六条 有下列情形之一的商品为假冒伪劣商品：</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（一）不符合保障人体健康和人身、财产安全的国家标准、行业标准的；</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（二）掺杂掺假、以假充真、以旧充新、以次充好或者以不合格商品冒充合格商品的；</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（三）失效或者变质的；</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（四）国家明令淘汰的；</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（五）伪造、冒用他人厂名、厂址或者商品产地的；</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（六）伪造、冒用认证标志等质量标志或者质量证明文件的；</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（七）冒充注册商标或者侵犯他人注册商标专用权的；</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（八）冒充专利或者侵犯他人专利权的；</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（九）非法制作、销售出版物或者侵犯他人著作权的；</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（十）伪造生产日期、安全使用期、有效期、失效日期或者保质期的；</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（十一）知道或者应当知道是假冒伪劣原材料、零部件而进行加工、制作或者组装的。</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第七条 有下列情形之一的商品视为假冒伪劣商品：</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（一）依法实行许可证制度、质量安全市场准入、准产制度，而未取得合法证件生产、销售的；</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（二）无执行标准的；</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（三）无检验合格证明或者未使用中文标明商品名称、厂名和厂址的；</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（四）应当标明而未标明商品的主要成分和含量的；</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（五）应当标明而未标明警示标志或者中文警示说明的。</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《江苏省产品质量监督管理办法》第二十四条、第二十五条第二款对处理产品、进口产品的标识作了具体规定。</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第二十四条 产品质量达不到有关规定要求，但不存在危及人体健康和人身、财产安全的不合理危险，仍有使用价值的，应当在产品或者产品包装上标明“处理品”字样明示销售。</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第二十五条 产品或者其包装上的标识应当符合国家产品标识标注规定的要求。</w:t>
      </w:r>
    </w:p>
    <w:p>
      <w:pPr>
        <w:pStyle w:val="16"/>
        <w:pageBreakBefore w:val="0"/>
        <w:shd w:val="clear" w:color="auto" w:fill="FFFFFF"/>
        <w:kinsoku/>
        <w:wordWrap/>
        <w:overflowPunct/>
        <w:topLinePunct w:val="0"/>
        <w:bidi w:val="0"/>
        <w:snapToGrid w:val="0"/>
        <w:spacing w:before="0" w:beforeAutospacing="0" w:after="0" w:afterAutospacing="0" w:line="360" w:lineRule="auto"/>
        <w:ind w:right="26" w:firstLine="494"/>
        <w:jc w:val="both"/>
        <w:rPr>
          <w:rFonts w:asciiTheme="minorEastAsia" w:hAnsiTheme="minorEastAsia" w:eastAsiaTheme="minorEastAsia"/>
          <w:color w:val="000000" w:themeColor="text1"/>
        </w:rPr>
      </w:pPr>
      <w:r>
        <w:rPr>
          <w:rFonts w:asciiTheme="minorEastAsia" w:hAnsiTheme="minorEastAsia" w:eastAsiaTheme="minorEastAsia"/>
          <w:color w:val="000000" w:themeColor="text1"/>
        </w:rPr>
        <w:t>对在国内市场销售的进口产品，销售时应当有中文标识，包括提供中文说明书和用中文标明产品的原产地以及代理商、进口商或者销售商在国内依法登记注册的名称和地址等内容。</w:t>
      </w:r>
    </w:p>
    <w:p>
      <w:pPr>
        <w:pStyle w:val="5"/>
        <w:pageBreakBefore w:val="0"/>
        <w:kinsoku/>
        <w:wordWrap/>
        <w:overflowPunct/>
        <w:topLinePunct w:val="0"/>
        <w:bidi w:val="0"/>
        <w:spacing w:line="360" w:lineRule="auto"/>
        <w:jc w:val="both"/>
        <w:rPr>
          <w:b w:val="0"/>
          <w:bCs w:val="0"/>
          <w:color w:val="000000" w:themeColor="text1"/>
        </w:rPr>
      </w:pPr>
      <w:r>
        <w:rPr>
          <w:rFonts w:hint="eastAsia"/>
          <w:color w:val="000000" w:themeColor="text1"/>
        </w:rPr>
        <w:t>7</w:t>
      </w:r>
      <w:r>
        <w:rPr>
          <w:color w:val="000000" w:themeColor="text1"/>
        </w:rPr>
        <w:t>.1.2其他行业相关的法律</w:t>
      </w:r>
    </w:p>
    <w:p>
      <w:pPr>
        <w:pageBreakBefore w:val="0"/>
        <w:kinsoku/>
        <w:wordWrap/>
        <w:overflowPunct/>
        <w:topLinePunct w:val="0"/>
        <w:bidi w:val="0"/>
        <w:snapToGrid w:val="0"/>
        <w:spacing w:line="360" w:lineRule="auto"/>
        <w:ind w:firstLine="480" w:firstLineChars="200"/>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中华人民共和国药品管理法》第五十四条规定，药品包装必须按照规定印有或者贴有标签并附有说明书。标签或者说明书上必须注明药品的通用名称、成份、规格、生产企业、批准文号、产品批号、生产日期、有效期、适应症或者功能主治、用法、用量、禁忌、不良反应和注意事项。</w:t>
      </w:r>
    </w:p>
    <w:p>
      <w:pPr>
        <w:pageBreakBefore w:val="0"/>
        <w:kinsoku/>
        <w:wordWrap/>
        <w:overflowPunct/>
        <w:topLinePunct w:val="0"/>
        <w:bidi w:val="0"/>
        <w:snapToGrid w:val="0"/>
        <w:spacing w:line="360" w:lineRule="auto"/>
        <w:ind w:firstLine="480" w:firstLineChars="200"/>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中华人民共和国食品安全法》第二十条规定，食品安全标准应当包括的内容之一是“对与食品安全、营养有关的标签、标识、说明书的要求”；第四十二条规定，预包装食品的包装上应当有标签。标签内容应符合第四十二条款项的规定；第四十七条规定，食品添加剂应当有标签、说明书和包装；第四十八条规定，食品和食品添加剂的标签、说明书，不得含有虚假、夸大的内容，不得涉及疾病预防、治疗功能，生产者对标签、说明书上所载明的内容负责，食品和食品添加剂与其标签、说明书所载明的内容不符的，不得上市销售。</w:t>
      </w:r>
    </w:p>
    <w:p>
      <w:pPr>
        <w:pageBreakBefore w:val="0"/>
        <w:kinsoku/>
        <w:wordWrap/>
        <w:overflowPunct/>
        <w:topLinePunct w:val="0"/>
        <w:bidi w:val="0"/>
        <w:snapToGrid w:val="0"/>
        <w:spacing w:line="360" w:lineRule="auto"/>
        <w:ind w:firstLine="480" w:firstLineChars="200"/>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法律法规规章给出了三方面内容：</w:t>
      </w:r>
      <w:r>
        <w:rPr>
          <w:rFonts w:hint="eastAsia" w:asciiTheme="minorEastAsia" w:hAnsiTheme="minorEastAsia" w:eastAsiaTheme="minorEastAsia"/>
          <w:b/>
          <w:bCs/>
          <w:color w:val="000000" w:themeColor="text1"/>
        </w:rPr>
        <w:t>产品应该有使用说明书；使用说明应该有必须的具体内容；产品使用说明已是产品质量的明示责任担保，是产品质量管理的一个组成部分</w:t>
      </w:r>
      <w:r>
        <w:rPr>
          <w:rFonts w:hint="eastAsia" w:asciiTheme="minorEastAsia" w:hAnsiTheme="minorEastAsia" w:eastAsiaTheme="minorEastAsia"/>
          <w:color w:val="000000" w:themeColor="text1"/>
        </w:rPr>
        <w:t>。</w:t>
      </w:r>
    </w:p>
    <w:p>
      <w:pPr>
        <w:pStyle w:val="5"/>
        <w:pageBreakBefore w:val="0"/>
        <w:kinsoku/>
        <w:wordWrap/>
        <w:overflowPunct/>
        <w:topLinePunct w:val="0"/>
        <w:bidi w:val="0"/>
        <w:spacing w:line="360" w:lineRule="auto"/>
        <w:jc w:val="both"/>
        <w:rPr>
          <w:b w:val="0"/>
          <w:bCs w:val="0"/>
          <w:color w:val="000000" w:themeColor="text1"/>
        </w:rPr>
      </w:pPr>
      <w:r>
        <w:rPr>
          <w:rFonts w:hint="eastAsia"/>
          <w:color w:val="000000" w:themeColor="text1"/>
        </w:rPr>
        <w:t>7</w:t>
      </w:r>
      <w:r>
        <w:rPr>
          <w:color w:val="000000" w:themeColor="text1"/>
        </w:rPr>
        <w:t>.1.3</w:t>
      </w:r>
      <w:r>
        <w:rPr>
          <w:rFonts w:hint="eastAsia"/>
          <w:color w:val="000000" w:themeColor="text1"/>
        </w:rPr>
        <w:t>其他特殊说明类法律规定</w:t>
      </w:r>
    </w:p>
    <w:p>
      <w:pPr>
        <w:pageBreakBefore w:val="0"/>
        <w:kinsoku/>
        <w:wordWrap/>
        <w:overflowPunct/>
        <w:topLinePunct w:val="0"/>
        <w:bidi w:val="0"/>
        <w:snapToGrid w:val="0"/>
        <w:spacing w:line="360" w:lineRule="auto"/>
        <w:ind w:firstLine="480" w:firstLineChars="200"/>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产品质量法》对于产品的标注作了相对原则性和概括的规定，实践中，产品种类成千上万，单单依据《产品质量法》的规定，生产者在标注时，缺乏一定的操作性。在一些特殊领域，立法时对于产品上应当标注的内容也作出了规定。</w:t>
      </w:r>
    </w:p>
    <w:p>
      <w:pPr>
        <w:pageBreakBefore w:val="0"/>
        <w:kinsoku/>
        <w:wordWrap/>
        <w:overflowPunct/>
        <w:topLinePunct w:val="0"/>
        <w:bidi w:val="0"/>
        <w:snapToGrid w:val="0"/>
        <w:spacing w:line="360" w:lineRule="auto"/>
        <w:ind w:firstLine="480" w:firstLineChars="200"/>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《标准化法实施条例》第二十四条规定“企业生产执行国家标准、行业标准、地方标准或企业标准，应当在产品或其说明书、包装物上标注所执行标准的代号、编号、名称”。</w:t>
      </w:r>
    </w:p>
    <w:p>
      <w:pPr>
        <w:pageBreakBefore w:val="0"/>
        <w:kinsoku/>
        <w:wordWrap/>
        <w:overflowPunct/>
        <w:topLinePunct w:val="0"/>
        <w:bidi w:val="0"/>
        <w:snapToGrid w:val="0"/>
        <w:spacing w:line="360" w:lineRule="auto"/>
        <w:ind w:firstLine="480" w:firstLineChars="200"/>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计量法实施细则》第二十一条规定“凡无产品合格印、证的计量器具，不准出厂”。《制造、修理计量器具许可监督管理办法》第二十一条、第二十二条、第二十四条第一款、第二十五条对于标注制造、修理计量器具许可证标志和编号以及委托加工制造计量器具等情形做出了具体规定。《定量包装商品计量监督管理办法》第五条、第六条、第七条对于定量包装商品的净含量标注作出了具体规定。《江苏省贸易计量监督管理条例》第十四条规定“制售定量包装商品的，应当在包装的显著位置用中文、数值和法定计量单位清晰标注净含量。经营者不得销售未标明净含量的定量包装商品”。</w:t>
      </w:r>
    </w:p>
    <w:p>
      <w:pPr>
        <w:pageBreakBefore w:val="0"/>
        <w:kinsoku/>
        <w:wordWrap/>
        <w:overflowPunct/>
        <w:topLinePunct w:val="0"/>
        <w:bidi w:val="0"/>
        <w:snapToGrid w:val="0"/>
        <w:spacing w:line="360" w:lineRule="auto"/>
        <w:ind w:firstLine="480" w:firstLineChars="200"/>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工业产品生产许可证管理条例》第三十三条第一款规定“企业必须在其产品或者包装、说明书上标注生产许可证标志和编号”。《工业产品生产许可证管理条例实施办法》第三十八条、第四十条、第四十一条、第四十二条、第四十五条第二款对生产许可证标志、委托加工、试生产等情形的标注作出了具体规定。</w:t>
      </w:r>
    </w:p>
    <w:p>
      <w:pPr>
        <w:pageBreakBefore w:val="0"/>
        <w:kinsoku/>
        <w:wordWrap/>
        <w:overflowPunct/>
        <w:topLinePunct w:val="0"/>
        <w:bidi w:val="0"/>
        <w:snapToGrid w:val="0"/>
        <w:spacing w:line="360" w:lineRule="auto"/>
        <w:ind w:firstLine="480" w:firstLineChars="200"/>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认证认可条例》第二十六条第二款对于认证机构自行制定的认证标志的式样、文字和名称作出了禁止性规定。《强制性产品认证管理规定》第二十三条、第三十条、第三十一条、第三十二条对于强制性认证产品的标注及认证标志作出了规定。《强制性产品认证标志管理办法》对于认证标志的式样以及使用作出了更为具体的规定。</w:t>
      </w:r>
    </w:p>
    <w:p>
      <w:pPr>
        <w:pageBreakBefore w:val="0"/>
        <w:kinsoku/>
        <w:wordWrap/>
        <w:overflowPunct/>
        <w:topLinePunct w:val="0"/>
        <w:bidi w:val="0"/>
        <w:snapToGrid w:val="0"/>
        <w:spacing w:line="360" w:lineRule="auto"/>
        <w:ind w:firstLine="480" w:firstLineChars="200"/>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《能源效率标识管理办法》第四条、第十条对于列入目录产品能源效率标识的标注作出了规定。</w:t>
      </w:r>
    </w:p>
    <w:p>
      <w:pPr>
        <w:pageBreakBefore w:val="0"/>
        <w:kinsoku/>
        <w:wordWrap/>
        <w:overflowPunct/>
        <w:topLinePunct w:val="0"/>
        <w:bidi w:val="0"/>
        <w:snapToGrid w:val="0"/>
        <w:spacing w:line="360" w:lineRule="auto"/>
        <w:ind w:firstLine="480" w:firstLineChars="200"/>
        <w:jc w:val="both"/>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《水效标识管理办法》第八条</w:t>
      </w:r>
      <w:r>
        <w:rPr>
          <w:rFonts w:asciiTheme="minorEastAsia" w:hAnsiTheme="minorEastAsia" w:eastAsiaTheme="minorEastAsia"/>
          <w:color w:val="000000" w:themeColor="text1"/>
        </w:rPr>
        <w:t xml:space="preserve"> 凡列入《目录》的产品，应当在产品或者产品最小包装的明显部位标注水效标识，并在产品使用说明书中予以说明。对于网络交易，销售者应当在产品信息展示主页面醒目位置展示相应的水效标识。</w:t>
      </w:r>
    </w:p>
    <w:p>
      <w:pPr>
        <w:pStyle w:val="27"/>
        <w:pageBreakBefore w:val="0"/>
        <w:kinsoku/>
        <w:wordWrap/>
        <w:overflowPunct/>
        <w:topLinePunct w:val="0"/>
        <w:bidi w:val="0"/>
        <w:spacing w:beforeLines="0" w:afterLines="0" w:line="360" w:lineRule="auto"/>
        <w:rPr>
          <w:rFonts w:ascii="Times New Roman"/>
          <w:color w:val="000000" w:themeColor="text1"/>
          <w:sz w:val="28"/>
          <w:szCs w:val="28"/>
        </w:rPr>
      </w:pPr>
      <w:bookmarkStart w:id="24" w:name="_Toc30502"/>
      <w:r>
        <w:rPr>
          <w:rFonts w:ascii="Times New Roman"/>
          <w:color w:val="000000" w:themeColor="text1"/>
          <w:sz w:val="28"/>
          <w:szCs w:val="28"/>
        </w:rPr>
        <w:t>8 重大意见分歧的处理依据和结果</w:t>
      </w:r>
      <w:bookmarkEnd w:id="24"/>
    </w:p>
    <w:p>
      <w:pPr>
        <w:pageBreakBefore w:val="0"/>
        <w:kinsoku/>
        <w:wordWrap/>
        <w:overflowPunct/>
        <w:topLinePunct w:val="0"/>
        <w:bidi w:val="0"/>
        <w:spacing w:line="360" w:lineRule="auto"/>
        <w:ind w:firstLine="480" w:firstLineChars="200"/>
        <w:jc w:val="both"/>
        <w:rPr>
          <w:rFonts w:eastAsiaTheme="minorEastAsia"/>
          <w:b/>
          <w:color w:val="000000" w:themeColor="text1"/>
          <w:szCs w:val="28"/>
        </w:rPr>
      </w:pPr>
      <w:r>
        <w:rPr>
          <w:rFonts w:eastAsiaTheme="minorEastAsia"/>
          <w:color w:val="000000" w:themeColor="text1"/>
          <w:szCs w:val="28"/>
        </w:rPr>
        <w:t>在标准的编制过程中，</w:t>
      </w:r>
      <w:r>
        <w:rPr>
          <w:rFonts w:hint="eastAsia" w:eastAsiaTheme="minorEastAsia"/>
          <w:color w:val="000000" w:themeColor="text1"/>
          <w:szCs w:val="28"/>
        </w:rPr>
        <w:t>标准编制组在学习相关法律法规的基础上，结合</w:t>
      </w:r>
      <w:r>
        <w:rPr>
          <w:rFonts w:hint="eastAsia" w:eastAsiaTheme="minorEastAsia"/>
          <w:color w:val="000000" w:themeColor="text1"/>
          <w:szCs w:val="28"/>
          <w:lang w:val="en-US" w:eastAsia="zh-CN"/>
        </w:rPr>
        <w:t>智能门锁</w:t>
      </w:r>
      <w:r>
        <w:rPr>
          <w:rFonts w:hint="eastAsia" w:eastAsiaTheme="minorEastAsia"/>
          <w:color w:val="000000" w:themeColor="text1"/>
          <w:szCs w:val="28"/>
        </w:rPr>
        <w:t>行业实际情况，开展了本标准的制定工作，并在研究过程中征求了</w:t>
      </w:r>
      <w:r>
        <w:rPr>
          <w:rFonts w:eastAsiaTheme="minorEastAsia"/>
          <w:color w:val="000000" w:themeColor="text1"/>
          <w:szCs w:val="28"/>
        </w:rPr>
        <w:t>行业相关单位和业内专家的意见和建议，主要针对标准</w:t>
      </w:r>
      <w:r>
        <w:rPr>
          <w:rFonts w:hint="eastAsia" w:eastAsiaTheme="minorEastAsia"/>
          <w:color w:val="000000" w:themeColor="text1"/>
          <w:szCs w:val="28"/>
        </w:rPr>
        <w:t>中对</w:t>
      </w:r>
      <w:r>
        <w:rPr>
          <w:rFonts w:hint="eastAsia" w:eastAsiaTheme="minorEastAsia"/>
          <w:color w:val="000000" w:themeColor="text1"/>
          <w:szCs w:val="28"/>
          <w:lang w:val="en-US" w:eastAsia="zh-CN"/>
        </w:rPr>
        <w:t>智能门锁产品</w:t>
      </w:r>
      <w:r>
        <w:rPr>
          <w:rFonts w:hint="eastAsia" w:eastAsiaTheme="minorEastAsia"/>
          <w:color w:val="000000" w:themeColor="text1"/>
          <w:szCs w:val="28"/>
        </w:rPr>
        <w:t>使用说明书的内容和适用</w:t>
      </w:r>
      <w:r>
        <w:rPr>
          <w:rFonts w:eastAsiaTheme="minorEastAsia"/>
          <w:color w:val="000000" w:themeColor="text1"/>
          <w:szCs w:val="28"/>
        </w:rPr>
        <w:t>范围做了深入研讨，各家单位和行业专家结合自身的工作经验和</w:t>
      </w:r>
      <w:r>
        <w:rPr>
          <w:rFonts w:hint="eastAsia" w:eastAsiaTheme="minorEastAsia"/>
          <w:color w:val="000000" w:themeColor="text1"/>
          <w:szCs w:val="28"/>
        </w:rPr>
        <w:t>实际调研</w:t>
      </w:r>
      <w:r>
        <w:rPr>
          <w:rFonts w:eastAsiaTheme="minorEastAsia"/>
          <w:color w:val="000000" w:themeColor="text1"/>
          <w:szCs w:val="28"/>
        </w:rPr>
        <w:t>作为</w:t>
      </w:r>
      <w:r>
        <w:rPr>
          <w:rFonts w:hint="eastAsia" w:eastAsiaTheme="minorEastAsia"/>
          <w:color w:val="000000" w:themeColor="text1"/>
          <w:szCs w:val="28"/>
        </w:rPr>
        <w:t>标准内容</w:t>
      </w:r>
      <w:r>
        <w:rPr>
          <w:rFonts w:eastAsiaTheme="minorEastAsia"/>
          <w:color w:val="000000" w:themeColor="text1"/>
          <w:szCs w:val="28"/>
        </w:rPr>
        <w:t>支撑的有力依据，最终对标准要求达成一致。编制过程中对标准的主要内容并未产生重大意见分歧。</w:t>
      </w:r>
    </w:p>
    <w:p>
      <w:pPr>
        <w:pStyle w:val="27"/>
        <w:pageBreakBefore w:val="0"/>
        <w:kinsoku/>
        <w:wordWrap/>
        <w:overflowPunct/>
        <w:topLinePunct w:val="0"/>
        <w:bidi w:val="0"/>
        <w:spacing w:beforeLines="0" w:afterLines="0" w:line="360" w:lineRule="auto"/>
        <w:rPr>
          <w:rFonts w:ascii="Times New Roman"/>
          <w:color w:val="000000" w:themeColor="text1"/>
          <w:sz w:val="28"/>
          <w:szCs w:val="28"/>
        </w:rPr>
      </w:pPr>
      <w:bookmarkStart w:id="25" w:name="_Toc21472"/>
      <w:r>
        <w:rPr>
          <w:rFonts w:ascii="Times New Roman"/>
          <w:color w:val="000000" w:themeColor="text1"/>
          <w:sz w:val="28"/>
          <w:szCs w:val="28"/>
        </w:rPr>
        <w:t xml:space="preserve">9 </w:t>
      </w:r>
      <w:r>
        <w:rPr>
          <w:rFonts w:hint="eastAsia" w:ascii="Times New Roman"/>
          <w:color w:val="000000" w:themeColor="text1"/>
          <w:sz w:val="28"/>
          <w:szCs w:val="28"/>
        </w:rPr>
        <w:t>标准性质的建议说明</w:t>
      </w:r>
      <w:bookmarkEnd w:id="25"/>
    </w:p>
    <w:p>
      <w:pPr>
        <w:pageBreakBefore w:val="0"/>
        <w:kinsoku/>
        <w:wordWrap/>
        <w:overflowPunct/>
        <w:topLinePunct w:val="0"/>
        <w:bidi w:val="0"/>
        <w:spacing w:line="360" w:lineRule="auto"/>
        <w:ind w:firstLine="480" w:firstLineChars="200"/>
        <w:jc w:val="both"/>
        <w:rPr>
          <w:rFonts w:eastAsiaTheme="minorEastAsia"/>
          <w:color w:val="000000" w:themeColor="text1"/>
          <w:szCs w:val="28"/>
        </w:rPr>
      </w:pPr>
      <w:r>
        <w:rPr>
          <w:rFonts w:hint="eastAsia" w:eastAsiaTheme="minorEastAsia"/>
          <w:color w:val="000000" w:themeColor="text1"/>
          <w:szCs w:val="28"/>
        </w:rPr>
        <w:t>建议本标准为推荐性，发布后立即实施。</w:t>
      </w:r>
    </w:p>
    <w:p>
      <w:pPr>
        <w:pStyle w:val="27"/>
        <w:pageBreakBefore w:val="0"/>
        <w:kinsoku/>
        <w:wordWrap/>
        <w:overflowPunct/>
        <w:topLinePunct w:val="0"/>
        <w:bidi w:val="0"/>
        <w:spacing w:beforeLines="0" w:afterLines="0" w:line="360" w:lineRule="auto"/>
        <w:rPr>
          <w:rFonts w:ascii="Times New Roman"/>
          <w:color w:val="000000" w:themeColor="text1"/>
          <w:sz w:val="28"/>
          <w:szCs w:val="28"/>
        </w:rPr>
      </w:pPr>
      <w:bookmarkStart w:id="26" w:name="_Toc6797"/>
      <w:r>
        <w:rPr>
          <w:rFonts w:hint="eastAsia" w:ascii="Times New Roman"/>
          <w:color w:val="000000" w:themeColor="text1"/>
          <w:sz w:val="28"/>
          <w:szCs w:val="28"/>
        </w:rPr>
        <w:t>1</w:t>
      </w:r>
      <w:r>
        <w:rPr>
          <w:rFonts w:ascii="Times New Roman"/>
          <w:color w:val="000000" w:themeColor="text1"/>
          <w:sz w:val="28"/>
          <w:szCs w:val="28"/>
        </w:rPr>
        <w:t>0 贯彻标准的措施建议</w:t>
      </w:r>
      <w:bookmarkEnd w:id="26"/>
    </w:p>
    <w:p>
      <w:pPr>
        <w:pageBreakBefore w:val="0"/>
        <w:kinsoku/>
        <w:wordWrap/>
        <w:overflowPunct/>
        <w:topLinePunct w:val="0"/>
        <w:bidi w:val="0"/>
        <w:spacing w:line="360" w:lineRule="auto"/>
        <w:ind w:firstLine="480"/>
        <w:jc w:val="both"/>
        <w:rPr>
          <w:rFonts w:eastAsiaTheme="minorEastAsia"/>
          <w:color w:val="000000" w:themeColor="text1"/>
          <w:szCs w:val="28"/>
        </w:rPr>
      </w:pPr>
      <w:r>
        <w:rPr>
          <w:rFonts w:eastAsiaTheme="minorEastAsia"/>
          <w:color w:val="000000" w:themeColor="text1"/>
          <w:szCs w:val="28"/>
        </w:rPr>
        <w:t>目前</w:t>
      </w:r>
      <w:r>
        <w:rPr>
          <w:rFonts w:hint="eastAsia" w:eastAsiaTheme="minorEastAsia"/>
          <w:color w:val="000000" w:themeColor="text1"/>
          <w:szCs w:val="28"/>
          <w:lang w:val="en-US" w:eastAsia="zh-CN"/>
        </w:rPr>
        <w:t>智能门锁</w:t>
      </w:r>
      <w:r>
        <w:rPr>
          <w:rFonts w:hint="eastAsia" w:eastAsiaTheme="minorEastAsia"/>
          <w:color w:val="000000" w:themeColor="text1"/>
          <w:szCs w:val="28"/>
        </w:rPr>
        <w:t>行业</w:t>
      </w:r>
      <w:r>
        <w:rPr>
          <w:rFonts w:eastAsiaTheme="minorEastAsia"/>
          <w:color w:val="000000" w:themeColor="text1"/>
          <w:szCs w:val="28"/>
        </w:rPr>
        <w:t>没有</w:t>
      </w:r>
      <w:r>
        <w:rPr>
          <w:rFonts w:hint="eastAsia" w:eastAsiaTheme="minorEastAsia"/>
          <w:color w:val="000000" w:themeColor="text1"/>
          <w:szCs w:val="28"/>
        </w:rPr>
        <w:t>使用说明书的编写规范，企业都是依据自身产品特色制定产品说明，</w:t>
      </w:r>
      <w:r>
        <w:rPr>
          <w:rFonts w:eastAsiaTheme="minorEastAsia"/>
          <w:color w:val="000000" w:themeColor="text1"/>
          <w:szCs w:val="28"/>
        </w:rPr>
        <w:t>产品</w:t>
      </w:r>
      <w:r>
        <w:rPr>
          <w:rFonts w:hint="eastAsia" w:eastAsiaTheme="minorEastAsia"/>
          <w:color w:val="000000" w:themeColor="text1"/>
          <w:szCs w:val="28"/>
        </w:rPr>
        <w:t>的性能、规格、原材料来源、适用范围、使用方法等方面或多或少不够清晰，甚至没有，给下游</w:t>
      </w:r>
      <w:r>
        <w:rPr>
          <w:rFonts w:eastAsiaTheme="minorEastAsia"/>
          <w:color w:val="000000" w:themeColor="text1"/>
          <w:szCs w:val="28"/>
        </w:rPr>
        <w:t>企业和消费者带来困扰，个别企业对于产品的不当宣传、产品质量参差不齐、内部无序竞争等问题严重阻碍了行业的健康发展。</w:t>
      </w:r>
    </w:p>
    <w:p>
      <w:pPr>
        <w:pageBreakBefore w:val="0"/>
        <w:kinsoku/>
        <w:wordWrap/>
        <w:overflowPunct/>
        <w:topLinePunct w:val="0"/>
        <w:bidi w:val="0"/>
        <w:spacing w:line="360" w:lineRule="auto"/>
        <w:ind w:firstLine="480"/>
        <w:jc w:val="both"/>
        <w:rPr>
          <w:color w:val="000000" w:themeColor="text1"/>
          <w:szCs w:val="28"/>
        </w:rPr>
      </w:pPr>
      <w:r>
        <w:rPr>
          <w:rFonts w:eastAsiaTheme="minorEastAsia"/>
          <w:color w:val="000000" w:themeColor="text1"/>
          <w:szCs w:val="28"/>
        </w:rPr>
        <w:t>建议在本标准正式出台后，各</w:t>
      </w:r>
      <w:r>
        <w:rPr>
          <w:rFonts w:hint="eastAsia" w:eastAsiaTheme="minorEastAsia"/>
          <w:color w:val="000000" w:themeColor="text1"/>
          <w:szCs w:val="28"/>
          <w:lang w:val="en-US" w:eastAsia="zh-CN"/>
        </w:rPr>
        <w:t>智能门锁</w:t>
      </w:r>
      <w:r>
        <w:rPr>
          <w:rFonts w:hint="eastAsia" w:eastAsiaTheme="minorEastAsia"/>
          <w:color w:val="000000" w:themeColor="text1"/>
          <w:szCs w:val="28"/>
        </w:rPr>
        <w:t>产品生产企业</w:t>
      </w:r>
      <w:r>
        <w:rPr>
          <w:rFonts w:eastAsiaTheme="minorEastAsia"/>
          <w:color w:val="000000" w:themeColor="text1"/>
          <w:szCs w:val="28"/>
        </w:rPr>
        <w:t>依据本标准中的相关规定</w:t>
      </w:r>
      <w:r>
        <w:rPr>
          <w:rFonts w:hint="eastAsia" w:eastAsiaTheme="minorEastAsia"/>
          <w:color w:val="000000" w:themeColor="text1"/>
          <w:szCs w:val="28"/>
        </w:rPr>
        <w:t>制定相应产品使用说明书，</w:t>
      </w:r>
      <w:r>
        <w:rPr>
          <w:rFonts w:eastAsiaTheme="minorEastAsia"/>
          <w:color w:val="000000" w:themeColor="text1"/>
          <w:szCs w:val="28"/>
        </w:rPr>
        <w:t>科研单位、检测机构以及地方管理部门能够依据本标准中的相关规定</w:t>
      </w:r>
      <w:r>
        <w:rPr>
          <w:rFonts w:hint="eastAsia" w:eastAsiaTheme="minorEastAsia"/>
          <w:color w:val="000000" w:themeColor="text1"/>
          <w:szCs w:val="28"/>
        </w:rPr>
        <w:t>对</w:t>
      </w:r>
      <w:r>
        <w:rPr>
          <w:rFonts w:hint="eastAsia" w:eastAsiaTheme="minorEastAsia"/>
          <w:color w:val="000000" w:themeColor="text1"/>
          <w:szCs w:val="28"/>
          <w:lang w:val="en-US" w:eastAsia="zh-CN"/>
        </w:rPr>
        <w:t>智能门锁</w:t>
      </w:r>
      <w:r>
        <w:rPr>
          <w:rFonts w:hint="eastAsia" w:eastAsiaTheme="minorEastAsia"/>
          <w:color w:val="000000" w:themeColor="text1"/>
          <w:szCs w:val="28"/>
        </w:rPr>
        <w:t>产品使用说明书内容进行监督</w:t>
      </w:r>
      <w:r>
        <w:rPr>
          <w:rFonts w:eastAsiaTheme="minorEastAsia"/>
          <w:color w:val="000000" w:themeColor="text1"/>
          <w:szCs w:val="28"/>
        </w:rPr>
        <w:t>。</w:t>
      </w:r>
      <w:r>
        <w:rPr>
          <w:color w:val="000000" w:themeColor="text1"/>
          <w:szCs w:val="28"/>
        </w:rPr>
        <w:t>具体实施措施建议如下：</w:t>
      </w:r>
    </w:p>
    <w:p>
      <w:pPr>
        <w:pageBreakBefore w:val="0"/>
        <w:kinsoku/>
        <w:wordWrap/>
        <w:overflowPunct/>
        <w:topLinePunct w:val="0"/>
        <w:bidi w:val="0"/>
        <w:spacing w:line="360" w:lineRule="auto"/>
        <w:ind w:firstLine="480"/>
        <w:jc w:val="both"/>
        <w:rPr>
          <w:color w:val="000000" w:themeColor="text1"/>
          <w:szCs w:val="28"/>
        </w:rPr>
      </w:pPr>
      <w:r>
        <w:rPr>
          <w:color w:val="000000" w:themeColor="text1"/>
          <w:szCs w:val="28"/>
        </w:rPr>
        <w:t>（1）加大标准宣传力度，提高认知度，建立信息公共平台，将有参考价值的案例、好的做法和经验等在行业内部公开发布，引起有关部门领导和相关企业单位的重视，</w:t>
      </w:r>
      <w:r>
        <w:rPr>
          <w:rFonts w:hint="eastAsia"/>
          <w:color w:val="000000" w:themeColor="text1"/>
          <w:szCs w:val="28"/>
        </w:rPr>
        <w:t>编制相应产品的使用说明书。</w:t>
      </w:r>
    </w:p>
    <w:p>
      <w:pPr>
        <w:pageBreakBefore w:val="0"/>
        <w:kinsoku/>
        <w:wordWrap/>
        <w:overflowPunct/>
        <w:topLinePunct w:val="0"/>
        <w:bidi w:val="0"/>
        <w:spacing w:line="360" w:lineRule="auto"/>
        <w:ind w:firstLine="480"/>
        <w:jc w:val="both"/>
        <w:rPr>
          <w:color w:val="000000" w:themeColor="text1"/>
          <w:szCs w:val="28"/>
        </w:rPr>
      </w:pPr>
      <w:r>
        <w:rPr>
          <w:color w:val="000000" w:themeColor="text1"/>
          <w:szCs w:val="28"/>
        </w:rPr>
        <w:t>（2）标准归口单位进行贯标指导，组织标准宣贯培训班，由标准制定人员主讲。设立专门的答疑或咨询部门或网站，为贯标企业排忧解难，组织有关人员积极参加行业协会组织的各项活动，培训班等。及时了解标准制、修订信息。</w:t>
      </w:r>
    </w:p>
    <w:p>
      <w:pPr>
        <w:pageBreakBefore w:val="0"/>
        <w:kinsoku/>
        <w:wordWrap/>
        <w:overflowPunct/>
        <w:topLinePunct w:val="0"/>
        <w:bidi w:val="0"/>
        <w:spacing w:line="360" w:lineRule="auto"/>
        <w:ind w:firstLine="480"/>
        <w:jc w:val="both"/>
        <w:rPr>
          <w:color w:val="000000" w:themeColor="text1"/>
          <w:szCs w:val="28"/>
        </w:rPr>
      </w:pPr>
      <w:r>
        <w:rPr>
          <w:color w:val="000000" w:themeColor="text1"/>
          <w:szCs w:val="28"/>
        </w:rPr>
        <w:t>（3）鼓励行业相关企业成立标准贯彻实施小组，组员由标准化技术人员、产品主管设计人员、工艺主管设计人员、检验人员、车间技术人员等工作人员组成，进行明确的分工合作，适时组织标准宣贯会，使</w:t>
      </w:r>
      <w:r>
        <w:rPr>
          <w:rFonts w:hint="eastAsia"/>
          <w:color w:val="000000" w:themeColor="text1"/>
          <w:szCs w:val="28"/>
        </w:rPr>
        <w:t>企业能够顺利</w:t>
      </w:r>
      <w:r>
        <w:rPr>
          <w:color w:val="000000" w:themeColor="text1"/>
          <w:szCs w:val="28"/>
        </w:rPr>
        <w:t>执行标准</w:t>
      </w:r>
      <w:r>
        <w:rPr>
          <w:rFonts w:hint="eastAsia"/>
          <w:color w:val="000000" w:themeColor="text1"/>
          <w:szCs w:val="28"/>
        </w:rPr>
        <w:t>，科学开展产品说明书的编写和使用</w:t>
      </w:r>
      <w:r>
        <w:rPr>
          <w:color w:val="000000" w:themeColor="text1"/>
          <w:szCs w:val="28"/>
        </w:rPr>
        <w:t>。</w:t>
      </w:r>
    </w:p>
    <w:p>
      <w:pPr>
        <w:pageBreakBefore w:val="0"/>
        <w:kinsoku/>
        <w:wordWrap/>
        <w:overflowPunct/>
        <w:topLinePunct w:val="0"/>
        <w:bidi w:val="0"/>
        <w:spacing w:line="360" w:lineRule="auto"/>
        <w:ind w:firstLine="480"/>
        <w:jc w:val="both"/>
        <w:rPr>
          <w:rFonts w:eastAsiaTheme="minorEastAsia"/>
          <w:b/>
          <w:color w:val="000000" w:themeColor="text1"/>
          <w:szCs w:val="28"/>
        </w:rPr>
      </w:pPr>
      <w:r>
        <w:rPr>
          <w:color w:val="000000" w:themeColor="text1"/>
          <w:szCs w:val="28"/>
        </w:rPr>
        <w:t>（4）标准化技术人员全面负责贯标实施工作，跟踪服务对贯标中出现的技术问题进行协调处理</w:t>
      </w:r>
      <w:r>
        <w:rPr>
          <w:rFonts w:hint="eastAsia"/>
          <w:color w:val="000000" w:themeColor="text1"/>
          <w:szCs w:val="28"/>
        </w:rPr>
        <w:t>并</w:t>
      </w:r>
      <w:r>
        <w:rPr>
          <w:color w:val="000000" w:themeColor="text1"/>
          <w:szCs w:val="28"/>
        </w:rPr>
        <w:t>作好贯标记录，并进行长期监督检查工作。</w:t>
      </w:r>
    </w:p>
    <w:p>
      <w:pPr>
        <w:pStyle w:val="27"/>
        <w:pageBreakBefore w:val="0"/>
        <w:kinsoku/>
        <w:wordWrap/>
        <w:overflowPunct/>
        <w:topLinePunct w:val="0"/>
        <w:bidi w:val="0"/>
        <w:spacing w:beforeLines="0" w:afterLines="0" w:line="360" w:lineRule="auto"/>
        <w:rPr>
          <w:rFonts w:ascii="Times New Roman"/>
          <w:color w:val="000000" w:themeColor="text1"/>
          <w:sz w:val="28"/>
          <w:szCs w:val="28"/>
        </w:rPr>
      </w:pPr>
      <w:bookmarkStart w:id="27" w:name="_Toc3492"/>
      <w:r>
        <w:rPr>
          <w:rFonts w:ascii="Times New Roman"/>
          <w:color w:val="000000" w:themeColor="text1"/>
          <w:sz w:val="28"/>
          <w:szCs w:val="28"/>
        </w:rPr>
        <w:t>11 废止现行有关标准的建议</w:t>
      </w:r>
      <w:bookmarkEnd w:id="27"/>
    </w:p>
    <w:p>
      <w:pPr>
        <w:pageBreakBefore w:val="0"/>
        <w:kinsoku/>
        <w:wordWrap/>
        <w:overflowPunct/>
        <w:topLinePunct w:val="0"/>
        <w:bidi w:val="0"/>
        <w:spacing w:line="360" w:lineRule="auto"/>
        <w:ind w:firstLine="480"/>
        <w:jc w:val="both"/>
        <w:rPr>
          <w:rFonts w:eastAsiaTheme="minorEastAsia"/>
          <w:color w:val="000000" w:themeColor="text1"/>
          <w:szCs w:val="28"/>
        </w:rPr>
      </w:pPr>
      <w:r>
        <w:rPr>
          <w:rFonts w:eastAsiaTheme="minorEastAsia"/>
          <w:color w:val="000000" w:themeColor="text1"/>
          <w:szCs w:val="28"/>
        </w:rPr>
        <w:t>无。</w:t>
      </w:r>
    </w:p>
    <w:p>
      <w:pPr>
        <w:pStyle w:val="27"/>
        <w:pageBreakBefore w:val="0"/>
        <w:kinsoku/>
        <w:wordWrap/>
        <w:overflowPunct/>
        <w:topLinePunct w:val="0"/>
        <w:bidi w:val="0"/>
        <w:spacing w:beforeLines="0" w:afterLines="0" w:line="360" w:lineRule="auto"/>
        <w:rPr>
          <w:rFonts w:ascii="Times New Roman"/>
          <w:color w:val="000000" w:themeColor="text1"/>
          <w:sz w:val="28"/>
          <w:szCs w:val="28"/>
        </w:rPr>
      </w:pPr>
      <w:bookmarkStart w:id="28" w:name="_Toc1529"/>
      <w:r>
        <w:rPr>
          <w:rFonts w:ascii="Times New Roman"/>
          <w:color w:val="000000" w:themeColor="text1"/>
          <w:sz w:val="28"/>
          <w:szCs w:val="28"/>
        </w:rPr>
        <w:t>12 其他应说明的事项</w:t>
      </w:r>
      <w:bookmarkEnd w:id="28"/>
    </w:p>
    <w:p>
      <w:pPr>
        <w:pageBreakBefore w:val="0"/>
        <w:kinsoku/>
        <w:wordWrap/>
        <w:overflowPunct/>
        <w:topLinePunct w:val="0"/>
        <w:bidi w:val="0"/>
        <w:spacing w:line="360" w:lineRule="auto"/>
        <w:ind w:firstLine="495"/>
        <w:jc w:val="both"/>
        <w:rPr>
          <w:rFonts w:eastAsiaTheme="minorEastAsia"/>
          <w:color w:val="000000" w:themeColor="text1"/>
          <w:szCs w:val="28"/>
        </w:rPr>
      </w:pPr>
      <w:r>
        <w:rPr>
          <w:rFonts w:eastAsiaTheme="minorEastAsia"/>
          <w:color w:val="000000" w:themeColor="text1"/>
          <w:szCs w:val="28"/>
        </w:rPr>
        <w:t>无。</w:t>
      </w:r>
    </w:p>
    <w:sectPr>
      <w:footerReference r:id="rId3" w:type="default"/>
      <w:pgSz w:w="11906" w:h="16838"/>
      <w:pgMar w:top="1134" w:right="1134" w:bottom="1134" w:left="1304"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pPr>
    <w:r>
      <w:fldChar w:fldCharType="begin"/>
    </w:r>
    <w:r>
      <w:instrText xml:space="preserve"> PAGE   \* MERGEFORMAT </w:instrText>
    </w:r>
    <w:r>
      <w:fldChar w:fldCharType="separate"/>
    </w:r>
    <w:r>
      <w:rPr>
        <w:lang w:val="zh-CN"/>
      </w:rPr>
      <w:t>29</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027BB5"/>
    <w:multiLevelType w:val="singleLevel"/>
    <w:tmpl w:val="D4027BB5"/>
    <w:lvl w:ilvl="0" w:tentative="0">
      <w:start w:val="10"/>
      <w:numFmt w:val="decimal"/>
      <w:suff w:val="nothing"/>
      <w:lvlText w:val="%1、"/>
      <w:lvlJc w:val="left"/>
    </w:lvl>
  </w:abstractNum>
  <w:abstractNum w:abstractNumId="1">
    <w:nsid w:val="D81C625D"/>
    <w:multiLevelType w:val="singleLevel"/>
    <w:tmpl w:val="D81C625D"/>
    <w:lvl w:ilvl="0" w:tentative="0">
      <w:start w:val="5"/>
      <w:numFmt w:val="decimal"/>
      <w:suff w:val="nothing"/>
      <w:lvlText w:val="%1、"/>
      <w:lvlJc w:val="left"/>
    </w:lvl>
  </w:abstractNum>
  <w:abstractNum w:abstractNumId="2">
    <w:nsid w:val="0AE367E9"/>
    <w:multiLevelType w:val="multilevel"/>
    <w:tmpl w:val="0AE367E9"/>
    <w:lvl w:ilvl="0" w:tentative="0">
      <w:start w:val="1"/>
      <w:numFmt w:val="none"/>
      <w:pStyle w:val="43"/>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1DCB3BFD"/>
    <w:multiLevelType w:val="multilevel"/>
    <w:tmpl w:val="1DCB3BFD"/>
    <w:lvl w:ilvl="0" w:tentative="0">
      <w:start w:val="1"/>
      <w:numFmt w:val="lowerLetter"/>
      <w:pStyle w:val="106"/>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05"/>
      <w:lvlText w:val="%2)"/>
      <w:lvlJc w:val="left"/>
      <w:pPr>
        <w:tabs>
          <w:tab w:val="left" w:pos="1260"/>
        </w:tabs>
        <w:ind w:left="1259" w:hanging="419"/>
      </w:pPr>
      <w:rPr>
        <w:rFonts w:hint="eastAsia"/>
      </w:rPr>
    </w:lvl>
    <w:lvl w:ilvl="2" w:tentative="0">
      <w:start w:val="1"/>
      <w:numFmt w:val="decimal"/>
      <w:pStyle w:val="10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1FC91163"/>
    <w:multiLevelType w:val="multilevel"/>
    <w:tmpl w:val="1FC91163"/>
    <w:lvl w:ilvl="0" w:tentative="0">
      <w:start w:val="1"/>
      <w:numFmt w:val="decimal"/>
      <w:suff w:val="nothing"/>
      <w:lvlText w:val="%1　"/>
      <w:lvlJc w:val="left"/>
      <w:pPr>
        <w:ind w:left="710" w:firstLine="0"/>
      </w:pPr>
      <w:rPr>
        <w:rFonts w:hint="eastAsia" w:ascii="黑体" w:hAnsi="Times New Roman" w:eastAsia="黑体"/>
        <w:b w:val="0"/>
        <w:i w:val="0"/>
        <w:sz w:val="21"/>
        <w:szCs w:val="21"/>
      </w:rPr>
    </w:lvl>
    <w:lvl w:ilvl="1" w:tentative="0">
      <w:start w:val="1"/>
      <w:numFmt w:val="decimal"/>
      <w:suff w:val="nothing"/>
      <w:lvlText w:val="%1.%2　"/>
      <w:lvlJc w:val="left"/>
      <w:pPr>
        <w:ind w:left="1135"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142"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557C2AF5"/>
    <w:multiLevelType w:val="multilevel"/>
    <w:tmpl w:val="557C2AF5"/>
    <w:lvl w:ilvl="0" w:tentative="0">
      <w:start w:val="1"/>
      <w:numFmt w:val="decimal"/>
      <w:pStyle w:val="4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58A4F398"/>
    <w:multiLevelType w:val="singleLevel"/>
    <w:tmpl w:val="58A4F398"/>
    <w:lvl w:ilvl="0" w:tentative="0">
      <w:start w:val="1"/>
      <w:numFmt w:val="lowerLetter"/>
      <w:suff w:val="space"/>
      <w:lvlText w:val="%1)"/>
      <w:lvlJc w:val="left"/>
    </w:lvl>
  </w:abstractNum>
  <w:abstractNum w:abstractNumId="7">
    <w:nsid w:val="6289A7D7"/>
    <w:multiLevelType w:val="singleLevel"/>
    <w:tmpl w:val="6289A7D7"/>
    <w:lvl w:ilvl="0" w:tentative="0">
      <w:start w:val="3"/>
      <w:numFmt w:val="decimal"/>
      <w:suff w:val="nothing"/>
      <w:lvlText w:val="%1、"/>
      <w:lvlJc w:val="left"/>
    </w:lvl>
  </w:abstractNum>
  <w:abstractNum w:abstractNumId="8">
    <w:nsid w:val="646260FA"/>
    <w:multiLevelType w:val="multilevel"/>
    <w:tmpl w:val="646260FA"/>
    <w:lvl w:ilvl="0" w:tentative="0">
      <w:start w:val="1"/>
      <w:numFmt w:val="decimal"/>
      <w:pStyle w:val="4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9">
    <w:nsid w:val="657D3FBC"/>
    <w:multiLevelType w:val="multilevel"/>
    <w:tmpl w:val="657D3FBC"/>
    <w:lvl w:ilvl="0" w:tentative="0">
      <w:start w:val="1"/>
      <w:numFmt w:val="upperLetter"/>
      <w:pStyle w:val="108"/>
      <w:suff w:val="nothing"/>
      <w:lvlText w:val="附录%1"/>
      <w:lvlJc w:val="left"/>
      <w:pPr>
        <w:ind w:left="0" w:firstLine="0"/>
      </w:pPr>
      <w:rPr>
        <w:rFonts w:hint="eastAsia"/>
        <w:spacing w:val="100"/>
      </w:rPr>
    </w:lvl>
    <w:lvl w:ilvl="1" w:tentative="0">
      <w:start w:val="1"/>
      <w:numFmt w:val="decimal"/>
      <w:pStyle w:val="109"/>
      <w:suff w:val="nothing"/>
      <w:lvlText w:val="%1.%2　"/>
      <w:lvlJc w:val="left"/>
      <w:pPr>
        <w:ind w:left="0" w:firstLine="0"/>
      </w:pPr>
      <w:rPr>
        <w:rFonts w:hint="eastAsia" w:ascii="黑体" w:eastAsia="黑体"/>
        <w:b w:val="0"/>
        <w:i w:val="0"/>
        <w:sz w:val="21"/>
      </w:rPr>
    </w:lvl>
    <w:lvl w:ilvl="2" w:tentative="0">
      <w:start w:val="1"/>
      <w:numFmt w:val="decimal"/>
      <w:pStyle w:val="110"/>
      <w:suff w:val="nothing"/>
      <w:lvlText w:val="%1.%2.%3　"/>
      <w:lvlJc w:val="left"/>
      <w:pPr>
        <w:ind w:left="0" w:firstLine="0"/>
      </w:pPr>
      <w:rPr>
        <w:rFonts w:hint="eastAsia" w:ascii="黑体" w:eastAsia="黑体"/>
        <w:b w:val="0"/>
        <w:i w:val="0"/>
        <w:sz w:val="21"/>
      </w:rPr>
    </w:lvl>
    <w:lvl w:ilvl="3" w:tentative="0">
      <w:start w:val="1"/>
      <w:numFmt w:val="decimal"/>
      <w:pStyle w:val="111"/>
      <w:suff w:val="nothing"/>
      <w:lvlText w:val="%1.%2.%3.%4　"/>
      <w:lvlJc w:val="left"/>
      <w:pPr>
        <w:ind w:left="0" w:firstLine="0"/>
      </w:pPr>
      <w:rPr>
        <w:rFonts w:hint="eastAsia" w:ascii="黑体" w:eastAsia="黑体"/>
        <w:b w:val="0"/>
        <w:i w:val="0"/>
        <w:sz w:val="21"/>
      </w:rPr>
    </w:lvl>
    <w:lvl w:ilvl="4" w:tentative="0">
      <w:start w:val="1"/>
      <w:numFmt w:val="decimal"/>
      <w:pStyle w:val="112"/>
      <w:suff w:val="nothing"/>
      <w:lvlText w:val="%1.%2.%3.%4.%5　"/>
      <w:lvlJc w:val="left"/>
      <w:pPr>
        <w:ind w:left="0" w:firstLine="0"/>
      </w:pPr>
      <w:rPr>
        <w:rFonts w:hint="eastAsia" w:ascii="黑体" w:eastAsia="黑体"/>
        <w:b w:val="0"/>
        <w:i w:val="0"/>
        <w:sz w:val="21"/>
      </w:rPr>
    </w:lvl>
    <w:lvl w:ilvl="5" w:tentative="0">
      <w:start w:val="1"/>
      <w:numFmt w:val="decimal"/>
      <w:pStyle w:val="113"/>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0">
    <w:nsid w:val="75911847"/>
    <w:multiLevelType w:val="singleLevel"/>
    <w:tmpl w:val="75911847"/>
    <w:lvl w:ilvl="0" w:tentative="0">
      <w:start w:val="7"/>
      <w:numFmt w:val="decimal"/>
      <w:suff w:val="nothing"/>
      <w:lvlText w:val="（%1）"/>
      <w:lvlJc w:val="left"/>
    </w:lvl>
  </w:abstractNum>
  <w:num w:numId="1">
    <w:abstractNumId w:val="2"/>
  </w:num>
  <w:num w:numId="2">
    <w:abstractNumId w:val="8"/>
  </w:num>
  <w:num w:numId="3">
    <w:abstractNumId w:val="5"/>
  </w:num>
  <w:num w:numId="4">
    <w:abstractNumId w:val="3"/>
  </w:num>
  <w:num w:numId="5">
    <w:abstractNumId w:val="9"/>
  </w:num>
  <w:num w:numId="6">
    <w:abstractNumId w:val="4"/>
  </w:num>
  <w:num w:numId="7">
    <w:abstractNumId w:val="7"/>
  </w:num>
  <w:num w:numId="8">
    <w:abstractNumId w:val="1"/>
  </w:num>
  <w:num w:numId="9">
    <w:abstractNumId w:val="0"/>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GQ3MjQwY2ZiZTQ3NGQ1NDk1MDM5NWIwZDQyZTExNTUifQ=="/>
  </w:docVars>
  <w:rsids>
    <w:rsidRoot w:val="00AA3E0F"/>
    <w:rsid w:val="000001E5"/>
    <w:rsid w:val="000007AC"/>
    <w:rsid w:val="00000A35"/>
    <w:rsid w:val="0000141D"/>
    <w:rsid w:val="000022B1"/>
    <w:rsid w:val="00003AFF"/>
    <w:rsid w:val="0001042F"/>
    <w:rsid w:val="00010A8B"/>
    <w:rsid w:val="000129F4"/>
    <w:rsid w:val="00013B79"/>
    <w:rsid w:val="00015A6C"/>
    <w:rsid w:val="000166C4"/>
    <w:rsid w:val="00017084"/>
    <w:rsid w:val="00017C80"/>
    <w:rsid w:val="00020415"/>
    <w:rsid w:val="00024525"/>
    <w:rsid w:val="00025B48"/>
    <w:rsid w:val="000269F6"/>
    <w:rsid w:val="00027763"/>
    <w:rsid w:val="00030247"/>
    <w:rsid w:val="0003190D"/>
    <w:rsid w:val="00031DAF"/>
    <w:rsid w:val="00033768"/>
    <w:rsid w:val="00033ECC"/>
    <w:rsid w:val="000354EE"/>
    <w:rsid w:val="00037C38"/>
    <w:rsid w:val="0004092A"/>
    <w:rsid w:val="00040A03"/>
    <w:rsid w:val="000434B8"/>
    <w:rsid w:val="000455BE"/>
    <w:rsid w:val="00045870"/>
    <w:rsid w:val="00045E4A"/>
    <w:rsid w:val="0005158F"/>
    <w:rsid w:val="0005301A"/>
    <w:rsid w:val="00056209"/>
    <w:rsid w:val="00056E5B"/>
    <w:rsid w:val="00056E94"/>
    <w:rsid w:val="000618F5"/>
    <w:rsid w:val="00062D78"/>
    <w:rsid w:val="00062F18"/>
    <w:rsid w:val="00063AB8"/>
    <w:rsid w:val="000658C5"/>
    <w:rsid w:val="00071468"/>
    <w:rsid w:val="00071497"/>
    <w:rsid w:val="00072999"/>
    <w:rsid w:val="00076334"/>
    <w:rsid w:val="00076DC9"/>
    <w:rsid w:val="00076E00"/>
    <w:rsid w:val="00077386"/>
    <w:rsid w:val="0008016C"/>
    <w:rsid w:val="000819C0"/>
    <w:rsid w:val="00081DC3"/>
    <w:rsid w:val="000821A1"/>
    <w:rsid w:val="00082BD1"/>
    <w:rsid w:val="00083D72"/>
    <w:rsid w:val="000844C5"/>
    <w:rsid w:val="00084FF3"/>
    <w:rsid w:val="00085FD8"/>
    <w:rsid w:val="0008622A"/>
    <w:rsid w:val="00090AAF"/>
    <w:rsid w:val="00090BB7"/>
    <w:rsid w:val="00091EC0"/>
    <w:rsid w:val="00092504"/>
    <w:rsid w:val="00092B00"/>
    <w:rsid w:val="00092C34"/>
    <w:rsid w:val="000973F8"/>
    <w:rsid w:val="000A2A34"/>
    <w:rsid w:val="000A3998"/>
    <w:rsid w:val="000A4C17"/>
    <w:rsid w:val="000A61FC"/>
    <w:rsid w:val="000A7210"/>
    <w:rsid w:val="000B051F"/>
    <w:rsid w:val="000B0A70"/>
    <w:rsid w:val="000B1507"/>
    <w:rsid w:val="000B226A"/>
    <w:rsid w:val="000B4363"/>
    <w:rsid w:val="000B593F"/>
    <w:rsid w:val="000B5D25"/>
    <w:rsid w:val="000C3198"/>
    <w:rsid w:val="000C32D4"/>
    <w:rsid w:val="000C35B5"/>
    <w:rsid w:val="000C53E0"/>
    <w:rsid w:val="000C5E7B"/>
    <w:rsid w:val="000C7B3C"/>
    <w:rsid w:val="000D6CF5"/>
    <w:rsid w:val="000E023D"/>
    <w:rsid w:val="000E0AB2"/>
    <w:rsid w:val="000E1B6C"/>
    <w:rsid w:val="000E4AE2"/>
    <w:rsid w:val="000E577F"/>
    <w:rsid w:val="000E6630"/>
    <w:rsid w:val="000F19D8"/>
    <w:rsid w:val="000F1B97"/>
    <w:rsid w:val="000F3C33"/>
    <w:rsid w:val="000F4A3B"/>
    <w:rsid w:val="000F4CE8"/>
    <w:rsid w:val="001018E2"/>
    <w:rsid w:val="0010305D"/>
    <w:rsid w:val="001036AD"/>
    <w:rsid w:val="001040D5"/>
    <w:rsid w:val="001050DA"/>
    <w:rsid w:val="001064D7"/>
    <w:rsid w:val="00111084"/>
    <w:rsid w:val="001117AF"/>
    <w:rsid w:val="00113794"/>
    <w:rsid w:val="00115B5E"/>
    <w:rsid w:val="00117C75"/>
    <w:rsid w:val="00122E38"/>
    <w:rsid w:val="00123381"/>
    <w:rsid w:val="00124C46"/>
    <w:rsid w:val="0012660A"/>
    <w:rsid w:val="00126D94"/>
    <w:rsid w:val="00131914"/>
    <w:rsid w:val="0013245B"/>
    <w:rsid w:val="00134A81"/>
    <w:rsid w:val="00135688"/>
    <w:rsid w:val="00136191"/>
    <w:rsid w:val="00141391"/>
    <w:rsid w:val="00142FAD"/>
    <w:rsid w:val="0014686E"/>
    <w:rsid w:val="00147B81"/>
    <w:rsid w:val="00150ABB"/>
    <w:rsid w:val="001532ED"/>
    <w:rsid w:val="001602C5"/>
    <w:rsid w:val="0016215B"/>
    <w:rsid w:val="001622C0"/>
    <w:rsid w:val="00162784"/>
    <w:rsid w:val="001647BB"/>
    <w:rsid w:val="0016491D"/>
    <w:rsid w:val="00167CE9"/>
    <w:rsid w:val="00173530"/>
    <w:rsid w:val="0017400A"/>
    <w:rsid w:val="00176EFD"/>
    <w:rsid w:val="00177FA6"/>
    <w:rsid w:val="001809AD"/>
    <w:rsid w:val="001818CE"/>
    <w:rsid w:val="00181DCA"/>
    <w:rsid w:val="00182654"/>
    <w:rsid w:val="00182FBA"/>
    <w:rsid w:val="001844FC"/>
    <w:rsid w:val="00184AF2"/>
    <w:rsid w:val="00190A45"/>
    <w:rsid w:val="001922C3"/>
    <w:rsid w:val="00192A5B"/>
    <w:rsid w:val="001A05C7"/>
    <w:rsid w:val="001A1D91"/>
    <w:rsid w:val="001A344D"/>
    <w:rsid w:val="001A36A9"/>
    <w:rsid w:val="001A7E28"/>
    <w:rsid w:val="001B03ED"/>
    <w:rsid w:val="001B0B72"/>
    <w:rsid w:val="001B145A"/>
    <w:rsid w:val="001B2B09"/>
    <w:rsid w:val="001B3029"/>
    <w:rsid w:val="001B47CF"/>
    <w:rsid w:val="001B6249"/>
    <w:rsid w:val="001B7FB5"/>
    <w:rsid w:val="001C19B4"/>
    <w:rsid w:val="001C209D"/>
    <w:rsid w:val="001C49C9"/>
    <w:rsid w:val="001C5350"/>
    <w:rsid w:val="001C7E50"/>
    <w:rsid w:val="001D0624"/>
    <w:rsid w:val="001D2C4D"/>
    <w:rsid w:val="001D3388"/>
    <w:rsid w:val="001D421B"/>
    <w:rsid w:val="001D466C"/>
    <w:rsid w:val="001D5FEA"/>
    <w:rsid w:val="001D7791"/>
    <w:rsid w:val="001E216C"/>
    <w:rsid w:val="001E2A4B"/>
    <w:rsid w:val="001E2D15"/>
    <w:rsid w:val="001E3871"/>
    <w:rsid w:val="001E56A7"/>
    <w:rsid w:val="001E7665"/>
    <w:rsid w:val="001E7CEE"/>
    <w:rsid w:val="001F0376"/>
    <w:rsid w:val="001F4B34"/>
    <w:rsid w:val="001F7A32"/>
    <w:rsid w:val="00201456"/>
    <w:rsid w:val="00201C5F"/>
    <w:rsid w:val="00205CEE"/>
    <w:rsid w:val="00210503"/>
    <w:rsid w:val="002118AB"/>
    <w:rsid w:val="002126D9"/>
    <w:rsid w:val="00213E30"/>
    <w:rsid w:val="0021604E"/>
    <w:rsid w:val="00217B16"/>
    <w:rsid w:val="002211F8"/>
    <w:rsid w:val="002306B0"/>
    <w:rsid w:val="00233834"/>
    <w:rsid w:val="00234126"/>
    <w:rsid w:val="002348A6"/>
    <w:rsid w:val="00236B80"/>
    <w:rsid w:val="00240F1D"/>
    <w:rsid w:val="002431FA"/>
    <w:rsid w:val="002446E2"/>
    <w:rsid w:val="00247197"/>
    <w:rsid w:val="0025034B"/>
    <w:rsid w:val="00250A16"/>
    <w:rsid w:val="0025217B"/>
    <w:rsid w:val="00254E39"/>
    <w:rsid w:val="00255F9C"/>
    <w:rsid w:val="0026107B"/>
    <w:rsid w:val="00261162"/>
    <w:rsid w:val="00262D99"/>
    <w:rsid w:val="00263789"/>
    <w:rsid w:val="002666A7"/>
    <w:rsid w:val="00266E7D"/>
    <w:rsid w:val="0026725F"/>
    <w:rsid w:val="00275782"/>
    <w:rsid w:val="00275CE1"/>
    <w:rsid w:val="002768F3"/>
    <w:rsid w:val="00277890"/>
    <w:rsid w:val="002813D0"/>
    <w:rsid w:val="00284FE2"/>
    <w:rsid w:val="00285718"/>
    <w:rsid w:val="002863DE"/>
    <w:rsid w:val="00290007"/>
    <w:rsid w:val="00294C50"/>
    <w:rsid w:val="00295D04"/>
    <w:rsid w:val="00296ECE"/>
    <w:rsid w:val="0029709E"/>
    <w:rsid w:val="002978CE"/>
    <w:rsid w:val="002A2585"/>
    <w:rsid w:val="002A2C84"/>
    <w:rsid w:val="002A3520"/>
    <w:rsid w:val="002A7256"/>
    <w:rsid w:val="002A7C01"/>
    <w:rsid w:val="002B0727"/>
    <w:rsid w:val="002B1FD6"/>
    <w:rsid w:val="002B5424"/>
    <w:rsid w:val="002B7008"/>
    <w:rsid w:val="002B77A1"/>
    <w:rsid w:val="002B7DB0"/>
    <w:rsid w:val="002C022E"/>
    <w:rsid w:val="002C18D7"/>
    <w:rsid w:val="002C40F4"/>
    <w:rsid w:val="002C721D"/>
    <w:rsid w:val="002C7925"/>
    <w:rsid w:val="002D044E"/>
    <w:rsid w:val="002D3ADD"/>
    <w:rsid w:val="002D4561"/>
    <w:rsid w:val="002D49FE"/>
    <w:rsid w:val="002D6251"/>
    <w:rsid w:val="002D7368"/>
    <w:rsid w:val="002D7540"/>
    <w:rsid w:val="002D7A4E"/>
    <w:rsid w:val="002D7D6F"/>
    <w:rsid w:val="002E08A7"/>
    <w:rsid w:val="002E0A53"/>
    <w:rsid w:val="002E1F62"/>
    <w:rsid w:val="002E3251"/>
    <w:rsid w:val="002E356B"/>
    <w:rsid w:val="002E671D"/>
    <w:rsid w:val="002F14E0"/>
    <w:rsid w:val="002F386B"/>
    <w:rsid w:val="002F413E"/>
    <w:rsid w:val="002F67EC"/>
    <w:rsid w:val="0030029E"/>
    <w:rsid w:val="00301041"/>
    <w:rsid w:val="0030478F"/>
    <w:rsid w:val="00312323"/>
    <w:rsid w:val="003128B6"/>
    <w:rsid w:val="00313B99"/>
    <w:rsid w:val="00316883"/>
    <w:rsid w:val="003202CC"/>
    <w:rsid w:val="00321B9B"/>
    <w:rsid w:val="00321BEA"/>
    <w:rsid w:val="00321FE1"/>
    <w:rsid w:val="0032377D"/>
    <w:rsid w:val="003250AF"/>
    <w:rsid w:val="003264DB"/>
    <w:rsid w:val="00326842"/>
    <w:rsid w:val="00330850"/>
    <w:rsid w:val="003321EA"/>
    <w:rsid w:val="00334FB8"/>
    <w:rsid w:val="00335A26"/>
    <w:rsid w:val="003367E3"/>
    <w:rsid w:val="00336AC0"/>
    <w:rsid w:val="00336C0A"/>
    <w:rsid w:val="0033700A"/>
    <w:rsid w:val="003374DF"/>
    <w:rsid w:val="00337AD1"/>
    <w:rsid w:val="00340627"/>
    <w:rsid w:val="003433EC"/>
    <w:rsid w:val="00345970"/>
    <w:rsid w:val="00345F55"/>
    <w:rsid w:val="0034684B"/>
    <w:rsid w:val="00346E04"/>
    <w:rsid w:val="00347457"/>
    <w:rsid w:val="00347BCC"/>
    <w:rsid w:val="003513CB"/>
    <w:rsid w:val="00351F4C"/>
    <w:rsid w:val="00357490"/>
    <w:rsid w:val="00357CB3"/>
    <w:rsid w:val="003615D2"/>
    <w:rsid w:val="00363070"/>
    <w:rsid w:val="003638A8"/>
    <w:rsid w:val="003645D5"/>
    <w:rsid w:val="00365D8A"/>
    <w:rsid w:val="00366F63"/>
    <w:rsid w:val="00367A5B"/>
    <w:rsid w:val="003726C8"/>
    <w:rsid w:val="00372853"/>
    <w:rsid w:val="00372BB9"/>
    <w:rsid w:val="003745BC"/>
    <w:rsid w:val="00374772"/>
    <w:rsid w:val="003758EE"/>
    <w:rsid w:val="00376523"/>
    <w:rsid w:val="00380E2E"/>
    <w:rsid w:val="003837E1"/>
    <w:rsid w:val="00383FE7"/>
    <w:rsid w:val="00387411"/>
    <w:rsid w:val="00387991"/>
    <w:rsid w:val="003901E8"/>
    <w:rsid w:val="00390880"/>
    <w:rsid w:val="003910F4"/>
    <w:rsid w:val="00391D3A"/>
    <w:rsid w:val="00393DA0"/>
    <w:rsid w:val="003A17BE"/>
    <w:rsid w:val="003A3A72"/>
    <w:rsid w:val="003A468C"/>
    <w:rsid w:val="003A7036"/>
    <w:rsid w:val="003A7848"/>
    <w:rsid w:val="003B129E"/>
    <w:rsid w:val="003B22E2"/>
    <w:rsid w:val="003B25C9"/>
    <w:rsid w:val="003B3C6C"/>
    <w:rsid w:val="003B620B"/>
    <w:rsid w:val="003B7B55"/>
    <w:rsid w:val="003C6534"/>
    <w:rsid w:val="003D06C9"/>
    <w:rsid w:val="003D23D7"/>
    <w:rsid w:val="003D4694"/>
    <w:rsid w:val="003D6024"/>
    <w:rsid w:val="003D65BA"/>
    <w:rsid w:val="003E108D"/>
    <w:rsid w:val="003E52E9"/>
    <w:rsid w:val="003E62CC"/>
    <w:rsid w:val="003E7C10"/>
    <w:rsid w:val="003E7DE2"/>
    <w:rsid w:val="003F0454"/>
    <w:rsid w:val="003F66A1"/>
    <w:rsid w:val="003F6747"/>
    <w:rsid w:val="00401447"/>
    <w:rsid w:val="00401E4A"/>
    <w:rsid w:val="00402A56"/>
    <w:rsid w:val="0040720D"/>
    <w:rsid w:val="0040776A"/>
    <w:rsid w:val="004109A2"/>
    <w:rsid w:val="0041214A"/>
    <w:rsid w:val="00412D5F"/>
    <w:rsid w:val="00413BB6"/>
    <w:rsid w:val="00414311"/>
    <w:rsid w:val="00414C25"/>
    <w:rsid w:val="00415A15"/>
    <w:rsid w:val="004176B3"/>
    <w:rsid w:val="00420C4C"/>
    <w:rsid w:val="00425546"/>
    <w:rsid w:val="00427964"/>
    <w:rsid w:val="004310FF"/>
    <w:rsid w:val="00433341"/>
    <w:rsid w:val="004342B0"/>
    <w:rsid w:val="00434840"/>
    <w:rsid w:val="00435360"/>
    <w:rsid w:val="0043602C"/>
    <w:rsid w:val="00437997"/>
    <w:rsid w:val="00437FCF"/>
    <w:rsid w:val="00440D57"/>
    <w:rsid w:val="004415B9"/>
    <w:rsid w:val="00444E74"/>
    <w:rsid w:val="00447ABD"/>
    <w:rsid w:val="004505BD"/>
    <w:rsid w:val="0045116D"/>
    <w:rsid w:val="004556EE"/>
    <w:rsid w:val="00455C25"/>
    <w:rsid w:val="00456060"/>
    <w:rsid w:val="004560DD"/>
    <w:rsid w:val="00461871"/>
    <w:rsid w:val="00462578"/>
    <w:rsid w:val="00464A9D"/>
    <w:rsid w:val="00464D2C"/>
    <w:rsid w:val="00464FF0"/>
    <w:rsid w:val="004739BF"/>
    <w:rsid w:val="004739D2"/>
    <w:rsid w:val="00474C1E"/>
    <w:rsid w:val="004839FB"/>
    <w:rsid w:val="004853A4"/>
    <w:rsid w:val="0048610A"/>
    <w:rsid w:val="00490D61"/>
    <w:rsid w:val="004942F7"/>
    <w:rsid w:val="00494B76"/>
    <w:rsid w:val="00496551"/>
    <w:rsid w:val="004967CF"/>
    <w:rsid w:val="004967D1"/>
    <w:rsid w:val="004A21C9"/>
    <w:rsid w:val="004A2993"/>
    <w:rsid w:val="004A4A7E"/>
    <w:rsid w:val="004A4DBF"/>
    <w:rsid w:val="004A7234"/>
    <w:rsid w:val="004B25C3"/>
    <w:rsid w:val="004B331A"/>
    <w:rsid w:val="004B59C7"/>
    <w:rsid w:val="004B6F2A"/>
    <w:rsid w:val="004C1B3E"/>
    <w:rsid w:val="004C45E0"/>
    <w:rsid w:val="004C7666"/>
    <w:rsid w:val="004D40CB"/>
    <w:rsid w:val="004D5542"/>
    <w:rsid w:val="004D6A87"/>
    <w:rsid w:val="004E0392"/>
    <w:rsid w:val="004E1727"/>
    <w:rsid w:val="004E579D"/>
    <w:rsid w:val="004E7D76"/>
    <w:rsid w:val="004F00E7"/>
    <w:rsid w:val="004F0210"/>
    <w:rsid w:val="004F62DD"/>
    <w:rsid w:val="005009A8"/>
    <w:rsid w:val="005023E7"/>
    <w:rsid w:val="00503AC4"/>
    <w:rsid w:val="0050522F"/>
    <w:rsid w:val="00505D34"/>
    <w:rsid w:val="005066E8"/>
    <w:rsid w:val="00506F09"/>
    <w:rsid w:val="00512597"/>
    <w:rsid w:val="00516975"/>
    <w:rsid w:val="0051719F"/>
    <w:rsid w:val="00517A06"/>
    <w:rsid w:val="00521073"/>
    <w:rsid w:val="00521F0B"/>
    <w:rsid w:val="005226C9"/>
    <w:rsid w:val="005228C8"/>
    <w:rsid w:val="00523C5C"/>
    <w:rsid w:val="005242CB"/>
    <w:rsid w:val="00524432"/>
    <w:rsid w:val="0053100D"/>
    <w:rsid w:val="005313F0"/>
    <w:rsid w:val="00531E1D"/>
    <w:rsid w:val="00532434"/>
    <w:rsid w:val="00532A53"/>
    <w:rsid w:val="00534132"/>
    <w:rsid w:val="00535F4E"/>
    <w:rsid w:val="00540407"/>
    <w:rsid w:val="00541C96"/>
    <w:rsid w:val="00541D12"/>
    <w:rsid w:val="005459C6"/>
    <w:rsid w:val="00546FEB"/>
    <w:rsid w:val="00554789"/>
    <w:rsid w:val="00554F4C"/>
    <w:rsid w:val="00556516"/>
    <w:rsid w:val="0055716C"/>
    <w:rsid w:val="005600B6"/>
    <w:rsid w:val="005621B1"/>
    <w:rsid w:val="00564076"/>
    <w:rsid w:val="00566323"/>
    <w:rsid w:val="00566B2F"/>
    <w:rsid w:val="005673F4"/>
    <w:rsid w:val="00567442"/>
    <w:rsid w:val="005704A4"/>
    <w:rsid w:val="00571D46"/>
    <w:rsid w:val="005725DE"/>
    <w:rsid w:val="00575BEE"/>
    <w:rsid w:val="00575CE9"/>
    <w:rsid w:val="00576D4F"/>
    <w:rsid w:val="0058175D"/>
    <w:rsid w:val="005857CF"/>
    <w:rsid w:val="00587046"/>
    <w:rsid w:val="005874F9"/>
    <w:rsid w:val="00587A76"/>
    <w:rsid w:val="00590114"/>
    <w:rsid w:val="00590D83"/>
    <w:rsid w:val="00590ED0"/>
    <w:rsid w:val="00591858"/>
    <w:rsid w:val="00594A81"/>
    <w:rsid w:val="005960AC"/>
    <w:rsid w:val="005A1423"/>
    <w:rsid w:val="005A2EA0"/>
    <w:rsid w:val="005A3D56"/>
    <w:rsid w:val="005A435D"/>
    <w:rsid w:val="005A43EE"/>
    <w:rsid w:val="005A4490"/>
    <w:rsid w:val="005A5C60"/>
    <w:rsid w:val="005B015E"/>
    <w:rsid w:val="005B1264"/>
    <w:rsid w:val="005B1B5F"/>
    <w:rsid w:val="005B3BCC"/>
    <w:rsid w:val="005B528A"/>
    <w:rsid w:val="005B5717"/>
    <w:rsid w:val="005B65EE"/>
    <w:rsid w:val="005B680C"/>
    <w:rsid w:val="005B68B3"/>
    <w:rsid w:val="005B6C02"/>
    <w:rsid w:val="005C2487"/>
    <w:rsid w:val="005C2E11"/>
    <w:rsid w:val="005C3AA3"/>
    <w:rsid w:val="005C5325"/>
    <w:rsid w:val="005C583E"/>
    <w:rsid w:val="005C5D4C"/>
    <w:rsid w:val="005C67E4"/>
    <w:rsid w:val="005C7698"/>
    <w:rsid w:val="005C7B04"/>
    <w:rsid w:val="005D4460"/>
    <w:rsid w:val="005D62F5"/>
    <w:rsid w:val="005D67F8"/>
    <w:rsid w:val="005D6C00"/>
    <w:rsid w:val="005D6F38"/>
    <w:rsid w:val="005D79A5"/>
    <w:rsid w:val="005D7AFF"/>
    <w:rsid w:val="005E084F"/>
    <w:rsid w:val="005E1E91"/>
    <w:rsid w:val="005E30F1"/>
    <w:rsid w:val="005E68A3"/>
    <w:rsid w:val="005F07D4"/>
    <w:rsid w:val="005F1052"/>
    <w:rsid w:val="005F4209"/>
    <w:rsid w:val="005F45C6"/>
    <w:rsid w:val="005F4696"/>
    <w:rsid w:val="005F4A8C"/>
    <w:rsid w:val="00601AA4"/>
    <w:rsid w:val="00601CCA"/>
    <w:rsid w:val="00602C6C"/>
    <w:rsid w:val="0060368B"/>
    <w:rsid w:val="0060518B"/>
    <w:rsid w:val="00605963"/>
    <w:rsid w:val="00605E0D"/>
    <w:rsid w:val="00605F1B"/>
    <w:rsid w:val="00607D3A"/>
    <w:rsid w:val="00611B18"/>
    <w:rsid w:val="00611DAB"/>
    <w:rsid w:val="00612D27"/>
    <w:rsid w:val="006132C6"/>
    <w:rsid w:val="006215E2"/>
    <w:rsid w:val="0062193C"/>
    <w:rsid w:val="00622989"/>
    <w:rsid w:val="00624E89"/>
    <w:rsid w:val="00625477"/>
    <w:rsid w:val="00625A6C"/>
    <w:rsid w:val="00627038"/>
    <w:rsid w:val="006308E0"/>
    <w:rsid w:val="00632EA4"/>
    <w:rsid w:val="0063367C"/>
    <w:rsid w:val="006342E7"/>
    <w:rsid w:val="0063527F"/>
    <w:rsid w:val="006371D6"/>
    <w:rsid w:val="006431C7"/>
    <w:rsid w:val="00644E8B"/>
    <w:rsid w:val="006458C4"/>
    <w:rsid w:val="006459A4"/>
    <w:rsid w:val="00647166"/>
    <w:rsid w:val="00652240"/>
    <w:rsid w:val="00654574"/>
    <w:rsid w:val="006550C3"/>
    <w:rsid w:val="00657E5D"/>
    <w:rsid w:val="0066346D"/>
    <w:rsid w:val="0066399F"/>
    <w:rsid w:val="0066404C"/>
    <w:rsid w:val="00664E3A"/>
    <w:rsid w:val="006659DF"/>
    <w:rsid w:val="006723B6"/>
    <w:rsid w:val="00672FFF"/>
    <w:rsid w:val="00673376"/>
    <w:rsid w:val="006739AB"/>
    <w:rsid w:val="00673C74"/>
    <w:rsid w:val="00674E45"/>
    <w:rsid w:val="00681EB0"/>
    <w:rsid w:val="00684961"/>
    <w:rsid w:val="00684EC4"/>
    <w:rsid w:val="0068551C"/>
    <w:rsid w:val="006856BE"/>
    <w:rsid w:val="00687CD5"/>
    <w:rsid w:val="00691135"/>
    <w:rsid w:val="006923A6"/>
    <w:rsid w:val="006923E3"/>
    <w:rsid w:val="006936D5"/>
    <w:rsid w:val="0069455E"/>
    <w:rsid w:val="00695F14"/>
    <w:rsid w:val="00696786"/>
    <w:rsid w:val="00696BA4"/>
    <w:rsid w:val="006A092F"/>
    <w:rsid w:val="006A3188"/>
    <w:rsid w:val="006A4E3B"/>
    <w:rsid w:val="006A5208"/>
    <w:rsid w:val="006B0644"/>
    <w:rsid w:val="006B0CE7"/>
    <w:rsid w:val="006B2433"/>
    <w:rsid w:val="006B25E3"/>
    <w:rsid w:val="006B5093"/>
    <w:rsid w:val="006B7ABB"/>
    <w:rsid w:val="006C0950"/>
    <w:rsid w:val="006C19B7"/>
    <w:rsid w:val="006C694C"/>
    <w:rsid w:val="006C74FE"/>
    <w:rsid w:val="006D304D"/>
    <w:rsid w:val="006D3673"/>
    <w:rsid w:val="006D49EE"/>
    <w:rsid w:val="006D524D"/>
    <w:rsid w:val="006D675B"/>
    <w:rsid w:val="006E3B1C"/>
    <w:rsid w:val="006E519C"/>
    <w:rsid w:val="006E5A81"/>
    <w:rsid w:val="006E5F28"/>
    <w:rsid w:val="006E79AD"/>
    <w:rsid w:val="006F038A"/>
    <w:rsid w:val="006F0F68"/>
    <w:rsid w:val="006F2107"/>
    <w:rsid w:val="006F2BB7"/>
    <w:rsid w:val="006F3506"/>
    <w:rsid w:val="006F51BE"/>
    <w:rsid w:val="006F5F8E"/>
    <w:rsid w:val="006F7701"/>
    <w:rsid w:val="0070206E"/>
    <w:rsid w:val="00703F34"/>
    <w:rsid w:val="0071080C"/>
    <w:rsid w:val="007108B5"/>
    <w:rsid w:val="00712056"/>
    <w:rsid w:val="00712227"/>
    <w:rsid w:val="0071409C"/>
    <w:rsid w:val="00714291"/>
    <w:rsid w:val="007154A3"/>
    <w:rsid w:val="007167C7"/>
    <w:rsid w:val="007200A5"/>
    <w:rsid w:val="007201FB"/>
    <w:rsid w:val="00720DC8"/>
    <w:rsid w:val="00721DBE"/>
    <w:rsid w:val="0072523B"/>
    <w:rsid w:val="00730971"/>
    <w:rsid w:val="00731116"/>
    <w:rsid w:val="00733611"/>
    <w:rsid w:val="00734068"/>
    <w:rsid w:val="007367F3"/>
    <w:rsid w:val="007372CF"/>
    <w:rsid w:val="00740263"/>
    <w:rsid w:val="007406FF"/>
    <w:rsid w:val="00740710"/>
    <w:rsid w:val="00740B91"/>
    <w:rsid w:val="00742C0F"/>
    <w:rsid w:val="0074337E"/>
    <w:rsid w:val="00744284"/>
    <w:rsid w:val="007443BB"/>
    <w:rsid w:val="00744A1A"/>
    <w:rsid w:val="00745528"/>
    <w:rsid w:val="0074736F"/>
    <w:rsid w:val="007532B7"/>
    <w:rsid w:val="007533D8"/>
    <w:rsid w:val="00754014"/>
    <w:rsid w:val="007567C8"/>
    <w:rsid w:val="007617ED"/>
    <w:rsid w:val="00762533"/>
    <w:rsid w:val="00764A0F"/>
    <w:rsid w:val="00771282"/>
    <w:rsid w:val="00772848"/>
    <w:rsid w:val="00773B04"/>
    <w:rsid w:val="00775F9E"/>
    <w:rsid w:val="0077675B"/>
    <w:rsid w:val="00776A41"/>
    <w:rsid w:val="0077767D"/>
    <w:rsid w:val="00783B1D"/>
    <w:rsid w:val="00783C0B"/>
    <w:rsid w:val="00787966"/>
    <w:rsid w:val="007914A9"/>
    <w:rsid w:val="0079227F"/>
    <w:rsid w:val="00794DAC"/>
    <w:rsid w:val="00796575"/>
    <w:rsid w:val="007972FA"/>
    <w:rsid w:val="007974F6"/>
    <w:rsid w:val="00797E5B"/>
    <w:rsid w:val="007A1B23"/>
    <w:rsid w:val="007A38D4"/>
    <w:rsid w:val="007A4ADF"/>
    <w:rsid w:val="007B576A"/>
    <w:rsid w:val="007B5E19"/>
    <w:rsid w:val="007B6B3C"/>
    <w:rsid w:val="007B76CD"/>
    <w:rsid w:val="007C308B"/>
    <w:rsid w:val="007C352B"/>
    <w:rsid w:val="007C3C8E"/>
    <w:rsid w:val="007C431E"/>
    <w:rsid w:val="007C5158"/>
    <w:rsid w:val="007C58A3"/>
    <w:rsid w:val="007C612B"/>
    <w:rsid w:val="007C625E"/>
    <w:rsid w:val="007C6FEE"/>
    <w:rsid w:val="007C73F6"/>
    <w:rsid w:val="007D062A"/>
    <w:rsid w:val="007D0B22"/>
    <w:rsid w:val="007D36D7"/>
    <w:rsid w:val="007D3ABB"/>
    <w:rsid w:val="007D4BB6"/>
    <w:rsid w:val="007D618D"/>
    <w:rsid w:val="007D7BD0"/>
    <w:rsid w:val="007D7F1B"/>
    <w:rsid w:val="007E1CB2"/>
    <w:rsid w:val="007E288B"/>
    <w:rsid w:val="007E33E9"/>
    <w:rsid w:val="007E3D14"/>
    <w:rsid w:val="007E5444"/>
    <w:rsid w:val="007E5B2D"/>
    <w:rsid w:val="007E5ED4"/>
    <w:rsid w:val="007E5EF8"/>
    <w:rsid w:val="007E6668"/>
    <w:rsid w:val="007E6FA8"/>
    <w:rsid w:val="007F1192"/>
    <w:rsid w:val="007F294E"/>
    <w:rsid w:val="007F38D6"/>
    <w:rsid w:val="00801413"/>
    <w:rsid w:val="0080184F"/>
    <w:rsid w:val="008049BE"/>
    <w:rsid w:val="008054FD"/>
    <w:rsid w:val="00805BC2"/>
    <w:rsid w:val="00805D0F"/>
    <w:rsid w:val="00806097"/>
    <w:rsid w:val="008068BB"/>
    <w:rsid w:val="00812C4F"/>
    <w:rsid w:val="00813BD3"/>
    <w:rsid w:val="00816282"/>
    <w:rsid w:val="00816D19"/>
    <w:rsid w:val="00821590"/>
    <w:rsid w:val="00822115"/>
    <w:rsid w:val="008224CF"/>
    <w:rsid w:val="008239E3"/>
    <w:rsid w:val="00823D78"/>
    <w:rsid w:val="00823FFD"/>
    <w:rsid w:val="00824C51"/>
    <w:rsid w:val="00825164"/>
    <w:rsid w:val="00825AE1"/>
    <w:rsid w:val="00825E2E"/>
    <w:rsid w:val="00826FCA"/>
    <w:rsid w:val="00832C3F"/>
    <w:rsid w:val="00836D26"/>
    <w:rsid w:val="00836F1C"/>
    <w:rsid w:val="008378D0"/>
    <w:rsid w:val="00837F39"/>
    <w:rsid w:val="00841809"/>
    <w:rsid w:val="00843B80"/>
    <w:rsid w:val="00852B1E"/>
    <w:rsid w:val="00852DC1"/>
    <w:rsid w:val="00854006"/>
    <w:rsid w:val="0085400A"/>
    <w:rsid w:val="008542C0"/>
    <w:rsid w:val="00856063"/>
    <w:rsid w:val="00857791"/>
    <w:rsid w:val="0086035A"/>
    <w:rsid w:val="0086067C"/>
    <w:rsid w:val="00860682"/>
    <w:rsid w:val="00861EA3"/>
    <w:rsid w:val="008655C1"/>
    <w:rsid w:val="00865A9A"/>
    <w:rsid w:val="00866D2F"/>
    <w:rsid w:val="00870580"/>
    <w:rsid w:val="00872300"/>
    <w:rsid w:val="00872B35"/>
    <w:rsid w:val="008732EE"/>
    <w:rsid w:val="008740FA"/>
    <w:rsid w:val="00875077"/>
    <w:rsid w:val="00875F27"/>
    <w:rsid w:val="008760B3"/>
    <w:rsid w:val="00876B70"/>
    <w:rsid w:val="008838FE"/>
    <w:rsid w:val="0088407F"/>
    <w:rsid w:val="00884B45"/>
    <w:rsid w:val="00885859"/>
    <w:rsid w:val="0088627F"/>
    <w:rsid w:val="008874A5"/>
    <w:rsid w:val="00890062"/>
    <w:rsid w:val="00890E8D"/>
    <w:rsid w:val="00892249"/>
    <w:rsid w:val="00897893"/>
    <w:rsid w:val="008A0267"/>
    <w:rsid w:val="008A107C"/>
    <w:rsid w:val="008A1B07"/>
    <w:rsid w:val="008A36DB"/>
    <w:rsid w:val="008A4B8F"/>
    <w:rsid w:val="008A5150"/>
    <w:rsid w:val="008A704B"/>
    <w:rsid w:val="008A7387"/>
    <w:rsid w:val="008B1394"/>
    <w:rsid w:val="008B29AB"/>
    <w:rsid w:val="008B2AED"/>
    <w:rsid w:val="008B3975"/>
    <w:rsid w:val="008B5D39"/>
    <w:rsid w:val="008B5DC1"/>
    <w:rsid w:val="008B648C"/>
    <w:rsid w:val="008B6A54"/>
    <w:rsid w:val="008B6B4A"/>
    <w:rsid w:val="008C0E9C"/>
    <w:rsid w:val="008C1A7F"/>
    <w:rsid w:val="008C2B63"/>
    <w:rsid w:val="008C73D7"/>
    <w:rsid w:val="008C76A1"/>
    <w:rsid w:val="008C7FB0"/>
    <w:rsid w:val="008D0771"/>
    <w:rsid w:val="008D2410"/>
    <w:rsid w:val="008D2724"/>
    <w:rsid w:val="008D5138"/>
    <w:rsid w:val="008D7151"/>
    <w:rsid w:val="008E1326"/>
    <w:rsid w:val="008E1E47"/>
    <w:rsid w:val="008E1F02"/>
    <w:rsid w:val="008E2243"/>
    <w:rsid w:val="008E305C"/>
    <w:rsid w:val="008E36D1"/>
    <w:rsid w:val="008E54BE"/>
    <w:rsid w:val="008E6A7A"/>
    <w:rsid w:val="008E6C40"/>
    <w:rsid w:val="008E714C"/>
    <w:rsid w:val="008E77E0"/>
    <w:rsid w:val="008E78CE"/>
    <w:rsid w:val="008F3C76"/>
    <w:rsid w:val="008F5579"/>
    <w:rsid w:val="008F5ED9"/>
    <w:rsid w:val="008F5FC9"/>
    <w:rsid w:val="008F6DB7"/>
    <w:rsid w:val="008F78FC"/>
    <w:rsid w:val="00904E3B"/>
    <w:rsid w:val="009070DB"/>
    <w:rsid w:val="00907332"/>
    <w:rsid w:val="00907808"/>
    <w:rsid w:val="00913902"/>
    <w:rsid w:val="00914570"/>
    <w:rsid w:val="0091526A"/>
    <w:rsid w:val="0091630E"/>
    <w:rsid w:val="009166FB"/>
    <w:rsid w:val="00922715"/>
    <w:rsid w:val="00923094"/>
    <w:rsid w:val="00924559"/>
    <w:rsid w:val="00924652"/>
    <w:rsid w:val="00926B99"/>
    <w:rsid w:val="0092714D"/>
    <w:rsid w:val="009314F5"/>
    <w:rsid w:val="00931589"/>
    <w:rsid w:val="00933472"/>
    <w:rsid w:val="00933911"/>
    <w:rsid w:val="0093473A"/>
    <w:rsid w:val="00935948"/>
    <w:rsid w:val="00935C05"/>
    <w:rsid w:val="00935CD0"/>
    <w:rsid w:val="00936ACD"/>
    <w:rsid w:val="00936C3F"/>
    <w:rsid w:val="00937D7A"/>
    <w:rsid w:val="00941A89"/>
    <w:rsid w:val="009420BF"/>
    <w:rsid w:val="00942365"/>
    <w:rsid w:val="00942BF3"/>
    <w:rsid w:val="00945C0F"/>
    <w:rsid w:val="00945CAD"/>
    <w:rsid w:val="009468F1"/>
    <w:rsid w:val="0095133E"/>
    <w:rsid w:val="009530E3"/>
    <w:rsid w:val="00953C2C"/>
    <w:rsid w:val="009552F8"/>
    <w:rsid w:val="0095606D"/>
    <w:rsid w:val="00956168"/>
    <w:rsid w:val="00957218"/>
    <w:rsid w:val="009621CB"/>
    <w:rsid w:val="00962CBB"/>
    <w:rsid w:val="009660DB"/>
    <w:rsid w:val="0096723E"/>
    <w:rsid w:val="00970DF7"/>
    <w:rsid w:val="0097228B"/>
    <w:rsid w:val="00973624"/>
    <w:rsid w:val="00973ABE"/>
    <w:rsid w:val="00974569"/>
    <w:rsid w:val="00975A38"/>
    <w:rsid w:val="00976707"/>
    <w:rsid w:val="0098024C"/>
    <w:rsid w:val="00981013"/>
    <w:rsid w:val="009810FF"/>
    <w:rsid w:val="00982D40"/>
    <w:rsid w:val="00982E3E"/>
    <w:rsid w:val="00986428"/>
    <w:rsid w:val="00990160"/>
    <w:rsid w:val="00991487"/>
    <w:rsid w:val="00991CEE"/>
    <w:rsid w:val="00992137"/>
    <w:rsid w:val="009925E7"/>
    <w:rsid w:val="00992844"/>
    <w:rsid w:val="00993C87"/>
    <w:rsid w:val="00997575"/>
    <w:rsid w:val="009A10FA"/>
    <w:rsid w:val="009A1AF6"/>
    <w:rsid w:val="009A2400"/>
    <w:rsid w:val="009A37FC"/>
    <w:rsid w:val="009A4946"/>
    <w:rsid w:val="009A5D21"/>
    <w:rsid w:val="009A7C7F"/>
    <w:rsid w:val="009B2745"/>
    <w:rsid w:val="009B2C86"/>
    <w:rsid w:val="009B3162"/>
    <w:rsid w:val="009B3819"/>
    <w:rsid w:val="009B5765"/>
    <w:rsid w:val="009B68AC"/>
    <w:rsid w:val="009B7BD3"/>
    <w:rsid w:val="009B7C45"/>
    <w:rsid w:val="009C3A51"/>
    <w:rsid w:val="009C58D5"/>
    <w:rsid w:val="009C5CEE"/>
    <w:rsid w:val="009C7628"/>
    <w:rsid w:val="009D0E88"/>
    <w:rsid w:val="009D153F"/>
    <w:rsid w:val="009D1D1F"/>
    <w:rsid w:val="009D2C8C"/>
    <w:rsid w:val="009D2F4E"/>
    <w:rsid w:val="009D41A0"/>
    <w:rsid w:val="009D44E1"/>
    <w:rsid w:val="009D609A"/>
    <w:rsid w:val="009D6406"/>
    <w:rsid w:val="009D65DF"/>
    <w:rsid w:val="009D72DD"/>
    <w:rsid w:val="009D7D67"/>
    <w:rsid w:val="009E24F3"/>
    <w:rsid w:val="009E366C"/>
    <w:rsid w:val="009E4BC2"/>
    <w:rsid w:val="009E5B2B"/>
    <w:rsid w:val="009E69F1"/>
    <w:rsid w:val="009E6AFD"/>
    <w:rsid w:val="009E71F0"/>
    <w:rsid w:val="009F0A5E"/>
    <w:rsid w:val="009F0E91"/>
    <w:rsid w:val="009F1394"/>
    <w:rsid w:val="009F29F1"/>
    <w:rsid w:val="009F4063"/>
    <w:rsid w:val="009F450E"/>
    <w:rsid w:val="009F49FC"/>
    <w:rsid w:val="009F55C8"/>
    <w:rsid w:val="00A00D2D"/>
    <w:rsid w:val="00A04912"/>
    <w:rsid w:val="00A04972"/>
    <w:rsid w:val="00A07BFC"/>
    <w:rsid w:val="00A1117A"/>
    <w:rsid w:val="00A126C3"/>
    <w:rsid w:val="00A15E65"/>
    <w:rsid w:val="00A16D8F"/>
    <w:rsid w:val="00A2342F"/>
    <w:rsid w:val="00A23D08"/>
    <w:rsid w:val="00A24C6D"/>
    <w:rsid w:val="00A259E7"/>
    <w:rsid w:val="00A27069"/>
    <w:rsid w:val="00A30CB5"/>
    <w:rsid w:val="00A3292F"/>
    <w:rsid w:val="00A32B1D"/>
    <w:rsid w:val="00A33048"/>
    <w:rsid w:val="00A34B34"/>
    <w:rsid w:val="00A35320"/>
    <w:rsid w:val="00A356FE"/>
    <w:rsid w:val="00A40183"/>
    <w:rsid w:val="00A43D8A"/>
    <w:rsid w:val="00A4598F"/>
    <w:rsid w:val="00A47CB4"/>
    <w:rsid w:val="00A47E80"/>
    <w:rsid w:val="00A47F06"/>
    <w:rsid w:val="00A518A9"/>
    <w:rsid w:val="00A5191F"/>
    <w:rsid w:val="00A528E9"/>
    <w:rsid w:val="00A536AD"/>
    <w:rsid w:val="00A542A5"/>
    <w:rsid w:val="00A62B50"/>
    <w:rsid w:val="00A62C25"/>
    <w:rsid w:val="00A65564"/>
    <w:rsid w:val="00A664E2"/>
    <w:rsid w:val="00A70039"/>
    <w:rsid w:val="00A70123"/>
    <w:rsid w:val="00A7202B"/>
    <w:rsid w:val="00A73312"/>
    <w:rsid w:val="00A747F1"/>
    <w:rsid w:val="00A750E5"/>
    <w:rsid w:val="00A754DA"/>
    <w:rsid w:val="00A7607D"/>
    <w:rsid w:val="00A77075"/>
    <w:rsid w:val="00A84CB0"/>
    <w:rsid w:val="00A908E5"/>
    <w:rsid w:val="00A93578"/>
    <w:rsid w:val="00A94810"/>
    <w:rsid w:val="00AA0EC3"/>
    <w:rsid w:val="00AA142E"/>
    <w:rsid w:val="00AA3E0F"/>
    <w:rsid w:val="00AA4EF8"/>
    <w:rsid w:val="00AA63D8"/>
    <w:rsid w:val="00AB3378"/>
    <w:rsid w:val="00AB3D5C"/>
    <w:rsid w:val="00AB4F51"/>
    <w:rsid w:val="00AB560C"/>
    <w:rsid w:val="00AB5A42"/>
    <w:rsid w:val="00AB7B33"/>
    <w:rsid w:val="00AC199D"/>
    <w:rsid w:val="00AC35CF"/>
    <w:rsid w:val="00AC4560"/>
    <w:rsid w:val="00AC6FE0"/>
    <w:rsid w:val="00AD0B5A"/>
    <w:rsid w:val="00AD2170"/>
    <w:rsid w:val="00AD25E3"/>
    <w:rsid w:val="00AD32FA"/>
    <w:rsid w:val="00AD47E1"/>
    <w:rsid w:val="00AD5857"/>
    <w:rsid w:val="00AD65FE"/>
    <w:rsid w:val="00AE25A4"/>
    <w:rsid w:val="00AE3F06"/>
    <w:rsid w:val="00AE7D80"/>
    <w:rsid w:val="00AE7E97"/>
    <w:rsid w:val="00AF05D6"/>
    <w:rsid w:val="00AF0A06"/>
    <w:rsid w:val="00AF22D7"/>
    <w:rsid w:val="00AF32AE"/>
    <w:rsid w:val="00AF365C"/>
    <w:rsid w:val="00AF3E8E"/>
    <w:rsid w:val="00AF449A"/>
    <w:rsid w:val="00AF55C9"/>
    <w:rsid w:val="00AF5672"/>
    <w:rsid w:val="00AF65A2"/>
    <w:rsid w:val="00AF6CB2"/>
    <w:rsid w:val="00AF6FF3"/>
    <w:rsid w:val="00AF705B"/>
    <w:rsid w:val="00B00830"/>
    <w:rsid w:val="00B0284B"/>
    <w:rsid w:val="00B102AE"/>
    <w:rsid w:val="00B102E6"/>
    <w:rsid w:val="00B12792"/>
    <w:rsid w:val="00B13B48"/>
    <w:rsid w:val="00B15A36"/>
    <w:rsid w:val="00B16E51"/>
    <w:rsid w:val="00B2397A"/>
    <w:rsid w:val="00B23AF1"/>
    <w:rsid w:val="00B23F58"/>
    <w:rsid w:val="00B24F48"/>
    <w:rsid w:val="00B24F78"/>
    <w:rsid w:val="00B27034"/>
    <w:rsid w:val="00B3002E"/>
    <w:rsid w:val="00B33477"/>
    <w:rsid w:val="00B41554"/>
    <w:rsid w:val="00B415C9"/>
    <w:rsid w:val="00B4212F"/>
    <w:rsid w:val="00B42478"/>
    <w:rsid w:val="00B42A2A"/>
    <w:rsid w:val="00B42EFD"/>
    <w:rsid w:val="00B440DC"/>
    <w:rsid w:val="00B44E8B"/>
    <w:rsid w:val="00B45032"/>
    <w:rsid w:val="00B45C2D"/>
    <w:rsid w:val="00B50CF6"/>
    <w:rsid w:val="00B51DE7"/>
    <w:rsid w:val="00B52E78"/>
    <w:rsid w:val="00B5316D"/>
    <w:rsid w:val="00B55A6D"/>
    <w:rsid w:val="00B5605A"/>
    <w:rsid w:val="00B57008"/>
    <w:rsid w:val="00B571B7"/>
    <w:rsid w:val="00B608CA"/>
    <w:rsid w:val="00B6111F"/>
    <w:rsid w:val="00B6115E"/>
    <w:rsid w:val="00B611B7"/>
    <w:rsid w:val="00B61B69"/>
    <w:rsid w:val="00B650E0"/>
    <w:rsid w:val="00B72397"/>
    <w:rsid w:val="00B72A25"/>
    <w:rsid w:val="00B7323D"/>
    <w:rsid w:val="00B752FB"/>
    <w:rsid w:val="00B76F7D"/>
    <w:rsid w:val="00B80B3F"/>
    <w:rsid w:val="00B817C8"/>
    <w:rsid w:val="00B832CC"/>
    <w:rsid w:val="00B83B41"/>
    <w:rsid w:val="00B85DF8"/>
    <w:rsid w:val="00B86C8F"/>
    <w:rsid w:val="00B87BAB"/>
    <w:rsid w:val="00B9280C"/>
    <w:rsid w:val="00B93CD3"/>
    <w:rsid w:val="00B94687"/>
    <w:rsid w:val="00BA0121"/>
    <w:rsid w:val="00BA0897"/>
    <w:rsid w:val="00BA55AF"/>
    <w:rsid w:val="00BA73CB"/>
    <w:rsid w:val="00BB3C91"/>
    <w:rsid w:val="00BB6270"/>
    <w:rsid w:val="00BB6816"/>
    <w:rsid w:val="00BB6985"/>
    <w:rsid w:val="00BC0879"/>
    <w:rsid w:val="00BC0E83"/>
    <w:rsid w:val="00BC2219"/>
    <w:rsid w:val="00BC432A"/>
    <w:rsid w:val="00BC4AB7"/>
    <w:rsid w:val="00BC535D"/>
    <w:rsid w:val="00BC5A73"/>
    <w:rsid w:val="00BC616A"/>
    <w:rsid w:val="00BC660A"/>
    <w:rsid w:val="00BC69E5"/>
    <w:rsid w:val="00BC77FA"/>
    <w:rsid w:val="00BD0897"/>
    <w:rsid w:val="00BD0E96"/>
    <w:rsid w:val="00BD1973"/>
    <w:rsid w:val="00BD44A8"/>
    <w:rsid w:val="00BD50F5"/>
    <w:rsid w:val="00BD6FDD"/>
    <w:rsid w:val="00BD748D"/>
    <w:rsid w:val="00BE0C8E"/>
    <w:rsid w:val="00BE4D00"/>
    <w:rsid w:val="00BE755D"/>
    <w:rsid w:val="00BF0252"/>
    <w:rsid w:val="00BF0F3C"/>
    <w:rsid w:val="00BF1159"/>
    <w:rsid w:val="00BF15F2"/>
    <w:rsid w:val="00BF1930"/>
    <w:rsid w:val="00BF6680"/>
    <w:rsid w:val="00BF67F2"/>
    <w:rsid w:val="00BF75E8"/>
    <w:rsid w:val="00BF79AC"/>
    <w:rsid w:val="00C004C3"/>
    <w:rsid w:val="00C00827"/>
    <w:rsid w:val="00C02084"/>
    <w:rsid w:val="00C025E2"/>
    <w:rsid w:val="00C033EF"/>
    <w:rsid w:val="00C048AE"/>
    <w:rsid w:val="00C04EA9"/>
    <w:rsid w:val="00C07A80"/>
    <w:rsid w:val="00C10C1B"/>
    <w:rsid w:val="00C115C3"/>
    <w:rsid w:val="00C116D3"/>
    <w:rsid w:val="00C129B3"/>
    <w:rsid w:val="00C12E03"/>
    <w:rsid w:val="00C146DF"/>
    <w:rsid w:val="00C15D6C"/>
    <w:rsid w:val="00C15F60"/>
    <w:rsid w:val="00C160B7"/>
    <w:rsid w:val="00C232B7"/>
    <w:rsid w:val="00C23999"/>
    <w:rsid w:val="00C2518E"/>
    <w:rsid w:val="00C25692"/>
    <w:rsid w:val="00C26BFE"/>
    <w:rsid w:val="00C26E3A"/>
    <w:rsid w:val="00C27F6D"/>
    <w:rsid w:val="00C30EF0"/>
    <w:rsid w:val="00C34EC1"/>
    <w:rsid w:val="00C35D58"/>
    <w:rsid w:val="00C36B40"/>
    <w:rsid w:val="00C3747A"/>
    <w:rsid w:val="00C45CA0"/>
    <w:rsid w:val="00C45E91"/>
    <w:rsid w:val="00C46D1D"/>
    <w:rsid w:val="00C507BE"/>
    <w:rsid w:val="00C50C56"/>
    <w:rsid w:val="00C5555F"/>
    <w:rsid w:val="00C55D55"/>
    <w:rsid w:val="00C569CB"/>
    <w:rsid w:val="00C56C7A"/>
    <w:rsid w:val="00C6093E"/>
    <w:rsid w:val="00C627C7"/>
    <w:rsid w:val="00C64E00"/>
    <w:rsid w:val="00C651BF"/>
    <w:rsid w:val="00C71E56"/>
    <w:rsid w:val="00C7320F"/>
    <w:rsid w:val="00C77343"/>
    <w:rsid w:val="00C82EBC"/>
    <w:rsid w:val="00C85ED7"/>
    <w:rsid w:val="00C86968"/>
    <w:rsid w:val="00C8706B"/>
    <w:rsid w:val="00C90493"/>
    <w:rsid w:val="00C906D7"/>
    <w:rsid w:val="00C90DC3"/>
    <w:rsid w:val="00C9106B"/>
    <w:rsid w:val="00C91735"/>
    <w:rsid w:val="00C932A5"/>
    <w:rsid w:val="00C942D9"/>
    <w:rsid w:val="00C943D3"/>
    <w:rsid w:val="00C94BF3"/>
    <w:rsid w:val="00C94D6C"/>
    <w:rsid w:val="00C967D2"/>
    <w:rsid w:val="00C96F4C"/>
    <w:rsid w:val="00C973CC"/>
    <w:rsid w:val="00CA07A9"/>
    <w:rsid w:val="00CA1AFD"/>
    <w:rsid w:val="00CA1C22"/>
    <w:rsid w:val="00CA261C"/>
    <w:rsid w:val="00CA3498"/>
    <w:rsid w:val="00CA53F7"/>
    <w:rsid w:val="00CA6E43"/>
    <w:rsid w:val="00CA70FD"/>
    <w:rsid w:val="00CA7977"/>
    <w:rsid w:val="00CB1693"/>
    <w:rsid w:val="00CB1868"/>
    <w:rsid w:val="00CB1CFF"/>
    <w:rsid w:val="00CB23D2"/>
    <w:rsid w:val="00CB2B2F"/>
    <w:rsid w:val="00CB409C"/>
    <w:rsid w:val="00CB47BB"/>
    <w:rsid w:val="00CB50F5"/>
    <w:rsid w:val="00CC0678"/>
    <w:rsid w:val="00CC554F"/>
    <w:rsid w:val="00CC63BD"/>
    <w:rsid w:val="00CC698E"/>
    <w:rsid w:val="00CC7AD0"/>
    <w:rsid w:val="00CD02D0"/>
    <w:rsid w:val="00CD25EC"/>
    <w:rsid w:val="00CD29E2"/>
    <w:rsid w:val="00CD3C90"/>
    <w:rsid w:val="00CD3E58"/>
    <w:rsid w:val="00CD4E85"/>
    <w:rsid w:val="00CD7084"/>
    <w:rsid w:val="00CE09E1"/>
    <w:rsid w:val="00CE0A7C"/>
    <w:rsid w:val="00CE4836"/>
    <w:rsid w:val="00CE7441"/>
    <w:rsid w:val="00CF07AB"/>
    <w:rsid w:val="00CF13BC"/>
    <w:rsid w:val="00CF2075"/>
    <w:rsid w:val="00CF35CD"/>
    <w:rsid w:val="00CF40C8"/>
    <w:rsid w:val="00CF41C9"/>
    <w:rsid w:val="00CF5D3B"/>
    <w:rsid w:val="00CF6775"/>
    <w:rsid w:val="00CF71C5"/>
    <w:rsid w:val="00CF71F8"/>
    <w:rsid w:val="00D05876"/>
    <w:rsid w:val="00D05F22"/>
    <w:rsid w:val="00D066A8"/>
    <w:rsid w:val="00D103F9"/>
    <w:rsid w:val="00D10D07"/>
    <w:rsid w:val="00D12144"/>
    <w:rsid w:val="00D128EF"/>
    <w:rsid w:val="00D1302A"/>
    <w:rsid w:val="00D13AD2"/>
    <w:rsid w:val="00D158F2"/>
    <w:rsid w:val="00D16B9B"/>
    <w:rsid w:val="00D17838"/>
    <w:rsid w:val="00D17986"/>
    <w:rsid w:val="00D209EF"/>
    <w:rsid w:val="00D20C86"/>
    <w:rsid w:val="00D2112F"/>
    <w:rsid w:val="00D213EC"/>
    <w:rsid w:val="00D2289A"/>
    <w:rsid w:val="00D22E06"/>
    <w:rsid w:val="00D2571B"/>
    <w:rsid w:val="00D25AA2"/>
    <w:rsid w:val="00D25CDF"/>
    <w:rsid w:val="00D265E8"/>
    <w:rsid w:val="00D31618"/>
    <w:rsid w:val="00D31722"/>
    <w:rsid w:val="00D3217C"/>
    <w:rsid w:val="00D346E6"/>
    <w:rsid w:val="00D349AD"/>
    <w:rsid w:val="00D3502E"/>
    <w:rsid w:val="00D35056"/>
    <w:rsid w:val="00D3641B"/>
    <w:rsid w:val="00D40746"/>
    <w:rsid w:val="00D407B8"/>
    <w:rsid w:val="00D43D53"/>
    <w:rsid w:val="00D51521"/>
    <w:rsid w:val="00D5565E"/>
    <w:rsid w:val="00D6129E"/>
    <w:rsid w:val="00D65A3F"/>
    <w:rsid w:val="00D65DA8"/>
    <w:rsid w:val="00D661E4"/>
    <w:rsid w:val="00D66455"/>
    <w:rsid w:val="00D665BF"/>
    <w:rsid w:val="00D66A0C"/>
    <w:rsid w:val="00D673B8"/>
    <w:rsid w:val="00D702B1"/>
    <w:rsid w:val="00D7264A"/>
    <w:rsid w:val="00D7306A"/>
    <w:rsid w:val="00D7306B"/>
    <w:rsid w:val="00D73684"/>
    <w:rsid w:val="00D74AC1"/>
    <w:rsid w:val="00D74E61"/>
    <w:rsid w:val="00D8010B"/>
    <w:rsid w:val="00D82B16"/>
    <w:rsid w:val="00D8366B"/>
    <w:rsid w:val="00D83E9D"/>
    <w:rsid w:val="00D8444A"/>
    <w:rsid w:val="00D87599"/>
    <w:rsid w:val="00D8796B"/>
    <w:rsid w:val="00D87D0C"/>
    <w:rsid w:val="00D911A9"/>
    <w:rsid w:val="00D92392"/>
    <w:rsid w:val="00D923E9"/>
    <w:rsid w:val="00D9295A"/>
    <w:rsid w:val="00D943FF"/>
    <w:rsid w:val="00D95107"/>
    <w:rsid w:val="00D961AA"/>
    <w:rsid w:val="00DA0F98"/>
    <w:rsid w:val="00DA11A1"/>
    <w:rsid w:val="00DA3B11"/>
    <w:rsid w:val="00DA4D5B"/>
    <w:rsid w:val="00DA72ED"/>
    <w:rsid w:val="00DA7C10"/>
    <w:rsid w:val="00DB2245"/>
    <w:rsid w:val="00DB3AAD"/>
    <w:rsid w:val="00DB40D7"/>
    <w:rsid w:val="00DB4F65"/>
    <w:rsid w:val="00DB70DB"/>
    <w:rsid w:val="00DB749B"/>
    <w:rsid w:val="00DC06F7"/>
    <w:rsid w:val="00DC64BA"/>
    <w:rsid w:val="00DC68E5"/>
    <w:rsid w:val="00DC6986"/>
    <w:rsid w:val="00DC6C38"/>
    <w:rsid w:val="00DC707F"/>
    <w:rsid w:val="00DD02C5"/>
    <w:rsid w:val="00DD07AF"/>
    <w:rsid w:val="00DD119F"/>
    <w:rsid w:val="00DD33FB"/>
    <w:rsid w:val="00DD6434"/>
    <w:rsid w:val="00DD6C1E"/>
    <w:rsid w:val="00DD79D0"/>
    <w:rsid w:val="00DE11A0"/>
    <w:rsid w:val="00DE11F0"/>
    <w:rsid w:val="00DE2CCF"/>
    <w:rsid w:val="00DE4453"/>
    <w:rsid w:val="00DE63D1"/>
    <w:rsid w:val="00DE6B7B"/>
    <w:rsid w:val="00DE72F7"/>
    <w:rsid w:val="00DF058C"/>
    <w:rsid w:val="00DF09B1"/>
    <w:rsid w:val="00DF16D5"/>
    <w:rsid w:val="00DF4DB9"/>
    <w:rsid w:val="00DF57CB"/>
    <w:rsid w:val="00DF6F9F"/>
    <w:rsid w:val="00E011C7"/>
    <w:rsid w:val="00E011F0"/>
    <w:rsid w:val="00E02490"/>
    <w:rsid w:val="00E026BC"/>
    <w:rsid w:val="00E04F59"/>
    <w:rsid w:val="00E0504C"/>
    <w:rsid w:val="00E0723E"/>
    <w:rsid w:val="00E11826"/>
    <w:rsid w:val="00E12C34"/>
    <w:rsid w:val="00E1542A"/>
    <w:rsid w:val="00E15F2C"/>
    <w:rsid w:val="00E16823"/>
    <w:rsid w:val="00E172B5"/>
    <w:rsid w:val="00E17E8D"/>
    <w:rsid w:val="00E208A5"/>
    <w:rsid w:val="00E22201"/>
    <w:rsid w:val="00E26F6E"/>
    <w:rsid w:val="00E31F35"/>
    <w:rsid w:val="00E332E2"/>
    <w:rsid w:val="00E33A67"/>
    <w:rsid w:val="00E35422"/>
    <w:rsid w:val="00E35711"/>
    <w:rsid w:val="00E37677"/>
    <w:rsid w:val="00E3794B"/>
    <w:rsid w:val="00E37E84"/>
    <w:rsid w:val="00E41766"/>
    <w:rsid w:val="00E41E1C"/>
    <w:rsid w:val="00E457B8"/>
    <w:rsid w:val="00E50415"/>
    <w:rsid w:val="00E51AD3"/>
    <w:rsid w:val="00E51D4C"/>
    <w:rsid w:val="00E520E3"/>
    <w:rsid w:val="00E54143"/>
    <w:rsid w:val="00E54E4F"/>
    <w:rsid w:val="00E57369"/>
    <w:rsid w:val="00E618D4"/>
    <w:rsid w:val="00E62F1A"/>
    <w:rsid w:val="00E6336A"/>
    <w:rsid w:val="00E639CE"/>
    <w:rsid w:val="00E6439A"/>
    <w:rsid w:val="00E700EC"/>
    <w:rsid w:val="00E7011B"/>
    <w:rsid w:val="00E707A2"/>
    <w:rsid w:val="00E72124"/>
    <w:rsid w:val="00E75B06"/>
    <w:rsid w:val="00E760B7"/>
    <w:rsid w:val="00E76AC2"/>
    <w:rsid w:val="00E7775E"/>
    <w:rsid w:val="00E83CEC"/>
    <w:rsid w:val="00E84B03"/>
    <w:rsid w:val="00E860A5"/>
    <w:rsid w:val="00E869DB"/>
    <w:rsid w:val="00E86F7F"/>
    <w:rsid w:val="00E903A6"/>
    <w:rsid w:val="00E914BA"/>
    <w:rsid w:val="00E92B02"/>
    <w:rsid w:val="00E9606D"/>
    <w:rsid w:val="00EA0254"/>
    <w:rsid w:val="00EA1819"/>
    <w:rsid w:val="00EA2995"/>
    <w:rsid w:val="00EA478A"/>
    <w:rsid w:val="00EA5D5A"/>
    <w:rsid w:val="00EA5FD6"/>
    <w:rsid w:val="00EB1024"/>
    <w:rsid w:val="00EB2C73"/>
    <w:rsid w:val="00EB2E10"/>
    <w:rsid w:val="00EB426E"/>
    <w:rsid w:val="00EB5054"/>
    <w:rsid w:val="00EB5429"/>
    <w:rsid w:val="00EB55C1"/>
    <w:rsid w:val="00EB5BC8"/>
    <w:rsid w:val="00EB6933"/>
    <w:rsid w:val="00EB7DC2"/>
    <w:rsid w:val="00EB7DCF"/>
    <w:rsid w:val="00EB7E90"/>
    <w:rsid w:val="00EC13B7"/>
    <w:rsid w:val="00EC1CF9"/>
    <w:rsid w:val="00EC29BE"/>
    <w:rsid w:val="00EC3743"/>
    <w:rsid w:val="00EC5BD0"/>
    <w:rsid w:val="00ED1156"/>
    <w:rsid w:val="00ED2D37"/>
    <w:rsid w:val="00ED3B6A"/>
    <w:rsid w:val="00ED40B2"/>
    <w:rsid w:val="00ED53C9"/>
    <w:rsid w:val="00ED68A0"/>
    <w:rsid w:val="00EE2CA7"/>
    <w:rsid w:val="00EE4143"/>
    <w:rsid w:val="00EE43BA"/>
    <w:rsid w:val="00EE6A18"/>
    <w:rsid w:val="00EE7DE4"/>
    <w:rsid w:val="00EF0127"/>
    <w:rsid w:val="00EF0800"/>
    <w:rsid w:val="00EF1060"/>
    <w:rsid w:val="00EF20CE"/>
    <w:rsid w:val="00EF5119"/>
    <w:rsid w:val="00EF660F"/>
    <w:rsid w:val="00EF66E8"/>
    <w:rsid w:val="00EF6E4A"/>
    <w:rsid w:val="00F005DA"/>
    <w:rsid w:val="00F006A2"/>
    <w:rsid w:val="00F01124"/>
    <w:rsid w:val="00F021D4"/>
    <w:rsid w:val="00F03B94"/>
    <w:rsid w:val="00F0506A"/>
    <w:rsid w:val="00F06F18"/>
    <w:rsid w:val="00F071E2"/>
    <w:rsid w:val="00F15883"/>
    <w:rsid w:val="00F16ED4"/>
    <w:rsid w:val="00F17FE2"/>
    <w:rsid w:val="00F22015"/>
    <w:rsid w:val="00F230A6"/>
    <w:rsid w:val="00F271F4"/>
    <w:rsid w:val="00F2734E"/>
    <w:rsid w:val="00F273D6"/>
    <w:rsid w:val="00F304ED"/>
    <w:rsid w:val="00F32D07"/>
    <w:rsid w:val="00F32FF9"/>
    <w:rsid w:val="00F347FE"/>
    <w:rsid w:val="00F36810"/>
    <w:rsid w:val="00F37176"/>
    <w:rsid w:val="00F41B9C"/>
    <w:rsid w:val="00F42768"/>
    <w:rsid w:val="00F43499"/>
    <w:rsid w:val="00F43D93"/>
    <w:rsid w:val="00F44F4A"/>
    <w:rsid w:val="00F45925"/>
    <w:rsid w:val="00F45979"/>
    <w:rsid w:val="00F45A92"/>
    <w:rsid w:val="00F471B6"/>
    <w:rsid w:val="00F50FCB"/>
    <w:rsid w:val="00F51439"/>
    <w:rsid w:val="00F51B0E"/>
    <w:rsid w:val="00F51BB9"/>
    <w:rsid w:val="00F537B5"/>
    <w:rsid w:val="00F53F63"/>
    <w:rsid w:val="00F54175"/>
    <w:rsid w:val="00F5500C"/>
    <w:rsid w:val="00F55220"/>
    <w:rsid w:val="00F561BB"/>
    <w:rsid w:val="00F56FA1"/>
    <w:rsid w:val="00F57BBE"/>
    <w:rsid w:val="00F60EED"/>
    <w:rsid w:val="00F64E94"/>
    <w:rsid w:val="00F658E8"/>
    <w:rsid w:val="00F65C55"/>
    <w:rsid w:val="00F70AF1"/>
    <w:rsid w:val="00F725A3"/>
    <w:rsid w:val="00F732C4"/>
    <w:rsid w:val="00F75492"/>
    <w:rsid w:val="00F75EFF"/>
    <w:rsid w:val="00F761FA"/>
    <w:rsid w:val="00F76EAF"/>
    <w:rsid w:val="00F80B9A"/>
    <w:rsid w:val="00F80EA2"/>
    <w:rsid w:val="00F83294"/>
    <w:rsid w:val="00F838CE"/>
    <w:rsid w:val="00F84052"/>
    <w:rsid w:val="00F84119"/>
    <w:rsid w:val="00F856CA"/>
    <w:rsid w:val="00F85B8C"/>
    <w:rsid w:val="00F90768"/>
    <w:rsid w:val="00F90838"/>
    <w:rsid w:val="00F91D4F"/>
    <w:rsid w:val="00F93B2F"/>
    <w:rsid w:val="00F940D9"/>
    <w:rsid w:val="00F94982"/>
    <w:rsid w:val="00F96CE1"/>
    <w:rsid w:val="00FA4A0D"/>
    <w:rsid w:val="00FA6584"/>
    <w:rsid w:val="00FB1612"/>
    <w:rsid w:val="00FB2D03"/>
    <w:rsid w:val="00FB4873"/>
    <w:rsid w:val="00FB55ED"/>
    <w:rsid w:val="00FC0BAC"/>
    <w:rsid w:val="00FC1EA8"/>
    <w:rsid w:val="00FC2504"/>
    <w:rsid w:val="00FC3DB2"/>
    <w:rsid w:val="00FC3E81"/>
    <w:rsid w:val="00FC4C19"/>
    <w:rsid w:val="00FC5AB9"/>
    <w:rsid w:val="00FC6482"/>
    <w:rsid w:val="00FC7228"/>
    <w:rsid w:val="00FD0A33"/>
    <w:rsid w:val="00FD102B"/>
    <w:rsid w:val="00FD1C22"/>
    <w:rsid w:val="00FD4AE8"/>
    <w:rsid w:val="00FD55E1"/>
    <w:rsid w:val="00FD6061"/>
    <w:rsid w:val="00FD650F"/>
    <w:rsid w:val="00FD6AC5"/>
    <w:rsid w:val="00FD71A2"/>
    <w:rsid w:val="00FD7F09"/>
    <w:rsid w:val="00FE26CC"/>
    <w:rsid w:val="00FE2779"/>
    <w:rsid w:val="00FE2A1C"/>
    <w:rsid w:val="00FE4164"/>
    <w:rsid w:val="00FE4232"/>
    <w:rsid w:val="00FE6FEC"/>
    <w:rsid w:val="00FE7684"/>
    <w:rsid w:val="00FF063C"/>
    <w:rsid w:val="00FF2502"/>
    <w:rsid w:val="00FF2D6D"/>
    <w:rsid w:val="00FF40C5"/>
    <w:rsid w:val="00FF46AF"/>
    <w:rsid w:val="00FF61E9"/>
    <w:rsid w:val="00FF6916"/>
    <w:rsid w:val="00FF7584"/>
    <w:rsid w:val="011F09A2"/>
    <w:rsid w:val="01D53E1F"/>
    <w:rsid w:val="01F817E8"/>
    <w:rsid w:val="02333FAB"/>
    <w:rsid w:val="027A3847"/>
    <w:rsid w:val="02960B90"/>
    <w:rsid w:val="02FF6933"/>
    <w:rsid w:val="03DC72AD"/>
    <w:rsid w:val="04603446"/>
    <w:rsid w:val="04C5731B"/>
    <w:rsid w:val="06B15226"/>
    <w:rsid w:val="06D87876"/>
    <w:rsid w:val="073A2D2E"/>
    <w:rsid w:val="08C65425"/>
    <w:rsid w:val="08E3593C"/>
    <w:rsid w:val="093F522E"/>
    <w:rsid w:val="095772E3"/>
    <w:rsid w:val="09AC1DD0"/>
    <w:rsid w:val="0A232DC1"/>
    <w:rsid w:val="0A364F31"/>
    <w:rsid w:val="0AAB7EDF"/>
    <w:rsid w:val="0ABA2816"/>
    <w:rsid w:val="0AC110EA"/>
    <w:rsid w:val="0B0C1DEE"/>
    <w:rsid w:val="0B703056"/>
    <w:rsid w:val="0B98683A"/>
    <w:rsid w:val="0BC41A01"/>
    <w:rsid w:val="0C177AFF"/>
    <w:rsid w:val="0C407D57"/>
    <w:rsid w:val="0CAB602D"/>
    <w:rsid w:val="0CD949FA"/>
    <w:rsid w:val="0D162518"/>
    <w:rsid w:val="0D206706"/>
    <w:rsid w:val="0D8D6A2A"/>
    <w:rsid w:val="0E7B0C16"/>
    <w:rsid w:val="0F1C6975"/>
    <w:rsid w:val="0F592033"/>
    <w:rsid w:val="0F85606A"/>
    <w:rsid w:val="103D587C"/>
    <w:rsid w:val="10711547"/>
    <w:rsid w:val="10E46E5E"/>
    <w:rsid w:val="120C0FDE"/>
    <w:rsid w:val="121D0224"/>
    <w:rsid w:val="13DA7296"/>
    <w:rsid w:val="140416E2"/>
    <w:rsid w:val="142069F5"/>
    <w:rsid w:val="14BE01CE"/>
    <w:rsid w:val="15431692"/>
    <w:rsid w:val="16A31BD1"/>
    <w:rsid w:val="16BD2A5D"/>
    <w:rsid w:val="18057723"/>
    <w:rsid w:val="186C5FA5"/>
    <w:rsid w:val="18B03D66"/>
    <w:rsid w:val="19736861"/>
    <w:rsid w:val="1A506434"/>
    <w:rsid w:val="1A53435A"/>
    <w:rsid w:val="1A825C01"/>
    <w:rsid w:val="1A896E91"/>
    <w:rsid w:val="1B9D0191"/>
    <w:rsid w:val="1C63645D"/>
    <w:rsid w:val="1D8C1CC9"/>
    <w:rsid w:val="1DA014F6"/>
    <w:rsid w:val="1DD55076"/>
    <w:rsid w:val="1EA32FFE"/>
    <w:rsid w:val="1EEF49AE"/>
    <w:rsid w:val="1F063793"/>
    <w:rsid w:val="1F4C51E7"/>
    <w:rsid w:val="1F931CF9"/>
    <w:rsid w:val="201F76FF"/>
    <w:rsid w:val="20AB44FA"/>
    <w:rsid w:val="20D05CA6"/>
    <w:rsid w:val="218B0BA8"/>
    <w:rsid w:val="21A125BF"/>
    <w:rsid w:val="21E147D5"/>
    <w:rsid w:val="226B3000"/>
    <w:rsid w:val="22836696"/>
    <w:rsid w:val="22D463D9"/>
    <w:rsid w:val="240674D2"/>
    <w:rsid w:val="2421781B"/>
    <w:rsid w:val="24341105"/>
    <w:rsid w:val="24394A69"/>
    <w:rsid w:val="24810EF8"/>
    <w:rsid w:val="252A0EF3"/>
    <w:rsid w:val="26865B8B"/>
    <w:rsid w:val="269E54AA"/>
    <w:rsid w:val="272A55F7"/>
    <w:rsid w:val="27551BD8"/>
    <w:rsid w:val="27B10559"/>
    <w:rsid w:val="28B80C7D"/>
    <w:rsid w:val="29AE0DF8"/>
    <w:rsid w:val="2A2945DA"/>
    <w:rsid w:val="2A7B4178"/>
    <w:rsid w:val="2ACA5D7D"/>
    <w:rsid w:val="2AD46786"/>
    <w:rsid w:val="2B74234C"/>
    <w:rsid w:val="2C562776"/>
    <w:rsid w:val="2D331474"/>
    <w:rsid w:val="2DC500ED"/>
    <w:rsid w:val="2DE71491"/>
    <w:rsid w:val="2E85293B"/>
    <w:rsid w:val="2EC27D0A"/>
    <w:rsid w:val="2EEB3E1F"/>
    <w:rsid w:val="2FBE0181"/>
    <w:rsid w:val="30B617E9"/>
    <w:rsid w:val="314C66A1"/>
    <w:rsid w:val="314C7A29"/>
    <w:rsid w:val="322A5947"/>
    <w:rsid w:val="324C68C1"/>
    <w:rsid w:val="32836087"/>
    <w:rsid w:val="331E1308"/>
    <w:rsid w:val="33546376"/>
    <w:rsid w:val="33D9161D"/>
    <w:rsid w:val="34C832E9"/>
    <w:rsid w:val="357207A0"/>
    <w:rsid w:val="36E24103"/>
    <w:rsid w:val="37A16625"/>
    <w:rsid w:val="3839725F"/>
    <w:rsid w:val="3866038A"/>
    <w:rsid w:val="38740FD9"/>
    <w:rsid w:val="38B531E7"/>
    <w:rsid w:val="38EF3989"/>
    <w:rsid w:val="39F138EB"/>
    <w:rsid w:val="3A496654"/>
    <w:rsid w:val="3AAE377F"/>
    <w:rsid w:val="3AB56A99"/>
    <w:rsid w:val="3AB94164"/>
    <w:rsid w:val="3AFF1B22"/>
    <w:rsid w:val="3B994CB1"/>
    <w:rsid w:val="3D382B5C"/>
    <w:rsid w:val="3D8C14EF"/>
    <w:rsid w:val="3D9F2DE5"/>
    <w:rsid w:val="3DD2462E"/>
    <w:rsid w:val="3E0A7CEA"/>
    <w:rsid w:val="3E4663E0"/>
    <w:rsid w:val="40523A0F"/>
    <w:rsid w:val="40686E46"/>
    <w:rsid w:val="41001CF8"/>
    <w:rsid w:val="41051994"/>
    <w:rsid w:val="412F72DC"/>
    <w:rsid w:val="416B3D2E"/>
    <w:rsid w:val="41D23927"/>
    <w:rsid w:val="43472A26"/>
    <w:rsid w:val="436D78B0"/>
    <w:rsid w:val="43756984"/>
    <w:rsid w:val="43A04F61"/>
    <w:rsid w:val="44111B88"/>
    <w:rsid w:val="449C05C5"/>
    <w:rsid w:val="44A307DB"/>
    <w:rsid w:val="44AA20BA"/>
    <w:rsid w:val="44BE1E40"/>
    <w:rsid w:val="44C81773"/>
    <w:rsid w:val="458919AF"/>
    <w:rsid w:val="45A941B4"/>
    <w:rsid w:val="45CF45A7"/>
    <w:rsid w:val="461D3BFD"/>
    <w:rsid w:val="462B08C0"/>
    <w:rsid w:val="4753488D"/>
    <w:rsid w:val="48D25D47"/>
    <w:rsid w:val="49A020DB"/>
    <w:rsid w:val="4A420AF3"/>
    <w:rsid w:val="4AED6059"/>
    <w:rsid w:val="4B4A4CF5"/>
    <w:rsid w:val="4C774E73"/>
    <w:rsid w:val="4D25504A"/>
    <w:rsid w:val="50425F1E"/>
    <w:rsid w:val="50C8571F"/>
    <w:rsid w:val="50DC4C63"/>
    <w:rsid w:val="51914FFA"/>
    <w:rsid w:val="51A836AC"/>
    <w:rsid w:val="51DA7D6C"/>
    <w:rsid w:val="51DE3290"/>
    <w:rsid w:val="540C2AD6"/>
    <w:rsid w:val="547556FD"/>
    <w:rsid w:val="54F46486"/>
    <w:rsid w:val="55474B85"/>
    <w:rsid w:val="55A66958"/>
    <w:rsid w:val="55B5349C"/>
    <w:rsid w:val="561A7328"/>
    <w:rsid w:val="56771490"/>
    <w:rsid w:val="56825C77"/>
    <w:rsid w:val="56D8390A"/>
    <w:rsid w:val="56EB551F"/>
    <w:rsid w:val="57323882"/>
    <w:rsid w:val="574160B7"/>
    <w:rsid w:val="57F35041"/>
    <w:rsid w:val="584F46D5"/>
    <w:rsid w:val="58687B75"/>
    <w:rsid w:val="588B4200"/>
    <w:rsid w:val="58E51859"/>
    <w:rsid w:val="59594DB4"/>
    <w:rsid w:val="59FC0DE5"/>
    <w:rsid w:val="5B6A090E"/>
    <w:rsid w:val="5C312D8E"/>
    <w:rsid w:val="5C8D0831"/>
    <w:rsid w:val="5CBF27AE"/>
    <w:rsid w:val="5D172DAC"/>
    <w:rsid w:val="5D1B42BE"/>
    <w:rsid w:val="5D6128E6"/>
    <w:rsid w:val="5D844A9D"/>
    <w:rsid w:val="5F254AFD"/>
    <w:rsid w:val="5F3979D1"/>
    <w:rsid w:val="5FBC0D86"/>
    <w:rsid w:val="604021DC"/>
    <w:rsid w:val="60CF1C1E"/>
    <w:rsid w:val="611257D9"/>
    <w:rsid w:val="611904B9"/>
    <w:rsid w:val="61A9409A"/>
    <w:rsid w:val="61E7065A"/>
    <w:rsid w:val="62577814"/>
    <w:rsid w:val="62597512"/>
    <w:rsid w:val="6385586D"/>
    <w:rsid w:val="640902F7"/>
    <w:rsid w:val="65A67909"/>
    <w:rsid w:val="66096C51"/>
    <w:rsid w:val="66A66835"/>
    <w:rsid w:val="66BC25E4"/>
    <w:rsid w:val="67210179"/>
    <w:rsid w:val="67292B47"/>
    <w:rsid w:val="67B620D5"/>
    <w:rsid w:val="67BC59A7"/>
    <w:rsid w:val="67EE3F97"/>
    <w:rsid w:val="681D2DB3"/>
    <w:rsid w:val="6853313E"/>
    <w:rsid w:val="696D380D"/>
    <w:rsid w:val="69AA240A"/>
    <w:rsid w:val="6A070525"/>
    <w:rsid w:val="6A961869"/>
    <w:rsid w:val="6B493C0F"/>
    <w:rsid w:val="6D125BC1"/>
    <w:rsid w:val="6D2775E8"/>
    <w:rsid w:val="6D3C3594"/>
    <w:rsid w:val="6EAE13FC"/>
    <w:rsid w:val="6FAB6FAD"/>
    <w:rsid w:val="6FE63936"/>
    <w:rsid w:val="70094CBB"/>
    <w:rsid w:val="703A0523"/>
    <w:rsid w:val="7050129B"/>
    <w:rsid w:val="70645946"/>
    <w:rsid w:val="71602504"/>
    <w:rsid w:val="719B38C2"/>
    <w:rsid w:val="71FA7599"/>
    <w:rsid w:val="726E215E"/>
    <w:rsid w:val="73286B4F"/>
    <w:rsid w:val="73645429"/>
    <w:rsid w:val="739635BA"/>
    <w:rsid w:val="73F513B8"/>
    <w:rsid w:val="74F373EC"/>
    <w:rsid w:val="76732B4F"/>
    <w:rsid w:val="767C0130"/>
    <w:rsid w:val="76B06DE6"/>
    <w:rsid w:val="76FE524A"/>
    <w:rsid w:val="770701F2"/>
    <w:rsid w:val="780C7A78"/>
    <w:rsid w:val="78B406C7"/>
    <w:rsid w:val="78FE497D"/>
    <w:rsid w:val="797F780A"/>
    <w:rsid w:val="79A775AA"/>
    <w:rsid w:val="7A1F09D7"/>
    <w:rsid w:val="7A5831FC"/>
    <w:rsid w:val="7AA839B3"/>
    <w:rsid w:val="7B4F6BA7"/>
    <w:rsid w:val="7B6B08A7"/>
    <w:rsid w:val="7BDA1036"/>
    <w:rsid w:val="7CB57743"/>
    <w:rsid w:val="7CC81775"/>
    <w:rsid w:val="7CFF6582"/>
    <w:rsid w:val="7E1F12D9"/>
    <w:rsid w:val="7EB766E3"/>
    <w:rsid w:val="7FAD7723"/>
    <w:rsid w:val="7FB25C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paragraph" w:styleId="2">
    <w:name w:val="heading 1"/>
    <w:basedOn w:val="1"/>
    <w:next w:val="1"/>
    <w:link w:val="57"/>
    <w:qFormat/>
    <w:uiPriority w:val="9"/>
    <w:pPr>
      <w:keepNext/>
      <w:keepLines/>
      <w:spacing w:line="360" w:lineRule="auto"/>
      <w:outlineLvl w:val="0"/>
    </w:pPr>
    <w:rPr>
      <w:b/>
      <w:bCs/>
      <w:kern w:val="44"/>
      <w:sz w:val="28"/>
      <w:szCs w:val="44"/>
    </w:rPr>
  </w:style>
  <w:style w:type="paragraph" w:styleId="3">
    <w:name w:val="heading 2"/>
    <w:basedOn w:val="1"/>
    <w:next w:val="1"/>
    <w:link w:val="58"/>
    <w:unhideWhenUsed/>
    <w:qFormat/>
    <w:uiPriority w:val="9"/>
    <w:pPr>
      <w:keepNext/>
      <w:keepLines/>
      <w:spacing w:line="360" w:lineRule="auto"/>
      <w:outlineLvl w:val="1"/>
    </w:pPr>
    <w:rPr>
      <w:rFonts w:asciiTheme="majorHAnsi" w:hAnsiTheme="majorHAnsi" w:eastAsiaTheme="majorEastAsia" w:cstheme="majorBidi"/>
      <w:b/>
      <w:bCs/>
      <w:szCs w:val="32"/>
    </w:rPr>
  </w:style>
  <w:style w:type="paragraph" w:styleId="4">
    <w:name w:val="heading 3"/>
    <w:basedOn w:val="1"/>
    <w:next w:val="1"/>
    <w:link w:val="39"/>
    <w:qFormat/>
    <w:uiPriority w:val="9"/>
    <w:pPr>
      <w:spacing w:line="360" w:lineRule="auto"/>
      <w:outlineLvl w:val="2"/>
    </w:pPr>
    <w:rPr>
      <w:b/>
      <w:bCs/>
      <w:szCs w:val="27"/>
    </w:rPr>
  </w:style>
  <w:style w:type="paragraph" w:styleId="5">
    <w:name w:val="heading 4"/>
    <w:basedOn w:val="4"/>
    <w:next w:val="1"/>
    <w:link w:val="68"/>
    <w:unhideWhenUsed/>
    <w:qFormat/>
    <w:uiPriority w:val="9"/>
    <w:pPr>
      <w:outlineLvl w:val="3"/>
    </w:pPr>
    <w:rPr>
      <w:szCs w:val="24"/>
    </w:rPr>
  </w:style>
  <w:style w:type="paragraph" w:styleId="6">
    <w:name w:val="heading 5"/>
    <w:basedOn w:val="1"/>
    <w:next w:val="1"/>
    <w:link w:val="72"/>
    <w:unhideWhenUsed/>
    <w:qFormat/>
    <w:uiPriority w:val="9"/>
    <w:pPr>
      <w:spacing w:line="360" w:lineRule="auto"/>
      <w:outlineLvl w:val="4"/>
    </w:pPr>
    <w:rPr>
      <w:b/>
      <w:bCs/>
    </w:rPr>
  </w:style>
  <w:style w:type="character" w:default="1" w:styleId="20">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61"/>
    <w:unhideWhenUsed/>
    <w:qFormat/>
    <w:uiPriority w:val="99"/>
  </w:style>
  <w:style w:type="paragraph" w:styleId="8">
    <w:name w:val="Body Text"/>
    <w:basedOn w:val="1"/>
    <w:link w:val="30"/>
    <w:qFormat/>
    <w:uiPriority w:val="0"/>
    <w:rPr>
      <w:bCs/>
      <w:sz w:val="28"/>
      <w:szCs w:val="28"/>
    </w:rPr>
  </w:style>
  <w:style w:type="paragraph" w:styleId="9">
    <w:name w:val="toc 3"/>
    <w:basedOn w:val="1"/>
    <w:next w:val="1"/>
    <w:unhideWhenUsed/>
    <w:qFormat/>
    <w:uiPriority w:val="39"/>
    <w:pPr>
      <w:ind w:left="840" w:leftChars="400"/>
    </w:pPr>
  </w:style>
  <w:style w:type="paragraph" w:styleId="10">
    <w:name w:val="Date"/>
    <w:basedOn w:val="1"/>
    <w:next w:val="1"/>
    <w:link w:val="38"/>
    <w:unhideWhenUsed/>
    <w:qFormat/>
    <w:uiPriority w:val="99"/>
    <w:pPr>
      <w:ind w:left="100" w:leftChars="2500"/>
    </w:pPr>
  </w:style>
  <w:style w:type="paragraph" w:styleId="11">
    <w:name w:val="Balloon Text"/>
    <w:basedOn w:val="1"/>
    <w:link w:val="40"/>
    <w:unhideWhenUsed/>
    <w:qFormat/>
    <w:uiPriority w:val="99"/>
    <w:rPr>
      <w:sz w:val="18"/>
      <w:szCs w:val="18"/>
    </w:rPr>
  </w:style>
  <w:style w:type="paragraph" w:styleId="12">
    <w:name w:val="footer"/>
    <w:basedOn w:val="1"/>
    <w:link w:val="32"/>
    <w:unhideWhenUsed/>
    <w:qFormat/>
    <w:uiPriority w:val="99"/>
    <w:pPr>
      <w:tabs>
        <w:tab w:val="center" w:pos="4153"/>
        <w:tab w:val="right" w:pos="8306"/>
      </w:tabs>
      <w:snapToGrid w:val="0"/>
    </w:pPr>
    <w:rPr>
      <w:sz w:val="18"/>
      <w:szCs w:val="18"/>
    </w:rPr>
  </w:style>
  <w:style w:type="paragraph" w:styleId="13">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style>
  <w:style w:type="paragraph" w:styleId="15">
    <w:name w:val="toc 2"/>
    <w:basedOn w:val="1"/>
    <w:next w:val="1"/>
    <w:unhideWhenUsed/>
    <w:qFormat/>
    <w:uiPriority w:val="39"/>
    <w:pPr>
      <w:ind w:left="420" w:leftChars="200"/>
    </w:pPr>
  </w:style>
  <w:style w:type="paragraph" w:styleId="16">
    <w:name w:val="Normal (Web)"/>
    <w:basedOn w:val="1"/>
    <w:unhideWhenUsed/>
    <w:qFormat/>
    <w:uiPriority w:val="99"/>
    <w:pPr>
      <w:spacing w:before="100" w:beforeAutospacing="1" w:after="100" w:afterAutospacing="1"/>
    </w:pPr>
  </w:style>
  <w:style w:type="paragraph" w:styleId="17">
    <w:name w:val="annotation subject"/>
    <w:basedOn w:val="7"/>
    <w:next w:val="7"/>
    <w:link w:val="62"/>
    <w:unhideWhenUsed/>
    <w:qFormat/>
    <w:uiPriority w:val="99"/>
    <w:rPr>
      <w:b/>
      <w:bCs/>
    </w:rPr>
  </w:style>
  <w:style w:type="table" w:styleId="19">
    <w:name w:val="Table Grid"/>
    <w:basedOn w:val="1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1">
    <w:name w:val="FollowedHyperlink"/>
    <w:basedOn w:val="20"/>
    <w:semiHidden/>
    <w:unhideWhenUsed/>
    <w:qFormat/>
    <w:uiPriority w:val="99"/>
    <w:rPr>
      <w:color w:val="954F72"/>
      <w:u w:val="single"/>
    </w:rPr>
  </w:style>
  <w:style w:type="character" w:styleId="22">
    <w:name w:val="Emphasis"/>
    <w:qFormat/>
    <w:uiPriority w:val="20"/>
    <w:rPr>
      <w:color w:val="CC0000"/>
    </w:rPr>
  </w:style>
  <w:style w:type="character" w:styleId="23">
    <w:name w:val="Hyperlink"/>
    <w:basedOn w:val="20"/>
    <w:unhideWhenUsed/>
    <w:qFormat/>
    <w:uiPriority w:val="99"/>
    <w:rPr>
      <w:color w:val="136EC2"/>
      <w:u w:val="single"/>
    </w:rPr>
  </w:style>
  <w:style w:type="character" w:styleId="24">
    <w:name w:val="annotation reference"/>
    <w:basedOn w:val="20"/>
    <w:unhideWhenUsed/>
    <w:qFormat/>
    <w:uiPriority w:val="99"/>
    <w:rPr>
      <w:sz w:val="21"/>
      <w:szCs w:val="21"/>
    </w:rPr>
  </w:style>
  <w:style w:type="paragraph" w:customStyle="1" w:styleId="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
    <w:name w:val="前言、引言标题"/>
    <w:next w:val="1"/>
    <w:qFormat/>
    <w:uiPriority w:val="0"/>
    <w:pPr>
      <w:shd w:val="clear" w:color="FFFFFF" w:fill="FFFFFF"/>
      <w:tabs>
        <w:tab w:val="left" w:pos="360"/>
      </w:tabs>
      <w:spacing w:before="640" w:after="560"/>
      <w:jc w:val="center"/>
      <w:outlineLvl w:val="0"/>
    </w:pPr>
    <w:rPr>
      <w:rFonts w:ascii="黑体" w:hAnsi="Times New Roman" w:eastAsia="黑体" w:cs="Times New Roman"/>
      <w:sz w:val="32"/>
      <w:lang w:val="en-US" w:eastAsia="zh-CN" w:bidi="ar-SA"/>
    </w:rPr>
  </w:style>
  <w:style w:type="paragraph" w:customStyle="1" w:styleId="27">
    <w:name w:val="章标题"/>
    <w:next w:val="1"/>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28">
    <w:name w:val="一级条标题"/>
    <w:next w:val="1"/>
    <w:qFormat/>
    <w:uiPriority w:val="0"/>
    <w:pPr>
      <w:outlineLvl w:val="2"/>
    </w:pPr>
    <w:rPr>
      <w:rFonts w:ascii="Times New Roman" w:hAnsi="Times New Roman" w:eastAsia="黑体" w:cs="Times New Roman"/>
      <w:sz w:val="21"/>
      <w:lang w:val="en-US" w:eastAsia="zh-CN" w:bidi="ar-SA"/>
    </w:rPr>
  </w:style>
  <w:style w:type="paragraph" w:customStyle="1" w:styleId="29">
    <w:name w:val="二级条标题"/>
    <w:basedOn w:val="28"/>
    <w:next w:val="1"/>
    <w:qFormat/>
    <w:uiPriority w:val="0"/>
    <w:pPr>
      <w:outlineLvl w:val="3"/>
    </w:pPr>
  </w:style>
  <w:style w:type="character" w:customStyle="1" w:styleId="30">
    <w:name w:val="正文文本 字符"/>
    <w:link w:val="8"/>
    <w:qFormat/>
    <w:uiPriority w:val="0"/>
    <w:rPr>
      <w:rFonts w:ascii="宋体" w:hAnsi="宋体" w:eastAsia="宋体" w:cs="Times New Roman"/>
      <w:bCs/>
      <w:sz w:val="28"/>
      <w:szCs w:val="28"/>
    </w:rPr>
  </w:style>
  <w:style w:type="character" w:customStyle="1" w:styleId="31">
    <w:name w:val="页眉 字符"/>
    <w:link w:val="13"/>
    <w:qFormat/>
    <w:uiPriority w:val="99"/>
    <w:rPr>
      <w:rFonts w:ascii="Times New Roman" w:hAnsi="Times New Roman" w:eastAsia="宋体" w:cs="Times New Roman"/>
      <w:sz w:val="18"/>
      <w:szCs w:val="18"/>
    </w:rPr>
  </w:style>
  <w:style w:type="character" w:customStyle="1" w:styleId="32">
    <w:name w:val="页脚 字符"/>
    <w:link w:val="12"/>
    <w:qFormat/>
    <w:uiPriority w:val="99"/>
    <w:rPr>
      <w:rFonts w:ascii="Times New Roman" w:hAnsi="Times New Roman" w:eastAsia="宋体" w:cs="Times New Roman"/>
      <w:sz w:val="18"/>
      <w:szCs w:val="18"/>
    </w:rPr>
  </w:style>
  <w:style w:type="paragraph" w:customStyle="1" w:styleId="33">
    <w:name w:val="Char Char Char Char Char Char Char"/>
    <w:basedOn w:val="1"/>
    <w:qFormat/>
    <w:uiPriority w:val="0"/>
    <w:pPr>
      <w:spacing w:after="160" w:line="240" w:lineRule="exact"/>
    </w:pPr>
    <w:rPr>
      <w:rFonts w:ascii="Arial" w:hAnsi="Arial" w:eastAsia="Times New Roman" w:cs="Verdana"/>
      <w:b/>
      <w:lang w:eastAsia="en-US"/>
    </w:rPr>
  </w:style>
  <w:style w:type="paragraph" w:customStyle="1" w:styleId="34">
    <w:name w:val="三级条标题"/>
    <w:basedOn w:val="29"/>
    <w:next w:val="1"/>
    <w:qFormat/>
    <w:uiPriority w:val="0"/>
    <w:pPr>
      <w:jc w:val="both"/>
      <w:outlineLvl w:val="4"/>
    </w:pPr>
    <w:rPr>
      <w:rFonts w:ascii="黑体"/>
    </w:rPr>
  </w:style>
  <w:style w:type="paragraph" w:customStyle="1" w:styleId="35">
    <w:name w:val="四级条标题"/>
    <w:basedOn w:val="34"/>
    <w:next w:val="1"/>
    <w:qFormat/>
    <w:uiPriority w:val="0"/>
    <w:pPr>
      <w:outlineLvl w:val="5"/>
    </w:pPr>
  </w:style>
  <w:style w:type="paragraph" w:customStyle="1" w:styleId="36">
    <w:name w:val="五级条标题"/>
    <w:basedOn w:val="35"/>
    <w:next w:val="1"/>
    <w:qFormat/>
    <w:uiPriority w:val="0"/>
    <w:pPr>
      <w:outlineLvl w:val="6"/>
    </w:pPr>
  </w:style>
  <w:style w:type="character" w:customStyle="1" w:styleId="37">
    <w:name w:val="short_text1"/>
    <w:qFormat/>
    <w:uiPriority w:val="0"/>
    <w:rPr>
      <w:sz w:val="29"/>
      <w:szCs w:val="29"/>
    </w:rPr>
  </w:style>
  <w:style w:type="character" w:customStyle="1" w:styleId="38">
    <w:name w:val="日期 字符"/>
    <w:link w:val="10"/>
    <w:semiHidden/>
    <w:qFormat/>
    <w:uiPriority w:val="99"/>
    <w:rPr>
      <w:rFonts w:ascii="Times New Roman" w:hAnsi="Times New Roman"/>
      <w:kern w:val="2"/>
      <w:sz w:val="21"/>
      <w:szCs w:val="24"/>
    </w:rPr>
  </w:style>
  <w:style w:type="character" w:customStyle="1" w:styleId="39">
    <w:name w:val="标题 3 字符"/>
    <w:basedOn w:val="20"/>
    <w:link w:val="4"/>
    <w:qFormat/>
    <w:uiPriority w:val="9"/>
    <w:rPr>
      <w:rFonts w:ascii="宋体" w:hAnsi="宋体" w:cs="宋体"/>
      <w:b/>
      <w:bCs/>
      <w:sz w:val="24"/>
      <w:szCs w:val="27"/>
    </w:rPr>
  </w:style>
  <w:style w:type="character" w:customStyle="1" w:styleId="40">
    <w:name w:val="批注框文本 字符"/>
    <w:basedOn w:val="20"/>
    <w:link w:val="11"/>
    <w:semiHidden/>
    <w:qFormat/>
    <w:uiPriority w:val="99"/>
    <w:rPr>
      <w:rFonts w:ascii="Times New Roman" w:hAnsi="Times New Roman"/>
      <w:kern w:val="2"/>
      <w:sz w:val="18"/>
      <w:szCs w:val="18"/>
    </w:rPr>
  </w:style>
  <w:style w:type="paragraph" w:customStyle="1" w:styleId="41">
    <w:name w:val="段"/>
    <w:link w:val="4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42">
    <w:name w:val="段 Char"/>
    <w:basedOn w:val="20"/>
    <w:link w:val="41"/>
    <w:qFormat/>
    <w:uiPriority w:val="0"/>
    <w:rPr>
      <w:rFonts w:ascii="宋体" w:hAnsi="Times New Roman"/>
      <w:sz w:val="21"/>
    </w:rPr>
  </w:style>
  <w:style w:type="paragraph" w:customStyle="1" w:styleId="43">
    <w:name w:val="示例"/>
    <w:next w:val="1"/>
    <w:qFormat/>
    <w:uiPriority w:val="0"/>
    <w:pPr>
      <w:widowControl w:val="0"/>
      <w:numPr>
        <w:ilvl w:val="0"/>
        <w:numId w:val="1"/>
      </w:numPr>
      <w:jc w:val="both"/>
    </w:pPr>
    <w:rPr>
      <w:rFonts w:ascii="宋体" w:hAnsi="Times New Roman" w:eastAsia="宋体" w:cs="Times New Roman"/>
      <w:sz w:val="18"/>
      <w:szCs w:val="18"/>
      <w:lang w:val="en-US" w:eastAsia="zh-CN" w:bidi="ar-SA"/>
    </w:rPr>
  </w:style>
  <w:style w:type="paragraph" w:customStyle="1" w:styleId="44">
    <w:name w:val="正文表标题"/>
    <w:next w:val="41"/>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45">
    <w:name w:val="正文图标题"/>
    <w:next w:val="41"/>
    <w:qFormat/>
    <w:uiPriority w:val="0"/>
    <w:pPr>
      <w:numPr>
        <w:ilvl w:val="0"/>
        <w:numId w:val="2"/>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46">
    <w:name w:val="其他发布日期"/>
    <w:basedOn w:val="1"/>
    <w:qFormat/>
    <w:uiPriority w:val="0"/>
    <w:pPr>
      <w:framePr w:w="3997" w:h="471" w:hRule="exact" w:vSpace="181" w:wrap="around" w:vAnchor="page" w:hAnchor="page" w:x="1419" w:y="14097" w:anchorLock="1"/>
      <w:numPr>
        <w:ilvl w:val="0"/>
        <w:numId w:val="3"/>
      </w:numPr>
    </w:pPr>
    <w:rPr>
      <w:rFonts w:eastAsia="黑体"/>
      <w:sz w:val="28"/>
      <w:szCs w:val="20"/>
    </w:rPr>
  </w:style>
  <w:style w:type="paragraph" w:customStyle="1" w:styleId="47">
    <w:name w:val="标准表题"/>
    <w:basedOn w:val="1"/>
    <w:next w:val="41"/>
    <w:qFormat/>
    <w:uiPriority w:val="0"/>
    <w:pPr>
      <w:jc w:val="center"/>
    </w:pPr>
    <w:rPr>
      <w:rFonts w:ascii="黑体" w:eastAsia="黑体"/>
      <w:kern w:val="21"/>
      <w:szCs w:val="20"/>
    </w:rPr>
  </w:style>
  <w:style w:type="paragraph" w:customStyle="1" w:styleId="48">
    <w:name w:val="章"/>
    <w:basedOn w:val="1"/>
    <w:next w:val="41"/>
    <w:qFormat/>
    <w:uiPriority w:val="0"/>
    <w:pPr>
      <w:adjustRightInd w:val="0"/>
      <w:spacing w:before="160" w:after="160"/>
      <w:outlineLvl w:val="0"/>
    </w:pPr>
    <w:rPr>
      <w:rFonts w:ascii="黑体" w:eastAsia="黑体"/>
      <w:kern w:val="21"/>
      <w:szCs w:val="20"/>
    </w:rPr>
  </w:style>
  <w:style w:type="paragraph" w:customStyle="1" w:styleId="49">
    <w:name w:val="条2"/>
    <w:basedOn w:val="1"/>
    <w:next w:val="41"/>
    <w:qFormat/>
    <w:uiPriority w:val="0"/>
    <w:pPr>
      <w:outlineLvl w:val="1"/>
    </w:pPr>
    <w:rPr>
      <w:rFonts w:ascii="黑体" w:eastAsia="黑体"/>
      <w:kern w:val="21"/>
      <w:szCs w:val="20"/>
    </w:rPr>
  </w:style>
  <w:style w:type="paragraph" w:customStyle="1" w:styleId="50">
    <w:name w:val="条1"/>
    <w:basedOn w:val="1"/>
    <w:next w:val="41"/>
    <w:qFormat/>
    <w:uiPriority w:val="0"/>
    <w:pPr>
      <w:outlineLvl w:val="1"/>
    </w:pPr>
    <w:rPr>
      <w:rFonts w:ascii="黑体" w:eastAsia="黑体"/>
      <w:kern w:val="21"/>
      <w:szCs w:val="20"/>
    </w:rPr>
  </w:style>
  <w:style w:type="character" w:customStyle="1" w:styleId="51">
    <w:name w:val="font111"/>
    <w:basedOn w:val="20"/>
    <w:qFormat/>
    <w:uiPriority w:val="0"/>
    <w:rPr>
      <w:rFonts w:hint="eastAsia" w:ascii="宋体" w:hAnsi="宋体" w:eastAsia="宋体"/>
      <w:color w:val="000000"/>
      <w:sz w:val="18"/>
      <w:szCs w:val="18"/>
      <w:u w:val="none"/>
    </w:rPr>
  </w:style>
  <w:style w:type="character" w:customStyle="1" w:styleId="52">
    <w:name w:val="font81"/>
    <w:basedOn w:val="20"/>
    <w:qFormat/>
    <w:uiPriority w:val="0"/>
    <w:rPr>
      <w:rFonts w:hint="default" w:ascii="Times New Roman" w:hAnsi="Times New Roman" w:cs="Times New Roman"/>
      <w:color w:val="000000"/>
      <w:sz w:val="18"/>
      <w:szCs w:val="18"/>
      <w:u w:val="none"/>
    </w:rPr>
  </w:style>
  <w:style w:type="character" w:customStyle="1" w:styleId="53">
    <w:name w:val="font121"/>
    <w:basedOn w:val="20"/>
    <w:qFormat/>
    <w:uiPriority w:val="0"/>
    <w:rPr>
      <w:rFonts w:hint="eastAsia" w:ascii="宋体" w:hAnsi="宋体" w:eastAsia="宋体"/>
      <w:b/>
      <w:bCs/>
      <w:color w:val="000000"/>
      <w:sz w:val="18"/>
      <w:szCs w:val="18"/>
      <w:u w:val="none"/>
    </w:rPr>
  </w:style>
  <w:style w:type="character" w:customStyle="1" w:styleId="54">
    <w:name w:val="font91"/>
    <w:basedOn w:val="20"/>
    <w:qFormat/>
    <w:uiPriority w:val="0"/>
    <w:rPr>
      <w:rFonts w:hint="default" w:ascii="Times New Roman" w:hAnsi="Times New Roman" w:cs="Times New Roman"/>
      <w:b/>
      <w:bCs/>
      <w:color w:val="000000"/>
      <w:sz w:val="18"/>
      <w:szCs w:val="18"/>
      <w:u w:val="none"/>
    </w:rPr>
  </w:style>
  <w:style w:type="character" w:customStyle="1" w:styleId="55">
    <w:name w:val="font71"/>
    <w:basedOn w:val="20"/>
    <w:qFormat/>
    <w:uiPriority w:val="0"/>
    <w:rPr>
      <w:rFonts w:hint="eastAsia" w:ascii="宋体" w:hAnsi="宋体" w:eastAsia="宋体"/>
      <w:color w:val="000000"/>
      <w:sz w:val="18"/>
      <w:szCs w:val="18"/>
      <w:u w:val="none"/>
    </w:rPr>
  </w:style>
  <w:style w:type="character" w:customStyle="1" w:styleId="56">
    <w:name w:val="font101"/>
    <w:basedOn w:val="20"/>
    <w:qFormat/>
    <w:uiPriority w:val="0"/>
    <w:rPr>
      <w:rFonts w:hint="default" w:ascii="Times New Roman" w:hAnsi="Times New Roman" w:cs="Times New Roman"/>
      <w:color w:val="000000"/>
      <w:sz w:val="18"/>
      <w:szCs w:val="18"/>
      <w:u w:val="none"/>
    </w:rPr>
  </w:style>
  <w:style w:type="character" w:customStyle="1" w:styleId="57">
    <w:name w:val="标题 1 字符"/>
    <w:basedOn w:val="20"/>
    <w:link w:val="2"/>
    <w:qFormat/>
    <w:uiPriority w:val="9"/>
    <w:rPr>
      <w:rFonts w:ascii="Times New Roman" w:hAnsi="Times New Roman"/>
      <w:b/>
      <w:bCs/>
      <w:kern w:val="44"/>
      <w:sz w:val="28"/>
      <w:szCs w:val="44"/>
    </w:rPr>
  </w:style>
  <w:style w:type="character" w:customStyle="1" w:styleId="58">
    <w:name w:val="标题 2 字符"/>
    <w:basedOn w:val="20"/>
    <w:link w:val="3"/>
    <w:qFormat/>
    <w:uiPriority w:val="9"/>
    <w:rPr>
      <w:rFonts w:asciiTheme="majorHAnsi" w:hAnsiTheme="majorHAnsi" w:eastAsiaTheme="majorEastAsia" w:cstheme="majorBidi"/>
      <w:b/>
      <w:bCs/>
      <w:kern w:val="2"/>
      <w:sz w:val="24"/>
      <w:szCs w:val="32"/>
    </w:rPr>
  </w:style>
  <w:style w:type="paragraph" w:customStyle="1" w:styleId="59">
    <w:name w:val="TOC 标题1"/>
    <w:basedOn w:val="2"/>
    <w:next w:val="1"/>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kern w:val="0"/>
      <w:sz w:val="32"/>
      <w:szCs w:val="32"/>
    </w:rPr>
  </w:style>
  <w:style w:type="paragraph" w:customStyle="1" w:styleId="60">
    <w:name w:val="Table Paragraph"/>
    <w:basedOn w:val="1"/>
    <w:qFormat/>
    <w:uiPriority w:val="1"/>
    <w:rPr>
      <w:rFonts w:ascii="Calibri" w:hAnsi="Calibri" w:eastAsia="Calibri"/>
      <w:sz w:val="22"/>
      <w:szCs w:val="22"/>
      <w:lang w:eastAsia="en-US"/>
    </w:rPr>
  </w:style>
  <w:style w:type="character" w:customStyle="1" w:styleId="61">
    <w:name w:val="批注文字 字符"/>
    <w:basedOn w:val="20"/>
    <w:link w:val="7"/>
    <w:semiHidden/>
    <w:qFormat/>
    <w:uiPriority w:val="99"/>
    <w:rPr>
      <w:rFonts w:ascii="Times New Roman" w:hAnsi="Times New Roman"/>
      <w:kern w:val="2"/>
      <w:sz w:val="24"/>
      <w:szCs w:val="24"/>
    </w:rPr>
  </w:style>
  <w:style w:type="character" w:customStyle="1" w:styleId="62">
    <w:name w:val="批注主题 字符"/>
    <w:basedOn w:val="61"/>
    <w:link w:val="17"/>
    <w:semiHidden/>
    <w:qFormat/>
    <w:uiPriority w:val="99"/>
    <w:rPr>
      <w:rFonts w:ascii="Times New Roman" w:hAnsi="Times New Roman"/>
      <w:b/>
      <w:bCs/>
      <w:kern w:val="2"/>
      <w:sz w:val="24"/>
      <w:szCs w:val="24"/>
    </w:rPr>
  </w:style>
  <w:style w:type="paragraph" w:customStyle="1" w:styleId="63">
    <w:name w:val="修订1"/>
    <w:hidden/>
    <w:semiHidden/>
    <w:qFormat/>
    <w:uiPriority w:val="99"/>
    <w:rPr>
      <w:rFonts w:ascii="Times New Roman" w:hAnsi="Times New Roman" w:eastAsia="宋体" w:cs="Times New Roman"/>
      <w:kern w:val="2"/>
      <w:sz w:val="24"/>
      <w:szCs w:val="24"/>
      <w:lang w:val="en-US" w:eastAsia="zh-CN" w:bidi="ar-SA"/>
    </w:rPr>
  </w:style>
  <w:style w:type="character" w:customStyle="1" w:styleId="64">
    <w:name w:val="font11"/>
    <w:basedOn w:val="20"/>
    <w:qFormat/>
    <w:uiPriority w:val="0"/>
    <w:rPr>
      <w:rFonts w:hint="default" w:ascii="Times New Roman" w:hAnsi="Times New Roman" w:cs="Times New Roman"/>
      <w:color w:val="000000"/>
      <w:sz w:val="21"/>
      <w:szCs w:val="21"/>
      <w:u w:val="none"/>
    </w:rPr>
  </w:style>
  <w:style w:type="character" w:customStyle="1" w:styleId="65">
    <w:name w:val="font21"/>
    <w:basedOn w:val="20"/>
    <w:qFormat/>
    <w:uiPriority w:val="0"/>
    <w:rPr>
      <w:rFonts w:hint="eastAsia" w:ascii="宋体" w:hAnsi="宋体" w:eastAsia="宋体" w:cs="宋体"/>
      <w:color w:val="000000"/>
      <w:sz w:val="21"/>
      <w:szCs w:val="21"/>
      <w:u w:val="none"/>
    </w:rPr>
  </w:style>
  <w:style w:type="paragraph" w:styleId="66">
    <w:name w:val="List Paragraph"/>
    <w:basedOn w:val="1"/>
    <w:unhideWhenUsed/>
    <w:qFormat/>
    <w:uiPriority w:val="34"/>
    <w:pPr>
      <w:ind w:firstLine="420" w:firstLineChars="200"/>
    </w:pPr>
  </w:style>
  <w:style w:type="paragraph" w:customStyle="1" w:styleId="67">
    <w:name w:val="条3"/>
    <w:basedOn w:val="1"/>
    <w:qFormat/>
    <w:uiPriority w:val="0"/>
    <w:rPr>
      <w:rFonts w:asciiTheme="minorHAnsi" w:hAnsiTheme="minorHAnsi" w:eastAsiaTheme="minorEastAsia" w:cstheme="minorBidi"/>
      <w:sz w:val="21"/>
      <w:szCs w:val="22"/>
    </w:rPr>
  </w:style>
  <w:style w:type="character" w:customStyle="1" w:styleId="68">
    <w:name w:val="标题 4 字符"/>
    <w:basedOn w:val="20"/>
    <w:link w:val="5"/>
    <w:qFormat/>
    <w:uiPriority w:val="9"/>
    <w:rPr>
      <w:rFonts w:ascii="宋体" w:hAnsi="宋体" w:cs="宋体"/>
      <w:b/>
      <w:bCs/>
      <w:sz w:val="24"/>
      <w:szCs w:val="24"/>
    </w:rPr>
  </w:style>
  <w:style w:type="paragraph" w:customStyle="1" w:styleId="69">
    <w:name w:val="Revision"/>
    <w:hidden/>
    <w:semiHidden/>
    <w:qFormat/>
    <w:uiPriority w:val="99"/>
    <w:rPr>
      <w:rFonts w:ascii="宋体" w:hAnsi="宋体" w:eastAsia="宋体" w:cs="宋体"/>
      <w:sz w:val="24"/>
      <w:szCs w:val="24"/>
      <w:lang w:val="en-US" w:eastAsia="zh-CN" w:bidi="ar-SA"/>
    </w:rPr>
  </w:style>
  <w:style w:type="table" w:customStyle="1" w:styleId="70">
    <w:name w:val="Grid Table Light"/>
    <w:basedOn w:val="1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table" w:customStyle="1" w:styleId="71">
    <w:name w:val="Grid Table 1 Light Accent 5"/>
    <w:basedOn w:val="18"/>
    <w:qFormat/>
    <w:uiPriority w:val="46"/>
    <w:tblPr>
      <w:tblBorders>
        <w:top w:val="single" w:color="B6DDE8" w:themeColor="accent5" w:themeTint="66" w:sz="4" w:space="0"/>
        <w:left w:val="single" w:color="B6DDE8" w:themeColor="accent5" w:themeTint="66" w:sz="4" w:space="0"/>
        <w:bottom w:val="single" w:color="B6DDE8" w:themeColor="accent5" w:themeTint="66" w:sz="4" w:space="0"/>
        <w:right w:val="single" w:color="B6DDE8" w:themeColor="accent5" w:themeTint="66" w:sz="4" w:space="0"/>
        <w:insideH w:val="single" w:color="B6DDE8" w:themeColor="accent5" w:themeTint="66" w:sz="4" w:space="0"/>
        <w:insideV w:val="single" w:color="B6DDE8" w:themeColor="accent5" w:themeTint="66" w:sz="4" w:space="0"/>
      </w:tblBorders>
    </w:tblPr>
    <w:tblStylePr w:type="firstRow">
      <w:rPr>
        <w:b/>
        <w:bCs/>
      </w:rPr>
      <w:tcPr>
        <w:tcBorders>
          <w:bottom w:val="single" w:color="92CDDC" w:themeColor="accent5" w:themeTint="99" w:sz="12" w:space="0"/>
        </w:tcBorders>
      </w:tcPr>
    </w:tblStylePr>
    <w:tblStylePr w:type="lastRow">
      <w:rPr>
        <w:b/>
        <w:bCs/>
      </w:rPr>
      <w:tcPr>
        <w:tcBorders>
          <w:top w:val="double" w:color="92CDDC" w:themeColor="accent5" w:themeTint="99" w:sz="2" w:space="0"/>
        </w:tcBorders>
      </w:tcPr>
    </w:tblStylePr>
    <w:tblStylePr w:type="firstCol">
      <w:rPr>
        <w:b/>
        <w:bCs/>
      </w:rPr>
    </w:tblStylePr>
    <w:tblStylePr w:type="lastCol">
      <w:rPr>
        <w:b/>
        <w:bCs/>
      </w:rPr>
    </w:tblStylePr>
  </w:style>
  <w:style w:type="character" w:customStyle="1" w:styleId="72">
    <w:name w:val="标题 5 字符"/>
    <w:basedOn w:val="20"/>
    <w:link w:val="6"/>
    <w:qFormat/>
    <w:uiPriority w:val="9"/>
    <w:rPr>
      <w:rFonts w:ascii="宋体" w:hAnsi="宋体" w:cs="宋体"/>
      <w:b/>
      <w:bCs/>
      <w:sz w:val="24"/>
      <w:szCs w:val="24"/>
    </w:rPr>
  </w:style>
  <w:style w:type="paragraph" w:customStyle="1" w:styleId="73">
    <w:name w:val="msonormal"/>
    <w:basedOn w:val="1"/>
    <w:qFormat/>
    <w:uiPriority w:val="0"/>
    <w:pPr>
      <w:spacing w:before="100" w:beforeAutospacing="1" w:after="100" w:afterAutospacing="1"/>
    </w:pPr>
  </w:style>
  <w:style w:type="paragraph" w:customStyle="1" w:styleId="74">
    <w:name w:val="font5"/>
    <w:basedOn w:val="1"/>
    <w:qFormat/>
    <w:uiPriority w:val="0"/>
    <w:pPr>
      <w:spacing w:before="100" w:beforeAutospacing="1" w:after="100" w:afterAutospacing="1"/>
    </w:pPr>
    <w:rPr>
      <w:rFonts w:ascii="等线" w:hAnsi="等线" w:eastAsia="等线"/>
      <w:sz w:val="18"/>
      <w:szCs w:val="18"/>
    </w:rPr>
  </w:style>
  <w:style w:type="paragraph" w:customStyle="1" w:styleId="75">
    <w:name w:val="font6"/>
    <w:basedOn w:val="1"/>
    <w:qFormat/>
    <w:uiPriority w:val="0"/>
    <w:pPr>
      <w:spacing w:before="100" w:beforeAutospacing="1" w:after="100" w:afterAutospacing="1"/>
    </w:pPr>
    <w:rPr>
      <w:color w:val="FF0000"/>
      <w:sz w:val="22"/>
      <w:szCs w:val="22"/>
    </w:rPr>
  </w:style>
  <w:style w:type="paragraph" w:customStyle="1" w:styleId="76">
    <w:name w:val="font7"/>
    <w:basedOn w:val="1"/>
    <w:qFormat/>
    <w:uiPriority w:val="0"/>
    <w:pPr>
      <w:spacing w:before="100" w:beforeAutospacing="1" w:after="100" w:afterAutospacing="1"/>
    </w:pPr>
    <w:rPr>
      <w:rFonts w:ascii="Arial" w:hAnsi="Arial" w:cs="Arial"/>
      <w:color w:val="FF0000"/>
      <w:sz w:val="22"/>
      <w:szCs w:val="22"/>
    </w:rPr>
  </w:style>
  <w:style w:type="paragraph" w:customStyle="1" w:styleId="77">
    <w:name w:val="font8"/>
    <w:basedOn w:val="1"/>
    <w:qFormat/>
    <w:uiPriority w:val="0"/>
    <w:pPr>
      <w:spacing w:before="100" w:beforeAutospacing="1" w:after="100" w:afterAutospacing="1"/>
    </w:pPr>
    <w:rPr>
      <w:rFonts w:ascii="等线" w:hAnsi="等线" w:eastAsia="等线"/>
      <w:color w:val="FF0000"/>
      <w:sz w:val="22"/>
      <w:szCs w:val="22"/>
    </w:rPr>
  </w:style>
  <w:style w:type="paragraph" w:customStyle="1" w:styleId="78">
    <w:name w:val="xl65"/>
    <w:basedOn w:val="1"/>
    <w:qFormat/>
    <w:uiPriority w:val="0"/>
    <w:pPr>
      <w:spacing w:before="100" w:beforeAutospacing="1" w:after="100" w:afterAutospacing="1"/>
      <w:jc w:val="center"/>
      <w:textAlignment w:val="center"/>
    </w:pPr>
    <w:rPr>
      <w:rFonts w:ascii="仿宋" w:hAnsi="仿宋" w:eastAsia="仿宋"/>
      <w:b/>
      <w:bCs/>
    </w:rPr>
  </w:style>
  <w:style w:type="paragraph" w:customStyle="1" w:styleId="79">
    <w:name w:val="xl66"/>
    <w:basedOn w:val="1"/>
    <w:qFormat/>
    <w:uiPriority w:val="0"/>
    <w:pPr>
      <w:spacing w:before="100" w:beforeAutospacing="1" w:after="100" w:afterAutospacing="1"/>
      <w:jc w:val="center"/>
      <w:textAlignment w:val="center"/>
    </w:pPr>
    <w:rPr>
      <w:b/>
      <w:bCs/>
    </w:rPr>
  </w:style>
  <w:style w:type="paragraph" w:customStyle="1" w:styleId="80">
    <w:name w:val="xl67"/>
    <w:basedOn w:val="1"/>
    <w:qFormat/>
    <w:uiPriority w:val="0"/>
    <w:pPr>
      <w:spacing w:before="100" w:beforeAutospacing="1" w:after="100" w:afterAutospacing="1"/>
      <w:jc w:val="center"/>
    </w:pPr>
    <w:rPr>
      <w:b/>
      <w:bCs/>
    </w:rPr>
  </w:style>
  <w:style w:type="paragraph" w:customStyle="1" w:styleId="81">
    <w:name w:val="xl68"/>
    <w:basedOn w:val="1"/>
    <w:qFormat/>
    <w:uiPriority w:val="0"/>
    <w:pPr>
      <w:shd w:val="clear" w:color="000000" w:fill="D9D9D9"/>
      <w:spacing w:before="100" w:beforeAutospacing="1" w:after="100" w:afterAutospacing="1"/>
      <w:jc w:val="center"/>
      <w:textAlignment w:val="center"/>
    </w:pPr>
    <w:rPr>
      <w:b/>
      <w:bCs/>
      <w:color w:val="000000"/>
    </w:rPr>
  </w:style>
  <w:style w:type="paragraph" w:customStyle="1" w:styleId="82">
    <w:name w:val="xl69"/>
    <w:basedOn w:val="1"/>
    <w:qFormat/>
    <w:uiPriority w:val="0"/>
    <w:pPr>
      <w:spacing w:before="100" w:beforeAutospacing="1" w:after="100" w:afterAutospacing="1"/>
      <w:jc w:val="center"/>
      <w:textAlignment w:val="center"/>
    </w:pPr>
    <w:rPr>
      <w:b/>
      <w:bCs/>
    </w:rPr>
  </w:style>
  <w:style w:type="paragraph" w:customStyle="1" w:styleId="83">
    <w:name w:val="xl70"/>
    <w:basedOn w:val="1"/>
    <w:qFormat/>
    <w:uiPriority w:val="0"/>
    <w:pPr>
      <w:spacing w:before="100" w:beforeAutospacing="1" w:after="100" w:afterAutospacing="1"/>
      <w:jc w:val="both"/>
      <w:textAlignment w:val="center"/>
    </w:pPr>
  </w:style>
  <w:style w:type="paragraph" w:customStyle="1" w:styleId="84">
    <w:name w:val="xl71"/>
    <w:basedOn w:val="1"/>
    <w:qFormat/>
    <w:uiPriority w:val="0"/>
    <w:pPr>
      <w:spacing w:before="100" w:beforeAutospacing="1" w:after="100" w:afterAutospacing="1"/>
      <w:textAlignment w:val="center"/>
    </w:pPr>
  </w:style>
  <w:style w:type="paragraph" w:customStyle="1" w:styleId="85">
    <w:name w:val="xl72"/>
    <w:basedOn w:val="1"/>
    <w:qFormat/>
    <w:uiPriority w:val="0"/>
    <w:pPr>
      <w:spacing w:before="100" w:beforeAutospacing="1" w:after="100" w:afterAutospacing="1"/>
      <w:textAlignment w:val="center"/>
    </w:pPr>
    <w:rPr>
      <w:b/>
      <w:bCs/>
    </w:rPr>
  </w:style>
  <w:style w:type="paragraph" w:customStyle="1" w:styleId="86">
    <w:name w:val="xl73"/>
    <w:basedOn w:val="1"/>
    <w:qFormat/>
    <w:uiPriority w:val="0"/>
    <w:pPr>
      <w:spacing w:before="100" w:beforeAutospacing="1" w:after="100" w:afterAutospacing="1"/>
      <w:textAlignment w:val="center"/>
    </w:pPr>
    <w:rPr>
      <w:b/>
      <w:bCs/>
    </w:rPr>
  </w:style>
  <w:style w:type="paragraph" w:customStyle="1" w:styleId="87">
    <w:name w:val="xl74"/>
    <w:basedOn w:val="1"/>
    <w:qFormat/>
    <w:uiPriority w:val="0"/>
    <w:pPr>
      <w:spacing w:before="100" w:beforeAutospacing="1" w:after="100" w:afterAutospacing="1"/>
      <w:textAlignment w:val="top"/>
    </w:pPr>
  </w:style>
  <w:style w:type="paragraph" w:customStyle="1" w:styleId="88">
    <w:name w:val="xl75"/>
    <w:basedOn w:val="1"/>
    <w:qFormat/>
    <w:uiPriority w:val="0"/>
    <w:pPr>
      <w:spacing w:before="100" w:beforeAutospacing="1" w:after="100" w:afterAutospacing="1"/>
      <w:jc w:val="both"/>
      <w:textAlignment w:val="top"/>
    </w:pPr>
  </w:style>
  <w:style w:type="paragraph" w:customStyle="1" w:styleId="89">
    <w:name w:val="xl76"/>
    <w:basedOn w:val="1"/>
    <w:qFormat/>
    <w:uiPriority w:val="0"/>
    <w:pPr>
      <w:spacing w:before="100" w:beforeAutospacing="1" w:after="100" w:afterAutospacing="1"/>
      <w:textAlignment w:val="top"/>
    </w:pPr>
  </w:style>
  <w:style w:type="paragraph" w:customStyle="1" w:styleId="90">
    <w:name w:val="xl77"/>
    <w:basedOn w:val="1"/>
    <w:qFormat/>
    <w:uiPriority w:val="0"/>
    <w:pPr>
      <w:spacing w:before="100" w:beforeAutospacing="1" w:after="100" w:afterAutospacing="1"/>
      <w:jc w:val="both"/>
      <w:textAlignment w:val="center"/>
    </w:pPr>
    <w:rPr>
      <w:color w:val="FF0000"/>
    </w:rPr>
  </w:style>
  <w:style w:type="paragraph" w:customStyle="1" w:styleId="91">
    <w:name w:val="xl78"/>
    <w:basedOn w:val="1"/>
    <w:qFormat/>
    <w:uiPriority w:val="0"/>
    <w:pPr>
      <w:spacing w:before="100" w:beforeAutospacing="1" w:after="100" w:afterAutospacing="1"/>
      <w:jc w:val="center"/>
      <w:textAlignment w:val="center"/>
    </w:pPr>
    <w:rPr>
      <w:b/>
      <w:bCs/>
      <w:color w:val="FF0000"/>
    </w:rPr>
  </w:style>
  <w:style w:type="paragraph" w:customStyle="1" w:styleId="92">
    <w:name w:val="xl79"/>
    <w:basedOn w:val="1"/>
    <w:qFormat/>
    <w:uiPriority w:val="0"/>
    <w:pPr>
      <w:spacing w:before="100" w:beforeAutospacing="1" w:after="100" w:afterAutospacing="1"/>
      <w:textAlignment w:val="top"/>
    </w:pPr>
    <w:rPr>
      <w:b/>
      <w:bCs/>
      <w:color w:val="FF0000"/>
    </w:rPr>
  </w:style>
  <w:style w:type="paragraph" w:customStyle="1" w:styleId="93">
    <w:name w:val="xl80"/>
    <w:basedOn w:val="1"/>
    <w:qFormat/>
    <w:uiPriority w:val="0"/>
    <w:pPr>
      <w:spacing w:before="100" w:beforeAutospacing="1" w:after="100" w:afterAutospacing="1"/>
    </w:pPr>
    <w:rPr>
      <w:b/>
      <w:bCs/>
      <w:color w:val="FF0000"/>
    </w:rPr>
  </w:style>
  <w:style w:type="paragraph" w:customStyle="1" w:styleId="94">
    <w:name w:val="xl81"/>
    <w:basedOn w:val="1"/>
    <w:qFormat/>
    <w:uiPriority w:val="0"/>
    <w:pPr>
      <w:spacing w:before="100" w:beforeAutospacing="1" w:after="100" w:afterAutospacing="1"/>
    </w:pPr>
    <w:rPr>
      <w:color w:val="FF0000"/>
    </w:rPr>
  </w:style>
  <w:style w:type="paragraph" w:customStyle="1" w:styleId="95">
    <w:name w:val="xl82"/>
    <w:basedOn w:val="1"/>
    <w:qFormat/>
    <w:uiPriority w:val="0"/>
    <w:pPr>
      <w:spacing w:before="100" w:beforeAutospacing="1" w:after="100" w:afterAutospacing="1"/>
      <w:jc w:val="center"/>
    </w:pPr>
    <w:rPr>
      <w:b/>
      <w:bCs/>
      <w:color w:val="FF0000"/>
    </w:rPr>
  </w:style>
  <w:style w:type="paragraph" w:customStyle="1" w:styleId="96">
    <w:name w:val="xl83"/>
    <w:basedOn w:val="1"/>
    <w:uiPriority w:val="0"/>
    <w:pPr>
      <w:spacing w:before="100" w:beforeAutospacing="1" w:after="100" w:afterAutospacing="1"/>
      <w:textAlignment w:val="top"/>
    </w:pPr>
    <w:rPr>
      <w:color w:val="FF0000"/>
    </w:rPr>
  </w:style>
  <w:style w:type="paragraph" w:customStyle="1" w:styleId="97">
    <w:name w:val="xl84"/>
    <w:basedOn w:val="1"/>
    <w:qFormat/>
    <w:uiPriority w:val="0"/>
    <w:pPr>
      <w:spacing w:before="100" w:beforeAutospacing="1" w:after="100" w:afterAutospacing="1"/>
      <w:textAlignment w:val="center"/>
    </w:pPr>
    <w:rPr>
      <w:color w:val="FF0000"/>
    </w:rPr>
  </w:style>
  <w:style w:type="paragraph" w:customStyle="1" w:styleId="98">
    <w:name w:val="xl85"/>
    <w:basedOn w:val="1"/>
    <w:qFormat/>
    <w:uiPriority w:val="0"/>
    <w:pPr>
      <w:spacing w:before="100" w:beforeAutospacing="1" w:after="100" w:afterAutospacing="1"/>
      <w:textAlignment w:val="top"/>
    </w:pPr>
    <w:rPr>
      <w:color w:val="FF0000"/>
    </w:rPr>
  </w:style>
  <w:style w:type="paragraph" w:customStyle="1" w:styleId="99">
    <w:name w:val="xl86"/>
    <w:basedOn w:val="1"/>
    <w:qFormat/>
    <w:uiPriority w:val="0"/>
    <w:pPr>
      <w:spacing w:before="100" w:beforeAutospacing="1" w:after="100" w:afterAutospacing="1"/>
      <w:textAlignment w:val="center"/>
    </w:pPr>
    <w:rPr>
      <w:rFonts w:ascii="Arial" w:hAnsi="Arial" w:cs="Arial"/>
      <w:color w:val="FF0000"/>
    </w:rPr>
  </w:style>
  <w:style w:type="paragraph" w:customStyle="1" w:styleId="100">
    <w:name w:val="xl87"/>
    <w:basedOn w:val="1"/>
    <w:qFormat/>
    <w:uiPriority w:val="0"/>
    <w:pPr>
      <w:spacing w:before="100" w:beforeAutospacing="1" w:after="100" w:afterAutospacing="1"/>
      <w:textAlignment w:val="center"/>
    </w:pPr>
    <w:rPr>
      <w:b/>
      <w:bCs/>
      <w:color w:val="FF0000"/>
    </w:rPr>
  </w:style>
  <w:style w:type="paragraph" w:customStyle="1" w:styleId="101">
    <w:name w:val="xl88"/>
    <w:basedOn w:val="1"/>
    <w:qFormat/>
    <w:uiPriority w:val="0"/>
    <w:pPr>
      <w:spacing w:before="100" w:beforeAutospacing="1" w:after="100" w:afterAutospacing="1"/>
      <w:textAlignment w:val="center"/>
    </w:pPr>
    <w:rPr>
      <w:rFonts w:ascii="Arial" w:hAnsi="Arial" w:cs="Arial"/>
      <w:color w:val="FF0000"/>
    </w:rPr>
  </w:style>
  <w:style w:type="paragraph" w:customStyle="1" w:styleId="102">
    <w:name w:val="xl89"/>
    <w:basedOn w:val="1"/>
    <w:qFormat/>
    <w:uiPriority w:val="0"/>
    <w:pPr>
      <w:spacing w:before="100" w:beforeAutospacing="1" w:after="100" w:afterAutospacing="1"/>
      <w:textAlignment w:val="center"/>
    </w:pPr>
    <w:rPr>
      <w:rFonts w:ascii="仿宋" w:hAnsi="仿宋" w:eastAsia="仿宋"/>
      <w:b/>
      <w:bCs/>
      <w:sz w:val="32"/>
      <w:szCs w:val="32"/>
    </w:rPr>
  </w:style>
  <w:style w:type="paragraph" w:customStyle="1" w:styleId="103">
    <w:name w:val="xl90"/>
    <w:basedOn w:val="1"/>
    <w:qFormat/>
    <w:uiPriority w:val="0"/>
    <w:pPr>
      <w:spacing w:before="100" w:beforeAutospacing="1" w:after="100" w:afterAutospacing="1"/>
      <w:jc w:val="center"/>
      <w:textAlignment w:val="center"/>
    </w:pPr>
    <w:rPr>
      <w:rFonts w:ascii="方正小标宋简体" w:eastAsia="方正小标宋简体"/>
      <w:sz w:val="44"/>
      <w:szCs w:val="44"/>
    </w:rPr>
  </w:style>
  <w:style w:type="paragraph" w:customStyle="1" w:styleId="104">
    <w:name w:val="xl91"/>
    <w:basedOn w:val="1"/>
    <w:qFormat/>
    <w:uiPriority w:val="0"/>
    <w:pPr>
      <w:spacing w:before="100" w:beforeAutospacing="1" w:after="100" w:afterAutospacing="1"/>
      <w:textAlignment w:val="center"/>
    </w:pPr>
    <w:rPr>
      <w:b/>
      <w:bCs/>
    </w:rPr>
  </w:style>
  <w:style w:type="paragraph" w:customStyle="1" w:styleId="105">
    <w:name w:val="数字编号列项（二级）"/>
    <w:qFormat/>
    <w:uiPriority w:val="0"/>
    <w:pPr>
      <w:numPr>
        <w:ilvl w:val="1"/>
        <w:numId w:val="4"/>
      </w:numPr>
      <w:jc w:val="both"/>
    </w:pPr>
    <w:rPr>
      <w:rFonts w:ascii="宋体" w:hAnsi="Times New Roman" w:eastAsia="宋体" w:cs="Times New Roman"/>
      <w:sz w:val="21"/>
      <w:lang w:val="en-US" w:eastAsia="zh-CN" w:bidi="ar-SA"/>
    </w:rPr>
  </w:style>
  <w:style w:type="paragraph" w:customStyle="1" w:styleId="106">
    <w:name w:val="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107">
    <w:name w:val="编号列项（三级）"/>
    <w:qFormat/>
    <w:uiPriority w:val="0"/>
    <w:pPr>
      <w:numPr>
        <w:ilvl w:val="2"/>
        <w:numId w:val="4"/>
      </w:numPr>
    </w:pPr>
    <w:rPr>
      <w:rFonts w:ascii="宋体" w:hAnsi="Times New Roman" w:eastAsia="宋体" w:cs="Times New Roman"/>
      <w:sz w:val="21"/>
      <w:lang w:val="en-US" w:eastAsia="zh-CN" w:bidi="ar-SA"/>
    </w:rPr>
  </w:style>
  <w:style w:type="paragraph" w:customStyle="1" w:styleId="108">
    <w:name w:val="标准文件_附录标识"/>
    <w:next w:val="1"/>
    <w:qFormat/>
    <w:uiPriority w:val="0"/>
    <w:pPr>
      <w:numPr>
        <w:ilvl w:val="0"/>
        <w:numId w:val="5"/>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109">
    <w:name w:val="标准文件_附录一级条标题"/>
    <w:next w:val="1"/>
    <w:qFormat/>
    <w:uiPriority w:val="0"/>
    <w:pPr>
      <w:widowControl w:val="0"/>
      <w:numPr>
        <w:ilvl w:val="1"/>
        <w:numId w:val="5"/>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110">
    <w:name w:val="标准文件_附录二级条标题"/>
    <w:basedOn w:val="109"/>
    <w:next w:val="1"/>
    <w:qFormat/>
    <w:uiPriority w:val="0"/>
    <w:pPr>
      <w:widowControl/>
      <w:numPr>
        <w:ilvl w:val="2"/>
      </w:numPr>
      <w:wordWrap w:val="0"/>
      <w:overflowPunct w:val="0"/>
      <w:autoSpaceDE w:val="0"/>
      <w:autoSpaceDN w:val="0"/>
      <w:textAlignment w:val="baseline"/>
      <w:outlineLvl w:val="3"/>
    </w:pPr>
  </w:style>
  <w:style w:type="paragraph" w:customStyle="1" w:styleId="111">
    <w:name w:val="标准文件_附录三级条标题"/>
    <w:next w:val="1"/>
    <w:qFormat/>
    <w:uiPriority w:val="0"/>
    <w:pPr>
      <w:widowControl w:val="0"/>
      <w:numPr>
        <w:ilvl w:val="3"/>
        <w:numId w:val="5"/>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112">
    <w:name w:val="标准文件_附录四级条标题"/>
    <w:next w:val="1"/>
    <w:qFormat/>
    <w:uiPriority w:val="0"/>
    <w:pPr>
      <w:widowControl w:val="0"/>
      <w:numPr>
        <w:ilvl w:val="4"/>
        <w:numId w:val="5"/>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113">
    <w:name w:val="标准文件_附录五级条标题"/>
    <w:next w:val="1"/>
    <w:qFormat/>
    <w:uiPriority w:val="0"/>
    <w:pPr>
      <w:widowControl w:val="0"/>
      <w:numPr>
        <w:ilvl w:val="5"/>
        <w:numId w:val="5"/>
      </w:numPr>
      <w:spacing w:before="50" w:beforeLines="50" w:after="50" w:afterLines="50"/>
      <w:jc w:val="both"/>
      <w:outlineLvl w:val="6"/>
    </w:pPr>
    <w:rPr>
      <w:rFonts w:ascii="黑体" w:hAnsi="Times New Roman" w:eastAsia="黑体" w:cs="Times New Roman"/>
      <w:kern w:val="21"/>
      <w:sz w:val="21"/>
      <w:lang w:val="en-US" w:eastAsia="zh-CN" w:bidi="ar-SA"/>
    </w:rPr>
  </w:style>
  <w:style w:type="character" w:customStyle="1" w:styleId="114">
    <w:name w:val="发布"/>
    <w:qFormat/>
    <w:uiPriority w:val="0"/>
    <w:rPr>
      <w:rFonts w:ascii="黑体" w:eastAsia="黑体"/>
      <w:spacing w:val="22"/>
      <w:w w:val="100"/>
      <w:position w:val="3"/>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08974-DE26-4AE3-B466-B2C882FB25CC}">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30</Pages>
  <Words>4135</Words>
  <Characters>23576</Characters>
  <Lines>196</Lines>
  <Paragraphs>55</Paragraphs>
  <TotalTime>1</TotalTime>
  <ScaleCrop>false</ScaleCrop>
  <LinksUpToDate>false</LinksUpToDate>
  <CharactersWithSpaces>27656</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2016-10-14T02:30:00Z</dcterms:created>
  <dc:creator>lyc</dc:creator>
  <cp:lastModifiedBy>姚正迎</cp:lastModifiedBy>
  <cp:lastPrinted>2022-07-14T09:32:00Z</cp:lastPrinted>
  <dcterms:modified xsi:type="dcterms:W3CDTF">2023-12-07T01:56:55Z</dcterms:modified>
  <dc:title>泡沫混凝土用泡沫剂</dc:title>
  <cp:revision>734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D31A72F6E5AC4718B5BD21A371F7EE63_12</vt:lpwstr>
  </property>
</Properties>
</file>