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20" w:lineRule="exact"/>
        <w:ind w:left="-4" w:leftChars="-2" w:right="27" w:firstLine="4"/>
        <w:jc w:val="center"/>
        <w:rPr>
          <w:rFonts w:hint="default" w:ascii="Times New Roman" w:hAnsi="Times New Roman" w:eastAsia="黑体" w:cs="Times New Roman"/>
          <w:color w:val="333333"/>
          <w:spacing w:val="5"/>
          <w:sz w:val="52"/>
          <w:szCs w:val="52"/>
          <w:shd w:val="clear" w:color="auto" w:fill="FFFFFF"/>
        </w:rPr>
      </w:pPr>
    </w:p>
    <w:p>
      <w:pPr>
        <w:pageBreakBefore w:val="0"/>
        <w:kinsoku/>
        <w:wordWrap/>
        <w:overflowPunct/>
        <w:topLinePunct w:val="0"/>
        <w:autoSpaceDE/>
        <w:autoSpaceDN/>
        <w:bidi w:val="0"/>
        <w:adjustRightInd/>
        <w:snapToGrid/>
        <w:spacing w:line="520" w:lineRule="exact"/>
        <w:ind w:left="-4" w:leftChars="-2" w:right="27" w:firstLine="4"/>
        <w:jc w:val="center"/>
        <w:rPr>
          <w:rFonts w:hint="default" w:ascii="Times New Roman" w:hAnsi="Times New Roman" w:eastAsia="黑体" w:cs="Times New Roman"/>
          <w:color w:val="333333"/>
          <w:spacing w:val="5"/>
          <w:sz w:val="52"/>
          <w:szCs w:val="52"/>
          <w:shd w:val="clear" w:color="auto" w:fill="FFFFFF"/>
        </w:rPr>
      </w:pPr>
    </w:p>
    <w:p>
      <w:pPr>
        <w:pageBreakBefore w:val="0"/>
        <w:kinsoku/>
        <w:wordWrap/>
        <w:overflowPunct/>
        <w:topLinePunct w:val="0"/>
        <w:autoSpaceDE/>
        <w:autoSpaceDN/>
        <w:bidi w:val="0"/>
        <w:adjustRightInd/>
        <w:snapToGrid/>
        <w:spacing w:line="520" w:lineRule="exact"/>
        <w:ind w:left="-4" w:leftChars="-2" w:right="27" w:firstLine="4"/>
        <w:jc w:val="center"/>
        <w:rPr>
          <w:rFonts w:hint="default" w:ascii="Times New Roman" w:hAnsi="Times New Roman" w:eastAsia="黑体" w:cs="Times New Roman"/>
          <w:color w:val="333333"/>
          <w:spacing w:val="5"/>
          <w:sz w:val="52"/>
          <w:szCs w:val="52"/>
          <w:shd w:val="clear" w:color="auto" w:fill="FFFFFF"/>
        </w:rPr>
      </w:pPr>
    </w:p>
    <w:p>
      <w:pPr>
        <w:pageBreakBefore w:val="0"/>
        <w:kinsoku/>
        <w:wordWrap/>
        <w:overflowPunct/>
        <w:topLinePunct w:val="0"/>
        <w:autoSpaceDE/>
        <w:autoSpaceDN/>
        <w:bidi w:val="0"/>
        <w:adjustRightInd/>
        <w:snapToGrid/>
        <w:spacing w:line="520" w:lineRule="exact"/>
        <w:ind w:left="-4" w:leftChars="-2" w:right="27" w:firstLine="4"/>
        <w:jc w:val="center"/>
        <w:rPr>
          <w:rFonts w:hint="default" w:ascii="Times New Roman" w:hAnsi="Times New Roman" w:eastAsia="黑体" w:cs="Times New Roman"/>
          <w:color w:val="333333"/>
          <w:spacing w:val="5"/>
          <w:sz w:val="52"/>
          <w:szCs w:val="52"/>
          <w:shd w:val="clear" w:color="auto" w:fill="FFFFFF"/>
        </w:rPr>
      </w:pPr>
    </w:p>
    <w:p>
      <w:pPr>
        <w:pageBreakBefore w:val="0"/>
        <w:kinsoku/>
        <w:wordWrap/>
        <w:overflowPunct/>
        <w:topLinePunct w:val="0"/>
        <w:autoSpaceDE/>
        <w:autoSpaceDN/>
        <w:bidi w:val="0"/>
        <w:adjustRightInd/>
        <w:snapToGrid/>
        <w:spacing w:line="520" w:lineRule="exact"/>
        <w:ind w:left="-4" w:leftChars="-2" w:right="27" w:firstLine="4"/>
        <w:jc w:val="center"/>
        <w:rPr>
          <w:rFonts w:hint="default" w:ascii="Times New Roman" w:hAnsi="Times New Roman" w:eastAsia="黑体" w:cs="Times New Roman"/>
          <w:color w:val="333333"/>
          <w:spacing w:val="5"/>
          <w:sz w:val="52"/>
          <w:szCs w:val="52"/>
          <w:shd w:val="clear" w:color="auto" w:fill="FFFFFF"/>
        </w:rPr>
      </w:pPr>
    </w:p>
    <w:p>
      <w:pPr>
        <w:pageBreakBefore w:val="0"/>
        <w:kinsoku/>
        <w:wordWrap/>
        <w:overflowPunct/>
        <w:topLinePunct w:val="0"/>
        <w:autoSpaceDE/>
        <w:autoSpaceDN/>
        <w:bidi w:val="0"/>
        <w:adjustRightInd/>
        <w:snapToGrid/>
        <w:spacing w:line="520" w:lineRule="exact"/>
        <w:ind w:left="-4" w:leftChars="-2" w:right="27" w:firstLine="4"/>
        <w:jc w:val="center"/>
        <w:outlineLvl w:val="0"/>
        <w:rPr>
          <w:rFonts w:hint="default" w:ascii="Times New Roman" w:hAnsi="Times New Roman" w:eastAsia="黑体" w:cs="Times New Roman"/>
          <w:color w:val="333333"/>
          <w:spacing w:val="5"/>
          <w:sz w:val="52"/>
          <w:szCs w:val="52"/>
          <w:shd w:val="clear" w:color="auto" w:fill="FFFFFF"/>
        </w:rPr>
      </w:pPr>
      <w:bookmarkStart w:id="0" w:name="_Toc31863"/>
      <w:bookmarkStart w:id="1" w:name="_Toc25057"/>
      <w:r>
        <w:rPr>
          <w:rFonts w:hint="default" w:ascii="Times New Roman" w:hAnsi="Times New Roman" w:eastAsia="黑体" w:cs="Times New Roman"/>
          <w:color w:val="333333"/>
          <w:spacing w:val="5"/>
          <w:sz w:val="52"/>
          <w:szCs w:val="52"/>
          <w:shd w:val="clear" w:color="auto" w:fill="FFFFFF"/>
        </w:rPr>
        <w:t>建材产品减碳量评估技术规范</w:t>
      </w:r>
      <w:bookmarkEnd w:id="0"/>
      <w:bookmarkEnd w:id="1"/>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Technical specifications for the assessment of carbon dioxide emission reduction of building products</w:t>
      </w: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ageBreakBefore w:val="0"/>
        <w:kinsoku/>
        <w:wordWrap/>
        <w:overflowPunct/>
        <w:topLinePunct w:val="0"/>
        <w:autoSpaceDE/>
        <w:autoSpaceDN/>
        <w:bidi w:val="0"/>
        <w:adjustRightInd/>
        <w:snapToGrid/>
        <w:spacing w:line="520" w:lineRule="exact"/>
        <w:jc w:val="center"/>
        <w:rPr>
          <w:rFonts w:hint="default" w:ascii="Times New Roman" w:hAnsi="Times New Roman" w:eastAsia="华文新魏" w:cs="Times New Roman"/>
          <w:sz w:val="84"/>
          <w:szCs w:val="84"/>
        </w:rPr>
      </w:pPr>
      <w:r>
        <w:rPr>
          <w:rFonts w:hint="default" w:ascii="Times New Roman" w:hAnsi="Times New Roman" w:eastAsia="华文新魏" w:cs="Times New Roman"/>
          <w:sz w:val="56"/>
          <w:szCs w:val="56"/>
        </w:rPr>
        <w:t>编制说明</w:t>
      </w: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2"/>
        <w:pageBreakBefore w:val="0"/>
        <w:widowControl w:val="0"/>
        <w:kinsoku/>
        <w:wordWrap/>
        <w:overflowPunct/>
        <w:topLinePunct w:val="0"/>
        <w:autoSpaceDE/>
        <w:autoSpaceDN/>
        <w:bidi w:val="0"/>
        <w:adjustRightInd/>
        <w:snapToGrid/>
        <w:spacing w:line="520" w:lineRule="exact"/>
        <w:ind w:firstLine="0" w:firstLineChars="0"/>
        <w:jc w:val="center"/>
        <w:rPr>
          <w:rFonts w:hint="default" w:ascii="Times New Roman" w:hAnsi="Times New Roman" w:eastAsia="黑体" w:cs="Times New Roman"/>
          <w:sz w:val="32"/>
          <w:szCs w:val="32"/>
        </w:rPr>
      </w:pPr>
    </w:p>
    <w:p>
      <w:pPr>
        <w:pStyle w:val="21"/>
        <w:pageBreakBefore w:val="0"/>
        <w:framePr w:w="0" w:hRule="auto" w:wrap="auto" w:vAnchor="margin" w:hAnchor="text" w:xAlign="left" w:yAlign="inline"/>
        <w:kinsoku/>
        <w:wordWrap/>
        <w:overflowPunct/>
        <w:topLinePunct w:val="0"/>
        <w:autoSpaceDE/>
        <w:autoSpaceDN/>
        <w:bidi w:val="0"/>
        <w:adjustRightInd/>
        <w:snapToGrid/>
        <w:spacing w:line="520" w:lineRule="exact"/>
        <w:rPr>
          <w:rFonts w:hint="default" w:ascii="Times New Roman" w:hAnsi="Times New Roman" w:eastAsia="宋体" w:cs="Times New Roman"/>
          <w:sz w:val="32"/>
          <w:szCs w:val="32"/>
        </w:rPr>
      </w:pPr>
      <w:r>
        <w:rPr>
          <w:rFonts w:hint="eastAsia" w:ascii="Times New Roman" w:eastAsia="宋体" w:cs="Times New Roman"/>
          <w:sz w:val="32"/>
          <w:szCs w:val="32"/>
          <w:lang w:val="en-US" w:eastAsia="zh-CN"/>
        </w:rPr>
        <w:t>标准</w:t>
      </w:r>
      <w:r>
        <w:rPr>
          <w:rFonts w:hint="default" w:ascii="Times New Roman" w:hAnsi="Times New Roman" w:eastAsia="宋体" w:cs="Times New Roman"/>
          <w:sz w:val="32"/>
          <w:szCs w:val="32"/>
        </w:rPr>
        <w:t>编制组</w:t>
      </w:r>
    </w:p>
    <w:p>
      <w:pPr>
        <w:pStyle w:val="21"/>
        <w:pageBreakBefore w:val="0"/>
        <w:framePr w:w="0" w:hRule="auto" w:wrap="auto" w:vAnchor="margin" w:hAnchor="text" w:xAlign="left" w:yAlign="inline"/>
        <w:kinsoku/>
        <w:wordWrap/>
        <w:overflowPunct/>
        <w:topLinePunct w:val="0"/>
        <w:autoSpaceDE/>
        <w:autoSpaceDN/>
        <w:bidi w:val="0"/>
        <w:adjustRightInd/>
        <w:snapToGrid/>
        <w:spacing w:line="520" w:lineRule="exact"/>
        <w:rPr>
          <w:rFonts w:hint="default" w:ascii="Times New Roman" w:hAnsi="Times New Roman" w:eastAsia="宋体" w:cs="Times New Roman"/>
          <w:sz w:val="32"/>
          <w:szCs w:val="32"/>
        </w:rPr>
        <w:sectPr>
          <w:pgSz w:w="11906" w:h="16838"/>
          <w:pgMar w:top="1440" w:right="1800" w:bottom="1440" w:left="1800" w:header="851" w:footer="992" w:gutter="0"/>
          <w:cols w:space="720" w:num="1"/>
          <w:docGrid w:type="lines" w:linePitch="312" w:charSpace="0"/>
        </w:sectPr>
      </w:pPr>
      <w:r>
        <w:rPr>
          <w:rFonts w:hint="default" w:ascii="Times New Roman" w:hAnsi="Times New Roman" w:eastAsia="宋体" w:cs="Times New Roman"/>
          <w:sz w:val="32"/>
          <w:szCs w:val="32"/>
        </w:rPr>
        <w:t>202</w:t>
      </w:r>
      <w:r>
        <w:rPr>
          <w:rFonts w:hint="eastAsia" w:ascii="Times New Roman" w:eastAsia="宋体" w:cs="Times New Roman"/>
          <w:sz w:val="32"/>
          <w:szCs w:val="32"/>
          <w:lang w:val="en-US" w:eastAsia="zh-CN"/>
        </w:rPr>
        <w:t>4</w:t>
      </w:r>
      <w:r>
        <w:rPr>
          <w:rFonts w:hint="default" w:ascii="Times New Roman" w:hAnsi="Times New Roman" w:eastAsia="宋体" w:cs="Times New Roman"/>
          <w:sz w:val="32"/>
          <w:szCs w:val="32"/>
        </w:rPr>
        <w:t>年</w:t>
      </w:r>
      <w:r>
        <w:rPr>
          <w:rFonts w:hint="eastAsia" w:ascii="Times New Roman" w:eastAsia="宋体" w:cs="Times New Roman"/>
          <w:sz w:val="32"/>
          <w:szCs w:val="32"/>
          <w:lang w:val="en-US" w:eastAsia="zh-CN"/>
        </w:rPr>
        <w:t>5</w:t>
      </w:r>
      <w:r>
        <w:rPr>
          <w:rFonts w:hint="default" w:ascii="Times New Roman" w:hAnsi="Times New Roman" w:eastAsia="宋体" w:cs="Times New Roman"/>
          <w:sz w:val="32"/>
          <w:szCs w:val="32"/>
        </w:rPr>
        <w:t>月</w:t>
      </w:r>
    </w:p>
    <w:p>
      <w:pPr>
        <w:pStyle w:val="21"/>
        <w:pageBreakBefore w:val="0"/>
        <w:framePr w:w="0" w:hRule="auto" w:wrap="auto" w:vAnchor="margin" w:hAnchor="text" w:xAlign="left" w:yAlign="inline"/>
        <w:kinsoku/>
        <w:wordWrap/>
        <w:overflowPunct/>
        <w:topLinePunct w:val="0"/>
        <w:autoSpaceDE/>
        <w:autoSpaceDN/>
        <w:bidi w:val="0"/>
        <w:adjustRightInd/>
        <w:snapToGrid/>
        <w:spacing w:line="520" w:lineRule="exact"/>
        <w:jc w:val="center"/>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目次</w:t>
      </w:r>
    </w:p>
    <w:p>
      <w:pPr>
        <w:pageBreakBefore w:val="0"/>
        <w:kinsoku/>
        <w:wordWrap/>
        <w:overflowPunct/>
        <w:topLinePunct w:val="0"/>
        <w:autoSpaceDE/>
        <w:autoSpaceDN/>
        <w:bidi w:val="0"/>
        <w:adjustRightInd/>
        <w:snapToGrid/>
        <w:spacing w:line="520" w:lineRule="exact"/>
        <w:rPr>
          <w:rFonts w:hint="default" w:ascii="Times New Roman" w:hAnsi="Times New Roman" w:cs="Times New Roman"/>
        </w:rPr>
      </w:pPr>
    </w:p>
    <w:sdt>
      <w:sdtPr>
        <w:rPr>
          <w:rFonts w:ascii="宋体" w:hAnsi="宋体" w:eastAsia="宋体" w:cs="Times New Roman"/>
          <w:kern w:val="2"/>
          <w:sz w:val="21"/>
          <w:szCs w:val="24"/>
          <w:lang w:val="en-US" w:eastAsia="zh-CN" w:bidi="ar-SA"/>
        </w:rPr>
        <w:id w:val="147453865"/>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TOC \o "1-3" \h \u </w:instrText>
          </w:r>
          <w:r>
            <w:rPr>
              <w:rFonts w:hint="default" w:ascii="Times New Roman" w:hAnsi="Times New Roman" w:cs="Times New Roman"/>
            </w:rPr>
            <w:fldChar w:fldCharType="separate"/>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_Toc12836 </w:instrText>
          </w:r>
          <w:r>
            <w:rPr>
              <w:rFonts w:hint="default" w:ascii="Times New Roman" w:hAnsi="Times New Roman" w:cs="Times New Roman"/>
            </w:rPr>
            <w:fldChar w:fldCharType="separate"/>
          </w:r>
          <w:r>
            <w:rPr>
              <w:rFonts w:hint="default" w:ascii="Times New Roman" w:hAnsi="Times New Roman" w:cs="Times New Roman"/>
              <w:lang w:eastAsia="zh-CN"/>
            </w:rPr>
            <w:t>一、工作简况</w:t>
          </w:r>
          <w:r>
            <w:tab/>
          </w:r>
          <w:r>
            <w:fldChar w:fldCharType="begin"/>
          </w:r>
          <w:r>
            <w:instrText xml:space="preserve"> PAGEREF _Toc12836 \h </w:instrText>
          </w:r>
          <w:r>
            <w:fldChar w:fldCharType="separate"/>
          </w:r>
          <w:r>
            <w:t>1</w:t>
          </w:r>
          <w:r>
            <w:fldChar w:fldCharType="end"/>
          </w:r>
          <w:r>
            <w:rPr>
              <w:rFonts w:hint="default" w:ascii="Times New Roman" w:hAnsi="Times New Roman" w:cs="Times New Roman"/>
            </w:rPr>
            <w:fldChar w:fldCharType="end"/>
          </w:r>
        </w:p>
        <w:p>
          <w:pPr>
            <w:pStyle w:val="11"/>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_Toc1691 </w:instrText>
          </w:r>
          <w:r>
            <w:rPr>
              <w:rFonts w:hint="default" w:ascii="Times New Roman" w:hAnsi="Times New Roman" w:cs="Times New Roman"/>
            </w:rPr>
            <w:fldChar w:fldCharType="separate"/>
          </w:r>
          <w:r>
            <w:rPr>
              <w:rFonts w:hint="default" w:ascii="Times New Roman" w:hAnsi="Times New Roman" w:eastAsia="黑体" w:cs="Times New Roman"/>
              <w:lang w:val="en-US" w:eastAsia="zh-CN"/>
            </w:rPr>
            <w:t>1.</w:t>
          </w:r>
          <w:r>
            <w:rPr>
              <w:rFonts w:hint="default" w:ascii="Times New Roman" w:hAnsi="Times New Roman" w:eastAsia="黑体" w:cs="Times New Roman"/>
              <w:lang w:eastAsia="zh-CN"/>
            </w:rPr>
            <w:t>任务来源</w:t>
          </w:r>
          <w:r>
            <w:tab/>
          </w:r>
          <w:r>
            <w:fldChar w:fldCharType="begin"/>
          </w:r>
          <w:r>
            <w:instrText xml:space="preserve"> PAGEREF _Toc1691 \h </w:instrText>
          </w:r>
          <w:r>
            <w:fldChar w:fldCharType="separate"/>
          </w:r>
          <w:r>
            <w:t>1</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_Toc20067 </w:instrText>
          </w:r>
          <w:r>
            <w:rPr>
              <w:rFonts w:hint="default" w:ascii="Times New Roman" w:hAnsi="Times New Roman" w:cs="Times New Roman"/>
            </w:rPr>
            <w:fldChar w:fldCharType="separate"/>
          </w:r>
          <w:r>
            <w:rPr>
              <w:rFonts w:hint="default" w:ascii="Times New Roman" w:hAnsi="Times New Roman" w:eastAsia="仿宋" w:cs="Times New Roman"/>
              <w:lang w:val="en-US" w:eastAsia="zh-CN"/>
            </w:rPr>
            <w:t>1.1项目背景与意义</w:t>
          </w:r>
          <w:r>
            <w:tab/>
          </w:r>
          <w:r>
            <w:fldChar w:fldCharType="begin"/>
          </w:r>
          <w:r>
            <w:instrText xml:space="preserve"> PAGEREF _Toc20067 \h </w:instrText>
          </w:r>
          <w:r>
            <w:fldChar w:fldCharType="separate"/>
          </w:r>
          <w:r>
            <w:t>1</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_Toc10415 </w:instrText>
          </w:r>
          <w:r>
            <w:rPr>
              <w:rFonts w:hint="default" w:ascii="Times New Roman" w:hAnsi="Times New Roman" w:cs="Times New Roman"/>
            </w:rPr>
            <w:fldChar w:fldCharType="separate"/>
          </w:r>
          <w:r>
            <w:rPr>
              <w:rFonts w:hint="default" w:ascii="Times New Roman" w:hAnsi="Times New Roman" w:eastAsia="仿宋" w:cs="Times New Roman"/>
              <w:lang w:val="en-US" w:eastAsia="zh-CN"/>
            </w:rPr>
            <w:t>1.2计划下达</w:t>
          </w:r>
          <w:r>
            <w:tab/>
          </w:r>
          <w:r>
            <w:fldChar w:fldCharType="begin"/>
          </w:r>
          <w:r>
            <w:instrText xml:space="preserve"> PAGEREF _Toc10415 \h </w:instrText>
          </w:r>
          <w:r>
            <w:fldChar w:fldCharType="separate"/>
          </w:r>
          <w:r>
            <w:t>3</w:t>
          </w:r>
          <w:r>
            <w:fldChar w:fldCharType="end"/>
          </w:r>
          <w:r>
            <w:rPr>
              <w:rFonts w:hint="default" w:ascii="Times New Roman" w:hAnsi="Times New Roman" w:cs="Times New Roman"/>
            </w:rPr>
            <w:fldChar w:fldCharType="end"/>
          </w:r>
        </w:p>
        <w:p>
          <w:pPr>
            <w:pStyle w:val="11"/>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_Toc16718 </w:instrText>
          </w:r>
          <w:r>
            <w:rPr>
              <w:rFonts w:hint="default" w:ascii="Times New Roman" w:hAnsi="Times New Roman" w:cs="Times New Roman"/>
            </w:rPr>
            <w:fldChar w:fldCharType="separate"/>
          </w:r>
          <w:r>
            <w:rPr>
              <w:rFonts w:hint="default" w:ascii="Times New Roman" w:hAnsi="Times New Roman" w:eastAsia="黑体" w:cs="Times New Roman"/>
              <w:lang w:val="en-US" w:eastAsia="zh-CN"/>
            </w:rPr>
            <w:t>2.主要工作过程及人员分工</w:t>
          </w:r>
          <w:r>
            <w:tab/>
          </w:r>
          <w:r>
            <w:fldChar w:fldCharType="begin"/>
          </w:r>
          <w:r>
            <w:instrText xml:space="preserve"> PAGEREF _Toc16718 \h </w:instrText>
          </w:r>
          <w:r>
            <w:fldChar w:fldCharType="separate"/>
          </w:r>
          <w:r>
            <w:t>3</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_Toc2971 </w:instrText>
          </w:r>
          <w:r>
            <w:rPr>
              <w:rFonts w:hint="default" w:ascii="Times New Roman" w:hAnsi="Times New Roman" w:cs="Times New Roman"/>
            </w:rPr>
            <w:fldChar w:fldCharType="separate"/>
          </w:r>
          <w:r>
            <w:rPr>
              <w:rFonts w:hint="default" w:ascii="Times New Roman" w:hAnsi="Times New Roman" w:eastAsia="仿宋" w:cs="Times New Roman"/>
              <w:lang w:val="en-US" w:eastAsia="zh-CN"/>
            </w:rPr>
            <w:t>2.1参加单位、人员及分工</w:t>
          </w:r>
          <w:r>
            <w:tab/>
          </w:r>
          <w:r>
            <w:fldChar w:fldCharType="begin"/>
          </w:r>
          <w:r>
            <w:instrText xml:space="preserve"> PAGEREF _Toc2971 \h </w:instrText>
          </w:r>
          <w:r>
            <w:fldChar w:fldCharType="separate"/>
          </w:r>
          <w:r>
            <w:t>3</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_Toc4142 </w:instrText>
          </w:r>
          <w:r>
            <w:rPr>
              <w:rFonts w:hint="default" w:ascii="Times New Roman" w:hAnsi="Times New Roman" w:cs="Times New Roman"/>
            </w:rPr>
            <w:fldChar w:fldCharType="separate"/>
          </w:r>
          <w:r>
            <w:rPr>
              <w:rFonts w:hint="default" w:ascii="Times New Roman" w:hAnsi="Times New Roman" w:eastAsia="仿宋" w:cs="Times New Roman"/>
              <w:lang w:val="en-US" w:eastAsia="zh-CN"/>
            </w:rPr>
            <w:t>2.2标准编制工作过程</w:t>
          </w:r>
          <w:r>
            <w:tab/>
          </w:r>
          <w:r>
            <w:fldChar w:fldCharType="begin"/>
          </w:r>
          <w:r>
            <w:instrText xml:space="preserve"> PAGEREF _Toc4142 \h </w:instrText>
          </w:r>
          <w:r>
            <w:fldChar w:fldCharType="separate"/>
          </w:r>
          <w:r>
            <w:t>4</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_Toc14390 </w:instrText>
          </w:r>
          <w:r>
            <w:rPr>
              <w:rFonts w:hint="default" w:ascii="Times New Roman" w:hAnsi="Times New Roman" w:cs="Times New Roman"/>
            </w:rPr>
            <w:fldChar w:fldCharType="separate"/>
          </w:r>
          <w:r>
            <w:rPr>
              <w:rFonts w:hint="default" w:ascii="Times New Roman" w:hAnsi="Times New Roman" w:cs="Times New Roman"/>
              <w:lang w:eastAsia="zh-CN"/>
            </w:rPr>
            <w:t>二、标准编制原则和主要内容</w:t>
          </w:r>
          <w:r>
            <w:tab/>
          </w:r>
          <w:r>
            <w:fldChar w:fldCharType="begin"/>
          </w:r>
          <w:r>
            <w:instrText xml:space="preserve"> PAGEREF _Toc14390 \h </w:instrText>
          </w:r>
          <w:r>
            <w:fldChar w:fldCharType="separate"/>
          </w:r>
          <w:r>
            <w:t>5</w:t>
          </w:r>
          <w:r>
            <w:fldChar w:fldCharType="end"/>
          </w:r>
          <w:r>
            <w:rPr>
              <w:rFonts w:hint="default" w:ascii="Times New Roman" w:hAnsi="Times New Roman" w:cs="Times New Roman"/>
            </w:rPr>
            <w:fldChar w:fldCharType="end"/>
          </w:r>
        </w:p>
        <w:p>
          <w:pPr>
            <w:pStyle w:val="11"/>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_Toc15945 </w:instrText>
          </w:r>
          <w:r>
            <w:rPr>
              <w:rFonts w:hint="default" w:ascii="Times New Roman" w:hAnsi="Times New Roman" w:cs="Times New Roman"/>
            </w:rPr>
            <w:fldChar w:fldCharType="separate"/>
          </w:r>
          <w:r>
            <w:rPr>
              <w:rFonts w:hint="default" w:ascii="Times New Roman" w:hAnsi="Times New Roman" w:eastAsia="黑体" w:cs="Times New Roman"/>
              <w:lang w:val="en-US" w:eastAsia="zh-CN"/>
            </w:rPr>
            <w:t>1.</w:t>
          </w:r>
          <w:r>
            <w:rPr>
              <w:rFonts w:hint="default" w:ascii="Times New Roman" w:hAnsi="Times New Roman" w:eastAsia="黑体" w:cs="Times New Roman"/>
              <w:lang w:eastAsia="zh-CN"/>
            </w:rPr>
            <w:t>标准制定的基本原则</w:t>
          </w:r>
          <w:r>
            <w:tab/>
          </w:r>
          <w:r>
            <w:fldChar w:fldCharType="begin"/>
          </w:r>
          <w:r>
            <w:instrText xml:space="preserve"> PAGEREF _Toc15945 \h </w:instrText>
          </w:r>
          <w:r>
            <w:fldChar w:fldCharType="separate"/>
          </w:r>
          <w:r>
            <w:t>5</w:t>
          </w:r>
          <w:r>
            <w:fldChar w:fldCharType="end"/>
          </w:r>
          <w:r>
            <w:rPr>
              <w:rFonts w:hint="default" w:ascii="Times New Roman" w:hAnsi="Times New Roman" w:cs="Times New Roman"/>
            </w:rPr>
            <w:fldChar w:fldCharType="end"/>
          </w:r>
        </w:p>
        <w:p>
          <w:pPr>
            <w:pStyle w:val="11"/>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_Toc4921 </w:instrText>
          </w:r>
          <w:r>
            <w:rPr>
              <w:rFonts w:hint="default" w:ascii="Times New Roman" w:hAnsi="Times New Roman" w:cs="Times New Roman"/>
            </w:rPr>
            <w:fldChar w:fldCharType="separate"/>
          </w:r>
          <w:r>
            <w:rPr>
              <w:rFonts w:hint="default" w:ascii="Times New Roman" w:hAnsi="Times New Roman" w:eastAsia="黑体" w:cs="Times New Roman"/>
              <w:lang w:val="en-US" w:eastAsia="zh-CN"/>
            </w:rPr>
            <w:t>2.</w:t>
          </w:r>
          <w:r>
            <w:rPr>
              <w:rFonts w:hint="default" w:ascii="Times New Roman" w:hAnsi="Times New Roman" w:eastAsia="黑体" w:cs="Times New Roman"/>
              <w:lang w:eastAsia="zh-CN"/>
            </w:rPr>
            <w:t>标准的主要技术内容</w:t>
          </w:r>
          <w:r>
            <w:tab/>
          </w:r>
          <w:r>
            <w:fldChar w:fldCharType="begin"/>
          </w:r>
          <w:r>
            <w:instrText xml:space="preserve"> PAGEREF _Toc4921 \h </w:instrText>
          </w:r>
          <w:r>
            <w:fldChar w:fldCharType="separate"/>
          </w:r>
          <w:r>
            <w:t>5</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_Toc31196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1</w:t>
          </w:r>
          <w:r>
            <w:rPr>
              <w:rFonts w:hint="default" w:ascii="Times New Roman" w:hAnsi="Times New Roman" w:eastAsia="仿宋" w:cs="Times New Roman"/>
            </w:rPr>
            <w:t xml:space="preserve"> 范围</w:t>
          </w:r>
          <w:r>
            <w:tab/>
          </w:r>
          <w:r>
            <w:fldChar w:fldCharType="begin"/>
          </w:r>
          <w:r>
            <w:instrText xml:space="preserve"> PAGEREF _Toc31196 \h </w:instrText>
          </w:r>
          <w:r>
            <w:fldChar w:fldCharType="separate"/>
          </w:r>
          <w:r>
            <w:t>5</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_Toc1229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2</w:t>
          </w:r>
          <w:r>
            <w:rPr>
              <w:rFonts w:hint="default" w:ascii="Times New Roman" w:hAnsi="Times New Roman" w:eastAsia="仿宋" w:cs="Times New Roman"/>
            </w:rPr>
            <w:t xml:space="preserve"> 规范性引用文件</w:t>
          </w:r>
          <w:r>
            <w:tab/>
          </w:r>
          <w:r>
            <w:fldChar w:fldCharType="begin"/>
          </w:r>
          <w:r>
            <w:instrText xml:space="preserve"> PAGEREF _Toc1229 \h </w:instrText>
          </w:r>
          <w:r>
            <w:fldChar w:fldCharType="separate"/>
          </w:r>
          <w:r>
            <w:t>6</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_Toc6620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3</w:t>
          </w:r>
          <w:r>
            <w:rPr>
              <w:rFonts w:hint="default" w:ascii="Times New Roman" w:hAnsi="Times New Roman" w:eastAsia="仿宋" w:cs="Times New Roman"/>
            </w:rPr>
            <w:t xml:space="preserve"> 术语和定义</w:t>
          </w:r>
          <w:r>
            <w:tab/>
          </w:r>
          <w:r>
            <w:fldChar w:fldCharType="begin"/>
          </w:r>
          <w:r>
            <w:instrText xml:space="preserve"> PAGEREF _Toc6620 \h </w:instrText>
          </w:r>
          <w:r>
            <w:fldChar w:fldCharType="separate"/>
          </w:r>
          <w:r>
            <w:t>6</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_Toc8633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4</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基本</w:t>
          </w:r>
          <w:r>
            <w:rPr>
              <w:rFonts w:hint="default" w:ascii="Times New Roman" w:hAnsi="Times New Roman" w:eastAsia="仿宋" w:cs="Times New Roman"/>
            </w:rPr>
            <w:t>原则</w:t>
          </w:r>
          <w:r>
            <w:tab/>
          </w:r>
          <w:r>
            <w:fldChar w:fldCharType="begin"/>
          </w:r>
          <w:r>
            <w:instrText xml:space="preserve"> PAGEREF _Toc8633 \h </w:instrText>
          </w:r>
          <w:r>
            <w:fldChar w:fldCharType="separate"/>
          </w:r>
          <w:r>
            <w:t>7</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_Toc15094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5</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减碳量评估</w:t>
          </w:r>
          <w:r>
            <w:rPr>
              <w:rFonts w:hint="default" w:ascii="Times New Roman" w:hAnsi="Times New Roman" w:eastAsia="仿宋" w:cs="Times New Roman"/>
              <w:lang w:eastAsia="zh-CN"/>
            </w:rPr>
            <w:t>要求</w:t>
          </w:r>
          <w:r>
            <w:tab/>
          </w:r>
          <w:r>
            <w:fldChar w:fldCharType="begin"/>
          </w:r>
          <w:r>
            <w:instrText xml:space="preserve"> PAGEREF _Toc15094 \h </w:instrText>
          </w:r>
          <w:r>
            <w:fldChar w:fldCharType="separate"/>
          </w:r>
          <w:r>
            <w:t>7</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_Toc2799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2.5.1基本要求</w:t>
          </w:r>
          <w:r>
            <w:tab/>
          </w:r>
          <w:r>
            <w:fldChar w:fldCharType="begin"/>
          </w:r>
          <w:r>
            <w:instrText xml:space="preserve"> PAGEREF _Toc2799 \h </w:instrText>
          </w:r>
          <w:r>
            <w:fldChar w:fldCharType="separate"/>
          </w:r>
          <w:r>
            <w:t>7</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_Toc32104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2.5.2评价程序</w:t>
          </w:r>
          <w:r>
            <w:tab/>
          </w:r>
          <w:r>
            <w:fldChar w:fldCharType="begin"/>
          </w:r>
          <w:r>
            <w:instrText xml:space="preserve"> PAGEREF _Toc32104 \h </w:instrText>
          </w:r>
          <w:r>
            <w:fldChar w:fldCharType="separate"/>
          </w:r>
          <w:r>
            <w:t>8</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_Toc7809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2.5.3基准值选取</w:t>
          </w:r>
          <w:r>
            <w:tab/>
          </w:r>
          <w:r>
            <w:fldChar w:fldCharType="begin"/>
          </w:r>
          <w:r>
            <w:instrText xml:space="preserve"> PAGEREF _Toc7809 \h </w:instrText>
          </w:r>
          <w:r>
            <w:fldChar w:fldCharType="separate"/>
          </w:r>
          <w:r>
            <w:t>9</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_Toc12956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2.5.4数据来源</w:t>
          </w:r>
          <w:r>
            <w:tab/>
          </w:r>
          <w:r>
            <w:fldChar w:fldCharType="begin"/>
          </w:r>
          <w:r>
            <w:instrText xml:space="preserve"> PAGEREF _Toc12956 \h </w:instrText>
          </w:r>
          <w:r>
            <w:fldChar w:fldCharType="separate"/>
          </w:r>
          <w:r>
            <w:t>11</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_Toc11593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6</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减碳量计算方法</w:t>
          </w:r>
          <w:r>
            <w:tab/>
          </w:r>
          <w:r>
            <w:fldChar w:fldCharType="begin"/>
          </w:r>
          <w:r>
            <w:instrText xml:space="preserve"> PAGEREF _Toc11593 \h </w:instrText>
          </w:r>
          <w:r>
            <w:fldChar w:fldCharType="separate"/>
          </w:r>
          <w:r>
            <w:t>11</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_Toc181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2.6.1</w:t>
          </w:r>
          <w:r>
            <w:rPr>
              <w:rFonts w:hint="eastAsia" w:ascii="Times New Roman" w:hAnsi="Times New Roman" w:eastAsia="仿宋" w:cs="Times New Roman"/>
              <w:szCs w:val="28"/>
              <w:lang w:val="en-US" w:eastAsia="zh-CN"/>
            </w:rPr>
            <w:t>基本要求</w:t>
          </w:r>
          <w:r>
            <w:tab/>
          </w:r>
          <w:r>
            <w:fldChar w:fldCharType="begin"/>
          </w:r>
          <w:r>
            <w:instrText xml:space="preserve"> PAGEREF _Toc181 \h </w:instrText>
          </w:r>
          <w:r>
            <w:fldChar w:fldCharType="separate"/>
          </w:r>
          <w:r>
            <w:t>11</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_Toc17098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2.6.1生产阶段</w:t>
          </w:r>
          <w:r>
            <w:tab/>
          </w:r>
          <w:r>
            <w:fldChar w:fldCharType="begin"/>
          </w:r>
          <w:r>
            <w:instrText xml:space="preserve"> PAGEREF _Toc17098 \h </w:instrText>
          </w:r>
          <w:r>
            <w:fldChar w:fldCharType="separate"/>
          </w:r>
          <w:r>
            <w:t>12</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_Toc29549 </w:instrText>
          </w:r>
          <w:r>
            <w:rPr>
              <w:rFonts w:hint="default" w:ascii="Times New Roman" w:hAnsi="Times New Roman" w:cs="Times New Roman"/>
            </w:rPr>
            <w:fldChar w:fldCharType="separate"/>
          </w:r>
          <w:r>
            <w:rPr>
              <w:rFonts w:hint="default" w:ascii="Times New Roman" w:hAnsi="Times New Roman" w:eastAsia="仿宋" w:cs="Times New Roman"/>
              <w:szCs w:val="28"/>
              <w:lang w:val="en-US" w:eastAsia="zh-CN"/>
            </w:rPr>
            <w:t>2.6.2使用阶段</w:t>
          </w:r>
          <w:r>
            <w:tab/>
          </w:r>
          <w:r>
            <w:fldChar w:fldCharType="begin"/>
          </w:r>
          <w:r>
            <w:instrText xml:space="preserve"> PAGEREF _Toc29549 \h </w:instrText>
          </w:r>
          <w:r>
            <w:fldChar w:fldCharType="separate"/>
          </w:r>
          <w:r>
            <w:t>13</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_Toc14608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7</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减碳量结果披露</w:t>
          </w:r>
          <w:r>
            <w:tab/>
          </w:r>
          <w:r>
            <w:fldChar w:fldCharType="begin"/>
          </w:r>
          <w:r>
            <w:instrText xml:space="preserve"> PAGEREF _Toc14608 \h </w:instrText>
          </w:r>
          <w:r>
            <w:fldChar w:fldCharType="separate"/>
          </w:r>
          <w:r>
            <w:t>15</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_Toc27889 </w:instrText>
          </w:r>
          <w:r>
            <w:rPr>
              <w:rFonts w:hint="default" w:ascii="Times New Roman" w:hAnsi="Times New Roman" w:cs="Times New Roman"/>
            </w:rPr>
            <w:fldChar w:fldCharType="separate"/>
          </w:r>
          <w:r>
            <w:rPr>
              <w:rFonts w:hint="default" w:ascii="Times New Roman" w:hAnsi="Times New Roman" w:eastAsia="仿宋" w:cs="Times New Roman"/>
            </w:rPr>
            <w:t>2.</w:t>
          </w:r>
          <w:r>
            <w:rPr>
              <w:rFonts w:hint="default" w:ascii="Times New Roman" w:hAnsi="Times New Roman" w:eastAsia="仿宋" w:cs="Times New Roman"/>
              <w:lang w:val="en-US" w:eastAsia="zh-CN"/>
            </w:rPr>
            <w:t>8</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减碳量评估报告</w:t>
          </w:r>
          <w:r>
            <w:tab/>
          </w:r>
          <w:r>
            <w:fldChar w:fldCharType="begin"/>
          </w:r>
          <w:r>
            <w:instrText xml:space="preserve"> PAGEREF _Toc27889 \h </w:instrText>
          </w:r>
          <w:r>
            <w:fldChar w:fldCharType="separate"/>
          </w:r>
          <w:r>
            <w:t>15</w:t>
          </w:r>
          <w:r>
            <w:fldChar w:fldCharType="end"/>
          </w:r>
          <w:r>
            <w:rPr>
              <w:rFonts w:hint="default" w:ascii="Times New Roman" w:hAnsi="Times New Roman" w:cs="Times New Roman"/>
            </w:rPr>
            <w:fldChar w:fldCharType="end"/>
          </w:r>
        </w:p>
        <w:p>
          <w:pPr>
            <w:pStyle w:val="7"/>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_Toc24731 </w:instrText>
          </w:r>
          <w:r>
            <w:rPr>
              <w:rFonts w:hint="default" w:ascii="Times New Roman" w:hAnsi="Times New Roman" w:cs="Times New Roman"/>
            </w:rPr>
            <w:fldChar w:fldCharType="separate"/>
          </w:r>
          <w:r>
            <w:rPr>
              <w:rFonts w:hint="default" w:ascii="Times New Roman" w:hAnsi="Times New Roman" w:eastAsia="仿宋" w:cs="Times New Roman"/>
              <w:lang w:val="en-US" w:eastAsia="zh-CN"/>
            </w:rPr>
            <w:t>附录A</w:t>
          </w:r>
          <w:r>
            <w:tab/>
          </w:r>
          <w:r>
            <w:fldChar w:fldCharType="begin"/>
          </w:r>
          <w:r>
            <w:instrText xml:space="preserve"> PAGEREF _Toc24731 \h </w:instrText>
          </w:r>
          <w:r>
            <w:fldChar w:fldCharType="separate"/>
          </w:r>
          <w:r>
            <w:t>15</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_Toc16039 </w:instrText>
          </w:r>
          <w:r>
            <w:rPr>
              <w:rFonts w:hint="default" w:ascii="Times New Roman" w:hAnsi="Times New Roman" w:cs="Times New Roman"/>
            </w:rPr>
            <w:fldChar w:fldCharType="separate"/>
          </w:r>
          <w:r>
            <w:rPr>
              <w:rFonts w:hint="default" w:ascii="Times New Roman" w:hAnsi="Times New Roman" w:cs="Times New Roman"/>
              <w:lang w:eastAsia="zh-CN"/>
            </w:rPr>
            <w:t>三、主要验证情况分析</w:t>
          </w:r>
          <w:r>
            <w:tab/>
          </w:r>
          <w:r>
            <w:fldChar w:fldCharType="begin"/>
          </w:r>
          <w:r>
            <w:instrText xml:space="preserve"> PAGEREF _Toc16039 \h </w:instrText>
          </w:r>
          <w:r>
            <w:fldChar w:fldCharType="separate"/>
          </w:r>
          <w:r>
            <w:t>15</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_Toc1176 </w:instrText>
          </w:r>
          <w:r>
            <w:rPr>
              <w:rFonts w:hint="default" w:ascii="Times New Roman" w:hAnsi="Times New Roman" w:cs="Times New Roman"/>
            </w:rPr>
            <w:fldChar w:fldCharType="separate"/>
          </w:r>
          <w:r>
            <w:rPr>
              <w:rFonts w:hint="default" w:ascii="Times New Roman" w:hAnsi="Times New Roman" w:cs="Times New Roman"/>
              <w:lang w:eastAsia="zh-CN"/>
            </w:rPr>
            <w:t>四、标准中如果涉及专利，应有明确的知识产权说明</w:t>
          </w:r>
          <w:r>
            <w:tab/>
          </w:r>
          <w:r>
            <w:fldChar w:fldCharType="begin"/>
          </w:r>
          <w:r>
            <w:instrText xml:space="preserve"> PAGEREF _Toc1176 \h </w:instrText>
          </w:r>
          <w:r>
            <w:fldChar w:fldCharType="separate"/>
          </w:r>
          <w:r>
            <w:t>18</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_Toc12534 </w:instrText>
          </w:r>
          <w:r>
            <w:rPr>
              <w:rFonts w:hint="default" w:ascii="Times New Roman" w:hAnsi="Times New Roman" w:cs="Times New Roman"/>
            </w:rPr>
            <w:fldChar w:fldCharType="separate"/>
          </w:r>
          <w:r>
            <w:rPr>
              <w:rFonts w:hint="default" w:ascii="Times New Roman" w:hAnsi="Times New Roman" w:cs="Times New Roman"/>
              <w:lang w:eastAsia="zh-CN"/>
            </w:rPr>
            <w:t>五、产业化情况、推广应用论证和预期达到的经济效果等情况</w:t>
          </w:r>
          <w:r>
            <w:tab/>
          </w:r>
          <w:r>
            <w:fldChar w:fldCharType="begin"/>
          </w:r>
          <w:r>
            <w:instrText xml:space="preserve"> PAGEREF _Toc12534 \h </w:instrText>
          </w:r>
          <w:r>
            <w:fldChar w:fldCharType="separate"/>
          </w:r>
          <w:r>
            <w:t>18</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_Toc5624 </w:instrText>
          </w:r>
          <w:r>
            <w:rPr>
              <w:rFonts w:hint="default" w:ascii="Times New Roman" w:hAnsi="Times New Roman" w:cs="Times New Roman"/>
            </w:rPr>
            <w:fldChar w:fldCharType="separate"/>
          </w:r>
          <w:r>
            <w:rPr>
              <w:rFonts w:hint="default" w:ascii="Times New Roman" w:hAnsi="Times New Roman" w:cs="Times New Roman"/>
              <w:lang w:eastAsia="zh-CN"/>
            </w:rPr>
            <w:t>六、</w:t>
          </w:r>
          <w:r>
            <w:rPr>
              <w:rFonts w:hint="default" w:ascii="Times New Roman" w:hAnsi="Times New Roman" w:cs="Times New Roman"/>
              <w:szCs w:val="32"/>
            </w:rPr>
            <w:t>采用国际标准和国外先进标准情况，与国际、国外同类标准水平的对比情况，国内外关键指标对比分析或与测试的国外样品、样机的相关数据对比情况</w:t>
          </w:r>
          <w:r>
            <w:tab/>
          </w:r>
          <w:r>
            <w:fldChar w:fldCharType="begin"/>
          </w:r>
          <w:r>
            <w:instrText xml:space="preserve"> PAGEREF _Toc5624 \h </w:instrText>
          </w:r>
          <w:r>
            <w:fldChar w:fldCharType="separate"/>
          </w:r>
          <w:r>
            <w:t>19</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_Toc14991 </w:instrText>
          </w:r>
          <w:r>
            <w:rPr>
              <w:rFonts w:hint="default" w:ascii="Times New Roman" w:hAnsi="Times New Roman" w:cs="Times New Roman"/>
            </w:rPr>
            <w:fldChar w:fldCharType="separate"/>
          </w:r>
          <w:r>
            <w:rPr>
              <w:rFonts w:hint="default" w:ascii="Times New Roman" w:hAnsi="Times New Roman" w:cs="Times New Roman"/>
              <w:lang w:eastAsia="zh-CN"/>
            </w:rPr>
            <w:t>七、</w:t>
          </w:r>
          <w:r>
            <w:rPr>
              <w:rFonts w:hint="default" w:ascii="Times New Roman" w:hAnsi="Times New Roman" w:cs="Times New Roman"/>
              <w:szCs w:val="32"/>
            </w:rPr>
            <w:t>与现行相关法律、法规、规章及相关标准，特别是强制性标准的协调性</w:t>
          </w:r>
          <w:r>
            <w:tab/>
          </w:r>
          <w:r>
            <w:fldChar w:fldCharType="begin"/>
          </w:r>
          <w:r>
            <w:instrText xml:space="preserve"> PAGEREF _Toc14991 \h </w:instrText>
          </w:r>
          <w:r>
            <w:fldChar w:fldCharType="separate"/>
          </w:r>
          <w:r>
            <w:t>20</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_Toc23587 </w:instrText>
          </w:r>
          <w:r>
            <w:rPr>
              <w:rFonts w:hint="default" w:ascii="Times New Roman" w:hAnsi="Times New Roman" w:cs="Times New Roman"/>
            </w:rPr>
            <w:fldChar w:fldCharType="separate"/>
          </w:r>
          <w:r>
            <w:rPr>
              <w:rFonts w:hint="default" w:ascii="Times New Roman" w:hAnsi="Times New Roman" w:cs="Times New Roman"/>
              <w:lang w:eastAsia="zh-CN"/>
            </w:rPr>
            <w:t>八</w:t>
          </w:r>
          <w:r>
            <w:rPr>
              <w:rFonts w:hint="default" w:ascii="Times New Roman" w:hAnsi="Times New Roman" w:cs="Times New Roman"/>
              <w:szCs w:val="32"/>
              <w:lang w:eastAsia="zh-CN"/>
            </w:rPr>
            <w:t>、</w:t>
          </w:r>
          <w:r>
            <w:rPr>
              <w:rFonts w:hint="default" w:ascii="Times New Roman" w:hAnsi="Times New Roman" w:cs="Times New Roman"/>
              <w:szCs w:val="32"/>
            </w:rPr>
            <w:t>重大分歧意见的处理经过和依据</w:t>
          </w:r>
          <w:r>
            <w:tab/>
          </w:r>
          <w:r>
            <w:fldChar w:fldCharType="begin"/>
          </w:r>
          <w:r>
            <w:instrText xml:space="preserve"> PAGEREF _Toc23587 \h </w:instrText>
          </w:r>
          <w:r>
            <w:fldChar w:fldCharType="separate"/>
          </w:r>
          <w:r>
            <w:t>20</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_Toc27340 </w:instrText>
          </w:r>
          <w:r>
            <w:rPr>
              <w:rFonts w:hint="default" w:ascii="Times New Roman" w:hAnsi="Times New Roman" w:cs="Times New Roman"/>
            </w:rPr>
            <w:fldChar w:fldCharType="separate"/>
          </w:r>
          <w:r>
            <w:rPr>
              <w:rFonts w:hint="default" w:ascii="Times New Roman" w:hAnsi="Times New Roman" w:cs="Times New Roman"/>
              <w:lang w:val="en-US" w:eastAsia="zh-CN"/>
            </w:rPr>
            <w:t>九、标准性质的建议说明</w:t>
          </w:r>
          <w:r>
            <w:tab/>
          </w:r>
          <w:r>
            <w:fldChar w:fldCharType="begin"/>
          </w:r>
          <w:r>
            <w:instrText xml:space="preserve"> PAGEREF _Toc27340 \h </w:instrText>
          </w:r>
          <w:r>
            <w:fldChar w:fldCharType="separate"/>
          </w:r>
          <w:r>
            <w:t>20</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_Toc16471 </w:instrText>
          </w:r>
          <w:r>
            <w:rPr>
              <w:rFonts w:hint="default" w:ascii="Times New Roman" w:hAnsi="Times New Roman" w:cs="Times New Roman"/>
            </w:rPr>
            <w:fldChar w:fldCharType="separate"/>
          </w:r>
          <w:r>
            <w:rPr>
              <w:rFonts w:hint="default" w:ascii="Times New Roman" w:hAnsi="Times New Roman" w:cs="Times New Roman"/>
              <w:lang w:eastAsia="zh-CN"/>
            </w:rPr>
            <w:t>十</w:t>
          </w:r>
          <w:r>
            <w:rPr>
              <w:rFonts w:hint="default" w:ascii="Times New Roman" w:hAnsi="Times New Roman" w:cs="Times New Roman"/>
              <w:szCs w:val="32"/>
              <w:lang w:eastAsia="zh-CN"/>
            </w:rPr>
            <w:t>、贯彻标准的要求和措施建议（包括组织措施、技术措施、过度办法、实施日期等）</w:t>
          </w:r>
          <w:r>
            <w:tab/>
          </w:r>
          <w:r>
            <w:fldChar w:fldCharType="begin"/>
          </w:r>
          <w:r>
            <w:instrText xml:space="preserve"> PAGEREF _Toc16471 \h </w:instrText>
          </w:r>
          <w:r>
            <w:fldChar w:fldCharType="separate"/>
          </w:r>
          <w:r>
            <w:t>21</w:t>
          </w:r>
          <w:r>
            <w:fldChar w:fldCharType="end"/>
          </w:r>
          <w:r>
            <w:rPr>
              <w:rFonts w:hint="default" w:ascii="Times New Roman" w:hAnsi="Times New Roman" w:cs="Times New Roman"/>
            </w:rPr>
            <w:fldChar w:fldCharType="end"/>
          </w:r>
        </w:p>
        <w:p>
          <w:pPr>
            <w:pStyle w:val="10"/>
            <w:tabs>
              <w:tab w:val="right" w:leader="dot" w:pos="8306"/>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_Toc26644 </w:instrText>
          </w:r>
          <w:r>
            <w:rPr>
              <w:rFonts w:hint="default" w:ascii="Times New Roman" w:hAnsi="Times New Roman" w:cs="Times New Roman"/>
            </w:rPr>
            <w:fldChar w:fldCharType="separate"/>
          </w:r>
          <w:r>
            <w:rPr>
              <w:rFonts w:hint="default" w:ascii="Times New Roman" w:hAnsi="Times New Roman" w:cs="Times New Roman"/>
              <w:lang w:eastAsia="zh-CN"/>
            </w:rPr>
            <w:t>十一</w:t>
          </w:r>
          <w:r>
            <w:rPr>
              <w:rFonts w:hint="default" w:ascii="Times New Roman" w:hAnsi="Times New Roman" w:cs="Times New Roman"/>
              <w:szCs w:val="32"/>
              <w:lang w:eastAsia="zh-CN"/>
            </w:rPr>
            <w:t>、其它应予说明的事项</w:t>
          </w:r>
          <w:r>
            <w:tab/>
          </w:r>
          <w:r>
            <w:fldChar w:fldCharType="begin"/>
          </w:r>
          <w:r>
            <w:instrText xml:space="preserve"> PAGEREF _Toc26644 \h </w:instrText>
          </w:r>
          <w:r>
            <w:fldChar w:fldCharType="separate"/>
          </w:r>
          <w:r>
            <w:t>21</w:t>
          </w:r>
          <w:r>
            <w:fldChar w:fldCharType="end"/>
          </w:r>
          <w:r>
            <w:rPr>
              <w:rFonts w:hint="default" w:ascii="Times New Roman" w:hAnsi="Times New Roman" w:cs="Times New Roman"/>
            </w:rPr>
            <w:fldChar w:fldCharType="end"/>
          </w:r>
        </w:p>
        <w:p>
          <w:pPr>
            <w:pageBreakBefore w:val="0"/>
            <w:kinsoku/>
            <w:wordWrap/>
            <w:overflowPunct/>
            <w:topLinePunct w:val="0"/>
            <w:autoSpaceDE/>
            <w:autoSpaceDN/>
            <w:bidi w:val="0"/>
            <w:adjustRightInd/>
            <w:snapToGrid/>
            <w:spacing w:line="520" w:lineRule="exact"/>
            <w:rPr>
              <w:rFonts w:hint="default" w:ascii="Times New Roman" w:hAnsi="Times New Roman" w:cs="Times New Roman"/>
            </w:rPr>
          </w:pPr>
          <w:r>
            <w:rPr>
              <w:rFonts w:hint="default" w:ascii="Times New Roman" w:hAnsi="Times New Roman" w:cs="Times New Roman"/>
            </w:rPr>
            <w:fldChar w:fldCharType="end"/>
          </w:r>
        </w:p>
      </w:sdtContent>
    </w:sdt>
    <w:p>
      <w:pPr>
        <w:pageBreakBefore w:val="0"/>
        <w:kinsoku/>
        <w:wordWrap/>
        <w:overflowPunct/>
        <w:topLinePunct w:val="0"/>
        <w:autoSpaceDE/>
        <w:autoSpaceDN/>
        <w:bidi w:val="0"/>
        <w:adjustRightInd/>
        <w:snapToGrid/>
        <w:spacing w:line="520" w:lineRule="exact"/>
        <w:rPr>
          <w:rFonts w:hint="default" w:ascii="Times New Roman" w:hAnsi="Times New Roman" w:cs="Times New Roman"/>
        </w:rPr>
        <w:sectPr>
          <w:pgSz w:w="11906" w:h="16838"/>
          <w:pgMar w:top="1440" w:right="1800" w:bottom="1440" w:left="1800" w:header="851" w:footer="992" w:gutter="0"/>
          <w:cols w:space="720" w:num="1"/>
          <w:docGrid w:type="lines" w:linePitch="312" w:charSpace="0"/>
        </w:sectPr>
      </w:pPr>
    </w:p>
    <w:p>
      <w:pPr>
        <w:pageBreakBefore w:val="0"/>
        <w:kinsoku/>
        <w:wordWrap/>
        <w:overflowPunct/>
        <w:topLinePunct w:val="0"/>
        <w:autoSpaceDE/>
        <w:autoSpaceDN/>
        <w:bidi w:val="0"/>
        <w:adjustRightInd/>
        <w:snapToGrid/>
        <w:spacing w:line="520" w:lineRule="exact"/>
        <w:jc w:val="left"/>
        <w:rPr>
          <w:rFonts w:hint="default" w:ascii="Times New Roman" w:hAnsi="Times New Roman" w:eastAsia="宋体" w:cs="Times New Roman"/>
          <w:color w:val="333333"/>
          <w:spacing w:val="5"/>
          <w:sz w:val="28"/>
          <w:szCs w:val="28"/>
          <w:shd w:val="clear" w:color="auto" w:fill="FFFFFF"/>
        </w:rPr>
      </w:pP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rPr>
      </w:pPr>
      <w:bookmarkStart w:id="2" w:name="_Toc14159"/>
      <w:bookmarkStart w:id="3" w:name="_Toc12836"/>
      <w:r>
        <w:rPr>
          <w:rFonts w:hint="default" w:ascii="Times New Roman" w:hAnsi="Times New Roman" w:cs="Times New Roman"/>
          <w:lang w:eastAsia="zh-CN"/>
        </w:rPr>
        <w:t>一、工作简况</w:t>
      </w:r>
      <w:bookmarkEnd w:id="2"/>
      <w:bookmarkEnd w:id="3"/>
    </w:p>
    <w:p>
      <w:pPr>
        <w:pStyle w:val="3"/>
        <w:pageBreakBefore w:val="0"/>
        <w:kinsoku/>
        <w:wordWrap/>
        <w:overflowPunct/>
        <w:topLinePunct w:val="0"/>
        <w:autoSpaceDE/>
        <w:autoSpaceDN/>
        <w:bidi w:val="0"/>
        <w:adjustRightInd/>
        <w:snapToGrid/>
        <w:spacing w:line="520" w:lineRule="exact"/>
        <w:rPr>
          <w:rFonts w:hint="default" w:ascii="Times New Roman" w:hAnsi="Times New Roman" w:eastAsia="黑体" w:cs="Times New Roman"/>
          <w:lang w:eastAsia="zh-CN"/>
        </w:rPr>
      </w:pPr>
      <w:bookmarkStart w:id="4" w:name="_Toc30457"/>
      <w:bookmarkStart w:id="5" w:name="_Toc1691"/>
      <w:r>
        <w:rPr>
          <w:rFonts w:hint="default" w:ascii="Times New Roman" w:hAnsi="Times New Roman" w:eastAsia="黑体" w:cs="Times New Roman"/>
          <w:lang w:val="en-US" w:eastAsia="zh-CN"/>
        </w:rPr>
        <w:t>1.</w:t>
      </w:r>
      <w:r>
        <w:rPr>
          <w:rFonts w:hint="default" w:ascii="Times New Roman" w:hAnsi="Times New Roman" w:eastAsia="黑体" w:cs="Times New Roman"/>
          <w:lang w:eastAsia="zh-CN"/>
        </w:rPr>
        <w:t>任务来源</w:t>
      </w:r>
      <w:bookmarkEnd w:id="4"/>
      <w:bookmarkEnd w:id="5"/>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val="en-US" w:eastAsia="zh-CN"/>
        </w:rPr>
      </w:pPr>
      <w:bookmarkStart w:id="6" w:name="_Toc16795"/>
      <w:bookmarkStart w:id="7" w:name="_Toc20067"/>
      <w:r>
        <w:rPr>
          <w:rFonts w:hint="default" w:ascii="Times New Roman" w:hAnsi="Times New Roman" w:eastAsia="仿宋" w:cs="Times New Roman"/>
          <w:lang w:val="en-US" w:eastAsia="zh-CN"/>
        </w:rPr>
        <w:t>1.1项目背景与意义</w:t>
      </w:r>
      <w:bookmarkEnd w:id="6"/>
      <w:bookmarkEnd w:id="7"/>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rPr>
        <w:t>近年来，温室气体排放所引发的气候变化问题日益成为全球关注的</w:t>
      </w:r>
      <w:r>
        <w:rPr>
          <w:rFonts w:hint="default" w:ascii="Times New Roman" w:hAnsi="Times New Roman" w:eastAsia="宋体" w:cs="Times New Roman"/>
          <w:color w:val="333333"/>
          <w:spacing w:val="5"/>
          <w:sz w:val="24"/>
          <w:szCs w:val="24"/>
          <w:shd w:val="clear" w:color="auto" w:fill="FFFFFF"/>
          <w:lang w:eastAsia="zh-CN"/>
        </w:rPr>
        <w:t>焦点。随着我国经济建设的升级发展，特别是城市化进程的加快，资源能源消耗加剧，环境污染和生态破坏日益严重。2020年9月，习近平总书记于第七十五届联合国大会上宣布了我国 2030 年前碳达峰目标和 2060 年前碳中和愿景，</w:t>
      </w:r>
      <w:r>
        <w:rPr>
          <w:rFonts w:hint="default" w:ascii="Times New Roman" w:hAnsi="Times New Roman" w:eastAsia="宋体" w:cs="Times New Roman"/>
          <w:color w:val="333333"/>
          <w:spacing w:val="5"/>
          <w:sz w:val="24"/>
          <w:szCs w:val="24"/>
          <w:shd w:val="clear" w:color="auto" w:fill="FFFFFF"/>
          <w:lang w:val="en-US" w:eastAsia="zh-CN"/>
        </w:rPr>
        <w:t>随着</w:t>
      </w:r>
      <w:r>
        <w:rPr>
          <w:rFonts w:hint="default" w:ascii="Times New Roman" w:hAnsi="Times New Roman" w:eastAsia="宋体" w:cs="Times New Roman"/>
          <w:color w:val="333333"/>
          <w:spacing w:val="5"/>
          <w:sz w:val="24"/>
          <w:szCs w:val="24"/>
          <w:shd w:val="clear" w:color="auto" w:fill="FFFFFF"/>
          <w:lang w:eastAsia="zh-CN"/>
        </w:rPr>
        <w:t>国家“双碳”目标的提出，绿色低碳已成为当前与未来</w:t>
      </w:r>
      <w:r>
        <w:rPr>
          <w:rFonts w:hint="default" w:ascii="Times New Roman" w:hAnsi="Times New Roman" w:eastAsia="宋体" w:cs="Times New Roman"/>
          <w:color w:val="333333"/>
          <w:spacing w:val="5"/>
          <w:sz w:val="24"/>
          <w:szCs w:val="24"/>
          <w:shd w:val="clear" w:color="auto" w:fill="FFFFFF"/>
          <w:lang w:val="en-US" w:eastAsia="zh-CN"/>
        </w:rPr>
        <w:t>我</w:t>
      </w:r>
      <w:r>
        <w:rPr>
          <w:rFonts w:hint="default" w:ascii="Times New Roman" w:hAnsi="Times New Roman" w:eastAsia="宋体" w:cs="Times New Roman"/>
          <w:color w:val="333333"/>
          <w:spacing w:val="5"/>
          <w:sz w:val="24"/>
          <w:szCs w:val="24"/>
          <w:shd w:val="clear" w:color="auto" w:fill="FFFFFF"/>
          <w:lang w:eastAsia="zh-CN"/>
        </w:rPr>
        <w:t>国发展的</w:t>
      </w:r>
      <w:r>
        <w:rPr>
          <w:rFonts w:hint="default" w:ascii="Times New Roman" w:hAnsi="Times New Roman" w:eastAsia="宋体" w:cs="Times New Roman"/>
          <w:color w:val="333333"/>
          <w:spacing w:val="5"/>
          <w:sz w:val="24"/>
          <w:szCs w:val="24"/>
          <w:shd w:val="clear" w:color="auto" w:fill="FFFFFF"/>
          <w:lang w:val="en-US" w:eastAsia="zh-CN"/>
        </w:rPr>
        <w:t>关键</w:t>
      </w:r>
      <w:r>
        <w:rPr>
          <w:rFonts w:hint="default" w:ascii="Times New Roman" w:hAnsi="Times New Roman" w:eastAsia="宋体" w:cs="Times New Roman"/>
          <w:color w:val="333333"/>
          <w:spacing w:val="5"/>
          <w:sz w:val="24"/>
          <w:szCs w:val="24"/>
          <w:shd w:val="clear" w:color="auto" w:fill="FFFFFF"/>
          <w:lang w:eastAsia="zh-CN"/>
        </w:rPr>
        <w:t>内容</w:t>
      </w:r>
      <w:r>
        <w:rPr>
          <w:rFonts w:hint="eastAsia" w:cs="Times New Roman"/>
          <w:color w:val="333333"/>
          <w:spacing w:val="5"/>
          <w:sz w:val="24"/>
          <w:szCs w:val="24"/>
          <w:shd w:val="clear" w:color="auto" w:fill="FFFFFF"/>
          <w:lang w:val="en-US" w:eastAsia="zh-CN"/>
        </w:rPr>
        <w:t>和焦点</w:t>
      </w:r>
      <w:r>
        <w:rPr>
          <w:rFonts w:hint="default" w:ascii="Times New Roman" w:hAnsi="Times New Roman" w:eastAsia="宋体"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习近平总书记在党的二十大报告中提出“</w:t>
      </w:r>
      <w:r>
        <w:rPr>
          <w:rFonts w:hint="default" w:ascii="Times New Roman" w:hAnsi="Times New Roman" w:eastAsia="宋体" w:cs="Times New Roman"/>
          <w:color w:val="333333"/>
          <w:spacing w:val="5"/>
          <w:sz w:val="24"/>
          <w:szCs w:val="24"/>
          <w:shd w:val="clear" w:color="auto" w:fill="FFFFFF"/>
          <w:lang w:eastAsia="zh-CN"/>
        </w:rPr>
        <w:t>协同推进降碳、减污、扩绿、增长，推进生态优先、节约集约、绿色低碳发展</w:t>
      </w:r>
      <w:r>
        <w:rPr>
          <w:rFonts w:hint="eastAsia"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的发展目标，指出要“发展绿色低碳产业”，“推动形成绿色低碳的生产方式和生活方式”。“碳达峰”、“碳中和”写入政府工作报告后，我国不断采取措施控制碳排放、实现绿色发展，</w:t>
      </w:r>
      <w:r>
        <w:rPr>
          <w:rFonts w:hint="default" w:ascii="Times New Roman" w:hAnsi="Times New Roman" w:eastAsia="宋体" w:cs="Times New Roman"/>
          <w:color w:val="333333"/>
          <w:spacing w:val="5"/>
          <w:sz w:val="24"/>
          <w:szCs w:val="24"/>
          <w:shd w:val="clear" w:color="auto" w:fill="FFFFFF"/>
          <w:lang w:eastAsia="zh-CN"/>
        </w:rPr>
        <w:t>并出台一系列政策逐步构建起碳达峰碳中和“1+N”政策体系，包括《中共中央 国务院 关于完整准确全面贯彻新发展理念做好碳达峰碳中和工作的意见》《2030 年前碳达峰行动方案》《“十四五”工业绿色发展规划》</w:t>
      </w:r>
      <w:r>
        <w:rPr>
          <w:rFonts w:hint="eastAsia" w:cs="Times New Roman"/>
          <w:color w:val="333333"/>
          <w:spacing w:val="5"/>
          <w:sz w:val="24"/>
          <w:szCs w:val="24"/>
          <w:shd w:val="clear" w:color="auto" w:fill="FFFFFF"/>
          <w:lang w:eastAsia="zh-CN"/>
        </w:rPr>
        <w:t>《“十四五”原材料工业发展规划》《</w:t>
      </w:r>
      <w:r>
        <w:rPr>
          <w:rFonts w:hint="eastAsia" w:cs="Times New Roman"/>
          <w:color w:val="333333"/>
          <w:spacing w:val="5"/>
          <w:sz w:val="24"/>
          <w:szCs w:val="24"/>
          <w:shd w:val="clear" w:color="auto" w:fill="FFFFFF"/>
          <w:lang w:val="en-US" w:eastAsia="zh-CN"/>
        </w:rPr>
        <w:t>建材行业</w:t>
      </w:r>
      <w:r>
        <w:rPr>
          <w:rFonts w:hint="eastAsia" w:cs="Times New Roman"/>
          <w:color w:val="333333"/>
          <w:spacing w:val="5"/>
          <w:sz w:val="24"/>
          <w:szCs w:val="24"/>
          <w:shd w:val="clear" w:color="auto" w:fill="FFFFFF"/>
          <w:lang w:eastAsia="zh-CN"/>
        </w:rPr>
        <w:t>碳达峰实施方案》</w:t>
      </w:r>
      <w:r>
        <w:rPr>
          <w:rFonts w:hint="default" w:ascii="Times New Roman" w:hAnsi="Times New Roman" w:eastAsia="宋体" w:cs="Times New Roman"/>
          <w:color w:val="333333"/>
          <w:spacing w:val="5"/>
          <w:sz w:val="24"/>
          <w:szCs w:val="24"/>
          <w:shd w:val="clear" w:color="auto" w:fill="FFFFFF"/>
          <w:lang w:eastAsia="zh-CN"/>
        </w:rPr>
        <w:t>等文件，分别提出了“完善绿色低碳技术和产品检测、评估、认证体系”、“推广绿色低碳产品”、“加大绿色低碳产品供给”</w:t>
      </w:r>
      <w:r>
        <w:rPr>
          <w:rFonts w:hint="eastAsia" w:cs="Times New Roman"/>
          <w:color w:val="333333"/>
          <w:spacing w:val="5"/>
          <w:sz w:val="24"/>
          <w:szCs w:val="24"/>
          <w:shd w:val="clear" w:color="auto" w:fill="FFFFFF"/>
          <w:lang w:eastAsia="zh-CN"/>
        </w:rPr>
        <w:t>、“</w:t>
      </w:r>
      <w:r>
        <w:rPr>
          <w:rFonts w:hint="default" w:ascii="Times New Roman" w:hAnsi="Times New Roman" w:eastAsia="宋体" w:cs="Times New Roman"/>
          <w:color w:val="333333"/>
          <w:spacing w:val="5"/>
          <w:sz w:val="24"/>
          <w:szCs w:val="24"/>
          <w:shd w:val="clear" w:color="auto" w:fill="FFFFFF"/>
          <w:lang w:eastAsia="zh-CN"/>
        </w:rPr>
        <w:t>构建绿色低碳产品开发推广机制...发布绿色低碳产品名单</w:t>
      </w:r>
      <w:r>
        <w:rPr>
          <w:rFonts w:hint="eastAsia" w:cs="Times New Roman"/>
          <w:color w:val="333333"/>
          <w:spacing w:val="5"/>
          <w:sz w:val="24"/>
          <w:szCs w:val="24"/>
          <w:shd w:val="clear" w:color="auto" w:fill="FFFFFF"/>
          <w:lang w:eastAsia="zh-CN"/>
        </w:rPr>
        <w:t>”、“将水泥、玻璃、陶瓷、石灰、墙体材料、木竹材等产品碳排放指标纳入绿色建材标准体系，加快推进绿色建材产品认证，扩大绿色建材产品供给”</w:t>
      </w:r>
      <w:r>
        <w:rPr>
          <w:rFonts w:hint="default" w:ascii="Times New Roman" w:hAnsi="Times New Roman" w:eastAsia="宋体" w:cs="Times New Roman"/>
          <w:color w:val="333333"/>
          <w:spacing w:val="5"/>
          <w:sz w:val="24"/>
          <w:szCs w:val="24"/>
          <w:shd w:val="clear" w:color="auto" w:fill="FFFFFF"/>
          <w:lang w:eastAsia="zh-CN"/>
        </w:rPr>
        <w:t>等绿色低碳的发展目标。</w:t>
      </w:r>
      <w:r>
        <w:rPr>
          <w:rFonts w:hint="eastAsia" w:cs="Times New Roman"/>
          <w:color w:val="333333"/>
          <w:spacing w:val="5"/>
          <w:sz w:val="24"/>
          <w:szCs w:val="24"/>
          <w:shd w:val="clear" w:color="auto" w:fill="FFFFFF"/>
          <w:lang w:val="en-US" w:eastAsia="zh-CN"/>
        </w:rPr>
        <w:t>近日</w:t>
      </w:r>
      <w:r>
        <w:rPr>
          <w:rFonts w:hint="default" w:ascii="Times New Roman" w:hAnsi="Times New Roman" w:eastAsia="宋体" w:cs="Times New Roman"/>
          <w:color w:val="333333"/>
          <w:spacing w:val="5"/>
          <w:sz w:val="24"/>
          <w:szCs w:val="24"/>
          <w:shd w:val="clear" w:color="auto" w:fill="FFFFFF"/>
          <w:lang w:eastAsia="zh-CN"/>
        </w:rPr>
        <w:t>国家发展改革委、市场监管总局</w:t>
      </w:r>
      <w:r>
        <w:rPr>
          <w:rFonts w:hint="default" w:ascii="Times New Roman" w:hAnsi="Times New Roman" w:eastAsia="宋体" w:cs="Times New Roman"/>
          <w:color w:val="333333"/>
          <w:spacing w:val="5"/>
          <w:sz w:val="24"/>
          <w:szCs w:val="24"/>
          <w:shd w:val="clear" w:color="auto" w:fill="FFFFFF"/>
          <w:lang w:val="en-US" w:eastAsia="zh-CN"/>
        </w:rPr>
        <w:t>联合印发</w:t>
      </w:r>
      <w:r>
        <w:rPr>
          <w:rFonts w:hint="eastAsia"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lang w:eastAsia="zh-CN"/>
        </w:rPr>
        <w:t>《关于进一步加强节能标准更新升级和应用实施的通知》</w:t>
      </w:r>
      <w:r>
        <w:rPr>
          <w:rFonts w:hint="default" w:ascii="Times New Roman" w:hAnsi="Times New Roman" w:eastAsia="宋体" w:cs="Times New Roman"/>
          <w:color w:val="333333"/>
          <w:spacing w:val="5"/>
          <w:sz w:val="24"/>
          <w:szCs w:val="24"/>
          <w:shd w:val="clear" w:color="auto" w:fill="FFFFFF"/>
          <w:lang w:val="en-US" w:eastAsia="zh-CN"/>
        </w:rPr>
        <w:t>中</w:t>
      </w:r>
      <w:r>
        <w:rPr>
          <w:rFonts w:hint="eastAsia" w:cs="Times New Roman"/>
          <w:color w:val="333333"/>
          <w:spacing w:val="5"/>
          <w:sz w:val="24"/>
          <w:szCs w:val="24"/>
          <w:shd w:val="clear" w:color="auto" w:fill="FFFFFF"/>
          <w:lang w:val="en-US" w:eastAsia="zh-CN"/>
        </w:rPr>
        <w:t>也</w:t>
      </w:r>
      <w:r>
        <w:rPr>
          <w:rFonts w:hint="default" w:ascii="Times New Roman" w:hAnsi="Times New Roman" w:eastAsia="宋体" w:cs="Times New Roman"/>
          <w:color w:val="333333"/>
          <w:spacing w:val="5"/>
          <w:sz w:val="24"/>
          <w:szCs w:val="24"/>
          <w:shd w:val="clear" w:color="auto" w:fill="FFFFFF"/>
          <w:lang w:val="en-US" w:eastAsia="zh-CN"/>
        </w:rPr>
        <w:t>提出“进一步扩大能效标识和节能低碳等绿色产品认证实施范围，充分发挥能效标识和节能低碳产品认证在政府采购、引导绿色消费中的支撑作用”</w:t>
      </w:r>
      <w:r>
        <w:rPr>
          <w:rFonts w:hint="eastAsia" w:cs="Times New Roman"/>
          <w:color w:val="333333"/>
          <w:spacing w:val="5"/>
          <w:sz w:val="24"/>
          <w:szCs w:val="24"/>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rPr>
      </w:pPr>
      <w:r>
        <w:rPr>
          <w:rFonts w:hint="default" w:ascii="Times New Roman" w:hAnsi="Times New Roman" w:eastAsia="宋体" w:cs="Times New Roman"/>
          <w:color w:val="333333"/>
          <w:spacing w:val="5"/>
          <w:sz w:val="24"/>
          <w:szCs w:val="24"/>
          <w:shd w:val="clear" w:color="auto" w:fill="FFFFFF"/>
        </w:rPr>
        <w:t>建材行业是支撑工农业生产、基础设施建设等国民经济发展的重要基础原材料产业</w:t>
      </w:r>
      <w:r>
        <w:rPr>
          <w:rFonts w:hint="default" w:ascii="Times New Roman" w:hAnsi="Times New Roman" w:eastAsia="宋体" w:cs="Times New Roman"/>
          <w:color w:val="333333"/>
          <w:spacing w:val="5"/>
          <w:sz w:val="24"/>
          <w:szCs w:val="24"/>
          <w:shd w:val="clear" w:color="auto" w:fill="FFFFFF"/>
          <w:lang w:eastAsia="zh-CN"/>
        </w:rPr>
        <w:t>，与</w:t>
      </w:r>
      <w:r>
        <w:rPr>
          <w:rFonts w:hint="default" w:ascii="Times New Roman" w:hAnsi="Times New Roman" w:eastAsia="宋体" w:cs="Times New Roman"/>
          <w:color w:val="333333"/>
          <w:spacing w:val="5"/>
          <w:sz w:val="24"/>
          <w:szCs w:val="24"/>
          <w:shd w:val="clear" w:color="auto" w:fill="FFFFFF"/>
          <w:lang w:val="en-US" w:eastAsia="zh-CN"/>
        </w:rPr>
        <w:t>建筑、</w:t>
      </w:r>
      <w:r>
        <w:rPr>
          <w:rFonts w:hint="default" w:ascii="Times New Roman" w:hAnsi="Times New Roman" w:eastAsia="宋体" w:cs="Times New Roman"/>
          <w:color w:val="333333"/>
          <w:spacing w:val="5"/>
          <w:sz w:val="24"/>
          <w:szCs w:val="24"/>
          <w:shd w:val="clear" w:color="auto" w:fill="FFFFFF"/>
          <w:lang w:eastAsia="zh-CN"/>
        </w:rPr>
        <w:t>国防军工、航天航空</w:t>
      </w:r>
      <w:r>
        <w:rPr>
          <w:rFonts w:hint="default" w:ascii="Times New Roman" w:hAnsi="Times New Roman" w:eastAsia="宋体" w:cs="Times New Roman"/>
          <w:color w:val="333333"/>
          <w:spacing w:val="5"/>
          <w:sz w:val="24"/>
          <w:szCs w:val="24"/>
          <w:shd w:val="clear" w:color="auto" w:fill="FFFFFF"/>
          <w:lang w:val="en-US" w:eastAsia="zh-CN"/>
        </w:rPr>
        <w:t>等</w:t>
      </w:r>
      <w:r>
        <w:rPr>
          <w:rFonts w:hint="default" w:ascii="Times New Roman" w:hAnsi="Times New Roman" w:eastAsia="宋体" w:cs="Times New Roman"/>
          <w:color w:val="333333"/>
          <w:spacing w:val="5"/>
          <w:sz w:val="24"/>
          <w:szCs w:val="24"/>
          <w:shd w:val="clear" w:color="auto" w:fill="FFFFFF"/>
          <w:lang w:eastAsia="zh-CN"/>
        </w:rPr>
        <w:t>其他产业相互融合。我国是世界最大的建材生产国和消费国，水泥、平板玻璃等主要建材产品产量跃居世界首位。由于产业规模大、窑炉工艺特点等原因，建材行业</w:t>
      </w:r>
      <w:r>
        <w:rPr>
          <w:rFonts w:hint="default" w:ascii="Times New Roman" w:hAnsi="Times New Roman" w:cs="Times New Roman"/>
          <w:color w:val="333333"/>
          <w:spacing w:val="5"/>
          <w:sz w:val="24"/>
          <w:szCs w:val="24"/>
          <w:shd w:val="clear" w:color="auto" w:fill="FFFFFF"/>
          <w:lang w:val="en-US" w:eastAsia="zh-CN"/>
        </w:rPr>
        <w:t>成为</w:t>
      </w:r>
      <w:r>
        <w:rPr>
          <w:rFonts w:hint="default" w:ascii="Times New Roman" w:hAnsi="Times New Roman" w:eastAsia="宋体" w:cs="Times New Roman"/>
          <w:color w:val="333333"/>
          <w:spacing w:val="5"/>
          <w:sz w:val="24"/>
          <w:szCs w:val="24"/>
          <w:shd w:val="clear" w:color="auto" w:fill="FFFFFF"/>
          <w:lang w:eastAsia="zh-CN"/>
        </w:rPr>
        <w:t>工业能源消耗和碳排放的重点领域，是我国碳减排任务最重的行业之一。</w:t>
      </w:r>
      <w:r>
        <w:rPr>
          <w:rFonts w:hint="default" w:ascii="Times New Roman" w:hAnsi="Times New Roman" w:eastAsia="宋体" w:cs="Times New Roman"/>
          <w:color w:val="333333"/>
          <w:spacing w:val="5"/>
          <w:sz w:val="24"/>
          <w:szCs w:val="24"/>
          <w:shd w:val="clear" w:color="auto" w:fill="FFFFFF"/>
        </w:rPr>
        <w:t>经核算，我国建筑材料工业二氧化碳排放14.8亿吨，占全国碳排放总量的14.9%，其能源消费位列工业行业第三，是我国碳减排任务最重的行业之一。因此无论是从外部环境瓶颈制约的角度，还是从行业内部加快工业现代化进程和转型升级步伐的要求来看，加快推进以节能减排、绿色低碳发展为核心的生态文明建设已成为建材行业不可推卸的历史使命，是推进建材工业转型升级、高质量发展的迫切需要。</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strike w:val="0"/>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rPr>
        <w:t>绿色低碳不仅指具有较好的资源能源节约化、污染排放无害化、废弃物综合利用化、</w:t>
      </w:r>
      <w:r>
        <w:rPr>
          <w:rFonts w:hint="default" w:ascii="Times New Roman" w:hAnsi="Times New Roman" w:eastAsia="宋体" w:cs="Times New Roman"/>
          <w:color w:val="333333"/>
          <w:spacing w:val="5"/>
          <w:sz w:val="24"/>
          <w:szCs w:val="24"/>
          <w:shd w:val="clear" w:color="auto" w:fill="FFFFFF"/>
          <w:lang w:val="en-US" w:eastAsia="zh-CN"/>
        </w:rPr>
        <w:t>产品</w:t>
      </w:r>
      <w:r>
        <w:rPr>
          <w:rFonts w:hint="default" w:ascii="Times New Roman" w:hAnsi="Times New Roman" w:eastAsia="宋体" w:cs="Times New Roman"/>
          <w:color w:val="333333"/>
          <w:spacing w:val="5"/>
          <w:sz w:val="24"/>
          <w:szCs w:val="24"/>
          <w:shd w:val="clear" w:color="auto" w:fill="FFFFFF"/>
        </w:rPr>
        <w:t>质量和安全性</w:t>
      </w:r>
      <w:r>
        <w:rPr>
          <w:rFonts w:hint="default" w:ascii="Times New Roman" w:hAnsi="Times New Roman" w:cs="Times New Roman"/>
          <w:color w:val="333333"/>
          <w:spacing w:val="5"/>
          <w:sz w:val="24"/>
          <w:szCs w:val="24"/>
          <w:shd w:val="clear" w:color="auto" w:fill="FFFFFF"/>
          <w:lang w:val="en-US" w:eastAsia="zh-CN"/>
        </w:rPr>
        <w:t>高，</w:t>
      </w:r>
      <w:r>
        <w:rPr>
          <w:rFonts w:hint="default" w:ascii="Times New Roman" w:hAnsi="Times New Roman" w:eastAsia="宋体" w:cs="Times New Roman"/>
          <w:color w:val="333333"/>
          <w:spacing w:val="5"/>
          <w:sz w:val="24"/>
          <w:szCs w:val="24"/>
          <w:shd w:val="clear" w:color="auto" w:fill="FFFFFF"/>
        </w:rPr>
        <w:t>还意味着具有低碳</w:t>
      </w:r>
      <w:r>
        <w:rPr>
          <w:rFonts w:hint="default" w:ascii="Times New Roman" w:hAnsi="Times New Roman"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rPr>
        <w:t>环境属性</w:t>
      </w: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eastAsia="宋体" w:cs="Times New Roman"/>
          <w:color w:val="333333"/>
          <w:spacing w:val="5"/>
          <w:sz w:val="24"/>
          <w:szCs w:val="24"/>
          <w:shd w:val="clear" w:color="auto" w:fill="FFFFFF"/>
          <w:lang w:eastAsia="zh-CN"/>
        </w:rPr>
        <w:t>为积极落实推广绿色低碳建材的要求，满足市场上下游供应需要，加大绿色低碳建材产品供给，加快推动行业绿色低碳、安全高质量发展，建材行业需要统一低碳产品</w:t>
      </w:r>
      <w:r>
        <w:rPr>
          <w:rFonts w:hint="eastAsia" w:cs="Times New Roman"/>
          <w:color w:val="333333"/>
          <w:spacing w:val="5"/>
          <w:sz w:val="24"/>
          <w:szCs w:val="24"/>
          <w:shd w:val="clear" w:color="auto" w:fill="FFFFFF"/>
          <w:lang w:val="en-US" w:eastAsia="zh-CN"/>
        </w:rPr>
        <w:t>评估</w:t>
      </w:r>
      <w:r>
        <w:rPr>
          <w:rFonts w:hint="default" w:ascii="Times New Roman" w:hAnsi="Times New Roman" w:eastAsia="宋体" w:cs="Times New Roman"/>
          <w:color w:val="333333"/>
          <w:spacing w:val="5"/>
          <w:sz w:val="24"/>
          <w:szCs w:val="24"/>
          <w:shd w:val="clear" w:color="auto" w:fill="FFFFFF"/>
          <w:lang w:eastAsia="zh-CN"/>
        </w:rPr>
        <w:t>的</w:t>
      </w:r>
      <w:r>
        <w:rPr>
          <w:rFonts w:hint="eastAsia" w:cs="Times New Roman"/>
          <w:color w:val="333333"/>
          <w:spacing w:val="5"/>
          <w:sz w:val="24"/>
          <w:szCs w:val="24"/>
          <w:shd w:val="clear" w:color="auto" w:fill="FFFFFF"/>
          <w:lang w:val="en-US" w:eastAsia="zh-CN"/>
        </w:rPr>
        <w:t>方法</w:t>
      </w:r>
      <w:r>
        <w:rPr>
          <w:rFonts w:hint="default" w:ascii="Times New Roman" w:hAnsi="Times New Roman" w:eastAsia="宋体" w:cs="Times New Roman"/>
          <w:color w:val="333333"/>
          <w:spacing w:val="5"/>
          <w:sz w:val="24"/>
          <w:szCs w:val="24"/>
          <w:shd w:val="clear" w:color="auto" w:fill="FFFFFF"/>
          <w:lang w:eastAsia="zh-CN"/>
        </w:rPr>
        <w:t>，明确</w:t>
      </w:r>
      <w:r>
        <w:rPr>
          <w:rFonts w:hint="eastAsia" w:cs="Times New Roman"/>
          <w:color w:val="333333"/>
          <w:spacing w:val="5"/>
          <w:sz w:val="24"/>
          <w:szCs w:val="24"/>
          <w:shd w:val="clear" w:color="auto" w:fill="FFFFFF"/>
          <w:lang w:val="en-US" w:eastAsia="zh-CN"/>
        </w:rPr>
        <w:t>产品减碳量</w:t>
      </w:r>
      <w:r>
        <w:rPr>
          <w:rFonts w:hint="default" w:ascii="Times New Roman" w:hAnsi="Times New Roman" w:eastAsia="宋体" w:cs="Times New Roman"/>
          <w:color w:val="333333"/>
          <w:spacing w:val="5"/>
          <w:sz w:val="24"/>
          <w:szCs w:val="24"/>
          <w:shd w:val="clear" w:color="auto" w:fill="FFFFFF"/>
          <w:lang w:eastAsia="zh-CN"/>
        </w:rPr>
        <w:t>评价</w:t>
      </w:r>
      <w:r>
        <w:rPr>
          <w:rFonts w:hint="eastAsia" w:cs="Times New Roman"/>
          <w:color w:val="333333"/>
          <w:spacing w:val="5"/>
          <w:sz w:val="24"/>
          <w:szCs w:val="24"/>
          <w:shd w:val="clear" w:color="auto" w:fill="FFFFFF"/>
          <w:lang w:val="en-US" w:eastAsia="zh-CN"/>
        </w:rPr>
        <w:t>方法</w:t>
      </w:r>
      <w:r>
        <w:rPr>
          <w:rFonts w:hint="default" w:ascii="Times New Roman" w:hAnsi="Times New Roman" w:eastAsia="宋体" w:cs="Times New Roman"/>
          <w:color w:val="333333"/>
          <w:spacing w:val="5"/>
          <w:sz w:val="24"/>
          <w:szCs w:val="24"/>
          <w:shd w:val="clear" w:color="auto" w:fill="FFFFFF"/>
          <w:lang w:eastAsia="zh-CN"/>
        </w:rPr>
        <w:t>。</w:t>
      </w:r>
      <w:r>
        <w:rPr>
          <w:rFonts w:hint="default" w:ascii="Times New Roman" w:hAnsi="Times New Roman" w:eastAsia="宋体" w:cs="Times New Roman"/>
          <w:strike w:val="0"/>
          <w:color w:val="333333"/>
          <w:spacing w:val="5"/>
          <w:sz w:val="24"/>
          <w:szCs w:val="24"/>
          <w:shd w:val="clear" w:color="auto" w:fill="FFFFFF"/>
          <w:lang w:eastAsia="zh-CN"/>
        </w:rPr>
        <w:t>目前行业已有绿色</w:t>
      </w:r>
      <w:r>
        <w:rPr>
          <w:rFonts w:hint="default" w:ascii="Times New Roman" w:hAnsi="Times New Roman" w:eastAsia="宋体" w:cs="Times New Roman"/>
          <w:strike w:val="0"/>
          <w:color w:val="333333"/>
          <w:spacing w:val="5"/>
          <w:sz w:val="24"/>
          <w:szCs w:val="24"/>
          <w:shd w:val="clear" w:color="auto" w:fill="FFFFFF"/>
          <w:lang w:val="en-US" w:eastAsia="zh-CN"/>
        </w:rPr>
        <w:t>产品评价、绿色建材评价</w:t>
      </w:r>
      <w:r>
        <w:rPr>
          <w:rFonts w:hint="default" w:ascii="Times New Roman" w:hAnsi="Times New Roman" w:eastAsia="宋体" w:cs="Times New Roman"/>
          <w:strike w:val="0"/>
          <w:color w:val="333333"/>
          <w:spacing w:val="5"/>
          <w:sz w:val="24"/>
          <w:szCs w:val="24"/>
          <w:shd w:val="clear" w:color="auto" w:fill="FFFFFF"/>
          <w:lang w:eastAsia="zh-CN"/>
        </w:rPr>
        <w:t>、生态</w:t>
      </w:r>
      <w:r>
        <w:rPr>
          <w:rFonts w:hint="default" w:ascii="Times New Roman" w:hAnsi="Times New Roman" w:eastAsia="宋体" w:cs="Times New Roman"/>
          <w:strike w:val="0"/>
          <w:color w:val="333333"/>
          <w:spacing w:val="5"/>
          <w:sz w:val="24"/>
          <w:szCs w:val="24"/>
          <w:shd w:val="clear" w:color="auto" w:fill="FFFFFF"/>
          <w:lang w:val="en-US" w:eastAsia="zh-CN"/>
        </w:rPr>
        <w:t>设计产品</w:t>
      </w:r>
      <w:r>
        <w:rPr>
          <w:rFonts w:hint="default" w:ascii="Times New Roman" w:hAnsi="Times New Roman" w:eastAsia="宋体" w:cs="Times New Roman"/>
          <w:strike w:val="0"/>
          <w:color w:val="333333"/>
          <w:spacing w:val="5"/>
          <w:sz w:val="24"/>
          <w:szCs w:val="24"/>
          <w:shd w:val="clear" w:color="auto" w:fill="FFFFFF"/>
          <w:lang w:eastAsia="zh-CN"/>
        </w:rPr>
        <w:t>评价</w:t>
      </w:r>
      <w:r>
        <w:rPr>
          <w:rFonts w:hint="default" w:ascii="Times New Roman" w:hAnsi="Times New Roman" w:eastAsia="宋体" w:cs="Times New Roman"/>
          <w:strike w:val="0"/>
          <w:color w:val="333333"/>
          <w:spacing w:val="5"/>
          <w:sz w:val="24"/>
          <w:szCs w:val="24"/>
          <w:shd w:val="clear" w:color="auto" w:fill="FFFFFF"/>
          <w:lang w:val="en-US" w:eastAsia="zh-CN"/>
        </w:rPr>
        <w:t>等</w:t>
      </w:r>
      <w:r>
        <w:rPr>
          <w:rFonts w:hint="eastAsia" w:cs="Times New Roman"/>
          <w:strike w:val="0"/>
          <w:color w:val="333333"/>
          <w:spacing w:val="5"/>
          <w:sz w:val="24"/>
          <w:szCs w:val="24"/>
          <w:shd w:val="clear" w:color="auto" w:fill="FFFFFF"/>
          <w:lang w:val="en-US" w:eastAsia="zh-CN"/>
        </w:rPr>
        <w:t>评估</w:t>
      </w:r>
      <w:r>
        <w:rPr>
          <w:rFonts w:hint="default" w:ascii="Times New Roman" w:hAnsi="Times New Roman" w:eastAsia="宋体" w:cs="Times New Roman"/>
          <w:strike w:val="0"/>
          <w:color w:val="333333"/>
          <w:spacing w:val="5"/>
          <w:sz w:val="24"/>
          <w:szCs w:val="24"/>
          <w:shd w:val="clear" w:color="auto" w:fill="FFFFFF"/>
          <w:lang w:eastAsia="zh-CN"/>
        </w:rPr>
        <w:t>方法，但这些</w:t>
      </w:r>
      <w:r>
        <w:rPr>
          <w:rFonts w:hint="default" w:ascii="Times New Roman" w:hAnsi="Times New Roman" w:eastAsia="宋体" w:cs="Times New Roman"/>
          <w:strike w:val="0"/>
          <w:color w:val="333333"/>
          <w:spacing w:val="5"/>
          <w:sz w:val="24"/>
          <w:szCs w:val="24"/>
          <w:shd w:val="clear" w:color="auto" w:fill="FFFFFF"/>
          <w:lang w:val="en-US" w:eastAsia="zh-CN"/>
        </w:rPr>
        <w:t>现</w:t>
      </w:r>
      <w:r>
        <w:rPr>
          <w:rFonts w:hint="default" w:ascii="Times New Roman" w:hAnsi="Times New Roman" w:eastAsia="宋体" w:cs="Times New Roman"/>
          <w:strike w:val="0"/>
          <w:color w:val="333333"/>
          <w:spacing w:val="5"/>
          <w:sz w:val="24"/>
          <w:szCs w:val="24"/>
          <w:shd w:val="clear" w:color="auto" w:fill="FFFFFF"/>
          <w:lang w:eastAsia="zh-CN"/>
        </w:rPr>
        <w:t>有标准都只从资源、能源、环境、产品四个属性对产品的绿色度、</w:t>
      </w:r>
      <w:r>
        <w:rPr>
          <w:rFonts w:hint="default" w:ascii="Times New Roman" w:hAnsi="Times New Roman" w:eastAsia="宋体" w:cs="Times New Roman"/>
          <w:strike w:val="0"/>
          <w:color w:val="333333"/>
          <w:spacing w:val="5"/>
          <w:sz w:val="24"/>
          <w:szCs w:val="24"/>
          <w:shd w:val="clear" w:color="auto" w:fill="FFFFFF"/>
          <w:lang w:val="en-US" w:eastAsia="zh-CN"/>
        </w:rPr>
        <w:t>性能质量进行</w:t>
      </w:r>
      <w:r>
        <w:rPr>
          <w:rFonts w:hint="default" w:ascii="Times New Roman" w:hAnsi="Times New Roman" w:eastAsia="宋体" w:cs="Times New Roman"/>
          <w:strike w:val="0"/>
          <w:color w:val="333333"/>
          <w:spacing w:val="5"/>
          <w:sz w:val="24"/>
          <w:szCs w:val="24"/>
          <w:shd w:val="clear" w:color="auto" w:fill="FFFFFF"/>
          <w:lang w:eastAsia="zh-CN"/>
        </w:rPr>
        <w:t>评估，未对产品的</w:t>
      </w:r>
      <w:r>
        <w:rPr>
          <w:rFonts w:hint="default" w:ascii="Times New Roman" w:hAnsi="Times New Roman" w:eastAsia="宋体" w:cs="Times New Roman"/>
          <w:strike w:val="0"/>
          <w:color w:val="333333"/>
          <w:spacing w:val="5"/>
          <w:sz w:val="24"/>
          <w:szCs w:val="24"/>
          <w:shd w:val="clear" w:color="auto" w:fill="FFFFFF"/>
          <w:lang w:val="en-US" w:eastAsia="zh-CN"/>
        </w:rPr>
        <w:t>碳属性</w:t>
      </w:r>
      <w:r>
        <w:rPr>
          <w:rFonts w:hint="default" w:ascii="Times New Roman" w:hAnsi="Times New Roman" w:eastAsia="宋体" w:cs="Times New Roman"/>
          <w:strike w:val="0"/>
          <w:color w:val="333333"/>
          <w:spacing w:val="5"/>
          <w:sz w:val="24"/>
          <w:szCs w:val="24"/>
          <w:shd w:val="clear" w:color="auto" w:fill="FFFFFF"/>
          <w:lang w:eastAsia="zh-CN"/>
        </w:rPr>
        <w:t>的指标提出具体</w:t>
      </w:r>
      <w:r>
        <w:rPr>
          <w:rFonts w:hint="default" w:ascii="Times New Roman" w:hAnsi="Times New Roman" w:eastAsia="宋体" w:cs="Times New Roman"/>
          <w:strike w:val="0"/>
          <w:color w:val="333333"/>
          <w:spacing w:val="5"/>
          <w:sz w:val="24"/>
          <w:szCs w:val="24"/>
          <w:shd w:val="clear" w:color="auto" w:fill="FFFFFF"/>
          <w:lang w:val="en-US" w:eastAsia="zh-CN"/>
        </w:rPr>
        <w:t>指标</w:t>
      </w:r>
      <w:r>
        <w:rPr>
          <w:rFonts w:hint="default" w:ascii="Times New Roman" w:hAnsi="Times New Roman" w:eastAsia="宋体" w:cs="Times New Roman"/>
          <w:strike w:val="0"/>
          <w:color w:val="333333"/>
          <w:spacing w:val="5"/>
          <w:sz w:val="24"/>
          <w:szCs w:val="24"/>
          <w:shd w:val="clear" w:color="auto" w:fill="FFFFFF"/>
          <w:lang w:eastAsia="zh-CN"/>
        </w:rPr>
        <w:t>要求</w:t>
      </w:r>
      <w:r>
        <w:rPr>
          <w:rFonts w:hint="eastAsia" w:cs="Times New Roman"/>
          <w:strike w:val="0"/>
          <w:color w:val="333333"/>
          <w:spacing w:val="5"/>
          <w:sz w:val="24"/>
          <w:szCs w:val="24"/>
          <w:shd w:val="clear" w:color="auto" w:fill="FFFFFF"/>
          <w:lang w:val="en-US" w:eastAsia="zh-CN"/>
        </w:rPr>
        <w:t>和方法</w:t>
      </w:r>
      <w:r>
        <w:rPr>
          <w:rFonts w:hint="default" w:ascii="Times New Roman" w:hAnsi="Times New Roman" w:eastAsia="宋体" w:cs="Times New Roman"/>
          <w:strike w:val="0"/>
          <w:color w:val="333333"/>
          <w:spacing w:val="5"/>
          <w:sz w:val="24"/>
          <w:szCs w:val="24"/>
          <w:shd w:val="clear" w:color="auto" w:fill="FFFFFF"/>
          <w:lang w:eastAsia="zh-CN"/>
        </w:rPr>
        <w:t>。</w:t>
      </w:r>
      <w:r>
        <w:rPr>
          <w:rFonts w:hint="eastAsia" w:cs="Times New Roman"/>
          <w:strike w:val="0"/>
          <w:color w:val="333333"/>
          <w:spacing w:val="5"/>
          <w:sz w:val="24"/>
          <w:szCs w:val="24"/>
          <w:shd w:val="clear" w:color="auto" w:fill="FFFFFF"/>
          <w:lang w:val="en-US" w:eastAsia="zh-CN"/>
        </w:rPr>
        <w:t>目前行业提出的碳属性相关评估主要包括</w:t>
      </w:r>
      <w:r>
        <w:rPr>
          <w:rFonts w:hint="default" w:ascii="Times New Roman" w:hAnsi="Times New Roman" w:eastAsia="宋体" w:cs="Times New Roman"/>
          <w:strike w:val="0"/>
          <w:color w:val="333333"/>
          <w:spacing w:val="5"/>
          <w:sz w:val="24"/>
          <w:szCs w:val="24"/>
          <w:shd w:val="clear" w:color="auto" w:fill="FFFFFF"/>
          <w:lang w:val="en-US" w:eastAsia="zh-CN"/>
        </w:rPr>
        <w:t>产品碳排放量、产品碳足迹、基于项目的减碳量等，</w:t>
      </w:r>
      <w:r>
        <w:rPr>
          <w:rFonts w:hint="eastAsia" w:cs="Times New Roman"/>
          <w:strike w:val="0"/>
          <w:color w:val="333333"/>
          <w:spacing w:val="5"/>
          <w:sz w:val="24"/>
          <w:szCs w:val="24"/>
          <w:shd w:val="clear" w:color="auto" w:fill="FFFFFF"/>
          <w:lang w:val="en-US" w:eastAsia="zh-CN"/>
        </w:rPr>
        <w:t>分别给出产品的生命周期阶段、生产过程阶段的碳排放数据值，以及节能项目的减碳量水平，</w:t>
      </w:r>
      <w:r>
        <w:rPr>
          <w:rFonts w:hint="default" w:ascii="Times New Roman" w:hAnsi="Times New Roman" w:eastAsia="宋体" w:cs="Times New Roman"/>
          <w:strike w:val="0"/>
          <w:color w:val="333333"/>
          <w:spacing w:val="5"/>
          <w:sz w:val="24"/>
          <w:szCs w:val="24"/>
          <w:shd w:val="clear" w:color="auto" w:fill="FFFFFF"/>
          <w:lang w:val="en-US" w:eastAsia="zh-CN"/>
        </w:rPr>
        <w:t>暂无</w:t>
      </w:r>
      <w:r>
        <w:rPr>
          <w:rFonts w:hint="eastAsia" w:cs="Times New Roman"/>
          <w:strike w:val="0"/>
          <w:color w:val="333333"/>
          <w:spacing w:val="5"/>
          <w:sz w:val="24"/>
          <w:szCs w:val="24"/>
          <w:shd w:val="clear" w:color="auto" w:fill="FFFFFF"/>
          <w:lang w:val="en-US" w:eastAsia="zh-CN"/>
        </w:rPr>
        <w:t>适用于建材</w:t>
      </w:r>
      <w:r>
        <w:rPr>
          <w:rFonts w:hint="default" w:ascii="Times New Roman" w:hAnsi="Times New Roman" w:eastAsia="宋体" w:cs="Times New Roman"/>
          <w:strike w:val="0"/>
          <w:color w:val="333333"/>
          <w:spacing w:val="5"/>
          <w:sz w:val="24"/>
          <w:szCs w:val="24"/>
          <w:shd w:val="clear" w:color="auto" w:fill="FFFFFF"/>
          <w:lang w:val="en-US" w:eastAsia="zh-CN"/>
        </w:rPr>
        <w:t>产品的统一的</w:t>
      </w:r>
      <w:r>
        <w:rPr>
          <w:rFonts w:hint="eastAsia" w:cs="Times New Roman"/>
          <w:strike w:val="0"/>
          <w:color w:val="333333"/>
          <w:spacing w:val="5"/>
          <w:sz w:val="24"/>
          <w:szCs w:val="24"/>
          <w:shd w:val="clear" w:color="auto" w:fill="FFFFFF"/>
          <w:lang w:val="en-US" w:eastAsia="zh-CN"/>
        </w:rPr>
        <w:t>低碳水平和</w:t>
      </w:r>
      <w:r>
        <w:rPr>
          <w:rFonts w:hint="default" w:ascii="Times New Roman" w:hAnsi="Times New Roman" w:eastAsia="宋体" w:cs="Times New Roman"/>
          <w:strike w:val="0"/>
          <w:color w:val="333333"/>
          <w:spacing w:val="5"/>
          <w:sz w:val="24"/>
          <w:szCs w:val="24"/>
          <w:shd w:val="clear" w:color="auto" w:fill="FFFFFF"/>
          <w:lang w:val="en-US" w:eastAsia="zh-CN"/>
        </w:rPr>
        <w:t>减碳量</w:t>
      </w:r>
      <w:r>
        <w:rPr>
          <w:rFonts w:hint="eastAsia" w:cs="Times New Roman"/>
          <w:strike w:val="0"/>
          <w:color w:val="333333"/>
          <w:spacing w:val="5"/>
          <w:sz w:val="24"/>
          <w:szCs w:val="24"/>
          <w:shd w:val="clear" w:color="auto" w:fill="FFFFFF"/>
          <w:lang w:val="en-US" w:eastAsia="zh-CN"/>
        </w:rPr>
        <w:t>的评估</w:t>
      </w:r>
      <w:r>
        <w:rPr>
          <w:rFonts w:hint="default" w:ascii="Times New Roman" w:hAnsi="Times New Roman" w:eastAsia="宋体" w:cs="Times New Roman"/>
          <w:strike w:val="0"/>
          <w:color w:val="333333"/>
          <w:spacing w:val="5"/>
          <w:sz w:val="24"/>
          <w:szCs w:val="24"/>
          <w:shd w:val="clear" w:color="auto" w:fill="FFFFFF"/>
          <w:lang w:val="en-US" w:eastAsia="zh-CN"/>
        </w:rPr>
        <w:t>方法</w:t>
      </w:r>
      <w:r>
        <w:rPr>
          <w:rFonts w:hint="eastAsia" w:cs="Times New Roman"/>
          <w:strike w:val="0"/>
          <w:color w:val="333333"/>
          <w:spacing w:val="5"/>
          <w:sz w:val="24"/>
          <w:szCs w:val="24"/>
          <w:shd w:val="clear" w:color="auto" w:fill="FFFFFF"/>
          <w:lang w:val="en-US" w:eastAsia="zh-CN"/>
        </w:rPr>
        <w:t>。由于建材产品种类较多，不仅包括水泥、玻璃、陶瓷等生产阶段碳排放占全生命周期碳排放较大比例的常规建材产品，还有在使用阶段具有保温隔热性能能够间接节能降碳的建材产品及使用阶段能够转化太阳能等生产清洁电力的光电产品，这类产品需要通过减碳量来分析产品的减碳效果和水平</w:t>
      </w:r>
      <w:r>
        <w:rPr>
          <w:rFonts w:hint="default" w:ascii="Times New Roman" w:hAnsi="Times New Roman" w:eastAsia="宋体" w:cs="Times New Roman"/>
          <w:strike w:val="0"/>
          <w:color w:val="333333"/>
          <w:spacing w:val="5"/>
          <w:sz w:val="24"/>
          <w:szCs w:val="24"/>
          <w:shd w:val="clear" w:color="auto" w:fill="FFFFFF"/>
          <w:lang w:val="en-US" w:eastAsia="zh-CN"/>
        </w:rPr>
        <w:t>。</w:t>
      </w:r>
      <w:r>
        <w:rPr>
          <w:rFonts w:hint="eastAsia" w:cs="Times New Roman"/>
          <w:strike w:val="0"/>
          <w:color w:val="333333"/>
          <w:spacing w:val="5"/>
          <w:sz w:val="24"/>
          <w:szCs w:val="24"/>
          <w:shd w:val="clear" w:color="auto" w:fill="FFFFFF"/>
          <w:lang w:val="en-US" w:eastAsia="zh-CN"/>
        </w:rPr>
        <w:t>因此为更加全面、统一地评估建材产品低碳水平，产品减碳量指标的提出和核算方法标准的研制对评估建材产品低碳水平，促进行业低碳发展具有重要意义。</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rPr>
      </w:pPr>
      <w:r>
        <w:rPr>
          <w:rFonts w:hint="default" w:ascii="Times New Roman" w:hAnsi="Times New Roman" w:eastAsia="宋体" w:cs="Times New Roman"/>
          <w:color w:val="333333"/>
          <w:spacing w:val="5"/>
          <w:sz w:val="24"/>
          <w:szCs w:val="24"/>
          <w:shd w:val="clear" w:color="auto" w:fill="FFFFFF"/>
          <w:lang w:val="en-US" w:eastAsia="zh-CN"/>
        </w:rPr>
        <w:t>综上，</w:t>
      </w:r>
      <w:r>
        <w:rPr>
          <w:rFonts w:hint="default" w:ascii="Times New Roman" w:hAnsi="Times New Roman" w:eastAsia="宋体" w:cs="Times New Roman"/>
          <w:color w:val="333333"/>
          <w:spacing w:val="5"/>
          <w:sz w:val="24"/>
          <w:szCs w:val="24"/>
          <w:shd w:val="clear" w:color="auto" w:fill="FFFFFF"/>
        </w:rPr>
        <w:t>为更加科学、全面</w:t>
      </w:r>
      <w:r>
        <w:rPr>
          <w:rFonts w:hint="eastAsia"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一致</w:t>
      </w:r>
      <w:r>
        <w:rPr>
          <w:rFonts w:hint="default" w:ascii="Times New Roman" w:hAnsi="Times New Roman" w:eastAsia="宋体" w:cs="Times New Roman"/>
          <w:color w:val="333333"/>
          <w:spacing w:val="5"/>
          <w:sz w:val="24"/>
          <w:szCs w:val="24"/>
          <w:shd w:val="clear" w:color="auto" w:fill="FFFFFF"/>
        </w:rPr>
        <w:t>的对建材产品的低碳水平进行分析、评价，促进产品全产业链、全生命周期低碳发展，助</w:t>
      </w:r>
      <w:r>
        <w:rPr>
          <w:rFonts w:hint="eastAsia" w:cs="Times New Roman"/>
          <w:color w:val="333333"/>
          <w:spacing w:val="5"/>
          <w:sz w:val="24"/>
          <w:szCs w:val="24"/>
          <w:shd w:val="clear" w:color="auto" w:fill="FFFFFF"/>
          <w:lang w:val="en-US" w:eastAsia="zh-CN"/>
        </w:rPr>
        <w:t>力</w:t>
      </w:r>
      <w:r>
        <w:rPr>
          <w:rFonts w:hint="default" w:ascii="Times New Roman" w:hAnsi="Times New Roman" w:eastAsia="宋体" w:cs="Times New Roman"/>
          <w:color w:val="333333"/>
          <w:spacing w:val="5"/>
          <w:sz w:val="24"/>
          <w:szCs w:val="24"/>
          <w:shd w:val="clear" w:color="auto" w:fill="FFFFFF"/>
        </w:rPr>
        <w:t>行业</w:t>
      </w:r>
      <w:r>
        <w:rPr>
          <w:rFonts w:hint="eastAsia" w:cs="Times New Roman"/>
          <w:color w:val="333333"/>
          <w:spacing w:val="5"/>
          <w:sz w:val="24"/>
          <w:szCs w:val="24"/>
          <w:shd w:val="clear" w:color="auto" w:fill="FFFFFF"/>
          <w:lang w:val="en-US" w:eastAsia="zh-CN"/>
        </w:rPr>
        <w:t>碳达峰碳中和</w:t>
      </w:r>
      <w:r>
        <w:rPr>
          <w:rFonts w:hint="default" w:ascii="Times New Roman" w:hAnsi="Times New Roman" w:eastAsia="宋体" w:cs="Times New Roman"/>
          <w:color w:val="333333"/>
          <w:spacing w:val="5"/>
          <w:sz w:val="24"/>
          <w:szCs w:val="24"/>
          <w:shd w:val="clear" w:color="auto" w:fill="FFFFFF"/>
        </w:rPr>
        <w:t>发展</w:t>
      </w:r>
      <w:r>
        <w:rPr>
          <w:rFonts w:hint="eastAsia" w:cs="Times New Roman"/>
          <w:color w:val="333333"/>
          <w:spacing w:val="5"/>
          <w:sz w:val="24"/>
          <w:szCs w:val="24"/>
          <w:shd w:val="clear" w:color="auto" w:fill="FFFFFF"/>
          <w:lang w:val="en-US" w:eastAsia="zh-CN"/>
        </w:rPr>
        <w:t>目标</w:t>
      </w:r>
      <w:r>
        <w:rPr>
          <w:rFonts w:hint="default" w:ascii="Times New Roman" w:hAnsi="Times New Roman" w:eastAsia="宋体" w:cs="Times New Roman"/>
          <w:color w:val="333333"/>
          <w:spacing w:val="5"/>
          <w:sz w:val="24"/>
          <w:szCs w:val="24"/>
          <w:shd w:val="clear" w:color="auto" w:fill="FFFFFF"/>
        </w:rPr>
        <w:t>，</w:t>
      </w:r>
      <w:r>
        <w:rPr>
          <w:rFonts w:hint="eastAsia" w:cs="Times New Roman"/>
          <w:color w:val="333333"/>
          <w:spacing w:val="5"/>
          <w:sz w:val="24"/>
          <w:szCs w:val="24"/>
          <w:shd w:val="clear" w:color="auto" w:fill="FFFFFF"/>
          <w:lang w:val="en-US" w:eastAsia="zh-CN"/>
        </w:rPr>
        <w:t>开展建材产品减碳量评估方法的研究。</w:t>
      </w:r>
      <w:r>
        <w:rPr>
          <w:rFonts w:hint="default" w:ascii="Times New Roman" w:hAnsi="Times New Roman" w:eastAsia="宋体" w:cs="Times New Roman"/>
          <w:color w:val="333333"/>
          <w:spacing w:val="5"/>
          <w:sz w:val="24"/>
          <w:szCs w:val="24"/>
          <w:shd w:val="clear" w:color="auto" w:fill="FFFFFF"/>
        </w:rPr>
        <w:t>本标准在与已有</w:t>
      </w:r>
      <w:r>
        <w:rPr>
          <w:rFonts w:hint="eastAsia"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rPr>
        <w:t>绿色、生态评价相关标准的协调下，结合行业目前</w:t>
      </w:r>
      <w:r>
        <w:rPr>
          <w:rFonts w:hint="eastAsia"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rPr>
        <w:t>发展实际，对生产端高排放类产品，</w:t>
      </w:r>
      <w:r>
        <w:rPr>
          <w:rFonts w:hint="eastAsia" w:cs="Times New Roman"/>
          <w:color w:val="333333"/>
          <w:spacing w:val="5"/>
          <w:sz w:val="24"/>
          <w:szCs w:val="24"/>
          <w:shd w:val="clear" w:color="auto" w:fill="FFFFFF"/>
          <w:lang w:val="en-US" w:eastAsia="zh-CN"/>
        </w:rPr>
        <w:t>以</w:t>
      </w:r>
      <w:r>
        <w:rPr>
          <w:rFonts w:hint="default" w:ascii="Times New Roman" w:hAnsi="Times New Roman" w:eastAsia="宋体" w:cs="Times New Roman"/>
          <w:color w:val="333333"/>
          <w:spacing w:val="5"/>
          <w:sz w:val="24"/>
          <w:szCs w:val="24"/>
          <w:shd w:val="clear" w:color="auto" w:fill="FFFFFF"/>
        </w:rPr>
        <w:t>及应用端具有节能减碳效力的产品</w:t>
      </w:r>
      <w:r>
        <w:rPr>
          <w:rFonts w:hint="eastAsia" w:cs="Times New Roman"/>
          <w:color w:val="333333"/>
          <w:spacing w:val="5"/>
          <w:sz w:val="24"/>
          <w:szCs w:val="24"/>
          <w:shd w:val="clear" w:color="auto" w:fill="FFFFFF"/>
          <w:lang w:val="en-US" w:eastAsia="zh-CN"/>
        </w:rPr>
        <w:t>分别进行分析研究</w:t>
      </w:r>
      <w:r>
        <w:rPr>
          <w:rFonts w:hint="default" w:ascii="Times New Roman" w:hAnsi="Times New Roman" w:eastAsia="宋体" w:cs="Times New Roman"/>
          <w:color w:val="333333"/>
          <w:spacing w:val="5"/>
          <w:sz w:val="24"/>
          <w:szCs w:val="24"/>
          <w:shd w:val="clear" w:color="auto" w:fill="FFFFFF"/>
          <w:lang w:val="en-US" w:eastAsia="zh-CN"/>
        </w:rPr>
        <w:t>，分别给出产品减碳量的核算方法，更加全面的</w:t>
      </w:r>
      <w:r>
        <w:rPr>
          <w:rFonts w:hint="eastAsia" w:cs="Times New Roman"/>
          <w:color w:val="333333"/>
          <w:spacing w:val="5"/>
          <w:sz w:val="24"/>
          <w:szCs w:val="24"/>
          <w:shd w:val="clear" w:color="auto" w:fill="FFFFFF"/>
          <w:lang w:val="en-US" w:eastAsia="zh-CN"/>
        </w:rPr>
        <w:t>评估</w:t>
      </w:r>
      <w:r>
        <w:rPr>
          <w:rFonts w:hint="default" w:ascii="Times New Roman" w:hAnsi="Times New Roman" w:eastAsia="宋体" w:cs="Times New Roman"/>
          <w:color w:val="333333"/>
          <w:spacing w:val="5"/>
          <w:sz w:val="24"/>
          <w:szCs w:val="24"/>
          <w:shd w:val="clear" w:color="auto" w:fill="FFFFFF"/>
          <w:lang w:val="en-US" w:eastAsia="zh-CN"/>
        </w:rPr>
        <w:t>建材产品的</w:t>
      </w:r>
      <w:r>
        <w:rPr>
          <w:rFonts w:hint="eastAsia" w:cs="Times New Roman"/>
          <w:color w:val="333333"/>
          <w:spacing w:val="5"/>
          <w:sz w:val="24"/>
          <w:szCs w:val="24"/>
          <w:shd w:val="clear" w:color="auto" w:fill="FFFFFF"/>
          <w:lang w:val="en-US" w:eastAsia="zh-CN"/>
        </w:rPr>
        <w:t>降碳</w:t>
      </w:r>
      <w:r>
        <w:rPr>
          <w:rFonts w:hint="default" w:ascii="Times New Roman" w:hAnsi="Times New Roman" w:eastAsia="宋体" w:cs="Times New Roman"/>
          <w:color w:val="333333"/>
          <w:spacing w:val="5"/>
          <w:sz w:val="24"/>
          <w:szCs w:val="24"/>
          <w:shd w:val="clear" w:color="auto" w:fill="FFFFFF"/>
          <w:lang w:val="en-US" w:eastAsia="zh-CN"/>
        </w:rPr>
        <w:t>水平和减碳潜力</w:t>
      </w:r>
      <w:r>
        <w:rPr>
          <w:rFonts w:hint="default" w:ascii="Times New Roman" w:hAnsi="Times New Roman" w:eastAsia="宋体" w:cs="Times New Roman"/>
          <w:color w:val="333333"/>
          <w:spacing w:val="5"/>
          <w:sz w:val="24"/>
          <w:szCs w:val="24"/>
          <w:shd w:val="clear" w:color="auto" w:fill="FFFFFF"/>
        </w:rPr>
        <w:t>。</w:t>
      </w:r>
      <w:r>
        <w:rPr>
          <w:rFonts w:hint="eastAsia" w:cs="Times New Roman"/>
          <w:color w:val="333333"/>
          <w:spacing w:val="5"/>
          <w:sz w:val="24"/>
          <w:szCs w:val="24"/>
          <w:shd w:val="clear" w:color="auto" w:fill="FFFFFF"/>
          <w:lang w:val="en-US" w:eastAsia="zh-CN"/>
        </w:rPr>
        <w:t>通过分析得到各类</w:t>
      </w:r>
      <w:r>
        <w:rPr>
          <w:rFonts w:hint="default" w:ascii="Times New Roman" w:hAnsi="Times New Roman" w:eastAsia="宋体" w:cs="Times New Roman"/>
          <w:color w:val="333333"/>
          <w:spacing w:val="5"/>
          <w:sz w:val="24"/>
          <w:szCs w:val="24"/>
          <w:shd w:val="clear" w:color="auto" w:fill="FFFFFF"/>
          <w:lang w:val="en-US" w:eastAsia="zh-CN"/>
        </w:rPr>
        <w:t>建材</w:t>
      </w:r>
      <w:r>
        <w:rPr>
          <w:rFonts w:hint="default" w:ascii="Times New Roman" w:hAnsi="Times New Roman" w:eastAsia="宋体" w:cs="Times New Roman"/>
          <w:color w:val="333333"/>
          <w:spacing w:val="5"/>
          <w:sz w:val="24"/>
          <w:szCs w:val="24"/>
          <w:shd w:val="clear" w:color="auto" w:fill="FFFFFF"/>
        </w:rPr>
        <w:t>产品</w:t>
      </w:r>
      <w:r>
        <w:rPr>
          <w:rFonts w:hint="eastAsia"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lang w:val="en-US" w:eastAsia="zh-CN"/>
        </w:rPr>
        <w:t>减碳量</w:t>
      </w:r>
      <w:r>
        <w:rPr>
          <w:rFonts w:hint="eastAsia" w:cs="Times New Roman"/>
          <w:color w:val="333333"/>
          <w:spacing w:val="5"/>
          <w:sz w:val="24"/>
          <w:szCs w:val="24"/>
          <w:shd w:val="clear" w:color="auto" w:fill="FFFFFF"/>
          <w:lang w:val="en-US" w:eastAsia="zh-CN"/>
        </w:rPr>
        <w:t>水平</w:t>
      </w:r>
      <w:r>
        <w:rPr>
          <w:rFonts w:hint="default" w:ascii="Times New Roman" w:hAnsi="Times New Roman" w:eastAsia="宋体" w:cs="Times New Roman"/>
          <w:color w:val="333333"/>
          <w:spacing w:val="5"/>
          <w:sz w:val="24"/>
          <w:szCs w:val="24"/>
          <w:shd w:val="clear" w:color="auto" w:fill="FFFFFF"/>
        </w:rPr>
        <w:t>，</w:t>
      </w:r>
      <w:r>
        <w:rPr>
          <w:rFonts w:hint="default" w:ascii="Times New Roman" w:hAnsi="Times New Roman" w:eastAsia="宋体" w:cs="Times New Roman"/>
          <w:color w:val="333333"/>
          <w:spacing w:val="5"/>
          <w:sz w:val="24"/>
          <w:szCs w:val="24"/>
          <w:shd w:val="clear" w:color="auto" w:fill="FFFFFF"/>
          <w:lang w:val="en-US" w:eastAsia="zh-CN"/>
        </w:rPr>
        <w:t>也</w:t>
      </w:r>
      <w:r>
        <w:rPr>
          <w:rFonts w:hint="default" w:ascii="Times New Roman" w:hAnsi="Times New Roman" w:eastAsia="宋体" w:cs="Times New Roman"/>
          <w:color w:val="333333"/>
          <w:spacing w:val="5"/>
          <w:sz w:val="24"/>
          <w:szCs w:val="24"/>
          <w:shd w:val="clear" w:color="auto" w:fill="FFFFFF"/>
        </w:rPr>
        <w:t>将为产品的绿色低碳发展提供方向，为消费者和下游供应链对低碳产品的遴选、识别提供依据。</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rPr>
      </w:pP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val="en-US" w:eastAsia="zh-CN"/>
        </w:rPr>
      </w:pPr>
      <w:bookmarkStart w:id="8" w:name="_Toc30284"/>
      <w:bookmarkStart w:id="9" w:name="_Toc10415"/>
      <w:r>
        <w:rPr>
          <w:rFonts w:hint="default" w:ascii="Times New Roman" w:hAnsi="Times New Roman" w:eastAsia="仿宋" w:cs="Times New Roman"/>
          <w:lang w:val="en-US" w:eastAsia="zh-CN"/>
        </w:rPr>
        <w:t>1.2计划下达</w:t>
      </w:r>
      <w:bookmarkEnd w:id="8"/>
      <w:bookmarkEnd w:id="9"/>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val="en-US" w:eastAsia="zh-CN"/>
        </w:rPr>
        <w:t>根据</w:t>
      </w:r>
      <w:r>
        <w:rPr>
          <w:rFonts w:hint="eastAsia" w:cs="Times New Roman"/>
          <w:color w:val="333333"/>
          <w:spacing w:val="5"/>
          <w:sz w:val="24"/>
          <w:szCs w:val="24"/>
          <w:shd w:val="clear" w:color="auto" w:fill="FFFFFF"/>
          <w:lang w:val="en-US" w:eastAsia="zh-CN"/>
        </w:rPr>
        <w:t>《</w:t>
      </w:r>
      <w:r>
        <w:rPr>
          <w:rFonts w:hint="default" w:ascii="Times New Roman" w:hAnsi="Times New Roman" w:eastAsia="宋体" w:cs="Times New Roman"/>
          <w:color w:val="333333"/>
          <w:spacing w:val="5"/>
          <w:sz w:val="24"/>
          <w:szCs w:val="24"/>
          <w:shd w:val="clear" w:color="auto" w:fill="FFFFFF"/>
          <w:lang w:val="en-US" w:eastAsia="zh-CN"/>
        </w:rPr>
        <w:t>国家标准化管理委员会关于下达碳达峰碳中和国家标准专项计划及相关标准外文版计划的通知</w:t>
      </w:r>
      <w:r>
        <w:rPr>
          <w:rFonts w:hint="eastAsia" w:cs="Times New Roman"/>
          <w:color w:val="333333"/>
          <w:spacing w:val="5"/>
          <w:sz w:val="24"/>
          <w:szCs w:val="24"/>
          <w:shd w:val="clear" w:color="auto" w:fill="FFFFFF"/>
          <w:lang w:val="en-US" w:eastAsia="zh-CN"/>
        </w:rPr>
        <w:t>》</w:t>
      </w:r>
      <w:r>
        <w:rPr>
          <w:rFonts w:hint="default" w:ascii="Times New Roman" w:hAnsi="Times New Roman" w:eastAsia="宋体" w:cs="Times New Roman"/>
          <w:color w:val="333333"/>
          <w:spacing w:val="5"/>
          <w:sz w:val="24"/>
          <w:szCs w:val="24"/>
          <w:shd w:val="clear" w:color="auto" w:fill="FFFFFF"/>
          <w:lang w:val="en-US" w:eastAsia="zh-CN"/>
        </w:rPr>
        <w:t>要求，《建材产品减碳量评估方法》（20232537-T-609）正式立项，标准由中国建筑材料联合会</w:t>
      </w:r>
      <w:r>
        <w:rPr>
          <w:rFonts w:hint="eastAsia" w:cs="Times New Roman"/>
          <w:color w:val="333333"/>
          <w:spacing w:val="5"/>
          <w:sz w:val="24"/>
          <w:szCs w:val="24"/>
          <w:shd w:val="clear" w:color="auto" w:fill="FFFFFF"/>
          <w:lang w:val="en-US" w:eastAsia="zh-CN"/>
        </w:rPr>
        <w:t>和全国碳排放管理标准化技术委员会共同</w:t>
      </w:r>
      <w:r>
        <w:rPr>
          <w:rFonts w:hint="default" w:ascii="Times New Roman" w:hAnsi="Times New Roman" w:eastAsia="宋体" w:cs="Times New Roman"/>
          <w:color w:val="333333"/>
          <w:spacing w:val="5"/>
          <w:sz w:val="24"/>
          <w:szCs w:val="24"/>
          <w:shd w:val="clear" w:color="auto" w:fill="FFFFFF"/>
          <w:lang w:val="en-US" w:eastAsia="zh-CN"/>
        </w:rPr>
        <w:t>并归口，</w:t>
      </w:r>
      <w:r>
        <w:rPr>
          <w:rFonts w:hint="eastAsia" w:cs="Times New Roman"/>
          <w:color w:val="333333"/>
          <w:spacing w:val="5"/>
          <w:sz w:val="24"/>
          <w:szCs w:val="24"/>
          <w:shd w:val="clear" w:color="auto" w:fill="FFFFFF"/>
          <w:lang w:val="en-US" w:eastAsia="zh-CN"/>
        </w:rPr>
        <w:t>由</w:t>
      </w:r>
      <w:r>
        <w:rPr>
          <w:rFonts w:hint="default" w:ascii="Times New Roman" w:hAnsi="Times New Roman" w:eastAsia="宋体" w:cs="Times New Roman"/>
          <w:color w:val="333333"/>
          <w:spacing w:val="5"/>
          <w:sz w:val="24"/>
          <w:szCs w:val="24"/>
          <w:shd w:val="clear" w:color="auto" w:fill="FFFFFF"/>
          <w:lang w:val="en-US" w:eastAsia="zh-CN"/>
        </w:rPr>
        <w:t>中国建筑材料联合会</w:t>
      </w:r>
      <w:r>
        <w:rPr>
          <w:rFonts w:hint="eastAsia" w:cs="Times New Roman"/>
          <w:color w:val="333333"/>
          <w:spacing w:val="5"/>
          <w:sz w:val="24"/>
          <w:szCs w:val="24"/>
          <w:shd w:val="clear" w:color="auto" w:fill="FFFFFF"/>
          <w:lang w:val="en-US" w:eastAsia="zh-CN"/>
        </w:rPr>
        <w:t>牵头负责</w:t>
      </w:r>
      <w:r>
        <w:rPr>
          <w:rFonts w:hint="default" w:ascii="Times New Roman" w:hAnsi="Times New Roman" w:eastAsia="宋体" w:cs="Times New Roman"/>
          <w:color w:val="333333"/>
          <w:spacing w:val="5"/>
          <w:sz w:val="24"/>
          <w:szCs w:val="24"/>
          <w:shd w:val="clear" w:color="auto" w:fill="FFFFFF"/>
          <w:lang w:val="en-US" w:eastAsia="zh-CN"/>
        </w:rPr>
        <w:t>起草。</w:t>
      </w:r>
    </w:p>
    <w:p>
      <w:pPr>
        <w:pageBreakBefore w:val="0"/>
        <w:kinsoku/>
        <w:wordWrap/>
        <w:overflowPunct/>
        <w:topLinePunct w:val="0"/>
        <w:autoSpaceDE/>
        <w:autoSpaceDN/>
        <w:bidi w:val="0"/>
        <w:adjustRightInd/>
        <w:snapToGrid/>
        <w:spacing w:line="520" w:lineRule="exact"/>
        <w:jc w:val="left"/>
        <w:rPr>
          <w:rFonts w:hint="default" w:ascii="Times New Roman" w:hAnsi="Times New Roman" w:eastAsia="宋体" w:cs="Times New Roman"/>
          <w:color w:val="333333"/>
          <w:spacing w:val="5"/>
          <w:sz w:val="24"/>
          <w:szCs w:val="24"/>
          <w:shd w:val="clear" w:color="auto" w:fill="FFFFFF"/>
        </w:rPr>
      </w:pPr>
    </w:p>
    <w:p>
      <w:pPr>
        <w:pStyle w:val="3"/>
        <w:pageBreakBefore w:val="0"/>
        <w:kinsoku/>
        <w:wordWrap/>
        <w:overflowPunct/>
        <w:topLinePunct w:val="0"/>
        <w:autoSpaceDE/>
        <w:autoSpaceDN/>
        <w:bidi w:val="0"/>
        <w:adjustRightInd/>
        <w:snapToGrid/>
        <w:spacing w:line="520" w:lineRule="exact"/>
        <w:rPr>
          <w:rFonts w:hint="default" w:ascii="Times New Roman" w:hAnsi="Times New Roman" w:eastAsia="黑体" w:cs="Times New Roman"/>
          <w:lang w:val="en-US" w:eastAsia="zh-CN"/>
        </w:rPr>
      </w:pPr>
      <w:bookmarkStart w:id="10" w:name="_Toc16718"/>
      <w:bookmarkStart w:id="11" w:name="_Toc17955"/>
      <w:r>
        <w:rPr>
          <w:rFonts w:hint="default" w:ascii="Times New Roman" w:hAnsi="Times New Roman" w:eastAsia="黑体" w:cs="Times New Roman"/>
          <w:lang w:val="en-US" w:eastAsia="zh-CN"/>
        </w:rPr>
        <w:t>2.主要工作过程及人员分工</w:t>
      </w:r>
      <w:bookmarkEnd w:id="10"/>
      <w:bookmarkEnd w:id="11"/>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val="en-US" w:eastAsia="zh-CN"/>
        </w:rPr>
      </w:pPr>
      <w:bookmarkStart w:id="12" w:name="_Toc2971"/>
      <w:bookmarkStart w:id="13" w:name="_Toc28267"/>
      <w:r>
        <w:rPr>
          <w:rFonts w:hint="default" w:ascii="Times New Roman" w:hAnsi="Times New Roman" w:eastAsia="仿宋" w:cs="Times New Roman"/>
          <w:lang w:val="en-US" w:eastAsia="zh-CN"/>
        </w:rPr>
        <w:t>2.1参加单位、人员及分工</w:t>
      </w:r>
      <w:bookmarkEnd w:id="12"/>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eastAsia="zh-CN"/>
        </w:rPr>
        <w:t>本标准起草单位：中国建筑材料联合会、北京工业大学、中国标准化研究院、北京国建联信认证中心有限公司等</w:t>
      </w:r>
      <w:r>
        <w:rPr>
          <w:rFonts w:hint="eastAsia" w:cs="Times New Roman"/>
          <w:color w:val="333333"/>
          <w:spacing w:val="5"/>
          <w:sz w:val="24"/>
          <w:szCs w:val="24"/>
          <w:shd w:val="clear" w:color="auto" w:fill="FFFFFF"/>
          <w:lang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626"/>
        <w:gridCol w:w="5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b/>
                <w:bCs/>
                <w:color w:val="333333"/>
                <w:spacing w:val="5"/>
                <w:sz w:val="24"/>
                <w:szCs w:val="24"/>
                <w:shd w:val="clear" w:color="auto" w:fill="FFFFFF"/>
                <w:vertAlign w:val="baseline"/>
                <w:lang w:val="en-US" w:eastAsia="zh-CN"/>
              </w:rPr>
            </w:pPr>
            <w:r>
              <w:rPr>
                <w:rFonts w:hint="default" w:ascii="Times New Roman" w:hAnsi="Times New Roman" w:cs="Times New Roman"/>
                <w:b/>
                <w:bCs/>
                <w:color w:val="333333"/>
                <w:spacing w:val="5"/>
                <w:sz w:val="24"/>
                <w:szCs w:val="24"/>
                <w:shd w:val="clear" w:color="auto" w:fill="FFFFFF"/>
                <w:vertAlign w:val="baseline"/>
                <w:lang w:val="en-US" w:eastAsia="zh-CN"/>
              </w:rPr>
              <w:t>序号</w:t>
            </w:r>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b/>
                <w:bCs/>
                <w:color w:val="333333"/>
                <w:spacing w:val="5"/>
                <w:sz w:val="24"/>
                <w:szCs w:val="24"/>
                <w:shd w:val="clear" w:color="auto" w:fill="FFFFFF"/>
                <w:vertAlign w:val="baseline"/>
                <w:lang w:val="en-US" w:eastAsia="zh-CN"/>
              </w:rPr>
            </w:pPr>
            <w:r>
              <w:rPr>
                <w:rFonts w:hint="eastAsia" w:cs="Times New Roman"/>
                <w:b/>
                <w:bCs/>
                <w:color w:val="333333"/>
                <w:spacing w:val="5"/>
                <w:sz w:val="24"/>
                <w:szCs w:val="24"/>
                <w:shd w:val="clear" w:color="auto" w:fill="FFFFFF"/>
                <w:vertAlign w:val="baseline"/>
                <w:lang w:val="en-US" w:eastAsia="zh-CN"/>
              </w:rPr>
              <w:t>分工</w:t>
            </w:r>
          </w:p>
        </w:tc>
        <w:tc>
          <w:tcPr>
            <w:tcW w:w="5063" w:type="dxa"/>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cs="Times New Roman"/>
                <w:b/>
                <w:bCs/>
                <w:color w:val="333333"/>
                <w:spacing w:val="5"/>
                <w:sz w:val="24"/>
                <w:szCs w:val="24"/>
                <w:shd w:val="clear" w:color="auto" w:fill="FFFFFF"/>
                <w:vertAlign w:val="baseline"/>
                <w:lang w:val="en-US" w:eastAsia="zh-CN"/>
              </w:rPr>
            </w:pPr>
            <w:r>
              <w:rPr>
                <w:rFonts w:hint="default" w:ascii="Times New Roman" w:hAnsi="Times New Roman" w:cs="Times New Roman"/>
                <w:b/>
                <w:bCs/>
                <w:color w:val="333333"/>
                <w:spacing w:val="5"/>
                <w:sz w:val="24"/>
                <w:szCs w:val="24"/>
                <w:shd w:val="clear" w:color="auto" w:fill="FFFFFF"/>
                <w:vertAlign w:val="baseline"/>
                <w:lang w:val="en-US" w:eastAsia="zh-CN"/>
              </w:rPr>
              <w:t>负责单位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Pr>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425" w:leftChars="0" w:hanging="425" w:firstLineChars="0"/>
              <w:jc w:val="center"/>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r>
              <w:rPr>
                <w:rFonts w:hint="eastAsia" w:cs="Times New Roman"/>
                <w:color w:val="333333"/>
                <w:spacing w:val="5"/>
                <w:sz w:val="24"/>
                <w:szCs w:val="24"/>
                <w:shd w:val="clear" w:color="auto" w:fill="FFFFFF"/>
                <w:vertAlign w:val="baseline"/>
                <w:lang w:val="en-US" w:eastAsia="zh-CN"/>
              </w:rPr>
              <w:t>标准文本和编制说明编写、修改完善</w:t>
            </w:r>
          </w:p>
        </w:tc>
        <w:tc>
          <w:tcPr>
            <w:tcW w:w="5063"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r>
              <w:rPr>
                <w:rFonts w:hint="default" w:ascii="Times New Roman" w:hAnsi="Times New Roman" w:cs="Times New Roman"/>
                <w:color w:val="333333"/>
                <w:spacing w:val="5"/>
                <w:sz w:val="24"/>
                <w:szCs w:val="24"/>
                <w:shd w:val="clear" w:color="auto" w:fill="FFFFFF"/>
                <w:vertAlign w:val="baseline"/>
                <w:lang w:val="en-US" w:eastAsia="zh-CN"/>
              </w:rPr>
              <w:t>中国建筑材料联合会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Pr>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425" w:leftChars="0" w:hanging="425" w:firstLineChars="0"/>
              <w:jc w:val="center"/>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r>
              <w:rPr>
                <w:rFonts w:hint="eastAsia" w:cs="Times New Roman"/>
                <w:color w:val="333333"/>
                <w:spacing w:val="5"/>
                <w:sz w:val="24"/>
                <w:szCs w:val="24"/>
                <w:shd w:val="clear" w:color="auto" w:fill="FFFFFF"/>
                <w:vertAlign w:val="baseline"/>
                <w:lang w:val="en-US" w:eastAsia="zh-CN"/>
              </w:rPr>
              <w:t>不同建材产品减碳量评估方法模型构建</w:t>
            </w:r>
          </w:p>
        </w:tc>
        <w:tc>
          <w:tcPr>
            <w:tcW w:w="5063"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r>
              <w:rPr>
                <w:rFonts w:hint="default" w:ascii="Times New Roman" w:hAnsi="Times New Roman" w:cs="Times New Roman"/>
                <w:color w:val="333333"/>
                <w:spacing w:val="5"/>
                <w:sz w:val="24"/>
                <w:szCs w:val="24"/>
                <w:shd w:val="clear" w:color="auto" w:fill="FFFFFF"/>
                <w:vertAlign w:val="baseline"/>
                <w:lang w:val="en-US" w:eastAsia="zh-CN"/>
              </w:rPr>
              <w:t>中国建筑材料联合会、</w:t>
            </w:r>
            <w:r>
              <w:rPr>
                <w:rFonts w:hint="default" w:ascii="Times New Roman" w:hAnsi="Times New Roman" w:eastAsia="宋体" w:cs="Times New Roman"/>
                <w:color w:val="333333"/>
                <w:spacing w:val="5"/>
                <w:sz w:val="24"/>
                <w:szCs w:val="24"/>
                <w:shd w:val="clear" w:color="auto" w:fill="FFFFFF"/>
                <w:lang w:eastAsia="zh-CN"/>
              </w:rPr>
              <w:t>北京工业大学、中国标准化研究院、北京国建联信认证中心有限公司</w:t>
            </w:r>
            <w:r>
              <w:rPr>
                <w:rFonts w:hint="eastAsia" w:cs="Times New Roman"/>
                <w:color w:val="333333"/>
                <w:spacing w:val="5"/>
                <w:sz w:val="24"/>
                <w:szCs w:val="24"/>
                <w:shd w:val="clear" w:color="auto" w:fill="FFFFFF"/>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Pr>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425" w:leftChars="0" w:hanging="425" w:firstLineChars="0"/>
              <w:jc w:val="center"/>
              <w:textAlignment w:val="auto"/>
              <w:rPr>
                <w:rFonts w:hint="default" w:ascii="Times New Roman" w:hAnsi="Times New Roman" w:eastAsia="宋体" w:cs="Times New Roman"/>
                <w:color w:val="333333"/>
                <w:spacing w:val="5"/>
                <w:sz w:val="24"/>
                <w:szCs w:val="24"/>
                <w:shd w:val="clear" w:color="auto" w:fill="FFFFFF"/>
                <w:vertAlign w:val="baseline"/>
                <w:lang w:val="en-US" w:eastAsia="zh-CN"/>
              </w:rPr>
            </w:pPr>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cs="Times New Roman"/>
                <w:color w:val="333333"/>
                <w:spacing w:val="5"/>
                <w:sz w:val="24"/>
                <w:szCs w:val="24"/>
                <w:shd w:val="clear" w:color="auto" w:fill="FFFFFF"/>
                <w:vertAlign w:val="baseline"/>
                <w:lang w:val="en-US" w:eastAsia="zh-CN"/>
              </w:rPr>
            </w:pPr>
            <w:r>
              <w:rPr>
                <w:rFonts w:hint="eastAsia" w:cs="Times New Roman"/>
                <w:color w:val="333333"/>
                <w:spacing w:val="5"/>
                <w:sz w:val="24"/>
                <w:szCs w:val="24"/>
                <w:shd w:val="clear" w:color="auto" w:fill="FFFFFF"/>
                <w:vertAlign w:val="baseline"/>
                <w:lang w:val="en-US" w:eastAsia="zh-CN"/>
              </w:rPr>
              <w:t>不同建材产品减碳量评估案例核算及验证分析</w:t>
            </w:r>
          </w:p>
        </w:tc>
        <w:tc>
          <w:tcPr>
            <w:tcW w:w="5063"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cs="Times New Roman"/>
                <w:color w:val="333333"/>
                <w:spacing w:val="5"/>
                <w:sz w:val="24"/>
                <w:szCs w:val="24"/>
                <w:shd w:val="clear" w:color="auto" w:fill="FFFFFF"/>
                <w:vertAlign w:val="baseline"/>
                <w:lang w:val="en-US" w:eastAsia="zh-CN"/>
              </w:rPr>
            </w:pPr>
            <w:r>
              <w:rPr>
                <w:rFonts w:hint="default" w:ascii="Times New Roman" w:hAnsi="Times New Roman" w:cs="Times New Roman"/>
                <w:color w:val="333333"/>
                <w:spacing w:val="5"/>
                <w:sz w:val="24"/>
                <w:szCs w:val="24"/>
                <w:shd w:val="clear" w:color="auto" w:fill="FFFFFF"/>
                <w:vertAlign w:val="baseline"/>
                <w:lang w:val="en-US" w:eastAsia="zh-CN"/>
              </w:rPr>
              <w:t>中国建筑材料联合会、</w:t>
            </w:r>
            <w:r>
              <w:rPr>
                <w:rFonts w:hint="default" w:ascii="Times New Roman" w:hAnsi="Times New Roman" w:eastAsia="宋体" w:cs="Times New Roman"/>
                <w:color w:val="333333"/>
                <w:spacing w:val="5"/>
                <w:sz w:val="24"/>
                <w:szCs w:val="24"/>
                <w:shd w:val="clear" w:color="auto" w:fill="FFFFFF"/>
                <w:lang w:eastAsia="zh-CN"/>
              </w:rPr>
              <w:t>北京工业大学、中国标准化研究院、北京国建联信认证中心有限公司</w:t>
            </w:r>
            <w:r>
              <w:rPr>
                <w:rFonts w:hint="eastAsia" w:cs="Times New Roman"/>
                <w:color w:val="333333"/>
                <w:spacing w:val="5"/>
                <w:sz w:val="24"/>
                <w:szCs w:val="24"/>
                <w:shd w:val="clear" w:color="auto" w:fill="FFFFFF"/>
                <w:lang w:val="en-US" w:eastAsia="zh-CN"/>
              </w:rPr>
              <w:t>等</w:t>
            </w:r>
          </w:p>
        </w:tc>
      </w:tr>
    </w:tbl>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lang w:val="en-US" w:eastAsia="zh-CN"/>
        </w:rPr>
      </w:pP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val="en-US" w:eastAsia="zh-CN"/>
        </w:rPr>
      </w:pPr>
      <w:bookmarkStart w:id="14" w:name="_Toc4142"/>
      <w:r>
        <w:rPr>
          <w:rFonts w:hint="default" w:ascii="Times New Roman" w:hAnsi="Times New Roman" w:eastAsia="仿宋" w:cs="Times New Roman"/>
          <w:lang w:val="en-US" w:eastAsia="zh-CN"/>
        </w:rPr>
        <w:t>2.2标准编制工作过程</w:t>
      </w:r>
      <w:bookmarkEnd w:id="13"/>
      <w:bookmarkEnd w:id="14"/>
    </w:p>
    <w:p>
      <w:pPr>
        <w:pageBreakBefore w:val="0"/>
        <w:kinsoku/>
        <w:wordWrap/>
        <w:overflowPunct/>
        <w:topLinePunct w:val="0"/>
        <w:autoSpaceDE/>
        <w:autoSpaceDN/>
        <w:bidi w:val="0"/>
        <w:adjustRightInd/>
        <w:snapToGrid/>
        <w:spacing w:line="520" w:lineRule="exact"/>
        <w:ind w:firstLine="500" w:firstLineChars="200"/>
        <w:jc w:val="left"/>
        <w:rPr>
          <w:rFonts w:hint="eastAsia" w:ascii="Times New Roman" w:hAnsi="Times New Roman" w:eastAsia="宋体" w:cs="Times New Roman"/>
          <w:color w:val="333333"/>
          <w:spacing w:val="5"/>
          <w:sz w:val="24"/>
          <w:szCs w:val="24"/>
          <w:shd w:val="clear" w:color="auto" w:fill="FFFFFF"/>
          <w:lang w:val="en-US" w:eastAsia="zh-CN"/>
        </w:rPr>
      </w:pPr>
      <w:r>
        <w:rPr>
          <w:rFonts w:hint="eastAsia" w:cs="Times New Roman"/>
          <w:color w:val="333333"/>
          <w:spacing w:val="5"/>
          <w:sz w:val="24"/>
          <w:szCs w:val="24"/>
          <w:shd w:val="clear" w:color="auto" w:fill="FFFFFF"/>
          <w:lang w:val="en-US" w:eastAsia="zh-CN"/>
        </w:rPr>
        <w:t>本</w:t>
      </w:r>
      <w:r>
        <w:rPr>
          <w:rFonts w:hint="default" w:ascii="Times New Roman" w:hAnsi="Times New Roman" w:eastAsia="宋体" w:cs="Times New Roman"/>
          <w:color w:val="333333"/>
          <w:spacing w:val="5"/>
          <w:sz w:val="24"/>
          <w:szCs w:val="24"/>
          <w:shd w:val="clear" w:color="auto" w:fill="FFFFFF"/>
          <w:lang w:val="en-US" w:eastAsia="zh-CN"/>
        </w:rPr>
        <w:t>标准在</w:t>
      </w:r>
      <w:r>
        <w:rPr>
          <w:rFonts w:hint="eastAsia" w:cs="Times New Roman"/>
          <w:color w:val="333333"/>
          <w:spacing w:val="5"/>
          <w:sz w:val="24"/>
          <w:szCs w:val="24"/>
          <w:shd w:val="clear" w:color="auto" w:fill="FFFFFF"/>
          <w:lang w:val="en-US" w:eastAsia="zh-CN"/>
        </w:rPr>
        <w:t>立项</w:t>
      </w:r>
      <w:r>
        <w:rPr>
          <w:rFonts w:hint="default" w:ascii="Times New Roman" w:hAnsi="Times New Roman" w:eastAsia="宋体" w:cs="Times New Roman"/>
          <w:color w:val="333333"/>
          <w:spacing w:val="5"/>
          <w:sz w:val="24"/>
          <w:szCs w:val="24"/>
          <w:shd w:val="clear" w:color="auto" w:fill="FFFFFF"/>
          <w:lang w:val="en-US" w:eastAsia="zh-CN"/>
        </w:rPr>
        <w:t>计划</w:t>
      </w:r>
      <w:r>
        <w:rPr>
          <w:rFonts w:hint="eastAsia" w:cs="Times New Roman"/>
          <w:color w:val="333333"/>
          <w:spacing w:val="5"/>
          <w:sz w:val="24"/>
          <w:szCs w:val="24"/>
          <w:shd w:val="clear" w:color="auto" w:fill="FFFFFF"/>
          <w:lang w:val="en-US" w:eastAsia="zh-CN"/>
        </w:rPr>
        <w:t>下达</w:t>
      </w:r>
      <w:r>
        <w:rPr>
          <w:rFonts w:hint="default" w:ascii="Times New Roman" w:hAnsi="Times New Roman" w:cs="Times New Roman"/>
          <w:color w:val="333333"/>
          <w:spacing w:val="5"/>
          <w:sz w:val="24"/>
          <w:szCs w:val="24"/>
          <w:shd w:val="clear" w:color="auto" w:fill="FFFFFF"/>
          <w:lang w:val="en-US" w:eastAsia="zh-CN"/>
        </w:rPr>
        <w:t>前期已</w:t>
      </w:r>
      <w:r>
        <w:rPr>
          <w:rFonts w:hint="default" w:ascii="Times New Roman" w:hAnsi="Times New Roman" w:eastAsia="宋体" w:cs="Times New Roman"/>
          <w:color w:val="333333"/>
          <w:spacing w:val="5"/>
          <w:sz w:val="24"/>
          <w:szCs w:val="24"/>
          <w:shd w:val="clear" w:color="auto" w:fill="FFFFFF"/>
          <w:lang w:val="en-US" w:eastAsia="zh-CN"/>
        </w:rPr>
        <w:t>作了充分的准备、调研等</w:t>
      </w:r>
      <w:r>
        <w:rPr>
          <w:rFonts w:hint="eastAsia" w:cs="Times New Roman"/>
          <w:color w:val="333333"/>
          <w:spacing w:val="5"/>
          <w:sz w:val="24"/>
          <w:szCs w:val="24"/>
          <w:shd w:val="clear" w:color="auto" w:fill="FFFFFF"/>
          <w:lang w:val="en-US" w:eastAsia="zh-CN"/>
        </w:rPr>
        <w:t>预研</w:t>
      </w:r>
      <w:r>
        <w:rPr>
          <w:rFonts w:hint="default" w:ascii="Times New Roman" w:hAnsi="Times New Roman" w:eastAsia="宋体" w:cs="Times New Roman"/>
          <w:color w:val="333333"/>
          <w:spacing w:val="5"/>
          <w:sz w:val="24"/>
          <w:szCs w:val="24"/>
          <w:shd w:val="clear" w:color="auto" w:fill="FFFFFF"/>
          <w:lang w:val="en-US" w:eastAsia="zh-CN"/>
        </w:rPr>
        <w:t>工作</w:t>
      </w:r>
      <w:r>
        <w:rPr>
          <w:rFonts w:hint="eastAsia" w:ascii="Times New Roman" w:hAnsi="Times New Roman" w:eastAsia="宋体" w:cs="Times New Roman"/>
          <w:color w:val="333333"/>
          <w:spacing w:val="5"/>
          <w:sz w:val="24"/>
          <w:szCs w:val="24"/>
          <w:shd w:val="clear" w:color="auto" w:fill="FFFFFF"/>
          <w:lang w:val="en-US" w:eastAsia="zh-CN"/>
        </w:rPr>
        <w:t>。</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val="en-US" w:eastAsia="zh-CN"/>
        </w:rPr>
        <w:t>2022年</w:t>
      </w:r>
      <w:r>
        <w:rPr>
          <w:rFonts w:hint="eastAsia" w:ascii="Times New Roman" w:hAnsi="Times New Roman" w:cs="Times New Roman"/>
          <w:color w:val="333333"/>
          <w:spacing w:val="5"/>
          <w:sz w:val="24"/>
          <w:szCs w:val="24"/>
          <w:shd w:val="clear" w:color="auto" w:fill="FFFFFF"/>
          <w:lang w:val="en-US" w:eastAsia="zh-CN"/>
        </w:rPr>
        <w:t>5-7月</w:t>
      </w:r>
      <w:r>
        <w:rPr>
          <w:rFonts w:hint="eastAsia" w:cs="Times New Roman"/>
          <w:color w:val="333333"/>
          <w:spacing w:val="5"/>
          <w:sz w:val="24"/>
          <w:szCs w:val="24"/>
          <w:shd w:val="clear" w:color="auto" w:fill="FFFFFF"/>
          <w:lang w:val="en-US" w:eastAsia="zh-CN"/>
        </w:rPr>
        <w:t>，</w:t>
      </w:r>
      <w:r>
        <w:rPr>
          <w:rFonts w:hint="default" w:ascii="Times New Roman" w:hAnsi="Times New Roman" w:cs="Times New Roman"/>
          <w:color w:val="333333"/>
          <w:spacing w:val="5"/>
          <w:sz w:val="24"/>
          <w:szCs w:val="24"/>
          <w:shd w:val="clear" w:color="auto" w:fill="FFFFFF"/>
          <w:vertAlign w:val="baseline"/>
          <w:lang w:val="en-US" w:eastAsia="zh-CN"/>
        </w:rPr>
        <w:t>中国建筑材料联合会、</w:t>
      </w:r>
      <w:r>
        <w:rPr>
          <w:rFonts w:hint="default" w:ascii="Times New Roman" w:hAnsi="Times New Roman" w:eastAsia="宋体" w:cs="Times New Roman"/>
          <w:color w:val="333333"/>
          <w:spacing w:val="5"/>
          <w:sz w:val="24"/>
          <w:szCs w:val="24"/>
          <w:shd w:val="clear" w:color="auto" w:fill="FFFFFF"/>
          <w:lang w:eastAsia="zh-CN"/>
        </w:rPr>
        <w:t>北京国建联信认证中心有限公司、北京工业大学</w:t>
      </w:r>
      <w:r>
        <w:rPr>
          <w:rFonts w:hint="eastAsia" w:cs="Times New Roman"/>
          <w:color w:val="333333"/>
          <w:spacing w:val="5"/>
          <w:sz w:val="24"/>
          <w:szCs w:val="24"/>
          <w:shd w:val="clear" w:color="auto" w:fill="FFFFFF"/>
          <w:lang w:val="en-US" w:eastAsia="zh-CN"/>
        </w:rPr>
        <w:t>多次召开项目工作会，提出了建材产品减碳量方法标准包括的产品类别和各类产品特性，</w:t>
      </w:r>
      <w:r>
        <w:rPr>
          <w:rFonts w:hint="eastAsia" w:ascii="Times New Roman" w:hAnsi="Times New Roman" w:cs="Times New Roman"/>
          <w:color w:val="333333"/>
          <w:spacing w:val="5"/>
          <w:sz w:val="24"/>
          <w:szCs w:val="24"/>
          <w:shd w:val="clear" w:color="auto" w:fill="FFFFFF"/>
          <w:lang w:val="en-US" w:eastAsia="zh-CN"/>
        </w:rPr>
        <w:t>明确</w:t>
      </w:r>
      <w:r>
        <w:rPr>
          <w:rFonts w:hint="eastAsia" w:cs="Times New Roman"/>
          <w:color w:val="333333"/>
          <w:spacing w:val="5"/>
          <w:sz w:val="24"/>
          <w:szCs w:val="24"/>
          <w:shd w:val="clear" w:color="auto" w:fill="FFFFFF"/>
          <w:lang w:val="en-US" w:eastAsia="zh-CN"/>
        </w:rPr>
        <w:t>了</w:t>
      </w:r>
      <w:r>
        <w:rPr>
          <w:rFonts w:hint="eastAsia" w:ascii="Times New Roman" w:hAnsi="Times New Roman" w:cs="Times New Roman"/>
          <w:color w:val="333333"/>
          <w:spacing w:val="5"/>
          <w:sz w:val="24"/>
          <w:szCs w:val="24"/>
          <w:shd w:val="clear" w:color="auto" w:fill="FFFFFF"/>
          <w:lang w:val="en-US" w:eastAsia="zh-CN"/>
        </w:rPr>
        <w:t>标准</w:t>
      </w:r>
      <w:r>
        <w:rPr>
          <w:rFonts w:hint="eastAsia" w:cs="Times New Roman"/>
          <w:color w:val="333333"/>
          <w:spacing w:val="5"/>
          <w:sz w:val="24"/>
          <w:szCs w:val="24"/>
          <w:shd w:val="clear" w:color="auto" w:fill="FFFFFF"/>
          <w:lang w:val="en-US" w:eastAsia="zh-CN"/>
        </w:rPr>
        <w:t>的</w:t>
      </w:r>
      <w:r>
        <w:rPr>
          <w:rFonts w:hint="eastAsia" w:ascii="Times New Roman" w:hAnsi="Times New Roman" w:cs="Times New Roman"/>
          <w:color w:val="333333"/>
          <w:spacing w:val="5"/>
          <w:sz w:val="24"/>
          <w:szCs w:val="24"/>
          <w:shd w:val="clear" w:color="auto" w:fill="FFFFFF"/>
          <w:lang w:val="en-US" w:eastAsia="zh-CN"/>
        </w:rPr>
        <w:t>定位</w:t>
      </w:r>
      <w:r>
        <w:rPr>
          <w:rFonts w:hint="eastAsia" w:cs="Times New Roman"/>
          <w:color w:val="333333"/>
          <w:spacing w:val="5"/>
          <w:sz w:val="24"/>
          <w:szCs w:val="24"/>
          <w:shd w:val="clear" w:color="auto" w:fill="FFFFFF"/>
          <w:lang w:val="en-US" w:eastAsia="zh-CN"/>
        </w:rPr>
        <w:t>以及</w:t>
      </w:r>
      <w:r>
        <w:rPr>
          <w:rFonts w:hint="eastAsia" w:ascii="Times New Roman" w:hAnsi="Times New Roman" w:cs="Times New Roman"/>
          <w:color w:val="333333"/>
          <w:spacing w:val="5"/>
          <w:sz w:val="24"/>
          <w:szCs w:val="24"/>
          <w:shd w:val="clear" w:color="auto" w:fill="FFFFFF"/>
          <w:lang w:val="en-US" w:eastAsia="zh-CN"/>
        </w:rPr>
        <w:t>主要内容。</w:t>
      </w:r>
      <w:r>
        <w:rPr>
          <w:rFonts w:hint="eastAsia" w:cs="Times New Roman"/>
          <w:color w:val="333333"/>
          <w:spacing w:val="5"/>
          <w:sz w:val="24"/>
          <w:szCs w:val="24"/>
          <w:shd w:val="clear" w:color="auto" w:fill="FFFFFF"/>
          <w:lang w:val="en-US" w:eastAsia="zh-CN"/>
        </w:rPr>
        <w:t>重点对使用阶段有保温隔热和光电转化性能产品的低碳指标核算方法的技术问题进行研讨，提出了建材产品减碳量评估方法。</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val="en-US" w:eastAsia="zh-CN"/>
        </w:rPr>
        <w:t>2022年</w:t>
      </w:r>
      <w:r>
        <w:rPr>
          <w:rFonts w:hint="eastAsia" w:ascii="Times New Roman" w:hAnsi="Times New Roman" w:cs="Times New Roman"/>
          <w:color w:val="333333"/>
          <w:spacing w:val="5"/>
          <w:sz w:val="24"/>
          <w:szCs w:val="24"/>
          <w:shd w:val="clear" w:color="auto" w:fill="FFFFFF"/>
          <w:lang w:val="en-US" w:eastAsia="zh-CN"/>
        </w:rPr>
        <w:t>8-11月</w:t>
      </w:r>
      <w:r>
        <w:rPr>
          <w:rFonts w:hint="eastAsia" w:cs="Times New Roman"/>
          <w:color w:val="333333"/>
          <w:spacing w:val="5"/>
          <w:sz w:val="24"/>
          <w:szCs w:val="24"/>
          <w:shd w:val="clear" w:color="auto" w:fill="FFFFFF"/>
          <w:lang w:val="en-US" w:eastAsia="zh-CN"/>
        </w:rPr>
        <w:t>，标准编制组就标准草案召开多次内部讨论会，定向征求行业专家意见，进一步完善标准草案，并针对建材产品开展减碳量评估方法可行性验证分析。</w:t>
      </w:r>
    </w:p>
    <w:p>
      <w:pPr>
        <w:pageBreakBefore w:val="0"/>
        <w:kinsoku/>
        <w:wordWrap/>
        <w:overflowPunct/>
        <w:topLinePunct w:val="0"/>
        <w:autoSpaceDE/>
        <w:autoSpaceDN/>
        <w:bidi w:val="0"/>
        <w:adjustRightInd/>
        <w:snapToGrid/>
        <w:spacing w:line="520" w:lineRule="exact"/>
        <w:ind w:firstLine="500" w:firstLineChars="200"/>
        <w:jc w:val="left"/>
        <w:rPr>
          <w:rFonts w:hint="eastAsia"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highlight w:val="none"/>
          <w:shd w:val="clear" w:color="auto" w:fill="FFFFFF"/>
          <w:lang w:val="en-US" w:eastAsia="zh-CN"/>
        </w:rPr>
        <w:t>202</w:t>
      </w:r>
      <w:r>
        <w:rPr>
          <w:rFonts w:hint="eastAsia" w:ascii="Times New Roman" w:hAnsi="Times New Roman" w:cs="Times New Roman"/>
          <w:color w:val="333333"/>
          <w:spacing w:val="5"/>
          <w:sz w:val="24"/>
          <w:szCs w:val="24"/>
          <w:highlight w:val="none"/>
          <w:shd w:val="clear" w:color="auto" w:fill="FFFFFF"/>
          <w:lang w:val="en-US" w:eastAsia="zh-CN"/>
        </w:rPr>
        <w:t>3</w:t>
      </w:r>
      <w:r>
        <w:rPr>
          <w:rFonts w:hint="default" w:ascii="Times New Roman" w:hAnsi="Times New Roman" w:eastAsia="宋体" w:cs="Times New Roman"/>
          <w:color w:val="333333"/>
          <w:spacing w:val="5"/>
          <w:sz w:val="24"/>
          <w:szCs w:val="24"/>
          <w:highlight w:val="none"/>
          <w:shd w:val="clear" w:color="auto" w:fill="FFFFFF"/>
          <w:lang w:val="en-US" w:eastAsia="zh-CN"/>
        </w:rPr>
        <w:t>年</w:t>
      </w:r>
      <w:r>
        <w:rPr>
          <w:rFonts w:hint="eastAsia" w:ascii="Times New Roman" w:hAnsi="Times New Roman" w:cs="Times New Roman"/>
          <w:color w:val="333333"/>
          <w:spacing w:val="5"/>
          <w:sz w:val="24"/>
          <w:szCs w:val="24"/>
          <w:highlight w:val="none"/>
          <w:shd w:val="clear" w:color="auto" w:fill="FFFFFF"/>
          <w:lang w:val="en-US" w:eastAsia="zh-CN"/>
        </w:rPr>
        <w:t>3月</w:t>
      </w:r>
      <w:r>
        <w:rPr>
          <w:rFonts w:hint="eastAsia" w:cs="Times New Roman"/>
          <w:color w:val="333333"/>
          <w:spacing w:val="5"/>
          <w:sz w:val="24"/>
          <w:szCs w:val="24"/>
          <w:highlight w:val="none"/>
          <w:shd w:val="clear" w:color="auto" w:fill="FFFFFF"/>
          <w:lang w:val="en-US" w:eastAsia="zh-CN"/>
        </w:rPr>
        <w:t>7日，中国建筑材料联合会正式下达</w:t>
      </w:r>
      <w:r>
        <w:rPr>
          <w:rFonts w:hint="default" w:ascii="Times New Roman" w:hAnsi="Times New Roman" w:eastAsia="宋体" w:cs="Times New Roman"/>
          <w:color w:val="333333"/>
          <w:spacing w:val="5"/>
          <w:sz w:val="24"/>
          <w:szCs w:val="24"/>
          <w:highlight w:val="none"/>
          <w:shd w:val="clear" w:color="auto" w:fill="FFFFFF"/>
          <w:lang w:val="en-US" w:eastAsia="zh-CN"/>
        </w:rPr>
        <w:t>《建材产品减碳量评估</w:t>
      </w:r>
      <w:r>
        <w:rPr>
          <w:rFonts w:hint="default" w:ascii="Times New Roman" w:hAnsi="Times New Roman" w:eastAsia="宋体" w:cs="Times New Roman"/>
          <w:color w:val="333333"/>
          <w:spacing w:val="5"/>
          <w:sz w:val="24"/>
          <w:szCs w:val="24"/>
          <w:shd w:val="clear" w:color="auto" w:fill="FFFFFF"/>
          <w:lang w:val="en-US" w:eastAsia="zh-CN"/>
        </w:rPr>
        <w:t>方法》（2023-38-xbjh）</w:t>
      </w:r>
      <w:r>
        <w:rPr>
          <w:rFonts w:hint="default" w:ascii="Times New Roman" w:hAnsi="Times New Roman" w:cs="Times New Roman"/>
          <w:color w:val="333333"/>
          <w:spacing w:val="5"/>
          <w:sz w:val="24"/>
          <w:szCs w:val="24"/>
          <w:shd w:val="clear" w:color="auto" w:fill="FFFFFF"/>
          <w:lang w:val="en-US" w:eastAsia="zh-CN"/>
        </w:rPr>
        <w:t>协会标准</w:t>
      </w:r>
      <w:r>
        <w:rPr>
          <w:rFonts w:hint="eastAsia" w:cs="Times New Roman"/>
          <w:color w:val="333333"/>
          <w:spacing w:val="5"/>
          <w:sz w:val="24"/>
          <w:szCs w:val="24"/>
          <w:shd w:val="clear" w:color="auto" w:fill="FFFFFF"/>
          <w:lang w:val="en-US" w:eastAsia="zh-CN"/>
        </w:rPr>
        <w:t>计划。</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eastAsia" w:cs="Times New Roman"/>
          <w:color w:val="333333"/>
          <w:spacing w:val="5"/>
          <w:sz w:val="24"/>
          <w:szCs w:val="24"/>
          <w:shd w:val="clear" w:color="auto" w:fill="FFFFFF"/>
          <w:lang w:val="en-US" w:eastAsia="zh-CN"/>
        </w:rPr>
        <w:t>2023年4月，中国建筑材料联合会完善标准草案，提交了国家标准立项申请。并于10月完成立项答辩。</w:t>
      </w:r>
    </w:p>
    <w:p>
      <w:pPr>
        <w:pageBreakBefore w:val="0"/>
        <w:kinsoku/>
        <w:wordWrap/>
        <w:overflowPunct/>
        <w:topLinePunct w:val="0"/>
        <w:autoSpaceDE/>
        <w:autoSpaceDN/>
        <w:bidi w:val="0"/>
        <w:adjustRightInd/>
        <w:snapToGrid/>
        <w:spacing w:line="520" w:lineRule="exact"/>
        <w:ind w:firstLine="500" w:firstLineChars="200"/>
        <w:jc w:val="left"/>
        <w:rPr>
          <w:rFonts w:hint="default" w:cs="Times New Roman"/>
          <w:color w:val="333333"/>
          <w:spacing w:val="5"/>
          <w:sz w:val="24"/>
          <w:szCs w:val="24"/>
          <w:shd w:val="clear" w:color="auto" w:fill="FFFFFF"/>
          <w:lang w:val="en-US" w:eastAsia="zh-CN"/>
        </w:rPr>
      </w:pPr>
      <w:r>
        <w:rPr>
          <w:rFonts w:hint="eastAsia" w:cs="Times New Roman"/>
          <w:color w:val="333333"/>
          <w:spacing w:val="5"/>
          <w:sz w:val="24"/>
          <w:szCs w:val="24"/>
          <w:shd w:val="clear" w:color="auto" w:fill="FFFFFF"/>
          <w:lang w:val="en-US" w:eastAsia="zh-CN"/>
        </w:rPr>
        <w:t>2023年5月，</w:t>
      </w:r>
      <w:r>
        <w:rPr>
          <w:rFonts w:hint="default" w:ascii="Times New Roman" w:hAnsi="Times New Roman" w:eastAsia="宋体" w:cs="Times New Roman"/>
          <w:color w:val="333333"/>
          <w:spacing w:val="5"/>
          <w:sz w:val="24"/>
          <w:szCs w:val="24"/>
          <w:highlight w:val="none"/>
          <w:shd w:val="clear" w:color="auto" w:fill="FFFFFF"/>
          <w:lang w:val="en-US" w:eastAsia="zh-CN"/>
        </w:rPr>
        <w:t>《建材产品减碳量评估</w:t>
      </w:r>
      <w:r>
        <w:rPr>
          <w:rFonts w:hint="default" w:ascii="Times New Roman" w:hAnsi="Times New Roman" w:eastAsia="宋体" w:cs="Times New Roman"/>
          <w:color w:val="333333"/>
          <w:spacing w:val="5"/>
          <w:sz w:val="24"/>
          <w:szCs w:val="24"/>
          <w:shd w:val="clear" w:color="auto" w:fill="FFFFFF"/>
          <w:lang w:val="en-US" w:eastAsia="zh-CN"/>
        </w:rPr>
        <w:t>方法》（2023-38-xbjh）</w:t>
      </w:r>
      <w:r>
        <w:rPr>
          <w:rFonts w:hint="default" w:ascii="Times New Roman" w:hAnsi="Times New Roman" w:cs="Times New Roman"/>
          <w:color w:val="333333"/>
          <w:spacing w:val="5"/>
          <w:sz w:val="24"/>
          <w:szCs w:val="24"/>
          <w:shd w:val="clear" w:color="auto" w:fill="FFFFFF"/>
          <w:lang w:val="en-US" w:eastAsia="zh-CN"/>
        </w:rPr>
        <w:t>协会</w:t>
      </w:r>
      <w:r>
        <w:rPr>
          <w:rFonts w:hint="eastAsia" w:cs="Times New Roman"/>
          <w:color w:val="333333"/>
          <w:spacing w:val="5"/>
          <w:sz w:val="24"/>
          <w:szCs w:val="24"/>
          <w:shd w:val="clear" w:color="auto" w:fill="FFFFFF"/>
          <w:lang w:val="en-US" w:eastAsia="zh-CN"/>
        </w:rPr>
        <w:t>标准公开征求意见。通过公开征求和定向发送，共征集到17条意见建议。</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eastAsia" w:cs="Times New Roman"/>
          <w:color w:val="333333"/>
          <w:spacing w:val="5"/>
          <w:sz w:val="24"/>
          <w:szCs w:val="24"/>
          <w:shd w:val="clear" w:color="auto" w:fill="FFFFFF"/>
          <w:lang w:val="en-US" w:eastAsia="zh-CN"/>
        </w:rPr>
        <w:t>2023年12月，国标委发布《</w:t>
      </w:r>
      <w:r>
        <w:rPr>
          <w:rFonts w:hint="default" w:ascii="Times New Roman" w:hAnsi="Times New Roman" w:eastAsia="宋体" w:cs="Times New Roman"/>
          <w:color w:val="333333"/>
          <w:spacing w:val="5"/>
          <w:sz w:val="24"/>
          <w:szCs w:val="24"/>
          <w:shd w:val="clear" w:color="auto" w:fill="FFFFFF"/>
          <w:lang w:val="en-US" w:eastAsia="zh-CN"/>
        </w:rPr>
        <w:t>国家标准化管理委员会关于下达碳达峰碳中和国家标准专项计划及相关标准外文版计划的通知</w:t>
      </w:r>
      <w:r>
        <w:rPr>
          <w:rFonts w:hint="eastAsia" w:cs="Times New Roman"/>
          <w:color w:val="333333"/>
          <w:spacing w:val="5"/>
          <w:sz w:val="24"/>
          <w:szCs w:val="24"/>
          <w:shd w:val="clear" w:color="auto" w:fill="FFFFFF"/>
          <w:lang w:val="en-US" w:eastAsia="zh-CN"/>
        </w:rPr>
        <w:t>》，标准正式立项。</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eastAsia" w:cs="Times New Roman"/>
          <w:color w:val="333333"/>
          <w:spacing w:val="5"/>
          <w:sz w:val="24"/>
          <w:szCs w:val="24"/>
          <w:shd w:val="clear" w:color="auto" w:fill="FFFFFF"/>
          <w:lang w:val="en-US" w:eastAsia="zh-CN"/>
        </w:rPr>
        <w:t>2024年</w:t>
      </w:r>
      <w:r>
        <w:rPr>
          <w:rFonts w:hint="eastAsia" w:ascii="Times New Roman" w:hAnsi="Times New Roman" w:cs="Times New Roman"/>
          <w:color w:val="333333"/>
          <w:spacing w:val="5"/>
          <w:sz w:val="24"/>
          <w:szCs w:val="24"/>
          <w:shd w:val="clear" w:color="auto" w:fill="FFFFFF"/>
          <w:lang w:val="en-US" w:eastAsia="zh-CN"/>
        </w:rPr>
        <w:t>3月</w:t>
      </w:r>
      <w:r>
        <w:rPr>
          <w:rFonts w:hint="eastAsia" w:cs="Times New Roman"/>
          <w:color w:val="333333"/>
          <w:spacing w:val="5"/>
          <w:sz w:val="24"/>
          <w:szCs w:val="24"/>
          <w:shd w:val="clear" w:color="auto" w:fill="FFFFFF"/>
          <w:lang w:val="en-US" w:eastAsia="zh-CN"/>
        </w:rPr>
        <w:t>，起草组多次进行内部沟通，并结合团标征求到的意见建议，不断完善标准草案。3月底组织召开标准启动推进会。</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val="en-US" w:eastAsia="zh-CN"/>
        </w:rPr>
        <w:t>202</w:t>
      </w:r>
      <w:r>
        <w:rPr>
          <w:rFonts w:hint="eastAsia" w:cs="Times New Roman"/>
          <w:color w:val="333333"/>
          <w:spacing w:val="5"/>
          <w:sz w:val="24"/>
          <w:szCs w:val="24"/>
          <w:shd w:val="clear" w:color="auto" w:fill="FFFFFF"/>
          <w:lang w:val="en-US" w:eastAsia="zh-CN"/>
        </w:rPr>
        <w:t>4</w:t>
      </w:r>
      <w:r>
        <w:rPr>
          <w:rFonts w:hint="default" w:ascii="Times New Roman" w:hAnsi="Times New Roman" w:eastAsia="宋体" w:cs="Times New Roman"/>
          <w:color w:val="333333"/>
          <w:spacing w:val="5"/>
          <w:sz w:val="24"/>
          <w:szCs w:val="24"/>
          <w:shd w:val="clear" w:color="auto" w:fill="FFFFFF"/>
          <w:lang w:val="en-US" w:eastAsia="zh-CN"/>
        </w:rPr>
        <w:t>年</w:t>
      </w:r>
      <w:r>
        <w:rPr>
          <w:rFonts w:hint="eastAsia" w:cs="Times New Roman"/>
          <w:color w:val="333333"/>
          <w:spacing w:val="5"/>
          <w:sz w:val="24"/>
          <w:szCs w:val="24"/>
          <w:shd w:val="clear" w:color="auto" w:fill="FFFFFF"/>
          <w:lang w:val="en-US" w:eastAsia="zh-CN"/>
        </w:rPr>
        <w:t>4-5</w:t>
      </w:r>
      <w:r>
        <w:rPr>
          <w:rFonts w:hint="eastAsia" w:ascii="Times New Roman" w:hAnsi="Times New Roman" w:cs="Times New Roman"/>
          <w:color w:val="333333"/>
          <w:spacing w:val="5"/>
          <w:sz w:val="24"/>
          <w:szCs w:val="24"/>
          <w:shd w:val="clear" w:color="auto" w:fill="FFFFFF"/>
          <w:lang w:val="en-US" w:eastAsia="zh-CN"/>
        </w:rPr>
        <w:t>月</w:t>
      </w:r>
      <w:r>
        <w:rPr>
          <w:rFonts w:hint="default" w:ascii="Times New Roman" w:hAnsi="Times New Roman" w:eastAsia="宋体" w:cs="Times New Roman"/>
          <w:color w:val="333333"/>
          <w:spacing w:val="5"/>
          <w:sz w:val="24"/>
          <w:szCs w:val="24"/>
          <w:shd w:val="clear" w:color="auto" w:fill="FFFFFF"/>
          <w:lang w:val="en-US" w:eastAsia="zh-CN"/>
        </w:rPr>
        <w:t>，</w:t>
      </w:r>
      <w:r>
        <w:rPr>
          <w:rFonts w:hint="eastAsia" w:cs="Times New Roman"/>
          <w:color w:val="333333"/>
          <w:spacing w:val="5"/>
          <w:sz w:val="24"/>
          <w:szCs w:val="24"/>
          <w:shd w:val="clear" w:color="auto" w:fill="FFFFFF"/>
          <w:lang w:val="en-US" w:eastAsia="zh-CN"/>
        </w:rPr>
        <w:t>标准起草组</w:t>
      </w:r>
      <w:r>
        <w:rPr>
          <w:rFonts w:hint="default" w:ascii="Times New Roman" w:hAnsi="Times New Roman" w:cs="Times New Roman"/>
          <w:color w:val="333333"/>
          <w:spacing w:val="5"/>
          <w:sz w:val="24"/>
          <w:szCs w:val="24"/>
          <w:shd w:val="clear" w:color="auto" w:fill="FFFFFF"/>
          <w:lang w:val="en-US" w:eastAsia="zh-CN"/>
        </w:rPr>
        <w:t>多次与行业专家和产品生产</w:t>
      </w:r>
      <w:r>
        <w:rPr>
          <w:rFonts w:hint="eastAsia" w:cs="Times New Roman"/>
          <w:color w:val="333333"/>
          <w:spacing w:val="5"/>
          <w:sz w:val="24"/>
          <w:szCs w:val="24"/>
          <w:shd w:val="clear" w:color="auto" w:fill="FFFFFF"/>
          <w:lang w:val="en-US" w:eastAsia="zh-CN"/>
        </w:rPr>
        <w:t>、</w:t>
      </w:r>
      <w:r>
        <w:rPr>
          <w:rFonts w:hint="default" w:ascii="Times New Roman" w:hAnsi="Times New Roman" w:cs="Times New Roman"/>
          <w:color w:val="333333"/>
          <w:spacing w:val="5"/>
          <w:sz w:val="24"/>
          <w:szCs w:val="24"/>
          <w:shd w:val="clear" w:color="auto" w:fill="FFFFFF"/>
          <w:lang w:val="en-US" w:eastAsia="zh-CN"/>
        </w:rPr>
        <w:t>应用企业进行讨论，</w:t>
      </w:r>
      <w:r>
        <w:rPr>
          <w:rFonts w:hint="eastAsia" w:cs="Times New Roman"/>
          <w:color w:val="333333"/>
          <w:spacing w:val="5"/>
          <w:sz w:val="24"/>
          <w:szCs w:val="24"/>
          <w:shd w:val="clear" w:color="auto" w:fill="FFFFFF"/>
          <w:lang w:val="en-US" w:eastAsia="zh-CN"/>
        </w:rPr>
        <w:t>进一步对建材</w:t>
      </w:r>
      <w:r>
        <w:rPr>
          <w:rFonts w:hint="default" w:ascii="Times New Roman" w:hAnsi="Times New Roman" w:cs="Times New Roman"/>
          <w:color w:val="333333"/>
          <w:spacing w:val="5"/>
          <w:sz w:val="24"/>
          <w:szCs w:val="24"/>
          <w:shd w:val="clear" w:color="auto" w:fill="FFFFFF"/>
          <w:lang w:val="en-US" w:eastAsia="zh-CN"/>
        </w:rPr>
        <w:t>产品减碳量核算</w:t>
      </w:r>
      <w:r>
        <w:rPr>
          <w:rFonts w:hint="eastAsia" w:cs="Times New Roman"/>
          <w:color w:val="333333"/>
          <w:spacing w:val="5"/>
          <w:sz w:val="24"/>
          <w:szCs w:val="24"/>
          <w:shd w:val="clear" w:color="auto" w:fill="FFFFFF"/>
          <w:lang w:val="en-US" w:eastAsia="zh-CN"/>
        </w:rPr>
        <w:t>方法进行</w:t>
      </w:r>
      <w:r>
        <w:rPr>
          <w:rFonts w:hint="default" w:ascii="Times New Roman" w:hAnsi="Times New Roman" w:cs="Times New Roman"/>
          <w:color w:val="333333"/>
          <w:spacing w:val="5"/>
          <w:sz w:val="24"/>
          <w:szCs w:val="24"/>
          <w:shd w:val="clear" w:color="auto" w:fill="FFFFFF"/>
          <w:lang w:val="en-US" w:eastAsia="zh-CN"/>
        </w:rPr>
        <w:t>验证分析</w:t>
      </w:r>
      <w:r>
        <w:rPr>
          <w:rFonts w:hint="eastAsia" w:cs="Times New Roman"/>
          <w:color w:val="333333"/>
          <w:spacing w:val="5"/>
          <w:sz w:val="24"/>
          <w:szCs w:val="24"/>
          <w:shd w:val="clear" w:color="auto" w:fill="FFFFFF"/>
          <w:lang w:val="en-US" w:eastAsia="zh-CN"/>
        </w:rPr>
        <w:t>，</w:t>
      </w:r>
      <w:r>
        <w:rPr>
          <w:rFonts w:hint="default" w:ascii="Times New Roman" w:hAnsi="Times New Roman" w:cs="Times New Roman"/>
          <w:color w:val="333333"/>
          <w:spacing w:val="5"/>
          <w:sz w:val="24"/>
          <w:szCs w:val="24"/>
          <w:shd w:val="clear" w:color="auto" w:fill="FFFFFF"/>
          <w:lang w:val="en-US" w:eastAsia="zh-CN"/>
        </w:rPr>
        <w:t>并对各项要求进行细化说明，</w:t>
      </w:r>
      <w:r>
        <w:rPr>
          <w:rFonts w:hint="eastAsia" w:cs="Times New Roman"/>
          <w:color w:val="333333"/>
          <w:spacing w:val="5"/>
          <w:sz w:val="24"/>
          <w:szCs w:val="24"/>
          <w:shd w:val="clear" w:color="auto" w:fill="FFFFFF"/>
          <w:lang w:val="en-US" w:eastAsia="zh-CN"/>
        </w:rPr>
        <w:t>完</w:t>
      </w:r>
      <w:r>
        <w:rPr>
          <w:rFonts w:hint="default" w:ascii="Times New Roman" w:hAnsi="Times New Roman" w:cs="Times New Roman"/>
          <w:color w:val="333333"/>
          <w:spacing w:val="5"/>
          <w:sz w:val="24"/>
          <w:szCs w:val="24"/>
          <w:shd w:val="clear" w:color="auto" w:fill="FFFFFF"/>
          <w:lang w:val="en-US" w:eastAsia="zh-CN"/>
        </w:rPr>
        <w:t>成标准征求意见稿</w:t>
      </w:r>
      <w:r>
        <w:rPr>
          <w:rFonts w:hint="eastAsia" w:cs="Times New Roman"/>
          <w:color w:val="333333"/>
          <w:spacing w:val="5"/>
          <w:sz w:val="24"/>
          <w:szCs w:val="24"/>
          <w:shd w:val="clear" w:color="auto" w:fill="FFFFFF"/>
          <w:lang w:val="en-US" w:eastAsia="zh-CN"/>
        </w:rPr>
        <w:t>和编制说明</w:t>
      </w:r>
      <w:r>
        <w:rPr>
          <w:rFonts w:hint="default" w:ascii="Times New Roman" w:hAnsi="Times New Roman" w:cs="Times New Roman"/>
          <w:color w:val="333333"/>
          <w:spacing w:val="5"/>
          <w:sz w:val="24"/>
          <w:szCs w:val="24"/>
          <w:shd w:val="clear" w:color="auto" w:fill="FFFFFF"/>
          <w:lang w:val="en-US" w:eastAsia="zh-CN"/>
        </w:rPr>
        <w:t>。</w:t>
      </w:r>
    </w:p>
    <w:p>
      <w:pPr>
        <w:pageBreakBefore w:val="0"/>
        <w:kinsoku/>
        <w:wordWrap/>
        <w:overflowPunct/>
        <w:topLinePunct w:val="0"/>
        <w:autoSpaceDE/>
        <w:autoSpaceDN/>
        <w:bidi w:val="0"/>
        <w:adjustRightInd/>
        <w:snapToGrid/>
        <w:spacing w:line="520" w:lineRule="exact"/>
        <w:ind w:firstLine="500" w:firstLineChars="200"/>
        <w:jc w:val="left"/>
        <w:rPr>
          <w:rFonts w:hint="default"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val="en-US" w:eastAsia="zh-CN"/>
        </w:rPr>
        <w:t>202</w:t>
      </w:r>
      <w:r>
        <w:rPr>
          <w:rFonts w:hint="eastAsia" w:cs="Times New Roman"/>
          <w:color w:val="333333"/>
          <w:spacing w:val="5"/>
          <w:sz w:val="24"/>
          <w:szCs w:val="24"/>
          <w:shd w:val="clear" w:color="auto" w:fill="FFFFFF"/>
          <w:lang w:val="en-US" w:eastAsia="zh-CN"/>
        </w:rPr>
        <w:t>4</w:t>
      </w:r>
      <w:r>
        <w:rPr>
          <w:rFonts w:hint="default" w:ascii="Times New Roman" w:hAnsi="Times New Roman" w:eastAsia="宋体" w:cs="Times New Roman"/>
          <w:color w:val="333333"/>
          <w:spacing w:val="5"/>
          <w:sz w:val="24"/>
          <w:szCs w:val="24"/>
          <w:shd w:val="clear" w:color="auto" w:fill="FFFFFF"/>
          <w:lang w:val="en-US" w:eastAsia="zh-CN"/>
        </w:rPr>
        <w:t>年</w:t>
      </w:r>
      <w:r>
        <w:rPr>
          <w:rFonts w:hint="eastAsia" w:cs="Times New Roman"/>
          <w:color w:val="333333"/>
          <w:spacing w:val="5"/>
          <w:sz w:val="24"/>
          <w:szCs w:val="24"/>
          <w:shd w:val="clear" w:color="auto" w:fill="FFFFFF"/>
          <w:lang w:val="en-US" w:eastAsia="zh-CN"/>
        </w:rPr>
        <w:t>5</w:t>
      </w:r>
      <w:r>
        <w:rPr>
          <w:rFonts w:hint="eastAsia" w:ascii="Times New Roman" w:hAnsi="Times New Roman" w:cs="Times New Roman"/>
          <w:color w:val="333333"/>
          <w:spacing w:val="5"/>
          <w:sz w:val="24"/>
          <w:szCs w:val="24"/>
          <w:shd w:val="clear" w:color="auto" w:fill="FFFFFF"/>
          <w:lang w:val="en-US" w:eastAsia="zh-CN"/>
        </w:rPr>
        <w:t>月</w:t>
      </w:r>
      <w:r>
        <w:rPr>
          <w:rFonts w:hint="eastAsia" w:cs="Times New Roman"/>
          <w:color w:val="333333"/>
          <w:spacing w:val="5"/>
          <w:sz w:val="24"/>
          <w:szCs w:val="24"/>
          <w:shd w:val="clear" w:color="auto" w:fill="FFFFFF"/>
          <w:lang w:val="en-US" w:eastAsia="zh-CN"/>
        </w:rPr>
        <w:t>底</w:t>
      </w:r>
      <w:r>
        <w:rPr>
          <w:rFonts w:hint="default" w:ascii="Times New Roman" w:hAnsi="Times New Roman" w:eastAsia="宋体" w:cs="Times New Roman"/>
          <w:color w:val="333333"/>
          <w:spacing w:val="5"/>
          <w:sz w:val="24"/>
          <w:szCs w:val="24"/>
          <w:shd w:val="clear" w:color="auto" w:fill="FFFFFF"/>
          <w:lang w:val="en-US" w:eastAsia="zh-CN"/>
        </w:rPr>
        <w:t>，</w:t>
      </w:r>
      <w:r>
        <w:rPr>
          <w:rFonts w:hint="eastAsia" w:cs="Times New Roman"/>
          <w:color w:val="333333"/>
          <w:spacing w:val="5"/>
          <w:sz w:val="24"/>
          <w:szCs w:val="24"/>
          <w:shd w:val="clear" w:color="auto" w:fill="FFFFFF"/>
          <w:lang w:val="en-US" w:eastAsia="zh-CN"/>
        </w:rPr>
        <w:t>标准起草组将标准征求意见稿和编制说明提报归口单位申请公开征求意见。</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rPr>
      </w:pPr>
      <w:bookmarkStart w:id="15" w:name="_Toc5674"/>
      <w:bookmarkStart w:id="16" w:name="_Toc14390"/>
      <w:r>
        <w:rPr>
          <w:rFonts w:hint="default" w:ascii="Times New Roman" w:hAnsi="Times New Roman" w:cs="Times New Roman"/>
          <w:lang w:eastAsia="zh-CN"/>
        </w:rPr>
        <w:t>二、标准编制原则和主要内容</w:t>
      </w:r>
      <w:bookmarkEnd w:id="15"/>
      <w:bookmarkEnd w:id="16"/>
    </w:p>
    <w:p>
      <w:pPr>
        <w:pStyle w:val="3"/>
        <w:pageBreakBefore w:val="0"/>
        <w:kinsoku/>
        <w:wordWrap/>
        <w:overflowPunct/>
        <w:topLinePunct w:val="0"/>
        <w:autoSpaceDE/>
        <w:autoSpaceDN/>
        <w:bidi w:val="0"/>
        <w:adjustRightInd/>
        <w:snapToGrid/>
        <w:spacing w:line="520" w:lineRule="exact"/>
        <w:rPr>
          <w:rFonts w:hint="default" w:ascii="Times New Roman" w:hAnsi="Times New Roman" w:eastAsia="黑体" w:cs="Times New Roman"/>
          <w:lang w:eastAsia="zh-CN"/>
        </w:rPr>
      </w:pPr>
      <w:bookmarkStart w:id="17" w:name="_Toc15945"/>
      <w:bookmarkStart w:id="18" w:name="_Toc12510"/>
      <w:r>
        <w:rPr>
          <w:rFonts w:hint="default" w:ascii="Times New Roman" w:hAnsi="Times New Roman" w:eastAsia="黑体" w:cs="Times New Roman"/>
          <w:lang w:val="en-US" w:eastAsia="zh-CN"/>
        </w:rPr>
        <w:t>1.</w:t>
      </w:r>
      <w:r>
        <w:rPr>
          <w:rFonts w:hint="default" w:ascii="Times New Roman" w:hAnsi="Times New Roman" w:eastAsia="黑体" w:cs="Times New Roman"/>
          <w:lang w:eastAsia="zh-CN"/>
        </w:rPr>
        <w:t>标准制定的基本原则</w:t>
      </w:r>
      <w:bookmarkEnd w:id="17"/>
      <w:bookmarkEnd w:id="18"/>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cs="Times New Roman"/>
          <w:color w:val="333333"/>
          <w:spacing w:val="5"/>
          <w:sz w:val="24"/>
          <w:szCs w:val="24"/>
          <w:shd w:val="clear" w:color="auto" w:fill="FFFFFF"/>
          <w:lang w:val="en-US" w:eastAsia="zh-CN"/>
        </w:rPr>
        <w:t>1</w:t>
      </w:r>
      <w:r>
        <w:rPr>
          <w:rFonts w:hint="default" w:ascii="Times New Roman" w:hAnsi="Times New Roman"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规范性。</w:t>
      </w:r>
      <w:r>
        <w:rPr>
          <w:rFonts w:hint="default" w:ascii="Times New Roman" w:hAnsi="Times New Roman" w:eastAsia="宋体" w:cs="Times New Roman"/>
          <w:color w:val="333333"/>
          <w:spacing w:val="5"/>
          <w:sz w:val="24"/>
          <w:szCs w:val="24"/>
          <w:shd w:val="clear" w:color="auto" w:fill="FFFFFF"/>
          <w:lang w:eastAsia="zh-CN"/>
        </w:rPr>
        <w:t>本</w:t>
      </w:r>
      <w:r>
        <w:rPr>
          <w:rFonts w:hint="default" w:ascii="Times New Roman" w:hAnsi="Times New Roman" w:cs="Times New Roman"/>
          <w:color w:val="333333"/>
          <w:spacing w:val="5"/>
          <w:sz w:val="24"/>
          <w:szCs w:val="24"/>
          <w:shd w:val="clear" w:color="auto" w:fill="FFFFFF"/>
          <w:lang w:val="en-US" w:eastAsia="zh-CN"/>
        </w:rPr>
        <w:t>文件</w:t>
      </w:r>
      <w:r>
        <w:rPr>
          <w:rFonts w:hint="default" w:ascii="Times New Roman" w:hAnsi="Times New Roman" w:eastAsia="宋体" w:cs="Times New Roman"/>
          <w:color w:val="333333"/>
          <w:spacing w:val="5"/>
          <w:sz w:val="24"/>
          <w:szCs w:val="24"/>
          <w:shd w:val="clear" w:color="auto" w:fill="FFFFFF"/>
          <w:lang w:eastAsia="zh-CN"/>
        </w:rPr>
        <w:t>的制定是</w:t>
      </w:r>
      <w:r>
        <w:rPr>
          <w:rFonts w:hint="default" w:ascii="Times New Roman" w:hAnsi="Times New Roman" w:cs="Times New Roman"/>
          <w:color w:val="333333"/>
          <w:spacing w:val="5"/>
          <w:sz w:val="24"/>
          <w:szCs w:val="24"/>
          <w:shd w:val="clear" w:color="auto" w:fill="FFFFFF"/>
          <w:lang w:eastAsia="zh-CN"/>
        </w:rPr>
        <w:t>以</w:t>
      </w:r>
      <w:r>
        <w:rPr>
          <w:rFonts w:hint="default" w:ascii="Times New Roman" w:hAnsi="Times New Roman" w:eastAsia="宋体" w:cs="Times New Roman"/>
          <w:color w:val="333333"/>
          <w:spacing w:val="5"/>
          <w:sz w:val="24"/>
          <w:szCs w:val="24"/>
          <w:shd w:val="clear" w:color="auto" w:fill="FFFFFF"/>
          <w:lang w:eastAsia="zh-CN"/>
        </w:rPr>
        <w:t>GB/T 1.1—2020《标准化工作导则 第1部分：标准化文件的结构和起草规则》</w:t>
      </w:r>
      <w:r>
        <w:rPr>
          <w:rFonts w:hint="default" w:ascii="Times New Roman" w:hAnsi="Times New Roman" w:cs="Times New Roman"/>
          <w:color w:val="333333"/>
          <w:spacing w:val="5"/>
          <w:sz w:val="24"/>
          <w:szCs w:val="24"/>
          <w:shd w:val="clear" w:color="auto" w:fill="FFFFFF"/>
          <w:lang w:eastAsia="zh-CN"/>
        </w:rPr>
        <w:t>为指导，</w:t>
      </w:r>
      <w:r>
        <w:rPr>
          <w:rFonts w:hint="default" w:ascii="Times New Roman" w:hAnsi="Times New Roman" w:eastAsia="宋体" w:cs="Times New Roman"/>
          <w:color w:val="333333"/>
          <w:spacing w:val="5"/>
          <w:sz w:val="24"/>
          <w:szCs w:val="24"/>
          <w:shd w:val="clear" w:color="auto" w:fill="FFFFFF"/>
          <w:lang w:eastAsia="zh-CN"/>
        </w:rPr>
        <w:t>标准格式、结构和内容</w:t>
      </w:r>
      <w:r>
        <w:rPr>
          <w:rFonts w:hint="default" w:ascii="Times New Roman" w:hAnsi="Times New Roman" w:cs="Times New Roman"/>
          <w:color w:val="333333"/>
          <w:spacing w:val="5"/>
          <w:sz w:val="24"/>
          <w:szCs w:val="24"/>
          <w:shd w:val="clear" w:color="auto" w:fill="FFFFFF"/>
          <w:lang w:val="en-US" w:eastAsia="zh-CN"/>
        </w:rPr>
        <w:t>符合要求</w:t>
      </w:r>
      <w:r>
        <w:rPr>
          <w:rFonts w:hint="default" w:ascii="Times New Roman" w:hAnsi="Times New Roman" w:eastAsia="宋体" w:cs="Times New Roman"/>
          <w:color w:val="333333"/>
          <w:spacing w:val="5"/>
          <w:sz w:val="24"/>
          <w:szCs w:val="24"/>
          <w:shd w:val="clear" w:color="auto" w:fill="FFFFFF"/>
          <w:lang w:eastAsia="zh-CN"/>
        </w:rPr>
        <w:t>。在符合国家现行法律、法规以及建材行业政策要求的前提下，</w:t>
      </w:r>
      <w:r>
        <w:rPr>
          <w:rFonts w:hint="default" w:ascii="Times New Roman" w:hAnsi="Times New Roman" w:cs="Times New Roman"/>
          <w:color w:val="333333"/>
          <w:spacing w:val="5"/>
          <w:sz w:val="24"/>
          <w:szCs w:val="24"/>
          <w:shd w:val="clear" w:color="auto" w:fill="FFFFFF"/>
          <w:lang w:val="en-US" w:eastAsia="zh-CN"/>
        </w:rPr>
        <w:t>结合行业实际和发展现状，给出建材产品减碳量评估的方法模型，体现行业</w:t>
      </w:r>
      <w:r>
        <w:rPr>
          <w:rFonts w:hint="eastAsia" w:cs="Times New Roman"/>
          <w:color w:val="333333"/>
          <w:spacing w:val="5"/>
          <w:sz w:val="24"/>
          <w:szCs w:val="24"/>
          <w:shd w:val="clear" w:color="auto" w:fill="FFFFFF"/>
          <w:lang w:val="en-US" w:eastAsia="zh-CN"/>
        </w:rPr>
        <w:t>低碳发展方向</w:t>
      </w:r>
      <w:r>
        <w:rPr>
          <w:rFonts w:hint="default" w:ascii="Times New Roman" w:hAnsi="Times New Roman" w:cs="Times New Roman"/>
          <w:color w:val="333333"/>
          <w:spacing w:val="5"/>
          <w:sz w:val="24"/>
          <w:szCs w:val="24"/>
          <w:shd w:val="clear" w:color="auto" w:fill="FFFFFF"/>
          <w:lang w:val="en-US" w:eastAsia="zh-CN"/>
        </w:rPr>
        <w:t>，落实国家政策方针。</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cs="Times New Roman"/>
          <w:color w:val="333333"/>
          <w:spacing w:val="5"/>
          <w:sz w:val="24"/>
          <w:szCs w:val="24"/>
          <w:shd w:val="clear" w:color="auto" w:fill="FFFFFF"/>
          <w:lang w:val="en-US" w:eastAsia="zh-CN"/>
        </w:rPr>
      </w:pP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cs="Times New Roman"/>
          <w:color w:val="333333"/>
          <w:spacing w:val="5"/>
          <w:sz w:val="24"/>
          <w:szCs w:val="24"/>
          <w:shd w:val="clear" w:color="auto" w:fill="FFFFFF"/>
          <w:lang w:val="en-US" w:eastAsia="zh-CN"/>
        </w:rPr>
        <w:t>2</w:t>
      </w:r>
      <w:r>
        <w:rPr>
          <w:rFonts w:hint="default" w:ascii="Times New Roman" w:hAnsi="Times New Roman"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科学</w:t>
      </w:r>
      <w:r>
        <w:rPr>
          <w:rFonts w:hint="default" w:ascii="Times New Roman" w:hAnsi="Times New Roman" w:eastAsia="宋体" w:cs="Times New Roman"/>
          <w:color w:val="333333"/>
          <w:spacing w:val="5"/>
          <w:sz w:val="24"/>
          <w:szCs w:val="24"/>
          <w:shd w:val="clear" w:color="auto" w:fill="FFFFFF"/>
          <w:lang w:eastAsia="zh-CN"/>
        </w:rPr>
        <w:t>性</w:t>
      </w:r>
      <w:r>
        <w:rPr>
          <w:rFonts w:hint="eastAsia"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标准的制定以国家重大专项课题研究为基础，方法具有科学性，并结合行业实际进行验证分析，标准给出的各类产品减碳量评估方法具有科学性，与现有的国内外相关标准和方法学具有协调性。</w:t>
      </w:r>
    </w:p>
    <w:p>
      <w:pPr>
        <w:keepNext w:val="0"/>
        <w:keepLines w:val="0"/>
        <w:pageBreakBefore w:val="0"/>
        <w:widowControl w:val="0"/>
        <w:kinsoku/>
        <w:wordWrap/>
        <w:overflowPunct/>
        <w:topLinePunct w:val="0"/>
        <w:autoSpaceDE/>
        <w:autoSpaceDN/>
        <w:bidi w:val="0"/>
        <w:adjustRightInd/>
        <w:snapToGrid/>
        <w:spacing w:line="520" w:lineRule="exact"/>
        <w:ind w:firstLine="500" w:firstLineChars="200"/>
        <w:jc w:val="both"/>
        <w:textAlignment w:val="auto"/>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cs="Times New Roman"/>
          <w:color w:val="333333"/>
          <w:spacing w:val="5"/>
          <w:sz w:val="24"/>
          <w:szCs w:val="24"/>
          <w:shd w:val="clear" w:color="auto" w:fill="FFFFFF"/>
          <w:lang w:val="en-US" w:eastAsia="zh-CN"/>
        </w:rPr>
        <w:t>（3）</w:t>
      </w:r>
      <w:r>
        <w:rPr>
          <w:rFonts w:hint="eastAsia" w:cs="Times New Roman"/>
          <w:color w:val="333333"/>
          <w:spacing w:val="5"/>
          <w:sz w:val="24"/>
          <w:szCs w:val="24"/>
          <w:shd w:val="clear" w:color="auto" w:fill="FFFFFF"/>
          <w:lang w:val="en-US" w:eastAsia="zh-CN"/>
        </w:rPr>
        <w:t>可操作性。</w:t>
      </w:r>
      <w:r>
        <w:rPr>
          <w:rFonts w:hint="default" w:ascii="Times New Roman" w:hAnsi="Times New Roman" w:eastAsia="宋体" w:cs="Times New Roman"/>
          <w:color w:val="333333"/>
          <w:spacing w:val="5"/>
          <w:sz w:val="24"/>
          <w:szCs w:val="24"/>
          <w:shd w:val="clear" w:color="auto" w:fill="FFFFFF"/>
          <w:lang w:eastAsia="zh-CN"/>
        </w:rPr>
        <w:t>本</w:t>
      </w:r>
      <w:r>
        <w:rPr>
          <w:rFonts w:hint="default" w:ascii="Times New Roman" w:hAnsi="Times New Roman" w:cs="Times New Roman"/>
          <w:color w:val="333333"/>
          <w:spacing w:val="5"/>
          <w:sz w:val="24"/>
          <w:szCs w:val="24"/>
          <w:shd w:val="clear" w:color="auto" w:fill="FFFFFF"/>
          <w:lang w:eastAsia="zh-CN"/>
        </w:rPr>
        <w:t>文件</w:t>
      </w:r>
      <w:r>
        <w:rPr>
          <w:rFonts w:hint="default" w:ascii="Times New Roman" w:hAnsi="Times New Roman" w:eastAsia="宋体" w:cs="Times New Roman"/>
          <w:color w:val="333333"/>
          <w:spacing w:val="5"/>
          <w:sz w:val="24"/>
          <w:szCs w:val="24"/>
          <w:shd w:val="clear" w:color="auto" w:fill="FFFFFF"/>
          <w:lang w:eastAsia="zh-CN"/>
        </w:rPr>
        <w:t>制定时充分考虑到满足我国的</w:t>
      </w:r>
      <w:r>
        <w:rPr>
          <w:rFonts w:hint="default" w:ascii="Times New Roman" w:hAnsi="Times New Roman" w:cs="Times New Roman"/>
          <w:color w:val="333333"/>
          <w:spacing w:val="5"/>
          <w:sz w:val="24"/>
          <w:szCs w:val="24"/>
          <w:shd w:val="clear" w:color="auto" w:fill="FFFFFF"/>
          <w:lang w:eastAsia="zh-CN"/>
        </w:rPr>
        <w:t>建材行业产业</w:t>
      </w:r>
      <w:r>
        <w:rPr>
          <w:rFonts w:hint="default" w:ascii="Times New Roman" w:hAnsi="Times New Roman" w:eastAsia="宋体" w:cs="Times New Roman"/>
          <w:color w:val="333333"/>
          <w:spacing w:val="5"/>
          <w:sz w:val="24"/>
          <w:szCs w:val="24"/>
          <w:shd w:val="clear" w:color="auto" w:fill="FFFFFF"/>
          <w:lang w:eastAsia="zh-CN"/>
        </w:rPr>
        <w:t>发展</w:t>
      </w:r>
      <w:r>
        <w:rPr>
          <w:rFonts w:hint="eastAsia" w:cs="Times New Roman"/>
          <w:color w:val="333333"/>
          <w:spacing w:val="5"/>
          <w:sz w:val="24"/>
          <w:szCs w:val="24"/>
          <w:shd w:val="clear" w:color="auto" w:fill="FFFFFF"/>
          <w:lang w:val="en-US" w:eastAsia="zh-CN"/>
        </w:rPr>
        <w:t>特性</w:t>
      </w:r>
      <w:r>
        <w:rPr>
          <w:rFonts w:hint="default" w:ascii="Times New Roman" w:hAnsi="Times New Roman" w:eastAsia="宋体" w:cs="Times New Roman"/>
          <w:color w:val="333333"/>
          <w:spacing w:val="5"/>
          <w:sz w:val="24"/>
          <w:szCs w:val="24"/>
          <w:shd w:val="clear" w:color="auto" w:fill="FFFFFF"/>
          <w:lang w:eastAsia="zh-CN"/>
        </w:rPr>
        <w:t>和</w:t>
      </w:r>
      <w:r>
        <w:rPr>
          <w:rFonts w:hint="default" w:ascii="Times New Roman" w:hAnsi="Times New Roman" w:cs="Times New Roman"/>
          <w:color w:val="333333"/>
          <w:spacing w:val="5"/>
          <w:sz w:val="24"/>
          <w:szCs w:val="24"/>
          <w:shd w:val="clear" w:color="auto" w:fill="FFFFFF"/>
          <w:lang w:eastAsia="zh-CN"/>
        </w:rPr>
        <w:t>市场</w:t>
      </w:r>
      <w:r>
        <w:rPr>
          <w:rFonts w:hint="default" w:ascii="Times New Roman" w:hAnsi="Times New Roman" w:cs="Times New Roman"/>
          <w:color w:val="333333"/>
          <w:spacing w:val="5"/>
          <w:sz w:val="24"/>
          <w:szCs w:val="24"/>
          <w:shd w:val="clear" w:color="auto" w:fill="FFFFFF"/>
          <w:lang w:val="en-US" w:eastAsia="zh-CN"/>
        </w:rPr>
        <w:t>实际</w:t>
      </w:r>
      <w:r>
        <w:rPr>
          <w:rFonts w:hint="default" w:ascii="Times New Roman" w:hAnsi="Times New Roman" w:eastAsia="宋体" w:cs="Times New Roman"/>
          <w:color w:val="333333"/>
          <w:spacing w:val="5"/>
          <w:sz w:val="24"/>
          <w:szCs w:val="24"/>
          <w:shd w:val="clear" w:color="auto" w:fill="FFFFFF"/>
          <w:lang w:eastAsia="zh-CN"/>
        </w:rPr>
        <w:t>需</w:t>
      </w:r>
      <w:r>
        <w:rPr>
          <w:rFonts w:hint="default" w:ascii="Times New Roman" w:hAnsi="Times New Roman" w:cs="Times New Roman"/>
          <w:color w:val="333333"/>
          <w:spacing w:val="5"/>
          <w:sz w:val="24"/>
          <w:szCs w:val="24"/>
          <w:shd w:val="clear" w:color="auto" w:fill="FFFFFF"/>
          <w:lang w:eastAsia="zh-CN"/>
        </w:rPr>
        <w:t>求</w:t>
      </w:r>
      <w:r>
        <w:rPr>
          <w:rFonts w:hint="default" w:ascii="Times New Roman" w:hAnsi="Times New Roman" w:eastAsia="宋体" w:cs="Times New Roman"/>
          <w:color w:val="333333"/>
          <w:spacing w:val="5"/>
          <w:sz w:val="24"/>
          <w:szCs w:val="24"/>
          <w:shd w:val="clear" w:color="auto" w:fill="FFFFFF"/>
          <w:lang w:eastAsia="zh-CN"/>
        </w:rPr>
        <w:t>，具有科学性、系统性</w:t>
      </w:r>
      <w:r>
        <w:rPr>
          <w:rFonts w:hint="default" w:ascii="Times New Roman" w:hAnsi="Times New Roman" w:cs="Times New Roman"/>
          <w:color w:val="333333"/>
          <w:spacing w:val="5"/>
          <w:sz w:val="24"/>
          <w:szCs w:val="24"/>
          <w:shd w:val="clear" w:color="auto" w:fill="FFFFFF"/>
          <w:lang w:eastAsia="zh-CN"/>
        </w:rPr>
        <w:t>，</w:t>
      </w:r>
      <w:r>
        <w:rPr>
          <w:rFonts w:hint="eastAsia" w:cs="Times New Roman"/>
          <w:color w:val="333333"/>
          <w:spacing w:val="5"/>
          <w:sz w:val="24"/>
          <w:szCs w:val="24"/>
          <w:shd w:val="clear" w:color="auto" w:fill="FFFFFF"/>
          <w:lang w:val="en-US" w:eastAsia="zh-CN"/>
        </w:rPr>
        <w:t>标准中给出评估计算的案例分析，具有可操作性</w:t>
      </w:r>
      <w:r>
        <w:rPr>
          <w:rFonts w:hint="default" w:ascii="Times New Roman" w:hAnsi="Times New Roman" w:cs="Times New Roman"/>
          <w:color w:val="333333"/>
          <w:spacing w:val="5"/>
          <w:sz w:val="24"/>
          <w:szCs w:val="24"/>
          <w:shd w:val="clear" w:color="auto" w:fill="FFFFFF"/>
          <w:lang w:val="en-US" w:eastAsia="zh-CN"/>
        </w:rPr>
        <w:t>。</w:t>
      </w:r>
    </w:p>
    <w:p>
      <w:pPr>
        <w:pStyle w:val="3"/>
        <w:pageBreakBefore w:val="0"/>
        <w:kinsoku/>
        <w:wordWrap/>
        <w:overflowPunct/>
        <w:topLinePunct w:val="0"/>
        <w:autoSpaceDE/>
        <w:autoSpaceDN/>
        <w:bidi w:val="0"/>
        <w:adjustRightInd/>
        <w:snapToGrid/>
        <w:spacing w:line="520" w:lineRule="exact"/>
        <w:rPr>
          <w:rFonts w:hint="default" w:ascii="Times New Roman" w:hAnsi="Times New Roman" w:eastAsia="黑体" w:cs="Times New Roman"/>
          <w:lang w:eastAsia="zh-CN"/>
        </w:rPr>
      </w:pPr>
      <w:bookmarkStart w:id="19" w:name="_Toc4921"/>
      <w:bookmarkStart w:id="20" w:name="_Toc29405"/>
      <w:r>
        <w:rPr>
          <w:rFonts w:hint="default" w:ascii="Times New Roman" w:hAnsi="Times New Roman" w:eastAsia="黑体" w:cs="Times New Roman"/>
          <w:lang w:val="en-US" w:eastAsia="zh-CN"/>
        </w:rPr>
        <w:t>2.</w:t>
      </w:r>
      <w:r>
        <w:rPr>
          <w:rFonts w:hint="default" w:ascii="Times New Roman" w:hAnsi="Times New Roman" w:eastAsia="黑体" w:cs="Times New Roman"/>
          <w:lang w:eastAsia="zh-CN"/>
        </w:rPr>
        <w:t>标准的主要技术内容</w:t>
      </w:r>
      <w:bookmarkEnd w:id="19"/>
      <w:bookmarkEnd w:id="20"/>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rPr>
      </w:pPr>
      <w:bookmarkStart w:id="21" w:name="_Toc31196"/>
      <w:bookmarkStart w:id="22" w:name="_Toc24251"/>
      <w:r>
        <w:rPr>
          <w:rFonts w:hint="default" w:ascii="Times New Roman" w:hAnsi="Times New Roman" w:eastAsia="仿宋" w:cs="Times New Roman"/>
        </w:rPr>
        <w:t>2.</w:t>
      </w:r>
      <w:r>
        <w:rPr>
          <w:rFonts w:hint="default" w:ascii="Times New Roman" w:hAnsi="Times New Roman" w:eastAsia="仿宋" w:cs="Times New Roman"/>
          <w:lang w:val="en-US" w:eastAsia="zh-CN"/>
        </w:rPr>
        <w:t>1</w:t>
      </w:r>
      <w:r>
        <w:rPr>
          <w:rFonts w:hint="default" w:ascii="Times New Roman" w:hAnsi="Times New Roman" w:eastAsia="仿宋" w:cs="Times New Roman"/>
        </w:rPr>
        <w:t xml:space="preserve"> 范围</w:t>
      </w:r>
      <w:bookmarkEnd w:id="21"/>
      <w:bookmarkEnd w:id="22"/>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kern w:val="0"/>
          <w:sz w:val="24"/>
          <w:szCs w:val="24"/>
          <w:lang w:bidi="ar"/>
        </w:rPr>
        <w:t>本文件</w:t>
      </w:r>
      <w:r>
        <w:rPr>
          <w:rFonts w:hint="default" w:ascii="Times New Roman" w:hAnsi="Times New Roman" w:cs="Times New Roman"/>
          <w:kern w:val="0"/>
          <w:sz w:val="24"/>
          <w:szCs w:val="24"/>
          <w:lang w:val="en-US" w:eastAsia="zh-CN" w:bidi="ar"/>
        </w:rPr>
        <w:t>给出建材产品减碳量评估的基本原则、评估要求、计算方法、结果披露、评估报告等，</w:t>
      </w:r>
      <w:r>
        <w:rPr>
          <w:rFonts w:hint="default" w:ascii="Times New Roman" w:hAnsi="Times New Roman" w:eastAsia="宋体" w:cs="Times New Roman"/>
          <w:kern w:val="0"/>
          <w:sz w:val="24"/>
          <w:szCs w:val="24"/>
          <w:lang w:bidi="ar"/>
        </w:rPr>
        <w:t>适用于指导</w:t>
      </w:r>
      <w:r>
        <w:rPr>
          <w:rFonts w:hint="eastAsia" w:cs="Times New Roman"/>
          <w:color w:val="333333"/>
          <w:spacing w:val="5"/>
          <w:sz w:val="24"/>
          <w:szCs w:val="24"/>
          <w:shd w:val="clear" w:color="auto" w:fill="FFFFFF"/>
          <w:lang w:val="en-US" w:eastAsia="zh-CN"/>
        </w:rPr>
        <w:t>各类</w:t>
      </w:r>
      <w:r>
        <w:rPr>
          <w:rFonts w:hint="default" w:ascii="Times New Roman" w:hAnsi="Times New Roman" w:eastAsia="宋体" w:cs="Times New Roman"/>
          <w:color w:val="333333"/>
          <w:spacing w:val="5"/>
          <w:sz w:val="24"/>
          <w:szCs w:val="24"/>
          <w:shd w:val="clear" w:color="auto" w:fill="FFFFFF"/>
          <w:lang w:val="en-US" w:eastAsia="zh-CN"/>
        </w:rPr>
        <w:t>建材产品</w:t>
      </w:r>
      <w:r>
        <w:rPr>
          <w:rFonts w:hint="default" w:ascii="Times New Roman" w:hAnsi="Times New Roman" w:eastAsia="宋体" w:cs="Times New Roman"/>
          <w:kern w:val="0"/>
          <w:sz w:val="24"/>
          <w:szCs w:val="24"/>
          <w:lang w:eastAsia="zh-CN" w:bidi="ar"/>
        </w:rPr>
        <w:t>开展</w:t>
      </w:r>
      <w:r>
        <w:rPr>
          <w:rFonts w:hint="default" w:ascii="Times New Roman" w:hAnsi="Times New Roman" w:cs="Times New Roman"/>
          <w:kern w:val="0"/>
          <w:sz w:val="24"/>
          <w:szCs w:val="24"/>
          <w:lang w:val="en-US" w:eastAsia="zh-CN" w:bidi="ar"/>
        </w:rPr>
        <w:t>减碳量评估和分析</w:t>
      </w:r>
      <w:r>
        <w:rPr>
          <w:rFonts w:hint="default" w:ascii="Times New Roman" w:hAnsi="Times New Roman" w:eastAsia="宋体" w:cs="Times New Roman"/>
          <w:kern w:val="0"/>
          <w:sz w:val="24"/>
          <w:szCs w:val="24"/>
          <w:lang w:bidi="ar"/>
        </w:rPr>
        <w:t>。</w:t>
      </w:r>
      <w:r>
        <w:rPr>
          <w:rFonts w:hint="default" w:ascii="Times New Roman" w:hAnsi="Times New Roman" w:cs="Times New Roman"/>
          <w:kern w:val="0"/>
          <w:sz w:val="24"/>
          <w:szCs w:val="24"/>
          <w:lang w:val="en-US" w:eastAsia="zh-CN" w:bidi="ar"/>
        </w:rPr>
        <w:t>本文件适用于建材产品</w:t>
      </w:r>
      <w:r>
        <w:rPr>
          <w:rFonts w:hint="eastAsia" w:cs="Times New Roman"/>
          <w:kern w:val="0"/>
          <w:sz w:val="24"/>
          <w:szCs w:val="24"/>
          <w:lang w:val="en-US" w:eastAsia="zh-CN" w:bidi="ar"/>
        </w:rPr>
        <w:t>的</w:t>
      </w:r>
      <w:r>
        <w:rPr>
          <w:rFonts w:hint="default" w:ascii="Times New Roman" w:hAnsi="Times New Roman" w:cs="Times New Roman"/>
          <w:kern w:val="0"/>
          <w:sz w:val="24"/>
          <w:szCs w:val="24"/>
          <w:lang w:val="en-US" w:eastAsia="zh-CN" w:bidi="ar"/>
        </w:rPr>
        <w:t>减碳量评估，其他领域产品减碳量评估可参考使用。</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rPr>
      </w:pPr>
      <w:bookmarkStart w:id="23" w:name="_Toc3328"/>
      <w:bookmarkStart w:id="24" w:name="_Toc1229"/>
      <w:r>
        <w:rPr>
          <w:rFonts w:hint="default" w:ascii="Times New Roman" w:hAnsi="Times New Roman" w:eastAsia="仿宋" w:cs="Times New Roman"/>
        </w:rPr>
        <w:t>2.</w:t>
      </w:r>
      <w:r>
        <w:rPr>
          <w:rFonts w:hint="default" w:ascii="Times New Roman" w:hAnsi="Times New Roman" w:eastAsia="仿宋" w:cs="Times New Roman"/>
          <w:lang w:val="en-US" w:eastAsia="zh-CN"/>
        </w:rPr>
        <w:t>2</w:t>
      </w:r>
      <w:r>
        <w:rPr>
          <w:rFonts w:hint="default" w:ascii="Times New Roman" w:hAnsi="Times New Roman" w:eastAsia="仿宋" w:cs="Times New Roman"/>
        </w:rPr>
        <w:t xml:space="preserve"> 规范性引用文件</w:t>
      </w:r>
      <w:bookmarkEnd w:id="23"/>
      <w:bookmarkEnd w:id="24"/>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eastAsia="zh-CN" w:bidi="ar"/>
        </w:rPr>
      </w:pPr>
      <w:r>
        <w:rPr>
          <w:rFonts w:hint="default" w:ascii="Times New Roman" w:hAnsi="Times New Roman" w:cs="Times New Roman"/>
          <w:kern w:val="0"/>
          <w:sz w:val="24"/>
          <w:szCs w:val="24"/>
          <w:lang w:val="en-US" w:eastAsia="zh-CN" w:bidi="ar"/>
        </w:rPr>
        <w:t>本文件规范引用了</w:t>
      </w:r>
      <w:r>
        <w:rPr>
          <w:rFonts w:hint="default" w:ascii="Times New Roman" w:hAnsi="Times New Roman" w:eastAsia="宋体" w:cs="Times New Roman"/>
          <w:kern w:val="0"/>
          <w:sz w:val="24"/>
          <w:szCs w:val="24"/>
          <w:lang w:val="en-US" w:eastAsia="zh-CN"/>
        </w:rPr>
        <w:t>GB/T 32150 《工业企业温室气体排放核算和报告通则》文件的内容。引用了GB/T 32150 《工业企业温室气体排放核算和报告通则》中企业温室气体核算方法和边界，本文件中产品生产过程二氧化碳排放量核算方法与GB/T 32150标准协调一致。数据来源和获取原则参考GB/T 32150给出。</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rPr>
      </w:pPr>
      <w:bookmarkStart w:id="25" w:name="_Toc6620"/>
      <w:bookmarkStart w:id="26" w:name="_Toc22084"/>
      <w:r>
        <w:rPr>
          <w:rFonts w:hint="default" w:ascii="Times New Roman" w:hAnsi="Times New Roman" w:eastAsia="仿宋" w:cs="Times New Roman"/>
        </w:rPr>
        <w:t>2.</w:t>
      </w:r>
      <w:r>
        <w:rPr>
          <w:rFonts w:hint="default" w:ascii="Times New Roman" w:hAnsi="Times New Roman" w:eastAsia="仿宋" w:cs="Times New Roman"/>
          <w:lang w:val="en-US" w:eastAsia="zh-CN"/>
        </w:rPr>
        <w:t>3</w:t>
      </w:r>
      <w:r>
        <w:rPr>
          <w:rFonts w:hint="default" w:ascii="Times New Roman" w:hAnsi="Times New Roman" w:eastAsia="仿宋" w:cs="Times New Roman"/>
        </w:rPr>
        <w:t xml:space="preserve"> 术语和定义</w:t>
      </w:r>
      <w:bookmarkEnd w:id="25"/>
      <w:bookmarkEnd w:id="26"/>
    </w:p>
    <w:p>
      <w:pPr>
        <w:keepNext w:val="0"/>
        <w:keepLines w:val="0"/>
        <w:pageBreakBefore w:val="0"/>
        <w:widowControl/>
        <w:kinsoku/>
        <w:wordWrap/>
        <w:overflowPunct/>
        <w:topLinePunct w:val="0"/>
        <w:autoSpaceDE/>
        <w:autoSpaceDN/>
        <w:bidi w:val="0"/>
        <w:adjustRightInd/>
        <w:snapToGrid/>
        <w:spacing w:line="520" w:lineRule="exact"/>
        <w:ind w:firstLine="480" w:firstLineChars="200"/>
        <w:jc w:val="both"/>
        <w:textAlignment w:val="auto"/>
        <w:rPr>
          <w:rFonts w:hint="default" w:ascii="Times New Roman" w:hAnsi="Times New Roman" w:cs="Times New Roman"/>
          <w:kern w:val="0"/>
          <w:sz w:val="24"/>
          <w:szCs w:val="24"/>
          <w:lang w:val="en-US" w:eastAsia="zh-CN" w:bidi="ar"/>
        </w:rPr>
      </w:pPr>
      <w:r>
        <w:rPr>
          <w:rFonts w:hint="eastAsia" w:cs="Times New Roman"/>
          <w:kern w:val="0"/>
          <w:sz w:val="24"/>
          <w:szCs w:val="24"/>
          <w:lang w:val="en-US" w:eastAsia="zh-CN" w:bidi="ar"/>
        </w:rPr>
        <w:t>本文件</w:t>
      </w:r>
      <w:r>
        <w:rPr>
          <w:rFonts w:hint="default" w:ascii="Times New Roman" w:hAnsi="Times New Roman" w:cs="Times New Roman"/>
          <w:kern w:val="0"/>
          <w:sz w:val="24"/>
          <w:szCs w:val="24"/>
          <w:lang w:val="en-US" w:eastAsia="zh-CN" w:bidi="ar"/>
        </w:rPr>
        <w:t>术语和定义中对基准二氧化碳排放量、减碳量、建材产品减碳量等术语进行了定义。</w:t>
      </w:r>
    </w:p>
    <w:p>
      <w:pPr>
        <w:keepNext w:val="0"/>
        <w:keepLines w:val="0"/>
        <w:pageBreakBefore w:val="0"/>
        <w:widowControl/>
        <w:kinsoku/>
        <w:wordWrap/>
        <w:overflowPunct/>
        <w:topLinePunct w:val="0"/>
        <w:autoSpaceDE/>
        <w:autoSpaceDN/>
        <w:bidi w:val="0"/>
        <w:adjustRightInd/>
        <w:snapToGrid/>
        <w:spacing w:line="520" w:lineRule="exact"/>
        <w:ind w:firstLine="480" w:firstLineChars="200"/>
        <w:jc w:val="both"/>
        <w:textAlignment w:val="auto"/>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3.1基准二氧化碳排放量和3.2减碳量的定义</w:t>
      </w:r>
      <w:r>
        <w:rPr>
          <w:rFonts w:hint="eastAsia" w:cs="Times New Roman"/>
          <w:kern w:val="0"/>
          <w:sz w:val="24"/>
          <w:szCs w:val="24"/>
          <w:lang w:val="en-US" w:eastAsia="zh-CN" w:bidi="ar"/>
        </w:rPr>
        <w:t>主要参考</w:t>
      </w:r>
      <w:r>
        <w:rPr>
          <w:rFonts w:hint="default" w:ascii="Times New Roman" w:hAnsi="Times New Roman" w:cs="Times New Roman"/>
          <w:kern w:val="0"/>
          <w:sz w:val="24"/>
          <w:szCs w:val="24"/>
          <w:lang w:val="en-US" w:eastAsia="zh-CN" w:bidi="ar"/>
        </w:rPr>
        <w:t>GB／T</w:t>
      </w:r>
      <w:r>
        <w:rPr>
          <w:rFonts w:hint="eastAsia" w:cs="Times New Roman"/>
          <w:kern w:val="0"/>
          <w:sz w:val="24"/>
          <w:szCs w:val="24"/>
          <w:lang w:val="en-US" w:eastAsia="zh-CN" w:bidi="ar"/>
        </w:rPr>
        <w:t xml:space="preserve"> </w:t>
      </w:r>
      <w:r>
        <w:rPr>
          <w:rFonts w:hint="default" w:ascii="Times New Roman" w:hAnsi="Times New Roman" w:cs="Times New Roman"/>
          <w:kern w:val="0"/>
          <w:sz w:val="24"/>
          <w:szCs w:val="24"/>
          <w:lang w:val="en-US" w:eastAsia="zh-CN" w:bidi="ar"/>
        </w:rPr>
        <w:t>33760《基于项目的温室气体减排量评估技术规范 通用要求》中“3.4基准线情景”和“3.5温室气体减排量”</w:t>
      </w:r>
      <w:r>
        <w:rPr>
          <w:rFonts w:hint="eastAsia" w:cs="Times New Roman"/>
          <w:kern w:val="0"/>
          <w:sz w:val="24"/>
          <w:szCs w:val="24"/>
          <w:lang w:val="en-US" w:eastAsia="zh-CN" w:bidi="ar"/>
        </w:rPr>
        <w:t>的</w:t>
      </w:r>
      <w:r>
        <w:rPr>
          <w:rFonts w:hint="default" w:ascii="Times New Roman" w:hAnsi="Times New Roman" w:cs="Times New Roman"/>
          <w:kern w:val="0"/>
          <w:sz w:val="24"/>
          <w:szCs w:val="24"/>
          <w:lang w:val="en-US" w:eastAsia="zh-CN" w:bidi="ar"/>
        </w:rPr>
        <w:t>定义</w:t>
      </w:r>
      <w:r>
        <w:rPr>
          <w:rFonts w:hint="eastAsia" w:cs="Times New Roman"/>
          <w:kern w:val="0"/>
          <w:sz w:val="24"/>
          <w:szCs w:val="24"/>
          <w:lang w:val="en-US" w:eastAsia="zh-CN" w:bidi="ar"/>
        </w:rPr>
        <w:t>进行调整</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明确基准二氧化碳排放量的定义</w:t>
      </w:r>
      <w:r>
        <w:rPr>
          <w:rFonts w:hint="default" w:ascii="Times New Roman" w:hAnsi="Times New Roman" w:cs="Times New Roman"/>
          <w:kern w:val="0"/>
          <w:sz w:val="24"/>
          <w:szCs w:val="24"/>
          <w:lang w:val="en-US" w:eastAsia="zh-CN" w:bidi="ar"/>
        </w:rPr>
        <w:t>。基准碳排放量</w:t>
      </w:r>
      <w:r>
        <w:rPr>
          <w:rFonts w:hint="default" w:ascii="Times New Roman" w:hAnsi="Times New Roman" w:cs="Times New Roman"/>
          <w:kern w:val="0"/>
          <w:sz w:val="24"/>
          <w:szCs w:val="24"/>
          <w:lang w:val="en-US" w:eastAsia="zh-CN"/>
        </w:rPr>
        <w:t>，</w:t>
      </w:r>
      <w:r>
        <w:rPr>
          <w:rFonts w:hint="eastAsia" w:cs="Times New Roman"/>
          <w:kern w:val="0"/>
          <w:sz w:val="24"/>
          <w:szCs w:val="24"/>
          <w:lang w:val="en-US" w:eastAsia="zh-CN" w:bidi="ar"/>
        </w:rPr>
        <w:t>给出</w:t>
      </w:r>
      <w:r>
        <w:rPr>
          <w:rFonts w:hint="default" w:ascii="Times New Roman" w:hAnsi="Times New Roman" w:cs="Times New Roman"/>
          <w:kern w:val="0"/>
          <w:sz w:val="24"/>
          <w:szCs w:val="24"/>
          <w:lang w:val="en-US" w:eastAsia="zh-CN" w:bidi="ar"/>
        </w:rPr>
        <w:t>定义是为了明确</w:t>
      </w:r>
      <w:r>
        <w:rPr>
          <w:rFonts w:hint="eastAsia" w:cs="Times New Roman"/>
          <w:kern w:val="0"/>
          <w:sz w:val="24"/>
          <w:szCs w:val="24"/>
          <w:lang w:val="en-US" w:eastAsia="zh-CN" w:bidi="ar"/>
        </w:rPr>
        <w:t>和统一</w:t>
      </w:r>
      <w:r>
        <w:rPr>
          <w:rFonts w:hint="default" w:ascii="Times New Roman" w:hAnsi="Times New Roman" w:cs="Times New Roman"/>
          <w:kern w:val="0"/>
          <w:sz w:val="24"/>
          <w:szCs w:val="24"/>
          <w:lang w:val="en-US" w:eastAsia="zh-CN" w:bidi="ar"/>
        </w:rPr>
        <w:t>减碳量核算中的关键参数之一的基本</w:t>
      </w:r>
      <w:r>
        <w:rPr>
          <w:rFonts w:hint="eastAsia" w:cs="Times New Roman"/>
          <w:kern w:val="0"/>
          <w:sz w:val="24"/>
          <w:szCs w:val="24"/>
          <w:lang w:val="en-US" w:eastAsia="zh-CN" w:bidi="ar"/>
        </w:rPr>
        <w:t>概念</w:t>
      </w:r>
      <w:r>
        <w:rPr>
          <w:rFonts w:hint="default" w:ascii="Times New Roman" w:hAnsi="Times New Roman" w:cs="Times New Roman"/>
          <w:kern w:val="0"/>
          <w:sz w:val="24"/>
          <w:szCs w:val="24"/>
          <w:lang w:val="en-US" w:eastAsia="zh-CN" w:bidi="ar"/>
        </w:rPr>
        <w:t>，给出减碳量的定义是因为减碳量的概念</w:t>
      </w:r>
      <w:r>
        <w:rPr>
          <w:rFonts w:hint="eastAsia" w:cs="Times New Roman"/>
          <w:kern w:val="0"/>
          <w:sz w:val="24"/>
          <w:szCs w:val="24"/>
          <w:lang w:val="en-US" w:eastAsia="zh-CN" w:bidi="ar"/>
        </w:rPr>
        <w:t>在建材行业</w:t>
      </w:r>
      <w:r>
        <w:rPr>
          <w:rFonts w:hint="default" w:ascii="Times New Roman" w:hAnsi="Times New Roman" w:cs="Times New Roman"/>
          <w:kern w:val="0"/>
          <w:sz w:val="24"/>
          <w:szCs w:val="24"/>
          <w:lang w:val="en-US" w:eastAsia="zh-CN" w:bidi="ar"/>
        </w:rPr>
        <w:t>还尚未有统一的概念和共识，为防止出现概念的</w:t>
      </w:r>
      <w:r>
        <w:rPr>
          <w:rFonts w:hint="eastAsia" w:cs="Times New Roman"/>
          <w:kern w:val="0"/>
          <w:sz w:val="24"/>
          <w:szCs w:val="24"/>
          <w:lang w:val="en-US" w:eastAsia="zh-CN" w:bidi="ar"/>
        </w:rPr>
        <w:t>歧义</w:t>
      </w:r>
      <w:r>
        <w:rPr>
          <w:rFonts w:hint="default" w:ascii="Times New Roman" w:hAnsi="Times New Roman" w:cs="Times New Roman"/>
          <w:kern w:val="0"/>
          <w:sz w:val="24"/>
          <w:szCs w:val="24"/>
          <w:lang w:val="en-US" w:eastAsia="zh-CN" w:bidi="ar"/>
        </w:rPr>
        <w:t>给出统一的定义。</w:t>
      </w:r>
    </w:p>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rPr>
        <w:t>3.</w:t>
      </w:r>
      <w:r>
        <w:rPr>
          <w:rFonts w:hint="eastAsia" w:cs="Times New Roman"/>
          <w:kern w:val="0"/>
          <w:sz w:val="24"/>
          <w:szCs w:val="24"/>
          <w:lang w:val="en-US" w:eastAsia="zh-CN"/>
        </w:rPr>
        <w:t>3</w:t>
      </w:r>
      <w:r>
        <w:rPr>
          <w:rFonts w:hint="default" w:ascii="Times New Roman" w:hAnsi="Times New Roman" w:cs="Times New Roman"/>
          <w:kern w:val="0"/>
          <w:sz w:val="24"/>
          <w:szCs w:val="24"/>
          <w:lang w:val="en-US" w:eastAsia="zh-CN" w:bidi="ar"/>
        </w:rPr>
        <w:t>减碳量标识定义了公开产品减碳量核算结果的相关标识，评估并标注产品的减碳水平是本文件的目的之一，帮助消费者进行低碳产品识别和选购，促进</w:t>
      </w:r>
      <w:r>
        <w:rPr>
          <w:rFonts w:hint="eastAsia" w:cs="Times New Roman"/>
          <w:kern w:val="0"/>
          <w:sz w:val="24"/>
          <w:szCs w:val="24"/>
          <w:lang w:val="en-US" w:eastAsia="zh-CN" w:bidi="ar"/>
        </w:rPr>
        <w:t>建材</w:t>
      </w:r>
      <w:r>
        <w:rPr>
          <w:rFonts w:hint="default" w:ascii="Times New Roman" w:hAnsi="Times New Roman" w:cs="Times New Roman"/>
          <w:kern w:val="0"/>
          <w:sz w:val="24"/>
          <w:szCs w:val="24"/>
          <w:lang w:val="en-US" w:eastAsia="zh-CN" w:bidi="ar"/>
        </w:rPr>
        <w:t>行业绿色低碳发展。</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rPr>
      </w:pPr>
      <w:bookmarkStart w:id="27" w:name="_Toc16686"/>
      <w:bookmarkStart w:id="28" w:name="_Toc8633"/>
      <w:r>
        <w:rPr>
          <w:rFonts w:hint="default" w:ascii="Times New Roman" w:hAnsi="Times New Roman" w:eastAsia="仿宋" w:cs="Times New Roman"/>
        </w:rPr>
        <w:t>2.</w:t>
      </w:r>
      <w:r>
        <w:rPr>
          <w:rFonts w:hint="default" w:ascii="Times New Roman" w:hAnsi="Times New Roman" w:eastAsia="仿宋" w:cs="Times New Roman"/>
          <w:lang w:val="en-US" w:eastAsia="zh-CN"/>
        </w:rPr>
        <w:t>4</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基本</w:t>
      </w:r>
      <w:r>
        <w:rPr>
          <w:rFonts w:hint="default" w:ascii="Times New Roman" w:hAnsi="Times New Roman" w:eastAsia="仿宋" w:cs="Times New Roman"/>
        </w:rPr>
        <w:t>原则</w:t>
      </w:r>
      <w:bookmarkEnd w:id="27"/>
      <w:bookmarkEnd w:id="28"/>
    </w:p>
    <w:p>
      <w:pPr>
        <w:pageBreakBefore w:val="0"/>
        <w:widowControl/>
        <w:kinsoku/>
        <w:wordWrap/>
        <w:overflowPunct/>
        <w:topLinePunct w:val="0"/>
        <w:autoSpaceDE/>
        <w:autoSpaceDN/>
        <w:bidi w:val="0"/>
        <w:adjustRightInd/>
        <w:snapToGrid/>
        <w:spacing w:line="520" w:lineRule="exact"/>
        <w:ind w:firstLine="50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color w:val="333333"/>
          <w:spacing w:val="5"/>
          <w:sz w:val="24"/>
          <w:szCs w:val="24"/>
          <w:shd w:val="clear" w:color="auto" w:fill="FFFFFF"/>
          <w:lang w:val="en-US" w:eastAsia="zh-CN"/>
        </w:rPr>
        <w:t>本文件的基本原则包括准确性、一致性、透明性、可比性。以核算模型准确、合理、与实际情况相符等为原则，保证评估数据来源可靠，数值误差小，核算结果科学有效，能够反映产品的真实</w:t>
      </w:r>
      <w:r>
        <w:rPr>
          <w:rFonts w:hint="eastAsia" w:cs="Times New Roman"/>
          <w:color w:val="333333"/>
          <w:spacing w:val="5"/>
          <w:sz w:val="24"/>
          <w:szCs w:val="24"/>
          <w:shd w:val="clear" w:color="auto" w:fill="FFFFFF"/>
          <w:lang w:val="en-US" w:eastAsia="zh-CN"/>
        </w:rPr>
        <w:t>减</w:t>
      </w:r>
      <w:r>
        <w:rPr>
          <w:rFonts w:hint="default" w:ascii="Times New Roman" w:hAnsi="Times New Roman" w:cs="Times New Roman"/>
          <w:color w:val="333333"/>
          <w:spacing w:val="5"/>
          <w:sz w:val="24"/>
          <w:szCs w:val="24"/>
          <w:shd w:val="clear" w:color="auto" w:fill="FFFFFF"/>
          <w:lang w:val="en-US" w:eastAsia="zh-CN"/>
        </w:rPr>
        <w:t>碳水平，是减碳量评估的前提和基础；以方法具有一致性为原则，建材产品的减碳量评估的基本模型应具有一致性，同种产品的碳排放量核算方法和基准值的选取原则应一致，是</w:t>
      </w:r>
      <w:r>
        <w:rPr>
          <w:rFonts w:hint="eastAsia" w:cs="Times New Roman"/>
          <w:color w:val="333333"/>
          <w:spacing w:val="5"/>
          <w:sz w:val="24"/>
          <w:szCs w:val="24"/>
          <w:shd w:val="clear" w:color="auto" w:fill="FFFFFF"/>
          <w:lang w:val="en-US" w:eastAsia="zh-CN"/>
        </w:rPr>
        <w:t>行业</w:t>
      </w:r>
      <w:r>
        <w:rPr>
          <w:rFonts w:hint="default" w:ascii="Times New Roman" w:hAnsi="Times New Roman" w:cs="Times New Roman"/>
          <w:color w:val="333333"/>
          <w:spacing w:val="5"/>
          <w:sz w:val="24"/>
          <w:szCs w:val="24"/>
          <w:shd w:val="clear" w:color="auto" w:fill="FFFFFF"/>
          <w:lang w:val="en-US" w:eastAsia="zh-CN"/>
        </w:rPr>
        <w:t>产品减碳量评估</w:t>
      </w:r>
      <w:r>
        <w:rPr>
          <w:rFonts w:hint="eastAsia" w:cs="Times New Roman"/>
          <w:color w:val="333333"/>
          <w:spacing w:val="5"/>
          <w:sz w:val="24"/>
          <w:szCs w:val="24"/>
          <w:shd w:val="clear" w:color="auto" w:fill="FFFFFF"/>
          <w:lang w:val="en-US" w:eastAsia="zh-CN"/>
        </w:rPr>
        <w:t>遴选</w:t>
      </w:r>
      <w:r>
        <w:rPr>
          <w:rFonts w:hint="default" w:ascii="Times New Roman" w:hAnsi="Times New Roman" w:cs="Times New Roman"/>
          <w:color w:val="333333"/>
          <w:spacing w:val="5"/>
          <w:sz w:val="24"/>
          <w:szCs w:val="24"/>
          <w:shd w:val="clear" w:color="auto" w:fill="FFFFFF"/>
          <w:lang w:val="en-US" w:eastAsia="zh-CN"/>
        </w:rPr>
        <w:t>的意义所在；以产品减碳量水平公开透明为原则，在符合国家、行业相关政策、法规等的要求下，披露产品核算的减碳量；以同类产品间具有可比性为原则，减碳量核算以各类产品的行业水平选取基准值，因此计算得到的减碳量仅能反应不同生产企业的同一类产品的减碳水平，不同类产品如水泥和玻璃</w:t>
      </w:r>
      <w:r>
        <w:rPr>
          <w:rFonts w:hint="eastAsia" w:cs="Times New Roman"/>
          <w:color w:val="333333"/>
          <w:spacing w:val="5"/>
          <w:sz w:val="24"/>
          <w:szCs w:val="24"/>
          <w:shd w:val="clear" w:color="auto" w:fill="FFFFFF"/>
          <w:lang w:val="en-US" w:eastAsia="zh-CN"/>
        </w:rPr>
        <w:t>，</w:t>
      </w:r>
      <w:r>
        <w:rPr>
          <w:rFonts w:hint="default" w:ascii="Times New Roman" w:hAnsi="Times New Roman" w:cs="Times New Roman"/>
          <w:color w:val="333333"/>
          <w:spacing w:val="5"/>
          <w:sz w:val="24"/>
          <w:szCs w:val="24"/>
          <w:shd w:val="clear" w:color="auto" w:fill="FFFFFF"/>
          <w:lang w:val="en-US" w:eastAsia="zh-CN"/>
        </w:rPr>
        <w:t>或聚苯板和岩棉板之间</w:t>
      </w:r>
      <w:r>
        <w:rPr>
          <w:rFonts w:hint="eastAsia" w:cs="Times New Roman"/>
          <w:color w:val="333333"/>
          <w:spacing w:val="5"/>
          <w:sz w:val="24"/>
          <w:szCs w:val="24"/>
          <w:shd w:val="clear" w:color="auto" w:fill="FFFFFF"/>
          <w:lang w:val="en-US" w:eastAsia="zh-CN"/>
        </w:rPr>
        <w:t>不具有</w:t>
      </w:r>
      <w:r>
        <w:rPr>
          <w:rFonts w:hint="default" w:ascii="Times New Roman" w:hAnsi="Times New Roman" w:cs="Times New Roman"/>
          <w:color w:val="333333"/>
          <w:spacing w:val="5"/>
          <w:sz w:val="24"/>
          <w:szCs w:val="24"/>
          <w:shd w:val="clear" w:color="auto" w:fill="FFFFFF"/>
          <w:lang w:val="en-US" w:eastAsia="zh-CN"/>
        </w:rPr>
        <w:t>可比性。</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eastAsia="zh-CN"/>
        </w:rPr>
      </w:pPr>
      <w:bookmarkStart w:id="29" w:name="_Toc15094"/>
      <w:bookmarkStart w:id="30" w:name="_Toc9090"/>
      <w:r>
        <w:rPr>
          <w:rFonts w:hint="default" w:ascii="Times New Roman" w:hAnsi="Times New Roman" w:eastAsia="仿宋" w:cs="Times New Roman"/>
        </w:rPr>
        <w:t>2.</w:t>
      </w:r>
      <w:r>
        <w:rPr>
          <w:rFonts w:hint="default" w:ascii="Times New Roman" w:hAnsi="Times New Roman" w:eastAsia="仿宋" w:cs="Times New Roman"/>
          <w:lang w:val="en-US" w:eastAsia="zh-CN"/>
        </w:rPr>
        <w:t>5</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减碳量评估</w:t>
      </w:r>
      <w:r>
        <w:rPr>
          <w:rFonts w:hint="default" w:ascii="Times New Roman" w:hAnsi="Times New Roman" w:eastAsia="仿宋" w:cs="Times New Roman"/>
          <w:lang w:eastAsia="zh-CN"/>
        </w:rPr>
        <w:t>要求</w:t>
      </w:r>
      <w:bookmarkEnd w:id="29"/>
      <w:bookmarkEnd w:id="30"/>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31" w:name="_Toc28091"/>
      <w:bookmarkStart w:id="32" w:name="_Toc2799"/>
      <w:r>
        <w:rPr>
          <w:rFonts w:hint="default" w:ascii="Times New Roman" w:hAnsi="Times New Roman" w:eastAsia="仿宋" w:cs="Times New Roman"/>
          <w:sz w:val="28"/>
          <w:szCs w:val="28"/>
          <w:lang w:val="en-US" w:eastAsia="zh-CN"/>
        </w:rPr>
        <w:t>2.5.1基本要求</w:t>
      </w:r>
      <w:bookmarkEnd w:id="31"/>
      <w:bookmarkEnd w:id="32"/>
    </w:p>
    <w:p>
      <w:pPr>
        <w:pageBreakBefore w:val="0"/>
        <w:widowControl/>
        <w:kinsoku/>
        <w:wordWrap/>
        <w:overflowPunct/>
        <w:topLinePunct w:val="0"/>
        <w:autoSpaceDE/>
        <w:autoSpaceDN/>
        <w:bidi w:val="0"/>
        <w:adjustRightInd/>
        <w:snapToGrid/>
        <w:spacing w:line="520" w:lineRule="exact"/>
        <w:ind w:firstLine="480" w:firstLineChars="200"/>
        <w:jc w:val="left"/>
        <w:rPr>
          <w:rFonts w:hint="eastAsia" w:ascii="Times New Roman" w:hAnsi="Times New Roman" w:eastAsia="宋体" w:cs="Times New Roman"/>
          <w:kern w:val="0"/>
          <w:sz w:val="24"/>
          <w:szCs w:val="24"/>
          <w:lang w:val="en-US" w:eastAsia="zh-CN" w:bidi="ar"/>
        </w:rPr>
      </w:pPr>
      <w:r>
        <w:rPr>
          <w:rFonts w:hint="default" w:ascii="Times New Roman" w:hAnsi="Times New Roman" w:cs="Times New Roman"/>
          <w:kern w:val="0"/>
          <w:sz w:val="24"/>
          <w:szCs w:val="24"/>
          <w:lang w:val="en-US" w:eastAsia="zh-CN" w:bidi="ar"/>
        </w:rPr>
        <w:t>（1）</w:t>
      </w:r>
      <w:r>
        <w:rPr>
          <w:rFonts w:hint="eastAsia" w:cs="Times New Roman"/>
          <w:kern w:val="0"/>
          <w:sz w:val="24"/>
          <w:szCs w:val="24"/>
          <w:lang w:val="en-US" w:eastAsia="zh-CN" w:bidi="ar"/>
        </w:rPr>
        <w:t>“</w:t>
      </w:r>
      <w:r>
        <w:rPr>
          <w:rFonts w:hint="eastAsia" w:ascii="宋体" w:hAnsi="宋体" w:cs="宋体"/>
          <w:kern w:val="0"/>
          <w:sz w:val="24"/>
          <w:szCs w:val="24"/>
          <w:lang w:bidi="ar"/>
        </w:rPr>
        <w:t>5.1.</w:t>
      </w:r>
      <w:r>
        <w:rPr>
          <w:rFonts w:hint="eastAsia" w:ascii="宋体" w:hAnsi="宋体" w:cs="宋体"/>
          <w:kern w:val="0"/>
          <w:sz w:val="24"/>
          <w:szCs w:val="24"/>
          <w:lang w:val="en-US" w:eastAsia="zh-CN" w:bidi="ar"/>
        </w:rPr>
        <w:t>1</w:t>
      </w:r>
      <w:r>
        <w:rPr>
          <w:rFonts w:hint="eastAsia" w:ascii="宋体" w:hAnsi="宋体" w:cs="宋体"/>
          <w:kern w:val="0"/>
          <w:sz w:val="24"/>
          <w:szCs w:val="24"/>
          <w:lang w:bidi="ar"/>
        </w:rPr>
        <w:t xml:space="preserve"> 产品</w:t>
      </w:r>
      <w:r>
        <w:rPr>
          <w:rFonts w:hint="eastAsia" w:ascii="宋体" w:hAnsi="宋体" w:cs="宋体"/>
          <w:kern w:val="0"/>
          <w:sz w:val="24"/>
          <w:szCs w:val="24"/>
          <w:lang w:val="en-US" w:eastAsia="zh-CN" w:bidi="ar"/>
        </w:rPr>
        <w:t>使用</w:t>
      </w:r>
      <w:r>
        <w:rPr>
          <w:rFonts w:hint="eastAsia" w:ascii="宋体" w:hAnsi="宋体" w:cs="宋体"/>
          <w:kern w:val="0"/>
          <w:sz w:val="24"/>
          <w:szCs w:val="24"/>
          <w:lang w:bidi="ar"/>
        </w:rPr>
        <w:t>性能</w:t>
      </w:r>
      <w:r>
        <w:rPr>
          <w:rFonts w:hint="eastAsia" w:ascii="宋体" w:hAnsi="宋体" w:cs="宋体"/>
          <w:kern w:val="0"/>
          <w:sz w:val="24"/>
          <w:szCs w:val="24"/>
          <w:lang w:val="en-US" w:eastAsia="zh-CN" w:bidi="ar"/>
        </w:rPr>
        <w:t>和质量</w:t>
      </w:r>
      <w:r>
        <w:rPr>
          <w:rFonts w:hint="eastAsia" w:ascii="宋体" w:hAnsi="宋体" w:cs="宋体"/>
          <w:kern w:val="0"/>
          <w:sz w:val="24"/>
          <w:szCs w:val="24"/>
          <w:lang w:bidi="ar"/>
        </w:rPr>
        <w:t>应符合相应产品标准的要求。</w:t>
      </w:r>
      <w:r>
        <w:rPr>
          <w:rFonts w:hint="eastAsia" w:ascii="宋体" w:hAnsi="宋体" w:cs="宋体"/>
          <w:kern w:val="0"/>
          <w:sz w:val="24"/>
          <w:szCs w:val="24"/>
          <w:lang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kern w:val="0"/>
          <w:sz w:val="24"/>
          <w:szCs w:val="24"/>
          <w:lang w:val="en-US" w:eastAsia="zh-CN" w:bidi="ar"/>
        </w:rPr>
      </w:pPr>
      <w:r>
        <w:rPr>
          <w:rFonts w:hint="default" w:ascii="Times New Roman" w:hAnsi="Times New Roman" w:cs="Times New Roman"/>
          <w:kern w:val="0"/>
          <w:sz w:val="24"/>
          <w:szCs w:val="24"/>
          <w:lang w:val="en-US" w:eastAsia="zh-CN" w:bidi="ar"/>
        </w:rPr>
        <w:t>进行减碳量评估的</w:t>
      </w:r>
      <w:r>
        <w:rPr>
          <w:rFonts w:hint="default" w:ascii="Times New Roman" w:hAnsi="Times New Roman" w:cs="Times New Roman"/>
          <w:kern w:val="0"/>
          <w:sz w:val="24"/>
          <w:szCs w:val="24"/>
          <w:lang w:bidi="ar"/>
        </w:rPr>
        <w:t>产品</w:t>
      </w:r>
      <w:r>
        <w:rPr>
          <w:rFonts w:hint="default" w:ascii="Times New Roman" w:hAnsi="Times New Roman" w:cs="Times New Roman"/>
          <w:kern w:val="0"/>
          <w:sz w:val="24"/>
          <w:szCs w:val="24"/>
          <w:lang w:val="en-US" w:eastAsia="zh-CN" w:bidi="ar"/>
        </w:rPr>
        <w:t>其</w:t>
      </w:r>
      <w:r>
        <w:rPr>
          <w:rFonts w:hint="default" w:ascii="Times New Roman" w:hAnsi="Times New Roman" w:cs="Times New Roman"/>
          <w:kern w:val="0"/>
          <w:sz w:val="24"/>
          <w:szCs w:val="24"/>
          <w:lang w:bidi="ar"/>
        </w:rPr>
        <w:t>基本性能应符合相应产品标准的要求</w:t>
      </w:r>
      <w:r>
        <w:rPr>
          <w:rFonts w:hint="default" w:ascii="Times New Roman" w:hAnsi="Times New Roman" w:cs="Times New Roman"/>
          <w:kern w:val="0"/>
          <w:sz w:val="24"/>
          <w:szCs w:val="24"/>
          <w:lang w:eastAsia="zh-CN" w:bidi="ar"/>
        </w:rPr>
        <w:t>，</w:t>
      </w:r>
      <w:r>
        <w:rPr>
          <w:rFonts w:hint="default" w:ascii="Times New Roman" w:hAnsi="Times New Roman" w:cs="Times New Roman"/>
          <w:kern w:val="0"/>
          <w:sz w:val="24"/>
          <w:szCs w:val="24"/>
          <w:lang w:val="en-US" w:eastAsia="zh-CN" w:bidi="ar"/>
        </w:rPr>
        <w:t>保证产品质量是绿色低碳的前提和基础</w:t>
      </w:r>
      <w:r>
        <w:rPr>
          <w:rFonts w:hint="default" w:ascii="Times New Roman" w:hAnsi="Times New Roman" w:cs="Times New Roman"/>
          <w:kern w:val="0"/>
          <w:sz w:val="24"/>
          <w:szCs w:val="24"/>
          <w:lang w:eastAsia="zh-CN" w:bidi="ar"/>
        </w:rPr>
        <w:t>，</w:t>
      </w:r>
      <w:r>
        <w:rPr>
          <w:rFonts w:hint="default" w:ascii="Times New Roman" w:hAnsi="Times New Roman" w:cs="Times New Roman"/>
          <w:kern w:val="0"/>
          <w:sz w:val="24"/>
          <w:szCs w:val="24"/>
          <w:highlight w:val="none"/>
          <w:lang w:val="en-US" w:eastAsia="zh-CN" w:bidi="ar"/>
        </w:rPr>
        <w:t>满足应用前提下</w:t>
      </w:r>
      <w:r>
        <w:rPr>
          <w:rFonts w:hint="eastAsia" w:cs="Times New Roman"/>
          <w:kern w:val="0"/>
          <w:sz w:val="24"/>
          <w:szCs w:val="24"/>
          <w:highlight w:val="none"/>
          <w:lang w:val="en-US" w:eastAsia="zh-CN" w:bidi="ar"/>
        </w:rPr>
        <w:t>核算</w:t>
      </w:r>
      <w:r>
        <w:rPr>
          <w:rFonts w:hint="default" w:ascii="Times New Roman" w:hAnsi="Times New Roman" w:cs="Times New Roman"/>
          <w:kern w:val="0"/>
          <w:sz w:val="24"/>
          <w:szCs w:val="24"/>
          <w:highlight w:val="none"/>
          <w:lang w:val="en-US" w:eastAsia="zh-CN" w:bidi="ar"/>
        </w:rPr>
        <w:t>的减碳量才有意义。</w:t>
      </w:r>
    </w:p>
    <w:p>
      <w:pPr>
        <w:pageBreakBefore w:val="0"/>
        <w:widowControl/>
        <w:kinsoku/>
        <w:wordWrap/>
        <w:overflowPunct/>
        <w:topLinePunct w:val="0"/>
        <w:autoSpaceDE/>
        <w:autoSpaceDN/>
        <w:bidi w:val="0"/>
        <w:adjustRightInd/>
        <w:snapToGrid/>
        <w:spacing w:line="360" w:lineRule="auto"/>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（2）</w:t>
      </w:r>
      <w:r>
        <w:rPr>
          <w:rFonts w:hint="eastAsia" w:cs="Times New Roman"/>
          <w:kern w:val="0"/>
          <w:sz w:val="24"/>
          <w:szCs w:val="24"/>
          <w:lang w:val="en-US" w:eastAsia="zh-CN" w:bidi="ar"/>
        </w:rPr>
        <w:t>“</w:t>
      </w:r>
      <w:r>
        <w:rPr>
          <w:rFonts w:hint="eastAsia" w:ascii="宋体" w:hAnsi="宋体" w:cs="宋体"/>
          <w:kern w:val="0"/>
          <w:sz w:val="24"/>
          <w:szCs w:val="24"/>
          <w:lang w:bidi="ar"/>
        </w:rPr>
        <w:t>5.1.</w:t>
      </w:r>
      <w:r>
        <w:rPr>
          <w:rFonts w:hint="eastAsia" w:ascii="宋体" w:hAnsi="宋体" w:cs="宋体"/>
          <w:kern w:val="0"/>
          <w:sz w:val="24"/>
          <w:szCs w:val="24"/>
          <w:lang w:val="en-US" w:eastAsia="zh-CN" w:bidi="ar"/>
        </w:rPr>
        <w:t>2</w:t>
      </w:r>
      <w:r>
        <w:rPr>
          <w:rFonts w:hint="eastAsia" w:ascii="宋体" w:hAnsi="宋体" w:cs="宋体"/>
          <w:kern w:val="0"/>
          <w:sz w:val="24"/>
          <w:szCs w:val="24"/>
          <w:lang w:bidi="ar"/>
        </w:rPr>
        <w:t xml:space="preserve"> </w:t>
      </w:r>
      <w:r>
        <w:rPr>
          <w:rFonts w:hint="eastAsia" w:ascii="宋体" w:hAnsi="宋体" w:cs="宋体"/>
          <w:kern w:val="0"/>
          <w:sz w:val="24"/>
          <w:szCs w:val="24"/>
          <w:lang w:val="en-US" w:eastAsia="zh-CN" w:bidi="ar"/>
        </w:rPr>
        <w:t>建材产品减碳量评估范围宜包括生产阶段和使用阶段。</w:t>
      </w:r>
      <w:r>
        <w:rPr>
          <w:rFonts w:hint="eastAsia" w:cs="Times New Roman"/>
          <w:kern w:val="0"/>
          <w:sz w:val="24"/>
          <w:szCs w:val="24"/>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因为建材产品品种多，差异化较大，</w:t>
      </w:r>
      <w:r>
        <w:rPr>
          <w:rFonts w:hint="eastAsia" w:cs="Times New Roman"/>
          <w:kern w:val="0"/>
          <w:sz w:val="24"/>
          <w:szCs w:val="24"/>
          <w:lang w:val="en-US" w:eastAsia="zh-CN" w:bidi="ar"/>
        </w:rPr>
        <w:t>不同产品由于其具有不同的特性和功能，在生产和使用</w:t>
      </w:r>
      <w:r>
        <w:rPr>
          <w:rFonts w:hint="default" w:ascii="Times New Roman" w:hAnsi="Times New Roman" w:cs="Times New Roman"/>
          <w:kern w:val="0"/>
          <w:sz w:val="24"/>
          <w:szCs w:val="24"/>
          <w:lang w:val="en-US" w:eastAsia="zh-CN" w:bidi="ar"/>
        </w:rPr>
        <w:t>的减碳量</w:t>
      </w:r>
      <w:r>
        <w:rPr>
          <w:rFonts w:hint="eastAsia" w:cs="Times New Roman"/>
          <w:kern w:val="0"/>
          <w:sz w:val="24"/>
          <w:szCs w:val="24"/>
          <w:lang w:val="en-US" w:eastAsia="zh-CN" w:bidi="ar"/>
        </w:rPr>
        <w:t>范围不尽相同</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如</w:t>
      </w:r>
      <w:r>
        <w:rPr>
          <w:rFonts w:hint="default" w:ascii="Times New Roman" w:hAnsi="Times New Roman" w:cs="Times New Roman"/>
          <w:kern w:val="0"/>
          <w:sz w:val="24"/>
          <w:szCs w:val="24"/>
          <w:lang w:val="en-US" w:eastAsia="zh-CN" w:bidi="ar"/>
        </w:rPr>
        <w:t>水泥、玻璃、陶瓷、墙体材料等产品的特点是生产阶段排放二氧化碳，产品出厂后的使用阶段也无节能减排的性能，</w:t>
      </w:r>
      <w:r>
        <w:rPr>
          <w:rFonts w:hint="eastAsia" w:ascii="Times New Roman" w:hAnsi="Times New Roman" w:cs="Times New Roman"/>
          <w:kern w:val="0"/>
          <w:sz w:val="24"/>
          <w:szCs w:val="24"/>
          <w:lang w:val="en-US" w:eastAsia="zh-CN" w:bidi="ar"/>
        </w:rPr>
        <w:t>使用阶段产品本身对二氧化碳排放的影响基本可忽略不计，</w:t>
      </w:r>
      <w:r>
        <w:rPr>
          <w:rFonts w:hint="default" w:ascii="Times New Roman" w:hAnsi="Times New Roman" w:cs="Times New Roman"/>
          <w:kern w:val="0"/>
          <w:sz w:val="24"/>
          <w:szCs w:val="24"/>
          <w:lang w:val="en-US" w:eastAsia="zh-CN" w:bidi="ar"/>
        </w:rPr>
        <w:t>因此减碳量核算</w:t>
      </w:r>
      <w:r>
        <w:rPr>
          <w:rFonts w:hint="eastAsia" w:ascii="Times New Roman" w:hAnsi="Times New Roman" w:cs="Times New Roman"/>
          <w:kern w:val="0"/>
          <w:sz w:val="24"/>
          <w:szCs w:val="24"/>
          <w:lang w:val="en-US" w:eastAsia="zh-CN" w:bidi="ar"/>
        </w:rPr>
        <w:t>时仅考虑</w:t>
      </w:r>
      <w:r>
        <w:rPr>
          <w:rFonts w:hint="default" w:ascii="Times New Roman" w:hAnsi="Times New Roman" w:cs="Times New Roman"/>
          <w:kern w:val="0"/>
          <w:sz w:val="24"/>
          <w:szCs w:val="24"/>
          <w:lang w:val="en-US" w:eastAsia="zh-CN" w:bidi="ar"/>
        </w:rPr>
        <w:t>生产制备阶段</w:t>
      </w:r>
      <w:r>
        <w:rPr>
          <w:rFonts w:hint="eastAsia" w:ascii="Times New Roman" w:hAnsi="Times New Roman" w:cs="Times New Roman"/>
          <w:kern w:val="0"/>
          <w:sz w:val="24"/>
          <w:szCs w:val="24"/>
          <w:lang w:val="en-US" w:eastAsia="zh-CN" w:bidi="ar"/>
        </w:rPr>
        <w:t>即可</w:t>
      </w:r>
      <w:r>
        <w:rPr>
          <w:rFonts w:hint="default" w:ascii="Times New Roman" w:hAnsi="Times New Roman" w:cs="Times New Roman"/>
          <w:kern w:val="0"/>
          <w:sz w:val="24"/>
          <w:szCs w:val="24"/>
          <w:lang w:val="en-US" w:eastAsia="zh-CN" w:bidi="ar"/>
        </w:rPr>
        <w:t>；</w:t>
      </w:r>
      <w:r>
        <w:rPr>
          <w:rFonts w:hint="eastAsia" w:ascii="Times New Roman" w:hAnsi="Times New Roman" w:cs="Times New Roman"/>
          <w:kern w:val="0"/>
          <w:sz w:val="24"/>
          <w:szCs w:val="24"/>
          <w:lang w:val="en-US" w:eastAsia="zh-CN" w:bidi="ar"/>
        </w:rPr>
        <w:t>而</w:t>
      </w:r>
      <w:r>
        <w:rPr>
          <w:rFonts w:hint="default" w:ascii="Times New Roman" w:hAnsi="Times New Roman" w:cs="Times New Roman"/>
          <w:kern w:val="0"/>
          <w:sz w:val="24"/>
          <w:szCs w:val="24"/>
          <w:lang w:val="en-US" w:eastAsia="zh-CN" w:bidi="ar"/>
        </w:rPr>
        <w:t>保温隔热板材、混凝土保温墙板等</w:t>
      </w:r>
      <w:r>
        <w:rPr>
          <w:rFonts w:hint="default" w:ascii="Times New Roman" w:hAnsi="Times New Roman" w:cs="Times New Roman"/>
          <w:kern w:val="0"/>
          <w:sz w:val="24"/>
          <w:szCs w:val="24"/>
          <w:highlight w:val="none"/>
          <w:lang w:bidi="ar"/>
        </w:rPr>
        <w:t>保温隔热</w:t>
      </w:r>
      <w:r>
        <w:rPr>
          <w:rFonts w:hint="default" w:ascii="Times New Roman" w:hAnsi="Times New Roman" w:cs="Times New Roman"/>
          <w:kern w:val="0"/>
          <w:sz w:val="24"/>
          <w:szCs w:val="24"/>
          <w:highlight w:val="none"/>
          <w:lang w:val="en-US" w:eastAsia="zh-CN" w:bidi="ar"/>
        </w:rPr>
        <w:t>建材产品</w:t>
      </w:r>
      <w:r>
        <w:rPr>
          <w:rFonts w:hint="eastAsia" w:ascii="Times New Roman" w:hAnsi="Times New Roman" w:cs="Times New Roman"/>
          <w:kern w:val="0"/>
          <w:sz w:val="24"/>
          <w:szCs w:val="24"/>
          <w:highlight w:val="none"/>
          <w:lang w:val="en-US" w:eastAsia="zh-CN" w:bidi="ar"/>
        </w:rPr>
        <w:t>的特性为</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生产阶段排放二氧化碳，使用</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由于其保温隔热性能能够对建筑主体的能耗起到节约作用，进而通过产品的使用可以间接减少碳排放，该类产品减碳量核算</w:t>
      </w:r>
      <w:r>
        <w:rPr>
          <w:rFonts w:hint="eastAsia" w:cs="Times New Roman"/>
          <w:kern w:val="0"/>
          <w:sz w:val="24"/>
          <w:szCs w:val="24"/>
          <w:lang w:val="en-US" w:eastAsia="zh-CN" w:bidi="ar"/>
        </w:rPr>
        <w:t>应</w:t>
      </w:r>
      <w:r>
        <w:rPr>
          <w:rFonts w:hint="default" w:ascii="Times New Roman" w:hAnsi="Times New Roman" w:cs="Times New Roman"/>
          <w:kern w:val="0"/>
          <w:sz w:val="24"/>
          <w:szCs w:val="24"/>
          <w:lang w:val="en-US" w:eastAsia="zh-CN" w:bidi="ar"/>
        </w:rPr>
        <w:t>分别考虑生产</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和使用</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；光伏玻璃、</w:t>
      </w:r>
      <w:r>
        <w:rPr>
          <w:rFonts w:hint="default" w:ascii="Times New Roman" w:hAnsi="Times New Roman" w:cs="Times New Roman"/>
          <w:kern w:val="0"/>
          <w:sz w:val="24"/>
          <w:szCs w:val="24"/>
          <w:highlight w:val="none"/>
          <w:lang w:bidi="ar"/>
        </w:rPr>
        <w:t>B</w:t>
      </w:r>
      <w:r>
        <w:rPr>
          <w:rFonts w:hint="default" w:ascii="Times New Roman" w:hAnsi="Times New Roman" w:eastAsia="宋体" w:cs="Times New Roman"/>
          <w:kern w:val="0"/>
          <w:sz w:val="24"/>
          <w:szCs w:val="24"/>
          <w:highlight w:val="none"/>
          <w:lang w:bidi="ar"/>
        </w:rPr>
        <w:t>ipv光电转化材料</w:t>
      </w:r>
      <w:r>
        <w:rPr>
          <w:rFonts w:hint="default" w:ascii="Times New Roman" w:hAnsi="Times New Roman" w:eastAsia="宋体" w:cs="Times New Roman"/>
          <w:kern w:val="0"/>
          <w:sz w:val="24"/>
          <w:szCs w:val="24"/>
          <w:highlight w:val="none"/>
          <w:lang w:val="en-US" w:eastAsia="zh-CN" w:bidi="ar"/>
        </w:rPr>
        <w:t>等</w:t>
      </w:r>
      <w:r>
        <w:rPr>
          <w:rFonts w:hint="default" w:ascii="Times New Roman" w:hAnsi="Times New Roman" w:cs="Times New Roman"/>
          <w:kern w:val="0"/>
          <w:sz w:val="24"/>
          <w:szCs w:val="24"/>
          <w:lang w:val="en-US" w:eastAsia="zh-CN" w:bidi="ar"/>
        </w:rPr>
        <w:t>光电转化产品</w:t>
      </w:r>
      <w:r>
        <w:rPr>
          <w:rFonts w:hint="default" w:ascii="Times New Roman" w:hAnsi="Times New Roman" w:eastAsia="宋体" w:cs="Times New Roman"/>
          <w:kern w:val="0"/>
          <w:sz w:val="24"/>
          <w:szCs w:val="24"/>
          <w:highlight w:val="none"/>
          <w:lang w:val="en-US" w:eastAsia="zh-CN" w:bidi="ar"/>
        </w:rPr>
        <w:t>，</w:t>
      </w:r>
      <w:r>
        <w:rPr>
          <w:rFonts w:hint="eastAsia" w:cs="Times New Roman"/>
          <w:kern w:val="0"/>
          <w:sz w:val="24"/>
          <w:szCs w:val="24"/>
          <w:highlight w:val="none"/>
          <w:lang w:val="en-US" w:eastAsia="zh-CN" w:bidi="ar"/>
        </w:rPr>
        <w:t>其</w:t>
      </w:r>
      <w:r>
        <w:rPr>
          <w:rFonts w:hint="default" w:ascii="Times New Roman" w:hAnsi="Times New Roman" w:eastAsia="宋体" w:cs="Times New Roman"/>
          <w:kern w:val="0"/>
          <w:sz w:val="24"/>
          <w:szCs w:val="24"/>
          <w:highlight w:val="none"/>
          <w:lang w:val="en-US" w:eastAsia="zh-CN" w:bidi="ar"/>
        </w:rPr>
        <w:t>使用阶段通过转化太阳能产生清洁电</w:t>
      </w:r>
      <w:r>
        <w:rPr>
          <w:rFonts w:hint="eastAsia" w:cs="Times New Roman"/>
          <w:kern w:val="0"/>
          <w:sz w:val="24"/>
          <w:szCs w:val="24"/>
          <w:highlight w:val="none"/>
          <w:lang w:val="en-US" w:eastAsia="zh-CN" w:bidi="ar"/>
        </w:rPr>
        <w:t>力</w:t>
      </w:r>
      <w:r>
        <w:rPr>
          <w:rFonts w:hint="default" w:ascii="Times New Roman" w:hAnsi="Times New Roman" w:eastAsia="宋体" w:cs="Times New Roman"/>
          <w:kern w:val="0"/>
          <w:sz w:val="24"/>
          <w:szCs w:val="24"/>
          <w:highlight w:val="none"/>
          <w:lang w:val="en-US" w:eastAsia="zh-CN" w:bidi="ar"/>
        </w:rPr>
        <w:t>，间接减少火力发电产生的二氧化碳，减碳量核算也</w:t>
      </w:r>
      <w:r>
        <w:rPr>
          <w:rFonts w:hint="eastAsia" w:cs="Times New Roman"/>
          <w:kern w:val="0"/>
          <w:sz w:val="24"/>
          <w:szCs w:val="24"/>
          <w:highlight w:val="none"/>
          <w:lang w:val="en-US" w:eastAsia="zh-CN" w:bidi="ar"/>
        </w:rPr>
        <w:t>应</w:t>
      </w:r>
      <w:r>
        <w:rPr>
          <w:rFonts w:hint="default" w:ascii="Times New Roman" w:hAnsi="Times New Roman" w:eastAsia="宋体" w:cs="Times New Roman"/>
          <w:kern w:val="0"/>
          <w:sz w:val="24"/>
          <w:szCs w:val="24"/>
          <w:highlight w:val="none"/>
          <w:lang w:val="en-US" w:eastAsia="zh-CN" w:bidi="ar"/>
        </w:rPr>
        <w:t>分别考虑生产过程和使用过程。</w:t>
      </w:r>
      <w:r>
        <w:rPr>
          <w:rFonts w:hint="eastAsia" w:cs="Times New Roman"/>
          <w:kern w:val="0"/>
          <w:sz w:val="24"/>
          <w:szCs w:val="24"/>
          <w:highlight w:val="none"/>
          <w:lang w:val="en-US" w:eastAsia="zh-CN" w:bidi="ar"/>
        </w:rPr>
        <w:t>因此给出宜包括生产阶段和使用阶段的要求。</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（3）</w:t>
      </w:r>
      <w:r>
        <w:rPr>
          <w:rFonts w:hint="eastAsia" w:cs="Times New Roman"/>
          <w:kern w:val="0"/>
          <w:sz w:val="24"/>
          <w:szCs w:val="24"/>
          <w:lang w:val="en-US" w:eastAsia="zh-CN" w:bidi="ar"/>
        </w:rPr>
        <w:t>“</w:t>
      </w:r>
      <w:r>
        <w:rPr>
          <w:rFonts w:hint="eastAsia" w:ascii="宋体" w:hAnsi="宋体" w:cs="宋体"/>
          <w:kern w:val="0"/>
          <w:sz w:val="24"/>
          <w:szCs w:val="24"/>
          <w:lang w:bidi="ar"/>
        </w:rPr>
        <w:t>5.1.</w:t>
      </w:r>
      <w:r>
        <w:rPr>
          <w:rFonts w:hint="eastAsia" w:ascii="宋体" w:hAnsi="宋体" w:cs="宋体"/>
          <w:kern w:val="0"/>
          <w:sz w:val="24"/>
          <w:szCs w:val="24"/>
          <w:lang w:val="en-US" w:eastAsia="zh-CN" w:bidi="ar"/>
        </w:rPr>
        <w:t>3</w:t>
      </w:r>
      <w:r>
        <w:rPr>
          <w:rFonts w:hint="eastAsia" w:ascii="宋体" w:hAnsi="宋体" w:cs="宋体"/>
          <w:kern w:val="0"/>
          <w:sz w:val="24"/>
          <w:szCs w:val="24"/>
          <w:lang w:bidi="ar"/>
        </w:rPr>
        <w:t xml:space="preserve"> 减碳量核算时应明确产品的功能单位</w:t>
      </w:r>
      <w:r>
        <w:rPr>
          <w:rFonts w:hint="eastAsia" w:cs="Times New Roman"/>
          <w:kern w:val="0"/>
          <w:sz w:val="24"/>
          <w:szCs w:val="24"/>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减碳量评估的产品单元为每功能单位的建材产品，</w:t>
      </w:r>
      <w:r>
        <w:rPr>
          <w:rFonts w:hint="eastAsia" w:cs="Times New Roman"/>
          <w:kern w:val="0"/>
          <w:sz w:val="24"/>
          <w:szCs w:val="24"/>
          <w:lang w:val="en-US" w:eastAsia="zh-CN" w:bidi="ar"/>
        </w:rPr>
        <w:t>应</w:t>
      </w:r>
      <w:r>
        <w:rPr>
          <w:rFonts w:hint="default" w:ascii="Times New Roman" w:hAnsi="Times New Roman" w:cs="Times New Roman"/>
          <w:kern w:val="0"/>
          <w:sz w:val="24"/>
          <w:szCs w:val="24"/>
          <w:lang w:val="en-US" w:eastAsia="zh-CN" w:bidi="ar"/>
        </w:rPr>
        <w:t>根据产品的应用</w:t>
      </w:r>
      <w:r>
        <w:rPr>
          <w:rFonts w:hint="eastAsia" w:cs="Times New Roman"/>
          <w:kern w:val="0"/>
          <w:sz w:val="24"/>
          <w:szCs w:val="24"/>
          <w:lang w:val="en-US" w:eastAsia="zh-CN" w:bidi="ar"/>
        </w:rPr>
        <w:t>功能</w:t>
      </w:r>
      <w:r>
        <w:rPr>
          <w:rFonts w:hint="default" w:ascii="Times New Roman" w:hAnsi="Times New Roman" w:cs="Times New Roman"/>
          <w:kern w:val="0"/>
          <w:sz w:val="24"/>
          <w:szCs w:val="24"/>
          <w:lang w:val="en-US" w:eastAsia="zh-CN" w:bidi="ar"/>
        </w:rPr>
        <w:t>，取单位质量或单位面积的产品进行核算，</w:t>
      </w:r>
      <w:r>
        <w:rPr>
          <w:rFonts w:hint="eastAsia" w:cs="Times New Roman"/>
          <w:kern w:val="0"/>
          <w:sz w:val="24"/>
          <w:szCs w:val="24"/>
          <w:highlight w:val="none"/>
          <w:lang w:val="en-US" w:eastAsia="zh-CN" w:bidi="ar"/>
        </w:rPr>
        <w:t>保证基本核算单元的统一</w:t>
      </w:r>
      <w:r>
        <w:rPr>
          <w:rFonts w:hint="default" w:ascii="Times New Roman" w:hAnsi="Times New Roman" w:cs="Times New Roman"/>
          <w:kern w:val="0"/>
          <w:sz w:val="24"/>
          <w:szCs w:val="24"/>
          <w:highlight w:val="none"/>
          <w:lang w:val="en-US" w:eastAsia="zh-CN" w:bidi="ar"/>
        </w:rPr>
        <w:t>。</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33" w:name="_Toc32104"/>
      <w:bookmarkStart w:id="34" w:name="_Toc27684"/>
      <w:r>
        <w:rPr>
          <w:rFonts w:hint="default" w:ascii="Times New Roman" w:hAnsi="Times New Roman" w:eastAsia="仿宋" w:cs="Times New Roman"/>
          <w:sz w:val="28"/>
          <w:szCs w:val="28"/>
          <w:lang w:val="en-US" w:eastAsia="zh-CN"/>
        </w:rPr>
        <w:t>2.5.2评价程序</w:t>
      </w:r>
      <w:bookmarkEnd w:id="33"/>
      <w:bookmarkEnd w:id="34"/>
    </w:p>
    <w:p>
      <w:pPr>
        <w:jc w:val="center"/>
        <w:rPr>
          <w:rFonts w:hint="default"/>
          <w:lang w:val="en-US" w:eastAsia="zh-CN"/>
        </w:rPr>
      </w:pPr>
      <w:r>
        <w:object>
          <v:shape id="_x0000_i1026" o:spt="75" type="#_x0000_t75" style="height:255.9pt;width:228.65pt;" o:ole="t" filled="f" o:preferrelative="t" stroked="f" coordsize="21600,21600">
            <v:path/>
            <v:fill on="f" focussize="0,0"/>
            <v:stroke on="f"/>
            <v:imagedata r:id="rId6" o:title=""/>
            <o:lock v:ext="edit" aspectratio="f"/>
            <w10:wrap type="none"/>
            <w10:anchorlock/>
          </v:shape>
          <o:OLEObject Type="Embed" ProgID="Visio.Drawing.15" ShapeID="_x0000_i1026" DrawAspect="Content" ObjectID="_1468075725" r:id="rId5">
            <o:LockedField>false</o:LockedField>
          </o:OLEObject>
        </w:objec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建材产品减碳量的评估程序根据实际核算程序给出，首先确定</w:t>
      </w:r>
      <w:r>
        <w:rPr>
          <w:rFonts w:hint="eastAsia" w:cs="Times New Roman"/>
          <w:kern w:val="0"/>
          <w:sz w:val="24"/>
          <w:szCs w:val="24"/>
          <w:lang w:val="en-US" w:eastAsia="zh-CN" w:bidi="ar"/>
        </w:rPr>
        <w:t>建材</w:t>
      </w:r>
      <w:r>
        <w:rPr>
          <w:rFonts w:hint="default" w:ascii="Times New Roman" w:hAnsi="Times New Roman" w:cs="Times New Roman"/>
          <w:kern w:val="0"/>
          <w:sz w:val="24"/>
          <w:szCs w:val="24"/>
          <w:lang w:val="en-US" w:eastAsia="zh-CN" w:bidi="ar"/>
        </w:rPr>
        <w:t>产品的</w:t>
      </w:r>
      <w:r>
        <w:rPr>
          <w:rFonts w:hint="eastAsia" w:cs="Times New Roman"/>
          <w:kern w:val="0"/>
          <w:sz w:val="24"/>
          <w:szCs w:val="24"/>
          <w:lang w:val="en-US" w:eastAsia="zh-CN" w:bidi="ar"/>
        </w:rPr>
        <w:t>类型</w:t>
      </w:r>
      <w:r>
        <w:rPr>
          <w:rFonts w:hint="default" w:ascii="Times New Roman" w:hAnsi="Times New Roman" w:cs="Times New Roman"/>
          <w:kern w:val="0"/>
          <w:sz w:val="24"/>
          <w:szCs w:val="24"/>
          <w:lang w:val="en-US" w:eastAsia="zh-CN" w:bidi="ar"/>
        </w:rPr>
        <w:t>和减碳量的核算范围，即生产</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或者生产和使用</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；然后分别计算生产</w:t>
      </w:r>
      <w:r>
        <w:rPr>
          <w:rFonts w:hint="eastAsia" w:cs="Times New Roman"/>
          <w:kern w:val="0"/>
          <w:sz w:val="24"/>
          <w:szCs w:val="24"/>
          <w:lang w:val="en-US" w:eastAsia="zh-CN" w:bidi="ar"/>
        </w:rPr>
        <w:t>和</w:t>
      </w:r>
      <w:r>
        <w:rPr>
          <w:rFonts w:hint="default" w:ascii="Times New Roman" w:hAnsi="Times New Roman" w:cs="Times New Roman"/>
          <w:kern w:val="0"/>
          <w:sz w:val="24"/>
          <w:szCs w:val="24"/>
          <w:lang w:val="en-US" w:eastAsia="zh-CN" w:bidi="ar"/>
        </w:rPr>
        <w:t>使用</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的</w:t>
      </w:r>
      <w:r>
        <w:rPr>
          <w:rFonts w:hint="eastAsia" w:cs="Times New Roman"/>
          <w:kern w:val="0"/>
          <w:sz w:val="24"/>
          <w:szCs w:val="24"/>
          <w:lang w:val="en-US" w:eastAsia="zh-CN" w:bidi="ar"/>
        </w:rPr>
        <w:t>减碳量</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其中生产阶段分别核算原物料使用和生产过程的减碳量，使用阶段针对保温隔热产品、光电转化产品评估减碳量。最后综合评估</w:t>
      </w:r>
      <w:r>
        <w:rPr>
          <w:rFonts w:hint="default" w:ascii="Times New Roman" w:hAnsi="Times New Roman" w:cs="Times New Roman"/>
          <w:kern w:val="0"/>
          <w:sz w:val="24"/>
          <w:szCs w:val="24"/>
          <w:lang w:val="en-US" w:eastAsia="zh-CN" w:bidi="ar"/>
        </w:rPr>
        <w:t>各阶段得到产品的减碳量结果</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并按本文件要求出具减碳量核算报告，</w:t>
      </w:r>
      <w:r>
        <w:rPr>
          <w:rFonts w:hint="eastAsia" w:cs="Times New Roman"/>
          <w:kern w:val="0"/>
          <w:sz w:val="24"/>
          <w:szCs w:val="24"/>
          <w:lang w:val="en-US" w:eastAsia="zh-CN" w:bidi="ar"/>
        </w:rPr>
        <w:t>并建议通过</w:t>
      </w:r>
      <w:r>
        <w:rPr>
          <w:rFonts w:hint="default" w:ascii="Times New Roman" w:hAnsi="Times New Roman" w:cs="Times New Roman"/>
          <w:kern w:val="0"/>
          <w:sz w:val="24"/>
          <w:szCs w:val="24"/>
          <w:lang w:val="en-US" w:eastAsia="zh-CN" w:bidi="ar"/>
        </w:rPr>
        <w:t>减碳量标识等环境标志</w:t>
      </w:r>
      <w:r>
        <w:rPr>
          <w:rFonts w:hint="eastAsia" w:cs="Times New Roman"/>
          <w:kern w:val="0"/>
          <w:sz w:val="24"/>
          <w:szCs w:val="24"/>
          <w:lang w:val="en-US" w:eastAsia="zh-CN" w:bidi="ar"/>
        </w:rPr>
        <w:t>声明减碳量水平</w:t>
      </w:r>
      <w:r>
        <w:rPr>
          <w:rFonts w:hint="default" w:ascii="Times New Roman" w:hAnsi="Times New Roman" w:cs="Times New Roman"/>
          <w:kern w:val="0"/>
          <w:sz w:val="24"/>
          <w:szCs w:val="24"/>
          <w:lang w:val="en-US" w:eastAsia="zh-CN" w:bidi="ar"/>
        </w:rPr>
        <w:t>。</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35" w:name="_Toc7809"/>
      <w:bookmarkStart w:id="36" w:name="_Toc1951"/>
      <w:r>
        <w:rPr>
          <w:rFonts w:hint="default" w:ascii="Times New Roman" w:hAnsi="Times New Roman" w:eastAsia="仿宋" w:cs="Times New Roman"/>
          <w:sz w:val="28"/>
          <w:szCs w:val="28"/>
          <w:lang w:val="en-US" w:eastAsia="zh-CN"/>
        </w:rPr>
        <w:t>2.5.3基准二氧化碳排放量选取</w:t>
      </w:r>
      <w:bookmarkEnd w:id="35"/>
      <w:bookmarkEnd w:id="36"/>
    </w:p>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lang w:val="en-US" w:eastAsia="zh-CN" w:bidi="ar"/>
        </w:rPr>
        <w:t>建材产品减碳量核算方法</w:t>
      </w:r>
      <w:r>
        <w:rPr>
          <w:rFonts w:hint="eastAsia" w:cs="Times New Roman"/>
          <w:kern w:val="0"/>
          <w:sz w:val="24"/>
          <w:szCs w:val="24"/>
          <w:lang w:val="en-US" w:eastAsia="zh-CN" w:bidi="ar"/>
        </w:rPr>
        <w:t>模型</w:t>
      </w:r>
      <w:r>
        <w:rPr>
          <w:rFonts w:hint="default" w:ascii="Times New Roman" w:hAnsi="Times New Roman" w:cs="Times New Roman"/>
          <w:kern w:val="0"/>
          <w:sz w:val="24"/>
          <w:szCs w:val="24"/>
          <w:lang w:val="en-US" w:eastAsia="zh-CN" w:bidi="ar"/>
        </w:rPr>
        <w:t>为产品实际生产或使用</w:t>
      </w:r>
      <w:r>
        <w:rPr>
          <w:rFonts w:hint="eastAsia" w:cs="Times New Roman"/>
          <w:kern w:val="0"/>
          <w:sz w:val="24"/>
          <w:szCs w:val="24"/>
          <w:lang w:val="en-US" w:eastAsia="zh-CN" w:bidi="ar"/>
        </w:rPr>
        <w:t>阶段</w:t>
      </w:r>
      <w:r>
        <w:rPr>
          <w:rFonts w:hint="default" w:ascii="Times New Roman" w:hAnsi="Times New Roman" w:cs="Times New Roman"/>
          <w:kern w:val="0"/>
          <w:sz w:val="24"/>
          <w:szCs w:val="24"/>
          <w:lang w:val="en-US" w:eastAsia="zh-CN" w:bidi="ar"/>
        </w:rPr>
        <w:t>的碳排放量与各</w:t>
      </w:r>
      <w:r>
        <w:rPr>
          <w:rFonts w:hint="eastAsia" w:cs="Times New Roman"/>
          <w:kern w:val="0"/>
          <w:sz w:val="24"/>
          <w:szCs w:val="24"/>
          <w:lang w:val="en-US" w:eastAsia="zh-CN" w:bidi="ar"/>
        </w:rPr>
        <w:t>类</w:t>
      </w:r>
      <w:r>
        <w:rPr>
          <w:rFonts w:hint="default" w:ascii="Times New Roman" w:hAnsi="Times New Roman" w:cs="Times New Roman"/>
          <w:kern w:val="0"/>
          <w:sz w:val="24"/>
          <w:szCs w:val="24"/>
          <w:lang w:val="en-US" w:eastAsia="zh-CN" w:bidi="ar"/>
        </w:rPr>
        <w:t>产品碳排放基准值</w:t>
      </w:r>
      <w:r>
        <w:rPr>
          <w:rFonts w:hint="eastAsia" w:cs="Times New Roman"/>
          <w:kern w:val="0"/>
          <w:sz w:val="24"/>
          <w:szCs w:val="24"/>
          <w:lang w:val="en-US" w:eastAsia="zh-CN" w:bidi="ar"/>
        </w:rPr>
        <w:t>的</w:t>
      </w:r>
      <w:r>
        <w:rPr>
          <w:rFonts w:hint="default" w:ascii="Times New Roman" w:hAnsi="Times New Roman" w:cs="Times New Roman"/>
          <w:kern w:val="0"/>
          <w:sz w:val="24"/>
          <w:szCs w:val="24"/>
          <w:lang w:val="en-US" w:eastAsia="zh-CN" w:bidi="ar"/>
        </w:rPr>
        <w:t>差值，</w:t>
      </w:r>
      <w:r>
        <w:rPr>
          <w:rFonts w:hint="eastAsia" w:cs="Times New Roman"/>
          <w:kern w:val="0"/>
          <w:sz w:val="24"/>
          <w:szCs w:val="24"/>
          <w:lang w:val="en-US" w:eastAsia="zh-CN" w:bidi="ar"/>
        </w:rPr>
        <w:t>其中</w:t>
      </w:r>
      <w:r>
        <w:rPr>
          <w:rFonts w:hint="default" w:ascii="Times New Roman" w:hAnsi="Times New Roman" w:cs="Times New Roman"/>
          <w:kern w:val="0"/>
          <w:sz w:val="24"/>
          <w:szCs w:val="24"/>
          <w:lang w:val="en-US" w:eastAsia="zh-CN" w:bidi="ar"/>
        </w:rPr>
        <w:t>基准值的选取原则是</w:t>
      </w:r>
      <w:r>
        <w:rPr>
          <w:rFonts w:hint="eastAsia" w:cs="Times New Roman"/>
          <w:kern w:val="0"/>
          <w:sz w:val="24"/>
          <w:szCs w:val="24"/>
          <w:lang w:val="en-US" w:eastAsia="zh-CN" w:bidi="ar"/>
        </w:rPr>
        <w:t>取</w:t>
      </w:r>
      <w:r>
        <w:rPr>
          <w:rFonts w:hint="default" w:ascii="Times New Roman" w:hAnsi="Times New Roman" w:cs="Times New Roman"/>
          <w:kern w:val="0"/>
          <w:sz w:val="24"/>
          <w:szCs w:val="24"/>
          <w:lang w:val="en-US" w:eastAsia="zh-CN" w:bidi="ar"/>
        </w:rPr>
        <w:t>各领域的行业碳排放平均水平，</w:t>
      </w:r>
      <w:r>
        <w:rPr>
          <w:rFonts w:hint="default" w:ascii="Times New Roman" w:hAnsi="Times New Roman" w:cs="Times New Roman"/>
          <w:kern w:val="0"/>
          <w:sz w:val="24"/>
          <w:szCs w:val="24"/>
          <w:highlight w:val="none"/>
          <w:lang w:val="en-US" w:eastAsia="zh-CN" w:bidi="ar"/>
        </w:rPr>
        <w:t>三类产品的</w:t>
      </w:r>
      <w:r>
        <w:rPr>
          <w:rFonts w:hint="eastAsia" w:cs="Times New Roman"/>
          <w:kern w:val="0"/>
          <w:sz w:val="24"/>
          <w:szCs w:val="24"/>
          <w:highlight w:val="none"/>
          <w:lang w:val="en-US" w:eastAsia="zh-CN" w:bidi="ar"/>
        </w:rPr>
        <w:t>具体</w:t>
      </w:r>
      <w:r>
        <w:rPr>
          <w:rFonts w:hint="default" w:ascii="Times New Roman" w:hAnsi="Times New Roman" w:cs="Times New Roman"/>
          <w:kern w:val="0"/>
          <w:sz w:val="24"/>
          <w:szCs w:val="24"/>
          <w:highlight w:val="none"/>
          <w:lang w:val="en-US" w:eastAsia="zh-CN" w:bidi="ar"/>
        </w:rPr>
        <w:t>基准值选取方法见下表1。</w:t>
      </w:r>
    </w:p>
    <w:p>
      <w:pPr>
        <w:pageBreakBefore w:val="0"/>
        <w:widowControl/>
        <w:kinsoku/>
        <w:wordWrap/>
        <w:overflowPunct/>
        <w:topLinePunct w:val="0"/>
        <w:autoSpaceDE/>
        <w:autoSpaceDN/>
        <w:bidi w:val="0"/>
        <w:adjustRightInd/>
        <w:snapToGrid/>
        <w:spacing w:line="520" w:lineRule="exact"/>
        <w:ind w:firstLine="480" w:firstLineChars="200"/>
        <w:jc w:val="center"/>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表1 各类建材产品的减碳量基准值选取方法</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7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核算阶段</w:t>
            </w:r>
          </w:p>
        </w:tc>
        <w:tc>
          <w:tcPr>
            <w:tcW w:w="7633"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基准值选取方法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cs="宋体"/>
                <w:kern w:val="0"/>
                <w:sz w:val="18"/>
                <w:szCs w:val="18"/>
                <w:lang w:bidi="ar"/>
              </w:rPr>
              <w:t>生产阶段</w:t>
            </w:r>
          </w:p>
        </w:tc>
        <w:tc>
          <w:tcPr>
            <w:tcW w:w="7633" w:type="dxa"/>
            <w:vAlign w:val="center"/>
          </w:tcPr>
          <w:p>
            <w:pPr>
              <w:spacing w:line="360" w:lineRule="auto"/>
              <w:jc w:val="left"/>
              <w:rPr>
                <w:rFonts w:ascii="宋体" w:hAnsi="宋体" w:eastAsia="宋体"/>
                <w:sz w:val="18"/>
                <w:szCs w:val="18"/>
              </w:rPr>
            </w:pPr>
            <w:r>
              <w:rPr>
                <w:rFonts w:hint="eastAsia" w:ascii="宋体" w:hAnsi="宋体" w:eastAsia="宋体"/>
                <w:sz w:val="18"/>
                <w:szCs w:val="18"/>
                <w:lang w:val="en-US" w:eastAsia="zh-CN"/>
              </w:rPr>
              <w:t>生产过程</w:t>
            </w:r>
            <w:r>
              <w:rPr>
                <w:rFonts w:hint="eastAsia" w:ascii="宋体" w:hAnsi="宋体" w:eastAsia="宋体"/>
                <w:sz w:val="18"/>
                <w:szCs w:val="18"/>
              </w:rPr>
              <w:t>取行业碳排放平均水平，可依据已有标准确定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cs="宋体"/>
                <w:kern w:val="0"/>
                <w:sz w:val="18"/>
                <w:szCs w:val="18"/>
                <w:lang w:bidi="ar"/>
              </w:rPr>
              <w:t>使用阶段</w:t>
            </w:r>
          </w:p>
        </w:tc>
        <w:tc>
          <w:tcPr>
            <w:tcW w:w="7633" w:type="dxa"/>
            <w:vAlign w:val="center"/>
          </w:tcPr>
          <w:p>
            <w:pPr>
              <w:pStyle w:val="12"/>
              <w:numPr>
                <w:ilvl w:val="255"/>
                <w:numId w:val="0"/>
              </w:numPr>
              <w:spacing w:before="0" w:beforeAutospacing="0" w:after="0" w:afterAutospacing="0"/>
              <w:rPr>
                <w:rFonts w:cstheme="minorBidi"/>
                <w:kern w:val="2"/>
                <w:sz w:val="18"/>
                <w:szCs w:val="18"/>
              </w:rPr>
            </w:pPr>
            <w:r>
              <w:rPr>
                <w:rFonts w:hint="eastAsia" w:cstheme="minorBidi"/>
                <w:kern w:val="2"/>
                <w:sz w:val="18"/>
                <w:szCs w:val="18"/>
              </w:rPr>
              <w:t>使用阶段基准值选取方法包括：</w:t>
            </w:r>
          </w:p>
          <w:p>
            <w:pPr>
              <w:pStyle w:val="12"/>
              <w:numPr>
                <w:ilvl w:val="0"/>
                <w:numId w:val="2"/>
              </w:numPr>
              <w:spacing w:before="0" w:beforeAutospacing="0" w:after="0" w:afterAutospacing="0"/>
              <w:rPr>
                <w:rFonts w:cstheme="minorBidi"/>
                <w:kern w:val="2"/>
                <w:sz w:val="18"/>
                <w:szCs w:val="18"/>
              </w:rPr>
            </w:pPr>
            <w:r>
              <w:rPr>
                <w:rFonts w:hint="eastAsia" w:cstheme="minorBidi"/>
                <w:kern w:val="2"/>
                <w:sz w:val="18"/>
                <w:szCs w:val="18"/>
              </w:rPr>
              <w:t>保温隔热情景：具有保温隔热性能建材产品的基准值取</w:t>
            </w:r>
            <w:r>
              <w:rPr>
                <w:rFonts w:hint="eastAsia" w:cstheme="minorBidi"/>
                <w:kern w:val="2"/>
                <w:sz w:val="18"/>
                <w:szCs w:val="18"/>
                <w:lang w:val="en-US" w:eastAsia="zh-CN"/>
              </w:rPr>
              <w:t>假定情景中，围护墙体传热</w:t>
            </w:r>
            <w:r>
              <w:rPr>
                <w:rFonts w:hint="eastAsia" w:cstheme="minorBidi"/>
                <w:kern w:val="2"/>
                <w:sz w:val="18"/>
                <w:szCs w:val="18"/>
              </w:rPr>
              <w:t>系数为建筑节能标准准入值时，应用产品的建筑主体</w:t>
            </w:r>
            <w:r>
              <w:rPr>
                <w:rFonts w:hint="eastAsia" w:cstheme="minorBidi"/>
                <w:kern w:val="2"/>
                <w:sz w:val="18"/>
                <w:szCs w:val="18"/>
                <w:lang w:val="en-US" w:eastAsia="zh-CN"/>
              </w:rPr>
              <w:t>统计</w:t>
            </w:r>
            <w:r>
              <w:rPr>
                <w:rFonts w:hint="eastAsia" w:cstheme="minorBidi"/>
                <w:kern w:val="2"/>
                <w:sz w:val="18"/>
                <w:szCs w:val="18"/>
              </w:rPr>
              <w:t>期内的二氧化碳排放量；</w:t>
            </w:r>
          </w:p>
          <w:p>
            <w:pPr>
              <w:pStyle w:val="12"/>
              <w:numPr>
                <w:ilvl w:val="0"/>
                <w:numId w:val="2"/>
              </w:numPr>
              <w:rPr>
                <w:rFonts w:cstheme="minorBidi"/>
                <w:kern w:val="2"/>
                <w:sz w:val="18"/>
                <w:szCs w:val="18"/>
              </w:rPr>
            </w:pPr>
            <w:r>
              <w:rPr>
                <w:rFonts w:hint="eastAsia" w:cstheme="minorBidi"/>
                <w:kern w:val="2"/>
                <w:sz w:val="18"/>
                <w:szCs w:val="18"/>
              </w:rPr>
              <w:t>清洁能源情景：具有生产</w:t>
            </w:r>
            <w:r>
              <w:rPr>
                <w:rFonts w:hint="eastAsia" w:cstheme="minorBidi"/>
                <w:kern w:val="2"/>
                <w:sz w:val="18"/>
                <w:szCs w:val="18"/>
                <w:lang w:val="en-US" w:eastAsia="zh-CN"/>
              </w:rPr>
              <w:t>绿色电力</w:t>
            </w:r>
            <w:r>
              <w:rPr>
                <w:rFonts w:hint="eastAsia" w:cstheme="minorBidi"/>
                <w:kern w:val="2"/>
                <w:sz w:val="18"/>
                <w:szCs w:val="18"/>
              </w:rPr>
              <w:t>性能的产品基准值取传统火力发电</w:t>
            </w:r>
            <w:r>
              <w:rPr>
                <w:rFonts w:hint="eastAsia" w:cstheme="minorBidi"/>
                <w:kern w:val="2"/>
                <w:sz w:val="18"/>
                <w:szCs w:val="18"/>
                <w:lang w:val="en-US" w:eastAsia="zh-CN"/>
              </w:rPr>
              <w:t>发出相同电量</w:t>
            </w:r>
            <w:r>
              <w:rPr>
                <w:rFonts w:hint="eastAsia" w:cstheme="minorBidi"/>
                <w:kern w:val="2"/>
                <w:sz w:val="18"/>
                <w:szCs w:val="18"/>
              </w:rPr>
              <w:t>时</w:t>
            </w:r>
            <w:r>
              <w:rPr>
                <w:rFonts w:hint="eastAsia" w:cstheme="minorBidi"/>
                <w:kern w:val="2"/>
                <w:sz w:val="18"/>
                <w:szCs w:val="18"/>
                <w:lang w:val="en-US" w:eastAsia="zh-CN"/>
              </w:rPr>
              <w:t>对应的</w:t>
            </w:r>
            <w:r>
              <w:rPr>
                <w:rFonts w:hint="eastAsia" w:cstheme="minorBidi"/>
                <w:kern w:val="2"/>
                <w:sz w:val="18"/>
                <w:szCs w:val="18"/>
              </w:rPr>
              <w:t>二氧化碳排放量。</w:t>
            </w:r>
          </w:p>
        </w:tc>
      </w:tr>
    </w:tbl>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lang w:val="en-US" w:eastAsia="zh-CN" w:bidi="ar"/>
        </w:rPr>
        <w:t>生产</w:t>
      </w:r>
      <w:r>
        <w:rPr>
          <w:rFonts w:hint="eastAsia" w:cs="Times New Roman"/>
          <w:kern w:val="0"/>
          <w:sz w:val="24"/>
          <w:szCs w:val="24"/>
          <w:lang w:val="en-US" w:eastAsia="zh-CN" w:bidi="ar"/>
        </w:rPr>
        <w:t>阶段减碳量基准值选取各类产品的</w:t>
      </w:r>
      <w:r>
        <w:rPr>
          <w:rFonts w:hint="default" w:ascii="Times New Roman" w:hAnsi="Times New Roman" w:cs="Times New Roman"/>
          <w:kern w:val="0"/>
          <w:sz w:val="24"/>
          <w:szCs w:val="24"/>
          <w:lang w:val="en-US" w:eastAsia="zh-CN" w:bidi="ar"/>
        </w:rPr>
        <w:t>行业碳排放</w:t>
      </w:r>
      <w:r>
        <w:rPr>
          <w:rFonts w:hint="eastAsia" w:cs="Times New Roman"/>
          <w:kern w:val="0"/>
          <w:sz w:val="24"/>
          <w:szCs w:val="24"/>
          <w:lang w:val="en-US" w:eastAsia="zh-CN" w:bidi="ar"/>
        </w:rPr>
        <w:t>量</w:t>
      </w:r>
      <w:r>
        <w:rPr>
          <w:rFonts w:hint="default" w:ascii="Times New Roman" w:hAnsi="Times New Roman" w:cs="Times New Roman"/>
          <w:kern w:val="0"/>
          <w:sz w:val="24"/>
          <w:szCs w:val="24"/>
          <w:lang w:val="en-US" w:eastAsia="zh-CN" w:bidi="ar"/>
        </w:rPr>
        <w:t>平均</w:t>
      </w:r>
      <w:r>
        <w:rPr>
          <w:rFonts w:hint="eastAsia" w:cs="Times New Roman"/>
          <w:kern w:val="0"/>
          <w:sz w:val="24"/>
          <w:szCs w:val="24"/>
          <w:lang w:val="en-US" w:eastAsia="zh-CN" w:bidi="ar"/>
        </w:rPr>
        <w:t>值，体现产品碳排放水平较行业平均值的减少量，以行业平均水平作基准不仅能在相同使用性能前提下遴选低碳产品，也能够推动行业进一步低碳发展。</w:t>
      </w:r>
      <w:r>
        <w:rPr>
          <w:rFonts w:hint="default" w:ascii="Times New Roman" w:hAnsi="Times New Roman" w:cs="Times New Roman"/>
          <w:kern w:val="0"/>
          <w:sz w:val="24"/>
          <w:szCs w:val="24"/>
          <w:lang w:val="en-US" w:eastAsia="zh-CN" w:bidi="ar"/>
        </w:rPr>
        <w:t>行业碳排放</w:t>
      </w:r>
      <w:r>
        <w:rPr>
          <w:rFonts w:hint="eastAsia" w:cs="Times New Roman"/>
          <w:kern w:val="0"/>
          <w:sz w:val="24"/>
          <w:szCs w:val="24"/>
          <w:lang w:val="en-US" w:eastAsia="zh-CN" w:bidi="ar"/>
        </w:rPr>
        <w:t>量</w:t>
      </w:r>
      <w:r>
        <w:rPr>
          <w:rFonts w:hint="default" w:ascii="Times New Roman" w:hAnsi="Times New Roman" w:cs="Times New Roman"/>
          <w:kern w:val="0"/>
          <w:sz w:val="24"/>
          <w:szCs w:val="24"/>
          <w:lang w:val="en-US" w:eastAsia="zh-CN" w:bidi="ar"/>
        </w:rPr>
        <w:t>平均</w:t>
      </w:r>
      <w:r>
        <w:rPr>
          <w:rFonts w:hint="eastAsia" w:cs="Times New Roman"/>
          <w:kern w:val="0"/>
          <w:sz w:val="24"/>
          <w:szCs w:val="24"/>
          <w:lang w:val="en-US" w:eastAsia="zh-CN" w:bidi="ar"/>
        </w:rPr>
        <w:t>值</w:t>
      </w:r>
      <w:r>
        <w:rPr>
          <w:rFonts w:hint="default" w:ascii="Times New Roman" w:hAnsi="Times New Roman" w:cs="Times New Roman"/>
          <w:kern w:val="0"/>
          <w:sz w:val="24"/>
          <w:szCs w:val="24"/>
          <w:lang w:val="en-US" w:eastAsia="zh-CN" w:bidi="ar"/>
        </w:rPr>
        <w:t>可依据行业实际统计数据核算，也可</w:t>
      </w:r>
      <w:r>
        <w:rPr>
          <w:rFonts w:hint="eastAsia" w:cs="Times New Roman"/>
          <w:kern w:val="0"/>
          <w:sz w:val="24"/>
          <w:szCs w:val="24"/>
          <w:lang w:val="en-US" w:eastAsia="zh-CN" w:bidi="ar"/>
        </w:rPr>
        <w:t>选取</w:t>
      </w:r>
      <w:r>
        <w:rPr>
          <w:rFonts w:hint="default" w:ascii="Times New Roman" w:hAnsi="Times New Roman" w:cs="Times New Roman"/>
          <w:kern w:val="0"/>
          <w:sz w:val="24"/>
          <w:szCs w:val="24"/>
          <w:lang w:val="en-US" w:eastAsia="zh-CN" w:bidi="ar"/>
        </w:rPr>
        <w:t>碳排放限额等现有标准的</w:t>
      </w:r>
      <w:r>
        <w:rPr>
          <w:rFonts w:hint="eastAsia" w:cs="Times New Roman"/>
          <w:kern w:val="0"/>
          <w:sz w:val="24"/>
          <w:szCs w:val="24"/>
          <w:lang w:val="en-US" w:eastAsia="zh-CN" w:bidi="ar"/>
        </w:rPr>
        <w:t>准入值（</w:t>
      </w:r>
      <w:r>
        <w:rPr>
          <w:rFonts w:hint="default" w:ascii="Times New Roman" w:hAnsi="Times New Roman" w:cs="Times New Roman"/>
          <w:kern w:val="0"/>
          <w:sz w:val="24"/>
          <w:szCs w:val="24"/>
          <w:highlight w:val="none"/>
          <w:lang w:val="en-US" w:eastAsia="zh-CN" w:bidi="ar"/>
        </w:rPr>
        <w:t>建材行业现有的</w:t>
      </w:r>
      <w:r>
        <w:rPr>
          <w:rFonts w:hint="eastAsia" w:cs="Times New Roman"/>
          <w:kern w:val="0"/>
          <w:sz w:val="24"/>
          <w:szCs w:val="24"/>
          <w:highlight w:val="none"/>
          <w:lang w:val="en-US" w:eastAsia="zh-CN" w:bidi="ar"/>
        </w:rPr>
        <w:t>相关标准《低碳产品评价技术规范 通用硅酸盐水泥》（2021-1794T-JC）在研中，标准中将给出不同等级产品的碳排放限值</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，一方面要与现有标准保证协调一致，另一方面也是行业水平的选取来源之一</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对于</w:t>
      </w:r>
      <w:r>
        <w:rPr>
          <w:rFonts w:hint="default" w:ascii="Times New Roman" w:hAnsi="Times New Roman" w:cs="Times New Roman"/>
          <w:color w:val="auto"/>
          <w:kern w:val="0"/>
          <w:sz w:val="24"/>
          <w:szCs w:val="24"/>
          <w:lang w:bidi="ar"/>
        </w:rPr>
        <w:t>无碳排放限额标准但有能耗限额标准的建材产品</w:t>
      </w:r>
      <w:r>
        <w:rPr>
          <w:rFonts w:hint="default" w:ascii="Times New Roman" w:hAnsi="Times New Roman" w:cs="Times New Roman"/>
          <w:color w:val="auto"/>
          <w:kern w:val="0"/>
          <w:sz w:val="24"/>
          <w:szCs w:val="24"/>
          <w:lang w:eastAsia="zh-CN" w:bidi="ar"/>
        </w:rPr>
        <w:t>，</w:t>
      </w:r>
      <w:r>
        <w:rPr>
          <w:rFonts w:hint="default" w:ascii="Times New Roman" w:hAnsi="Times New Roman" w:cs="Times New Roman"/>
          <w:kern w:val="0"/>
          <w:sz w:val="24"/>
          <w:szCs w:val="24"/>
          <w:lang w:val="en-US" w:eastAsia="zh-CN" w:bidi="ar"/>
        </w:rPr>
        <w:t>如水泥、建筑卫生陶瓷、玻璃纤维、岩棉、矿渣棉及其制品等建材产品</w:t>
      </w:r>
      <w:r>
        <w:rPr>
          <w:rFonts w:hint="eastAsia" w:cs="Times New Roman"/>
          <w:kern w:val="0"/>
          <w:sz w:val="24"/>
          <w:szCs w:val="24"/>
          <w:lang w:val="en-US" w:eastAsia="zh-CN" w:bidi="ar"/>
        </w:rPr>
        <w:t>（</w:t>
      </w:r>
      <w:r>
        <w:rPr>
          <w:rFonts w:hint="default" w:ascii="Times New Roman" w:hAnsi="Times New Roman" w:cs="Times New Roman"/>
          <w:kern w:val="0"/>
          <w:sz w:val="24"/>
          <w:szCs w:val="24"/>
          <w:highlight w:val="none"/>
          <w:lang w:val="en-US" w:eastAsia="zh-CN" w:bidi="ar"/>
        </w:rPr>
        <w:t>建材行业现有的能源消耗限额标准见表</w:t>
      </w:r>
      <w:r>
        <w:rPr>
          <w:rFonts w:hint="eastAsia" w:cs="Times New Roman"/>
          <w:kern w:val="0"/>
          <w:sz w:val="24"/>
          <w:szCs w:val="24"/>
          <w:highlight w:val="none"/>
          <w:lang w:val="en-US" w:eastAsia="zh-CN" w:bidi="ar"/>
        </w:rPr>
        <w:t>2</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，可通过排放因子法折算</w:t>
      </w:r>
      <w:r>
        <w:rPr>
          <w:rFonts w:hint="default" w:ascii="Times New Roman" w:hAnsi="Times New Roman" w:cs="Times New Roman"/>
          <w:kern w:val="0"/>
          <w:sz w:val="24"/>
          <w:szCs w:val="24"/>
          <w:highlight w:val="none"/>
          <w:lang w:bidi="ar"/>
        </w:rPr>
        <w:t>能耗限额标准</w:t>
      </w:r>
      <w:r>
        <w:rPr>
          <w:rFonts w:hint="default" w:ascii="Times New Roman" w:hAnsi="Times New Roman" w:cs="Times New Roman"/>
          <w:kern w:val="0"/>
          <w:sz w:val="24"/>
          <w:szCs w:val="24"/>
          <w:highlight w:val="none"/>
          <w:lang w:val="en-US" w:eastAsia="zh-CN" w:bidi="ar"/>
        </w:rPr>
        <w:t>的准入水平来确定产品生产的行业碳排放水平，能耗限额标准的核算边界为原料进厂到产品出厂的主要生产过程和辅助生产过程消耗的各种能源，与碳排放核算边界一致，因此碳排放的</w:t>
      </w:r>
      <w:r>
        <w:rPr>
          <w:rFonts w:hint="eastAsia" w:cs="Times New Roman"/>
          <w:kern w:val="0"/>
          <w:sz w:val="24"/>
          <w:szCs w:val="24"/>
          <w:highlight w:val="none"/>
          <w:lang w:val="en-US" w:eastAsia="zh-CN" w:bidi="ar"/>
        </w:rPr>
        <w:t>主要</w:t>
      </w:r>
      <w:r>
        <w:rPr>
          <w:rFonts w:hint="default" w:ascii="Times New Roman" w:hAnsi="Times New Roman" w:cs="Times New Roman"/>
          <w:kern w:val="0"/>
          <w:sz w:val="24"/>
          <w:szCs w:val="24"/>
          <w:highlight w:val="none"/>
          <w:lang w:val="en-US" w:eastAsia="zh-CN" w:bidi="ar"/>
        </w:rPr>
        <w:t>来源为能源消耗，该方法具有合理性和科学性。</w:t>
      </w:r>
      <w:r>
        <w:rPr>
          <w:rFonts w:hint="eastAsia" w:cs="Times New Roman"/>
          <w:kern w:val="0"/>
          <w:sz w:val="24"/>
          <w:szCs w:val="24"/>
          <w:highlight w:val="none"/>
          <w:lang w:val="en-US" w:eastAsia="zh-CN" w:bidi="ar"/>
        </w:rPr>
        <w:t>另</w:t>
      </w:r>
      <w:r>
        <w:rPr>
          <w:rFonts w:hint="default" w:ascii="Times New Roman" w:hAnsi="Times New Roman" w:cs="Times New Roman"/>
          <w:kern w:val="0"/>
          <w:sz w:val="24"/>
          <w:szCs w:val="24"/>
          <w:highlight w:val="none"/>
          <w:lang w:val="en-US" w:eastAsia="zh-CN" w:bidi="ar"/>
        </w:rPr>
        <w:t>对于水泥、陶瓷等存在碳酸盐类原材料的建材产品，生产过程中存在原料带来的过程排放，这类产品通过能耗限额标准来确定基准碳排放时，应在能耗限定值折算基础上，加上产品生产过程碳排放。对于碳排放限额和能耗限额标准都没有的建材产品，碳排放基准值应根据产品生产阶段碳排放量的行业平均水平来确定，该值的确定需要对行业进行充分的调研核算，通常取行业前40%-50%的水平。</w:t>
      </w:r>
    </w:p>
    <w:p>
      <w:pPr>
        <w:pageBreakBefore w:val="0"/>
        <w:widowControl/>
        <w:kinsoku/>
        <w:wordWrap/>
        <w:overflowPunct/>
        <w:topLinePunct w:val="0"/>
        <w:autoSpaceDE/>
        <w:autoSpaceDN/>
        <w:bidi w:val="0"/>
        <w:adjustRightInd/>
        <w:snapToGrid/>
        <w:spacing w:line="520" w:lineRule="exact"/>
        <w:ind w:firstLine="480" w:firstLineChars="200"/>
        <w:jc w:val="center"/>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表</w:t>
      </w:r>
      <w:r>
        <w:rPr>
          <w:rFonts w:hint="eastAsia" w:cs="Times New Roman"/>
          <w:kern w:val="0"/>
          <w:sz w:val="24"/>
          <w:szCs w:val="24"/>
          <w:highlight w:val="none"/>
          <w:lang w:val="en-US" w:eastAsia="zh-CN" w:bidi="ar"/>
        </w:rPr>
        <w:t>2</w:t>
      </w:r>
      <w:r>
        <w:rPr>
          <w:rFonts w:hint="default" w:ascii="Times New Roman" w:hAnsi="Times New Roman" w:cs="Times New Roman"/>
          <w:kern w:val="0"/>
          <w:sz w:val="24"/>
          <w:szCs w:val="24"/>
          <w:highlight w:val="none"/>
          <w:lang w:val="en-US" w:eastAsia="zh-CN" w:bidi="ar"/>
        </w:rPr>
        <w:t xml:space="preserve"> 建材行业现行能耗限额标准</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2034"/>
        <w:gridCol w:w="5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kern w:val="0"/>
                <w:sz w:val="21"/>
                <w:szCs w:val="21"/>
                <w:highlight w:val="none"/>
                <w:vertAlign w:val="baseline"/>
                <w:lang w:val="en-US" w:eastAsia="zh-CN" w:bidi="ar"/>
              </w:rPr>
            </w:pPr>
            <w:r>
              <w:rPr>
                <w:rFonts w:hint="default" w:ascii="Times New Roman" w:hAnsi="Times New Roman" w:eastAsia="宋体" w:cs="Times New Roman"/>
                <w:b/>
                <w:bCs/>
                <w:kern w:val="0"/>
                <w:sz w:val="21"/>
                <w:szCs w:val="21"/>
                <w:highlight w:val="none"/>
                <w:vertAlign w:val="baseline"/>
                <w:lang w:val="en-US" w:eastAsia="zh-CN" w:bidi="ar"/>
              </w:rPr>
              <w:t>序号</w:t>
            </w: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kern w:val="0"/>
                <w:sz w:val="21"/>
                <w:szCs w:val="21"/>
                <w:highlight w:val="none"/>
                <w:vertAlign w:val="baseline"/>
                <w:lang w:val="en-US" w:eastAsia="zh-CN" w:bidi="ar"/>
              </w:rPr>
            </w:pPr>
            <w:r>
              <w:rPr>
                <w:rFonts w:hint="default" w:ascii="Times New Roman" w:hAnsi="Times New Roman" w:eastAsia="宋体" w:cs="Times New Roman"/>
                <w:b/>
                <w:bCs/>
                <w:kern w:val="0"/>
                <w:sz w:val="21"/>
                <w:szCs w:val="21"/>
                <w:highlight w:val="none"/>
                <w:vertAlign w:val="baseline"/>
                <w:lang w:val="en-US" w:eastAsia="zh-CN" w:bidi="ar"/>
              </w:rPr>
              <w:t>标准号</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kern w:val="0"/>
                <w:sz w:val="21"/>
                <w:szCs w:val="21"/>
                <w:highlight w:val="none"/>
                <w:vertAlign w:val="baseline"/>
                <w:lang w:val="en-US" w:eastAsia="zh-CN" w:bidi="ar"/>
              </w:rPr>
            </w:pPr>
            <w:r>
              <w:rPr>
                <w:rFonts w:hint="default" w:ascii="Times New Roman" w:hAnsi="Times New Roman" w:eastAsia="宋体" w:cs="Times New Roman"/>
                <w:b/>
                <w:bCs/>
                <w:kern w:val="0"/>
                <w:sz w:val="21"/>
                <w:szCs w:val="21"/>
                <w:highlight w:val="none"/>
                <w:vertAlign w:val="baseline"/>
                <w:lang w:val="en-US" w:eastAsia="zh-CN" w:bidi="ar"/>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16780</w:t>
            </w:r>
            <w:r>
              <w:rPr>
                <w:rFonts w:hint="eastAsia" w:cs="Times New Roman"/>
                <w:lang w:val="en-US" w:eastAsia="zh-CN"/>
              </w:rPr>
              <w:t>-2021</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sz w:val="21"/>
                <w:szCs w:val="21"/>
                <w:lang w:val="en-US" w:eastAsia="zh-CN"/>
              </w:rPr>
              <w:t>水泥单位产品能源消耗限额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21252</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建筑卫生陶瓷单位产品能源消耗限额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21340</w:t>
            </w:r>
            <w:r>
              <w:rPr>
                <w:rFonts w:hint="eastAsia" w:cs="Times New Roman"/>
                <w:lang w:val="en-US" w:eastAsia="zh-CN"/>
              </w:rPr>
              <w:t>-2019</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玻璃和铸石单位产品能源消耗限额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29450</w:t>
            </w:r>
            <w:r>
              <w:rPr>
                <w:rFonts w:hint="eastAsia" w:cs="Times New Roman"/>
                <w:lang w:val="en-US" w:eastAsia="zh-CN"/>
              </w:rPr>
              <w:t>-2012</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玻璃纤维单位产品能源消耗限额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30181</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微晶氧化铝陶瓷研磨球单位产品能源消耗限额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30182</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摩擦材料单位产品能源消耗限额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30183</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岩棉、矿渣棉及其制品单位产品能源消耗限额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30184</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沥青基防水卷材单位产品能源消耗限额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30185</w:t>
            </w:r>
            <w:r>
              <w:rPr>
                <w:rFonts w:hint="eastAsia" w:cs="Times New Roman"/>
                <w:lang w:val="en-US" w:eastAsia="zh-CN"/>
              </w:rPr>
              <w:t>--2013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铝塑板单位产品能源消耗限额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30526</w:t>
            </w:r>
            <w:r>
              <w:rPr>
                <w:rFonts w:hint="eastAsia" w:cs="Times New Roman"/>
                <w:lang w:val="en-US" w:eastAsia="zh-CN"/>
              </w:rPr>
              <w:t>-2019</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烧结墙体材料和泡沫玻璃单位产品能源消耗限额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33654</w:t>
            </w:r>
            <w:r>
              <w:rPr>
                <w:rFonts w:hint="eastAsia" w:cs="Times New Roman"/>
                <w:lang w:val="en-US" w:eastAsia="zh-CN"/>
              </w:rPr>
              <w:t>-2017</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建筑石膏单位产品能源消耗限额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36888</w:t>
            </w:r>
            <w:r>
              <w:rPr>
                <w:rFonts w:hint="eastAsia" w:cs="Times New Roman"/>
                <w:lang w:val="en-US" w:eastAsia="zh-CN"/>
              </w:rPr>
              <w:t>-2018</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预拌混凝土单位产品能源消耗限额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eastAsia"/>
              </w:rPr>
              <w:t>GB 36890-2018</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eastAsia"/>
              </w:rPr>
              <w:t>日用陶瓷单位产品能源消耗限额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38263</w:t>
            </w:r>
            <w:r>
              <w:rPr>
                <w:rFonts w:hint="eastAsia" w:cs="Times New Roman"/>
                <w:lang w:val="en-US" w:eastAsia="zh-CN"/>
              </w:rPr>
              <w:t>-2019</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水泥制品单位产品能源消耗限额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lang w:val="en-US" w:eastAsia="zh-CN"/>
              </w:rPr>
              <w:t>GB 40877</w:t>
            </w:r>
            <w:r>
              <w:rPr>
                <w:rFonts w:hint="eastAsia" w:cs="Times New Roman"/>
                <w:lang w:val="en-US" w:eastAsia="zh-CN"/>
              </w:rPr>
              <w:t>-2021</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硅酸铝纤维及制品单位产品能源消耗限额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eastAsia"/>
              </w:rPr>
              <w:t>GB 36891-2018</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eastAsia"/>
              </w:rPr>
              <w:t>莫来石单位产品能源消耗限额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default" w:ascii="Times New Roman" w:hAnsi="Times New Roman" w:cs="Times New Roman"/>
                <w:lang w:val="en-US" w:eastAsia="zh-CN"/>
              </w:rPr>
            </w:pPr>
            <w:r>
              <w:rPr>
                <w:rFonts w:hint="eastAsia"/>
              </w:rPr>
              <w:t>JC/T 2696-2022</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lang w:val="en-US" w:eastAsia="zh-CN"/>
              </w:rPr>
            </w:pPr>
            <w:r>
              <w:rPr>
                <w:rFonts w:hint="eastAsia"/>
              </w:rPr>
              <w:t>发泡陶瓷制品单位产品能源消耗限额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eastAsia"/>
              </w:rPr>
            </w:pPr>
            <w:r>
              <w:rPr>
                <w:rFonts w:hint="eastAsia"/>
              </w:rPr>
              <w:t>JC/T 2276-2014</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ind w:firstLine="0" w:firstLineChars="0"/>
              <w:jc w:val="center"/>
              <w:rPr>
                <w:rFonts w:hint="eastAsia"/>
              </w:rPr>
            </w:pPr>
            <w:r>
              <w:rPr>
                <w:rFonts w:hint="eastAsia"/>
              </w:rPr>
              <w:t>建筑石膏单位产品能源消耗限额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eastAsia"/>
              </w:rPr>
            </w:pPr>
            <w:r>
              <w:rPr>
                <w:rFonts w:hint="eastAsia"/>
              </w:rPr>
              <w:t>JC/T 522-2013</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ind w:firstLine="0" w:firstLineChars="0"/>
              <w:jc w:val="center"/>
              <w:rPr>
                <w:rFonts w:hint="eastAsia"/>
              </w:rPr>
            </w:pPr>
            <w:r>
              <w:rPr>
                <w:rFonts w:hint="eastAsia"/>
              </w:rPr>
              <w:t>岩、矿渣棉单位产品能源消耗限额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noWrap w:val="0"/>
            <w:vAlign w:val="center"/>
          </w:tcPr>
          <w:p>
            <w:pPr>
              <w:pageBreakBefore w:val="0"/>
              <w:widowControl/>
              <w:numPr>
                <w:ilvl w:val="0"/>
                <w:numId w:val="3"/>
              </w:numPr>
              <w:kinsoku/>
              <w:wordWrap/>
              <w:overflowPunct/>
              <w:topLinePunct w:val="0"/>
              <w:autoSpaceDE/>
              <w:autoSpaceDN/>
              <w:bidi w:val="0"/>
              <w:adjustRightInd/>
              <w:snapToGrid/>
              <w:spacing w:line="240" w:lineRule="auto"/>
              <w:ind w:left="425" w:leftChars="0" w:hanging="425" w:firstLineChars="0"/>
              <w:jc w:val="center"/>
              <w:rPr>
                <w:rFonts w:hint="default" w:ascii="Times New Roman" w:hAnsi="Times New Roman" w:eastAsia="宋体" w:cs="Times New Roman"/>
                <w:kern w:val="0"/>
                <w:sz w:val="21"/>
                <w:szCs w:val="21"/>
                <w:highlight w:val="none"/>
                <w:vertAlign w:val="baseline"/>
                <w:lang w:val="en-US" w:eastAsia="zh-CN" w:bidi="ar"/>
              </w:rPr>
            </w:pPr>
          </w:p>
        </w:tc>
        <w:tc>
          <w:tcPr>
            <w:tcW w:w="2034" w:type="dxa"/>
            <w:noWrap w:val="0"/>
            <w:vAlign w:val="center"/>
          </w:tcPr>
          <w:p>
            <w:pPr>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b w:val="0"/>
                <w:bCs w:val="0"/>
                <w:i w:val="0"/>
                <w:iCs w:val="0"/>
                <w:caps w:val="0"/>
                <w:spacing w:val="0"/>
                <w:sz w:val="21"/>
                <w:szCs w:val="24"/>
                <w:u w:val="none"/>
              </w:rPr>
            </w:pPr>
            <w:r>
              <w:rPr>
                <w:rFonts w:hint="eastAsia"/>
              </w:rPr>
              <w:t>JC/T 523-2010</w:t>
            </w:r>
          </w:p>
        </w:tc>
        <w:tc>
          <w:tcPr>
            <w:tcW w:w="5534" w:type="dxa"/>
            <w:noWrap w:val="0"/>
            <w:vAlign w:val="center"/>
          </w:tcPr>
          <w:p>
            <w:pPr>
              <w:pageBreakBefore w:val="0"/>
              <w:widowControl/>
              <w:kinsoku/>
              <w:wordWrap/>
              <w:overflowPunct/>
              <w:topLinePunct w:val="0"/>
              <w:autoSpaceDE/>
              <w:autoSpaceDN/>
              <w:bidi w:val="0"/>
              <w:adjustRightInd/>
              <w:snapToGrid/>
              <w:spacing w:line="240" w:lineRule="auto"/>
              <w:ind w:firstLine="0" w:firstLineChars="0"/>
              <w:jc w:val="center"/>
              <w:rPr>
                <w:rFonts w:hint="eastAsia"/>
              </w:rPr>
            </w:pPr>
            <w:r>
              <w:rPr>
                <w:rFonts w:hint="eastAsia"/>
              </w:rPr>
              <w:t>纸面石膏板单位产量能源消耗限额</w:t>
            </w:r>
          </w:p>
        </w:tc>
      </w:tr>
    </w:tbl>
    <w:p>
      <w:pPr>
        <w:pageBreakBefore w:val="0"/>
        <w:widowControl/>
        <w:kinsoku/>
        <w:wordWrap/>
        <w:overflowPunct/>
        <w:topLinePunct w:val="0"/>
        <w:autoSpaceDE/>
        <w:autoSpaceDN/>
        <w:bidi w:val="0"/>
        <w:adjustRightInd/>
        <w:snapToGrid/>
        <w:spacing w:line="520" w:lineRule="exact"/>
        <w:ind w:firstLine="480" w:firstLineChars="200"/>
        <w:jc w:val="left"/>
        <w:rPr>
          <w:rFonts w:hint="eastAsia" w:cs="Times New Roman"/>
          <w:kern w:val="0"/>
          <w:sz w:val="24"/>
          <w:szCs w:val="24"/>
          <w:highlight w:val="none"/>
          <w:lang w:val="en-US" w:eastAsia="zh-CN" w:bidi="ar"/>
        </w:rPr>
      </w:pPr>
      <w:r>
        <w:rPr>
          <w:rFonts w:hint="eastAsia" w:cs="Times New Roman"/>
          <w:kern w:val="0"/>
          <w:sz w:val="24"/>
          <w:szCs w:val="24"/>
          <w:highlight w:val="none"/>
          <w:lang w:val="en-US" w:eastAsia="zh-CN" w:bidi="ar"/>
        </w:rPr>
        <w:t>使用阶段具有</w:t>
      </w:r>
      <w:r>
        <w:rPr>
          <w:rFonts w:hint="default" w:ascii="Times New Roman" w:hAnsi="Times New Roman" w:cs="Times New Roman"/>
          <w:kern w:val="0"/>
          <w:sz w:val="24"/>
          <w:szCs w:val="24"/>
          <w:highlight w:val="none"/>
          <w:lang w:val="en-US" w:eastAsia="zh-CN" w:bidi="ar"/>
        </w:rPr>
        <w:t>保温隔热</w:t>
      </w:r>
      <w:r>
        <w:rPr>
          <w:rFonts w:hint="eastAsia" w:cs="Times New Roman"/>
          <w:kern w:val="0"/>
          <w:sz w:val="24"/>
          <w:szCs w:val="24"/>
          <w:highlight w:val="none"/>
          <w:lang w:val="en-US" w:eastAsia="zh-CN" w:bidi="ar"/>
        </w:rPr>
        <w:t>性能和具有利用太阳能生产清洁电力的</w:t>
      </w:r>
      <w:r>
        <w:rPr>
          <w:rFonts w:hint="default" w:ascii="Times New Roman" w:hAnsi="Times New Roman" w:cs="Times New Roman"/>
          <w:kern w:val="0"/>
          <w:sz w:val="24"/>
          <w:szCs w:val="24"/>
          <w:highlight w:val="none"/>
          <w:lang w:val="en-US" w:eastAsia="zh-CN" w:bidi="ar"/>
        </w:rPr>
        <w:t>建材产品减碳量</w:t>
      </w:r>
      <w:r>
        <w:rPr>
          <w:rFonts w:hint="eastAsia" w:cs="Times New Roman"/>
          <w:kern w:val="0"/>
          <w:sz w:val="24"/>
          <w:szCs w:val="24"/>
          <w:highlight w:val="none"/>
          <w:lang w:val="en-US" w:eastAsia="zh-CN" w:bidi="ar"/>
        </w:rPr>
        <w:t>除了应核算生产阶段外，还应核算产品在使用阶段的节能降碳量，综合体现产品自身性能带来的减碳水平。</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kern w:val="0"/>
          <w:sz w:val="24"/>
          <w:szCs w:val="24"/>
          <w:highlight w:val="none"/>
          <w:lang w:val="en-US" w:eastAsia="zh-CN" w:bidi="ar"/>
        </w:rPr>
      </w:pPr>
      <w:r>
        <w:rPr>
          <w:rFonts w:hint="eastAsia" w:cs="Times New Roman"/>
          <w:kern w:val="0"/>
          <w:sz w:val="24"/>
          <w:szCs w:val="24"/>
          <w:highlight w:val="none"/>
          <w:lang w:val="en-US" w:eastAsia="zh-CN" w:bidi="ar"/>
        </w:rPr>
        <w:t>（1）</w:t>
      </w:r>
      <w:r>
        <w:rPr>
          <w:rFonts w:hint="default" w:ascii="Times New Roman" w:hAnsi="Times New Roman" w:cs="Times New Roman"/>
          <w:kern w:val="0"/>
          <w:sz w:val="24"/>
          <w:szCs w:val="24"/>
          <w:highlight w:val="none"/>
          <w:lang w:val="en-US" w:eastAsia="zh-CN" w:bidi="ar"/>
        </w:rPr>
        <w:t>保温隔热</w:t>
      </w:r>
      <w:r>
        <w:rPr>
          <w:rFonts w:hint="eastAsia" w:cs="Times New Roman"/>
          <w:kern w:val="0"/>
          <w:sz w:val="24"/>
          <w:szCs w:val="24"/>
          <w:highlight w:val="none"/>
          <w:lang w:val="en-US" w:eastAsia="zh-CN" w:bidi="ar"/>
        </w:rPr>
        <w:t>产品</w:t>
      </w:r>
      <w:r>
        <w:rPr>
          <w:rFonts w:hint="default" w:ascii="Times New Roman" w:hAnsi="Times New Roman" w:cs="Times New Roman"/>
          <w:kern w:val="0"/>
          <w:sz w:val="24"/>
          <w:szCs w:val="24"/>
          <w:highlight w:val="none"/>
          <w:lang w:val="en-US" w:eastAsia="zh-CN" w:bidi="ar"/>
        </w:rPr>
        <w:t>应用阶段的碳排放基准值为</w:t>
      </w:r>
      <w:r>
        <w:rPr>
          <w:rFonts w:hint="eastAsia" w:cs="Times New Roman"/>
          <w:kern w:val="0"/>
          <w:sz w:val="24"/>
          <w:szCs w:val="24"/>
          <w:highlight w:val="none"/>
          <w:lang w:val="en-US" w:eastAsia="zh-CN" w:bidi="ar"/>
        </w:rPr>
        <w:t>假设统一</w:t>
      </w:r>
      <w:r>
        <w:rPr>
          <w:rFonts w:hint="default" w:ascii="Times New Roman" w:hAnsi="Times New Roman" w:cs="Times New Roman"/>
          <w:kern w:val="0"/>
          <w:sz w:val="24"/>
          <w:szCs w:val="24"/>
          <w:highlight w:val="none"/>
          <w:lang w:val="en-US" w:eastAsia="zh-CN" w:bidi="ar"/>
        </w:rPr>
        <w:t>应用场景</w:t>
      </w:r>
      <w:r>
        <w:rPr>
          <w:rFonts w:hint="eastAsia" w:cs="Times New Roman"/>
          <w:kern w:val="0"/>
          <w:sz w:val="24"/>
          <w:szCs w:val="24"/>
          <w:highlight w:val="none"/>
          <w:lang w:val="en-US" w:eastAsia="zh-CN" w:bidi="ar"/>
        </w:rPr>
        <w:t>条件</w:t>
      </w:r>
      <w:r>
        <w:rPr>
          <w:rFonts w:hint="default" w:ascii="Times New Roman" w:hAnsi="Times New Roman" w:cs="Times New Roman"/>
          <w:kern w:val="0"/>
          <w:sz w:val="24"/>
          <w:szCs w:val="24"/>
          <w:highlight w:val="none"/>
          <w:lang w:val="en-US" w:eastAsia="zh-CN" w:bidi="ar"/>
        </w:rPr>
        <w:t>下，</w:t>
      </w:r>
      <w:r>
        <w:rPr>
          <w:rFonts w:hint="eastAsia" w:cs="Times New Roman"/>
          <w:kern w:val="0"/>
          <w:sz w:val="24"/>
          <w:szCs w:val="24"/>
          <w:highlight w:val="none"/>
          <w:lang w:val="en-US" w:eastAsia="zh-CN" w:bidi="ar"/>
        </w:rPr>
        <w:t>应用建筑</w:t>
      </w:r>
      <w:r>
        <w:rPr>
          <w:rFonts w:hint="default" w:ascii="Times New Roman" w:hAnsi="Times New Roman" w:cs="Times New Roman"/>
          <w:kern w:val="0"/>
          <w:sz w:val="24"/>
          <w:szCs w:val="24"/>
          <w:highlight w:val="none"/>
          <w:lang w:val="en-US" w:eastAsia="zh-CN" w:bidi="ar"/>
        </w:rPr>
        <w:t>围护墙体传热系数为建筑节能标准准入值时，</w:t>
      </w:r>
      <w:r>
        <w:rPr>
          <w:rFonts w:hint="eastAsia" w:cs="Times New Roman"/>
          <w:kern w:val="0"/>
          <w:sz w:val="24"/>
          <w:szCs w:val="24"/>
          <w:highlight w:val="none"/>
          <w:lang w:val="en-US" w:eastAsia="zh-CN" w:bidi="ar"/>
        </w:rPr>
        <w:t>核算期内</w:t>
      </w:r>
      <w:r>
        <w:rPr>
          <w:rFonts w:hint="default" w:ascii="Times New Roman" w:hAnsi="Times New Roman" w:cs="Times New Roman"/>
          <w:kern w:val="0"/>
          <w:sz w:val="24"/>
          <w:szCs w:val="24"/>
          <w:highlight w:val="none"/>
          <w:lang w:val="en-US" w:eastAsia="zh-CN" w:bidi="ar"/>
        </w:rPr>
        <w:t>应用阶段的碳排放量，传热系数根据节能设计标准中相关的情景对照选取，如GB 50189《公共建筑节能设计标准》、</w:t>
      </w:r>
      <w:r>
        <w:rPr>
          <w:rFonts w:hint="default" w:ascii="Times New Roman" w:hAnsi="Times New Roman" w:eastAsia="宋体" w:cs="Times New Roman"/>
          <w:kern w:val="0"/>
          <w:sz w:val="24"/>
          <w:szCs w:val="24"/>
        </w:rPr>
        <w:t>GB 55015</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建筑节能与可再生能源利用通用规范</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lang w:val="en-US" w:eastAsia="zh-CN"/>
        </w:rPr>
        <w:t>等。</w:t>
      </w:r>
    </w:p>
    <w:p>
      <w:pPr>
        <w:pageBreakBefore w:val="0"/>
        <w:widowControl/>
        <w:kinsoku/>
        <w:wordWrap/>
        <w:overflowPunct/>
        <w:topLinePunct w:val="0"/>
        <w:autoSpaceDE/>
        <w:autoSpaceDN/>
        <w:bidi w:val="0"/>
        <w:adjustRightInd/>
        <w:snapToGrid/>
        <w:spacing w:line="520" w:lineRule="exact"/>
        <w:ind w:firstLine="440" w:firstLineChars="200"/>
        <w:jc w:val="left"/>
        <w:rPr>
          <w:rFonts w:hint="default" w:ascii="Times New Roman" w:hAnsi="Times New Roman" w:cs="Times New Roman"/>
          <w:kern w:val="0"/>
          <w:sz w:val="24"/>
          <w:szCs w:val="24"/>
          <w:highlight w:val="none"/>
          <w:lang w:val="en-US" w:eastAsia="zh-CN" w:bidi="ar"/>
        </w:rPr>
      </w:pPr>
      <w:r>
        <w:rPr>
          <w:rFonts w:hint="eastAsia" w:cs="Times New Roman"/>
          <w:kern w:val="0"/>
          <w:sz w:val="22"/>
          <w:lang w:eastAsia="zh-CN" w:bidi="ar"/>
        </w:rPr>
        <w:t>（</w:t>
      </w:r>
      <w:r>
        <w:rPr>
          <w:rFonts w:hint="eastAsia" w:cs="Times New Roman"/>
          <w:kern w:val="0"/>
          <w:sz w:val="22"/>
          <w:lang w:val="en-US" w:eastAsia="zh-CN" w:bidi="ar"/>
        </w:rPr>
        <w:t>2</w:t>
      </w:r>
      <w:r>
        <w:rPr>
          <w:rFonts w:hint="eastAsia" w:cs="Times New Roman"/>
          <w:kern w:val="0"/>
          <w:sz w:val="22"/>
          <w:lang w:eastAsia="zh-CN" w:bidi="ar"/>
        </w:rPr>
        <w:t>）</w:t>
      </w:r>
      <w:r>
        <w:rPr>
          <w:rFonts w:hint="default" w:ascii="Times New Roman" w:hAnsi="Times New Roman" w:cs="Times New Roman"/>
          <w:kern w:val="0"/>
          <w:sz w:val="24"/>
          <w:highlight w:val="none"/>
          <w:lang w:bidi="ar"/>
        </w:rPr>
        <w:t>光电转化产品</w:t>
      </w:r>
      <w:r>
        <w:rPr>
          <w:rFonts w:hint="default" w:ascii="Times New Roman" w:hAnsi="Times New Roman" w:cs="Times New Roman"/>
          <w:kern w:val="0"/>
          <w:sz w:val="24"/>
          <w:szCs w:val="24"/>
          <w:highlight w:val="none"/>
          <w:lang w:val="en-US" w:eastAsia="zh-CN" w:bidi="ar"/>
        </w:rPr>
        <w:t>应用阶段碳排放基准值为采用燃煤等</w:t>
      </w:r>
      <w:r>
        <w:rPr>
          <w:rFonts w:hint="eastAsia" w:cs="Times New Roman"/>
          <w:kern w:val="0"/>
          <w:sz w:val="24"/>
          <w:szCs w:val="24"/>
          <w:highlight w:val="none"/>
          <w:lang w:val="en-US" w:eastAsia="zh-CN" w:bidi="ar"/>
        </w:rPr>
        <w:t>为燃料</w:t>
      </w:r>
      <w:r>
        <w:rPr>
          <w:rFonts w:hint="default" w:ascii="Times New Roman" w:hAnsi="Times New Roman" w:cs="Times New Roman"/>
          <w:kern w:val="0"/>
          <w:sz w:val="24"/>
          <w:szCs w:val="24"/>
          <w:highlight w:val="none"/>
          <w:lang w:val="en-US" w:eastAsia="zh-CN" w:bidi="ar"/>
        </w:rPr>
        <w:t>生产与光电转化产品</w:t>
      </w:r>
      <w:r>
        <w:rPr>
          <w:rFonts w:hint="eastAsia" w:cs="Times New Roman"/>
          <w:kern w:val="0"/>
          <w:sz w:val="24"/>
          <w:szCs w:val="24"/>
          <w:highlight w:val="none"/>
          <w:lang w:val="en-US" w:eastAsia="zh-CN" w:bidi="ar"/>
        </w:rPr>
        <w:t>统计期</w:t>
      </w:r>
      <w:r>
        <w:rPr>
          <w:rFonts w:hint="default" w:ascii="Times New Roman" w:hAnsi="Times New Roman" w:cs="Times New Roman"/>
          <w:kern w:val="0"/>
          <w:sz w:val="24"/>
          <w:szCs w:val="24"/>
          <w:highlight w:val="none"/>
          <w:lang w:val="en-US" w:eastAsia="zh-CN" w:bidi="ar"/>
        </w:rPr>
        <w:t>内产生的</w:t>
      </w:r>
      <w:r>
        <w:rPr>
          <w:rFonts w:hint="eastAsia" w:cs="Times New Roman"/>
          <w:kern w:val="0"/>
          <w:sz w:val="24"/>
          <w:szCs w:val="24"/>
          <w:highlight w:val="none"/>
          <w:lang w:val="en-US" w:eastAsia="zh-CN" w:bidi="ar"/>
        </w:rPr>
        <w:t>太阳能</w:t>
      </w:r>
      <w:r>
        <w:rPr>
          <w:rFonts w:hint="default" w:ascii="Times New Roman" w:hAnsi="Times New Roman" w:cs="Times New Roman"/>
          <w:kern w:val="0"/>
          <w:sz w:val="24"/>
          <w:szCs w:val="24"/>
          <w:highlight w:val="none"/>
          <w:lang w:val="en-US" w:eastAsia="zh-CN" w:bidi="ar"/>
        </w:rPr>
        <w:t>电</w:t>
      </w:r>
      <w:r>
        <w:rPr>
          <w:rFonts w:hint="eastAsia" w:cs="Times New Roman"/>
          <w:kern w:val="0"/>
          <w:sz w:val="24"/>
          <w:szCs w:val="24"/>
          <w:highlight w:val="none"/>
          <w:lang w:val="en-US" w:eastAsia="zh-CN" w:bidi="ar"/>
        </w:rPr>
        <w:t>力</w:t>
      </w:r>
      <w:r>
        <w:rPr>
          <w:rFonts w:hint="default" w:ascii="Times New Roman" w:hAnsi="Times New Roman" w:cs="Times New Roman"/>
          <w:kern w:val="0"/>
          <w:sz w:val="24"/>
          <w:szCs w:val="24"/>
          <w:highlight w:val="none"/>
          <w:lang w:val="en-US" w:eastAsia="zh-CN" w:bidi="ar"/>
        </w:rPr>
        <w:t>相同时，产生的碳排放量，采用排放因子法计算。</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37" w:name="_Toc10040"/>
      <w:bookmarkStart w:id="38" w:name="_Toc12956"/>
      <w:r>
        <w:rPr>
          <w:rFonts w:hint="default" w:ascii="Times New Roman" w:hAnsi="Times New Roman" w:eastAsia="仿宋" w:cs="Times New Roman"/>
          <w:sz w:val="28"/>
          <w:szCs w:val="28"/>
          <w:lang w:val="en-US" w:eastAsia="zh-CN"/>
        </w:rPr>
        <w:t>2.5.4数据来源</w:t>
      </w:r>
      <w:bookmarkEnd w:id="37"/>
      <w:bookmarkEnd w:id="38"/>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lang w:val="en-US" w:eastAsia="zh-CN" w:bidi="ar"/>
        </w:rPr>
        <w:t>本文件数据来源的要求参照</w:t>
      </w:r>
      <w:r>
        <w:rPr>
          <w:rFonts w:hint="default" w:ascii="Times New Roman" w:hAnsi="Times New Roman" w:cs="Times New Roman"/>
          <w:kern w:val="0"/>
          <w:sz w:val="24"/>
          <w:szCs w:val="24"/>
          <w:highlight w:val="none"/>
          <w:lang w:val="en-US" w:eastAsia="zh-CN" w:bidi="ar"/>
        </w:rPr>
        <w:t>GB/T 32150《工业企业温室气体排放核算和报告通则》，对活动数据和</w:t>
      </w:r>
      <w:r>
        <w:rPr>
          <w:rFonts w:hint="eastAsia" w:cs="Times New Roman"/>
          <w:kern w:val="0"/>
          <w:sz w:val="24"/>
          <w:szCs w:val="24"/>
          <w:highlight w:val="none"/>
          <w:lang w:val="en-US" w:eastAsia="zh-CN" w:bidi="ar"/>
        </w:rPr>
        <w:t>缺省</w:t>
      </w:r>
      <w:r>
        <w:rPr>
          <w:rFonts w:hint="default" w:ascii="Times New Roman" w:hAnsi="Times New Roman" w:cs="Times New Roman"/>
          <w:kern w:val="0"/>
          <w:sz w:val="24"/>
          <w:szCs w:val="24"/>
          <w:highlight w:val="none"/>
          <w:lang w:val="en-US" w:eastAsia="zh-CN" w:bidi="ar"/>
        </w:rPr>
        <w:t>数据的获取来源及优先级进行要求。</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活动数据指产品实际生产过程中原料、燃料的用量，运输方式、运输距离，污染废弃物的</w:t>
      </w:r>
      <w:r>
        <w:rPr>
          <w:rFonts w:hint="eastAsia" w:cs="Times New Roman"/>
          <w:kern w:val="0"/>
          <w:sz w:val="24"/>
          <w:szCs w:val="24"/>
          <w:highlight w:val="none"/>
          <w:lang w:val="en-US" w:eastAsia="zh-CN" w:bidi="ar"/>
        </w:rPr>
        <w:t>使用</w:t>
      </w:r>
      <w:r>
        <w:rPr>
          <w:rFonts w:hint="default" w:ascii="Times New Roman" w:hAnsi="Times New Roman" w:cs="Times New Roman"/>
          <w:kern w:val="0"/>
          <w:sz w:val="24"/>
          <w:szCs w:val="24"/>
          <w:highlight w:val="none"/>
          <w:lang w:val="en-US" w:eastAsia="zh-CN" w:bidi="ar"/>
        </w:rPr>
        <w:t>数据等可以在生产现场实时监测得到的数据，因此该类数据首先应考虑根据实际生产过程进行监测、计量获取，其次可以通过其他生产活动的数据记录进行折算或类似活动过程进行估算。选取的优先级按照原始数据、</w:t>
      </w:r>
      <w:r>
        <w:rPr>
          <w:rFonts w:hint="eastAsia" w:cs="Times New Roman"/>
          <w:kern w:val="0"/>
          <w:sz w:val="24"/>
          <w:szCs w:val="24"/>
          <w:highlight w:val="none"/>
          <w:lang w:val="en-US" w:eastAsia="zh-CN" w:bidi="ar"/>
        </w:rPr>
        <w:t>次级</w:t>
      </w:r>
      <w:r>
        <w:rPr>
          <w:rFonts w:hint="default" w:ascii="Times New Roman" w:hAnsi="Times New Roman" w:cs="Times New Roman"/>
          <w:kern w:val="0"/>
          <w:sz w:val="24"/>
          <w:szCs w:val="24"/>
          <w:highlight w:val="none"/>
          <w:lang w:val="en-US" w:eastAsia="zh-CN" w:bidi="ar"/>
        </w:rPr>
        <w:t>数据、替代数据的优先顺序选取。</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缺省数据指二氧化碳排放因子、太阳能辐照度等无法通过产品实际生产过程检测估算得到的数据，这类数据可以通过国家公开通用数据、权威网站和数据库或者相关标准、报告中获取，应给出来源说明。</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eastAsia="zh-CN"/>
        </w:rPr>
      </w:pPr>
      <w:bookmarkStart w:id="39" w:name="_Toc4034"/>
      <w:bookmarkStart w:id="40" w:name="_Toc11593"/>
      <w:r>
        <w:rPr>
          <w:rFonts w:hint="default" w:ascii="Times New Roman" w:hAnsi="Times New Roman" w:eastAsia="仿宋" w:cs="Times New Roman"/>
        </w:rPr>
        <w:t>2.</w:t>
      </w:r>
      <w:r>
        <w:rPr>
          <w:rFonts w:hint="default" w:ascii="Times New Roman" w:hAnsi="Times New Roman" w:eastAsia="仿宋" w:cs="Times New Roman"/>
          <w:lang w:val="en-US" w:eastAsia="zh-CN"/>
        </w:rPr>
        <w:t>6</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减碳量计算方法</w:t>
      </w:r>
      <w:bookmarkEnd w:id="39"/>
      <w:bookmarkEnd w:id="40"/>
    </w:p>
    <w:p>
      <w:pPr>
        <w:pStyle w:val="4"/>
        <w:spacing w:line="520" w:lineRule="exact"/>
        <w:rPr>
          <w:rFonts w:hint="default" w:ascii="Times New Roman" w:hAnsi="Times New Roman" w:eastAsia="仿宋" w:cs="Times New Roman"/>
          <w:kern w:val="2"/>
          <w:sz w:val="28"/>
          <w:szCs w:val="28"/>
          <w:lang w:val="en-US" w:bidi="ar"/>
        </w:rPr>
      </w:pPr>
      <w:bookmarkStart w:id="41" w:name="_Toc181"/>
      <w:bookmarkStart w:id="42" w:name="_Toc26579"/>
      <w:r>
        <w:rPr>
          <w:rFonts w:hint="default" w:ascii="Times New Roman" w:hAnsi="Times New Roman" w:eastAsia="仿宋" w:cs="Times New Roman"/>
          <w:sz w:val="28"/>
          <w:szCs w:val="28"/>
          <w:lang w:val="en-US" w:eastAsia="zh-CN"/>
        </w:rPr>
        <w:t>2.6.1</w:t>
      </w:r>
      <w:r>
        <w:rPr>
          <w:rFonts w:hint="eastAsia" w:ascii="Times New Roman" w:hAnsi="Times New Roman" w:eastAsia="仿宋" w:cs="Times New Roman"/>
          <w:sz w:val="28"/>
          <w:szCs w:val="28"/>
          <w:lang w:val="en-US" w:eastAsia="zh-CN"/>
        </w:rPr>
        <w:t>基本要求</w:t>
      </w:r>
      <w:bookmarkEnd w:id="41"/>
    </w:p>
    <w:p>
      <w:pPr>
        <w:widowControl/>
        <w:spacing w:line="520" w:lineRule="exact"/>
        <w:ind w:firstLine="480"/>
        <w:jc w:val="left"/>
        <w:rPr>
          <w:rFonts w:ascii="Times New Roman" w:hAnsi="Times New Roman" w:eastAsia="宋体" w:cs="Times New Roman"/>
          <w:kern w:val="0"/>
          <w:sz w:val="24"/>
          <w:szCs w:val="24"/>
          <w:highlight w:val="none"/>
          <w:lang w:bidi="ar"/>
        </w:rPr>
      </w:pPr>
      <w:r>
        <w:rPr>
          <w:rFonts w:hint="default" w:ascii="Times New Roman" w:hAnsi="Times New Roman" w:eastAsia="宋体" w:cs="Times New Roman"/>
          <w:kern w:val="0"/>
          <w:sz w:val="24"/>
          <w:szCs w:val="24"/>
          <w:highlight w:val="none"/>
          <w:lang w:bidi="ar"/>
        </w:rPr>
        <w:t>建材产品减碳量应按式（1）计算</w:t>
      </w:r>
    </w:p>
    <w:p>
      <w:pPr>
        <w:widowControl/>
        <w:ind w:firstLine="480" w:firstLineChars="200"/>
        <w:jc w:val="right"/>
        <w:rPr>
          <w:rFonts w:hint="eastAsia" w:hAnsi="Cambria Math" w:eastAsia="宋体" w:cs="Times New Roman"/>
          <w:i w:val="0"/>
          <w:kern w:val="0"/>
          <w:sz w:val="24"/>
          <w:szCs w:val="24"/>
          <w:highlight w:val="none"/>
          <w:lang w:eastAsia="zh-CN" w:bidi="ar"/>
        </w:rPr>
      </w:pPr>
      <w:r>
        <w:rPr>
          <w:rFonts w:hint="eastAsia" w:cs="Times New Roman"/>
          <w:kern w:val="0"/>
          <w:sz w:val="24"/>
          <w:szCs w:val="24"/>
          <w:highlight w:val="none"/>
          <w:lang w:val="en-US" w:eastAsia="zh-CN" w:bidi="ar"/>
        </w:rPr>
        <w:t xml:space="preserve"> </w:t>
      </w: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R</m:t>
            </m:r>
            <m:ctrlPr>
              <w:rPr>
                <w:rFonts w:ascii="Cambria Math" w:hAnsi="Cambria Math" w:cs="Times New Roman"/>
                <w:kern w:val="0"/>
                <w:sz w:val="24"/>
                <w:szCs w:val="24"/>
                <w:highlight w:val="none"/>
                <w:lang w:bidi="ar"/>
              </w:rPr>
            </m:ctrlPr>
          </m:sub>
        </m:sSub>
        <m:r>
          <m:rPr>
            <m:sty m:val="p"/>
          </m:rPr>
          <w:rPr>
            <w:rFonts w:ascii="Cambria Math" w:hAnsi="Cambria Math" w:cs="Times New Roman"/>
            <w:kern w:val="0"/>
            <w:sz w:val="24"/>
            <w:szCs w:val="24"/>
            <w:highlight w:val="none"/>
            <w:lang w:bidi="ar"/>
          </w:rPr>
          <m:t>=</m:t>
        </m:r>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P</m:t>
            </m:r>
            <m:ctrlPr>
              <w:rPr>
                <w:rFonts w:ascii="Cambria Math" w:hAnsi="Cambria Math" w:cs="Times New Roman"/>
                <w:kern w:val="0"/>
                <w:sz w:val="24"/>
                <w:szCs w:val="24"/>
                <w:highlight w:val="none"/>
                <w:lang w:bidi="ar"/>
              </w:rPr>
            </m:ctrlPr>
          </m:sub>
        </m:sSub>
        <m:r>
          <m:rPr>
            <m:sty m:val="p"/>
          </m:rPr>
          <w:rPr>
            <w:rFonts w:ascii="Cambria Math" w:hAnsi="Cambria Math" w:cs="Times New Roman"/>
            <w:kern w:val="0"/>
            <w:sz w:val="24"/>
            <w:szCs w:val="24"/>
            <w:highlight w:val="none"/>
            <w:lang w:bidi="ar"/>
          </w:rPr>
          <m:t>+</m:t>
        </m:r>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UU</m:t>
            </m:r>
            <m:ctrlPr>
              <w:rPr>
                <w:rFonts w:ascii="Cambria Math" w:hAnsi="Cambria Math" w:cs="Times New Roman"/>
                <w:kern w:val="0"/>
                <w:sz w:val="24"/>
                <w:szCs w:val="24"/>
                <w:highlight w:val="none"/>
                <w:lang w:bidi="ar"/>
              </w:rPr>
            </m:ctrlPr>
          </m:sub>
        </m:sSub>
        <m:r>
          <m:rPr>
            <m:sty m:val="p"/>
          </m:rPr>
          <w:rPr>
            <w:rFonts w:ascii="Cambria Math" w:hAnsi="Cambria Math" w:cs="Times New Roman"/>
            <w:kern w:val="0"/>
            <w:sz w:val="24"/>
            <w:szCs w:val="24"/>
            <w:highlight w:val="none"/>
            <w:lang w:bidi="ar"/>
          </w:rPr>
          <m:t>+</m:t>
        </m:r>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US</m:t>
            </m:r>
            <m:ctrlPr>
              <w:rPr>
                <w:rFonts w:ascii="Cambria Math" w:hAnsi="Cambria Math" w:cs="Times New Roman"/>
                <w:kern w:val="0"/>
                <w:sz w:val="24"/>
                <w:szCs w:val="24"/>
                <w:highlight w:val="none"/>
                <w:lang w:bidi="ar"/>
              </w:rPr>
            </m:ctrlPr>
          </m:sub>
        </m:sSub>
      </m:oMath>
      <w:r>
        <w:rPr>
          <w:rFonts w:hint="eastAsia" w:hAnsi="Cambria Math" w:cs="Times New Roman"/>
          <w:i w:val="0"/>
          <w:kern w:val="0"/>
          <w:sz w:val="24"/>
          <w:szCs w:val="24"/>
          <w:highlight w:val="none"/>
          <w:lang w:val="en-US" w:eastAsia="zh-CN" w:bidi="ar"/>
        </w:rPr>
        <w:t xml:space="preserve">                   </w:t>
      </w:r>
      <w:r>
        <w:rPr>
          <w:rFonts w:hint="eastAsia" w:hAnsi="Cambria Math" w:cs="Times New Roman"/>
          <w:i w:val="0"/>
          <w:kern w:val="0"/>
          <w:sz w:val="24"/>
          <w:szCs w:val="24"/>
          <w:highlight w:val="none"/>
          <w:lang w:eastAsia="zh-CN" w:bidi="ar"/>
        </w:rPr>
        <w:t>（</w:t>
      </w:r>
      <w:r>
        <w:rPr>
          <w:rFonts w:hint="eastAsia" w:hAnsi="Cambria Math" w:cs="Times New Roman"/>
          <w:i w:val="0"/>
          <w:kern w:val="0"/>
          <w:sz w:val="24"/>
          <w:szCs w:val="24"/>
          <w:highlight w:val="none"/>
          <w:lang w:val="en-US" w:eastAsia="zh-CN" w:bidi="ar"/>
        </w:rPr>
        <w:t>1</w:t>
      </w:r>
      <w:r>
        <w:rPr>
          <w:rFonts w:hint="eastAsia" w:hAnsi="Cambria Math" w:cs="Times New Roman"/>
          <w:i w:val="0"/>
          <w:kern w:val="0"/>
          <w:sz w:val="24"/>
          <w:szCs w:val="24"/>
          <w:highlight w:val="none"/>
          <w:lang w:eastAsia="zh-CN" w:bidi="ar"/>
        </w:rPr>
        <w:t>）</w:t>
      </w:r>
    </w:p>
    <w:p>
      <w:pPr>
        <w:widowControl/>
        <w:spacing w:line="520" w:lineRule="exact"/>
        <w:ind w:firstLine="480" w:firstLineChars="0"/>
        <w:jc w:val="left"/>
        <w:rPr>
          <w:rFonts w:ascii="Times New Roman" w:hAnsi="Times New Roman" w:eastAsia="宋体" w:cs="Times New Roman"/>
          <w:kern w:val="0"/>
          <w:sz w:val="24"/>
          <w:szCs w:val="24"/>
          <w:highlight w:val="none"/>
          <w:lang w:bidi="ar"/>
        </w:rPr>
      </w:pPr>
      <w:r>
        <w:rPr>
          <w:rFonts w:hint="default" w:ascii="Times New Roman" w:hAnsi="Times New Roman" w:eastAsia="宋体" w:cs="Times New Roman"/>
          <w:kern w:val="0"/>
          <w:sz w:val="24"/>
          <w:szCs w:val="24"/>
          <w:highlight w:val="none"/>
          <w:lang w:bidi="ar"/>
        </w:rPr>
        <w:t>式中：</w:t>
      </w:r>
    </w:p>
    <w:p>
      <w:pPr>
        <w:widowControl/>
        <w:spacing w:line="520" w:lineRule="exact"/>
        <w:ind w:firstLine="480" w:firstLineChars="0"/>
        <w:jc w:val="left"/>
        <w:rPr>
          <w:rFonts w:ascii="Times New Roman" w:hAnsi="Times New Roman" w:eastAsia="宋体" w:cs="Times New Roman"/>
          <w:kern w:val="0"/>
          <w:sz w:val="24"/>
          <w:szCs w:val="24"/>
          <w:highlight w:val="none"/>
          <w:lang w:bidi="ar"/>
        </w:rPr>
      </w:pP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R</m:t>
            </m:r>
            <m:ctrlPr>
              <w:rPr>
                <w:rFonts w:ascii="Cambria Math" w:hAnsi="Cambria Math" w:cs="Times New Roman"/>
                <w:kern w:val="0"/>
                <w:sz w:val="24"/>
                <w:szCs w:val="24"/>
                <w:highlight w:val="none"/>
                <w:lang w:bidi="ar"/>
              </w:rPr>
            </m:ctrlPr>
          </m:sub>
        </m:sSub>
      </m:oMath>
      <w:r>
        <w:rPr>
          <w:rFonts w:hint="default" w:ascii="Times New Roman" w:hAnsi="Times New Roman" w:cs="Times New Roman"/>
          <w:kern w:val="0"/>
          <w:sz w:val="24"/>
          <w:szCs w:val="24"/>
          <w:highlight w:val="none"/>
          <w:lang w:bidi="ar"/>
        </w:rPr>
        <w:t>——建材产品减碳量，单位为千克二氧化碳（kgCO2）</w:t>
      </w:r>
      <w:r>
        <w:rPr>
          <w:rFonts w:hint="default" w:ascii="Times New Roman" w:hAnsi="Times New Roman" w:eastAsia="宋体" w:cs="Times New Roman"/>
          <w:kern w:val="0"/>
          <w:sz w:val="24"/>
          <w:szCs w:val="24"/>
          <w:highlight w:val="none"/>
          <w:lang w:bidi="ar"/>
        </w:rPr>
        <w:t>；</w:t>
      </w:r>
    </w:p>
    <w:p>
      <w:pPr>
        <w:widowControl/>
        <w:spacing w:line="520" w:lineRule="exact"/>
        <w:ind w:firstLine="480" w:firstLineChars="0"/>
        <w:jc w:val="left"/>
        <w:rPr>
          <w:rFonts w:ascii="Times New Roman" w:hAnsi="Times New Roman" w:eastAsia="宋体" w:cs="Times New Roman"/>
          <w:kern w:val="0"/>
          <w:sz w:val="24"/>
          <w:szCs w:val="24"/>
          <w:highlight w:val="none"/>
          <w:lang w:bidi="ar"/>
        </w:rPr>
      </w:pP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P</m:t>
            </m:r>
            <m:ctrlPr>
              <w:rPr>
                <w:rFonts w:ascii="Cambria Math" w:hAnsi="Cambria Math" w:cs="Times New Roman"/>
                <w:kern w:val="0"/>
                <w:sz w:val="24"/>
                <w:szCs w:val="24"/>
                <w:highlight w:val="none"/>
                <w:lang w:bidi="ar"/>
              </w:rPr>
            </m:ctrlPr>
          </m:sub>
        </m:sSub>
      </m:oMath>
      <w:r>
        <w:rPr>
          <w:rFonts w:hint="default" w:ascii="Times New Roman" w:hAnsi="Times New Roman" w:cs="Times New Roman"/>
          <w:kern w:val="0"/>
          <w:sz w:val="24"/>
          <w:szCs w:val="24"/>
          <w:highlight w:val="none"/>
          <w:lang w:bidi="ar"/>
        </w:rPr>
        <w:t>——</w:t>
      </w:r>
      <w:r>
        <w:rPr>
          <w:rFonts w:hint="default" w:ascii="Times New Roman" w:hAnsi="Times New Roman" w:eastAsia="宋体" w:cs="Times New Roman"/>
          <w:kern w:val="0"/>
          <w:sz w:val="24"/>
          <w:szCs w:val="24"/>
          <w:highlight w:val="none"/>
          <w:lang w:bidi="ar"/>
        </w:rPr>
        <w:t>功能</w:t>
      </w:r>
      <w:r>
        <w:rPr>
          <w:rFonts w:hint="default" w:ascii="Times New Roman" w:hAnsi="Times New Roman" w:cs="Times New Roman"/>
          <w:kern w:val="0"/>
          <w:sz w:val="24"/>
          <w:szCs w:val="24"/>
          <w:highlight w:val="none"/>
          <w:lang w:bidi="ar"/>
        </w:rPr>
        <w:t>单位产品生产阶段的减碳量，单位为千克二氧化碳（kgCO</w:t>
      </w:r>
      <w:r>
        <w:rPr>
          <w:rFonts w:hint="default" w:ascii="Times New Roman" w:hAnsi="Times New Roman" w:cs="Times New Roman"/>
          <w:kern w:val="0"/>
          <w:sz w:val="24"/>
          <w:szCs w:val="24"/>
          <w:highlight w:val="none"/>
          <w:vertAlign w:val="subscript"/>
          <w:lang w:bidi="ar"/>
        </w:rPr>
        <w:t>2</w:t>
      </w:r>
      <w:r>
        <w:rPr>
          <w:rFonts w:hint="default" w:ascii="Times New Roman" w:hAnsi="Times New Roman" w:cs="Times New Roman"/>
          <w:kern w:val="0"/>
          <w:sz w:val="24"/>
          <w:szCs w:val="24"/>
          <w:highlight w:val="none"/>
          <w:lang w:bidi="ar"/>
        </w:rPr>
        <w:t>）</w:t>
      </w:r>
      <w:r>
        <w:rPr>
          <w:rFonts w:hint="default" w:ascii="Times New Roman" w:hAnsi="Times New Roman" w:eastAsia="宋体" w:cs="Times New Roman"/>
          <w:kern w:val="0"/>
          <w:sz w:val="24"/>
          <w:szCs w:val="24"/>
          <w:highlight w:val="none"/>
          <w:lang w:bidi="ar"/>
        </w:rPr>
        <w:t>；</w:t>
      </w:r>
    </w:p>
    <w:p>
      <w:pPr>
        <w:widowControl/>
        <w:spacing w:line="520" w:lineRule="exact"/>
        <w:ind w:firstLine="480" w:firstLineChars="0"/>
        <w:jc w:val="left"/>
        <w:rPr>
          <w:rFonts w:ascii="Times New Roman" w:hAnsi="Times New Roman" w:cs="Times New Roman"/>
          <w:kern w:val="0"/>
          <w:sz w:val="24"/>
          <w:szCs w:val="24"/>
          <w:highlight w:val="none"/>
          <w:lang w:bidi="ar"/>
        </w:rPr>
      </w:pP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UU</m:t>
            </m:r>
            <m:ctrlPr>
              <w:rPr>
                <w:rFonts w:ascii="Cambria Math" w:hAnsi="Cambria Math" w:cs="Times New Roman"/>
                <w:kern w:val="0"/>
                <w:sz w:val="24"/>
                <w:szCs w:val="24"/>
                <w:highlight w:val="none"/>
                <w:lang w:bidi="ar"/>
              </w:rPr>
            </m:ctrlPr>
          </m:sub>
        </m:sSub>
      </m:oMath>
      <w:r>
        <w:rPr>
          <w:rFonts w:hint="default" w:ascii="Times New Roman" w:hAnsi="Times New Roman" w:cs="Times New Roman"/>
          <w:kern w:val="0"/>
          <w:sz w:val="24"/>
          <w:szCs w:val="24"/>
          <w:highlight w:val="none"/>
          <w:lang w:bidi="ar"/>
        </w:rPr>
        <w:t>——</w:t>
      </w:r>
      <w:r>
        <w:rPr>
          <w:rFonts w:hint="default" w:ascii="Times New Roman" w:hAnsi="Times New Roman" w:eastAsia="宋体" w:cs="Times New Roman"/>
          <w:kern w:val="0"/>
          <w:sz w:val="24"/>
          <w:szCs w:val="24"/>
          <w:highlight w:val="none"/>
          <w:lang w:bidi="ar"/>
        </w:rPr>
        <w:t>功能</w:t>
      </w:r>
      <w:r>
        <w:rPr>
          <w:rFonts w:hint="default" w:ascii="Times New Roman" w:hAnsi="Times New Roman" w:cs="Times New Roman"/>
          <w:kern w:val="0"/>
          <w:sz w:val="24"/>
          <w:szCs w:val="24"/>
          <w:highlight w:val="none"/>
          <w:lang w:bidi="ar"/>
        </w:rPr>
        <w:t>单位产品使用阶段通过保温隔热间接产生的减碳量，单位为千克二氧化碳（kgCO</w:t>
      </w:r>
      <w:r>
        <w:rPr>
          <w:rFonts w:hint="default" w:ascii="Times New Roman" w:hAnsi="Times New Roman" w:cs="Times New Roman"/>
          <w:kern w:val="0"/>
          <w:sz w:val="24"/>
          <w:szCs w:val="24"/>
          <w:highlight w:val="none"/>
          <w:vertAlign w:val="subscript"/>
          <w:lang w:bidi="ar"/>
        </w:rPr>
        <w:t>2</w:t>
      </w:r>
      <w:r>
        <w:rPr>
          <w:rFonts w:hint="default" w:ascii="Times New Roman" w:hAnsi="Times New Roman" w:cs="Times New Roman"/>
          <w:kern w:val="0"/>
          <w:sz w:val="24"/>
          <w:szCs w:val="24"/>
          <w:highlight w:val="none"/>
          <w:lang w:bidi="ar"/>
        </w:rPr>
        <w:t>）；</w:t>
      </w:r>
    </w:p>
    <w:p>
      <w:pPr>
        <w:widowControl/>
        <w:spacing w:line="520" w:lineRule="exact"/>
        <w:ind w:firstLine="480"/>
        <w:jc w:val="left"/>
        <w:rPr>
          <w:rFonts w:hint="default" w:ascii="Times New Roman" w:hAnsi="Times New Roman" w:eastAsia="宋体" w:cs="Times New Roman"/>
          <w:kern w:val="0"/>
          <w:sz w:val="24"/>
          <w:szCs w:val="24"/>
          <w:highlight w:val="none"/>
          <w:lang w:val="en-US" w:eastAsia="zh-CN" w:bidi="ar"/>
        </w:rPr>
      </w:pP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US</m:t>
            </m:r>
            <m:ctrlPr>
              <w:rPr>
                <w:rFonts w:ascii="Cambria Math" w:hAnsi="Cambria Math" w:cs="Times New Roman"/>
                <w:kern w:val="0"/>
                <w:sz w:val="24"/>
                <w:szCs w:val="24"/>
                <w:highlight w:val="none"/>
                <w:lang w:bidi="ar"/>
              </w:rPr>
            </m:ctrlPr>
          </m:sub>
        </m:sSub>
      </m:oMath>
      <w:r>
        <w:rPr>
          <w:rFonts w:hint="default" w:ascii="Times New Roman" w:hAnsi="Times New Roman" w:cs="Times New Roman"/>
          <w:kern w:val="0"/>
          <w:sz w:val="24"/>
          <w:szCs w:val="24"/>
          <w:highlight w:val="none"/>
          <w:lang w:bidi="ar"/>
        </w:rPr>
        <w:t>——</w:t>
      </w:r>
      <w:r>
        <w:rPr>
          <w:rFonts w:hint="default" w:ascii="Times New Roman" w:hAnsi="Times New Roman" w:eastAsia="宋体" w:cs="Times New Roman"/>
          <w:kern w:val="0"/>
          <w:sz w:val="24"/>
          <w:szCs w:val="24"/>
          <w:highlight w:val="none"/>
          <w:lang w:bidi="ar"/>
        </w:rPr>
        <w:t>功能</w:t>
      </w:r>
      <w:r>
        <w:rPr>
          <w:rFonts w:hint="default" w:ascii="Times New Roman" w:hAnsi="Times New Roman" w:cs="Times New Roman"/>
          <w:kern w:val="0"/>
          <w:sz w:val="24"/>
          <w:szCs w:val="24"/>
          <w:highlight w:val="none"/>
          <w:lang w:bidi="ar"/>
        </w:rPr>
        <w:t>单位产品使用阶段</w:t>
      </w:r>
      <w:r>
        <w:rPr>
          <w:rFonts w:hint="eastAsia" w:cs="Times New Roman"/>
          <w:kern w:val="0"/>
          <w:sz w:val="24"/>
          <w:szCs w:val="24"/>
          <w:highlight w:val="none"/>
          <w:lang w:val="en-US" w:eastAsia="zh-CN" w:bidi="ar"/>
        </w:rPr>
        <w:t>通过</w:t>
      </w:r>
      <w:r>
        <w:rPr>
          <w:rFonts w:hint="default" w:ascii="Times New Roman" w:hAnsi="Times New Roman" w:cs="Times New Roman"/>
          <w:kern w:val="0"/>
          <w:sz w:val="24"/>
          <w:szCs w:val="24"/>
          <w:highlight w:val="none"/>
          <w:lang w:bidi="ar"/>
        </w:rPr>
        <w:t>生产清洁能源等产生的减碳量，单位为千克二氧化碳（kgCO</w:t>
      </w:r>
      <w:r>
        <w:rPr>
          <w:rFonts w:hint="default" w:ascii="Times New Roman" w:hAnsi="Times New Roman" w:cs="Times New Roman"/>
          <w:kern w:val="0"/>
          <w:sz w:val="24"/>
          <w:szCs w:val="24"/>
          <w:highlight w:val="none"/>
          <w:vertAlign w:val="subscript"/>
          <w:lang w:bidi="ar"/>
        </w:rPr>
        <w:t>2</w:t>
      </w:r>
      <w:r>
        <w:rPr>
          <w:rFonts w:hint="default" w:ascii="Times New Roman" w:hAnsi="Times New Roman" w:cs="Times New Roman"/>
          <w:kern w:val="0"/>
          <w:sz w:val="24"/>
          <w:szCs w:val="24"/>
          <w:highlight w:val="none"/>
          <w:lang w:bidi="ar"/>
        </w:rPr>
        <w:t>）。</w:t>
      </w:r>
    </w:p>
    <w:p>
      <w:pPr>
        <w:widowControl/>
        <w:spacing w:line="520" w:lineRule="exact"/>
        <w:ind w:firstLine="480" w:firstLineChars="200"/>
        <w:jc w:val="left"/>
        <w:rPr>
          <w:rFonts w:hint="default" w:ascii="Times New Roman" w:hAnsi="Times New Roman" w:eastAsia="宋体" w:cs="Times New Roman"/>
          <w:kern w:val="0"/>
          <w:sz w:val="24"/>
          <w:szCs w:val="24"/>
          <w:highlight w:val="none"/>
          <w:lang w:val="en-US" w:eastAsia="zh-CN" w:bidi="ar"/>
        </w:rPr>
      </w:pPr>
      <w:r>
        <w:rPr>
          <w:rFonts w:hint="default" w:ascii="Times New Roman" w:hAnsi="Times New Roman" w:eastAsia="宋体" w:cs="Times New Roman"/>
          <w:kern w:val="0"/>
          <w:sz w:val="24"/>
          <w:szCs w:val="24"/>
          <w:highlight w:val="none"/>
          <w:lang w:val="en-US" w:eastAsia="zh-CN" w:bidi="ar"/>
        </w:rPr>
        <w:t>根据减碳量评估的基本要求</w:t>
      </w:r>
      <w:r>
        <w:rPr>
          <w:rFonts w:hint="eastAsia" w:cs="Times New Roman"/>
          <w:kern w:val="0"/>
          <w:sz w:val="24"/>
          <w:szCs w:val="24"/>
          <w:highlight w:val="none"/>
          <w:lang w:val="en-US" w:eastAsia="zh-CN" w:bidi="ar"/>
        </w:rPr>
        <w:t>，减碳量评估包括生产和使用阶段，其中生产阶段包括所有产品，使用阶段因产品的减碳方式不同分为通过保温隔热间接产生的减碳量和生产清洁能源等产生的减碳量两类。该公式的应用遵循适用性原则，若使用阶段没有减碳效果则减碳量核算只包括生产阶段</w:t>
      </w: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P</m:t>
            </m:r>
            <m:ctrlPr>
              <w:rPr>
                <w:rFonts w:ascii="Cambria Math" w:hAnsi="Cambria Math" w:cs="Times New Roman"/>
                <w:kern w:val="0"/>
                <w:sz w:val="24"/>
                <w:szCs w:val="24"/>
                <w:highlight w:val="none"/>
                <w:lang w:bidi="ar"/>
              </w:rPr>
            </m:ctrlPr>
          </m:sub>
        </m:sSub>
      </m:oMath>
      <w:r>
        <w:rPr>
          <w:rFonts w:hint="eastAsia" w:hAnsi="Cambria Math" w:cs="Times New Roman"/>
          <w:i w:val="0"/>
          <w:kern w:val="0"/>
          <w:sz w:val="24"/>
          <w:szCs w:val="24"/>
          <w:highlight w:val="none"/>
          <w:lang w:eastAsia="zh-CN" w:bidi="ar"/>
        </w:rPr>
        <w:t>，</w:t>
      </w:r>
      <w:r>
        <w:rPr>
          <w:rFonts w:hint="eastAsia" w:hAnsi="Cambria Math" w:cs="Times New Roman"/>
          <w:i w:val="0"/>
          <w:kern w:val="0"/>
          <w:sz w:val="24"/>
          <w:szCs w:val="24"/>
          <w:highlight w:val="none"/>
          <w:lang w:val="en-US" w:eastAsia="zh-CN" w:bidi="ar"/>
        </w:rPr>
        <w:t>使用阶段为0</w:t>
      </w:r>
      <w:r>
        <w:rPr>
          <w:rFonts w:hint="eastAsia" w:cs="Times New Roman"/>
          <w:kern w:val="0"/>
          <w:sz w:val="24"/>
          <w:szCs w:val="24"/>
          <w:highlight w:val="none"/>
          <w:lang w:val="en-US" w:eastAsia="zh-CN" w:bidi="ar"/>
        </w:rPr>
        <w:t>；保温隔热材料减碳量核算包括生产阶段</w:t>
      </w: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P</m:t>
            </m:r>
            <m:ctrlPr>
              <w:rPr>
                <w:rFonts w:ascii="Cambria Math" w:hAnsi="Cambria Math" w:cs="Times New Roman"/>
                <w:kern w:val="0"/>
                <w:sz w:val="24"/>
                <w:szCs w:val="24"/>
                <w:highlight w:val="none"/>
                <w:lang w:bidi="ar"/>
              </w:rPr>
            </m:ctrlPr>
          </m:sub>
        </m:sSub>
      </m:oMath>
      <w:r>
        <w:rPr>
          <w:rFonts w:hint="eastAsia" w:hAnsi="Cambria Math" w:cs="Times New Roman"/>
          <w:i w:val="0"/>
          <w:kern w:val="0"/>
          <w:sz w:val="24"/>
          <w:szCs w:val="24"/>
          <w:highlight w:val="none"/>
          <w:lang w:val="en-US" w:eastAsia="zh-CN" w:bidi="ar"/>
        </w:rPr>
        <w:t>和</w:t>
      </w: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UU</m:t>
            </m:r>
            <m:ctrlPr>
              <w:rPr>
                <w:rFonts w:ascii="Cambria Math" w:hAnsi="Cambria Math" w:cs="宋体"/>
                <w:kern w:val="0"/>
                <w:szCs w:val="21"/>
                <w:lang w:bidi="ar"/>
              </w:rPr>
            </m:ctrlPr>
          </m:sub>
        </m:sSub>
      </m:oMath>
      <w:r>
        <w:rPr>
          <w:rFonts w:hint="eastAsia" w:hAnsi="Cambria Math" w:cs="宋体"/>
          <w:i w:val="0"/>
          <w:kern w:val="0"/>
          <w:szCs w:val="21"/>
          <w:lang w:eastAsia="zh-CN" w:bidi="ar"/>
        </w:rPr>
        <w:t>，</w:t>
      </w: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oMath>
      <w:r>
        <w:rPr>
          <w:rFonts w:hint="eastAsia" w:hAnsi="Cambria Math" w:cs="宋体"/>
          <w:i w:val="0"/>
          <w:kern w:val="0"/>
          <w:szCs w:val="21"/>
          <w:lang w:val="en-US" w:eastAsia="zh-CN" w:bidi="ar"/>
        </w:rPr>
        <w:t>为0；</w:t>
      </w:r>
      <w:r>
        <w:rPr>
          <w:rFonts w:hint="eastAsia" w:cs="Times New Roman"/>
          <w:kern w:val="0"/>
          <w:sz w:val="24"/>
          <w:szCs w:val="24"/>
          <w:highlight w:val="none"/>
          <w:lang w:val="en-US" w:eastAsia="zh-CN" w:bidi="ar"/>
        </w:rPr>
        <w:t>光电转化材料核算包括生产阶段</w:t>
      </w: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P</m:t>
            </m:r>
            <m:ctrlPr>
              <w:rPr>
                <w:rFonts w:ascii="Cambria Math" w:hAnsi="Cambria Math" w:cs="Times New Roman"/>
                <w:kern w:val="0"/>
                <w:sz w:val="24"/>
                <w:szCs w:val="24"/>
                <w:highlight w:val="none"/>
                <w:lang w:bidi="ar"/>
              </w:rPr>
            </m:ctrlPr>
          </m:sub>
        </m:sSub>
      </m:oMath>
      <w:r>
        <w:rPr>
          <w:rFonts w:hint="eastAsia" w:hAnsi="Cambria Math" w:cs="Times New Roman"/>
          <w:i w:val="0"/>
          <w:kern w:val="0"/>
          <w:sz w:val="24"/>
          <w:szCs w:val="24"/>
          <w:highlight w:val="none"/>
          <w:lang w:val="en-US" w:eastAsia="zh-CN" w:bidi="ar"/>
        </w:rPr>
        <w:t>和</w:t>
      </w: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oMath>
      <w:r>
        <w:rPr>
          <w:rFonts w:hint="eastAsia" w:hAnsi="Cambria Math" w:cs="宋体"/>
          <w:i w:val="0"/>
          <w:kern w:val="0"/>
          <w:szCs w:val="21"/>
          <w:lang w:eastAsia="zh-CN" w:bidi="ar"/>
        </w:rPr>
        <w:t>，</w:t>
      </w:r>
      <m:oMath>
        <m:sSub>
          <m:sSubPr>
            <m:ctrlPr>
              <w:rPr>
                <w:rFonts w:ascii="Cambria Math" w:hAnsi="Cambria Math" w:cs="Times New Roman"/>
                <w:kern w:val="0"/>
                <w:sz w:val="24"/>
                <w:szCs w:val="24"/>
                <w:highlight w:val="none"/>
                <w:lang w:bidi="ar"/>
              </w:rPr>
            </m:ctrlPr>
          </m:sSubPr>
          <m:e>
            <m:r>
              <m:rPr>
                <m:sty m:val="p"/>
              </m:rPr>
              <w:rPr>
                <w:rFonts w:ascii="Cambria Math" w:hAnsi="Cambria Math" w:cs="Times New Roman"/>
                <w:kern w:val="0"/>
                <w:sz w:val="24"/>
                <w:szCs w:val="24"/>
                <w:highlight w:val="none"/>
                <w:lang w:bidi="ar"/>
              </w:rPr>
              <m:t>E</m:t>
            </m:r>
            <m:ctrlPr>
              <w:rPr>
                <w:rFonts w:ascii="Cambria Math" w:hAnsi="Cambria Math" w:cs="Times New Roman"/>
                <w:kern w:val="0"/>
                <w:sz w:val="24"/>
                <w:szCs w:val="24"/>
                <w:highlight w:val="none"/>
                <w:lang w:bidi="ar"/>
              </w:rPr>
            </m:ctrlPr>
          </m:e>
          <m:sub>
            <m:r>
              <m:rPr>
                <m:sty m:val="p"/>
              </m:rPr>
              <w:rPr>
                <w:rFonts w:ascii="Cambria Math" w:hAnsi="Cambria Math" w:cs="Times New Roman"/>
                <w:kern w:val="0"/>
                <w:sz w:val="24"/>
                <w:szCs w:val="24"/>
                <w:highlight w:val="none"/>
                <w:lang w:bidi="ar"/>
              </w:rPr>
              <m:t>UU</m:t>
            </m:r>
            <m:ctrlPr>
              <w:rPr>
                <w:rFonts w:ascii="Cambria Math" w:hAnsi="Cambria Math" w:cs="Times New Roman"/>
                <w:kern w:val="0"/>
                <w:sz w:val="24"/>
                <w:szCs w:val="24"/>
                <w:highlight w:val="none"/>
                <w:lang w:bidi="ar"/>
              </w:rPr>
            </m:ctrlPr>
          </m:sub>
        </m:sSub>
      </m:oMath>
      <w:r>
        <w:rPr>
          <w:rFonts w:hint="eastAsia" w:hAnsi="Cambria Math" w:cs="宋体"/>
          <w:i w:val="0"/>
          <w:kern w:val="0"/>
          <w:szCs w:val="21"/>
          <w:lang w:val="en-US" w:eastAsia="zh-CN" w:bidi="ar"/>
        </w:rPr>
        <w:t>为0。</w:t>
      </w:r>
    </w:p>
    <w:p>
      <w:pPr>
        <w:rPr>
          <w:rFonts w:hint="default" w:ascii="Calibri" w:hAnsi="Calibri" w:eastAsia="黑体" w:cs="Times New Roman"/>
          <w:sz w:val="32"/>
          <w:szCs w:val="44"/>
          <w:lang w:val="en-US" w:eastAsia="zh-CN" w:bidi="ar"/>
        </w:rPr>
      </w:pP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43" w:name="_Toc17098"/>
      <w:r>
        <w:rPr>
          <w:rFonts w:hint="default" w:ascii="Times New Roman" w:hAnsi="Times New Roman" w:eastAsia="仿宋" w:cs="Times New Roman"/>
          <w:sz w:val="28"/>
          <w:szCs w:val="28"/>
          <w:lang w:val="en-US" w:eastAsia="zh-CN"/>
        </w:rPr>
        <w:t>2.6.1生产阶段</w:t>
      </w:r>
      <w:bookmarkEnd w:id="42"/>
      <w:bookmarkEnd w:id="43"/>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生产阶段的减碳量由两个部分组成，除了产品“大门”到“大门”的生产过程，还应包括原料的回收利用或者废弃资源的原料替代，因为这一过程也是生产阶段的一个减碳量重要来源，企业可以通过提高资源回收利用率或者再利用废弃物减少一次原物料的使用，从而降低产品生产的碳排放量，也符合国家政策方针要求。而不考虑各种原材料的生产、运输过程，因为其属于另一个碳排放核算系统，不属于产品生产企业的核算范围。</w:t>
      </w:r>
    </w:p>
    <w:p>
      <w:pPr>
        <w:spacing w:line="360" w:lineRule="auto"/>
        <w:ind w:firstLine="480" w:firstLineChars="200"/>
        <w:jc w:val="both"/>
        <w:rPr>
          <w:rFonts w:hint="default" w:ascii="Times New Roman" w:hAnsi="Times New Roman" w:eastAsia="宋体" w:cs="Times New Roman"/>
          <w:kern w:val="0"/>
          <w:sz w:val="24"/>
          <w:szCs w:val="24"/>
          <w:highlight w:val="none"/>
          <w:lang w:eastAsia="zh-CN" w:bidi="ar"/>
        </w:rPr>
      </w:pPr>
      <w:r>
        <w:rPr>
          <w:rFonts w:hint="default" w:ascii="Times New Roman" w:hAnsi="Times New Roman" w:cs="Times New Roman"/>
          <w:kern w:val="0"/>
          <w:sz w:val="24"/>
          <w:szCs w:val="24"/>
          <w:highlight w:val="none"/>
          <w:lang w:val="en-US" w:eastAsia="zh-CN" w:bidi="ar"/>
        </w:rPr>
        <w:t>（1）原物料</w:t>
      </w:r>
      <w:r>
        <w:rPr>
          <w:rFonts w:hint="default" w:ascii="Times New Roman" w:hAnsi="Times New Roman" w:cs="Times New Roman"/>
          <w:kern w:val="0"/>
          <w:sz w:val="24"/>
          <w:szCs w:val="24"/>
          <w:highlight w:val="none"/>
          <w:lang w:bidi="ar"/>
        </w:rPr>
        <w:t>综合利用产生的减碳量按</w:t>
      </w:r>
      <w:r>
        <w:rPr>
          <w:rFonts w:hint="default" w:ascii="Times New Roman" w:hAnsi="Times New Roman" w:cs="Times New Roman"/>
          <w:kern w:val="0"/>
          <w:sz w:val="24"/>
          <w:szCs w:val="24"/>
          <w:highlight w:val="none"/>
          <w:lang w:val="en-US" w:eastAsia="zh-CN" w:bidi="ar"/>
        </w:rPr>
        <w:t>下</w:t>
      </w:r>
      <w:r>
        <w:rPr>
          <w:rFonts w:hint="default" w:ascii="Times New Roman" w:hAnsi="Times New Roman" w:cs="Times New Roman"/>
          <w:kern w:val="0"/>
          <w:sz w:val="24"/>
          <w:szCs w:val="24"/>
          <w:highlight w:val="none"/>
          <w:lang w:bidi="ar"/>
        </w:rPr>
        <w:t>式（</w:t>
      </w:r>
      <w:r>
        <w:rPr>
          <w:rFonts w:hint="eastAsia" w:cs="Times New Roman"/>
          <w:kern w:val="0"/>
          <w:sz w:val="24"/>
          <w:szCs w:val="24"/>
          <w:highlight w:val="none"/>
          <w:lang w:val="en-US" w:eastAsia="zh-CN" w:bidi="ar"/>
        </w:rPr>
        <w:t>2</w:t>
      </w:r>
      <w:r>
        <w:rPr>
          <w:rFonts w:hint="default" w:ascii="Times New Roman" w:hAnsi="Times New Roman" w:cs="Times New Roman"/>
          <w:kern w:val="0"/>
          <w:sz w:val="24"/>
          <w:szCs w:val="24"/>
          <w:highlight w:val="none"/>
          <w:lang w:bidi="ar"/>
        </w:rPr>
        <w:t>）计算</w:t>
      </w:r>
      <w:r>
        <w:rPr>
          <w:rFonts w:hint="default" w:ascii="Times New Roman" w:hAnsi="Times New Roman" w:cs="Times New Roman"/>
          <w:kern w:val="0"/>
          <w:sz w:val="24"/>
          <w:szCs w:val="24"/>
          <w:highlight w:val="none"/>
          <w:lang w:eastAsia="zh-CN" w:bidi="ar"/>
        </w:rPr>
        <w:t>。</w:t>
      </w:r>
    </w:p>
    <w:p>
      <w:pPr>
        <w:spacing w:line="360" w:lineRule="auto"/>
        <w:ind w:firstLine="480" w:firstLineChars="200"/>
        <w:jc w:val="left"/>
        <w:rPr>
          <w:rFonts w:hint="default" w:ascii="Times New Roman" w:hAnsi="Times New Roman" w:eastAsia="宋体" w:cs="Times New Roman"/>
          <w:color w:val="000000"/>
          <w:sz w:val="24"/>
          <w:szCs w:val="24"/>
          <w:highlight w:val="none"/>
        </w:rPr>
      </w:pPr>
      <m:oMath>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E</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原物料使用</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m</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i0</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m</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i1</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rPr>
          <m:t>）×</m:t>
        </m:r>
        <m:r>
          <m:rPr>
            <m:sty m:val="p"/>
          </m:rPr>
          <w:rPr>
            <w:rFonts w:hint="default" w:ascii="Cambria Math" w:hAnsi="Cambria Math" w:eastAsia="宋体" w:cs="Times New Roman"/>
            <w:color w:val="000000"/>
            <w:sz w:val="24"/>
            <w:szCs w:val="24"/>
            <w:highlight w:val="none"/>
            <w:lang w:eastAsia="zh-CN"/>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f</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i</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lang w:val="en-US" w:eastAsia="zh-CN"/>
          </w:rPr>
          <m:t>+</m:t>
        </m:r>
        <m:sSub>
          <m:sSubPr>
            <m:ctrlPr>
              <w:rPr>
                <w:rFonts w:hint="default" w:ascii="Cambria Math" w:hAnsi="Cambria Math" w:eastAsia="宋体" w:cs="Times New Roman"/>
                <w:color w:val="000000"/>
                <w:sz w:val="24"/>
                <w:szCs w:val="24"/>
                <w:highlight w:val="none"/>
                <w:lang w:val="en-US" w:eastAsia="zh-CN"/>
              </w:rPr>
            </m:ctrlPr>
          </m:sSubPr>
          <m:e>
            <m:r>
              <m:rPr>
                <m:sty m:val="p"/>
              </m:rPr>
              <w:rPr>
                <w:rFonts w:hint="default" w:ascii="Cambria Math" w:hAnsi="Cambria Math" w:eastAsia="宋体" w:cs="Times New Roman"/>
                <w:color w:val="000000"/>
                <w:sz w:val="24"/>
                <w:szCs w:val="24"/>
                <w:highlight w:val="none"/>
                <w:lang w:val="en-US" w:eastAsia="zh-CN"/>
              </w:rPr>
              <m:t>L</m:t>
            </m:r>
            <m:ctrlPr>
              <w:rPr>
                <w:rFonts w:hint="default" w:ascii="Cambria Math" w:hAnsi="Cambria Math" w:eastAsia="宋体" w:cs="Times New Roman"/>
                <w:color w:val="000000"/>
                <w:sz w:val="24"/>
                <w:szCs w:val="24"/>
                <w:highlight w:val="none"/>
                <w:lang w:val="en-US" w:eastAsia="zh-CN"/>
              </w:rPr>
            </m:ctrlPr>
          </m:e>
          <m:sub>
            <m:r>
              <m:rPr>
                <m:sty m:val="p"/>
              </m:rPr>
              <w:rPr>
                <w:rFonts w:hint="default" w:ascii="Cambria Math" w:hAnsi="Cambria Math" w:eastAsia="宋体" w:cs="Times New Roman"/>
                <w:color w:val="000000"/>
                <w:sz w:val="24"/>
                <w:szCs w:val="24"/>
                <w:highlight w:val="none"/>
                <w:lang w:val="en-US" w:eastAsia="zh-CN"/>
              </w:rPr>
              <m:t>i</m:t>
            </m:r>
            <m:ctrlPr>
              <w:rPr>
                <w:rFonts w:hint="default" w:ascii="Cambria Math" w:hAnsi="Cambria Math" w:eastAsia="宋体" w:cs="Times New Roman"/>
                <w:color w:val="000000"/>
                <w:sz w:val="24"/>
                <w:szCs w:val="24"/>
                <w:highlight w:val="none"/>
                <w:lang w:val="en-US" w:eastAsia="zh-CN"/>
              </w:rPr>
            </m:ctrlPr>
          </m:sub>
        </m:sSub>
        <m:r>
          <m:rPr>
            <m:sty m:val="p"/>
          </m:rPr>
          <w:rPr>
            <w:rFonts w:hint="default" w:ascii="Cambria Math" w:hAnsi="Cambria Math" w:eastAsia="宋体" w:cs="Times New Roman"/>
            <w:color w:val="000000"/>
            <w:sz w:val="24"/>
            <w:szCs w:val="24"/>
            <w:highlight w:val="none"/>
            <w:lang w:val="en-US"/>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f</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lang w:val="en-US" w:eastAsia="zh-CN"/>
              </w:rPr>
              <m:t>t,i</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lang w:val="en-US" w:eastAsia="zh-CN"/>
          </w:rPr>
          <m:t>）</m:t>
        </m:r>
        <m:r>
          <m:rPr>
            <m:sty m:val="p"/>
          </m:rPr>
          <w:rPr>
            <w:rFonts w:hint="default" w:ascii="Cambria Math" w:hAnsi="Cambria Math" w:eastAsia="宋体" w:cs="Times New Roman"/>
            <w:color w:val="000000"/>
            <w:sz w:val="24"/>
            <w:szCs w:val="24"/>
            <w:highlight w:val="none"/>
          </w:rPr>
          <m:t>−</m:t>
        </m:r>
        <m:nary>
          <m:naryPr>
            <m:chr m:val="∑"/>
            <m:limLoc m:val="undOvr"/>
            <m:ctrlPr>
              <w:rPr>
                <w:rFonts w:hint="default" w:ascii="Cambria Math" w:hAnsi="Cambria Math" w:eastAsia="宋体" w:cs="Times New Roman"/>
                <w:color w:val="000000"/>
                <w:sz w:val="24"/>
                <w:szCs w:val="24"/>
                <w:highlight w:val="none"/>
              </w:rPr>
            </m:ctrlPr>
          </m:naryPr>
          <m:sub>
            <m:r>
              <m:rPr>
                <m:sty m:val="p"/>
              </m:rPr>
              <w:rPr>
                <w:rFonts w:hint="default" w:ascii="Cambria Math" w:hAnsi="Cambria Math" w:eastAsia="宋体" w:cs="Times New Roman"/>
                <w:color w:val="000000"/>
                <w:sz w:val="24"/>
                <w:szCs w:val="24"/>
                <w:highlight w:val="none"/>
              </w:rPr>
              <m:t>j=1</m:t>
            </m:r>
            <m:ctrlPr>
              <w:rPr>
                <w:rFonts w:hint="default" w:ascii="Cambria Math" w:hAnsi="Cambria Math" w:eastAsia="宋体" w:cs="Times New Roman"/>
                <w:color w:val="000000"/>
                <w:sz w:val="24"/>
                <w:szCs w:val="24"/>
                <w:highlight w:val="none"/>
              </w:rPr>
            </m:ctrlPr>
          </m:sub>
          <m:sup>
            <m:r>
              <m:rPr>
                <m:sty m:val="p"/>
              </m:rPr>
              <w:rPr>
                <w:rFonts w:hint="default" w:ascii="Cambria Math" w:hAnsi="Cambria Math" w:eastAsia="宋体" w:cs="Times New Roman"/>
                <w:color w:val="000000"/>
                <w:sz w:val="24"/>
                <w:szCs w:val="24"/>
                <w:highlight w:val="none"/>
              </w:rPr>
              <m:t>n</m:t>
            </m:r>
            <m:ctrlPr>
              <w:rPr>
                <w:rFonts w:hint="default" w:ascii="Cambria Math" w:hAnsi="Cambria Math" w:eastAsia="宋体" w:cs="Times New Roman"/>
                <w:color w:val="000000"/>
                <w:sz w:val="24"/>
                <w:szCs w:val="24"/>
                <w:highlight w:val="none"/>
              </w:rPr>
            </m:ctrlPr>
          </m:sup>
          <m:e>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n</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j</m:t>
                </m:r>
                <m:ctrlPr>
                  <w:rPr>
                    <w:rFonts w:hint="default" w:ascii="Cambria Math" w:hAnsi="Cambria Math" w:eastAsia="宋体" w:cs="Times New Roman"/>
                    <w:color w:val="000000"/>
                    <w:sz w:val="24"/>
                    <w:szCs w:val="24"/>
                    <w:highlight w:val="none"/>
                  </w:rPr>
                </m:ctrlPr>
              </m:sub>
            </m:sSub>
            <m:ctrlPr>
              <w:rPr>
                <w:rFonts w:hint="default" w:ascii="Cambria Math" w:hAnsi="Cambria Math" w:eastAsia="宋体" w:cs="Times New Roman"/>
                <w:color w:val="000000"/>
                <w:sz w:val="24"/>
                <w:szCs w:val="24"/>
                <w:highlight w:val="none"/>
              </w:rPr>
            </m:ctrlPr>
          </m:e>
        </m:nary>
        <m:r>
          <m:rPr>
            <m:sty m:val="p"/>
          </m:rPr>
          <w:rPr>
            <w:rFonts w:hint="default" w:ascii="Cambria Math" w:hAnsi="Cambria Math" w:eastAsia="宋体" w:cs="Times New Roman"/>
            <w:color w:val="000000"/>
            <w:sz w:val="24"/>
            <w:szCs w:val="24"/>
            <w:highlight w:val="none"/>
            <w:lang w:val="en-US" w:eastAsia="zh-CN"/>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C</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j</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lang w:val="en-US" w:eastAsia="zh-CN"/>
          </w:rPr>
          <m:t>+</m:t>
        </m:r>
        <m:sSub>
          <m:sSubPr>
            <m:ctrlPr>
              <w:rPr>
                <w:rFonts w:hint="default" w:ascii="Cambria Math" w:hAnsi="Cambria Math" w:eastAsia="宋体" w:cs="Times New Roman"/>
                <w:color w:val="000000"/>
                <w:sz w:val="24"/>
                <w:szCs w:val="24"/>
                <w:highlight w:val="none"/>
                <w:lang w:val="en-US" w:eastAsia="zh-CN"/>
              </w:rPr>
            </m:ctrlPr>
          </m:sSubPr>
          <m:e>
            <m:r>
              <m:rPr>
                <m:sty m:val="p"/>
              </m:rPr>
              <w:rPr>
                <w:rFonts w:hint="default" w:ascii="Cambria Math" w:hAnsi="Cambria Math" w:eastAsia="宋体" w:cs="Times New Roman"/>
                <w:color w:val="000000"/>
                <w:sz w:val="24"/>
                <w:szCs w:val="24"/>
                <w:highlight w:val="none"/>
                <w:lang w:val="en-US" w:eastAsia="zh-CN"/>
              </w:rPr>
              <m:t>L</m:t>
            </m:r>
            <m:ctrlPr>
              <w:rPr>
                <w:rFonts w:hint="default" w:ascii="Cambria Math" w:hAnsi="Cambria Math" w:eastAsia="宋体" w:cs="Times New Roman"/>
                <w:color w:val="000000"/>
                <w:sz w:val="24"/>
                <w:szCs w:val="24"/>
                <w:highlight w:val="none"/>
                <w:lang w:val="en-US" w:eastAsia="zh-CN"/>
              </w:rPr>
            </m:ctrlPr>
          </m:e>
          <m:sub>
            <m:r>
              <m:rPr>
                <m:sty m:val="p"/>
              </m:rPr>
              <w:rPr>
                <w:rFonts w:hint="default" w:ascii="Cambria Math" w:hAnsi="Cambria Math" w:eastAsia="宋体" w:cs="Times New Roman"/>
                <w:color w:val="000000"/>
                <w:sz w:val="24"/>
                <w:szCs w:val="24"/>
                <w:highlight w:val="none"/>
                <w:lang w:val="en-US" w:eastAsia="zh-CN"/>
              </w:rPr>
              <m:t>j</m:t>
            </m:r>
            <m:ctrlPr>
              <w:rPr>
                <w:rFonts w:hint="default" w:ascii="Cambria Math" w:hAnsi="Cambria Math" w:eastAsia="宋体" w:cs="Times New Roman"/>
                <w:color w:val="000000"/>
                <w:sz w:val="24"/>
                <w:szCs w:val="24"/>
                <w:highlight w:val="none"/>
                <w:lang w:val="en-US" w:eastAsia="zh-CN"/>
              </w:rPr>
            </m:ctrlPr>
          </m:sub>
        </m:sSub>
        <m:r>
          <m:rPr>
            <m:sty m:val="p"/>
          </m:rPr>
          <w:rPr>
            <w:rFonts w:hint="default" w:ascii="Cambria Math" w:hAnsi="Cambria Math" w:eastAsia="宋体" w:cs="Times New Roman"/>
            <w:color w:val="000000"/>
            <w:sz w:val="24"/>
            <w:szCs w:val="24"/>
            <w:highlight w:val="none"/>
            <w:lang w:val="en-US"/>
          </w:rPr>
          <m:t>×</m:t>
        </m:r>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C</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lang w:val="en-US" w:eastAsia="zh-CN"/>
              </w:rPr>
              <m:t>t,j</m:t>
            </m:r>
            <m:ctrlPr>
              <w:rPr>
                <w:rFonts w:hint="default" w:ascii="Cambria Math" w:hAnsi="Cambria Math" w:eastAsia="宋体" w:cs="Times New Roman"/>
                <w:color w:val="000000"/>
                <w:sz w:val="24"/>
                <w:szCs w:val="24"/>
                <w:highlight w:val="none"/>
              </w:rPr>
            </m:ctrlPr>
          </m:sub>
        </m:sSub>
        <m:r>
          <m:rPr>
            <m:sty m:val="p"/>
          </m:rPr>
          <w:rPr>
            <w:rFonts w:hint="default" w:ascii="Cambria Math" w:hAnsi="Cambria Math" w:eastAsia="宋体" w:cs="Times New Roman"/>
            <w:color w:val="000000"/>
            <w:sz w:val="24"/>
            <w:szCs w:val="24"/>
            <w:highlight w:val="none"/>
            <w:lang w:val="en-US" w:eastAsia="zh-CN"/>
          </w:rPr>
          <m:t>)</m:t>
        </m:r>
      </m:oMath>
      <w:r>
        <w:rPr>
          <w:rFonts w:hint="default" w:ascii="Times New Roman" w:hAnsi="Times New Roman" w:eastAsia="宋体" w:cs="Times New Roman"/>
          <w:color w:val="000000"/>
          <w:sz w:val="24"/>
          <w:szCs w:val="24"/>
          <w:highlight w:val="none"/>
        </w:rPr>
        <w:t xml:space="preserve"> </w:t>
      </w:r>
      <w:r>
        <w:rPr>
          <w:rFonts w:hint="eastAsia" w:cs="Times New Roman"/>
          <w:color w:val="000000"/>
          <w:sz w:val="24"/>
          <w:szCs w:val="24"/>
          <w:highlight w:val="none"/>
          <w:lang w:val="en-US" w:eastAsia="zh-CN"/>
        </w:rPr>
        <w:t xml:space="preserve">  </w:t>
      </w:r>
      <w:r>
        <w:rPr>
          <w:rFonts w:hint="default" w:ascii="Times New Roman" w:hAnsi="Times New Roman" w:eastAsia="宋体" w:cs="Times New Roman"/>
          <w:color w:val="000000"/>
          <w:sz w:val="24"/>
          <w:szCs w:val="24"/>
          <w:highlight w:val="none"/>
        </w:rPr>
        <w:t>（3）</w:t>
      </w:r>
    </w:p>
    <w:p>
      <w:pPr>
        <w:spacing w:line="360" w:lineRule="auto"/>
        <w:ind w:firstLine="480" w:firstLineChars="200"/>
        <w:jc w:val="left"/>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式中：</w:t>
      </w:r>
    </w:p>
    <w:p>
      <w:pPr>
        <w:spacing w:line="360" w:lineRule="auto"/>
        <w:ind w:firstLine="480" w:firstLineChars="200"/>
        <w:jc w:val="left"/>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m</w:t>
      </w:r>
      <w:r>
        <w:rPr>
          <w:rFonts w:hint="default" w:ascii="Times New Roman" w:hAnsi="Times New Roman" w:eastAsia="宋体" w:cs="Times New Roman"/>
          <w:color w:val="000000"/>
          <w:sz w:val="24"/>
          <w:szCs w:val="24"/>
          <w:highlight w:val="none"/>
          <w:vertAlign w:val="subscript"/>
        </w:rPr>
        <w:t>i0</w:t>
      </w:r>
      <w:r>
        <w:rPr>
          <w:rFonts w:hint="default" w:ascii="Times New Roman" w:hAnsi="Times New Roman" w:eastAsia="宋体" w:cs="Times New Roman"/>
          <w:color w:val="000000"/>
          <w:sz w:val="24"/>
          <w:szCs w:val="24"/>
          <w:highlight w:val="none"/>
        </w:rPr>
        <w:t>——统计期内功能单位产品生产阶段原料i未利用废弃资源时的基准用量，单位为千克（kg）；</w:t>
      </w:r>
    </w:p>
    <w:p>
      <w:pPr>
        <w:spacing w:line="360" w:lineRule="auto"/>
        <w:ind w:firstLine="480" w:firstLineChars="200"/>
        <w:jc w:val="left"/>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m</w:t>
      </w:r>
      <w:r>
        <w:rPr>
          <w:rFonts w:hint="default" w:ascii="Times New Roman" w:hAnsi="Times New Roman" w:eastAsia="宋体" w:cs="Times New Roman"/>
          <w:color w:val="000000"/>
          <w:sz w:val="24"/>
          <w:szCs w:val="24"/>
          <w:highlight w:val="none"/>
          <w:vertAlign w:val="subscript"/>
        </w:rPr>
        <w:t>i1</w:t>
      </w:r>
      <w:r>
        <w:rPr>
          <w:rFonts w:hint="default" w:ascii="Times New Roman" w:hAnsi="Times New Roman" w:eastAsia="宋体" w:cs="Times New Roman"/>
          <w:color w:val="000000"/>
          <w:sz w:val="24"/>
          <w:szCs w:val="24"/>
          <w:highlight w:val="none"/>
        </w:rPr>
        <w:t>——统计期内功能单位产品生产阶段原料i再利用废弃资源后的用量，单位为千克（kg）；</w:t>
      </w:r>
    </w:p>
    <w:p>
      <w:pPr>
        <w:spacing w:line="360" w:lineRule="auto"/>
        <w:ind w:firstLine="480" w:firstLineChars="200"/>
        <w:jc w:val="left"/>
        <w:rPr>
          <w:rFonts w:hint="default" w:ascii="Times New Roman" w:hAnsi="Times New Roman" w:eastAsia="宋体" w:cs="Times New Roman"/>
          <w:color w:val="000000"/>
          <w:sz w:val="24"/>
          <w:szCs w:val="24"/>
          <w:highlight w:val="none"/>
        </w:rPr>
      </w:pPr>
      <m:oMath>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f</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rPr>
              <m:t>i</m:t>
            </m:r>
            <m:ctrlPr>
              <w:rPr>
                <w:rFonts w:hint="default" w:ascii="Cambria Math" w:hAnsi="Cambria Math" w:eastAsia="宋体" w:cs="Times New Roman"/>
                <w:color w:val="000000"/>
                <w:sz w:val="24"/>
                <w:szCs w:val="24"/>
                <w:highlight w:val="none"/>
              </w:rPr>
            </m:ctrlPr>
          </m:sub>
        </m:sSub>
      </m:oMath>
      <w:r>
        <w:rPr>
          <w:rFonts w:hint="default" w:ascii="Times New Roman" w:hAnsi="Times New Roman" w:eastAsia="宋体" w:cs="Times New Roman"/>
          <w:color w:val="000000"/>
          <w:sz w:val="24"/>
          <w:szCs w:val="24"/>
          <w:highlight w:val="none"/>
        </w:rPr>
        <w:t>——原料i的碳排放因子，单位为千克二氧化碳每千克（kgCO2/</w:t>
      </w:r>
      <w:r>
        <w:rPr>
          <w:rFonts w:hint="default" w:ascii="Times New Roman" w:hAnsi="Times New Roman" w:eastAsia="宋体" w:cs="Times New Roman"/>
          <w:color w:val="000000"/>
          <w:sz w:val="24"/>
          <w:szCs w:val="24"/>
          <w:highlight w:val="none"/>
          <w:lang w:val="en-US" w:eastAsia="zh-CN"/>
        </w:rPr>
        <w:t>kg</w:t>
      </w:r>
      <w:r>
        <w:rPr>
          <w:rFonts w:hint="default" w:ascii="Times New Roman" w:hAnsi="Times New Roman" w:eastAsia="宋体" w:cs="Times New Roman"/>
          <w:color w:val="000000"/>
          <w:sz w:val="24"/>
          <w:szCs w:val="24"/>
          <w:highlight w:val="none"/>
        </w:rPr>
        <w:t>）；</w:t>
      </w:r>
    </w:p>
    <w:p>
      <w:pPr>
        <w:spacing w:line="360" w:lineRule="auto"/>
        <w:ind w:firstLine="480" w:firstLineChars="200"/>
        <w:jc w:val="left"/>
        <w:rPr>
          <w:rFonts w:hint="default" w:ascii="Times New Roman" w:hAnsi="Times New Roman" w:eastAsia="宋体" w:cs="Times New Roman"/>
          <w:color w:val="000000"/>
          <w:sz w:val="24"/>
          <w:szCs w:val="24"/>
          <w:highlight w:val="none"/>
        </w:rPr>
      </w:pPr>
      <m:oMath>
        <m:sSub>
          <m:sSubPr>
            <m:ctrlPr>
              <w:rPr>
                <w:rFonts w:hint="default" w:ascii="Cambria Math" w:hAnsi="Cambria Math" w:eastAsia="宋体" w:cs="Times New Roman"/>
                <w:color w:val="000000"/>
                <w:sz w:val="24"/>
                <w:szCs w:val="24"/>
                <w:highlight w:val="none"/>
              </w:rPr>
            </m:ctrlPr>
          </m:sSubPr>
          <m:e>
            <m:r>
              <m:rPr>
                <m:sty m:val="p"/>
              </m:rPr>
              <w:rPr>
                <w:rFonts w:hint="default" w:ascii="Cambria Math" w:hAnsi="Cambria Math" w:eastAsia="宋体" w:cs="Times New Roman"/>
                <w:color w:val="000000"/>
                <w:sz w:val="24"/>
                <w:szCs w:val="24"/>
                <w:highlight w:val="none"/>
              </w:rPr>
              <m:t>f</m:t>
            </m:r>
            <m:ctrlPr>
              <w:rPr>
                <w:rFonts w:hint="default" w:ascii="Cambria Math" w:hAnsi="Cambria Math" w:eastAsia="宋体" w:cs="Times New Roman"/>
                <w:color w:val="000000"/>
                <w:sz w:val="24"/>
                <w:szCs w:val="24"/>
                <w:highlight w:val="none"/>
              </w:rPr>
            </m:ctrlPr>
          </m:e>
          <m:sub>
            <m:r>
              <m:rPr>
                <m:sty m:val="p"/>
              </m:rPr>
              <w:rPr>
                <w:rFonts w:hint="default" w:ascii="Cambria Math" w:hAnsi="Cambria Math" w:eastAsia="宋体" w:cs="Times New Roman"/>
                <w:color w:val="000000"/>
                <w:sz w:val="24"/>
                <w:szCs w:val="24"/>
                <w:highlight w:val="none"/>
                <w:lang w:val="en-US" w:eastAsia="zh-CN"/>
              </w:rPr>
              <m:t>t,i</m:t>
            </m:r>
            <m:ctrlPr>
              <w:rPr>
                <w:rFonts w:hint="default" w:ascii="Cambria Math" w:hAnsi="Cambria Math" w:eastAsia="宋体" w:cs="Times New Roman"/>
                <w:color w:val="000000"/>
                <w:sz w:val="24"/>
                <w:szCs w:val="24"/>
                <w:highlight w:val="none"/>
              </w:rPr>
            </m:ctrlPr>
          </m:sub>
        </m:sSub>
      </m:oMath>
      <w:r>
        <w:rPr>
          <w:rFonts w:hint="default" w:ascii="Times New Roman" w:hAnsi="Times New Roman" w:eastAsia="宋体" w:cs="Times New Roman"/>
          <w:color w:val="000000"/>
          <w:sz w:val="24"/>
          <w:szCs w:val="24"/>
          <w:highlight w:val="none"/>
        </w:rPr>
        <w:t>——原料i的</w:t>
      </w:r>
      <w:r>
        <w:rPr>
          <w:rFonts w:hint="default" w:ascii="Times New Roman" w:hAnsi="Times New Roman" w:eastAsia="宋体" w:cs="Times New Roman"/>
          <w:color w:val="000000"/>
          <w:sz w:val="24"/>
          <w:szCs w:val="24"/>
          <w:highlight w:val="none"/>
          <w:lang w:val="en-US" w:eastAsia="zh-CN"/>
        </w:rPr>
        <w:t>运输</w:t>
      </w:r>
      <w:r>
        <w:rPr>
          <w:rFonts w:hint="default" w:ascii="Times New Roman" w:hAnsi="Times New Roman" w:eastAsia="宋体" w:cs="Times New Roman"/>
          <w:color w:val="000000"/>
          <w:sz w:val="24"/>
          <w:szCs w:val="24"/>
          <w:highlight w:val="none"/>
        </w:rPr>
        <w:t>碳排放因子，单位为千克二氧化碳每千克</w:t>
      </w:r>
      <w:r>
        <w:rPr>
          <w:rFonts w:hint="default" w:ascii="Times New Roman" w:hAnsi="Times New Roman" w:eastAsia="宋体" w:cs="Times New Roman"/>
          <w:color w:val="000000"/>
          <w:sz w:val="24"/>
          <w:szCs w:val="24"/>
          <w:highlight w:val="none"/>
          <w:lang w:val="en-US" w:eastAsia="zh-CN"/>
        </w:rPr>
        <w:t>公里</w:t>
      </w:r>
      <w:r>
        <w:rPr>
          <w:rFonts w:hint="default" w:ascii="Times New Roman" w:hAnsi="Times New Roman" w:eastAsia="宋体" w:cs="Times New Roman"/>
          <w:color w:val="000000"/>
          <w:sz w:val="24"/>
          <w:szCs w:val="24"/>
          <w:highlight w:val="none"/>
        </w:rPr>
        <w:t>（kgCO2/</w:t>
      </w:r>
      <w:r>
        <w:rPr>
          <w:rFonts w:hint="default" w:ascii="Times New Roman" w:hAnsi="Times New Roman" w:eastAsia="宋体" w:cs="Times New Roman"/>
          <w:color w:val="000000"/>
          <w:sz w:val="24"/>
          <w:szCs w:val="24"/>
          <w:highlight w:val="none"/>
          <w:lang w:val="en-US" w:eastAsia="zh-CN"/>
        </w:rPr>
        <w:t>kg·km</w:t>
      </w:r>
      <w:r>
        <w:rPr>
          <w:rFonts w:hint="default" w:ascii="Times New Roman" w:hAnsi="Times New Roman" w:eastAsia="宋体" w:cs="Times New Roman"/>
          <w:color w:val="000000"/>
          <w:sz w:val="24"/>
          <w:szCs w:val="24"/>
          <w:highlight w:val="none"/>
        </w:rPr>
        <w:t>）；</w:t>
      </w:r>
    </w:p>
    <w:p>
      <w:pPr>
        <w:spacing w:line="360" w:lineRule="auto"/>
        <w:ind w:firstLine="480" w:firstLineChars="200"/>
        <w:jc w:val="left"/>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highlight w:val="none"/>
          <w:lang w:val="en-US" w:eastAsia="zh-CN"/>
        </w:rPr>
        <w:t>L</w:t>
      </w:r>
      <w:r>
        <w:rPr>
          <w:rFonts w:hint="default" w:ascii="Times New Roman" w:hAnsi="Times New Roman" w:eastAsia="宋体" w:cs="Times New Roman"/>
          <w:color w:val="000000"/>
          <w:sz w:val="24"/>
          <w:szCs w:val="24"/>
          <w:highlight w:val="none"/>
          <w:vertAlign w:val="subscript"/>
          <w:lang w:val="en-US" w:eastAsia="zh-CN"/>
        </w:rPr>
        <w:t>i</w:t>
      </w:r>
      <w:r>
        <w:rPr>
          <w:rFonts w:hint="default" w:ascii="Times New Roman" w:hAnsi="Times New Roman" w:eastAsia="宋体" w:cs="Times New Roman"/>
          <w:color w:val="000000"/>
          <w:sz w:val="24"/>
          <w:szCs w:val="24"/>
          <w:highlight w:val="none"/>
        </w:rPr>
        <w:t>——原料i的</w:t>
      </w:r>
      <w:r>
        <w:rPr>
          <w:rFonts w:hint="default" w:ascii="Times New Roman" w:hAnsi="Times New Roman" w:eastAsia="宋体" w:cs="Times New Roman"/>
          <w:color w:val="000000"/>
          <w:sz w:val="24"/>
          <w:szCs w:val="24"/>
          <w:highlight w:val="none"/>
          <w:lang w:val="en-US" w:eastAsia="zh-CN"/>
        </w:rPr>
        <w:t>运输距离</w:t>
      </w:r>
      <w:r>
        <w:rPr>
          <w:rFonts w:hint="default" w:ascii="Times New Roman" w:hAnsi="Times New Roman" w:eastAsia="宋体" w:cs="Times New Roman"/>
          <w:color w:val="000000"/>
          <w:sz w:val="24"/>
          <w:szCs w:val="24"/>
          <w:highlight w:val="none"/>
        </w:rPr>
        <w:t>，单位为</w:t>
      </w:r>
      <w:r>
        <w:rPr>
          <w:rFonts w:hint="default" w:ascii="Times New Roman" w:hAnsi="Times New Roman" w:eastAsia="宋体" w:cs="Times New Roman"/>
          <w:color w:val="000000"/>
          <w:sz w:val="24"/>
          <w:szCs w:val="24"/>
          <w:highlight w:val="none"/>
          <w:lang w:val="en-US" w:eastAsia="zh-CN"/>
        </w:rPr>
        <w:t>公里</w:t>
      </w:r>
      <w:r>
        <w:rPr>
          <w:rFonts w:hint="default" w:ascii="Times New Roman" w:hAnsi="Times New Roman" w:eastAsia="宋体" w:cs="Times New Roman"/>
          <w:color w:val="000000"/>
          <w:sz w:val="24"/>
          <w:szCs w:val="24"/>
          <w:highlight w:val="none"/>
        </w:rPr>
        <w:t>（</w:t>
      </w:r>
      <w:r>
        <w:rPr>
          <w:rFonts w:hint="default" w:ascii="Times New Roman" w:hAnsi="Times New Roman" w:eastAsia="宋体" w:cs="Times New Roman"/>
          <w:color w:val="000000"/>
          <w:sz w:val="24"/>
          <w:szCs w:val="24"/>
          <w:highlight w:val="none"/>
          <w:lang w:val="en-US" w:eastAsia="zh-CN"/>
        </w:rPr>
        <w:t>km</w:t>
      </w:r>
      <w:r>
        <w:rPr>
          <w:rFonts w:hint="default" w:ascii="Times New Roman" w:hAnsi="Times New Roman" w:eastAsia="宋体" w:cs="Times New Roman"/>
          <w:color w:val="000000"/>
          <w:sz w:val="24"/>
          <w:szCs w:val="24"/>
          <w:highlight w:val="none"/>
        </w:rPr>
        <w:t>）；</w:t>
      </w:r>
    </w:p>
    <w:p>
      <w:pPr>
        <w:spacing w:line="360" w:lineRule="auto"/>
        <w:ind w:firstLine="480" w:firstLineChars="200"/>
        <w:jc w:val="left"/>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n</w:t>
      </w:r>
      <w:r>
        <w:rPr>
          <w:rFonts w:hint="default" w:ascii="Times New Roman" w:hAnsi="Times New Roman" w:eastAsia="宋体" w:cs="Times New Roman"/>
          <w:color w:val="000000"/>
          <w:sz w:val="24"/>
          <w:szCs w:val="24"/>
          <w:highlight w:val="none"/>
          <w:vertAlign w:val="subscript"/>
        </w:rPr>
        <w:t>j</w:t>
      </w:r>
      <w:r>
        <w:rPr>
          <w:rFonts w:hint="default" w:ascii="Times New Roman" w:hAnsi="Times New Roman" w:eastAsia="宋体" w:cs="Times New Roman"/>
          <w:color w:val="000000"/>
          <w:sz w:val="24"/>
          <w:szCs w:val="24"/>
          <w:highlight w:val="none"/>
        </w:rPr>
        <w:t>——统计期内第j种废弃原料和资源回收材料的处理量，单位为千克（kg）；</w:t>
      </w:r>
    </w:p>
    <w:p>
      <w:pPr>
        <w:spacing w:line="360" w:lineRule="auto"/>
        <w:ind w:firstLine="480" w:firstLineChars="200"/>
        <w:jc w:val="left"/>
        <w:rPr>
          <w:rFonts w:hint="default" w:ascii="Times New Roman" w:hAnsi="Times New Roman" w:eastAsia="宋体" w:cs="Times New Roman"/>
          <w:color w:val="000000"/>
          <w:sz w:val="24"/>
          <w:szCs w:val="24"/>
          <w:highlight w:val="none"/>
          <w:lang w:eastAsia="zh-CN"/>
        </w:rPr>
      </w:pPr>
      <w:r>
        <w:rPr>
          <w:rFonts w:hint="default" w:ascii="Times New Roman" w:hAnsi="Times New Roman" w:eastAsia="宋体" w:cs="Times New Roman"/>
          <w:color w:val="000000"/>
          <w:sz w:val="24"/>
          <w:szCs w:val="24"/>
          <w:highlight w:val="none"/>
        </w:rPr>
        <w:t>C</w:t>
      </w:r>
      <w:r>
        <w:rPr>
          <w:rFonts w:hint="default" w:ascii="Times New Roman" w:hAnsi="Times New Roman" w:eastAsia="宋体" w:cs="Times New Roman"/>
          <w:color w:val="000000"/>
          <w:sz w:val="24"/>
          <w:szCs w:val="24"/>
          <w:highlight w:val="none"/>
          <w:vertAlign w:val="subscript"/>
        </w:rPr>
        <w:t>j</w:t>
      </w:r>
      <w:r>
        <w:rPr>
          <w:rFonts w:hint="default" w:ascii="Times New Roman" w:hAnsi="Times New Roman" w:eastAsia="宋体" w:cs="Times New Roman"/>
          <w:color w:val="000000"/>
          <w:sz w:val="24"/>
          <w:szCs w:val="24"/>
          <w:highlight w:val="none"/>
        </w:rPr>
        <w:t>——第j种废弃原料和资源回收材料在应用企业</w:t>
      </w:r>
      <w:r>
        <w:rPr>
          <w:rFonts w:hint="default" w:ascii="Times New Roman" w:hAnsi="Times New Roman" w:eastAsia="宋体" w:cs="Times New Roman"/>
          <w:color w:val="000000"/>
          <w:sz w:val="24"/>
          <w:szCs w:val="24"/>
          <w:highlight w:val="none"/>
          <w:lang w:val="en-US" w:eastAsia="zh-CN"/>
        </w:rPr>
        <w:t>边界内</w:t>
      </w:r>
      <w:r>
        <w:rPr>
          <w:rFonts w:hint="default" w:ascii="Times New Roman" w:hAnsi="Times New Roman" w:eastAsia="宋体" w:cs="Times New Roman"/>
          <w:color w:val="000000"/>
          <w:sz w:val="24"/>
          <w:szCs w:val="24"/>
          <w:highlight w:val="none"/>
        </w:rPr>
        <w:t>处置过程的碳排放</w:t>
      </w:r>
      <w:r>
        <w:rPr>
          <w:rFonts w:hint="default" w:ascii="Times New Roman" w:hAnsi="Times New Roman" w:eastAsia="宋体" w:cs="Times New Roman"/>
          <w:color w:val="000000"/>
          <w:sz w:val="24"/>
          <w:szCs w:val="24"/>
          <w:highlight w:val="none"/>
          <w:lang w:val="en-US" w:eastAsia="zh-CN"/>
        </w:rPr>
        <w:t>量</w:t>
      </w:r>
      <w:r>
        <w:rPr>
          <w:rFonts w:hint="default" w:ascii="Times New Roman" w:hAnsi="Times New Roman" w:eastAsia="宋体" w:cs="Times New Roman"/>
          <w:color w:val="000000"/>
          <w:sz w:val="24"/>
          <w:szCs w:val="24"/>
          <w:highlight w:val="none"/>
        </w:rPr>
        <w:t>，单位为千克二氧化碳每千克（kgCO2/kg）</w:t>
      </w:r>
      <w:r>
        <w:rPr>
          <w:rFonts w:hint="default" w:ascii="Times New Roman" w:hAnsi="Times New Roman" w:eastAsia="宋体" w:cs="Times New Roman"/>
          <w:color w:val="000000"/>
          <w:sz w:val="24"/>
          <w:szCs w:val="24"/>
          <w:highlight w:val="none"/>
          <w:lang w:eastAsia="zh-CN"/>
        </w:rPr>
        <w:t>；</w:t>
      </w:r>
    </w:p>
    <w:p>
      <w:pPr>
        <w:spacing w:line="360" w:lineRule="auto"/>
        <w:ind w:firstLine="480" w:firstLineChars="200"/>
        <w:jc w:val="left"/>
        <w:rPr>
          <w:rFonts w:hint="default" w:ascii="Times New Roman" w:hAnsi="Times New Roman" w:eastAsia="宋体" w:cs="Times New Roman"/>
          <w:color w:val="000000"/>
          <w:sz w:val="24"/>
          <w:szCs w:val="24"/>
          <w:highlight w:val="none"/>
          <w:lang w:eastAsia="zh-CN"/>
        </w:rPr>
      </w:pPr>
      <w:r>
        <w:rPr>
          <w:rFonts w:hint="default" w:ascii="Times New Roman" w:hAnsi="Times New Roman" w:eastAsia="宋体" w:cs="Times New Roman"/>
          <w:color w:val="000000"/>
          <w:sz w:val="24"/>
          <w:szCs w:val="24"/>
          <w:highlight w:val="none"/>
        </w:rPr>
        <w:t>C</w:t>
      </w:r>
      <w:r>
        <w:rPr>
          <w:rFonts w:hint="default" w:ascii="Times New Roman" w:hAnsi="Times New Roman" w:eastAsia="宋体" w:cs="Times New Roman"/>
          <w:color w:val="000000"/>
          <w:sz w:val="24"/>
          <w:szCs w:val="24"/>
          <w:highlight w:val="none"/>
          <w:vertAlign w:val="subscript"/>
          <w:lang w:val="en-US" w:eastAsia="zh-CN"/>
        </w:rPr>
        <w:t>t，j</w:t>
      </w:r>
      <w:r>
        <w:rPr>
          <w:rFonts w:hint="default" w:ascii="Times New Roman" w:hAnsi="Times New Roman" w:eastAsia="宋体" w:cs="Times New Roman"/>
          <w:color w:val="000000"/>
          <w:sz w:val="24"/>
          <w:szCs w:val="24"/>
          <w:highlight w:val="none"/>
        </w:rPr>
        <w:t>——第j种废弃原料和资源回收材料的</w:t>
      </w:r>
      <w:r>
        <w:rPr>
          <w:rFonts w:hint="default" w:ascii="Times New Roman" w:hAnsi="Times New Roman" w:eastAsia="宋体" w:cs="Times New Roman"/>
          <w:color w:val="000000"/>
          <w:sz w:val="24"/>
          <w:szCs w:val="24"/>
          <w:highlight w:val="none"/>
          <w:lang w:val="en-US" w:eastAsia="zh-CN"/>
        </w:rPr>
        <w:t>运输</w:t>
      </w:r>
      <w:r>
        <w:rPr>
          <w:rFonts w:hint="default" w:ascii="Times New Roman" w:hAnsi="Times New Roman" w:eastAsia="宋体" w:cs="Times New Roman"/>
          <w:color w:val="000000"/>
          <w:sz w:val="24"/>
          <w:szCs w:val="24"/>
          <w:highlight w:val="none"/>
        </w:rPr>
        <w:t>碳排放因子，单位为千克二氧化碳每千克</w:t>
      </w:r>
      <w:r>
        <w:rPr>
          <w:rFonts w:hint="default" w:ascii="Times New Roman" w:hAnsi="Times New Roman" w:eastAsia="宋体" w:cs="Times New Roman"/>
          <w:color w:val="000000"/>
          <w:sz w:val="24"/>
          <w:szCs w:val="24"/>
          <w:highlight w:val="none"/>
          <w:lang w:val="en-US" w:eastAsia="zh-CN"/>
        </w:rPr>
        <w:t>公里</w:t>
      </w:r>
      <w:r>
        <w:rPr>
          <w:rFonts w:hint="default" w:ascii="Times New Roman" w:hAnsi="Times New Roman" w:eastAsia="宋体" w:cs="Times New Roman"/>
          <w:color w:val="000000"/>
          <w:sz w:val="24"/>
          <w:szCs w:val="24"/>
          <w:highlight w:val="none"/>
        </w:rPr>
        <w:t>（kgCO2/</w:t>
      </w:r>
      <w:r>
        <w:rPr>
          <w:rFonts w:hint="default" w:ascii="Times New Roman" w:hAnsi="Times New Roman" w:eastAsia="宋体" w:cs="Times New Roman"/>
          <w:color w:val="000000"/>
          <w:sz w:val="24"/>
          <w:szCs w:val="24"/>
          <w:highlight w:val="none"/>
          <w:lang w:val="en-US" w:eastAsia="zh-CN"/>
        </w:rPr>
        <w:t>kg·km</w:t>
      </w:r>
      <w:r>
        <w:rPr>
          <w:rFonts w:hint="default" w:ascii="Times New Roman" w:hAnsi="Times New Roman" w:eastAsia="宋体" w:cs="Times New Roman"/>
          <w:color w:val="000000"/>
          <w:sz w:val="24"/>
          <w:szCs w:val="24"/>
          <w:highlight w:val="none"/>
        </w:rPr>
        <w:t>）</w:t>
      </w:r>
      <w:r>
        <w:rPr>
          <w:rFonts w:hint="default" w:ascii="Times New Roman" w:hAnsi="Times New Roman" w:eastAsia="宋体" w:cs="Times New Roman"/>
          <w:color w:val="000000"/>
          <w:sz w:val="24"/>
          <w:szCs w:val="24"/>
          <w:highlight w:val="none"/>
          <w:lang w:eastAsia="zh-CN"/>
        </w:rPr>
        <w:t>；</w:t>
      </w:r>
    </w:p>
    <w:p>
      <w:pPr>
        <w:spacing w:line="360" w:lineRule="auto"/>
        <w:ind w:firstLine="480" w:firstLineChars="200"/>
        <w:jc w:val="left"/>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lang w:val="en-US" w:eastAsia="zh-CN"/>
        </w:rPr>
        <w:t>L</w:t>
      </w:r>
      <w:r>
        <w:rPr>
          <w:rFonts w:hint="default" w:ascii="Times New Roman" w:hAnsi="Times New Roman" w:eastAsia="宋体" w:cs="Times New Roman"/>
          <w:color w:val="000000"/>
          <w:sz w:val="24"/>
          <w:szCs w:val="24"/>
          <w:highlight w:val="none"/>
          <w:vertAlign w:val="subscript"/>
          <w:lang w:val="en-US" w:eastAsia="zh-CN"/>
        </w:rPr>
        <w:t>j</w:t>
      </w:r>
      <w:r>
        <w:rPr>
          <w:rFonts w:hint="default" w:ascii="Times New Roman" w:hAnsi="Times New Roman" w:eastAsia="宋体" w:cs="Times New Roman"/>
          <w:color w:val="000000"/>
          <w:sz w:val="24"/>
          <w:szCs w:val="24"/>
          <w:highlight w:val="none"/>
        </w:rPr>
        <w:t>——第j种废弃原料和资源回收材料的</w:t>
      </w:r>
      <w:r>
        <w:rPr>
          <w:rFonts w:hint="default" w:ascii="Times New Roman" w:hAnsi="Times New Roman" w:eastAsia="宋体" w:cs="Times New Roman"/>
          <w:color w:val="000000"/>
          <w:sz w:val="24"/>
          <w:szCs w:val="24"/>
          <w:highlight w:val="none"/>
          <w:lang w:val="en-US" w:eastAsia="zh-CN"/>
        </w:rPr>
        <w:t>运输距离</w:t>
      </w:r>
      <w:r>
        <w:rPr>
          <w:rFonts w:hint="default" w:ascii="Times New Roman" w:hAnsi="Times New Roman" w:eastAsia="宋体" w:cs="Times New Roman"/>
          <w:color w:val="000000"/>
          <w:sz w:val="24"/>
          <w:szCs w:val="24"/>
          <w:highlight w:val="none"/>
        </w:rPr>
        <w:t>，单位为公里（km）</w:t>
      </w:r>
      <w:r>
        <w:rPr>
          <w:rFonts w:hint="default" w:ascii="Times New Roman" w:hAnsi="Times New Roman" w:eastAsia="宋体" w:cs="Times New Roman"/>
          <w:color w:val="000000"/>
          <w:sz w:val="24"/>
          <w:szCs w:val="24"/>
          <w:highlight w:val="none"/>
          <w:lang w:eastAsia="zh-CN"/>
        </w:rPr>
        <w:t>。</w:t>
      </w:r>
    </w:p>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原物料使用过程减碳量通过计算一次原物料资源再利用后的实际使用量与未利用废弃资源时的基准用量之差与各类原物料碳排放因子的乘积来计算，</w:t>
      </w:r>
      <w:r>
        <w:rPr>
          <w:rFonts w:hint="eastAsia" w:cs="Times New Roman"/>
          <w:kern w:val="0"/>
          <w:sz w:val="24"/>
          <w:szCs w:val="24"/>
          <w:lang w:val="en-US" w:eastAsia="zh-CN" w:bidi="ar"/>
        </w:rPr>
        <w:t>减碳量来源于原料应用量的减少，减少量包括原料减少带来的碳排放，以及避免部分原料运输的碳排放。</w:t>
      </w:r>
      <w:r>
        <w:rPr>
          <w:rFonts w:hint="default" w:ascii="Times New Roman" w:hAnsi="Times New Roman" w:cs="Times New Roman"/>
          <w:kern w:val="0"/>
          <w:sz w:val="24"/>
          <w:szCs w:val="24"/>
          <w:lang w:val="en-US" w:eastAsia="zh-CN" w:bidi="ar"/>
        </w:rPr>
        <w:t>其中</w:t>
      </w:r>
      <w:r>
        <w:rPr>
          <w:rFonts w:hint="eastAsia" w:cs="Times New Roman"/>
          <w:kern w:val="0"/>
          <w:sz w:val="24"/>
          <w:szCs w:val="24"/>
          <w:lang w:val="en-US" w:eastAsia="zh-CN" w:bidi="ar"/>
        </w:rPr>
        <w:t>废弃物</w:t>
      </w:r>
      <w:r>
        <w:rPr>
          <w:rFonts w:hint="default" w:ascii="Times New Roman" w:hAnsi="Times New Roman" w:cs="Times New Roman"/>
          <w:kern w:val="0"/>
          <w:sz w:val="24"/>
          <w:szCs w:val="24"/>
          <w:lang w:val="en-US" w:eastAsia="zh-CN" w:bidi="ar"/>
        </w:rPr>
        <w:t>回收再处理、废弃物运输过程的碳排放量</w:t>
      </w:r>
      <w:r>
        <w:rPr>
          <w:rFonts w:hint="eastAsia" w:cs="Times New Roman"/>
          <w:kern w:val="0"/>
          <w:sz w:val="24"/>
          <w:szCs w:val="24"/>
          <w:lang w:val="en-US" w:eastAsia="zh-CN" w:bidi="ar"/>
        </w:rPr>
        <w:t>属于资源利用带来的碳排放量，因此应从减碳量计算中进行</w:t>
      </w:r>
      <w:r>
        <w:rPr>
          <w:rFonts w:hint="default" w:ascii="Times New Roman" w:hAnsi="Times New Roman" w:cs="Times New Roman"/>
          <w:kern w:val="0"/>
          <w:sz w:val="24"/>
          <w:szCs w:val="24"/>
          <w:lang w:val="en-US" w:eastAsia="zh-CN" w:bidi="ar"/>
        </w:rPr>
        <w:t>相应扣除。若产品生产过程无资源回收利用则该部分为零，若原料或废弃物回收利用再处理或运输阶段的碳排放较高，计算出的值为负值，则说明产品原物料使用阶段的减碳量为负，产品无减碳效益。核算期为最近一个原物料资源综合利用的时期，通常为一个自然年。</w:t>
      </w:r>
    </w:p>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建材产品中水泥熟料、石灰石等基础原料，不</w:t>
      </w:r>
      <w:r>
        <w:rPr>
          <w:rFonts w:hint="eastAsia" w:cs="Times New Roman"/>
          <w:kern w:val="0"/>
          <w:sz w:val="24"/>
          <w:szCs w:val="24"/>
          <w:lang w:val="en-US" w:eastAsia="zh-CN" w:bidi="ar"/>
        </w:rPr>
        <w:t>核算</w:t>
      </w:r>
      <w:r>
        <w:rPr>
          <w:rFonts w:hint="default" w:ascii="Times New Roman" w:hAnsi="Times New Roman" w:cs="Times New Roman"/>
          <w:kern w:val="0"/>
          <w:sz w:val="24"/>
          <w:szCs w:val="24"/>
          <w:lang w:val="en-US" w:eastAsia="zh-CN" w:bidi="ar"/>
        </w:rPr>
        <w:t>原物料资源循环利用等产生的减碳量，只在砂浆、混凝土等由多种基础原料构成的建材产品中统一核算原物料使用阶段的减碳量，避免重复计算。</w:t>
      </w:r>
    </w:p>
    <w:p>
      <w:pPr>
        <w:pageBreakBefore w:val="0"/>
        <w:widowControl/>
        <w:kinsoku/>
        <w:wordWrap/>
        <w:overflowPunct/>
        <w:topLinePunct w:val="0"/>
        <w:autoSpaceDE/>
        <w:autoSpaceDN/>
        <w:bidi w:val="0"/>
        <w:adjustRightInd/>
        <w:snapToGrid/>
        <w:spacing w:line="520" w:lineRule="exact"/>
        <w:ind w:firstLine="480" w:firstLineChars="200"/>
        <w:jc w:val="both"/>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（2）生产过程减碳量计算方法为产品生产过程碳排放量与基准值的差值，生产过程碳排放量GB/T 32150 《工业企业温室气体排放核算和报告通则》核算，水泥、玻璃、陶瓷领域已发布发布企业温室气体排放核算国家标准，依据相关标准核算，这类标准也是依据GB/T 32150制定的，其他</w:t>
      </w:r>
      <w:r>
        <w:rPr>
          <w:rFonts w:hint="eastAsia" w:cs="Times New Roman"/>
          <w:kern w:val="0"/>
          <w:sz w:val="24"/>
          <w:szCs w:val="24"/>
          <w:lang w:val="en-US" w:eastAsia="zh-CN" w:bidi="ar"/>
        </w:rPr>
        <w:t>没有核算标准的</w:t>
      </w:r>
      <w:r>
        <w:rPr>
          <w:rFonts w:hint="default" w:ascii="Times New Roman" w:hAnsi="Times New Roman" w:cs="Times New Roman"/>
          <w:kern w:val="0"/>
          <w:sz w:val="24"/>
          <w:szCs w:val="24"/>
          <w:lang w:val="en-US" w:eastAsia="zh-CN" w:bidi="ar"/>
        </w:rPr>
        <w:t>产品</w:t>
      </w:r>
      <w:r>
        <w:rPr>
          <w:rFonts w:hint="eastAsia" w:cs="Times New Roman"/>
          <w:kern w:val="0"/>
          <w:sz w:val="24"/>
          <w:szCs w:val="24"/>
          <w:lang w:val="en-US" w:eastAsia="zh-CN" w:bidi="ar"/>
        </w:rPr>
        <w:t>也</w:t>
      </w:r>
      <w:r>
        <w:rPr>
          <w:rFonts w:hint="default" w:ascii="Times New Roman" w:hAnsi="Times New Roman" w:cs="Times New Roman"/>
          <w:kern w:val="0"/>
          <w:sz w:val="24"/>
          <w:szCs w:val="24"/>
          <w:lang w:val="en-US" w:eastAsia="zh-CN" w:bidi="ar"/>
        </w:rPr>
        <w:t>依据GB/T 32150</w:t>
      </w:r>
      <w:r>
        <w:rPr>
          <w:rFonts w:hint="eastAsia" w:cs="Times New Roman"/>
          <w:kern w:val="0"/>
          <w:sz w:val="24"/>
          <w:szCs w:val="24"/>
          <w:lang w:val="en-US" w:eastAsia="zh-CN" w:bidi="ar"/>
        </w:rPr>
        <w:t>的方法</w:t>
      </w:r>
      <w:r>
        <w:rPr>
          <w:rFonts w:hint="default" w:ascii="Times New Roman" w:hAnsi="Times New Roman" w:cs="Times New Roman"/>
          <w:kern w:val="0"/>
          <w:sz w:val="24"/>
          <w:szCs w:val="24"/>
          <w:lang w:val="en-US" w:eastAsia="zh-CN" w:bidi="ar"/>
        </w:rPr>
        <w:t>核算，因此该部分统一要求产品生产过程碳排放计算满足GB/T 32150要求。GB/T 32150</w:t>
      </w:r>
      <w:r>
        <w:rPr>
          <w:rFonts w:hint="eastAsia" w:cs="Times New Roman"/>
          <w:kern w:val="0"/>
          <w:sz w:val="24"/>
          <w:szCs w:val="24"/>
          <w:lang w:val="en-US" w:eastAsia="zh-CN" w:bidi="ar"/>
        </w:rPr>
        <w:t>为组织层面的碳排放核算方法，核算得到的二氧化碳排放量与相应产品的产量值的比值为单位功能产品的二氧化碳排放量。</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基准值取行业平均</w:t>
      </w:r>
      <w:r>
        <w:rPr>
          <w:rFonts w:hint="eastAsia" w:cs="Times New Roman"/>
          <w:kern w:val="0"/>
          <w:sz w:val="24"/>
          <w:szCs w:val="24"/>
          <w:highlight w:val="none"/>
          <w:lang w:val="en-US" w:eastAsia="zh-CN" w:bidi="ar"/>
        </w:rPr>
        <w:t>二氧化碳</w:t>
      </w:r>
      <w:r>
        <w:rPr>
          <w:rFonts w:hint="default" w:ascii="Times New Roman" w:hAnsi="Times New Roman" w:cs="Times New Roman"/>
          <w:kern w:val="0"/>
          <w:sz w:val="24"/>
          <w:szCs w:val="24"/>
          <w:highlight w:val="none"/>
          <w:lang w:val="en-US" w:eastAsia="zh-CN" w:bidi="ar"/>
        </w:rPr>
        <w:t>排放水平，根据本文件中5.3确定基准值。</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sz w:val="28"/>
          <w:szCs w:val="28"/>
          <w:lang w:val="en-US" w:eastAsia="zh-CN"/>
        </w:rPr>
      </w:pPr>
      <w:bookmarkStart w:id="44" w:name="_Toc29549"/>
      <w:bookmarkStart w:id="45" w:name="_Toc13189"/>
      <w:r>
        <w:rPr>
          <w:rFonts w:hint="default" w:ascii="Times New Roman" w:hAnsi="Times New Roman" w:eastAsia="仿宋" w:cs="Times New Roman"/>
          <w:sz w:val="28"/>
          <w:szCs w:val="28"/>
          <w:lang w:val="en-US" w:eastAsia="zh-CN"/>
        </w:rPr>
        <w:t>2.6.2使用阶段</w:t>
      </w:r>
      <w:bookmarkEnd w:id="44"/>
      <w:bookmarkEnd w:id="45"/>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highlight w:val="none"/>
          <w:lang w:val="en-US" w:eastAsia="zh-CN" w:bidi="ar"/>
        </w:rPr>
        <w:t>仅</w:t>
      </w:r>
      <w:r>
        <w:rPr>
          <w:rFonts w:hint="eastAsia" w:cs="Times New Roman"/>
          <w:kern w:val="0"/>
          <w:sz w:val="24"/>
          <w:szCs w:val="24"/>
          <w:highlight w:val="none"/>
          <w:lang w:val="en-US" w:eastAsia="zh-CN" w:bidi="ar"/>
        </w:rPr>
        <w:t>使用阶段作</w:t>
      </w:r>
      <w:r>
        <w:rPr>
          <w:rFonts w:hint="default" w:ascii="Times New Roman" w:hAnsi="Times New Roman" w:cs="Times New Roman"/>
          <w:kern w:val="0"/>
          <w:sz w:val="24"/>
          <w:szCs w:val="24"/>
          <w:highlight w:val="none"/>
          <w:lang w:val="en-US" w:eastAsia="zh-CN" w:bidi="ar"/>
        </w:rPr>
        <w:t>保温隔热</w:t>
      </w:r>
      <w:r>
        <w:rPr>
          <w:rFonts w:hint="eastAsia" w:cs="Times New Roman"/>
          <w:kern w:val="0"/>
          <w:sz w:val="24"/>
          <w:szCs w:val="24"/>
          <w:highlight w:val="none"/>
          <w:lang w:val="en-US" w:eastAsia="zh-CN" w:bidi="ar"/>
        </w:rPr>
        <w:t>用</w:t>
      </w:r>
      <w:r>
        <w:rPr>
          <w:rFonts w:hint="default" w:ascii="Times New Roman" w:hAnsi="Times New Roman" w:cs="Times New Roman"/>
          <w:kern w:val="0"/>
          <w:sz w:val="24"/>
          <w:szCs w:val="24"/>
          <w:highlight w:val="none"/>
          <w:lang w:val="en-US" w:eastAsia="zh-CN" w:bidi="ar"/>
        </w:rPr>
        <w:t>建材产品和生产清洁能源</w:t>
      </w:r>
      <w:r>
        <w:rPr>
          <w:rFonts w:hint="eastAsia" w:cs="Times New Roman"/>
          <w:kern w:val="0"/>
          <w:sz w:val="24"/>
          <w:szCs w:val="24"/>
          <w:highlight w:val="none"/>
          <w:lang w:val="en-US" w:eastAsia="zh-CN" w:bidi="ar"/>
        </w:rPr>
        <w:t>的</w:t>
      </w:r>
      <w:r>
        <w:rPr>
          <w:rFonts w:hint="default" w:ascii="Times New Roman" w:hAnsi="Times New Roman" w:cs="Times New Roman"/>
          <w:kern w:val="0"/>
          <w:sz w:val="24"/>
          <w:szCs w:val="24"/>
          <w:highlight w:val="none"/>
          <w:lang w:val="en-US" w:eastAsia="zh-CN" w:bidi="ar"/>
        </w:rPr>
        <w:t>建材产品涉及使用阶段的减碳量核算。</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（1）具有保温隔热功能的建材产品使用阶段减碳量按式（</w:t>
      </w:r>
      <w:r>
        <w:rPr>
          <w:rFonts w:hint="eastAsia" w:cs="Times New Roman"/>
          <w:kern w:val="0"/>
          <w:sz w:val="24"/>
          <w:szCs w:val="24"/>
          <w:lang w:val="en-US" w:eastAsia="zh-CN" w:bidi="ar"/>
        </w:rPr>
        <w:t>3</w:t>
      </w:r>
      <w:r>
        <w:rPr>
          <w:rFonts w:hint="default" w:ascii="Times New Roman" w:hAnsi="Times New Roman" w:cs="Times New Roman"/>
          <w:kern w:val="0"/>
          <w:sz w:val="24"/>
          <w:szCs w:val="24"/>
          <w:lang w:val="en-US" w:eastAsia="zh-CN" w:bidi="ar"/>
        </w:rPr>
        <w:t>）计算：</w:t>
      </w:r>
    </w:p>
    <w:p>
      <w:pPr>
        <w:pageBreakBefore w:val="0"/>
        <w:widowControl/>
        <w:kinsoku/>
        <w:wordWrap/>
        <w:overflowPunct/>
        <w:topLinePunct w:val="0"/>
        <w:autoSpaceDE/>
        <w:autoSpaceDN/>
        <w:bidi w:val="0"/>
        <w:adjustRightInd/>
        <w:snapToGrid/>
        <w:spacing w:line="520" w:lineRule="exact"/>
        <w:ind w:firstLine="420" w:firstLineChars="200"/>
        <w:jc w:val="right"/>
        <w:rPr>
          <w:rFonts w:hint="default" w:ascii="Times New Roman" w:hAnsi="Times New Roman" w:cs="Times New Roman"/>
          <w:kern w:val="0"/>
          <w:sz w:val="24"/>
          <w:szCs w:val="24"/>
          <w:lang w:val="en-US" w:eastAsia="zh-CN"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UU</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e</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b</m:t>
            </m:r>
            <m:ctrlPr>
              <w:rPr>
                <w:rFonts w:ascii="Cambria Math" w:hAnsi="Cambria Math" w:cs="宋体"/>
                <w:kern w:val="0"/>
                <w:szCs w:val="21"/>
                <w:lang w:bidi="ar"/>
              </w:rPr>
            </m:ctrlPr>
          </m:sub>
        </m:sSub>
      </m:oMath>
      <w:r>
        <w:rPr>
          <w:rFonts w:hint="eastAsia" w:hAnsi="Cambria Math" w:cs="宋体"/>
          <w:kern w:val="0"/>
          <w:szCs w:val="21"/>
          <w:lang w:bidi="ar"/>
        </w:rPr>
        <w:t xml:space="preserve"> </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 xml:space="preserve"> </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3</w:t>
      </w:r>
      <w:r>
        <w:rPr>
          <w:rFonts w:hint="default" w:ascii="Times New Roman" w:hAnsi="Times New Roman" w:cs="Times New Roman"/>
          <w:kern w:val="0"/>
          <w:sz w:val="24"/>
          <w:szCs w:val="24"/>
          <w:lang w:val="en-US" w:eastAsia="zh-CN" w:bidi="ar"/>
        </w:rPr>
        <w:t xml:space="preserve">） </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式中：</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E</w:t>
      </w:r>
      <w:r>
        <w:rPr>
          <w:rFonts w:hint="default" w:ascii="Times New Roman" w:hAnsi="Times New Roman" w:cs="Times New Roman"/>
          <w:kern w:val="0"/>
          <w:sz w:val="24"/>
          <w:szCs w:val="24"/>
          <w:vertAlign w:val="subscript"/>
          <w:lang w:val="en-US" w:eastAsia="zh-CN" w:bidi="ar"/>
        </w:rPr>
        <w:t>e</w:t>
      </w:r>
      <w:r>
        <w:rPr>
          <w:rFonts w:hint="default" w:ascii="Times New Roman" w:hAnsi="Times New Roman" w:cs="Times New Roman"/>
          <w:kern w:val="0"/>
          <w:sz w:val="24"/>
          <w:szCs w:val="24"/>
          <w:lang w:val="en-US" w:eastAsia="zh-CN" w:bidi="ar"/>
        </w:rPr>
        <w:t>——统计期内功能单位产品使用阶段的减碳量基准量，单位为千克二氧化碳（kgCO</w:t>
      </w:r>
      <w:r>
        <w:rPr>
          <w:rFonts w:hint="default" w:ascii="Times New Roman" w:hAnsi="Times New Roman" w:cs="Times New Roman"/>
          <w:kern w:val="0"/>
          <w:sz w:val="24"/>
          <w:szCs w:val="24"/>
          <w:vertAlign w:val="subscript"/>
          <w:lang w:val="en-US" w:eastAsia="zh-CN" w:bidi="ar"/>
        </w:rPr>
        <w:t>2</w:t>
      </w:r>
      <w:r>
        <w:rPr>
          <w:rFonts w:hint="default" w:ascii="Times New Roman" w:hAnsi="Times New Roman" w:cs="Times New Roman"/>
          <w:kern w:val="0"/>
          <w:sz w:val="24"/>
          <w:szCs w:val="24"/>
          <w:lang w:val="en-US" w:eastAsia="zh-CN" w:bidi="ar"/>
        </w:rPr>
        <w:t>），依据表1使用阶段a)确定。</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lang w:val="en-US" w:eastAsia="zh-CN" w:bidi="ar"/>
        </w:rPr>
        <w:t>E</w:t>
      </w:r>
      <w:r>
        <w:rPr>
          <w:rFonts w:hint="default" w:ascii="Times New Roman" w:hAnsi="Times New Roman" w:cs="Times New Roman"/>
          <w:kern w:val="0"/>
          <w:sz w:val="24"/>
          <w:szCs w:val="24"/>
          <w:vertAlign w:val="subscript"/>
          <w:lang w:val="en-US" w:eastAsia="zh-CN" w:bidi="ar"/>
        </w:rPr>
        <w:t>b</w:t>
      </w:r>
      <w:r>
        <w:rPr>
          <w:rFonts w:hint="default" w:ascii="Times New Roman" w:hAnsi="Times New Roman" w:cs="Times New Roman"/>
          <w:kern w:val="0"/>
          <w:sz w:val="24"/>
          <w:szCs w:val="24"/>
          <w:lang w:val="en-US" w:eastAsia="zh-CN" w:bidi="ar"/>
        </w:rPr>
        <w:t>——统计期内使用某建材产品时主体建筑的二氧化碳排放量，单位为千克二氧化碳（kgCO</w:t>
      </w:r>
      <w:r>
        <w:rPr>
          <w:rFonts w:hint="default" w:ascii="Times New Roman" w:hAnsi="Times New Roman" w:cs="Times New Roman"/>
          <w:kern w:val="0"/>
          <w:sz w:val="24"/>
          <w:szCs w:val="24"/>
          <w:vertAlign w:val="subscript"/>
          <w:lang w:val="en-US" w:eastAsia="zh-CN" w:bidi="ar"/>
        </w:rPr>
        <w:t>2</w:t>
      </w:r>
      <w:r>
        <w:rPr>
          <w:rFonts w:hint="default" w:ascii="Times New Roman" w:hAnsi="Times New Roman" w:cs="Times New Roman"/>
          <w:kern w:val="0"/>
          <w:sz w:val="24"/>
          <w:szCs w:val="24"/>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highlight w:val="none"/>
          <w:lang w:val="en-US" w:eastAsia="zh-CN" w:bidi="ar"/>
        </w:rPr>
      </w:pPr>
      <w:r>
        <w:rPr>
          <w:rFonts w:hint="default" w:ascii="Times New Roman" w:hAnsi="Times New Roman" w:cs="Times New Roman"/>
          <w:kern w:val="0"/>
          <w:sz w:val="24"/>
          <w:szCs w:val="24"/>
          <w:highlight w:val="none"/>
          <w:lang w:val="en-US" w:eastAsia="zh-CN" w:bidi="ar"/>
        </w:rPr>
        <w:t>保温隔热产品减碳量指产品使用过程由于其保温隔热的性能而对应用的建筑主体造成的制冷、采暖</w:t>
      </w:r>
      <w:r>
        <w:rPr>
          <w:rFonts w:hint="eastAsia" w:cs="Times New Roman"/>
          <w:kern w:val="0"/>
          <w:sz w:val="24"/>
          <w:szCs w:val="24"/>
          <w:highlight w:val="none"/>
          <w:lang w:val="en-US" w:eastAsia="zh-CN" w:bidi="ar"/>
        </w:rPr>
        <w:t>过程</w:t>
      </w:r>
      <w:r>
        <w:rPr>
          <w:rFonts w:hint="default" w:ascii="Times New Roman" w:hAnsi="Times New Roman" w:cs="Times New Roman"/>
          <w:kern w:val="0"/>
          <w:sz w:val="24"/>
          <w:szCs w:val="24"/>
          <w:highlight w:val="none"/>
          <w:lang w:val="en-US" w:eastAsia="zh-CN" w:bidi="ar"/>
        </w:rPr>
        <w:t>的能源节约，进而产生的减碳量。核算是基于统一固定的情景模式下的，以保证对减碳量核算结果产生影响的因素仅来自与产品本身，不包括应用地区的气候差异和产品的施工安装等产生的影响。</w:t>
      </w:r>
      <w:r>
        <w:rPr>
          <w:rFonts w:hint="eastAsia" w:cs="Times New Roman"/>
          <w:kern w:val="0"/>
          <w:sz w:val="24"/>
          <w:szCs w:val="24"/>
          <w:highlight w:val="none"/>
          <w:lang w:val="en-US" w:eastAsia="zh-CN" w:bidi="ar"/>
        </w:rPr>
        <w:t>核算需要</w:t>
      </w:r>
      <w:r>
        <w:rPr>
          <w:rFonts w:hint="default" w:ascii="Times New Roman" w:hAnsi="Times New Roman" w:cs="Times New Roman"/>
          <w:kern w:val="0"/>
          <w:sz w:val="24"/>
          <w:szCs w:val="24"/>
          <w:highlight w:val="none"/>
          <w:lang w:val="en-US" w:eastAsia="zh-CN" w:bidi="ar"/>
        </w:rPr>
        <w:t>假定</w:t>
      </w:r>
      <w:r>
        <w:rPr>
          <w:rFonts w:hint="eastAsia" w:cs="Times New Roman"/>
          <w:kern w:val="0"/>
          <w:sz w:val="24"/>
          <w:szCs w:val="24"/>
          <w:highlight w:val="none"/>
          <w:lang w:val="en-US" w:eastAsia="zh-CN" w:bidi="ar"/>
        </w:rPr>
        <w:t>基准和产品的</w:t>
      </w:r>
      <w:r>
        <w:rPr>
          <w:rFonts w:hint="default" w:ascii="Times New Roman" w:hAnsi="Times New Roman" w:cs="Times New Roman"/>
          <w:kern w:val="0"/>
          <w:sz w:val="24"/>
          <w:szCs w:val="24"/>
          <w:highlight w:val="none"/>
          <w:lang w:val="en-US" w:eastAsia="zh-CN" w:bidi="ar"/>
        </w:rPr>
        <w:t>应用情境</w:t>
      </w:r>
      <w:r>
        <w:rPr>
          <w:rFonts w:hint="eastAsia" w:cs="Times New Roman"/>
          <w:kern w:val="0"/>
          <w:sz w:val="24"/>
          <w:szCs w:val="24"/>
          <w:highlight w:val="none"/>
          <w:lang w:val="en-US" w:eastAsia="zh-CN" w:bidi="ar"/>
        </w:rPr>
        <w:t>，</w:t>
      </w:r>
      <w:r>
        <w:rPr>
          <w:rFonts w:hint="default" w:ascii="Times New Roman" w:hAnsi="Times New Roman" w:cs="Times New Roman"/>
          <w:kern w:val="0"/>
          <w:sz w:val="24"/>
          <w:szCs w:val="24"/>
          <w:highlight w:val="none"/>
          <w:lang w:val="en-US" w:eastAsia="zh-CN" w:bidi="ar"/>
        </w:rPr>
        <w:t>应给出必要的参数</w:t>
      </w:r>
      <w:r>
        <w:rPr>
          <w:rFonts w:hint="eastAsia" w:cs="Times New Roman"/>
          <w:kern w:val="0"/>
          <w:sz w:val="24"/>
          <w:szCs w:val="24"/>
          <w:highlight w:val="none"/>
          <w:lang w:val="en-US" w:eastAsia="zh-CN" w:bidi="ar"/>
        </w:rPr>
        <w:t>，</w:t>
      </w:r>
      <w:r>
        <w:rPr>
          <w:rFonts w:hint="default" w:ascii="Times New Roman" w:hAnsi="Times New Roman" w:cs="Times New Roman"/>
          <w:kern w:val="0"/>
          <w:sz w:val="24"/>
          <w:szCs w:val="24"/>
          <w:highlight w:val="none"/>
          <w:lang w:val="en-US" w:eastAsia="zh-CN" w:bidi="ar"/>
        </w:rPr>
        <w:t>如应用房屋建筑的面积</w:t>
      </w:r>
      <w:r>
        <w:rPr>
          <w:rFonts w:hint="eastAsia" w:cs="Times New Roman"/>
          <w:kern w:val="0"/>
          <w:sz w:val="24"/>
          <w:szCs w:val="24"/>
          <w:highlight w:val="none"/>
          <w:lang w:val="en-US" w:eastAsia="zh-CN" w:bidi="ar"/>
        </w:rPr>
        <w:t>、</w:t>
      </w:r>
      <w:r>
        <w:rPr>
          <w:rFonts w:hint="default" w:ascii="Times New Roman" w:hAnsi="Times New Roman" w:cs="Times New Roman"/>
          <w:kern w:val="0"/>
          <w:sz w:val="24"/>
          <w:szCs w:val="24"/>
          <w:highlight w:val="none"/>
          <w:lang w:val="en-US" w:eastAsia="zh-CN" w:bidi="ar"/>
        </w:rPr>
        <w:t>外围维护墙体的厚度及导热系数</w:t>
      </w:r>
      <w:r>
        <w:rPr>
          <w:rFonts w:hint="eastAsia" w:cs="Times New Roman"/>
          <w:kern w:val="0"/>
          <w:sz w:val="24"/>
          <w:szCs w:val="24"/>
          <w:highlight w:val="none"/>
          <w:lang w:val="en-US" w:eastAsia="zh-CN" w:bidi="ar"/>
        </w:rPr>
        <w:t>、</w:t>
      </w:r>
      <w:r>
        <w:rPr>
          <w:rFonts w:hint="default" w:ascii="Times New Roman" w:hAnsi="Times New Roman" w:cs="Times New Roman"/>
          <w:kern w:val="0"/>
          <w:sz w:val="24"/>
          <w:szCs w:val="24"/>
          <w:highlight w:val="none"/>
          <w:lang w:val="en-US" w:eastAsia="zh-CN" w:bidi="ar"/>
        </w:rPr>
        <w:t>室内空调的能效设计比</w:t>
      </w:r>
      <w:r>
        <w:rPr>
          <w:rFonts w:hint="eastAsia" w:cs="Times New Roman"/>
          <w:kern w:val="0"/>
          <w:sz w:val="24"/>
          <w:szCs w:val="24"/>
          <w:highlight w:val="none"/>
          <w:lang w:val="en-US" w:eastAsia="zh-CN" w:bidi="ar"/>
        </w:rPr>
        <w:t>、</w:t>
      </w:r>
      <w:r>
        <w:rPr>
          <w:rFonts w:hint="default" w:ascii="Times New Roman" w:hAnsi="Times New Roman" w:cs="Times New Roman"/>
          <w:kern w:val="0"/>
          <w:sz w:val="24"/>
          <w:szCs w:val="24"/>
          <w:highlight w:val="none"/>
          <w:lang w:val="en-US" w:eastAsia="zh-CN" w:bidi="ar"/>
        </w:rPr>
        <w:t>供暖系统的热效率</w:t>
      </w:r>
      <w:r>
        <w:rPr>
          <w:rFonts w:hint="eastAsia" w:cs="Times New Roman"/>
          <w:kern w:val="0"/>
          <w:sz w:val="24"/>
          <w:szCs w:val="24"/>
          <w:highlight w:val="none"/>
          <w:lang w:val="en-US" w:eastAsia="zh-CN" w:bidi="ar"/>
        </w:rPr>
        <w:t>等</w:t>
      </w:r>
      <w:r>
        <w:rPr>
          <w:rFonts w:hint="default" w:ascii="Times New Roman" w:hAnsi="Times New Roman" w:cs="Times New Roman"/>
          <w:kern w:val="0"/>
          <w:sz w:val="24"/>
          <w:szCs w:val="24"/>
          <w:highlight w:val="none"/>
          <w:lang w:val="en-US" w:eastAsia="zh-CN" w:bidi="ar"/>
        </w:rPr>
        <w:t>，</w:t>
      </w:r>
      <w:r>
        <w:rPr>
          <w:rFonts w:hint="eastAsia" w:cs="Times New Roman"/>
          <w:kern w:val="0"/>
          <w:sz w:val="24"/>
          <w:szCs w:val="24"/>
          <w:highlight w:val="none"/>
          <w:lang w:val="en-US" w:eastAsia="zh-CN" w:bidi="ar"/>
        </w:rPr>
        <w:t>还应</w:t>
      </w:r>
      <w:r>
        <w:rPr>
          <w:rFonts w:hint="default" w:ascii="Times New Roman" w:hAnsi="Times New Roman" w:cs="Times New Roman"/>
          <w:kern w:val="0"/>
          <w:sz w:val="24"/>
          <w:szCs w:val="24"/>
          <w:highlight w:val="none"/>
          <w:lang w:val="en-US" w:eastAsia="zh-CN" w:bidi="ar"/>
        </w:rPr>
        <w:t>固定某一地区的空调度日数和采暖度日数等应用环境指标等。减碳量核算公式为产品使用阶段建筑的运行碳排放与基准碳排放的差值</w:t>
      </w:r>
      <w:r>
        <w:rPr>
          <w:rFonts w:hint="eastAsia" w:cs="Times New Roman"/>
          <w:kern w:val="0"/>
          <w:sz w:val="24"/>
          <w:szCs w:val="24"/>
          <w:highlight w:val="none"/>
          <w:lang w:val="en-US" w:eastAsia="zh-CN" w:bidi="ar"/>
        </w:rPr>
        <w:t>，减碳量核算基准值选取导热系数为建筑节能标准准入值时，应用产品的主体建筑统计周期内的二氧化碳排放量</w:t>
      </w:r>
      <w:r>
        <w:rPr>
          <w:rFonts w:hint="default" w:ascii="Times New Roman" w:hAnsi="Times New Roman" w:cs="Times New Roman"/>
          <w:kern w:val="0"/>
          <w:sz w:val="24"/>
          <w:szCs w:val="24"/>
          <w:highlight w:val="none"/>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（2）使用时生产清洁能源的建材产品使用阶段减碳量按式（</w:t>
      </w:r>
      <w:r>
        <w:rPr>
          <w:rFonts w:hint="eastAsia" w:cs="Times New Roman"/>
          <w:kern w:val="0"/>
          <w:sz w:val="24"/>
          <w:szCs w:val="24"/>
          <w:lang w:val="en-US" w:eastAsia="zh-CN" w:bidi="ar"/>
        </w:rPr>
        <w:t>4</w:t>
      </w:r>
      <w:r>
        <w:rPr>
          <w:rFonts w:hint="default" w:ascii="Times New Roman" w:hAnsi="Times New Roman" w:cs="Times New Roman"/>
          <w:kern w:val="0"/>
          <w:sz w:val="24"/>
          <w:szCs w:val="24"/>
          <w:lang w:val="en-US" w:eastAsia="zh-CN" w:bidi="ar"/>
        </w:rPr>
        <w:t>）计算：</w:t>
      </w:r>
    </w:p>
    <w:p>
      <w:pPr>
        <w:pageBreakBefore w:val="0"/>
        <w:widowControl/>
        <w:kinsoku/>
        <w:wordWrap/>
        <w:overflowPunct/>
        <w:topLinePunct w:val="0"/>
        <w:autoSpaceDE/>
        <w:autoSpaceDN/>
        <w:bidi w:val="0"/>
        <w:adjustRightInd/>
        <w:snapToGrid/>
        <w:spacing w:line="520" w:lineRule="exact"/>
        <w:ind w:firstLine="420" w:firstLineChars="200"/>
        <w:jc w:val="right"/>
        <w:rPr>
          <w:rFonts w:hint="default" w:ascii="Times New Roman" w:hAnsi="Times New Roman" w:cs="Times New Roman"/>
          <w:kern w:val="0"/>
          <w:sz w:val="24"/>
          <w:szCs w:val="24"/>
          <w:lang w:val="en-US" w:eastAsia="zh-CN"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f</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n</m:t>
            </m:r>
            <m:ctrlPr>
              <w:rPr>
                <w:rFonts w:ascii="Cambria Math" w:hAnsi="Cambria Math" w:cs="宋体"/>
                <w:kern w:val="0"/>
                <w:szCs w:val="21"/>
                <w:lang w:bidi="ar"/>
              </w:rPr>
            </m:ctrlPr>
          </m:sub>
        </m:sSub>
      </m:oMath>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 xml:space="preserve"> </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 xml:space="preserve"> </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4</w:t>
      </w:r>
      <w:r>
        <w:rPr>
          <w:rFonts w:hint="default" w:ascii="Times New Roman" w:hAnsi="Times New Roman" w:cs="Times New Roman"/>
          <w:kern w:val="0"/>
          <w:sz w:val="24"/>
          <w:szCs w:val="24"/>
          <w:lang w:val="en-US" w:eastAsia="zh-CN" w:bidi="ar"/>
        </w:rPr>
        <w:t xml:space="preserve">） </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式中：</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E</w:t>
      </w:r>
      <w:r>
        <w:rPr>
          <w:rFonts w:hint="default" w:ascii="Times New Roman" w:hAnsi="Times New Roman" w:cs="Times New Roman"/>
          <w:kern w:val="0"/>
          <w:sz w:val="24"/>
          <w:szCs w:val="24"/>
          <w:vertAlign w:val="subscript"/>
          <w:lang w:val="en-US" w:eastAsia="zh-CN" w:bidi="ar"/>
        </w:rPr>
        <w:t>f</w:t>
      </w:r>
      <w:r>
        <w:rPr>
          <w:rFonts w:hint="default" w:ascii="Times New Roman" w:hAnsi="Times New Roman" w:cs="Times New Roman"/>
          <w:kern w:val="0"/>
          <w:sz w:val="24"/>
          <w:szCs w:val="24"/>
          <w:lang w:val="en-US" w:eastAsia="zh-CN" w:bidi="ar"/>
        </w:rPr>
        <w:t>——统计期内功能单位产品使用阶段的减碳量基准值，单位为千克二氧化碳（kgCO</w:t>
      </w:r>
      <w:r>
        <w:rPr>
          <w:rFonts w:hint="default" w:ascii="Times New Roman" w:hAnsi="Times New Roman" w:cs="Times New Roman"/>
          <w:kern w:val="0"/>
          <w:sz w:val="24"/>
          <w:szCs w:val="24"/>
          <w:vertAlign w:val="subscript"/>
          <w:lang w:val="en-US" w:eastAsia="zh-CN" w:bidi="ar"/>
        </w:rPr>
        <w:t>2</w:t>
      </w:r>
      <w:r>
        <w:rPr>
          <w:rFonts w:hint="default" w:ascii="Times New Roman" w:hAnsi="Times New Roman" w:cs="Times New Roman"/>
          <w:kern w:val="0"/>
          <w:sz w:val="24"/>
          <w:szCs w:val="24"/>
          <w:lang w:val="en-US" w:eastAsia="zh-CN" w:bidi="ar"/>
        </w:rPr>
        <w:t>），依据表1使用阶段b)确定。</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E</w:t>
      </w:r>
      <w:r>
        <w:rPr>
          <w:rFonts w:hint="default" w:ascii="Times New Roman" w:hAnsi="Times New Roman" w:cs="Times New Roman"/>
          <w:kern w:val="0"/>
          <w:sz w:val="24"/>
          <w:szCs w:val="24"/>
          <w:vertAlign w:val="subscript"/>
          <w:lang w:val="en-US" w:eastAsia="zh-CN" w:bidi="ar"/>
        </w:rPr>
        <w:t>n</w:t>
      </w:r>
      <w:r>
        <w:rPr>
          <w:rFonts w:hint="default" w:ascii="Times New Roman" w:hAnsi="Times New Roman" w:cs="Times New Roman"/>
          <w:kern w:val="0"/>
          <w:sz w:val="24"/>
          <w:szCs w:val="24"/>
          <w:lang w:val="en-US" w:eastAsia="zh-CN" w:bidi="ar"/>
        </w:rPr>
        <w:t>——统计期内功能单位产品使用阶段的二氧化碳排放量，单位为千克二氧化碳（kgCO</w:t>
      </w:r>
      <w:r>
        <w:rPr>
          <w:rFonts w:hint="default" w:ascii="Times New Roman" w:hAnsi="Times New Roman" w:cs="Times New Roman"/>
          <w:kern w:val="0"/>
          <w:sz w:val="24"/>
          <w:szCs w:val="24"/>
          <w:vertAlign w:val="subscript"/>
          <w:lang w:val="en-US" w:eastAsia="zh-CN" w:bidi="ar"/>
        </w:rPr>
        <w:t>2</w:t>
      </w:r>
      <w:r>
        <w:rPr>
          <w:rFonts w:hint="default" w:ascii="Times New Roman" w:hAnsi="Times New Roman" w:cs="Times New Roman"/>
          <w:kern w:val="0"/>
          <w:sz w:val="24"/>
          <w:szCs w:val="24"/>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光电转化产品的减碳量核算方法为产品使用阶段通过转化太阳能</w:t>
      </w:r>
      <w:r>
        <w:rPr>
          <w:rFonts w:hint="eastAsia" w:cs="Times New Roman"/>
          <w:kern w:val="0"/>
          <w:sz w:val="24"/>
          <w:szCs w:val="24"/>
          <w:lang w:val="en-US" w:eastAsia="zh-CN" w:bidi="ar"/>
        </w:rPr>
        <w:t>生产清洁</w:t>
      </w:r>
      <w:r>
        <w:rPr>
          <w:rFonts w:hint="default" w:ascii="Times New Roman" w:hAnsi="Times New Roman" w:cs="Times New Roman"/>
          <w:kern w:val="0"/>
          <w:sz w:val="24"/>
          <w:szCs w:val="24"/>
          <w:lang w:val="en-US" w:eastAsia="zh-CN" w:bidi="ar"/>
        </w:rPr>
        <w:t>电力产生的碳排放与通过火力发电相同电力的碳排放的差值，</w:t>
      </w:r>
      <w:r>
        <w:rPr>
          <w:rFonts w:hint="eastAsia" w:cs="Times New Roman"/>
          <w:kern w:val="0"/>
          <w:sz w:val="24"/>
          <w:szCs w:val="24"/>
          <w:lang w:val="en-US" w:eastAsia="zh-CN" w:bidi="ar"/>
        </w:rPr>
        <w:t>即</w:t>
      </w:r>
      <w:r>
        <w:rPr>
          <w:rFonts w:hint="default" w:ascii="Times New Roman" w:hAnsi="Times New Roman" w:cs="Times New Roman"/>
          <w:kern w:val="0"/>
          <w:sz w:val="24"/>
          <w:szCs w:val="24"/>
          <w:lang w:val="en-US" w:eastAsia="zh-CN" w:bidi="ar"/>
        </w:rPr>
        <w:t>产品使用阶段的二氧化碳排放量</w:t>
      </w:r>
      <w:r>
        <w:rPr>
          <w:rFonts w:hint="eastAsia" w:cs="Times New Roman"/>
          <w:kern w:val="0"/>
          <w:sz w:val="24"/>
          <w:szCs w:val="24"/>
          <w:lang w:val="en-US" w:eastAsia="zh-CN" w:bidi="ar"/>
        </w:rPr>
        <w:t>与减碳量基准值的差值。二氧化碳</w:t>
      </w:r>
      <w:r>
        <w:rPr>
          <w:rFonts w:hint="default" w:ascii="Times New Roman" w:hAnsi="Times New Roman" w:cs="Times New Roman"/>
          <w:kern w:val="0"/>
          <w:sz w:val="24"/>
          <w:szCs w:val="24"/>
          <w:lang w:val="en-US" w:eastAsia="zh-CN" w:bidi="ar"/>
        </w:rPr>
        <w:t>碳排放量采用因子计算法计算，与保温隔热产品类似，产品</w:t>
      </w:r>
      <w:r>
        <w:rPr>
          <w:rFonts w:hint="eastAsia" w:cs="Times New Roman"/>
          <w:kern w:val="0"/>
          <w:sz w:val="24"/>
          <w:szCs w:val="24"/>
          <w:lang w:val="en-US" w:eastAsia="zh-CN" w:bidi="ar"/>
        </w:rPr>
        <w:t>使用阶段碳排放和基准值计算</w:t>
      </w:r>
      <w:r>
        <w:rPr>
          <w:rFonts w:hint="default" w:ascii="Times New Roman" w:hAnsi="Times New Roman" w:cs="Times New Roman"/>
          <w:kern w:val="0"/>
          <w:sz w:val="24"/>
          <w:szCs w:val="24"/>
          <w:lang w:val="en-US" w:eastAsia="zh-CN" w:bidi="ar"/>
        </w:rPr>
        <w:t>应基于同一基准应用地区来计算</w:t>
      </w:r>
      <w:r>
        <w:rPr>
          <w:rFonts w:hint="eastAsia" w:cs="Times New Roman"/>
          <w:kern w:val="0"/>
          <w:sz w:val="24"/>
          <w:szCs w:val="24"/>
          <w:lang w:val="en-US" w:eastAsia="zh-CN" w:bidi="ar"/>
        </w:rPr>
        <w:t>，保证太阳能辐照度、光照时间等环境因素一致，碳排放量仅受光电转化效率等产品性能影响</w:t>
      </w:r>
      <w:r>
        <w:rPr>
          <w:rFonts w:hint="default" w:ascii="Times New Roman" w:hAnsi="Times New Roman" w:cs="Times New Roman"/>
          <w:kern w:val="0"/>
          <w:sz w:val="24"/>
          <w:szCs w:val="24"/>
          <w:lang w:val="en-US" w:eastAsia="zh-CN" w:bidi="ar"/>
        </w:rPr>
        <w:t>。</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eastAsia="zh-CN"/>
        </w:rPr>
      </w:pPr>
      <w:bookmarkStart w:id="46" w:name="_Toc31209"/>
      <w:bookmarkStart w:id="47" w:name="_Toc14608"/>
      <w:r>
        <w:rPr>
          <w:rFonts w:hint="default" w:ascii="Times New Roman" w:hAnsi="Times New Roman" w:eastAsia="仿宋" w:cs="Times New Roman"/>
        </w:rPr>
        <w:t>2.</w:t>
      </w:r>
      <w:r>
        <w:rPr>
          <w:rFonts w:hint="default" w:ascii="Times New Roman" w:hAnsi="Times New Roman" w:eastAsia="仿宋" w:cs="Times New Roman"/>
          <w:lang w:val="en-US" w:eastAsia="zh-CN"/>
        </w:rPr>
        <w:t>7</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减碳量结果披露</w:t>
      </w:r>
      <w:bookmarkEnd w:id="46"/>
      <w:bookmarkEnd w:id="47"/>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本文件对核算得到的建材产品减碳量进行公开披露提出建议，</w:t>
      </w:r>
      <w:r>
        <w:rPr>
          <w:rFonts w:hint="eastAsia" w:cs="Times New Roman"/>
          <w:kern w:val="0"/>
          <w:sz w:val="24"/>
          <w:szCs w:val="24"/>
          <w:lang w:val="en-US" w:eastAsia="zh-CN" w:bidi="ar"/>
        </w:rPr>
        <w:t>宜</w:t>
      </w:r>
      <w:r>
        <w:rPr>
          <w:rFonts w:hint="default" w:ascii="Times New Roman" w:hAnsi="Times New Roman" w:cs="Times New Roman"/>
          <w:kern w:val="0"/>
          <w:sz w:val="24"/>
          <w:szCs w:val="24"/>
          <w:lang w:val="en-US" w:eastAsia="zh-CN" w:bidi="ar"/>
        </w:rPr>
        <w:t>通过相关标识等进行披露，便于消费者选取低碳产品，践行低碳行为。减碳量标识宜披露产品一个自然年的减碳水平和使用寿命</w:t>
      </w:r>
      <w:r>
        <w:rPr>
          <w:rFonts w:hint="eastAsia" w:cs="Times New Roman"/>
          <w:kern w:val="0"/>
          <w:sz w:val="24"/>
          <w:szCs w:val="24"/>
          <w:lang w:val="en-US" w:eastAsia="zh-CN" w:bidi="ar"/>
        </w:rPr>
        <w:t>，使用</w:t>
      </w:r>
      <w:bookmarkStart w:id="72" w:name="_GoBack"/>
      <w:r>
        <w:rPr>
          <w:rFonts w:hint="eastAsia" w:cs="Times New Roman"/>
          <w:kern w:val="0"/>
          <w:sz w:val="24"/>
          <w:szCs w:val="24"/>
          <w:lang w:val="en-US" w:eastAsia="zh-CN" w:bidi="ar"/>
        </w:rPr>
        <w:t>寿命</w:t>
      </w:r>
      <w:bookmarkEnd w:id="72"/>
      <w:r>
        <w:rPr>
          <w:rFonts w:hint="eastAsia" w:cs="Times New Roman"/>
          <w:kern w:val="0"/>
          <w:sz w:val="24"/>
          <w:szCs w:val="24"/>
          <w:lang w:val="en-US" w:eastAsia="zh-CN" w:bidi="ar"/>
        </w:rPr>
        <w:t>由产品方自行披露。</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kern w:val="0"/>
          <w:sz w:val="24"/>
          <w:szCs w:val="24"/>
          <w:lang w:val="en-US" w:eastAsia="zh-CN" w:bidi="ar"/>
        </w:rPr>
      </w:pPr>
      <w:r>
        <w:rPr>
          <w:rFonts w:hint="default" w:ascii="Times New Roman" w:hAnsi="Times New Roman" w:cs="Times New Roman"/>
          <w:kern w:val="0"/>
          <w:sz w:val="24"/>
          <w:szCs w:val="24"/>
        </w:rPr>
        <w:t>减碳量标识</w:t>
      </w:r>
      <w:r>
        <w:rPr>
          <w:rFonts w:hint="default" w:ascii="Times New Roman" w:hAnsi="Times New Roman" w:cs="Times New Roman"/>
          <w:kern w:val="0"/>
          <w:sz w:val="24"/>
          <w:szCs w:val="24"/>
          <w:lang w:val="en-US" w:eastAsia="zh-CN"/>
        </w:rPr>
        <w:t>应根据产品类别分别</w:t>
      </w:r>
      <w:r>
        <w:rPr>
          <w:rFonts w:hint="eastAsia" w:cs="Times New Roman"/>
          <w:kern w:val="0"/>
          <w:sz w:val="24"/>
          <w:szCs w:val="24"/>
          <w:lang w:val="en-US" w:eastAsia="zh-CN"/>
        </w:rPr>
        <w:t>标注</w:t>
      </w:r>
      <w:r>
        <w:rPr>
          <w:rFonts w:hint="default" w:ascii="Times New Roman" w:hAnsi="Times New Roman" w:cs="Times New Roman"/>
          <w:kern w:val="0"/>
          <w:sz w:val="24"/>
          <w:szCs w:val="24"/>
          <w:lang w:val="en-US" w:eastAsia="zh-CN"/>
        </w:rPr>
        <w:t>出生产阶段或生产阶段</w:t>
      </w:r>
      <w:r>
        <w:rPr>
          <w:rFonts w:hint="eastAsia" w:cs="Times New Roman"/>
          <w:kern w:val="0"/>
          <w:sz w:val="24"/>
          <w:szCs w:val="24"/>
          <w:lang w:val="en-US" w:eastAsia="zh-CN"/>
        </w:rPr>
        <w:t>和</w:t>
      </w:r>
      <w:r>
        <w:rPr>
          <w:rFonts w:hint="default" w:ascii="Times New Roman" w:hAnsi="Times New Roman" w:cs="Times New Roman"/>
          <w:kern w:val="0"/>
          <w:sz w:val="24"/>
          <w:szCs w:val="24"/>
          <w:lang w:val="en-US" w:eastAsia="zh-CN"/>
        </w:rPr>
        <w:t>使用阶段的整体减碳量水平</w:t>
      </w:r>
      <w:r>
        <w:rPr>
          <w:rFonts w:hint="eastAsia" w:cs="Times New Roman"/>
          <w:kern w:val="0"/>
          <w:sz w:val="24"/>
          <w:szCs w:val="24"/>
          <w:lang w:val="en-US" w:eastAsia="zh-CN"/>
        </w:rPr>
        <w:t>结果</w:t>
      </w:r>
      <w:r>
        <w:rPr>
          <w:rFonts w:hint="default" w:ascii="Times New Roman" w:hAnsi="Times New Roman" w:cs="Times New Roman"/>
          <w:kern w:val="0"/>
          <w:sz w:val="24"/>
          <w:szCs w:val="24"/>
          <w:lang w:val="en-US" w:eastAsia="zh-CN"/>
        </w:rPr>
        <w:t>。</w:t>
      </w:r>
    </w:p>
    <w:p>
      <w:pPr>
        <w:pStyle w:val="4"/>
        <w:pageBreakBefore w:val="0"/>
        <w:kinsoku/>
        <w:wordWrap/>
        <w:overflowPunct/>
        <w:topLinePunct w:val="0"/>
        <w:autoSpaceDE/>
        <w:autoSpaceDN/>
        <w:bidi w:val="0"/>
        <w:adjustRightInd/>
        <w:snapToGrid/>
        <w:spacing w:line="520" w:lineRule="exact"/>
        <w:rPr>
          <w:rFonts w:hint="default" w:ascii="Times New Roman" w:hAnsi="Times New Roman" w:eastAsia="仿宋" w:cs="Times New Roman"/>
          <w:lang w:eastAsia="zh-CN"/>
        </w:rPr>
      </w:pPr>
      <w:bookmarkStart w:id="48" w:name="_Toc31426"/>
      <w:bookmarkStart w:id="49" w:name="_Toc27889"/>
      <w:r>
        <w:rPr>
          <w:rFonts w:hint="default" w:ascii="Times New Roman" w:hAnsi="Times New Roman" w:eastAsia="仿宋" w:cs="Times New Roman"/>
        </w:rPr>
        <w:t>2.</w:t>
      </w:r>
      <w:r>
        <w:rPr>
          <w:rFonts w:hint="default" w:ascii="Times New Roman" w:hAnsi="Times New Roman" w:eastAsia="仿宋" w:cs="Times New Roman"/>
          <w:lang w:val="en-US" w:eastAsia="zh-CN"/>
        </w:rPr>
        <w:t>8</w:t>
      </w:r>
      <w:r>
        <w:rPr>
          <w:rFonts w:hint="default" w:ascii="Times New Roman" w:hAnsi="Times New Roman" w:eastAsia="仿宋" w:cs="Times New Roman"/>
        </w:rPr>
        <w:t xml:space="preserve"> </w:t>
      </w:r>
      <w:r>
        <w:rPr>
          <w:rFonts w:hint="default" w:ascii="Times New Roman" w:hAnsi="Times New Roman" w:eastAsia="仿宋" w:cs="Times New Roman"/>
          <w:lang w:val="en-US" w:eastAsia="zh-CN"/>
        </w:rPr>
        <w:t>减碳量评估报告</w:t>
      </w:r>
      <w:bookmarkEnd w:id="48"/>
      <w:bookmarkEnd w:id="49"/>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给出建材产品减碳量结果时应配套给出减碳量评估报告，报告中应对生产企业、产品信息、数据选取、核算过程等进行详细说明，保证产品减碳量核算过程的公开性和透明性，便于结果的准确。减碳量评估报告的编制要求参照GB/T 33760 《基于项目的温室气体减排量评估技术规范 通用要求》。</w:t>
      </w:r>
    </w:p>
    <w:p>
      <w:pPr>
        <w:pStyle w:val="4"/>
        <w:pageBreakBefore w:val="0"/>
        <w:kinsoku/>
        <w:wordWrap/>
        <w:overflowPunct/>
        <w:topLinePunct w:val="0"/>
        <w:autoSpaceDE/>
        <w:autoSpaceDN/>
        <w:bidi w:val="0"/>
        <w:adjustRightInd/>
        <w:snapToGrid/>
        <w:spacing w:line="520" w:lineRule="exact"/>
        <w:outlineLvl w:val="0"/>
        <w:rPr>
          <w:rFonts w:hint="default" w:ascii="Times New Roman" w:hAnsi="Times New Roman" w:eastAsia="仿宋" w:cs="Times New Roman"/>
          <w:lang w:eastAsia="zh-CN"/>
        </w:rPr>
      </w:pPr>
      <w:bookmarkStart w:id="50" w:name="_Toc24731"/>
      <w:bookmarkStart w:id="51" w:name="_Toc19162"/>
      <w:r>
        <w:rPr>
          <w:rFonts w:hint="default" w:ascii="Times New Roman" w:hAnsi="Times New Roman" w:eastAsia="仿宋" w:cs="Times New Roman"/>
          <w:lang w:val="en-US" w:eastAsia="zh-CN"/>
        </w:rPr>
        <w:t>附录A</w:t>
      </w:r>
      <w:bookmarkEnd w:id="50"/>
      <w:bookmarkEnd w:id="51"/>
      <w:r>
        <w:rPr>
          <w:rFonts w:hint="default" w:ascii="Times New Roman" w:hAnsi="Times New Roman" w:eastAsia="仿宋" w:cs="Times New Roman"/>
        </w:rPr>
        <w:t xml:space="preserve"> </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附录A中给出各类建材产品的类别划分</w:t>
      </w:r>
      <w:r>
        <w:rPr>
          <w:rFonts w:hint="eastAsia" w:cs="Times New Roman"/>
          <w:kern w:val="0"/>
          <w:sz w:val="24"/>
          <w:szCs w:val="24"/>
          <w:lang w:val="en-US" w:eastAsia="zh-CN" w:bidi="ar"/>
        </w:rPr>
        <w:t>的参考</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其中</w:t>
      </w:r>
      <w:r>
        <w:rPr>
          <w:rFonts w:hint="default" w:ascii="Times New Roman" w:hAnsi="Times New Roman" w:cs="Times New Roman"/>
          <w:kern w:val="0"/>
          <w:sz w:val="24"/>
          <w:szCs w:val="24"/>
          <w:lang w:val="en-US" w:eastAsia="zh-CN" w:bidi="ar"/>
        </w:rPr>
        <w:t>常规建材产品包括水泥、</w:t>
      </w:r>
      <w:r>
        <w:rPr>
          <w:rFonts w:hint="eastAsia" w:cs="Times New Roman"/>
          <w:kern w:val="0"/>
          <w:sz w:val="24"/>
          <w:szCs w:val="24"/>
          <w:lang w:val="en-US" w:eastAsia="zh-CN" w:bidi="ar"/>
        </w:rPr>
        <w:t>平板</w:t>
      </w:r>
      <w:r>
        <w:rPr>
          <w:rFonts w:hint="default" w:ascii="Times New Roman" w:hAnsi="Times New Roman" w:cs="Times New Roman"/>
          <w:kern w:val="0"/>
          <w:sz w:val="24"/>
          <w:szCs w:val="24"/>
          <w:lang w:val="en-US" w:eastAsia="zh-CN" w:bidi="ar"/>
        </w:rPr>
        <w:t>玻璃、建筑陶瓷等仅生产过程对减碳量有影响的产品，保温隔热建材产品包括建筑节能玻璃、保温隔热墙体材料等具有保温性能的产品，光电转化建材产品包括Bipv、太阳能光伏组件等可以转化太阳能生产电力的产品。三种类型基本囊括所有</w:t>
      </w:r>
      <w:r>
        <w:rPr>
          <w:rFonts w:hint="eastAsia" w:cs="Times New Roman"/>
          <w:kern w:val="0"/>
          <w:sz w:val="24"/>
          <w:szCs w:val="24"/>
          <w:lang w:val="en-US" w:eastAsia="zh-CN" w:bidi="ar"/>
        </w:rPr>
        <w:t>类型</w:t>
      </w:r>
      <w:r>
        <w:rPr>
          <w:rFonts w:hint="default" w:ascii="Times New Roman" w:hAnsi="Times New Roman" w:cs="Times New Roman"/>
          <w:kern w:val="0"/>
          <w:sz w:val="24"/>
          <w:szCs w:val="24"/>
          <w:lang w:val="en-US" w:eastAsia="zh-CN" w:bidi="ar"/>
        </w:rPr>
        <w:t>建材产品，各类建材产品进行减碳量评估时</w:t>
      </w:r>
      <w:r>
        <w:rPr>
          <w:rFonts w:hint="eastAsia" w:cs="Times New Roman"/>
          <w:kern w:val="0"/>
          <w:sz w:val="24"/>
          <w:szCs w:val="24"/>
          <w:lang w:val="en-US" w:eastAsia="zh-CN" w:bidi="ar"/>
        </w:rPr>
        <w:t>可参照</w:t>
      </w:r>
      <w:r>
        <w:rPr>
          <w:rFonts w:hint="default" w:ascii="Times New Roman" w:hAnsi="Times New Roman" w:cs="Times New Roman"/>
          <w:kern w:val="0"/>
          <w:sz w:val="24"/>
          <w:szCs w:val="24"/>
          <w:lang w:val="en-US" w:eastAsia="zh-CN" w:bidi="ar"/>
        </w:rPr>
        <w:t>附录A进行分类。</w:t>
      </w:r>
    </w:p>
    <w:p>
      <w:pPr>
        <w:pStyle w:val="4"/>
        <w:pageBreakBefore w:val="0"/>
        <w:kinsoku/>
        <w:wordWrap/>
        <w:overflowPunct/>
        <w:topLinePunct w:val="0"/>
        <w:autoSpaceDE/>
        <w:autoSpaceDN/>
        <w:bidi w:val="0"/>
        <w:adjustRightInd/>
        <w:snapToGrid/>
        <w:spacing w:line="520" w:lineRule="exact"/>
        <w:outlineLvl w:val="0"/>
        <w:rPr>
          <w:rFonts w:hint="default" w:ascii="Times New Roman" w:hAnsi="Times New Roman" w:eastAsia="仿宋" w:cs="Times New Roman"/>
          <w:lang w:eastAsia="zh-CN"/>
        </w:rPr>
      </w:pPr>
      <w:bookmarkStart w:id="52" w:name="_Toc13974"/>
      <w:r>
        <w:rPr>
          <w:rFonts w:hint="default" w:ascii="Times New Roman" w:hAnsi="Times New Roman" w:eastAsia="仿宋" w:cs="Times New Roman"/>
          <w:lang w:val="en-US" w:eastAsia="zh-CN"/>
        </w:rPr>
        <w:t>附录B</w:t>
      </w:r>
      <w:bookmarkEnd w:id="52"/>
      <w:r>
        <w:rPr>
          <w:rFonts w:hint="default" w:ascii="Times New Roman" w:hAnsi="Times New Roman" w:eastAsia="仿宋" w:cs="Times New Roman"/>
        </w:rPr>
        <w:t xml:space="preserve"> </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cs="Times New Roman"/>
          <w:color w:val="333333"/>
          <w:spacing w:val="5"/>
          <w:sz w:val="24"/>
          <w:szCs w:val="24"/>
          <w:shd w:val="clear" w:color="auto" w:fill="FFFFFF"/>
          <w:lang w:val="en-US" w:eastAsia="zh-CN"/>
        </w:rPr>
        <w:t>附录B给出保温隔热材料使用阶段减碳量计算</w:t>
      </w:r>
      <w:r>
        <w:rPr>
          <w:rFonts w:hint="eastAsia" w:cs="Times New Roman"/>
          <w:color w:val="333333"/>
          <w:spacing w:val="5"/>
          <w:sz w:val="24"/>
          <w:szCs w:val="24"/>
          <w:shd w:val="clear" w:color="auto" w:fill="FFFFFF"/>
          <w:lang w:val="en-US" w:eastAsia="zh-CN"/>
        </w:rPr>
        <w:t>参照</w:t>
      </w:r>
      <w:r>
        <w:rPr>
          <w:rFonts w:hint="default" w:ascii="Times New Roman" w:hAnsi="Times New Roman" w:cs="Times New Roman"/>
          <w:color w:val="333333"/>
          <w:spacing w:val="5"/>
          <w:sz w:val="24"/>
          <w:szCs w:val="24"/>
          <w:shd w:val="clear" w:color="auto" w:fill="FFFFFF"/>
          <w:lang w:val="en-US" w:eastAsia="zh-CN"/>
        </w:rPr>
        <w:t>案例分析，为资料性附录，该类建材产品进行减碳量核算时可参照本附录的方法，也可以采用其他科学有效的核算方法，需在减碳量评估报告中仔细描述核算过程。</w:t>
      </w:r>
    </w:p>
    <w:p>
      <w:pPr>
        <w:pageBreakBefore w:val="0"/>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根据本文件</w:t>
      </w:r>
      <w:r>
        <w:rPr>
          <w:rFonts w:hint="default" w:ascii="Times New Roman" w:hAnsi="Times New Roman" w:cs="Times New Roman"/>
          <w:kern w:val="0"/>
          <w:sz w:val="24"/>
          <w:szCs w:val="24"/>
          <w:lang w:bidi="ar"/>
        </w:rPr>
        <w:t>6.2.1</w:t>
      </w:r>
      <w:r>
        <w:rPr>
          <w:rFonts w:hint="default" w:ascii="Times New Roman" w:hAnsi="Times New Roman" w:cs="Times New Roman"/>
          <w:kern w:val="0"/>
          <w:sz w:val="24"/>
          <w:szCs w:val="24"/>
          <w:lang w:val="en-US" w:eastAsia="zh-CN" w:bidi="ar"/>
        </w:rPr>
        <w:t>的要求，</w:t>
      </w:r>
      <w:r>
        <w:rPr>
          <w:rFonts w:hint="default" w:ascii="Times New Roman" w:hAnsi="Times New Roman" w:cs="Times New Roman"/>
          <w:color w:val="333333"/>
          <w:spacing w:val="5"/>
          <w:sz w:val="24"/>
          <w:szCs w:val="24"/>
          <w:shd w:val="clear" w:color="auto" w:fill="FFFFFF"/>
          <w:lang w:val="en-US" w:eastAsia="zh-CN"/>
        </w:rPr>
        <w:t>保温隔热</w:t>
      </w:r>
      <w:r>
        <w:rPr>
          <w:rFonts w:hint="default" w:ascii="Times New Roman" w:hAnsi="Times New Roman" w:cs="Times New Roman"/>
          <w:kern w:val="0"/>
          <w:sz w:val="24"/>
          <w:szCs w:val="24"/>
          <w:lang w:val="en-US" w:eastAsia="zh-CN" w:bidi="ar"/>
        </w:rPr>
        <w:t>产品使用阶段减碳量评估需要在同样的设定应用情景下计算两部分内容，一是产品应用过程建筑的运行碳排放量，即产品通过保温隔热使得建筑冬季采暖和夏季制冷过程产生节能效果后的实际碳排放量，本附录给出</w:t>
      </w:r>
      <w:r>
        <w:rPr>
          <w:rFonts w:hint="eastAsia" w:cs="Times New Roman"/>
          <w:kern w:val="0"/>
          <w:sz w:val="24"/>
          <w:szCs w:val="24"/>
          <w:lang w:val="en-US" w:eastAsia="zh-CN" w:bidi="ar"/>
        </w:rPr>
        <w:t>参照</w:t>
      </w:r>
      <w:r>
        <w:rPr>
          <w:rFonts w:hint="default" w:ascii="Times New Roman" w:hAnsi="Times New Roman" w:cs="Times New Roman"/>
          <w:kern w:val="0"/>
          <w:sz w:val="24"/>
          <w:szCs w:val="24"/>
          <w:lang w:val="en-US" w:eastAsia="zh-CN" w:bidi="ar"/>
        </w:rPr>
        <w:t>公式（2），另一部分是基准保温隔热墙体应用后建筑的运行碳排放量，本附录给出</w:t>
      </w:r>
      <w:r>
        <w:rPr>
          <w:rFonts w:hint="eastAsia" w:cs="Times New Roman"/>
          <w:kern w:val="0"/>
          <w:sz w:val="24"/>
          <w:szCs w:val="24"/>
          <w:lang w:val="en-US" w:eastAsia="zh-CN" w:bidi="ar"/>
        </w:rPr>
        <w:t>参照</w:t>
      </w:r>
      <w:r>
        <w:rPr>
          <w:rFonts w:hint="default" w:ascii="Times New Roman" w:hAnsi="Times New Roman" w:cs="Times New Roman"/>
          <w:kern w:val="0"/>
          <w:sz w:val="24"/>
          <w:szCs w:val="24"/>
          <w:lang w:val="en-US" w:eastAsia="zh-CN" w:bidi="ar"/>
        </w:rPr>
        <w:t>公式（4）。</w:t>
      </w:r>
    </w:p>
    <w:p>
      <w:pPr>
        <w:keepNext w:val="0"/>
        <w:keepLines w:val="0"/>
        <w:pageBreakBefore w:val="0"/>
        <w:widowControl w:val="0"/>
        <w:kinsoku/>
        <w:wordWrap/>
        <w:overflowPunct/>
        <w:topLinePunct w:val="0"/>
        <w:autoSpaceDE/>
        <w:autoSpaceDN/>
        <w:bidi w:val="0"/>
        <w:adjustRightInd/>
        <w:snapToGrid/>
        <w:spacing w:after="157" w:afterLines="50" w:line="520" w:lineRule="exact"/>
        <w:ind w:firstLine="480" w:firstLineChars="200"/>
        <w:jc w:val="right"/>
        <w:textAlignment w:val="auto"/>
        <w:rPr>
          <w:rFonts w:hint="default" w:ascii="Times New Roman" w:hAnsi="Times New Roman" w:eastAsia="宋体" w:cs="Times New Roman"/>
          <w:color w:val="000000"/>
          <w:sz w:val="24"/>
          <w:szCs w:val="24"/>
          <w:highlight w:val="none"/>
          <w:lang w:eastAsia="zh-CN"/>
        </w:rPr>
      </w:pPr>
      <m:oMath>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E</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0H</m:t>
            </m:r>
            <m:ctrlPr>
              <w:rPr>
                <w:rFonts w:hint="default" w:ascii="Cambria Math" w:hAnsi="Cambria Math" w:cs="Times New Roman"/>
                <w:color w:val="000000"/>
                <w:sz w:val="24"/>
                <w:szCs w:val="24"/>
                <w:highlight w:val="none"/>
              </w:rPr>
            </m:ctrlPr>
          </m:sub>
        </m:sSub>
        <m:r>
          <m:rPr>
            <m:sty m:val="p"/>
          </m:rPr>
          <w:rPr>
            <w:rFonts w:hint="default" w:ascii="Cambria Math" w:hAnsi="Cambria Math" w:cs="Times New Roman"/>
            <w:color w:val="000000"/>
            <w:sz w:val="24"/>
            <w:szCs w:val="24"/>
            <w:highlight w:val="none"/>
          </w:rPr>
          <m:t>=</m:t>
        </m:r>
        <m:f>
          <m:fPr>
            <m:ctrlPr>
              <w:rPr>
                <w:rFonts w:hint="default" w:ascii="Cambria Math" w:hAnsi="Cambria Math" w:cs="Times New Roman"/>
                <w:color w:val="000000"/>
                <w:sz w:val="24"/>
                <w:szCs w:val="24"/>
                <w:highlight w:val="none"/>
              </w:rPr>
            </m:ctrlPr>
          </m:fPr>
          <m:num>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CDD</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26</m:t>
                </m:r>
                <m:ctrlPr>
                  <w:rPr>
                    <w:rFonts w:hint="default" w:ascii="Cambria Math" w:hAnsi="Cambria Math" w:cs="Times New Roman"/>
                    <w:color w:val="000000"/>
                    <w:sz w:val="24"/>
                    <w:szCs w:val="24"/>
                    <w:highlight w:val="none"/>
                  </w:rPr>
                </m:ctrlPr>
              </m:sub>
            </m:sSub>
            <m:r>
              <m:rPr>
                <m:sty m:val="p"/>
              </m:rPr>
              <w:rPr>
                <w:rFonts w:hint="default" w:ascii="Cambria Math" w:hAnsi="Cambria Math" w:cs="Times New Roman"/>
                <w:color w:val="000000"/>
                <w:sz w:val="24"/>
                <w:szCs w:val="24"/>
                <w:highlight w:val="none"/>
              </w:rPr>
              <m:t>×</m:t>
            </m:r>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K</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0H</m:t>
                </m:r>
                <m:ctrlPr>
                  <w:rPr>
                    <w:rFonts w:hint="default" w:ascii="Cambria Math" w:hAnsi="Cambria Math" w:cs="Times New Roman"/>
                    <w:color w:val="000000"/>
                    <w:sz w:val="24"/>
                    <w:szCs w:val="24"/>
                    <w:highlight w:val="none"/>
                  </w:rPr>
                </m:ctrlPr>
              </m:sub>
            </m:sSub>
            <m:r>
              <m:rPr>
                <m:sty m:val="p"/>
              </m:rPr>
              <w:rPr>
                <w:rFonts w:hint="default" w:ascii="Cambria Math" w:hAnsi="Cambria Math" w:cs="Times New Roman"/>
                <w:color w:val="000000"/>
                <w:sz w:val="24"/>
                <w:szCs w:val="24"/>
                <w:highlight w:val="none"/>
              </w:rPr>
              <m:t>×</m:t>
            </m:r>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f</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电</m:t>
                </m:r>
                <m:ctrlPr>
                  <w:rPr>
                    <w:rFonts w:hint="default" w:ascii="Cambria Math" w:hAnsi="Cambria Math" w:cs="Times New Roman"/>
                    <w:color w:val="000000"/>
                    <w:sz w:val="24"/>
                    <w:szCs w:val="24"/>
                    <w:highlight w:val="none"/>
                  </w:rPr>
                </m:ctrlPr>
              </m:sub>
            </m:sSub>
            <m:ctrlPr>
              <w:rPr>
                <w:rFonts w:hint="default" w:ascii="Cambria Math" w:hAnsi="Cambria Math" w:cs="Times New Roman"/>
                <w:color w:val="000000"/>
                <w:sz w:val="24"/>
                <w:szCs w:val="24"/>
                <w:highlight w:val="none"/>
              </w:rPr>
            </m:ctrlPr>
          </m:num>
          <m:den>
            <m:r>
              <m:rPr>
                <m:sty m:val="p"/>
              </m:rPr>
              <w:rPr>
                <w:rFonts w:hint="default" w:ascii="Cambria Math" w:hAnsi="Cambria Math" w:cs="Times New Roman"/>
                <w:color w:val="000000"/>
                <w:sz w:val="24"/>
                <w:szCs w:val="24"/>
                <w:highlight w:val="none"/>
                <w:lang w:val="en-US" w:eastAsia="zh-CN"/>
              </w:rPr>
              <m:t>EER</m:t>
            </m:r>
            <m:ctrlPr>
              <w:rPr>
                <w:rFonts w:hint="default" w:ascii="Cambria Math" w:hAnsi="Cambria Math" w:cs="Times New Roman"/>
                <w:color w:val="000000"/>
                <w:sz w:val="24"/>
                <w:szCs w:val="24"/>
                <w:highlight w:val="none"/>
              </w:rPr>
            </m:ctrlPr>
          </m:den>
        </m:f>
        <m:r>
          <m:rPr>
            <m:sty m:val="p"/>
          </m:rPr>
          <w:rPr>
            <w:rFonts w:hint="default" w:ascii="Cambria Math" w:hAnsi="Cambria Math" w:cs="Times New Roman"/>
            <w:color w:val="000000"/>
            <w:sz w:val="24"/>
            <w:szCs w:val="24"/>
            <w:highlight w:val="none"/>
          </w:rPr>
          <m:t>+</m:t>
        </m:r>
        <m:f>
          <m:fPr>
            <m:ctrlPr>
              <w:rPr>
                <w:rFonts w:hint="default" w:ascii="Cambria Math" w:hAnsi="Cambria Math" w:cs="Times New Roman"/>
                <w:color w:val="000000"/>
                <w:sz w:val="24"/>
                <w:szCs w:val="24"/>
                <w:highlight w:val="none"/>
              </w:rPr>
            </m:ctrlPr>
          </m:fPr>
          <m:num>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HDD</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18</m:t>
                </m:r>
                <m:ctrlPr>
                  <w:rPr>
                    <w:rFonts w:hint="default" w:ascii="Cambria Math" w:hAnsi="Cambria Math" w:cs="Times New Roman"/>
                    <w:color w:val="000000"/>
                    <w:sz w:val="24"/>
                    <w:szCs w:val="24"/>
                    <w:highlight w:val="none"/>
                  </w:rPr>
                </m:ctrlPr>
              </m:sub>
            </m:sSub>
            <m:r>
              <m:rPr>
                <m:sty m:val="p"/>
              </m:rPr>
              <w:rPr>
                <w:rFonts w:hint="default" w:ascii="Cambria Math" w:hAnsi="Cambria Math" w:cs="Times New Roman"/>
                <w:color w:val="000000"/>
                <w:sz w:val="24"/>
                <w:szCs w:val="24"/>
                <w:highlight w:val="none"/>
              </w:rPr>
              <m:t>×</m:t>
            </m:r>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K</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0H</m:t>
                </m:r>
                <m:ctrlPr>
                  <w:rPr>
                    <w:rFonts w:hint="default" w:ascii="Cambria Math" w:hAnsi="Cambria Math" w:cs="Times New Roman"/>
                    <w:color w:val="000000"/>
                    <w:sz w:val="24"/>
                    <w:szCs w:val="24"/>
                    <w:highlight w:val="none"/>
                  </w:rPr>
                </m:ctrlPr>
              </m:sub>
            </m:sSub>
            <m:r>
              <m:rPr>
                <m:sty m:val="p"/>
              </m:rPr>
              <w:rPr>
                <w:rFonts w:hint="default" w:ascii="Cambria Math" w:hAnsi="Cambria Math" w:cs="Times New Roman"/>
                <w:color w:val="000000"/>
                <w:sz w:val="24"/>
                <w:szCs w:val="24"/>
                <w:highlight w:val="none"/>
              </w:rPr>
              <m:t>×</m:t>
            </m:r>
            <m:sSub>
              <m:sSubPr>
                <m:ctrlPr>
                  <w:rPr>
                    <w:rFonts w:hint="default" w:ascii="Cambria Math" w:hAnsi="Cambria Math" w:cs="Times New Roman"/>
                    <w:color w:val="000000"/>
                    <w:sz w:val="24"/>
                    <w:szCs w:val="24"/>
                    <w:highlight w:val="none"/>
                  </w:rPr>
                </m:ctrlPr>
              </m:sSubPr>
              <m:e>
                <m:r>
                  <m:rPr>
                    <m:sty m:val="p"/>
                  </m:rPr>
                  <w:rPr>
                    <w:rFonts w:hint="default" w:ascii="Cambria Math" w:hAnsi="Cambria Math" w:cs="Times New Roman"/>
                    <w:color w:val="000000"/>
                    <w:sz w:val="24"/>
                    <w:szCs w:val="24"/>
                    <w:highlight w:val="none"/>
                  </w:rPr>
                  <m:t>f</m:t>
                </m:r>
                <m:ctrlPr>
                  <w:rPr>
                    <w:rFonts w:hint="default" w:ascii="Cambria Math" w:hAnsi="Cambria Math" w:cs="Times New Roman"/>
                    <w:color w:val="000000"/>
                    <w:sz w:val="24"/>
                    <w:szCs w:val="24"/>
                    <w:highlight w:val="none"/>
                  </w:rPr>
                </m:ctrlPr>
              </m:e>
              <m:sub>
                <m:r>
                  <m:rPr>
                    <m:sty m:val="p"/>
                  </m:rPr>
                  <w:rPr>
                    <w:rFonts w:hint="default" w:ascii="Cambria Math" w:hAnsi="Cambria Math" w:cs="Times New Roman"/>
                    <w:color w:val="000000"/>
                    <w:sz w:val="24"/>
                    <w:szCs w:val="24"/>
                    <w:highlight w:val="none"/>
                  </w:rPr>
                  <m:t>燃</m:t>
                </m:r>
                <m:ctrlPr>
                  <w:rPr>
                    <w:rFonts w:hint="default" w:ascii="Cambria Math" w:hAnsi="Cambria Math" w:cs="Times New Roman"/>
                    <w:color w:val="000000"/>
                    <w:sz w:val="24"/>
                    <w:szCs w:val="24"/>
                    <w:highlight w:val="none"/>
                  </w:rPr>
                </m:ctrlPr>
              </m:sub>
            </m:sSub>
            <m:ctrlPr>
              <w:rPr>
                <w:rFonts w:hint="default" w:ascii="Cambria Math" w:hAnsi="Cambria Math" w:cs="Times New Roman"/>
                <w:color w:val="000000"/>
                <w:sz w:val="24"/>
                <w:szCs w:val="24"/>
                <w:highlight w:val="none"/>
              </w:rPr>
            </m:ctrlPr>
          </m:num>
          <m:den>
            <m:r>
              <m:rPr>
                <m:sty m:val="p"/>
              </m:rPr>
              <w:rPr>
                <w:rFonts w:hint="default" w:ascii="Cambria Math" w:hAnsi="Cambria Math" w:cs="Times New Roman"/>
                <w:color w:val="000000"/>
                <w:sz w:val="24"/>
                <w:szCs w:val="24"/>
                <w:highlight w:val="none"/>
              </w:rPr>
              <m:t>ε×μ</m:t>
            </m:r>
            <m:ctrlPr>
              <w:rPr>
                <w:rFonts w:hint="default" w:ascii="Cambria Math" w:hAnsi="Cambria Math" w:cs="Times New Roman"/>
                <w:color w:val="000000"/>
                <w:sz w:val="24"/>
                <w:szCs w:val="24"/>
                <w:highlight w:val="none"/>
              </w:rPr>
            </m:ctrlPr>
          </m:den>
        </m:f>
      </m:oMath>
      <w:r>
        <w:rPr>
          <w:rFonts w:hint="default" w:ascii="Times New Roman" w:hAnsi="Times New Roman" w:cs="Times New Roman"/>
          <w:color w:val="000000"/>
          <w:sz w:val="24"/>
          <w:szCs w:val="24"/>
          <w:highlight w:val="none"/>
        </w:rPr>
        <w:t xml:space="preserve">      </w:t>
      </w:r>
      <w:r>
        <w:rPr>
          <w:rFonts w:hint="eastAsia" w:cs="Times New Roman"/>
          <w:color w:val="000000"/>
          <w:sz w:val="24"/>
          <w:szCs w:val="24"/>
          <w:highlight w:val="none"/>
          <w:lang w:val="en-US" w:eastAsia="zh-CN"/>
        </w:rPr>
        <w:t xml:space="preserve">        </w:t>
      </w:r>
      <w:r>
        <w:rPr>
          <w:rFonts w:hint="default" w:ascii="Times New Roman" w:hAnsi="Times New Roman" w:cs="Times New Roman"/>
          <w:color w:val="000000"/>
          <w:sz w:val="24"/>
          <w:szCs w:val="24"/>
          <w:highlight w:val="none"/>
        </w:rPr>
        <w:t xml:space="preserve"> </w:t>
      </w:r>
      <w:r>
        <w:rPr>
          <w:rFonts w:hint="default" w:ascii="Times New Roman" w:hAnsi="Times New Roman" w:eastAsia="宋体" w:cs="Times New Roman"/>
          <w:color w:val="000000"/>
          <w:sz w:val="24"/>
          <w:szCs w:val="24"/>
          <w:highlight w:val="none"/>
          <w:lang w:eastAsia="zh-CN"/>
        </w:rPr>
        <w:t>（</w:t>
      </w:r>
      <w:r>
        <w:rPr>
          <w:rFonts w:hint="default" w:ascii="Times New Roman" w:hAnsi="Times New Roman" w:eastAsia="宋体" w:cs="Times New Roman"/>
          <w:color w:val="000000"/>
          <w:sz w:val="24"/>
          <w:szCs w:val="24"/>
          <w:highlight w:val="none"/>
          <w:lang w:val="en-US" w:eastAsia="zh-CN"/>
        </w:rPr>
        <w:t>2</w:t>
      </w:r>
      <w:r>
        <w:rPr>
          <w:rFonts w:hint="default" w:ascii="Times New Roman" w:hAnsi="Times New Roman" w:eastAsia="宋体" w:cs="Times New Roman"/>
          <w:color w:val="000000"/>
          <w:sz w:val="24"/>
          <w:szCs w:val="24"/>
          <w:highlight w:val="none"/>
          <w:lang w:eastAsia="zh-CN"/>
        </w:rPr>
        <w:t>）</w:t>
      </w:r>
    </w:p>
    <w:p>
      <w:pPr>
        <w:spacing w:line="360" w:lineRule="auto"/>
        <w:ind w:firstLine="480" w:firstLineChars="2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式中：</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rPr>
        <w:t>CDD</w:t>
      </w:r>
      <w:r>
        <w:rPr>
          <w:rFonts w:hint="default" w:ascii="Times New Roman" w:hAnsi="Times New Roman" w:cs="Times New Roman"/>
          <w:color w:val="000000"/>
          <w:sz w:val="24"/>
          <w:szCs w:val="24"/>
          <w:vertAlign w:val="subscript"/>
        </w:rPr>
        <w:t>26</w:t>
      </w:r>
      <w:r>
        <w:rPr>
          <w:rFonts w:hint="default" w:ascii="Times New Roman" w:hAnsi="Times New Roman" w:cs="Times New Roman"/>
          <w:color w:val="000000"/>
          <w:sz w:val="24"/>
          <w:szCs w:val="24"/>
        </w:rPr>
        <w:t>——空调度日数，单位为摄氏度每天（℃·d）；</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K</w:t>
      </w:r>
      <w:r>
        <w:rPr>
          <w:rFonts w:hint="default" w:ascii="Times New Roman" w:hAnsi="Times New Roman" w:eastAsia="宋体" w:cs="Times New Roman"/>
          <w:color w:val="000000"/>
          <w:sz w:val="24"/>
          <w:szCs w:val="24"/>
          <w:vertAlign w:val="subscript"/>
        </w:rPr>
        <w:t>0H</w:t>
      </w:r>
      <w:r>
        <w:rPr>
          <w:rFonts w:hint="default" w:ascii="Times New Roman" w:hAnsi="Times New Roman" w:eastAsia="宋体" w:cs="Times New Roman"/>
          <w:color w:val="000000"/>
          <w:sz w:val="24"/>
          <w:szCs w:val="24"/>
        </w:rPr>
        <w:t>——应用保温隔热产品后</w:t>
      </w:r>
      <w:r>
        <w:rPr>
          <w:rFonts w:hint="default" w:ascii="Times New Roman" w:hAnsi="Times New Roman" w:eastAsia="宋体" w:cs="Times New Roman"/>
          <w:color w:val="000000"/>
          <w:sz w:val="24"/>
          <w:szCs w:val="24"/>
          <w:lang w:val="en-US" w:eastAsia="zh-CN"/>
        </w:rPr>
        <w:t>保温系统</w:t>
      </w:r>
      <w:r>
        <w:rPr>
          <w:rFonts w:hint="default" w:ascii="Times New Roman" w:hAnsi="Times New Roman" w:eastAsia="宋体" w:cs="Times New Roman"/>
          <w:color w:val="000000"/>
          <w:sz w:val="24"/>
          <w:szCs w:val="24"/>
          <w:highlight w:val="none"/>
        </w:rPr>
        <w:t>的</w:t>
      </w:r>
      <w:r>
        <w:rPr>
          <w:rFonts w:hint="default" w:ascii="Times New Roman" w:hAnsi="Times New Roman" w:eastAsia="宋体" w:cs="Times New Roman"/>
          <w:color w:val="000000"/>
          <w:sz w:val="24"/>
          <w:szCs w:val="24"/>
        </w:rPr>
        <w:t>传热系数，单位为瓦每平方米每</w:t>
      </w:r>
      <w:r>
        <w:rPr>
          <w:rFonts w:hint="default" w:ascii="Times New Roman" w:hAnsi="Times New Roman" w:eastAsia="宋体" w:cs="Times New Roman"/>
          <w:color w:val="000000"/>
          <w:sz w:val="24"/>
          <w:szCs w:val="24"/>
          <w:lang w:val="en-US" w:eastAsia="zh-CN"/>
        </w:rPr>
        <w:t>开</w:t>
      </w:r>
      <w:r>
        <w:rPr>
          <w:rFonts w:hint="default" w:ascii="Times New Roman" w:hAnsi="Times New Roman" w:eastAsia="宋体" w:cs="Times New Roman"/>
          <w:color w:val="000000"/>
          <w:sz w:val="24"/>
          <w:szCs w:val="24"/>
        </w:rPr>
        <w:t>尔文（W/(m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rPr>
        <w:t>·K)）。按式</w:t>
      </w:r>
      <w:r>
        <w:rPr>
          <w:rFonts w:hint="default" w:ascii="Times New Roman" w:hAnsi="Times New Roman" w:cs="Times New Roman"/>
          <w:color w:val="000000"/>
          <w:sz w:val="24"/>
          <w:szCs w:val="24"/>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cs="Times New Roman"/>
          <w:color w:val="000000"/>
          <w:sz w:val="24"/>
          <w:szCs w:val="24"/>
        </w:rPr>
        <w:t>）计算</w:t>
      </w:r>
      <w:r>
        <w:rPr>
          <w:rFonts w:hint="default" w:ascii="Times New Roman" w:hAnsi="Times New Roman" w:eastAsia="宋体" w:cs="Times New Roman"/>
          <w:color w:val="000000"/>
          <w:sz w:val="24"/>
          <w:szCs w:val="24"/>
        </w:rPr>
        <w:t>；</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rPr>
        <w:t>EER——空调的能效比，%</w:t>
      </w:r>
      <w:r>
        <w:rPr>
          <w:rFonts w:hint="default" w:ascii="Times New Roman" w:hAnsi="Times New Roman" w:eastAsia="宋体" w:cs="Times New Roman"/>
          <w:color w:val="000000"/>
          <w:sz w:val="24"/>
          <w:szCs w:val="24"/>
        </w:rPr>
        <w:t>；</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f</w:t>
      </w:r>
      <w:r>
        <w:rPr>
          <w:rFonts w:hint="default" w:ascii="Times New Roman" w:hAnsi="Times New Roman" w:eastAsia="宋体" w:cs="Times New Roman"/>
          <w:color w:val="000000"/>
          <w:sz w:val="24"/>
          <w:szCs w:val="24"/>
          <w:vertAlign w:val="subscript"/>
        </w:rPr>
        <w:t>电</w:t>
      </w:r>
      <w:r>
        <w:rPr>
          <w:rFonts w:hint="default" w:ascii="Times New Roman" w:hAnsi="Times New Roman" w:eastAsia="宋体" w:cs="Times New Roman"/>
          <w:color w:val="000000"/>
          <w:sz w:val="24"/>
          <w:szCs w:val="24"/>
        </w:rPr>
        <w:t>——电力的碳排放因子，</w:t>
      </w:r>
      <w:r>
        <w:rPr>
          <w:rFonts w:hint="default" w:ascii="Times New Roman" w:hAnsi="Times New Roman" w:eastAsia="宋体" w:cs="Times New Roman"/>
          <w:kern w:val="0"/>
          <w:sz w:val="24"/>
          <w:szCs w:val="24"/>
          <w:lang w:bidi="ar"/>
        </w:rPr>
        <w:t>单位为千克二氧化碳每千瓦时（</w:t>
      </w:r>
      <w:r>
        <w:rPr>
          <w:rFonts w:hint="default" w:ascii="Times New Roman" w:hAnsi="Times New Roman" w:eastAsia="宋体" w:cs="Times New Roman"/>
          <w:color w:val="000000"/>
          <w:sz w:val="24"/>
          <w:szCs w:val="24"/>
        </w:rPr>
        <w:t>kgCO</w:t>
      </w:r>
      <w:r>
        <w:rPr>
          <w:rFonts w:hint="default" w:ascii="Times New Roman" w:hAnsi="Times New Roman" w:eastAsia="宋体" w:cs="Times New Roman"/>
          <w:color w:val="000000"/>
          <w:sz w:val="24"/>
          <w:szCs w:val="24"/>
          <w:vertAlign w:val="subscript"/>
        </w:rPr>
        <w:t>2</w:t>
      </w:r>
      <w:r>
        <w:rPr>
          <w:rFonts w:hint="default" w:ascii="Times New Roman" w:hAnsi="Times New Roman" w:eastAsia="宋体" w:cs="Times New Roman"/>
          <w:color w:val="000000"/>
          <w:sz w:val="24"/>
          <w:szCs w:val="24"/>
        </w:rPr>
        <w:t>/KWh）；</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rPr>
        <w:t>HDD</w:t>
      </w:r>
      <w:r>
        <w:rPr>
          <w:rFonts w:hint="default" w:ascii="Times New Roman" w:hAnsi="Times New Roman" w:cs="Times New Roman"/>
          <w:color w:val="000000"/>
          <w:sz w:val="24"/>
          <w:szCs w:val="24"/>
          <w:vertAlign w:val="subscript"/>
        </w:rPr>
        <w:t>18</w:t>
      </w:r>
      <w:r>
        <w:rPr>
          <w:rFonts w:hint="default" w:ascii="Times New Roman" w:hAnsi="Times New Roman" w:cs="Times New Roman"/>
          <w:color w:val="000000"/>
          <w:sz w:val="24"/>
          <w:szCs w:val="24"/>
        </w:rPr>
        <w:t>——采暖度日数，单位为摄氏度每天（℃·d）；</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μ——供暖系统热效率，</w:t>
      </w:r>
      <w:r>
        <w:rPr>
          <w:rFonts w:hint="default" w:ascii="Times New Roman" w:hAnsi="Times New Roman" w:cs="Times New Roman"/>
          <w:color w:val="000000"/>
          <w:sz w:val="24"/>
          <w:szCs w:val="24"/>
        </w:rPr>
        <w:t>%</w:t>
      </w:r>
      <w:r>
        <w:rPr>
          <w:rFonts w:hint="default" w:ascii="Times New Roman" w:hAnsi="Times New Roman" w:eastAsia="宋体" w:cs="Times New Roman"/>
          <w:color w:val="000000"/>
          <w:sz w:val="24"/>
          <w:szCs w:val="24"/>
        </w:rPr>
        <w:t>；</w:t>
      </w:r>
    </w:p>
    <w:p>
      <w:pPr>
        <w:spacing w:line="360" w:lineRule="auto"/>
        <w:ind w:firstLine="480" w:firstLineChars="2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ε——采暖用燃料的低位发热量，单位为兆焦每千克（MJ/kg）；</w:t>
      </w:r>
    </w:p>
    <w:p>
      <w:pPr>
        <w:spacing w:line="360" w:lineRule="auto"/>
        <w:ind w:firstLine="480" w:firstLineChars="200"/>
        <w:jc w:val="left"/>
        <w:rPr>
          <w:rFonts w:hint="eastAsia"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rPr>
        <w:t>f</w:t>
      </w:r>
      <w:r>
        <w:rPr>
          <w:rFonts w:hint="default" w:ascii="Times New Roman" w:hAnsi="Times New Roman" w:eastAsia="宋体" w:cs="Times New Roman"/>
          <w:color w:val="000000"/>
          <w:sz w:val="24"/>
          <w:szCs w:val="24"/>
          <w:vertAlign w:val="subscript"/>
        </w:rPr>
        <w:t>燃</w:t>
      </w:r>
      <w:r>
        <w:rPr>
          <w:rFonts w:hint="default" w:ascii="Times New Roman" w:hAnsi="Times New Roman" w:eastAsia="宋体" w:cs="Times New Roman"/>
          <w:color w:val="000000"/>
          <w:sz w:val="24"/>
          <w:szCs w:val="24"/>
        </w:rPr>
        <w:t>——采暖用燃料燃烧的碳排放因子,</w:t>
      </w:r>
      <w:r>
        <w:rPr>
          <w:rFonts w:hint="default" w:ascii="Times New Roman" w:hAnsi="Times New Roman" w:eastAsia="宋体" w:cs="Times New Roman"/>
          <w:kern w:val="0"/>
          <w:sz w:val="24"/>
          <w:szCs w:val="24"/>
          <w:lang w:bidi="ar"/>
        </w:rPr>
        <w:t>单位为千克二氧化碳每千克（</w:t>
      </w:r>
      <w:r>
        <w:rPr>
          <w:rFonts w:hint="default" w:ascii="Times New Roman" w:hAnsi="Times New Roman" w:eastAsia="宋体" w:cs="Times New Roman"/>
          <w:color w:val="000000"/>
          <w:sz w:val="24"/>
          <w:szCs w:val="24"/>
        </w:rPr>
        <w:t>kgCO</w:t>
      </w:r>
      <w:r>
        <w:rPr>
          <w:rFonts w:hint="default" w:ascii="Times New Roman" w:hAnsi="Times New Roman" w:eastAsia="宋体" w:cs="Times New Roman"/>
          <w:color w:val="000000"/>
          <w:sz w:val="24"/>
          <w:szCs w:val="24"/>
          <w:vertAlign w:val="subscript"/>
        </w:rPr>
        <w:t>2</w:t>
      </w:r>
      <w:r>
        <w:rPr>
          <w:rFonts w:hint="default" w:ascii="Times New Roman" w:hAnsi="Times New Roman" w:eastAsia="宋体" w:cs="Times New Roman"/>
          <w:color w:val="000000"/>
          <w:sz w:val="24"/>
          <w:szCs w:val="24"/>
        </w:rPr>
        <w:t>/kg）</w:t>
      </w:r>
      <w:r>
        <w:rPr>
          <w:rFonts w:hint="eastAsia" w:ascii="Times New Roman" w:hAnsi="Times New Roman" w:cs="Times New Roman"/>
          <w:color w:val="000000"/>
          <w:sz w:val="24"/>
          <w:szCs w:val="24"/>
          <w:lang w:eastAsia="zh-CN"/>
        </w:rPr>
        <w:t>。</w:t>
      </w:r>
    </w:p>
    <w:p>
      <w:pPr>
        <w:spacing w:line="360" w:lineRule="auto"/>
        <w:ind w:firstLine="480" w:firstLineChars="200"/>
        <w:jc w:val="left"/>
        <w:rPr>
          <w:rFonts w:hint="default" w:ascii="Times New Roman" w:hAnsi="Times New Roman" w:eastAsia="宋体" w:cs="Times New Roman"/>
          <w:color w:val="000000"/>
          <w:sz w:val="24"/>
          <w:szCs w:val="24"/>
        </w:rPr>
      </w:pPr>
    </w:p>
    <w:p>
      <w:pPr>
        <w:spacing w:line="360" w:lineRule="auto"/>
        <w:ind w:firstLine="560" w:firstLineChars="200"/>
        <w:jc w:val="right"/>
        <w:rPr>
          <w:rFonts w:hint="default" w:ascii="Times New Roman" w:hAnsi="Times New Roman" w:cs="Times New Roman"/>
          <w:color w:val="000000"/>
          <w:sz w:val="24"/>
          <w:szCs w:val="24"/>
        </w:rPr>
      </w:pPr>
      <m:oMath>
        <m:sSub>
          <m:sSubPr>
            <m:ctrlPr>
              <w:rPr>
                <w:rFonts w:hint="default" w:ascii="Cambria Math" w:hAnsi="Cambria Math" w:cs="Times New Roman"/>
                <w:i/>
                <w:color w:val="000000"/>
                <w:sz w:val="28"/>
                <w:szCs w:val="28"/>
              </w:rPr>
            </m:ctrlPr>
          </m:sSubPr>
          <m:e>
            <m:r>
              <m:rPr/>
              <w:rPr>
                <w:rFonts w:hint="default" w:ascii="Cambria Math" w:hAnsi="Cambria Math" w:cs="Times New Roman"/>
                <w:color w:val="000000"/>
                <w:sz w:val="28"/>
                <w:szCs w:val="28"/>
              </w:rPr>
              <m:t>K</m:t>
            </m:r>
            <m:ctrlPr>
              <w:rPr>
                <w:rFonts w:hint="default" w:ascii="Cambria Math" w:hAnsi="Cambria Math" w:cs="Times New Roman"/>
                <w:i/>
                <w:color w:val="000000"/>
                <w:sz w:val="28"/>
                <w:szCs w:val="28"/>
              </w:rPr>
            </m:ctrlPr>
          </m:e>
          <m:sub>
            <m:r>
              <m:rPr/>
              <w:rPr>
                <w:rFonts w:hint="default" w:ascii="Cambria Math" w:hAnsi="Cambria Math" w:cs="Times New Roman"/>
                <w:color w:val="000000"/>
                <w:sz w:val="28"/>
                <w:szCs w:val="28"/>
              </w:rPr>
              <m:t>OH</m:t>
            </m:r>
            <m:ctrlPr>
              <w:rPr>
                <w:rFonts w:hint="default" w:ascii="Cambria Math" w:hAnsi="Cambria Math" w:cs="Times New Roman"/>
                <w:i/>
                <w:color w:val="000000"/>
                <w:sz w:val="28"/>
                <w:szCs w:val="28"/>
              </w:rPr>
            </m:ctrlPr>
          </m:sub>
        </m:sSub>
        <m:r>
          <m:rPr/>
          <w:rPr>
            <w:rFonts w:hint="default" w:ascii="Cambria Math" w:hAnsi="Cambria Math" w:cs="Times New Roman"/>
            <w:color w:val="000000"/>
            <w:sz w:val="28"/>
            <w:szCs w:val="28"/>
          </w:rPr>
          <m:t>=</m:t>
        </m:r>
        <m:f>
          <m:fPr>
            <m:ctrlPr>
              <w:rPr>
                <w:rFonts w:hint="default" w:ascii="Cambria Math" w:hAnsi="Cambria Math" w:cs="Times New Roman"/>
                <w:i/>
                <w:color w:val="000000"/>
                <w:sz w:val="28"/>
                <w:szCs w:val="28"/>
              </w:rPr>
            </m:ctrlPr>
          </m:fPr>
          <m:num>
            <m:r>
              <m:rPr/>
              <w:rPr>
                <w:rFonts w:hint="default" w:ascii="Cambria Math" w:hAnsi="Cambria Math" w:cs="Times New Roman"/>
                <w:color w:val="000000"/>
                <w:sz w:val="28"/>
                <w:szCs w:val="28"/>
              </w:rPr>
              <m:t>1</m:t>
            </m:r>
            <m:ctrlPr>
              <w:rPr>
                <w:rFonts w:hint="default" w:ascii="Cambria Math" w:hAnsi="Cambria Math" w:cs="Times New Roman"/>
                <w:i/>
                <w:color w:val="000000"/>
                <w:sz w:val="28"/>
                <w:szCs w:val="28"/>
              </w:rPr>
            </m:ctrlPr>
          </m:num>
          <m:den>
            <m:f>
              <m:fPr>
                <m:ctrlPr>
                  <w:rPr>
                    <w:rFonts w:hint="default" w:ascii="Cambria Math" w:hAnsi="Cambria Math" w:cs="Times New Roman"/>
                    <w:i/>
                    <w:color w:val="000000"/>
                    <w:sz w:val="28"/>
                    <w:szCs w:val="28"/>
                  </w:rPr>
                </m:ctrlPr>
              </m:fPr>
              <m:num>
                <m:r>
                  <m:rPr/>
                  <w:rPr>
                    <w:rFonts w:hint="default" w:ascii="Cambria Math" w:hAnsi="Cambria Math" w:cs="Times New Roman"/>
                    <w:color w:val="000000"/>
                    <w:sz w:val="28"/>
                    <w:szCs w:val="28"/>
                  </w:rPr>
                  <m:t>1</m:t>
                </m:r>
                <m:ctrlPr>
                  <w:rPr>
                    <w:rFonts w:hint="default" w:ascii="Cambria Math" w:hAnsi="Cambria Math" w:cs="Times New Roman"/>
                    <w:i/>
                    <w:color w:val="000000"/>
                    <w:sz w:val="28"/>
                    <w:szCs w:val="28"/>
                  </w:rPr>
                </m:ctrlPr>
              </m:num>
              <m:den>
                <m:sSub>
                  <m:sSubPr>
                    <m:ctrlPr>
                      <w:rPr>
                        <w:rFonts w:hint="default" w:ascii="Cambria Math" w:hAnsi="Cambria Math" w:cs="Times New Roman"/>
                        <w:i/>
                        <w:color w:val="000000"/>
                        <w:sz w:val="28"/>
                        <w:szCs w:val="28"/>
                      </w:rPr>
                    </m:ctrlPr>
                  </m:sSubPr>
                  <m:e>
                    <m:r>
                      <m:rPr/>
                      <w:rPr>
                        <w:rFonts w:hint="default" w:ascii="Cambria Math" w:hAnsi="Cambria Math" w:cs="Times New Roman"/>
                        <w:color w:val="000000"/>
                        <w:sz w:val="28"/>
                        <w:szCs w:val="28"/>
                      </w:rPr>
                      <m:t>α</m:t>
                    </m:r>
                    <m:ctrlPr>
                      <w:rPr>
                        <w:rFonts w:hint="default" w:ascii="Cambria Math" w:hAnsi="Cambria Math" w:cs="Times New Roman"/>
                        <w:i/>
                        <w:color w:val="000000"/>
                        <w:sz w:val="28"/>
                        <w:szCs w:val="28"/>
                      </w:rPr>
                    </m:ctrlPr>
                  </m:e>
                  <m:sub>
                    <m:r>
                      <m:rPr/>
                      <w:rPr>
                        <w:rFonts w:hint="default" w:ascii="Cambria Math" w:hAnsi="Cambria Math" w:cs="Times New Roman"/>
                        <w:color w:val="000000"/>
                        <w:sz w:val="28"/>
                        <w:szCs w:val="28"/>
                      </w:rPr>
                      <m:t>n</m:t>
                    </m:r>
                    <m:ctrlPr>
                      <w:rPr>
                        <w:rFonts w:hint="default" w:ascii="Cambria Math" w:hAnsi="Cambria Math" w:cs="Times New Roman"/>
                        <w:i/>
                        <w:color w:val="000000"/>
                        <w:sz w:val="28"/>
                        <w:szCs w:val="28"/>
                      </w:rPr>
                    </m:ctrlPr>
                  </m:sub>
                </m:sSub>
                <m:ctrlPr>
                  <w:rPr>
                    <w:rFonts w:hint="default" w:ascii="Cambria Math" w:hAnsi="Cambria Math" w:cs="Times New Roman"/>
                    <w:i/>
                    <w:color w:val="000000"/>
                    <w:sz w:val="28"/>
                    <w:szCs w:val="28"/>
                  </w:rPr>
                </m:ctrlPr>
              </m:den>
            </m:f>
            <m:r>
              <m:rPr/>
              <w:rPr>
                <w:rFonts w:hint="default" w:ascii="Cambria Math" w:hAnsi="Cambria Math" w:cs="Times New Roman"/>
                <w:color w:val="000000"/>
                <w:sz w:val="28"/>
                <w:szCs w:val="28"/>
              </w:rPr>
              <m:t>+</m:t>
            </m:r>
            <m:nary>
              <m:naryPr>
                <m:chr m:val="∑"/>
                <m:limLoc m:val="undOvr"/>
                <m:subHide m:val="1"/>
                <m:supHide m:val="1"/>
                <m:ctrlPr>
                  <w:rPr>
                    <w:rFonts w:hint="default" w:ascii="Cambria Math" w:hAnsi="Cambria Math" w:cs="Times New Roman"/>
                    <w:i/>
                    <w:color w:val="000000"/>
                    <w:sz w:val="28"/>
                    <w:szCs w:val="28"/>
                  </w:rPr>
                </m:ctrlPr>
              </m:naryPr>
              <m:sub>
                <m:ctrlPr>
                  <w:rPr>
                    <w:rFonts w:hint="default" w:ascii="Cambria Math" w:hAnsi="Cambria Math" w:cs="Times New Roman"/>
                    <w:i/>
                    <w:color w:val="000000"/>
                    <w:sz w:val="28"/>
                    <w:szCs w:val="28"/>
                  </w:rPr>
                </m:ctrlPr>
              </m:sub>
              <m:sup>
                <m:ctrlPr>
                  <w:rPr>
                    <w:rFonts w:hint="default" w:ascii="Cambria Math" w:hAnsi="Cambria Math" w:cs="Times New Roman"/>
                    <w:i/>
                    <w:color w:val="000000"/>
                    <w:sz w:val="28"/>
                    <w:szCs w:val="28"/>
                  </w:rPr>
                </m:ctrlPr>
              </m:sup>
              <m:e>
                <m:f>
                  <m:fPr>
                    <m:ctrlPr>
                      <w:rPr>
                        <w:rFonts w:hint="default" w:ascii="Cambria Math" w:hAnsi="Cambria Math" w:cs="Times New Roman"/>
                        <w:i/>
                        <w:color w:val="000000"/>
                        <w:sz w:val="28"/>
                        <w:szCs w:val="28"/>
                      </w:rPr>
                    </m:ctrlPr>
                  </m:fPr>
                  <m:num>
                    <m:sSub>
                      <m:sSubPr>
                        <m:ctrlPr>
                          <w:rPr>
                            <w:rFonts w:hint="default" w:ascii="Cambria Math" w:hAnsi="Cambria Math" w:cs="Times New Roman"/>
                            <w:i/>
                            <w:color w:val="000000"/>
                            <w:sz w:val="28"/>
                            <w:szCs w:val="28"/>
                          </w:rPr>
                        </m:ctrlPr>
                      </m:sSubPr>
                      <m:e>
                        <m:r>
                          <m:rPr/>
                          <w:rPr>
                            <w:rFonts w:hint="default" w:ascii="Cambria Math" w:hAnsi="Cambria Math" w:cs="Times New Roman"/>
                            <w:color w:val="000000"/>
                            <w:sz w:val="28"/>
                            <w:szCs w:val="28"/>
                          </w:rPr>
                          <m:t>ℎ</m:t>
                        </m:r>
                        <m:ctrlPr>
                          <w:rPr>
                            <w:rFonts w:hint="default" w:ascii="Cambria Math" w:hAnsi="Cambria Math" w:cs="Times New Roman"/>
                            <w:i/>
                            <w:color w:val="000000"/>
                            <w:sz w:val="28"/>
                            <w:szCs w:val="28"/>
                          </w:rPr>
                        </m:ctrlPr>
                      </m:e>
                      <m:sub>
                        <m:r>
                          <m:rPr/>
                          <w:rPr>
                            <w:rFonts w:hint="default" w:ascii="Cambria Math" w:hAnsi="Cambria Math" w:cs="Times New Roman"/>
                            <w:color w:val="000000"/>
                            <w:sz w:val="28"/>
                            <w:szCs w:val="28"/>
                          </w:rPr>
                          <m:t>i</m:t>
                        </m:r>
                        <m:ctrlPr>
                          <w:rPr>
                            <w:rFonts w:hint="default" w:ascii="Cambria Math" w:hAnsi="Cambria Math" w:cs="Times New Roman"/>
                            <w:i/>
                            <w:color w:val="000000"/>
                            <w:sz w:val="28"/>
                            <w:szCs w:val="28"/>
                          </w:rPr>
                        </m:ctrlPr>
                      </m:sub>
                    </m:sSub>
                    <m:ctrlPr>
                      <w:rPr>
                        <w:rFonts w:hint="default" w:ascii="Cambria Math" w:hAnsi="Cambria Math" w:cs="Times New Roman"/>
                        <w:i/>
                        <w:color w:val="000000"/>
                        <w:sz w:val="28"/>
                        <w:szCs w:val="28"/>
                      </w:rPr>
                    </m:ctrlPr>
                  </m:num>
                  <m:den>
                    <m:sSub>
                      <m:sSubPr>
                        <m:ctrlPr>
                          <w:rPr>
                            <w:rFonts w:hint="default" w:ascii="Cambria Math" w:hAnsi="Cambria Math" w:cs="Times New Roman"/>
                            <w:i/>
                            <w:color w:val="000000"/>
                            <w:sz w:val="28"/>
                            <w:szCs w:val="28"/>
                          </w:rPr>
                        </m:ctrlPr>
                      </m:sSubPr>
                      <m:e>
                        <m:r>
                          <m:rPr/>
                          <w:rPr>
                            <w:rFonts w:hint="default" w:ascii="Cambria Math" w:hAnsi="Cambria Math" w:cs="Times New Roman"/>
                            <w:color w:val="000000"/>
                            <w:sz w:val="28"/>
                            <w:szCs w:val="28"/>
                          </w:rPr>
                          <m:t>γ</m:t>
                        </m:r>
                        <m:ctrlPr>
                          <w:rPr>
                            <w:rFonts w:hint="default" w:ascii="Cambria Math" w:hAnsi="Cambria Math" w:cs="Times New Roman"/>
                            <w:i/>
                            <w:color w:val="000000"/>
                            <w:sz w:val="28"/>
                            <w:szCs w:val="28"/>
                          </w:rPr>
                        </m:ctrlPr>
                      </m:e>
                      <m:sub>
                        <m:r>
                          <m:rPr/>
                          <w:rPr>
                            <w:rFonts w:hint="default" w:ascii="Cambria Math" w:hAnsi="Cambria Math" w:cs="Times New Roman"/>
                            <w:color w:val="000000"/>
                            <w:sz w:val="28"/>
                            <w:szCs w:val="28"/>
                          </w:rPr>
                          <m:t>i</m:t>
                        </m:r>
                        <m:ctrlPr>
                          <w:rPr>
                            <w:rFonts w:hint="default" w:ascii="Cambria Math" w:hAnsi="Cambria Math" w:cs="Times New Roman"/>
                            <w:i/>
                            <w:color w:val="000000"/>
                            <w:sz w:val="28"/>
                            <w:szCs w:val="28"/>
                          </w:rPr>
                        </m:ctrlPr>
                      </m:sub>
                    </m:sSub>
                    <m:ctrlPr>
                      <w:rPr>
                        <w:rFonts w:hint="default" w:ascii="Cambria Math" w:hAnsi="Cambria Math" w:cs="Times New Roman"/>
                        <w:i/>
                        <w:color w:val="000000"/>
                        <w:sz w:val="28"/>
                        <w:szCs w:val="28"/>
                      </w:rPr>
                    </m:ctrlPr>
                  </m:den>
                </m:f>
                <m:r>
                  <m:rPr/>
                  <w:rPr>
                    <w:rFonts w:hint="default" w:ascii="Cambria Math" w:hAnsi="Cambria Math" w:cs="Times New Roman"/>
                    <w:color w:val="000000"/>
                    <w:sz w:val="28"/>
                    <w:szCs w:val="28"/>
                  </w:rPr>
                  <m:t>+</m:t>
                </m:r>
                <m:f>
                  <m:fPr>
                    <m:ctrlPr>
                      <w:rPr>
                        <w:rFonts w:hint="default" w:ascii="Cambria Math" w:hAnsi="Cambria Math" w:cs="Times New Roman"/>
                        <w:i/>
                        <w:color w:val="000000"/>
                        <w:sz w:val="28"/>
                        <w:szCs w:val="28"/>
                      </w:rPr>
                    </m:ctrlPr>
                  </m:fPr>
                  <m:num>
                    <m:r>
                      <m:rPr/>
                      <w:rPr>
                        <w:rFonts w:hint="default" w:ascii="Cambria Math" w:hAnsi="Cambria Math" w:cs="Times New Roman"/>
                        <w:color w:val="000000"/>
                        <w:sz w:val="28"/>
                        <w:szCs w:val="28"/>
                      </w:rPr>
                      <m:t>1</m:t>
                    </m:r>
                    <m:ctrlPr>
                      <w:rPr>
                        <w:rFonts w:hint="default" w:ascii="Cambria Math" w:hAnsi="Cambria Math" w:cs="Times New Roman"/>
                        <w:i/>
                        <w:color w:val="000000"/>
                        <w:sz w:val="28"/>
                        <w:szCs w:val="28"/>
                      </w:rPr>
                    </m:ctrlPr>
                  </m:num>
                  <m:den>
                    <m:sSub>
                      <m:sSubPr>
                        <m:ctrlPr>
                          <w:rPr>
                            <w:rFonts w:hint="default" w:ascii="Cambria Math" w:hAnsi="Cambria Math" w:cs="Times New Roman"/>
                            <w:i/>
                            <w:color w:val="000000"/>
                            <w:sz w:val="28"/>
                            <w:szCs w:val="28"/>
                          </w:rPr>
                        </m:ctrlPr>
                      </m:sSubPr>
                      <m:e>
                        <m:r>
                          <m:rPr/>
                          <w:rPr>
                            <w:rFonts w:hint="default" w:ascii="Cambria Math" w:hAnsi="Cambria Math" w:cs="Times New Roman"/>
                            <w:color w:val="000000"/>
                            <w:sz w:val="28"/>
                            <w:szCs w:val="28"/>
                          </w:rPr>
                          <m:t>α</m:t>
                        </m:r>
                        <m:ctrlPr>
                          <w:rPr>
                            <w:rFonts w:hint="default" w:ascii="Cambria Math" w:hAnsi="Cambria Math" w:cs="Times New Roman"/>
                            <w:i/>
                            <w:color w:val="000000"/>
                            <w:sz w:val="28"/>
                            <w:szCs w:val="28"/>
                          </w:rPr>
                        </m:ctrlPr>
                      </m:e>
                      <m:sub>
                        <m:r>
                          <m:rPr/>
                          <w:rPr>
                            <w:rFonts w:hint="default" w:ascii="Cambria Math" w:hAnsi="Cambria Math" w:cs="Times New Roman"/>
                            <w:color w:val="000000"/>
                            <w:sz w:val="28"/>
                            <w:szCs w:val="28"/>
                          </w:rPr>
                          <m:t>w</m:t>
                        </m:r>
                        <m:ctrlPr>
                          <w:rPr>
                            <w:rFonts w:hint="default" w:ascii="Cambria Math" w:hAnsi="Cambria Math" w:cs="Times New Roman"/>
                            <w:i/>
                            <w:color w:val="000000"/>
                            <w:sz w:val="28"/>
                            <w:szCs w:val="28"/>
                          </w:rPr>
                        </m:ctrlPr>
                      </m:sub>
                    </m:sSub>
                    <m:ctrlPr>
                      <w:rPr>
                        <w:rFonts w:hint="default" w:ascii="Cambria Math" w:hAnsi="Cambria Math" w:cs="Times New Roman"/>
                        <w:i/>
                        <w:color w:val="000000"/>
                        <w:sz w:val="28"/>
                        <w:szCs w:val="28"/>
                      </w:rPr>
                    </m:ctrlPr>
                  </m:den>
                </m:f>
                <m:ctrlPr>
                  <w:rPr>
                    <w:rFonts w:hint="default" w:ascii="Cambria Math" w:hAnsi="Cambria Math" w:cs="Times New Roman"/>
                    <w:i/>
                    <w:color w:val="000000"/>
                    <w:sz w:val="28"/>
                    <w:szCs w:val="28"/>
                  </w:rPr>
                </m:ctrlPr>
              </m:e>
            </m:nary>
            <m:ctrlPr>
              <w:rPr>
                <w:rFonts w:hint="default" w:ascii="Cambria Math" w:hAnsi="Cambria Math" w:cs="Times New Roman"/>
                <w:i/>
                <w:color w:val="000000"/>
                <w:sz w:val="28"/>
                <w:szCs w:val="28"/>
              </w:rPr>
            </m:ctrlPr>
          </m:den>
        </m:f>
      </m:oMath>
      <w:r>
        <w:rPr>
          <w:rFonts w:hint="default" w:ascii="Times New Roman" w:hAnsi="Times New Roman" w:cs="Times New Roman"/>
          <w:color w:val="000000"/>
          <w:sz w:val="24"/>
          <w:szCs w:val="24"/>
        </w:rPr>
        <w:t xml:space="preserve">                       （</w:t>
      </w:r>
      <w:r>
        <w:rPr>
          <w:rFonts w:hint="default" w:ascii="Times New Roman" w:hAnsi="Times New Roman" w:eastAsia="宋体" w:cs="Times New Roman"/>
          <w:color w:val="000000"/>
          <w:sz w:val="24"/>
          <w:szCs w:val="24"/>
          <w:lang w:val="en-US" w:eastAsia="zh-CN"/>
        </w:rPr>
        <w:t>3</w:t>
      </w:r>
      <w:r>
        <w:rPr>
          <w:rFonts w:hint="default" w:ascii="Times New Roman" w:hAnsi="Times New Roman" w:cs="Times New Roman"/>
          <w:color w:val="000000"/>
          <w:sz w:val="24"/>
          <w:szCs w:val="24"/>
        </w:rPr>
        <w:t>）</w:t>
      </w:r>
    </w:p>
    <w:p>
      <w:pPr>
        <w:spacing w:line="360"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式中：</w:t>
      </w:r>
    </w:p>
    <w:p>
      <w:pPr>
        <w:spacing w:line="360" w:lineRule="auto"/>
        <w:ind w:firstLine="960" w:firstLineChars="4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α</w:t>
      </w:r>
      <w:r>
        <w:rPr>
          <w:rFonts w:hint="default" w:ascii="Times New Roman" w:hAnsi="Times New Roman" w:eastAsia="宋体" w:cs="Times New Roman"/>
          <w:color w:val="000000"/>
          <w:sz w:val="24"/>
          <w:szCs w:val="24"/>
          <w:vertAlign w:val="subscript"/>
          <w:lang w:val="en-US" w:eastAsia="zh-CN"/>
        </w:rPr>
        <w:t>n</w:t>
      </w:r>
      <w:r>
        <w:rPr>
          <w:rFonts w:hint="default" w:ascii="Times New Roman" w:hAnsi="Times New Roman" w:eastAsia="宋体" w:cs="Times New Roman"/>
          <w:color w:val="000000"/>
          <w:sz w:val="24"/>
          <w:szCs w:val="24"/>
        </w:rPr>
        <w:t>——内表面换热系数，取值8.7 W/(m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rPr>
        <w:t>·K)；</w:t>
      </w:r>
    </w:p>
    <w:p>
      <w:pPr>
        <w:spacing w:line="360" w:lineRule="auto"/>
        <w:ind w:firstLine="960" w:firstLineChars="4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α</w:t>
      </w:r>
      <w:r>
        <w:rPr>
          <w:rFonts w:hint="default" w:ascii="Times New Roman" w:hAnsi="Times New Roman" w:cs="Times New Roman"/>
          <w:color w:val="000000"/>
          <w:sz w:val="24"/>
          <w:szCs w:val="24"/>
          <w:vertAlign w:val="subscript"/>
          <w:lang w:val="en-US" w:eastAsia="zh-CN"/>
        </w:rPr>
        <w:t>w</w:t>
      </w:r>
      <w:r>
        <w:rPr>
          <w:rFonts w:hint="default" w:ascii="Times New Roman" w:hAnsi="Times New Roman" w:eastAsia="宋体" w:cs="Times New Roman"/>
          <w:color w:val="000000"/>
          <w:sz w:val="24"/>
          <w:szCs w:val="24"/>
        </w:rPr>
        <w:t>——外表面换热系数，取值23 W/(m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rPr>
        <w:t>·K)；</w:t>
      </w:r>
    </w:p>
    <w:p>
      <w:pPr>
        <w:spacing w:line="360" w:lineRule="auto"/>
        <w:ind w:firstLine="960" w:firstLineChars="4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lang w:val="en-US" w:eastAsia="zh-CN"/>
        </w:rPr>
        <w:t>h</w:t>
      </w:r>
      <w:r>
        <w:rPr>
          <w:rFonts w:hint="default" w:ascii="Times New Roman" w:hAnsi="Times New Roman" w:eastAsia="宋体" w:cs="Times New Roman"/>
          <w:color w:val="000000"/>
          <w:sz w:val="24"/>
          <w:szCs w:val="24"/>
          <w:vertAlign w:val="subscript"/>
          <w:lang w:val="en-US" w:eastAsia="zh-CN"/>
        </w:rPr>
        <w:t>i</w:t>
      </w:r>
      <w:r>
        <w:rPr>
          <w:rFonts w:hint="default" w:ascii="Times New Roman" w:hAnsi="Times New Roman" w:eastAsia="宋体" w:cs="Times New Roman"/>
          <w:color w:val="000000"/>
          <w:sz w:val="24"/>
          <w:szCs w:val="24"/>
        </w:rPr>
        <w:t>——墙体结构或保温隔热材料的厚度，单位为米（m）；</w:t>
      </w:r>
    </w:p>
    <w:p>
      <w:pPr>
        <w:spacing w:line="360" w:lineRule="auto"/>
        <w:ind w:firstLine="960" w:firstLineChars="4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γ</w:t>
      </w:r>
      <w:r>
        <w:rPr>
          <w:rFonts w:hint="default" w:ascii="Times New Roman" w:hAnsi="Times New Roman" w:eastAsia="宋体" w:cs="Times New Roman"/>
          <w:color w:val="000000"/>
          <w:sz w:val="24"/>
          <w:szCs w:val="24"/>
          <w:vertAlign w:val="subscript"/>
          <w:lang w:val="en-US" w:eastAsia="zh-CN"/>
        </w:rPr>
        <w:t>i</w:t>
      </w:r>
      <w:r>
        <w:rPr>
          <w:rFonts w:hint="default" w:ascii="Times New Roman" w:hAnsi="Times New Roman" w:eastAsia="宋体" w:cs="Times New Roman"/>
          <w:color w:val="000000"/>
          <w:sz w:val="24"/>
          <w:szCs w:val="24"/>
        </w:rPr>
        <w:t>——墙体结构或保温隔热材料的导热系数，单位为瓦每米每</w:t>
      </w:r>
      <w:r>
        <w:rPr>
          <w:rFonts w:hint="default" w:ascii="Times New Roman" w:hAnsi="Times New Roman" w:eastAsia="宋体" w:cs="Times New Roman"/>
          <w:color w:val="000000"/>
          <w:sz w:val="24"/>
          <w:szCs w:val="24"/>
          <w:lang w:val="en-US" w:eastAsia="zh-CN"/>
        </w:rPr>
        <w:t>开</w:t>
      </w:r>
      <w:r>
        <w:rPr>
          <w:rFonts w:hint="default" w:ascii="Times New Roman" w:hAnsi="Times New Roman" w:eastAsia="宋体" w:cs="Times New Roman"/>
          <w:color w:val="000000"/>
          <w:sz w:val="24"/>
          <w:szCs w:val="24"/>
        </w:rPr>
        <w:t>尔文（W/(m·K)）。</w:t>
      </w:r>
    </w:p>
    <w:p>
      <w:pPr>
        <w:pageBreakBefore w:val="0"/>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color w:val="00000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520" w:lineRule="exact"/>
        <w:ind w:firstLine="440" w:firstLineChars="200"/>
        <w:jc w:val="right"/>
        <w:textAlignment w:val="auto"/>
        <w:rPr>
          <w:rFonts w:hint="default" w:ascii="Times New Roman" w:hAnsi="Times New Roman" w:eastAsia="宋体" w:cs="Times New Roman"/>
          <w:kern w:val="0"/>
          <w:sz w:val="24"/>
          <w:szCs w:val="24"/>
          <w:lang w:val="en-US" w:eastAsia="zh-CN" w:bidi="ar"/>
        </w:rPr>
      </w:pPr>
      <m:oMath>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E</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eH</m:t>
            </m:r>
            <m:ctrlPr>
              <w:rPr>
                <w:rFonts w:hint="default" w:ascii="Cambria Math" w:hAnsi="Cambria Math" w:cs="Times New Roman"/>
                <w:color w:val="000000"/>
                <w:sz w:val="22"/>
                <w:szCs w:val="22"/>
                <w:highlight w:val="none"/>
              </w:rPr>
            </m:ctrlPr>
          </m:sub>
        </m:sSub>
        <m:r>
          <m:rPr>
            <m:sty m:val="p"/>
          </m:rPr>
          <w:rPr>
            <w:rFonts w:hint="default" w:ascii="Cambria Math" w:hAnsi="Cambria Math" w:cs="Times New Roman"/>
            <w:color w:val="000000"/>
            <w:sz w:val="22"/>
            <w:szCs w:val="22"/>
            <w:highlight w:val="none"/>
          </w:rPr>
          <m:t>=</m:t>
        </m:r>
        <m:f>
          <m:fPr>
            <m:ctrlPr>
              <w:rPr>
                <w:rFonts w:hint="default" w:ascii="Cambria Math" w:hAnsi="Cambria Math" w:cs="Times New Roman"/>
                <w:color w:val="000000"/>
                <w:sz w:val="22"/>
                <w:szCs w:val="22"/>
                <w:highlight w:val="none"/>
              </w:rPr>
            </m:ctrlPr>
          </m:fPr>
          <m:num>
            <m:sSub>
              <m:sSubPr>
                <m:ctrlPr>
                  <w:rPr>
                    <w:rFonts w:hint="default" w:ascii="Cambria Math" w:hAnsi="Cambria Math" w:cs="Times New Roman"/>
                    <w:i w:val="0"/>
                    <w:color w:val="000000"/>
                    <w:sz w:val="22"/>
                    <w:szCs w:val="22"/>
                    <w:highlight w:val="none"/>
                  </w:rPr>
                </m:ctrlPr>
              </m:sSubPr>
              <m:e>
                <m:r>
                  <m:rPr>
                    <m:sty m:val="p"/>
                  </m:rPr>
                  <w:rPr>
                    <w:rFonts w:hint="default" w:ascii="Cambria Math" w:hAnsi="Cambria Math" w:cs="Times New Roman"/>
                    <w:color w:val="000000"/>
                    <w:sz w:val="22"/>
                    <w:szCs w:val="22"/>
                    <w:highlight w:val="none"/>
                  </w:rPr>
                  <m:t>CDD</m:t>
                </m:r>
                <m:ctrlPr>
                  <w:rPr>
                    <w:rFonts w:hint="default" w:ascii="Cambria Math" w:hAnsi="Cambria Math" w:cs="Times New Roman"/>
                    <w:i w:val="0"/>
                    <w:color w:val="000000"/>
                    <w:sz w:val="22"/>
                    <w:szCs w:val="22"/>
                    <w:highlight w:val="none"/>
                  </w:rPr>
                </m:ctrlPr>
              </m:e>
              <m:sub>
                <m:r>
                  <m:rPr>
                    <m:sty m:val="p"/>
                  </m:rPr>
                  <w:rPr>
                    <w:rFonts w:hint="default" w:ascii="Cambria Math" w:hAnsi="Cambria Math" w:cs="Times New Roman"/>
                    <w:color w:val="000000"/>
                    <w:sz w:val="22"/>
                    <w:szCs w:val="22"/>
                    <w:highlight w:val="none"/>
                    <w:lang w:val="en-US" w:eastAsia="zh-CN"/>
                  </w:rPr>
                  <m:t>26</m:t>
                </m:r>
                <m:ctrlPr>
                  <w:rPr>
                    <w:rFonts w:hint="default" w:ascii="Cambria Math" w:hAnsi="Cambria Math" w:cs="Times New Roman"/>
                    <w:i w:val="0"/>
                    <w:color w:val="000000"/>
                    <w:sz w:val="22"/>
                    <w:szCs w:val="22"/>
                    <w:highlight w:val="none"/>
                  </w:rPr>
                </m:ctrlPr>
              </m:sub>
            </m:sSub>
            <m:r>
              <m:rPr>
                <m:sty m:val="p"/>
              </m:rPr>
              <w:rPr>
                <w:rFonts w:hint="default" w:ascii="Cambria Math" w:hAnsi="Cambria Math" w:cs="Times New Roman"/>
                <w:color w:val="000000"/>
                <w:sz w:val="22"/>
                <w:szCs w:val="22"/>
                <w:highlight w:val="none"/>
              </w:rPr>
              <m:t>×</m:t>
            </m:r>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K</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eH</m:t>
                </m:r>
                <m:ctrlPr>
                  <w:rPr>
                    <w:rFonts w:hint="default" w:ascii="Cambria Math" w:hAnsi="Cambria Math" w:cs="Times New Roman"/>
                    <w:color w:val="000000"/>
                    <w:sz w:val="22"/>
                    <w:szCs w:val="22"/>
                    <w:highlight w:val="none"/>
                  </w:rPr>
                </m:ctrlPr>
              </m:sub>
            </m:sSub>
            <m:r>
              <m:rPr>
                <m:sty m:val="p"/>
              </m:rPr>
              <w:rPr>
                <w:rFonts w:hint="default" w:ascii="Cambria Math" w:hAnsi="Cambria Math" w:cs="Times New Roman"/>
                <w:color w:val="000000"/>
                <w:sz w:val="22"/>
                <w:szCs w:val="22"/>
                <w:highlight w:val="none"/>
              </w:rPr>
              <m:t>×</m:t>
            </m:r>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f</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电</m:t>
                </m:r>
                <m:ctrlPr>
                  <w:rPr>
                    <w:rFonts w:hint="default" w:ascii="Cambria Math" w:hAnsi="Cambria Math" w:cs="Times New Roman"/>
                    <w:color w:val="000000"/>
                    <w:sz w:val="22"/>
                    <w:szCs w:val="22"/>
                    <w:highlight w:val="none"/>
                  </w:rPr>
                </m:ctrlPr>
              </m:sub>
            </m:sSub>
            <m:ctrlPr>
              <w:rPr>
                <w:rFonts w:hint="default" w:ascii="Cambria Math" w:hAnsi="Cambria Math" w:cs="Times New Roman"/>
                <w:color w:val="000000"/>
                <w:sz w:val="22"/>
                <w:szCs w:val="22"/>
                <w:highlight w:val="none"/>
              </w:rPr>
            </m:ctrlPr>
          </m:num>
          <m:den>
            <m:r>
              <m:rPr>
                <m:sty m:val="p"/>
              </m:rPr>
              <w:rPr>
                <w:rFonts w:hint="default" w:ascii="Cambria Math" w:hAnsi="Cambria Math" w:cs="Times New Roman"/>
                <w:color w:val="000000"/>
                <w:sz w:val="22"/>
                <w:szCs w:val="22"/>
                <w:highlight w:val="none"/>
              </w:rPr>
              <m:t>EER</m:t>
            </m:r>
            <m:ctrlPr>
              <w:rPr>
                <w:rFonts w:hint="default" w:ascii="Cambria Math" w:hAnsi="Cambria Math" w:cs="Times New Roman"/>
                <w:color w:val="000000"/>
                <w:sz w:val="22"/>
                <w:szCs w:val="22"/>
                <w:highlight w:val="none"/>
              </w:rPr>
            </m:ctrlPr>
          </m:den>
        </m:f>
        <m:r>
          <m:rPr>
            <m:sty m:val="p"/>
          </m:rPr>
          <w:rPr>
            <w:rFonts w:hint="default" w:ascii="Cambria Math" w:hAnsi="Cambria Math" w:cs="Times New Roman"/>
            <w:color w:val="000000"/>
            <w:sz w:val="22"/>
            <w:szCs w:val="22"/>
            <w:highlight w:val="none"/>
          </w:rPr>
          <m:t>+</m:t>
        </m:r>
        <m:f>
          <m:fPr>
            <m:ctrlPr>
              <w:rPr>
                <w:rFonts w:hint="default" w:ascii="Cambria Math" w:hAnsi="Cambria Math" w:cs="Times New Roman"/>
                <w:color w:val="000000"/>
                <w:sz w:val="22"/>
                <w:szCs w:val="22"/>
                <w:highlight w:val="none"/>
              </w:rPr>
            </m:ctrlPr>
          </m:fPr>
          <m:num>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HDD</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18</m:t>
                </m:r>
                <m:ctrlPr>
                  <w:rPr>
                    <w:rFonts w:hint="default" w:ascii="Cambria Math" w:hAnsi="Cambria Math" w:cs="Times New Roman"/>
                    <w:color w:val="000000"/>
                    <w:sz w:val="22"/>
                    <w:szCs w:val="22"/>
                    <w:highlight w:val="none"/>
                  </w:rPr>
                </m:ctrlPr>
              </m:sub>
            </m:sSub>
            <m:r>
              <m:rPr>
                <m:sty m:val="p"/>
              </m:rPr>
              <w:rPr>
                <w:rFonts w:hint="default" w:ascii="Cambria Math" w:hAnsi="Cambria Math" w:cs="Times New Roman"/>
                <w:color w:val="000000"/>
                <w:sz w:val="22"/>
                <w:szCs w:val="22"/>
                <w:highlight w:val="none"/>
              </w:rPr>
              <m:t>×</m:t>
            </m:r>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K</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eH</m:t>
                </m:r>
                <m:ctrlPr>
                  <w:rPr>
                    <w:rFonts w:hint="default" w:ascii="Cambria Math" w:hAnsi="Cambria Math" w:cs="Times New Roman"/>
                    <w:color w:val="000000"/>
                    <w:sz w:val="22"/>
                    <w:szCs w:val="22"/>
                    <w:highlight w:val="none"/>
                  </w:rPr>
                </m:ctrlPr>
              </m:sub>
            </m:sSub>
            <m:r>
              <m:rPr>
                <m:sty m:val="p"/>
              </m:rPr>
              <w:rPr>
                <w:rFonts w:hint="default" w:ascii="Cambria Math" w:hAnsi="Cambria Math" w:cs="Times New Roman"/>
                <w:color w:val="000000"/>
                <w:sz w:val="22"/>
                <w:szCs w:val="22"/>
                <w:highlight w:val="none"/>
              </w:rPr>
              <m:t>×</m:t>
            </m:r>
            <m:sSub>
              <m:sSubPr>
                <m:ctrlPr>
                  <w:rPr>
                    <w:rFonts w:hint="default" w:ascii="Cambria Math" w:hAnsi="Cambria Math" w:cs="Times New Roman"/>
                    <w:color w:val="000000"/>
                    <w:sz w:val="22"/>
                    <w:szCs w:val="22"/>
                    <w:highlight w:val="none"/>
                  </w:rPr>
                </m:ctrlPr>
              </m:sSubPr>
              <m:e>
                <m:r>
                  <m:rPr>
                    <m:sty m:val="p"/>
                  </m:rPr>
                  <w:rPr>
                    <w:rFonts w:hint="default" w:ascii="Cambria Math" w:hAnsi="Cambria Math" w:cs="Times New Roman"/>
                    <w:color w:val="000000"/>
                    <w:sz w:val="22"/>
                    <w:szCs w:val="22"/>
                    <w:highlight w:val="none"/>
                  </w:rPr>
                  <m:t>f</m:t>
                </m:r>
                <m:ctrlPr>
                  <w:rPr>
                    <w:rFonts w:hint="default" w:ascii="Cambria Math" w:hAnsi="Cambria Math" w:cs="Times New Roman"/>
                    <w:color w:val="000000"/>
                    <w:sz w:val="22"/>
                    <w:szCs w:val="22"/>
                    <w:highlight w:val="none"/>
                  </w:rPr>
                </m:ctrlPr>
              </m:e>
              <m:sub>
                <m:r>
                  <m:rPr>
                    <m:sty m:val="p"/>
                  </m:rPr>
                  <w:rPr>
                    <w:rFonts w:hint="default" w:ascii="Cambria Math" w:hAnsi="Cambria Math" w:cs="Times New Roman"/>
                    <w:color w:val="000000"/>
                    <w:sz w:val="22"/>
                    <w:szCs w:val="22"/>
                    <w:highlight w:val="none"/>
                  </w:rPr>
                  <m:t>燃</m:t>
                </m:r>
                <m:ctrlPr>
                  <w:rPr>
                    <w:rFonts w:hint="default" w:ascii="Cambria Math" w:hAnsi="Cambria Math" w:cs="Times New Roman"/>
                    <w:color w:val="000000"/>
                    <w:sz w:val="22"/>
                    <w:szCs w:val="22"/>
                    <w:highlight w:val="none"/>
                  </w:rPr>
                </m:ctrlPr>
              </m:sub>
            </m:sSub>
            <m:ctrlPr>
              <w:rPr>
                <w:rFonts w:hint="default" w:ascii="Cambria Math" w:hAnsi="Cambria Math" w:cs="Times New Roman"/>
                <w:color w:val="000000"/>
                <w:sz w:val="22"/>
                <w:szCs w:val="22"/>
                <w:highlight w:val="none"/>
              </w:rPr>
            </m:ctrlPr>
          </m:num>
          <m:den>
            <m:r>
              <m:rPr>
                <m:sty m:val="p"/>
              </m:rPr>
              <w:rPr>
                <w:rFonts w:hint="default" w:ascii="Cambria Math" w:hAnsi="Cambria Math" w:cs="Times New Roman"/>
                <w:color w:val="000000"/>
                <w:sz w:val="22"/>
                <w:szCs w:val="22"/>
                <w:highlight w:val="none"/>
              </w:rPr>
              <m:t>ε×μ</m:t>
            </m:r>
            <m:ctrlPr>
              <w:rPr>
                <w:rFonts w:hint="default" w:ascii="Cambria Math" w:hAnsi="Cambria Math" w:cs="Times New Roman"/>
                <w:color w:val="000000"/>
                <w:sz w:val="22"/>
                <w:szCs w:val="22"/>
                <w:highlight w:val="none"/>
              </w:rPr>
            </m:ctrlPr>
          </m:den>
        </m:f>
      </m:oMath>
      <w:r>
        <w:rPr>
          <w:rFonts w:hint="default" w:ascii="Times New Roman" w:hAnsi="Times New Roman" w:cs="Times New Roman"/>
          <w:color w:val="000000"/>
          <w:sz w:val="24"/>
          <w:szCs w:val="24"/>
          <w:highlight w:val="none"/>
        </w:rPr>
        <w:t xml:space="preserve"> </w:t>
      </w:r>
      <w:r>
        <w:rPr>
          <w:rFonts w:hint="eastAsia" w:cs="Times New Roman"/>
          <w:color w:val="000000"/>
          <w:sz w:val="24"/>
          <w:szCs w:val="24"/>
          <w:highlight w:val="none"/>
          <w:lang w:val="en-US" w:eastAsia="zh-CN"/>
        </w:rPr>
        <w:t xml:space="preserve">  </w:t>
      </w:r>
      <w:r>
        <w:rPr>
          <w:rFonts w:hint="default" w:ascii="Times New Roman" w:hAnsi="Times New Roman" w:cs="Times New Roman"/>
          <w:color w:val="000000"/>
          <w:sz w:val="24"/>
          <w:szCs w:val="24"/>
          <w:highlight w:val="none"/>
        </w:rPr>
        <w:t xml:space="preserve">   </w:t>
      </w:r>
      <w:r>
        <w:rPr>
          <w:rFonts w:hint="eastAsia" w:ascii="Times New Roman" w:hAnsi="Times New Roman" w:cs="Times New Roman"/>
          <w:color w:val="000000"/>
          <w:sz w:val="24"/>
          <w:szCs w:val="24"/>
          <w:highlight w:val="none"/>
          <w:lang w:val="en-US" w:eastAsia="zh-CN"/>
        </w:rPr>
        <w:t xml:space="preserve">    </w:t>
      </w:r>
      <w:r>
        <w:rPr>
          <w:rFonts w:hint="default" w:ascii="Times New Roman" w:hAnsi="Times New Roman" w:cs="Times New Roman"/>
          <w:color w:val="000000"/>
          <w:sz w:val="24"/>
          <w:szCs w:val="24"/>
          <w:highlight w:val="none"/>
        </w:rPr>
        <w:t xml:space="preserve">  </w:t>
      </w:r>
      <w:r>
        <w:rPr>
          <w:rFonts w:hint="default" w:ascii="Times New Roman" w:hAnsi="Times New Roman" w:cs="Times New Roman"/>
          <w:color w:val="000000"/>
          <w:sz w:val="24"/>
          <w:szCs w:val="24"/>
          <w:highlight w:val="none"/>
          <w:lang w:val="en-US" w:eastAsia="zh-CN"/>
        </w:rPr>
        <w:t xml:space="preserve"> </w:t>
      </w:r>
      <w:r>
        <w:rPr>
          <w:rFonts w:hint="default" w:ascii="Times New Roman" w:hAnsi="Times New Roman" w:cs="Times New Roman"/>
          <w:color w:val="000000"/>
          <w:sz w:val="24"/>
          <w:szCs w:val="24"/>
          <w:highlight w:val="none"/>
        </w:rPr>
        <w:t xml:space="preserve"> </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4</w:t>
      </w:r>
      <w:r>
        <w:rPr>
          <w:rFonts w:hint="default" w:ascii="Times New Roman" w:hAnsi="Times New Roman" w:cs="Times New Roman"/>
          <w:color w:val="000000"/>
          <w:sz w:val="24"/>
          <w:szCs w:val="24"/>
          <w:highlight w:val="none"/>
          <w:lang w:eastAsia="zh-CN"/>
        </w:rPr>
        <w:t>）</w:t>
      </w:r>
    </w:p>
    <w:p>
      <w:pPr>
        <w:spacing w:line="360" w:lineRule="auto"/>
        <w:ind w:firstLine="480" w:firstLineChars="200"/>
        <w:jc w:val="left"/>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式中</w:t>
      </w:r>
      <w:r>
        <w:rPr>
          <w:rFonts w:hint="default" w:ascii="Times New Roman" w:hAnsi="Times New Roman" w:eastAsia="宋体" w:cs="Times New Roman"/>
          <w:color w:val="000000"/>
          <w:sz w:val="24"/>
          <w:szCs w:val="24"/>
          <w:lang w:val="en-US" w:eastAsia="zh-CN"/>
        </w:rPr>
        <w:t>:</w:t>
      </w:r>
    </w:p>
    <w:p>
      <w:pPr>
        <w:pageBreakBefore w:val="0"/>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eastAsia="宋体" w:cs="Times New Roman"/>
          <w:color w:val="000000"/>
          <w:sz w:val="24"/>
          <w:szCs w:val="24"/>
        </w:rPr>
        <w:t>K</w:t>
      </w:r>
      <w:r>
        <w:rPr>
          <w:rFonts w:hint="default" w:ascii="Times New Roman" w:hAnsi="Times New Roman" w:eastAsia="宋体" w:cs="Times New Roman"/>
          <w:color w:val="000000"/>
          <w:sz w:val="24"/>
          <w:szCs w:val="24"/>
          <w:vertAlign w:val="subscript"/>
        </w:rPr>
        <w:t>eH</w:t>
      </w:r>
      <w:r>
        <w:rPr>
          <w:rFonts w:hint="default" w:ascii="Times New Roman" w:hAnsi="Times New Roman" w:eastAsia="宋体" w:cs="Times New Roman"/>
          <w:color w:val="000000"/>
          <w:sz w:val="24"/>
          <w:szCs w:val="24"/>
        </w:rPr>
        <w:t>——应用基准保温隔热产品后墙体的传热系数，单位为瓦每平方米每</w:t>
      </w:r>
      <w:r>
        <w:rPr>
          <w:rFonts w:hint="default" w:ascii="Times New Roman" w:hAnsi="Times New Roman" w:eastAsia="宋体" w:cs="Times New Roman"/>
          <w:color w:val="000000"/>
          <w:sz w:val="24"/>
          <w:szCs w:val="24"/>
          <w:lang w:val="en-US" w:eastAsia="zh-CN"/>
        </w:rPr>
        <w:t>开</w:t>
      </w:r>
      <w:r>
        <w:rPr>
          <w:rFonts w:hint="default" w:ascii="Times New Roman" w:hAnsi="Times New Roman" w:eastAsia="宋体" w:cs="Times New Roman"/>
          <w:color w:val="000000"/>
          <w:sz w:val="24"/>
          <w:szCs w:val="24"/>
        </w:rPr>
        <w:t>尔文（W/(m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rPr>
        <w:t>·K)）</w:t>
      </w:r>
      <w:r>
        <w:rPr>
          <w:rFonts w:hint="default" w:ascii="Times New Roman" w:hAnsi="Times New Roman" w:eastAsia="宋体" w:cs="Times New Roman"/>
          <w:color w:val="000000"/>
          <w:sz w:val="24"/>
          <w:szCs w:val="24"/>
          <w:lang w:eastAsia="zh-CN"/>
        </w:rPr>
        <w:t>，</w:t>
      </w:r>
      <w:r>
        <w:rPr>
          <w:rFonts w:hint="eastAsia" w:ascii="宋体" w:hAnsi="宋体" w:eastAsia="宋体" w:cs="宋体"/>
          <w:color w:val="000000"/>
          <w:sz w:val="24"/>
          <w:szCs w:val="24"/>
        </w:rPr>
        <w:t>根据</w:t>
      </w:r>
      <w:r>
        <w:rPr>
          <w:rFonts w:hint="eastAsia" w:ascii="宋体" w:hAnsi="宋体" w:eastAsia="宋体" w:cs="宋体"/>
          <w:color w:val="000000"/>
          <w:sz w:val="24"/>
          <w:szCs w:val="24"/>
          <w:lang w:val="en-US" w:eastAsia="zh-CN"/>
        </w:rPr>
        <w:t>JGJ</w:t>
      </w:r>
      <w:r>
        <w:rPr>
          <w:rFonts w:ascii="宋体" w:hAnsi="宋体" w:eastAsia="宋体" w:cs="宋体"/>
          <w:color w:val="000000"/>
          <w:sz w:val="24"/>
          <w:szCs w:val="24"/>
        </w:rPr>
        <w:t xml:space="preserve"> </w:t>
      </w:r>
      <w:r>
        <w:rPr>
          <w:rFonts w:hint="eastAsia" w:ascii="宋体" w:hAnsi="宋体" w:cs="宋体"/>
          <w:color w:val="000000"/>
          <w:sz w:val="24"/>
          <w:szCs w:val="24"/>
          <w:lang w:val="en-US" w:eastAsia="zh-CN"/>
        </w:rPr>
        <w:t>26</w:t>
      </w:r>
      <w:r>
        <w:rPr>
          <w:rFonts w:hint="eastAsia" w:ascii="宋体" w:hAnsi="宋体" w:eastAsia="宋体" w:cs="宋体"/>
          <w:color w:val="000000"/>
          <w:sz w:val="24"/>
          <w:szCs w:val="24"/>
        </w:rPr>
        <w:t>取</w:t>
      </w:r>
      <w:r>
        <w:rPr>
          <w:rFonts w:hint="eastAsia" w:ascii="宋体" w:hAnsi="宋体" w:eastAsia="宋体" w:cs="宋体"/>
          <w:color w:val="000000"/>
          <w:sz w:val="24"/>
          <w:szCs w:val="24"/>
          <w:lang w:val="en-US" w:eastAsia="zh-CN"/>
        </w:rPr>
        <w:t>参照建筑</w:t>
      </w:r>
      <w:r>
        <w:rPr>
          <w:rFonts w:hint="eastAsia" w:ascii="宋体" w:hAnsi="宋体" w:eastAsia="宋体" w:cs="宋体"/>
          <w:color w:val="000000"/>
          <w:sz w:val="24"/>
          <w:szCs w:val="24"/>
        </w:rPr>
        <w:t>的传热系数</w:t>
      </w:r>
      <w:r>
        <w:rPr>
          <w:rFonts w:hint="eastAsia" w:ascii="宋体" w:hAnsi="宋体" w:eastAsia="宋体" w:cs="宋体"/>
          <w:color w:val="000000"/>
          <w:sz w:val="24"/>
          <w:szCs w:val="24"/>
          <w:lang w:val="en-US" w:eastAsia="zh-CN"/>
        </w:rPr>
        <w:t>最大值</w:t>
      </w:r>
      <w:r>
        <w:rPr>
          <w:rFonts w:hint="default" w:ascii="Times New Roman" w:hAnsi="Times New Roman" w:eastAsia="宋体" w:cs="Times New Roman"/>
          <w:color w:val="000000"/>
          <w:sz w:val="24"/>
          <w:szCs w:val="24"/>
        </w:rPr>
        <w:t>。</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cs="Times New Roman"/>
          <w:color w:val="333333"/>
          <w:spacing w:val="5"/>
          <w:sz w:val="24"/>
          <w:szCs w:val="24"/>
          <w:shd w:val="clear" w:color="auto" w:fill="FFFFFF"/>
          <w:lang w:val="en-US" w:eastAsia="zh-CN"/>
        </w:rPr>
        <w:t>公式（2）是通过核算建筑应用保温隔热材料后围护墙体结构对室内制冷耗电、采暖消耗燃料的量的变化来计算碳排放量。</w:t>
      </w:r>
      <w:r>
        <w:rPr>
          <w:rFonts w:hint="default" w:ascii="Times New Roman" w:hAnsi="Times New Roman" w:eastAsia="宋体" w:cs="Times New Roman"/>
          <w:color w:val="333333"/>
          <w:spacing w:val="5"/>
          <w:sz w:val="24"/>
          <w:szCs w:val="24"/>
          <w:shd w:val="clear" w:color="auto" w:fill="FFFFFF"/>
          <w:lang w:eastAsia="zh-CN"/>
        </w:rPr>
        <w:t>通过产品的导热系数计算出保温外</w:t>
      </w:r>
      <w:r>
        <w:rPr>
          <w:rFonts w:hint="default" w:ascii="Times New Roman" w:hAnsi="Times New Roman" w:cs="Times New Roman"/>
          <w:color w:val="333333"/>
          <w:spacing w:val="5"/>
          <w:sz w:val="24"/>
          <w:szCs w:val="24"/>
          <w:shd w:val="clear" w:color="auto" w:fill="FFFFFF"/>
          <w:lang w:val="en-US" w:eastAsia="zh-CN"/>
        </w:rPr>
        <w:t>围护</w:t>
      </w:r>
      <w:r>
        <w:rPr>
          <w:rFonts w:hint="default" w:ascii="Times New Roman" w:hAnsi="Times New Roman" w:eastAsia="宋体" w:cs="Times New Roman"/>
          <w:color w:val="333333"/>
          <w:spacing w:val="5"/>
          <w:sz w:val="24"/>
          <w:szCs w:val="24"/>
          <w:shd w:val="clear" w:color="auto" w:fill="FFFFFF"/>
          <w:lang w:eastAsia="zh-CN"/>
        </w:rPr>
        <w:t>结构的整体传热系数，计算公式</w:t>
      </w: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cs="Times New Roman"/>
          <w:color w:val="333333"/>
          <w:spacing w:val="5"/>
          <w:sz w:val="24"/>
          <w:szCs w:val="24"/>
          <w:shd w:val="clear" w:color="auto" w:fill="FFFFFF"/>
          <w:lang w:val="en-US" w:eastAsia="zh-CN"/>
        </w:rPr>
        <w:t>3</w:t>
      </w: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eastAsia="宋体" w:cs="Times New Roman"/>
          <w:color w:val="333333"/>
          <w:spacing w:val="5"/>
          <w:sz w:val="24"/>
          <w:szCs w:val="24"/>
          <w:shd w:val="clear" w:color="auto" w:fill="FFFFFF"/>
          <w:lang w:eastAsia="zh-CN"/>
        </w:rPr>
        <w:t>来源于GB 50176，并通过空调度日数和采暖度日数计算给定建筑场景夏季制冷和冬季采暖的时间，进而计算出建筑采暖和制冷消耗的热量，核算出产品</w:t>
      </w:r>
      <w:r>
        <w:rPr>
          <w:rFonts w:hint="eastAsia" w:cs="Times New Roman"/>
          <w:color w:val="333333"/>
          <w:spacing w:val="5"/>
          <w:sz w:val="24"/>
          <w:szCs w:val="24"/>
          <w:shd w:val="clear" w:color="auto" w:fill="FFFFFF"/>
          <w:lang w:val="en-US" w:eastAsia="zh-CN"/>
        </w:rPr>
        <w:t>统计期内的</w:t>
      </w:r>
      <w:r>
        <w:rPr>
          <w:rFonts w:hint="default" w:ascii="Times New Roman" w:hAnsi="Times New Roman" w:eastAsia="宋体" w:cs="Times New Roman"/>
          <w:color w:val="333333"/>
          <w:spacing w:val="5"/>
          <w:sz w:val="24"/>
          <w:szCs w:val="24"/>
          <w:shd w:val="clear" w:color="auto" w:fill="FFFFFF"/>
          <w:lang w:eastAsia="zh-CN"/>
        </w:rPr>
        <w:t>碳排放量。</w:t>
      </w:r>
      <w:r>
        <w:rPr>
          <w:rFonts w:hint="default" w:ascii="Times New Roman" w:hAnsi="Times New Roman" w:cs="Times New Roman"/>
          <w:color w:val="333333"/>
          <w:spacing w:val="5"/>
          <w:sz w:val="24"/>
          <w:szCs w:val="24"/>
          <w:shd w:val="clear" w:color="auto" w:fill="FFFFFF"/>
          <w:lang w:val="en-US" w:eastAsia="zh-CN"/>
        </w:rPr>
        <w:t>该方法来源为国家科技支撑计划项目《典型地区建筑工程用建筑材料全生命周期评价技术研究与应用》课题研究和相关文献资料。</w:t>
      </w:r>
      <w:r>
        <w:rPr>
          <w:rFonts w:hint="default" w:ascii="Times New Roman" w:hAnsi="Times New Roman" w:eastAsia="宋体" w:cs="Times New Roman"/>
          <w:color w:val="333333"/>
          <w:spacing w:val="5"/>
          <w:sz w:val="24"/>
          <w:szCs w:val="24"/>
          <w:shd w:val="clear" w:color="auto" w:fill="FFFFFF"/>
          <w:lang w:eastAsia="zh-CN"/>
        </w:rPr>
        <w:t>基准值为采用</w:t>
      </w:r>
      <w:r>
        <w:rPr>
          <w:rFonts w:hint="default" w:ascii="Times New Roman" w:hAnsi="Times New Roman" w:cs="Times New Roman"/>
          <w:color w:val="333333"/>
          <w:spacing w:val="5"/>
          <w:sz w:val="24"/>
          <w:szCs w:val="24"/>
          <w:shd w:val="clear" w:color="auto" w:fill="FFFFFF"/>
          <w:lang w:val="en-US" w:eastAsia="zh-CN"/>
        </w:rPr>
        <w:t>相同的方法计算</w:t>
      </w:r>
      <w:r>
        <w:rPr>
          <w:rFonts w:hint="default" w:ascii="Times New Roman" w:hAnsi="Times New Roman" w:eastAsia="宋体" w:cs="Times New Roman"/>
          <w:color w:val="333333"/>
          <w:spacing w:val="5"/>
          <w:sz w:val="24"/>
          <w:szCs w:val="24"/>
          <w:shd w:val="clear" w:color="auto" w:fill="FFFFFF"/>
          <w:lang w:eastAsia="zh-CN"/>
        </w:rPr>
        <w:t>保温隔热材料</w:t>
      </w:r>
      <w:r>
        <w:rPr>
          <w:rFonts w:hint="default" w:ascii="Times New Roman" w:hAnsi="Times New Roman" w:cs="Times New Roman"/>
          <w:color w:val="333333"/>
          <w:spacing w:val="5"/>
          <w:sz w:val="24"/>
          <w:szCs w:val="24"/>
          <w:shd w:val="clear" w:color="auto" w:fill="FFFFFF"/>
          <w:lang w:val="en-US" w:eastAsia="zh-CN"/>
        </w:rPr>
        <w:t>系统</w:t>
      </w:r>
      <w:r>
        <w:rPr>
          <w:rFonts w:hint="default" w:ascii="Times New Roman" w:hAnsi="Times New Roman" w:eastAsia="宋体" w:cs="Times New Roman"/>
          <w:color w:val="333333"/>
          <w:spacing w:val="5"/>
          <w:sz w:val="24"/>
          <w:szCs w:val="24"/>
          <w:shd w:val="clear" w:color="auto" w:fill="FFFFFF"/>
          <w:lang w:eastAsia="zh-CN"/>
        </w:rPr>
        <w:t>的</w:t>
      </w:r>
      <w:r>
        <w:rPr>
          <w:rFonts w:hint="default" w:ascii="Times New Roman" w:hAnsi="Times New Roman" w:cs="Times New Roman"/>
          <w:color w:val="333333"/>
          <w:spacing w:val="5"/>
          <w:sz w:val="24"/>
          <w:szCs w:val="24"/>
          <w:shd w:val="clear" w:color="auto" w:fill="FFFFFF"/>
          <w:lang w:val="en-US" w:eastAsia="zh-CN"/>
        </w:rPr>
        <w:t>传热</w:t>
      </w:r>
      <w:r>
        <w:rPr>
          <w:rFonts w:hint="default" w:ascii="Times New Roman" w:hAnsi="Times New Roman" w:eastAsia="宋体" w:cs="Times New Roman"/>
          <w:color w:val="333333"/>
          <w:spacing w:val="5"/>
          <w:sz w:val="24"/>
          <w:szCs w:val="24"/>
          <w:shd w:val="clear" w:color="auto" w:fill="FFFFFF"/>
          <w:lang w:eastAsia="zh-CN"/>
        </w:rPr>
        <w:t>系数为</w:t>
      </w:r>
      <w:r>
        <w:rPr>
          <w:rFonts w:hint="eastAsia" w:ascii="Times New Roman" w:hAnsi="Times New Roman" w:cs="Times New Roman"/>
          <w:color w:val="333333"/>
          <w:spacing w:val="5"/>
          <w:sz w:val="24"/>
          <w:szCs w:val="24"/>
          <w:shd w:val="clear" w:color="auto" w:fill="FFFFFF"/>
          <w:lang w:val="en-US" w:eastAsia="zh-CN"/>
        </w:rPr>
        <w:t>北京地区（寒冷地区）</w:t>
      </w:r>
      <w:r>
        <w:rPr>
          <w:rFonts w:hint="default" w:ascii="Times New Roman" w:hAnsi="Times New Roman" w:cs="Times New Roman"/>
          <w:color w:val="333333"/>
          <w:spacing w:val="5"/>
          <w:sz w:val="24"/>
          <w:szCs w:val="24"/>
          <w:shd w:val="clear" w:color="auto" w:fill="FFFFFF"/>
          <w:lang w:val="en-US" w:eastAsia="zh-CN"/>
        </w:rPr>
        <w:t>节能建筑设计的</w:t>
      </w:r>
      <w:r>
        <w:rPr>
          <w:rFonts w:hint="default" w:ascii="Times New Roman" w:hAnsi="Times New Roman" w:eastAsia="宋体" w:cs="Times New Roman"/>
          <w:color w:val="333333"/>
          <w:spacing w:val="5"/>
          <w:sz w:val="24"/>
          <w:szCs w:val="24"/>
          <w:shd w:val="clear" w:color="auto" w:fill="FFFFFF"/>
          <w:lang w:eastAsia="zh-CN"/>
        </w:rPr>
        <w:t>限定值（</w:t>
      </w:r>
      <w:r>
        <w:rPr>
          <w:rFonts w:hint="eastAsia" w:ascii="宋体" w:hAnsi="宋体" w:eastAsia="宋体" w:cs="宋体"/>
          <w:color w:val="000000"/>
          <w:sz w:val="24"/>
          <w:szCs w:val="24"/>
        </w:rPr>
        <w:t>根据</w:t>
      </w:r>
      <w:r>
        <w:rPr>
          <w:rFonts w:hint="eastAsia" w:ascii="宋体" w:hAnsi="宋体" w:eastAsia="宋体" w:cs="宋体"/>
          <w:color w:val="000000"/>
          <w:sz w:val="24"/>
          <w:szCs w:val="24"/>
          <w:lang w:val="en-US" w:eastAsia="zh-CN"/>
        </w:rPr>
        <w:t>JGJ</w:t>
      </w:r>
      <w:r>
        <w:rPr>
          <w:rFonts w:ascii="宋体" w:hAnsi="宋体" w:eastAsia="宋体" w:cs="宋体"/>
          <w:color w:val="000000"/>
          <w:sz w:val="24"/>
          <w:szCs w:val="24"/>
        </w:rPr>
        <w:t xml:space="preserve"> </w:t>
      </w:r>
      <w:r>
        <w:rPr>
          <w:rFonts w:hint="eastAsia" w:ascii="宋体" w:hAnsi="宋体" w:cs="宋体"/>
          <w:color w:val="000000"/>
          <w:sz w:val="24"/>
          <w:szCs w:val="24"/>
          <w:lang w:val="en-US" w:eastAsia="zh-CN"/>
        </w:rPr>
        <w:t>26</w:t>
      </w:r>
      <w:r>
        <w:rPr>
          <w:rFonts w:hint="eastAsia" w:ascii="宋体" w:hAnsi="宋体" w:eastAsia="宋体" w:cs="宋体"/>
          <w:color w:val="000000"/>
          <w:sz w:val="24"/>
          <w:szCs w:val="24"/>
        </w:rPr>
        <w:t>取</w:t>
      </w:r>
      <w:r>
        <w:rPr>
          <w:rFonts w:hint="eastAsia" w:ascii="宋体" w:hAnsi="宋体" w:eastAsia="宋体" w:cs="宋体"/>
          <w:color w:val="000000"/>
          <w:sz w:val="24"/>
          <w:szCs w:val="24"/>
          <w:lang w:val="en-US" w:eastAsia="zh-CN"/>
        </w:rPr>
        <w:t>参照建筑</w:t>
      </w:r>
      <w:r>
        <w:rPr>
          <w:rFonts w:hint="eastAsia" w:ascii="宋体" w:hAnsi="宋体" w:eastAsia="宋体" w:cs="宋体"/>
          <w:color w:val="000000"/>
          <w:sz w:val="24"/>
          <w:szCs w:val="24"/>
        </w:rPr>
        <w:t>的传热系数</w:t>
      </w:r>
      <w:r>
        <w:rPr>
          <w:rFonts w:hint="eastAsia" w:ascii="宋体" w:hAnsi="宋体" w:cs="宋体"/>
          <w:color w:val="000000"/>
          <w:sz w:val="24"/>
          <w:szCs w:val="24"/>
          <w:lang w:val="en-US" w:eastAsia="zh-CN"/>
        </w:rPr>
        <w:t>最大值即准入</w:t>
      </w:r>
      <w:r>
        <w:rPr>
          <w:rFonts w:hint="eastAsia" w:ascii="宋体" w:hAnsi="宋体" w:eastAsia="宋体" w:cs="宋体"/>
          <w:color w:val="000000"/>
          <w:sz w:val="24"/>
          <w:szCs w:val="24"/>
          <w:lang w:val="en-US" w:eastAsia="zh-CN"/>
        </w:rPr>
        <w:t>值</w:t>
      </w:r>
      <w:r>
        <w:rPr>
          <w:rFonts w:hint="default" w:ascii="Times New Roman" w:hAnsi="Times New Roman" w:eastAsia="宋体" w:cs="Times New Roman"/>
          <w:color w:val="333333"/>
          <w:spacing w:val="5"/>
          <w:sz w:val="24"/>
          <w:szCs w:val="24"/>
          <w:shd w:val="clear" w:color="auto" w:fill="FFFFFF"/>
          <w:lang w:eastAsia="zh-CN"/>
        </w:rPr>
        <w:t>）时计算得到的产品</w:t>
      </w:r>
      <w:r>
        <w:rPr>
          <w:rFonts w:hint="eastAsia" w:cs="Times New Roman"/>
          <w:color w:val="333333"/>
          <w:spacing w:val="5"/>
          <w:sz w:val="24"/>
          <w:szCs w:val="24"/>
          <w:shd w:val="clear" w:color="auto" w:fill="FFFFFF"/>
          <w:lang w:val="en-US" w:eastAsia="zh-CN"/>
        </w:rPr>
        <w:t>统计期内</w:t>
      </w:r>
      <w:r>
        <w:rPr>
          <w:rFonts w:hint="default" w:ascii="Times New Roman" w:hAnsi="Times New Roman" w:eastAsia="宋体" w:cs="Times New Roman"/>
          <w:color w:val="333333"/>
          <w:spacing w:val="5"/>
          <w:sz w:val="24"/>
          <w:szCs w:val="24"/>
          <w:shd w:val="clear" w:color="auto" w:fill="FFFFFF"/>
          <w:lang w:eastAsia="zh-CN"/>
        </w:rPr>
        <w:t>建筑碳排放量。</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333333"/>
          <w:spacing w:val="5"/>
          <w:sz w:val="24"/>
          <w:szCs w:val="24"/>
          <w:shd w:val="clear" w:color="auto" w:fill="FFFFFF"/>
          <w:lang w:val="en-US" w:eastAsia="zh-CN"/>
        </w:rPr>
        <w:t>附录B还给出计算案例，首先给出应用情景的关键指标设定，这是进行减碳量核算的前提条件。包括应用场景所在地区，</w:t>
      </w:r>
      <w:r>
        <w:rPr>
          <w:rFonts w:hint="default" w:ascii="Times New Roman" w:hAnsi="Times New Roman" w:cs="Times New Roman"/>
          <w:color w:val="000000"/>
          <w:sz w:val="24"/>
          <w:szCs w:val="24"/>
        </w:rPr>
        <w:t>外围维护墙体</w:t>
      </w:r>
      <w:r>
        <w:rPr>
          <w:rFonts w:hint="default" w:ascii="Times New Roman" w:hAnsi="Times New Roman" w:cs="Times New Roman"/>
          <w:color w:val="000000"/>
          <w:sz w:val="24"/>
          <w:szCs w:val="24"/>
          <w:lang w:val="en-US" w:eastAsia="zh-CN"/>
        </w:rPr>
        <w:t>的厚度和类型，可根据标准查询其导热系数，给定</w:t>
      </w:r>
      <w:r>
        <w:rPr>
          <w:rFonts w:hint="default" w:ascii="Times New Roman" w:hAnsi="Times New Roman" w:cs="Times New Roman"/>
          <w:color w:val="000000"/>
          <w:sz w:val="24"/>
          <w:szCs w:val="24"/>
        </w:rPr>
        <w:t>空调的能效</w:t>
      </w:r>
      <w:r>
        <w:rPr>
          <w:rFonts w:hint="default" w:ascii="Times New Roman" w:hAnsi="Times New Roman" w:cs="Times New Roman"/>
          <w:color w:val="000000"/>
          <w:sz w:val="24"/>
          <w:szCs w:val="24"/>
          <w:lang w:val="en-US" w:eastAsia="zh-CN"/>
        </w:rPr>
        <w:t>和</w:t>
      </w:r>
      <w:r>
        <w:rPr>
          <w:rFonts w:hint="default" w:ascii="Times New Roman" w:hAnsi="Times New Roman" w:cs="Times New Roman"/>
          <w:color w:val="000000"/>
          <w:sz w:val="24"/>
          <w:szCs w:val="24"/>
          <w:highlight w:val="none"/>
        </w:rPr>
        <w:t>供暖</w:t>
      </w:r>
      <w:r>
        <w:rPr>
          <w:rFonts w:hint="default" w:ascii="Times New Roman" w:hAnsi="Times New Roman" w:cs="Times New Roman"/>
          <w:color w:val="000000"/>
          <w:sz w:val="24"/>
          <w:szCs w:val="24"/>
          <w:highlight w:val="none"/>
          <w:lang w:val="en-US" w:eastAsia="zh-CN"/>
        </w:rPr>
        <w:t>形式等</w:t>
      </w:r>
      <w:r>
        <w:rPr>
          <w:rFonts w:hint="default" w:ascii="Times New Roman" w:hAnsi="Times New Roman" w:cs="Times New Roman"/>
          <w:color w:val="000000"/>
          <w:sz w:val="24"/>
          <w:szCs w:val="24"/>
        </w:rPr>
        <w:t>。</w:t>
      </w:r>
      <w:r>
        <w:rPr>
          <w:rFonts w:hint="default" w:ascii="Times New Roman" w:hAnsi="Times New Roman" w:cs="Times New Roman"/>
          <w:color w:val="000000"/>
          <w:sz w:val="24"/>
          <w:szCs w:val="24"/>
          <w:lang w:val="en-US" w:eastAsia="zh-CN"/>
        </w:rPr>
        <w:t>选取的案例为某企业生产的岩棉板，厚度</w:t>
      </w:r>
      <w:r>
        <w:rPr>
          <w:rFonts w:hint="eastAsia" w:ascii="Times New Roman" w:hAnsi="Times New Roman" w:cs="Times New Roman"/>
          <w:color w:val="000000"/>
          <w:sz w:val="24"/>
          <w:szCs w:val="24"/>
          <w:lang w:val="en-US" w:eastAsia="zh-CN"/>
        </w:rPr>
        <w:t>8</w:t>
      </w:r>
      <w:r>
        <w:rPr>
          <w:rFonts w:hint="default" w:ascii="Times New Roman" w:hAnsi="Times New Roman" w:cs="Times New Roman"/>
          <w:color w:val="000000"/>
          <w:sz w:val="24"/>
          <w:szCs w:val="24"/>
          <w:lang w:val="en-US" w:eastAsia="zh-CN"/>
        </w:rPr>
        <w:t>0mm，密度110kg/m</w:t>
      </w:r>
      <w:r>
        <w:rPr>
          <w:rFonts w:hint="default" w:ascii="Times New Roman" w:hAnsi="Times New Roman" w:cs="Times New Roman"/>
          <w:color w:val="000000"/>
          <w:sz w:val="24"/>
          <w:szCs w:val="24"/>
          <w:vertAlign w:val="superscript"/>
          <w:lang w:val="en-US" w:eastAsia="zh-CN"/>
        </w:rPr>
        <w:t>3</w:t>
      </w:r>
      <w:r>
        <w:rPr>
          <w:rFonts w:hint="default" w:ascii="Times New Roman" w:hAnsi="Times New Roman" w:cs="Times New Roman"/>
          <w:color w:val="000000"/>
          <w:sz w:val="24"/>
          <w:szCs w:val="24"/>
          <w:vertAlign w:val="baseline"/>
          <w:lang w:val="en-US" w:eastAsia="zh-CN"/>
        </w:rPr>
        <w:t>。基准值为采用相同的方法计算保温隔热材料系统的传热系数为节能建筑设计的限定值为</w:t>
      </w:r>
      <w:r>
        <w:rPr>
          <w:rFonts w:hint="eastAsia" w:ascii="Times New Roman" w:hAnsi="Times New Roman" w:cs="Times New Roman"/>
          <w:color w:val="000000"/>
          <w:sz w:val="24"/>
          <w:szCs w:val="24"/>
          <w:lang w:val="en-US" w:eastAsia="zh-CN"/>
        </w:rPr>
        <w:t>0.6</w:t>
      </w:r>
      <w:r>
        <w:rPr>
          <w:rFonts w:hint="default" w:ascii="Times New Roman" w:hAnsi="Times New Roman" w:eastAsia="宋体" w:cs="Times New Roman"/>
          <w:color w:val="000000"/>
          <w:sz w:val="24"/>
          <w:szCs w:val="24"/>
        </w:rPr>
        <w:t>W/(m</w:t>
      </w:r>
      <w:r>
        <w:rPr>
          <w:rFonts w:hint="eastAsia" w:ascii="Times New Roman" w:hAnsi="Times New Roman"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rPr>
        <w:t>·K)</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vertAlign w:val="baseline"/>
          <w:lang w:val="en-US" w:eastAsia="zh-CN"/>
        </w:rPr>
        <w:t>首先根据公式（3）计算得到岩棉板和钢筋混凝土墙体系统的传热系数为0.</w:t>
      </w:r>
      <w:r>
        <w:rPr>
          <w:rFonts w:hint="eastAsia" w:cs="Times New Roman"/>
          <w:color w:val="000000"/>
          <w:sz w:val="24"/>
          <w:szCs w:val="24"/>
          <w:vertAlign w:val="baseline"/>
          <w:lang w:val="en-US" w:eastAsia="zh-CN"/>
        </w:rPr>
        <w:t>45</w:t>
      </w:r>
      <w:r>
        <w:rPr>
          <w:rFonts w:hint="default" w:ascii="Times New Roman" w:hAnsi="Times New Roman" w:eastAsia="宋体" w:cs="Times New Roman"/>
          <w:color w:val="000000"/>
          <w:sz w:val="24"/>
          <w:szCs w:val="24"/>
        </w:rPr>
        <w:t>W/(m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rPr>
        <w:t>·K)</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其中混凝土墙和岩棉板的</w:t>
      </w:r>
      <w:r>
        <w:rPr>
          <w:rFonts w:hint="default" w:ascii="Times New Roman" w:hAnsi="Times New Roman" w:cs="Times New Roman"/>
          <w:color w:val="000000"/>
          <w:sz w:val="24"/>
          <w:szCs w:val="24"/>
          <w:lang w:val="en-US" w:eastAsia="zh-CN"/>
        </w:rPr>
        <w:t>导热系数根据</w:t>
      </w:r>
      <w:r>
        <w:rPr>
          <w:rFonts w:hint="default" w:ascii="Times New Roman" w:hAnsi="Times New Roman" w:eastAsia="宋体" w:cs="Times New Roman"/>
          <w:kern w:val="0"/>
          <w:sz w:val="24"/>
          <w:szCs w:val="24"/>
        </w:rPr>
        <w:t>GB 50176</w:t>
      </w:r>
      <w:r>
        <w:rPr>
          <w:rFonts w:hint="default" w:ascii="Times New Roman" w:hAnsi="Times New Roman" w:cs="Times New Roman"/>
          <w:color w:val="000000"/>
          <w:sz w:val="24"/>
          <w:szCs w:val="24"/>
          <w:lang w:val="en-US" w:eastAsia="zh-CN"/>
        </w:rPr>
        <w:t>分别取值为1.74</w:t>
      </w:r>
      <w:r>
        <w:rPr>
          <w:rFonts w:hint="default" w:ascii="Times New Roman" w:hAnsi="Times New Roman" w:eastAsia="宋体" w:cs="Times New Roman"/>
          <w:color w:val="000000"/>
          <w:sz w:val="24"/>
          <w:szCs w:val="24"/>
        </w:rPr>
        <w:t>W/(m·K)</w:t>
      </w:r>
      <w:r>
        <w:rPr>
          <w:rFonts w:hint="default" w:ascii="Times New Roman" w:hAnsi="Times New Roman" w:eastAsia="宋体" w:cs="Times New Roman"/>
          <w:color w:val="000000"/>
          <w:sz w:val="24"/>
          <w:szCs w:val="24"/>
          <w:lang w:val="en-US" w:eastAsia="zh-CN"/>
        </w:rPr>
        <w:t>和</w:t>
      </w:r>
      <w:r>
        <w:rPr>
          <w:rFonts w:hint="default" w:ascii="Times New Roman" w:hAnsi="Times New Roman" w:cs="Times New Roman"/>
          <w:color w:val="000000"/>
          <w:sz w:val="24"/>
          <w:szCs w:val="24"/>
          <w:lang w:val="en-US" w:eastAsia="zh-CN"/>
        </w:rPr>
        <w:t>0.041</w:t>
      </w:r>
      <w:r>
        <w:rPr>
          <w:rFonts w:hint="default" w:ascii="Times New Roman" w:hAnsi="Times New Roman" w:eastAsia="宋体" w:cs="Times New Roman"/>
          <w:color w:val="000000"/>
          <w:sz w:val="24"/>
          <w:szCs w:val="24"/>
        </w:rPr>
        <w:t>W/(m·K)</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根据本文件附录B中公式计算</w:t>
      </w:r>
      <w:r>
        <w:rPr>
          <w:rFonts w:hint="eastAsia" w:ascii="Times New Roman" w:hAnsi="Times New Roman" w:cs="Times New Roman"/>
          <w:color w:val="000000"/>
          <w:sz w:val="24"/>
          <w:szCs w:val="24"/>
          <w:lang w:val="en-US" w:eastAsia="zh-CN"/>
        </w:rPr>
        <w:t>得到</w:t>
      </w:r>
      <w:r>
        <w:rPr>
          <w:rFonts w:hint="eastAsia" w:ascii="宋体" w:hAnsi="宋体" w:cs="宋体"/>
          <w:color w:val="000000"/>
          <w:sz w:val="24"/>
          <w:szCs w:val="24"/>
          <w:vertAlign w:val="baseline"/>
          <w:lang w:val="en-US" w:eastAsia="zh-CN"/>
        </w:rPr>
        <w:t>每年每1m</w:t>
      </w:r>
      <w:r>
        <w:rPr>
          <w:rFonts w:hint="eastAsia" w:ascii="宋体" w:hAnsi="宋体" w:cs="宋体"/>
          <w:color w:val="000000"/>
          <w:sz w:val="24"/>
          <w:szCs w:val="24"/>
          <w:vertAlign w:val="superscript"/>
          <w:lang w:val="en-US" w:eastAsia="zh-CN"/>
        </w:rPr>
        <w:t>2</w:t>
      </w:r>
      <w:r>
        <w:rPr>
          <w:rFonts w:hint="eastAsia" w:ascii="宋体" w:hAnsi="宋体" w:cs="宋体"/>
          <w:color w:val="000000"/>
          <w:sz w:val="24"/>
          <w:szCs w:val="24"/>
          <w:vertAlign w:val="baseline"/>
          <w:lang w:val="en-US" w:eastAsia="zh-CN"/>
        </w:rPr>
        <w:t>产品在使用阶段碳排放量</w:t>
      </w:r>
      <m:oMath>
        <m:sSub>
          <m:sSubPr>
            <m:ctrlPr>
              <w:rPr>
                <w:rFonts w:hint="eastAsia" w:ascii="Cambria Math" w:hAnsi="Cambria Math" w:cs="宋体"/>
                <w:color w:val="000000"/>
                <w:sz w:val="21"/>
                <w:szCs w:val="21"/>
                <w:highlight w:val="none"/>
              </w:rPr>
            </m:ctrlPr>
          </m:sSubPr>
          <m:e>
            <m:r>
              <m:rPr>
                <m:sty m:val="p"/>
              </m:rPr>
              <w:rPr>
                <w:rFonts w:ascii="Cambria Math" w:hAnsi="Cambria Math" w:cs="宋体"/>
                <w:color w:val="000000"/>
                <w:sz w:val="21"/>
                <w:szCs w:val="21"/>
                <w:highlight w:val="none"/>
              </w:rPr>
              <m:t>E</m:t>
            </m:r>
            <m:ctrlPr>
              <w:rPr>
                <w:rFonts w:hint="eastAsia" w:ascii="Cambria Math" w:hAnsi="Cambria Math" w:cs="宋体"/>
                <w:color w:val="000000"/>
                <w:sz w:val="21"/>
                <w:szCs w:val="21"/>
                <w:highlight w:val="none"/>
              </w:rPr>
            </m:ctrlPr>
          </m:e>
          <m:sub>
            <m:r>
              <m:rPr>
                <m:sty m:val="p"/>
              </m:rPr>
              <w:rPr>
                <w:rFonts w:hint="default" w:ascii="Cambria Math" w:hAnsi="Cambria Math" w:cs="宋体"/>
                <w:color w:val="000000"/>
                <w:sz w:val="21"/>
                <w:szCs w:val="21"/>
                <w:highlight w:val="none"/>
                <w:lang w:val="en-US" w:eastAsia="zh-CN"/>
              </w:rPr>
              <m:t>o</m:t>
            </m:r>
            <m:r>
              <m:rPr>
                <m:sty m:val="p"/>
              </m:rPr>
              <w:rPr>
                <w:rFonts w:ascii="Cambria Math" w:hAnsi="Cambria Math" w:cs="宋体"/>
                <w:color w:val="000000"/>
                <w:sz w:val="21"/>
                <w:szCs w:val="21"/>
                <w:highlight w:val="none"/>
              </w:rPr>
              <m:t>H</m:t>
            </m:r>
            <m:r>
              <m:rPr>
                <m:sty m:val="p"/>
              </m:rPr>
              <w:rPr>
                <w:rFonts w:hint="eastAsia" w:ascii="Cambria Math" w:hAnsi="Cambria Math" w:cs="宋体"/>
                <w:color w:val="000000"/>
                <w:sz w:val="21"/>
                <w:szCs w:val="21"/>
                <w:highlight w:val="none"/>
                <w:lang w:val="en-US" w:eastAsia="zh-CN"/>
              </w:rPr>
              <m:t>岩棉</m:t>
            </m:r>
            <m:ctrlPr>
              <w:rPr>
                <w:rFonts w:hint="eastAsia" w:ascii="Cambria Math" w:hAnsi="Cambria Math" w:cs="宋体"/>
                <w:color w:val="000000"/>
                <w:sz w:val="21"/>
                <w:szCs w:val="21"/>
                <w:highlight w:val="none"/>
              </w:rPr>
            </m:ctrlPr>
          </m:sub>
        </m:sSub>
      </m:oMath>
      <w:r>
        <w:rPr>
          <w:rFonts w:hint="eastAsia" w:ascii="宋体" w:hAnsi="宋体" w:cs="宋体"/>
          <w:color w:val="000000"/>
          <w:sz w:val="24"/>
          <w:szCs w:val="24"/>
          <w:vertAlign w:val="baseline"/>
          <w:lang w:val="en-US" w:eastAsia="zh-CN"/>
        </w:rPr>
        <w:t>计算为0.708kg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，基准碳排放量</w:t>
      </w:r>
      <m:oMath>
        <m:sSub>
          <m:sSubPr>
            <m:ctrlPr>
              <w:rPr>
                <w:rFonts w:hint="eastAsia" w:ascii="Cambria Math" w:hAnsi="Cambria Math" w:cs="宋体"/>
                <w:color w:val="000000"/>
                <w:sz w:val="21"/>
                <w:szCs w:val="21"/>
                <w:highlight w:val="none"/>
              </w:rPr>
            </m:ctrlPr>
          </m:sSubPr>
          <m:e>
            <m:r>
              <m:rPr>
                <m:sty m:val="p"/>
              </m:rPr>
              <w:rPr>
                <w:rFonts w:ascii="Cambria Math" w:hAnsi="Cambria Math" w:cs="宋体"/>
                <w:color w:val="000000"/>
                <w:sz w:val="21"/>
                <w:szCs w:val="21"/>
                <w:highlight w:val="none"/>
              </w:rPr>
              <m:t>E</m:t>
            </m:r>
            <m:ctrlPr>
              <w:rPr>
                <w:rFonts w:hint="eastAsia" w:ascii="Cambria Math" w:hAnsi="Cambria Math" w:cs="宋体"/>
                <w:color w:val="000000"/>
                <w:sz w:val="21"/>
                <w:szCs w:val="21"/>
                <w:highlight w:val="none"/>
              </w:rPr>
            </m:ctrlPr>
          </m:e>
          <m:sub>
            <m:r>
              <m:rPr>
                <m:sty m:val="p"/>
              </m:rPr>
              <w:rPr>
                <w:rFonts w:hint="eastAsia" w:ascii="Cambria Math" w:hAnsi="Cambria Math" w:cs="宋体"/>
                <w:color w:val="000000"/>
                <w:sz w:val="21"/>
                <w:szCs w:val="21"/>
                <w:highlight w:val="none"/>
                <w:lang w:val="en-US" w:eastAsia="zh-CN"/>
              </w:rPr>
              <m:t>e</m:t>
            </m:r>
            <m:r>
              <m:rPr>
                <m:sty m:val="p"/>
              </m:rPr>
              <w:rPr>
                <w:rFonts w:ascii="Cambria Math" w:hAnsi="Cambria Math" w:cs="宋体"/>
                <w:color w:val="000000"/>
                <w:sz w:val="21"/>
                <w:szCs w:val="21"/>
                <w:highlight w:val="none"/>
              </w:rPr>
              <m:t>H</m:t>
            </m:r>
            <m:r>
              <m:rPr>
                <m:sty m:val="p"/>
              </m:rPr>
              <w:rPr>
                <w:rFonts w:hint="eastAsia" w:ascii="Cambria Math" w:hAnsi="Cambria Math" w:cs="宋体"/>
                <w:color w:val="000000"/>
                <w:sz w:val="21"/>
                <w:szCs w:val="21"/>
                <w:highlight w:val="none"/>
                <w:lang w:val="en-US" w:eastAsia="zh-CN"/>
              </w:rPr>
              <m:t>岩棉</m:t>
            </m:r>
            <m:ctrlPr>
              <w:rPr>
                <w:rFonts w:hint="eastAsia" w:ascii="Cambria Math" w:hAnsi="Cambria Math" w:cs="宋体"/>
                <w:color w:val="000000"/>
                <w:sz w:val="21"/>
                <w:szCs w:val="21"/>
                <w:highlight w:val="none"/>
              </w:rPr>
            </m:ctrlPr>
          </m:sub>
        </m:sSub>
      </m:oMath>
      <w:r>
        <w:rPr>
          <w:rFonts w:hint="eastAsia" w:ascii="宋体" w:hAnsi="宋体" w:cs="宋体"/>
          <w:color w:val="000000"/>
          <w:sz w:val="24"/>
          <w:szCs w:val="24"/>
          <w:vertAlign w:val="baseline"/>
          <w:lang w:val="en-US" w:eastAsia="zh-CN"/>
        </w:rPr>
        <w:t>计算为0.944kg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w:t>
      </w:r>
      <w:r>
        <w:rPr>
          <w:rFonts w:hint="default" w:ascii="Times New Roman" w:hAnsi="Times New Roman" w:cs="Times New Roman"/>
          <w:color w:val="000000"/>
          <w:sz w:val="24"/>
          <w:szCs w:val="24"/>
          <w:vertAlign w:val="baseline"/>
          <w:lang w:val="en-US" w:eastAsia="zh-CN"/>
        </w:rPr>
        <w:t>二者的差值</w:t>
      </w:r>
      <w:r>
        <w:rPr>
          <w:rFonts w:hint="eastAsia" w:ascii="Times New Roman" w:hAnsi="Times New Roman" w:cs="Times New Roman"/>
          <w:color w:val="000000"/>
          <w:sz w:val="24"/>
          <w:szCs w:val="24"/>
          <w:vertAlign w:val="baseline"/>
          <w:lang w:val="en-US" w:eastAsia="zh-CN"/>
        </w:rPr>
        <w:t>为</w:t>
      </w:r>
      <w:r>
        <w:rPr>
          <w:rFonts w:hint="eastAsia" w:ascii="宋体" w:hAnsi="宋体" w:cs="宋体"/>
          <w:color w:val="000000"/>
          <w:sz w:val="24"/>
          <w:szCs w:val="24"/>
          <w:vertAlign w:val="baseline"/>
          <w:lang w:val="en-US" w:eastAsia="zh-CN"/>
        </w:rPr>
        <w:t>岩棉板使用阶段每年每1m</w:t>
      </w:r>
      <w:r>
        <w:rPr>
          <w:rFonts w:hint="eastAsia" w:ascii="宋体" w:hAnsi="宋体" w:cs="宋体"/>
          <w:color w:val="000000"/>
          <w:sz w:val="24"/>
          <w:szCs w:val="24"/>
          <w:vertAlign w:val="superscript"/>
          <w:lang w:val="en-US" w:eastAsia="zh-CN"/>
        </w:rPr>
        <w:t>2</w:t>
      </w:r>
      <w:r>
        <w:rPr>
          <w:rFonts w:hint="eastAsia" w:ascii="宋体" w:hAnsi="宋体" w:cs="宋体"/>
          <w:color w:val="000000"/>
          <w:sz w:val="24"/>
          <w:szCs w:val="24"/>
          <w:vertAlign w:val="baseline"/>
          <w:lang w:val="en-US" w:eastAsia="zh-CN"/>
        </w:rPr>
        <w:t>的减碳量为0.236kg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default" w:ascii="Times New Roman" w:hAnsi="Times New Roman" w:cs="Times New Roman"/>
          <w:color w:val="000000"/>
          <w:sz w:val="24"/>
          <w:szCs w:val="24"/>
          <w:vertAlign w:val="baseline"/>
          <w:lang w:val="en-US" w:eastAsia="zh-CN"/>
        </w:rPr>
        <w:t>。</w:t>
      </w:r>
    </w:p>
    <w:p>
      <w:pPr>
        <w:pStyle w:val="4"/>
        <w:pageBreakBefore w:val="0"/>
        <w:kinsoku/>
        <w:wordWrap/>
        <w:overflowPunct/>
        <w:topLinePunct w:val="0"/>
        <w:autoSpaceDE/>
        <w:autoSpaceDN/>
        <w:bidi w:val="0"/>
        <w:adjustRightInd/>
        <w:snapToGrid/>
        <w:spacing w:line="240" w:lineRule="auto"/>
        <w:outlineLvl w:val="0"/>
        <w:rPr>
          <w:rFonts w:hint="default" w:ascii="Times New Roman" w:hAnsi="Times New Roman" w:eastAsia="仿宋" w:cs="Times New Roman"/>
          <w:lang w:eastAsia="zh-CN"/>
        </w:rPr>
      </w:pPr>
      <w:bookmarkStart w:id="53" w:name="_Toc9096"/>
      <w:r>
        <w:rPr>
          <w:rFonts w:hint="default" w:ascii="Times New Roman" w:hAnsi="Times New Roman" w:eastAsia="仿宋" w:cs="Times New Roman"/>
          <w:lang w:val="en-US" w:eastAsia="zh-CN"/>
        </w:rPr>
        <w:t>附录C</w:t>
      </w:r>
      <w:bookmarkEnd w:id="53"/>
      <w:r>
        <w:rPr>
          <w:rFonts w:hint="default" w:ascii="Times New Roman" w:hAnsi="Times New Roman" w:eastAsia="仿宋" w:cs="Times New Roman"/>
        </w:rPr>
        <w:t xml:space="preserve"> </w:t>
      </w:r>
    </w:p>
    <w:p>
      <w:pPr>
        <w:pageBreakBefore w:val="0"/>
        <w:kinsoku/>
        <w:wordWrap/>
        <w:overflowPunct/>
        <w:topLinePunct w:val="0"/>
        <w:autoSpaceDE/>
        <w:autoSpaceDN/>
        <w:bidi w:val="0"/>
        <w:adjustRightInd/>
        <w:snapToGrid/>
        <w:spacing w:line="520" w:lineRule="exact"/>
        <w:ind w:firstLine="500" w:firstLineChars="200"/>
        <w:jc w:val="left"/>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cs="Times New Roman"/>
          <w:color w:val="333333"/>
          <w:spacing w:val="5"/>
          <w:sz w:val="24"/>
          <w:szCs w:val="24"/>
          <w:shd w:val="clear" w:color="auto" w:fill="FFFFFF"/>
          <w:lang w:val="en-US" w:eastAsia="zh-CN"/>
        </w:rPr>
        <w:t>附录C给出光电转化材料使用阶段减碳量计算的</w:t>
      </w:r>
      <w:r>
        <w:rPr>
          <w:rFonts w:hint="eastAsia" w:cs="Times New Roman"/>
          <w:kern w:val="0"/>
          <w:sz w:val="24"/>
          <w:szCs w:val="24"/>
          <w:lang w:val="en-US" w:eastAsia="zh-CN" w:bidi="ar"/>
        </w:rPr>
        <w:t>参照</w:t>
      </w:r>
      <w:r>
        <w:rPr>
          <w:rFonts w:hint="default" w:ascii="Times New Roman" w:hAnsi="Times New Roman" w:cs="Times New Roman"/>
          <w:color w:val="333333"/>
          <w:spacing w:val="5"/>
          <w:sz w:val="24"/>
          <w:szCs w:val="24"/>
          <w:shd w:val="clear" w:color="auto" w:fill="FFFFFF"/>
          <w:lang w:val="en-US" w:eastAsia="zh-CN"/>
        </w:rPr>
        <w:t>分析，为资料性附录，该类建材产品进行减碳量核算时可参照本附录的方法，也可以采用其他科学有效的核算方法，需在减碳量评估报告中仔细描述核算过程。</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val="en-US" w:eastAsia="zh-CN"/>
        </w:rPr>
      </w:pPr>
      <w:r>
        <w:rPr>
          <w:rFonts w:hint="default" w:ascii="Times New Roman" w:hAnsi="Times New Roman" w:eastAsia="宋体" w:cs="Times New Roman"/>
          <w:color w:val="333333"/>
          <w:spacing w:val="5"/>
          <w:sz w:val="24"/>
          <w:szCs w:val="24"/>
          <w:shd w:val="clear" w:color="auto" w:fill="FFFFFF"/>
          <w:lang w:eastAsia="zh-CN"/>
        </w:rPr>
        <w:t>光电转化产品的发电量依据GB/T 51366 建筑碳排放计算标准中4.5.5的方法进行计算。其中应用地区太阳能辐照度、应用地区年日照时间等产品应用地区的属性指标统一依据某一固定地区为情景，以保证碳排放量的影响因素统一来源于光光电转化建材产品本身。光电转化建材产品核算期内的碳排放量减碳量</w:t>
      </w:r>
      <w:r>
        <w:rPr>
          <w:rFonts w:hint="eastAsia" w:cs="Times New Roman"/>
          <w:color w:val="333333"/>
          <w:spacing w:val="5"/>
          <w:sz w:val="24"/>
          <w:szCs w:val="24"/>
          <w:shd w:val="clear" w:color="auto" w:fill="FFFFFF"/>
          <w:lang w:val="en-US" w:eastAsia="zh-CN"/>
        </w:rPr>
        <w:t>可</w:t>
      </w:r>
      <w:r>
        <w:rPr>
          <w:rFonts w:hint="eastAsia" w:cs="Times New Roman"/>
          <w:kern w:val="0"/>
          <w:sz w:val="24"/>
          <w:szCs w:val="24"/>
          <w:lang w:val="en-US" w:eastAsia="zh-CN" w:bidi="ar"/>
        </w:rPr>
        <w:t>参照</w:t>
      </w:r>
      <w:r>
        <w:rPr>
          <w:rFonts w:hint="default" w:ascii="Times New Roman" w:hAnsi="Times New Roman" w:eastAsia="宋体" w:cs="Times New Roman"/>
          <w:color w:val="333333"/>
          <w:spacing w:val="5"/>
          <w:sz w:val="24"/>
          <w:szCs w:val="24"/>
          <w:shd w:val="clear" w:color="auto" w:fill="FFFFFF"/>
          <w:lang w:eastAsia="zh-CN"/>
        </w:rPr>
        <w:t>式（</w:t>
      </w:r>
      <w:r>
        <w:rPr>
          <w:rFonts w:hint="default" w:ascii="Times New Roman" w:hAnsi="Times New Roman" w:cs="Times New Roman"/>
          <w:color w:val="333333"/>
          <w:spacing w:val="5"/>
          <w:sz w:val="24"/>
          <w:szCs w:val="24"/>
          <w:shd w:val="clear" w:color="auto" w:fill="FFFFFF"/>
          <w:lang w:val="en-US" w:eastAsia="zh-CN"/>
        </w:rPr>
        <w:t>5</w:t>
      </w:r>
      <w:r>
        <w:rPr>
          <w:rFonts w:hint="default" w:ascii="Times New Roman" w:hAnsi="Times New Roman" w:eastAsia="宋体" w:cs="Times New Roman"/>
          <w:color w:val="333333"/>
          <w:spacing w:val="5"/>
          <w:sz w:val="24"/>
          <w:szCs w:val="24"/>
          <w:shd w:val="clear" w:color="auto" w:fill="FFFFFF"/>
          <w:lang w:eastAsia="zh-CN"/>
        </w:rPr>
        <w:t>）计算。</w:t>
      </w:r>
      <w:r>
        <w:rPr>
          <w:rFonts w:hint="default" w:ascii="Times New Roman" w:hAnsi="Times New Roman" w:cs="Times New Roman"/>
          <w:color w:val="333333"/>
          <w:spacing w:val="5"/>
          <w:sz w:val="24"/>
          <w:szCs w:val="24"/>
          <w:shd w:val="clear" w:color="auto" w:fill="FFFFFF"/>
          <w:lang w:val="en-US" w:eastAsia="zh-CN"/>
        </w:rPr>
        <w:t>基准碳排放量计算时只需将式（5）中的</w:t>
      </w:r>
      <w:r>
        <w:rPr>
          <w:rFonts w:hint="default" w:ascii="Times New Roman" w:hAnsi="Times New Roman" w:eastAsia="宋体" w:cs="Times New Roman"/>
          <w:color w:val="333333"/>
          <w:spacing w:val="5"/>
          <w:sz w:val="24"/>
          <w:szCs w:val="24"/>
          <w:shd w:val="clear" w:color="auto" w:fill="FFFFFF"/>
          <w:lang w:eastAsia="zh-CN"/>
        </w:rPr>
        <w:t>太阳能发电碳排放因子</w:t>
      </w:r>
      <w:r>
        <w:rPr>
          <w:rFonts w:hint="default" w:ascii="Times New Roman" w:hAnsi="Times New Roman" w:cs="Times New Roman"/>
          <w:color w:val="333333"/>
          <w:spacing w:val="5"/>
          <w:sz w:val="24"/>
          <w:szCs w:val="24"/>
          <w:shd w:val="clear" w:color="auto" w:fill="FFFFFF"/>
          <w:lang w:val="en-US" w:eastAsia="zh-CN"/>
        </w:rPr>
        <w:t>换成火力发电碳排放因子。</w:t>
      </w:r>
    </w:p>
    <w:p>
      <w:pPr>
        <w:pageBreakBefore w:val="0"/>
        <w:kinsoku/>
        <w:wordWrap/>
        <w:overflowPunct/>
        <w:topLinePunct w:val="0"/>
        <w:autoSpaceDE/>
        <w:autoSpaceDN/>
        <w:bidi w:val="0"/>
        <w:adjustRightInd/>
        <w:snapToGrid/>
        <w:spacing w:line="520" w:lineRule="exact"/>
        <w:ind w:firstLine="500" w:firstLineChars="200"/>
        <w:jc w:val="right"/>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E</w:t>
      </w:r>
      <w:r>
        <w:rPr>
          <w:rFonts w:hint="default" w:ascii="Times New Roman" w:hAnsi="Times New Roman" w:eastAsia="宋体" w:cs="Times New Roman"/>
          <w:color w:val="333333"/>
          <w:spacing w:val="5"/>
          <w:sz w:val="24"/>
          <w:szCs w:val="24"/>
          <w:shd w:val="clear" w:color="auto" w:fill="FFFFFF"/>
          <w:vertAlign w:val="subscript"/>
          <w:lang w:eastAsia="zh-CN"/>
        </w:rPr>
        <w:t>0S</w:t>
      </w:r>
      <w:r>
        <w:rPr>
          <w:rFonts w:hint="default" w:ascii="Times New Roman" w:hAnsi="Times New Roman" w:eastAsia="宋体" w:cs="Times New Roman"/>
          <w:color w:val="333333"/>
          <w:spacing w:val="5"/>
          <w:sz w:val="24"/>
          <w:szCs w:val="24"/>
          <w:shd w:val="clear" w:color="auto" w:fill="FFFFFF"/>
          <w:lang w:eastAsia="zh-CN"/>
        </w:rPr>
        <w:t>=K×G×η×M×f</w:t>
      </w:r>
      <w:r>
        <w:rPr>
          <w:rFonts w:hint="default" w:ascii="Times New Roman" w:hAnsi="Times New Roman" w:eastAsia="宋体" w:cs="Times New Roman"/>
          <w:color w:val="333333"/>
          <w:spacing w:val="5"/>
          <w:sz w:val="24"/>
          <w:szCs w:val="24"/>
          <w:shd w:val="clear" w:color="auto" w:fill="FFFFFF"/>
          <w:vertAlign w:val="subscript"/>
          <w:lang w:eastAsia="zh-CN"/>
        </w:rPr>
        <w:t>O</w:t>
      </w:r>
      <w:r>
        <w:rPr>
          <w:rFonts w:hint="eastAsia" w:ascii="Times New Roman" w:hAnsi="Times New Roman" w:cs="Times New Roman"/>
          <w:color w:val="333333"/>
          <w:spacing w:val="5"/>
          <w:sz w:val="24"/>
          <w:szCs w:val="24"/>
          <w:shd w:val="clear" w:color="auto" w:fill="FFFFFF"/>
          <w:vertAlign w:val="subscript"/>
          <w:lang w:val="en-US" w:eastAsia="zh-CN"/>
        </w:rPr>
        <w:t xml:space="preserve">      </w:t>
      </w:r>
      <w:r>
        <w:rPr>
          <w:rFonts w:hint="default" w:ascii="Times New Roman" w:hAnsi="Times New Roman" w:eastAsia="宋体" w:cs="Times New Roman"/>
          <w:color w:val="333333"/>
          <w:spacing w:val="5"/>
          <w:sz w:val="24"/>
          <w:szCs w:val="24"/>
          <w:shd w:val="clear" w:color="auto" w:fill="FFFFFF"/>
          <w:lang w:eastAsia="zh-CN"/>
        </w:rPr>
        <w:t xml:space="preserve">               (</w:t>
      </w:r>
      <w:r>
        <w:rPr>
          <w:rFonts w:hint="default" w:ascii="Times New Roman" w:hAnsi="Times New Roman" w:cs="Times New Roman"/>
          <w:color w:val="333333"/>
          <w:spacing w:val="5"/>
          <w:sz w:val="24"/>
          <w:szCs w:val="24"/>
          <w:shd w:val="clear" w:color="auto" w:fill="FFFFFF"/>
          <w:lang w:val="en-US" w:eastAsia="zh-CN"/>
        </w:rPr>
        <w:t>5</w:t>
      </w:r>
      <w:r>
        <w:rPr>
          <w:rFonts w:hint="default" w:ascii="Times New Roman" w:hAnsi="Times New Roman" w:eastAsia="宋体" w:cs="Times New Roman"/>
          <w:color w:val="333333"/>
          <w:spacing w:val="5"/>
          <w:sz w:val="24"/>
          <w:szCs w:val="24"/>
          <w:shd w:val="clear" w:color="auto" w:fill="FFFFFF"/>
          <w:lang w:eastAsia="zh-CN"/>
        </w:rPr>
        <w:t>)</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式中：</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K——产品</w:t>
      </w:r>
      <w:r>
        <w:rPr>
          <w:rFonts w:hint="eastAsia" w:ascii="Times New Roman" w:hAnsi="Times New Roman" w:cs="Times New Roman"/>
          <w:color w:val="333333"/>
          <w:spacing w:val="5"/>
          <w:sz w:val="24"/>
          <w:szCs w:val="24"/>
          <w:shd w:val="clear" w:color="auto" w:fill="FFFFFF"/>
          <w:lang w:val="en-US" w:eastAsia="zh-CN"/>
        </w:rPr>
        <w:t>的</w:t>
      </w:r>
      <w:r>
        <w:rPr>
          <w:rFonts w:hint="default" w:ascii="Times New Roman" w:hAnsi="Times New Roman" w:eastAsia="宋体" w:cs="Times New Roman"/>
          <w:color w:val="333333"/>
          <w:spacing w:val="5"/>
          <w:sz w:val="24"/>
          <w:szCs w:val="24"/>
          <w:shd w:val="clear" w:color="auto" w:fill="FFFFFF"/>
          <w:lang w:eastAsia="zh-CN"/>
        </w:rPr>
        <w:t>平均光电转换效率，%；</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G——应用地区太阳能辐照度，单位为千瓦时每平方米每年（KWh/（m</w:t>
      </w:r>
      <w:r>
        <w:rPr>
          <w:rFonts w:hint="default" w:ascii="Times New Roman" w:hAnsi="Times New Roman" w:eastAsia="宋体" w:cs="Times New Roman"/>
          <w:color w:val="333333"/>
          <w:spacing w:val="5"/>
          <w:sz w:val="24"/>
          <w:szCs w:val="24"/>
          <w:shd w:val="clear" w:color="auto" w:fill="FFFFFF"/>
          <w:vertAlign w:val="superscript"/>
          <w:lang w:eastAsia="zh-CN"/>
        </w:rPr>
        <w:t>2</w:t>
      </w:r>
      <w:r>
        <w:rPr>
          <w:rFonts w:hint="default" w:ascii="Times New Roman" w:hAnsi="Times New Roman" w:eastAsia="宋体" w:cs="Times New Roman"/>
          <w:color w:val="333333"/>
          <w:spacing w:val="5"/>
          <w:sz w:val="24"/>
          <w:szCs w:val="24"/>
          <w:shd w:val="clear" w:color="auto" w:fill="FFFFFF"/>
          <w:lang w:eastAsia="zh-CN"/>
        </w:rPr>
        <w:t>·a））；</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η——产品发电系统综合效率，%；</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M——光电转化材料的核算面积，单位为每平方米（1m</w:t>
      </w:r>
      <w:r>
        <w:rPr>
          <w:rFonts w:hint="default" w:ascii="Times New Roman" w:hAnsi="Times New Roman" w:eastAsia="宋体" w:cs="Times New Roman"/>
          <w:color w:val="333333"/>
          <w:spacing w:val="5"/>
          <w:sz w:val="24"/>
          <w:szCs w:val="24"/>
          <w:shd w:val="clear" w:color="auto" w:fill="FFFFFF"/>
          <w:vertAlign w:val="superscript"/>
          <w:lang w:eastAsia="zh-CN"/>
        </w:rPr>
        <w:t>2</w:t>
      </w:r>
      <w:r>
        <w:rPr>
          <w:rFonts w:hint="default" w:ascii="Times New Roman" w:hAnsi="Times New Roman" w:eastAsia="宋体" w:cs="Times New Roman"/>
          <w:color w:val="333333"/>
          <w:spacing w:val="5"/>
          <w:sz w:val="24"/>
          <w:szCs w:val="24"/>
          <w:shd w:val="clear" w:color="auto" w:fill="FFFFFF"/>
          <w:lang w:eastAsia="zh-CN"/>
        </w:rPr>
        <w:t>）；</w:t>
      </w:r>
    </w:p>
    <w:p>
      <w:pPr>
        <w:pageBreakBefore w:val="0"/>
        <w:kinsoku/>
        <w:wordWrap/>
        <w:overflowPunct/>
        <w:topLinePunct w:val="0"/>
        <w:autoSpaceDE/>
        <w:autoSpaceDN/>
        <w:bidi w:val="0"/>
        <w:adjustRightInd/>
        <w:snapToGrid/>
        <w:spacing w:line="520" w:lineRule="exact"/>
        <w:ind w:firstLine="500" w:firstLineChars="200"/>
        <w:jc w:val="both"/>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333333"/>
          <w:spacing w:val="5"/>
          <w:sz w:val="24"/>
          <w:szCs w:val="24"/>
          <w:shd w:val="clear" w:color="auto" w:fill="FFFFFF"/>
          <w:lang w:eastAsia="zh-CN"/>
        </w:rPr>
        <w:t>f</w:t>
      </w:r>
      <w:r>
        <w:rPr>
          <w:rFonts w:hint="default" w:ascii="Times New Roman" w:hAnsi="Times New Roman" w:eastAsia="宋体" w:cs="Times New Roman"/>
          <w:color w:val="333333"/>
          <w:spacing w:val="5"/>
          <w:sz w:val="24"/>
          <w:szCs w:val="24"/>
          <w:shd w:val="clear" w:color="auto" w:fill="FFFFFF"/>
          <w:vertAlign w:val="subscript"/>
          <w:lang w:eastAsia="zh-CN"/>
        </w:rPr>
        <w:t>O</w:t>
      </w:r>
      <w:r>
        <w:rPr>
          <w:rFonts w:hint="default" w:ascii="Times New Roman" w:hAnsi="Times New Roman" w:eastAsia="宋体" w:cs="Times New Roman"/>
          <w:color w:val="333333"/>
          <w:spacing w:val="5"/>
          <w:sz w:val="24"/>
          <w:szCs w:val="24"/>
          <w:shd w:val="clear" w:color="auto" w:fill="FFFFFF"/>
          <w:lang w:eastAsia="zh-CN"/>
        </w:rPr>
        <w:t>——太阳能发电碳排放因子，单位为千克二氧化碳每千瓦时（kgCO</w:t>
      </w:r>
      <w:r>
        <w:rPr>
          <w:rFonts w:hint="default" w:ascii="Times New Roman" w:hAnsi="Times New Roman" w:eastAsia="宋体" w:cs="Times New Roman"/>
          <w:color w:val="333333"/>
          <w:spacing w:val="5"/>
          <w:sz w:val="24"/>
          <w:szCs w:val="24"/>
          <w:shd w:val="clear" w:color="auto" w:fill="FFFFFF"/>
          <w:vertAlign w:val="subscript"/>
          <w:lang w:eastAsia="zh-CN"/>
        </w:rPr>
        <w:t>2</w:t>
      </w:r>
      <w:r>
        <w:rPr>
          <w:rFonts w:hint="default" w:ascii="Times New Roman" w:hAnsi="Times New Roman" w:eastAsia="宋体" w:cs="Times New Roman"/>
          <w:color w:val="333333"/>
          <w:spacing w:val="5"/>
          <w:sz w:val="24"/>
          <w:szCs w:val="24"/>
          <w:shd w:val="clear" w:color="auto" w:fill="FFFFFF"/>
          <w:lang w:eastAsia="zh-CN"/>
        </w:rPr>
        <w:t>/kWh）；</w:t>
      </w:r>
    </w:p>
    <w:p>
      <w:pPr>
        <w:pageBreakBefore w:val="0"/>
        <w:kinsoku/>
        <w:wordWrap/>
        <w:overflowPunct/>
        <w:topLinePunct w:val="0"/>
        <w:autoSpaceDE/>
        <w:autoSpaceDN/>
        <w:bidi w:val="0"/>
        <w:adjustRightInd/>
        <w:snapToGrid/>
        <w:spacing w:line="520" w:lineRule="exact"/>
        <w:jc w:val="left"/>
        <w:rPr>
          <w:rFonts w:hint="default" w:ascii="Times New Roman" w:hAnsi="Times New Roman" w:eastAsia="宋体" w:cs="Times New Roman"/>
          <w:color w:val="333333"/>
          <w:spacing w:val="5"/>
          <w:sz w:val="24"/>
          <w:szCs w:val="24"/>
          <w:shd w:val="clear" w:color="auto" w:fill="FFFFFF"/>
          <w:lang w:eastAsia="zh-CN"/>
        </w:rPr>
      </w:pPr>
    </w:p>
    <w:p>
      <w:pPr>
        <w:pageBreakBefore w:val="0"/>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color w:val="333333"/>
          <w:spacing w:val="5"/>
          <w:sz w:val="24"/>
          <w:szCs w:val="24"/>
          <w:shd w:val="clear" w:color="auto" w:fill="FFFFFF"/>
          <w:lang w:eastAsia="zh-CN"/>
        </w:rPr>
      </w:pPr>
      <w:r>
        <w:rPr>
          <w:rFonts w:hint="default" w:ascii="Times New Roman" w:hAnsi="Times New Roman" w:eastAsia="宋体" w:cs="Times New Roman"/>
          <w:color w:val="000000"/>
          <w:sz w:val="24"/>
          <w:szCs w:val="24"/>
        </w:rPr>
        <w:t>以某企业生产的光伏组件为例</w:t>
      </w:r>
      <w:r>
        <w:rPr>
          <w:rFonts w:hint="default" w:ascii="Times New Roman" w:hAnsi="Times New Roman" w:eastAsia="宋体" w:cs="Times New Roman"/>
          <w:color w:val="000000"/>
          <w:sz w:val="24"/>
          <w:szCs w:val="24"/>
          <w:lang w:val="en-US" w:eastAsia="zh-CN"/>
        </w:rPr>
        <w:t>计算减碳量，假设</w:t>
      </w:r>
      <w:r>
        <w:rPr>
          <w:rFonts w:hint="default" w:ascii="Times New Roman" w:hAnsi="Times New Roman" w:eastAsia="宋体" w:cs="Times New Roman"/>
          <w:color w:val="000000"/>
          <w:sz w:val="24"/>
          <w:szCs w:val="24"/>
        </w:rPr>
        <w:t>组件的光电转化效率为21%，系统综合效率80%，</w:t>
      </w:r>
      <w:r>
        <w:rPr>
          <w:rFonts w:hint="default" w:ascii="Times New Roman" w:hAnsi="Times New Roman" w:eastAsia="宋体" w:cs="Times New Roman"/>
          <w:color w:val="000000"/>
          <w:sz w:val="24"/>
          <w:szCs w:val="24"/>
          <w:lang w:val="en-US" w:eastAsia="zh-CN"/>
        </w:rPr>
        <w:t>应用地区为北京地区。</w:t>
      </w:r>
      <w:r>
        <w:rPr>
          <w:rFonts w:hint="default" w:ascii="Times New Roman" w:hAnsi="Times New Roman" w:cs="Times New Roman"/>
          <w:color w:val="333333"/>
          <w:spacing w:val="5"/>
          <w:sz w:val="24"/>
          <w:szCs w:val="24"/>
          <w:shd w:val="clear" w:color="auto" w:fill="FFFFFF"/>
          <w:lang w:val="en-US" w:eastAsia="zh-CN"/>
        </w:rPr>
        <w:t>根据</w:t>
      </w:r>
      <w:r>
        <w:rPr>
          <w:rFonts w:hint="default" w:ascii="Times New Roman" w:hAnsi="Times New Roman" w:eastAsia="宋体" w:cs="Times New Roman"/>
          <w:color w:val="333333"/>
          <w:spacing w:val="5"/>
          <w:sz w:val="24"/>
          <w:szCs w:val="24"/>
          <w:shd w:val="clear" w:color="auto" w:fill="FFFFFF"/>
          <w:lang w:eastAsia="zh-CN"/>
        </w:rPr>
        <w:t>联合国欧洲经济委员会的关于《全生命周期发电选择》的报告指出，在一座电站的全生命周期内，没有碳捕捉的燃煤发电，每千瓦时碳排放为1023克二氧化碳，对应光伏电站全生命周期内每千瓦时碳排放仅为30克</w:t>
      </w:r>
      <w:r>
        <w:rPr>
          <w:rFonts w:hint="default" w:ascii="Times New Roman" w:hAnsi="Times New Roman" w:cs="Times New Roman"/>
          <w:color w:val="333333"/>
          <w:spacing w:val="5"/>
          <w:sz w:val="24"/>
          <w:szCs w:val="24"/>
          <w:shd w:val="clear" w:color="auto" w:fill="FFFFFF"/>
          <w:lang w:eastAsia="zh-CN"/>
        </w:rPr>
        <w:t>，</w:t>
      </w:r>
      <w:r>
        <w:rPr>
          <w:rFonts w:hint="default" w:ascii="Times New Roman" w:hAnsi="Times New Roman" w:cs="Times New Roman"/>
          <w:color w:val="333333"/>
          <w:spacing w:val="5"/>
          <w:sz w:val="24"/>
          <w:szCs w:val="24"/>
          <w:shd w:val="clear" w:color="auto" w:fill="FFFFFF"/>
          <w:lang w:val="en-US" w:eastAsia="zh-CN"/>
        </w:rPr>
        <w:t>因此</w:t>
      </w:r>
      <w:r>
        <w:rPr>
          <w:rFonts w:hint="default" w:ascii="Times New Roman" w:hAnsi="Times New Roman" w:eastAsia="宋体" w:cs="Times New Roman"/>
          <w:color w:val="000000"/>
          <w:sz w:val="24"/>
          <w:szCs w:val="24"/>
        </w:rPr>
        <w:t>太阳能发电碳排放因子</w:t>
      </w:r>
      <w:r>
        <w:rPr>
          <w:rFonts w:hint="default" w:ascii="Times New Roman" w:hAnsi="Times New Roman" w:eastAsia="宋体" w:cs="Times New Roman"/>
          <w:color w:val="000000"/>
          <w:sz w:val="24"/>
          <w:szCs w:val="24"/>
          <w:lang w:val="en-US" w:eastAsia="zh-CN"/>
        </w:rPr>
        <w:t>取0.03</w:t>
      </w:r>
      <w:r>
        <w:rPr>
          <w:rFonts w:hint="default" w:ascii="Times New Roman" w:hAnsi="Times New Roman" w:eastAsia="宋体" w:cs="Times New Roman"/>
          <w:color w:val="000000"/>
          <w:sz w:val="24"/>
          <w:szCs w:val="24"/>
        </w:rPr>
        <w:t>kgCO</w:t>
      </w:r>
      <w:r>
        <w:rPr>
          <w:rFonts w:hint="default" w:ascii="Times New Roman" w:hAnsi="Times New Roman" w:eastAsia="宋体" w:cs="Times New Roman"/>
          <w:color w:val="000000"/>
          <w:sz w:val="24"/>
          <w:szCs w:val="24"/>
          <w:vertAlign w:val="subscript"/>
        </w:rPr>
        <w:t>2</w:t>
      </w:r>
      <w:r>
        <w:rPr>
          <w:rFonts w:hint="default" w:ascii="Times New Roman" w:hAnsi="Times New Roman" w:eastAsia="宋体" w:cs="Times New Roman"/>
          <w:color w:val="000000"/>
          <w:sz w:val="24"/>
          <w:szCs w:val="24"/>
        </w:rPr>
        <w:t>/kWh</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火力发电碳排放因子</w:t>
      </w:r>
      <w:r>
        <w:rPr>
          <w:rFonts w:hint="eastAsia" w:cs="Times New Roman"/>
          <w:color w:val="000000"/>
          <w:sz w:val="24"/>
          <w:szCs w:val="24"/>
          <w:lang w:val="en-US" w:eastAsia="zh-CN"/>
        </w:rPr>
        <w:t>根据</w:t>
      </w:r>
      <w:r>
        <w:rPr>
          <w:rFonts w:hint="default" w:ascii="Times New Roman" w:hAnsi="Times New Roman" w:eastAsia="宋体" w:cs="Times New Roman"/>
          <w:color w:val="000000"/>
          <w:sz w:val="24"/>
          <w:szCs w:val="24"/>
        </w:rPr>
        <w:t>《生态环境部、国家统计局关于发布2021年电力二氧化碳排放因子的公告》</w:t>
      </w:r>
      <w:r>
        <w:rPr>
          <w:rFonts w:hint="default" w:ascii="Times New Roman" w:hAnsi="Times New Roman" w:eastAsia="宋体" w:cs="Times New Roman"/>
          <w:color w:val="000000"/>
          <w:sz w:val="24"/>
          <w:szCs w:val="24"/>
          <w:lang w:val="en-US" w:eastAsia="zh-CN"/>
        </w:rPr>
        <w:t>取</w:t>
      </w:r>
      <w:r>
        <w:rPr>
          <w:rFonts w:hint="eastAsia" w:cs="Times New Roman"/>
          <w:color w:val="000000"/>
          <w:sz w:val="24"/>
          <w:szCs w:val="24"/>
          <w:lang w:val="en-US" w:eastAsia="zh-CN"/>
        </w:rPr>
        <w:t>0.</w:t>
      </w:r>
      <w:r>
        <w:rPr>
          <w:rFonts w:hint="default" w:ascii="Times New Roman" w:hAnsi="Times New Roman" w:eastAsia="宋体" w:cs="Times New Roman"/>
          <w:color w:val="000000"/>
          <w:sz w:val="24"/>
          <w:szCs w:val="24"/>
          <w:lang w:val="en-US" w:eastAsia="zh-CN"/>
        </w:rPr>
        <w:t>8426</w:t>
      </w:r>
      <w:r>
        <w:rPr>
          <w:rFonts w:hint="default" w:ascii="Times New Roman" w:hAnsi="Times New Roman" w:eastAsia="宋体" w:cs="Times New Roman"/>
          <w:color w:val="000000"/>
          <w:sz w:val="24"/>
          <w:szCs w:val="24"/>
        </w:rPr>
        <w:t>kgCO</w:t>
      </w:r>
      <w:r>
        <w:rPr>
          <w:rFonts w:hint="default" w:ascii="Times New Roman" w:hAnsi="Times New Roman" w:eastAsia="宋体" w:cs="Times New Roman"/>
          <w:color w:val="000000"/>
          <w:sz w:val="24"/>
          <w:szCs w:val="24"/>
          <w:vertAlign w:val="subscript"/>
        </w:rPr>
        <w:t>2</w:t>
      </w:r>
      <w:r>
        <w:rPr>
          <w:rFonts w:hint="default" w:ascii="Times New Roman" w:hAnsi="Times New Roman" w:eastAsia="宋体" w:cs="Times New Roman"/>
          <w:color w:val="000000"/>
          <w:sz w:val="24"/>
          <w:szCs w:val="24"/>
        </w:rPr>
        <w:t>/kWh</w:t>
      </w:r>
      <w:r>
        <w:rPr>
          <w:rFonts w:hint="default" w:ascii="Times New Roman" w:hAnsi="Times New Roman" w:eastAsia="宋体" w:cs="Times New Roman"/>
          <w:color w:val="000000"/>
          <w:sz w:val="24"/>
          <w:szCs w:val="24"/>
          <w:lang w:val="en-US" w:eastAsia="zh-CN"/>
        </w:rPr>
        <w:t>。计算得到</w:t>
      </w:r>
      <w:r>
        <w:rPr>
          <w:rFonts w:hint="eastAsia" w:ascii="宋体" w:hAnsi="宋体" w:eastAsia="宋体" w:cs="宋体"/>
          <w:color w:val="000000"/>
          <w:sz w:val="24"/>
          <w:szCs w:val="24"/>
        </w:rPr>
        <w:t>光电转化建材产品</w:t>
      </w:r>
      <w:r>
        <w:rPr>
          <w:rFonts w:hint="eastAsia" w:ascii="宋体" w:hAnsi="宋体" w:eastAsia="宋体" w:cs="宋体"/>
          <w:color w:val="000000"/>
          <w:sz w:val="24"/>
          <w:szCs w:val="24"/>
          <w:lang w:val="en-US" w:eastAsia="zh-CN"/>
        </w:rPr>
        <w:t>每1m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lang w:val="en-US" w:eastAsia="zh-CN"/>
        </w:rPr>
        <w:t>每年</w:t>
      </w:r>
      <w:r>
        <w:rPr>
          <w:rFonts w:hint="eastAsia" w:ascii="宋体" w:hAnsi="宋体" w:cs="宋体"/>
          <w:color w:val="000000"/>
          <w:sz w:val="24"/>
          <w:szCs w:val="24"/>
          <w:lang w:val="en-US" w:eastAsia="zh-CN"/>
        </w:rPr>
        <w:t>所发清洁电量</w:t>
      </w:r>
      <w:r>
        <w:rPr>
          <w:rFonts w:hint="eastAsia" w:ascii="宋体" w:hAnsi="宋体" w:eastAsia="宋体" w:cs="宋体"/>
          <w:color w:val="000000"/>
          <w:sz w:val="24"/>
          <w:szCs w:val="24"/>
        </w:rPr>
        <w:t>的</w:t>
      </w:r>
      <w:r>
        <w:rPr>
          <w:rFonts w:hint="eastAsia" w:ascii="宋体" w:hAnsi="宋体" w:eastAsia="宋体" w:cs="宋体"/>
          <w:color w:val="000000"/>
          <w:sz w:val="24"/>
          <w:szCs w:val="24"/>
          <w:lang w:val="en-US" w:eastAsia="zh-CN"/>
        </w:rPr>
        <w:t>碳排放量</w:t>
      </w: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0</w:t>
      </w:r>
      <w:r>
        <w:rPr>
          <w:rFonts w:hint="eastAsia" w:ascii="宋体" w:hAnsi="宋体" w:eastAsia="宋体" w:cs="宋体"/>
          <w:color w:val="000000"/>
          <w:sz w:val="22"/>
          <w:szCs w:val="22"/>
          <w:vertAlign w:val="subscript"/>
        </w:rPr>
        <w:t>S</w:t>
      </w:r>
      <w:r>
        <w:rPr>
          <w:rFonts w:hint="eastAsia" w:ascii="宋体" w:hAnsi="宋体" w:eastAsia="宋体" w:cs="宋体"/>
          <w:color w:val="000000"/>
          <w:sz w:val="24"/>
          <w:szCs w:val="24"/>
          <w:lang w:val="en-US" w:eastAsia="zh-CN"/>
        </w:rPr>
        <w:t>为7.21</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lang w:val="en-US" w:eastAsia="zh-CN"/>
        </w:rPr>
        <w:t>，基准碳排放量</w:t>
      </w: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e</w:t>
      </w:r>
      <w:r>
        <w:rPr>
          <w:rFonts w:hint="eastAsia" w:ascii="宋体" w:hAnsi="宋体" w:eastAsia="宋体" w:cs="宋体"/>
          <w:color w:val="000000"/>
          <w:sz w:val="22"/>
          <w:szCs w:val="22"/>
          <w:vertAlign w:val="subscript"/>
        </w:rPr>
        <w:t>S</w:t>
      </w:r>
      <w:r>
        <w:rPr>
          <w:rFonts w:hint="eastAsia" w:ascii="宋体" w:hAnsi="宋体" w:eastAsia="宋体" w:cs="宋体"/>
          <w:color w:val="000000"/>
          <w:sz w:val="24"/>
          <w:szCs w:val="24"/>
          <w:lang w:val="en-US" w:eastAsia="zh-CN"/>
        </w:rPr>
        <w:t>为202.41</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cs="宋体"/>
          <w:color w:val="000000"/>
          <w:sz w:val="24"/>
          <w:szCs w:val="24"/>
          <w:vertAlign w:val="baseline"/>
          <w:lang w:eastAsia="zh-CN"/>
        </w:rPr>
        <w:t>。</w:t>
      </w:r>
      <w:r>
        <w:rPr>
          <w:rFonts w:hint="default" w:ascii="Times New Roman" w:hAnsi="Times New Roman" w:eastAsia="宋体" w:cs="Times New Roman"/>
          <w:color w:val="000000"/>
          <w:sz w:val="24"/>
          <w:szCs w:val="24"/>
          <w:lang w:val="en-US" w:eastAsia="zh-CN"/>
        </w:rPr>
        <w:t>二者的差值为该</w:t>
      </w:r>
      <w:r>
        <w:rPr>
          <w:rFonts w:hint="eastAsia" w:ascii="宋体" w:hAnsi="宋体" w:eastAsia="宋体" w:cs="宋体"/>
          <w:color w:val="000000"/>
          <w:sz w:val="24"/>
          <w:szCs w:val="24"/>
          <w:lang w:val="en-US" w:eastAsia="zh-CN"/>
        </w:rPr>
        <w:t>光电建材产品每1m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lang w:val="en-US" w:eastAsia="zh-CN"/>
        </w:rPr>
        <w:t>每年使用阶段的减碳量</w:t>
      </w:r>
      <w:r>
        <w:rPr>
          <w:rFonts w:hint="eastAsia" w:ascii="宋体" w:hAnsi="宋体" w:cs="宋体"/>
          <w:color w:val="000000"/>
          <w:sz w:val="24"/>
          <w:szCs w:val="24"/>
          <w:vertAlign w:val="baseline"/>
          <w:lang w:val="en-US" w:eastAsia="zh-CN"/>
        </w:rPr>
        <w:t>为195.20kg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rPr>
      </w:pPr>
      <w:bookmarkStart w:id="54" w:name="_Toc16039"/>
      <w:bookmarkStart w:id="55" w:name="_Toc16305"/>
      <w:r>
        <w:rPr>
          <w:rFonts w:hint="default" w:ascii="Times New Roman" w:hAnsi="Times New Roman" w:cs="Times New Roman"/>
          <w:lang w:eastAsia="zh-CN"/>
        </w:rPr>
        <w:t>三、主要验证情况分析</w:t>
      </w:r>
      <w:bookmarkEnd w:id="54"/>
      <w:bookmarkEnd w:id="55"/>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本标准针对三类产品分别选取其中的典型产品进行减碳量核算方法验证，其中产品</w:t>
      </w:r>
      <w:r>
        <w:rPr>
          <w:rFonts w:hint="eastAsia" w:cs="Times New Roman"/>
          <w:kern w:val="0"/>
          <w:sz w:val="24"/>
          <w:szCs w:val="24"/>
          <w:lang w:val="en-US" w:eastAsia="zh-CN" w:bidi="ar"/>
        </w:rPr>
        <w:t>名称</w:t>
      </w:r>
      <w:r>
        <w:rPr>
          <w:rFonts w:hint="default" w:ascii="Times New Roman" w:hAnsi="Times New Roman" w:cs="Times New Roman"/>
          <w:kern w:val="0"/>
          <w:sz w:val="24"/>
          <w:szCs w:val="24"/>
          <w:lang w:val="en-US" w:eastAsia="zh-CN" w:bidi="ar"/>
        </w:rPr>
        <w:t>后的</w:t>
      </w:r>
      <w:r>
        <w:rPr>
          <w:rFonts w:hint="eastAsia" w:cs="Times New Roman"/>
          <w:kern w:val="0"/>
          <w:sz w:val="24"/>
          <w:szCs w:val="24"/>
          <w:lang w:val="en-US" w:eastAsia="zh-CN" w:bidi="ar"/>
        </w:rPr>
        <w:t>阿拉伯数字编</w:t>
      </w:r>
      <w:r>
        <w:rPr>
          <w:rFonts w:hint="default" w:ascii="Times New Roman" w:hAnsi="Times New Roman" w:cs="Times New Roman"/>
          <w:kern w:val="0"/>
          <w:sz w:val="24"/>
          <w:szCs w:val="24"/>
          <w:lang w:val="en-US" w:eastAsia="zh-CN" w:bidi="ar"/>
        </w:rPr>
        <w:t>号代表不同企业生产的产品。</w:t>
      </w:r>
    </w:p>
    <w:p>
      <w:pPr>
        <w:widowControl/>
        <w:spacing w:line="520" w:lineRule="exact"/>
        <w:ind w:firstLine="480" w:firstLineChars="200"/>
        <w:jc w:val="left"/>
        <w:rPr>
          <w:rFonts w:hint="default"/>
          <w:kern w:val="0"/>
          <w:sz w:val="24"/>
          <w:lang w:val="en-US" w:eastAsia="zh-CN" w:bidi="ar"/>
        </w:rPr>
      </w:pPr>
      <w:r>
        <w:rPr>
          <w:rFonts w:hint="eastAsia"/>
          <w:kern w:val="0"/>
          <w:sz w:val="24"/>
          <w:lang w:val="en-US" w:eastAsia="zh-CN" w:bidi="ar"/>
        </w:rPr>
        <w:t>（1）</w:t>
      </w:r>
      <w:r>
        <w:rPr>
          <w:rFonts w:hint="default" w:ascii="Times New Roman" w:hAnsi="Times New Roman" w:cs="Times New Roman"/>
          <w:kern w:val="0"/>
          <w:sz w:val="24"/>
          <w:szCs w:val="24"/>
          <w:lang w:val="en-US" w:eastAsia="zh-CN" w:bidi="ar"/>
        </w:rPr>
        <w:t>常规建材产品验证结果见表</w:t>
      </w:r>
      <w:r>
        <w:rPr>
          <w:rFonts w:hint="eastAsia" w:cs="Times New Roman"/>
          <w:kern w:val="0"/>
          <w:sz w:val="24"/>
          <w:szCs w:val="24"/>
          <w:lang w:val="en-US" w:eastAsia="zh-CN" w:bidi="ar"/>
        </w:rPr>
        <w:t>4</w:t>
      </w:r>
      <w:r>
        <w:rPr>
          <w:rFonts w:hint="eastAsia"/>
          <w:kern w:val="0"/>
          <w:sz w:val="24"/>
          <w:lang w:val="en-US" w:eastAsia="zh-CN" w:bidi="ar"/>
        </w:rPr>
        <w:t>。</w:t>
      </w:r>
    </w:p>
    <w:p>
      <w:pPr>
        <w:pageBreakBefore w:val="0"/>
        <w:widowControl/>
        <w:kinsoku/>
        <w:wordWrap/>
        <w:overflowPunct/>
        <w:topLinePunct w:val="0"/>
        <w:autoSpaceDE/>
        <w:autoSpaceDN/>
        <w:bidi w:val="0"/>
        <w:adjustRightInd/>
        <w:snapToGrid/>
        <w:spacing w:line="520" w:lineRule="exact"/>
        <w:ind w:firstLine="480" w:firstLineChars="200"/>
        <w:jc w:val="center"/>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表</w:t>
      </w:r>
      <w:r>
        <w:rPr>
          <w:rFonts w:hint="eastAsia" w:cs="Times New Roman"/>
          <w:kern w:val="0"/>
          <w:sz w:val="24"/>
          <w:szCs w:val="24"/>
          <w:lang w:val="en-US" w:eastAsia="zh-CN" w:bidi="ar"/>
        </w:rPr>
        <w:t>4</w:t>
      </w:r>
      <w:r>
        <w:rPr>
          <w:rFonts w:hint="default" w:ascii="Times New Roman" w:hAnsi="Times New Roman" w:cs="Times New Roman"/>
          <w:kern w:val="0"/>
          <w:sz w:val="24"/>
          <w:szCs w:val="24"/>
          <w:lang w:val="en-US" w:eastAsia="zh-CN" w:bidi="ar"/>
        </w:rPr>
        <w:t xml:space="preserve">  部分常规建材产品减碳量核算结果</w:t>
      </w:r>
    </w:p>
    <w:tbl>
      <w:tblPr>
        <w:tblStyle w:val="14"/>
        <w:tblW w:w="8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863"/>
        <w:gridCol w:w="900"/>
        <w:gridCol w:w="1393"/>
        <w:gridCol w:w="930"/>
        <w:gridCol w:w="1208"/>
        <w:gridCol w:w="908"/>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66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序号</w:t>
            </w: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产品类别</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产品碳排放量</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基准碳排放量</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减碳量</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硅酸盐水泥熟料1</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886.08</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902</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15.92</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硅酸盐水泥熟料2</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813.08</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902</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88.92</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平板玻璃1</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339.06</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/万重箱</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435</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/万重箱</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95.94</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tCO2/万重箱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平板玻璃2</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193.56</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/万重箱</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435</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/万重箱</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241.44</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/万重箱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陶瓷砖1（0.2%＜E≤0.5%）</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13.63</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24.00</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10.37</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陶瓷砖2（0.2%＜E≤0.5%）</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23.14</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24.00</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0.86</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玻璃纤维1（E、ECR玻璃纤维纱直径≤9μm）</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2.3440</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2.24</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-0.104</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玻璃纤维2（E、ECR玻璃纤维纱直径≤9μm）</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1.3859</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2.24</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0.8541</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sz w:val="21"/>
                <w:szCs w:val="21"/>
              </w:rPr>
              <w:t>烧结墙体材料</w:t>
            </w:r>
            <w:r>
              <w:rPr>
                <w:rFonts w:hint="default" w:ascii="Times New Roman" w:hAnsi="Times New Roman" w:cs="Times New Roman"/>
                <w:sz w:val="21"/>
                <w:szCs w:val="21"/>
                <w:lang w:val="en-US" w:eastAsia="zh-CN"/>
              </w:rPr>
              <w:t>1</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109.48</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126.63</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17.15</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4"/>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cs="Times New Roman"/>
                <w:kern w:val="0"/>
                <w:sz w:val="20"/>
                <w:szCs w:val="20"/>
                <w:vertAlign w:val="baseline"/>
                <w:lang w:val="en-US" w:eastAsia="zh-CN" w:bidi="ar"/>
              </w:rPr>
            </w:pPr>
          </w:p>
        </w:tc>
        <w:tc>
          <w:tcPr>
            <w:tcW w:w="186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sz w:val="21"/>
                <w:szCs w:val="21"/>
              </w:rPr>
              <w:t>烧结墙体材料</w:t>
            </w:r>
            <w:r>
              <w:rPr>
                <w:rFonts w:hint="default" w:ascii="Times New Roman" w:hAnsi="Times New Roman" w:cs="Times New Roman"/>
                <w:sz w:val="21"/>
                <w:szCs w:val="21"/>
                <w:lang w:val="en-US" w:eastAsia="zh-CN"/>
              </w:rPr>
              <w:t>2</w:t>
            </w:r>
          </w:p>
        </w:tc>
        <w:tc>
          <w:tcPr>
            <w:tcW w:w="9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color w:val="000000"/>
                <w:sz w:val="20"/>
                <w:szCs w:val="20"/>
              </w:rPr>
              <w:t>90.57</w:t>
            </w:r>
          </w:p>
        </w:tc>
        <w:tc>
          <w:tcPr>
            <w:tcW w:w="13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color w:val="000000"/>
                <w:kern w:val="0"/>
                <w:sz w:val="18"/>
                <w:szCs w:val="18"/>
              </w:rPr>
              <w:t>kgCO</w:t>
            </w:r>
            <w:r>
              <w:rPr>
                <w:rFonts w:hint="default" w:ascii="Times New Roman" w:hAnsi="Times New Roman" w:cs="Times New Roman"/>
                <w:color w:val="000000"/>
                <w:kern w:val="0"/>
                <w:sz w:val="18"/>
                <w:szCs w:val="18"/>
                <w:vertAlign w:val="subscript"/>
              </w:rPr>
              <w:t>2</w:t>
            </w:r>
            <w:r>
              <w:rPr>
                <w:rFonts w:hint="default" w:ascii="Times New Roman" w:hAnsi="Times New Roman" w:cs="Times New Roman"/>
                <w:color w:val="000000"/>
                <w:kern w:val="0"/>
                <w:sz w:val="18"/>
                <w:szCs w:val="18"/>
              </w:rPr>
              <w:t>/t</w:t>
            </w:r>
          </w:p>
        </w:tc>
        <w:tc>
          <w:tcPr>
            <w:tcW w:w="93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126.63</w:t>
            </w:r>
          </w:p>
        </w:tc>
        <w:tc>
          <w:tcPr>
            <w:tcW w:w="12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c>
          <w:tcPr>
            <w:tcW w:w="9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36.06</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/t</w:t>
            </w:r>
          </w:p>
        </w:tc>
      </w:tr>
    </w:tbl>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eastAsia" w:cs="Times New Roman"/>
          <w:kern w:val="0"/>
          <w:sz w:val="24"/>
          <w:szCs w:val="24"/>
          <w:lang w:val="en-US" w:eastAsia="zh-CN" w:bidi="ar"/>
        </w:rPr>
        <w:t>从常规建材产品的减碳量结果来看，水泥熟料、平板玻璃的减碳更明显，这是因为这两个行业企业间的节能降碳水平差异大，先进企业碳排放水平较行业平均水平低。其中水泥熟料2生产企业较水泥熟料1企业，废物资源利用率和碳排放管理水平更高，因此减碳量更高，故减碳量水平能有效反映产品碳排放水平，与产品生产实际的降碳减碳能力相符。玻璃纤维1的减碳量值为负值，表示其二氧化碳排放量较行业平均值还高，没有减碳效益。</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eastAsia" w:cs="Times New Roman"/>
          <w:kern w:val="0"/>
          <w:sz w:val="24"/>
          <w:szCs w:val="24"/>
          <w:lang w:val="en-US" w:eastAsia="zh-CN" w:bidi="ar"/>
        </w:rPr>
        <w:t>（2）</w:t>
      </w:r>
      <w:r>
        <w:rPr>
          <w:rFonts w:hint="default" w:ascii="Times New Roman" w:hAnsi="Times New Roman" w:cs="Times New Roman"/>
          <w:kern w:val="0"/>
          <w:sz w:val="24"/>
          <w:szCs w:val="24"/>
          <w:lang w:val="en-US" w:eastAsia="zh-CN" w:bidi="ar"/>
        </w:rPr>
        <w:t>保温隔热建材产品的减碳量包括生产阶段和使用阶段两个部分，验证结果见表</w:t>
      </w:r>
      <w:r>
        <w:rPr>
          <w:rFonts w:hint="eastAsia" w:cs="Times New Roman"/>
          <w:kern w:val="0"/>
          <w:sz w:val="24"/>
          <w:szCs w:val="24"/>
          <w:lang w:val="en-US" w:eastAsia="zh-CN" w:bidi="ar"/>
        </w:rPr>
        <w:t>5</w:t>
      </w:r>
      <w:r>
        <w:rPr>
          <w:rFonts w:hint="default" w:ascii="Times New Roman" w:hAnsi="Times New Roman" w:cs="Times New Roman"/>
          <w:kern w:val="0"/>
          <w:sz w:val="24"/>
          <w:szCs w:val="24"/>
          <w:lang w:val="en-US" w:eastAsia="zh-CN" w:bidi="ar"/>
        </w:rPr>
        <w:t>和表</w:t>
      </w:r>
      <w:r>
        <w:rPr>
          <w:rFonts w:hint="eastAsia" w:cs="Times New Roman"/>
          <w:kern w:val="0"/>
          <w:sz w:val="24"/>
          <w:szCs w:val="24"/>
          <w:lang w:val="en-US" w:eastAsia="zh-CN" w:bidi="ar"/>
        </w:rPr>
        <w:t>6</w:t>
      </w:r>
      <w:r>
        <w:rPr>
          <w:rFonts w:hint="default" w:ascii="Times New Roman" w:hAnsi="Times New Roman" w:cs="Times New Roman"/>
          <w:kern w:val="0"/>
          <w:sz w:val="24"/>
          <w:szCs w:val="24"/>
          <w:lang w:val="en-US" w:eastAsia="zh-CN" w:bidi="ar"/>
        </w:rPr>
        <w:t>。</w:t>
      </w:r>
      <w:r>
        <w:rPr>
          <w:rFonts w:hint="eastAsia" w:cs="Times New Roman"/>
          <w:kern w:val="0"/>
          <w:sz w:val="24"/>
          <w:szCs w:val="24"/>
          <w:lang w:val="en-US" w:eastAsia="zh-CN" w:bidi="ar"/>
        </w:rPr>
        <w:t>其中岩矿棉1生产企业的减碳能力低于岩矿棉2生产企业，因此生产过程的减碳量较低，碳排放较高，其使用阶段的减碳量也低于岩矿棉2，因此岩矿棉1企业还存在较大的减碳空间。另根据结果可知，聚氨酯的生产过程碳排放水平较岩矿棉高很多，与产品实际生产过程的碳排放特点相符合。但聚氨酯行业本身碳排放差距也较大，包括清洁能源的利用和资源回收利用等措施。根据表5使用阶段的减碳量结果，聚氨酯的减碳量较岩矿棉高很多，这与其导热系数高，保温性能好的特点具有一致性。综合生产和使用阶段的减碳量，才能全面评估产品的减碳水平，凸显保温隔热材料的减碳效益。</w:t>
      </w:r>
    </w:p>
    <w:p>
      <w:pPr>
        <w:pageBreakBefore w:val="0"/>
        <w:widowControl/>
        <w:kinsoku/>
        <w:wordWrap/>
        <w:overflowPunct/>
        <w:topLinePunct w:val="0"/>
        <w:autoSpaceDE/>
        <w:autoSpaceDN/>
        <w:bidi w:val="0"/>
        <w:adjustRightInd/>
        <w:snapToGrid/>
        <w:spacing w:line="520" w:lineRule="exact"/>
        <w:jc w:val="center"/>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表</w:t>
      </w:r>
      <w:r>
        <w:rPr>
          <w:rFonts w:hint="eastAsia" w:cs="Times New Roman"/>
          <w:kern w:val="0"/>
          <w:sz w:val="24"/>
          <w:szCs w:val="24"/>
          <w:lang w:val="en-US" w:eastAsia="zh-CN" w:bidi="ar"/>
        </w:rPr>
        <w:t>5</w:t>
      </w:r>
      <w:r>
        <w:rPr>
          <w:rFonts w:hint="default" w:ascii="Times New Roman" w:hAnsi="Times New Roman" w:cs="Times New Roman"/>
          <w:kern w:val="0"/>
          <w:sz w:val="24"/>
          <w:szCs w:val="24"/>
          <w:lang w:val="en-US" w:eastAsia="zh-CN" w:bidi="ar"/>
        </w:rPr>
        <w:t xml:space="preserve">  部分保温隔热建材产品生产阶段减碳量核算结果</w:t>
      </w:r>
    </w:p>
    <w:tbl>
      <w:tblPr>
        <w:tblStyle w:val="14"/>
        <w:tblW w:w="8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2048"/>
        <w:gridCol w:w="1023"/>
        <w:gridCol w:w="907"/>
        <w:gridCol w:w="893"/>
        <w:gridCol w:w="962"/>
        <w:gridCol w:w="1008"/>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6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序号</w:t>
            </w:r>
          </w:p>
        </w:tc>
        <w:tc>
          <w:tcPr>
            <w:tcW w:w="204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产品类别</w:t>
            </w:r>
          </w:p>
        </w:tc>
        <w:tc>
          <w:tcPr>
            <w:tcW w:w="102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产品碳排放量</w:t>
            </w:r>
          </w:p>
        </w:tc>
        <w:tc>
          <w:tcPr>
            <w:tcW w:w="90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8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基准碳排放量</w:t>
            </w:r>
          </w:p>
        </w:tc>
        <w:tc>
          <w:tcPr>
            <w:tcW w:w="96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10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减碳量</w:t>
            </w:r>
          </w:p>
        </w:tc>
        <w:tc>
          <w:tcPr>
            <w:tcW w:w="969"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5"/>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204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岩矿棉1（立式熔炉法生产）</w:t>
            </w:r>
          </w:p>
        </w:tc>
        <w:tc>
          <w:tcPr>
            <w:tcW w:w="102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1.185</w:t>
            </w:r>
          </w:p>
        </w:tc>
        <w:tc>
          <w:tcPr>
            <w:tcW w:w="90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8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1.24</w:t>
            </w:r>
          </w:p>
        </w:tc>
        <w:tc>
          <w:tcPr>
            <w:tcW w:w="96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10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0.055</w:t>
            </w:r>
          </w:p>
        </w:tc>
        <w:tc>
          <w:tcPr>
            <w:tcW w:w="969"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5"/>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204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岩矿棉1（立式熔炉法生产）</w:t>
            </w:r>
          </w:p>
        </w:tc>
        <w:tc>
          <w:tcPr>
            <w:tcW w:w="102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0.949</w:t>
            </w:r>
          </w:p>
        </w:tc>
        <w:tc>
          <w:tcPr>
            <w:tcW w:w="90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8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1.24</w:t>
            </w:r>
          </w:p>
        </w:tc>
        <w:tc>
          <w:tcPr>
            <w:tcW w:w="96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10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0.291</w:t>
            </w:r>
          </w:p>
        </w:tc>
        <w:tc>
          <w:tcPr>
            <w:tcW w:w="969"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5"/>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204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聚氨酯保温板1</w:t>
            </w:r>
          </w:p>
        </w:tc>
        <w:tc>
          <w:tcPr>
            <w:tcW w:w="102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142</w:t>
            </w:r>
          </w:p>
        </w:tc>
        <w:tc>
          <w:tcPr>
            <w:tcW w:w="90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8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150</w:t>
            </w:r>
          </w:p>
        </w:tc>
        <w:tc>
          <w:tcPr>
            <w:tcW w:w="96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10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8</w:t>
            </w:r>
          </w:p>
        </w:tc>
        <w:tc>
          <w:tcPr>
            <w:tcW w:w="969"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5"/>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204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聚氨酯保温板2</w:t>
            </w:r>
          </w:p>
        </w:tc>
        <w:tc>
          <w:tcPr>
            <w:tcW w:w="102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133</w:t>
            </w:r>
          </w:p>
        </w:tc>
        <w:tc>
          <w:tcPr>
            <w:tcW w:w="90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89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宋体"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150</w:t>
            </w:r>
          </w:p>
        </w:tc>
        <w:tc>
          <w:tcPr>
            <w:tcW w:w="96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1008"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eastAsia" w:ascii="Times New Roman" w:hAnsi="Times New Roman" w:cs="Times New Roman"/>
                <w:kern w:val="0"/>
                <w:sz w:val="20"/>
                <w:szCs w:val="20"/>
                <w:vertAlign w:val="baseline"/>
                <w:lang w:val="en-US" w:eastAsia="zh-CN" w:bidi="ar"/>
              </w:rPr>
              <w:t>17</w:t>
            </w:r>
          </w:p>
        </w:tc>
        <w:tc>
          <w:tcPr>
            <w:tcW w:w="969"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bl>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ageBreakBefore w:val="0"/>
        <w:widowControl/>
        <w:kinsoku/>
        <w:wordWrap/>
        <w:overflowPunct/>
        <w:topLinePunct w:val="0"/>
        <w:autoSpaceDE/>
        <w:autoSpaceDN/>
        <w:bidi w:val="0"/>
        <w:adjustRightInd/>
        <w:snapToGrid/>
        <w:spacing w:line="520" w:lineRule="exact"/>
        <w:jc w:val="center"/>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表</w:t>
      </w:r>
      <w:r>
        <w:rPr>
          <w:rFonts w:hint="eastAsia" w:cs="Times New Roman"/>
          <w:kern w:val="0"/>
          <w:sz w:val="24"/>
          <w:szCs w:val="24"/>
          <w:lang w:val="en-US" w:eastAsia="zh-CN" w:bidi="ar"/>
        </w:rPr>
        <w:t>6</w:t>
      </w:r>
      <w:r>
        <w:rPr>
          <w:rFonts w:hint="default" w:ascii="Times New Roman" w:hAnsi="Times New Roman" w:cs="Times New Roman"/>
          <w:kern w:val="0"/>
          <w:sz w:val="24"/>
          <w:szCs w:val="24"/>
          <w:lang w:val="en-US" w:eastAsia="zh-CN" w:bidi="ar"/>
        </w:rPr>
        <w:t xml:space="preserve">  部分保温隔热建材产品使用阶段减碳量核算结果</w:t>
      </w:r>
    </w:p>
    <w:tbl>
      <w:tblPr>
        <w:tblStyle w:val="14"/>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884"/>
        <w:gridCol w:w="1452"/>
        <w:gridCol w:w="942"/>
        <w:gridCol w:w="972"/>
        <w:gridCol w:w="1133"/>
        <w:gridCol w:w="975"/>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序号</w:t>
            </w:r>
          </w:p>
        </w:tc>
        <w:tc>
          <w:tcPr>
            <w:tcW w:w="1884"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产品类别</w:t>
            </w:r>
          </w:p>
        </w:tc>
        <w:tc>
          <w:tcPr>
            <w:tcW w:w="145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w:t>
            </w:r>
            <w:r>
              <w:rPr>
                <w:rFonts w:hint="eastAsia" w:cs="Times New Roman"/>
                <w:kern w:val="0"/>
                <w:sz w:val="20"/>
                <w:szCs w:val="20"/>
                <w:vertAlign w:val="baseline"/>
                <w:lang w:val="en-US" w:eastAsia="zh-CN" w:bidi="ar"/>
              </w:rPr>
              <w:t>应用情景</w:t>
            </w:r>
            <w:r>
              <w:rPr>
                <w:rFonts w:hint="default" w:ascii="Times New Roman" w:hAnsi="Times New Roman" w:cs="Times New Roman"/>
                <w:kern w:val="0"/>
                <w:sz w:val="20"/>
                <w:szCs w:val="20"/>
                <w:vertAlign w:val="baseline"/>
                <w:lang w:val="en-US" w:eastAsia="zh-CN" w:bidi="ar"/>
              </w:rPr>
              <w:t>碳排放量</w:t>
            </w:r>
          </w:p>
        </w:tc>
        <w:tc>
          <w:tcPr>
            <w:tcW w:w="94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97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基准碳排放量</w:t>
            </w:r>
          </w:p>
        </w:tc>
        <w:tc>
          <w:tcPr>
            <w:tcW w:w="113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97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减碳量</w:t>
            </w:r>
          </w:p>
        </w:tc>
        <w:tc>
          <w:tcPr>
            <w:tcW w:w="111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6"/>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84"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岩矿棉1（立式熔炉法生产）</w:t>
            </w:r>
          </w:p>
        </w:tc>
        <w:tc>
          <w:tcPr>
            <w:tcW w:w="145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highlight w:val="none"/>
                <w:vertAlign w:val="baseline"/>
                <w:lang w:val="en-US" w:eastAsia="zh-CN" w:bidi="ar"/>
              </w:rPr>
            </w:pPr>
            <w:r>
              <w:rPr>
                <w:rFonts w:hint="eastAsia" w:cs="Times New Roman"/>
                <w:kern w:val="0"/>
                <w:sz w:val="20"/>
                <w:szCs w:val="20"/>
                <w:highlight w:val="none"/>
                <w:vertAlign w:val="baseline"/>
                <w:lang w:val="en-US" w:eastAsia="zh-CN" w:bidi="ar"/>
              </w:rPr>
              <w:t>0</w:t>
            </w:r>
            <w:r>
              <w:rPr>
                <w:rFonts w:hint="eastAsia" w:ascii="Times New Roman" w:hAnsi="Times New Roman" w:cs="Times New Roman"/>
                <w:kern w:val="0"/>
                <w:sz w:val="20"/>
                <w:szCs w:val="20"/>
                <w:highlight w:val="none"/>
                <w:vertAlign w:val="baseline"/>
                <w:lang w:val="en-US" w:eastAsia="zh-CN" w:bidi="ar"/>
              </w:rPr>
              <w:t>.</w:t>
            </w:r>
            <w:r>
              <w:rPr>
                <w:rFonts w:hint="eastAsia" w:cs="Times New Roman"/>
                <w:kern w:val="0"/>
                <w:sz w:val="20"/>
                <w:szCs w:val="20"/>
                <w:highlight w:val="none"/>
                <w:vertAlign w:val="baseline"/>
                <w:lang w:val="en-US" w:eastAsia="zh-CN" w:bidi="ar"/>
              </w:rPr>
              <w:t>82</w:t>
            </w:r>
          </w:p>
        </w:tc>
        <w:tc>
          <w:tcPr>
            <w:tcW w:w="94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98</w:t>
            </w:r>
          </w:p>
        </w:tc>
        <w:tc>
          <w:tcPr>
            <w:tcW w:w="113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16</w:t>
            </w:r>
          </w:p>
        </w:tc>
        <w:tc>
          <w:tcPr>
            <w:tcW w:w="111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6"/>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84"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岩矿棉1（立式熔炉法生产）</w:t>
            </w:r>
          </w:p>
        </w:tc>
        <w:tc>
          <w:tcPr>
            <w:tcW w:w="145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highlight w:val="none"/>
                <w:vertAlign w:val="baseline"/>
                <w:lang w:val="en-US" w:eastAsia="zh-CN" w:bidi="ar"/>
              </w:rPr>
            </w:pPr>
            <w:r>
              <w:rPr>
                <w:rFonts w:hint="eastAsia" w:cs="Times New Roman"/>
                <w:kern w:val="0"/>
                <w:sz w:val="20"/>
                <w:szCs w:val="20"/>
                <w:highlight w:val="none"/>
                <w:vertAlign w:val="baseline"/>
                <w:lang w:val="en-US" w:eastAsia="zh-CN" w:bidi="ar"/>
              </w:rPr>
              <w:t>0</w:t>
            </w:r>
            <w:r>
              <w:rPr>
                <w:rFonts w:hint="eastAsia" w:ascii="Times New Roman" w:hAnsi="Times New Roman" w:cs="Times New Roman"/>
                <w:kern w:val="0"/>
                <w:sz w:val="20"/>
                <w:szCs w:val="20"/>
                <w:highlight w:val="none"/>
                <w:vertAlign w:val="baseline"/>
                <w:lang w:val="en-US" w:eastAsia="zh-CN" w:bidi="ar"/>
              </w:rPr>
              <w:t>.</w:t>
            </w:r>
            <w:r>
              <w:rPr>
                <w:rFonts w:hint="eastAsia" w:cs="Times New Roman"/>
                <w:kern w:val="0"/>
                <w:sz w:val="20"/>
                <w:szCs w:val="20"/>
                <w:highlight w:val="none"/>
                <w:vertAlign w:val="baseline"/>
                <w:lang w:val="en-US" w:eastAsia="zh-CN" w:bidi="ar"/>
              </w:rPr>
              <w:t>79</w:t>
            </w:r>
          </w:p>
        </w:tc>
        <w:tc>
          <w:tcPr>
            <w:tcW w:w="94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98</w:t>
            </w:r>
          </w:p>
        </w:tc>
        <w:tc>
          <w:tcPr>
            <w:tcW w:w="113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19</w:t>
            </w:r>
          </w:p>
        </w:tc>
        <w:tc>
          <w:tcPr>
            <w:tcW w:w="111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6"/>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84"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聚氨酯保温板1</w:t>
            </w:r>
          </w:p>
        </w:tc>
        <w:tc>
          <w:tcPr>
            <w:tcW w:w="145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highlight w:val="none"/>
                <w:vertAlign w:val="baseline"/>
                <w:lang w:val="en-US" w:eastAsia="zh-CN" w:bidi="ar"/>
              </w:rPr>
            </w:pPr>
            <w:r>
              <w:rPr>
                <w:rFonts w:hint="eastAsia" w:cs="Times New Roman"/>
                <w:kern w:val="0"/>
                <w:sz w:val="20"/>
                <w:szCs w:val="20"/>
                <w:highlight w:val="none"/>
                <w:vertAlign w:val="baseline"/>
                <w:lang w:val="en-US" w:eastAsia="zh-CN" w:bidi="ar"/>
              </w:rPr>
              <w:t>0.43</w:t>
            </w:r>
          </w:p>
        </w:tc>
        <w:tc>
          <w:tcPr>
            <w:tcW w:w="94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98</w:t>
            </w:r>
          </w:p>
        </w:tc>
        <w:tc>
          <w:tcPr>
            <w:tcW w:w="113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0.55</w:t>
            </w:r>
          </w:p>
        </w:tc>
        <w:tc>
          <w:tcPr>
            <w:tcW w:w="111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6"/>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84"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聚氨酯保温板2</w:t>
            </w:r>
          </w:p>
        </w:tc>
        <w:tc>
          <w:tcPr>
            <w:tcW w:w="145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highlight w:val="none"/>
                <w:vertAlign w:val="baseline"/>
                <w:lang w:val="en-US" w:eastAsia="zh-CN" w:bidi="ar"/>
              </w:rPr>
            </w:pPr>
            <w:r>
              <w:rPr>
                <w:rFonts w:hint="eastAsia" w:cs="Times New Roman"/>
                <w:kern w:val="0"/>
                <w:sz w:val="20"/>
                <w:szCs w:val="20"/>
                <w:highlight w:val="none"/>
                <w:vertAlign w:val="baseline"/>
                <w:lang w:val="en-US" w:eastAsia="zh-CN" w:bidi="ar"/>
              </w:rPr>
              <w:t>0.47</w:t>
            </w:r>
          </w:p>
        </w:tc>
        <w:tc>
          <w:tcPr>
            <w:tcW w:w="94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w:t>
            </w:r>
            <w:r>
              <w:rPr>
                <w:rFonts w:hint="eastAsia"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98</w:t>
            </w:r>
          </w:p>
        </w:tc>
        <w:tc>
          <w:tcPr>
            <w:tcW w:w="1133"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c>
          <w:tcPr>
            <w:tcW w:w="97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0.51</w:t>
            </w:r>
          </w:p>
        </w:tc>
        <w:tc>
          <w:tcPr>
            <w:tcW w:w="111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tCO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w:t>
            </w:r>
            <w:r>
              <w:rPr>
                <w:rFonts w:hint="eastAsia" w:cs="Times New Roman"/>
                <w:kern w:val="0"/>
                <w:sz w:val="20"/>
                <w:szCs w:val="20"/>
                <w:vertAlign w:val="baseline"/>
                <w:lang w:val="en-US" w:eastAsia="zh-CN" w:bidi="ar"/>
              </w:rPr>
              <w:t>m</w:t>
            </w:r>
            <w:r>
              <w:rPr>
                <w:rFonts w:hint="eastAsia" w:cs="Times New Roman"/>
                <w:kern w:val="0"/>
                <w:sz w:val="20"/>
                <w:szCs w:val="20"/>
                <w:vertAlign w:val="superscript"/>
                <w:lang w:val="en-US" w:eastAsia="zh-CN" w:bidi="ar"/>
              </w:rPr>
              <w:t>2</w:t>
            </w:r>
          </w:p>
        </w:tc>
      </w:tr>
    </w:tbl>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eastAsia" w:cs="Times New Roman"/>
          <w:kern w:val="0"/>
          <w:sz w:val="24"/>
          <w:szCs w:val="24"/>
          <w:lang w:val="en-US" w:eastAsia="zh-CN" w:bidi="ar"/>
        </w:rPr>
        <w:t>（3）</w:t>
      </w:r>
      <w:r>
        <w:rPr>
          <w:rFonts w:hint="default" w:ascii="Times New Roman" w:hAnsi="Times New Roman" w:cs="Times New Roman"/>
          <w:kern w:val="0"/>
          <w:sz w:val="24"/>
          <w:szCs w:val="24"/>
          <w:lang w:val="en-US" w:eastAsia="zh-CN" w:bidi="ar"/>
        </w:rPr>
        <w:t>光电转化产品的使用阶段减碳量验证结果见表</w:t>
      </w:r>
      <w:r>
        <w:rPr>
          <w:rFonts w:hint="eastAsia" w:cs="Times New Roman"/>
          <w:kern w:val="0"/>
          <w:sz w:val="24"/>
          <w:szCs w:val="24"/>
          <w:lang w:val="en-US" w:eastAsia="zh-CN" w:bidi="ar"/>
        </w:rPr>
        <w:t>7</w:t>
      </w:r>
      <w:r>
        <w:rPr>
          <w:rFonts w:hint="default" w:ascii="Times New Roman" w:hAnsi="Times New Roman" w:cs="Times New Roman"/>
          <w:kern w:val="0"/>
          <w:sz w:val="24"/>
          <w:szCs w:val="24"/>
          <w:lang w:val="en-US" w:eastAsia="zh-CN" w:bidi="ar"/>
        </w:rPr>
        <w:t>，其中</w:t>
      </w:r>
      <w:r>
        <w:rPr>
          <w:rFonts w:hint="eastAsia" w:cs="Times New Roman"/>
          <w:kern w:val="0"/>
          <w:sz w:val="24"/>
          <w:szCs w:val="24"/>
          <w:lang w:val="en-US" w:eastAsia="zh-CN" w:bidi="ar"/>
        </w:rPr>
        <w:t>标号</w:t>
      </w:r>
      <w:r>
        <w:rPr>
          <w:rFonts w:hint="default" w:ascii="Times New Roman" w:hAnsi="Times New Roman" w:cs="Times New Roman"/>
          <w:kern w:val="0"/>
          <w:sz w:val="24"/>
          <w:szCs w:val="24"/>
          <w:lang w:val="en-US" w:eastAsia="zh-CN" w:bidi="ar"/>
        </w:rPr>
        <w:t>A</w:t>
      </w:r>
      <w:r>
        <w:rPr>
          <w:rFonts w:hint="eastAsia" w:cs="Times New Roman"/>
          <w:kern w:val="0"/>
          <w:sz w:val="24"/>
          <w:szCs w:val="24"/>
          <w:lang w:val="en-US" w:eastAsia="zh-CN" w:bidi="ar"/>
        </w:rPr>
        <w:t>、B、C分别为</w:t>
      </w:r>
      <w:r>
        <w:rPr>
          <w:rFonts w:hint="default" w:ascii="Times New Roman" w:hAnsi="Times New Roman" w:cs="Times New Roman"/>
          <w:kern w:val="0"/>
          <w:sz w:val="24"/>
          <w:szCs w:val="24"/>
          <w:lang w:val="en-US" w:eastAsia="zh-CN" w:bidi="ar"/>
        </w:rPr>
        <w:t>不同</w:t>
      </w:r>
      <w:r>
        <w:rPr>
          <w:rFonts w:hint="default" w:ascii="Times New Roman" w:hAnsi="Times New Roman" w:eastAsia="宋体" w:cs="Times New Roman"/>
          <w:color w:val="000000"/>
          <w:sz w:val="24"/>
          <w:szCs w:val="24"/>
        </w:rPr>
        <w:t>光电转换效率</w:t>
      </w:r>
      <w:r>
        <w:rPr>
          <w:rFonts w:hint="default" w:ascii="Times New Roman" w:hAnsi="Times New Roman" w:cs="Times New Roman"/>
          <w:color w:val="000000"/>
          <w:sz w:val="24"/>
          <w:szCs w:val="24"/>
          <w:lang w:val="en-US" w:eastAsia="zh-CN"/>
        </w:rPr>
        <w:t>的产品，</w:t>
      </w:r>
      <w:r>
        <w:rPr>
          <w:rFonts w:hint="eastAsia" w:cs="Times New Roman"/>
          <w:color w:val="000000"/>
          <w:sz w:val="24"/>
          <w:szCs w:val="24"/>
          <w:lang w:val="en-US" w:eastAsia="zh-CN"/>
        </w:rPr>
        <w:t>产品B的</w:t>
      </w:r>
      <w:r>
        <w:rPr>
          <w:rFonts w:hint="eastAsia" w:ascii="宋体" w:hAnsi="宋体" w:eastAsia="宋体" w:cs="宋体"/>
          <w:color w:val="000000"/>
          <w:sz w:val="24"/>
          <w:szCs w:val="24"/>
        </w:rPr>
        <w:t>光电转换效率</w:t>
      </w:r>
      <w:r>
        <w:rPr>
          <w:rFonts w:hint="eastAsia" w:ascii="宋体" w:hAnsi="宋体" w:cs="宋体"/>
          <w:color w:val="000000"/>
          <w:sz w:val="24"/>
          <w:szCs w:val="24"/>
          <w:lang w:val="en-US" w:eastAsia="zh-CN"/>
        </w:rPr>
        <w:t>更高，其使用过程每年发出的清洁电量更高，因此使用过程减碳量更高。减碳量核算结果与产品的特性及实际情况相符。</w:t>
      </w:r>
    </w:p>
    <w:p>
      <w:pPr>
        <w:keepNext w:val="0"/>
        <w:keepLines w:val="0"/>
        <w:pageBreakBefore w:val="0"/>
        <w:widowControl/>
        <w:kinsoku/>
        <w:wordWrap/>
        <w:overflowPunct/>
        <w:topLinePunct w:val="0"/>
        <w:autoSpaceDE/>
        <w:autoSpaceDN/>
        <w:bidi w:val="0"/>
        <w:adjustRightInd/>
        <w:snapToGrid/>
        <w:spacing w:line="520" w:lineRule="exact"/>
        <w:ind w:firstLine="0" w:firstLineChars="0"/>
        <w:jc w:val="center"/>
        <w:textAlignment w:val="auto"/>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表</w:t>
      </w:r>
      <w:r>
        <w:rPr>
          <w:rFonts w:hint="eastAsia" w:cs="Times New Roman"/>
          <w:kern w:val="0"/>
          <w:sz w:val="24"/>
          <w:szCs w:val="24"/>
          <w:lang w:val="en-US" w:eastAsia="zh-CN" w:bidi="ar"/>
        </w:rPr>
        <w:t>7</w:t>
      </w:r>
      <w:r>
        <w:rPr>
          <w:rFonts w:hint="default" w:ascii="Times New Roman" w:hAnsi="Times New Roman" w:cs="Times New Roman"/>
          <w:kern w:val="0"/>
          <w:sz w:val="24"/>
          <w:szCs w:val="24"/>
          <w:lang w:val="en-US" w:eastAsia="zh-CN" w:bidi="ar"/>
        </w:rPr>
        <w:t xml:space="preserve">  部分光电转化建材产品使用阶段减碳量核算结果</w:t>
      </w:r>
    </w:p>
    <w:tbl>
      <w:tblPr>
        <w:tblStyle w:val="14"/>
        <w:tblW w:w="8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802"/>
        <w:gridCol w:w="1241"/>
        <w:gridCol w:w="1091"/>
        <w:gridCol w:w="1000"/>
        <w:gridCol w:w="1100"/>
        <w:gridCol w:w="917"/>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665"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序号</w:t>
            </w:r>
          </w:p>
        </w:tc>
        <w:tc>
          <w:tcPr>
            <w:tcW w:w="180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产品类别</w:t>
            </w:r>
          </w:p>
        </w:tc>
        <w:tc>
          <w:tcPr>
            <w:tcW w:w="124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产品</w:t>
            </w:r>
            <w:r>
              <w:rPr>
                <w:rFonts w:hint="eastAsia" w:cs="Times New Roman"/>
                <w:kern w:val="0"/>
                <w:sz w:val="20"/>
                <w:szCs w:val="20"/>
                <w:vertAlign w:val="baseline"/>
                <w:lang w:val="en-US" w:eastAsia="zh-CN" w:bidi="ar"/>
              </w:rPr>
              <w:t>应用情景</w:t>
            </w:r>
            <w:r>
              <w:rPr>
                <w:rFonts w:hint="default" w:ascii="Times New Roman" w:hAnsi="Times New Roman" w:cs="Times New Roman"/>
                <w:kern w:val="0"/>
                <w:sz w:val="20"/>
                <w:szCs w:val="20"/>
                <w:vertAlign w:val="baseline"/>
                <w:lang w:val="en-US" w:eastAsia="zh-CN" w:bidi="ar"/>
              </w:rPr>
              <w:t>碳排放量</w:t>
            </w:r>
          </w:p>
        </w:tc>
        <w:tc>
          <w:tcPr>
            <w:tcW w:w="109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10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基准碳排放量</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c>
          <w:tcPr>
            <w:tcW w:w="9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减碳量</w:t>
            </w:r>
          </w:p>
        </w:tc>
        <w:tc>
          <w:tcPr>
            <w:tcW w:w="11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7"/>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0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碲化镉发电玻璃A</w:t>
            </w:r>
          </w:p>
        </w:tc>
        <w:tc>
          <w:tcPr>
            <w:tcW w:w="124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7.21</w:t>
            </w:r>
          </w:p>
        </w:tc>
        <w:tc>
          <w:tcPr>
            <w:tcW w:w="109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10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202.41</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195.21</w:t>
            </w:r>
          </w:p>
        </w:tc>
        <w:tc>
          <w:tcPr>
            <w:tcW w:w="11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5" w:type="dxa"/>
            <w:noWrap w:val="0"/>
            <w:vAlign w:val="center"/>
          </w:tcPr>
          <w:p>
            <w:pPr>
              <w:keepNext w:val="0"/>
              <w:keepLines w:val="0"/>
              <w:pageBreakBefore w:val="0"/>
              <w:widowControl/>
              <w:numPr>
                <w:ilvl w:val="0"/>
                <w:numId w:val="7"/>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0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碲化镉发电玻璃</w:t>
            </w:r>
            <w:r>
              <w:rPr>
                <w:rFonts w:hint="eastAsia" w:cs="Times New Roman"/>
                <w:kern w:val="0"/>
                <w:sz w:val="20"/>
                <w:szCs w:val="20"/>
                <w:vertAlign w:val="baseline"/>
                <w:lang w:val="en-US" w:eastAsia="zh-CN" w:bidi="ar"/>
              </w:rPr>
              <w:t>B</w:t>
            </w:r>
          </w:p>
        </w:tc>
        <w:tc>
          <w:tcPr>
            <w:tcW w:w="124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10.29</w:t>
            </w:r>
          </w:p>
        </w:tc>
        <w:tc>
          <w:tcPr>
            <w:tcW w:w="109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10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289.16</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278.86</w:t>
            </w:r>
          </w:p>
        </w:tc>
        <w:tc>
          <w:tcPr>
            <w:tcW w:w="11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keepNext w:val="0"/>
              <w:keepLines w:val="0"/>
              <w:pageBreakBefore w:val="0"/>
              <w:widowControl/>
              <w:numPr>
                <w:ilvl w:val="0"/>
                <w:numId w:val="7"/>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cs="Times New Roman"/>
                <w:kern w:val="0"/>
                <w:sz w:val="20"/>
                <w:szCs w:val="20"/>
                <w:vertAlign w:val="baseline"/>
                <w:lang w:val="en-US" w:eastAsia="zh-CN" w:bidi="ar"/>
              </w:rPr>
            </w:pPr>
          </w:p>
        </w:tc>
        <w:tc>
          <w:tcPr>
            <w:tcW w:w="1802"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碲化镉发电玻璃</w:t>
            </w:r>
            <w:r>
              <w:rPr>
                <w:rFonts w:hint="eastAsia" w:cs="Times New Roman"/>
                <w:kern w:val="0"/>
                <w:sz w:val="20"/>
                <w:szCs w:val="20"/>
                <w:vertAlign w:val="baseline"/>
                <w:lang w:val="en-US" w:eastAsia="zh-CN" w:bidi="ar"/>
              </w:rPr>
              <w:t>C</w:t>
            </w:r>
          </w:p>
        </w:tc>
        <w:tc>
          <w:tcPr>
            <w:tcW w:w="124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8.58</w:t>
            </w:r>
          </w:p>
        </w:tc>
        <w:tc>
          <w:tcPr>
            <w:tcW w:w="1091"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10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240.97</w:t>
            </w:r>
          </w:p>
        </w:tc>
        <w:tc>
          <w:tcPr>
            <w:tcW w:w="1100"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c>
          <w:tcPr>
            <w:tcW w:w="9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232.39</w:t>
            </w:r>
          </w:p>
        </w:tc>
        <w:tc>
          <w:tcPr>
            <w:tcW w:w="1117"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kern w:val="0"/>
                <w:sz w:val="20"/>
                <w:szCs w:val="20"/>
                <w:vertAlign w:val="baseline"/>
                <w:lang w:val="en-US" w:eastAsia="zh-CN" w:bidi="ar"/>
              </w:rPr>
            </w:pPr>
            <w:r>
              <w:rPr>
                <w:rFonts w:hint="default" w:ascii="Times New Roman" w:hAnsi="Times New Roman" w:cs="Times New Roman"/>
                <w:kern w:val="0"/>
                <w:sz w:val="20"/>
                <w:szCs w:val="20"/>
                <w:vertAlign w:val="baseline"/>
                <w:lang w:val="en-US" w:eastAsia="zh-CN" w:bidi="ar"/>
              </w:rPr>
              <w:t>kgCO</w:t>
            </w:r>
            <w:r>
              <w:rPr>
                <w:rFonts w:hint="default" w:ascii="Times New Roman" w:hAnsi="Times New Roman" w:cs="Times New Roman"/>
                <w:kern w:val="0"/>
                <w:sz w:val="20"/>
                <w:szCs w:val="20"/>
                <w:vertAlign w:val="subscript"/>
                <w:lang w:val="en-US" w:eastAsia="zh-CN" w:bidi="ar"/>
              </w:rPr>
              <w:t>2</w:t>
            </w:r>
            <w:r>
              <w:rPr>
                <w:rFonts w:hint="default" w:ascii="Times New Roman" w:hAnsi="Times New Roman" w:cs="Times New Roman"/>
                <w:kern w:val="0"/>
                <w:sz w:val="20"/>
                <w:szCs w:val="20"/>
                <w:vertAlign w:val="baseline"/>
                <w:lang w:val="en-US" w:eastAsia="zh-CN" w:bidi="ar"/>
              </w:rPr>
              <w:t>/m</w:t>
            </w:r>
            <w:r>
              <w:rPr>
                <w:rFonts w:hint="default" w:ascii="Times New Roman" w:hAnsi="Times New Roman" w:cs="Times New Roman"/>
                <w:kern w:val="0"/>
                <w:sz w:val="20"/>
                <w:szCs w:val="20"/>
                <w:vertAlign w:val="superscript"/>
                <w:lang w:val="en-US" w:eastAsia="zh-CN" w:bidi="ar"/>
              </w:rPr>
              <w:t>2</w:t>
            </w:r>
          </w:p>
        </w:tc>
      </w:tr>
    </w:tbl>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宋体" w:hAnsi="宋体" w:cs="宋体"/>
          <w:color w:val="000000"/>
          <w:kern w:val="2"/>
          <w:sz w:val="24"/>
          <w:szCs w:val="24"/>
          <w:lang w:val="en-US" w:eastAsia="zh-CN" w:bidi="ar"/>
        </w:rPr>
      </w:pPr>
      <w:r>
        <w:rPr>
          <w:rFonts w:hint="eastAsia" w:ascii="宋体" w:hAnsi="宋体" w:cs="宋体"/>
          <w:color w:val="000000"/>
          <w:kern w:val="2"/>
          <w:sz w:val="24"/>
          <w:szCs w:val="24"/>
          <w:lang w:val="en-US" w:eastAsia="zh-CN" w:bidi="ar"/>
        </w:rPr>
        <w:t>综上，经过验证分析，说明本标准的研究提出的建材产品减碳量评估方法是科学合理的，同时具备行业的通用性、可操作，该标准的制定实施，能够为评估建材产品的</w:t>
      </w:r>
      <w:r>
        <w:rPr>
          <w:rFonts w:hint="default" w:ascii="Times New Roman" w:hAnsi="Times New Roman" w:eastAsia="宋体" w:cs="Times New Roman"/>
          <w:color w:val="333333"/>
          <w:spacing w:val="5"/>
          <w:sz w:val="24"/>
          <w:szCs w:val="24"/>
          <w:shd w:val="clear" w:color="auto" w:fill="FFFFFF"/>
          <w:lang w:val="en-US" w:eastAsia="zh-CN"/>
        </w:rPr>
        <w:t>碳排放水平和减碳潜力</w:t>
      </w:r>
      <w:r>
        <w:rPr>
          <w:rFonts w:hint="eastAsia" w:cs="Times New Roman"/>
          <w:color w:val="333333"/>
          <w:spacing w:val="5"/>
          <w:sz w:val="24"/>
          <w:szCs w:val="24"/>
          <w:shd w:val="clear" w:color="auto" w:fill="FFFFFF"/>
          <w:lang w:val="en-US" w:eastAsia="zh-CN"/>
        </w:rPr>
        <w:t>提供统一的评估方法，帮助企业全面了解产品生产阶段和应用阶段的减碳水平，为全面推广绿色建材产品提供科学的评价依据，帮助用户科学选购绿色建材</w:t>
      </w:r>
      <w:r>
        <w:rPr>
          <w:rFonts w:hint="default" w:ascii="Times New Roman" w:hAnsi="Times New Roman" w:eastAsia="宋体" w:cs="Times New Roman"/>
          <w:color w:val="333333"/>
          <w:spacing w:val="5"/>
          <w:sz w:val="24"/>
          <w:szCs w:val="24"/>
          <w:shd w:val="clear" w:color="auto" w:fill="FFFFFF"/>
        </w:rPr>
        <w:t>。</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rPr>
      </w:pPr>
      <w:bookmarkStart w:id="56" w:name="_Toc1176"/>
      <w:bookmarkStart w:id="57" w:name="_Toc10220"/>
      <w:r>
        <w:rPr>
          <w:rFonts w:hint="default" w:ascii="Times New Roman" w:hAnsi="Times New Roman" w:cs="Times New Roman"/>
          <w:lang w:eastAsia="zh-CN"/>
        </w:rPr>
        <w:t>四、标准中如果涉及专利，应有明确的知识产权说明</w:t>
      </w:r>
      <w:bookmarkEnd w:id="56"/>
      <w:bookmarkEnd w:id="57"/>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本文件不涉及专利。</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58" w:name="_Toc18439"/>
      <w:bookmarkStart w:id="59" w:name="_Toc12534"/>
      <w:r>
        <w:rPr>
          <w:rFonts w:hint="default" w:ascii="Times New Roman" w:hAnsi="Times New Roman" w:cs="Times New Roman"/>
          <w:lang w:eastAsia="zh-CN"/>
        </w:rPr>
        <w:t>五、产业化情况、推广应用论证和预期达到的经济效果等情况</w:t>
      </w:r>
      <w:bookmarkEnd w:id="58"/>
      <w:bookmarkEnd w:id="59"/>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kern w:val="0"/>
          <w:sz w:val="24"/>
          <w:szCs w:val="24"/>
          <w:lang w:val="en-US" w:eastAsia="zh-CN" w:bidi="ar"/>
        </w:rPr>
        <w:t>本文件给出建材产品减碳量评估方法，能够为建材行业统一低碳产品评估提供方法学支撑，</w:t>
      </w:r>
      <w:r>
        <w:rPr>
          <w:rFonts w:hint="default" w:ascii="Times New Roman" w:hAnsi="Times New Roman" w:eastAsia="宋体" w:cs="Times New Roman"/>
          <w:sz w:val="24"/>
          <w:szCs w:val="24"/>
        </w:rPr>
        <w:t>有助于提高企业绿色</w:t>
      </w:r>
      <w:r>
        <w:rPr>
          <w:rFonts w:hint="default" w:ascii="Times New Roman" w:hAnsi="Times New Roman" w:cs="Times New Roman"/>
          <w:sz w:val="24"/>
          <w:szCs w:val="24"/>
          <w:lang w:val="en-US" w:eastAsia="zh-CN"/>
        </w:rPr>
        <w:t>低碳的</w:t>
      </w:r>
      <w:r>
        <w:rPr>
          <w:rFonts w:hint="default" w:ascii="Times New Roman" w:hAnsi="Times New Roman" w:eastAsia="宋体" w:cs="Times New Roman"/>
          <w:sz w:val="24"/>
          <w:szCs w:val="24"/>
        </w:rPr>
        <w:t>发展意识，</w:t>
      </w:r>
      <w:r>
        <w:rPr>
          <w:rFonts w:hint="default" w:ascii="Times New Roman" w:hAnsi="Times New Roman" w:cs="Times New Roman"/>
          <w:sz w:val="24"/>
          <w:szCs w:val="24"/>
          <w:lang w:val="en-US" w:eastAsia="zh-CN"/>
        </w:rPr>
        <w:t>在现有绿色产品的基础上给出低碳评价的评定指标，提出减碳量的评价指标，满足建材行业碳达峰碳中和发展目标的需求。根据产品的实际碳排放特性，创新性提出建材产品的分类方法，分别给出常规建材产品、保温隔热建材产品、光电转化建材产品3类产品适用的减碳量核算方法，核算方法在建材行业具有一致性，便于评估出各类产品的低碳水平和减碳潜力，引领行业低碳发展。</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减碳量评估方法的给出和统一</w:t>
      </w:r>
      <w:r>
        <w:rPr>
          <w:rFonts w:hint="eastAsia" w:cs="Times New Roman"/>
          <w:sz w:val="24"/>
          <w:szCs w:val="24"/>
          <w:lang w:val="en-US" w:eastAsia="zh-CN"/>
        </w:rPr>
        <w:t>满足</w:t>
      </w:r>
      <w:r>
        <w:rPr>
          <w:rFonts w:hint="default" w:ascii="Times New Roman" w:hAnsi="Times New Roman" w:cs="Times New Roman"/>
          <w:sz w:val="24"/>
          <w:szCs w:val="24"/>
          <w:lang w:val="en-US" w:eastAsia="zh-CN"/>
        </w:rPr>
        <w:t>了行业</w:t>
      </w:r>
      <w:r>
        <w:rPr>
          <w:rFonts w:hint="eastAsia" w:cs="Times New Roman"/>
          <w:sz w:val="24"/>
          <w:szCs w:val="24"/>
          <w:lang w:val="en-US" w:eastAsia="zh-CN"/>
        </w:rPr>
        <w:t>减碳效力评估需求</w:t>
      </w:r>
      <w:r>
        <w:rPr>
          <w:rFonts w:hint="default" w:ascii="Times New Roman" w:hAnsi="Times New Roman" w:cs="Times New Roman"/>
          <w:sz w:val="24"/>
          <w:szCs w:val="24"/>
          <w:lang w:val="en-US" w:eastAsia="zh-CN"/>
        </w:rPr>
        <w:t>，贯彻国家政策文件提出的“完善低碳产品标准标识制度”、“推广绿色低碳建材”、“加大绿色低碳产品供给”等要求，为绿色低碳产品的标识和评定提供重要依据。同时帮助企业了解自身的碳排放行业水平和减碳量潜力，为企业进一步的节碳减碳提供依据。</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60" w:name="_Toc5624"/>
      <w:bookmarkStart w:id="61" w:name="_Toc28805"/>
      <w:r>
        <w:rPr>
          <w:rFonts w:hint="default" w:ascii="Times New Roman" w:hAnsi="Times New Roman" w:cs="Times New Roman"/>
          <w:lang w:eastAsia="zh-CN"/>
        </w:rPr>
        <w:t>六、</w:t>
      </w:r>
      <w:r>
        <w:rPr>
          <w:rFonts w:hint="default" w:ascii="Times New Roman" w:hAnsi="Times New Roman" w:cs="Times New Roman"/>
          <w:sz w:val="32"/>
          <w:szCs w:val="32"/>
        </w:rPr>
        <w:t>采用国际标准和国外先进标准情况，与国际、国外同类标准水平的对比情况，国内外关键指标对比分析或与测试的国外样品、样机的相关数据对比情况</w:t>
      </w:r>
      <w:bookmarkEnd w:id="60"/>
      <w:bookmarkEnd w:id="61"/>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针对温室气体的排放量化及减排，ISO国际标准化组织提供了一套程序化的方法，以帮助各类组织量化并报告他们的温室气体排放。 2006年3月1日 ISO发布了ISO14064《温室气体核证》该标准为政府和工业界提供了一系列综合的程序方法，旨在减少温室气体排放和促进温室气体排放交易。但国际上暂未提出建材行业减碳量核算的概念和方法。</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ISO 14064 分三个标准，分别就温室气体在组织层面和项目层面的量化和报告，以及审查和核证做出详细报告。其主要目的在于降低温室气体(GHG)的排放和排放贸易，能促进温室气体的量化、监测、报告和验证的一致性、透明度和可信性；保证组织识别和管理与温室气体相关的责任、资产和风险；促进温室气体限额或 信用贸易；支持可比较的和一致的温室气体方案或程序的设计、研究和实施。</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ISO 14064-1:2006《温室气体-第一部分:在组织层面温室气体排放和移除的量化和报告指南性规范》;</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ISO 14064-2:2006《温室气体-第二部分:在项目层面温室气体排放减量和移除增量的量化、监测和报告指南性规范》;</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ISO 14064-3:2006《温室气体-第三部分:有关温室气体声明审定和核证指南性规范》。</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其中ISO14064-2着重讨论旨在减少GHG放量或加快温室气体的清除速度的GHG项目(如风力发电或碳吸收和储存项目)。它包括确定项目基线和与基线相关的监测、量化和报告项目绩效的原则和要求。本标准的减碳量核算方法与该标准具有方法学一致性，区别在于ISO14064-2核算对象是项目，本标准减碳量核算对象是产品。</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62" w:name="_Toc14991"/>
      <w:bookmarkStart w:id="63" w:name="_Toc25357"/>
      <w:r>
        <w:rPr>
          <w:rFonts w:hint="default" w:ascii="Times New Roman" w:hAnsi="Times New Roman" w:cs="Times New Roman"/>
          <w:lang w:eastAsia="zh-CN"/>
        </w:rPr>
        <w:t>七、</w:t>
      </w:r>
      <w:r>
        <w:rPr>
          <w:rFonts w:hint="default" w:ascii="Times New Roman" w:hAnsi="Times New Roman" w:cs="Times New Roman"/>
          <w:sz w:val="32"/>
          <w:szCs w:val="32"/>
        </w:rPr>
        <w:t>与现行相关法律、法规、规章及相关标准，特别是强制性标准的协调性</w:t>
      </w:r>
      <w:bookmarkEnd w:id="62"/>
      <w:bookmarkEnd w:id="63"/>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本标准与现行相关法律、法规、规章相协调，现有相关标准GB/T 32150</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工业企业温室气体排放核算和报告通则</w:t>
      </w:r>
      <w:r>
        <w:rPr>
          <w:rFonts w:hint="eastAsia" w:cs="Times New Roman"/>
          <w:kern w:val="0"/>
          <w:sz w:val="24"/>
          <w:szCs w:val="24"/>
          <w:lang w:val="en-US" w:eastAsia="zh-CN" w:bidi="ar"/>
        </w:rPr>
        <w:t>》</w:t>
      </w:r>
      <w:r>
        <w:rPr>
          <w:rFonts w:hint="default" w:ascii="Times New Roman" w:hAnsi="Times New Roman" w:cs="Times New Roman"/>
          <w:kern w:val="0"/>
          <w:sz w:val="24"/>
          <w:szCs w:val="24"/>
          <w:lang w:val="en-US" w:eastAsia="zh-CN" w:bidi="ar"/>
        </w:rPr>
        <w:t>等协调一致。</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全国碳排放标委会在参考ISO14064标准的基础上编制并发布了GB∕T 32150-2015《工业企业温室气体排放核算和报告通则》。用于指导各行业温室气体排放核算方法与报告要求系列标准的编制，也为工业企业开展温室气体排放核算与报告活动提供方法参考。建材行业相继出台了水泥、平板玻璃和建筑卫生陶瓷温室气体排放核算与报告要求国家标准。本标准中产品的生产阶段碳排放量核算依据这些国家标准来核算，有行业标准的也可依据现有行业标准核算，与现行相关标准协调一致。</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本文件中</w:t>
      </w:r>
      <w:r>
        <w:rPr>
          <w:rFonts w:hint="eastAsia" w:cs="Times New Roman"/>
          <w:kern w:val="0"/>
          <w:sz w:val="24"/>
          <w:szCs w:val="24"/>
          <w:lang w:val="en-US" w:eastAsia="zh-CN"/>
        </w:rPr>
        <w:t>保温隔热产品和</w:t>
      </w:r>
      <w:r>
        <w:rPr>
          <w:rFonts w:hint="default" w:ascii="Times New Roman" w:hAnsi="Times New Roman" w:eastAsia="宋体" w:cs="Times New Roman"/>
          <w:kern w:val="0"/>
          <w:sz w:val="24"/>
          <w:szCs w:val="24"/>
          <w:lang w:val="en-US" w:eastAsia="zh-CN"/>
        </w:rPr>
        <w:t>光电转化建材产品</w:t>
      </w:r>
      <w:r>
        <w:rPr>
          <w:rFonts w:hint="eastAsia" w:cs="Times New Roman"/>
          <w:kern w:val="0"/>
          <w:sz w:val="24"/>
          <w:szCs w:val="24"/>
          <w:lang w:val="en-US" w:eastAsia="zh-CN"/>
        </w:rPr>
        <w:t>使用</w:t>
      </w:r>
      <w:r>
        <w:rPr>
          <w:rFonts w:hint="default" w:ascii="Times New Roman" w:hAnsi="Times New Roman" w:eastAsia="宋体" w:cs="Times New Roman"/>
          <w:kern w:val="0"/>
          <w:sz w:val="24"/>
          <w:szCs w:val="24"/>
          <w:lang w:val="en-US" w:eastAsia="zh-CN"/>
        </w:rPr>
        <w:t>阶段的</w:t>
      </w:r>
      <w:r>
        <w:rPr>
          <w:rFonts w:hint="eastAsia" w:cs="Times New Roman"/>
          <w:kern w:val="0"/>
          <w:sz w:val="24"/>
          <w:szCs w:val="24"/>
          <w:lang w:val="en-US" w:eastAsia="zh-CN"/>
        </w:rPr>
        <w:t>减碳</w:t>
      </w:r>
      <w:r>
        <w:rPr>
          <w:rFonts w:hint="default" w:ascii="Times New Roman" w:hAnsi="Times New Roman" w:eastAsia="宋体" w:cs="Times New Roman"/>
          <w:kern w:val="0"/>
          <w:sz w:val="24"/>
          <w:szCs w:val="24"/>
          <w:lang w:val="en-US" w:eastAsia="zh-CN"/>
        </w:rPr>
        <w:t>量核算</w:t>
      </w:r>
      <w:r>
        <w:rPr>
          <w:rFonts w:hint="eastAsia" w:cs="Times New Roman"/>
          <w:kern w:val="0"/>
          <w:sz w:val="24"/>
          <w:szCs w:val="24"/>
          <w:lang w:val="en-US" w:eastAsia="zh-CN"/>
        </w:rPr>
        <w:t>与现行标准</w:t>
      </w:r>
      <w:r>
        <w:rPr>
          <w:rFonts w:hint="default" w:ascii="Times New Roman" w:hAnsi="Times New Roman" w:cs="Times New Roman"/>
          <w:kern w:val="0"/>
          <w:sz w:val="24"/>
          <w:szCs w:val="24"/>
          <w:lang w:val="en-US" w:eastAsia="zh-CN"/>
        </w:rPr>
        <w:t>GB 50176《民用建筑热工设计规范》</w:t>
      </w:r>
      <w:r>
        <w:rPr>
          <w:rFonts w:hint="eastAsia" w:cs="Times New Roman"/>
          <w:kern w:val="0"/>
          <w:sz w:val="24"/>
          <w:szCs w:val="24"/>
          <w:lang w:val="en-US" w:eastAsia="zh-CN"/>
        </w:rPr>
        <w:t>、</w:t>
      </w:r>
      <w:r>
        <w:rPr>
          <w:rFonts w:hint="default" w:ascii="Times New Roman" w:hAnsi="Times New Roman" w:eastAsia="宋体" w:cs="Times New Roman"/>
          <w:kern w:val="0"/>
          <w:sz w:val="24"/>
          <w:szCs w:val="24"/>
          <w:lang w:val="en-US" w:eastAsia="zh-CN"/>
        </w:rPr>
        <w:t>GB/T 51366 《建筑碳排放计算标准》</w:t>
      </w:r>
      <w:r>
        <w:rPr>
          <w:rFonts w:hint="eastAsia" w:cs="Times New Roman"/>
          <w:kern w:val="0"/>
          <w:sz w:val="24"/>
          <w:szCs w:val="24"/>
          <w:lang w:val="en-US" w:eastAsia="zh-CN"/>
        </w:rPr>
        <w:t>等</w:t>
      </w:r>
      <w:r>
        <w:rPr>
          <w:rFonts w:hint="default" w:ascii="Times New Roman" w:hAnsi="Times New Roman" w:cs="Times New Roman"/>
          <w:kern w:val="0"/>
          <w:sz w:val="24"/>
          <w:szCs w:val="24"/>
          <w:lang w:val="en-US" w:eastAsia="zh-CN"/>
        </w:rPr>
        <w:t>协调一致。</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此外，本文件与</w:t>
      </w:r>
      <w:r>
        <w:rPr>
          <w:rFonts w:hint="default" w:ascii="Times New Roman" w:hAnsi="Times New Roman" w:cs="Times New Roman"/>
          <w:kern w:val="0"/>
          <w:sz w:val="24"/>
          <w:szCs w:val="24"/>
          <w:lang w:eastAsia="zh-CN" w:bidi="ar"/>
        </w:rPr>
        <w:t>GB/T 33760 《基于项目的温室气体减排量评估技术规范 通用要求》标准中减碳量核算方法</w:t>
      </w:r>
      <w:r>
        <w:rPr>
          <w:rFonts w:hint="default" w:ascii="Times New Roman" w:hAnsi="Times New Roman" w:cs="Times New Roman"/>
          <w:kern w:val="0"/>
          <w:sz w:val="24"/>
          <w:szCs w:val="24"/>
          <w:lang w:val="en-US" w:eastAsia="zh-CN" w:bidi="ar"/>
        </w:rPr>
        <w:t>协调</w:t>
      </w:r>
      <w:r>
        <w:rPr>
          <w:rFonts w:hint="default" w:ascii="Times New Roman" w:hAnsi="Times New Roman" w:cs="Times New Roman"/>
          <w:kern w:val="0"/>
          <w:sz w:val="24"/>
          <w:szCs w:val="24"/>
          <w:lang w:eastAsia="zh-CN" w:bidi="ar"/>
        </w:rPr>
        <w:t>，都是采用实际碳排放与基准碳排放量的差值来核算减碳量。但GB/T 33760为项目层面的减碳量，基准值选取基于项目层面给定，本文件是产品的减碳量，基准值选取依据的是不同类产品生产或使用过程的碳排放行业平均水平。</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64" w:name="_Toc23587"/>
      <w:bookmarkStart w:id="65" w:name="_Toc29723"/>
      <w:r>
        <w:rPr>
          <w:rFonts w:hint="default" w:ascii="Times New Roman" w:hAnsi="Times New Roman" w:cs="Times New Roman"/>
          <w:lang w:eastAsia="zh-CN"/>
        </w:rPr>
        <w:t>八</w:t>
      </w:r>
      <w:r>
        <w:rPr>
          <w:rFonts w:hint="default" w:ascii="Times New Roman" w:hAnsi="Times New Roman" w:cs="Times New Roman"/>
          <w:sz w:val="32"/>
          <w:szCs w:val="32"/>
          <w:lang w:eastAsia="zh-CN"/>
        </w:rPr>
        <w:t>、</w:t>
      </w:r>
      <w:r>
        <w:rPr>
          <w:rFonts w:hint="default" w:ascii="Times New Roman" w:hAnsi="Times New Roman" w:cs="Times New Roman"/>
          <w:sz w:val="32"/>
          <w:szCs w:val="32"/>
        </w:rPr>
        <w:t>重大分歧意见的处理经过和依据</w:t>
      </w:r>
      <w:bookmarkEnd w:id="64"/>
      <w:bookmarkEnd w:id="65"/>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无大分歧意见。</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val="en-US" w:eastAsia="zh-CN"/>
        </w:rPr>
      </w:pPr>
      <w:bookmarkStart w:id="66" w:name="_Toc16625"/>
      <w:bookmarkStart w:id="67" w:name="_Toc27340"/>
      <w:r>
        <w:rPr>
          <w:rFonts w:hint="default" w:ascii="Times New Roman" w:hAnsi="Times New Roman" w:cs="Times New Roman"/>
          <w:lang w:val="en-US" w:eastAsia="zh-CN"/>
        </w:rPr>
        <w:t>九、标准性质的建议说明</w:t>
      </w:r>
      <w:bookmarkEnd w:id="66"/>
      <w:bookmarkEnd w:id="67"/>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本文件建议为推荐性标准。</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68" w:name="_Toc16471"/>
      <w:bookmarkStart w:id="69" w:name="_Toc27809"/>
      <w:r>
        <w:rPr>
          <w:rFonts w:hint="default" w:ascii="Times New Roman" w:hAnsi="Times New Roman" w:cs="Times New Roman"/>
          <w:lang w:eastAsia="zh-CN"/>
        </w:rPr>
        <w:t>十</w:t>
      </w:r>
      <w:r>
        <w:rPr>
          <w:rFonts w:hint="default" w:ascii="Times New Roman" w:hAnsi="Times New Roman" w:cs="Times New Roman"/>
          <w:sz w:val="32"/>
          <w:szCs w:val="32"/>
          <w:lang w:eastAsia="zh-CN"/>
        </w:rPr>
        <w:t>、贯彻标准的要求和措施建议（包括组织措施、技术措施、过度办法、实施日期等）</w:t>
      </w:r>
      <w:bookmarkEnd w:id="68"/>
      <w:bookmarkEnd w:id="69"/>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建议按照标准报批计划确定实施日期。</w:t>
      </w:r>
    </w:p>
    <w:p>
      <w:pPr>
        <w:pStyle w:val="2"/>
        <w:pageBreakBefore w:val="0"/>
        <w:kinsoku/>
        <w:wordWrap/>
        <w:overflowPunct/>
        <w:topLinePunct w:val="0"/>
        <w:autoSpaceDE/>
        <w:autoSpaceDN/>
        <w:bidi w:val="0"/>
        <w:adjustRightInd/>
        <w:snapToGrid/>
        <w:spacing w:line="520" w:lineRule="exact"/>
        <w:rPr>
          <w:rFonts w:hint="default" w:ascii="Times New Roman" w:hAnsi="Times New Roman" w:cs="Times New Roman"/>
          <w:lang w:eastAsia="zh-CN"/>
        </w:rPr>
      </w:pPr>
      <w:bookmarkStart w:id="70" w:name="_Toc15461"/>
      <w:bookmarkStart w:id="71" w:name="_Toc26644"/>
      <w:r>
        <w:rPr>
          <w:rFonts w:hint="default" w:ascii="Times New Roman" w:hAnsi="Times New Roman" w:cs="Times New Roman"/>
          <w:lang w:eastAsia="zh-CN"/>
        </w:rPr>
        <w:t>十一</w:t>
      </w:r>
      <w:r>
        <w:rPr>
          <w:rFonts w:hint="default" w:ascii="Times New Roman" w:hAnsi="Times New Roman" w:cs="Times New Roman"/>
          <w:sz w:val="32"/>
          <w:szCs w:val="32"/>
          <w:lang w:eastAsia="zh-CN"/>
        </w:rPr>
        <w:t>、其它应予说明的事项</w:t>
      </w:r>
      <w:bookmarkEnd w:id="70"/>
      <w:bookmarkEnd w:id="71"/>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r>
        <w:rPr>
          <w:rFonts w:hint="default" w:ascii="Times New Roman" w:hAnsi="Times New Roman" w:cs="Times New Roman"/>
          <w:kern w:val="0"/>
          <w:sz w:val="24"/>
          <w:szCs w:val="24"/>
          <w:lang w:val="en-US" w:eastAsia="zh-CN" w:bidi="ar"/>
        </w:rPr>
        <w:t>无其它应予说明事项。</w:t>
      </w: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p>
      <w:pPr>
        <w:pageBreakBefore w:val="0"/>
        <w:widowControl/>
        <w:kinsoku/>
        <w:wordWrap/>
        <w:overflowPunct/>
        <w:topLinePunct w:val="0"/>
        <w:autoSpaceDE/>
        <w:autoSpaceDN/>
        <w:bidi w:val="0"/>
        <w:adjustRightInd/>
        <w:snapToGrid/>
        <w:spacing w:line="520" w:lineRule="exact"/>
        <w:ind w:firstLine="480" w:firstLineChars="200"/>
        <w:jc w:val="left"/>
        <w:rPr>
          <w:rFonts w:hint="default" w:ascii="Times New Roman" w:hAnsi="Times New Roman" w:cs="Times New Roman"/>
          <w:kern w:val="0"/>
          <w:sz w:val="24"/>
          <w:szCs w:val="24"/>
          <w:lang w:val="en-US" w:eastAsia="zh-CN" w:bidi="ar"/>
        </w:rPr>
      </w:pP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MingLiU">
    <w:altName w:val="宋体"/>
    <w:panose1 w:val="02020509000000000000"/>
    <w:charset w:val="86"/>
    <w:family w:val="modern"/>
    <w:pitch w:val="default"/>
    <w:sig w:usb0="00000000" w:usb1="00000000" w:usb2="00000016" w:usb3="00000000" w:csb0="00100001"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TimesNewRomanPSM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2605405</wp:posOffset>
              </wp:positionH>
              <wp:positionV relativeFrom="paragraph">
                <wp:posOffset>-44450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sz w:val="22"/>
                              <w:szCs w:val="36"/>
                            </w:rPr>
                          </w:pPr>
                          <w:r>
                            <w:rPr>
                              <w:sz w:val="22"/>
                              <w:szCs w:val="36"/>
                            </w:rPr>
                            <w:fldChar w:fldCharType="begin"/>
                          </w:r>
                          <w:r>
                            <w:rPr>
                              <w:sz w:val="22"/>
                              <w:szCs w:val="36"/>
                            </w:rPr>
                            <w:instrText xml:space="preserve"> PAGE  \* MERGEFORMAT </w:instrText>
                          </w:r>
                          <w:r>
                            <w:rPr>
                              <w:sz w:val="22"/>
                              <w:szCs w:val="36"/>
                            </w:rPr>
                            <w:fldChar w:fldCharType="separate"/>
                          </w:r>
                          <w:r>
                            <w:rPr>
                              <w:sz w:val="22"/>
                              <w:szCs w:val="36"/>
                            </w:rPr>
                            <w:t>4</w:t>
                          </w:r>
                          <w:r>
                            <w:rPr>
                              <w:sz w:val="22"/>
                              <w:szCs w:val="3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5pt;margin-top:-3.5pt;height:144pt;width:144pt;mso-position-horizontal-relative:margin;mso-wrap-style:none;z-index:251659264;mso-width-relative:page;mso-height-relative:page;" filled="f" stroked="f" coordsize="21600,21600" o:gfxdata="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Wctaj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pPr>
                      <w:pStyle w:val="8"/>
                      <w:rPr>
                        <w:sz w:val="22"/>
                        <w:szCs w:val="36"/>
                      </w:rPr>
                    </w:pPr>
                    <w:r>
                      <w:rPr>
                        <w:sz w:val="22"/>
                        <w:szCs w:val="36"/>
                      </w:rPr>
                      <w:fldChar w:fldCharType="begin"/>
                    </w:r>
                    <w:r>
                      <w:rPr>
                        <w:sz w:val="22"/>
                        <w:szCs w:val="36"/>
                      </w:rPr>
                      <w:instrText xml:space="preserve"> PAGE  \* MERGEFORMAT </w:instrText>
                    </w:r>
                    <w:r>
                      <w:rPr>
                        <w:sz w:val="22"/>
                        <w:szCs w:val="36"/>
                      </w:rPr>
                      <w:fldChar w:fldCharType="separate"/>
                    </w:r>
                    <w:r>
                      <w:rPr>
                        <w:sz w:val="22"/>
                        <w:szCs w:val="36"/>
                      </w:rPr>
                      <w:t>4</w:t>
                    </w:r>
                    <w:r>
                      <w:rPr>
                        <w:sz w:val="22"/>
                        <w:szCs w:val="3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C518C"/>
    <w:multiLevelType w:val="singleLevel"/>
    <w:tmpl w:val="890C518C"/>
    <w:lvl w:ilvl="0" w:tentative="0">
      <w:start w:val="1"/>
      <w:numFmt w:val="decimal"/>
      <w:lvlText w:val="%1."/>
      <w:lvlJc w:val="left"/>
      <w:pPr>
        <w:ind w:left="425" w:hanging="425"/>
      </w:pPr>
      <w:rPr>
        <w:rFonts w:hint="default"/>
      </w:rPr>
    </w:lvl>
  </w:abstractNum>
  <w:abstractNum w:abstractNumId="1">
    <w:nsid w:val="267A698C"/>
    <w:multiLevelType w:val="singleLevel"/>
    <w:tmpl w:val="267A698C"/>
    <w:lvl w:ilvl="0" w:tentative="0">
      <w:start w:val="1"/>
      <w:numFmt w:val="lowerLetter"/>
      <w:lvlText w:val="%1)"/>
      <w:lvlJc w:val="left"/>
      <w:pPr>
        <w:tabs>
          <w:tab w:val="left" w:pos="312"/>
        </w:tabs>
      </w:pPr>
    </w:lvl>
  </w:abstractNum>
  <w:abstractNum w:abstractNumId="2">
    <w:nsid w:val="2B8B3BE7"/>
    <w:multiLevelType w:val="singleLevel"/>
    <w:tmpl w:val="2B8B3BE7"/>
    <w:lvl w:ilvl="0" w:tentative="0">
      <w:start w:val="1"/>
      <w:numFmt w:val="decimal"/>
      <w:lvlText w:val="%1."/>
      <w:lvlJc w:val="left"/>
      <w:pPr>
        <w:ind w:left="425" w:hanging="425"/>
      </w:pPr>
      <w:rPr>
        <w:rFonts w:hint="default"/>
      </w:rPr>
    </w:lvl>
  </w:abstractNum>
  <w:abstractNum w:abstractNumId="3">
    <w:nsid w:val="48A82107"/>
    <w:multiLevelType w:val="singleLevel"/>
    <w:tmpl w:val="48A82107"/>
    <w:lvl w:ilvl="0" w:tentative="0">
      <w:start w:val="1"/>
      <w:numFmt w:val="decimal"/>
      <w:lvlText w:val="%1."/>
      <w:lvlJc w:val="left"/>
      <w:pPr>
        <w:ind w:left="425" w:hanging="425"/>
      </w:pPr>
      <w:rPr>
        <w:rFonts w:hint="default"/>
      </w:rPr>
    </w:lvl>
  </w:abstractNum>
  <w:abstractNum w:abstractNumId="4">
    <w:nsid w:val="4E0049B0"/>
    <w:multiLevelType w:val="singleLevel"/>
    <w:tmpl w:val="4E0049B0"/>
    <w:lvl w:ilvl="0" w:tentative="0">
      <w:start w:val="1"/>
      <w:numFmt w:val="decimal"/>
      <w:lvlText w:val="%1."/>
      <w:lvlJc w:val="left"/>
      <w:pPr>
        <w:ind w:left="425" w:hanging="425"/>
      </w:pPr>
      <w:rPr>
        <w:rFonts w:hint="default"/>
      </w:rPr>
    </w:lvl>
  </w:abstractNum>
  <w:abstractNum w:abstractNumId="5">
    <w:nsid w:val="52BE844D"/>
    <w:multiLevelType w:val="singleLevel"/>
    <w:tmpl w:val="52BE844D"/>
    <w:lvl w:ilvl="0" w:tentative="0">
      <w:start w:val="1"/>
      <w:numFmt w:val="decimal"/>
      <w:lvlText w:val="%1."/>
      <w:lvlJc w:val="left"/>
      <w:pPr>
        <w:ind w:left="425" w:hanging="425"/>
      </w:pPr>
      <w:rPr>
        <w:rFonts w:hint="default"/>
      </w:rPr>
    </w:lvl>
  </w:abstractNum>
  <w:abstractNum w:abstractNumId="6">
    <w:nsid w:val="72E22C5C"/>
    <w:multiLevelType w:val="singleLevel"/>
    <w:tmpl w:val="72E22C5C"/>
    <w:lvl w:ilvl="0" w:tentative="0">
      <w:start w:val="1"/>
      <w:numFmt w:val="decimal"/>
      <w:lvlText w:val="%1."/>
      <w:lvlJc w:val="left"/>
      <w:pPr>
        <w:ind w:left="425" w:hanging="425"/>
      </w:pPr>
      <w:rPr>
        <w:rFonts w:hint="default"/>
      </w:rPr>
    </w:lvl>
  </w:abstractNum>
  <w:num w:numId="1">
    <w:abstractNumId w:val="6"/>
  </w:num>
  <w:num w:numId="2">
    <w:abstractNumId w:val="1"/>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1YjJiMzMwNTI2MzI4MTc3NjAxNDQ0ZDFjYTQ4MmIifQ=="/>
  </w:docVars>
  <w:rsids>
    <w:rsidRoot w:val="00000000"/>
    <w:rsid w:val="001570FF"/>
    <w:rsid w:val="003A3DE6"/>
    <w:rsid w:val="00610DBD"/>
    <w:rsid w:val="00D03026"/>
    <w:rsid w:val="010A6538"/>
    <w:rsid w:val="01745027"/>
    <w:rsid w:val="01B0473C"/>
    <w:rsid w:val="01B93E87"/>
    <w:rsid w:val="01C962FF"/>
    <w:rsid w:val="01E93253"/>
    <w:rsid w:val="01FA7CCE"/>
    <w:rsid w:val="024E4B4B"/>
    <w:rsid w:val="028C5309"/>
    <w:rsid w:val="029C49CC"/>
    <w:rsid w:val="02A46519"/>
    <w:rsid w:val="02BB3381"/>
    <w:rsid w:val="02F474A0"/>
    <w:rsid w:val="02F84F9B"/>
    <w:rsid w:val="030571C2"/>
    <w:rsid w:val="03C97723"/>
    <w:rsid w:val="03E33BD1"/>
    <w:rsid w:val="041E22FB"/>
    <w:rsid w:val="04471852"/>
    <w:rsid w:val="04766BE4"/>
    <w:rsid w:val="04966335"/>
    <w:rsid w:val="04B4524D"/>
    <w:rsid w:val="04F55751"/>
    <w:rsid w:val="04FF10B1"/>
    <w:rsid w:val="055339CE"/>
    <w:rsid w:val="05654685"/>
    <w:rsid w:val="057274C4"/>
    <w:rsid w:val="058D598A"/>
    <w:rsid w:val="05B11E95"/>
    <w:rsid w:val="05DE277B"/>
    <w:rsid w:val="05E47569"/>
    <w:rsid w:val="062E2607"/>
    <w:rsid w:val="062F0D8C"/>
    <w:rsid w:val="06C47189"/>
    <w:rsid w:val="06F400AD"/>
    <w:rsid w:val="06FA4042"/>
    <w:rsid w:val="070165EE"/>
    <w:rsid w:val="071C4FC6"/>
    <w:rsid w:val="071E2160"/>
    <w:rsid w:val="07375BAD"/>
    <w:rsid w:val="07634BF4"/>
    <w:rsid w:val="07A00D24"/>
    <w:rsid w:val="07D161FC"/>
    <w:rsid w:val="07DC2391"/>
    <w:rsid w:val="086158EC"/>
    <w:rsid w:val="08935A53"/>
    <w:rsid w:val="08BA4CE8"/>
    <w:rsid w:val="08CA3076"/>
    <w:rsid w:val="091E570D"/>
    <w:rsid w:val="092108C3"/>
    <w:rsid w:val="09410F65"/>
    <w:rsid w:val="096C3FF6"/>
    <w:rsid w:val="096D58B6"/>
    <w:rsid w:val="09A30C2B"/>
    <w:rsid w:val="09CB082F"/>
    <w:rsid w:val="09CF031F"/>
    <w:rsid w:val="0A335B77"/>
    <w:rsid w:val="0A544CC8"/>
    <w:rsid w:val="0A6C5876"/>
    <w:rsid w:val="0ADA1283"/>
    <w:rsid w:val="0B5E4BF6"/>
    <w:rsid w:val="0BA34B7A"/>
    <w:rsid w:val="0BBC5AEC"/>
    <w:rsid w:val="0D3F7FA6"/>
    <w:rsid w:val="0D505B82"/>
    <w:rsid w:val="0D7B1252"/>
    <w:rsid w:val="0DAD456F"/>
    <w:rsid w:val="0DE76B9D"/>
    <w:rsid w:val="0E0B38F0"/>
    <w:rsid w:val="0E0D7C69"/>
    <w:rsid w:val="0E1B41B2"/>
    <w:rsid w:val="0E366AF3"/>
    <w:rsid w:val="0E4F28EB"/>
    <w:rsid w:val="0E5946DB"/>
    <w:rsid w:val="0E66569A"/>
    <w:rsid w:val="0E735A7A"/>
    <w:rsid w:val="0E763F29"/>
    <w:rsid w:val="0EAA2B43"/>
    <w:rsid w:val="0EDB59B8"/>
    <w:rsid w:val="0F0A3BA7"/>
    <w:rsid w:val="0FD62581"/>
    <w:rsid w:val="0FDF3286"/>
    <w:rsid w:val="0FE01F72"/>
    <w:rsid w:val="0FF22FB9"/>
    <w:rsid w:val="100827DD"/>
    <w:rsid w:val="10853E2D"/>
    <w:rsid w:val="10F20D97"/>
    <w:rsid w:val="10F90377"/>
    <w:rsid w:val="11690002"/>
    <w:rsid w:val="11745139"/>
    <w:rsid w:val="11823EC9"/>
    <w:rsid w:val="118C1BE5"/>
    <w:rsid w:val="11960583"/>
    <w:rsid w:val="119D2D6E"/>
    <w:rsid w:val="11C646FD"/>
    <w:rsid w:val="11E045AB"/>
    <w:rsid w:val="11E15FC7"/>
    <w:rsid w:val="11F8418B"/>
    <w:rsid w:val="120E65F6"/>
    <w:rsid w:val="122E4051"/>
    <w:rsid w:val="12413D84"/>
    <w:rsid w:val="129C55A9"/>
    <w:rsid w:val="129E11D6"/>
    <w:rsid w:val="12B26A30"/>
    <w:rsid w:val="12D93FBD"/>
    <w:rsid w:val="13B33FAB"/>
    <w:rsid w:val="13EC7D20"/>
    <w:rsid w:val="13F84916"/>
    <w:rsid w:val="143A6202"/>
    <w:rsid w:val="143A784D"/>
    <w:rsid w:val="14440033"/>
    <w:rsid w:val="14A34882"/>
    <w:rsid w:val="151632A6"/>
    <w:rsid w:val="15806971"/>
    <w:rsid w:val="1585521D"/>
    <w:rsid w:val="15A97134"/>
    <w:rsid w:val="15C251DC"/>
    <w:rsid w:val="15DF6D93"/>
    <w:rsid w:val="161A3E18"/>
    <w:rsid w:val="162C156E"/>
    <w:rsid w:val="164D67E3"/>
    <w:rsid w:val="164F47EA"/>
    <w:rsid w:val="16714046"/>
    <w:rsid w:val="1682141B"/>
    <w:rsid w:val="16AB3EC2"/>
    <w:rsid w:val="17081314"/>
    <w:rsid w:val="171E6442"/>
    <w:rsid w:val="172A2159"/>
    <w:rsid w:val="173A7590"/>
    <w:rsid w:val="173E4D36"/>
    <w:rsid w:val="1762015D"/>
    <w:rsid w:val="1767428D"/>
    <w:rsid w:val="178C784F"/>
    <w:rsid w:val="179521EC"/>
    <w:rsid w:val="17984446"/>
    <w:rsid w:val="17B57091"/>
    <w:rsid w:val="17FD24FB"/>
    <w:rsid w:val="184A43B1"/>
    <w:rsid w:val="18F739A4"/>
    <w:rsid w:val="19135F29"/>
    <w:rsid w:val="19663109"/>
    <w:rsid w:val="19780D86"/>
    <w:rsid w:val="19905987"/>
    <w:rsid w:val="19CA465F"/>
    <w:rsid w:val="19CD7B2F"/>
    <w:rsid w:val="19D674A8"/>
    <w:rsid w:val="19F422B0"/>
    <w:rsid w:val="19F93196"/>
    <w:rsid w:val="1A1C41CE"/>
    <w:rsid w:val="1A546985"/>
    <w:rsid w:val="1AB17B0B"/>
    <w:rsid w:val="1AB67967"/>
    <w:rsid w:val="1AE23C2A"/>
    <w:rsid w:val="1AE856E5"/>
    <w:rsid w:val="1B065901"/>
    <w:rsid w:val="1B5C578B"/>
    <w:rsid w:val="1B7F6A3E"/>
    <w:rsid w:val="1BB7547B"/>
    <w:rsid w:val="1BC434B3"/>
    <w:rsid w:val="1BFC2ACA"/>
    <w:rsid w:val="1C1442B7"/>
    <w:rsid w:val="1C2C7853"/>
    <w:rsid w:val="1C4D7CF1"/>
    <w:rsid w:val="1C821221"/>
    <w:rsid w:val="1C9F4F84"/>
    <w:rsid w:val="1CB906BF"/>
    <w:rsid w:val="1CC25DEF"/>
    <w:rsid w:val="1CE1307E"/>
    <w:rsid w:val="1CE343B6"/>
    <w:rsid w:val="1D181B85"/>
    <w:rsid w:val="1DDE2DCF"/>
    <w:rsid w:val="1DE33F41"/>
    <w:rsid w:val="1DED3012"/>
    <w:rsid w:val="1E562965"/>
    <w:rsid w:val="1EFE3A56"/>
    <w:rsid w:val="1F486752"/>
    <w:rsid w:val="1F9710DF"/>
    <w:rsid w:val="1F9951FF"/>
    <w:rsid w:val="202E4BD2"/>
    <w:rsid w:val="20620D45"/>
    <w:rsid w:val="207478AE"/>
    <w:rsid w:val="2079293B"/>
    <w:rsid w:val="20C30A02"/>
    <w:rsid w:val="20C5362C"/>
    <w:rsid w:val="21076199"/>
    <w:rsid w:val="21C050A6"/>
    <w:rsid w:val="21CE6CB6"/>
    <w:rsid w:val="21DB4510"/>
    <w:rsid w:val="222356D7"/>
    <w:rsid w:val="224C382B"/>
    <w:rsid w:val="22576CAC"/>
    <w:rsid w:val="22B81E40"/>
    <w:rsid w:val="22BD0130"/>
    <w:rsid w:val="22CE3412"/>
    <w:rsid w:val="2302757A"/>
    <w:rsid w:val="23056708"/>
    <w:rsid w:val="23616034"/>
    <w:rsid w:val="23671FD6"/>
    <w:rsid w:val="23A67EEB"/>
    <w:rsid w:val="23AB3753"/>
    <w:rsid w:val="23F0560A"/>
    <w:rsid w:val="24224512"/>
    <w:rsid w:val="24373239"/>
    <w:rsid w:val="24417C14"/>
    <w:rsid w:val="246102B6"/>
    <w:rsid w:val="2471512D"/>
    <w:rsid w:val="24806390"/>
    <w:rsid w:val="24A26F56"/>
    <w:rsid w:val="24AA6DC4"/>
    <w:rsid w:val="24E61D04"/>
    <w:rsid w:val="24EB5F20"/>
    <w:rsid w:val="25047E78"/>
    <w:rsid w:val="250F6F4D"/>
    <w:rsid w:val="25150990"/>
    <w:rsid w:val="252613FB"/>
    <w:rsid w:val="25315EDA"/>
    <w:rsid w:val="254D25CD"/>
    <w:rsid w:val="255F2A47"/>
    <w:rsid w:val="258C68BE"/>
    <w:rsid w:val="258E0C37"/>
    <w:rsid w:val="258E4B0A"/>
    <w:rsid w:val="25FC0296"/>
    <w:rsid w:val="260B2287"/>
    <w:rsid w:val="26144478"/>
    <w:rsid w:val="26164A17"/>
    <w:rsid w:val="266A16A4"/>
    <w:rsid w:val="26881B2A"/>
    <w:rsid w:val="269669A3"/>
    <w:rsid w:val="26990135"/>
    <w:rsid w:val="26B2113E"/>
    <w:rsid w:val="26D17071"/>
    <w:rsid w:val="26F10419"/>
    <w:rsid w:val="271B299E"/>
    <w:rsid w:val="27636D57"/>
    <w:rsid w:val="27687F79"/>
    <w:rsid w:val="278F1B52"/>
    <w:rsid w:val="27AC7AA5"/>
    <w:rsid w:val="27C748D4"/>
    <w:rsid w:val="27FE1675"/>
    <w:rsid w:val="281A1DD8"/>
    <w:rsid w:val="282D7BAA"/>
    <w:rsid w:val="28643ED1"/>
    <w:rsid w:val="28AB67E6"/>
    <w:rsid w:val="292C0E92"/>
    <w:rsid w:val="29352EFE"/>
    <w:rsid w:val="295E3016"/>
    <w:rsid w:val="29636C62"/>
    <w:rsid w:val="296F0D7F"/>
    <w:rsid w:val="299D10AA"/>
    <w:rsid w:val="29A421D2"/>
    <w:rsid w:val="29E03A2B"/>
    <w:rsid w:val="29E74DB9"/>
    <w:rsid w:val="2A170D26"/>
    <w:rsid w:val="2A17219E"/>
    <w:rsid w:val="2A50295E"/>
    <w:rsid w:val="2B312790"/>
    <w:rsid w:val="2B381D70"/>
    <w:rsid w:val="2B4A4823"/>
    <w:rsid w:val="2B994F88"/>
    <w:rsid w:val="2C424529"/>
    <w:rsid w:val="2CD07D87"/>
    <w:rsid w:val="2D0B67E9"/>
    <w:rsid w:val="2D504906"/>
    <w:rsid w:val="2D533EDC"/>
    <w:rsid w:val="2D5D780C"/>
    <w:rsid w:val="2DE52038"/>
    <w:rsid w:val="2E3A3550"/>
    <w:rsid w:val="2E3A7BAD"/>
    <w:rsid w:val="2E4F2F46"/>
    <w:rsid w:val="2E552394"/>
    <w:rsid w:val="2E6115DE"/>
    <w:rsid w:val="2E8C6E98"/>
    <w:rsid w:val="2F1A05A5"/>
    <w:rsid w:val="2F7610B9"/>
    <w:rsid w:val="2F8A75A5"/>
    <w:rsid w:val="2F8D21B7"/>
    <w:rsid w:val="2F8D3C9E"/>
    <w:rsid w:val="2F9E6679"/>
    <w:rsid w:val="2FBE001C"/>
    <w:rsid w:val="2FFF71DB"/>
    <w:rsid w:val="306058C5"/>
    <w:rsid w:val="30B326CE"/>
    <w:rsid w:val="30D13479"/>
    <w:rsid w:val="3125162B"/>
    <w:rsid w:val="313340FF"/>
    <w:rsid w:val="31606B58"/>
    <w:rsid w:val="317E4255"/>
    <w:rsid w:val="319565DF"/>
    <w:rsid w:val="31B50985"/>
    <w:rsid w:val="31F77B64"/>
    <w:rsid w:val="31FF1567"/>
    <w:rsid w:val="32155665"/>
    <w:rsid w:val="322A618B"/>
    <w:rsid w:val="32315055"/>
    <w:rsid w:val="323772DB"/>
    <w:rsid w:val="32427569"/>
    <w:rsid w:val="32572E1C"/>
    <w:rsid w:val="32BE2F60"/>
    <w:rsid w:val="33291F9F"/>
    <w:rsid w:val="336D4581"/>
    <w:rsid w:val="33835B53"/>
    <w:rsid w:val="339C6C14"/>
    <w:rsid w:val="33B91574"/>
    <w:rsid w:val="342C55CC"/>
    <w:rsid w:val="34551E0D"/>
    <w:rsid w:val="346511FD"/>
    <w:rsid w:val="34AD15F9"/>
    <w:rsid w:val="34C957E7"/>
    <w:rsid w:val="351954C2"/>
    <w:rsid w:val="352A6D4C"/>
    <w:rsid w:val="353E4836"/>
    <w:rsid w:val="35405374"/>
    <w:rsid w:val="35690D78"/>
    <w:rsid w:val="357D4A37"/>
    <w:rsid w:val="35AF70D3"/>
    <w:rsid w:val="35E328D9"/>
    <w:rsid w:val="36B129D7"/>
    <w:rsid w:val="36B63C14"/>
    <w:rsid w:val="36F13CC5"/>
    <w:rsid w:val="37020CF2"/>
    <w:rsid w:val="37814D74"/>
    <w:rsid w:val="37CF1F8E"/>
    <w:rsid w:val="37DD4019"/>
    <w:rsid w:val="37F92D09"/>
    <w:rsid w:val="381E5E4A"/>
    <w:rsid w:val="382F62A9"/>
    <w:rsid w:val="38432688"/>
    <w:rsid w:val="38686BC5"/>
    <w:rsid w:val="388C5684"/>
    <w:rsid w:val="38D97FC3"/>
    <w:rsid w:val="391058A3"/>
    <w:rsid w:val="39400CCF"/>
    <w:rsid w:val="395B4575"/>
    <w:rsid w:val="395C7352"/>
    <w:rsid w:val="39630648"/>
    <w:rsid w:val="39A405D1"/>
    <w:rsid w:val="39BB556C"/>
    <w:rsid w:val="39EB5DF3"/>
    <w:rsid w:val="3A1A4D37"/>
    <w:rsid w:val="3A543DA5"/>
    <w:rsid w:val="3A7A465A"/>
    <w:rsid w:val="3AD9074E"/>
    <w:rsid w:val="3AF235BE"/>
    <w:rsid w:val="3B1479D8"/>
    <w:rsid w:val="3B304E32"/>
    <w:rsid w:val="3B3B31B7"/>
    <w:rsid w:val="3BD66A3C"/>
    <w:rsid w:val="3BEB24E7"/>
    <w:rsid w:val="3C406506"/>
    <w:rsid w:val="3C4C3EE8"/>
    <w:rsid w:val="3C4D3F01"/>
    <w:rsid w:val="3CD76F0F"/>
    <w:rsid w:val="3CE73A7E"/>
    <w:rsid w:val="3CF25AF7"/>
    <w:rsid w:val="3D0A4BEF"/>
    <w:rsid w:val="3D0E5BF5"/>
    <w:rsid w:val="3D5F3C5D"/>
    <w:rsid w:val="3D6034F0"/>
    <w:rsid w:val="3DA751A4"/>
    <w:rsid w:val="3DAA6760"/>
    <w:rsid w:val="3DBB4F53"/>
    <w:rsid w:val="3DC56D68"/>
    <w:rsid w:val="3DDA417D"/>
    <w:rsid w:val="3E03620E"/>
    <w:rsid w:val="3E18158D"/>
    <w:rsid w:val="3E653503"/>
    <w:rsid w:val="3E860BED"/>
    <w:rsid w:val="3EDF7953"/>
    <w:rsid w:val="3F3D38B8"/>
    <w:rsid w:val="3F5727D0"/>
    <w:rsid w:val="3F5C64AF"/>
    <w:rsid w:val="3F6A406B"/>
    <w:rsid w:val="40C768AC"/>
    <w:rsid w:val="4142403C"/>
    <w:rsid w:val="414D696F"/>
    <w:rsid w:val="41C50F7D"/>
    <w:rsid w:val="421502BE"/>
    <w:rsid w:val="429E4757"/>
    <w:rsid w:val="42C67E28"/>
    <w:rsid w:val="42CD5195"/>
    <w:rsid w:val="42DB663B"/>
    <w:rsid w:val="42ED66A4"/>
    <w:rsid w:val="4320029A"/>
    <w:rsid w:val="432D5ADB"/>
    <w:rsid w:val="43664FAB"/>
    <w:rsid w:val="43BF2BD7"/>
    <w:rsid w:val="4413339B"/>
    <w:rsid w:val="44224F14"/>
    <w:rsid w:val="44380293"/>
    <w:rsid w:val="445C6678"/>
    <w:rsid w:val="446C43E1"/>
    <w:rsid w:val="44705C7F"/>
    <w:rsid w:val="44B57B36"/>
    <w:rsid w:val="44BC4BF9"/>
    <w:rsid w:val="44ED3415"/>
    <w:rsid w:val="44FF0DB1"/>
    <w:rsid w:val="452847AC"/>
    <w:rsid w:val="453E18DA"/>
    <w:rsid w:val="45992FB4"/>
    <w:rsid w:val="45AC718B"/>
    <w:rsid w:val="45EF534A"/>
    <w:rsid w:val="462C02CC"/>
    <w:rsid w:val="462D03BF"/>
    <w:rsid w:val="46C6602A"/>
    <w:rsid w:val="46DF0E9A"/>
    <w:rsid w:val="46F96400"/>
    <w:rsid w:val="47001F72"/>
    <w:rsid w:val="47134183"/>
    <w:rsid w:val="474A49AE"/>
    <w:rsid w:val="477174EA"/>
    <w:rsid w:val="47AC3472"/>
    <w:rsid w:val="47DE107C"/>
    <w:rsid w:val="48253225"/>
    <w:rsid w:val="48976474"/>
    <w:rsid w:val="48BC3407"/>
    <w:rsid w:val="48BD16AF"/>
    <w:rsid w:val="48CE2E73"/>
    <w:rsid w:val="48E924A4"/>
    <w:rsid w:val="48EC789E"/>
    <w:rsid w:val="49014440"/>
    <w:rsid w:val="49207FCE"/>
    <w:rsid w:val="492F7333"/>
    <w:rsid w:val="4944236C"/>
    <w:rsid w:val="494C182F"/>
    <w:rsid w:val="495B4832"/>
    <w:rsid w:val="49777AB0"/>
    <w:rsid w:val="499441BE"/>
    <w:rsid w:val="49E55B1D"/>
    <w:rsid w:val="49FA5FEB"/>
    <w:rsid w:val="4A154721"/>
    <w:rsid w:val="4A4C0A0E"/>
    <w:rsid w:val="4A573948"/>
    <w:rsid w:val="4A895929"/>
    <w:rsid w:val="4A9C420B"/>
    <w:rsid w:val="4AAE1398"/>
    <w:rsid w:val="4AB13396"/>
    <w:rsid w:val="4AB6597F"/>
    <w:rsid w:val="4B3F639A"/>
    <w:rsid w:val="4B4766E7"/>
    <w:rsid w:val="4B4F4C03"/>
    <w:rsid w:val="4B7C13AE"/>
    <w:rsid w:val="4B8A5966"/>
    <w:rsid w:val="4C061903"/>
    <w:rsid w:val="4C365A00"/>
    <w:rsid w:val="4C547C35"/>
    <w:rsid w:val="4C7A4C35"/>
    <w:rsid w:val="4CA609FF"/>
    <w:rsid w:val="4CDE39A2"/>
    <w:rsid w:val="4CE929A4"/>
    <w:rsid w:val="4D011D31"/>
    <w:rsid w:val="4D2C6E03"/>
    <w:rsid w:val="4D6664A5"/>
    <w:rsid w:val="4D673998"/>
    <w:rsid w:val="4D6E11CA"/>
    <w:rsid w:val="4D754306"/>
    <w:rsid w:val="4D783DF7"/>
    <w:rsid w:val="4D911D46"/>
    <w:rsid w:val="4D9D586E"/>
    <w:rsid w:val="4DD451D1"/>
    <w:rsid w:val="4DF30E2D"/>
    <w:rsid w:val="4E275932"/>
    <w:rsid w:val="4E5562AE"/>
    <w:rsid w:val="4E6A373F"/>
    <w:rsid w:val="4E7121FF"/>
    <w:rsid w:val="4E83786B"/>
    <w:rsid w:val="4E8720CE"/>
    <w:rsid w:val="4EBE0BED"/>
    <w:rsid w:val="4EC512BE"/>
    <w:rsid w:val="4F0003E5"/>
    <w:rsid w:val="4F186CE4"/>
    <w:rsid w:val="4F4A3441"/>
    <w:rsid w:val="4F5B6F39"/>
    <w:rsid w:val="4FB42A47"/>
    <w:rsid w:val="4FE319FB"/>
    <w:rsid w:val="5099655E"/>
    <w:rsid w:val="509C1BAA"/>
    <w:rsid w:val="50E21CB3"/>
    <w:rsid w:val="50FD5C9D"/>
    <w:rsid w:val="51123111"/>
    <w:rsid w:val="511A6966"/>
    <w:rsid w:val="51204589"/>
    <w:rsid w:val="5196320A"/>
    <w:rsid w:val="51A67184"/>
    <w:rsid w:val="51CB7C37"/>
    <w:rsid w:val="51D75590"/>
    <w:rsid w:val="51DA0BDC"/>
    <w:rsid w:val="51E530C9"/>
    <w:rsid w:val="52271947"/>
    <w:rsid w:val="52524271"/>
    <w:rsid w:val="52DD312F"/>
    <w:rsid w:val="530103EA"/>
    <w:rsid w:val="530510ED"/>
    <w:rsid w:val="53243E18"/>
    <w:rsid w:val="5347273F"/>
    <w:rsid w:val="537E2F80"/>
    <w:rsid w:val="54442C85"/>
    <w:rsid w:val="54605458"/>
    <w:rsid w:val="54623801"/>
    <w:rsid w:val="548434A1"/>
    <w:rsid w:val="54923EAA"/>
    <w:rsid w:val="549C486F"/>
    <w:rsid w:val="549E1FF9"/>
    <w:rsid w:val="54AB6860"/>
    <w:rsid w:val="54FE1085"/>
    <w:rsid w:val="551A0E23"/>
    <w:rsid w:val="557254FD"/>
    <w:rsid w:val="55BA1450"/>
    <w:rsid w:val="56602FA9"/>
    <w:rsid w:val="56705FB3"/>
    <w:rsid w:val="56C9670A"/>
    <w:rsid w:val="56D40CB2"/>
    <w:rsid w:val="56E30533"/>
    <w:rsid w:val="56F24C1A"/>
    <w:rsid w:val="572E1089"/>
    <w:rsid w:val="574D3BFE"/>
    <w:rsid w:val="57AB0B28"/>
    <w:rsid w:val="57AE7353"/>
    <w:rsid w:val="57CB6E0C"/>
    <w:rsid w:val="57E94CE6"/>
    <w:rsid w:val="5830465A"/>
    <w:rsid w:val="58366D88"/>
    <w:rsid w:val="58992CAC"/>
    <w:rsid w:val="58D5034F"/>
    <w:rsid w:val="59012EF2"/>
    <w:rsid w:val="596B480F"/>
    <w:rsid w:val="5978710E"/>
    <w:rsid w:val="599C23EA"/>
    <w:rsid w:val="59A237EB"/>
    <w:rsid w:val="59B44408"/>
    <w:rsid w:val="59D6437F"/>
    <w:rsid w:val="5A044471"/>
    <w:rsid w:val="5A40617A"/>
    <w:rsid w:val="5A85787E"/>
    <w:rsid w:val="5A9021BF"/>
    <w:rsid w:val="5A92474A"/>
    <w:rsid w:val="5A9B412F"/>
    <w:rsid w:val="5AF90A69"/>
    <w:rsid w:val="5AFC7E15"/>
    <w:rsid w:val="5B10566E"/>
    <w:rsid w:val="5B527A35"/>
    <w:rsid w:val="5B5E287E"/>
    <w:rsid w:val="5B7200D7"/>
    <w:rsid w:val="5B856B3C"/>
    <w:rsid w:val="5C0C5E32"/>
    <w:rsid w:val="5C401F83"/>
    <w:rsid w:val="5C424167"/>
    <w:rsid w:val="5C8F7395"/>
    <w:rsid w:val="5CB11903"/>
    <w:rsid w:val="5CD101B9"/>
    <w:rsid w:val="5D641CA2"/>
    <w:rsid w:val="5E1611EE"/>
    <w:rsid w:val="5E207C16"/>
    <w:rsid w:val="5E361890"/>
    <w:rsid w:val="5EAB1A9D"/>
    <w:rsid w:val="5EEA21D6"/>
    <w:rsid w:val="5F6D7533"/>
    <w:rsid w:val="5F9C3975"/>
    <w:rsid w:val="5FA94C4E"/>
    <w:rsid w:val="5FB962D5"/>
    <w:rsid w:val="5FC95BEB"/>
    <w:rsid w:val="5FCE189D"/>
    <w:rsid w:val="5FD758BB"/>
    <w:rsid w:val="60184B53"/>
    <w:rsid w:val="604C0EF7"/>
    <w:rsid w:val="6071739D"/>
    <w:rsid w:val="609D79A4"/>
    <w:rsid w:val="60C74A21"/>
    <w:rsid w:val="60C9126D"/>
    <w:rsid w:val="60E824EF"/>
    <w:rsid w:val="610C4B2A"/>
    <w:rsid w:val="61152FF8"/>
    <w:rsid w:val="618172C6"/>
    <w:rsid w:val="61C3343B"/>
    <w:rsid w:val="61C465CF"/>
    <w:rsid w:val="61C64B60"/>
    <w:rsid w:val="61EC65A6"/>
    <w:rsid w:val="621023F8"/>
    <w:rsid w:val="623F7281"/>
    <w:rsid w:val="626558E4"/>
    <w:rsid w:val="627156A7"/>
    <w:rsid w:val="62B611F1"/>
    <w:rsid w:val="62E10C92"/>
    <w:rsid w:val="62F67840"/>
    <w:rsid w:val="62F87114"/>
    <w:rsid w:val="62FE04A2"/>
    <w:rsid w:val="63092BE9"/>
    <w:rsid w:val="63097573"/>
    <w:rsid w:val="631B1054"/>
    <w:rsid w:val="631B72A6"/>
    <w:rsid w:val="6365325A"/>
    <w:rsid w:val="638D4B20"/>
    <w:rsid w:val="63B108C9"/>
    <w:rsid w:val="63B37950"/>
    <w:rsid w:val="63F23311"/>
    <w:rsid w:val="640D55DC"/>
    <w:rsid w:val="64253F75"/>
    <w:rsid w:val="64BB0332"/>
    <w:rsid w:val="64EF4547"/>
    <w:rsid w:val="64FE29DC"/>
    <w:rsid w:val="65222B6E"/>
    <w:rsid w:val="652F4E98"/>
    <w:rsid w:val="659B47B7"/>
    <w:rsid w:val="65A512DF"/>
    <w:rsid w:val="65E40FF1"/>
    <w:rsid w:val="661A4AF1"/>
    <w:rsid w:val="669C1398"/>
    <w:rsid w:val="66A15D14"/>
    <w:rsid w:val="66B21CD0"/>
    <w:rsid w:val="67132EE4"/>
    <w:rsid w:val="672B6B2F"/>
    <w:rsid w:val="674768BC"/>
    <w:rsid w:val="674A1B06"/>
    <w:rsid w:val="675863D3"/>
    <w:rsid w:val="676E499C"/>
    <w:rsid w:val="67B43592"/>
    <w:rsid w:val="67DC5256"/>
    <w:rsid w:val="680447AD"/>
    <w:rsid w:val="68192BEF"/>
    <w:rsid w:val="68307282"/>
    <w:rsid w:val="684E77E3"/>
    <w:rsid w:val="686D7DB0"/>
    <w:rsid w:val="68F64907"/>
    <w:rsid w:val="68FC3FB0"/>
    <w:rsid w:val="691E6CD7"/>
    <w:rsid w:val="69285DCB"/>
    <w:rsid w:val="69286279"/>
    <w:rsid w:val="697C044C"/>
    <w:rsid w:val="69815BAD"/>
    <w:rsid w:val="699F1288"/>
    <w:rsid w:val="69B17B7A"/>
    <w:rsid w:val="69B52517"/>
    <w:rsid w:val="69BD4C13"/>
    <w:rsid w:val="6A340CE3"/>
    <w:rsid w:val="6A386990"/>
    <w:rsid w:val="6A7D7E39"/>
    <w:rsid w:val="6A8A41C0"/>
    <w:rsid w:val="6AA67D9D"/>
    <w:rsid w:val="6AC9721B"/>
    <w:rsid w:val="6AFA5AA3"/>
    <w:rsid w:val="6B530EDD"/>
    <w:rsid w:val="6B5D0B97"/>
    <w:rsid w:val="6B6D4417"/>
    <w:rsid w:val="6B7E5D43"/>
    <w:rsid w:val="6B94420B"/>
    <w:rsid w:val="6B9B4598"/>
    <w:rsid w:val="6BC738F4"/>
    <w:rsid w:val="6BFF59B7"/>
    <w:rsid w:val="6C031B05"/>
    <w:rsid w:val="6C121200"/>
    <w:rsid w:val="6C2E70C0"/>
    <w:rsid w:val="6C67530A"/>
    <w:rsid w:val="6C6E0447"/>
    <w:rsid w:val="6C7C7008"/>
    <w:rsid w:val="6C843502"/>
    <w:rsid w:val="6CA84A13"/>
    <w:rsid w:val="6CA95923"/>
    <w:rsid w:val="6CE07597"/>
    <w:rsid w:val="6D040CE9"/>
    <w:rsid w:val="6D0F39D8"/>
    <w:rsid w:val="6D1971DC"/>
    <w:rsid w:val="6D1E00BF"/>
    <w:rsid w:val="6D2B6338"/>
    <w:rsid w:val="6D610980"/>
    <w:rsid w:val="6DBB484A"/>
    <w:rsid w:val="6DE476FB"/>
    <w:rsid w:val="6DED128F"/>
    <w:rsid w:val="6DF332FA"/>
    <w:rsid w:val="6E036339"/>
    <w:rsid w:val="6E5B49FB"/>
    <w:rsid w:val="6EEB044A"/>
    <w:rsid w:val="6F2B6AC3"/>
    <w:rsid w:val="6F411BEA"/>
    <w:rsid w:val="6F4251D6"/>
    <w:rsid w:val="6F572C2C"/>
    <w:rsid w:val="6F5D4595"/>
    <w:rsid w:val="6F7800CE"/>
    <w:rsid w:val="6F7E4E45"/>
    <w:rsid w:val="6FD93A98"/>
    <w:rsid w:val="6FE729EA"/>
    <w:rsid w:val="700B473E"/>
    <w:rsid w:val="70131A31"/>
    <w:rsid w:val="70147557"/>
    <w:rsid w:val="701F3060"/>
    <w:rsid w:val="702A28D7"/>
    <w:rsid w:val="702E15A7"/>
    <w:rsid w:val="70425C3A"/>
    <w:rsid w:val="706802BF"/>
    <w:rsid w:val="707C5218"/>
    <w:rsid w:val="70875332"/>
    <w:rsid w:val="709720E4"/>
    <w:rsid w:val="70C20D61"/>
    <w:rsid w:val="70DF1913"/>
    <w:rsid w:val="70E1141A"/>
    <w:rsid w:val="71056630"/>
    <w:rsid w:val="71080E6A"/>
    <w:rsid w:val="71580A4F"/>
    <w:rsid w:val="71582B60"/>
    <w:rsid w:val="71756DD4"/>
    <w:rsid w:val="71843F05"/>
    <w:rsid w:val="71A302FA"/>
    <w:rsid w:val="729C4775"/>
    <w:rsid w:val="72EA3A76"/>
    <w:rsid w:val="72EC1E43"/>
    <w:rsid w:val="72F153CB"/>
    <w:rsid w:val="72F571CC"/>
    <w:rsid w:val="73212EC2"/>
    <w:rsid w:val="7349075A"/>
    <w:rsid w:val="73776FA3"/>
    <w:rsid w:val="739F71D5"/>
    <w:rsid w:val="73BA378D"/>
    <w:rsid w:val="740D392B"/>
    <w:rsid w:val="7413743B"/>
    <w:rsid w:val="741A4BE5"/>
    <w:rsid w:val="74545104"/>
    <w:rsid w:val="7492645F"/>
    <w:rsid w:val="753007A1"/>
    <w:rsid w:val="753A180E"/>
    <w:rsid w:val="7541494A"/>
    <w:rsid w:val="75422471"/>
    <w:rsid w:val="758C7D1C"/>
    <w:rsid w:val="75B37DE2"/>
    <w:rsid w:val="75F33F51"/>
    <w:rsid w:val="762A7AD4"/>
    <w:rsid w:val="764346F2"/>
    <w:rsid w:val="7664247B"/>
    <w:rsid w:val="76E606E8"/>
    <w:rsid w:val="77230B5D"/>
    <w:rsid w:val="7756684F"/>
    <w:rsid w:val="77CB25A0"/>
    <w:rsid w:val="77E66DE8"/>
    <w:rsid w:val="78650950"/>
    <w:rsid w:val="78681FC4"/>
    <w:rsid w:val="78746F41"/>
    <w:rsid w:val="78915BE9"/>
    <w:rsid w:val="78AA2807"/>
    <w:rsid w:val="78F040B6"/>
    <w:rsid w:val="790E2D96"/>
    <w:rsid w:val="791D438B"/>
    <w:rsid w:val="793A1DDD"/>
    <w:rsid w:val="794163AD"/>
    <w:rsid w:val="79751067"/>
    <w:rsid w:val="79843460"/>
    <w:rsid w:val="799066D6"/>
    <w:rsid w:val="79A33DE9"/>
    <w:rsid w:val="79CB3FC0"/>
    <w:rsid w:val="79FB30B4"/>
    <w:rsid w:val="7A0A4093"/>
    <w:rsid w:val="7A13705B"/>
    <w:rsid w:val="7A353BA2"/>
    <w:rsid w:val="7A9A44E4"/>
    <w:rsid w:val="7ABF147E"/>
    <w:rsid w:val="7AE07687"/>
    <w:rsid w:val="7AE2097E"/>
    <w:rsid w:val="7B0D75B6"/>
    <w:rsid w:val="7B3F192C"/>
    <w:rsid w:val="7B4909FD"/>
    <w:rsid w:val="7B4D1743"/>
    <w:rsid w:val="7B4F58E7"/>
    <w:rsid w:val="7B6367D2"/>
    <w:rsid w:val="7B9F2552"/>
    <w:rsid w:val="7C0F0E27"/>
    <w:rsid w:val="7C5533D1"/>
    <w:rsid w:val="7C814699"/>
    <w:rsid w:val="7CE448D2"/>
    <w:rsid w:val="7D221715"/>
    <w:rsid w:val="7D5A2A4F"/>
    <w:rsid w:val="7D625DA6"/>
    <w:rsid w:val="7D6A0786"/>
    <w:rsid w:val="7E176B90"/>
    <w:rsid w:val="7E5059F5"/>
    <w:rsid w:val="7E62496C"/>
    <w:rsid w:val="7EB10A21"/>
    <w:rsid w:val="7F1135E0"/>
    <w:rsid w:val="7F1B7719"/>
    <w:rsid w:val="7F376DBE"/>
    <w:rsid w:val="7F4D213E"/>
    <w:rsid w:val="7F531B5E"/>
    <w:rsid w:val="7F54171E"/>
    <w:rsid w:val="7FA501CC"/>
    <w:rsid w:val="7FAD0312"/>
    <w:rsid w:val="7FF93D68"/>
    <w:rsid w:val="7FFE15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80" w:after="80" w:line="312" w:lineRule="auto"/>
      <w:outlineLvl w:val="0"/>
    </w:pPr>
    <w:rPr>
      <w:rFonts w:ascii="Calibri" w:hAnsi="Calibri" w:eastAsia="黑体"/>
      <w:b/>
      <w:bCs/>
      <w:kern w:val="44"/>
      <w:sz w:val="32"/>
      <w:szCs w:val="44"/>
    </w:rPr>
  </w:style>
  <w:style w:type="paragraph" w:styleId="3">
    <w:name w:val="heading 2"/>
    <w:basedOn w:val="1"/>
    <w:next w:val="1"/>
    <w:link w:val="17"/>
    <w:autoRedefine/>
    <w:unhideWhenUsed/>
    <w:qFormat/>
    <w:uiPriority w:val="0"/>
    <w:pPr>
      <w:keepNext/>
      <w:keepLines/>
      <w:spacing w:line="312" w:lineRule="auto"/>
      <w:ind w:firstLine="880" w:firstLineChars="200"/>
      <w:outlineLvl w:val="1"/>
    </w:pPr>
    <w:rPr>
      <w:rFonts w:ascii="Calibri Light" w:hAnsi="Calibri Light" w:eastAsia="方正仿宋_GB2312" w:cs="Times New Roman"/>
      <w:b/>
      <w:bCs/>
      <w:sz w:val="32"/>
      <w:szCs w:val="32"/>
    </w:rPr>
  </w:style>
  <w:style w:type="paragraph" w:styleId="4">
    <w:name w:val="heading 3"/>
    <w:basedOn w:val="1"/>
    <w:next w:val="1"/>
    <w:link w:val="19"/>
    <w:autoRedefine/>
    <w:unhideWhenUsed/>
    <w:qFormat/>
    <w:uiPriority w:val="0"/>
    <w:pPr>
      <w:keepNext/>
      <w:keepLines/>
      <w:spacing w:before="20" w:after="20" w:line="312" w:lineRule="auto"/>
      <w:ind w:firstLine="880" w:firstLineChars="200"/>
      <w:outlineLvl w:val="2"/>
    </w:pPr>
    <w:rPr>
      <w:rFonts w:ascii="Calibri" w:hAnsi="Calibri" w:eastAsia="楷体" w:cs="Times New Roman"/>
      <w:b/>
      <w:bCs/>
      <w:sz w:val="32"/>
      <w:szCs w:val="32"/>
    </w:rPr>
  </w:style>
  <w:style w:type="paragraph" w:styleId="5">
    <w:name w:val="heading 4"/>
    <w:basedOn w:val="1"/>
    <w:next w:val="1"/>
    <w:link w:val="20"/>
    <w:unhideWhenUsed/>
    <w:qFormat/>
    <w:uiPriority w:val="0"/>
    <w:pPr>
      <w:keepNext/>
      <w:keepLines/>
      <w:spacing w:line="312" w:lineRule="auto"/>
      <w:outlineLvl w:val="3"/>
    </w:pPr>
    <w:rPr>
      <w:rFonts w:ascii="Calibri Light" w:hAnsi="Calibri Light" w:eastAsia="楷体" w:cs="Times New Roman"/>
      <w:bCs/>
      <w:sz w:val="24"/>
      <w:szCs w:val="28"/>
    </w:rPr>
  </w:style>
  <w:style w:type="character" w:default="1" w:styleId="15">
    <w:name w:val="Default Paragraph Font"/>
    <w:autoRedefine/>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6">
    <w:name w:val="Body Text"/>
    <w:basedOn w:val="1"/>
    <w:next w:val="1"/>
    <w:autoRedefine/>
    <w:unhideWhenUsed/>
    <w:qFormat/>
    <w:uiPriority w:val="99"/>
    <w:pPr>
      <w:spacing w:after="120" w:afterLines="0" w:afterAutospacing="0"/>
    </w:pPr>
  </w:style>
  <w:style w:type="paragraph" w:styleId="7">
    <w:name w:val="toc 3"/>
    <w:basedOn w:val="1"/>
    <w:next w:val="1"/>
    <w:autoRedefine/>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qFormat/>
    <w:uiPriority w:val="0"/>
    <w:pPr>
      <w:ind w:left="420" w:leftChars="200"/>
    </w:p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qFormat/>
    <w:uiPriority w:val="0"/>
    <w:rPr>
      <w:color w:val="0000FF"/>
      <w:u w:val="single"/>
    </w:rPr>
  </w:style>
  <w:style w:type="character" w:customStyle="1" w:styleId="17">
    <w:name w:val="标题 2 字符"/>
    <w:basedOn w:val="15"/>
    <w:link w:val="3"/>
    <w:autoRedefine/>
    <w:qFormat/>
    <w:uiPriority w:val="0"/>
    <w:rPr>
      <w:rFonts w:ascii="Calibri Light" w:hAnsi="Calibri Light" w:eastAsia="方正仿宋_GB2312" w:cs="Times New Roman"/>
      <w:b/>
      <w:bCs/>
      <w:kern w:val="2"/>
      <w:sz w:val="32"/>
      <w:szCs w:val="32"/>
    </w:rPr>
  </w:style>
  <w:style w:type="character" w:customStyle="1" w:styleId="18">
    <w:name w:val="标题 1 字符"/>
    <w:basedOn w:val="15"/>
    <w:link w:val="2"/>
    <w:autoRedefine/>
    <w:qFormat/>
    <w:uiPriority w:val="9"/>
    <w:rPr>
      <w:rFonts w:ascii="Calibri" w:hAnsi="Calibri" w:eastAsia="黑体"/>
      <w:b/>
      <w:bCs/>
      <w:kern w:val="44"/>
      <w:sz w:val="32"/>
      <w:szCs w:val="44"/>
    </w:rPr>
  </w:style>
  <w:style w:type="character" w:customStyle="1" w:styleId="19">
    <w:name w:val="标题 3 字符"/>
    <w:basedOn w:val="15"/>
    <w:link w:val="4"/>
    <w:autoRedefine/>
    <w:qFormat/>
    <w:uiPriority w:val="0"/>
    <w:rPr>
      <w:rFonts w:ascii="Calibri" w:hAnsi="Calibri" w:eastAsia="楷体" w:cs="Times New Roman"/>
      <w:b/>
      <w:bCs/>
      <w:kern w:val="2"/>
      <w:sz w:val="32"/>
      <w:szCs w:val="32"/>
    </w:rPr>
  </w:style>
  <w:style w:type="character" w:customStyle="1" w:styleId="20">
    <w:name w:val="标题 4 字符"/>
    <w:basedOn w:val="15"/>
    <w:link w:val="5"/>
    <w:autoRedefine/>
    <w:qFormat/>
    <w:uiPriority w:val="9"/>
    <w:rPr>
      <w:rFonts w:ascii="Calibri Light" w:hAnsi="Calibri Light" w:eastAsia="楷体" w:cs="Times New Roman"/>
      <w:bCs/>
      <w:kern w:val="2"/>
      <w:sz w:val="24"/>
      <w:szCs w:val="28"/>
    </w:rPr>
  </w:style>
  <w:style w:type="paragraph" w:customStyle="1" w:styleId="21">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22">
    <w:name w:val="段"/>
    <w:autoRedefine/>
    <w:qFormat/>
    <w:uiPriority w:val="99"/>
    <w:pPr>
      <w:autoSpaceDE w:val="0"/>
      <w:autoSpaceDN w:val="0"/>
      <w:ind w:firstLine="200" w:firstLineChars="200"/>
      <w:jc w:val="both"/>
    </w:pPr>
    <w:rPr>
      <w:rFonts w:ascii="宋体" w:hAnsi="Times New Roman" w:eastAsia="宋体" w:cs="Times New Roman"/>
      <w:kern w:val="0"/>
      <w:sz w:val="22"/>
      <w:szCs w:val="20"/>
      <w:lang w:val="en-US" w:eastAsia="zh-CN" w:bidi="ar-SA"/>
    </w:rPr>
  </w:style>
  <w:style w:type="paragraph" w:customStyle="1" w:styleId="23">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4">
    <w:name w:val="其他"/>
    <w:basedOn w:val="1"/>
    <w:link w:val="25"/>
    <w:autoRedefine/>
    <w:unhideWhenUsed/>
    <w:qFormat/>
    <w:uiPriority w:val="99"/>
    <w:pPr>
      <w:shd w:val="clear" w:color="auto" w:fill="FFFFFF"/>
      <w:spacing w:beforeLines="0" w:afterLines="0"/>
      <w:jc w:val="center"/>
    </w:pPr>
    <w:rPr>
      <w:rFonts w:hint="eastAsia" w:ascii="MingLiU" w:hAnsi="MingLiU" w:eastAsia="MingLiU"/>
      <w:sz w:val="16"/>
      <w:szCs w:val="16"/>
      <w:lang w:val="zh-CN" w:eastAsia="zh-CN"/>
    </w:rPr>
  </w:style>
  <w:style w:type="character" w:customStyle="1" w:styleId="25">
    <w:name w:val="其他_"/>
    <w:basedOn w:val="15"/>
    <w:link w:val="24"/>
    <w:autoRedefine/>
    <w:unhideWhenUsed/>
    <w:qFormat/>
    <w:uiPriority w:val="99"/>
    <w:rPr>
      <w:rFonts w:hint="eastAsia" w:ascii="MingLiU" w:hAnsi="MingLiU" w:eastAsia="MingLiU"/>
      <w:sz w:val="16"/>
      <w:szCs w:val="16"/>
      <w:lang w:val="zh-CN" w:eastAsia="zh-CN"/>
    </w:rPr>
  </w:style>
  <w:style w:type="paragraph" w:customStyle="1" w:styleId="26">
    <w:name w:val="WPSOffice手动目录 1"/>
    <w:autoRedefine/>
    <w:qFormat/>
    <w:uiPriority w:val="0"/>
    <w:pPr>
      <w:ind w:leftChars="0"/>
    </w:pPr>
    <w:rPr>
      <w:rFonts w:ascii="Times New Roman" w:hAnsi="Times New Roman" w:eastAsia="宋体" w:cs="Times New Roman"/>
      <w:sz w:val="20"/>
      <w:szCs w:val="20"/>
    </w:rPr>
  </w:style>
  <w:style w:type="paragraph" w:customStyle="1" w:styleId="27">
    <w:name w:val="WPSOffice手动目录 2"/>
    <w:autoRedefine/>
    <w:qFormat/>
    <w:uiPriority w:val="0"/>
    <w:pPr>
      <w:ind w:leftChars="200"/>
    </w:pPr>
    <w:rPr>
      <w:rFonts w:ascii="Times New Roman" w:hAnsi="Times New Roman" w:eastAsia="宋体" w:cs="Times New Roman"/>
      <w:sz w:val="20"/>
      <w:szCs w:val="20"/>
    </w:rPr>
  </w:style>
  <w:style w:type="paragraph" w:customStyle="1" w:styleId="28">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13332</Words>
  <Characters>15128</Characters>
  <Lines>0</Lines>
  <Paragraphs>0</Paragraphs>
  <TotalTime>1</TotalTime>
  <ScaleCrop>false</ScaleCrop>
  <LinksUpToDate>false</LinksUpToDate>
  <CharactersWithSpaces>15385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liuning</cp:lastModifiedBy>
  <dcterms:modified xsi:type="dcterms:W3CDTF">2024-05-23T12:35:26Z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7C3EBCFD1992489DB31F519E256137B0_13</vt:lpwstr>
  </property>
</Properties>
</file>