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2"/>
        <w:framePr w:w="0" w:hRule="auto" w:wrap="auto" w:vAnchor="margin" w:hAnchor="text" w:xAlign="left" w:yAlign="inline"/>
        <w:spacing w:line="360" w:lineRule="auto"/>
      </w:pPr>
    </w:p>
    <w:p>
      <w:pPr>
        <w:pStyle w:val="22"/>
        <w:framePr w:w="0" w:hRule="auto" w:wrap="auto" w:vAnchor="margin" w:hAnchor="text" w:xAlign="left" w:yAlign="inline"/>
        <w:spacing w:line="360" w:lineRule="auto"/>
        <w:jc w:val="both"/>
      </w:pPr>
    </w:p>
    <w:p>
      <w:pPr>
        <w:pStyle w:val="22"/>
        <w:framePr w:w="0" w:hRule="auto" w:wrap="auto" w:vAnchor="margin" w:hAnchor="text" w:xAlign="left" w:yAlign="inline"/>
        <w:spacing w:line="360" w:lineRule="auto"/>
        <w:jc w:val="both"/>
      </w:pPr>
    </w:p>
    <w:p>
      <w:pPr>
        <w:widowControl/>
        <w:spacing w:line="360" w:lineRule="auto"/>
        <w:jc w:val="left"/>
        <w:rPr>
          <w:rFonts w:ascii="Arial" w:hAnsi="Arial" w:cs="Arial"/>
          <w:color w:val="000000"/>
          <w:kern w:val="0"/>
        </w:rPr>
      </w:pPr>
    </w:p>
    <w:p>
      <w:pPr>
        <w:pStyle w:val="22"/>
        <w:framePr w:w="0" w:hRule="auto" w:wrap="auto" w:vAnchor="margin" w:hAnchor="text" w:xAlign="left" w:yAlign="inline"/>
        <w:spacing w:line="360" w:lineRule="auto"/>
        <w:rPr>
          <w:rFonts w:hint="eastAsia" w:ascii="宋体" w:hAnsi="宋体" w:eastAsia="宋体"/>
          <w:szCs w:val="52"/>
          <w:lang w:eastAsia="zh-CN"/>
        </w:rPr>
      </w:pPr>
      <w:r>
        <w:rPr>
          <w:rFonts w:hint="eastAsia" w:ascii="宋体" w:hAnsi="宋体" w:eastAsia="宋体"/>
          <w:szCs w:val="52"/>
          <w:lang w:eastAsia="zh-CN"/>
        </w:rPr>
        <w:t>现浇混凝土空心结构用石膏模盒应用技术规程</w:t>
      </w:r>
    </w:p>
    <w:p>
      <w:pPr>
        <w:spacing w:line="360" w:lineRule="auto"/>
        <w:jc w:val="center"/>
        <w:rPr>
          <w:rFonts w:hint="eastAsia" w:eastAsia="宋体"/>
          <w:sz w:val="28"/>
          <w:szCs w:val="28"/>
          <w:lang w:eastAsia="zh-CN"/>
        </w:rPr>
      </w:pPr>
      <w:r>
        <w:rPr>
          <w:rFonts w:hint="eastAsia" w:ascii="Arial" w:hAnsi="Arial" w:cs="Arial"/>
          <w:color w:val="000000"/>
          <w:kern w:val="0"/>
          <w:sz w:val="32"/>
          <w:szCs w:val="32"/>
          <w:lang w:eastAsia="zh-CN"/>
        </w:rPr>
        <w:t>Technical specification for gypsum filler for cast-in-situ concrete hollow structure</w:t>
      </w:r>
    </w:p>
    <w:p>
      <w:pPr>
        <w:snapToGrid w:val="0"/>
        <w:jc w:val="center"/>
        <w:rPr>
          <w:rFonts w:eastAsia="黑体"/>
          <w:b/>
          <w:sz w:val="32"/>
          <w:szCs w:val="32"/>
        </w:rPr>
      </w:pPr>
      <w:r>
        <w:rPr>
          <w:rFonts w:hint="eastAsia" w:eastAsia="黑体"/>
          <w:b/>
          <w:sz w:val="32"/>
          <w:szCs w:val="32"/>
          <w:lang w:val="en-US" w:eastAsia="zh-CN"/>
        </w:rPr>
        <w:t>JC</w:t>
      </w:r>
      <w:r>
        <w:rPr>
          <w:rFonts w:eastAsia="黑体"/>
          <w:b/>
          <w:sz w:val="32"/>
          <w:szCs w:val="32"/>
        </w:rPr>
        <w:t>/</w:t>
      </w:r>
      <w:r>
        <w:rPr>
          <w:rFonts w:hint="eastAsia" w:eastAsia="黑体"/>
          <w:b/>
          <w:sz w:val="32"/>
          <w:szCs w:val="32"/>
          <w:lang w:val="en-US" w:eastAsia="zh-CN"/>
        </w:rPr>
        <w:t>T</w:t>
      </w:r>
      <w:r>
        <w:rPr>
          <w:rFonts w:eastAsia="黑体"/>
          <w:b/>
          <w:sz w:val="32"/>
          <w:szCs w:val="32"/>
        </w:rPr>
        <w:t xml:space="preserve"> XXXX－20</w:t>
      </w:r>
      <w:r>
        <w:rPr>
          <w:rFonts w:hint="eastAsia" w:eastAsia="黑体"/>
          <w:b/>
          <w:sz w:val="32"/>
          <w:szCs w:val="32"/>
        </w:rPr>
        <w:t>2</w:t>
      </w:r>
      <w:r>
        <w:rPr>
          <w:rFonts w:eastAsia="黑体"/>
          <w:b/>
          <w:sz w:val="32"/>
          <w:szCs w:val="32"/>
        </w:rPr>
        <w:t>X</w:t>
      </w:r>
    </w:p>
    <w:p>
      <w:pPr>
        <w:spacing w:line="360" w:lineRule="auto"/>
        <w:jc w:val="center"/>
      </w:pPr>
    </w:p>
    <w:p>
      <w:pPr>
        <w:spacing w:line="360" w:lineRule="auto"/>
        <w:jc w:val="center"/>
      </w:pPr>
    </w:p>
    <w:p>
      <w:pPr>
        <w:spacing w:line="360" w:lineRule="auto"/>
        <w:jc w:val="center"/>
      </w:pPr>
    </w:p>
    <w:p>
      <w:pPr>
        <w:spacing w:line="360" w:lineRule="auto"/>
        <w:jc w:val="center"/>
        <w:rPr>
          <w:rFonts w:ascii="华文新魏" w:eastAsia="华文新魏"/>
          <w:sz w:val="84"/>
          <w:szCs w:val="84"/>
        </w:rPr>
      </w:pPr>
      <w:r>
        <w:rPr>
          <w:rFonts w:hint="eastAsia" w:ascii="华文新魏" w:eastAsia="华文新魏"/>
          <w:sz w:val="84"/>
          <w:szCs w:val="84"/>
        </w:rPr>
        <w:t>编制说明</w:t>
      </w:r>
    </w:p>
    <w:p>
      <w:pPr>
        <w:spacing w:line="360" w:lineRule="auto"/>
        <w:jc w:val="center"/>
        <w:rPr>
          <w:sz w:val="52"/>
          <w:szCs w:val="52"/>
        </w:rPr>
      </w:pPr>
    </w:p>
    <w:p>
      <w:pPr>
        <w:spacing w:line="360" w:lineRule="auto"/>
        <w:jc w:val="center"/>
        <w:rPr>
          <w:sz w:val="52"/>
          <w:szCs w:val="52"/>
        </w:rPr>
      </w:pPr>
    </w:p>
    <w:p>
      <w:pPr>
        <w:spacing w:line="360" w:lineRule="auto"/>
        <w:jc w:val="center"/>
        <w:rPr>
          <w:sz w:val="52"/>
          <w:szCs w:val="52"/>
        </w:rPr>
      </w:pPr>
    </w:p>
    <w:p>
      <w:pPr>
        <w:spacing w:line="360" w:lineRule="auto"/>
        <w:jc w:val="center"/>
        <w:rPr>
          <w:sz w:val="52"/>
          <w:szCs w:val="52"/>
        </w:rPr>
      </w:pPr>
    </w:p>
    <w:p>
      <w:pPr>
        <w:spacing w:line="360" w:lineRule="auto"/>
        <w:jc w:val="center"/>
        <w:rPr>
          <w:sz w:val="52"/>
          <w:szCs w:val="52"/>
        </w:rPr>
      </w:pPr>
    </w:p>
    <w:p>
      <w:pPr>
        <w:spacing w:line="360" w:lineRule="auto"/>
        <w:jc w:val="center"/>
        <w:rPr>
          <w:sz w:val="52"/>
          <w:szCs w:val="52"/>
        </w:rPr>
      </w:pPr>
    </w:p>
    <w:p>
      <w:pPr>
        <w:pStyle w:val="22"/>
        <w:framePr w:w="0" w:hRule="auto" w:wrap="auto" w:vAnchor="margin" w:hAnchor="text" w:xAlign="left" w:yAlign="inline"/>
        <w:spacing w:line="360" w:lineRule="auto"/>
        <w:rPr>
          <w:rFonts w:ascii="宋体" w:hAnsi="宋体" w:eastAsia="宋体"/>
          <w:sz w:val="32"/>
          <w:szCs w:val="32"/>
        </w:rPr>
      </w:pPr>
      <w:r>
        <w:rPr>
          <w:rFonts w:hint="eastAsia" w:ascii="宋体" w:hAnsi="宋体" w:eastAsia="宋体"/>
          <w:sz w:val="32"/>
          <w:szCs w:val="32"/>
        </w:rPr>
        <w:t>《</w:t>
      </w:r>
      <w:r>
        <w:rPr>
          <w:rFonts w:hint="eastAsia" w:ascii="宋体" w:hAnsi="宋体" w:eastAsia="宋体"/>
          <w:sz w:val="32"/>
          <w:szCs w:val="32"/>
          <w:lang w:eastAsia="zh-CN"/>
        </w:rPr>
        <w:t>现浇混凝土空心结构用石膏模盒应用技术规程</w:t>
      </w:r>
      <w:r>
        <w:rPr>
          <w:rFonts w:hint="eastAsia" w:ascii="宋体" w:hAnsi="宋体" w:eastAsia="宋体"/>
          <w:sz w:val="32"/>
          <w:szCs w:val="32"/>
        </w:rPr>
        <w:t>》编制组</w:t>
      </w:r>
    </w:p>
    <w:p>
      <w:pPr>
        <w:pStyle w:val="22"/>
        <w:framePr w:w="0" w:hRule="auto" w:wrap="auto" w:vAnchor="margin" w:hAnchor="text" w:xAlign="left" w:yAlign="inline"/>
        <w:spacing w:line="360" w:lineRule="auto"/>
        <w:rPr>
          <w:rFonts w:ascii="宋体" w:hAnsi="宋体" w:eastAsia="宋体"/>
          <w:sz w:val="32"/>
          <w:szCs w:val="32"/>
        </w:rPr>
      </w:pPr>
      <w:r>
        <w:rPr>
          <w:rFonts w:hint="eastAsia" w:ascii="宋体" w:hAnsi="宋体" w:eastAsia="宋体"/>
          <w:sz w:val="32"/>
          <w:szCs w:val="32"/>
        </w:rPr>
        <w:t>202</w:t>
      </w:r>
      <w:r>
        <w:rPr>
          <w:rFonts w:hint="eastAsia" w:ascii="宋体" w:hAnsi="宋体" w:eastAsia="宋体"/>
          <w:sz w:val="32"/>
          <w:szCs w:val="32"/>
          <w:lang w:val="en-US" w:eastAsia="zh-CN"/>
        </w:rPr>
        <w:t>4</w:t>
      </w:r>
      <w:r>
        <w:rPr>
          <w:rFonts w:hint="eastAsia" w:ascii="宋体" w:hAnsi="宋体" w:eastAsia="宋体"/>
          <w:sz w:val="32"/>
          <w:szCs w:val="32"/>
        </w:rPr>
        <w:t>年</w:t>
      </w:r>
      <w:r>
        <w:rPr>
          <w:rFonts w:hint="eastAsia" w:ascii="宋体" w:hAnsi="宋体" w:eastAsia="宋体"/>
          <w:sz w:val="32"/>
          <w:szCs w:val="32"/>
          <w:lang w:val="en-US" w:eastAsia="zh-CN"/>
        </w:rPr>
        <w:t>7</w:t>
      </w:r>
      <w:bookmarkStart w:id="43" w:name="_GoBack"/>
      <w:bookmarkEnd w:id="43"/>
      <w:r>
        <w:rPr>
          <w:rFonts w:hint="eastAsia" w:ascii="宋体" w:hAnsi="宋体" w:eastAsia="宋体"/>
          <w:sz w:val="32"/>
          <w:szCs w:val="32"/>
        </w:rPr>
        <w:t>月</w:t>
      </w:r>
    </w:p>
    <w:p>
      <w:pPr>
        <w:pStyle w:val="22"/>
        <w:framePr w:w="0" w:hRule="auto" w:wrap="auto" w:vAnchor="margin" w:hAnchor="text" w:xAlign="left" w:yAlign="inline"/>
        <w:spacing w:line="360" w:lineRule="auto"/>
        <w:rPr>
          <w:rFonts w:ascii="宋体" w:hAnsi="宋体" w:eastAsia="宋体"/>
          <w:sz w:val="32"/>
          <w:szCs w:val="32"/>
        </w:rPr>
      </w:pPr>
      <w:r>
        <w:rPr>
          <w:rFonts w:hint="eastAsia" w:ascii="宋体" w:hAnsi="宋体" w:eastAsia="宋体"/>
          <w:sz w:val="32"/>
          <w:szCs w:val="32"/>
        </w:rPr>
        <w:br w:type="page"/>
      </w:r>
    </w:p>
    <w:p>
      <w:pPr>
        <w:pStyle w:val="22"/>
        <w:framePr w:w="0" w:hRule="auto" w:wrap="auto" w:vAnchor="margin" w:hAnchor="text" w:xAlign="left" w:yAlign="inline"/>
        <w:spacing w:line="360" w:lineRule="auto"/>
        <w:rPr>
          <w:rFonts w:ascii="宋体" w:hAnsi="宋体" w:eastAsia="宋体"/>
          <w:sz w:val="32"/>
          <w:szCs w:val="32"/>
        </w:rPr>
      </w:pPr>
    </w:p>
    <w:sdt>
      <w:sdtPr>
        <w:rPr>
          <w:sz w:val="21"/>
          <w:lang w:val="zh-CN"/>
        </w:rPr>
        <w:id w:val="207385740"/>
        <w:docPartObj>
          <w:docPartGallery w:val="Table of Contents"/>
          <w:docPartUnique/>
        </w:docPartObj>
      </w:sdtPr>
      <w:sdtEndPr>
        <w:rPr>
          <w:b/>
          <w:bCs/>
          <w:sz w:val="28"/>
          <w:szCs w:val="28"/>
          <w:lang w:val="zh-CN"/>
        </w:rPr>
      </w:sdtEndPr>
      <w:sdtContent>
        <w:p>
          <w:pPr>
            <w:jc w:val="center"/>
            <w:rPr>
              <w:sz w:val="40"/>
              <w:szCs w:val="40"/>
            </w:rPr>
          </w:pPr>
          <w:r>
            <w:rPr>
              <w:rFonts w:ascii="宋体" w:hAnsi="宋体"/>
              <w:sz w:val="32"/>
              <w:szCs w:val="40"/>
            </w:rPr>
            <w:t>目录</w:t>
          </w:r>
        </w:p>
        <w:p>
          <w:pPr>
            <w:pStyle w:val="12"/>
            <w:tabs>
              <w:tab w:val="right" w:leader="dot" w:pos="9468"/>
            </w:tabs>
            <w:spacing w:line="360" w:lineRule="auto"/>
            <w:rPr>
              <w:sz w:val="28"/>
              <w:szCs w:val="28"/>
            </w:rPr>
          </w:pPr>
          <w:r>
            <w:rPr>
              <w:sz w:val="28"/>
              <w:szCs w:val="28"/>
            </w:rPr>
            <w:fldChar w:fldCharType="begin"/>
          </w:r>
          <w:r>
            <w:rPr>
              <w:sz w:val="28"/>
              <w:szCs w:val="28"/>
            </w:rPr>
            <w:instrText xml:space="preserve"> TOC \o "1-3" \h \z \u </w:instrText>
          </w:r>
          <w:r>
            <w:rPr>
              <w:sz w:val="28"/>
              <w:szCs w:val="28"/>
            </w:rPr>
            <w:fldChar w:fldCharType="separate"/>
          </w:r>
          <w:r>
            <w:fldChar w:fldCharType="begin"/>
          </w:r>
          <w:r>
            <w:instrText xml:space="preserve"> HYPERLINK \l "_Toc19328" </w:instrText>
          </w:r>
          <w:r>
            <w:fldChar w:fldCharType="separate"/>
          </w:r>
          <w:r>
            <w:rPr>
              <w:rFonts w:hint="eastAsia"/>
              <w:sz w:val="28"/>
              <w:szCs w:val="28"/>
            </w:rPr>
            <w:t>1</w:t>
          </w:r>
          <w:r>
            <w:rPr>
              <w:sz w:val="28"/>
              <w:szCs w:val="28"/>
            </w:rPr>
            <w:t xml:space="preserve"> </w:t>
          </w:r>
          <w:r>
            <w:rPr>
              <w:rFonts w:hint="eastAsia"/>
              <w:sz w:val="28"/>
              <w:szCs w:val="28"/>
            </w:rPr>
            <w:t>工作简况</w:t>
          </w:r>
          <w:r>
            <w:rPr>
              <w:sz w:val="28"/>
              <w:szCs w:val="28"/>
            </w:rPr>
            <w:tab/>
          </w:r>
          <w:r>
            <w:rPr>
              <w:sz w:val="28"/>
              <w:szCs w:val="28"/>
            </w:rPr>
            <w:fldChar w:fldCharType="begin"/>
          </w:r>
          <w:r>
            <w:rPr>
              <w:sz w:val="28"/>
              <w:szCs w:val="28"/>
            </w:rPr>
            <w:instrText xml:space="preserve"> PAGEREF _Toc19328 \h </w:instrText>
          </w:r>
          <w:r>
            <w:rPr>
              <w:sz w:val="28"/>
              <w:szCs w:val="28"/>
            </w:rPr>
            <w:fldChar w:fldCharType="separate"/>
          </w:r>
          <w:r>
            <w:rPr>
              <w:sz w:val="28"/>
              <w:szCs w:val="28"/>
            </w:rPr>
            <w:t>3</w:t>
          </w:r>
          <w:r>
            <w:rPr>
              <w:sz w:val="28"/>
              <w:szCs w:val="28"/>
            </w:rPr>
            <w:fldChar w:fldCharType="end"/>
          </w:r>
          <w:r>
            <w:rPr>
              <w:sz w:val="28"/>
              <w:szCs w:val="28"/>
            </w:rPr>
            <w:fldChar w:fldCharType="end"/>
          </w:r>
        </w:p>
        <w:p>
          <w:pPr>
            <w:pStyle w:val="12"/>
            <w:tabs>
              <w:tab w:val="right" w:leader="dot" w:pos="9468"/>
            </w:tabs>
            <w:spacing w:line="360" w:lineRule="auto"/>
            <w:rPr>
              <w:sz w:val="28"/>
              <w:szCs w:val="28"/>
            </w:rPr>
          </w:pPr>
          <w:r>
            <w:fldChar w:fldCharType="begin"/>
          </w:r>
          <w:r>
            <w:instrText xml:space="preserve"> HYPERLINK \l "_Toc13592" </w:instrText>
          </w:r>
          <w:r>
            <w:fldChar w:fldCharType="separate"/>
          </w:r>
          <w:r>
            <w:rPr>
              <w:rFonts w:hint="eastAsia"/>
              <w:sz w:val="28"/>
              <w:szCs w:val="28"/>
            </w:rPr>
            <w:t>2</w:t>
          </w:r>
          <w:r>
            <w:rPr>
              <w:sz w:val="28"/>
              <w:szCs w:val="28"/>
            </w:rPr>
            <w:t xml:space="preserve"> </w:t>
          </w:r>
          <w:r>
            <w:rPr>
              <w:rFonts w:hint="eastAsia"/>
              <w:sz w:val="28"/>
              <w:szCs w:val="28"/>
            </w:rPr>
            <w:t>标准编制的原则和主要内容</w:t>
          </w:r>
          <w:r>
            <w:rPr>
              <w:sz w:val="28"/>
              <w:szCs w:val="28"/>
            </w:rPr>
            <w:tab/>
          </w:r>
          <w:r>
            <w:rPr>
              <w:sz w:val="28"/>
              <w:szCs w:val="28"/>
            </w:rPr>
            <w:fldChar w:fldCharType="begin"/>
          </w:r>
          <w:r>
            <w:rPr>
              <w:sz w:val="28"/>
              <w:szCs w:val="28"/>
            </w:rPr>
            <w:instrText xml:space="preserve"> PAGEREF _Toc13592 \h </w:instrText>
          </w:r>
          <w:r>
            <w:rPr>
              <w:sz w:val="28"/>
              <w:szCs w:val="28"/>
            </w:rPr>
            <w:fldChar w:fldCharType="separate"/>
          </w:r>
          <w:r>
            <w:rPr>
              <w:sz w:val="28"/>
              <w:szCs w:val="28"/>
            </w:rPr>
            <w:t>4</w:t>
          </w:r>
          <w:r>
            <w:rPr>
              <w:sz w:val="28"/>
              <w:szCs w:val="28"/>
            </w:rPr>
            <w:fldChar w:fldCharType="end"/>
          </w:r>
          <w:r>
            <w:rPr>
              <w:sz w:val="28"/>
              <w:szCs w:val="28"/>
            </w:rPr>
            <w:fldChar w:fldCharType="end"/>
          </w:r>
        </w:p>
        <w:p>
          <w:pPr>
            <w:pStyle w:val="12"/>
            <w:tabs>
              <w:tab w:val="right" w:leader="dot" w:pos="9468"/>
            </w:tabs>
            <w:spacing w:line="360" w:lineRule="auto"/>
            <w:rPr>
              <w:sz w:val="28"/>
              <w:szCs w:val="28"/>
            </w:rPr>
          </w:pPr>
          <w:r>
            <w:fldChar w:fldCharType="begin"/>
          </w:r>
          <w:r>
            <w:instrText xml:space="preserve"> HYPERLINK \l "_Toc379" </w:instrText>
          </w:r>
          <w:r>
            <w:fldChar w:fldCharType="separate"/>
          </w:r>
          <w:r>
            <w:rPr>
              <w:rFonts w:hint="eastAsia"/>
              <w:sz w:val="28"/>
              <w:szCs w:val="28"/>
            </w:rPr>
            <w:t>3</w:t>
          </w:r>
          <w:r>
            <w:rPr>
              <w:sz w:val="28"/>
              <w:szCs w:val="28"/>
            </w:rPr>
            <w:t xml:space="preserve"> </w:t>
          </w:r>
          <w:r>
            <w:rPr>
              <w:rFonts w:hint="eastAsia"/>
              <w:sz w:val="28"/>
              <w:szCs w:val="28"/>
            </w:rPr>
            <w:t>主要试验验证情况分析与指标确定</w:t>
          </w:r>
          <w:r>
            <w:rPr>
              <w:sz w:val="28"/>
              <w:szCs w:val="28"/>
            </w:rPr>
            <w:tab/>
          </w:r>
          <w:r>
            <w:rPr>
              <w:sz w:val="28"/>
              <w:szCs w:val="28"/>
            </w:rPr>
            <w:fldChar w:fldCharType="begin"/>
          </w:r>
          <w:r>
            <w:rPr>
              <w:sz w:val="28"/>
              <w:szCs w:val="28"/>
            </w:rPr>
            <w:instrText xml:space="preserve"> PAGEREF _Toc379 \h </w:instrText>
          </w:r>
          <w:r>
            <w:rPr>
              <w:sz w:val="28"/>
              <w:szCs w:val="28"/>
            </w:rPr>
            <w:fldChar w:fldCharType="separate"/>
          </w:r>
          <w:r>
            <w:rPr>
              <w:sz w:val="28"/>
              <w:szCs w:val="28"/>
            </w:rPr>
            <w:t>7</w:t>
          </w:r>
          <w:r>
            <w:rPr>
              <w:sz w:val="28"/>
              <w:szCs w:val="28"/>
            </w:rPr>
            <w:fldChar w:fldCharType="end"/>
          </w:r>
          <w:r>
            <w:rPr>
              <w:sz w:val="28"/>
              <w:szCs w:val="28"/>
            </w:rPr>
            <w:fldChar w:fldCharType="end"/>
          </w:r>
        </w:p>
        <w:p>
          <w:pPr>
            <w:pStyle w:val="12"/>
            <w:tabs>
              <w:tab w:val="right" w:leader="dot" w:pos="9468"/>
            </w:tabs>
            <w:spacing w:line="360" w:lineRule="auto"/>
            <w:rPr>
              <w:sz w:val="28"/>
              <w:szCs w:val="28"/>
            </w:rPr>
          </w:pPr>
          <w:r>
            <w:fldChar w:fldCharType="begin"/>
          </w:r>
          <w:r>
            <w:instrText xml:space="preserve"> HYPERLINK \l "_Toc27776" </w:instrText>
          </w:r>
          <w:r>
            <w:fldChar w:fldCharType="separate"/>
          </w:r>
          <w:r>
            <w:rPr>
              <w:rFonts w:hint="eastAsia"/>
              <w:sz w:val="28"/>
              <w:szCs w:val="28"/>
            </w:rPr>
            <w:t>4 标准中涉及专利情况说明</w:t>
          </w:r>
          <w:r>
            <w:rPr>
              <w:sz w:val="28"/>
              <w:szCs w:val="28"/>
            </w:rPr>
            <w:tab/>
          </w:r>
          <w:r>
            <w:rPr>
              <w:sz w:val="28"/>
              <w:szCs w:val="28"/>
            </w:rPr>
            <w:fldChar w:fldCharType="begin"/>
          </w:r>
          <w:r>
            <w:rPr>
              <w:sz w:val="28"/>
              <w:szCs w:val="28"/>
            </w:rPr>
            <w:instrText xml:space="preserve"> PAGEREF _Toc27776 \h </w:instrText>
          </w:r>
          <w:r>
            <w:rPr>
              <w:sz w:val="28"/>
              <w:szCs w:val="28"/>
            </w:rPr>
            <w:fldChar w:fldCharType="separate"/>
          </w:r>
          <w:r>
            <w:rPr>
              <w:sz w:val="28"/>
              <w:szCs w:val="28"/>
            </w:rPr>
            <w:t>10</w:t>
          </w:r>
          <w:r>
            <w:rPr>
              <w:sz w:val="28"/>
              <w:szCs w:val="28"/>
            </w:rPr>
            <w:fldChar w:fldCharType="end"/>
          </w:r>
          <w:r>
            <w:rPr>
              <w:sz w:val="28"/>
              <w:szCs w:val="28"/>
            </w:rPr>
            <w:fldChar w:fldCharType="end"/>
          </w:r>
        </w:p>
        <w:p>
          <w:pPr>
            <w:pStyle w:val="12"/>
            <w:tabs>
              <w:tab w:val="right" w:leader="dot" w:pos="9468"/>
            </w:tabs>
            <w:spacing w:line="360" w:lineRule="auto"/>
            <w:rPr>
              <w:sz w:val="28"/>
              <w:szCs w:val="28"/>
            </w:rPr>
          </w:pPr>
          <w:r>
            <w:fldChar w:fldCharType="begin"/>
          </w:r>
          <w:r>
            <w:instrText xml:space="preserve"> HYPERLINK \l "_Toc8646" </w:instrText>
          </w:r>
          <w:r>
            <w:fldChar w:fldCharType="separate"/>
          </w:r>
          <w:r>
            <w:rPr>
              <w:rFonts w:hint="eastAsia"/>
              <w:sz w:val="28"/>
              <w:szCs w:val="28"/>
            </w:rPr>
            <w:t>5</w:t>
          </w:r>
          <w:r>
            <w:rPr>
              <w:sz w:val="28"/>
              <w:szCs w:val="28"/>
            </w:rPr>
            <w:t xml:space="preserve"> </w:t>
          </w:r>
          <w:r>
            <w:rPr>
              <w:rFonts w:hint="eastAsia"/>
              <w:sz w:val="28"/>
              <w:szCs w:val="28"/>
            </w:rPr>
            <w:t>产业化情况</w:t>
          </w:r>
          <w:r>
            <w:rPr>
              <w:sz w:val="28"/>
              <w:szCs w:val="28"/>
            </w:rPr>
            <w:tab/>
          </w:r>
          <w:r>
            <w:rPr>
              <w:sz w:val="28"/>
              <w:szCs w:val="28"/>
            </w:rPr>
            <w:fldChar w:fldCharType="begin"/>
          </w:r>
          <w:r>
            <w:rPr>
              <w:sz w:val="28"/>
              <w:szCs w:val="28"/>
            </w:rPr>
            <w:instrText xml:space="preserve"> PAGEREF _Toc8646 \h </w:instrText>
          </w:r>
          <w:r>
            <w:rPr>
              <w:sz w:val="28"/>
              <w:szCs w:val="28"/>
            </w:rPr>
            <w:fldChar w:fldCharType="separate"/>
          </w:r>
          <w:r>
            <w:rPr>
              <w:sz w:val="28"/>
              <w:szCs w:val="28"/>
            </w:rPr>
            <w:t>10</w:t>
          </w:r>
          <w:r>
            <w:rPr>
              <w:sz w:val="28"/>
              <w:szCs w:val="28"/>
            </w:rPr>
            <w:fldChar w:fldCharType="end"/>
          </w:r>
          <w:r>
            <w:rPr>
              <w:sz w:val="28"/>
              <w:szCs w:val="28"/>
            </w:rPr>
            <w:fldChar w:fldCharType="end"/>
          </w:r>
        </w:p>
        <w:p>
          <w:pPr>
            <w:pStyle w:val="12"/>
            <w:tabs>
              <w:tab w:val="right" w:leader="dot" w:pos="9468"/>
            </w:tabs>
            <w:spacing w:line="360" w:lineRule="auto"/>
            <w:rPr>
              <w:sz w:val="28"/>
              <w:szCs w:val="28"/>
            </w:rPr>
          </w:pPr>
          <w:r>
            <w:fldChar w:fldCharType="begin"/>
          </w:r>
          <w:r>
            <w:instrText xml:space="preserve"> HYPERLINK \l "_Toc23778" </w:instrText>
          </w:r>
          <w:r>
            <w:fldChar w:fldCharType="separate"/>
          </w:r>
          <w:r>
            <w:rPr>
              <w:rFonts w:hint="eastAsia"/>
              <w:sz w:val="28"/>
              <w:szCs w:val="28"/>
            </w:rPr>
            <w:t>6</w:t>
          </w:r>
          <w:r>
            <w:rPr>
              <w:sz w:val="28"/>
              <w:szCs w:val="28"/>
            </w:rPr>
            <w:t xml:space="preserve"> </w:t>
          </w:r>
          <w:r>
            <w:rPr>
              <w:rFonts w:hint="eastAsia"/>
              <w:sz w:val="28"/>
              <w:szCs w:val="28"/>
            </w:rPr>
            <w:t>采用国际标准</w:t>
          </w:r>
          <w:r>
            <w:rPr>
              <w:sz w:val="28"/>
              <w:szCs w:val="28"/>
            </w:rPr>
            <w:tab/>
          </w:r>
          <w:r>
            <w:rPr>
              <w:sz w:val="28"/>
              <w:szCs w:val="28"/>
            </w:rPr>
            <w:fldChar w:fldCharType="begin"/>
          </w:r>
          <w:r>
            <w:rPr>
              <w:sz w:val="28"/>
              <w:szCs w:val="28"/>
            </w:rPr>
            <w:instrText xml:space="preserve"> PAGEREF _Toc23778 \h </w:instrText>
          </w:r>
          <w:r>
            <w:rPr>
              <w:sz w:val="28"/>
              <w:szCs w:val="28"/>
            </w:rPr>
            <w:fldChar w:fldCharType="separate"/>
          </w:r>
          <w:r>
            <w:rPr>
              <w:sz w:val="28"/>
              <w:szCs w:val="28"/>
            </w:rPr>
            <w:t>12</w:t>
          </w:r>
          <w:r>
            <w:rPr>
              <w:sz w:val="28"/>
              <w:szCs w:val="28"/>
            </w:rPr>
            <w:fldChar w:fldCharType="end"/>
          </w:r>
          <w:r>
            <w:rPr>
              <w:sz w:val="28"/>
              <w:szCs w:val="28"/>
            </w:rPr>
            <w:fldChar w:fldCharType="end"/>
          </w:r>
        </w:p>
        <w:p>
          <w:pPr>
            <w:pStyle w:val="12"/>
            <w:tabs>
              <w:tab w:val="right" w:leader="dot" w:pos="9468"/>
            </w:tabs>
            <w:spacing w:line="360" w:lineRule="auto"/>
            <w:rPr>
              <w:sz w:val="28"/>
              <w:szCs w:val="28"/>
            </w:rPr>
          </w:pPr>
          <w:r>
            <w:fldChar w:fldCharType="begin"/>
          </w:r>
          <w:r>
            <w:instrText xml:space="preserve"> HYPERLINK \l "_Toc8443" </w:instrText>
          </w:r>
          <w:r>
            <w:fldChar w:fldCharType="separate"/>
          </w:r>
          <w:r>
            <w:rPr>
              <w:rFonts w:hint="eastAsia"/>
              <w:sz w:val="28"/>
              <w:szCs w:val="28"/>
            </w:rPr>
            <w:t>7</w:t>
          </w:r>
          <w:r>
            <w:rPr>
              <w:sz w:val="28"/>
              <w:szCs w:val="28"/>
            </w:rPr>
            <w:t xml:space="preserve"> </w:t>
          </w:r>
          <w:r>
            <w:rPr>
              <w:rFonts w:hint="eastAsia"/>
              <w:sz w:val="28"/>
              <w:szCs w:val="28"/>
            </w:rPr>
            <w:t>与现行相关法律、法规、规章及相关标准的协调</w:t>
          </w:r>
          <w:r>
            <w:rPr>
              <w:sz w:val="28"/>
              <w:szCs w:val="28"/>
            </w:rPr>
            <w:tab/>
          </w:r>
          <w:r>
            <w:rPr>
              <w:sz w:val="28"/>
              <w:szCs w:val="28"/>
            </w:rPr>
            <w:fldChar w:fldCharType="begin"/>
          </w:r>
          <w:r>
            <w:rPr>
              <w:sz w:val="28"/>
              <w:szCs w:val="28"/>
            </w:rPr>
            <w:instrText xml:space="preserve"> PAGEREF _Toc8443 \h </w:instrText>
          </w:r>
          <w:r>
            <w:rPr>
              <w:sz w:val="28"/>
              <w:szCs w:val="28"/>
            </w:rPr>
            <w:fldChar w:fldCharType="separate"/>
          </w:r>
          <w:r>
            <w:rPr>
              <w:sz w:val="28"/>
              <w:szCs w:val="28"/>
            </w:rPr>
            <w:t>12</w:t>
          </w:r>
          <w:r>
            <w:rPr>
              <w:sz w:val="28"/>
              <w:szCs w:val="28"/>
            </w:rPr>
            <w:fldChar w:fldCharType="end"/>
          </w:r>
          <w:r>
            <w:rPr>
              <w:sz w:val="28"/>
              <w:szCs w:val="28"/>
            </w:rPr>
            <w:fldChar w:fldCharType="end"/>
          </w:r>
        </w:p>
        <w:p>
          <w:pPr>
            <w:pStyle w:val="12"/>
            <w:tabs>
              <w:tab w:val="right" w:leader="dot" w:pos="9468"/>
            </w:tabs>
            <w:spacing w:line="360" w:lineRule="auto"/>
            <w:rPr>
              <w:sz w:val="28"/>
              <w:szCs w:val="28"/>
            </w:rPr>
          </w:pPr>
          <w:r>
            <w:fldChar w:fldCharType="begin"/>
          </w:r>
          <w:r>
            <w:instrText xml:space="preserve"> HYPERLINK \l "_Toc8666" </w:instrText>
          </w:r>
          <w:r>
            <w:fldChar w:fldCharType="separate"/>
          </w:r>
          <w:r>
            <w:rPr>
              <w:rFonts w:hint="eastAsia"/>
              <w:sz w:val="28"/>
              <w:szCs w:val="28"/>
            </w:rPr>
            <w:t>8</w:t>
          </w:r>
          <w:r>
            <w:rPr>
              <w:sz w:val="28"/>
              <w:szCs w:val="28"/>
            </w:rPr>
            <w:t xml:space="preserve"> </w:t>
          </w:r>
          <w:r>
            <w:rPr>
              <w:rFonts w:hint="eastAsia"/>
              <w:sz w:val="28"/>
              <w:szCs w:val="28"/>
            </w:rPr>
            <w:t>重大意见分歧的处理依据和结果</w:t>
          </w:r>
          <w:r>
            <w:rPr>
              <w:sz w:val="28"/>
              <w:szCs w:val="28"/>
            </w:rPr>
            <w:tab/>
          </w:r>
          <w:r>
            <w:rPr>
              <w:sz w:val="28"/>
              <w:szCs w:val="28"/>
            </w:rPr>
            <w:fldChar w:fldCharType="begin"/>
          </w:r>
          <w:r>
            <w:rPr>
              <w:sz w:val="28"/>
              <w:szCs w:val="28"/>
            </w:rPr>
            <w:instrText xml:space="preserve"> PAGEREF _Toc8666 \h </w:instrText>
          </w:r>
          <w:r>
            <w:rPr>
              <w:sz w:val="28"/>
              <w:szCs w:val="28"/>
            </w:rPr>
            <w:fldChar w:fldCharType="separate"/>
          </w:r>
          <w:r>
            <w:rPr>
              <w:sz w:val="28"/>
              <w:szCs w:val="28"/>
            </w:rPr>
            <w:t>12</w:t>
          </w:r>
          <w:r>
            <w:rPr>
              <w:sz w:val="28"/>
              <w:szCs w:val="28"/>
            </w:rPr>
            <w:fldChar w:fldCharType="end"/>
          </w:r>
          <w:r>
            <w:rPr>
              <w:sz w:val="28"/>
              <w:szCs w:val="28"/>
            </w:rPr>
            <w:fldChar w:fldCharType="end"/>
          </w:r>
        </w:p>
        <w:p>
          <w:pPr>
            <w:pStyle w:val="12"/>
            <w:tabs>
              <w:tab w:val="right" w:leader="dot" w:pos="9468"/>
            </w:tabs>
            <w:spacing w:line="360" w:lineRule="auto"/>
            <w:rPr>
              <w:sz w:val="28"/>
              <w:szCs w:val="28"/>
            </w:rPr>
          </w:pPr>
          <w:r>
            <w:fldChar w:fldCharType="begin"/>
          </w:r>
          <w:r>
            <w:instrText xml:space="preserve"> HYPERLINK \l "_Toc28526" </w:instrText>
          </w:r>
          <w:r>
            <w:fldChar w:fldCharType="separate"/>
          </w:r>
          <w:r>
            <w:rPr>
              <w:rFonts w:hint="eastAsia"/>
              <w:sz w:val="28"/>
              <w:szCs w:val="28"/>
            </w:rPr>
            <w:t>9</w:t>
          </w:r>
          <w:r>
            <w:rPr>
              <w:sz w:val="28"/>
              <w:szCs w:val="28"/>
            </w:rPr>
            <w:t xml:space="preserve"> </w:t>
          </w:r>
          <w:r>
            <w:rPr>
              <w:rFonts w:hint="eastAsia"/>
              <w:sz w:val="28"/>
              <w:szCs w:val="28"/>
            </w:rPr>
            <w:t>标准性质的建议说明</w:t>
          </w:r>
          <w:r>
            <w:rPr>
              <w:sz w:val="28"/>
              <w:szCs w:val="28"/>
            </w:rPr>
            <w:tab/>
          </w:r>
          <w:r>
            <w:rPr>
              <w:sz w:val="28"/>
              <w:szCs w:val="28"/>
            </w:rPr>
            <w:fldChar w:fldCharType="begin"/>
          </w:r>
          <w:r>
            <w:rPr>
              <w:sz w:val="28"/>
              <w:szCs w:val="28"/>
            </w:rPr>
            <w:instrText xml:space="preserve"> PAGEREF _Toc28526 \h </w:instrText>
          </w:r>
          <w:r>
            <w:rPr>
              <w:sz w:val="28"/>
              <w:szCs w:val="28"/>
            </w:rPr>
            <w:fldChar w:fldCharType="separate"/>
          </w:r>
          <w:r>
            <w:rPr>
              <w:sz w:val="28"/>
              <w:szCs w:val="28"/>
            </w:rPr>
            <w:t>12</w:t>
          </w:r>
          <w:r>
            <w:rPr>
              <w:sz w:val="28"/>
              <w:szCs w:val="28"/>
            </w:rPr>
            <w:fldChar w:fldCharType="end"/>
          </w:r>
          <w:r>
            <w:rPr>
              <w:sz w:val="28"/>
              <w:szCs w:val="28"/>
            </w:rPr>
            <w:fldChar w:fldCharType="end"/>
          </w:r>
        </w:p>
        <w:p>
          <w:pPr>
            <w:pStyle w:val="12"/>
            <w:tabs>
              <w:tab w:val="right" w:leader="dot" w:pos="9468"/>
            </w:tabs>
            <w:spacing w:line="360" w:lineRule="auto"/>
            <w:rPr>
              <w:sz w:val="28"/>
              <w:szCs w:val="28"/>
            </w:rPr>
          </w:pPr>
          <w:r>
            <w:fldChar w:fldCharType="begin"/>
          </w:r>
          <w:r>
            <w:instrText xml:space="preserve"> HYPERLINK \l "_Toc12044" </w:instrText>
          </w:r>
          <w:r>
            <w:fldChar w:fldCharType="separate"/>
          </w:r>
          <w:r>
            <w:rPr>
              <w:rFonts w:hint="eastAsia"/>
              <w:sz w:val="28"/>
              <w:szCs w:val="28"/>
            </w:rPr>
            <w:t>1</w:t>
          </w:r>
          <w:r>
            <w:rPr>
              <w:sz w:val="28"/>
              <w:szCs w:val="28"/>
            </w:rPr>
            <w:t xml:space="preserve">0 </w:t>
          </w:r>
          <w:r>
            <w:rPr>
              <w:rFonts w:hint="eastAsia"/>
              <w:sz w:val="28"/>
              <w:szCs w:val="28"/>
            </w:rPr>
            <w:t>贯彻标准的措施建议</w:t>
          </w:r>
          <w:r>
            <w:rPr>
              <w:sz w:val="28"/>
              <w:szCs w:val="28"/>
            </w:rPr>
            <w:tab/>
          </w:r>
          <w:r>
            <w:rPr>
              <w:sz w:val="28"/>
              <w:szCs w:val="28"/>
            </w:rPr>
            <w:fldChar w:fldCharType="begin"/>
          </w:r>
          <w:r>
            <w:rPr>
              <w:sz w:val="28"/>
              <w:szCs w:val="28"/>
            </w:rPr>
            <w:instrText xml:space="preserve"> PAGEREF _Toc12044 \h </w:instrText>
          </w:r>
          <w:r>
            <w:rPr>
              <w:sz w:val="28"/>
              <w:szCs w:val="28"/>
            </w:rPr>
            <w:fldChar w:fldCharType="separate"/>
          </w:r>
          <w:r>
            <w:rPr>
              <w:sz w:val="28"/>
              <w:szCs w:val="28"/>
            </w:rPr>
            <w:t>12</w:t>
          </w:r>
          <w:r>
            <w:rPr>
              <w:sz w:val="28"/>
              <w:szCs w:val="28"/>
            </w:rPr>
            <w:fldChar w:fldCharType="end"/>
          </w:r>
          <w:r>
            <w:rPr>
              <w:sz w:val="28"/>
              <w:szCs w:val="28"/>
            </w:rPr>
            <w:fldChar w:fldCharType="end"/>
          </w:r>
        </w:p>
        <w:p>
          <w:pPr>
            <w:pStyle w:val="12"/>
            <w:tabs>
              <w:tab w:val="right" w:leader="dot" w:pos="9468"/>
            </w:tabs>
            <w:spacing w:line="360" w:lineRule="auto"/>
            <w:rPr>
              <w:sz w:val="28"/>
              <w:szCs w:val="28"/>
            </w:rPr>
          </w:pPr>
          <w:r>
            <w:fldChar w:fldCharType="begin"/>
          </w:r>
          <w:r>
            <w:instrText xml:space="preserve"> HYPERLINK \l "_Toc27727" </w:instrText>
          </w:r>
          <w:r>
            <w:fldChar w:fldCharType="separate"/>
          </w:r>
          <w:r>
            <w:rPr>
              <w:rFonts w:hint="eastAsia"/>
              <w:sz w:val="28"/>
              <w:szCs w:val="28"/>
            </w:rPr>
            <w:t>1</w:t>
          </w:r>
          <w:r>
            <w:rPr>
              <w:sz w:val="28"/>
              <w:szCs w:val="28"/>
            </w:rPr>
            <w:t xml:space="preserve">1 </w:t>
          </w:r>
          <w:r>
            <w:rPr>
              <w:rFonts w:hint="eastAsia"/>
              <w:sz w:val="28"/>
              <w:szCs w:val="28"/>
            </w:rPr>
            <w:t>废止现行有关标准的建议</w:t>
          </w:r>
          <w:r>
            <w:rPr>
              <w:sz w:val="28"/>
              <w:szCs w:val="28"/>
            </w:rPr>
            <w:tab/>
          </w:r>
          <w:r>
            <w:rPr>
              <w:sz w:val="28"/>
              <w:szCs w:val="28"/>
            </w:rPr>
            <w:fldChar w:fldCharType="begin"/>
          </w:r>
          <w:r>
            <w:rPr>
              <w:sz w:val="28"/>
              <w:szCs w:val="28"/>
            </w:rPr>
            <w:instrText xml:space="preserve"> PAGEREF _Toc27727 \h </w:instrText>
          </w:r>
          <w:r>
            <w:rPr>
              <w:sz w:val="28"/>
              <w:szCs w:val="28"/>
            </w:rPr>
            <w:fldChar w:fldCharType="separate"/>
          </w:r>
          <w:r>
            <w:rPr>
              <w:sz w:val="28"/>
              <w:szCs w:val="28"/>
            </w:rPr>
            <w:t>13</w:t>
          </w:r>
          <w:r>
            <w:rPr>
              <w:sz w:val="28"/>
              <w:szCs w:val="28"/>
            </w:rPr>
            <w:fldChar w:fldCharType="end"/>
          </w:r>
          <w:r>
            <w:rPr>
              <w:sz w:val="28"/>
              <w:szCs w:val="28"/>
            </w:rPr>
            <w:fldChar w:fldCharType="end"/>
          </w:r>
        </w:p>
        <w:p>
          <w:pPr>
            <w:pStyle w:val="12"/>
            <w:tabs>
              <w:tab w:val="right" w:leader="dot" w:pos="9468"/>
            </w:tabs>
            <w:spacing w:line="360" w:lineRule="auto"/>
            <w:rPr>
              <w:sz w:val="28"/>
              <w:szCs w:val="28"/>
            </w:rPr>
          </w:pPr>
          <w:r>
            <w:fldChar w:fldCharType="begin"/>
          </w:r>
          <w:r>
            <w:instrText xml:space="preserve"> HYPERLINK \l "_Toc8351" </w:instrText>
          </w:r>
          <w:r>
            <w:fldChar w:fldCharType="separate"/>
          </w:r>
          <w:r>
            <w:rPr>
              <w:rFonts w:hint="eastAsia"/>
              <w:sz w:val="28"/>
              <w:szCs w:val="28"/>
            </w:rPr>
            <w:t>1</w:t>
          </w:r>
          <w:r>
            <w:rPr>
              <w:sz w:val="28"/>
              <w:szCs w:val="28"/>
            </w:rPr>
            <w:t xml:space="preserve">2 </w:t>
          </w:r>
          <w:r>
            <w:rPr>
              <w:rFonts w:hint="eastAsia"/>
              <w:sz w:val="28"/>
              <w:szCs w:val="28"/>
            </w:rPr>
            <w:t>其他应说明的事项</w:t>
          </w:r>
          <w:r>
            <w:rPr>
              <w:sz w:val="28"/>
              <w:szCs w:val="28"/>
            </w:rPr>
            <w:tab/>
          </w:r>
          <w:r>
            <w:rPr>
              <w:sz w:val="28"/>
              <w:szCs w:val="28"/>
            </w:rPr>
            <w:fldChar w:fldCharType="begin"/>
          </w:r>
          <w:r>
            <w:rPr>
              <w:sz w:val="28"/>
              <w:szCs w:val="28"/>
            </w:rPr>
            <w:instrText xml:space="preserve"> PAGEREF _Toc8351 \h </w:instrText>
          </w:r>
          <w:r>
            <w:rPr>
              <w:sz w:val="28"/>
              <w:szCs w:val="28"/>
            </w:rPr>
            <w:fldChar w:fldCharType="separate"/>
          </w:r>
          <w:r>
            <w:rPr>
              <w:sz w:val="28"/>
              <w:szCs w:val="28"/>
            </w:rPr>
            <w:t>13</w:t>
          </w:r>
          <w:r>
            <w:rPr>
              <w:sz w:val="28"/>
              <w:szCs w:val="28"/>
            </w:rPr>
            <w:fldChar w:fldCharType="end"/>
          </w:r>
          <w:r>
            <w:rPr>
              <w:sz w:val="28"/>
              <w:szCs w:val="28"/>
            </w:rPr>
            <w:fldChar w:fldCharType="end"/>
          </w:r>
        </w:p>
        <w:p>
          <w:pPr>
            <w:pStyle w:val="12"/>
            <w:tabs>
              <w:tab w:val="right" w:leader="dot" w:pos="9458"/>
            </w:tabs>
            <w:spacing w:line="360" w:lineRule="auto"/>
            <w:rPr>
              <w:sz w:val="28"/>
              <w:szCs w:val="28"/>
            </w:rPr>
          </w:pPr>
          <w:r>
            <w:rPr>
              <w:bCs/>
              <w:sz w:val="28"/>
              <w:szCs w:val="28"/>
              <w:lang w:val="zh-CN"/>
            </w:rPr>
            <w:fldChar w:fldCharType="end"/>
          </w:r>
        </w:p>
      </w:sdtContent>
    </w:sdt>
    <w:p>
      <w:pPr>
        <w:pStyle w:val="22"/>
        <w:framePr w:w="0" w:hRule="auto" w:wrap="auto" w:vAnchor="margin" w:hAnchor="text" w:xAlign="left" w:yAlign="inline"/>
        <w:spacing w:line="360" w:lineRule="auto"/>
        <w:rPr>
          <w:rFonts w:ascii="宋体" w:hAnsi="宋体" w:eastAsia="宋体"/>
          <w:sz w:val="32"/>
          <w:szCs w:val="32"/>
        </w:rPr>
      </w:pPr>
    </w:p>
    <w:p>
      <w:pPr>
        <w:pStyle w:val="22"/>
        <w:framePr w:w="0" w:hRule="auto" w:wrap="auto" w:vAnchor="margin" w:hAnchor="text" w:xAlign="left" w:yAlign="inline"/>
        <w:spacing w:line="360" w:lineRule="auto"/>
        <w:rPr>
          <w:rFonts w:ascii="宋体" w:hAnsi="宋体" w:eastAsia="宋体"/>
          <w:sz w:val="44"/>
          <w:szCs w:val="44"/>
        </w:rPr>
        <w:sectPr>
          <w:pgSz w:w="11906" w:h="16838"/>
          <w:pgMar w:top="1134" w:right="1134" w:bottom="1134" w:left="1304" w:header="851" w:footer="992" w:gutter="0"/>
          <w:pgBorders>
            <w:top w:val="none" w:sz="0" w:space="0"/>
            <w:left w:val="none" w:sz="0" w:space="0"/>
            <w:bottom w:val="none" w:sz="0" w:space="0"/>
            <w:right w:val="none" w:sz="0" w:space="0"/>
          </w:pgBorders>
          <w:cols w:space="425" w:num="1"/>
          <w:docGrid w:type="lines" w:linePitch="312" w:charSpace="0"/>
        </w:sectPr>
      </w:pPr>
    </w:p>
    <w:p>
      <w:pPr>
        <w:pStyle w:val="22"/>
        <w:framePr w:w="0" w:hRule="auto" w:wrap="auto" w:vAnchor="margin" w:hAnchor="text" w:xAlign="left" w:yAlign="inline"/>
        <w:spacing w:line="360" w:lineRule="auto"/>
        <w:rPr>
          <w:rFonts w:hint="eastAsia" w:ascii="宋体" w:hAnsi="宋体" w:eastAsia="宋体"/>
          <w:sz w:val="44"/>
          <w:szCs w:val="44"/>
          <w:lang w:eastAsia="zh-CN"/>
        </w:rPr>
      </w:pPr>
      <w:r>
        <w:rPr>
          <w:rFonts w:hint="eastAsia" w:ascii="宋体" w:hAnsi="宋体" w:eastAsia="宋体"/>
          <w:sz w:val="44"/>
          <w:szCs w:val="44"/>
          <w:lang w:eastAsia="zh-CN"/>
        </w:rPr>
        <w:t>现浇混凝土空心结构用石膏模盒应用技术规程</w:t>
      </w:r>
    </w:p>
    <w:p>
      <w:pPr>
        <w:spacing w:line="360" w:lineRule="auto"/>
        <w:jc w:val="center"/>
        <w:rPr>
          <w:rFonts w:ascii="黑体" w:eastAsia="黑体"/>
          <w:sz w:val="44"/>
          <w:szCs w:val="44"/>
        </w:rPr>
      </w:pPr>
      <w:r>
        <w:rPr>
          <w:rFonts w:hint="eastAsia" w:ascii="宋体" w:hAnsi="宋体" w:eastAsia="宋体" w:cs="Times New Roman"/>
          <w:kern w:val="0"/>
          <w:sz w:val="44"/>
          <w:szCs w:val="44"/>
          <w:lang w:val="en-US" w:eastAsia="zh-CN" w:bidi="ar-SA"/>
        </w:rPr>
        <w:t>标准编制说明</w:t>
      </w:r>
    </w:p>
    <w:p>
      <w:pPr>
        <w:pStyle w:val="2"/>
      </w:pPr>
      <w:bookmarkStart w:id="0" w:name="_Toc19328"/>
      <w:r>
        <w:rPr>
          <w:rFonts w:hint="eastAsia"/>
        </w:rPr>
        <w:t>1</w:t>
      </w:r>
      <w:r>
        <w:t xml:space="preserve"> </w:t>
      </w:r>
      <w:r>
        <w:rPr>
          <w:rFonts w:hint="eastAsia"/>
        </w:rPr>
        <w:t>工作简况</w:t>
      </w:r>
      <w:bookmarkEnd w:id="0"/>
    </w:p>
    <w:p>
      <w:pPr>
        <w:pStyle w:val="3"/>
      </w:pPr>
      <w:bookmarkStart w:id="1" w:name="_Toc23145"/>
      <w:bookmarkStart w:id="2" w:name="_Toc32528"/>
      <w:bookmarkStart w:id="3" w:name="_Toc13953"/>
      <w:r>
        <w:rPr>
          <w:rFonts w:hint="eastAsia"/>
        </w:rPr>
        <w:t>1</w:t>
      </w:r>
      <w:r>
        <w:t>.1</w:t>
      </w:r>
      <w:r>
        <w:rPr>
          <w:rFonts w:hint="eastAsia"/>
        </w:rPr>
        <w:t>任务来源</w:t>
      </w:r>
      <w:bookmarkEnd w:id="1"/>
      <w:bookmarkEnd w:id="2"/>
      <w:bookmarkEnd w:id="3"/>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sz w:val="24"/>
          <w:szCs w:val="40"/>
        </w:rPr>
      </w:pPr>
      <w:r>
        <w:rPr>
          <w:rFonts w:hint="eastAsia"/>
          <w:sz w:val="24"/>
          <w:szCs w:val="40"/>
        </w:rPr>
        <w:t>空心无梁楼盖技术是一种不设梁、楼面荷载直接通过柱子传至基础的板柱结构体系，特别适用于大跨度、大空间的建筑，如车库、商场、厂房、仓库、写字楼、剧院、水池顶盖等。石膏模盒是一种新型、轻质、环保的空心无梁楼盖用材，将其埋于现浇混凝土楼板内，能够构造出高承载力、高性能的复合楼板，不仅大量节省钢筋混凝土材料，而且将石膏的优良特性保留于内，其技术合理、结构均匀、安全环保，目前已在</w:t>
      </w:r>
      <w:r>
        <w:rPr>
          <w:rFonts w:hint="eastAsia"/>
          <w:sz w:val="24"/>
          <w:szCs w:val="40"/>
          <w:lang w:eastAsia="zh-CN"/>
        </w:rPr>
        <w:t>贵州习水政务中心、</w:t>
      </w:r>
      <w:r>
        <w:rPr>
          <w:rFonts w:hint="eastAsia"/>
          <w:sz w:val="24"/>
          <w:szCs w:val="40"/>
        </w:rPr>
        <w:t>重庆大学建筑城规学院地下车库</w:t>
      </w:r>
      <w:r>
        <w:rPr>
          <w:rFonts w:hint="eastAsia"/>
          <w:sz w:val="24"/>
          <w:szCs w:val="40"/>
          <w:lang w:eastAsia="zh-CN"/>
        </w:rPr>
        <w:t>、合川巴蜀小学运动场</w:t>
      </w:r>
      <w:r>
        <w:rPr>
          <w:rFonts w:hint="eastAsia"/>
          <w:sz w:val="24"/>
          <w:szCs w:val="40"/>
          <w:highlight w:val="none"/>
        </w:rPr>
        <w:t>等</w:t>
      </w:r>
      <w:r>
        <w:rPr>
          <w:rFonts w:hint="eastAsia"/>
          <w:sz w:val="24"/>
          <w:szCs w:val="40"/>
        </w:rPr>
        <w:t>诸多建筑工程中有成功应用案例，市场反响好，应用潜力巨大。</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sz w:val="24"/>
          <w:szCs w:val="40"/>
        </w:rPr>
      </w:pPr>
      <w:r>
        <w:rPr>
          <w:rFonts w:hint="eastAsia"/>
          <w:sz w:val="24"/>
          <w:szCs w:val="40"/>
        </w:rPr>
        <w:t>利用石膏模盒施工现浇混凝土空心楼盖具有如下优势：（1）可节约层高，减少土石方开挖量，覆土层节约层高600mm～800mm，每层可节约层高300mm～400mm；（2）减少钢筋和混凝土用量，节约施工成本，降低结构造价；（3）提高非结构施工效率；（4）无需吊顶工序，节约后续装修成本。</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sz w:val="24"/>
          <w:szCs w:val="40"/>
        </w:rPr>
      </w:pPr>
      <w:r>
        <w:rPr>
          <w:rFonts w:hint="eastAsia"/>
          <w:sz w:val="24"/>
          <w:szCs w:val="40"/>
        </w:rPr>
        <w:t>此外，我国现存工业副产石膏超过10亿吨，每年新产生工业副产石膏约2.6亿吨，工业副产石膏的堆存不仅占用大量土地，危害周边环境，而且要投入大量资金进行处理和维护。通过规模化生产和推广应用石膏模盒可以大量、高效利用工业副产石膏，并产生可观的经济效益，每1万㎡空心楼盖需配套填充石膏模盒约1.7万套，可消纳约850吨工业副产石膏。此外，石膏建材制品生产过程近零碳排放，生产能耗远低于水泥、混凝土等传统建材，非常符合我国双碳目标发展要求，具有广阔的发展前景。</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heme="minorEastAsia" w:hAnsiTheme="minorEastAsia" w:eastAsiaTheme="minorEastAsia"/>
          <w:color w:val="auto"/>
          <w:szCs w:val="28"/>
        </w:rPr>
      </w:pPr>
      <w:r>
        <w:rPr>
          <w:rFonts w:hint="eastAsia"/>
          <w:sz w:val="24"/>
          <w:szCs w:val="40"/>
        </w:rPr>
        <w:t>目前石膏模盒现浇混凝土空心结构施工技术在国内还没有统一的应用标准，各生产企业根据各自的产品和技术进行施工，导致施工质量和水平参差不齐，严重影响了产品的市场推广。从促进生态保护、节能减碳、发展循环经济，以及促进石膏模盒生产及应用安全高质量发展、推动建筑结构体系改革等方面看，制定该标准均具有重大意义。</w:t>
      </w:r>
    </w:p>
    <w:p>
      <w:pPr>
        <w:spacing w:line="360" w:lineRule="auto"/>
        <w:ind w:firstLine="480" w:firstLineChars="200"/>
        <w:rPr>
          <w:rFonts w:asciiTheme="minorEastAsia" w:hAnsiTheme="minorEastAsia" w:eastAsiaTheme="minorEastAsia"/>
          <w:szCs w:val="28"/>
        </w:rPr>
      </w:pPr>
      <w:r>
        <w:rPr>
          <w:rFonts w:hint="eastAsia" w:asciiTheme="minorEastAsia" w:hAnsiTheme="minorEastAsia" w:eastAsiaTheme="minorEastAsia"/>
          <w:color w:val="auto"/>
          <w:szCs w:val="28"/>
        </w:rPr>
        <w:t>本标准着重从不断发展的</w:t>
      </w:r>
      <w:r>
        <w:rPr>
          <w:rFonts w:hint="eastAsia" w:asciiTheme="minorEastAsia" w:hAnsiTheme="minorEastAsia" w:eastAsiaTheme="minorEastAsia"/>
          <w:color w:val="auto"/>
          <w:szCs w:val="28"/>
          <w:lang w:eastAsia="zh-CN"/>
        </w:rPr>
        <w:t>石膏模盒</w:t>
      </w:r>
      <w:r>
        <w:rPr>
          <w:rFonts w:hint="eastAsia" w:asciiTheme="minorEastAsia" w:hAnsiTheme="minorEastAsia" w:eastAsiaTheme="minorEastAsia"/>
          <w:color w:val="auto"/>
          <w:szCs w:val="28"/>
        </w:rPr>
        <w:t>实际技术出发，与现行国家工程建设类标准协调一致，制定本标准能够为生产、检测、使用等单位提供技术依据，确保</w:t>
      </w:r>
      <w:r>
        <w:rPr>
          <w:rFonts w:hint="eastAsia" w:asciiTheme="minorEastAsia" w:hAnsiTheme="minorEastAsia" w:eastAsiaTheme="minorEastAsia"/>
          <w:color w:val="auto"/>
          <w:szCs w:val="28"/>
          <w:lang w:eastAsia="zh-CN"/>
        </w:rPr>
        <w:t>石膏模盒</w:t>
      </w:r>
      <w:r>
        <w:rPr>
          <w:rFonts w:hint="eastAsia" w:asciiTheme="minorEastAsia" w:hAnsiTheme="minorEastAsia" w:eastAsiaTheme="minorEastAsia"/>
          <w:color w:val="auto"/>
          <w:szCs w:val="28"/>
        </w:rPr>
        <w:t>的材料性能和施工质量，有助于实现建材工业</w:t>
      </w:r>
      <w:r>
        <w:rPr>
          <w:rFonts w:hint="eastAsia" w:asciiTheme="minorEastAsia" w:hAnsiTheme="minorEastAsia" w:eastAsiaTheme="minorEastAsia"/>
          <w:color w:val="auto"/>
          <w:szCs w:val="28"/>
          <w:lang w:val="en-US" w:eastAsia="zh-CN"/>
        </w:rPr>
        <w:t>安全</w:t>
      </w:r>
      <w:r>
        <w:rPr>
          <w:rFonts w:hint="eastAsia" w:asciiTheme="minorEastAsia" w:hAnsiTheme="minorEastAsia" w:eastAsiaTheme="minorEastAsia"/>
          <w:color w:val="auto"/>
          <w:szCs w:val="28"/>
        </w:rPr>
        <w:t>高质量发展，推动绿色建筑和绿色城市建设</w:t>
      </w:r>
      <w:r>
        <w:rPr>
          <w:rFonts w:hint="eastAsia" w:asciiTheme="minorEastAsia" w:hAnsiTheme="minorEastAsia" w:eastAsiaTheme="minorEastAsia"/>
          <w:szCs w:val="28"/>
        </w:rPr>
        <w:t>。</w:t>
      </w:r>
    </w:p>
    <w:p>
      <w:pPr>
        <w:spacing w:line="360" w:lineRule="auto"/>
        <w:ind w:firstLine="480" w:firstLineChars="200"/>
        <w:rPr>
          <w:rFonts w:asciiTheme="minorEastAsia" w:hAnsiTheme="minorEastAsia" w:eastAsiaTheme="minorEastAsia"/>
          <w:szCs w:val="28"/>
        </w:rPr>
      </w:pPr>
      <w:r>
        <w:rPr>
          <w:rFonts w:hint="eastAsia" w:asciiTheme="minorEastAsia" w:hAnsiTheme="minorEastAsia" w:eastAsiaTheme="minorEastAsia"/>
          <w:szCs w:val="28"/>
        </w:rPr>
        <w:t>根据中华人民共和国工业和信息化部办公厅2022年11月下达的《关于印发2022年第三批行业标准制修订项目计划的通知》（工信厅科函〔2022〕312号），由建筑材料工业技术情报研究所、重庆大学、重庆河邦建材有限公司等单位作为标准负责起草单位组织《现浇混凝土空心结构用石膏模盒应用技术规程》（计划号2022-2042T-JC）行业标准的编制工作，起止时间为2022年12月至2024年12月。</w:t>
      </w:r>
    </w:p>
    <w:p>
      <w:pPr>
        <w:pStyle w:val="3"/>
      </w:pPr>
      <w:bookmarkStart w:id="4" w:name="_Toc17653"/>
      <w:bookmarkStart w:id="5" w:name="_Toc10048"/>
      <w:bookmarkStart w:id="6" w:name="_Toc26898"/>
      <w:r>
        <w:rPr>
          <w:rFonts w:hint="eastAsia"/>
        </w:rPr>
        <w:t>1</w:t>
      </w:r>
      <w:r>
        <w:t xml:space="preserve">.2 </w:t>
      </w:r>
      <w:r>
        <w:rPr>
          <w:rFonts w:hint="eastAsia"/>
        </w:rPr>
        <w:t>主要工作过程</w:t>
      </w:r>
      <w:bookmarkEnd w:id="4"/>
      <w:bookmarkEnd w:id="5"/>
      <w:bookmarkEnd w:id="6"/>
    </w:p>
    <w:p>
      <w:pPr>
        <w:spacing w:line="360" w:lineRule="auto"/>
        <w:ind w:firstLine="480" w:firstLineChars="200"/>
        <w:rPr>
          <w:rFonts w:asciiTheme="minorEastAsia" w:hAnsiTheme="minorEastAsia" w:eastAsiaTheme="minorEastAsia"/>
          <w:szCs w:val="28"/>
        </w:rPr>
      </w:pPr>
      <w:r>
        <w:rPr>
          <w:rFonts w:hint="eastAsia" w:asciiTheme="minorEastAsia" w:hAnsiTheme="minorEastAsia" w:eastAsiaTheme="minorEastAsia"/>
          <w:szCs w:val="28"/>
        </w:rPr>
        <w:t>编制单位在申请本标准前，首先对产品的行业状况和国内外相关标准文件进行了广泛调研分析，先后赴山东、江苏、四川、重庆等地区进行实地工程调研，与</w:t>
      </w:r>
      <w:r>
        <w:rPr>
          <w:rFonts w:hint="eastAsia" w:asciiTheme="minorEastAsia" w:hAnsiTheme="minorEastAsia" w:eastAsiaTheme="minorEastAsia"/>
          <w:szCs w:val="28"/>
          <w:lang w:val="en-US" w:eastAsia="zh-CN"/>
        </w:rPr>
        <w:t>重庆大学</w:t>
      </w:r>
      <w:r>
        <w:rPr>
          <w:rFonts w:hint="eastAsia" w:asciiTheme="minorEastAsia" w:hAnsiTheme="minorEastAsia" w:eastAsiaTheme="minorEastAsia"/>
          <w:szCs w:val="28"/>
        </w:rPr>
        <w:t>、</w:t>
      </w:r>
      <w:r>
        <w:rPr>
          <w:rFonts w:hint="eastAsia" w:asciiTheme="minorEastAsia" w:hAnsiTheme="minorEastAsia" w:eastAsiaTheme="minorEastAsia"/>
          <w:szCs w:val="28"/>
          <w:lang w:val="en-US" w:eastAsia="zh-CN"/>
        </w:rPr>
        <w:t>重庆</w:t>
      </w:r>
      <w:r>
        <w:rPr>
          <w:rFonts w:hint="eastAsia" w:asciiTheme="minorEastAsia" w:hAnsiTheme="minorEastAsia" w:eastAsiaTheme="minorEastAsia"/>
          <w:szCs w:val="28"/>
        </w:rPr>
        <w:t>河邦建材有限公司</w:t>
      </w:r>
      <w:r>
        <w:rPr>
          <w:rFonts w:hint="eastAsia" w:asciiTheme="minorEastAsia" w:hAnsiTheme="minorEastAsia" w:eastAsiaTheme="minorEastAsia"/>
          <w:szCs w:val="28"/>
          <w:lang w:eastAsia="zh-CN"/>
        </w:rPr>
        <w:t>、</w:t>
      </w:r>
      <w:r>
        <w:rPr>
          <w:rFonts w:hint="eastAsia" w:asciiTheme="minorEastAsia" w:hAnsiTheme="minorEastAsia" w:eastAsiaTheme="minorEastAsia"/>
          <w:szCs w:val="28"/>
        </w:rPr>
        <w:t>中建西部建设建材科学研究院有限公司等单位就标</w:t>
      </w:r>
      <w:r>
        <w:rPr>
          <w:rFonts w:hint="eastAsia" w:asciiTheme="minorEastAsia" w:hAnsiTheme="minorEastAsia" w:eastAsiaTheme="minorEastAsia"/>
          <w:color w:val="auto"/>
          <w:szCs w:val="28"/>
        </w:rPr>
        <w:t>准制定工作进行了充分的现</w:t>
      </w:r>
      <w:r>
        <w:rPr>
          <w:rFonts w:hint="eastAsia" w:asciiTheme="minorEastAsia" w:hAnsiTheme="minorEastAsia" w:eastAsiaTheme="minorEastAsia"/>
          <w:szCs w:val="28"/>
        </w:rPr>
        <w:t>场和线上交流。</w:t>
      </w:r>
    </w:p>
    <w:p>
      <w:pPr>
        <w:spacing w:line="360" w:lineRule="auto"/>
        <w:ind w:firstLine="480" w:firstLineChars="200"/>
        <w:rPr>
          <w:rFonts w:hint="eastAsia" w:ascii="宋体" w:hAnsi="宋体"/>
          <w:color w:val="auto"/>
        </w:rPr>
      </w:pPr>
      <w:r>
        <w:rPr>
          <w:rFonts w:hint="eastAsia" w:ascii="宋体" w:hAnsi="宋体"/>
          <w:color w:val="auto"/>
        </w:rPr>
        <w:t>202</w:t>
      </w:r>
      <w:r>
        <w:rPr>
          <w:rFonts w:hint="eastAsia" w:ascii="宋体" w:hAnsi="宋体"/>
          <w:color w:val="auto"/>
          <w:lang w:val="en-US" w:eastAsia="zh-CN"/>
        </w:rPr>
        <w:t>3</w:t>
      </w:r>
      <w:r>
        <w:rPr>
          <w:rFonts w:hint="eastAsia" w:ascii="宋体" w:hAnsi="宋体"/>
          <w:color w:val="auto"/>
        </w:rPr>
        <w:t>年</w:t>
      </w:r>
      <w:r>
        <w:rPr>
          <w:rFonts w:hint="eastAsia" w:ascii="宋体" w:hAnsi="宋体"/>
          <w:color w:val="auto"/>
          <w:lang w:val="en-US" w:eastAsia="zh-CN"/>
        </w:rPr>
        <w:t>3</w:t>
      </w:r>
      <w:r>
        <w:rPr>
          <w:rFonts w:hint="eastAsia" w:ascii="宋体" w:hAnsi="宋体"/>
          <w:color w:val="auto"/>
        </w:rPr>
        <w:t>月13日，编制组在北京召开了</w:t>
      </w:r>
      <w:r>
        <w:rPr>
          <w:rFonts w:hint="eastAsia" w:ascii="宋体" w:hAnsi="宋体"/>
          <w:color w:val="auto"/>
          <w:lang w:eastAsia="zh-CN"/>
        </w:rPr>
        <w:t>《</w:t>
      </w:r>
      <w:r>
        <w:rPr>
          <w:rFonts w:hint="eastAsia" w:ascii="宋体" w:hAnsi="宋体"/>
          <w:color w:val="auto"/>
        </w:rPr>
        <w:t>现浇混凝土空心结构用石膏模盒应用技术规程</w:t>
      </w:r>
      <w:r>
        <w:rPr>
          <w:rFonts w:hint="eastAsia" w:ascii="宋体" w:hAnsi="宋体"/>
          <w:color w:val="auto"/>
          <w:lang w:eastAsia="zh-CN"/>
        </w:rPr>
        <w:t>》</w:t>
      </w:r>
      <w:r>
        <w:rPr>
          <w:rFonts w:hint="eastAsia" w:ascii="宋体" w:hAnsi="宋体"/>
          <w:color w:val="auto"/>
        </w:rPr>
        <w:t>标准编制组成立暨标准制定首次工作线上会议，在本次会议上确定了本标准的工作计划及任务分工。首次工作会后，标准制定工作小组查阅了大量文献和相关标准，广泛征集</w:t>
      </w:r>
      <w:r>
        <w:rPr>
          <w:rFonts w:hint="eastAsia" w:ascii="宋体" w:hAnsi="宋体"/>
          <w:color w:val="auto"/>
          <w:lang w:val="en-US" w:eastAsia="zh-CN"/>
        </w:rPr>
        <w:t>石膏模盒</w:t>
      </w:r>
      <w:r>
        <w:rPr>
          <w:rFonts w:hint="eastAsia" w:ascii="宋体" w:hAnsi="宋体"/>
          <w:color w:val="auto"/>
        </w:rPr>
        <w:t>工程项目资料，并形成工作组讨论稿。</w:t>
      </w:r>
    </w:p>
    <w:p>
      <w:pPr>
        <w:spacing w:line="360" w:lineRule="auto"/>
        <w:ind w:firstLine="480" w:firstLineChars="200"/>
        <w:rPr>
          <w:rFonts w:hint="eastAsia" w:ascii="宋体" w:hAnsi="宋体"/>
          <w:color w:val="auto"/>
        </w:rPr>
      </w:pPr>
      <w:r>
        <w:rPr>
          <w:rFonts w:hint="eastAsia" w:ascii="宋体" w:hAnsi="宋体"/>
          <w:color w:val="auto"/>
        </w:rPr>
        <w:t>202</w:t>
      </w:r>
      <w:r>
        <w:rPr>
          <w:rFonts w:hint="eastAsia" w:ascii="宋体" w:hAnsi="宋体"/>
          <w:color w:val="auto"/>
          <w:lang w:val="en-US" w:eastAsia="zh-CN"/>
        </w:rPr>
        <w:t>3</w:t>
      </w:r>
      <w:r>
        <w:rPr>
          <w:rFonts w:hint="eastAsia" w:ascii="宋体" w:hAnsi="宋体"/>
          <w:color w:val="auto"/>
        </w:rPr>
        <w:t>年</w:t>
      </w:r>
      <w:r>
        <w:rPr>
          <w:rFonts w:hint="eastAsia" w:ascii="宋体" w:hAnsi="宋体"/>
          <w:color w:val="auto"/>
          <w:lang w:val="en-US" w:eastAsia="zh-CN"/>
        </w:rPr>
        <w:t>3</w:t>
      </w:r>
      <w:r>
        <w:rPr>
          <w:rFonts w:hint="eastAsia" w:ascii="宋体" w:hAnsi="宋体"/>
          <w:color w:val="auto"/>
        </w:rPr>
        <w:t>月-</w:t>
      </w:r>
      <w:r>
        <w:rPr>
          <w:rFonts w:hint="eastAsia" w:ascii="宋体" w:hAnsi="宋体"/>
          <w:color w:val="auto"/>
          <w:lang w:val="en-US" w:eastAsia="zh-CN"/>
        </w:rPr>
        <w:t>11</w:t>
      </w:r>
      <w:r>
        <w:rPr>
          <w:rFonts w:hint="eastAsia" w:ascii="宋体" w:hAnsi="宋体"/>
          <w:color w:val="auto"/>
        </w:rPr>
        <w:t>月，按照工作组讨论稿要求的验证项目和验收方法安排了试验验证，</w:t>
      </w:r>
      <w:r>
        <w:rPr>
          <w:rFonts w:hint="eastAsia" w:ascii="宋体" w:hAnsi="宋体"/>
          <w:color w:val="auto"/>
          <w:lang w:val="en-US" w:eastAsia="zh-CN"/>
        </w:rPr>
        <w:t>对</w:t>
      </w:r>
      <w:r>
        <w:rPr>
          <w:rFonts w:hint="eastAsia" w:ascii="宋体" w:hAnsi="宋体"/>
          <w:color w:val="auto"/>
        </w:rPr>
        <w:t>标准相关的</w:t>
      </w:r>
      <w:r>
        <w:rPr>
          <w:rFonts w:hint="eastAsia" w:ascii="宋体" w:hAnsi="宋体"/>
          <w:color w:val="auto"/>
          <w:lang w:val="en-US" w:eastAsia="zh-CN"/>
        </w:rPr>
        <w:t>产品指标和技术要求进行项目验证</w:t>
      </w:r>
      <w:r>
        <w:rPr>
          <w:rFonts w:hint="eastAsia" w:ascii="宋体" w:hAnsi="宋体"/>
          <w:color w:val="auto"/>
        </w:rPr>
        <w:t>。</w:t>
      </w:r>
    </w:p>
    <w:p>
      <w:pPr>
        <w:spacing w:line="360" w:lineRule="auto"/>
        <w:ind w:firstLine="480" w:firstLineChars="200"/>
        <w:rPr>
          <w:rFonts w:hint="eastAsia" w:ascii="宋体" w:hAnsi="宋体"/>
          <w:color w:val="auto"/>
        </w:rPr>
      </w:pPr>
      <w:r>
        <w:rPr>
          <w:rFonts w:hint="eastAsia" w:ascii="宋体" w:hAnsi="宋体"/>
          <w:color w:val="auto"/>
        </w:rPr>
        <w:t>202</w:t>
      </w:r>
      <w:r>
        <w:rPr>
          <w:rFonts w:hint="eastAsia" w:ascii="宋体" w:hAnsi="宋体"/>
          <w:color w:val="auto"/>
          <w:lang w:val="en-US" w:eastAsia="zh-CN"/>
        </w:rPr>
        <w:t>3</w:t>
      </w:r>
      <w:r>
        <w:rPr>
          <w:rFonts w:hint="eastAsia" w:ascii="宋体" w:hAnsi="宋体"/>
          <w:color w:val="auto"/>
        </w:rPr>
        <w:t>年</w:t>
      </w:r>
      <w:r>
        <w:rPr>
          <w:rFonts w:hint="eastAsia" w:ascii="宋体" w:hAnsi="宋体"/>
          <w:color w:val="auto"/>
          <w:lang w:val="en-US" w:eastAsia="zh-CN"/>
        </w:rPr>
        <w:t>11</w:t>
      </w:r>
      <w:r>
        <w:rPr>
          <w:rFonts w:hint="eastAsia" w:ascii="宋体" w:hAnsi="宋体"/>
          <w:color w:val="auto"/>
        </w:rPr>
        <w:t>月</w:t>
      </w:r>
      <w:r>
        <w:rPr>
          <w:rFonts w:hint="eastAsia" w:ascii="宋体" w:hAnsi="宋体"/>
          <w:color w:val="auto"/>
          <w:lang w:val="en-US" w:eastAsia="zh-CN"/>
        </w:rPr>
        <w:t>9</w:t>
      </w:r>
      <w:r>
        <w:rPr>
          <w:rFonts w:hint="eastAsia" w:ascii="宋体" w:hAnsi="宋体"/>
          <w:color w:val="auto"/>
        </w:rPr>
        <w:t>日，编制组在</w:t>
      </w:r>
      <w:r>
        <w:rPr>
          <w:rFonts w:hint="eastAsia" w:ascii="宋体" w:hAnsi="宋体"/>
          <w:color w:val="auto"/>
          <w:lang w:val="en-US" w:eastAsia="zh-CN"/>
        </w:rPr>
        <w:t>湖北省宜都市</w:t>
      </w:r>
      <w:r>
        <w:rPr>
          <w:rFonts w:hint="eastAsia" w:ascii="宋体" w:hAnsi="宋体"/>
          <w:color w:val="auto"/>
        </w:rPr>
        <w:t>主持召开</w:t>
      </w:r>
      <w:r>
        <w:rPr>
          <w:rFonts w:hint="eastAsia" w:ascii="宋体" w:hAnsi="宋体"/>
          <w:color w:val="auto"/>
          <w:lang w:eastAsia="zh-CN"/>
        </w:rPr>
        <w:t>《</w:t>
      </w:r>
      <w:r>
        <w:rPr>
          <w:rFonts w:hint="eastAsia" w:ascii="宋体" w:hAnsi="宋体"/>
          <w:color w:val="auto"/>
        </w:rPr>
        <w:t>现浇混凝土空心结构用石膏模盒应用技术规程</w:t>
      </w:r>
      <w:r>
        <w:rPr>
          <w:rFonts w:hint="eastAsia" w:ascii="宋体" w:hAnsi="宋体"/>
          <w:color w:val="auto"/>
          <w:lang w:eastAsia="zh-CN"/>
        </w:rPr>
        <w:t>》</w:t>
      </w:r>
      <w:r>
        <w:rPr>
          <w:rFonts w:hint="eastAsia" w:ascii="宋体" w:hAnsi="宋体"/>
          <w:color w:val="auto"/>
        </w:rPr>
        <w:t>标准制定的第二次工作会议，根据调研和试验论证情况对标准内容再次进行了修正。</w:t>
      </w:r>
    </w:p>
    <w:p>
      <w:pPr>
        <w:spacing w:line="360" w:lineRule="auto"/>
        <w:ind w:firstLine="480" w:firstLineChars="200"/>
        <w:rPr>
          <w:rFonts w:hint="default"/>
          <w:color w:val="auto"/>
          <w:lang w:val="en-US" w:eastAsia="zh-CN"/>
        </w:rPr>
      </w:pPr>
      <w:r>
        <w:rPr>
          <w:rFonts w:hint="eastAsia" w:ascii="宋体" w:hAnsi="宋体"/>
          <w:color w:val="auto"/>
        </w:rPr>
        <w:t>202</w:t>
      </w:r>
      <w:r>
        <w:rPr>
          <w:rFonts w:hint="eastAsia" w:ascii="宋体" w:hAnsi="宋体"/>
          <w:color w:val="auto"/>
          <w:lang w:val="en-US" w:eastAsia="zh-CN"/>
        </w:rPr>
        <w:t>3</w:t>
      </w:r>
      <w:r>
        <w:rPr>
          <w:rFonts w:hint="eastAsia" w:ascii="宋体" w:hAnsi="宋体"/>
          <w:color w:val="auto"/>
        </w:rPr>
        <w:t>年</w:t>
      </w:r>
      <w:r>
        <w:rPr>
          <w:rFonts w:hint="eastAsia" w:ascii="宋体" w:hAnsi="宋体"/>
          <w:color w:val="auto"/>
          <w:lang w:val="en-US" w:eastAsia="zh-CN"/>
        </w:rPr>
        <w:t>11</w:t>
      </w:r>
      <w:r>
        <w:rPr>
          <w:rFonts w:hint="eastAsia" w:ascii="宋体" w:hAnsi="宋体"/>
          <w:color w:val="auto"/>
        </w:rPr>
        <w:t>月-202</w:t>
      </w:r>
      <w:r>
        <w:rPr>
          <w:rFonts w:hint="eastAsia" w:ascii="宋体" w:hAnsi="宋体"/>
          <w:color w:val="auto"/>
          <w:lang w:val="en-US" w:eastAsia="zh-CN"/>
        </w:rPr>
        <w:t>4</w:t>
      </w:r>
      <w:r>
        <w:rPr>
          <w:rFonts w:hint="eastAsia" w:ascii="宋体" w:hAnsi="宋体"/>
          <w:color w:val="auto"/>
        </w:rPr>
        <w:t>年</w:t>
      </w:r>
      <w:r>
        <w:rPr>
          <w:rFonts w:hint="eastAsia" w:ascii="宋体" w:hAnsi="宋体"/>
          <w:color w:val="auto"/>
          <w:lang w:val="en-US" w:eastAsia="zh-CN"/>
        </w:rPr>
        <w:t>5</w:t>
      </w:r>
      <w:r>
        <w:rPr>
          <w:rFonts w:hint="eastAsia" w:ascii="宋体" w:hAnsi="宋体"/>
          <w:color w:val="auto"/>
        </w:rPr>
        <w:t>月，根据第二次工作会议的讨论情况进行补充实验和项目调研，形成征求意见稿。</w:t>
      </w:r>
    </w:p>
    <w:p>
      <w:pPr>
        <w:pStyle w:val="3"/>
        <w:rPr>
          <w:rFonts w:hint="eastAsia"/>
        </w:rPr>
      </w:pPr>
      <w:bookmarkStart w:id="7" w:name="_Toc62746576"/>
      <w:bookmarkStart w:id="8" w:name="_Toc58860064"/>
      <w:r>
        <w:rPr>
          <w:rFonts w:hint="eastAsia"/>
          <w:lang w:val="en-US" w:eastAsia="zh-CN"/>
        </w:rPr>
        <w:t>1.3</w:t>
      </w:r>
      <w:r>
        <w:rPr>
          <w:rFonts w:hint="eastAsia"/>
        </w:rPr>
        <w:t>主要参加单位及工作组成员及其所做工作</w:t>
      </w:r>
      <w:bookmarkEnd w:id="7"/>
      <w:bookmarkEnd w:id="8"/>
    </w:p>
    <w:p>
      <w:pPr>
        <w:ind w:firstLine="480" w:firstLineChars="200"/>
        <w:rPr>
          <w:rFonts w:hint="eastAsia" w:eastAsia="宋体"/>
          <w:lang w:val="en-US" w:eastAsia="zh-CN"/>
        </w:rPr>
      </w:pPr>
      <w:r>
        <w:rPr>
          <w:rFonts w:hint="eastAsia"/>
          <w:lang w:val="en-US" w:eastAsia="zh-CN"/>
        </w:rPr>
        <w:t>暂略。</w:t>
      </w:r>
    </w:p>
    <w:p>
      <w:pPr>
        <w:pStyle w:val="2"/>
      </w:pPr>
      <w:bookmarkStart w:id="9" w:name="_Toc13592"/>
      <w:r>
        <w:rPr>
          <w:rFonts w:hint="eastAsia"/>
        </w:rPr>
        <w:t>2</w:t>
      </w:r>
      <w:r>
        <w:t xml:space="preserve"> </w:t>
      </w:r>
      <w:r>
        <w:rPr>
          <w:rFonts w:hint="eastAsia"/>
        </w:rPr>
        <w:t>标准编制的原则和主要内容</w:t>
      </w:r>
      <w:bookmarkEnd w:id="9"/>
    </w:p>
    <w:p>
      <w:pPr>
        <w:pStyle w:val="3"/>
      </w:pPr>
      <w:bookmarkStart w:id="10" w:name="_Toc31873"/>
      <w:bookmarkStart w:id="11" w:name="_Toc10867"/>
      <w:bookmarkStart w:id="12" w:name="_Toc21223"/>
      <w:r>
        <w:rPr>
          <w:rFonts w:hint="eastAsia"/>
        </w:rPr>
        <w:t>2</w:t>
      </w:r>
      <w:r>
        <w:t xml:space="preserve">.1 </w:t>
      </w:r>
      <w:r>
        <w:rPr>
          <w:rFonts w:hint="eastAsia"/>
        </w:rPr>
        <w:t>标准制定的原则</w:t>
      </w:r>
      <w:bookmarkEnd w:id="10"/>
      <w:bookmarkEnd w:id="11"/>
      <w:bookmarkEnd w:id="12"/>
    </w:p>
    <w:p>
      <w:pPr>
        <w:spacing w:line="360" w:lineRule="auto"/>
        <w:ind w:firstLine="480" w:firstLineChars="200"/>
        <w:rPr>
          <w:rFonts w:hint="eastAsia" w:ascii="宋体" w:hAnsi="宋体"/>
        </w:rPr>
      </w:pPr>
      <w:r>
        <w:rPr>
          <w:rFonts w:hint="eastAsia" w:asciiTheme="minorEastAsia" w:hAnsiTheme="minorEastAsia" w:eastAsiaTheme="minorEastAsia"/>
          <w:szCs w:val="28"/>
        </w:rPr>
        <w:t>本标准按照建标[2008]182号《工程建设标准编写规定》给出的规则起草。遵从以下规则：（1）</w:t>
      </w:r>
      <w:r>
        <w:rPr>
          <w:rFonts w:hint="eastAsia" w:ascii="宋体" w:hAnsi="宋体"/>
        </w:rPr>
        <w:t>贯彻执行国家的政策、法规，与现行其他国家标准协调一致的原则；（2）技术指标制定先进可行、规范合理的原则；（3）标准制定促进行业健康发展和产品推广的原则。</w:t>
      </w:r>
    </w:p>
    <w:p>
      <w:pPr>
        <w:pStyle w:val="38"/>
        <w:spacing w:line="360" w:lineRule="auto"/>
        <w:ind w:firstLineChars="0"/>
        <w:rPr>
          <w:rFonts w:hAnsi="宋体"/>
          <w:b w:val="0"/>
          <w:bCs w:val="0"/>
          <w:kern w:val="2"/>
          <w:sz w:val="24"/>
          <w:szCs w:val="24"/>
        </w:rPr>
      </w:pPr>
      <w:r>
        <w:rPr>
          <w:rFonts w:hint="eastAsia" w:asciiTheme="minorEastAsia" w:hAnsiTheme="minorEastAsia" w:eastAsiaTheme="minorEastAsia"/>
          <w:sz w:val="24"/>
          <w:szCs w:val="24"/>
        </w:rPr>
        <w:t>标准制定过程中</w:t>
      </w:r>
      <w:r>
        <w:rPr>
          <w:rFonts w:hint="eastAsia" w:ascii="宋体" w:hAnsi="宋体"/>
          <w:sz w:val="24"/>
          <w:szCs w:val="24"/>
        </w:rPr>
        <w:t>参考了各生产企业标准，试验方法主要采用现行的国家标准和行业标准，以保证标准中技术指标的准确性、科学性与可比性，各项指标值在满足工程要求的前提下根据各生产企业试样试验验证结果确定。</w:t>
      </w:r>
      <w:r>
        <w:rPr>
          <w:rFonts w:hint="eastAsia" w:hAnsi="宋体"/>
          <w:b w:val="0"/>
          <w:bCs w:val="0"/>
          <w:kern w:val="2"/>
          <w:sz w:val="24"/>
          <w:szCs w:val="24"/>
        </w:rPr>
        <w:t>具体编制过程中，也遵循下列的原则：</w:t>
      </w:r>
    </w:p>
    <w:p>
      <w:pPr>
        <w:tabs>
          <w:tab w:val="center" w:pos="4201"/>
          <w:tab w:val="right" w:leader="dot" w:pos="9298"/>
        </w:tabs>
        <w:autoSpaceDE w:val="0"/>
        <w:autoSpaceDN w:val="0"/>
        <w:spacing w:line="360" w:lineRule="auto"/>
        <w:ind w:firstLine="420"/>
        <w:jc w:val="both"/>
        <w:rPr>
          <w:rFonts w:ascii="宋体" w:hAnsi="宋体" w:eastAsia="宋体" w:cs="Times New Roman"/>
          <w:b w:val="0"/>
          <w:bCs w:val="0"/>
          <w:kern w:val="2"/>
          <w:sz w:val="24"/>
          <w:szCs w:val="28"/>
          <w:lang w:val="en-US" w:eastAsia="zh-CN" w:bidi="ar-SA"/>
        </w:rPr>
      </w:pPr>
      <w:r>
        <w:rPr>
          <w:rFonts w:hint="eastAsia" w:ascii="宋体" w:hAnsi="Calibri" w:eastAsia="宋体" w:cs="Times New Roman"/>
          <w:b w:val="0"/>
          <w:bCs w:val="0"/>
          <w:kern w:val="2"/>
          <w:sz w:val="24"/>
          <w:szCs w:val="24"/>
          <w:lang w:val="en-US" w:eastAsia="zh-CN" w:bidi="ar-SA"/>
        </w:rPr>
        <w:t>（</w:t>
      </w:r>
      <w:r>
        <w:rPr>
          <w:rFonts w:hint="eastAsia" w:ascii="宋体" w:hAnsi="宋体" w:eastAsia="宋体" w:cs="Times New Roman"/>
          <w:b w:val="0"/>
          <w:bCs w:val="0"/>
          <w:kern w:val="2"/>
          <w:sz w:val="24"/>
          <w:szCs w:val="28"/>
          <w:lang w:val="en-US" w:eastAsia="zh-CN" w:bidi="ar-SA"/>
        </w:rPr>
        <w:t>1）理论性和实用性相结合，深入和浅出，具有可操作性；</w:t>
      </w:r>
    </w:p>
    <w:p>
      <w:pPr>
        <w:tabs>
          <w:tab w:val="center" w:pos="4201"/>
          <w:tab w:val="right" w:leader="dot" w:pos="9298"/>
        </w:tabs>
        <w:autoSpaceDE w:val="0"/>
        <w:autoSpaceDN w:val="0"/>
        <w:spacing w:line="360" w:lineRule="auto"/>
        <w:ind w:firstLine="420"/>
        <w:jc w:val="both"/>
        <w:rPr>
          <w:rFonts w:ascii="宋体" w:hAnsi="宋体" w:eastAsia="宋体" w:cs="Times New Roman"/>
          <w:b w:val="0"/>
          <w:bCs w:val="0"/>
          <w:kern w:val="2"/>
          <w:sz w:val="24"/>
          <w:szCs w:val="28"/>
          <w:lang w:val="en-US" w:eastAsia="zh-CN" w:bidi="ar-SA"/>
        </w:rPr>
      </w:pPr>
      <w:r>
        <w:rPr>
          <w:rFonts w:hint="eastAsia" w:ascii="宋体" w:hAnsi="Calibri" w:eastAsia="宋体" w:cs="Times New Roman"/>
          <w:b w:val="0"/>
          <w:bCs w:val="0"/>
          <w:kern w:val="2"/>
          <w:sz w:val="24"/>
          <w:szCs w:val="24"/>
          <w:lang w:val="en-US" w:eastAsia="zh-CN" w:bidi="ar-SA"/>
        </w:rPr>
        <w:t>（</w:t>
      </w:r>
      <w:r>
        <w:rPr>
          <w:rFonts w:hint="eastAsia" w:ascii="宋体" w:hAnsi="宋体" w:eastAsia="宋体" w:cs="Times New Roman"/>
          <w:b w:val="0"/>
          <w:bCs w:val="0"/>
          <w:kern w:val="2"/>
          <w:sz w:val="24"/>
          <w:szCs w:val="28"/>
          <w:lang w:val="en-US" w:eastAsia="zh-CN" w:bidi="ar-SA"/>
        </w:rPr>
        <w:t>2）通过检测机构检测，明确</w:t>
      </w:r>
      <w:r>
        <w:rPr>
          <w:rFonts w:hint="eastAsia" w:ascii="宋体" w:hAnsi="宋体" w:cs="Times New Roman"/>
          <w:b w:val="0"/>
          <w:bCs w:val="0"/>
          <w:kern w:val="2"/>
          <w:sz w:val="24"/>
          <w:szCs w:val="28"/>
          <w:lang w:val="en-US" w:eastAsia="zh-CN" w:bidi="ar-SA"/>
        </w:rPr>
        <w:t>石膏模盒产品符合JC</w:t>
      </w:r>
      <w:r>
        <w:rPr>
          <w:rFonts w:hint="eastAsia" w:ascii="宋体" w:hAnsi="宋体" w:cs="Times New Roman"/>
          <w:b w:val="0"/>
          <w:bCs w:val="0"/>
          <w:kern w:val="2"/>
          <w:sz w:val="24"/>
          <w:szCs w:val="28"/>
          <w:lang w:val="en-US" w:eastAsia="zh-CN" w:bidi="ar-SA"/>
        </w:rPr>
        <w:tab/>
      </w:r>
      <w:r>
        <w:rPr>
          <w:rFonts w:hint="eastAsia" w:ascii="宋体" w:hAnsi="宋体" w:cs="Times New Roman"/>
          <w:b w:val="0"/>
          <w:bCs w:val="0"/>
          <w:kern w:val="2"/>
          <w:sz w:val="24"/>
          <w:szCs w:val="28"/>
          <w:lang w:val="en-US" w:eastAsia="zh-CN" w:bidi="ar-SA"/>
        </w:rPr>
        <w:t>/T 2472-2018《现浇混凝土空心结构用石膏模盒》的要求</w:t>
      </w:r>
      <w:r>
        <w:rPr>
          <w:rFonts w:hint="eastAsia" w:ascii="宋体" w:hAnsi="宋体" w:eastAsia="宋体" w:cs="Times New Roman"/>
          <w:b w:val="0"/>
          <w:bCs w:val="0"/>
          <w:kern w:val="2"/>
          <w:sz w:val="24"/>
          <w:szCs w:val="28"/>
          <w:lang w:val="en-US" w:eastAsia="zh-CN" w:bidi="ar-SA"/>
        </w:rPr>
        <w:t>；</w:t>
      </w:r>
    </w:p>
    <w:p>
      <w:pPr>
        <w:tabs>
          <w:tab w:val="center" w:pos="4201"/>
          <w:tab w:val="right" w:leader="dot" w:pos="9298"/>
        </w:tabs>
        <w:autoSpaceDE w:val="0"/>
        <w:autoSpaceDN w:val="0"/>
        <w:spacing w:line="360" w:lineRule="auto"/>
        <w:ind w:firstLine="420"/>
        <w:jc w:val="both"/>
        <w:rPr>
          <w:rFonts w:ascii="宋体" w:hAnsi="宋体" w:eastAsia="宋体" w:cs="Times New Roman"/>
          <w:b w:val="0"/>
          <w:bCs w:val="0"/>
          <w:kern w:val="2"/>
          <w:sz w:val="24"/>
          <w:szCs w:val="28"/>
          <w:lang w:val="en-US" w:eastAsia="zh-CN" w:bidi="ar-SA"/>
        </w:rPr>
      </w:pPr>
      <w:r>
        <w:rPr>
          <w:rFonts w:hint="eastAsia" w:ascii="宋体" w:hAnsi="Calibri" w:eastAsia="宋体" w:cs="Times New Roman"/>
          <w:b w:val="0"/>
          <w:bCs w:val="0"/>
          <w:kern w:val="2"/>
          <w:sz w:val="24"/>
          <w:szCs w:val="24"/>
          <w:lang w:val="en-US" w:eastAsia="zh-CN" w:bidi="ar-SA"/>
        </w:rPr>
        <w:t>（</w:t>
      </w:r>
      <w:r>
        <w:rPr>
          <w:rFonts w:hint="eastAsia" w:ascii="宋体" w:hAnsi="宋体" w:eastAsia="宋体" w:cs="Times New Roman"/>
          <w:b w:val="0"/>
          <w:bCs w:val="0"/>
          <w:kern w:val="2"/>
          <w:sz w:val="24"/>
          <w:szCs w:val="28"/>
          <w:lang w:val="en-US" w:eastAsia="zh-CN" w:bidi="ar-SA"/>
        </w:rPr>
        <w:t>3）将已有的成熟的应用技术纳入本标准，尚不成熟的应用技术暂不涉及；</w:t>
      </w:r>
    </w:p>
    <w:p>
      <w:pPr>
        <w:tabs>
          <w:tab w:val="center" w:pos="4201"/>
          <w:tab w:val="right" w:leader="dot" w:pos="9298"/>
        </w:tabs>
        <w:autoSpaceDE w:val="0"/>
        <w:autoSpaceDN w:val="0"/>
        <w:spacing w:line="360" w:lineRule="auto"/>
        <w:ind w:firstLine="420"/>
        <w:jc w:val="both"/>
        <w:rPr>
          <w:rFonts w:ascii="宋体" w:hAnsi="宋体" w:eastAsia="宋体" w:cs="Times New Roman"/>
          <w:b w:val="0"/>
          <w:bCs w:val="0"/>
          <w:kern w:val="2"/>
          <w:sz w:val="24"/>
          <w:szCs w:val="28"/>
          <w:lang w:val="en-US" w:eastAsia="zh-CN" w:bidi="ar-SA"/>
        </w:rPr>
      </w:pPr>
      <w:r>
        <w:rPr>
          <w:rFonts w:hint="eastAsia" w:ascii="宋体" w:hAnsi="Calibri" w:eastAsia="宋体" w:cs="Times New Roman"/>
          <w:b w:val="0"/>
          <w:bCs w:val="0"/>
          <w:kern w:val="2"/>
          <w:sz w:val="24"/>
          <w:szCs w:val="24"/>
          <w:lang w:val="en-US" w:eastAsia="zh-CN" w:bidi="ar-SA"/>
        </w:rPr>
        <w:t>（</w:t>
      </w:r>
      <w:r>
        <w:rPr>
          <w:rFonts w:hint="eastAsia" w:ascii="宋体" w:hAnsi="宋体" w:cs="Times New Roman"/>
          <w:b w:val="0"/>
          <w:bCs w:val="0"/>
          <w:kern w:val="2"/>
          <w:sz w:val="24"/>
          <w:szCs w:val="28"/>
          <w:lang w:val="en-US" w:eastAsia="zh-CN" w:bidi="ar-SA"/>
        </w:rPr>
        <w:t>4</w:t>
      </w:r>
      <w:r>
        <w:rPr>
          <w:rFonts w:hint="eastAsia" w:ascii="宋体" w:hAnsi="宋体" w:eastAsia="宋体" w:cs="Times New Roman"/>
          <w:b w:val="0"/>
          <w:bCs w:val="0"/>
          <w:kern w:val="2"/>
          <w:sz w:val="24"/>
          <w:szCs w:val="28"/>
          <w:lang w:val="en-US" w:eastAsia="zh-CN" w:bidi="ar-SA"/>
        </w:rPr>
        <w:t>）针对</w:t>
      </w:r>
      <w:r>
        <w:rPr>
          <w:rFonts w:hint="eastAsia" w:ascii="宋体" w:hAnsi="宋体" w:cs="Times New Roman"/>
          <w:b w:val="0"/>
          <w:bCs w:val="0"/>
          <w:kern w:val="2"/>
          <w:sz w:val="24"/>
          <w:szCs w:val="28"/>
          <w:lang w:val="en-US" w:eastAsia="zh-CN" w:bidi="ar-SA"/>
        </w:rPr>
        <w:t>石膏模盒</w:t>
      </w:r>
      <w:r>
        <w:rPr>
          <w:rFonts w:hint="eastAsia" w:ascii="宋体" w:hAnsi="宋体" w:eastAsia="宋体" w:cs="Times New Roman"/>
          <w:b w:val="0"/>
          <w:bCs w:val="0"/>
          <w:kern w:val="2"/>
          <w:sz w:val="24"/>
          <w:szCs w:val="28"/>
          <w:lang w:val="en-US" w:eastAsia="zh-CN" w:bidi="ar-SA"/>
        </w:rPr>
        <w:t>作为石膏基建材的特殊性，本标准编制过程中广泛采纳施工单位在实践过程中积累的先进施工技巧和重点工程质量控制要点；</w:t>
      </w:r>
    </w:p>
    <w:p>
      <w:pPr>
        <w:spacing w:line="360" w:lineRule="auto"/>
        <w:ind w:firstLine="480" w:firstLineChars="200"/>
      </w:pPr>
      <w:r>
        <w:rPr>
          <w:rFonts w:hint="eastAsia" w:ascii="宋体" w:hAnsi="Calibri" w:eastAsia="宋体" w:cs="Times New Roman"/>
          <w:b w:val="0"/>
          <w:bCs w:val="0"/>
          <w:kern w:val="2"/>
          <w:sz w:val="24"/>
          <w:szCs w:val="24"/>
          <w:lang w:val="en-US" w:eastAsia="zh-CN" w:bidi="ar-SA"/>
        </w:rPr>
        <w:t>（</w:t>
      </w:r>
      <w:r>
        <w:rPr>
          <w:rFonts w:hint="eastAsia" w:ascii="宋体" w:hAnsi="Calibri" w:cs="Times New Roman"/>
          <w:b w:val="0"/>
          <w:bCs w:val="0"/>
          <w:kern w:val="2"/>
          <w:sz w:val="24"/>
          <w:szCs w:val="24"/>
          <w:lang w:val="en-US" w:eastAsia="zh-CN" w:bidi="ar-SA"/>
        </w:rPr>
        <w:t>5</w:t>
      </w:r>
      <w:r>
        <w:rPr>
          <w:rFonts w:hint="eastAsia" w:ascii="宋体" w:hAnsi="宋体" w:eastAsia="宋体" w:cs="Times New Roman"/>
          <w:b w:val="0"/>
          <w:bCs w:val="0"/>
          <w:kern w:val="2"/>
          <w:sz w:val="24"/>
          <w:szCs w:val="28"/>
          <w:lang w:val="en-US" w:eastAsia="zh-CN" w:bidi="ar-SA"/>
        </w:rPr>
        <w:t>）本</w:t>
      </w:r>
      <w:r>
        <w:rPr>
          <w:rFonts w:hint="eastAsia" w:ascii="宋体" w:hAnsi="宋体" w:cs="Times New Roman"/>
          <w:b w:val="0"/>
          <w:bCs w:val="0"/>
          <w:kern w:val="2"/>
          <w:sz w:val="24"/>
          <w:szCs w:val="28"/>
          <w:lang w:val="en-US" w:eastAsia="zh-CN" w:bidi="ar-SA"/>
        </w:rPr>
        <w:t>标准</w:t>
      </w:r>
      <w:r>
        <w:rPr>
          <w:rFonts w:hint="eastAsia" w:ascii="宋体" w:hAnsi="宋体" w:eastAsia="宋体" w:cs="Times New Roman"/>
          <w:b w:val="0"/>
          <w:bCs w:val="0"/>
          <w:kern w:val="2"/>
          <w:sz w:val="24"/>
          <w:szCs w:val="28"/>
          <w:lang w:val="en-US" w:eastAsia="zh-CN" w:bidi="ar-SA"/>
        </w:rPr>
        <w:t>除了为</w:t>
      </w:r>
      <w:r>
        <w:rPr>
          <w:rFonts w:hint="eastAsia" w:ascii="宋体" w:hAnsi="宋体" w:cs="Times New Roman"/>
          <w:b w:val="0"/>
          <w:bCs w:val="0"/>
          <w:kern w:val="2"/>
          <w:sz w:val="24"/>
          <w:szCs w:val="28"/>
          <w:lang w:val="en-US" w:eastAsia="zh-CN" w:bidi="ar-SA"/>
        </w:rPr>
        <w:t>石膏模盒</w:t>
      </w:r>
      <w:r>
        <w:rPr>
          <w:rFonts w:hint="eastAsia" w:ascii="宋体" w:hAnsi="宋体" w:eastAsia="宋体" w:cs="Times New Roman"/>
          <w:b w:val="0"/>
          <w:bCs w:val="0"/>
          <w:kern w:val="2"/>
          <w:sz w:val="24"/>
          <w:szCs w:val="28"/>
          <w:lang w:val="en-US" w:eastAsia="zh-CN" w:bidi="ar-SA"/>
        </w:rPr>
        <w:t>的应用提供科学性外，尚应注意规程的操作性和易用性。</w:t>
      </w:r>
    </w:p>
    <w:p>
      <w:pPr>
        <w:pStyle w:val="3"/>
      </w:pPr>
      <w:bookmarkStart w:id="13" w:name="_Toc14799"/>
      <w:bookmarkStart w:id="14" w:name="_Toc10407"/>
      <w:bookmarkStart w:id="15" w:name="_Toc11703"/>
      <w:r>
        <w:t xml:space="preserve">2.2 </w:t>
      </w:r>
      <w:r>
        <w:rPr>
          <w:rFonts w:hint="eastAsia"/>
        </w:rPr>
        <w:t>标准的主要内容</w:t>
      </w:r>
      <w:bookmarkEnd w:id="13"/>
      <w:bookmarkEnd w:id="14"/>
      <w:bookmarkEnd w:id="15"/>
      <w:r>
        <w:tab/>
      </w:r>
    </w:p>
    <w:p>
      <w:pPr>
        <w:pStyle w:val="4"/>
      </w:pPr>
      <w:bookmarkStart w:id="16" w:name="_Toc5171"/>
      <w:bookmarkStart w:id="17" w:name="_Toc2657"/>
      <w:bookmarkStart w:id="18" w:name="_Toc11036"/>
      <w:r>
        <w:rPr>
          <w:rFonts w:hint="eastAsia"/>
        </w:rPr>
        <w:t xml:space="preserve">2.2.1 </w:t>
      </w:r>
      <w:bookmarkEnd w:id="16"/>
      <w:r>
        <w:rPr>
          <w:rFonts w:hint="eastAsia"/>
        </w:rPr>
        <w:t>总则</w:t>
      </w:r>
      <w:bookmarkEnd w:id="17"/>
      <w:bookmarkEnd w:id="18"/>
    </w:p>
    <w:p>
      <w:pPr>
        <w:spacing w:line="360" w:lineRule="auto"/>
        <w:ind w:firstLine="480"/>
        <w:rPr>
          <w:rFonts w:ascii="宋体" w:hAnsi="宋体"/>
        </w:rPr>
      </w:pPr>
      <w:r>
        <w:rPr>
          <w:rFonts w:hint="eastAsia" w:ascii="宋体" w:hAnsi="宋体"/>
        </w:rPr>
        <w:t>制定本标准的目的，是为了统一</w:t>
      </w:r>
      <w:r>
        <w:rPr>
          <w:rFonts w:hint="eastAsia" w:ascii="宋体" w:hAnsi="宋体"/>
          <w:lang w:eastAsia="zh-CN"/>
        </w:rPr>
        <w:t>石膏模盒</w:t>
      </w:r>
      <w:r>
        <w:rPr>
          <w:rFonts w:hint="eastAsia" w:ascii="宋体" w:hAnsi="宋体"/>
        </w:rPr>
        <w:t>墙体工程的质量，保证安全使用。本标准适用范围规定为适用于抗震设防烈度为8度及8度以下地区的工业与民用建筑中，采用</w:t>
      </w:r>
      <w:r>
        <w:rPr>
          <w:rFonts w:hint="eastAsia" w:ascii="宋体" w:hAnsi="宋体"/>
          <w:lang w:eastAsia="zh-CN"/>
        </w:rPr>
        <w:t>石膏模盒</w:t>
      </w:r>
      <w:r>
        <w:rPr>
          <w:rFonts w:hint="eastAsia" w:ascii="宋体" w:hAnsi="宋体"/>
        </w:rPr>
        <w:t>作为非承重内隔墙工程的构造设计、施工和质量验收。</w:t>
      </w:r>
    </w:p>
    <w:p>
      <w:pPr>
        <w:spacing w:line="360" w:lineRule="auto"/>
        <w:ind w:firstLine="480"/>
        <w:rPr>
          <w:rFonts w:ascii="宋体" w:hAnsi="宋体"/>
        </w:rPr>
      </w:pPr>
      <w:r>
        <w:rPr>
          <w:rFonts w:hint="eastAsia" w:ascii="宋体" w:hAnsi="宋体"/>
        </w:rPr>
        <w:t>为了保证</w:t>
      </w:r>
      <w:r>
        <w:rPr>
          <w:rFonts w:hint="eastAsia" w:ascii="宋体" w:hAnsi="宋体"/>
          <w:lang w:eastAsia="zh-CN"/>
        </w:rPr>
        <w:t>石膏模盒</w:t>
      </w:r>
      <w:r>
        <w:rPr>
          <w:rFonts w:hint="eastAsia" w:ascii="宋体" w:hAnsi="宋体"/>
        </w:rPr>
        <w:t>墙体的工程质量，必须全面执行国家现行有关标准的规定，例如：GB 50011《建筑抗震设计规范》、GB 50016《建筑设计防火规范》、GB 50118《民用建筑隔声设计规范》、GB 50176《民用建筑热工设计规范》、GB 50210《建筑装饰装修工程质量验收规范》、GB 50300《建筑工程施工质量验收统一标准》等。</w:t>
      </w:r>
    </w:p>
    <w:p>
      <w:pPr>
        <w:pStyle w:val="4"/>
        <w:rPr>
          <w:rFonts w:hint="eastAsia" w:eastAsia="宋体"/>
          <w:color w:val="auto"/>
          <w:lang w:val="en-US" w:eastAsia="zh-CN"/>
        </w:rPr>
      </w:pPr>
      <w:bookmarkStart w:id="19" w:name="_Toc17735"/>
      <w:bookmarkStart w:id="20" w:name="_Toc20897"/>
      <w:bookmarkStart w:id="21" w:name="_Toc30188"/>
      <w:r>
        <w:rPr>
          <w:rFonts w:hint="eastAsia"/>
          <w:color w:val="auto"/>
        </w:rPr>
        <w:t xml:space="preserve">2.2.2 </w:t>
      </w:r>
      <w:bookmarkEnd w:id="19"/>
      <w:r>
        <w:rPr>
          <w:rFonts w:hint="eastAsia"/>
          <w:color w:val="auto"/>
        </w:rPr>
        <w:t>术语</w:t>
      </w:r>
      <w:bookmarkEnd w:id="20"/>
      <w:bookmarkEnd w:id="21"/>
      <w:r>
        <w:rPr>
          <w:rFonts w:hint="eastAsia"/>
          <w:color w:val="auto"/>
          <w:lang w:val="en-US" w:eastAsia="zh-CN"/>
        </w:rPr>
        <w:t>和符号</w:t>
      </w:r>
    </w:p>
    <w:p>
      <w:pPr>
        <w:spacing w:line="360" w:lineRule="auto"/>
        <w:ind w:firstLine="480" w:firstLineChars="200"/>
        <w:rPr>
          <w:rFonts w:hint="default" w:ascii="宋体" w:hAnsi="宋体"/>
          <w:color w:val="auto"/>
          <w:lang w:val="en-US"/>
        </w:rPr>
      </w:pPr>
      <w:r>
        <w:rPr>
          <w:rFonts w:hint="eastAsia" w:ascii="宋体" w:hAnsi="宋体"/>
          <w:color w:val="auto"/>
        </w:rPr>
        <w:t>本</w:t>
      </w:r>
      <w:r>
        <w:rPr>
          <w:rFonts w:hint="eastAsia" w:ascii="宋体" w:hAnsi="宋体"/>
          <w:color w:val="auto"/>
          <w:lang w:val="en-US" w:eastAsia="zh-CN"/>
        </w:rPr>
        <w:t>章</w:t>
      </w:r>
      <w:r>
        <w:rPr>
          <w:rFonts w:hint="eastAsia" w:ascii="宋体" w:hAnsi="宋体"/>
          <w:color w:val="auto"/>
        </w:rPr>
        <w:t>给出了本规程所用到的</w:t>
      </w:r>
      <w:r>
        <w:rPr>
          <w:rFonts w:hint="eastAsia" w:ascii="宋体" w:hAnsi="宋体"/>
          <w:color w:val="auto"/>
          <w:lang w:val="en-US" w:eastAsia="zh-CN"/>
        </w:rPr>
        <w:t>术语和</w:t>
      </w:r>
      <w:r>
        <w:rPr>
          <w:rFonts w:hint="eastAsia" w:ascii="宋体" w:hAnsi="宋体"/>
          <w:color w:val="auto"/>
        </w:rPr>
        <w:t>主要符号</w:t>
      </w:r>
      <w:r>
        <w:rPr>
          <w:rFonts w:hint="eastAsia" w:ascii="宋体" w:hAnsi="宋体"/>
          <w:color w:val="auto"/>
          <w:lang w:eastAsia="zh-CN"/>
        </w:rPr>
        <w:t>，</w:t>
      </w:r>
      <w:r>
        <w:rPr>
          <w:rFonts w:hint="eastAsia"/>
          <w:color w:val="auto"/>
          <w:szCs w:val="21"/>
          <w:lang w:val="en-US" w:eastAsia="zh-CN"/>
        </w:rPr>
        <w:t>以</w:t>
      </w:r>
      <w:r>
        <w:rPr>
          <w:rFonts w:hint="eastAsia" w:ascii="宋体" w:hAnsi="宋体"/>
          <w:color w:val="auto"/>
        </w:rPr>
        <w:t>突出石膏模盒现浇混凝土空心楼盖的应用</w:t>
      </w:r>
      <w:r>
        <w:rPr>
          <w:rFonts w:hint="eastAsia" w:ascii="宋体" w:hAnsi="宋体"/>
          <w:color w:val="auto"/>
          <w:lang w:eastAsia="zh-CN"/>
        </w:rPr>
        <w:t>。</w:t>
      </w:r>
      <w:r>
        <w:rPr>
          <w:rFonts w:hint="eastAsia"/>
          <w:color w:val="auto"/>
          <w:szCs w:val="21"/>
          <w:lang w:val="en-US" w:eastAsia="zh-CN"/>
        </w:rPr>
        <w:t>主要术语包括“石膏模盒、石膏模盒现浇混凝土空心楼盖结构、柔性支承楼盖、刚性支承楼盖”等基本结构定义，以及施工中涉及的“肋梁、翼缘厚度、等代空间框架法、密肋梁、归并梁、节点内核芯区、节点外核芯区”等专业术语。</w:t>
      </w:r>
    </w:p>
    <w:p>
      <w:pPr>
        <w:pStyle w:val="4"/>
        <w:rPr>
          <w:color w:val="auto"/>
        </w:rPr>
      </w:pPr>
      <w:bookmarkStart w:id="22" w:name="_Toc19410"/>
      <w:bookmarkStart w:id="23" w:name="_Toc20467"/>
      <w:bookmarkStart w:id="24" w:name="_Toc26983"/>
      <w:r>
        <w:rPr>
          <w:rFonts w:hint="eastAsia"/>
          <w:color w:val="auto"/>
        </w:rPr>
        <w:t xml:space="preserve">2.2.3 </w:t>
      </w:r>
      <w:bookmarkEnd w:id="22"/>
      <w:r>
        <w:rPr>
          <w:rFonts w:hint="eastAsia"/>
          <w:color w:val="auto"/>
        </w:rPr>
        <w:t>材料</w:t>
      </w:r>
      <w:bookmarkEnd w:id="23"/>
      <w:bookmarkEnd w:id="24"/>
    </w:p>
    <w:p>
      <w:pPr>
        <w:spacing w:line="360" w:lineRule="auto"/>
        <w:ind w:firstLine="480" w:firstLineChars="200"/>
        <w:rPr>
          <w:rFonts w:hint="eastAsia" w:ascii="宋体" w:hAnsi="宋体" w:eastAsia="宋体"/>
          <w:color w:val="auto"/>
          <w:lang w:val="en-US" w:eastAsia="zh-CN"/>
        </w:rPr>
      </w:pPr>
      <w:r>
        <w:rPr>
          <w:rFonts w:hint="eastAsia" w:ascii="宋体" w:hAnsi="宋体"/>
          <w:color w:val="auto"/>
        </w:rPr>
        <w:t>本</w:t>
      </w:r>
      <w:r>
        <w:rPr>
          <w:rFonts w:hint="eastAsia" w:ascii="宋体" w:hAnsi="宋体"/>
          <w:color w:val="auto"/>
          <w:lang w:val="en-US" w:eastAsia="zh-CN"/>
        </w:rPr>
        <w:t>章主要对混凝土、钢筋、石膏模盒</w:t>
      </w:r>
      <w:r>
        <w:rPr>
          <w:rFonts w:hint="eastAsia" w:ascii="宋体" w:hAnsi="宋体"/>
          <w:color w:val="auto"/>
        </w:rPr>
        <w:t>等作出要求</w:t>
      </w:r>
      <w:r>
        <w:rPr>
          <w:rFonts w:hint="eastAsia" w:ascii="宋体" w:hAnsi="宋体"/>
          <w:color w:val="auto"/>
          <w:lang w:eastAsia="zh-CN"/>
        </w:rPr>
        <w:t>，</w:t>
      </w:r>
      <w:r>
        <w:rPr>
          <w:rFonts w:hint="eastAsia" w:ascii="宋体" w:hAnsi="宋体"/>
          <w:color w:val="auto"/>
        </w:rPr>
        <w:t>各类材料的验收应符合其相应的国家标准和行业标准要求</w:t>
      </w:r>
      <w:r>
        <w:rPr>
          <w:rFonts w:hint="eastAsia" w:ascii="宋体" w:hAnsi="宋体"/>
          <w:color w:val="auto"/>
          <w:lang w:val="en-US" w:eastAsia="zh-CN"/>
        </w:rPr>
        <w:t>。</w:t>
      </w:r>
    </w:p>
    <w:p>
      <w:pPr>
        <w:spacing w:line="360" w:lineRule="auto"/>
        <w:ind w:firstLine="480" w:firstLineChars="200"/>
        <w:rPr>
          <w:rFonts w:hint="eastAsia" w:ascii="宋体" w:hAnsi="宋体"/>
          <w:color w:val="auto"/>
        </w:rPr>
      </w:pPr>
      <w:r>
        <w:rPr>
          <w:rFonts w:hint="eastAsia" w:ascii="宋体" w:hAnsi="宋体"/>
          <w:color w:val="auto"/>
        </w:rPr>
        <w:t>相对于现浇混凝土梁板结构，石膏模盒现浇混凝土空心楼盖的肋宽度较小，致使肋截面在弯矩作用下的混凝土受压区面积也较小，为保证楼盖抗弯等具有足够的承载力储备，对混凝土的最低强度</w:t>
      </w:r>
      <w:r>
        <w:rPr>
          <w:rFonts w:hint="eastAsia" w:ascii="宋体" w:hAnsi="宋体"/>
          <w:color w:val="auto"/>
          <w:lang w:val="en-US" w:eastAsia="zh-CN"/>
        </w:rPr>
        <w:t>有一定的要求</w:t>
      </w:r>
      <w:r>
        <w:rPr>
          <w:rFonts w:hint="eastAsia" w:ascii="宋体" w:hAnsi="宋体"/>
          <w:color w:val="auto"/>
        </w:rPr>
        <w:t>。</w:t>
      </w:r>
    </w:p>
    <w:p>
      <w:pPr>
        <w:spacing w:line="360" w:lineRule="auto"/>
        <w:ind w:firstLine="480" w:firstLineChars="200"/>
        <w:rPr>
          <w:rFonts w:hint="eastAsia" w:ascii="宋体" w:hAnsi="宋体"/>
          <w:color w:val="auto"/>
        </w:rPr>
      </w:pPr>
      <w:r>
        <w:rPr>
          <w:rFonts w:hint="eastAsia" w:ascii="宋体" w:hAnsi="宋体"/>
          <w:color w:val="auto"/>
          <w:lang w:val="en-US" w:eastAsia="zh-CN"/>
        </w:rPr>
        <w:t>钢筋方面，其</w:t>
      </w:r>
      <w:r>
        <w:rPr>
          <w:rFonts w:hint="eastAsia" w:ascii="宋体" w:hAnsi="宋体"/>
          <w:color w:val="auto"/>
        </w:rPr>
        <w:t>强度等级</w:t>
      </w:r>
      <w:r>
        <w:rPr>
          <w:rFonts w:hint="eastAsia" w:ascii="宋体" w:hAnsi="宋体"/>
          <w:color w:val="auto"/>
          <w:lang w:val="en-US" w:eastAsia="zh-CN"/>
        </w:rPr>
        <w:t>关系到</w:t>
      </w:r>
      <w:r>
        <w:rPr>
          <w:rFonts w:hint="eastAsia" w:ascii="宋体" w:hAnsi="宋体"/>
          <w:color w:val="auto"/>
        </w:rPr>
        <w:t>结构的含钢量</w:t>
      </w:r>
      <w:r>
        <w:rPr>
          <w:rFonts w:hint="eastAsia" w:ascii="宋体" w:hAnsi="宋体"/>
          <w:color w:val="auto"/>
          <w:lang w:val="en-US" w:eastAsia="zh-CN"/>
        </w:rPr>
        <w:t>和</w:t>
      </w:r>
      <w:r>
        <w:rPr>
          <w:rFonts w:hint="eastAsia" w:ascii="宋体" w:hAnsi="宋体"/>
          <w:color w:val="auto"/>
        </w:rPr>
        <w:t>裂缝控制的问题，</w:t>
      </w:r>
      <w:r>
        <w:rPr>
          <w:rFonts w:hint="eastAsia" w:ascii="宋体" w:hAnsi="宋体"/>
          <w:color w:val="auto"/>
          <w:lang w:val="en-US" w:eastAsia="zh-CN"/>
        </w:rPr>
        <w:t>对钢</w:t>
      </w:r>
      <w:r>
        <w:rPr>
          <w:rFonts w:hint="eastAsia" w:ascii="宋体" w:hAnsi="宋体"/>
          <w:color w:val="auto"/>
        </w:rPr>
        <w:t>筋强度等级应结合楼盖受力情况、裂缝控制等要求来综合确定。</w:t>
      </w:r>
    </w:p>
    <w:p>
      <w:pPr>
        <w:spacing w:line="360" w:lineRule="auto"/>
        <w:ind w:firstLine="480" w:firstLineChars="200"/>
        <w:rPr>
          <w:rFonts w:ascii="宋体" w:hAnsi="宋体"/>
          <w:color w:val="0000FF"/>
          <w:szCs w:val="21"/>
        </w:rPr>
      </w:pPr>
      <w:r>
        <w:rPr>
          <w:rFonts w:hint="eastAsia" w:ascii="宋体" w:hAnsi="宋体"/>
          <w:color w:val="auto"/>
        </w:rPr>
        <w:t>石膏模盒</w:t>
      </w:r>
      <w:r>
        <w:rPr>
          <w:rFonts w:hint="eastAsia" w:ascii="宋体" w:hAnsi="宋体"/>
          <w:color w:val="auto"/>
          <w:lang w:val="en-US" w:eastAsia="zh-CN"/>
        </w:rPr>
        <w:t>方面。主要根据现行行业标准JC/T 2472《现浇混凝土空心结构用石膏模盒》给出相关要求</w:t>
      </w:r>
      <w:r>
        <w:rPr>
          <w:rFonts w:hint="eastAsia" w:ascii="宋体" w:hAnsi="宋体"/>
          <w:color w:val="auto"/>
        </w:rPr>
        <w:t>。</w:t>
      </w:r>
    </w:p>
    <w:p>
      <w:pPr>
        <w:pStyle w:val="4"/>
        <w:rPr>
          <w:color w:val="auto"/>
        </w:rPr>
      </w:pPr>
      <w:bookmarkStart w:id="25" w:name="_Toc3732"/>
      <w:bookmarkStart w:id="26" w:name="_Toc2498"/>
      <w:bookmarkStart w:id="27" w:name="_Toc11319"/>
      <w:r>
        <w:rPr>
          <w:rFonts w:hint="eastAsia"/>
          <w:color w:val="auto"/>
        </w:rPr>
        <w:t xml:space="preserve">2.2.4 </w:t>
      </w:r>
      <w:bookmarkEnd w:id="25"/>
      <w:bookmarkEnd w:id="26"/>
      <w:bookmarkEnd w:id="27"/>
      <w:r>
        <w:rPr>
          <w:rFonts w:hint="eastAsia"/>
          <w:color w:val="auto"/>
        </w:rPr>
        <w:t>结构设计</w:t>
      </w:r>
    </w:p>
    <w:p>
      <w:pPr>
        <w:spacing w:line="360" w:lineRule="auto"/>
        <w:ind w:firstLine="465"/>
        <w:rPr>
          <w:rFonts w:ascii="宋体" w:hAnsi="宋体"/>
          <w:color w:val="auto"/>
        </w:rPr>
      </w:pPr>
      <w:r>
        <w:rPr>
          <w:rFonts w:hint="eastAsia" w:ascii="宋体" w:hAnsi="宋体"/>
          <w:color w:val="auto"/>
        </w:rPr>
        <w:t>该章节主要根据建筑设计来确定结构体系、配套材料的规格与使用要求，包括一般规定、房屋适用高度、房屋抗震等级</w:t>
      </w:r>
      <w:r>
        <w:rPr>
          <w:rFonts w:hint="eastAsia" w:ascii="宋体" w:hAnsi="宋体"/>
          <w:color w:val="auto"/>
          <w:lang w:eastAsia="zh-CN"/>
        </w:rPr>
        <w:t>、</w:t>
      </w:r>
      <w:r>
        <w:rPr>
          <w:rFonts w:hint="eastAsia" w:ascii="宋体" w:hAnsi="宋体"/>
          <w:color w:val="auto"/>
        </w:rPr>
        <w:t>结构布置原则等内容。</w:t>
      </w:r>
    </w:p>
    <w:p>
      <w:pPr>
        <w:pStyle w:val="4"/>
        <w:rPr>
          <w:color w:val="auto"/>
        </w:rPr>
      </w:pPr>
      <w:bookmarkStart w:id="28" w:name="_Toc17538"/>
      <w:bookmarkStart w:id="29" w:name="_Toc5277"/>
      <w:r>
        <w:rPr>
          <w:rFonts w:hint="eastAsia"/>
          <w:color w:val="auto"/>
        </w:rPr>
        <w:t>2.2.4.1 一般规定</w:t>
      </w:r>
      <w:bookmarkEnd w:id="28"/>
      <w:bookmarkEnd w:id="29"/>
    </w:p>
    <w:p>
      <w:pPr>
        <w:spacing w:line="360" w:lineRule="auto"/>
        <w:ind w:firstLine="465"/>
        <w:rPr>
          <w:rFonts w:hint="default" w:ascii="宋体" w:hAnsi="宋体"/>
          <w:color w:val="auto"/>
          <w:lang w:val="en-US" w:eastAsia="zh-CN"/>
        </w:rPr>
      </w:pPr>
      <w:r>
        <w:rPr>
          <w:rFonts w:hint="eastAsia" w:ascii="宋体" w:hAnsi="宋体"/>
          <w:color w:val="auto"/>
          <w:lang w:val="en-US" w:eastAsia="zh-CN"/>
        </w:rPr>
        <w:t>对</w:t>
      </w:r>
      <w:r>
        <w:rPr>
          <w:rFonts w:hint="eastAsia" w:ascii="宋体" w:hAnsi="宋体"/>
          <w:color w:val="auto"/>
        </w:rPr>
        <w:t>石膏模盒现浇混凝土空心楼盖结构体系</w:t>
      </w:r>
      <w:r>
        <w:rPr>
          <w:rFonts w:hint="eastAsia" w:ascii="宋体" w:hAnsi="宋体"/>
          <w:color w:val="auto"/>
          <w:lang w:val="en-US" w:eastAsia="zh-CN"/>
        </w:rPr>
        <w:t>进行</w:t>
      </w:r>
      <w:r>
        <w:rPr>
          <w:rFonts w:hint="eastAsia" w:ascii="宋体" w:hAnsi="宋体"/>
          <w:color w:val="auto"/>
        </w:rPr>
        <w:t>分析，</w:t>
      </w:r>
      <w:r>
        <w:rPr>
          <w:rFonts w:hint="eastAsia" w:ascii="宋体" w:hAnsi="宋体"/>
          <w:color w:val="auto"/>
          <w:lang w:val="en-US" w:eastAsia="zh-CN"/>
        </w:rPr>
        <w:t>对</w:t>
      </w:r>
      <w:r>
        <w:rPr>
          <w:rFonts w:hint="eastAsia" w:ascii="宋体" w:hAnsi="宋体"/>
          <w:color w:val="auto"/>
        </w:rPr>
        <w:t>结构复杂部位、重要部位、加强部位</w:t>
      </w:r>
      <w:r>
        <w:rPr>
          <w:rFonts w:hint="eastAsia" w:ascii="宋体" w:hAnsi="宋体"/>
          <w:color w:val="auto"/>
          <w:lang w:val="en-US" w:eastAsia="zh-CN"/>
        </w:rPr>
        <w:t>结构设计做出规范指导。</w:t>
      </w:r>
    </w:p>
    <w:p>
      <w:pPr>
        <w:pStyle w:val="4"/>
        <w:rPr>
          <w:color w:val="auto"/>
        </w:rPr>
      </w:pPr>
      <w:bookmarkStart w:id="30" w:name="_Toc1399"/>
      <w:bookmarkStart w:id="31" w:name="_Toc1912"/>
      <w:r>
        <w:rPr>
          <w:rFonts w:hint="eastAsia"/>
          <w:color w:val="auto"/>
        </w:rPr>
        <w:t xml:space="preserve">2.2.4.2 </w:t>
      </w:r>
      <w:bookmarkEnd w:id="30"/>
      <w:bookmarkEnd w:id="31"/>
      <w:r>
        <w:rPr>
          <w:rFonts w:hint="eastAsia"/>
          <w:color w:val="auto"/>
        </w:rPr>
        <w:t>房屋适用高度</w:t>
      </w:r>
    </w:p>
    <w:p>
      <w:pPr>
        <w:pStyle w:val="5"/>
        <w:spacing w:line="360" w:lineRule="auto"/>
        <w:ind w:firstLine="480" w:firstLineChars="200"/>
        <w:jc w:val="both"/>
        <w:rPr>
          <w:rFonts w:hint="eastAsia"/>
          <w:color w:val="auto"/>
          <w:szCs w:val="21"/>
          <w:lang w:val="en-US" w:eastAsia="zh-CN"/>
        </w:rPr>
      </w:pPr>
      <w:r>
        <w:rPr>
          <w:rFonts w:hint="eastAsia"/>
          <w:color w:val="auto"/>
          <w:szCs w:val="21"/>
          <w:lang w:val="en-US" w:eastAsia="zh-CN"/>
        </w:rPr>
        <w:t>本部分内容在充分调研工程实践基础上，重点参考广东省《现浇混凝土空心楼盖技术规程》DBJ 15-95和重庆市《现浇混凝土空心楼盖结构技术标准》DBJ50-359的相关规定进行要求，同时根据工程实际情况做出了以下调整：</w:t>
      </w:r>
    </w:p>
    <w:p>
      <w:pPr>
        <w:pStyle w:val="5"/>
        <w:spacing w:line="360" w:lineRule="auto"/>
        <w:ind w:firstLine="480" w:firstLineChars="200"/>
        <w:jc w:val="both"/>
        <w:rPr>
          <w:rFonts w:hint="eastAsia"/>
          <w:color w:val="auto"/>
          <w:szCs w:val="21"/>
          <w:lang w:val="en-US" w:eastAsia="zh-CN"/>
        </w:rPr>
      </w:pPr>
      <w:r>
        <w:rPr>
          <w:rFonts w:hint="eastAsia"/>
          <w:color w:val="auto"/>
          <w:szCs w:val="21"/>
          <w:lang w:val="en-US" w:eastAsia="zh-CN"/>
        </w:rPr>
        <w:t>（1）适当降低了框架柔性梁高跨比为1/25时的最大适用高度；</w:t>
      </w:r>
    </w:p>
    <w:p>
      <w:pPr>
        <w:pStyle w:val="5"/>
        <w:spacing w:line="360" w:lineRule="auto"/>
        <w:ind w:firstLine="480" w:firstLineChars="200"/>
        <w:jc w:val="both"/>
        <w:rPr>
          <w:rFonts w:hint="eastAsia"/>
          <w:color w:val="auto"/>
          <w:szCs w:val="21"/>
          <w:lang w:val="en-US" w:eastAsia="zh-CN"/>
        </w:rPr>
      </w:pPr>
      <w:r>
        <w:rPr>
          <w:rFonts w:hint="eastAsia"/>
          <w:color w:val="auto"/>
          <w:szCs w:val="21"/>
          <w:lang w:val="en-US" w:eastAsia="zh-CN"/>
        </w:rPr>
        <w:t>（2）取消对剪力墙结构的相关规定；</w:t>
      </w:r>
    </w:p>
    <w:p>
      <w:pPr>
        <w:pStyle w:val="5"/>
        <w:spacing w:line="360" w:lineRule="auto"/>
        <w:ind w:firstLine="480" w:firstLineChars="200"/>
        <w:jc w:val="both"/>
        <w:rPr>
          <w:rFonts w:hint="default"/>
          <w:color w:val="auto"/>
          <w:szCs w:val="21"/>
          <w:lang w:val="en-US" w:eastAsia="zh-CN"/>
        </w:rPr>
      </w:pPr>
      <w:r>
        <w:rPr>
          <w:rFonts w:hint="eastAsia"/>
          <w:color w:val="auto"/>
          <w:szCs w:val="21"/>
          <w:lang w:val="en-US" w:eastAsia="zh-CN"/>
        </w:rPr>
        <w:t>（3）取消对框支剪力墙的相关规定。</w:t>
      </w:r>
    </w:p>
    <w:p>
      <w:pPr>
        <w:pStyle w:val="4"/>
        <w:rPr>
          <w:color w:val="auto"/>
        </w:rPr>
      </w:pPr>
      <w:bookmarkStart w:id="32" w:name="_Toc12747"/>
      <w:r>
        <w:rPr>
          <w:rFonts w:hint="eastAsia"/>
          <w:color w:val="auto"/>
        </w:rPr>
        <w:t xml:space="preserve">2.2.4.3 </w:t>
      </w:r>
      <w:bookmarkEnd w:id="32"/>
      <w:r>
        <w:rPr>
          <w:rFonts w:hint="eastAsia"/>
          <w:color w:val="auto"/>
        </w:rPr>
        <w:t>房屋抗震等级</w:t>
      </w:r>
    </w:p>
    <w:p>
      <w:pPr>
        <w:pStyle w:val="5"/>
        <w:spacing w:line="360" w:lineRule="auto"/>
        <w:ind w:firstLine="480" w:firstLineChars="200"/>
        <w:jc w:val="both"/>
        <w:rPr>
          <w:rFonts w:hint="eastAsia"/>
          <w:color w:val="auto"/>
          <w:szCs w:val="21"/>
          <w:lang w:val="en-US" w:eastAsia="zh-CN"/>
        </w:rPr>
      </w:pPr>
      <w:r>
        <w:rPr>
          <w:rFonts w:hint="eastAsia"/>
          <w:color w:val="auto"/>
          <w:szCs w:val="21"/>
          <w:lang w:val="en-US" w:eastAsia="zh-CN"/>
        </w:rPr>
        <w:t>本部分内容在充分调研工程实践基础上，重点参考广东省《现浇混凝土空心楼盖技术规程》DBJ 15-95和重庆市《现浇混凝土空心楼盖结构技术标准》DBJ50-359的相关规定，并满足现行相关的国家标准和行业标准，对现浇混凝土空心楼盖在不同支承条件、用于不同结构类型的抗震等级作了规定。</w:t>
      </w:r>
    </w:p>
    <w:p>
      <w:pPr>
        <w:pStyle w:val="4"/>
        <w:rPr>
          <w:color w:val="auto"/>
        </w:rPr>
      </w:pPr>
      <w:r>
        <w:rPr>
          <w:rFonts w:hint="eastAsia"/>
          <w:color w:val="auto"/>
        </w:rPr>
        <w:t>2.2.4.</w:t>
      </w:r>
      <w:r>
        <w:rPr>
          <w:rFonts w:hint="eastAsia"/>
          <w:color w:val="auto"/>
          <w:lang w:val="en-US" w:eastAsia="zh-CN"/>
        </w:rPr>
        <w:t>4</w:t>
      </w:r>
      <w:r>
        <w:rPr>
          <w:rFonts w:hint="eastAsia"/>
          <w:color w:val="auto"/>
        </w:rPr>
        <w:t xml:space="preserve"> 结构布置原则</w:t>
      </w:r>
    </w:p>
    <w:p>
      <w:pPr>
        <w:pStyle w:val="5"/>
        <w:spacing w:line="360" w:lineRule="auto"/>
        <w:ind w:firstLine="480" w:firstLineChars="200"/>
        <w:jc w:val="both"/>
        <w:rPr>
          <w:rFonts w:hint="eastAsia"/>
          <w:color w:val="0000FF"/>
          <w:szCs w:val="21"/>
          <w:lang w:val="en-US" w:eastAsia="zh-CN"/>
        </w:rPr>
      </w:pPr>
      <w:r>
        <w:rPr>
          <w:rFonts w:hint="eastAsia"/>
          <w:color w:val="auto"/>
          <w:szCs w:val="21"/>
          <w:lang w:val="en-US" w:eastAsia="zh-CN"/>
        </w:rPr>
        <w:t>本部分内容对石膏模盒现浇混凝土空心楼盖的结构布置原则、注意事项，以及空心楼盖用于人防工程时的结构设计提出要求。</w:t>
      </w:r>
    </w:p>
    <w:p>
      <w:pPr>
        <w:pStyle w:val="4"/>
        <w:rPr>
          <w:rFonts w:hint="eastAsia"/>
          <w:color w:val="auto"/>
        </w:rPr>
      </w:pPr>
      <w:r>
        <w:rPr>
          <w:rFonts w:hint="eastAsia"/>
          <w:color w:val="auto"/>
        </w:rPr>
        <w:t>2.2.</w:t>
      </w:r>
      <w:r>
        <w:rPr>
          <w:rFonts w:hint="eastAsia"/>
          <w:color w:val="auto"/>
          <w:lang w:val="en-US" w:eastAsia="zh-CN"/>
        </w:rPr>
        <w:t>5</w:t>
      </w:r>
      <w:r>
        <w:rPr>
          <w:rFonts w:hint="eastAsia"/>
          <w:color w:val="auto"/>
        </w:rPr>
        <w:t xml:space="preserve"> 结构分析方法</w:t>
      </w:r>
    </w:p>
    <w:p>
      <w:pPr>
        <w:ind w:firstLine="480" w:firstLineChars="200"/>
        <w:rPr>
          <w:rFonts w:hint="eastAsia" w:ascii="Times New Roman" w:hAnsi="Times New Roman" w:eastAsia="宋体" w:cs="Times New Roman"/>
          <w:color w:val="auto"/>
          <w:kern w:val="2"/>
          <w:sz w:val="24"/>
          <w:szCs w:val="21"/>
          <w:lang w:val="en-US" w:eastAsia="zh-CN" w:bidi="ar-SA"/>
        </w:rPr>
      </w:pPr>
      <w:r>
        <w:rPr>
          <w:rFonts w:hint="eastAsia" w:ascii="Times New Roman" w:hAnsi="Times New Roman" w:eastAsia="宋体" w:cs="Times New Roman"/>
          <w:color w:val="auto"/>
          <w:kern w:val="2"/>
          <w:sz w:val="24"/>
          <w:szCs w:val="21"/>
          <w:lang w:val="en-US" w:eastAsia="zh-CN" w:bidi="ar-SA"/>
        </w:rPr>
        <w:t>提出石膏模盒现浇混凝土空心楼盖结构水平与竖向荷载的计算分析方法与要求。</w:t>
      </w:r>
    </w:p>
    <w:p>
      <w:pPr>
        <w:pStyle w:val="4"/>
        <w:rPr>
          <w:rFonts w:hint="eastAsia"/>
          <w:color w:val="auto"/>
        </w:rPr>
      </w:pPr>
      <w:r>
        <w:rPr>
          <w:rFonts w:hint="eastAsia"/>
          <w:color w:val="auto"/>
        </w:rPr>
        <w:t>2.2.</w:t>
      </w:r>
      <w:r>
        <w:rPr>
          <w:rFonts w:hint="eastAsia"/>
          <w:color w:val="auto"/>
          <w:lang w:val="en-US" w:eastAsia="zh-CN"/>
        </w:rPr>
        <w:t>6</w:t>
      </w:r>
      <w:r>
        <w:rPr>
          <w:rFonts w:hint="eastAsia"/>
          <w:color w:val="auto"/>
        </w:rPr>
        <w:t xml:space="preserve"> 结构构件设计</w:t>
      </w:r>
    </w:p>
    <w:p>
      <w:pPr>
        <w:ind w:firstLine="480" w:firstLineChars="200"/>
        <w:rPr>
          <w:rFonts w:hint="eastAsia" w:ascii="Times New Roman" w:hAnsi="Times New Roman" w:eastAsia="宋体" w:cs="Times New Roman"/>
          <w:color w:val="auto"/>
          <w:kern w:val="2"/>
          <w:sz w:val="24"/>
          <w:szCs w:val="21"/>
          <w:lang w:val="en-US" w:eastAsia="zh-CN" w:bidi="ar-SA"/>
        </w:rPr>
      </w:pPr>
      <w:r>
        <w:rPr>
          <w:rFonts w:hint="eastAsia" w:cs="Times New Roman"/>
          <w:color w:val="auto"/>
          <w:kern w:val="2"/>
          <w:sz w:val="24"/>
          <w:szCs w:val="21"/>
          <w:lang w:val="en-US" w:eastAsia="zh-CN" w:bidi="ar-SA"/>
        </w:rPr>
        <w:t>包括一般规定、设计计算原则、承载力极限状态计算、正常使用极限状态验算、节点计算等内容。对</w:t>
      </w:r>
      <w:r>
        <w:rPr>
          <w:rFonts w:hint="eastAsia" w:ascii="Times New Roman" w:hAnsi="Times New Roman" w:eastAsia="宋体" w:cs="Times New Roman"/>
          <w:color w:val="auto"/>
          <w:kern w:val="2"/>
          <w:sz w:val="24"/>
          <w:szCs w:val="21"/>
          <w:lang w:val="en-US" w:eastAsia="zh-CN" w:bidi="ar-SA"/>
        </w:rPr>
        <w:t>石膏模盒现浇混凝土空心楼盖的设计</w:t>
      </w:r>
      <w:r>
        <w:rPr>
          <w:rFonts w:hint="eastAsia" w:cs="Times New Roman"/>
          <w:color w:val="auto"/>
          <w:kern w:val="2"/>
          <w:sz w:val="24"/>
          <w:szCs w:val="21"/>
          <w:lang w:val="en-US" w:eastAsia="zh-CN" w:bidi="ar-SA"/>
        </w:rPr>
        <w:t>、</w:t>
      </w:r>
      <w:r>
        <w:rPr>
          <w:rFonts w:hint="eastAsia" w:ascii="Times New Roman" w:hAnsi="Times New Roman" w:eastAsia="宋体" w:cs="Times New Roman"/>
          <w:color w:val="auto"/>
          <w:kern w:val="2"/>
          <w:sz w:val="24"/>
          <w:szCs w:val="21"/>
          <w:lang w:val="en-US" w:eastAsia="zh-CN" w:bidi="ar-SA"/>
        </w:rPr>
        <w:t>截面承载力计算、变形验算、裂缝验算</w:t>
      </w:r>
      <w:r>
        <w:rPr>
          <w:rFonts w:hint="eastAsia" w:cs="Times New Roman"/>
          <w:color w:val="auto"/>
          <w:kern w:val="2"/>
          <w:sz w:val="24"/>
          <w:szCs w:val="21"/>
          <w:lang w:val="en-US" w:eastAsia="zh-CN" w:bidi="ar-SA"/>
        </w:rPr>
        <w:t>等提出指导方法和要求</w:t>
      </w:r>
      <w:r>
        <w:rPr>
          <w:rFonts w:hint="eastAsia" w:ascii="Times New Roman" w:hAnsi="Times New Roman" w:eastAsia="宋体" w:cs="Times New Roman"/>
          <w:color w:val="auto"/>
          <w:kern w:val="2"/>
          <w:sz w:val="24"/>
          <w:szCs w:val="21"/>
          <w:lang w:val="en-US" w:eastAsia="zh-CN" w:bidi="ar-SA"/>
        </w:rPr>
        <w:t>。</w:t>
      </w:r>
    </w:p>
    <w:p>
      <w:pPr>
        <w:pStyle w:val="4"/>
        <w:rPr>
          <w:rFonts w:hint="eastAsia"/>
          <w:color w:val="auto"/>
        </w:rPr>
      </w:pPr>
      <w:r>
        <w:rPr>
          <w:rFonts w:hint="eastAsia"/>
          <w:color w:val="auto"/>
        </w:rPr>
        <w:t>2.2.</w:t>
      </w:r>
      <w:r>
        <w:rPr>
          <w:rFonts w:hint="eastAsia"/>
          <w:color w:val="auto"/>
          <w:lang w:val="en-US" w:eastAsia="zh-CN"/>
        </w:rPr>
        <w:t>7</w:t>
      </w:r>
      <w:r>
        <w:rPr>
          <w:rFonts w:hint="eastAsia"/>
          <w:color w:val="auto"/>
        </w:rPr>
        <w:t xml:space="preserve"> </w:t>
      </w:r>
      <w:r>
        <w:rPr>
          <w:rFonts w:hint="eastAsia"/>
          <w:color w:val="auto"/>
          <w:lang w:val="en-US" w:eastAsia="zh-CN"/>
        </w:rPr>
        <w:t>构造</w:t>
      </w:r>
      <w:r>
        <w:rPr>
          <w:rFonts w:hint="eastAsia"/>
          <w:color w:val="auto"/>
        </w:rPr>
        <w:t>要求</w:t>
      </w:r>
    </w:p>
    <w:p>
      <w:pPr>
        <w:ind w:firstLine="480" w:firstLineChars="200"/>
        <w:rPr>
          <w:rFonts w:hint="eastAsia"/>
          <w:color w:val="auto"/>
          <w:lang w:val="en-US" w:eastAsia="zh-CN"/>
        </w:rPr>
      </w:pPr>
      <w:r>
        <w:rPr>
          <w:rFonts w:hint="eastAsia"/>
          <w:color w:val="auto"/>
          <w:lang w:val="en-US" w:eastAsia="zh-CN"/>
        </w:rPr>
        <w:t>包括</w:t>
      </w:r>
      <w:r>
        <w:rPr>
          <w:rFonts w:hint="eastAsia"/>
          <w:color w:val="auto"/>
        </w:rPr>
        <w:t>一般规定</w:t>
      </w:r>
      <w:r>
        <w:rPr>
          <w:rFonts w:hint="eastAsia"/>
          <w:color w:val="auto"/>
          <w:lang w:eastAsia="zh-CN"/>
        </w:rPr>
        <w:t>、柔性支承楼盖、</w:t>
      </w:r>
      <w:r>
        <w:rPr>
          <w:rFonts w:hint="eastAsia"/>
          <w:color w:val="auto"/>
          <w:lang w:val="en-US" w:eastAsia="zh-CN"/>
        </w:rPr>
        <w:t>刚</w:t>
      </w:r>
      <w:r>
        <w:rPr>
          <w:rFonts w:hint="eastAsia"/>
          <w:color w:val="auto"/>
          <w:lang w:eastAsia="zh-CN"/>
        </w:rPr>
        <w:t>性支承楼盖、</w:t>
      </w:r>
      <w:r>
        <w:rPr>
          <w:rFonts w:hint="eastAsia"/>
          <w:color w:val="auto"/>
        </w:rPr>
        <w:t>节点构造</w:t>
      </w:r>
      <w:r>
        <w:rPr>
          <w:rFonts w:hint="eastAsia"/>
          <w:color w:val="auto"/>
          <w:lang w:val="en-US" w:eastAsia="zh-CN"/>
        </w:rPr>
        <w:t>等内容。</w:t>
      </w:r>
    </w:p>
    <w:p>
      <w:pPr>
        <w:ind w:firstLine="480" w:firstLineChars="200"/>
        <w:rPr>
          <w:rFonts w:hint="eastAsia"/>
          <w:color w:val="auto"/>
        </w:rPr>
      </w:pPr>
      <w:r>
        <w:rPr>
          <w:rFonts w:hint="eastAsia"/>
          <w:color w:val="auto"/>
          <w:lang w:val="en-US" w:eastAsia="zh-CN"/>
        </w:rPr>
        <w:t>本章内容主要对</w:t>
      </w:r>
      <w:r>
        <w:rPr>
          <w:rFonts w:hint="eastAsia"/>
          <w:color w:val="auto"/>
        </w:rPr>
        <w:t>石膏模盒现浇混凝土空心楼盖</w:t>
      </w:r>
      <w:r>
        <w:rPr>
          <w:rFonts w:hint="eastAsia"/>
          <w:color w:val="auto"/>
          <w:lang w:val="en-US" w:eastAsia="zh-CN"/>
        </w:rPr>
        <w:t>的</w:t>
      </w:r>
      <w:r>
        <w:rPr>
          <w:rFonts w:hint="eastAsia"/>
          <w:color w:val="auto"/>
        </w:rPr>
        <w:t>空心率</w:t>
      </w:r>
      <w:r>
        <w:rPr>
          <w:rFonts w:hint="eastAsia"/>
          <w:color w:val="auto"/>
          <w:lang w:val="en-US" w:eastAsia="zh-CN"/>
        </w:rPr>
        <w:t>计算和要求</w:t>
      </w:r>
      <w:r>
        <w:rPr>
          <w:rFonts w:hint="eastAsia"/>
          <w:color w:val="auto"/>
          <w:lang w:eastAsia="zh-CN"/>
        </w:rPr>
        <w:t>、</w:t>
      </w:r>
      <w:r>
        <w:rPr>
          <w:rFonts w:hint="eastAsia"/>
          <w:color w:val="auto"/>
          <w:lang w:val="en-US" w:eastAsia="zh-CN"/>
        </w:rPr>
        <w:t>配</w:t>
      </w:r>
      <w:r>
        <w:rPr>
          <w:rFonts w:hint="eastAsia"/>
          <w:color w:val="auto"/>
        </w:rPr>
        <w:t>筋</w:t>
      </w:r>
      <w:r>
        <w:rPr>
          <w:rFonts w:hint="eastAsia"/>
          <w:color w:val="auto"/>
          <w:lang w:eastAsia="zh-CN"/>
        </w:rPr>
        <w:t>、</w:t>
      </w:r>
      <w:r>
        <w:rPr>
          <w:rFonts w:hint="eastAsia"/>
          <w:color w:val="auto"/>
          <w:lang w:val="en-US" w:eastAsia="zh-CN"/>
        </w:rPr>
        <w:t>吊挂、防水、耐火、人防工程等提出相关技术要求</w:t>
      </w:r>
      <w:r>
        <w:rPr>
          <w:rFonts w:hint="eastAsia"/>
          <w:color w:val="auto"/>
        </w:rPr>
        <w:t>。</w:t>
      </w:r>
      <w:r>
        <w:rPr>
          <w:rFonts w:hint="eastAsia"/>
          <w:color w:val="auto"/>
          <w:lang w:val="en-US" w:eastAsia="zh-CN"/>
        </w:rPr>
        <w:t>对</w:t>
      </w:r>
      <w:r>
        <w:rPr>
          <w:rFonts w:hint="eastAsia"/>
          <w:color w:val="auto"/>
        </w:rPr>
        <w:t>柔性支承楼盖</w:t>
      </w:r>
      <w:r>
        <w:rPr>
          <w:rFonts w:hint="eastAsia"/>
          <w:color w:val="auto"/>
          <w:lang w:val="en-US" w:eastAsia="zh-CN"/>
        </w:rPr>
        <w:t>和</w:t>
      </w:r>
      <w:r>
        <w:rPr>
          <w:rFonts w:hint="eastAsia"/>
          <w:color w:val="auto"/>
        </w:rPr>
        <w:t>刚性支承楼盖</w:t>
      </w:r>
      <w:r>
        <w:rPr>
          <w:rFonts w:hint="eastAsia"/>
          <w:color w:val="auto"/>
          <w:lang w:val="en-US" w:eastAsia="zh-CN"/>
        </w:rPr>
        <w:t>的设计和支承计算提出规定和要求</w:t>
      </w:r>
      <w:r>
        <w:rPr>
          <w:rFonts w:hint="eastAsia"/>
          <w:color w:val="auto"/>
        </w:rPr>
        <w:t>。</w:t>
      </w:r>
      <w:r>
        <w:rPr>
          <w:rFonts w:hint="eastAsia"/>
          <w:color w:val="auto"/>
          <w:lang w:val="en-US" w:eastAsia="zh-CN"/>
        </w:rPr>
        <w:t>对</w:t>
      </w:r>
      <w:r>
        <w:rPr>
          <w:rFonts w:hint="eastAsia"/>
          <w:color w:val="auto"/>
        </w:rPr>
        <w:t>框架梁柱节点的承载力计算</w:t>
      </w:r>
      <w:r>
        <w:rPr>
          <w:rFonts w:hint="eastAsia"/>
          <w:color w:val="auto"/>
          <w:lang w:val="en-US" w:eastAsia="zh-CN"/>
        </w:rPr>
        <w:t>提出</w:t>
      </w:r>
      <w:r>
        <w:rPr>
          <w:rFonts w:hint="eastAsia"/>
          <w:color w:val="auto"/>
        </w:rPr>
        <w:t>规定</w:t>
      </w:r>
      <w:r>
        <w:rPr>
          <w:rFonts w:hint="eastAsia"/>
          <w:color w:val="auto"/>
          <w:lang w:val="en-US" w:eastAsia="zh-CN"/>
        </w:rPr>
        <w:t>和要求</w:t>
      </w:r>
      <w:r>
        <w:rPr>
          <w:rFonts w:hint="eastAsia"/>
          <w:color w:val="auto"/>
        </w:rPr>
        <w:t>。</w:t>
      </w:r>
    </w:p>
    <w:p>
      <w:pPr>
        <w:pStyle w:val="4"/>
        <w:rPr>
          <w:rFonts w:hint="eastAsia"/>
          <w:color w:val="auto"/>
        </w:rPr>
      </w:pPr>
      <w:r>
        <w:rPr>
          <w:rFonts w:hint="eastAsia"/>
          <w:color w:val="auto"/>
        </w:rPr>
        <w:t>2.2.</w:t>
      </w:r>
      <w:r>
        <w:rPr>
          <w:rFonts w:hint="eastAsia"/>
          <w:color w:val="auto"/>
          <w:lang w:val="en-US" w:eastAsia="zh-CN"/>
        </w:rPr>
        <w:t>8</w:t>
      </w:r>
      <w:r>
        <w:rPr>
          <w:rFonts w:hint="eastAsia"/>
          <w:color w:val="auto"/>
        </w:rPr>
        <w:t xml:space="preserve"> 施工要求</w:t>
      </w:r>
    </w:p>
    <w:p>
      <w:pPr>
        <w:ind w:firstLine="480" w:firstLineChars="200"/>
        <w:rPr>
          <w:rFonts w:hint="eastAsia"/>
          <w:color w:val="auto"/>
          <w:lang w:val="en-US" w:eastAsia="zh-CN"/>
        </w:rPr>
      </w:pPr>
      <w:r>
        <w:rPr>
          <w:rFonts w:hint="eastAsia"/>
          <w:color w:val="auto"/>
          <w:lang w:val="en-US" w:eastAsia="zh-CN"/>
        </w:rPr>
        <w:t>包括</w:t>
      </w:r>
      <w:r>
        <w:rPr>
          <w:rFonts w:hint="eastAsia"/>
          <w:color w:val="auto"/>
        </w:rPr>
        <w:t>一般规定</w:t>
      </w:r>
      <w:r>
        <w:rPr>
          <w:rFonts w:hint="eastAsia"/>
          <w:color w:val="auto"/>
          <w:lang w:eastAsia="zh-CN"/>
        </w:rPr>
        <w:t>、</w:t>
      </w:r>
      <w:r>
        <w:rPr>
          <w:rFonts w:hint="eastAsia"/>
          <w:color w:val="auto"/>
        </w:rPr>
        <w:t>施工要点</w:t>
      </w:r>
      <w:r>
        <w:rPr>
          <w:rFonts w:hint="eastAsia"/>
          <w:color w:val="auto"/>
          <w:lang w:eastAsia="zh-CN"/>
        </w:rPr>
        <w:t>、</w:t>
      </w:r>
      <w:r>
        <w:rPr>
          <w:rFonts w:hint="eastAsia"/>
          <w:color w:val="auto"/>
          <w:lang w:val="en-US" w:eastAsia="zh-CN"/>
        </w:rPr>
        <w:t>技术要求</w:t>
      </w:r>
      <w:r>
        <w:rPr>
          <w:rFonts w:hint="eastAsia"/>
          <w:color w:val="auto"/>
          <w:lang w:eastAsia="zh-CN"/>
        </w:rPr>
        <w:t>、</w:t>
      </w:r>
      <w:r>
        <w:rPr>
          <w:rFonts w:hint="eastAsia"/>
          <w:color w:val="auto"/>
        </w:rPr>
        <w:t>节点构造</w:t>
      </w:r>
      <w:r>
        <w:rPr>
          <w:rFonts w:hint="eastAsia"/>
          <w:color w:val="auto"/>
          <w:lang w:val="en-US" w:eastAsia="zh-CN"/>
        </w:rPr>
        <w:t>等内容。</w:t>
      </w:r>
    </w:p>
    <w:p>
      <w:pPr>
        <w:ind w:firstLine="480" w:firstLineChars="200"/>
        <w:rPr>
          <w:rFonts w:hint="eastAsia"/>
          <w:color w:val="auto"/>
        </w:rPr>
      </w:pPr>
      <w:r>
        <w:rPr>
          <w:rFonts w:hint="eastAsia"/>
          <w:color w:val="auto"/>
          <w:lang w:val="en-US" w:eastAsia="zh-CN"/>
        </w:rPr>
        <w:t>本章内容主要对</w:t>
      </w:r>
      <w:r>
        <w:rPr>
          <w:rFonts w:hint="eastAsia"/>
          <w:color w:val="auto"/>
        </w:rPr>
        <w:t>编制专项施工方案</w:t>
      </w:r>
      <w:r>
        <w:rPr>
          <w:rFonts w:hint="eastAsia"/>
          <w:color w:val="auto"/>
          <w:lang w:eastAsia="zh-CN"/>
        </w:rPr>
        <w:t>、</w:t>
      </w:r>
      <w:r>
        <w:rPr>
          <w:rFonts w:hint="eastAsia"/>
          <w:color w:val="auto"/>
        </w:rPr>
        <w:t>施工现场</w:t>
      </w:r>
      <w:r>
        <w:rPr>
          <w:rFonts w:hint="eastAsia"/>
          <w:color w:val="auto"/>
          <w:lang w:val="en-US" w:eastAsia="zh-CN"/>
        </w:rPr>
        <w:t>注意事项、</w:t>
      </w:r>
      <w:r>
        <w:rPr>
          <w:rFonts w:hint="eastAsia"/>
          <w:color w:val="auto"/>
        </w:rPr>
        <w:t>石膏模盒</w:t>
      </w:r>
      <w:r>
        <w:rPr>
          <w:rFonts w:hint="eastAsia"/>
          <w:color w:val="auto"/>
          <w:lang w:val="en-US" w:eastAsia="zh-CN"/>
        </w:rPr>
        <w:t>的运输和存放、施工过程中的重点注意事项提出要求，并对空心楼盖用</w:t>
      </w:r>
      <w:r>
        <w:rPr>
          <w:rFonts w:hint="eastAsia"/>
          <w:color w:val="auto"/>
        </w:rPr>
        <w:t>混凝土的</w:t>
      </w:r>
      <w:r>
        <w:rPr>
          <w:rFonts w:hint="eastAsia"/>
          <w:color w:val="auto"/>
          <w:lang w:val="en-US" w:eastAsia="zh-CN"/>
        </w:rPr>
        <w:t>性能及与</w:t>
      </w:r>
      <w:r>
        <w:rPr>
          <w:rFonts w:hint="eastAsia"/>
          <w:color w:val="auto"/>
        </w:rPr>
        <w:t>石膏模盒</w:t>
      </w:r>
      <w:r>
        <w:rPr>
          <w:rFonts w:hint="eastAsia"/>
          <w:color w:val="auto"/>
          <w:lang w:val="en-US" w:eastAsia="zh-CN"/>
        </w:rPr>
        <w:t>浇筑时的注意事项做出指导</w:t>
      </w:r>
      <w:r>
        <w:rPr>
          <w:rFonts w:hint="eastAsia"/>
          <w:color w:val="auto"/>
        </w:rPr>
        <w:t>。</w:t>
      </w:r>
    </w:p>
    <w:p>
      <w:pPr>
        <w:pStyle w:val="4"/>
        <w:rPr>
          <w:rFonts w:hint="eastAsia"/>
          <w:color w:val="auto"/>
        </w:rPr>
      </w:pPr>
      <w:r>
        <w:rPr>
          <w:rFonts w:hint="eastAsia"/>
          <w:color w:val="auto"/>
        </w:rPr>
        <w:t>2.2.</w:t>
      </w:r>
      <w:r>
        <w:rPr>
          <w:rFonts w:hint="eastAsia"/>
          <w:color w:val="auto"/>
          <w:lang w:val="en-US" w:eastAsia="zh-CN"/>
        </w:rPr>
        <w:t>9</w:t>
      </w:r>
      <w:r>
        <w:rPr>
          <w:rFonts w:hint="eastAsia"/>
          <w:color w:val="auto"/>
        </w:rPr>
        <w:t xml:space="preserve"> </w:t>
      </w:r>
      <w:r>
        <w:rPr>
          <w:rFonts w:hint="eastAsia"/>
          <w:color w:val="auto"/>
          <w:lang w:val="en-US" w:eastAsia="zh-CN"/>
        </w:rPr>
        <w:t>工</w:t>
      </w:r>
      <w:r>
        <w:rPr>
          <w:rFonts w:hint="eastAsia"/>
          <w:color w:val="auto"/>
        </w:rPr>
        <w:t>程质量验收</w:t>
      </w:r>
    </w:p>
    <w:p>
      <w:pPr>
        <w:ind w:firstLine="480" w:firstLineChars="200"/>
        <w:rPr>
          <w:rFonts w:hint="eastAsia"/>
          <w:color w:val="auto"/>
        </w:rPr>
      </w:pPr>
      <w:r>
        <w:rPr>
          <w:rFonts w:hint="eastAsia"/>
          <w:color w:val="auto"/>
          <w:lang w:val="en-US" w:eastAsia="zh-CN"/>
        </w:rPr>
        <w:t>包括</w:t>
      </w:r>
      <w:r>
        <w:rPr>
          <w:rFonts w:hint="eastAsia"/>
          <w:color w:val="auto"/>
        </w:rPr>
        <w:t>一般规定</w:t>
      </w:r>
      <w:r>
        <w:rPr>
          <w:rFonts w:hint="eastAsia"/>
          <w:color w:val="auto"/>
          <w:lang w:eastAsia="zh-CN"/>
        </w:rPr>
        <w:t>、</w:t>
      </w:r>
      <w:r>
        <w:rPr>
          <w:rFonts w:hint="eastAsia"/>
          <w:color w:val="auto"/>
        </w:rPr>
        <w:t>材料验收</w:t>
      </w:r>
      <w:r>
        <w:rPr>
          <w:rFonts w:hint="eastAsia"/>
          <w:color w:val="auto"/>
          <w:lang w:eastAsia="zh-CN"/>
        </w:rPr>
        <w:t>、</w:t>
      </w:r>
      <w:r>
        <w:rPr>
          <w:rFonts w:hint="eastAsia"/>
          <w:color w:val="auto"/>
        </w:rPr>
        <w:t>施工质量验收</w:t>
      </w:r>
      <w:r>
        <w:rPr>
          <w:rFonts w:hint="eastAsia"/>
          <w:color w:val="auto"/>
          <w:lang w:val="en-US" w:eastAsia="zh-CN"/>
        </w:rPr>
        <w:t>等内容。对</w:t>
      </w:r>
      <w:r>
        <w:rPr>
          <w:rFonts w:hint="eastAsia"/>
          <w:color w:val="auto"/>
        </w:rPr>
        <w:t>石膏模盒现浇混凝土空心楼盖结构验收</w:t>
      </w:r>
      <w:r>
        <w:rPr>
          <w:rFonts w:hint="eastAsia"/>
          <w:color w:val="auto"/>
          <w:lang w:val="en-US" w:eastAsia="zh-CN"/>
        </w:rPr>
        <w:t>提出完善的指导和</w:t>
      </w:r>
      <w:r>
        <w:rPr>
          <w:rFonts w:hint="eastAsia"/>
          <w:color w:val="auto"/>
        </w:rPr>
        <w:t xml:space="preserve">规定。 </w:t>
      </w:r>
    </w:p>
    <w:p>
      <w:pPr>
        <w:pStyle w:val="4"/>
        <w:rPr>
          <w:rFonts w:hint="eastAsia"/>
          <w:color w:val="auto"/>
          <w:lang w:val="en-US" w:eastAsia="zh-CN"/>
        </w:rPr>
      </w:pPr>
      <w:r>
        <w:rPr>
          <w:rFonts w:hint="eastAsia"/>
          <w:color w:val="auto"/>
          <w:lang w:val="en-US" w:eastAsia="zh-CN"/>
        </w:rPr>
        <w:t>2.2.10 附录</w:t>
      </w:r>
    </w:p>
    <w:p>
      <w:pPr>
        <w:pStyle w:val="5"/>
        <w:spacing w:line="360" w:lineRule="auto"/>
        <w:ind w:firstLine="480" w:firstLineChars="200"/>
        <w:jc w:val="both"/>
        <w:rPr>
          <w:rFonts w:hint="default"/>
          <w:color w:val="auto"/>
          <w:szCs w:val="21"/>
          <w:lang w:val="en-US" w:eastAsia="zh-CN"/>
        </w:rPr>
      </w:pPr>
      <w:r>
        <w:rPr>
          <w:rFonts w:hint="default"/>
          <w:color w:val="auto"/>
          <w:szCs w:val="21"/>
          <w:lang w:val="en-US" w:eastAsia="zh-CN"/>
        </w:rPr>
        <w:t>附录</w:t>
      </w:r>
      <w:r>
        <w:rPr>
          <w:rFonts w:hint="eastAsia"/>
          <w:color w:val="auto"/>
          <w:szCs w:val="21"/>
          <w:lang w:val="en-US" w:eastAsia="zh-CN"/>
        </w:rPr>
        <w:t>内容包括“</w:t>
      </w:r>
      <w:r>
        <w:rPr>
          <w:rFonts w:hint="default"/>
          <w:color w:val="auto"/>
          <w:szCs w:val="21"/>
          <w:lang w:val="en-US" w:eastAsia="zh-CN"/>
        </w:rPr>
        <w:t>石膏模盒检验方法</w:t>
      </w:r>
      <w:r>
        <w:rPr>
          <w:rFonts w:hint="eastAsia"/>
          <w:color w:val="auto"/>
          <w:szCs w:val="21"/>
          <w:lang w:val="en-US" w:eastAsia="zh-CN"/>
        </w:rPr>
        <w:t>”、“</w:t>
      </w:r>
      <w:r>
        <w:rPr>
          <w:rFonts w:hint="default"/>
          <w:color w:val="auto"/>
          <w:szCs w:val="21"/>
          <w:lang w:val="en-US" w:eastAsia="zh-CN"/>
        </w:rPr>
        <w:t>空心楼板自重、折实厚度、体积空心率计算</w:t>
      </w:r>
      <w:r>
        <w:rPr>
          <w:rFonts w:hint="eastAsia"/>
          <w:color w:val="auto"/>
          <w:szCs w:val="21"/>
          <w:lang w:val="en-US" w:eastAsia="zh-CN"/>
        </w:rPr>
        <w:t>”、“</w:t>
      </w:r>
      <w:r>
        <w:rPr>
          <w:rFonts w:hint="default"/>
          <w:color w:val="auto"/>
          <w:szCs w:val="21"/>
          <w:lang w:val="en-US" w:eastAsia="zh-CN"/>
        </w:rPr>
        <w:t>施工流程</w:t>
      </w:r>
      <w:r>
        <w:rPr>
          <w:rFonts w:hint="eastAsia"/>
          <w:color w:val="auto"/>
          <w:szCs w:val="21"/>
          <w:lang w:val="en-US" w:eastAsia="zh-CN"/>
        </w:rPr>
        <w:t>示意图”、“</w:t>
      </w:r>
      <w:r>
        <w:rPr>
          <w:rFonts w:hint="default"/>
          <w:color w:val="auto"/>
          <w:szCs w:val="21"/>
          <w:lang w:val="en-US" w:eastAsia="zh-CN"/>
        </w:rPr>
        <w:t>石膏模盒质量验收记录表</w:t>
      </w:r>
      <w:r>
        <w:rPr>
          <w:rFonts w:hint="eastAsia"/>
          <w:color w:val="auto"/>
          <w:szCs w:val="21"/>
          <w:lang w:val="en-US" w:eastAsia="zh-CN"/>
        </w:rPr>
        <w:t>”等。</w:t>
      </w:r>
    </w:p>
    <w:p>
      <w:pPr>
        <w:pStyle w:val="2"/>
      </w:pPr>
      <w:bookmarkStart w:id="33" w:name="_Toc379"/>
      <w:r>
        <w:rPr>
          <w:rFonts w:hint="eastAsia"/>
        </w:rPr>
        <w:t>3</w:t>
      </w:r>
      <w:r>
        <w:t xml:space="preserve"> </w:t>
      </w:r>
      <w:r>
        <w:rPr>
          <w:rFonts w:hint="eastAsia"/>
        </w:rPr>
        <w:t>主要试验验证情况分析与指标确定</w:t>
      </w:r>
      <w:bookmarkEnd w:id="33"/>
    </w:p>
    <w:p>
      <w:pPr>
        <w:spacing w:line="360" w:lineRule="auto"/>
        <w:ind w:firstLine="480" w:firstLineChars="200"/>
        <w:jc w:val="left"/>
        <w:rPr>
          <w:rFonts w:hint="eastAsia"/>
          <w:color w:val="0000FF"/>
          <w:lang w:val="en-US" w:eastAsia="zh-CN"/>
        </w:rPr>
      </w:pPr>
      <w:r>
        <w:rPr>
          <w:rFonts w:hint="eastAsia" w:ascii="宋体" w:hAnsi="宋体"/>
          <w:bCs/>
          <w:color w:val="auto"/>
        </w:rPr>
        <w:t>为保证标准项目要求的合理性，编制工作组对</w:t>
      </w:r>
      <w:r>
        <w:rPr>
          <w:rFonts w:hint="eastAsia" w:ascii="宋体" w:hAnsi="宋体"/>
          <w:color w:val="auto"/>
          <w:lang w:eastAsia="zh-CN"/>
        </w:rPr>
        <w:t>石膏模盒</w:t>
      </w:r>
      <w:r>
        <w:rPr>
          <w:rFonts w:hint="eastAsia" w:ascii="宋体" w:hAnsi="宋体"/>
          <w:color w:val="auto"/>
        </w:rPr>
        <w:t>应用工程及</w:t>
      </w:r>
      <w:r>
        <w:rPr>
          <w:rFonts w:hint="eastAsia" w:ascii="宋体" w:hAnsi="宋体"/>
          <w:color w:val="auto"/>
          <w:lang w:eastAsia="zh-CN"/>
        </w:rPr>
        <w:t>石膏模盒</w:t>
      </w:r>
      <w:r>
        <w:rPr>
          <w:rFonts w:hint="eastAsia" w:ascii="宋体" w:hAnsi="宋体"/>
          <w:color w:val="auto"/>
        </w:rPr>
        <w:t>制品进行了广泛调研，并</w:t>
      </w:r>
      <w:r>
        <w:rPr>
          <w:rFonts w:hint="eastAsia" w:ascii="宋体" w:hAnsi="宋体"/>
          <w:bCs/>
          <w:color w:val="auto"/>
        </w:rPr>
        <w:t>进行了大量的</w:t>
      </w:r>
      <w:r>
        <w:rPr>
          <w:rFonts w:hint="eastAsia" w:ascii="宋体" w:hAnsi="宋体"/>
          <w:bCs/>
          <w:color w:val="auto"/>
          <w:lang w:val="en-US" w:eastAsia="zh-CN"/>
        </w:rPr>
        <w:t>工程案例调查和</w:t>
      </w:r>
      <w:r>
        <w:rPr>
          <w:rFonts w:hint="eastAsia" w:ascii="宋体" w:hAnsi="宋体"/>
          <w:bCs/>
          <w:color w:val="auto"/>
        </w:rPr>
        <w:t>验证试验。</w:t>
      </w:r>
      <w:r>
        <w:rPr>
          <w:rFonts w:hint="eastAsia" w:ascii="宋体" w:hAnsi="宋体"/>
          <w:bCs/>
          <w:color w:val="auto"/>
          <w:lang w:val="en-US" w:eastAsia="zh-CN"/>
        </w:rPr>
        <w:t>以“重庆大学B区车库石膏模盒空心楼盖项目”为例做介绍</w:t>
      </w:r>
      <w:r>
        <w:rPr>
          <w:rFonts w:hint="eastAsia"/>
          <w:color w:val="0000FF"/>
          <w:lang w:val="en-US" w:eastAsia="zh-CN"/>
        </w:rPr>
        <w:t>。</w:t>
      </w:r>
    </w:p>
    <w:p>
      <w:pPr>
        <w:pStyle w:val="3"/>
        <w:rPr>
          <w:rFonts w:hint="default"/>
          <w:lang w:val="en-US" w:eastAsia="zh-CN"/>
        </w:rPr>
      </w:pPr>
      <w:r>
        <w:rPr>
          <w:rFonts w:hint="eastAsia"/>
          <w:lang w:val="en-US" w:eastAsia="zh-CN"/>
        </w:rPr>
        <w:t>3.1 项目验收及试验情况</w:t>
      </w:r>
    </w:p>
    <w:p>
      <w:pPr>
        <w:spacing w:line="360" w:lineRule="auto"/>
        <w:ind w:firstLine="480" w:firstLineChars="200"/>
        <w:jc w:val="left"/>
        <w:rPr>
          <w:rFonts w:hint="eastAsia" w:ascii="宋体" w:hAnsi="宋体"/>
          <w:bCs/>
          <w:color w:val="auto"/>
        </w:rPr>
      </w:pPr>
      <w:r>
        <w:rPr>
          <w:rFonts w:hint="eastAsia" w:ascii="宋体" w:hAnsi="宋体"/>
          <w:bCs/>
          <w:color w:val="auto"/>
        </w:rPr>
        <w:t>1.</w:t>
      </w:r>
      <w:r>
        <w:rPr>
          <w:rFonts w:hint="eastAsia" w:ascii="宋体" w:hAnsi="宋体"/>
          <w:bCs/>
          <w:color w:val="auto"/>
          <w:lang w:val="en-US" w:eastAsia="zh-CN"/>
        </w:rPr>
        <w:t>验收</w:t>
      </w:r>
      <w:r>
        <w:rPr>
          <w:rFonts w:hint="eastAsia" w:ascii="宋体" w:hAnsi="宋体"/>
          <w:bCs/>
          <w:color w:val="auto"/>
        </w:rPr>
        <w:t>石膏模盒的吸水性通过相应技术措施处理后是否满足《现浇混凝土空心楼盖技术规程》（JGJ/T 268—2012）及吸水后是否会对混凝土产生不利影响；</w:t>
      </w:r>
    </w:p>
    <w:p>
      <w:pPr>
        <w:spacing w:line="360" w:lineRule="auto"/>
        <w:ind w:firstLine="480" w:firstLineChars="200"/>
        <w:jc w:val="left"/>
        <w:rPr>
          <w:rFonts w:hint="eastAsia" w:ascii="宋体" w:hAnsi="宋体"/>
          <w:bCs/>
          <w:color w:val="auto"/>
        </w:rPr>
      </w:pPr>
      <w:r>
        <w:rPr>
          <w:rFonts w:hint="eastAsia" w:ascii="宋体" w:hAnsi="宋体"/>
          <w:bCs/>
          <w:color w:val="auto"/>
        </w:rPr>
        <w:t>2.</w:t>
      </w:r>
      <w:r>
        <w:rPr>
          <w:rFonts w:hint="eastAsia" w:ascii="宋体" w:hAnsi="宋体"/>
          <w:bCs/>
          <w:color w:val="auto"/>
          <w:lang w:val="en-US" w:eastAsia="zh-CN"/>
        </w:rPr>
        <w:t>验收</w:t>
      </w:r>
      <w:r>
        <w:rPr>
          <w:rFonts w:hint="eastAsia" w:ascii="宋体" w:hAnsi="宋体"/>
          <w:bCs/>
          <w:color w:val="auto"/>
        </w:rPr>
        <w:t>浇筑混凝土时石膏模盒是否产生位移、上浮现象；</w:t>
      </w:r>
    </w:p>
    <w:p>
      <w:pPr>
        <w:spacing w:line="360" w:lineRule="auto"/>
        <w:ind w:firstLine="480" w:firstLineChars="200"/>
        <w:jc w:val="left"/>
        <w:rPr>
          <w:rFonts w:hint="eastAsia" w:ascii="宋体" w:hAnsi="宋体"/>
          <w:bCs/>
          <w:color w:val="auto"/>
        </w:rPr>
      </w:pPr>
      <w:r>
        <w:rPr>
          <w:rFonts w:hint="eastAsia" w:ascii="宋体" w:hAnsi="宋体"/>
          <w:bCs/>
          <w:color w:val="auto"/>
        </w:rPr>
        <w:t>3.</w:t>
      </w:r>
      <w:r>
        <w:rPr>
          <w:rFonts w:hint="eastAsia" w:ascii="宋体" w:hAnsi="宋体"/>
          <w:bCs/>
          <w:color w:val="auto"/>
          <w:lang w:val="en-US" w:eastAsia="zh-CN"/>
        </w:rPr>
        <w:t>验收</w:t>
      </w:r>
      <w:r>
        <w:rPr>
          <w:rFonts w:hint="eastAsia" w:ascii="宋体" w:hAnsi="宋体"/>
          <w:bCs/>
          <w:color w:val="auto"/>
        </w:rPr>
        <w:t>各构件截面尺寸及上下板的钢筋保护层厚度是否符合规范、设计要求；</w:t>
      </w:r>
    </w:p>
    <w:p>
      <w:pPr>
        <w:spacing w:line="360" w:lineRule="auto"/>
        <w:ind w:firstLine="480" w:firstLineChars="200"/>
        <w:jc w:val="left"/>
        <w:rPr>
          <w:rFonts w:hint="eastAsia" w:ascii="宋体" w:hAnsi="宋体"/>
          <w:bCs/>
          <w:color w:val="auto"/>
        </w:rPr>
      </w:pPr>
      <w:r>
        <w:rPr>
          <w:rFonts w:hint="eastAsia" w:ascii="宋体" w:hAnsi="宋体"/>
          <w:bCs/>
          <w:color w:val="auto"/>
        </w:rPr>
        <w:t>4.</w:t>
      </w:r>
      <w:r>
        <w:rPr>
          <w:rFonts w:hint="eastAsia" w:ascii="宋体" w:hAnsi="宋体"/>
          <w:bCs/>
          <w:color w:val="auto"/>
          <w:lang w:val="en-US" w:eastAsia="zh-CN"/>
        </w:rPr>
        <w:t>验收</w:t>
      </w:r>
      <w:r>
        <w:rPr>
          <w:rFonts w:hint="eastAsia" w:ascii="宋体" w:hAnsi="宋体"/>
          <w:bCs/>
          <w:color w:val="auto"/>
        </w:rPr>
        <w:t>混凝土的密实度及内模下部是否有粗骨料。</w:t>
      </w:r>
    </w:p>
    <w:p>
      <w:pPr>
        <w:pStyle w:val="3"/>
        <w:rPr>
          <w:rFonts w:hint="eastAsia"/>
          <w:lang w:val="en-US" w:eastAsia="zh-CN"/>
        </w:rPr>
      </w:pPr>
      <w:r>
        <w:rPr>
          <w:rFonts w:hint="eastAsia"/>
          <w:lang w:val="en-US" w:eastAsia="zh-CN"/>
        </w:rPr>
        <w:t>3.2 试验过程</w:t>
      </w:r>
    </w:p>
    <w:p>
      <w:pPr>
        <w:spacing w:line="360" w:lineRule="auto"/>
        <w:ind w:firstLine="480" w:firstLineChars="200"/>
        <w:jc w:val="left"/>
        <w:rPr>
          <w:rFonts w:hint="eastAsia" w:ascii="宋体" w:hAnsi="宋体"/>
          <w:bCs/>
          <w:color w:val="auto"/>
        </w:rPr>
      </w:pPr>
      <w:r>
        <w:rPr>
          <w:rFonts w:hint="eastAsia" w:ascii="宋体" w:hAnsi="宋体"/>
          <w:bCs/>
          <w:color w:val="auto"/>
          <w:lang w:eastAsia="zh-CN"/>
        </w:rPr>
        <w:t>（</w:t>
      </w:r>
      <w:r>
        <w:rPr>
          <w:rFonts w:hint="eastAsia" w:ascii="宋体" w:hAnsi="宋体"/>
          <w:bCs/>
          <w:color w:val="auto"/>
          <w:lang w:val="en-US" w:eastAsia="zh-CN"/>
        </w:rPr>
        <w:t>1</w:t>
      </w:r>
      <w:r>
        <w:rPr>
          <w:rFonts w:hint="eastAsia" w:ascii="宋体" w:hAnsi="宋体"/>
          <w:bCs/>
          <w:color w:val="auto"/>
          <w:lang w:eastAsia="zh-CN"/>
        </w:rPr>
        <w:t>）</w:t>
      </w:r>
      <w:r>
        <w:rPr>
          <w:rFonts w:hint="eastAsia" w:ascii="宋体" w:hAnsi="宋体"/>
          <w:bCs/>
          <w:color w:val="auto"/>
        </w:rPr>
        <w:t>对选择好的场地进行平场，铺设C15混凝土垫层保证场地最高地势垫层至少100mm；</w:t>
      </w:r>
    </w:p>
    <w:p>
      <w:pPr>
        <w:spacing w:line="360" w:lineRule="auto"/>
        <w:ind w:firstLine="480" w:firstLineChars="200"/>
        <w:jc w:val="left"/>
        <w:rPr>
          <w:rFonts w:hint="eastAsia" w:ascii="宋体" w:hAnsi="宋体"/>
          <w:bCs/>
          <w:color w:val="auto"/>
        </w:rPr>
      </w:pPr>
      <w:r>
        <w:rPr>
          <w:rFonts w:hint="eastAsia" w:ascii="宋体" w:hAnsi="宋体"/>
          <w:bCs/>
          <w:color w:val="auto"/>
          <w:lang w:eastAsia="zh-CN"/>
        </w:rPr>
        <w:t>（</w:t>
      </w:r>
      <w:r>
        <w:rPr>
          <w:rFonts w:hint="eastAsia" w:ascii="宋体" w:hAnsi="宋体"/>
          <w:bCs/>
          <w:color w:val="auto"/>
          <w:lang w:val="en-US" w:eastAsia="zh-CN"/>
        </w:rPr>
        <w:t>2</w:t>
      </w:r>
      <w:r>
        <w:rPr>
          <w:rFonts w:hint="eastAsia" w:ascii="宋体" w:hAnsi="宋体"/>
          <w:bCs/>
          <w:color w:val="auto"/>
          <w:lang w:eastAsia="zh-CN"/>
        </w:rPr>
        <w:t>）</w:t>
      </w:r>
      <w:r>
        <w:rPr>
          <w:rFonts w:hint="eastAsia" w:ascii="宋体" w:hAnsi="宋体"/>
          <w:bCs/>
          <w:color w:val="auto"/>
        </w:rPr>
        <w:t>待垫层凝固成型后，铺设模板，放出肋梁的的定位线；</w:t>
      </w:r>
    </w:p>
    <w:p>
      <w:pPr>
        <w:spacing w:line="360" w:lineRule="auto"/>
        <w:ind w:firstLine="480" w:firstLineChars="200"/>
        <w:jc w:val="left"/>
        <w:rPr>
          <w:rFonts w:hint="eastAsia" w:ascii="宋体" w:hAnsi="宋体"/>
          <w:bCs/>
          <w:color w:val="auto"/>
        </w:rPr>
      </w:pPr>
      <w:r>
        <w:rPr>
          <w:rFonts w:hint="eastAsia" w:ascii="宋体" w:hAnsi="宋体"/>
          <w:bCs/>
          <w:color w:val="auto"/>
          <w:lang w:eastAsia="zh-CN"/>
        </w:rPr>
        <w:t>（</w:t>
      </w:r>
      <w:r>
        <w:rPr>
          <w:rFonts w:hint="eastAsia" w:ascii="宋体" w:hAnsi="宋体"/>
          <w:bCs/>
          <w:color w:val="auto"/>
          <w:lang w:val="en-US" w:eastAsia="zh-CN"/>
        </w:rPr>
        <w:t>3</w:t>
      </w:r>
      <w:r>
        <w:rPr>
          <w:rFonts w:hint="eastAsia" w:ascii="宋体" w:hAnsi="宋体"/>
          <w:bCs/>
          <w:color w:val="auto"/>
          <w:lang w:eastAsia="zh-CN"/>
        </w:rPr>
        <w:t>）</w:t>
      </w:r>
      <w:r>
        <w:rPr>
          <w:rFonts w:hint="eastAsia" w:ascii="宋体" w:hAnsi="宋体"/>
          <w:bCs/>
          <w:color w:val="auto"/>
        </w:rPr>
        <w:t>绑扎好板底钢筋8@200以及肋梁钢筋上下均为8钢筋，肋梁拉钩为6.5@250；</w:t>
      </w:r>
    </w:p>
    <w:p>
      <w:pPr>
        <w:spacing w:line="360" w:lineRule="auto"/>
        <w:ind w:firstLine="480" w:firstLineChars="200"/>
        <w:jc w:val="left"/>
        <w:rPr>
          <w:rFonts w:hint="eastAsia" w:ascii="宋体" w:hAnsi="宋体"/>
          <w:bCs/>
          <w:color w:val="auto"/>
        </w:rPr>
      </w:pPr>
      <w:r>
        <w:rPr>
          <w:rFonts w:hint="eastAsia" w:ascii="宋体" w:hAnsi="宋体"/>
          <w:bCs/>
          <w:color w:val="auto"/>
          <w:lang w:eastAsia="zh-CN"/>
        </w:rPr>
        <w:t>（</w:t>
      </w:r>
      <w:r>
        <w:rPr>
          <w:rFonts w:hint="eastAsia" w:ascii="宋体" w:hAnsi="宋体"/>
          <w:bCs/>
          <w:color w:val="auto"/>
          <w:lang w:val="en-US" w:eastAsia="zh-CN"/>
        </w:rPr>
        <w:t>4</w:t>
      </w:r>
      <w:r>
        <w:rPr>
          <w:rFonts w:hint="eastAsia" w:ascii="宋体" w:hAnsi="宋体"/>
          <w:bCs/>
          <w:color w:val="auto"/>
          <w:lang w:eastAsia="zh-CN"/>
        </w:rPr>
        <w:t>）</w:t>
      </w:r>
      <w:r>
        <w:rPr>
          <w:rFonts w:hint="eastAsia" w:ascii="宋体" w:hAnsi="宋体"/>
          <w:bCs/>
          <w:color w:val="auto"/>
        </w:rPr>
        <w:t>放置底板钢筋垫块以及石膏模盒垫块保证石膏模盒与底筋的间距大于10mm；</w:t>
      </w:r>
    </w:p>
    <w:p>
      <w:pPr>
        <w:spacing w:line="360" w:lineRule="auto"/>
        <w:ind w:firstLine="480" w:firstLineChars="200"/>
        <w:jc w:val="left"/>
        <w:rPr>
          <w:rFonts w:hint="eastAsia" w:ascii="宋体" w:hAnsi="宋体"/>
          <w:bCs/>
          <w:color w:val="auto"/>
        </w:rPr>
      </w:pPr>
      <w:r>
        <w:rPr>
          <w:rFonts w:hint="eastAsia" w:ascii="宋体" w:hAnsi="宋体"/>
          <w:bCs/>
          <w:color w:val="auto"/>
          <w:lang w:eastAsia="zh-CN"/>
        </w:rPr>
        <w:t>（</w:t>
      </w:r>
      <w:r>
        <w:rPr>
          <w:rFonts w:hint="eastAsia" w:ascii="宋体" w:hAnsi="宋体"/>
          <w:bCs/>
          <w:color w:val="auto"/>
          <w:lang w:val="en-US" w:eastAsia="zh-CN"/>
        </w:rPr>
        <w:t>5</w:t>
      </w:r>
      <w:r>
        <w:rPr>
          <w:rFonts w:hint="eastAsia" w:ascii="宋体" w:hAnsi="宋体"/>
          <w:bCs/>
          <w:color w:val="auto"/>
          <w:lang w:eastAsia="zh-CN"/>
        </w:rPr>
        <w:t>）</w:t>
      </w:r>
      <w:r>
        <w:rPr>
          <w:rFonts w:hint="eastAsia" w:ascii="宋体" w:hAnsi="宋体"/>
          <w:bCs/>
          <w:color w:val="auto"/>
        </w:rPr>
        <w:t>安装石膏模盒，同时选择好1套（共2块）同批石膏模盒进行称重，他们的重量分别为A1</w:t>
      </w:r>
      <w:r>
        <w:rPr>
          <w:rFonts w:hint="eastAsia" w:ascii="宋体" w:hAnsi="宋体"/>
          <w:bCs/>
          <w:color w:val="auto"/>
          <w:lang w:val="en-US" w:eastAsia="zh-CN"/>
        </w:rPr>
        <w:t>为</w:t>
      </w:r>
      <w:r>
        <w:rPr>
          <w:rFonts w:hint="eastAsia" w:ascii="宋体" w:hAnsi="宋体"/>
          <w:bCs/>
          <w:color w:val="auto"/>
        </w:rPr>
        <w:t>19.5kg</w:t>
      </w:r>
      <w:r>
        <w:rPr>
          <w:rFonts w:hint="eastAsia" w:ascii="宋体" w:hAnsi="宋体"/>
          <w:bCs/>
          <w:color w:val="auto"/>
          <w:lang w:eastAsia="zh-CN"/>
        </w:rPr>
        <w:t>，</w:t>
      </w:r>
      <w:r>
        <w:rPr>
          <w:rFonts w:hint="eastAsia" w:ascii="宋体" w:hAnsi="宋体"/>
          <w:bCs/>
          <w:color w:val="auto"/>
        </w:rPr>
        <w:t>B1</w:t>
      </w:r>
      <w:r>
        <w:rPr>
          <w:rFonts w:hint="eastAsia" w:ascii="宋体" w:hAnsi="宋体"/>
          <w:bCs/>
          <w:color w:val="auto"/>
          <w:lang w:val="en-US" w:eastAsia="zh-CN"/>
        </w:rPr>
        <w:t>为</w:t>
      </w:r>
      <w:r>
        <w:rPr>
          <w:rFonts w:hint="eastAsia" w:ascii="宋体" w:hAnsi="宋体"/>
          <w:bCs/>
          <w:color w:val="auto"/>
        </w:rPr>
        <w:t>21.2kg 作为试验对象。</w:t>
      </w:r>
    </w:p>
    <w:p>
      <w:pPr>
        <w:spacing w:line="360" w:lineRule="auto"/>
        <w:ind w:firstLine="480" w:firstLineChars="200"/>
        <w:jc w:val="left"/>
        <w:rPr>
          <w:rFonts w:hint="eastAsia" w:ascii="宋体" w:hAnsi="宋体"/>
          <w:bCs/>
          <w:color w:val="auto"/>
        </w:rPr>
      </w:pPr>
      <w:r>
        <w:rPr>
          <w:rFonts w:hint="eastAsia" w:ascii="宋体" w:hAnsi="宋体"/>
          <w:bCs/>
          <w:color w:val="auto"/>
          <w:lang w:eastAsia="zh-CN"/>
        </w:rPr>
        <w:t>（</w:t>
      </w:r>
      <w:r>
        <w:rPr>
          <w:rFonts w:hint="eastAsia" w:ascii="宋体" w:hAnsi="宋体"/>
          <w:bCs/>
          <w:color w:val="auto"/>
          <w:lang w:val="en-US" w:eastAsia="zh-CN"/>
        </w:rPr>
        <w:t>6</w:t>
      </w:r>
      <w:r>
        <w:rPr>
          <w:rFonts w:hint="eastAsia" w:ascii="宋体" w:hAnsi="宋体"/>
          <w:bCs/>
          <w:color w:val="auto"/>
          <w:lang w:eastAsia="zh-CN"/>
        </w:rPr>
        <w:t>）</w:t>
      </w:r>
      <w:r>
        <w:rPr>
          <w:rFonts w:hint="eastAsia" w:ascii="宋体" w:hAnsi="宋体"/>
          <w:bCs/>
          <w:color w:val="auto"/>
        </w:rPr>
        <w:t>绑扎好板面的钢筋8@200；</w:t>
      </w:r>
    </w:p>
    <w:p>
      <w:pPr>
        <w:spacing w:line="360" w:lineRule="auto"/>
        <w:ind w:firstLine="480" w:firstLineChars="200"/>
        <w:jc w:val="left"/>
        <w:rPr>
          <w:rFonts w:hint="eastAsia" w:ascii="宋体" w:hAnsi="宋体"/>
          <w:bCs/>
          <w:color w:val="auto"/>
        </w:rPr>
      </w:pPr>
      <w:r>
        <w:rPr>
          <w:rFonts w:hint="eastAsia" w:ascii="宋体" w:hAnsi="宋体"/>
          <w:bCs/>
          <w:color w:val="auto"/>
          <w:lang w:eastAsia="zh-CN"/>
        </w:rPr>
        <w:t>（</w:t>
      </w:r>
      <w:r>
        <w:rPr>
          <w:rFonts w:hint="eastAsia" w:ascii="宋体" w:hAnsi="宋体"/>
          <w:bCs/>
          <w:color w:val="auto"/>
          <w:lang w:val="en-US" w:eastAsia="zh-CN"/>
        </w:rPr>
        <w:t>7</w:t>
      </w:r>
      <w:r>
        <w:rPr>
          <w:rFonts w:hint="eastAsia" w:ascii="宋体" w:hAnsi="宋体"/>
          <w:bCs/>
          <w:color w:val="auto"/>
          <w:lang w:eastAsia="zh-CN"/>
        </w:rPr>
        <w:t>）</w:t>
      </w:r>
      <w:r>
        <w:rPr>
          <w:rFonts w:hint="eastAsia" w:ascii="宋体" w:hAnsi="宋体"/>
          <w:bCs/>
          <w:color w:val="auto"/>
        </w:rPr>
        <w:t>用水充分湿润已经安装好的石膏模盒，并且把作为试验对象2块的石膏模盒同样湿润处理（注：浇水时应注意水压适中，每套模盒应上下均匀浇筑，浇水时间保持5—8S，间隔10min再浇一遍），待石膏模盒的湿润后停止浇水。并且记下最后一次称的重量A2</w:t>
      </w:r>
      <w:r>
        <w:rPr>
          <w:rFonts w:hint="eastAsia" w:ascii="宋体" w:hAnsi="宋体"/>
          <w:bCs/>
          <w:color w:val="auto"/>
          <w:lang w:val="en-US" w:eastAsia="zh-CN"/>
        </w:rPr>
        <w:t>为</w:t>
      </w:r>
      <w:r>
        <w:rPr>
          <w:rFonts w:hint="eastAsia" w:ascii="宋体" w:hAnsi="宋体"/>
          <w:bCs/>
          <w:color w:val="auto"/>
        </w:rPr>
        <w:t>23.21kg</w:t>
      </w:r>
      <w:r>
        <w:rPr>
          <w:rFonts w:hint="eastAsia" w:ascii="宋体" w:hAnsi="宋体"/>
          <w:bCs/>
          <w:color w:val="auto"/>
          <w:lang w:eastAsia="zh-CN"/>
        </w:rPr>
        <w:t>，</w:t>
      </w:r>
      <w:r>
        <w:rPr>
          <w:rFonts w:hint="eastAsia" w:ascii="宋体" w:hAnsi="宋体"/>
          <w:bCs/>
          <w:color w:val="auto"/>
        </w:rPr>
        <w:t>B2</w:t>
      </w:r>
      <w:r>
        <w:rPr>
          <w:rFonts w:hint="eastAsia" w:ascii="宋体" w:hAnsi="宋体"/>
          <w:bCs/>
          <w:color w:val="auto"/>
          <w:lang w:val="en-US" w:eastAsia="zh-CN"/>
        </w:rPr>
        <w:t>为</w:t>
      </w:r>
      <w:r>
        <w:rPr>
          <w:rFonts w:hint="eastAsia" w:ascii="宋体" w:hAnsi="宋体"/>
          <w:bCs/>
          <w:color w:val="auto"/>
        </w:rPr>
        <w:t>23.7kg  ；</w:t>
      </w:r>
    </w:p>
    <w:p>
      <w:pPr>
        <w:spacing w:line="360" w:lineRule="auto"/>
        <w:ind w:firstLine="480" w:firstLineChars="200"/>
        <w:jc w:val="left"/>
        <w:rPr>
          <w:rFonts w:hint="eastAsia" w:ascii="宋体" w:hAnsi="宋体"/>
          <w:bCs/>
          <w:color w:val="auto"/>
        </w:rPr>
      </w:pPr>
      <w:r>
        <w:rPr>
          <w:rFonts w:hint="eastAsia" w:ascii="宋体" w:hAnsi="宋体"/>
          <w:bCs/>
          <w:color w:val="auto"/>
          <w:lang w:eastAsia="zh-CN"/>
        </w:rPr>
        <w:t>（</w:t>
      </w:r>
      <w:r>
        <w:rPr>
          <w:rFonts w:hint="eastAsia" w:ascii="宋体" w:hAnsi="宋体"/>
          <w:bCs/>
          <w:color w:val="auto"/>
          <w:lang w:val="en-US" w:eastAsia="zh-CN"/>
        </w:rPr>
        <w:t>8</w:t>
      </w:r>
      <w:r>
        <w:rPr>
          <w:rFonts w:hint="eastAsia" w:ascii="宋体" w:hAnsi="宋体"/>
          <w:bCs/>
          <w:color w:val="auto"/>
          <w:lang w:eastAsia="zh-CN"/>
        </w:rPr>
        <w:t>）</w:t>
      </w:r>
      <w:r>
        <w:rPr>
          <w:rFonts w:hint="eastAsia" w:ascii="宋体" w:hAnsi="宋体"/>
          <w:bCs/>
          <w:color w:val="auto"/>
        </w:rPr>
        <w:t>浇筑混凝土</w:t>
      </w:r>
      <w:r>
        <w:rPr>
          <w:rFonts w:hint="eastAsia" w:ascii="宋体" w:hAnsi="宋体"/>
          <w:bCs/>
          <w:color w:val="auto"/>
          <w:lang w:eastAsia="zh-CN"/>
        </w:rPr>
        <w:t>，</w:t>
      </w:r>
      <w:r>
        <w:rPr>
          <w:rFonts w:hint="eastAsia" w:ascii="宋体" w:hAnsi="宋体"/>
          <w:bCs/>
          <w:color w:val="auto"/>
        </w:rPr>
        <w:t>混凝土采取2次浇筑一次成型，第一次浇筑厚度为振捣后120mm左右，用振动棒充分振动，使细石混凝土充分达到填充箱的底部，待下板混凝土浇筑完后初凝前，在按第一遍浇筑的顺序浇筑上板混凝土，用振动棒充分振动密实，肋梁部分仍需插入振捣，但不能扰动下层混凝土；</w:t>
      </w:r>
    </w:p>
    <w:p>
      <w:pPr>
        <w:spacing w:line="360" w:lineRule="auto"/>
        <w:ind w:firstLine="480" w:firstLineChars="200"/>
        <w:jc w:val="left"/>
        <w:rPr>
          <w:rFonts w:hint="eastAsia" w:ascii="宋体" w:hAnsi="宋体"/>
          <w:bCs/>
          <w:color w:val="auto"/>
        </w:rPr>
      </w:pPr>
      <w:r>
        <w:rPr>
          <w:rFonts w:hint="eastAsia" w:ascii="宋体" w:hAnsi="宋体"/>
          <w:bCs/>
          <w:color w:val="auto"/>
          <w:lang w:eastAsia="zh-CN"/>
        </w:rPr>
        <w:t>（</w:t>
      </w:r>
      <w:r>
        <w:rPr>
          <w:rFonts w:hint="eastAsia" w:ascii="宋体" w:hAnsi="宋体"/>
          <w:bCs/>
          <w:color w:val="auto"/>
          <w:lang w:val="en-US" w:eastAsia="zh-CN"/>
        </w:rPr>
        <w:t>9</w:t>
      </w:r>
      <w:r>
        <w:rPr>
          <w:rFonts w:hint="eastAsia" w:ascii="宋体" w:hAnsi="宋体"/>
          <w:bCs/>
          <w:color w:val="auto"/>
          <w:lang w:eastAsia="zh-CN"/>
        </w:rPr>
        <w:t>）</w:t>
      </w:r>
      <w:r>
        <w:rPr>
          <w:rFonts w:hint="eastAsia" w:ascii="宋体" w:hAnsi="宋体"/>
          <w:bCs/>
          <w:color w:val="auto"/>
        </w:rPr>
        <w:t>对混凝土面层进行收光、养护；</w:t>
      </w:r>
    </w:p>
    <w:p>
      <w:pPr>
        <w:spacing w:line="360" w:lineRule="auto"/>
        <w:ind w:firstLine="480" w:firstLineChars="200"/>
        <w:jc w:val="left"/>
        <w:rPr>
          <w:rFonts w:hint="eastAsia" w:ascii="宋体" w:hAnsi="宋体" w:eastAsia="宋体"/>
          <w:bCs/>
          <w:color w:val="auto"/>
          <w:lang w:eastAsia="zh-CN"/>
        </w:rPr>
      </w:pPr>
      <w:r>
        <w:rPr>
          <w:rFonts w:hint="eastAsia" w:ascii="宋体" w:hAnsi="宋体"/>
          <w:bCs/>
          <w:color w:val="auto"/>
          <w:lang w:eastAsia="zh-CN"/>
        </w:rPr>
        <w:t>（</w:t>
      </w:r>
      <w:r>
        <w:rPr>
          <w:rFonts w:hint="eastAsia" w:ascii="宋体" w:hAnsi="宋体"/>
          <w:bCs/>
          <w:color w:val="auto"/>
          <w:lang w:val="en-US" w:eastAsia="zh-CN"/>
        </w:rPr>
        <w:t>10</w:t>
      </w:r>
      <w:r>
        <w:rPr>
          <w:rFonts w:hint="eastAsia" w:ascii="宋体" w:hAnsi="宋体"/>
          <w:bCs/>
          <w:color w:val="auto"/>
          <w:lang w:eastAsia="zh-CN"/>
        </w:rPr>
        <w:t>）</w:t>
      </w:r>
      <w:r>
        <w:rPr>
          <w:rFonts w:hint="eastAsia" w:ascii="宋体" w:hAnsi="宋体"/>
          <w:bCs/>
          <w:color w:val="auto"/>
        </w:rPr>
        <w:t>待混凝土强度达到50%以上，对已经成型的空心楼盖进行切割，把作为试验对象的2块石膏模盒切出来，观察切面的，然后取出石膏模盒进行称重A3</w:t>
      </w:r>
      <w:r>
        <w:rPr>
          <w:rFonts w:hint="eastAsia" w:ascii="宋体" w:hAnsi="宋体"/>
          <w:bCs/>
          <w:color w:val="auto"/>
          <w:lang w:val="en-US" w:eastAsia="zh-CN"/>
        </w:rPr>
        <w:t>为</w:t>
      </w:r>
      <w:r>
        <w:rPr>
          <w:rFonts w:hint="eastAsia" w:ascii="宋体" w:hAnsi="宋体"/>
          <w:bCs/>
          <w:color w:val="auto"/>
        </w:rPr>
        <w:t>21.2kg</w:t>
      </w:r>
      <w:r>
        <w:rPr>
          <w:rFonts w:hint="eastAsia" w:ascii="宋体" w:hAnsi="宋体"/>
          <w:bCs/>
          <w:color w:val="auto"/>
          <w:lang w:eastAsia="zh-CN"/>
        </w:rPr>
        <w:t>，</w:t>
      </w:r>
      <w:r>
        <w:rPr>
          <w:rFonts w:hint="eastAsia" w:ascii="宋体" w:hAnsi="宋体"/>
          <w:bCs/>
          <w:color w:val="auto"/>
        </w:rPr>
        <w:t>B3</w:t>
      </w:r>
      <w:r>
        <w:rPr>
          <w:rFonts w:hint="eastAsia" w:ascii="宋体" w:hAnsi="宋体"/>
          <w:bCs/>
          <w:color w:val="auto"/>
          <w:lang w:val="en-US" w:eastAsia="zh-CN"/>
        </w:rPr>
        <w:t>为</w:t>
      </w:r>
      <w:r>
        <w:rPr>
          <w:rFonts w:hint="eastAsia" w:ascii="宋体" w:hAnsi="宋体"/>
          <w:bCs/>
          <w:color w:val="auto"/>
        </w:rPr>
        <w:t>21.5kg</w:t>
      </w:r>
      <w:r>
        <w:rPr>
          <w:rFonts w:hint="eastAsia" w:ascii="宋体" w:hAnsi="宋体"/>
          <w:bCs/>
          <w:color w:val="auto"/>
          <w:lang w:eastAsia="zh-CN"/>
        </w:rPr>
        <w:t>。</w:t>
      </w:r>
    </w:p>
    <w:p>
      <w:pPr>
        <w:jc w:val="center"/>
        <w:rPr>
          <w:rFonts w:hint="eastAsia"/>
          <w:sz w:val="24"/>
          <w:szCs w:val="24"/>
          <w:lang w:val="zh-CN"/>
        </w:rPr>
      </w:pPr>
      <w:r>
        <w:rPr>
          <w:rFonts w:hint="eastAsia"/>
          <w:sz w:val="24"/>
          <w:szCs w:val="24"/>
          <w:lang w:val="zh-CN"/>
        </w:rPr>
        <w:drawing>
          <wp:inline distT="0" distB="0" distL="114300" distR="114300">
            <wp:extent cx="2880360" cy="2057400"/>
            <wp:effectExtent l="0" t="0" r="15240" b="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6"/>
                    <a:stretch>
                      <a:fillRect/>
                    </a:stretch>
                  </pic:blipFill>
                  <pic:spPr>
                    <a:xfrm>
                      <a:off x="0" y="0"/>
                      <a:ext cx="2880360" cy="2057400"/>
                    </a:xfrm>
                    <a:prstGeom prst="rect">
                      <a:avLst/>
                    </a:prstGeom>
                    <a:noFill/>
                    <a:ln>
                      <a:noFill/>
                    </a:ln>
                  </pic:spPr>
                </pic:pic>
              </a:graphicData>
            </a:graphic>
          </wp:inline>
        </w:drawing>
      </w:r>
    </w:p>
    <w:p>
      <w:pPr>
        <w:jc w:val="center"/>
        <w:rPr>
          <w:rFonts w:hint="eastAsia"/>
          <w:sz w:val="24"/>
          <w:szCs w:val="24"/>
          <w:lang w:val="zh-CN"/>
        </w:rPr>
      </w:pPr>
      <w:r>
        <w:rPr>
          <w:rFonts w:hint="eastAsia"/>
          <w:sz w:val="24"/>
          <w:szCs w:val="24"/>
          <w:lang w:val="zh-CN"/>
        </w:rPr>
        <w:t>图</w:t>
      </w:r>
      <w:r>
        <w:rPr>
          <w:rFonts w:hint="eastAsia"/>
          <w:sz w:val="24"/>
          <w:szCs w:val="24"/>
          <w:lang w:val="en-US" w:eastAsia="zh-CN"/>
        </w:rPr>
        <w:t xml:space="preserve">1 </w:t>
      </w:r>
      <w:r>
        <w:rPr>
          <w:rFonts w:hint="eastAsia"/>
          <w:sz w:val="24"/>
          <w:szCs w:val="24"/>
          <w:lang w:val="zh-CN"/>
        </w:rPr>
        <w:t>浇筑混凝土底板</w:t>
      </w:r>
    </w:p>
    <w:p>
      <w:pPr>
        <w:jc w:val="center"/>
        <w:rPr>
          <w:rFonts w:hint="eastAsia"/>
          <w:sz w:val="24"/>
          <w:szCs w:val="24"/>
          <w:lang w:val="zh-CN"/>
        </w:rPr>
      </w:pPr>
      <w:r>
        <w:rPr>
          <w:rFonts w:hint="eastAsia"/>
          <w:sz w:val="24"/>
          <w:szCs w:val="24"/>
          <w:lang w:val="zh-CN"/>
        </w:rPr>
        <w:drawing>
          <wp:inline distT="0" distB="0" distL="114300" distR="114300">
            <wp:extent cx="2940685" cy="1953260"/>
            <wp:effectExtent l="0" t="0" r="12065" b="8890"/>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pic:cNvPicPr>
                  </pic:nvPicPr>
                  <pic:blipFill>
                    <a:blip r:embed="rId7"/>
                    <a:stretch>
                      <a:fillRect/>
                    </a:stretch>
                  </pic:blipFill>
                  <pic:spPr>
                    <a:xfrm>
                      <a:off x="0" y="0"/>
                      <a:ext cx="2940685" cy="1953260"/>
                    </a:xfrm>
                    <a:prstGeom prst="rect">
                      <a:avLst/>
                    </a:prstGeom>
                    <a:noFill/>
                    <a:ln>
                      <a:noFill/>
                    </a:ln>
                  </pic:spPr>
                </pic:pic>
              </a:graphicData>
            </a:graphic>
          </wp:inline>
        </w:drawing>
      </w:r>
    </w:p>
    <w:p>
      <w:pPr>
        <w:jc w:val="center"/>
        <w:rPr>
          <w:rFonts w:hint="eastAsia"/>
          <w:sz w:val="24"/>
          <w:szCs w:val="24"/>
          <w:lang w:val="zh-CN"/>
        </w:rPr>
      </w:pPr>
      <w:r>
        <w:rPr>
          <w:rFonts w:hint="eastAsia"/>
          <w:sz w:val="24"/>
          <w:szCs w:val="24"/>
          <w:lang w:val="zh-CN"/>
        </w:rPr>
        <w:t>图</w:t>
      </w:r>
      <w:r>
        <w:rPr>
          <w:rFonts w:hint="eastAsia"/>
          <w:sz w:val="24"/>
          <w:szCs w:val="24"/>
          <w:lang w:val="en-US" w:eastAsia="zh-CN"/>
        </w:rPr>
        <w:t xml:space="preserve">2 </w:t>
      </w:r>
      <w:r>
        <w:rPr>
          <w:rFonts w:hint="eastAsia"/>
          <w:sz w:val="24"/>
          <w:szCs w:val="24"/>
          <w:lang w:val="zh-CN"/>
        </w:rPr>
        <w:t>成型的空心楼盖</w:t>
      </w:r>
    </w:p>
    <w:p>
      <w:pPr>
        <w:jc w:val="center"/>
        <w:rPr>
          <w:rFonts w:hint="eastAsia"/>
          <w:sz w:val="24"/>
          <w:szCs w:val="24"/>
          <w:lang w:val="zh-CN"/>
        </w:rPr>
      </w:pPr>
      <w:r>
        <w:rPr>
          <w:rFonts w:hint="eastAsia"/>
          <w:sz w:val="24"/>
          <w:szCs w:val="24"/>
          <w:lang w:val="zh-CN"/>
        </w:rPr>
        <w:drawing>
          <wp:inline distT="0" distB="0" distL="114300" distR="114300">
            <wp:extent cx="2940685" cy="1953260"/>
            <wp:effectExtent l="0" t="0" r="12065" b="889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8"/>
                    <a:stretch>
                      <a:fillRect/>
                    </a:stretch>
                  </pic:blipFill>
                  <pic:spPr>
                    <a:xfrm>
                      <a:off x="0" y="0"/>
                      <a:ext cx="2940685" cy="1953260"/>
                    </a:xfrm>
                    <a:prstGeom prst="rect">
                      <a:avLst/>
                    </a:prstGeom>
                    <a:noFill/>
                    <a:ln>
                      <a:noFill/>
                    </a:ln>
                  </pic:spPr>
                </pic:pic>
              </a:graphicData>
            </a:graphic>
          </wp:inline>
        </w:drawing>
      </w:r>
    </w:p>
    <w:p>
      <w:pPr>
        <w:jc w:val="center"/>
        <w:rPr>
          <w:rFonts w:hint="eastAsia"/>
          <w:sz w:val="24"/>
          <w:szCs w:val="24"/>
          <w:lang w:val="zh-CN"/>
        </w:rPr>
      </w:pPr>
      <w:r>
        <w:rPr>
          <w:rFonts w:hint="eastAsia"/>
          <w:sz w:val="24"/>
          <w:szCs w:val="24"/>
          <w:lang w:val="zh-CN"/>
        </w:rPr>
        <w:t>图</w:t>
      </w:r>
      <w:r>
        <w:rPr>
          <w:rFonts w:hint="eastAsia"/>
          <w:sz w:val="24"/>
          <w:szCs w:val="24"/>
          <w:lang w:val="en-US" w:eastAsia="zh-CN"/>
        </w:rPr>
        <w:t xml:space="preserve">3 </w:t>
      </w:r>
      <w:r>
        <w:rPr>
          <w:rFonts w:hint="eastAsia"/>
          <w:sz w:val="24"/>
          <w:szCs w:val="24"/>
          <w:lang w:val="zh-CN"/>
        </w:rPr>
        <w:t>测量混凝土空心板成型后的总厚度</w:t>
      </w:r>
    </w:p>
    <w:p>
      <w:pPr>
        <w:jc w:val="center"/>
        <w:rPr>
          <w:rFonts w:hint="eastAsia"/>
          <w:sz w:val="24"/>
          <w:szCs w:val="24"/>
          <w:lang w:val="zh-CN"/>
        </w:rPr>
      </w:pPr>
    </w:p>
    <w:p>
      <w:pPr>
        <w:jc w:val="center"/>
        <w:rPr>
          <w:rFonts w:hint="eastAsia"/>
          <w:sz w:val="24"/>
          <w:szCs w:val="24"/>
          <w:lang w:val="zh-CN"/>
        </w:rPr>
      </w:pPr>
    </w:p>
    <w:p>
      <w:pPr>
        <w:jc w:val="center"/>
        <w:rPr>
          <w:rFonts w:hint="eastAsia"/>
          <w:sz w:val="24"/>
          <w:szCs w:val="24"/>
          <w:lang w:val="zh-CN"/>
        </w:rPr>
      </w:pPr>
      <w:r>
        <w:rPr>
          <w:rFonts w:hint="eastAsia"/>
          <w:sz w:val="24"/>
          <w:szCs w:val="24"/>
          <w:lang w:val="zh-CN"/>
        </w:rPr>
        <w:drawing>
          <wp:inline distT="0" distB="0" distL="114300" distR="114300">
            <wp:extent cx="3038475" cy="1887855"/>
            <wp:effectExtent l="0" t="0" r="9525" b="17145"/>
            <wp:docPr id="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
                    <pic:cNvPicPr>
                      <a:picLocks noChangeAspect="1"/>
                    </pic:cNvPicPr>
                  </pic:nvPicPr>
                  <pic:blipFill>
                    <a:blip r:embed="rId9"/>
                    <a:stretch>
                      <a:fillRect/>
                    </a:stretch>
                  </pic:blipFill>
                  <pic:spPr>
                    <a:xfrm>
                      <a:off x="0" y="0"/>
                      <a:ext cx="3038475" cy="1887855"/>
                    </a:xfrm>
                    <a:prstGeom prst="rect">
                      <a:avLst/>
                    </a:prstGeom>
                    <a:noFill/>
                    <a:ln>
                      <a:noFill/>
                    </a:ln>
                  </pic:spPr>
                </pic:pic>
              </a:graphicData>
            </a:graphic>
          </wp:inline>
        </w:drawing>
      </w:r>
    </w:p>
    <w:p>
      <w:pPr>
        <w:jc w:val="center"/>
        <w:rPr>
          <w:rFonts w:hint="eastAsia"/>
          <w:sz w:val="24"/>
          <w:szCs w:val="24"/>
          <w:lang w:val="zh-CN"/>
        </w:rPr>
      </w:pPr>
      <w:r>
        <w:rPr>
          <w:rFonts w:hint="eastAsia"/>
          <w:sz w:val="24"/>
          <w:szCs w:val="24"/>
          <w:lang w:val="zh-CN"/>
        </w:rPr>
        <w:t>图</w:t>
      </w:r>
      <w:r>
        <w:rPr>
          <w:rFonts w:hint="eastAsia"/>
          <w:sz w:val="24"/>
          <w:szCs w:val="24"/>
          <w:lang w:val="en-US" w:eastAsia="zh-CN"/>
        </w:rPr>
        <w:t xml:space="preserve">4 </w:t>
      </w:r>
      <w:r>
        <w:rPr>
          <w:rFonts w:hint="eastAsia"/>
          <w:sz w:val="24"/>
          <w:szCs w:val="24"/>
          <w:lang w:val="zh-CN"/>
        </w:rPr>
        <w:t>切割已成型的空心楼盖</w:t>
      </w:r>
    </w:p>
    <w:p>
      <w:pPr>
        <w:jc w:val="center"/>
        <w:rPr>
          <w:rFonts w:hint="eastAsia"/>
          <w:sz w:val="24"/>
          <w:szCs w:val="24"/>
          <w:lang w:val="zh-CN"/>
        </w:rPr>
      </w:pPr>
      <w:r>
        <w:rPr>
          <w:rFonts w:hint="eastAsia"/>
          <w:sz w:val="24"/>
          <w:szCs w:val="24"/>
          <w:lang w:val="zh-CN"/>
        </w:rPr>
        <w:drawing>
          <wp:inline distT="0" distB="0" distL="114300" distR="114300">
            <wp:extent cx="3038475" cy="1953260"/>
            <wp:effectExtent l="0" t="0" r="9525" b="889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10"/>
                    <a:stretch>
                      <a:fillRect/>
                    </a:stretch>
                  </pic:blipFill>
                  <pic:spPr>
                    <a:xfrm>
                      <a:off x="0" y="0"/>
                      <a:ext cx="3038475" cy="1953260"/>
                    </a:xfrm>
                    <a:prstGeom prst="rect">
                      <a:avLst/>
                    </a:prstGeom>
                    <a:noFill/>
                    <a:ln>
                      <a:noFill/>
                    </a:ln>
                  </pic:spPr>
                </pic:pic>
              </a:graphicData>
            </a:graphic>
          </wp:inline>
        </w:drawing>
      </w:r>
    </w:p>
    <w:p>
      <w:pPr>
        <w:jc w:val="center"/>
        <w:rPr>
          <w:rFonts w:hint="eastAsia"/>
          <w:sz w:val="24"/>
          <w:szCs w:val="24"/>
          <w:lang w:val="zh-CN"/>
        </w:rPr>
      </w:pPr>
      <w:r>
        <w:rPr>
          <w:rFonts w:hint="eastAsia"/>
          <w:sz w:val="24"/>
          <w:szCs w:val="24"/>
          <w:lang w:val="zh-CN"/>
        </w:rPr>
        <w:t>图</w:t>
      </w:r>
      <w:r>
        <w:rPr>
          <w:rFonts w:hint="eastAsia"/>
          <w:sz w:val="24"/>
          <w:szCs w:val="24"/>
          <w:lang w:val="en-US" w:eastAsia="zh-CN"/>
        </w:rPr>
        <w:t xml:space="preserve">5 </w:t>
      </w:r>
      <w:r>
        <w:rPr>
          <w:rFonts w:hint="eastAsia"/>
          <w:sz w:val="24"/>
          <w:szCs w:val="24"/>
          <w:lang w:val="zh-CN"/>
        </w:rPr>
        <w:t>取试验板成品</w:t>
      </w:r>
    </w:p>
    <w:p>
      <w:pPr>
        <w:jc w:val="center"/>
        <w:rPr>
          <w:rFonts w:hint="eastAsia"/>
          <w:sz w:val="24"/>
          <w:szCs w:val="24"/>
          <w:lang w:val="zh-CN"/>
        </w:rPr>
      </w:pPr>
      <w:r>
        <w:rPr>
          <w:rFonts w:hint="eastAsia"/>
          <w:sz w:val="24"/>
          <w:szCs w:val="24"/>
          <w:lang w:val="zh-CN"/>
        </w:rPr>
        <w:drawing>
          <wp:inline distT="0" distB="0" distL="114300" distR="114300">
            <wp:extent cx="3201035" cy="2124710"/>
            <wp:effectExtent l="0" t="0" r="18415" b="8890"/>
            <wp:docPr id="6" name="图片 9" descr="qq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9" descr="qqq.png"/>
                    <pic:cNvPicPr>
                      <a:picLocks noChangeAspect="1"/>
                    </pic:cNvPicPr>
                  </pic:nvPicPr>
                  <pic:blipFill>
                    <a:blip r:embed="rId11"/>
                    <a:stretch>
                      <a:fillRect/>
                    </a:stretch>
                  </pic:blipFill>
                  <pic:spPr>
                    <a:xfrm>
                      <a:off x="0" y="0"/>
                      <a:ext cx="3201035" cy="2124710"/>
                    </a:xfrm>
                    <a:prstGeom prst="rect">
                      <a:avLst/>
                    </a:prstGeom>
                    <a:noFill/>
                    <a:ln>
                      <a:noFill/>
                    </a:ln>
                  </pic:spPr>
                </pic:pic>
              </a:graphicData>
            </a:graphic>
          </wp:inline>
        </w:drawing>
      </w:r>
    </w:p>
    <w:p>
      <w:pPr>
        <w:jc w:val="center"/>
        <w:rPr>
          <w:rFonts w:hint="eastAsia"/>
          <w:sz w:val="24"/>
          <w:szCs w:val="24"/>
          <w:lang w:val="zh-CN"/>
        </w:rPr>
      </w:pPr>
      <w:r>
        <w:rPr>
          <w:rFonts w:hint="eastAsia"/>
          <w:sz w:val="24"/>
          <w:szCs w:val="24"/>
          <w:lang w:val="zh-CN"/>
        </w:rPr>
        <w:t>图</w:t>
      </w:r>
      <w:r>
        <w:rPr>
          <w:rFonts w:hint="eastAsia"/>
          <w:sz w:val="24"/>
          <w:szCs w:val="24"/>
          <w:lang w:val="en-US" w:eastAsia="zh-CN"/>
        </w:rPr>
        <w:t xml:space="preserve">6 </w:t>
      </w:r>
      <w:r>
        <w:rPr>
          <w:rFonts w:hint="eastAsia"/>
          <w:sz w:val="24"/>
          <w:szCs w:val="24"/>
          <w:lang w:val="zh-CN"/>
        </w:rPr>
        <w:t>石膏模盒与混凝土结合情况</w:t>
      </w:r>
    </w:p>
    <w:p>
      <w:pPr>
        <w:pStyle w:val="3"/>
        <w:rPr>
          <w:rFonts w:hint="eastAsia"/>
          <w:lang w:val="en-US" w:eastAsia="zh-CN"/>
        </w:rPr>
      </w:pPr>
      <w:r>
        <w:rPr>
          <w:rFonts w:hint="eastAsia"/>
          <w:lang w:val="en-US" w:eastAsia="zh-CN"/>
        </w:rPr>
        <w:t>3.4 验收结论</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sz w:val="24"/>
          <w:szCs w:val="24"/>
          <w:lang w:val="zh-CN"/>
        </w:rPr>
      </w:pPr>
      <w:r>
        <w:rPr>
          <w:rFonts w:hint="eastAsia"/>
          <w:sz w:val="24"/>
          <w:szCs w:val="24"/>
          <w:lang w:val="zh-CN"/>
        </w:rPr>
        <w:t xml:space="preserve">   （</w:t>
      </w:r>
      <w:r>
        <w:rPr>
          <w:rFonts w:hint="eastAsia"/>
          <w:sz w:val="24"/>
          <w:szCs w:val="24"/>
          <w:lang w:val="en-US" w:eastAsia="zh-CN"/>
        </w:rPr>
        <w:t>1</w:t>
      </w:r>
      <w:r>
        <w:rPr>
          <w:rFonts w:hint="eastAsia"/>
          <w:sz w:val="24"/>
          <w:szCs w:val="24"/>
          <w:lang w:val="zh-CN"/>
        </w:rPr>
        <w:t>）通过浇筑混凝土前分别对随机选定的2块完全湿润（吸水率达到95%以上）石膏模盒进行称重；石膏模盒空心楼板混凝土浇筑成型后，待混凝土强度超过50%，并将石膏模盒剔打出来再次称重；前后对比平均减轻（即石膏模盒失水）重量为2.2</w:t>
      </w:r>
      <w:r>
        <w:rPr>
          <w:rFonts w:hint="eastAsia"/>
          <w:sz w:val="24"/>
          <w:szCs w:val="24"/>
          <w:lang w:val="en-US" w:eastAsia="zh-CN"/>
        </w:rPr>
        <w:t xml:space="preserve"> kg</w:t>
      </w:r>
      <w:r>
        <w:rPr>
          <w:rFonts w:hint="eastAsia"/>
          <w:sz w:val="24"/>
          <w:szCs w:val="24"/>
          <w:lang w:val="zh-CN"/>
        </w:rPr>
        <w:t>。空心楼盖块体中，取出石膏模盒，发现混凝土楼板空腔内表面光滑，并没有因失水过多产生离析出现蜂窝麻面。混凝土浇筑前对石膏模盒进行充分润湿后，混凝土浇筑过程中不但没有吸收混凝土中的水分，反而在混凝土凝固过程中释放水分来养护混凝土，从而起到了内置养护的作用。</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sz w:val="24"/>
          <w:szCs w:val="24"/>
          <w:lang w:val="zh-CN"/>
        </w:rPr>
      </w:pPr>
      <w:r>
        <w:rPr>
          <w:rFonts w:hint="eastAsia"/>
          <w:sz w:val="24"/>
          <w:szCs w:val="24"/>
          <w:lang w:val="zh-CN"/>
        </w:rPr>
        <w:t>（</w:t>
      </w:r>
      <w:r>
        <w:rPr>
          <w:rFonts w:hint="eastAsia"/>
          <w:sz w:val="24"/>
          <w:szCs w:val="24"/>
          <w:lang w:val="en-US" w:eastAsia="zh-CN"/>
        </w:rPr>
        <w:t>2</w:t>
      </w:r>
      <w:r>
        <w:rPr>
          <w:rFonts w:hint="eastAsia"/>
          <w:sz w:val="24"/>
          <w:szCs w:val="24"/>
          <w:lang w:val="zh-CN"/>
        </w:rPr>
        <w:t>）石膏模盒和混凝土的结合非常紧密,整体受力好、填充箱体无位移、箱体的上下板的厚度经过测量满足设计的厚度，上板达到60mm,下板达到50mm；钢筋保护层厚度大于15mm,在规范的要求允许偏差范围内；混凝土强度经过抽芯检查满足C30的混凝土强度。</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sz w:val="24"/>
          <w:szCs w:val="24"/>
          <w:lang w:val="zh-CN"/>
        </w:rPr>
      </w:pPr>
      <w:r>
        <w:rPr>
          <w:rFonts w:hint="eastAsia"/>
          <w:sz w:val="24"/>
          <w:szCs w:val="24"/>
          <w:lang w:val="zh-CN"/>
        </w:rPr>
        <w:t>（</w:t>
      </w:r>
      <w:r>
        <w:rPr>
          <w:rFonts w:hint="eastAsia"/>
          <w:sz w:val="24"/>
          <w:szCs w:val="24"/>
          <w:lang w:val="en-US" w:eastAsia="zh-CN"/>
        </w:rPr>
        <w:t>3</w:t>
      </w:r>
      <w:r>
        <w:rPr>
          <w:rFonts w:hint="eastAsia"/>
          <w:sz w:val="24"/>
          <w:szCs w:val="24"/>
          <w:lang w:val="zh-CN"/>
        </w:rPr>
        <w:t>）现浇板上下厚度及密肋尺寸满足设计及规范要求，混凝土切面密实，且上下两块模盒对扣整齐无位移。</w:t>
      </w:r>
    </w:p>
    <w:p>
      <w:pPr>
        <w:pStyle w:val="2"/>
      </w:pPr>
      <w:bookmarkStart w:id="34" w:name="_Toc27776"/>
      <w:r>
        <w:rPr>
          <w:rFonts w:hint="eastAsia"/>
        </w:rPr>
        <w:t>4 标准中涉及专利情况说明</w:t>
      </w:r>
      <w:bookmarkEnd w:id="34"/>
    </w:p>
    <w:p>
      <w:pPr>
        <w:spacing w:line="360" w:lineRule="auto"/>
        <w:ind w:firstLine="480"/>
        <w:jc w:val="left"/>
        <w:rPr>
          <w:rFonts w:asciiTheme="minorEastAsia" w:hAnsiTheme="minorEastAsia" w:eastAsiaTheme="minorEastAsia"/>
          <w:szCs w:val="28"/>
        </w:rPr>
      </w:pPr>
      <w:r>
        <w:rPr>
          <w:rFonts w:hint="eastAsia" w:asciiTheme="minorEastAsia" w:hAnsiTheme="minorEastAsia" w:eastAsiaTheme="minorEastAsia"/>
          <w:szCs w:val="28"/>
        </w:rPr>
        <w:t>经检索，本标准所列技术内容没有涉及专利和知识产权的情况。</w:t>
      </w:r>
    </w:p>
    <w:p>
      <w:pPr>
        <w:pStyle w:val="2"/>
      </w:pPr>
      <w:bookmarkStart w:id="35" w:name="_Toc8646"/>
      <w:r>
        <w:rPr>
          <w:rFonts w:hint="eastAsia"/>
        </w:rPr>
        <w:t>5</w:t>
      </w:r>
      <w:r>
        <w:t xml:space="preserve"> </w:t>
      </w:r>
      <w:r>
        <w:rPr>
          <w:rFonts w:hint="eastAsia"/>
        </w:rPr>
        <w:t>产业化情况</w:t>
      </w:r>
      <w:bookmarkEnd w:id="35"/>
    </w:p>
    <w:p>
      <w:pPr>
        <w:spacing w:line="360" w:lineRule="auto"/>
        <w:ind w:firstLine="480" w:firstLineChars="200"/>
        <w:rPr>
          <w:rFonts w:hint="eastAsia" w:ascii="宋体" w:hAnsi="宋体"/>
        </w:rPr>
      </w:pPr>
      <w:r>
        <w:rPr>
          <w:rFonts w:hint="eastAsia" w:ascii="宋体" w:hAnsi="宋体"/>
        </w:rPr>
        <w:t>“十四五”时期我国进入新的发展阶段，开启了全面建设社会主义现代化国家的新征程。大力发展循环经济，推进资源节约集约利用，构建资源循环型产业体系和废旧物资利用体系，对保障国家资源安全，推动实现“碳达峰、碳中和”，促进生态文明建设具有重</w:t>
      </w:r>
      <w:r>
        <w:rPr>
          <w:rFonts w:hint="eastAsia" w:ascii="宋体" w:hAnsi="宋体"/>
          <w:lang w:val="en-US" w:eastAsia="zh-CN"/>
        </w:rPr>
        <w:t>大</w:t>
      </w:r>
      <w:r>
        <w:rPr>
          <w:rFonts w:hint="eastAsia" w:ascii="宋体" w:hAnsi="宋体"/>
        </w:rPr>
        <w:t>意义。生产和应用</w:t>
      </w:r>
      <w:r>
        <w:rPr>
          <w:rFonts w:hint="eastAsia" w:ascii="宋体" w:hAnsi="宋体"/>
          <w:lang w:eastAsia="zh-CN"/>
        </w:rPr>
        <w:t>石膏模盒</w:t>
      </w:r>
      <w:r>
        <w:rPr>
          <w:rFonts w:hint="eastAsia" w:ascii="宋体" w:hAnsi="宋体"/>
          <w:lang w:val="en-US" w:eastAsia="zh-CN"/>
        </w:rPr>
        <w:t>一是能够在墙体材料领域大幅降低建材和建筑方面的碳排放量；二</w:t>
      </w:r>
      <w:r>
        <w:rPr>
          <w:rFonts w:hint="eastAsia" w:ascii="宋体" w:hAnsi="宋体"/>
        </w:rPr>
        <w:t>是</w:t>
      </w:r>
      <w:r>
        <w:rPr>
          <w:rFonts w:hint="eastAsia" w:ascii="宋体" w:hAnsi="宋体"/>
          <w:lang w:val="en-US" w:eastAsia="zh-CN"/>
        </w:rPr>
        <w:t>能够大量</w:t>
      </w:r>
      <w:r>
        <w:rPr>
          <w:rFonts w:hint="eastAsia" w:ascii="宋体" w:hAnsi="宋体"/>
        </w:rPr>
        <w:t>消纳工业副产石膏</w:t>
      </w:r>
      <w:r>
        <w:rPr>
          <w:rFonts w:hint="eastAsia" w:ascii="宋体" w:hAnsi="宋体"/>
          <w:lang w:eastAsia="zh-CN"/>
        </w:rPr>
        <w:t>，</w:t>
      </w:r>
      <w:r>
        <w:rPr>
          <w:rFonts w:hint="eastAsia" w:ascii="宋体" w:hAnsi="宋体"/>
          <w:lang w:val="en-US" w:eastAsia="zh-CN"/>
        </w:rPr>
        <w:t>特别是磷石膏，是</w:t>
      </w:r>
      <w:r>
        <w:rPr>
          <w:rFonts w:hint="eastAsia" w:ascii="宋体" w:hAnsi="宋体"/>
        </w:rPr>
        <w:t>推动资源循环利用发展的重要途径之一。</w:t>
      </w:r>
    </w:p>
    <w:p>
      <w:pPr>
        <w:spacing w:line="360" w:lineRule="auto"/>
        <w:ind w:firstLine="480" w:firstLineChars="200"/>
        <w:rPr>
          <w:rFonts w:hint="eastAsia" w:ascii="宋体" w:hAnsi="宋体" w:eastAsia="宋体" w:cs="宋体"/>
          <w:color w:val="auto"/>
          <w:szCs w:val="28"/>
        </w:rPr>
      </w:pPr>
      <w:r>
        <w:rPr>
          <w:rFonts w:hint="eastAsia" w:ascii="宋体" w:hAnsi="宋体"/>
          <w:color w:val="auto"/>
          <w:lang w:val="en-US" w:eastAsia="zh-CN"/>
        </w:rPr>
        <w:t>以工业副产石膏为主要原料的石膏模盒在生产环节碳排放方面具有巨大优势</w:t>
      </w:r>
      <w:r>
        <w:rPr>
          <w:rFonts w:hint="eastAsia" w:ascii="宋体" w:hAnsi="宋体"/>
          <w:color w:val="auto"/>
          <w:lang w:eastAsia="zh-CN"/>
        </w:rPr>
        <w:t>，</w:t>
      </w:r>
      <w:r>
        <w:rPr>
          <w:rFonts w:hint="eastAsia" w:ascii="宋体" w:hAnsi="宋体"/>
          <w:color w:val="auto"/>
          <w:lang w:val="en-US" w:eastAsia="zh-CN"/>
        </w:rPr>
        <w:t>且用于大跨度无梁工程</w:t>
      </w:r>
      <w:r>
        <w:rPr>
          <w:rFonts w:hint="eastAsia" w:ascii="宋体" w:hAnsi="宋体"/>
          <w:color w:val="auto"/>
        </w:rPr>
        <w:t>，</w:t>
      </w:r>
      <w:r>
        <w:rPr>
          <w:rFonts w:hint="eastAsia" w:ascii="宋体" w:hAnsi="宋体"/>
          <w:color w:val="auto"/>
          <w:lang w:val="en-US" w:eastAsia="zh-CN"/>
        </w:rPr>
        <w:t>能够大幅节省钢筋和混凝土的用量，即在应用环节节材、减碳的效果也非常突出，</w:t>
      </w:r>
      <w:r>
        <w:rPr>
          <w:rFonts w:hint="eastAsia" w:ascii="宋体" w:hAnsi="宋体" w:eastAsia="宋体" w:cs="宋体"/>
          <w:color w:val="auto"/>
          <w:szCs w:val="28"/>
        </w:rPr>
        <w:t>随着国家对绿色建筑和节能减排政策的不断推进，石膏模盒的产业化发展得到了有力支持。</w:t>
      </w:r>
    </w:p>
    <w:p>
      <w:pPr>
        <w:spacing w:line="360" w:lineRule="auto"/>
        <w:ind w:firstLine="480" w:firstLineChars="200"/>
        <w:rPr>
          <w:rFonts w:hint="eastAsia" w:ascii="宋体" w:hAnsi="宋体" w:eastAsia="宋体" w:cs="宋体"/>
          <w:color w:val="auto"/>
          <w:szCs w:val="28"/>
        </w:rPr>
      </w:pPr>
      <w:r>
        <w:rPr>
          <w:rFonts w:hint="eastAsia" w:ascii="宋体" w:hAnsi="宋体"/>
          <w:lang w:eastAsia="zh-CN"/>
        </w:rPr>
        <w:t>石膏模盒</w:t>
      </w:r>
      <w:r>
        <w:rPr>
          <w:rFonts w:hint="eastAsia" w:ascii="宋体" w:hAnsi="宋体"/>
        </w:rPr>
        <w:t>的规模化生产、推广和应用，</w:t>
      </w:r>
      <w:r>
        <w:rPr>
          <w:rFonts w:hint="eastAsia" w:ascii="宋体" w:hAnsi="宋体"/>
          <w:lang w:val="en-US" w:eastAsia="zh-CN"/>
        </w:rPr>
        <w:t>还</w:t>
      </w:r>
      <w:r>
        <w:rPr>
          <w:rFonts w:hint="eastAsia" w:ascii="宋体" w:hAnsi="宋体"/>
        </w:rPr>
        <w:t>可消耗大量的工业副产石膏，据石膏建材分会统计，202</w:t>
      </w:r>
      <w:r>
        <w:rPr>
          <w:rFonts w:hint="eastAsia" w:ascii="宋体" w:hAnsi="宋体"/>
          <w:lang w:val="en-US" w:eastAsia="zh-CN"/>
        </w:rPr>
        <w:t>3</w:t>
      </w:r>
      <w:r>
        <w:rPr>
          <w:rFonts w:hint="eastAsia" w:ascii="宋体" w:hAnsi="宋体"/>
        </w:rPr>
        <w:t>年全国工业副产石膏排放量</w:t>
      </w:r>
      <w:r>
        <w:rPr>
          <w:rFonts w:hint="eastAsia" w:ascii="宋体" w:hAnsi="宋体"/>
          <w:lang w:val="en-US" w:eastAsia="zh-CN"/>
        </w:rPr>
        <w:t>约</w:t>
      </w:r>
      <w:r>
        <w:rPr>
          <w:rFonts w:hint="eastAsia" w:ascii="宋体" w:hAnsi="宋体"/>
        </w:rPr>
        <w:t>2</w:t>
      </w:r>
      <w:r>
        <w:rPr>
          <w:rFonts w:hint="eastAsia" w:ascii="宋体" w:hAnsi="宋体"/>
          <w:lang w:val="en-US" w:eastAsia="zh-CN"/>
        </w:rPr>
        <w:t>.6</w:t>
      </w:r>
      <w:r>
        <w:rPr>
          <w:rFonts w:hint="eastAsia" w:ascii="宋体" w:hAnsi="宋体"/>
        </w:rPr>
        <w:t>亿吨，而利用量仅为50%左右，大规模生产并应用</w:t>
      </w:r>
      <w:r>
        <w:rPr>
          <w:rFonts w:hint="eastAsia" w:ascii="宋体" w:hAnsi="宋体"/>
          <w:lang w:eastAsia="zh-CN"/>
        </w:rPr>
        <w:t>石膏模盒</w:t>
      </w:r>
      <w:r>
        <w:rPr>
          <w:rFonts w:hint="eastAsia" w:ascii="宋体" w:hAnsi="宋体"/>
        </w:rPr>
        <w:t>有利于推动用工业副产石膏的综合利用，并形成可观的经济效益。</w:t>
      </w:r>
    </w:p>
    <w:p>
      <w:pPr>
        <w:spacing w:line="360" w:lineRule="auto"/>
        <w:ind w:firstLine="480" w:firstLineChars="200"/>
        <w:rPr>
          <w:rFonts w:hint="eastAsia" w:ascii="宋体" w:hAnsi="宋体" w:eastAsia="宋体" w:cs="宋体"/>
          <w:color w:val="auto"/>
          <w:szCs w:val="28"/>
        </w:rPr>
      </w:pPr>
      <w:r>
        <w:rPr>
          <w:rFonts w:hint="eastAsia" w:ascii="宋体" w:hAnsi="宋体" w:eastAsia="宋体" w:cs="宋体"/>
          <w:color w:val="auto"/>
          <w:szCs w:val="28"/>
        </w:rPr>
        <w:t>目前，石膏模盒的生产已初具规模，形成了较为完整的产业链。经过不断的技术创新和实践积累，石膏模盒的生产工艺已日臻完善。现代化的生产线和智能化设备使得石膏模盒的生产过程更加高效、精准。同时，生产厂家还不断引进新技术、新工艺，提高石膏模盒的质量和性能，满足市场的多样化需求。</w:t>
      </w:r>
      <w:r>
        <w:rPr>
          <w:rFonts w:hint="eastAsia" w:ascii="宋体" w:hAnsi="宋体"/>
          <w:color w:val="auto"/>
        </w:rPr>
        <w:t>经过多年的工程应用实践，</w:t>
      </w:r>
      <w:r>
        <w:rPr>
          <w:rFonts w:hint="eastAsia" w:ascii="宋体" w:hAnsi="宋体"/>
          <w:color w:val="auto"/>
          <w:lang w:eastAsia="zh-CN"/>
        </w:rPr>
        <w:t>石膏模盒</w:t>
      </w:r>
      <w:r>
        <w:rPr>
          <w:rFonts w:hint="eastAsia" w:ascii="宋体" w:hAnsi="宋体"/>
          <w:color w:val="auto"/>
        </w:rPr>
        <w:t>凭借其优良的性能和</w:t>
      </w:r>
      <w:r>
        <w:rPr>
          <w:rFonts w:hint="eastAsia" w:ascii="宋体" w:hAnsi="宋体"/>
          <w:color w:val="auto"/>
          <w:lang w:val="en-US" w:eastAsia="zh-CN"/>
        </w:rPr>
        <w:t>方便</w:t>
      </w:r>
      <w:r>
        <w:rPr>
          <w:rFonts w:hint="eastAsia" w:ascii="宋体" w:hAnsi="宋体"/>
          <w:color w:val="auto"/>
        </w:rPr>
        <w:t>快捷</w:t>
      </w:r>
      <w:r>
        <w:rPr>
          <w:rFonts w:hint="eastAsia" w:ascii="宋体" w:hAnsi="宋体"/>
          <w:color w:val="auto"/>
          <w:lang w:val="en-US" w:eastAsia="zh-CN"/>
        </w:rPr>
        <w:t>的</w:t>
      </w:r>
      <w:r>
        <w:rPr>
          <w:rFonts w:hint="eastAsia" w:ascii="宋体" w:hAnsi="宋体"/>
          <w:color w:val="auto"/>
        </w:rPr>
        <w:t>施工</w:t>
      </w:r>
      <w:r>
        <w:rPr>
          <w:rFonts w:hint="eastAsia" w:ascii="宋体" w:hAnsi="宋体"/>
          <w:color w:val="auto"/>
          <w:lang w:val="en-US" w:eastAsia="zh-CN"/>
        </w:rPr>
        <w:t>应用</w:t>
      </w:r>
      <w:r>
        <w:rPr>
          <w:rFonts w:hint="eastAsia" w:ascii="宋体" w:hAnsi="宋体"/>
          <w:color w:val="auto"/>
        </w:rPr>
        <w:t>，</w:t>
      </w:r>
      <w:r>
        <w:rPr>
          <w:rFonts w:hint="eastAsia" w:ascii="宋体" w:hAnsi="宋体"/>
          <w:color w:val="auto"/>
          <w:lang w:val="en-US" w:eastAsia="zh-CN"/>
        </w:rPr>
        <w:t>工程用量和应用范围得到飞速发展</w:t>
      </w:r>
      <w:r>
        <w:rPr>
          <w:rFonts w:hint="eastAsia" w:ascii="宋体" w:hAnsi="宋体"/>
          <w:color w:val="auto"/>
        </w:rPr>
        <w:t>，</w:t>
      </w:r>
      <w:r>
        <w:rPr>
          <w:rFonts w:hint="eastAsia" w:ascii="宋体" w:hAnsi="宋体"/>
          <w:color w:val="auto"/>
          <w:lang w:val="en-US" w:eastAsia="zh-CN"/>
        </w:rPr>
        <w:t>被广泛</w:t>
      </w:r>
      <w:r>
        <w:rPr>
          <w:rFonts w:hint="eastAsia" w:ascii="宋体" w:hAnsi="宋体" w:eastAsia="宋体" w:cs="宋体"/>
          <w:color w:val="auto"/>
          <w:szCs w:val="28"/>
        </w:rPr>
        <w:t>用于建造住宅、商业建筑、公共设施等各类建筑。</w:t>
      </w:r>
      <w:r>
        <w:rPr>
          <w:rFonts w:hint="eastAsia" w:ascii="宋体" w:hAnsi="宋体" w:cs="宋体"/>
          <w:color w:val="auto"/>
          <w:szCs w:val="28"/>
          <w:lang w:val="en-US" w:eastAsia="zh-CN"/>
        </w:rPr>
        <w:t>近年来</w:t>
      </w:r>
      <w:r>
        <w:rPr>
          <w:rFonts w:hint="eastAsia" w:ascii="宋体" w:hAnsi="宋体"/>
          <w:color w:val="auto"/>
        </w:rPr>
        <w:t>大规模化生产企业数量逐年增加</w:t>
      </w:r>
      <w:r>
        <w:rPr>
          <w:rFonts w:hint="eastAsia" w:ascii="宋体" w:hAnsi="宋体"/>
          <w:color w:val="auto"/>
          <w:lang w:eastAsia="zh-CN"/>
        </w:rPr>
        <w:t>，</w:t>
      </w:r>
      <w:r>
        <w:rPr>
          <w:rFonts w:hint="eastAsia" w:ascii="宋体" w:hAnsi="宋体" w:eastAsia="宋体" w:cs="宋体"/>
          <w:color w:val="auto"/>
          <w:szCs w:val="28"/>
        </w:rPr>
        <w:t>据统计，202</w:t>
      </w:r>
      <w:r>
        <w:rPr>
          <w:rFonts w:hint="eastAsia" w:ascii="宋体" w:hAnsi="宋体" w:cs="宋体"/>
          <w:color w:val="auto"/>
          <w:szCs w:val="28"/>
          <w:lang w:val="en-US" w:eastAsia="zh-CN"/>
        </w:rPr>
        <w:t>3</w:t>
      </w:r>
      <w:r>
        <w:rPr>
          <w:rFonts w:hint="eastAsia" w:ascii="宋体" w:hAnsi="宋体" w:eastAsia="宋体" w:cs="宋体"/>
          <w:color w:val="auto"/>
          <w:szCs w:val="28"/>
        </w:rPr>
        <w:t>年全国</w:t>
      </w:r>
      <w:r>
        <w:rPr>
          <w:rFonts w:hint="eastAsia" w:ascii="宋体" w:hAnsi="宋体" w:cs="宋体"/>
          <w:color w:val="auto"/>
          <w:szCs w:val="28"/>
          <w:lang w:eastAsia="zh-CN"/>
        </w:rPr>
        <w:t>石膏模盒</w:t>
      </w:r>
      <w:r>
        <w:rPr>
          <w:rFonts w:hint="eastAsia" w:ascii="宋体" w:hAnsi="宋体" w:eastAsia="宋体" w:cs="宋体"/>
          <w:color w:val="auto"/>
          <w:szCs w:val="28"/>
        </w:rPr>
        <w:t>产量约</w:t>
      </w:r>
      <w:r>
        <w:rPr>
          <w:rFonts w:hint="eastAsia" w:ascii="宋体" w:hAnsi="宋体" w:cs="宋体"/>
          <w:color w:val="auto"/>
          <w:szCs w:val="28"/>
          <w:lang w:val="en-US" w:eastAsia="zh-CN"/>
        </w:rPr>
        <w:t>20</w:t>
      </w:r>
      <w:r>
        <w:rPr>
          <w:rFonts w:hint="eastAsia" w:ascii="宋体" w:hAnsi="宋体" w:eastAsia="宋体" w:cs="宋体"/>
          <w:color w:val="auto"/>
          <w:szCs w:val="28"/>
        </w:rPr>
        <w:t>00万m</w:t>
      </w:r>
      <w:r>
        <w:rPr>
          <w:rFonts w:hint="eastAsia" w:ascii="宋体" w:hAnsi="宋体" w:eastAsia="宋体" w:cs="宋体"/>
          <w:color w:val="auto"/>
          <w:szCs w:val="28"/>
          <w:vertAlign w:val="superscript"/>
        </w:rPr>
        <w:t>2</w:t>
      </w:r>
      <w:r>
        <w:rPr>
          <w:rFonts w:hint="eastAsia" w:ascii="宋体" w:hAnsi="宋体" w:cs="宋体"/>
          <w:color w:val="auto"/>
          <w:szCs w:val="28"/>
          <w:lang w:eastAsia="zh-CN"/>
        </w:rPr>
        <w:t>，</w:t>
      </w:r>
      <w:r>
        <w:rPr>
          <w:rFonts w:hint="eastAsia" w:ascii="宋体" w:hAnsi="宋体" w:eastAsia="宋体" w:cs="宋体"/>
          <w:color w:val="auto"/>
          <w:szCs w:val="28"/>
        </w:rPr>
        <w:t>预计未来五年内</w:t>
      </w:r>
      <w:r>
        <w:rPr>
          <w:rFonts w:hint="eastAsia" w:ascii="宋体" w:hAnsi="宋体" w:cs="宋体"/>
          <w:color w:val="auto"/>
          <w:szCs w:val="28"/>
          <w:lang w:eastAsia="zh-CN"/>
        </w:rPr>
        <w:t>石膏模盒</w:t>
      </w:r>
      <w:r>
        <w:rPr>
          <w:rFonts w:hint="eastAsia" w:ascii="宋体" w:hAnsi="宋体" w:eastAsia="宋体" w:cs="宋体"/>
          <w:color w:val="auto"/>
          <w:szCs w:val="28"/>
        </w:rPr>
        <w:t>销量有望超过</w:t>
      </w:r>
      <w:r>
        <w:rPr>
          <w:rFonts w:hint="eastAsia" w:ascii="宋体" w:hAnsi="宋体" w:cs="宋体"/>
          <w:color w:val="auto"/>
          <w:szCs w:val="28"/>
          <w:lang w:val="en-US" w:eastAsia="zh-CN"/>
        </w:rPr>
        <w:t>5</w:t>
      </w:r>
      <w:r>
        <w:rPr>
          <w:rFonts w:hint="eastAsia" w:ascii="宋体" w:hAnsi="宋体" w:eastAsia="宋体" w:cs="宋体"/>
          <w:color w:val="auto"/>
          <w:szCs w:val="28"/>
        </w:rPr>
        <w:t>000万m</w:t>
      </w:r>
      <w:r>
        <w:rPr>
          <w:rFonts w:hint="eastAsia" w:ascii="宋体" w:hAnsi="宋体" w:eastAsia="宋体" w:cs="宋体"/>
          <w:color w:val="auto"/>
          <w:szCs w:val="28"/>
          <w:vertAlign w:val="superscript"/>
        </w:rPr>
        <w:t>2</w:t>
      </w:r>
      <w:r>
        <w:rPr>
          <w:rFonts w:hint="eastAsia" w:ascii="宋体" w:hAnsi="宋体" w:eastAsia="宋体" w:cs="宋体"/>
          <w:color w:val="auto"/>
          <w:szCs w:val="28"/>
        </w:rPr>
        <w:t>/年。展望未来，石膏模盒的产业化发展将呈现以下趋势：</w:t>
      </w:r>
    </w:p>
    <w:p>
      <w:pPr>
        <w:spacing w:line="360" w:lineRule="auto"/>
        <w:ind w:firstLine="480" w:firstLineChars="200"/>
        <w:rPr>
          <w:rFonts w:hint="eastAsia" w:ascii="宋体" w:hAnsi="宋体" w:eastAsia="宋体" w:cs="宋体"/>
          <w:color w:val="auto"/>
          <w:szCs w:val="28"/>
        </w:rPr>
      </w:pPr>
      <w:r>
        <w:rPr>
          <w:rFonts w:hint="eastAsia" w:ascii="宋体" w:hAnsi="宋体" w:eastAsia="宋体" w:cs="宋体"/>
          <w:color w:val="auto"/>
          <w:szCs w:val="28"/>
        </w:rPr>
        <w:t>1. 技术创新：随着科技的不断进步，石膏模盒的生产技术将不断得到创新和改进。生产厂家将致力于提高石膏模盒的强度和耐久性，降低生产成本，提高生产效率。</w:t>
      </w:r>
    </w:p>
    <w:p>
      <w:pPr>
        <w:spacing w:line="360" w:lineRule="auto"/>
        <w:ind w:firstLine="480" w:firstLineChars="200"/>
        <w:rPr>
          <w:rFonts w:hint="eastAsia" w:ascii="宋体" w:hAnsi="宋体" w:eastAsia="宋体" w:cs="宋体"/>
          <w:color w:val="auto"/>
          <w:szCs w:val="28"/>
        </w:rPr>
      </w:pPr>
      <w:r>
        <w:rPr>
          <w:rFonts w:hint="eastAsia" w:ascii="宋体" w:hAnsi="宋体" w:eastAsia="宋体" w:cs="宋体"/>
          <w:color w:val="auto"/>
          <w:szCs w:val="28"/>
        </w:rPr>
        <w:t>2. 绿色环保：随着人们对环保和可持续发展的日益关注，石膏模盒的绿色环保特性将更受青睐。生产厂家将积极采用环保材料和工艺，推动石膏模盒的绿色发展。</w:t>
      </w:r>
    </w:p>
    <w:p>
      <w:pPr>
        <w:spacing w:line="360" w:lineRule="auto"/>
        <w:ind w:firstLine="480" w:firstLineChars="200"/>
        <w:rPr>
          <w:rFonts w:hint="eastAsia" w:ascii="宋体" w:hAnsi="宋体" w:eastAsia="宋体" w:cs="宋体"/>
          <w:color w:val="auto"/>
          <w:szCs w:val="28"/>
        </w:rPr>
      </w:pPr>
      <w:r>
        <w:rPr>
          <w:rFonts w:hint="eastAsia" w:ascii="宋体" w:hAnsi="宋体" w:eastAsia="宋体" w:cs="宋体"/>
          <w:color w:val="auto"/>
          <w:szCs w:val="28"/>
        </w:rPr>
        <w:t>3. 多元化应用：石膏模盒具有广泛的应用前景，未来将在更多领域得到应用。例如，在装配式建筑、绿色建筑等领域，石膏模盒将发挥更大的作用，推动建筑行业的转型升级。</w:t>
      </w:r>
    </w:p>
    <w:p>
      <w:pPr>
        <w:spacing w:line="360" w:lineRule="auto"/>
        <w:ind w:firstLine="480" w:firstLineChars="200"/>
        <w:rPr>
          <w:rFonts w:hint="eastAsia" w:asciiTheme="minorEastAsia" w:hAnsiTheme="minorEastAsia" w:eastAsiaTheme="minorEastAsia"/>
          <w:szCs w:val="28"/>
          <w:lang w:val="en-US" w:eastAsia="zh-CN"/>
        </w:rPr>
      </w:pPr>
      <w:r>
        <w:rPr>
          <w:rFonts w:hint="eastAsia" w:asciiTheme="minorEastAsia" w:hAnsiTheme="minorEastAsia" w:eastAsiaTheme="minorEastAsia"/>
          <w:szCs w:val="28"/>
        </w:rPr>
        <w:t>本标准着重从不断发展的</w:t>
      </w:r>
      <w:r>
        <w:rPr>
          <w:rFonts w:hint="eastAsia" w:asciiTheme="minorEastAsia" w:hAnsiTheme="minorEastAsia" w:eastAsiaTheme="minorEastAsia"/>
          <w:szCs w:val="28"/>
          <w:lang w:eastAsia="zh-CN"/>
        </w:rPr>
        <w:t>石膏模盒</w:t>
      </w:r>
      <w:r>
        <w:rPr>
          <w:rFonts w:hint="eastAsia" w:asciiTheme="minorEastAsia" w:hAnsiTheme="minorEastAsia" w:eastAsiaTheme="minorEastAsia"/>
          <w:szCs w:val="28"/>
        </w:rPr>
        <w:t>实际技术、市场需求出发，完善我国</w:t>
      </w:r>
      <w:r>
        <w:rPr>
          <w:rFonts w:hint="eastAsia" w:asciiTheme="minorEastAsia" w:hAnsiTheme="minorEastAsia" w:eastAsiaTheme="minorEastAsia"/>
          <w:szCs w:val="28"/>
          <w:lang w:eastAsia="zh-CN"/>
        </w:rPr>
        <w:t>石膏模盒</w:t>
      </w:r>
      <w:r>
        <w:rPr>
          <w:rFonts w:hint="eastAsia" w:asciiTheme="minorEastAsia" w:hAnsiTheme="minorEastAsia" w:eastAsiaTheme="minorEastAsia"/>
          <w:szCs w:val="28"/>
        </w:rPr>
        <w:t>施工细则，</w:t>
      </w:r>
      <w:r>
        <w:rPr>
          <w:rFonts w:hint="eastAsia" w:ascii="宋体" w:hAnsi="宋体"/>
        </w:rPr>
        <w:t>对推</w:t>
      </w:r>
      <w:r>
        <w:rPr>
          <w:rFonts w:hint="eastAsia" w:ascii="宋体" w:hAnsi="宋体"/>
          <w:lang w:val="en-US" w:eastAsia="zh-CN"/>
        </w:rPr>
        <w:t>动</w:t>
      </w:r>
      <w:r>
        <w:rPr>
          <w:rFonts w:hint="eastAsia" w:ascii="宋体" w:hAnsi="宋体"/>
          <w:lang w:eastAsia="zh-CN"/>
        </w:rPr>
        <w:t>石膏模盒</w:t>
      </w:r>
      <w:r>
        <w:rPr>
          <w:rFonts w:hint="eastAsia" w:asciiTheme="minorEastAsia" w:hAnsiTheme="minorEastAsia" w:eastAsiaTheme="minorEastAsia"/>
          <w:szCs w:val="28"/>
        </w:rPr>
        <w:t>应用具有重要意义。本标准发布实施有助于实现建材工业和建筑业稳增长、调结构、转方式和可持续发展，</w:t>
      </w:r>
      <w:r>
        <w:rPr>
          <w:rFonts w:hint="eastAsia" w:asciiTheme="minorEastAsia" w:hAnsiTheme="minorEastAsia" w:eastAsiaTheme="minorEastAsia"/>
          <w:szCs w:val="28"/>
          <w:lang w:val="en-US" w:eastAsia="zh-CN"/>
        </w:rPr>
        <w:t>有利于推动建材行业向</w:t>
      </w:r>
      <w:r>
        <w:rPr>
          <w:rFonts w:hint="eastAsia" w:asciiTheme="minorEastAsia" w:hAnsiTheme="minorEastAsia" w:eastAsiaTheme="minorEastAsia"/>
          <w:szCs w:val="28"/>
        </w:rPr>
        <w:t>“宜业尚品</w:t>
      </w:r>
      <w:r>
        <w:rPr>
          <w:rFonts w:hint="eastAsia" w:asciiTheme="minorEastAsia" w:hAnsiTheme="minorEastAsia" w:eastAsiaTheme="minorEastAsia"/>
          <w:szCs w:val="28"/>
          <w:lang w:eastAsia="zh-CN"/>
        </w:rPr>
        <w:t>，</w:t>
      </w:r>
      <w:r>
        <w:rPr>
          <w:rFonts w:hint="eastAsia" w:asciiTheme="minorEastAsia" w:hAnsiTheme="minorEastAsia" w:eastAsiaTheme="minorEastAsia"/>
          <w:szCs w:val="28"/>
        </w:rPr>
        <w:t>造福人类”</w:t>
      </w:r>
      <w:r>
        <w:rPr>
          <w:rFonts w:hint="eastAsia" w:asciiTheme="minorEastAsia" w:hAnsiTheme="minorEastAsia" w:eastAsiaTheme="minorEastAsia"/>
          <w:szCs w:val="28"/>
          <w:lang w:val="en-US" w:eastAsia="zh-CN"/>
        </w:rPr>
        <w:t>新目标阔步前进。</w:t>
      </w:r>
    </w:p>
    <w:p>
      <w:pPr>
        <w:spacing w:line="360" w:lineRule="auto"/>
        <w:ind w:firstLine="480" w:firstLineChars="200"/>
        <w:rPr>
          <w:rFonts w:hint="eastAsia" w:asciiTheme="minorEastAsia" w:hAnsiTheme="minorEastAsia" w:eastAsiaTheme="minorEastAsia"/>
          <w:szCs w:val="28"/>
          <w:lang w:val="en-US" w:eastAsia="zh-CN"/>
        </w:rPr>
      </w:pPr>
      <w:r>
        <w:rPr>
          <w:rFonts w:hint="eastAsia" w:asciiTheme="minorEastAsia" w:hAnsiTheme="minorEastAsia" w:eastAsiaTheme="minorEastAsia"/>
          <w:szCs w:val="28"/>
          <w:lang w:val="en-US" w:eastAsia="zh-CN"/>
        </w:rPr>
        <w:t>本规程在制定阶段得到了各编制单位的大力支持，在诸多工程中得到应用并反馈效果良好。</w:t>
      </w:r>
    </w:p>
    <w:p>
      <w:pPr>
        <w:spacing w:line="360" w:lineRule="auto"/>
        <w:ind w:firstLine="480" w:firstLineChars="200"/>
        <w:rPr>
          <w:rFonts w:hint="eastAsia" w:asciiTheme="minorEastAsia" w:hAnsiTheme="minorEastAsia" w:eastAsiaTheme="minorEastAsia"/>
          <w:szCs w:val="28"/>
          <w:lang w:val="en-US" w:eastAsia="zh-CN"/>
        </w:rPr>
      </w:pPr>
      <w:r>
        <w:drawing>
          <wp:inline distT="0" distB="0" distL="114300" distR="114300">
            <wp:extent cx="2323465" cy="1480185"/>
            <wp:effectExtent l="0" t="0" r="635" b="5715"/>
            <wp:docPr id="2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8"/>
                    <pic:cNvPicPr>
                      <a:picLocks noChangeAspect="1"/>
                    </pic:cNvPicPr>
                  </pic:nvPicPr>
                  <pic:blipFill>
                    <a:blip r:embed="rId12"/>
                    <a:srcRect l="6929" t="17619" r="27323" b="23676"/>
                    <a:stretch>
                      <a:fillRect/>
                    </a:stretch>
                  </pic:blipFill>
                  <pic:spPr>
                    <a:xfrm>
                      <a:off x="0" y="0"/>
                      <a:ext cx="2323465" cy="1480185"/>
                    </a:xfrm>
                    <a:prstGeom prst="rect">
                      <a:avLst/>
                    </a:prstGeom>
                  </pic:spPr>
                </pic:pic>
              </a:graphicData>
            </a:graphic>
          </wp:inline>
        </w:drawing>
      </w:r>
      <w:r>
        <w:rPr>
          <w:rFonts w:hint="eastAsia"/>
          <w:lang w:val="en-US" w:eastAsia="zh-CN"/>
        </w:rPr>
        <w:t xml:space="preserve">   </w:t>
      </w:r>
      <w:r>
        <w:drawing>
          <wp:inline distT="0" distB="0" distL="114300" distR="114300">
            <wp:extent cx="2402840" cy="1470660"/>
            <wp:effectExtent l="0" t="0" r="16510" b="15240"/>
            <wp:docPr id="16" name="图片 15" descr="1683316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descr="1683316403"/>
                    <pic:cNvPicPr>
                      <a:picLocks noChangeAspect="1"/>
                    </pic:cNvPicPr>
                  </pic:nvPicPr>
                  <pic:blipFill>
                    <a:blip r:embed="rId13"/>
                    <a:stretch>
                      <a:fillRect/>
                    </a:stretch>
                  </pic:blipFill>
                  <pic:spPr>
                    <a:xfrm>
                      <a:off x="0" y="0"/>
                      <a:ext cx="2402840" cy="147066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960" w:firstLineChars="4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图1 石膏模盒工程应用一             图2 石膏模盒工程应用二</w:t>
      </w:r>
    </w:p>
    <w:p>
      <w:pPr>
        <w:pStyle w:val="2"/>
        <w:rPr>
          <w:rFonts w:hint="eastAsia"/>
        </w:rPr>
      </w:pPr>
      <w:bookmarkStart w:id="36" w:name="_Toc23778"/>
    </w:p>
    <w:p>
      <w:pPr>
        <w:pStyle w:val="2"/>
      </w:pPr>
      <w:r>
        <w:rPr>
          <w:rFonts w:hint="eastAsia"/>
        </w:rPr>
        <w:t>6</w:t>
      </w:r>
      <w:r>
        <w:t xml:space="preserve"> </w:t>
      </w:r>
      <w:r>
        <w:rPr>
          <w:rFonts w:hint="eastAsia"/>
        </w:rPr>
        <w:t>采用国际标准</w:t>
      </w:r>
      <w:bookmarkEnd w:id="36"/>
    </w:p>
    <w:p>
      <w:pPr>
        <w:ind w:firstLine="480" w:firstLineChars="200"/>
      </w:pPr>
      <w:r>
        <w:rPr>
          <w:rFonts w:hint="eastAsia"/>
          <w:lang w:val="en-US" w:eastAsia="zh-CN"/>
        </w:rPr>
        <w:t>石膏模盒产品为我国独创应用，</w:t>
      </w:r>
      <w:r>
        <w:rPr>
          <w:rFonts w:hint="eastAsia"/>
        </w:rPr>
        <w:t>国外尚无本标准的同类标准。</w:t>
      </w:r>
    </w:p>
    <w:p>
      <w:pPr>
        <w:pStyle w:val="2"/>
      </w:pPr>
      <w:bookmarkStart w:id="37" w:name="_Toc8443"/>
      <w:r>
        <w:rPr>
          <w:rFonts w:hint="eastAsia"/>
        </w:rPr>
        <w:t>7</w:t>
      </w:r>
      <w:r>
        <w:t xml:space="preserve"> </w:t>
      </w:r>
      <w:r>
        <w:rPr>
          <w:rFonts w:hint="eastAsia"/>
        </w:rPr>
        <w:t>与现行相关法律、法规、规章及相关标准的协调</w:t>
      </w:r>
      <w:bookmarkEnd w:id="37"/>
    </w:p>
    <w:p>
      <w:pPr>
        <w:spacing w:line="360" w:lineRule="auto"/>
        <w:ind w:firstLine="465"/>
        <w:jc w:val="left"/>
        <w:rPr>
          <w:rFonts w:hint="default" w:ascii="宋体" w:hAnsi="宋体" w:eastAsia="宋体"/>
          <w:color w:val="FF0000"/>
          <w:lang w:val="en-US" w:eastAsia="zh-CN"/>
        </w:rPr>
      </w:pPr>
      <w:r>
        <w:rPr>
          <w:rFonts w:hint="eastAsia" w:asciiTheme="minorEastAsia" w:hAnsiTheme="minorEastAsia" w:eastAsiaTheme="minorEastAsia"/>
          <w:szCs w:val="28"/>
        </w:rPr>
        <w:t>本标准中内容均依照国内现行各类相关法律、法规、规章、标准予以要求。与现行相关法律、法规、规章及相关标准的协调一致。</w:t>
      </w:r>
    </w:p>
    <w:p>
      <w:pPr>
        <w:pStyle w:val="2"/>
      </w:pPr>
      <w:bookmarkStart w:id="38" w:name="_Toc8666"/>
      <w:r>
        <w:rPr>
          <w:rFonts w:hint="eastAsia"/>
        </w:rPr>
        <w:t>8</w:t>
      </w:r>
      <w:r>
        <w:t xml:space="preserve"> </w:t>
      </w:r>
      <w:r>
        <w:rPr>
          <w:rFonts w:hint="eastAsia"/>
        </w:rPr>
        <w:t>重大意见分歧的处理依据和结果</w:t>
      </w:r>
      <w:bookmarkEnd w:id="38"/>
    </w:p>
    <w:p>
      <w:pPr>
        <w:spacing w:line="360" w:lineRule="auto"/>
        <w:ind w:firstLine="480" w:firstLineChars="200"/>
        <w:rPr>
          <w:rFonts w:asciiTheme="minorEastAsia" w:hAnsiTheme="minorEastAsia" w:eastAsiaTheme="minorEastAsia"/>
          <w:b/>
          <w:szCs w:val="28"/>
        </w:rPr>
      </w:pPr>
      <w:r>
        <w:rPr>
          <w:rFonts w:hint="eastAsia" w:asciiTheme="minorEastAsia" w:hAnsiTheme="minorEastAsia" w:eastAsiaTheme="minorEastAsia"/>
          <w:szCs w:val="28"/>
        </w:rPr>
        <w:t>在标准的编制过程中，广泛征求了行业相关单位和业内专家的意见和建议，各家单位和行业专家结合自身的工作经验和实验验证提出了作为数据支撑的有力依据，最终对标准要求达成一致。编制过程中对标准的主要内容并未产生重大意见分歧。</w:t>
      </w:r>
    </w:p>
    <w:p>
      <w:pPr>
        <w:pStyle w:val="2"/>
      </w:pPr>
      <w:bookmarkStart w:id="39" w:name="_Toc28526"/>
      <w:r>
        <w:rPr>
          <w:rFonts w:hint="eastAsia"/>
        </w:rPr>
        <w:t>9</w:t>
      </w:r>
      <w:r>
        <w:t xml:space="preserve"> </w:t>
      </w:r>
      <w:r>
        <w:rPr>
          <w:rFonts w:hint="eastAsia"/>
        </w:rPr>
        <w:t>标准性质的建议说明</w:t>
      </w:r>
      <w:bookmarkEnd w:id="39"/>
      <w:r>
        <w:rPr>
          <w:rFonts w:hint="eastAsia"/>
        </w:rPr>
        <w:t xml:space="preserve"> </w:t>
      </w:r>
    </w:p>
    <w:p>
      <w:pPr>
        <w:spacing w:line="360" w:lineRule="auto"/>
        <w:jc w:val="left"/>
        <w:rPr>
          <w:rFonts w:asciiTheme="minorEastAsia" w:hAnsiTheme="minorEastAsia" w:eastAsiaTheme="minorEastAsia"/>
          <w:szCs w:val="28"/>
        </w:rPr>
      </w:pPr>
      <w:r>
        <w:rPr>
          <w:rFonts w:hint="eastAsia" w:asciiTheme="minorEastAsia" w:hAnsiTheme="minorEastAsia" w:eastAsiaTheme="minorEastAsia"/>
          <w:szCs w:val="28"/>
        </w:rPr>
        <w:t xml:space="preserve">    建议《</w:t>
      </w:r>
      <w:r>
        <w:rPr>
          <w:rFonts w:hint="eastAsia" w:asciiTheme="minorEastAsia" w:hAnsiTheme="minorEastAsia" w:eastAsiaTheme="minorEastAsia"/>
          <w:szCs w:val="28"/>
          <w:lang w:eastAsia="zh-CN"/>
        </w:rPr>
        <w:t>现浇混凝土空心结构用石膏模盒应用技术规程</w:t>
      </w:r>
      <w:r>
        <w:rPr>
          <w:rFonts w:hint="eastAsia" w:asciiTheme="minorEastAsia" w:hAnsiTheme="minorEastAsia" w:eastAsiaTheme="minorEastAsia"/>
          <w:szCs w:val="28"/>
        </w:rPr>
        <w:t>》作为推荐性标准发布实施。</w:t>
      </w:r>
    </w:p>
    <w:p>
      <w:pPr>
        <w:pStyle w:val="2"/>
      </w:pPr>
      <w:bookmarkStart w:id="40" w:name="_Toc12044"/>
      <w:r>
        <w:rPr>
          <w:rFonts w:hint="eastAsia"/>
        </w:rPr>
        <w:t>1</w:t>
      </w:r>
      <w:r>
        <w:t xml:space="preserve">0 </w:t>
      </w:r>
      <w:r>
        <w:rPr>
          <w:rFonts w:hint="eastAsia"/>
        </w:rPr>
        <w:t>贯彻标准的措施建议</w:t>
      </w:r>
      <w:bookmarkEnd w:id="40"/>
    </w:p>
    <w:p>
      <w:pPr>
        <w:spacing w:line="360" w:lineRule="auto"/>
        <w:ind w:firstLine="480"/>
        <w:rPr>
          <w:rFonts w:ascii="宋体" w:hAnsi="宋体"/>
          <w:szCs w:val="28"/>
        </w:rPr>
      </w:pPr>
      <w:r>
        <w:rPr>
          <w:rFonts w:hint="eastAsia" w:asciiTheme="minorEastAsia" w:hAnsiTheme="minorEastAsia" w:eastAsiaTheme="minorEastAsia"/>
          <w:szCs w:val="28"/>
        </w:rPr>
        <w:t>建议在本标准正式出台后，各设计单位、施工单位、生产厂家、检测机构以及地方管理部门能够依据本标准中的相关规定对</w:t>
      </w:r>
      <w:r>
        <w:rPr>
          <w:rFonts w:hint="eastAsia" w:asciiTheme="minorEastAsia" w:hAnsiTheme="minorEastAsia" w:eastAsiaTheme="minorEastAsia"/>
          <w:szCs w:val="28"/>
          <w:lang w:eastAsia="zh-CN"/>
        </w:rPr>
        <w:t>石膏模盒</w:t>
      </w:r>
      <w:r>
        <w:rPr>
          <w:rFonts w:hint="eastAsia" w:asciiTheme="minorEastAsia" w:hAnsiTheme="minorEastAsia" w:eastAsiaTheme="minorEastAsia"/>
          <w:szCs w:val="28"/>
        </w:rPr>
        <w:t>施工进行统一的评价和管理。</w:t>
      </w:r>
      <w:r>
        <w:rPr>
          <w:rFonts w:hint="eastAsia" w:ascii="宋体" w:hAnsi="宋体"/>
          <w:szCs w:val="28"/>
        </w:rPr>
        <w:t>具体实施措施建议如下：</w:t>
      </w:r>
    </w:p>
    <w:p>
      <w:pPr>
        <w:spacing w:line="360" w:lineRule="auto"/>
        <w:ind w:firstLine="480"/>
        <w:rPr>
          <w:rFonts w:ascii="宋体" w:hAnsi="宋体"/>
          <w:szCs w:val="28"/>
        </w:rPr>
      </w:pPr>
      <w:r>
        <w:rPr>
          <w:rFonts w:hint="eastAsia" w:ascii="宋体" w:hAnsi="宋体"/>
          <w:szCs w:val="28"/>
        </w:rPr>
        <w:t>（1）加大标准宣传力度，提高认知度，建立信息公共平台，将有参考价值的案例、好的做法和经验等在行业内部公开发布，引起有关部门领导和相关企业单位的重视，使相关单位能够积极主动的购买标准和资料、参加培训、结合本单位实际情况学习研究标准并准备贯彻实施标准。</w:t>
      </w:r>
    </w:p>
    <w:p>
      <w:pPr>
        <w:spacing w:line="360" w:lineRule="auto"/>
        <w:ind w:firstLine="480"/>
        <w:rPr>
          <w:rFonts w:ascii="宋体" w:hAnsi="宋体"/>
          <w:szCs w:val="28"/>
        </w:rPr>
      </w:pPr>
      <w:r>
        <w:rPr>
          <w:rFonts w:hint="eastAsia" w:ascii="宋体" w:hAnsi="宋体"/>
          <w:szCs w:val="28"/>
        </w:rPr>
        <w:t>（2）标准归口单位进行贯标指导，组织标准宣贯培训班，由标准制定人员主讲。设立专门的答疑或咨询部门或网站，为贯标企业排忧解难，组织有关人员积极参加行业协会组织的各项活动，培训班等。及时了解标准制、修订信息。</w:t>
      </w:r>
    </w:p>
    <w:p>
      <w:pPr>
        <w:spacing w:line="360" w:lineRule="auto"/>
        <w:ind w:firstLine="480"/>
        <w:rPr>
          <w:rFonts w:ascii="宋体" w:hAnsi="宋体"/>
          <w:szCs w:val="28"/>
        </w:rPr>
      </w:pPr>
      <w:r>
        <w:rPr>
          <w:rFonts w:hint="eastAsia" w:ascii="宋体" w:hAnsi="宋体"/>
          <w:szCs w:val="28"/>
        </w:rPr>
        <w:t>（3）鼓励行业相关企业成立标准贯彻实施小组，组员由标准化技术人员、产品主管设计人员、工艺主管设计人员、检验人员、车间技术人员等工作人员组成，进行明确的分工合作，适时组织标准宣贯会，使有关人员拥有标准、了解标准、熟悉标准，执行标准。产品主管设计人员、工艺主管设计人员、检验人员、车间技术人员、操作人员均须按照细则要求进行相应工作。</w:t>
      </w:r>
    </w:p>
    <w:p>
      <w:pPr>
        <w:spacing w:line="360" w:lineRule="auto"/>
        <w:ind w:firstLine="480"/>
        <w:rPr>
          <w:rFonts w:asciiTheme="minorEastAsia" w:hAnsiTheme="minorEastAsia" w:eastAsiaTheme="minorEastAsia"/>
          <w:b/>
          <w:szCs w:val="28"/>
        </w:rPr>
      </w:pPr>
      <w:r>
        <w:rPr>
          <w:rFonts w:hint="eastAsia" w:ascii="宋体" w:hAnsi="宋体"/>
          <w:szCs w:val="28"/>
        </w:rPr>
        <w:t>（4）标准化技术人员全面负责贯标实施工作，跟踪服务对贯标中出现的技术问题进行协调处理作好贯标记录，并进行长期监督检查工作。</w:t>
      </w:r>
    </w:p>
    <w:p>
      <w:pPr>
        <w:pStyle w:val="2"/>
      </w:pPr>
      <w:bookmarkStart w:id="41" w:name="_Toc27727"/>
      <w:r>
        <w:rPr>
          <w:rFonts w:hint="eastAsia"/>
        </w:rPr>
        <w:t>1</w:t>
      </w:r>
      <w:r>
        <w:t xml:space="preserve">1 </w:t>
      </w:r>
      <w:r>
        <w:rPr>
          <w:rFonts w:hint="eastAsia"/>
        </w:rPr>
        <w:t>废止现行有关标准的建议</w:t>
      </w:r>
      <w:bookmarkEnd w:id="41"/>
    </w:p>
    <w:p>
      <w:pPr>
        <w:spacing w:line="360" w:lineRule="auto"/>
        <w:ind w:firstLine="480"/>
        <w:jc w:val="left"/>
        <w:rPr>
          <w:rFonts w:asciiTheme="minorEastAsia" w:hAnsiTheme="minorEastAsia" w:eastAsiaTheme="minorEastAsia"/>
          <w:szCs w:val="28"/>
        </w:rPr>
      </w:pPr>
      <w:r>
        <w:rPr>
          <w:rFonts w:hint="eastAsia" w:asciiTheme="minorEastAsia" w:hAnsiTheme="minorEastAsia" w:eastAsiaTheme="minorEastAsia"/>
          <w:szCs w:val="28"/>
        </w:rPr>
        <w:t>无。</w:t>
      </w:r>
    </w:p>
    <w:p>
      <w:pPr>
        <w:pStyle w:val="2"/>
      </w:pPr>
      <w:bookmarkStart w:id="42" w:name="_Toc8351"/>
      <w:r>
        <w:rPr>
          <w:rFonts w:hint="eastAsia"/>
        </w:rPr>
        <w:t>1</w:t>
      </w:r>
      <w:r>
        <w:t xml:space="preserve">2 </w:t>
      </w:r>
      <w:r>
        <w:rPr>
          <w:rFonts w:hint="eastAsia"/>
        </w:rPr>
        <w:t>其他应说明的事项</w:t>
      </w:r>
      <w:bookmarkEnd w:id="42"/>
    </w:p>
    <w:p>
      <w:pPr>
        <w:spacing w:line="360" w:lineRule="auto"/>
        <w:ind w:firstLine="495"/>
        <w:jc w:val="left"/>
        <w:rPr>
          <w:rFonts w:hint="eastAsia" w:asciiTheme="minorEastAsia" w:hAnsiTheme="minorEastAsia" w:eastAsiaTheme="minorEastAsia"/>
          <w:szCs w:val="28"/>
        </w:rPr>
      </w:pPr>
      <w:r>
        <w:rPr>
          <w:rFonts w:hint="eastAsia" w:asciiTheme="minorEastAsia" w:hAnsiTheme="minorEastAsia" w:eastAsiaTheme="minorEastAsia"/>
          <w:szCs w:val="28"/>
        </w:rPr>
        <w:t>无。</w:t>
      </w:r>
    </w:p>
    <w:sectPr>
      <w:headerReference r:id="rId3" w:type="default"/>
      <w:footerReference r:id="rId4" w:type="default"/>
      <w:pgSz w:w="11906" w:h="16838"/>
      <w:pgMar w:top="1134" w:right="1134" w:bottom="1134" w:left="1304" w:header="851" w:footer="992" w:gutter="0"/>
      <w:pgBorders>
        <w:top w:val="none" w:sz="0" w:space="0"/>
        <w:left w:val="none" w:sz="0" w:space="0"/>
        <w:bottom w:val="none" w:sz="0" w:space="0"/>
        <w:right w:val="none" w:sz="0" w:space="0"/>
      </w:pgBorders>
      <w:cols w:space="425" w:num="1"/>
      <w:docGrid w:type="line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CC"/>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华文仿宋">
    <w:panose1 w:val="02010600040101010101"/>
    <w:charset w:val="86"/>
    <w:family w:val="auto"/>
    <w:pitch w:val="default"/>
    <w:sig w:usb0="00000287" w:usb1="080F0000" w:usb2="00000000" w:usb3="00000000" w:csb0="0004009F" w:csb1="DFD7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华文新魏">
    <w:panose1 w:val="02010800040101010101"/>
    <w:charset w:val="86"/>
    <w:family w:val="auto"/>
    <w:pitch w:val="default"/>
    <w:sig w:usb0="00000001" w:usb1="080F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jc w:val="right"/>
    </w:pPr>
    <w:r>
      <w:fldChar w:fldCharType="begin"/>
    </w:r>
    <w:r>
      <w:instrText xml:space="preserve"> PAGE   \* MERGEFORMAT </w:instrText>
    </w:r>
    <w:r>
      <w:fldChar w:fldCharType="separate"/>
    </w:r>
    <w:r>
      <w:rPr>
        <w:lang w:val="zh-CN"/>
      </w:rPr>
      <w:t>7</w:t>
    </w:r>
    <w:r>
      <w:rPr>
        <w:lang w:val="zh-CN"/>
      </w:rPr>
      <w:fldChar w:fldCharType="end"/>
    </w:r>
  </w:p>
  <w:p>
    <w:pPr>
      <w:pStyle w:val="1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AE367E9"/>
    <w:multiLevelType w:val="multilevel"/>
    <w:tmpl w:val="0AE367E9"/>
    <w:lvl w:ilvl="0" w:tentative="0">
      <w:start w:val="1"/>
      <w:numFmt w:val="none"/>
      <w:pStyle w:val="40"/>
      <w:suff w:val="nothing"/>
      <w:lvlText w:val="%1示例："/>
      <w:lvlJc w:val="left"/>
      <w:pPr>
        <w:ind w:left="0" w:firstLine="363"/>
      </w:pPr>
      <w:rPr>
        <w:rFonts w:hint="eastAsia" w:ascii="黑体" w:eastAsia="黑体"/>
        <w:b w:val="0"/>
        <w:i w:val="0"/>
        <w:sz w:val="18"/>
        <w:szCs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1">
    <w:nsid w:val="557C2AF5"/>
    <w:multiLevelType w:val="multilevel"/>
    <w:tmpl w:val="557C2AF5"/>
    <w:lvl w:ilvl="0" w:tentative="0">
      <w:start w:val="1"/>
      <w:numFmt w:val="decimal"/>
      <w:pStyle w:val="43"/>
      <w:suff w:val="nothing"/>
      <w:lvlText w:val="图%1　"/>
      <w:lvlJc w:val="left"/>
      <w:pPr>
        <w:ind w:left="0"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646260FA"/>
    <w:multiLevelType w:val="multilevel"/>
    <w:tmpl w:val="646260FA"/>
    <w:lvl w:ilvl="0" w:tentative="0">
      <w:start w:val="1"/>
      <w:numFmt w:val="decimal"/>
      <w:pStyle w:val="42"/>
      <w:suff w:val="nothing"/>
      <w:lvlText w:val="表%1　"/>
      <w:lvlJc w:val="left"/>
      <w:pPr>
        <w:ind w:left="0" w:firstLine="0"/>
      </w:pPr>
      <w:rPr>
        <w:rFonts w:hint="eastAsia" w:ascii="黑体" w:hAnsi="Times New Roman" w:eastAsia="黑体"/>
        <w:b w:val="0"/>
        <w:i w:val="0"/>
        <w:sz w:val="21"/>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3">
    <w:nsid w:val="6CEA2025"/>
    <w:multiLevelType w:val="multilevel"/>
    <w:tmpl w:val="6CEA2025"/>
    <w:lvl w:ilvl="0" w:tentative="0">
      <w:start w:val="1"/>
      <w:numFmt w:val="none"/>
      <w:pStyle w:val="23"/>
      <w:suff w:val="nothing"/>
      <w:lvlText w:val="%1"/>
      <w:lvlJc w:val="left"/>
      <w:pPr>
        <w:ind w:left="0" w:firstLine="0"/>
      </w:pPr>
      <w:rPr>
        <w:rFonts w:hint="default" w:ascii="Times New Roman" w:hAnsi="Times New Roman"/>
        <w:b/>
        <w:i w:val="0"/>
        <w:sz w:val="21"/>
      </w:rPr>
    </w:lvl>
    <w:lvl w:ilvl="1" w:tentative="0">
      <w:start w:val="1"/>
      <w:numFmt w:val="decimal"/>
      <w:pStyle w:val="24"/>
      <w:suff w:val="nothing"/>
      <w:lvlText w:val="%1%2　"/>
      <w:lvlJc w:val="left"/>
      <w:pPr>
        <w:ind w:left="0" w:firstLine="0"/>
      </w:pPr>
      <w:rPr>
        <w:rFonts w:hint="eastAsia" w:ascii="黑体" w:hAnsi="Times New Roman" w:eastAsia="黑体"/>
        <w:b w:val="0"/>
        <w:i w:val="0"/>
        <w:sz w:val="21"/>
      </w:rPr>
    </w:lvl>
    <w:lvl w:ilvl="2" w:tentative="0">
      <w:start w:val="1"/>
      <w:numFmt w:val="decimal"/>
      <w:pStyle w:val="25"/>
      <w:suff w:val="nothing"/>
      <w:lvlText w:val="%1%2.%3　"/>
      <w:lvlJc w:val="left"/>
      <w:pPr>
        <w:ind w:left="0" w:firstLine="0"/>
      </w:pPr>
      <w:rPr>
        <w:rFonts w:hint="eastAsia" w:ascii="黑体" w:hAnsi="Times New Roman" w:eastAsia="黑体"/>
        <w:b w:val="0"/>
        <w:i w:val="0"/>
        <w:sz w:val="21"/>
      </w:rPr>
    </w:lvl>
    <w:lvl w:ilvl="3" w:tentative="0">
      <w:start w:val="1"/>
      <w:numFmt w:val="decimal"/>
      <w:pStyle w:val="26"/>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HorizontalSpacing w:val="120"/>
  <w:drawingGridVerticalSpacing w:val="163"/>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docVars>
    <w:docVar w:name="commondata" w:val="eyJoZGlkIjoiMmEwNWQzNDUzMzY1MWJhODZjM2JmMjIzMzFiYmY1YzIifQ=="/>
  </w:docVars>
  <w:rsids>
    <w:rsidRoot w:val="00AA3E0F"/>
    <w:rsid w:val="000001E5"/>
    <w:rsid w:val="00000A35"/>
    <w:rsid w:val="000022B1"/>
    <w:rsid w:val="00003AFF"/>
    <w:rsid w:val="00010A8B"/>
    <w:rsid w:val="000129F4"/>
    <w:rsid w:val="00013B79"/>
    <w:rsid w:val="00015A6C"/>
    <w:rsid w:val="000166C4"/>
    <w:rsid w:val="00017084"/>
    <w:rsid w:val="00017C80"/>
    <w:rsid w:val="00020415"/>
    <w:rsid w:val="00024525"/>
    <w:rsid w:val="00027763"/>
    <w:rsid w:val="00030247"/>
    <w:rsid w:val="0003190D"/>
    <w:rsid w:val="00031DAF"/>
    <w:rsid w:val="000354EE"/>
    <w:rsid w:val="00037C38"/>
    <w:rsid w:val="0004092A"/>
    <w:rsid w:val="00040A03"/>
    <w:rsid w:val="000434B8"/>
    <w:rsid w:val="000455BE"/>
    <w:rsid w:val="00045870"/>
    <w:rsid w:val="00045E4A"/>
    <w:rsid w:val="00056209"/>
    <w:rsid w:val="00056E5B"/>
    <w:rsid w:val="000618F5"/>
    <w:rsid w:val="00062D78"/>
    <w:rsid w:val="00062F18"/>
    <w:rsid w:val="00063AB8"/>
    <w:rsid w:val="000658C5"/>
    <w:rsid w:val="00071468"/>
    <w:rsid w:val="00071497"/>
    <w:rsid w:val="00076334"/>
    <w:rsid w:val="0008016C"/>
    <w:rsid w:val="000821A1"/>
    <w:rsid w:val="00083D72"/>
    <w:rsid w:val="00084FF3"/>
    <w:rsid w:val="00085FD8"/>
    <w:rsid w:val="0008622A"/>
    <w:rsid w:val="00090AAF"/>
    <w:rsid w:val="00090BB7"/>
    <w:rsid w:val="00092504"/>
    <w:rsid w:val="00092B00"/>
    <w:rsid w:val="00092C34"/>
    <w:rsid w:val="000973F8"/>
    <w:rsid w:val="000A2A34"/>
    <w:rsid w:val="000A30E6"/>
    <w:rsid w:val="000A3998"/>
    <w:rsid w:val="000A4C17"/>
    <w:rsid w:val="000A61FC"/>
    <w:rsid w:val="000A7210"/>
    <w:rsid w:val="000B0A70"/>
    <w:rsid w:val="000B1507"/>
    <w:rsid w:val="000B226A"/>
    <w:rsid w:val="000B4363"/>
    <w:rsid w:val="000B5D25"/>
    <w:rsid w:val="000C3198"/>
    <w:rsid w:val="000C32D4"/>
    <w:rsid w:val="000C35B5"/>
    <w:rsid w:val="000C53E0"/>
    <w:rsid w:val="000C5E7B"/>
    <w:rsid w:val="000E1B6C"/>
    <w:rsid w:val="000E4AE2"/>
    <w:rsid w:val="000F19D8"/>
    <w:rsid w:val="000F1B97"/>
    <w:rsid w:val="000F3C33"/>
    <w:rsid w:val="000F4A3B"/>
    <w:rsid w:val="0010305D"/>
    <w:rsid w:val="001036AD"/>
    <w:rsid w:val="001050DA"/>
    <w:rsid w:val="001064D7"/>
    <w:rsid w:val="00111084"/>
    <w:rsid w:val="00113794"/>
    <w:rsid w:val="00115B5E"/>
    <w:rsid w:val="00117C75"/>
    <w:rsid w:val="00122E38"/>
    <w:rsid w:val="00123381"/>
    <w:rsid w:val="00124C46"/>
    <w:rsid w:val="0012660A"/>
    <w:rsid w:val="00126D94"/>
    <w:rsid w:val="00131914"/>
    <w:rsid w:val="0013245B"/>
    <w:rsid w:val="00134A81"/>
    <w:rsid w:val="00135688"/>
    <w:rsid w:val="001357C3"/>
    <w:rsid w:val="0014686E"/>
    <w:rsid w:val="00147B81"/>
    <w:rsid w:val="00150ABB"/>
    <w:rsid w:val="001532ED"/>
    <w:rsid w:val="0015558F"/>
    <w:rsid w:val="001602C5"/>
    <w:rsid w:val="0016215B"/>
    <w:rsid w:val="001622C0"/>
    <w:rsid w:val="00162784"/>
    <w:rsid w:val="0016491D"/>
    <w:rsid w:val="00167CE9"/>
    <w:rsid w:val="00173530"/>
    <w:rsid w:val="0017400A"/>
    <w:rsid w:val="00176EFD"/>
    <w:rsid w:val="00177FA6"/>
    <w:rsid w:val="001818CE"/>
    <w:rsid w:val="00181DCA"/>
    <w:rsid w:val="00182FBA"/>
    <w:rsid w:val="001844FC"/>
    <w:rsid w:val="00184AF2"/>
    <w:rsid w:val="00190A45"/>
    <w:rsid w:val="001922C3"/>
    <w:rsid w:val="001A05C7"/>
    <w:rsid w:val="001A344D"/>
    <w:rsid w:val="001A36A9"/>
    <w:rsid w:val="001A7E28"/>
    <w:rsid w:val="001B0B72"/>
    <w:rsid w:val="001B145A"/>
    <w:rsid w:val="001B2B09"/>
    <w:rsid w:val="001B3029"/>
    <w:rsid w:val="001B47CF"/>
    <w:rsid w:val="001C209D"/>
    <w:rsid w:val="001C5350"/>
    <w:rsid w:val="001C7E50"/>
    <w:rsid w:val="001D0624"/>
    <w:rsid w:val="001D2C4D"/>
    <w:rsid w:val="001D421B"/>
    <w:rsid w:val="001D466C"/>
    <w:rsid w:val="001D5FEA"/>
    <w:rsid w:val="001E3871"/>
    <w:rsid w:val="001E56A7"/>
    <w:rsid w:val="001E7665"/>
    <w:rsid w:val="001E7CEE"/>
    <w:rsid w:val="001F0376"/>
    <w:rsid w:val="001F7A32"/>
    <w:rsid w:val="00201456"/>
    <w:rsid w:val="00201C5F"/>
    <w:rsid w:val="00205CEE"/>
    <w:rsid w:val="00210503"/>
    <w:rsid w:val="002118AB"/>
    <w:rsid w:val="00213E30"/>
    <w:rsid w:val="0021604E"/>
    <w:rsid w:val="00217B16"/>
    <w:rsid w:val="002306B0"/>
    <w:rsid w:val="00233834"/>
    <w:rsid w:val="00234126"/>
    <w:rsid w:val="002348A6"/>
    <w:rsid w:val="00236B80"/>
    <w:rsid w:val="00240F1D"/>
    <w:rsid w:val="002446E2"/>
    <w:rsid w:val="00247197"/>
    <w:rsid w:val="00250A16"/>
    <w:rsid w:val="00254E39"/>
    <w:rsid w:val="00255F9C"/>
    <w:rsid w:val="00256CAC"/>
    <w:rsid w:val="0026107B"/>
    <w:rsid w:val="00261162"/>
    <w:rsid w:val="00262D99"/>
    <w:rsid w:val="00263789"/>
    <w:rsid w:val="002666A7"/>
    <w:rsid w:val="00266E7D"/>
    <w:rsid w:val="00275CE1"/>
    <w:rsid w:val="002768F3"/>
    <w:rsid w:val="00277890"/>
    <w:rsid w:val="00284FE2"/>
    <w:rsid w:val="002863DE"/>
    <w:rsid w:val="00290007"/>
    <w:rsid w:val="00294C50"/>
    <w:rsid w:val="00296ECE"/>
    <w:rsid w:val="002978CE"/>
    <w:rsid w:val="002A2585"/>
    <w:rsid w:val="002A2C84"/>
    <w:rsid w:val="002A3520"/>
    <w:rsid w:val="002A7256"/>
    <w:rsid w:val="002A7C01"/>
    <w:rsid w:val="002B1FD6"/>
    <w:rsid w:val="002B77A1"/>
    <w:rsid w:val="002B7DB0"/>
    <w:rsid w:val="002C022E"/>
    <w:rsid w:val="002C18D7"/>
    <w:rsid w:val="002C721D"/>
    <w:rsid w:val="002C7925"/>
    <w:rsid w:val="002D044E"/>
    <w:rsid w:val="002D3ADD"/>
    <w:rsid w:val="002D4561"/>
    <w:rsid w:val="002D49FE"/>
    <w:rsid w:val="002D6251"/>
    <w:rsid w:val="002D7368"/>
    <w:rsid w:val="002D7540"/>
    <w:rsid w:val="002D7A4E"/>
    <w:rsid w:val="002E08A7"/>
    <w:rsid w:val="002E0A53"/>
    <w:rsid w:val="002E1F62"/>
    <w:rsid w:val="002E3251"/>
    <w:rsid w:val="002E356B"/>
    <w:rsid w:val="002E671D"/>
    <w:rsid w:val="002F14E0"/>
    <w:rsid w:val="002F386B"/>
    <w:rsid w:val="002F67EC"/>
    <w:rsid w:val="00312323"/>
    <w:rsid w:val="003128B6"/>
    <w:rsid w:val="00313B99"/>
    <w:rsid w:val="003202CC"/>
    <w:rsid w:val="00321B9B"/>
    <w:rsid w:val="00321BEA"/>
    <w:rsid w:val="00321FE1"/>
    <w:rsid w:val="003234CB"/>
    <w:rsid w:val="0032377D"/>
    <w:rsid w:val="003250AF"/>
    <w:rsid w:val="00326842"/>
    <w:rsid w:val="00330850"/>
    <w:rsid w:val="003321EA"/>
    <w:rsid w:val="00334FB8"/>
    <w:rsid w:val="003367E3"/>
    <w:rsid w:val="00336AC0"/>
    <w:rsid w:val="00336C0A"/>
    <w:rsid w:val="0033700A"/>
    <w:rsid w:val="003374DF"/>
    <w:rsid w:val="00340627"/>
    <w:rsid w:val="003433EC"/>
    <w:rsid w:val="0034684B"/>
    <w:rsid w:val="00346E04"/>
    <w:rsid w:val="00347457"/>
    <w:rsid w:val="00347BCC"/>
    <w:rsid w:val="003513CB"/>
    <w:rsid w:val="00357490"/>
    <w:rsid w:val="00357CB3"/>
    <w:rsid w:val="003615D2"/>
    <w:rsid w:val="00363070"/>
    <w:rsid w:val="003638A8"/>
    <w:rsid w:val="003645D5"/>
    <w:rsid w:val="00365D8A"/>
    <w:rsid w:val="00366F63"/>
    <w:rsid w:val="003726C8"/>
    <w:rsid w:val="00372BB9"/>
    <w:rsid w:val="003745BC"/>
    <w:rsid w:val="003758EE"/>
    <w:rsid w:val="00376523"/>
    <w:rsid w:val="003837E1"/>
    <w:rsid w:val="00383FE7"/>
    <w:rsid w:val="00387411"/>
    <w:rsid w:val="003901E8"/>
    <w:rsid w:val="00390880"/>
    <w:rsid w:val="00391D3A"/>
    <w:rsid w:val="00393DA0"/>
    <w:rsid w:val="003A468C"/>
    <w:rsid w:val="003A7036"/>
    <w:rsid w:val="003A7848"/>
    <w:rsid w:val="003B129E"/>
    <w:rsid w:val="003B22E2"/>
    <w:rsid w:val="003B25C9"/>
    <w:rsid w:val="003B3C6C"/>
    <w:rsid w:val="003B620B"/>
    <w:rsid w:val="003B7B55"/>
    <w:rsid w:val="003D23D7"/>
    <w:rsid w:val="003D65BA"/>
    <w:rsid w:val="003E108D"/>
    <w:rsid w:val="003E52E9"/>
    <w:rsid w:val="003E62CC"/>
    <w:rsid w:val="003E7DE2"/>
    <w:rsid w:val="003F0454"/>
    <w:rsid w:val="003F66A1"/>
    <w:rsid w:val="003F6747"/>
    <w:rsid w:val="00401447"/>
    <w:rsid w:val="00401E4A"/>
    <w:rsid w:val="0040776A"/>
    <w:rsid w:val="004109A2"/>
    <w:rsid w:val="00412D5F"/>
    <w:rsid w:val="00413BB6"/>
    <w:rsid w:val="00415A15"/>
    <w:rsid w:val="004176B3"/>
    <w:rsid w:val="00420C4C"/>
    <w:rsid w:val="00425546"/>
    <w:rsid w:val="004310FF"/>
    <w:rsid w:val="00433341"/>
    <w:rsid w:val="00434840"/>
    <w:rsid w:val="0043602C"/>
    <w:rsid w:val="00437997"/>
    <w:rsid w:val="00437FCF"/>
    <w:rsid w:val="00440D57"/>
    <w:rsid w:val="004415B9"/>
    <w:rsid w:val="00444E74"/>
    <w:rsid w:val="004505BD"/>
    <w:rsid w:val="004556EE"/>
    <w:rsid w:val="00455C25"/>
    <w:rsid w:val="00462578"/>
    <w:rsid w:val="00464D2C"/>
    <w:rsid w:val="004739BF"/>
    <w:rsid w:val="004739D2"/>
    <w:rsid w:val="004839FB"/>
    <w:rsid w:val="00490D61"/>
    <w:rsid w:val="00494B76"/>
    <w:rsid w:val="00496551"/>
    <w:rsid w:val="004967D1"/>
    <w:rsid w:val="004A21C9"/>
    <w:rsid w:val="004A2993"/>
    <w:rsid w:val="004A4DBF"/>
    <w:rsid w:val="004A7234"/>
    <w:rsid w:val="004B25C3"/>
    <w:rsid w:val="004B331A"/>
    <w:rsid w:val="004B59C7"/>
    <w:rsid w:val="004B6F2A"/>
    <w:rsid w:val="004C1B3E"/>
    <w:rsid w:val="004C45E0"/>
    <w:rsid w:val="004C6864"/>
    <w:rsid w:val="004C7666"/>
    <w:rsid w:val="004D40CB"/>
    <w:rsid w:val="004D5542"/>
    <w:rsid w:val="004D6A87"/>
    <w:rsid w:val="004E0392"/>
    <w:rsid w:val="004E1727"/>
    <w:rsid w:val="004E579D"/>
    <w:rsid w:val="004E7D76"/>
    <w:rsid w:val="004F00E7"/>
    <w:rsid w:val="004F62DD"/>
    <w:rsid w:val="00503AC4"/>
    <w:rsid w:val="0050522F"/>
    <w:rsid w:val="005066E8"/>
    <w:rsid w:val="00516975"/>
    <w:rsid w:val="00517A06"/>
    <w:rsid w:val="00521073"/>
    <w:rsid w:val="00521F0B"/>
    <w:rsid w:val="005226C9"/>
    <w:rsid w:val="005242CB"/>
    <w:rsid w:val="00524432"/>
    <w:rsid w:val="00531E1D"/>
    <w:rsid w:val="00532434"/>
    <w:rsid w:val="00532A53"/>
    <w:rsid w:val="00535F4E"/>
    <w:rsid w:val="00541C96"/>
    <w:rsid w:val="00541D12"/>
    <w:rsid w:val="005459C6"/>
    <w:rsid w:val="00546FEB"/>
    <w:rsid w:val="00554789"/>
    <w:rsid w:val="00554F4C"/>
    <w:rsid w:val="00556516"/>
    <w:rsid w:val="00564076"/>
    <w:rsid w:val="00566323"/>
    <w:rsid w:val="00566B2F"/>
    <w:rsid w:val="005673F4"/>
    <w:rsid w:val="00567442"/>
    <w:rsid w:val="005704A4"/>
    <w:rsid w:val="00575BEE"/>
    <w:rsid w:val="00576D4F"/>
    <w:rsid w:val="0058175D"/>
    <w:rsid w:val="00587046"/>
    <w:rsid w:val="00590D83"/>
    <w:rsid w:val="00591858"/>
    <w:rsid w:val="00594A81"/>
    <w:rsid w:val="005960AC"/>
    <w:rsid w:val="005A1423"/>
    <w:rsid w:val="005A2EA0"/>
    <w:rsid w:val="005A3D56"/>
    <w:rsid w:val="005A43EE"/>
    <w:rsid w:val="005A4490"/>
    <w:rsid w:val="005A5C60"/>
    <w:rsid w:val="005B015E"/>
    <w:rsid w:val="005B1264"/>
    <w:rsid w:val="005B3BCC"/>
    <w:rsid w:val="005B528A"/>
    <w:rsid w:val="005B65EE"/>
    <w:rsid w:val="005B680C"/>
    <w:rsid w:val="005B68B3"/>
    <w:rsid w:val="005B6C02"/>
    <w:rsid w:val="005C2487"/>
    <w:rsid w:val="005C2E11"/>
    <w:rsid w:val="005C583E"/>
    <w:rsid w:val="005C5D4C"/>
    <w:rsid w:val="005C67E4"/>
    <w:rsid w:val="005C7698"/>
    <w:rsid w:val="005C7B04"/>
    <w:rsid w:val="005D67F8"/>
    <w:rsid w:val="005D79A5"/>
    <w:rsid w:val="005D7AFF"/>
    <w:rsid w:val="005E1E91"/>
    <w:rsid w:val="005E30F1"/>
    <w:rsid w:val="005F07D4"/>
    <w:rsid w:val="005F1052"/>
    <w:rsid w:val="005F4209"/>
    <w:rsid w:val="005F45C6"/>
    <w:rsid w:val="005F4895"/>
    <w:rsid w:val="00601AA4"/>
    <w:rsid w:val="00601CCA"/>
    <w:rsid w:val="00602C6C"/>
    <w:rsid w:val="0060518B"/>
    <w:rsid w:val="00605963"/>
    <w:rsid w:val="00605E0D"/>
    <w:rsid w:val="00611DAB"/>
    <w:rsid w:val="00612D27"/>
    <w:rsid w:val="006132C6"/>
    <w:rsid w:val="006215E2"/>
    <w:rsid w:val="00622989"/>
    <w:rsid w:val="00627038"/>
    <w:rsid w:val="00632EA4"/>
    <w:rsid w:val="0063367C"/>
    <w:rsid w:val="006342E7"/>
    <w:rsid w:val="0063527F"/>
    <w:rsid w:val="006371D6"/>
    <w:rsid w:val="006431C7"/>
    <w:rsid w:val="006459A4"/>
    <w:rsid w:val="00647166"/>
    <w:rsid w:val="00652240"/>
    <w:rsid w:val="006550C3"/>
    <w:rsid w:val="0066346D"/>
    <w:rsid w:val="0066399F"/>
    <w:rsid w:val="0066404C"/>
    <w:rsid w:val="00664E3A"/>
    <w:rsid w:val="006723B6"/>
    <w:rsid w:val="00673376"/>
    <w:rsid w:val="006739AB"/>
    <w:rsid w:val="00674E45"/>
    <w:rsid w:val="00684EC4"/>
    <w:rsid w:val="0068551C"/>
    <w:rsid w:val="006856BE"/>
    <w:rsid w:val="00687CD5"/>
    <w:rsid w:val="00691135"/>
    <w:rsid w:val="006923A6"/>
    <w:rsid w:val="006936D5"/>
    <w:rsid w:val="0069455E"/>
    <w:rsid w:val="00695F14"/>
    <w:rsid w:val="00696786"/>
    <w:rsid w:val="00696BA4"/>
    <w:rsid w:val="006A3188"/>
    <w:rsid w:val="006A4E3B"/>
    <w:rsid w:val="006B0644"/>
    <w:rsid w:val="006B0CE7"/>
    <w:rsid w:val="006B2433"/>
    <w:rsid w:val="006B7ABB"/>
    <w:rsid w:val="006C0950"/>
    <w:rsid w:val="006C694C"/>
    <w:rsid w:val="006D304D"/>
    <w:rsid w:val="006D3673"/>
    <w:rsid w:val="006D49EE"/>
    <w:rsid w:val="006D524D"/>
    <w:rsid w:val="006D675B"/>
    <w:rsid w:val="006E25B2"/>
    <w:rsid w:val="006E3B1C"/>
    <w:rsid w:val="006E5A81"/>
    <w:rsid w:val="006E5F28"/>
    <w:rsid w:val="006E79AD"/>
    <w:rsid w:val="006F038A"/>
    <w:rsid w:val="006F3506"/>
    <w:rsid w:val="006F51BE"/>
    <w:rsid w:val="006F5F8E"/>
    <w:rsid w:val="006F7701"/>
    <w:rsid w:val="0070206E"/>
    <w:rsid w:val="00703F34"/>
    <w:rsid w:val="007108B5"/>
    <w:rsid w:val="00712056"/>
    <w:rsid w:val="0071409C"/>
    <w:rsid w:val="00714291"/>
    <w:rsid w:val="007167C7"/>
    <w:rsid w:val="007201FB"/>
    <w:rsid w:val="00720DC8"/>
    <w:rsid w:val="0072523B"/>
    <w:rsid w:val="00731116"/>
    <w:rsid w:val="00733611"/>
    <w:rsid w:val="00734068"/>
    <w:rsid w:val="00740263"/>
    <w:rsid w:val="007406FF"/>
    <w:rsid w:val="00740710"/>
    <w:rsid w:val="00740B91"/>
    <w:rsid w:val="0074337E"/>
    <w:rsid w:val="00744284"/>
    <w:rsid w:val="007443BB"/>
    <w:rsid w:val="00744A1A"/>
    <w:rsid w:val="00745528"/>
    <w:rsid w:val="007532B7"/>
    <w:rsid w:val="007533D8"/>
    <w:rsid w:val="00754014"/>
    <w:rsid w:val="007567C8"/>
    <w:rsid w:val="007617ED"/>
    <w:rsid w:val="00762533"/>
    <w:rsid w:val="00764408"/>
    <w:rsid w:val="00764A0F"/>
    <w:rsid w:val="00771282"/>
    <w:rsid w:val="00772848"/>
    <w:rsid w:val="00773B04"/>
    <w:rsid w:val="0077675B"/>
    <w:rsid w:val="00783B1D"/>
    <w:rsid w:val="00783C0B"/>
    <w:rsid w:val="00787966"/>
    <w:rsid w:val="0079227F"/>
    <w:rsid w:val="00794DAC"/>
    <w:rsid w:val="00796575"/>
    <w:rsid w:val="007972FA"/>
    <w:rsid w:val="00797E5B"/>
    <w:rsid w:val="007A1B23"/>
    <w:rsid w:val="007A38D4"/>
    <w:rsid w:val="007B5E19"/>
    <w:rsid w:val="007B76CD"/>
    <w:rsid w:val="007C308B"/>
    <w:rsid w:val="007C3C8E"/>
    <w:rsid w:val="007C431E"/>
    <w:rsid w:val="007C5158"/>
    <w:rsid w:val="007C612B"/>
    <w:rsid w:val="007C6FEE"/>
    <w:rsid w:val="007D062A"/>
    <w:rsid w:val="007D0B22"/>
    <w:rsid w:val="007D3ABB"/>
    <w:rsid w:val="007D4BB6"/>
    <w:rsid w:val="007D618D"/>
    <w:rsid w:val="007D7BD0"/>
    <w:rsid w:val="007D7F1B"/>
    <w:rsid w:val="007E288B"/>
    <w:rsid w:val="007E33E9"/>
    <w:rsid w:val="007E3D14"/>
    <w:rsid w:val="007E5444"/>
    <w:rsid w:val="007E5B2D"/>
    <w:rsid w:val="007E5ED4"/>
    <w:rsid w:val="007F1192"/>
    <w:rsid w:val="007F38D6"/>
    <w:rsid w:val="00801413"/>
    <w:rsid w:val="008049BE"/>
    <w:rsid w:val="00805BC2"/>
    <w:rsid w:val="008068BB"/>
    <w:rsid w:val="00813BD3"/>
    <w:rsid w:val="008147D6"/>
    <w:rsid w:val="00816282"/>
    <w:rsid w:val="00816D19"/>
    <w:rsid w:val="00821590"/>
    <w:rsid w:val="00822115"/>
    <w:rsid w:val="008224CF"/>
    <w:rsid w:val="008239E3"/>
    <w:rsid w:val="00823D78"/>
    <w:rsid w:val="00825164"/>
    <w:rsid w:val="00825AE1"/>
    <w:rsid w:val="00826FCA"/>
    <w:rsid w:val="00832C3F"/>
    <w:rsid w:val="00836B30"/>
    <w:rsid w:val="00836D26"/>
    <w:rsid w:val="00836F1C"/>
    <w:rsid w:val="008378D0"/>
    <w:rsid w:val="00841809"/>
    <w:rsid w:val="00852B1E"/>
    <w:rsid w:val="00852DC1"/>
    <w:rsid w:val="0085400A"/>
    <w:rsid w:val="00856063"/>
    <w:rsid w:val="00857791"/>
    <w:rsid w:val="0086035A"/>
    <w:rsid w:val="0086067C"/>
    <w:rsid w:val="00861EA3"/>
    <w:rsid w:val="008655C1"/>
    <w:rsid w:val="008659EE"/>
    <w:rsid w:val="00865A9A"/>
    <w:rsid w:val="00866D2F"/>
    <w:rsid w:val="00872300"/>
    <w:rsid w:val="008732EE"/>
    <w:rsid w:val="008740FA"/>
    <w:rsid w:val="00875077"/>
    <w:rsid w:val="008760B3"/>
    <w:rsid w:val="00876B70"/>
    <w:rsid w:val="008838FE"/>
    <w:rsid w:val="0088407F"/>
    <w:rsid w:val="00884B45"/>
    <w:rsid w:val="00885859"/>
    <w:rsid w:val="008874A5"/>
    <w:rsid w:val="00890062"/>
    <w:rsid w:val="00890E8D"/>
    <w:rsid w:val="00892249"/>
    <w:rsid w:val="00897893"/>
    <w:rsid w:val="008A0267"/>
    <w:rsid w:val="008A107C"/>
    <w:rsid w:val="008A36DB"/>
    <w:rsid w:val="008A4B8F"/>
    <w:rsid w:val="008A5150"/>
    <w:rsid w:val="008A7387"/>
    <w:rsid w:val="008B1394"/>
    <w:rsid w:val="008B29AB"/>
    <w:rsid w:val="008B5DC1"/>
    <w:rsid w:val="008B648C"/>
    <w:rsid w:val="008B6A54"/>
    <w:rsid w:val="008B6B4A"/>
    <w:rsid w:val="008C0E9C"/>
    <w:rsid w:val="008C1A7F"/>
    <w:rsid w:val="008D0771"/>
    <w:rsid w:val="008D2410"/>
    <w:rsid w:val="008D2724"/>
    <w:rsid w:val="008D5138"/>
    <w:rsid w:val="008E2243"/>
    <w:rsid w:val="008E36D1"/>
    <w:rsid w:val="008E54BE"/>
    <w:rsid w:val="008E606A"/>
    <w:rsid w:val="008E6A7A"/>
    <w:rsid w:val="008E6C40"/>
    <w:rsid w:val="008E714C"/>
    <w:rsid w:val="008E77E0"/>
    <w:rsid w:val="008E78CE"/>
    <w:rsid w:val="008F5ED9"/>
    <w:rsid w:val="008F5FC9"/>
    <w:rsid w:val="008F6DB7"/>
    <w:rsid w:val="008F78FC"/>
    <w:rsid w:val="00904E3B"/>
    <w:rsid w:val="009070DB"/>
    <w:rsid w:val="00907808"/>
    <w:rsid w:val="00913902"/>
    <w:rsid w:val="00914570"/>
    <w:rsid w:val="0091526A"/>
    <w:rsid w:val="0091630E"/>
    <w:rsid w:val="00922715"/>
    <w:rsid w:val="00923094"/>
    <w:rsid w:val="009314F5"/>
    <w:rsid w:val="00933911"/>
    <w:rsid w:val="0093473A"/>
    <w:rsid w:val="00935948"/>
    <w:rsid w:val="00935C05"/>
    <w:rsid w:val="00936ACD"/>
    <w:rsid w:val="00936C3F"/>
    <w:rsid w:val="00941A89"/>
    <w:rsid w:val="00942365"/>
    <w:rsid w:val="00942BF3"/>
    <w:rsid w:val="00945CAD"/>
    <w:rsid w:val="009468F1"/>
    <w:rsid w:val="0095133E"/>
    <w:rsid w:val="009530E3"/>
    <w:rsid w:val="00953C2C"/>
    <w:rsid w:val="009552F8"/>
    <w:rsid w:val="0095606D"/>
    <w:rsid w:val="00956168"/>
    <w:rsid w:val="00957218"/>
    <w:rsid w:val="00962CBB"/>
    <w:rsid w:val="009660DB"/>
    <w:rsid w:val="0096723E"/>
    <w:rsid w:val="00970DF7"/>
    <w:rsid w:val="0097228B"/>
    <w:rsid w:val="00973624"/>
    <w:rsid w:val="00974569"/>
    <w:rsid w:val="00975A38"/>
    <w:rsid w:val="00976707"/>
    <w:rsid w:val="0098024C"/>
    <w:rsid w:val="00981013"/>
    <w:rsid w:val="009810FF"/>
    <w:rsid w:val="00982D40"/>
    <w:rsid w:val="00982E3E"/>
    <w:rsid w:val="00990160"/>
    <w:rsid w:val="00991CEE"/>
    <w:rsid w:val="00992137"/>
    <w:rsid w:val="009925E7"/>
    <w:rsid w:val="00992844"/>
    <w:rsid w:val="009A10FA"/>
    <w:rsid w:val="009A1AF6"/>
    <w:rsid w:val="009A2400"/>
    <w:rsid w:val="009A4946"/>
    <w:rsid w:val="009A7C7F"/>
    <w:rsid w:val="009B2745"/>
    <w:rsid w:val="009B2C86"/>
    <w:rsid w:val="009B3162"/>
    <w:rsid w:val="009B68AC"/>
    <w:rsid w:val="009B7BD3"/>
    <w:rsid w:val="009B7C45"/>
    <w:rsid w:val="009C3A51"/>
    <w:rsid w:val="009C5CEE"/>
    <w:rsid w:val="009C7628"/>
    <w:rsid w:val="009D0E88"/>
    <w:rsid w:val="009D153F"/>
    <w:rsid w:val="009D2C8C"/>
    <w:rsid w:val="009D41A0"/>
    <w:rsid w:val="009D44E1"/>
    <w:rsid w:val="009D609A"/>
    <w:rsid w:val="009D6406"/>
    <w:rsid w:val="009D65DF"/>
    <w:rsid w:val="009D72DD"/>
    <w:rsid w:val="009D7D67"/>
    <w:rsid w:val="009E24F3"/>
    <w:rsid w:val="009E366C"/>
    <w:rsid w:val="009E4BC2"/>
    <w:rsid w:val="009E5B2B"/>
    <w:rsid w:val="009E69F1"/>
    <w:rsid w:val="009E6AFD"/>
    <w:rsid w:val="009E71F0"/>
    <w:rsid w:val="009F0A5E"/>
    <w:rsid w:val="009F1394"/>
    <w:rsid w:val="009F29F1"/>
    <w:rsid w:val="009F55C8"/>
    <w:rsid w:val="00A00D2D"/>
    <w:rsid w:val="00A04912"/>
    <w:rsid w:val="00A07BFC"/>
    <w:rsid w:val="00A1117A"/>
    <w:rsid w:val="00A126C3"/>
    <w:rsid w:val="00A15E65"/>
    <w:rsid w:val="00A2342F"/>
    <w:rsid w:val="00A24C6D"/>
    <w:rsid w:val="00A259E7"/>
    <w:rsid w:val="00A27069"/>
    <w:rsid w:val="00A3292F"/>
    <w:rsid w:val="00A32B1D"/>
    <w:rsid w:val="00A34B34"/>
    <w:rsid w:val="00A356FE"/>
    <w:rsid w:val="00A40183"/>
    <w:rsid w:val="00A43D8A"/>
    <w:rsid w:val="00A4598F"/>
    <w:rsid w:val="00A47CB4"/>
    <w:rsid w:val="00A47E80"/>
    <w:rsid w:val="00A47F06"/>
    <w:rsid w:val="00A518A9"/>
    <w:rsid w:val="00A5191F"/>
    <w:rsid w:val="00A536AD"/>
    <w:rsid w:val="00A62B50"/>
    <w:rsid w:val="00A65564"/>
    <w:rsid w:val="00A664E2"/>
    <w:rsid w:val="00A70123"/>
    <w:rsid w:val="00A73312"/>
    <w:rsid w:val="00A747F1"/>
    <w:rsid w:val="00A750E5"/>
    <w:rsid w:val="00A77075"/>
    <w:rsid w:val="00A84CB0"/>
    <w:rsid w:val="00AA0EC3"/>
    <w:rsid w:val="00AA142E"/>
    <w:rsid w:val="00AA3E0F"/>
    <w:rsid w:val="00AA4EF8"/>
    <w:rsid w:val="00AA63D8"/>
    <w:rsid w:val="00AB3378"/>
    <w:rsid w:val="00AB3D5C"/>
    <w:rsid w:val="00AB560C"/>
    <w:rsid w:val="00AB5A42"/>
    <w:rsid w:val="00AC35CF"/>
    <w:rsid w:val="00AC4560"/>
    <w:rsid w:val="00AD2170"/>
    <w:rsid w:val="00AD25E3"/>
    <w:rsid w:val="00AD32FA"/>
    <w:rsid w:val="00AD47E1"/>
    <w:rsid w:val="00AD5857"/>
    <w:rsid w:val="00AE25A4"/>
    <w:rsid w:val="00AE3F06"/>
    <w:rsid w:val="00AE7E97"/>
    <w:rsid w:val="00AF05D6"/>
    <w:rsid w:val="00AF0A06"/>
    <w:rsid w:val="00AF22D7"/>
    <w:rsid w:val="00AF32AE"/>
    <w:rsid w:val="00AF5672"/>
    <w:rsid w:val="00AF65A2"/>
    <w:rsid w:val="00AF6CB2"/>
    <w:rsid w:val="00AF6FF3"/>
    <w:rsid w:val="00AF705B"/>
    <w:rsid w:val="00B102AE"/>
    <w:rsid w:val="00B102E6"/>
    <w:rsid w:val="00B12792"/>
    <w:rsid w:val="00B2397A"/>
    <w:rsid w:val="00B23AF1"/>
    <w:rsid w:val="00B4094C"/>
    <w:rsid w:val="00B415C9"/>
    <w:rsid w:val="00B42EFD"/>
    <w:rsid w:val="00B440DC"/>
    <w:rsid w:val="00B44E8B"/>
    <w:rsid w:val="00B45C2D"/>
    <w:rsid w:val="00B51BE3"/>
    <w:rsid w:val="00B51DE7"/>
    <w:rsid w:val="00B52E78"/>
    <w:rsid w:val="00B5316D"/>
    <w:rsid w:val="00B55A6D"/>
    <w:rsid w:val="00B571B7"/>
    <w:rsid w:val="00B6115E"/>
    <w:rsid w:val="00B611B7"/>
    <w:rsid w:val="00B61B69"/>
    <w:rsid w:val="00B72397"/>
    <w:rsid w:val="00B72A25"/>
    <w:rsid w:val="00B7323D"/>
    <w:rsid w:val="00B76F7D"/>
    <w:rsid w:val="00B80B3F"/>
    <w:rsid w:val="00B817C8"/>
    <w:rsid w:val="00B86C8F"/>
    <w:rsid w:val="00B87BAB"/>
    <w:rsid w:val="00B9280C"/>
    <w:rsid w:val="00B94687"/>
    <w:rsid w:val="00BA0121"/>
    <w:rsid w:val="00BA0897"/>
    <w:rsid w:val="00BA73CB"/>
    <w:rsid w:val="00BB3C91"/>
    <w:rsid w:val="00BB6270"/>
    <w:rsid w:val="00BC0879"/>
    <w:rsid w:val="00BC432A"/>
    <w:rsid w:val="00BC4AB7"/>
    <w:rsid w:val="00BC660A"/>
    <w:rsid w:val="00BC69E5"/>
    <w:rsid w:val="00BC757B"/>
    <w:rsid w:val="00BD1973"/>
    <w:rsid w:val="00BD44A8"/>
    <w:rsid w:val="00BD50F5"/>
    <w:rsid w:val="00BD6FDD"/>
    <w:rsid w:val="00BE0C8E"/>
    <w:rsid w:val="00BE755D"/>
    <w:rsid w:val="00BF15F2"/>
    <w:rsid w:val="00BF6680"/>
    <w:rsid w:val="00BF67F2"/>
    <w:rsid w:val="00C004C3"/>
    <w:rsid w:val="00C00827"/>
    <w:rsid w:val="00C025E2"/>
    <w:rsid w:val="00C033EF"/>
    <w:rsid w:val="00C048AE"/>
    <w:rsid w:val="00C04EA9"/>
    <w:rsid w:val="00C07A80"/>
    <w:rsid w:val="00C10C1B"/>
    <w:rsid w:val="00C115C3"/>
    <w:rsid w:val="00C129B3"/>
    <w:rsid w:val="00C12E03"/>
    <w:rsid w:val="00C146DF"/>
    <w:rsid w:val="00C15D6C"/>
    <w:rsid w:val="00C232B7"/>
    <w:rsid w:val="00C23999"/>
    <w:rsid w:val="00C25692"/>
    <w:rsid w:val="00C26E3A"/>
    <w:rsid w:val="00C27F6D"/>
    <w:rsid w:val="00C34EC1"/>
    <w:rsid w:val="00C36B40"/>
    <w:rsid w:val="00C45CA0"/>
    <w:rsid w:val="00C45E91"/>
    <w:rsid w:val="00C46D1D"/>
    <w:rsid w:val="00C507BE"/>
    <w:rsid w:val="00C5555F"/>
    <w:rsid w:val="00C55D55"/>
    <w:rsid w:val="00C569CB"/>
    <w:rsid w:val="00C6093E"/>
    <w:rsid w:val="00C64E00"/>
    <w:rsid w:val="00C651BF"/>
    <w:rsid w:val="00C71E56"/>
    <w:rsid w:val="00C7320F"/>
    <w:rsid w:val="00C77343"/>
    <w:rsid w:val="00C77848"/>
    <w:rsid w:val="00C85ED7"/>
    <w:rsid w:val="00C86968"/>
    <w:rsid w:val="00C86C3D"/>
    <w:rsid w:val="00C8706B"/>
    <w:rsid w:val="00C90DC3"/>
    <w:rsid w:val="00C9106B"/>
    <w:rsid w:val="00C91735"/>
    <w:rsid w:val="00C92440"/>
    <w:rsid w:val="00C942D9"/>
    <w:rsid w:val="00C943D3"/>
    <w:rsid w:val="00C94BF3"/>
    <w:rsid w:val="00C967D2"/>
    <w:rsid w:val="00C96F4C"/>
    <w:rsid w:val="00C973CC"/>
    <w:rsid w:val="00CA07A9"/>
    <w:rsid w:val="00CA1AFD"/>
    <w:rsid w:val="00CA1C22"/>
    <w:rsid w:val="00CA261C"/>
    <w:rsid w:val="00CA3498"/>
    <w:rsid w:val="00CA53F7"/>
    <w:rsid w:val="00CA70FD"/>
    <w:rsid w:val="00CA7977"/>
    <w:rsid w:val="00CB1693"/>
    <w:rsid w:val="00CB23D2"/>
    <w:rsid w:val="00CB2B2F"/>
    <w:rsid w:val="00CB409C"/>
    <w:rsid w:val="00CB47BB"/>
    <w:rsid w:val="00CB50F5"/>
    <w:rsid w:val="00CC554F"/>
    <w:rsid w:val="00CC63BD"/>
    <w:rsid w:val="00CC698E"/>
    <w:rsid w:val="00CC7AD0"/>
    <w:rsid w:val="00CD02D0"/>
    <w:rsid w:val="00CD29E2"/>
    <w:rsid w:val="00CD3C90"/>
    <w:rsid w:val="00CD3E58"/>
    <w:rsid w:val="00CD7084"/>
    <w:rsid w:val="00CE09E1"/>
    <w:rsid w:val="00CE0A7C"/>
    <w:rsid w:val="00CE7441"/>
    <w:rsid w:val="00CF13BC"/>
    <w:rsid w:val="00CF2075"/>
    <w:rsid w:val="00CF35CD"/>
    <w:rsid w:val="00CF40C8"/>
    <w:rsid w:val="00CF5D3B"/>
    <w:rsid w:val="00CF6775"/>
    <w:rsid w:val="00CF71F8"/>
    <w:rsid w:val="00D103F9"/>
    <w:rsid w:val="00D10D07"/>
    <w:rsid w:val="00D128EF"/>
    <w:rsid w:val="00D1302A"/>
    <w:rsid w:val="00D16B9B"/>
    <w:rsid w:val="00D17986"/>
    <w:rsid w:val="00D209EF"/>
    <w:rsid w:val="00D213EC"/>
    <w:rsid w:val="00D25AA2"/>
    <w:rsid w:val="00D25CDF"/>
    <w:rsid w:val="00D31722"/>
    <w:rsid w:val="00D3502E"/>
    <w:rsid w:val="00D35056"/>
    <w:rsid w:val="00D3641B"/>
    <w:rsid w:val="00D40746"/>
    <w:rsid w:val="00D43D53"/>
    <w:rsid w:val="00D51521"/>
    <w:rsid w:val="00D6129E"/>
    <w:rsid w:val="00D65A3F"/>
    <w:rsid w:val="00D65DA8"/>
    <w:rsid w:val="00D661E4"/>
    <w:rsid w:val="00D66455"/>
    <w:rsid w:val="00D665BF"/>
    <w:rsid w:val="00D66A0C"/>
    <w:rsid w:val="00D673B8"/>
    <w:rsid w:val="00D702B1"/>
    <w:rsid w:val="00D7264A"/>
    <w:rsid w:val="00D7306B"/>
    <w:rsid w:val="00D73684"/>
    <w:rsid w:val="00D8010B"/>
    <w:rsid w:val="00D8366B"/>
    <w:rsid w:val="00D83E9D"/>
    <w:rsid w:val="00D87599"/>
    <w:rsid w:val="00D87D0C"/>
    <w:rsid w:val="00D911A9"/>
    <w:rsid w:val="00D92392"/>
    <w:rsid w:val="00D95107"/>
    <w:rsid w:val="00DA0F98"/>
    <w:rsid w:val="00DA11A1"/>
    <w:rsid w:val="00DA3B11"/>
    <w:rsid w:val="00DA4D5B"/>
    <w:rsid w:val="00DB2245"/>
    <w:rsid w:val="00DB3AAD"/>
    <w:rsid w:val="00DB40D7"/>
    <w:rsid w:val="00DB749B"/>
    <w:rsid w:val="00DC06F7"/>
    <w:rsid w:val="00DC68E5"/>
    <w:rsid w:val="00DC6986"/>
    <w:rsid w:val="00DC707F"/>
    <w:rsid w:val="00DD02C5"/>
    <w:rsid w:val="00DD07AF"/>
    <w:rsid w:val="00DD119F"/>
    <w:rsid w:val="00DD33FB"/>
    <w:rsid w:val="00DD6434"/>
    <w:rsid w:val="00DD6C1E"/>
    <w:rsid w:val="00DD79D0"/>
    <w:rsid w:val="00DE11F0"/>
    <w:rsid w:val="00DE2CCF"/>
    <w:rsid w:val="00DE4453"/>
    <w:rsid w:val="00DE63D1"/>
    <w:rsid w:val="00DE6B7B"/>
    <w:rsid w:val="00DE72F7"/>
    <w:rsid w:val="00DF058C"/>
    <w:rsid w:val="00DF16D5"/>
    <w:rsid w:val="00DF4DB9"/>
    <w:rsid w:val="00DF57CB"/>
    <w:rsid w:val="00E011C7"/>
    <w:rsid w:val="00E011F0"/>
    <w:rsid w:val="00E02490"/>
    <w:rsid w:val="00E026BC"/>
    <w:rsid w:val="00E04F59"/>
    <w:rsid w:val="00E0504C"/>
    <w:rsid w:val="00E11826"/>
    <w:rsid w:val="00E12C34"/>
    <w:rsid w:val="00E1542A"/>
    <w:rsid w:val="00E208A5"/>
    <w:rsid w:val="00E26F6E"/>
    <w:rsid w:val="00E31F35"/>
    <w:rsid w:val="00E332E2"/>
    <w:rsid w:val="00E33A67"/>
    <w:rsid w:val="00E35422"/>
    <w:rsid w:val="00E35711"/>
    <w:rsid w:val="00E36CA9"/>
    <w:rsid w:val="00E37677"/>
    <w:rsid w:val="00E3794B"/>
    <w:rsid w:val="00E37E84"/>
    <w:rsid w:val="00E41766"/>
    <w:rsid w:val="00E41E1C"/>
    <w:rsid w:val="00E457B8"/>
    <w:rsid w:val="00E50415"/>
    <w:rsid w:val="00E51AD3"/>
    <w:rsid w:val="00E57369"/>
    <w:rsid w:val="00E618D4"/>
    <w:rsid w:val="00E6336A"/>
    <w:rsid w:val="00E639CE"/>
    <w:rsid w:val="00E700EC"/>
    <w:rsid w:val="00E7011B"/>
    <w:rsid w:val="00E707A2"/>
    <w:rsid w:val="00E72124"/>
    <w:rsid w:val="00E75B06"/>
    <w:rsid w:val="00E760B7"/>
    <w:rsid w:val="00E76AC2"/>
    <w:rsid w:val="00E7775E"/>
    <w:rsid w:val="00E83CEC"/>
    <w:rsid w:val="00E860A5"/>
    <w:rsid w:val="00E869DB"/>
    <w:rsid w:val="00E86F7F"/>
    <w:rsid w:val="00E914BA"/>
    <w:rsid w:val="00E9606D"/>
    <w:rsid w:val="00EA0254"/>
    <w:rsid w:val="00EA1819"/>
    <w:rsid w:val="00EA2995"/>
    <w:rsid w:val="00EA478A"/>
    <w:rsid w:val="00EA5D5A"/>
    <w:rsid w:val="00EA5FD6"/>
    <w:rsid w:val="00EB1024"/>
    <w:rsid w:val="00EB2C73"/>
    <w:rsid w:val="00EB2E10"/>
    <w:rsid w:val="00EB5054"/>
    <w:rsid w:val="00EB55C1"/>
    <w:rsid w:val="00EB5BC8"/>
    <w:rsid w:val="00EB5F55"/>
    <w:rsid w:val="00EB6933"/>
    <w:rsid w:val="00EB7DC2"/>
    <w:rsid w:val="00EB7E90"/>
    <w:rsid w:val="00EC1CF9"/>
    <w:rsid w:val="00EC29BE"/>
    <w:rsid w:val="00EC3743"/>
    <w:rsid w:val="00EC5BD0"/>
    <w:rsid w:val="00ED1156"/>
    <w:rsid w:val="00ED2D37"/>
    <w:rsid w:val="00ED3B6A"/>
    <w:rsid w:val="00ED40B2"/>
    <w:rsid w:val="00ED53C9"/>
    <w:rsid w:val="00ED68A0"/>
    <w:rsid w:val="00EE4143"/>
    <w:rsid w:val="00EE43BA"/>
    <w:rsid w:val="00EE6A18"/>
    <w:rsid w:val="00EF0127"/>
    <w:rsid w:val="00EF0800"/>
    <w:rsid w:val="00EF1060"/>
    <w:rsid w:val="00EF20CE"/>
    <w:rsid w:val="00EF660F"/>
    <w:rsid w:val="00EF6E4A"/>
    <w:rsid w:val="00F006A2"/>
    <w:rsid w:val="00F01124"/>
    <w:rsid w:val="00F0669E"/>
    <w:rsid w:val="00F06F18"/>
    <w:rsid w:val="00F071E2"/>
    <w:rsid w:val="00F16ED4"/>
    <w:rsid w:val="00F22015"/>
    <w:rsid w:val="00F271F4"/>
    <w:rsid w:val="00F2734E"/>
    <w:rsid w:val="00F273D6"/>
    <w:rsid w:val="00F304ED"/>
    <w:rsid w:val="00F32D07"/>
    <w:rsid w:val="00F32FF9"/>
    <w:rsid w:val="00F347FE"/>
    <w:rsid w:val="00F36810"/>
    <w:rsid w:val="00F37176"/>
    <w:rsid w:val="00F41B9C"/>
    <w:rsid w:val="00F42768"/>
    <w:rsid w:val="00F43499"/>
    <w:rsid w:val="00F43D93"/>
    <w:rsid w:val="00F45979"/>
    <w:rsid w:val="00F45A92"/>
    <w:rsid w:val="00F471B6"/>
    <w:rsid w:val="00F51B0E"/>
    <w:rsid w:val="00F537B5"/>
    <w:rsid w:val="00F53F63"/>
    <w:rsid w:val="00F5500C"/>
    <w:rsid w:val="00F55220"/>
    <w:rsid w:val="00F561BB"/>
    <w:rsid w:val="00F56FA1"/>
    <w:rsid w:val="00F57BBE"/>
    <w:rsid w:val="00F658E8"/>
    <w:rsid w:val="00F65C55"/>
    <w:rsid w:val="00F725A3"/>
    <w:rsid w:val="00F732C4"/>
    <w:rsid w:val="00F75492"/>
    <w:rsid w:val="00F76EAF"/>
    <w:rsid w:val="00F80B9A"/>
    <w:rsid w:val="00F80EA2"/>
    <w:rsid w:val="00F838CE"/>
    <w:rsid w:val="00F84052"/>
    <w:rsid w:val="00F84119"/>
    <w:rsid w:val="00F856CA"/>
    <w:rsid w:val="00F85A0F"/>
    <w:rsid w:val="00F85B8C"/>
    <w:rsid w:val="00F90768"/>
    <w:rsid w:val="00F90838"/>
    <w:rsid w:val="00F91D4F"/>
    <w:rsid w:val="00F93B2F"/>
    <w:rsid w:val="00F940D9"/>
    <w:rsid w:val="00F94982"/>
    <w:rsid w:val="00FA4A0D"/>
    <w:rsid w:val="00FA6584"/>
    <w:rsid w:val="00FB1612"/>
    <w:rsid w:val="00FB2D03"/>
    <w:rsid w:val="00FB4873"/>
    <w:rsid w:val="00FB55ED"/>
    <w:rsid w:val="00FC0BAC"/>
    <w:rsid w:val="00FC1EA8"/>
    <w:rsid w:val="00FC2504"/>
    <w:rsid w:val="00FC3DB2"/>
    <w:rsid w:val="00FC3E81"/>
    <w:rsid w:val="00FC6482"/>
    <w:rsid w:val="00FC7228"/>
    <w:rsid w:val="00FD0A33"/>
    <w:rsid w:val="00FD102B"/>
    <w:rsid w:val="00FD1C22"/>
    <w:rsid w:val="00FD55E1"/>
    <w:rsid w:val="00FD6061"/>
    <w:rsid w:val="00FD650F"/>
    <w:rsid w:val="00FD6AC5"/>
    <w:rsid w:val="00FD71A2"/>
    <w:rsid w:val="00FE013D"/>
    <w:rsid w:val="00FE26CC"/>
    <w:rsid w:val="00FE2779"/>
    <w:rsid w:val="00FE2A1C"/>
    <w:rsid w:val="00FE4164"/>
    <w:rsid w:val="00FE4232"/>
    <w:rsid w:val="00FE6FEC"/>
    <w:rsid w:val="00FE7684"/>
    <w:rsid w:val="00FF2502"/>
    <w:rsid w:val="00FF46AF"/>
    <w:rsid w:val="00FF61E9"/>
    <w:rsid w:val="00FF6916"/>
    <w:rsid w:val="00FF7584"/>
    <w:rsid w:val="011F09A2"/>
    <w:rsid w:val="01415CD2"/>
    <w:rsid w:val="014B5330"/>
    <w:rsid w:val="015821CD"/>
    <w:rsid w:val="01867C43"/>
    <w:rsid w:val="01A77925"/>
    <w:rsid w:val="01AB4C05"/>
    <w:rsid w:val="01BE4DA9"/>
    <w:rsid w:val="01D53E1F"/>
    <w:rsid w:val="01F817E8"/>
    <w:rsid w:val="02124773"/>
    <w:rsid w:val="02333FAB"/>
    <w:rsid w:val="023F2B7A"/>
    <w:rsid w:val="026128FA"/>
    <w:rsid w:val="02650493"/>
    <w:rsid w:val="02726281"/>
    <w:rsid w:val="027A3847"/>
    <w:rsid w:val="02960B90"/>
    <w:rsid w:val="02AA06C5"/>
    <w:rsid w:val="02B524D4"/>
    <w:rsid w:val="02C1141A"/>
    <w:rsid w:val="02CB7B00"/>
    <w:rsid w:val="02F738CD"/>
    <w:rsid w:val="02FF6933"/>
    <w:rsid w:val="031E5BE9"/>
    <w:rsid w:val="036A383C"/>
    <w:rsid w:val="0394658D"/>
    <w:rsid w:val="03DB6DDA"/>
    <w:rsid w:val="03DC72AD"/>
    <w:rsid w:val="03F4131C"/>
    <w:rsid w:val="043A15E5"/>
    <w:rsid w:val="04505516"/>
    <w:rsid w:val="045226B8"/>
    <w:rsid w:val="04603446"/>
    <w:rsid w:val="04964773"/>
    <w:rsid w:val="04C5731B"/>
    <w:rsid w:val="054C2D12"/>
    <w:rsid w:val="05700EB3"/>
    <w:rsid w:val="06821DF9"/>
    <w:rsid w:val="069015D4"/>
    <w:rsid w:val="06AF20DA"/>
    <w:rsid w:val="06B15226"/>
    <w:rsid w:val="06D87876"/>
    <w:rsid w:val="06DC3208"/>
    <w:rsid w:val="0713424F"/>
    <w:rsid w:val="0717748D"/>
    <w:rsid w:val="07205A1B"/>
    <w:rsid w:val="0725116C"/>
    <w:rsid w:val="073A2D2E"/>
    <w:rsid w:val="076E2D5D"/>
    <w:rsid w:val="07781D8F"/>
    <w:rsid w:val="077A0D2D"/>
    <w:rsid w:val="07D43745"/>
    <w:rsid w:val="07FF5650"/>
    <w:rsid w:val="080F2B08"/>
    <w:rsid w:val="082744CC"/>
    <w:rsid w:val="08393319"/>
    <w:rsid w:val="084A7A70"/>
    <w:rsid w:val="085A548C"/>
    <w:rsid w:val="086C6C1F"/>
    <w:rsid w:val="08C65425"/>
    <w:rsid w:val="08CB6353"/>
    <w:rsid w:val="08D72F06"/>
    <w:rsid w:val="08E3593C"/>
    <w:rsid w:val="090B6B6D"/>
    <w:rsid w:val="093F522E"/>
    <w:rsid w:val="095772E3"/>
    <w:rsid w:val="09AC1DD0"/>
    <w:rsid w:val="09EA62CE"/>
    <w:rsid w:val="0A095BCA"/>
    <w:rsid w:val="0A171778"/>
    <w:rsid w:val="0A232DC1"/>
    <w:rsid w:val="0A364F31"/>
    <w:rsid w:val="0A4C56A2"/>
    <w:rsid w:val="0A615592"/>
    <w:rsid w:val="0A7C4B04"/>
    <w:rsid w:val="0A88248B"/>
    <w:rsid w:val="0AAB7EDF"/>
    <w:rsid w:val="0ABA2816"/>
    <w:rsid w:val="0ABE5A08"/>
    <w:rsid w:val="0B0C1DEE"/>
    <w:rsid w:val="0B403215"/>
    <w:rsid w:val="0B5D2CDA"/>
    <w:rsid w:val="0B703056"/>
    <w:rsid w:val="0B98683A"/>
    <w:rsid w:val="0BC41A01"/>
    <w:rsid w:val="0BFC4858"/>
    <w:rsid w:val="0C1666D9"/>
    <w:rsid w:val="0C177AFF"/>
    <w:rsid w:val="0C407D57"/>
    <w:rsid w:val="0C4B76D2"/>
    <w:rsid w:val="0C4F1C5A"/>
    <w:rsid w:val="0C741352"/>
    <w:rsid w:val="0CAB602D"/>
    <w:rsid w:val="0CCD397D"/>
    <w:rsid w:val="0CD24564"/>
    <w:rsid w:val="0CD949FA"/>
    <w:rsid w:val="0D162518"/>
    <w:rsid w:val="0D206706"/>
    <w:rsid w:val="0D2D1E2B"/>
    <w:rsid w:val="0D5446DF"/>
    <w:rsid w:val="0D554FDF"/>
    <w:rsid w:val="0D625634"/>
    <w:rsid w:val="0D7D5BDF"/>
    <w:rsid w:val="0D8D6A2A"/>
    <w:rsid w:val="0D8F281E"/>
    <w:rsid w:val="0D994F53"/>
    <w:rsid w:val="0DD20138"/>
    <w:rsid w:val="0DE36BD4"/>
    <w:rsid w:val="0E1F52C5"/>
    <w:rsid w:val="0E4F1368"/>
    <w:rsid w:val="0E5F66CC"/>
    <w:rsid w:val="0E7B0C16"/>
    <w:rsid w:val="0E9C3A80"/>
    <w:rsid w:val="0ED32660"/>
    <w:rsid w:val="0EF1329C"/>
    <w:rsid w:val="0EFB423B"/>
    <w:rsid w:val="0F1C6975"/>
    <w:rsid w:val="0F3A20B6"/>
    <w:rsid w:val="0F411E85"/>
    <w:rsid w:val="0F592033"/>
    <w:rsid w:val="0F85606A"/>
    <w:rsid w:val="0FA070C2"/>
    <w:rsid w:val="0FC120FF"/>
    <w:rsid w:val="0FCD0035"/>
    <w:rsid w:val="0FD93C46"/>
    <w:rsid w:val="0FE03466"/>
    <w:rsid w:val="100702BA"/>
    <w:rsid w:val="103D587C"/>
    <w:rsid w:val="10711547"/>
    <w:rsid w:val="10777A24"/>
    <w:rsid w:val="10E46E5E"/>
    <w:rsid w:val="11045889"/>
    <w:rsid w:val="1117106A"/>
    <w:rsid w:val="113C0382"/>
    <w:rsid w:val="11472E91"/>
    <w:rsid w:val="116B4B73"/>
    <w:rsid w:val="11734152"/>
    <w:rsid w:val="119F6FD9"/>
    <w:rsid w:val="11A517A3"/>
    <w:rsid w:val="11B60016"/>
    <w:rsid w:val="11BA62DF"/>
    <w:rsid w:val="11FD039C"/>
    <w:rsid w:val="120C0FDE"/>
    <w:rsid w:val="121D0224"/>
    <w:rsid w:val="12777F9A"/>
    <w:rsid w:val="12900868"/>
    <w:rsid w:val="12F51882"/>
    <w:rsid w:val="130D1D7A"/>
    <w:rsid w:val="131821CD"/>
    <w:rsid w:val="134A1111"/>
    <w:rsid w:val="137D3E9A"/>
    <w:rsid w:val="13C10F87"/>
    <w:rsid w:val="13DA7296"/>
    <w:rsid w:val="140416E2"/>
    <w:rsid w:val="141E476D"/>
    <w:rsid w:val="142069F5"/>
    <w:rsid w:val="142735DD"/>
    <w:rsid w:val="142825B6"/>
    <w:rsid w:val="142C5DFB"/>
    <w:rsid w:val="1461266F"/>
    <w:rsid w:val="1466585F"/>
    <w:rsid w:val="14732CC4"/>
    <w:rsid w:val="14795A57"/>
    <w:rsid w:val="147D1D61"/>
    <w:rsid w:val="14BE01CE"/>
    <w:rsid w:val="14D90650"/>
    <w:rsid w:val="14FA7677"/>
    <w:rsid w:val="14FB6647"/>
    <w:rsid w:val="150F0169"/>
    <w:rsid w:val="151E7533"/>
    <w:rsid w:val="153854D3"/>
    <w:rsid w:val="15431692"/>
    <w:rsid w:val="15745FA6"/>
    <w:rsid w:val="15C903F5"/>
    <w:rsid w:val="167A6983"/>
    <w:rsid w:val="16804632"/>
    <w:rsid w:val="16A31BD1"/>
    <w:rsid w:val="16BD2A5D"/>
    <w:rsid w:val="16C827CF"/>
    <w:rsid w:val="17423610"/>
    <w:rsid w:val="175B0958"/>
    <w:rsid w:val="176A2E18"/>
    <w:rsid w:val="178E6726"/>
    <w:rsid w:val="18057723"/>
    <w:rsid w:val="182E4102"/>
    <w:rsid w:val="18351844"/>
    <w:rsid w:val="186C5FA5"/>
    <w:rsid w:val="18760C69"/>
    <w:rsid w:val="187D09A2"/>
    <w:rsid w:val="18957FE1"/>
    <w:rsid w:val="18B03D66"/>
    <w:rsid w:val="18B54304"/>
    <w:rsid w:val="18EA021E"/>
    <w:rsid w:val="18F735E8"/>
    <w:rsid w:val="19736861"/>
    <w:rsid w:val="19855AE2"/>
    <w:rsid w:val="19B63FC2"/>
    <w:rsid w:val="19B64C36"/>
    <w:rsid w:val="19BD1A71"/>
    <w:rsid w:val="19C574AA"/>
    <w:rsid w:val="19DD7A47"/>
    <w:rsid w:val="1A1E05AF"/>
    <w:rsid w:val="1A506434"/>
    <w:rsid w:val="1A53435A"/>
    <w:rsid w:val="1A5413AF"/>
    <w:rsid w:val="1A825C01"/>
    <w:rsid w:val="1A880316"/>
    <w:rsid w:val="1A896E91"/>
    <w:rsid w:val="1A8D1930"/>
    <w:rsid w:val="1ADE1458"/>
    <w:rsid w:val="1B061915"/>
    <w:rsid w:val="1B0D0CA7"/>
    <w:rsid w:val="1B254C53"/>
    <w:rsid w:val="1B4B6EDB"/>
    <w:rsid w:val="1B9D0191"/>
    <w:rsid w:val="1C0E2F29"/>
    <w:rsid w:val="1C181130"/>
    <w:rsid w:val="1C527933"/>
    <w:rsid w:val="1C63645D"/>
    <w:rsid w:val="1C8C1F1A"/>
    <w:rsid w:val="1C950320"/>
    <w:rsid w:val="1CB63A5C"/>
    <w:rsid w:val="1CC540CD"/>
    <w:rsid w:val="1D4821D3"/>
    <w:rsid w:val="1D5E5D63"/>
    <w:rsid w:val="1D75349E"/>
    <w:rsid w:val="1D8C1CC9"/>
    <w:rsid w:val="1DA014F6"/>
    <w:rsid w:val="1DA85B68"/>
    <w:rsid w:val="1DAA6694"/>
    <w:rsid w:val="1DD55076"/>
    <w:rsid w:val="1E031F82"/>
    <w:rsid w:val="1E441864"/>
    <w:rsid w:val="1EA32FFE"/>
    <w:rsid w:val="1EEF49AE"/>
    <w:rsid w:val="1EF5088F"/>
    <w:rsid w:val="1F063793"/>
    <w:rsid w:val="1F396BFA"/>
    <w:rsid w:val="1F4C51E7"/>
    <w:rsid w:val="1F8039F5"/>
    <w:rsid w:val="1F931CF9"/>
    <w:rsid w:val="1F93625B"/>
    <w:rsid w:val="1F964965"/>
    <w:rsid w:val="1FA818AB"/>
    <w:rsid w:val="1FC7440E"/>
    <w:rsid w:val="1FCD1A2C"/>
    <w:rsid w:val="1FD93EB9"/>
    <w:rsid w:val="20075A00"/>
    <w:rsid w:val="201B4B2E"/>
    <w:rsid w:val="201F76FF"/>
    <w:rsid w:val="203F3530"/>
    <w:rsid w:val="204C5D9D"/>
    <w:rsid w:val="205B6515"/>
    <w:rsid w:val="205C22CC"/>
    <w:rsid w:val="20980554"/>
    <w:rsid w:val="20D05CA6"/>
    <w:rsid w:val="20DA089D"/>
    <w:rsid w:val="213601B6"/>
    <w:rsid w:val="213710C7"/>
    <w:rsid w:val="21582E98"/>
    <w:rsid w:val="2164183D"/>
    <w:rsid w:val="218B0BA8"/>
    <w:rsid w:val="21A125BF"/>
    <w:rsid w:val="21C703BA"/>
    <w:rsid w:val="21CE5AB8"/>
    <w:rsid w:val="21E07116"/>
    <w:rsid w:val="21E147D5"/>
    <w:rsid w:val="22102359"/>
    <w:rsid w:val="222075E8"/>
    <w:rsid w:val="2228557D"/>
    <w:rsid w:val="22317971"/>
    <w:rsid w:val="22381133"/>
    <w:rsid w:val="22687088"/>
    <w:rsid w:val="226B3000"/>
    <w:rsid w:val="22773B56"/>
    <w:rsid w:val="22836696"/>
    <w:rsid w:val="22A8080B"/>
    <w:rsid w:val="22D463D9"/>
    <w:rsid w:val="22E672A8"/>
    <w:rsid w:val="22F91100"/>
    <w:rsid w:val="230250A8"/>
    <w:rsid w:val="23321C7E"/>
    <w:rsid w:val="234C1F15"/>
    <w:rsid w:val="23BF4B92"/>
    <w:rsid w:val="23E468CC"/>
    <w:rsid w:val="23EC65E8"/>
    <w:rsid w:val="23EF0C7B"/>
    <w:rsid w:val="240674D2"/>
    <w:rsid w:val="241160C3"/>
    <w:rsid w:val="24162D28"/>
    <w:rsid w:val="2421781B"/>
    <w:rsid w:val="24320684"/>
    <w:rsid w:val="24341105"/>
    <w:rsid w:val="24394A69"/>
    <w:rsid w:val="243B1E76"/>
    <w:rsid w:val="24810EF8"/>
    <w:rsid w:val="2498423A"/>
    <w:rsid w:val="24C803A4"/>
    <w:rsid w:val="250503D5"/>
    <w:rsid w:val="251E5933"/>
    <w:rsid w:val="252A0EF3"/>
    <w:rsid w:val="252F5DC6"/>
    <w:rsid w:val="2537750C"/>
    <w:rsid w:val="256D201D"/>
    <w:rsid w:val="25AD3A3E"/>
    <w:rsid w:val="25D27313"/>
    <w:rsid w:val="25EF0589"/>
    <w:rsid w:val="26337C91"/>
    <w:rsid w:val="2635300D"/>
    <w:rsid w:val="266A16A4"/>
    <w:rsid w:val="26865B8B"/>
    <w:rsid w:val="269859D9"/>
    <w:rsid w:val="269868BE"/>
    <w:rsid w:val="269E54AA"/>
    <w:rsid w:val="26C42B2E"/>
    <w:rsid w:val="26C8635B"/>
    <w:rsid w:val="26E967AC"/>
    <w:rsid w:val="272A55F7"/>
    <w:rsid w:val="272D0B55"/>
    <w:rsid w:val="27457E9C"/>
    <w:rsid w:val="2747574B"/>
    <w:rsid w:val="27515953"/>
    <w:rsid w:val="27521C50"/>
    <w:rsid w:val="27551BD8"/>
    <w:rsid w:val="27B10559"/>
    <w:rsid w:val="27B17462"/>
    <w:rsid w:val="27C67DF5"/>
    <w:rsid w:val="27CC5901"/>
    <w:rsid w:val="2837711A"/>
    <w:rsid w:val="2855579C"/>
    <w:rsid w:val="289773F5"/>
    <w:rsid w:val="28B80C7D"/>
    <w:rsid w:val="28EA53BB"/>
    <w:rsid w:val="290857B2"/>
    <w:rsid w:val="29107B02"/>
    <w:rsid w:val="29194AFF"/>
    <w:rsid w:val="2985095B"/>
    <w:rsid w:val="29997A93"/>
    <w:rsid w:val="29AE0DF8"/>
    <w:rsid w:val="2A1214CC"/>
    <w:rsid w:val="2A2945DA"/>
    <w:rsid w:val="2A366DD9"/>
    <w:rsid w:val="2A7B4178"/>
    <w:rsid w:val="2AB173D6"/>
    <w:rsid w:val="2ACA5D7D"/>
    <w:rsid w:val="2AD46786"/>
    <w:rsid w:val="2AD85025"/>
    <w:rsid w:val="2AEA6BB0"/>
    <w:rsid w:val="2B2246A3"/>
    <w:rsid w:val="2B283BFC"/>
    <w:rsid w:val="2B517EDE"/>
    <w:rsid w:val="2B5D25F0"/>
    <w:rsid w:val="2B620B9B"/>
    <w:rsid w:val="2B74234C"/>
    <w:rsid w:val="2B9763A9"/>
    <w:rsid w:val="2BC728D8"/>
    <w:rsid w:val="2BC843CA"/>
    <w:rsid w:val="2BF42E86"/>
    <w:rsid w:val="2C562776"/>
    <w:rsid w:val="2C9C7FA2"/>
    <w:rsid w:val="2CC244BB"/>
    <w:rsid w:val="2D045637"/>
    <w:rsid w:val="2D124CFA"/>
    <w:rsid w:val="2D193FD6"/>
    <w:rsid w:val="2D331474"/>
    <w:rsid w:val="2D702AF9"/>
    <w:rsid w:val="2DC500ED"/>
    <w:rsid w:val="2DC9623B"/>
    <w:rsid w:val="2DE71491"/>
    <w:rsid w:val="2E6F3269"/>
    <w:rsid w:val="2E85293B"/>
    <w:rsid w:val="2EC27D0A"/>
    <w:rsid w:val="2ECA0782"/>
    <w:rsid w:val="2ED42524"/>
    <w:rsid w:val="2EF312FA"/>
    <w:rsid w:val="2EFA10EB"/>
    <w:rsid w:val="2F3B20DB"/>
    <w:rsid w:val="2F716EDA"/>
    <w:rsid w:val="2F822FA2"/>
    <w:rsid w:val="2FB85935"/>
    <w:rsid w:val="2FBE0181"/>
    <w:rsid w:val="2FD267EA"/>
    <w:rsid w:val="2FDA20DE"/>
    <w:rsid w:val="2FEE50F3"/>
    <w:rsid w:val="301A3FE2"/>
    <w:rsid w:val="30271FA2"/>
    <w:rsid w:val="303A5403"/>
    <w:rsid w:val="30655650"/>
    <w:rsid w:val="309A201E"/>
    <w:rsid w:val="30B617E9"/>
    <w:rsid w:val="30BC32EF"/>
    <w:rsid w:val="30E16A06"/>
    <w:rsid w:val="312948E0"/>
    <w:rsid w:val="313C4705"/>
    <w:rsid w:val="314C66A1"/>
    <w:rsid w:val="314C7A29"/>
    <w:rsid w:val="31EE3690"/>
    <w:rsid w:val="31F77939"/>
    <w:rsid w:val="31FB6DBB"/>
    <w:rsid w:val="322A5947"/>
    <w:rsid w:val="32464175"/>
    <w:rsid w:val="324C68C1"/>
    <w:rsid w:val="32836087"/>
    <w:rsid w:val="32A57822"/>
    <w:rsid w:val="32B20B24"/>
    <w:rsid w:val="32D3412D"/>
    <w:rsid w:val="32E87963"/>
    <w:rsid w:val="331E1308"/>
    <w:rsid w:val="3332694F"/>
    <w:rsid w:val="33546376"/>
    <w:rsid w:val="33814879"/>
    <w:rsid w:val="33D9161D"/>
    <w:rsid w:val="34263AA5"/>
    <w:rsid w:val="344222E7"/>
    <w:rsid w:val="34642367"/>
    <w:rsid w:val="347B2B74"/>
    <w:rsid w:val="34BC594F"/>
    <w:rsid w:val="34C832E9"/>
    <w:rsid w:val="34D66156"/>
    <w:rsid w:val="351138E3"/>
    <w:rsid w:val="35194E31"/>
    <w:rsid w:val="3542559A"/>
    <w:rsid w:val="35476E3C"/>
    <w:rsid w:val="357207A0"/>
    <w:rsid w:val="35D54660"/>
    <w:rsid w:val="363572D1"/>
    <w:rsid w:val="3660242E"/>
    <w:rsid w:val="36703A01"/>
    <w:rsid w:val="36730196"/>
    <w:rsid w:val="367B5F27"/>
    <w:rsid w:val="367D7A8E"/>
    <w:rsid w:val="36B36BF5"/>
    <w:rsid w:val="36E24103"/>
    <w:rsid w:val="374F6B69"/>
    <w:rsid w:val="376A3A13"/>
    <w:rsid w:val="37955DD4"/>
    <w:rsid w:val="37A16625"/>
    <w:rsid w:val="37B27395"/>
    <w:rsid w:val="37EA2DE3"/>
    <w:rsid w:val="382611A3"/>
    <w:rsid w:val="3839725F"/>
    <w:rsid w:val="383F2A78"/>
    <w:rsid w:val="3866038A"/>
    <w:rsid w:val="38740FD9"/>
    <w:rsid w:val="387C2C9B"/>
    <w:rsid w:val="388F19C7"/>
    <w:rsid w:val="38911B71"/>
    <w:rsid w:val="389C4087"/>
    <w:rsid w:val="38A71DC6"/>
    <w:rsid w:val="38B531E7"/>
    <w:rsid w:val="38D43C32"/>
    <w:rsid w:val="38EF3989"/>
    <w:rsid w:val="394674E6"/>
    <w:rsid w:val="394A12E2"/>
    <w:rsid w:val="395A1104"/>
    <w:rsid w:val="39766D9D"/>
    <w:rsid w:val="397A6514"/>
    <w:rsid w:val="39BB4147"/>
    <w:rsid w:val="39C528F2"/>
    <w:rsid w:val="39C53850"/>
    <w:rsid w:val="39F138EB"/>
    <w:rsid w:val="3A096D41"/>
    <w:rsid w:val="3A204141"/>
    <w:rsid w:val="3A496654"/>
    <w:rsid w:val="3A96552E"/>
    <w:rsid w:val="3AAE377F"/>
    <w:rsid w:val="3AB56A99"/>
    <w:rsid w:val="3AB94164"/>
    <w:rsid w:val="3AF1054B"/>
    <w:rsid w:val="3AF900DE"/>
    <w:rsid w:val="3AFF1B22"/>
    <w:rsid w:val="3B183948"/>
    <w:rsid w:val="3B4A11D5"/>
    <w:rsid w:val="3B994CB1"/>
    <w:rsid w:val="3BC6175E"/>
    <w:rsid w:val="3C13688C"/>
    <w:rsid w:val="3C6F0272"/>
    <w:rsid w:val="3CA272E4"/>
    <w:rsid w:val="3CB2571C"/>
    <w:rsid w:val="3CE40E30"/>
    <w:rsid w:val="3CE43301"/>
    <w:rsid w:val="3CEB07F8"/>
    <w:rsid w:val="3D380DA1"/>
    <w:rsid w:val="3D382B5C"/>
    <w:rsid w:val="3D542066"/>
    <w:rsid w:val="3D8C14EF"/>
    <w:rsid w:val="3D9F2DE5"/>
    <w:rsid w:val="3DD2462E"/>
    <w:rsid w:val="3DDF0D5F"/>
    <w:rsid w:val="3E0A7CEA"/>
    <w:rsid w:val="3E195F8C"/>
    <w:rsid w:val="3E1C35C7"/>
    <w:rsid w:val="3E313B49"/>
    <w:rsid w:val="3E4663E0"/>
    <w:rsid w:val="3E6F6F6D"/>
    <w:rsid w:val="3E825A58"/>
    <w:rsid w:val="3E915308"/>
    <w:rsid w:val="3EA164B1"/>
    <w:rsid w:val="3EAF526B"/>
    <w:rsid w:val="3F2178C2"/>
    <w:rsid w:val="3F564E0F"/>
    <w:rsid w:val="3F867CBB"/>
    <w:rsid w:val="402B66CA"/>
    <w:rsid w:val="40380DB5"/>
    <w:rsid w:val="40523A0F"/>
    <w:rsid w:val="405C4529"/>
    <w:rsid w:val="406311E6"/>
    <w:rsid w:val="40686E46"/>
    <w:rsid w:val="409C2F01"/>
    <w:rsid w:val="40EE7766"/>
    <w:rsid w:val="41001CF8"/>
    <w:rsid w:val="41016060"/>
    <w:rsid w:val="41051994"/>
    <w:rsid w:val="41215DE4"/>
    <w:rsid w:val="412F72DC"/>
    <w:rsid w:val="41313092"/>
    <w:rsid w:val="41693F42"/>
    <w:rsid w:val="416B3D2E"/>
    <w:rsid w:val="41764F49"/>
    <w:rsid w:val="417A65AF"/>
    <w:rsid w:val="419A55AA"/>
    <w:rsid w:val="41D23927"/>
    <w:rsid w:val="41F97033"/>
    <w:rsid w:val="423748D9"/>
    <w:rsid w:val="42D913F7"/>
    <w:rsid w:val="42E20009"/>
    <w:rsid w:val="432F5158"/>
    <w:rsid w:val="433A17D1"/>
    <w:rsid w:val="43472A26"/>
    <w:rsid w:val="436D78B0"/>
    <w:rsid w:val="43756984"/>
    <w:rsid w:val="43A04F61"/>
    <w:rsid w:val="43A21908"/>
    <w:rsid w:val="43BF5D4B"/>
    <w:rsid w:val="43D32088"/>
    <w:rsid w:val="44111B88"/>
    <w:rsid w:val="442736E3"/>
    <w:rsid w:val="449C05C5"/>
    <w:rsid w:val="44A307DB"/>
    <w:rsid w:val="44AA20BA"/>
    <w:rsid w:val="44BE1E40"/>
    <w:rsid w:val="44C81773"/>
    <w:rsid w:val="45703A5D"/>
    <w:rsid w:val="458919AF"/>
    <w:rsid w:val="45950911"/>
    <w:rsid w:val="45A941B4"/>
    <w:rsid w:val="45BA3253"/>
    <w:rsid w:val="45CF45A7"/>
    <w:rsid w:val="45CF6F53"/>
    <w:rsid w:val="45D502EE"/>
    <w:rsid w:val="45E5532E"/>
    <w:rsid w:val="461D3BFD"/>
    <w:rsid w:val="462B08C0"/>
    <w:rsid w:val="464D1B7B"/>
    <w:rsid w:val="46722AB5"/>
    <w:rsid w:val="46AB11F1"/>
    <w:rsid w:val="472344E2"/>
    <w:rsid w:val="47343CDB"/>
    <w:rsid w:val="47481FAB"/>
    <w:rsid w:val="4753488D"/>
    <w:rsid w:val="47AB4CCE"/>
    <w:rsid w:val="47E906B8"/>
    <w:rsid w:val="482C35EA"/>
    <w:rsid w:val="483F11C1"/>
    <w:rsid w:val="48847B52"/>
    <w:rsid w:val="48D25D47"/>
    <w:rsid w:val="496771AB"/>
    <w:rsid w:val="49767A81"/>
    <w:rsid w:val="497E5577"/>
    <w:rsid w:val="49A020DB"/>
    <w:rsid w:val="49A62AA1"/>
    <w:rsid w:val="49A97A67"/>
    <w:rsid w:val="4A420AF3"/>
    <w:rsid w:val="4A4355BB"/>
    <w:rsid w:val="4A767F31"/>
    <w:rsid w:val="4AB83CF4"/>
    <w:rsid w:val="4AED6059"/>
    <w:rsid w:val="4AF90544"/>
    <w:rsid w:val="4B4A4CF5"/>
    <w:rsid w:val="4B6862A4"/>
    <w:rsid w:val="4B7C707F"/>
    <w:rsid w:val="4B984796"/>
    <w:rsid w:val="4B9C1EE3"/>
    <w:rsid w:val="4B9D5296"/>
    <w:rsid w:val="4BB37D22"/>
    <w:rsid w:val="4BBC23D0"/>
    <w:rsid w:val="4BF749EC"/>
    <w:rsid w:val="4C4D54FB"/>
    <w:rsid w:val="4C4E5037"/>
    <w:rsid w:val="4C544CBA"/>
    <w:rsid w:val="4C774E73"/>
    <w:rsid w:val="4CED7857"/>
    <w:rsid w:val="4D25504A"/>
    <w:rsid w:val="4D3C49F1"/>
    <w:rsid w:val="4D445E7C"/>
    <w:rsid w:val="4D6072AD"/>
    <w:rsid w:val="4D741F25"/>
    <w:rsid w:val="4D7731D0"/>
    <w:rsid w:val="4D8712BE"/>
    <w:rsid w:val="4D8766CF"/>
    <w:rsid w:val="4D95181B"/>
    <w:rsid w:val="4DCA33B3"/>
    <w:rsid w:val="4DEE6977"/>
    <w:rsid w:val="4DFF6CE0"/>
    <w:rsid w:val="4E0E225C"/>
    <w:rsid w:val="4E9B1B4B"/>
    <w:rsid w:val="4EE07B79"/>
    <w:rsid w:val="4EF166EC"/>
    <w:rsid w:val="4EFD1601"/>
    <w:rsid w:val="4F2C46A0"/>
    <w:rsid w:val="4F45173E"/>
    <w:rsid w:val="4F4738B9"/>
    <w:rsid w:val="4FAD1F1D"/>
    <w:rsid w:val="4FB30CBF"/>
    <w:rsid w:val="4FC27377"/>
    <w:rsid w:val="4FD00C22"/>
    <w:rsid w:val="4FDE0794"/>
    <w:rsid w:val="4FFE5A15"/>
    <w:rsid w:val="50425F1E"/>
    <w:rsid w:val="5067010A"/>
    <w:rsid w:val="50715CFC"/>
    <w:rsid w:val="5083138F"/>
    <w:rsid w:val="50AC44E3"/>
    <w:rsid w:val="50C8571F"/>
    <w:rsid w:val="50DC4C63"/>
    <w:rsid w:val="51053BF3"/>
    <w:rsid w:val="51055101"/>
    <w:rsid w:val="5107138F"/>
    <w:rsid w:val="511C02AF"/>
    <w:rsid w:val="513F0ACD"/>
    <w:rsid w:val="51746C48"/>
    <w:rsid w:val="51776A6F"/>
    <w:rsid w:val="517960FE"/>
    <w:rsid w:val="518975EB"/>
    <w:rsid w:val="51914FFA"/>
    <w:rsid w:val="51A836AC"/>
    <w:rsid w:val="51B061FB"/>
    <w:rsid w:val="51DA7D6C"/>
    <w:rsid w:val="51DE3290"/>
    <w:rsid w:val="52334EF4"/>
    <w:rsid w:val="5252412C"/>
    <w:rsid w:val="525F38E3"/>
    <w:rsid w:val="529B69E7"/>
    <w:rsid w:val="52B4554C"/>
    <w:rsid w:val="531F350F"/>
    <w:rsid w:val="53240C95"/>
    <w:rsid w:val="53A2063E"/>
    <w:rsid w:val="53C9082B"/>
    <w:rsid w:val="53F7550B"/>
    <w:rsid w:val="540548BD"/>
    <w:rsid w:val="540C2AD6"/>
    <w:rsid w:val="54421EE9"/>
    <w:rsid w:val="54500DD2"/>
    <w:rsid w:val="547556FD"/>
    <w:rsid w:val="54E22C26"/>
    <w:rsid w:val="54F46486"/>
    <w:rsid w:val="550541C2"/>
    <w:rsid w:val="55462BFA"/>
    <w:rsid w:val="55474B85"/>
    <w:rsid w:val="5568597E"/>
    <w:rsid w:val="5598730F"/>
    <w:rsid w:val="55A5558A"/>
    <w:rsid w:val="55A66958"/>
    <w:rsid w:val="55B5349C"/>
    <w:rsid w:val="561A7328"/>
    <w:rsid w:val="56771490"/>
    <w:rsid w:val="567D422C"/>
    <w:rsid w:val="56813D1C"/>
    <w:rsid w:val="56825C77"/>
    <w:rsid w:val="568D1383"/>
    <w:rsid w:val="56D8390A"/>
    <w:rsid w:val="56DD171C"/>
    <w:rsid w:val="56EB551F"/>
    <w:rsid w:val="57014FE4"/>
    <w:rsid w:val="5708489C"/>
    <w:rsid w:val="57323882"/>
    <w:rsid w:val="573A5D9A"/>
    <w:rsid w:val="574160B7"/>
    <w:rsid w:val="57581F3D"/>
    <w:rsid w:val="57A51754"/>
    <w:rsid w:val="57E8145B"/>
    <w:rsid w:val="57EE66B5"/>
    <w:rsid w:val="57F35041"/>
    <w:rsid w:val="58196433"/>
    <w:rsid w:val="58216F0B"/>
    <w:rsid w:val="582C1B97"/>
    <w:rsid w:val="584F46D5"/>
    <w:rsid w:val="58687B75"/>
    <w:rsid w:val="587A6C75"/>
    <w:rsid w:val="58805F06"/>
    <w:rsid w:val="588B4200"/>
    <w:rsid w:val="589A471C"/>
    <w:rsid w:val="58E41117"/>
    <w:rsid w:val="58E51859"/>
    <w:rsid w:val="58ED354F"/>
    <w:rsid w:val="59023471"/>
    <w:rsid w:val="59253774"/>
    <w:rsid w:val="59284923"/>
    <w:rsid w:val="594B5323"/>
    <w:rsid w:val="59594DB4"/>
    <w:rsid w:val="59752179"/>
    <w:rsid w:val="597C5D46"/>
    <w:rsid w:val="597D7A69"/>
    <w:rsid w:val="59A44596"/>
    <w:rsid w:val="59C669A8"/>
    <w:rsid w:val="59CC5194"/>
    <w:rsid w:val="59EE0AA2"/>
    <w:rsid w:val="59FC0DE5"/>
    <w:rsid w:val="5A312D8C"/>
    <w:rsid w:val="5A533C5C"/>
    <w:rsid w:val="5A694722"/>
    <w:rsid w:val="5A706328"/>
    <w:rsid w:val="5A9D477A"/>
    <w:rsid w:val="5ADF002F"/>
    <w:rsid w:val="5B2378A2"/>
    <w:rsid w:val="5B6A090E"/>
    <w:rsid w:val="5B7B3439"/>
    <w:rsid w:val="5C312D8E"/>
    <w:rsid w:val="5C750170"/>
    <w:rsid w:val="5C7C0C62"/>
    <w:rsid w:val="5C8D0831"/>
    <w:rsid w:val="5C8E54F6"/>
    <w:rsid w:val="5CB40840"/>
    <w:rsid w:val="5CBD7D77"/>
    <w:rsid w:val="5CBF27AE"/>
    <w:rsid w:val="5D044F78"/>
    <w:rsid w:val="5D172DAC"/>
    <w:rsid w:val="5D1B42BE"/>
    <w:rsid w:val="5D6128E6"/>
    <w:rsid w:val="5D7F361E"/>
    <w:rsid w:val="5D84212E"/>
    <w:rsid w:val="5D844A9D"/>
    <w:rsid w:val="5D92405B"/>
    <w:rsid w:val="5DA23C1A"/>
    <w:rsid w:val="5DA91583"/>
    <w:rsid w:val="5E152933"/>
    <w:rsid w:val="5E2D1741"/>
    <w:rsid w:val="5E694B05"/>
    <w:rsid w:val="5E6A1882"/>
    <w:rsid w:val="5ECE5A3B"/>
    <w:rsid w:val="5EDB41E5"/>
    <w:rsid w:val="5EDE0DF3"/>
    <w:rsid w:val="5EFC2773"/>
    <w:rsid w:val="5F254AFD"/>
    <w:rsid w:val="5F942D12"/>
    <w:rsid w:val="5FBB2FBC"/>
    <w:rsid w:val="5FBC0D86"/>
    <w:rsid w:val="5FD8682E"/>
    <w:rsid w:val="5FEF5B02"/>
    <w:rsid w:val="5FFC3161"/>
    <w:rsid w:val="60161CC5"/>
    <w:rsid w:val="604021DC"/>
    <w:rsid w:val="604F618F"/>
    <w:rsid w:val="60580616"/>
    <w:rsid w:val="60CF1C1E"/>
    <w:rsid w:val="611257D9"/>
    <w:rsid w:val="611904B9"/>
    <w:rsid w:val="61724287"/>
    <w:rsid w:val="619F6C92"/>
    <w:rsid w:val="61A9409A"/>
    <w:rsid w:val="61B2747F"/>
    <w:rsid w:val="61D50D17"/>
    <w:rsid w:val="61E7065A"/>
    <w:rsid w:val="621F51FA"/>
    <w:rsid w:val="621F657C"/>
    <w:rsid w:val="623C36B0"/>
    <w:rsid w:val="62577814"/>
    <w:rsid w:val="62597512"/>
    <w:rsid w:val="625E1924"/>
    <w:rsid w:val="62870330"/>
    <w:rsid w:val="62B43CD2"/>
    <w:rsid w:val="62E564D8"/>
    <w:rsid w:val="634E3860"/>
    <w:rsid w:val="636D5D54"/>
    <w:rsid w:val="637817CF"/>
    <w:rsid w:val="6385586D"/>
    <w:rsid w:val="63981D95"/>
    <w:rsid w:val="639A2E96"/>
    <w:rsid w:val="639F7D2D"/>
    <w:rsid w:val="63A700CB"/>
    <w:rsid w:val="63A92490"/>
    <w:rsid w:val="640902F7"/>
    <w:rsid w:val="643F5AEF"/>
    <w:rsid w:val="644C109F"/>
    <w:rsid w:val="645B0531"/>
    <w:rsid w:val="64602898"/>
    <w:rsid w:val="64BF416C"/>
    <w:rsid w:val="654F6A9D"/>
    <w:rsid w:val="658C4438"/>
    <w:rsid w:val="659106AD"/>
    <w:rsid w:val="65A67909"/>
    <w:rsid w:val="66096C51"/>
    <w:rsid w:val="66277148"/>
    <w:rsid w:val="66404B06"/>
    <w:rsid w:val="66886E9F"/>
    <w:rsid w:val="668C23EB"/>
    <w:rsid w:val="66A657E1"/>
    <w:rsid w:val="66A66835"/>
    <w:rsid w:val="66B277CB"/>
    <w:rsid w:val="66BC25E4"/>
    <w:rsid w:val="66BE0674"/>
    <w:rsid w:val="66D448FB"/>
    <w:rsid w:val="67024A05"/>
    <w:rsid w:val="67210179"/>
    <w:rsid w:val="672712C1"/>
    <w:rsid w:val="67292B47"/>
    <w:rsid w:val="672C5A47"/>
    <w:rsid w:val="674F0951"/>
    <w:rsid w:val="679A0E62"/>
    <w:rsid w:val="67B620D5"/>
    <w:rsid w:val="67BC59A7"/>
    <w:rsid w:val="67C56ABF"/>
    <w:rsid w:val="67E546F5"/>
    <w:rsid w:val="67EE3F97"/>
    <w:rsid w:val="6819014B"/>
    <w:rsid w:val="681D2DB3"/>
    <w:rsid w:val="6853313E"/>
    <w:rsid w:val="696D380D"/>
    <w:rsid w:val="698D5CAD"/>
    <w:rsid w:val="6991001F"/>
    <w:rsid w:val="69996F17"/>
    <w:rsid w:val="69A24284"/>
    <w:rsid w:val="69AA240A"/>
    <w:rsid w:val="6A070525"/>
    <w:rsid w:val="6A085A35"/>
    <w:rsid w:val="6A157A23"/>
    <w:rsid w:val="6A3A381B"/>
    <w:rsid w:val="6A4F2264"/>
    <w:rsid w:val="6A527A52"/>
    <w:rsid w:val="6A61374F"/>
    <w:rsid w:val="6A6137B1"/>
    <w:rsid w:val="6A687275"/>
    <w:rsid w:val="6A6A3AC5"/>
    <w:rsid w:val="6A826903"/>
    <w:rsid w:val="6A8614A9"/>
    <w:rsid w:val="6A961869"/>
    <w:rsid w:val="6B063579"/>
    <w:rsid w:val="6B2F531C"/>
    <w:rsid w:val="6B453E59"/>
    <w:rsid w:val="6B493C0F"/>
    <w:rsid w:val="6B4A60B8"/>
    <w:rsid w:val="6B5651D2"/>
    <w:rsid w:val="6B581B9E"/>
    <w:rsid w:val="6B6E2157"/>
    <w:rsid w:val="6B9848CB"/>
    <w:rsid w:val="6BAC2875"/>
    <w:rsid w:val="6BD50D94"/>
    <w:rsid w:val="6C1A3E96"/>
    <w:rsid w:val="6C1D19E6"/>
    <w:rsid w:val="6C477BAB"/>
    <w:rsid w:val="6C646D57"/>
    <w:rsid w:val="6C997714"/>
    <w:rsid w:val="6CA57849"/>
    <w:rsid w:val="6CCB16ED"/>
    <w:rsid w:val="6CEB6BE6"/>
    <w:rsid w:val="6D125BC1"/>
    <w:rsid w:val="6D2775E8"/>
    <w:rsid w:val="6D3C3594"/>
    <w:rsid w:val="6D3D0B04"/>
    <w:rsid w:val="6D592E4D"/>
    <w:rsid w:val="6D6F3B4B"/>
    <w:rsid w:val="6DA94338"/>
    <w:rsid w:val="6DD04038"/>
    <w:rsid w:val="6E453500"/>
    <w:rsid w:val="6E501DE9"/>
    <w:rsid w:val="6E617FAE"/>
    <w:rsid w:val="6E6B599F"/>
    <w:rsid w:val="6E7A1279"/>
    <w:rsid w:val="6E915CA0"/>
    <w:rsid w:val="6EAE13FC"/>
    <w:rsid w:val="6F216314"/>
    <w:rsid w:val="6F246E38"/>
    <w:rsid w:val="6F302FFA"/>
    <w:rsid w:val="6F35735D"/>
    <w:rsid w:val="6F5F66AF"/>
    <w:rsid w:val="6FAB6FAD"/>
    <w:rsid w:val="6FC72C76"/>
    <w:rsid w:val="6FCC5F3F"/>
    <w:rsid w:val="6FE63936"/>
    <w:rsid w:val="6FF82805"/>
    <w:rsid w:val="70094CBB"/>
    <w:rsid w:val="701D4A97"/>
    <w:rsid w:val="70315889"/>
    <w:rsid w:val="7033055B"/>
    <w:rsid w:val="703A0523"/>
    <w:rsid w:val="7050129B"/>
    <w:rsid w:val="70645946"/>
    <w:rsid w:val="709479D3"/>
    <w:rsid w:val="70B62625"/>
    <w:rsid w:val="713D45A9"/>
    <w:rsid w:val="71602504"/>
    <w:rsid w:val="719B38C2"/>
    <w:rsid w:val="71A82761"/>
    <w:rsid w:val="71B4436D"/>
    <w:rsid w:val="71FA7599"/>
    <w:rsid w:val="726E215E"/>
    <w:rsid w:val="72760055"/>
    <w:rsid w:val="727644F9"/>
    <w:rsid w:val="72CB51FC"/>
    <w:rsid w:val="73132E9B"/>
    <w:rsid w:val="73286B4F"/>
    <w:rsid w:val="733E5017"/>
    <w:rsid w:val="735355F9"/>
    <w:rsid w:val="73645429"/>
    <w:rsid w:val="73667ADF"/>
    <w:rsid w:val="739635BA"/>
    <w:rsid w:val="73DE2356"/>
    <w:rsid w:val="73EE0B2D"/>
    <w:rsid w:val="73F513B8"/>
    <w:rsid w:val="742D76D9"/>
    <w:rsid w:val="743E6DEE"/>
    <w:rsid w:val="746220DF"/>
    <w:rsid w:val="74A5761E"/>
    <w:rsid w:val="74EC2851"/>
    <w:rsid w:val="74F373EC"/>
    <w:rsid w:val="753E5E6E"/>
    <w:rsid w:val="75585C0F"/>
    <w:rsid w:val="75677006"/>
    <w:rsid w:val="758F4F18"/>
    <w:rsid w:val="75EA0EB6"/>
    <w:rsid w:val="76276370"/>
    <w:rsid w:val="76732B4F"/>
    <w:rsid w:val="767C0130"/>
    <w:rsid w:val="76B06DE6"/>
    <w:rsid w:val="76B75D5D"/>
    <w:rsid w:val="76E04852"/>
    <w:rsid w:val="76EB5D51"/>
    <w:rsid w:val="76FE524A"/>
    <w:rsid w:val="770701F2"/>
    <w:rsid w:val="770C7339"/>
    <w:rsid w:val="771E2A34"/>
    <w:rsid w:val="774D4515"/>
    <w:rsid w:val="77EB0F38"/>
    <w:rsid w:val="77EC358A"/>
    <w:rsid w:val="77FC7EA5"/>
    <w:rsid w:val="780C7A78"/>
    <w:rsid w:val="783D765C"/>
    <w:rsid w:val="78B406C7"/>
    <w:rsid w:val="78C04852"/>
    <w:rsid w:val="78C70EE8"/>
    <w:rsid w:val="78E21FA1"/>
    <w:rsid w:val="78FE497D"/>
    <w:rsid w:val="790C4793"/>
    <w:rsid w:val="79212925"/>
    <w:rsid w:val="797A667D"/>
    <w:rsid w:val="797F780A"/>
    <w:rsid w:val="79A775AA"/>
    <w:rsid w:val="7A1F09D7"/>
    <w:rsid w:val="7A2A282B"/>
    <w:rsid w:val="7A43020E"/>
    <w:rsid w:val="7A5831FC"/>
    <w:rsid w:val="7A961132"/>
    <w:rsid w:val="7AA76C4E"/>
    <w:rsid w:val="7AA839B3"/>
    <w:rsid w:val="7AE61B10"/>
    <w:rsid w:val="7B0E0716"/>
    <w:rsid w:val="7B265973"/>
    <w:rsid w:val="7B4F6BA7"/>
    <w:rsid w:val="7B6B08A7"/>
    <w:rsid w:val="7B7D40CC"/>
    <w:rsid w:val="7B840499"/>
    <w:rsid w:val="7B9C1CE2"/>
    <w:rsid w:val="7BDA1036"/>
    <w:rsid w:val="7BF64461"/>
    <w:rsid w:val="7C0A7D5E"/>
    <w:rsid w:val="7C0E7E7C"/>
    <w:rsid w:val="7C284C6A"/>
    <w:rsid w:val="7C383459"/>
    <w:rsid w:val="7C544A6F"/>
    <w:rsid w:val="7C890850"/>
    <w:rsid w:val="7C9E591B"/>
    <w:rsid w:val="7CB57743"/>
    <w:rsid w:val="7CC81775"/>
    <w:rsid w:val="7CD32237"/>
    <w:rsid w:val="7CF33CCA"/>
    <w:rsid w:val="7CFF6582"/>
    <w:rsid w:val="7D051C17"/>
    <w:rsid w:val="7D30518B"/>
    <w:rsid w:val="7D9C283C"/>
    <w:rsid w:val="7D9F519D"/>
    <w:rsid w:val="7DB67EA0"/>
    <w:rsid w:val="7DE247F1"/>
    <w:rsid w:val="7E27146E"/>
    <w:rsid w:val="7E291592"/>
    <w:rsid w:val="7E45714A"/>
    <w:rsid w:val="7E7C324B"/>
    <w:rsid w:val="7EB766E3"/>
    <w:rsid w:val="7EBB5815"/>
    <w:rsid w:val="7EFC50BC"/>
    <w:rsid w:val="7F044570"/>
    <w:rsid w:val="7F7D2CEC"/>
    <w:rsid w:val="7F8F53DF"/>
    <w:rsid w:val="7F9E75C6"/>
    <w:rsid w:val="7FA03675"/>
    <w:rsid w:val="7FAD7723"/>
    <w:rsid w:val="7FB12E8B"/>
    <w:rsid w:val="7FB25C83"/>
    <w:rsid w:val="7FB801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4"/>
      <w:szCs w:val="24"/>
      <w:lang w:val="en-US" w:eastAsia="zh-CN" w:bidi="ar-SA"/>
    </w:rPr>
  </w:style>
  <w:style w:type="paragraph" w:styleId="2">
    <w:name w:val="heading 1"/>
    <w:basedOn w:val="1"/>
    <w:next w:val="1"/>
    <w:link w:val="54"/>
    <w:qFormat/>
    <w:uiPriority w:val="9"/>
    <w:pPr>
      <w:keepNext/>
      <w:keepLines/>
      <w:spacing w:line="360" w:lineRule="auto"/>
      <w:outlineLvl w:val="0"/>
    </w:pPr>
    <w:rPr>
      <w:b/>
      <w:bCs/>
      <w:kern w:val="44"/>
      <w:sz w:val="28"/>
      <w:szCs w:val="44"/>
    </w:rPr>
  </w:style>
  <w:style w:type="paragraph" w:styleId="3">
    <w:name w:val="heading 2"/>
    <w:basedOn w:val="1"/>
    <w:next w:val="1"/>
    <w:link w:val="55"/>
    <w:unhideWhenUsed/>
    <w:qFormat/>
    <w:uiPriority w:val="9"/>
    <w:pPr>
      <w:keepNext/>
      <w:keepLines/>
      <w:spacing w:line="360" w:lineRule="auto"/>
      <w:outlineLvl w:val="1"/>
    </w:pPr>
    <w:rPr>
      <w:rFonts w:asciiTheme="majorHAnsi" w:hAnsiTheme="majorHAnsi" w:eastAsiaTheme="majorEastAsia" w:cstheme="majorBidi"/>
      <w:b/>
      <w:bCs/>
      <w:szCs w:val="32"/>
    </w:rPr>
  </w:style>
  <w:style w:type="paragraph" w:styleId="4">
    <w:name w:val="heading 3"/>
    <w:basedOn w:val="1"/>
    <w:next w:val="1"/>
    <w:link w:val="36"/>
    <w:qFormat/>
    <w:uiPriority w:val="9"/>
    <w:pPr>
      <w:widowControl/>
      <w:spacing w:line="360" w:lineRule="auto"/>
      <w:jc w:val="left"/>
      <w:outlineLvl w:val="2"/>
    </w:pPr>
    <w:rPr>
      <w:rFonts w:ascii="宋体" w:hAnsi="宋体" w:cs="宋体"/>
      <w:b/>
      <w:bCs/>
      <w:kern w:val="0"/>
      <w:szCs w:val="27"/>
    </w:rPr>
  </w:style>
  <w:style w:type="character" w:default="1" w:styleId="18">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5">
    <w:name w:val="annotation text"/>
    <w:basedOn w:val="1"/>
    <w:link w:val="58"/>
    <w:unhideWhenUsed/>
    <w:qFormat/>
    <w:uiPriority w:val="99"/>
    <w:pPr>
      <w:jc w:val="left"/>
    </w:pPr>
  </w:style>
  <w:style w:type="paragraph" w:styleId="6">
    <w:name w:val="Body Text"/>
    <w:basedOn w:val="1"/>
    <w:link w:val="27"/>
    <w:qFormat/>
    <w:uiPriority w:val="0"/>
    <w:rPr>
      <w:rFonts w:ascii="宋体" w:hAnsi="宋体"/>
      <w:bCs/>
      <w:kern w:val="0"/>
      <w:sz w:val="28"/>
      <w:szCs w:val="28"/>
    </w:rPr>
  </w:style>
  <w:style w:type="paragraph" w:styleId="7">
    <w:name w:val="toc 3"/>
    <w:basedOn w:val="1"/>
    <w:next w:val="1"/>
    <w:unhideWhenUsed/>
    <w:qFormat/>
    <w:uiPriority w:val="39"/>
    <w:pPr>
      <w:ind w:left="840" w:leftChars="400"/>
    </w:pPr>
  </w:style>
  <w:style w:type="paragraph" w:styleId="8">
    <w:name w:val="Date"/>
    <w:basedOn w:val="1"/>
    <w:next w:val="1"/>
    <w:link w:val="35"/>
    <w:unhideWhenUsed/>
    <w:qFormat/>
    <w:uiPriority w:val="99"/>
    <w:pPr>
      <w:ind w:left="100" w:leftChars="2500"/>
    </w:pPr>
  </w:style>
  <w:style w:type="paragraph" w:styleId="9">
    <w:name w:val="Balloon Text"/>
    <w:basedOn w:val="1"/>
    <w:link w:val="37"/>
    <w:unhideWhenUsed/>
    <w:qFormat/>
    <w:uiPriority w:val="99"/>
    <w:rPr>
      <w:sz w:val="18"/>
      <w:szCs w:val="18"/>
    </w:rPr>
  </w:style>
  <w:style w:type="paragraph" w:styleId="10">
    <w:name w:val="footer"/>
    <w:basedOn w:val="1"/>
    <w:link w:val="29"/>
    <w:unhideWhenUsed/>
    <w:qFormat/>
    <w:uiPriority w:val="99"/>
    <w:pPr>
      <w:tabs>
        <w:tab w:val="center" w:pos="4153"/>
        <w:tab w:val="right" w:pos="8306"/>
      </w:tabs>
      <w:snapToGrid w:val="0"/>
      <w:jc w:val="left"/>
    </w:pPr>
    <w:rPr>
      <w:kern w:val="0"/>
      <w:sz w:val="18"/>
      <w:szCs w:val="18"/>
    </w:rPr>
  </w:style>
  <w:style w:type="paragraph" w:styleId="11">
    <w:name w:val="header"/>
    <w:basedOn w:val="1"/>
    <w:link w:val="28"/>
    <w:unhideWhenUsed/>
    <w:qFormat/>
    <w:uiPriority w:val="99"/>
    <w:pPr>
      <w:pBdr>
        <w:bottom w:val="single" w:color="auto" w:sz="6" w:space="1"/>
      </w:pBdr>
      <w:tabs>
        <w:tab w:val="center" w:pos="4153"/>
        <w:tab w:val="right" w:pos="8306"/>
      </w:tabs>
      <w:snapToGrid w:val="0"/>
      <w:jc w:val="center"/>
    </w:pPr>
    <w:rPr>
      <w:kern w:val="0"/>
      <w:sz w:val="18"/>
      <w:szCs w:val="18"/>
    </w:rPr>
  </w:style>
  <w:style w:type="paragraph" w:styleId="12">
    <w:name w:val="toc 1"/>
    <w:basedOn w:val="1"/>
    <w:next w:val="1"/>
    <w:unhideWhenUsed/>
    <w:qFormat/>
    <w:uiPriority w:val="39"/>
  </w:style>
  <w:style w:type="paragraph" w:styleId="13">
    <w:name w:val="toc 2"/>
    <w:basedOn w:val="1"/>
    <w:next w:val="1"/>
    <w:unhideWhenUsed/>
    <w:qFormat/>
    <w:uiPriority w:val="39"/>
    <w:pPr>
      <w:ind w:left="420" w:leftChars="200"/>
    </w:pPr>
  </w:style>
  <w:style w:type="paragraph" w:styleId="14">
    <w:name w:val="Normal (Web)"/>
    <w:basedOn w:val="1"/>
    <w:unhideWhenUsed/>
    <w:qFormat/>
    <w:uiPriority w:val="99"/>
    <w:pPr>
      <w:widowControl/>
      <w:spacing w:before="100" w:beforeAutospacing="1" w:after="100" w:afterAutospacing="1"/>
      <w:jc w:val="left"/>
    </w:pPr>
    <w:rPr>
      <w:rFonts w:ascii="宋体" w:hAnsi="宋体" w:cs="宋体"/>
      <w:kern w:val="0"/>
    </w:rPr>
  </w:style>
  <w:style w:type="paragraph" w:styleId="15">
    <w:name w:val="annotation subject"/>
    <w:basedOn w:val="5"/>
    <w:next w:val="5"/>
    <w:link w:val="59"/>
    <w:unhideWhenUsed/>
    <w:qFormat/>
    <w:uiPriority w:val="99"/>
    <w:rPr>
      <w:b/>
      <w:bCs/>
    </w:rPr>
  </w:style>
  <w:style w:type="table" w:styleId="17">
    <w:name w:val="Table Grid"/>
    <w:basedOn w:val="16"/>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19">
    <w:name w:val="Emphasis"/>
    <w:qFormat/>
    <w:uiPriority w:val="20"/>
    <w:rPr>
      <w:color w:val="CC0000"/>
    </w:rPr>
  </w:style>
  <w:style w:type="character" w:styleId="20">
    <w:name w:val="Hyperlink"/>
    <w:basedOn w:val="18"/>
    <w:unhideWhenUsed/>
    <w:qFormat/>
    <w:uiPriority w:val="99"/>
    <w:rPr>
      <w:color w:val="136EC2"/>
      <w:u w:val="single"/>
    </w:rPr>
  </w:style>
  <w:style w:type="character" w:styleId="21">
    <w:name w:val="annotation reference"/>
    <w:basedOn w:val="18"/>
    <w:unhideWhenUsed/>
    <w:qFormat/>
    <w:uiPriority w:val="99"/>
    <w:rPr>
      <w:sz w:val="21"/>
      <w:szCs w:val="21"/>
    </w:rPr>
  </w:style>
  <w:style w:type="paragraph" w:customStyle="1" w:styleId="22">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23">
    <w:name w:val="前言、引言标题"/>
    <w:next w:val="1"/>
    <w:qFormat/>
    <w:uiPriority w:val="0"/>
    <w:pPr>
      <w:numPr>
        <w:ilvl w:val="0"/>
        <w:numId w:val="1"/>
      </w:numPr>
      <w:shd w:val="clear" w:color="FFFFFF" w:fill="FFFFFF"/>
      <w:tabs>
        <w:tab w:val="left" w:pos="360"/>
      </w:tabs>
      <w:spacing w:before="640" w:after="560"/>
      <w:jc w:val="center"/>
      <w:outlineLvl w:val="0"/>
    </w:pPr>
    <w:rPr>
      <w:rFonts w:ascii="黑体" w:hAnsi="Times New Roman" w:eastAsia="黑体" w:cs="Times New Roman"/>
      <w:sz w:val="32"/>
      <w:lang w:val="en-US" w:eastAsia="zh-CN" w:bidi="ar-SA"/>
    </w:rPr>
  </w:style>
  <w:style w:type="paragraph" w:customStyle="1" w:styleId="24">
    <w:name w:val="章标题"/>
    <w:next w:val="1"/>
    <w:qFormat/>
    <w:uiPriority w:val="0"/>
    <w:pPr>
      <w:numPr>
        <w:ilvl w:val="1"/>
        <w:numId w:val="1"/>
      </w:numPr>
      <w:spacing w:beforeLines="50" w:afterLines="50"/>
      <w:jc w:val="both"/>
      <w:outlineLvl w:val="1"/>
    </w:pPr>
    <w:rPr>
      <w:rFonts w:ascii="黑体" w:hAnsi="Times New Roman" w:eastAsia="黑体" w:cs="Times New Roman"/>
      <w:sz w:val="21"/>
      <w:lang w:val="en-US" w:eastAsia="zh-CN" w:bidi="ar-SA"/>
    </w:rPr>
  </w:style>
  <w:style w:type="paragraph" w:customStyle="1" w:styleId="25">
    <w:name w:val="一级条标题"/>
    <w:next w:val="1"/>
    <w:qFormat/>
    <w:uiPriority w:val="0"/>
    <w:pPr>
      <w:numPr>
        <w:ilvl w:val="2"/>
        <w:numId w:val="1"/>
      </w:numPr>
      <w:outlineLvl w:val="2"/>
    </w:pPr>
    <w:rPr>
      <w:rFonts w:ascii="Times New Roman" w:hAnsi="Times New Roman" w:eastAsia="黑体" w:cs="Times New Roman"/>
      <w:sz w:val="21"/>
      <w:lang w:val="en-US" w:eastAsia="zh-CN" w:bidi="ar-SA"/>
    </w:rPr>
  </w:style>
  <w:style w:type="paragraph" w:customStyle="1" w:styleId="26">
    <w:name w:val="二级条标题"/>
    <w:basedOn w:val="25"/>
    <w:next w:val="1"/>
    <w:qFormat/>
    <w:uiPriority w:val="0"/>
    <w:pPr>
      <w:numPr>
        <w:ilvl w:val="3"/>
      </w:numPr>
      <w:outlineLvl w:val="3"/>
    </w:pPr>
  </w:style>
  <w:style w:type="character" w:customStyle="1" w:styleId="27">
    <w:name w:val="正文文本 Char"/>
    <w:link w:val="6"/>
    <w:qFormat/>
    <w:uiPriority w:val="0"/>
    <w:rPr>
      <w:rFonts w:ascii="宋体" w:hAnsi="宋体" w:eastAsia="宋体" w:cs="Times New Roman"/>
      <w:bCs/>
      <w:sz w:val="28"/>
      <w:szCs w:val="28"/>
    </w:rPr>
  </w:style>
  <w:style w:type="character" w:customStyle="1" w:styleId="28">
    <w:name w:val="页眉 Char"/>
    <w:link w:val="11"/>
    <w:qFormat/>
    <w:uiPriority w:val="99"/>
    <w:rPr>
      <w:rFonts w:ascii="Times New Roman" w:hAnsi="Times New Roman" w:eastAsia="宋体" w:cs="Times New Roman"/>
      <w:sz w:val="18"/>
      <w:szCs w:val="18"/>
    </w:rPr>
  </w:style>
  <w:style w:type="character" w:customStyle="1" w:styleId="29">
    <w:name w:val="页脚 Char"/>
    <w:link w:val="10"/>
    <w:qFormat/>
    <w:uiPriority w:val="99"/>
    <w:rPr>
      <w:rFonts w:ascii="Times New Roman" w:hAnsi="Times New Roman" w:eastAsia="宋体" w:cs="Times New Roman"/>
      <w:sz w:val="18"/>
      <w:szCs w:val="18"/>
    </w:rPr>
  </w:style>
  <w:style w:type="paragraph" w:customStyle="1" w:styleId="30">
    <w:name w:val="Char Char Char Char Char Char Char"/>
    <w:basedOn w:val="1"/>
    <w:qFormat/>
    <w:uiPriority w:val="0"/>
    <w:pPr>
      <w:widowControl/>
      <w:spacing w:after="160" w:line="240" w:lineRule="exact"/>
      <w:jc w:val="left"/>
    </w:pPr>
    <w:rPr>
      <w:rFonts w:ascii="Arial" w:hAnsi="Arial" w:eastAsia="Times New Roman" w:cs="Verdana"/>
      <w:b/>
      <w:kern w:val="0"/>
      <w:lang w:eastAsia="en-US"/>
    </w:rPr>
  </w:style>
  <w:style w:type="paragraph" w:customStyle="1" w:styleId="31">
    <w:name w:val="三级条标题"/>
    <w:basedOn w:val="26"/>
    <w:next w:val="1"/>
    <w:qFormat/>
    <w:uiPriority w:val="0"/>
    <w:pPr>
      <w:numPr>
        <w:ilvl w:val="0"/>
        <w:numId w:val="0"/>
      </w:numPr>
      <w:jc w:val="both"/>
      <w:outlineLvl w:val="4"/>
    </w:pPr>
    <w:rPr>
      <w:rFonts w:ascii="黑体"/>
    </w:rPr>
  </w:style>
  <w:style w:type="paragraph" w:customStyle="1" w:styleId="32">
    <w:name w:val="四级条标题"/>
    <w:basedOn w:val="31"/>
    <w:next w:val="1"/>
    <w:qFormat/>
    <w:uiPriority w:val="0"/>
    <w:pPr>
      <w:outlineLvl w:val="5"/>
    </w:pPr>
  </w:style>
  <w:style w:type="paragraph" w:customStyle="1" w:styleId="33">
    <w:name w:val="五级条标题"/>
    <w:basedOn w:val="32"/>
    <w:next w:val="1"/>
    <w:qFormat/>
    <w:uiPriority w:val="0"/>
    <w:pPr>
      <w:outlineLvl w:val="6"/>
    </w:pPr>
  </w:style>
  <w:style w:type="character" w:customStyle="1" w:styleId="34">
    <w:name w:val="short_text1"/>
    <w:qFormat/>
    <w:uiPriority w:val="0"/>
    <w:rPr>
      <w:sz w:val="29"/>
      <w:szCs w:val="29"/>
    </w:rPr>
  </w:style>
  <w:style w:type="character" w:customStyle="1" w:styleId="35">
    <w:name w:val="日期 Char"/>
    <w:link w:val="8"/>
    <w:semiHidden/>
    <w:qFormat/>
    <w:uiPriority w:val="99"/>
    <w:rPr>
      <w:rFonts w:ascii="Times New Roman" w:hAnsi="Times New Roman"/>
      <w:kern w:val="2"/>
      <w:sz w:val="21"/>
      <w:szCs w:val="24"/>
    </w:rPr>
  </w:style>
  <w:style w:type="character" w:customStyle="1" w:styleId="36">
    <w:name w:val="标题 3 Char"/>
    <w:basedOn w:val="18"/>
    <w:link w:val="4"/>
    <w:qFormat/>
    <w:uiPriority w:val="9"/>
    <w:rPr>
      <w:rFonts w:ascii="宋体" w:hAnsi="宋体" w:cs="宋体"/>
      <w:b/>
      <w:bCs/>
      <w:sz w:val="24"/>
      <w:szCs w:val="27"/>
    </w:rPr>
  </w:style>
  <w:style w:type="character" w:customStyle="1" w:styleId="37">
    <w:name w:val="批注框文本 Char"/>
    <w:basedOn w:val="18"/>
    <w:link w:val="9"/>
    <w:semiHidden/>
    <w:qFormat/>
    <w:uiPriority w:val="99"/>
    <w:rPr>
      <w:rFonts w:ascii="Times New Roman" w:hAnsi="Times New Roman"/>
      <w:kern w:val="2"/>
      <w:sz w:val="18"/>
      <w:szCs w:val="18"/>
    </w:rPr>
  </w:style>
  <w:style w:type="paragraph" w:customStyle="1" w:styleId="38">
    <w:name w:val="段"/>
    <w:link w:val="39"/>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39">
    <w:name w:val="段 Char"/>
    <w:basedOn w:val="18"/>
    <w:link w:val="38"/>
    <w:qFormat/>
    <w:uiPriority w:val="0"/>
    <w:rPr>
      <w:rFonts w:ascii="宋体" w:hAnsi="Times New Roman"/>
      <w:sz w:val="21"/>
    </w:rPr>
  </w:style>
  <w:style w:type="paragraph" w:customStyle="1" w:styleId="40">
    <w:name w:val="示例"/>
    <w:next w:val="1"/>
    <w:qFormat/>
    <w:uiPriority w:val="0"/>
    <w:pPr>
      <w:widowControl w:val="0"/>
      <w:numPr>
        <w:ilvl w:val="0"/>
        <w:numId w:val="2"/>
      </w:numPr>
      <w:jc w:val="both"/>
    </w:pPr>
    <w:rPr>
      <w:rFonts w:ascii="宋体" w:hAnsi="Times New Roman" w:eastAsia="宋体" w:cs="Times New Roman"/>
      <w:sz w:val="18"/>
      <w:szCs w:val="18"/>
      <w:lang w:val="en-US" w:eastAsia="zh-CN" w:bidi="ar-SA"/>
    </w:rPr>
  </w:style>
  <w:style w:type="paragraph" w:customStyle="1" w:styleId="41">
    <w:name w:val="正文表标题"/>
    <w:next w:val="38"/>
    <w:qFormat/>
    <w:uiPriority w:val="0"/>
    <w:p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42">
    <w:name w:val="正文图标题"/>
    <w:next w:val="38"/>
    <w:qFormat/>
    <w:uiPriority w:val="0"/>
    <w:pPr>
      <w:numPr>
        <w:ilvl w:val="0"/>
        <w:numId w:val="3"/>
      </w:num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43">
    <w:name w:val="其他发布日期"/>
    <w:basedOn w:val="1"/>
    <w:qFormat/>
    <w:uiPriority w:val="0"/>
    <w:pPr>
      <w:framePr w:w="3997" w:h="471" w:hRule="exact" w:vSpace="181" w:wrap="around" w:vAnchor="page" w:hAnchor="page" w:x="1419" w:y="14097" w:anchorLock="1"/>
      <w:widowControl/>
      <w:numPr>
        <w:ilvl w:val="0"/>
        <w:numId w:val="4"/>
      </w:numPr>
      <w:jc w:val="left"/>
    </w:pPr>
    <w:rPr>
      <w:rFonts w:eastAsia="黑体"/>
      <w:kern w:val="0"/>
      <w:sz w:val="28"/>
      <w:szCs w:val="20"/>
    </w:rPr>
  </w:style>
  <w:style w:type="paragraph" w:customStyle="1" w:styleId="44">
    <w:name w:val="标准表题"/>
    <w:basedOn w:val="1"/>
    <w:next w:val="38"/>
    <w:qFormat/>
    <w:uiPriority w:val="0"/>
    <w:pPr>
      <w:widowControl/>
      <w:jc w:val="center"/>
    </w:pPr>
    <w:rPr>
      <w:rFonts w:ascii="黑体" w:eastAsia="黑体"/>
      <w:kern w:val="21"/>
      <w:szCs w:val="20"/>
    </w:rPr>
  </w:style>
  <w:style w:type="paragraph" w:customStyle="1" w:styleId="45">
    <w:name w:val="章"/>
    <w:basedOn w:val="1"/>
    <w:next w:val="38"/>
    <w:qFormat/>
    <w:uiPriority w:val="0"/>
    <w:pPr>
      <w:adjustRightInd w:val="0"/>
      <w:spacing w:before="160" w:after="160"/>
      <w:outlineLvl w:val="0"/>
    </w:pPr>
    <w:rPr>
      <w:rFonts w:ascii="黑体" w:eastAsia="黑体"/>
      <w:kern w:val="21"/>
      <w:szCs w:val="20"/>
    </w:rPr>
  </w:style>
  <w:style w:type="paragraph" w:customStyle="1" w:styleId="46">
    <w:name w:val="条2"/>
    <w:basedOn w:val="1"/>
    <w:next w:val="38"/>
    <w:qFormat/>
    <w:uiPriority w:val="0"/>
    <w:pPr>
      <w:outlineLvl w:val="1"/>
    </w:pPr>
    <w:rPr>
      <w:rFonts w:ascii="黑体" w:eastAsia="黑体"/>
      <w:kern w:val="21"/>
      <w:szCs w:val="20"/>
    </w:rPr>
  </w:style>
  <w:style w:type="paragraph" w:customStyle="1" w:styleId="47">
    <w:name w:val="条1"/>
    <w:basedOn w:val="1"/>
    <w:next w:val="38"/>
    <w:qFormat/>
    <w:uiPriority w:val="0"/>
    <w:pPr>
      <w:outlineLvl w:val="1"/>
    </w:pPr>
    <w:rPr>
      <w:rFonts w:ascii="黑体" w:eastAsia="黑体"/>
      <w:kern w:val="21"/>
      <w:szCs w:val="20"/>
    </w:rPr>
  </w:style>
  <w:style w:type="character" w:customStyle="1" w:styleId="48">
    <w:name w:val="font111"/>
    <w:basedOn w:val="18"/>
    <w:qFormat/>
    <w:uiPriority w:val="0"/>
    <w:rPr>
      <w:rFonts w:hint="eastAsia" w:ascii="宋体" w:hAnsi="宋体" w:eastAsia="宋体"/>
      <w:color w:val="000000"/>
      <w:sz w:val="18"/>
      <w:szCs w:val="18"/>
      <w:u w:val="none"/>
    </w:rPr>
  </w:style>
  <w:style w:type="character" w:customStyle="1" w:styleId="49">
    <w:name w:val="font81"/>
    <w:basedOn w:val="18"/>
    <w:qFormat/>
    <w:uiPriority w:val="0"/>
    <w:rPr>
      <w:rFonts w:hint="default" w:ascii="Times New Roman" w:hAnsi="Times New Roman" w:cs="Times New Roman"/>
      <w:color w:val="000000"/>
      <w:sz w:val="18"/>
      <w:szCs w:val="18"/>
      <w:u w:val="none"/>
    </w:rPr>
  </w:style>
  <w:style w:type="character" w:customStyle="1" w:styleId="50">
    <w:name w:val="font121"/>
    <w:basedOn w:val="18"/>
    <w:qFormat/>
    <w:uiPriority w:val="0"/>
    <w:rPr>
      <w:rFonts w:hint="eastAsia" w:ascii="宋体" w:hAnsi="宋体" w:eastAsia="宋体"/>
      <w:b/>
      <w:bCs/>
      <w:color w:val="000000"/>
      <w:sz w:val="18"/>
      <w:szCs w:val="18"/>
      <w:u w:val="none"/>
    </w:rPr>
  </w:style>
  <w:style w:type="character" w:customStyle="1" w:styleId="51">
    <w:name w:val="font91"/>
    <w:basedOn w:val="18"/>
    <w:qFormat/>
    <w:uiPriority w:val="0"/>
    <w:rPr>
      <w:rFonts w:hint="default" w:ascii="Times New Roman" w:hAnsi="Times New Roman" w:cs="Times New Roman"/>
      <w:b/>
      <w:bCs/>
      <w:color w:val="000000"/>
      <w:sz w:val="18"/>
      <w:szCs w:val="18"/>
      <w:u w:val="none"/>
    </w:rPr>
  </w:style>
  <w:style w:type="character" w:customStyle="1" w:styleId="52">
    <w:name w:val="font71"/>
    <w:basedOn w:val="18"/>
    <w:qFormat/>
    <w:uiPriority w:val="0"/>
    <w:rPr>
      <w:rFonts w:hint="eastAsia" w:ascii="宋体" w:hAnsi="宋体" w:eastAsia="宋体"/>
      <w:color w:val="000000"/>
      <w:sz w:val="18"/>
      <w:szCs w:val="18"/>
      <w:u w:val="none"/>
    </w:rPr>
  </w:style>
  <w:style w:type="character" w:customStyle="1" w:styleId="53">
    <w:name w:val="font101"/>
    <w:basedOn w:val="18"/>
    <w:qFormat/>
    <w:uiPriority w:val="0"/>
    <w:rPr>
      <w:rFonts w:hint="default" w:ascii="Times New Roman" w:hAnsi="Times New Roman" w:cs="Times New Roman"/>
      <w:color w:val="000000"/>
      <w:sz w:val="18"/>
      <w:szCs w:val="18"/>
      <w:u w:val="none"/>
    </w:rPr>
  </w:style>
  <w:style w:type="character" w:customStyle="1" w:styleId="54">
    <w:name w:val="标题 1 Char"/>
    <w:basedOn w:val="18"/>
    <w:link w:val="2"/>
    <w:qFormat/>
    <w:uiPriority w:val="9"/>
    <w:rPr>
      <w:rFonts w:ascii="Times New Roman" w:hAnsi="Times New Roman"/>
      <w:b/>
      <w:bCs/>
      <w:kern w:val="44"/>
      <w:sz w:val="28"/>
      <w:szCs w:val="44"/>
    </w:rPr>
  </w:style>
  <w:style w:type="character" w:customStyle="1" w:styleId="55">
    <w:name w:val="标题 2 Char"/>
    <w:basedOn w:val="18"/>
    <w:link w:val="3"/>
    <w:qFormat/>
    <w:uiPriority w:val="9"/>
    <w:rPr>
      <w:rFonts w:asciiTheme="majorHAnsi" w:hAnsiTheme="majorHAnsi" w:eastAsiaTheme="majorEastAsia" w:cstheme="majorBidi"/>
      <w:b/>
      <w:bCs/>
      <w:kern w:val="2"/>
      <w:sz w:val="24"/>
      <w:szCs w:val="32"/>
    </w:rPr>
  </w:style>
  <w:style w:type="paragraph" w:customStyle="1" w:styleId="56">
    <w:name w:val="TOC 标题1"/>
    <w:basedOn w:val="2"/>
    <w:next w:val="1"/>
    <w:unhideWhenUsed/>
    <w:qFormat/>
    <w:uiPriority w:val="39"/>
    <w:pPr>
      <w:widowControl/>
      <w:spacing w:before="240" w:line="259" w:lineRule="auto"/>
      <w:jc w:val="left"/>
      <w:outlineLvl w:val="9"/>
    </w:pPr>
    <w:rPr>
      <w:rFonts w:asciiTheme="majorHAnsi" w:hAnsiTheme="majorHAnsi" w:eastAsiaTheme="majorEastAsia" w:cstheme="majorBidi"/>
      <w:b w:val="0"/>
      <w:bCs w:val="0"/>
      <w:color w:val="366091" w:themeColor="accent1" w:themeShade="BF"/>
      <w:kern w:val="0"/>
      <w:sz w:val="32"/>
      <w:szCs w:val="32"/>
    </w:rPr>
  </w:style>
  <w:style w:type="paragraph" w:customStyle="1" w:styleId="57">
    <w:name w:val="Table Paragraph"/>
    <w:basedOn w:val="1"/>
    <w:qFormat/>
    <w:uiPriority w:val="1"/>
    <w:pPr>
      <w:jc w:val="left"/>
    </w:pPr>
    <w:rPr>
      <w:rFonts w:ascii="Calibri" w:hAnsi="Calibri" w:eastAsia="Calibri"/>
      <w:kern w:val="0"/>
      <w:sz w:val="22"/>
      <w:szCs w:val="22"/>
      <w:lang w:eastAsia="en-US"/>
    </w:rPr>
  </w:style>
  <w:style w:type="character" w:customStyle="1" w:styleId="58">
    <w:name w:val="批注文字 Char"/>
    <w:basedOn w:val="18"/>
    <w:link w:val="5"/>
    <w:semiHidden/>
    <w:qFormat/>
    <w:uiPriority w:val="99"/>
    <w:rPr>
      <w:rFonts w:ascii="Times New Roman" w:hAnsi="Times New Roman"/>
      <w:kern w:val="2"/>
      <w:sz w:val="24"/>
      <w:szCs w:val="24"/>
    </w:rPr>
  </w:style>
  <w:style w:type="character" w:customStyle="1" w:styleId="59">
    <w:name w:val="批注主题 Char"/>
    <w:basedOn w:val="58"/>
    <w:link w:val="15"/>
    <w:semiHidden/>
    <w:qFormat/>
    <w:uiPriority w:val="99"/>
    <w:rPr>
      <w:rFonts w:ascii="Times New Roman" w:hAnsi="Times New Roman"/>
      <w:b/>
      <w:bCs/>
      <w:kern w:val="2"/>
      <w:sz w:val="24"/>
      <w:szCs w:val="24"/>
    </w:rPr>
  </w:style>
  <w:style w:type="paragraph" w:customStyle="1" w:styleId="60">
    <w:name w:val="修订1"/>
    <w:hidden/>
    <w:semiHidden/>
    <w:qFormat/>
    <w:uiPriority w:val="99"/>
    <w:rPr>
      <w:rFonts w:ascii="Times New Roman" w:hAnsi="Times New Roman" w:eastAsia="宋体" w:cs="Times New Roman"/>
      <w:kern w:val="2"/>
      <w:sz w:val="24"/>
      <w:szCs w:val="24"/>
      <w:lang w:val="en-US" w:eastAsia="zh-CN" w:bidi="ar-SA"/>
    </w:rPr>
  </w:style>
  <w:style w:type="character" w:customStyle="1" w:styleId="61">
    <w:name w:val="font11"/>
    <w:basedOn w:val="18"/>
    <w:qFormat/>
    <w:uiPriority w:val="0"/>
    <w:rPr>
      <w:rFonts w:hint="default" w:ascii="Times New Roman" w:hAnsi="Times New Roman" w:cs="Times New Roman"/>
      <w:color w:val="000000"/>
      <w:sz w:val="21"/>
      <w:szCs w:val="21"/>
      <w:u w:val="none"/>
    </w:rPr>
  </w:style>
  <w:style w:type="character" w:customStyle="1" w:styleId="62">
    <w:name w:val="font21"/>
    <w:basedOn w:val="18"/>
    <w:qFormat/>
    <w:uiPriority w:val="0"/>
    <w:rPr>
      <w:rFonts w:hint="eastAsia" w:ascii="宋体" w:hAnsi="宋体" w:eastAsia="宋体" w:cs="宋体"/>
      <w:color w:val="000000"/>
      <w:sz w:val="21"/>
      <w:szCs w:val="21"/>
      <w:u w:val="none"/>
    </w:rPr>
  </w:style>
  <w:style w:type="paragraph" w:customStyle="1" w:styleId="63">
    <w:name w:val="说明"/>
    <w:qFormat/>
    <w:uiPriority w:val="0"/>
    <w:pPr>
      <w:spacing w:line="360" w:lineRule="auto"/>
      <w:jc w:val="both"/>
    </w:pPr>
    <w:rPr>
      <w:rFonts w:ascii="Times New Roman" w:hAnsi="Times New Roman" w:eastAsia="仿宋" w:cs="Times New Roman"/>
      <w:kern w:val="2"/>
      <w:sz w:val="24"/>
      <w:szCs w:val="24"/>
      <w:lang w:val="en-US" w:eastAsia="zh-CN" w:bidi="ar-SA"/>
    </w:rPr>
  </w:style>
  <w:style w:type="paragraph" w:customStyle="1" w:styleId="64">
    <w:name w:val="Revision"/>
    <w:hidden/>
    <w:semiHidden/>
    <w:qFormat/>
    <w:uiPriority w:val="99"/>
    <w:rPr>
      <w:rFonts w:ascii="Times New Roman" w:hAnsi="Times New Roman" w:eastAsia="宋体" w:cs="Times New Roman"/>
      <w:kern w:val="2"/>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numbering" Target="numbering.xml"/><Relationship Id="rId13" Type="http://schemas.openxmlformats.org/officeDocument/2006/relationships/image" Target="media/image8.jpe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A45746-99AB-4592-A9B5-812CA0756019}">
  <ds:schemaRefs/>
</ds:datastoreItem>
</file>

<file path=docProps/app.xml><?xml version="1.0" encoding="utf-8"?>
<Properties xmlns="http://schemas.openxmlformats.org/officeDocument/2006/extended-properties" xmlns:vt="http://schemas.openxmlformats.org/officeDocument/2006/docPropsVTypes">
  <Template>Normal</Template>
  <Company>Lenovo (Beijing) Limited</Company>
  <Pages>19</Pages>
  <Words>12413</Words>
  <Characters>14017</Characters>
  <Lines>52</Lines>
  <Paragraphs>14</Paragraphs>
  <TotalTime>3</TotalTime>
  <ScaleCrop>false</ScaleCrop>
  <LinksUpToDate>false</LinksUpToDate>
  <CharactersWithSpaces>14215</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2016-10-14T02:30:00Z</dcterms:created>
  <dc:creator>lyc</dc:creator>
  <cp:lastModifiedBy>逍遥/heart</cp:lastModifiedBy>
  <cp:lastPrinted>2011-12-13T01:57:00Z</cp:lastPrinted>
  <dcterms:modified xsi:type="dcterms:W3CDTF">2024-07-31T07:23:58Z</dcterms:modified>
  <cp:revision>521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2CEE67FDB9224EA8BA21A6419E05D6D7</vt:lpwstr>
  </property>
</Properties>
</file>