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96E27">
      <w:pPr>
        <w:pStyle w:val="9"/>
        <w:spacing w:line="360" w:lineRule="auto"/>
        <w:rPr>
          <w:rStyle w:val="30"/>
          <w:b w:val="0"/>
          <w:bCs w:val="0"/>
        </w:rPr>
      </w:pPr>
    </w:p>
    <w:p w14:paraId="1AA26D88">
      <w:pPr>
        <w:spacing w:line="360" w:lineRule="auto"/>
        <w:jc w:val="center"/>
        <w:rPr>
          <w:rFonts w:ascii="Times New Roman" w:hAnsi="Times New Roman" w:eastAsia="宋体" w:cs="Times New Roman"/>
          <w:b/>
          <w:sz w:val="44"/>
          <w:szCs w:val="44"/>
        </w:rPr>
      </w:pPr>
    </w:p>
    <w:p w14:paraId="3E8DE46A">
      <w:pPr>
        <w:spacing w:line="360" w:lineRule="auto"/>
        <w:jc w:val="center"/>
        <w:rPr>
          <w:rFonts w:ascii="Times New Roman" w:hAnsi="Times New Roman" w:eastAsia="宋体" w:cs="Times New Roman"/>
          <w:b/>
          <w:sz w:val="44"/>
          <w:szCs w:val="44"/>
        </w:rPr>
      </w:pPr>
    </w:p>
    <w:p w14:paraId="1A2772B2">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中华人民共和国建材</w:t>
      </w:r>
      <w:r>
        <w:rPr>
          <w:rFonts w:hint="eastAsia" w:ascii="Times New Roman" w:hAnsi="Times New Roman" w:eastAsia="宋体" w:cs="Times New Roman"/>
          <w:b/>
          <w:sz w:val="44"/>
          <w:szCs w:val="44"/>
        </w:rPr>
        <w:t>团体</w:t>
      </w:r>
      <w:r>
        <w:rPr>
          <w:rFonts w:ascii="Times New Roman" w:hAnsi="Times New Roman" w:eastAsia="宋体" w:cs="Times New Roman"/>
          <w:b/>
          <w:sz w:val="44"/>
          <w:szCs w:val="44"/>
        </w:rPr>
        <w:t>标准</w:t>
      </w:r>
    </w:p>
    <w:p w14:paraId="52E45649">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44"/>
          <w:szCs w:val="44"/>
        </w:rPr>
        <w:t>《高粘结聚合物沥青防水涂料》</w:t>
      </w:r>
    </w:p>
    <w:p w14:paraId="51C67991">
      <w:pPr>
        <w:spacing w:line="360" w:lineRule="auto"/>
        <w:jc w:val="center"/>
        <w:rPr>
          <w:rFonts w:ascii="Times New Roman" w:hAnsi="Times New Roman" w:eastAsia="宋体" w:cs="Times New Roman"/>
          <w:b/>
          <w:sz w:val="44"/>
          <w:szCs w:val="44"/>
        </w:rPr>
      </w:pPr>
    </w:p>
    <w:p w14:paraId="4A8C53F8">
      <w:pPr>
        <w:spacing w:line="360" w:lineRule="auto"/>
        <w:jc w:val="center"/>
        <w:rPr>
          <w:rFonts w:ascii="Times New Roman" w:hAnsi="Times New Roman" w:eastAsia="宋体" w:cs="Times New Roman"/>
          <w:b/>
          <w:sz w:val="52"/>
          <w:szCs w:val="52"/>
        </w:rPr>
      </w:pPr>
    </w:p>
    <w:p w14:paraId="473A81B1">
      <w:pPr>
        <w:spacing w:line="360" w:lineRule="auto"/>
        <w:jc w:val="center"/>
        <w:rPr>
          <w:rFonts w:ascii="Times New Roman" w:hAnsi="Times New Roman" w:eastAsia="宋体" w:cs="Times New Roman"/>
          <w:b/>
          <w:sz w:val="52"/>
          <w:szCs w:val="52"/>
        </w:rPr>
      </w:pPr>
      <w:r>
        <w:rPr>
          <w:rFonts w:ascii="Times New Roman" w:hAnsi="Times New Roman" w:eastAsia="宋体" w:cs="Times New Roman"/>
          <w:b/>
          <w:sz w:val="52"/>
          <w:szCs w:val="52"/>
        </w:rPr>
        <w:t>编制说明</w:t>
      </w:r>
    </w:p>
    <w:p w14:paraId="1525CC0B">
      <w:pPr>
        <w:spacing w:line="360" w:lineRule="auto"/>
        <w:jc w:val="center"/>
        <w:rPr>
          <w:rFonts w:ascii="Times New Roman" w:hAnsi="Times New Roman" w:eastAsia="宋体" w:cs="Times New Roman"/>
          <w:b/>
          <w:sz w:val="52"/>
          <w:szCs w:val="52"/>
        </w:rPr>
      </w:pPr>
    </w:p>
    <w:p w14:paraId="6FA396B1">
      <w:pPr>
        <w:spacing w:line="360" w:lineRule="auto"/>
        <w:jc w:val="center"/>
        <w:rPr>
          <w:rFonts w:ascii="Times New Roman" w:hAnsi="Times New Roman" w:eastAsia="宋体" w:cs="Times New Roman"/>
          <w:b/>
          <w:sz w:val="52"/>
          <w:szCs w:val="52"/>
        </w:rPr>
      </w:pPr>
    </w:p>
    <w:p w14:paraId="7BCA5583">
      <w:pPr>
        <w:spacing w:line="360" w:lineRule="auto"/>
        <w:jc w:val="center"/>
        <w:rPr>
          <w:rFonts w:ascii="Times New Roman" w:hAnsi="Times New Roman" w:eastAsia="宋体" w:cs="Times New Roman"/>
          <w:b/>
          <w:sz w:val="52"/>
          <w:szCs w:val="52"/>
        </w:rPr>
      </w:pPr>
    </w:p>
    <w:p w14:paraId="36C3E67A">
      <w:pPr>
        <w:spacing w:line="360" w:lineRule="auto"/>
        <w:jc w:val="center"/>
        <w:rPr>
          <w:rFonts w:ascii="Times New Roman" w:hAnsi="Times New Roman" w:eastAsia="宋体" w:cs="Times New Roman"/>
          <w:b/>
          <w:sz w:val="52"/>
          <w:szCs w:val="52"/>
        </w:rPr>
      </w:pPr>
    </w:p>
    <w:p w14:paraId="53C3EB31">
      <w:pPr>
        <w:spacing w:line="360" w:lineRule="auto"/>
        <w:jc w:val="center"/>
        <w:rPr>
          <w:rFonts w:ascii="Times New Roman" w:hAnsi="Times New Roman" w:eastAsia="宋体" w:cs="Times New Roman"/>
          <w:b/>
          <w:sz w:val="52"/>
          <w:szCs w:val="52"/>
        </w:rPr>
      </w:pPr>
    </w:p>
    <w:p w14:paraId="0E9997E7">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《高粘结聚合物沥青防水涂料》</w:t>
      </w:r>
    </w:p>
    <w:p w14:paraId="432306E7">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标准编制组</w:t>
      </w:r>
    </w:p>
    <w:p w14:paraId="26F1D4E1">
      <w:pPr>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二零二四年八月</w:t>
      </w:r>
    </w:p>
    <w:p w14:paraId="76102772">
      <w:pPr>
        <w:spacing w:line="360" w:lineRule="auto"/>
        <w:jc w:val="center"/>
        <w:rPr>
          <w:rFonts w:ascii="Times New Roman" w:hAnsi="Times New Roman" w:eastAsia="宋体" w:cs="Times New Roman"/>
          <w:b/>
          <w:sz w:val="44"/>
          <w:szCs w:val="44"/>
        </w:rPr>
      </w:pPr>
    </w:p>
    <w:p w14:paraId="797D259F">
      <w:pPr>
        <w:spacing w:line="360" w:lineRule="auto"/>
        <w:rPr>
          <w:rFonts w:ascii="Times New Roman" w:hAnsi="Times New Roman" w:eastAsia="宋体" w:cs="Times New Roman"/>
          <w:b/>
          <w:sz w:val="44"/>
          <w:szCs w:val="44"/>
        </w:rPr>
      </w:pPr>
    </w:p>
    <w:p w14:paraId="4CBE17C5">
      <w:pPr>
        <w:pStyle w:val="8"/>
        <w:spacing w:line="360" w:lineRule="auto"/>
        <w:jc w:val="center"/>
        <w:rPr>
          <w:b/>
          <w:bCs/>
          <w:sz w:val="40"/>
        </w:rPr>
        <w:sectPr>
          <w:headerReference r:id="rId3" w:type="default"/>
          <w:pgSz w:w="11906" w:h="16838"/>
          <w:pgMar w:top="1440" w:right="1800" w:bottom="1440" w:left="1800" w:header="851" w:footer="992" w:gutter="0"/>
          <w:pgNumType w:start="1"/>
          <w:cols w:space="425" w:num="1"/>
          <w:docGrid w:type="lines" w:linePitch="312" w:charSpace="0"/>
        </w:sectPr>
      </w:pPr>
      <w:bookmarkStart w:id="0" w:name="OLE_LINK1"/>
    </w:p>
    <w:bookmarkEnd w:id="0"/>
    <w:p w14:paraId="07AECCEC">
      <w:pPr>
        <w:spacing w:before="312" w:beforeLines="100" w:after="312" w:afterLines="100" w:line="360" w:lineRule="auto"/>
        <w:jc w:val="center"/>
        <w:rPr>
          <w:rFonts w:ascii="Times New Roman" w:hAnsi="Times New Roman" w:eastAsia="宋体" w:cs="Times New Roman"/>
          <w:b/>
          <w:color w:val="000000"/>
          <w:sz w:val="32"/>
          <w:szCs w:val="32"/>
        </w:rPr>
      </w:pPr>
      <w:r>
        <w:rPr>
          <w:rFonts w:ascii="Times New Roman" w:hAnsi="Times New Roman" w:eastAsia="宋体" w:cs="Times New Roman"/>
          <w:b/>
          <w:color w:val="000000"/>
          <w:sz w:val="32"/>
          <w:szCs w:val="32"/>
        </w:rPr>
        <w:t>《高粘结聚合物沥青防水涂料》</w:t>
      </w:r>
      <w:r>
        <w:rPr>
          <w:rFonts w:hint="eastAsia" w:ascii="Times New Roman" w:hAnsi="Times New Roman" w:eastAsia="宋体" w:cs="Times New Roman"/>
          <w:b/>
          <w:color w:val="000000"/>
          <w:sz w:val="32"/>
          <w:szCs w:val="32"/>
        </w:rPr>
        <w:t>团体</w:t>
      </w:r>
      <w:r>
        <w:rPr>
          <w:rFonts w:ascii="Times New Roman" w:hAnsi="Times New Roman" w:eastAsia="宋体" w:cs="Times New Roman"/>
          <w:b/>
          <w:color w:val="000000"/>
          <w:sz w:val="32"/>
          <w:szCs w:val="32"/>
        </w:rPr>
        <w:t>标准编制说明</w:t>
      </w:r>
    </w:p>
    <w:p w14:paraId="111D4BA3">
      <w:pPr>
        <w:pStyle w:val="2"/>
        <w:numPr>
          <w:ilvl w:val="0"/>
          <w:numId w:val="4"/>
        </w:numPr>
        <w:spacing w:before="100" w:after="100" w:line="360" w:lineRule="auto"/>
      </w:pPr>
      <w:bookmarkStart w:id="1" w:name="_Toc41034867"/>
      <w:r>
        <w:rPr>
          <w:rFonts w:ascii="Times New Roman" w:hAnsi="Times New Roman" w:eastAsia="宋体" w:cs="Times New Roman"/>
          <w:bCs w:val="0"/>
          <w:sz w:val="28"/>
        </w:rPr>
        <w:t>标准工作概况</w:t>
      </w:r>
      <w:bookmarkEnd w:id="1"/>
    </w:p>
    <w:p w14:paraId="79DEEB2C">
      <w:pPr>
        <w:spacing w:line="360" w:lineRule="auto"/>
        <w:ind w:firstLine="480" w:firstLineChars="200"/>
        <w:rPr>
          <w:rFonts w:ascii="Times New Roman" w:hAnsi="Times New Roman" w:eastAsia="宋体" w:cs="Times New Roman"/>
          <w:color w:val="00B050"/>
          <w:sz w:val="24"/>
          <w:szCs w:val="24"/>
        </w:rPr>
      </w:pPr>
      <w:bookmarkStart w:id="2" w:name="_Toc41034868"/>
      <w:r>
        <w:rPr>
          <w:rFonts w:ascii="Times New Roman" w:hAnsi="Times New Roman" w:eastAsia="宋体" w:cs="Times New Roman"/>
          <w:sz w:val="24"/>
          <w:szCs w:val="24"/>
        </w:rPr>
        <w:t>高粘结聚合物沥青防水涂料是通过树脂、橡胶等聚合物改性剂对乳化沥青涂料进行改性，并通过多种助剂进行优化，得到的一种高性能沥青防水涂料</w:t>
      </w:r>
      <w:r>
        <w:rPr>
          <w:rFonts w:hint="eastAsia" w:ascii="Times New Roman" w:hAnsi="Times New Roman" w:eastAsia="宋体" w:cs="Times New Roman"/>
          <w:sz w:val="24"/>
          <w:szCs w:val="24"/>
        </w:rPr>
        <w:t>。</w:t>
      </w:r>
      <w:r>
        <w:rPr>
          <w:rFonts w:ascii="Times New Roman" w:hAnsi="Times New Roman" w:eastAsia="宋体" w:cs="Times New Roman"/>
          <w:sz w:val="24"/>
          <w:szCs w:val="24"/>
        </w:rPr>
        <w:t>GB 55030-2022《建筑与市政工程防水通用规范》实施后</w:t>
      </w:r>
      <w:r>
        <w:rPr>
          <w:rFonts w:hint="eastAsia" w:ascii="Times New Roman" w:hAnsi="Times New Roman" w:eastAsia="宋体" w:cs="Times New Roman"/>
          <w:sz w:val="24"/>
          <w:szCs w:val="24"/>
        </w:rPr>
        <w:t>，</w:t>
      </w:r>
      <w:r>
        <w:rPr>
          <w:rFonts w:ascii="Times New Roman" w:hAnsi="Times New Roman" w:eastAsia="宋体" w:cs="Times New Roman"/>
          <w:sz w:val="24"/>
          <w:szCs w:val="24"/>
        </w:rPr>
        <w:t>要求90%以上的防水工程都应当按照一级防水要求进行设计，防水层结构不应少于三道。</w:t>
      </w:r>
      <w:r>
        <w:rPr>
          <w:rFonts w:hint="eastAsia" w:ascii="Times New Roman" w:hAnsi="Times New Roman" w:eastAsia="宋体" w:cs="Times New Roman"/>
          <w:sz w:val="24"/>
          <w:szCs w:val="24"/>
        </w:rPr>
        <w:t>而</w:t>
      </w:r>
      <w:r>
        <w:rPr>
          <w:rFonts w:ascii="Times New Roman" w:hAnsi="Times New Roman" w:eastAsia="宋体" w:cs="Times New Roman"/>
          <w:sz w:val="24"/>
          <w:szCs w:val="24"/>
        </w:rPr>
        <w:t>“高粘结聚合物沥青防水涂料+卷材”的复合防水系统+防水混凝土模式</w:t>
      </w:r>
      <w:r>
        <w:rPr>
          <w:rFonts w:hint="eastAsia" w:ascii="Times New Roman" w:hAnsi="Times New Roman" w:eastAsia="宋体" w:cs="Times New Roman"/>
          <w:sz w:val="24"/>
          <w:szCs w:val="24"/>
        </w:rPr>
        <w:t>就</w:t>
      </w:r>
      <w:r>
        <w:rPr>
          <w:rFonts w:ascii="Times New Roman" w:hAnsi="Times New Roman" w:eastAsia="宋体" w:cs="Times New Roman"/>
          <w:sz w:val="24"/>
          <w:szCs w:val="24"/>
        </w:rPr>
        <w:t>能够满足一级防水设计要求</w:t>
      </w:r>
      <w:r>
        <w:rPr>
          <w:rFonts w:hint="eastAsia" w:ascii="Times New Roman" w:hAnsi="Times New Roman" w:eastAsia="宋体" w:cs="Times New Roman"/>
          <w:sz w:val="24"/>
          <w:szCs w:val="24"/>
        </w:rPr>
        <w:t>，达到了缩短工期同时节省人工的效果。</w:t>
      </w:r>
    </w:p>
    <w:p w14:paraId="466BB41B">
      <w:pPr>
        <w:spacing w:line="360" w:lineRule="auto"/>
        <w:ind w:firstLine="480" w:firstLineChars="200"/>
        <w:rPr>
          <w:rFonts w:ascii="Times New Roman" w:hAnsi="Times New Roman" w:eastAsia="宋体" w:cs="Times New Roman"/>
          <w:color w:val="000000" w:themeColor="text1"/>
          <w:sz w:val="24"/>
          <w:shd w:val="clear" w:color="auto" w:fill="FFFFFF"/>
          <w14:textFill>
            <w14:solidFill>
              <w14:schemeClr w14:val="tx1"/>
            </w14:solidFill>
          </w14:textFill>
        </w:rPr>
      </w:pPr>
      <w:r>
        <w:rPr>
          <w:rFonts w:ascii="Times New Roman" w:hAnsi="Times New Roman" w:eastAsia="宋体" w:cs="Times New Roman"/>
          <w:sz w:val="24"/>
          <w:szCs w:val="24"/>
        </w:rPr>
        <w:t>由于国内没有统一的产品标准，造成产品质量参差不齐的现状，有时甚至未能体现材料的优势、无法满足使用要求，非常不利于高粘结聚合物沥青防水涂料行业的健康发展和产品的推广应用，因此制定《高粘结聚合物沥青防水涂料》产品的</w:t>
      </w:r>
      <w:r>
        <w:rPr>
          <w:rFonts w:hint="eastAsia" w:ascii="Times New Roman" w:hAnsi="Times New Roman" w:eastAsia="宋体" w:cs="Times New Roman"/>
          <w:sz w:val="24"/>
          <w:szCs w:val="24"/>
        </w:rPr>
        <w:t>团体</w:t>
      </w:r>
      <w:r>
        <w:rPr>
          <w:rFonts w:ascii="Times New Roman" w:hAnsi="Times New Roman" w:eastAsia="宋体" w:cs="Times New Roman"/>
          <w:sz w:val="24"/>
          <w:szCs w:val="24"/>
        </w:rPr>
        <w:t>标准。该标准的制定，能够</w:t>
      </w:r>
      <w:r>
        <w:rPr>
          <w:rFonts w:ascii="Times New Roman" w:hAnsi="Times New Roman" w:eastAsia="宋体" w:cs="Times New Roman"/>
          <w:color w:val="000000" w:themeColor="text1"/>
          <w:sz w:val="24"/>
          <w:shd w:val="clear" w:color="auto" w:fill="FFFFFF"/>
          <w14:textFill>
            <w14:solidFill>
              <w14:schemeClr w14:val="tx1"/>
            </w14:solidFill>
          </w14:textFill>
        </w:rPr>
        <w:t>保证</w:t>
      </w:r>
      <w:r>
        <w:rPr>
          <w:rFonts w:ascii="Times New Roman" w:hAnsi="Times New Roman" w:eastAsia="宋体" w:cs="Times New Roman"/>
          <w:sz w:val="24"/>
          <w:szCs w:val="24"/>
        </w:rPr>
        <w:t>高粘结聚合物沥青防水涂料</w:t>
      </w:r>
      <w:r>
        <w:rPr>
          <w:rFonts w:ascii="Times New Roman" w:hAnsi="Times New Roman" w:eastAsia="宋体" w:cs="Times New Roman"/>
          <w:color w:val="000000" w:themeColor="text1"/>
          <w:sz w:val="24"/>
          <w:shd w:val="clear" w:color="auto" w:fill="FFFFFF"/>
          <w14:textFill>
            <w14:solidFill>
              <w14:schemeClr w14:val="tx1"/>
            </w14:solidFill>
          </w14:textFill>
        </w:rPr>
        <w:t>得以</w:t>
      </w:r>
      <w:r>
        <w:rPr>
          <w:rFonts w:hint="eastAsia" w:ascii="Times New Roman" w:hAnsi="Times New Roman" w:eastAsia="宋体" w:cs="Times New Roman"/>
          <w:color w:val="000000" w:themeColor="text1"/>
          <w:sz w:val="24"/>
          <w:shd w:val="clear" w:color="auto" w:fill="FFFFFF"/>
          <w14:textFill>
            <w14:solidFill>
              <w14:schemeClr w14:val="tx1"/>
            </w14:solidFill>
          </w14:textFill>
        </w:rPr>
        <w:t>高效</w:t>
      </w:r>
      <w:r>
        <w:rPr>
          <w:rFonts w:ascii="Times New Roman" w:hAnsi="Times New Roman" w:eastAsia="宋体" w:cs="Times New Roman"/>
          <w:color w:val="000000" w:themeColor="text1"/>
          <w:sz w:val="24"/>
          <w:shd w:val="clear" w:color="auto" w:fill="FFFFFF"/>
          <w14:textFill>
            <w14:solidFill>
              <w14:schemeClr w14:val="tx1"/>
            </w14:solidFill>
          </w14:textFill>
        </w:rPr>
        <w:t>运用，促使材料生产企业提升自身产品的技术水平。</w:t>
      </w:r>
    </w:p>
    <w:p w14:paraId="4A442296">
      <w:pPr>
        <w:pStyle w:val="2"/>
        <w:spacing w:before="100" w:after="100" w:line="360" w:lineRule="auto"/>
        <w:rPr>
          <w:rFonts w:ascii="Times New Roman" w:hAnsi="Times New Roman" w:eastAsia="宋体" w:cs="Times New Roman"/>
          <w:sz w:val="28"/>
        </w:rPr>
      </w:pPr>
      <w:r>
        <w:rPr>
          <w:rFonts w:ascii="Times New Roman" w:hAnsi="Times New Roman" w:eastAsia="宋体" w:cs="Times New Roman"/>
          <w:sz w:val="28"/>
        </w:rPr>
        <w:t>1.1任务来源</w:t>
      </w:r>
      <w:bookmarkEnd w:id="2"/>
    </w:p>
    <w:p w14:paraId="1E76BADF">
      <w:pPr>
        <w:spacing w:line="360" w:lineRule="auto"/>
        <w:ind w:firstLine="480" w:firstLineChars="200"/>
        <w:rPr>
          <w:rFonts w:ascii="Times New Roman" w:hAnsi="Times New Roman" w:eastAsia="宋体" w:cs="Times New Roman"/>
          <w:color w:val="000000"/>
          <w:sz w:val="24"/>
          <w:szCs w:val="24"/>
        </w:rPr>
      </w:pPr>
      <w:r>
        <w:rPr>
          <w:rFonts w:ascii="Times New Roman" w:hAnsi="Times New Roman" w:eastAsia="宋体" w:cs="Times New Roman"/>
          <w:sz w:val="24"/>
          <w:szCs w:val="24"/>
        </w:rPr>
        <w:t>根据中国建筑材料联合会《关于下达2023年第八批协会标准制修订计划的通知》（中建材联标发﹝2023﹞85号）文件要求，《高粘结聚合物沥青防水涂料》列入了团体标准计划，项目编号：</w:t>
      </w:r>
      <w:r>
        <w:fldChar w:fldCharType="begin"/>
      </w:r>
      <w:r>
        <w:instrText xml:space="preserve"> HYPERLINK "http://219.239.107.155:8080/TaskBook.aspx?id=JCCPZT04992019" </w:instrText>
      </w:r>
      <w:r>
        <w:fldChar w:fldCharType="separate"/>
      </w:r>
      <w:r>
        <w:rPr>
          <w:rFonts w:ascii="Times New Roman" w:hAnsi="Times New Roman" w:eastAsia="宋体" w:cs="Times New Roman"/>
          <w:sz w:val="24"/>
          <w:szCs w:val="24"/>
        </w:rPr>
        <w:t>2023-106-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xbjh。由天津市建筑材料科学研究院有限公司</w:t>
      </w:r>
      <w:r>
        <w:rPr>
          <w:rFonts w:hint="eastAsia" w:ascii="Times New Roman" w:hAnsi="Times New Roman" w:eastAsia="宋体" w:cs="Times New Roman"/>
          <w:sz w:val="24"/>
          <w:szCs w:val="24"/>
        </w:rPr>
        <w:t>牵头组织</w:t>
      </w:r>
      <w:r>
        <w:rPr>
          <w:rFonts w:ascii="Times New Roman" w:hAnsi="Times New Roman" w:eastAsia="宋体" w:cs="Times New Roman"/>
          <w:sz w:val="24"/>
          <w:szCs w:val="24"/>
        </w:rPr>
        <w:t>编制工作，标准归口单位为建筑工业综合标准化技术委员会。国内主要高粘结聚合物沥青防水涂料生产企业</w:t>
      </w:r>
      <w:r>
        <w:rPr>
          <w:rFonts w:hint="eastAsia" w:ascii="Times New Roman" w:hAnsi="Times New Roman" w:eastAsia="宋体" w:cs="Times New Roman"/>
          <w:sz w:val="24"/>
          <w:szCs w:val="24"/>
        </w:rPr>
        <w:t>、</w:t>
      </w:r>
      <w:r>
        <w:rPr>
          <w:rFonts w:ascii="Times New Roman" w:hAnsi="Times New Roman" w:eastAsia="宋体" w:cs="Times New Roman"/>
          <w:sz w:val="24"/>
          <w:szCs w:val="24"/>
        </w:rPr>
        <w:t>应用企业</w:t>
      </w:r>
      <w:r>
        <w:rPr>
          <w:rFonts w:hint="eastAsia" w:ascii="Times New Roman" w:hAnsi="Times New Roman" w:eastAsia="宋体" w:cs="Times New Roman"/>
          <w:sz w:val="24"/>
          <w:szCs w:val="24"/>
        </w:rPr>
        <w:t>、</w:t>
      </w:r>
      <w:r>
        <w:rPr>
          <w:rFonts w:ascii="Times New Roman" w:hAnsi="Times New Roman" w:eastAsia="宋体" w:cs="Times New Roman"/>
          <w:sz w:val="24"/>
          <w:szCs w:val="24"/>
        </w:rPr>
        <w:t>检测机构</w:t>
      </w:r>
      <w:r>
        <w:rPr>
          <w:rFonts w:hint="eastAsia" w:ascii="Times New Roman" w:hAnsi="Times New Roman" w:eastAsia="宋体" w:cs="Times New Roman"/>
          <w:sz w:val="24"/>
          <w:szCs w:val="24"/>
        </w:rPr>
        <w:t>、</w:t>
      </w:r>
      <w:r>
        <w:rPr>
          <w:rFonts w:ascii="Times New Roman" w:hAnsi="Times New Roman" w:eastAsia="宋体" w:cs="Times New Roman"/>
          <w:sz w:val="24"/>
          <w:szCs w:val="24"/>
        </w:rPr>
        <w:t>科研院所、大专院校等有关单位共同参与起草</w:t>
      </w:r>
      <w:r>
        <w:rPr>
          <w:rFonts w:ascii="Times New Roman" w:hAnsi="Times New Roman" w:eastAsia="宋体" w:cs="Times New Roman"/>
          <w:color w:val="000000"/>
          <w:sz w:val="24"/>
          <w:szCs w:val="24"/>
        </w:rPr>
        <w:t>。</w:t>
      </w:r>
    </w:p>
    <w:p w14:paraId="1EC5C72B">
      <w:pPr>
        <w:pStyle w:val="2"/>
        <w:spacing w:before="100" w:after="100" w:line="360" w:lineRule="auto"/>
        <w:rPr>
          <w:rFonts w:ascii="Times New Roman" w:hAnsi="Times New Roman" w:eastAsia="宋体" w:cs="Times New Roman"/>
          <w:sz w:val="28"/>
        </w:rPr>
      </w:pPr>
      <w:bookmarkStart w:id="3" w:name="_Toc41034869"/>
      <w:r>
        <w:rPr>
          <w:rFonts w:ascii="Times New Roman" w:hAnsi="Times New Roman" w:eastAsia="宋体" w:cs="Times New Roman"/>
          <w:sz w:val="28"/>
        </w:rPr>
        <w:t>1.2起草单位</w:t>
      </w:r>
      <w:bookmarkEnd w:id="3"/>
    </w:p>
    <w:p w14:paraId="28AFD632">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标准负责起草单位共4家，参加起草单位共2家。包括高校（1家）、科研院所（1家）、检测单位（1家）、施工单位（1家）、生产应用与施工企业（2家）等。涵盖了生产、消费、检测、管理、研究等相关领域的专家。</w:t>
      </w:r>
    </w:p>
    <w:p w14:paraId="31EB0145">
      <w:pPr>
        <w:pStyle w:val="2"/>
        <w:spacing w:before="100" w:after="100" w:line="360" w:lineRule="auto"/>
        <w:rPr>
          <w:rFonts w:ascii="Times New Roman" w:hAnsi="Times New Roman" w:eastAsia="宋体" w:cs="Times New Roman"/>
          <w:sz w:val="28"/>
        </w:rPr>
      </w:pPr>
      <w:bookmarkStart w:id="4" w:name="_Toc41034870"/>
      <w:r>
        <w:rPr>
          <w:rFonts w:ascii="Times New Roman" w:hAnsi="Times New Roman" w:eastAsia="宋体" w:cs="Times New Roman"/>
          <w:sz w:val="28"/>
        </w:rPr>
        <w:t>1.3工作过程</w:t>
      </w:r>
      <w:bookmarkEnd w:id="4"/>
    </w:p>
    <w:p w14:paraId="1023AF70">
      <w:pPr>
        <w:pStyle w:val="2"/>
        <w:spacing w:before="100" w:after="100" w:line="360" w:lineRule="auto"/>
        <w:rPr>
          <w:rFonts w:ascii="Times New Roman" w:hAnsi="Times New Roman" w:eastAsia="宋体" w:cs="Times New Roman"/>
          <w:sz w:val="24"/>
          <w:szCs w:val="24"/>
        </w:rPr>
      </w:pPr>
      <w:r>
        <w:rPr>
          <w:rFonts w:ascii="Times New Roman" w:hAnsi="Times New Roman" w:eastAsia="宋体" w:cs="Times New Roman"/>
          <w:sz w:val="24"/>
          <w:szCs w:val="24"/>
        </w:rPr>
        <w:t>1.3.1成立工作组</w:t>
      </w:r>
    </w:p>
    <w:p w14:paraId="0852F523">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天津市建筑材料科学研究院有限公司</w:t>
      </w:r>
      <w:r>
        <w:rPr>
          <w:rFonts w:ascii="Times New Roman" w:hAnsi="Times New Roman" w:eastAsia="宋体" w:cs="Times New Roman"/>
          <w:sz w:val="24"/>
        </w:rPr>
        <w:t>接到任务后，首先收集相关标准，</w:t>
      </w:r>
      <w:r>
        <w:rPr>
          <w:rFonts w:ascii="Times New Roman" w:hAnsi="Times New Roman" w:eastAsia="宋体" w:cs="Times New Roman"/>
          <w:sz w:val="24"/>
          <w:szCs w:val="24"/>
        </w:rPr>
        <w:t>查询国内外高粘结聚合物沥青防水涂料生产使用情况，调研生产企业的生产规模、产品规格。</w:t>
      </w:r>
      <w:r>
        <w:rPr>
          <w:rFonts w:ascii="Times New Roman" w:hAnsi="Times New Roman" w:eastAsia="宋体" w:cs="Times New Roman"/>
          <w:sz w:val="24"/>
        </w:rPr>
        <w:t>征集参加标准制定的单位，提出了标准制定工作计</w:t>
      </w:r>
      <w:r>
        <w:rPr>
          <w:rFonts w:ascii="Times New Roman" w:hAnsi="Times New Roman" w:eastAsia="宋体" w:cs="Times New Roman"/>
          <w:sz w:val="24"/>
          <w:szCs w:val="24"/>
        </w:rPr>
        <w:t>划。2023年11月在天津召开了第一次工作会议，对标</w:t>
      </w:r>
      <w:r>
        <w:rPr>
          <w:rFonts w:ascii="Times New Roman" w:hAnsi="Times New Roman" w:eastAsia="宋体" w:cs="Times New Roman"/>
          <w:sz w:val="24"/>
        </w:rPr>
        <w:t>准的初稿和主要内容进行讨论，组成了标准工作组，明确了各成员单位的任务，并制定了详细的工作计划。</w:t>
      </w:r>
    </w:p>
    <w:p w14:paraId="16F93C67">
      <w:pPr>
        <w:pStyle w:val="21"/>
        <w:spacing w:line="360" w:lineRule="auto"/>
        <w:ind w:firstLine="422"/>
        <w:jc w:val="center"/>
        <w:rPr>
          <w:rFonts w:ascii="Times New Roman"/>
          <w:color w:val="000000"/>
        </w:rPr>
      </w:pPr>
      <w:r>
        <w:rPr>
          <w:rFonts w:ascii="Times New Roman" w:hAnsi="宋体"/>
          <w:b/>
          <w:bCs/>
          <w:color w:val="000000"/>
        </w:rPr>
        <w:t>表</w:t>
      </w:r>
      <w:r>
        <w:rPr>
          <w:rFonts w:ascii="Times New Roman"/>
          <w:b/>
          <w:bCs/>
          <w:color w:val="000000"/>
        </w:rPr>
        <w:t xml:space="preserve">1 </w:t>
      </w:r>
      <w:r>
        <w:rPr>
          <w:rFonts w:ascii="Times New Roman" w:hAnsi="宋体"/>
          <w:b/>
          <w:bCs/>
          <w:color w:val="000000"/>
        </w:rPr>
        <w:t>主要参加单位及其所做工作</w:t>
      </w:r>
      <w:r>
        <w:rPr>
          <w:rFonts w:hint="eastAsia" w:ascii="Times New Roman" w:hAnsi="宋体"/>
          <w:b/>
          <w:bCs/>
          <w:color w:val="000000"/>
        </w:rPr>
        <w:t xml:space="preserve"> </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22"/>
        <w:gridCol w:w="1966"/>
        <w:gridCol w:w="4037"/>
        <w:gridCol w:w="1995"/>
      </w:tblGrid>
      <w:tr w14:paraId="6DB7D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41CEEA06">
            <w:pPr>
              <w:pStyle w:val="21"/>
              <w:spacing w:line="360" w:lineRule="auto"/>
              <w:ind w:firstLine="0" w:firstLineChars="0"/>
              <w:jc w:val="center"/>
              <w:rPr>
                <w:rFonts w:ascii="Times New Roman"/>
                <w:color w:val="000000"/>
                <w:szCs w:val="21"/>
              </w:rPr>
            </w:pPr>
            <w:r>
              <w:rPr>
                <w:rFonts w:ascii="Times New Roman" w:hAnsi="宋体"/>
                <w:color w:val="000000"/>
                <w:szCs w:val="21"/>
              </w:rPr>
              <w:t>序号</w:t>
            </w:r>
          </w:p>
        </w:tc>
        <w:tc>
          <w:tcPr>
            <w:tcW w:w="1966" w:type="dxa"/>
            <w:vAlign w:val="center"/>
          </w:tcPr>
          <w:p w14:paraId="57001152">
            <w:pPr>
              <w:pStyle w:val="21"/>
              <w:spacing w:line="360" w:lineRule="auto"/>
              <w:ind w:firstLine="0" w:firstLineChars="0"/>
              <w:jc w:val="center"/>
              <w:rPr>
                <w:rFonts w:ascii="Times New Roman"/>
                <w:color w:val="000000"/>
                <w:szCs w:val="21"/>
              </w:rPr>
            </w:pPr>
            <w:r>
              <w:rPr>
                <w:rFonts w:ascii="Times New Roman" w:hAnsi="宋体"/>
                <w:color w:val="000000"/>
                <w:szCs w:val="21"/>
              </w:rPr>
              <w:t>主要完成工作</w:t>
            </w:r>
          </w:p>
        </w:tc>
        <w:tc>
          <w:tcPr>
            <w:tcW w:w="4037" w:type="dxa"/>
            <w:vAlign w:val="center"/>
          </w:tcPr>
          <w:p w14:paraId="1BE45711">
            <w:pPr>
              <w:pStyle w:val="21"/>
              <w:spacing w:line="360" w:lineRule="auto"/>
              <w:jc w:val="center"/>
              <w:rPr>
                <w:rFonts w:ascii="Times New Roman"/>
                <w:color w:val="000000"/>
                <w:szCs w:val="21"/>
              </w:rPr>
            </w:pPr>
            <w:r>
              <w:rPr>
                <w:rFonts w:ascii="Times New Roman" w:hAnsi="宋体"/>
                <w:color w:val="000000"/>
                <w:szCs w:val="21"/>
              </w:rPr>
              <w:t>主要完成单位</w:t>
            </w:r>
          </w:p>
        </w:tc>
        <w:tc>
          <w:tcPr>
            <w:tcW w:w="1995" w:type="dxa"/>
            <w:vAlign w:val="center"/>
          </w:tcPr>
          <w:p w14:paraId="398A0E7B">
            <w:pPr>
              <w:pStyle w:val="21"/>
              <w:spacing w:line="360" w:lineRule="auto"/>
              <w:ind w:firstLine="0" w:firstLineChars="0"/>
              <w:jc w:val="center"/>
              <w:rPr>
                <w:rFonts w:ascii="Times New Roman" w:hAnsi="宋体"/>
                <w:color w:val="000000"/>
                <w:szCs w:val="21"/>
              </w:rPr>
            </w:pPr>
            <w:r>
              <w:rPr>
                <w:rFonts w:hint="eastAsia" w:ascii="Times New Roman" w:hAnsi="宋体"/>
                <w:color w:val="000000"/>
                <w:szCs w:val="21"/>
              </w:rPr>
              <w:t>成员</w:t>
            </w:r>
          </w:p>
        </w:tc>
      </w:tr>
      <w:tr w14:paraId="60473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3F2B1F19">
            <w:pPr>
              <w:pStyle w:val="21"/>
              <w:spacing w:line="360" w:lineRule="auto"/>
              <w:ind w:firstLine="0" w:firstLineChars="0"/>
              <w:jc w:val="center"/>
              <w:rPr>
                <w:rFonts w:ascii="Times New Roman"/>
                <w:color w:val="000000"/>
                <w:szCs w:val="21"/>
              </w:rPr>
            </w:pPr>
            <w:r>
              <w:rPr>
                <w:rFonts w:ascii="Times New Roman"/>
                <w:color w:val="000000"/>
                <w:szCs w:val="21"/>
              </w:rPr>
              <w:t>1</w:t>
            </w:r>
          </w:p>
        </w:tc>
        <w:tc>
          <w:tcPr>
            <w:tcW w:w="1966" w:type="dxa"/>
            <w:vAlign w:val="center"/>
          </w:tcPr>
          <w:p w14:paraId="24D27DA5">
            <w:pPr>
              <w:pStyle w:val="21"/>
              <w:spacing w:line="360" w:lineRule="auto"/>
              <w:ind w:firstLine="0" w:firstLineChars="0"/>
              <w:jc w:val="center"/>
              <w:rPr>
                <w:rFonts w:ascii="Times New Roman"/>
                <w:color w:val="000000"/>
                <w:szCs w:val="21"/>
              </w:rPr>
            </w:pPr>
            <w:r>
              <w:rPr>
                <w:rFonts w:ascii="Times New Roman" w:hAnsi="宋体"/>
                <w:color w:val="000000"/>
                <w:szCs w:val="21"/>
              </w:rPr>
              <w:t>行业状况及产品应用的前期调研</w:t>
            </w:r>
          </w:p>
        </w:tc>
        <w:tc>
          <w:tcPr>
            <w:tcW w:w="4037" w:type="dxa"/>
            <w:vAlign w:val="center"/>
          </w:tcPr>
          <w:p w14:paraId="4103408E">
            <w:pPr>
              <w:pStyle w:val="21"/>
              <w:spacing w:line="360" w:lineRule="auto"/>
              <w:jc w:val="center"/>
              <w:rPr>
                <w:rFonts w:ascii="Times New Roman"/>
                <w:color w:val="000000"/>
                <w:szCs w:val="21"/>
              </w:rPr>
            </w:pPr>
            <w:r>
              <w:rPr>
                <w:rFonts w:hint="eastAsia" w:ascii="Times New Roman"/>
                <w:color w:val="000000"/>
                <w:szCs w:val="21"/>
              </w:rPr>
              <w:t>天津市建筑材料科学研究院有限公司、北京东方雨虹防水技术股份有限公司、天津市禹神建筑防水材料有限公司、唐山东方雨虹防水技术有限责任公司</w:t>
            </w:r>
          </w:p>
        </w:tc>
        <w:tc>
          <w:tcPr>
            <w:tcW w:w="1995" w:type="dxa"/>
            <w:vAlign w:val="center"/>
          </w:tcPr>
          <w:p w14:paraId="44C729CB">
            <w:pPr>
              <w:pStyle w:val="21"/>
              <w:spacing w:line="360" w:lineRule="auto"/>
              <w:ind w:firstLine="0" w:firstLineChars="0"/>
              <w:jc w:val="left"/>
              <w:rPr>
                <w:rFonts w:hAnsi="宋体"/>
                <w:color w:val="000000"/>
                <w:szCs w:val="24"/>
                <w:lang w:bidi="en-US"/>
              </w:rPr>
            </w:pPr>
            <w:r>
              <w:rPr>
                <w:rFonts w:hint="eastAsia" w:hAnsi="宋体"/>
                <w:color w:val="000000"/>
                <w:szCs w:val="24"/>
                <w:lang w:bidi="en-US"/>
              </w:rPr>
              <w:t>张鹏宇、孙倩、陈晓文、杨建国、许长利</w:t>
            </w:r>
          </w:p>
        </w:tc>
      </w:tr>
      <w:tr w14:paraId="2705E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1BA463B5">
            <w:pPr>
              <w:pStyle w:val="21"/>
              <w:spacing w:line="360" w:lineRule="auto"/>
              <w:ind w:firstLine="0" w:firstLineChars="0"/>
              <w:jc w:val="center"/>
              <w:rPr>
                <w:rFonts w:ascii="Times New Roman"/>
                <w:color w:val="000000"/>
                <w:szCs w:val="21"/>
              </w:rPr>
            </w:pPr>
            <w:r>
              <w:rPr>
                <w:rFonts w:ascii="Times New Roman"/>
                <w:color w:val="000000"/>
                <w:szCs w:val="21"/>
              </w:rPr>
              <w:t>2</w:t>
            </w:r>
          </w:p>
        </w:tc>
        <w:tc>
          <w:tcPr>
            <w:tcW w:w="1966" w:type="dxa"/>
            <w:vAlign w:val="center"/>
          </w:tcPr>
          <w:p w14:paraId="54387F59">
            <w:pPr>
              <w:pStyle w:val="21"/>
              <w:spacing w:line="360" w:lineRule="auto"/>
              <w:ind w:firstLine="0" w:firstLineChars="0"/>
              <w:jc w:val="center"/>
              <w:rPr>
                <w:rFonts w:ascii="Times New Roman"/>
                <w:color w:val="000000"/>
                <w:szCs w:val="21"/>
              </w:rPr>
            </w:pPr>
            <w:r>
              <w:rPr>
                <w:rFonts w:ascii="Times New Roman" w:hAnsi="宋体"/>
                <w:color w:val="000000"/>
                <w:szCs w:val="21"/>
              </w:rPr>
              <w:t>国内外技术材料及相关标准的搜集</w:t>
            </w:r>
          </w:p>
        </w:tc>
        <w:tc>
          <w:tcPr>
            <w:tcW w:w="4037" w:type="dxa"/>
            <w:vAlign w:val="center"/>
          </w:tcPr>
          <w:p w14:paraId="4AD1AEE7">
            <w:pPr>
              <w:pStyle w:val="21"/>
              <w:spacing w:line="360" w:lineRule="auto"/>
              <w:jc w:val="center"/>
              <w:rPr>
                <w:rFonts w:ascii="Times New Roman"/>
                <w:color w:val="000000"/>
                <w:szCs w:val="21"/>
              </w:rPr>
            </w:pPr>
            <w:r>
              <w:rPr>
                <w:rFonts w:hint="eastAsia" w:ascii="Times New Roman"/>
                <w:color w:val="000000"/>
                <w:szCs w:val="21"/>
              </w:rPr>
              <w:t>天津市建筑材料科学研究院有限公司、唐山东方雨虹防水技术有限责任公司、天津市禹神建筑防水材料有限公司</w:t>
            </w:r>
          </w:p>
        </w:tc>
        <w:tc>
          <w:tcPr>
            <w:tcW w:w="1995" w:type="dxa"/>
            <w:vAlign w:val="center"/>
          </w:tcPr>
          <w:p w14:paraId="7BA57202">
            <w:pPr>
              <w:pStyle w:val="21"/>
              <w:spacing w:line="360" w:lineRule="auto"/>
              <w:jc w:val="left"/>
              <w:rPr>
                <w:rFonts w:ascii="Times New Roman"/>
                <w:color w:val="000000"/>
                <w:szCs w:val="21"/>
              </w:rPr>
            </w:pPr>
            <w:r>
              <w:rPr>
                <w:rFonts w:hint="eastAsia" w:ascii="Times New Roman"/>
                <w:color w:val="000000"/>
                <w:szCs w:val="21"/>
              </w:rPr>
              <w:t>郭义兵、</w:t>
            </w:r>
            <w:r>
              <w:rPr>
                <w:rFonts w:hint="eastAsia" w:hAnsi="宋体"/>
                <w:color w:val="000000"/>
                <w:szCs w:val="24"/>
                <w:lang w:bidi="en-US"/>
              </w:rPr>
              <w:t>许长利、</w:t>
            </w:r>
            <w:r>
              <w:rPr>
                <w:rFonts w:hint="eastAsia" w:ascii="Times New Roman"/>
                <w:color w:val="000000"/>
                <w:szCs w:val="21"/>
              </w:rPr>
              <w:t>刘涛</w:t>
            </w:r>
          </w:p>
        </w:tc>
      </w:tr>
      <w:tr w14:paraId="4998F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277EAED8">
            <w:pPr>
              <w:pStyle w:val="21"/>
              <w:spacing w:line="360" w:lineRule="auto"/>
              <w:ind w:firstLine="0" w:firstLineChars="0"/>
              <w:jc w:val="center"/>
              <w:rPr>
                <w:rFonts w:ascii="Times New Roman"/>
                <w:color w:val="000000"/>
                <w:szCs w:val="21"/>
              </w:rPr>
            </w:pPr>
            <w:r>
              <w:rPr>
                <w:rFonts w:ascii="Times New Roman"/>
                <w:color w:val="000000"/>
                <w:szCs w:val="21"/>
              </w:rPr>
              <w:t>3</w:t>
            </w:r>
          </w:p>
        </w:tc>
        <w:tc>
          <w:tcPr>
            <w:tcW w:w="1966" w:type="dxa"/>
            <w:vAlign w:val="center"/>
          </w:tcPr>
          <w:p w14:paraId="3D168AD0">
            <w:pPr>
              <w:pStyle w:val="21"/>
              <w:spacing w:line="360" w:lineRule="auto"/>
              <w:ind w:firstLine="0" w:firstLineChars="0"/>
              <w:jc w:val="center"/>
              <w:rPr>
                <w:rFonts w:ascii="Times New Roman"/>
                <w:color w:val="000000"/>
                <w:szCs w:val="21"/>
              </w:rPr>
            </w:pPr>
            <w:r>
              <w:rPr>
                <w:rFonts w:ascii="Times New Roman" w:hAnsi="宋体"/>
                <w:color w:val="000000"/>
                <w:szCs w:val="21"/>
              </w:rPr>
              <w:t>确定各项性能要求</w:t>
            </w:r>
          </w:p>
        </w:tc>
        <w:tc>
          <w:tcPr>
            <w:tcW w:w="4037" w:type="dxa"/>
            <w:vAlign w:val="center"/>
          </w:tcPr>
          <w:p w14:paraId="06928470">
            <w:pPr>
              <w:pStyle w:val="21"/>
              <w:spacing w:line="360" w:lineRule="auto"/>
              <w:jc w:val="center"/>
              <w:rPr>
                <w:rFonts w:ascii="Times New Roman"/>
                <w:color w:val="000000"/>
                <w:szCs w:val="21"/>
              </w:rPr>
            </w:pPr>
            <w:r>
              <w:rPr>
                <w:rFonts w:hint="eastAsia" w:ascii="Times New Roman"/>
                <w:color w:val="000000"/>
                <w:szCs w:val="21"/>
              </w:rPr>
              <w:t>天津市建筑材料科学研究院有限公司、北京东方雨虹防水技术股份有限公司、天津市禹神建筑防水材料有限公司</w:t>
            </w:r>
          </w:p>
        </w:tc>
        <w:tc>
          <w:tcPr>
            <w:tcW w:w="1995" w:type="dxa"/>
            <w:vAlign w:val="center"/>
          </w:tcPr>
          <w:p w14:paraId="120392B4">
            <w:pPr>
              <w:pStyle w:val="21"/>
              <w:spacing w:line="360" w:lineRule="auto"/>
              <w:jc w:val="left"/>
              <w:rPr>
                <w:rFonts w:hAnsi="宋体"/>
                <w:color w:val="000000"/>
                <w:szCs w:val="24"/>
                <w:lang w:bidi="en-US"/>
              </w:rPr>
            </w:pPr>
            <w:r>
              <w:rPr>
                <w:rFonts w:hint="eastAsia" w:hAnsi="宋体"/>
                <w:color w:val="000000"/>
                <w:szCs w:val="24"/>
                <w:lang w:bidi="en-US"/>
              </w:rPr>
              <w:t>李慧、陈晓文、于猛、王菲</w:t>
            </w:r>
          </w:p>
        </w:tc>
      </w:tr>
      <w:tr w14:paraId="25073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6D795F8F">
            <w:pPr>
              <w:pStyle w:val="21"/>
              <w:spacing w:line="360" w:lineRule="auto"/>
              <w:ind w:firstLine="0" w:firstLineChars="0"/>
              <w:jc w:val="center"/>
              <w:rPr>
                <w:rFonts w:ascii="Times New Roman"/>
                <w:color w:val="000000"/>
                <w:szCs w:val="21"/>
              </w:rPr>
            </w:pPr>
            <w:r>
              <w:rPr>
                <w:rFonts w:ascii="Times New Roman"/>
                <w:color w:val="000000"/>
                <w:szCs w:val="21"/>
              </w:rPr>
              <w:t>4</w:t>
            </w:r>
          </w:p>
        </w:tc>
        <w:tc>
          <w:tcPr>
            <w:tcW w:w="1966" w:type="dxa"/>
            <w:vAlign w:val="center"/>
          </w:tcPr>
          <w:p w14:paraId="69EC1F69">
            <w:pPr>
              <w:pStyle w:val="21"/>
              <w:spacing w:line="360" w:lineRule="auto"/>
              <w:ind w:firstLine="0" w:firstLineChars="0"/>
              <w:jc w:val="center"/>
              <w:rPr>
                <w:rFonts w:ascii="Times New Roman"/>
                <w:color w:val="000000"/>
                <w:szCs w:val="21"/>
              </w:rPr>
            </w:pPr>
            <w:r>
              <w:rPr>
                <w:rFonts w:ascii="Times New Roman" w:hAnsi="宋体"/>
                <w:color w:val="000000"/>
                <w:szCs w:val="21"/>
              </w:rPr>
              <w:t>提供验证试验数据</w:t>
            </w:r>
          </w:p>
        </w:tc>
        <w:tc>
          <w:tcPr>
            <w:tcW w:w="4037" w:type="dxa"/>
            <w:vAlign w:val="center"/>
          </w:tcPr>
          <w:p w14:paraId="3CC17956">
            <w:pPr>
              <w:rPr>
                <w:rFonts w:ascii="Times New Roman"/>
                <w:color w:val="000000"/>
                <w:szCs w:val="21"/>
              </w:rPr>
            </w:pPr>
            <w:r>
              <w:rPr>
                <w:rFonts w:hint="eastAsia" w:ascii="Times New Roman"/>
                <w:color w:val="000000"/>
                <w:szCs w:val="21"/>
              </w:rPr>
              <w:t>天津市建筑材料科学研究院有限公司、北京东方雨虹防水技术股份有限公司、唐山东方雨虹防水技术有限责任公司、天津市贰拾壹站检测技术有限公司、天津大学</w:t>
            </w:r>
          </w:p>
        </w:tc>
        <w:tc>
          <w:tcPr>
            <w:tcW w:w="1995" w:type="dxa"/>
            <w:vAlign w:val="center"/>
          </w:tcPr>
          <w:p w14:paraId="366B9CDC">
            <w:pPr>
              <w:pStyle w:val="21"/>
              <w:spacing w:line="360" w:lineRule="auto"/>
              <w:jc w:val="left"/>
              <w:rPr>
                <w:rFonts w:hAnsi="宋体"/>
                <w:color w:val="000000"/>
                <w:szCs w:val="24"/>
                <w:lang w:bidi="en-US"/>
              </w:rPr>
            </w:pPr>
            <w:r>
              <w:rPr>
                <w:rFonts w:hint="eastAsia" w:hAnsi="宋体"/>
                <w:color w:val="000000"/>
                <w:szCs w:val="24"/>
                <w:lang w:bidi="en-US"/>
              </w:rPr>
              <w:t>李慧、陈晓文、郝宁、曹策、胡小侠、马晓晖、郭安然、</w:t>
            </w:r>
          </w:p>
        </w:tc>
      </w:tr>
      <w:tr w14:paraId="19EE1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22" w:type="dxa"/>
            <w:vAlign w:val="center"/>
          </w:tcPr>
          <w:p w14:paraId="72D6199F">
            <w:pPr>
              <w:pStyle w:val="21"/>
              <w:spacing w:line="360" w:lineRule="auto"/>
              <w:ind w:firstLine="0" w:firstLineChars="0"/>
              <w:jc w:val="center"/>
              <w:rPr>
                <w:rFonts w:ascii="Times New Roman"/>
                <w:color w:val="000000"/>
                <w:szCs w:val="21"/>
              </w:rPr>
            </w:pPr>
            <w:r>
              <w:rPr>
                <w:rFonts w:ascii="Times New Roman"/>
                <w:color w:val="000000"/>
                <w:szCs w:val="21"/>
              </w:rPr>
              <w:t>5</w:t>
            </w:r>
          </w:p>
        </w:tc>
        <w:tc>
          <w:tcPr>
            <w:tcW w:w="1966" w:type="dxa"/>
            <w:vAlign w:val="center"/>
          </w:tcPr>
          <w:p w14:paraId="48DF93B9">
            <w:pPr>
              <w:pStyle w:val="21"/>
              <w:spacing w:line="360" w:lineRule="auto"/>
              <w:ind w:firstLine="0" w:firstLineChars="0"/>
              <w:jc w:val="center"/>
              <w:rPr>
                <w:rFonts w:ascii="Times New Roman"/>
                <w:color w:val="000000"/>
                <w:szCs w:val="21"/>
              </w:rPr>
            </w:pPr>
            <w:r>
              <w:rPr>
                <w:rFonts w:ascii="Times New Roman" w:hAnsi="宋体"/>
                <w:color w:val="000000"/>
                <w:szCs w:val="21"/>
              </w:rPr>
              <w:t>资料汇总整理</w:t>
            </w:r>
          </w:p>
        </w:tc>
        <w:tc>
          <w:tcPr>
            <w:tcW w:w="4037" w:type="dxa"/>
            <w:vAlign w:val="center"/>
          </w:tcPr>
          <w:p w14:paraId="02D33BE1">
            <w:pPr>
              <w:pStyle w:val="21"/>
              <w:spacing w:line="360" w:lineRule="auto"/>
              <w:jc w:val="center"/>
              <w:rPr>
                <w:rFonts w:ascii="Times New Roman"/>
                <w:color w:val="000000"/>
                <w:szCs w:val="21"/>
              </w:rPr>
            </w:pPr>
            <w:r>
              <w:rPr>
                <w:rFonts w:hint="eastAsia" w:ascii="Times New Roman"/>
                <w:color w:val="000000"/>
                <w:szCs w:val="21"/>
              </w:rPr>
              <w:t>天津市建筑材料科学研究院有限公司、北京东方雨虹防水技术股份有限公司</w:t>
            </w:r>
          </w:p>
        </w:tc>
        <w:tc>
          <w:tcPr>
            <w:tcW w:w="1995" w:type="dxa"/>
            <w:vAlign w:val="center"/>
          </w:tcPr>
          <w:p w14:paraId="6291AB49">
            <w:pPr>
              <w:pStyle w:val="21"/>
              <w:spacing w:line="360" w:lineRule="auto"/>
              <w:jc w:val="left"/>
              <w:rPr>
                <w:rFonts w:hAnsi="宋体"/>
                <w:color w:val="000000"/>
                <w:szCs w:val="24"/>
                <w:lang w:bidi="en-US"/>
              </w:rPr>
            </w:pPr>
            <w:r>
              <w:rPr>
                <w:rFonts w:hint="eastAsia" w:hAnsi="宋体"/>
                <w:color w:val="000000"/>
                <w:szCs w:val="24"/>
                <w:lang w:bidi="en-US"/>
              </w:rPr>
              <w:t>李慧、郭义兵、陈晓文、于猛、</w:t>
            </w:r>
          </w:p>
        </w:tc>
      </w:tr>
      <w:tr w14:paraId="74A21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9" w:hRule="atLeast"/>
        </w:trPr>
        <w:tc>
          <w:tcPr>
            <w:tcW w:w="522" w:type="dxa"/>
            <w:vAlign w:val="center"/>
          </w:tcPr>
          <w:p w14:paraId="58B78AAF">
            <w:pPr>
              <w:pStyle w:val="21"/>
              <w:spacing w:line="360" w:lineRule="auto"/>
              <w:ind w:firstLine="0" w:firstLineChars="0"/>
              <w:jc w:val="center"/>
              <w:rPr>
                <w:rFonts w:ascii="Times New Roman"/>
                <w:color w:val="000000"/>
                <w:szCs w:val="21"/>
              </w:rPr>
            </w:pPr>
            <w:r>
              <w:rPr>
                <w:rFonts w:ascii="Times New Roman"/>
                <w:color w:val="000000"/>
                <w:szCs w:val="21"/>
              </w:rPr>
              <w:t>6</w:t>
            </w:r>
          </w:p>
        </w:tc>
        <w:tc>
          <w:tcPr>
            <w:tcW w:w="1966" w:type="dxa"/>
            <w:vAlign w:val="center"/>
          </w:tcPr>
          <w:p w14:paraId="513FDDF9">
            <w:pPr>
              <w:pStyle w:val="21"/>
              <w:spacing w:line="360" w:lineRule="auto"/>
              <w:ind w:firstLine="0" w:firstLineChars="0"/>
              <w:jc w:val="center"/>
              <w:rPr>
                <w:rFonts w:ascii="Times New Roman"/>
                <w:color w:val="000000"/>
                <w:szCs w:val="21"/>
              </w:rPr>
            </w:pPr>
            <w:r>
              <w:rPr>
                <w:rFonts w:ascii="Times New Roman" w:hAnsi="宋体"/>
                <w:color w:val="000000"/>
                <w:szCs w:val="21"/>
              </w:rPr>
              <w:t>编写及完善编制说明等相关文件</w:t>
            </w:r>
          </w:p>
        </w:tc>
        <w:tc>
          <w:tcPr>
            <w:tcW w:w="4037" w:type="dxa"/>
            <w:vAlign w:val="center"/>
          </w:tcPr>
          <w:p w14:paraId="4B5A5F42">
            <w:pPr>
              <w:pStyle w:val="21"/>
              <w:spacing w:line="360" w:lineRule="auto"/>
              <w:jc w:val="center"/>
              <w:rPr>
                <w:rFonts w:ascii="Times New Roman"/>
                <w:color w:val="000000"/>
                <w:szCs w:val="21"/>
              </w:rPr>
            </w:pPr>
            <w:r>
              <w:rPr>
                <w:rFonts w:hint="eastAsia" w:ascii="Times New Roman"/>
                <w:color w:val="000000"/>
                <w:szCs w:val="21"/>
              </w:rPr>
              <w:t>天津市建筑材料科学研究院有限公司、北京东方雨虹防水技术股份有限公司</w:t>
            </w:r>
          </w:p>
        </w:tc>
        <w:tc>
          <w:tcPr>
            <w:tcW w:w="1995" w:type="dxa"/>
            <w:vAlign w:val="center"/>
          </w:tcPr>
          <w:p w14:paraId="377CE17C">
            <w:pPr>
              <w:pStyle w:val="21"/>
              <w:spacing w:line="360" w:lineRule="auto"/>
              <w:jc w:val="left"/>
              <w:rPr>
                <w:rFonts w:hAnsi="宋体"/>
                <w:color w:val="000000"/>
                <w:szCs w:val="24"/>
                <w:lang w:bidi="en-US"/>
              </w:rPr>
            </w:pPr>
            <w:r>
              <w:rPr>
                <w:rFonts w:hint="eastAsia" w:hAnsi="宋体"/>
                <w:color w:val="000000"/>
                <w:szCs w:val="24"/>
                <w:lang w:bidi="en-US"/>
              </w:rPr>
              <w:t>李慧、郭义兵、陈晓文、于猛</w:t>
            </w:r>
          </w:p>
        </w:tc>
      </w:tr>
    </w:tbl>
    <w:p w14:paraId="0FAD9A8A">
      <w:pPr>
        <w:spacing w:line="360" w:lineRule="auto"/>
        <w:ind w:firstLine="480" w:firstLineChars="200"/>
        <w:rPr>
          <w:rFonts w:ascii="Times New Roman" w:hAnsi="Times New Roman" w:eastAsia="宋体" w:cs="Times New Roman"/>
          <w:sz w:val="24"/>
        </w:rPr>
      </w:pPr>
    </w:p>
    <w:p w14:paraId="3D35C0A8">
      <w:pPr>
        <w:pStyle w:val="2"/>
        <w:spacing w:before="100" w:after="100" w:line="360" w:lineRule="auto"/>
        <w:rPr>
          <w:rFonts w:ascii="Times New Roman" w:hAnsi="Times New Roman" w:eastAsia="宋体" w:cs="Times New Roman"/>
          <w:sz w:val="24"/>
          <w:szCs w:val="24"/>
        </w:rPr>
      </w:pPr>
      <w:r>
        <w:rPr>
          <w:rFonts w:ascii="Times New Roman" w:hAnsi="Times New Roman" w:eastAsia="宋体" w:cs="Times New Roman"/>
          <w:sz w:val="24"/>
          <w:szCs w:val="24"/>
        </w:rPr>
        <w:t>1.3.2样品征集和验证试验</w:t>
      </w:r>
    </w:p>
    <w:p w14:paraId="5ECC6344">
      <w:pPr>
        <w:spacing w:before="156" w:beforeLines="50"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2023年12月-2024年4月收集到国内5家生产企业的高粘结聚合物沥青防水涂料样品5组。</w:t>
      </w:r>
      <w:r>
        <w:rPr>
          <w:rFonts w:ascii="Times New Roman" w:hAnsi="Times New Roman" w:eastAsia="宋体" w:cs="Times New Roman"/>
          <w:sz w:val="24"/>
          <w:szCs w:val="24"/>
        </w:rPr>
        <w:t>本次验证试验由天津市建筑材料科学研究院有限公司、北京东方雨虹防水技术股份有限公司、唐山东方雨虹防水技术有限责任公司、天津市贰拾壹站检测技术有限公司、天津大学</w:t>
      </w:r>
      <w:r>
        <w:rPr>
          <w:rFonts w:hint="eastAsia" w:ascii="Times New Roman" w:hAnsi="Times New Roman" w:eastAsia="宋体" w:cs="Times New Roman"/>
          <w:sz w:val="24"/>
          <w:szCs w:val="24"/>
          <w:lang w:eastAsia="zh-CN"/>
        </w:rPr>
        <w:t>、</w:t>
      </w:r>
      <w:r>
        <w:rPr>
          <w:rFonts w:hint="eastAsia" w:ascii="Times New Roman"/>
          <w:color w:val="000000"/>
          <w:sz w:val="21"/>
          <w:szCs w:val="21"/>
          <w:lang w:eastAsia="zh-CN"/>
        </w:rPr>
        <w:t>天津市禹神建筑防水材料有限公司</w:t>
      </w:r>
      <w:r>
        <w:rPr>
          <w:rFonts w:ascii="Times New Roman" w:hAnsi="Times New Roman" w:eastAsia="宋体" w:cs="Times New Roman"/>
          <w:sz w:val="24"/>
          <w:szCs w:val="24"/>
        </w:rPr>
        <w:t>共同进行。测试了</w:t>
      </w:r>
      <w:r>
        <w:rPr>
          <w:rFonts w:hint="eastAsia" w:ascii="Times New Roman" w:hAnsi="Times New Roman" w:eastAsia="宋体" w:cs="Times New Roman"/>
          <w:sz w:val="24"/>
          <w:szCs w:val="24"/>
        </w:rPr>
        <w:t>固体含量、耐热性、不透水性、粘结强度、表干时间、实干时间、低温柔性、断裂伸长率、耐水性、剥离强度、挥发性有机化合物（VOC）含量</w:t>
      </w:r>
      <w:r>
        <w:rPr>
          <w:rFonts w:ascii="Times New Roman" w:hAnsi="Times New Roman" w:eastAsia="宋体" w:cs="Times New Roman"/>
          <w:sz w:val="24"/>
          <w:szCs w:val="24"/>
        </w:rPr>
        <w:t>指标</w:t>
      </w:r>
      <w:r>
        <w:rPr>
          <w:rFonts w:hint="eastAsia" w:ascii="Times New Roman" w:hAnsi="Times New Roman" w:eastAsia="宋体" w:cs="Times New Roman"/>
          <w:sz w:val="24"/>
          <w:szCs w:val="24"/>
        </w:rPr>
        <w:t>。</w:t>
      </w:r>
      <w:r>
        <w:rPr>
          <w:rFonts w:ascii="Times New Roman" w:hAnsi="Times New Roman" w:eastAsia="宋体" w:cs="Times New Roman"/>
          <w:sz w:val="24"/>
          <w:szCs w:val="24"/>
        </w:rPr>
        <w:cr/>
      </w:r>
      <w:r>
        <w:rPr>
          <w:rFonts w:ascii="Times New Roman" w:hAnsi="Times New Roman" w:eastAsia="宋体" w:cs="Times New Roman"/>
          <w:sz w:val="24"/>
          <w:szCs w:val="24"/>
        </w:rPr>
        <w:t xml:space="preserve">    验证试验期间，标准起草组与行业技术专家、企业技术专家采取电话沟通及视频会议的方式，对试验进程</w:t>
      </w:r>
      <w:r>
        <w:rPr>
          <w:rFonts w:hint="eastAsia" w:ascii="Times New Roman" w:hAnsi="Times New Roman" w:eastAsia="宋体" w:cs="Times New Roman"/>
          <w:sz w:val="24"/>
          <w:szCs w:val="24"/>
        </w:rPr>
        <w:t>、</w:t>
      </w:r>
      <w:r>
        <w:rPr>
          <w:rFonts w:ascii="Times New Roman" w:hAnsi="Times New Roman" w:eastAsia="宋体" w:cs="Times New Roman"/>
          <w:sz w:val="24"/>
          <w:szCs w:val="24"/>
        </w:rPr>
        <w:t>试验结果进行了充分地讨论。</w:t>
      </w:r>
    </w:p>
    <w:p w14:paraId="59645013">
      <w:pPr>
        <w:pStyle w:val="2"/>
        <w:spacing w:before="100" w:after="100" w:line="360" w:lineRule="auto"/>
        <w:rPr>
          <w:rFonts w:ascii="Times New Roman" w:hAnsi="Times New Roman" w:eastAsia="宋体" w:cs="Times New Roman"/>
          <w:sz w:val="24"/>
          <w:szCs w:val="24"/>
        </w:rPr>
      </w:pPr>
      <w:r>
        <w:rPr>
          <w:rFonts w:ascii="Times New Roman" w:hAnsi="Times New Roman" w:eastAsia="宋体" w:cs="Times New Roman"/>
          <w:sz w:val="24"/>
          <w:szCs w:val="24"/>
        </w:rPr>
        <w:t>1.3.3标准征求意见稿的确定</w:t>
      </w:r>
    </w:p>
    <w:p w14:paraId="0C4CD385">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202</w:t>
      </w:r>
      <w:r>
        <w:rPr>
          <w:rFonts w:hint="eastAsia" w:ascii="Times New Roman" w:hAnsi="Times New Roman" w:eastAsia="宋体" w:cs="Times New Roman"/>
          <w:sz w:val="24"/>
          <w:szCs w:val="24"/>
        </w:rPr>
        <w:t>4</w:t>
      </w:r>
      <w:r>
        <w:rPr>
          <w:rFonts w:ascii="Times New Roman" w:hAnsi="Times New Roman" w:eastAsia="宋体" w:cs="Times New Roman"/>
          <w:sz w:val="24"/>
          <w:szCs w:val="24"/>
        </w:rPr>
        <w:t>年</w:t>
      </w:r>
      <w:r>
        <w:rPr>
          <w:rFonts w:hint="eastAsia" w:ascii="Times New Roman" w:hAnsi="Times New Roman" w:eastAsia="宋体" w:cs="Times New Roman"/>
          <w:sz w:val="24"/>
          <w:szCs w:val="24"/>
        </w:rPr>
        <w:t>7月6</w:t>
      </w:r>
      <w:r>
        <w:rPr>
          <w:rFonts w:ascii="Times New Roman" w:hAnsi="Times New Roman" w:eastAsia="宋体" w:cs="Times New Roman"/>
          <w:sz w:val="24"/>
          <w:szCs w:val="24"/>
        </w:rPr>
        <w:t>家单位的代表</w:t>
      </w:r>
      <w:r>
        <w:rPr>
          <w:rFonts w:hint="eastAsia" w:ascii="Times New Roman" w:hAnsi="Times New Roman" w:eastAsia="宋体" w:cs="Times New Roman"/>
          <w:sz w:val="24"/>
          <w:szCs w:val="24"/>
        </w:rPr>
        <w:t>进行了标准草案的审议</w:t>
      </w:r>
      <w:r>
        <w:rPr>
          <w:rFonts w:ascii="Times New Roman" w:hAnsi="Times New Roman" w:eastAsia="宋体" w:cs="Times New Roman"/>
          <w:sz w:val="24"/>
          <w:szCs w:val="24"/>
        </w:rPr>
        <w:t>，</w:t>
      </w:r>
      <w:r>
        <w:rPr>
          <w:rFonts w:hint="eastAsia" w:ascii="Times New Roman" w:hAnsi="Times New Roman" w:eastAsia="宋体" w:cs="Times New Roman"/>
          <w:sz w:val="24"/>
          <w:szCs w:val="24"/>
        </w:rPr>
        <w:t>对</w:t>
      </w:r>
      <w:r>
        <w:rPr>
          <w:rFonts w:ascii="Times New Roman" w:hAnsi="Times New Roman" w:eastAsia="宋体" w:cs="Times New Roman"/>
          <w:sz w:val="24"/>
          <w:szCs w:val="24"/>
        </w:rPr>
        <w:t>主要章节进行了逐条研讨，补充修改了标准稿件</w:t>
      </w:r>
      <w:r>
        <w:rPr>
          <w:rFonts w:hint="eastAsia" w:ascii="Times New Roman" w:hAnsi="Times New Roman" w:eastAsia="宋体" w:cs="Times New Roman"/>
          <w:sz w:val="24"/>
          <w:szCs w:val="24"/>
        </w:rPr>
        <w:t>。</w:t>
      </w:r>
    </w:p>
    <w:p w14:paraId="25E8BBE2">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在总结各方意见的基础上，主编单位对需要附加</w:t>
      </w:r>
      <w:r>
        <w:rPr>
          <w:rFonts w:hint="eastAsia" w:ascii="Times New Roman" w:hAnsi="Times New Roman" w:eastAsia="宋体" w:cs="Times New Roman"/>
          <w:sz w:val="24"/>
          <w:szCs w:val="24"/>
        </w:rPr>
        <w:t>的试验数据进行补充，并</w:t>
      </w:r>
      <w:r>
        <w:rPr>
          <w:rFonts w:ascii="Times New Roman" w:hAnsi="Times New Roman" w:eastAsia="宋体" w:cs="Times New Roman"/>
          <w:sz w:val="24"/>
          <w:szCs w:val="24"/>
        </w:rPr>
        <w:t>对标准讨论稿</w:t>
      </w:r>
      <w:r>
        <w:rPr>
          <w:rFonts w:hint="eastAsia" w:ascii="Times New Roman" w:hAnsi="Times New Roman" w:eastAsia="宋体" w:cs="Times New Roman"/>
          <w:sz w:val="24"/>
          <w:szCs w:val="24"/>
        </w:rPr>
        <w:t>进行</w:t>
      </w:r>
      <w:r>
        <w:rPr>
          <w:rFonts w:ascii="Times New Roman" w:hAnsi="Times New Roman" w:eastAsia="宋体" w:cs="Times New Roman"/>
          <w:sz w:val="24"/>
          <w:szCs w:val="24"/>
        </w:rPr>
        <w:t>修改，形成了征求意见稿，向行业内生产施工企业、科研院所、高等学校等广泛征求意见。其中收到提</w:t>
      </w:r>
      <w:r>
        <w:rPr>
          <w:rFonts w:ascii="Times New Roman" w:hAnsi="Times New Roman" w:eastAsia="宋体" w:cs="Times New Roman"/>
          <w:color w:val="auto"/>
          <w:sz w:val="24"/>
          <w:szCs w:val="24"/>
        </w:rPr>
        <w:t>出意见</w:t>
      </w:r>
      <w:r>
        <w:rPr>
          <w:rFonts w:hint="eastAsia" w:ascii="Times New Roman" w:hAnsi="Times New Roman" w:eastAsia="宋体" w:cs="Times New Roman"/>
          <w:color w:val="auto"/>
          <w:sz w:val="24"/>
          <w:szCs w:val="24"/>
          <w:lang w:val="en-US" w:eastAsia="zh-CN"/>
        </w:rPr>
        <w:t>2</w:t>
      </w:r>
      <w:r>
        <w:rPr>
          <w:rFonts w:ascii="Times New Roman" w:hAnsi="Times New Roman" w:eastAsia="宋体" w:cs="Times New Roman"/>
          <w:color w:val="auto"/>
          <w:sz w:val="24"/>
          <w:szCs w:val="24"/>
        </w:rPr>
        <w:t>条，其中采纳</w:t>
      </w:r>
      <w:r>
        <w:rPr>
          <w:rFonts w:hint="eastAsia" w:ascii="Times New Roman" w:hAnsi="Times New Roman" w:eastAsia="宋体" w:cs="Times New Roman"/>
          <w:color w:val="auto"/>
          <w:sz w:val="24"/>
          <w:szCs w:val="24"/>
          <w:lang w:val="en-US" w:eastAsia="zh-CN"/>
        </w:rPr>
        <w:t>1</w:t>
      </w:r>
      <w:r>
        <w:rPr>
          <w:rFonts w:ascii="Times New Roman" w:hAnsi="Times New Roman" w:eastAsia="宋体" w:cs="Times New Roman"/>
          <w:color w:val="auto"/>
          <w:sz w:val="24"/>
          <w:szCs w:val="24"/>
        </w:rPr>
        <w:t>条，未采纳</w:t>
      </w:r>
      <w:r>
        <w:rPr>
          <w:rFonts w:hint="eastAsia" w:ascii="Times New Roman" w:hAnsi="Times New Roman" w:eastAsia="宋体" w:cs="Times New Roman"/>
          <w:color w:val="auto"/>
          <w:sz w:val="24"/>
          <w:szCs w:val="24"/>
          <w:lang w:val="en-US" w:eastAsia="zh-CN"/>
        </w:rPr>
        <w:t>1</w:t>
      </w:r>
      <w:r>
        <w:rPr>
          <w:rFonts w:ascii="Times New Roman" w:hAnsi="Times New Roman" w:eastAsia="宋体" w:cs="Times New Roman"/>
          <w:color w:val="auto"/>
          <w:sz w:val="24"/>
          <w:szCs w:val="24"/>
        </w:rPr>
        <w:t>条，并根据</w:t>
      </w:r>
      <w:r>
        <w:rPr>
          <w:rFonts w:ascii="Times New Roman" w:hAnsi="Times New Roman" w:eastAsia="宋体" w:cs="Times New Roman"/>
          <w:sz w:val="24"/>
          <w:szCs w:val="24"/>
        </w:rPr>
        <w:t>所征求意见对标准征求意见稿做出修改</w:t>
      </w:r>
      <w:r>
        <w:rPr>
          <w:rFonts w:hint="eastAsia" w:ascii="Times New Roman" w:hAnsi="Times New Roman" w:eastAsia="宋体" w:cs="Times New Roman"/>
          <w:sz w:val="24"/>
          <w:szCs w:val="24"/>
        </w:rPr>
        <w:t>，</w:t>
      </w:r>
      <w:r>
        <w:rPr>
          <w:rFonts w:ascii="Times New Roman" w:hAnsi="Times New Roman" w:eastAsia="宋体" w:cs="Times New Roman"/>
          <w:sz w:val="24"/>
          <w:szCs w:val="24"/>
        </w:rPr>
        <w:t>形成了标准送审稿。</w:t>
      </w:r>
    </w:p>
    <w:p w14:paraId="4754A040">
      <w:pPr>
        <w:pStyle w:val="2"/>
        <w:spacing w:before="100" w:after="10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1.3.4标准审查</w:t>
      </w:r>
    </w:p>
    <w:p w14:paraId="683E61AA">
      <w:pPr>
        <w:spacing w:line="360" w:lineRule="auto"/>
        <w:ind w:firstLine="480" w:firstLineChars="200"/>
        <w:rPr>
          <w:rFonts w:ascii="Times New Roman" w:hAnsi="Times New Roman" w:eastAsia="宋体" w:cs="Times New Roman"/>
          <w:sz w:val="24"/>
          <w:szCs w:val="24"/>
        </w:rPr>
      </w:pPr>
      <w:bookmarkStart w:id="22" w:name="_GoBack"/>
      <w:r>
        <w:rPr>
          <w:rFonts w:ascii="Times New Roman" w:hAnsi="Times New Roman" w:eastAsia="宋体" w:cs="Times New Roman"/>
          <w:color w:val="auto"/>
          <w:sz w:val="24"/>
          <w:szCs w:val="24"/>
        </w:rPr>
        <w:t>202</w:t>
      </w:r>
      <w:r>
        <w:rPr>
          <w:rFonts w:hint="eastAsia" w:ascii="Times New Roman" w:hAnsi="Times New Roman" w:eastAsia="宋体" w:cs="Times New Roman"/>
          <w:color w:val="auto"/>
          <w:sz w:val="24"/>
          <w:szCs w:val="24"/>
        </w:rPr>
        <w:t>4</w:t>
      </w:r>
      <w:r>
        <w:rPr>
          <w:rFonts w:ascii="Times New Roman" w:hAnsi="Times New Roman" w:eastAsia="宋体" w:cs="Times New Roman"/>
          <w:color w:val="auto"/>
          <w:sz w:val="24"/>
          <w:szCs w:val="24"/>
        </w:rPr>
        <w:t>年</w:t>
      </w:r>
      <w:r>
        <w:rPr>
          <w:rFonts w:hint="eastAsia" w:ascii="Times New Roman" w:hAnsi="Times New Roman" w:eastAsia="宋体" w:cs="Times New Roman"/>
          <w:color w:val="auto"/>
          <w:sz w:val="24"/>
          <w:szCs w:val="24"/>
        </w:rPr>
        <w:t>8</w:t>
      </w:r>
      <w:r>
        <w:rPr>
          <w:rFonts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rPr>
        <w:t>31</w:t>
      </w:r>
      <w:r>
        <w:rPr>
          <w:rFonts w:ascii="Times New Roman" w:hAnsi="Times New Roman" w:eastAsia="宋体" w:cs="Times New Roman"/>
          <w:color w:val="auto"/>
          <w:sz w:val="24"/>
          <w:szCs w:val="24"/>
        </w:rPr>
        <w:t>日，</w:t>
      </w:r>
      <w:bookmarkEnd w:id="22"/>
      <w:r>
        <w:rPr>
          <w:rFonts w:ascii="Times New Roman" w:hAnsi="Times New Roman" w:eastAsia="宋体" w:cs="Times New Roman"/>
          <w:sz w:val="24"/>
          <w:szCs w:val="24"/>
        </w:rPr>
        <w:t>中国建筑材料联合会标准质量部在北京组织召开了《高粘结聚合物沥青防水涂料》标准审查会。</w:t>
      </w:r>
    </w:p>
    <w:p w14:paraId="0E67BD43">
      <w:pPr>
        <w:pStyle w:val="2"/>
        <w:numPr>
          <w:ilvl w:val="0"/>
          <w:numId w:val="4"/>
        </w:numPr>
        <w:spacing w:before="156" w:beforeLines="50" w:after="10" w:line="360" w:lineRule="auto"/>
        <w:rPr>
          <w:rFonts w:ascii="Times New Roman" w:hAnsi="Times New Roman" w:eastAsia="宋体" w:cs="Times New Roman"/>
          <w:sz w:val="32"/>
        </w:rPr>
      </w:pPr>
      <w:bookmarkStart w:id="5" w:name="_Toc41034871"/>
      <w:bookmarkStart w:id="6" w:name="_Toc12546193"/>
      <w:r>
        <w:rPr>
          <w:rFonts w:ascii="Times New Roman" w:hAnsi="Times New Roman" w:eastAsia="宋体" w:cs="Times New Roman"/>
          <w:sz w:val="32"/>
        </w:rPr>
        <w:t>标准制定原则和主要内容</w:t>
      </w:r>
      <w:bookmarkEnd w:id="5"/>
      <w:bookmarkEnd w:id="6"/>
    </w:p>
    <w:p w14:paraId="5EFCAC9C">
      <w:pPr>
        <w:pStyle w:val="2"/>
        <w:spacing w:before="100" w:after="100" w:line="360" w:lineRule="auto"/>
        <w:rPr>
          <w:rFonts w:ascii="Times New Roman" w:hAnsi="Times New Roman" w:eastAsia="宋体" w:cs="Times New Roman"/>
          <w:b w:val="0"/>
          <w:bCs w:val="0"/>
          <w:sz w:val="28"/>
        </w:rPr>
      </w:pPr>
      <w:bookmarkStart w:id="7" w:name="_Toc41034872"/>
      <w:r>
        <w:rPr>
          <w:rFonts w:ascii="Times New Roman" w:hAnsi="Times New Roman" w:eastAsia="宋体" w:cs="Times New Roman"/>
          <w:sz w:val="28"/>
        </w:rPr>
        <w:t>2.1标准制定原则</w:t>
      </w:r>
      <w:bookmarkEnd w:id="7"/>
    </w:p>
    <w:p w14:paraId="6ADB8795">
      <w:pPr>
        <w:widowControl/>
        <w:spacing w:line="360" w:lineRule="auto"/>
        <w:ind w:firstLine="480" w:firstLineChars="200"/>
        <w:jc w:val="left"/>
        <w:rPr>
          <w:rFonts w:ascii="Times New Roman" w:hAnsi="Times New Roman" w:eastAsia="宋体" w:cs="Times New Roman"/>
          <w:color w:val="000000"/>
          <w:sz w:val="24"/>
        </w:rPr>
      </w:pPr>
      <w:r>
        <w:rPr>
          <w:rFonts w:ascii="Times New Roman" w:hAnsi="Times New Roman" w:eastAsia="宋体" w:cs="Times New Roman"/>
          <w:sz w:val="24"/>
          <w:szCs w:val="24"/>
          <w:lang w:bidi="ar"/>
        </w:rPr>
        <w:t>本标准的编制原则是依据 GB/T 1.1—2020 给出的原则，和有关标准、政策法规进行编制的。制定本标准时充分考虑到满足我国的技术发展和生产需要，充分体现行业进步和发展趋势，符合国家产业政策，推动行业技术水平提高，促进国际贸易，做到技术上先进，使用上安全，经济上合理，生产上可能，满足相关产品标准的要求，并结合标准的制制订需求。标准文本格式、条款主要是根据 GB/T 1.1—2020《标准化工作导则 第 1 部分：标准的结构和编写规则》进行编制，本标准的主要内容是对</w:t>
      </w:r>
      <w:r>
        <w:rPr>
          <w:rFonts w:ascii="Times New Roman" w:hAnsi="Times New Roman" w:eastAsia="宋体" w:cs="Times New Roman"/>
          <w:sz w:val="24"/>
          <w:szCs w:val="24"/>
        </w:rPr>
        <w:t>高粘结聚合物沥青防水涂料</w:t>
      </w:r>
      <w:r>
        <w:rPr>
          <w:rFonts w:ascii="Times New Roman" w:hAnsi="Times New Roman" w:eastAsia="宋体" w:cs="Times New Roman"/>
          <w:sz w:val="24"/>
          <w:szCs w:val="24"/>
          <w:lang w:bidi="ar"/>
        </w:rPr>
        <w:t>提出要求。</w:t>
      </w:r>
      <w:r>
        <w:rPr>
          <w:rFonts w:ascii="Times New Roman" w:hAnsi="Times New Roman" w:eastAsia="宋体" w:cs="Times New Roman"/>
          <w:color w:val="000000"/>
          <w:sz w:val="24"/>
          <w:lang w:bidi="ar"/>
        </w:rPr>
        <w:t>规定了该产品的</w:t>
      </w:r>
      <w:r>
        <w:rPr>
          <w:rFonts w:ascii="Times New Roman" w:hAnsi="Times New Roman" w:eastAsia="宋体" w:cs="Times New Roman"/>
          <w:color w:val="000000"/>
          <w:sz w:val="24"/>
        </w:rPr>
        <w:t>术语和定义、标记、一般要求、技术要求、试验方法、检验规则、包装、标志、运输与贮存</w:t>
      </w:r>
      <w:r>
        <w:rPr>
          <w:rFonts w:hint="eastAsia" w:ascii="Times New Roman" w:hAnsi="Times New Roman" w:eastAsia="宋体" w:cs="Times New Roman"/>
          <w:color w:val="000000"/>
          <w:sz w:val="24"/>
        </w:rPr>
        <w:t>。</w:t>
      </w:r>
    </w:p>
    <w:p w14:paraId="03C19592">
      <w:pPr>
        <w:pStyle w:val="2"/>
        <w:spacing w:before="100" w:after="100" w:line="360" w:lineRule="auto"/>
        <w:rPr>
          <w:rFonts w:ascii="Times New Roman" w:hAnsi="Times New Roman" w:eastAsia="宋体" w:cs="Times New Roman"/>
          <w:sz w:val="28"/>
        </w:rPr>
      </w:pPr>
      <w:bookmarkStart w:id="8" w:name="_Toc41034873"/>
      <w:r>
        <w:rPr>
          <w:rFonts w:ascii="Times New Roman" w:hAnsi="Times New Roman" w:eastAsia="宋体" w:cs="Times New Roman"/>
          <w:sz w:val="28"/>
        </w:rPr>
        <w:t>2.2标准的主要内容</w:t>
      </w:r>
      <w:bookmarkEnd w:id="8"/>
    </w:p>
    <w:p w14:paraId="1E7697B9">
      <w:pPr>
        <w:pStyle w:val="2"/>
        <w:spacing w:before="100" w:after="100" w:line="360" w:lineRule="auto"/>
        <w:rPr>
          <w:rFonts w:ascii="Times New Roman" w:hAnsi="Times New Roman" w:eastAsia="宋体" w:cs="Times New Roman"/>
          <w:sz w:val="24"/>
          <w:szCs w:val="24"/>
        </w:rPr>
      </w:pPr>
      <w:bookmarkStart w:id="9" w:name="_Toc41034874"/>
      <w:r>
        <w:rPr>
          <w:rFonts w:ascii="Times New Roman" w:hAnsi="Times New Roman" w:eastAsia="宋体" w:cs="Times New Roman"/>
          <w:sz w:val="24"/>
          <w:szCs w:val="24"/>
        </w:rPr>
        <w:t>2.2.1标准题目</w:t>
      </w:r>
      <w:bookmarkEnd w:id="9"/>
    </w:p>
    <w:p w14:paraId="6F636EE1">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color w:val="000000"/>
          <w:sz w:val="24"/>
        </w:rPr>
        <w:t>根据</w:t>
      </w:r>
      <w:r>
        <w:rPr>
          <w:rFonts w:ascii="Times New Roman" w:hAnsi="Times New Roman" w:eastAsia="宋体" w:cs="Times New Roman"/>
          <w:sz w:val="24"/>
          <w:szCs w:val="24"/>
        </w:rPr>
        <w:t>中国建筑材料联合会《关于下达2023年第八批协会标准制修订计划的通知》（中建材联标发﹝2023﹞85号）文件要求，</w:t>
      </w:r>
      <w:r>
        <w:rPr>
          <w:rFonts w:hint="eastAsia" w:ascii="Times New Roman" w:hAnsi="Times New Roman" w:eastAsia="宋体" w:cs="Times New Roman"/>
          <w:sz w:val="24"/>
          <w:szCs w:val="24"/>
        </w:rPr>
        <w:t>由天津市建筑材料科学研究院有限公司负责组织</w:t>
      </w:r>
      <w:r>
        <w:rPr>
          <w:rFonts w:ascii="Times New Roman" w:hAnsi="Times New Roman" w:eastAsia="宋体" w:cs="Times New Roman"/>
          <w:sz w:val="24"/>
          <w:szCs w:val="24"/>
        </w:rPr>
        <w:t>《高粘结聚合物沥青防水涂料》列入了团体标准计划，项目编号：</w:t>
      </w:r>
      <w:r>
        <w:fldChar w:fldCharType="begin"/>
      </w:r>
      <w:r>
        <w:instrText xml:space="preserve"> HYPERLINK "http://219.239.107.155:8080/TaskBook.aspx?id=JCCPZT04992019" </w:instrText>
      </w:r>
      <w:r>
        <w:fldChar w:fldCharType="separate"/>
      </w:r>
      <w:r>
        <w:rPr>
          <w:rFonts w:ascii="Times New Roman" w:hAnsi="Times New Roman" w:eastAsia="宋体" w:cs="Times New Roman"/>
          <w:sz w:val="24"/>
          <w:szCs w:val="24"/>
        </w:rPr>
        <w:t>2023-106-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xbjh</w:t>
      </w:r>
      <w:r>
        <w:rPr>
          <w:rFonts w:hint="eastAsia" w:ascii="Times New Roman" w:hAnsi="Times New Roman" w:eastAsia="宋体" w:cs="Times New Roman"/>
          <w:sz w:val="24"/>
          <w:szCs w:val="24"/>
        </w:rPr>
        <w:t>，</w:t>
      </w:r>
      <w:r>
        <w:rPr>
          <w:rFonts w:ascii="Times New Roman" w:hAnsi="Times New Roman" w:eastAsia="宋体" w:cs="Times New Roman"/>
          <w:sz w:val="24"/>
        </w:rPr>
        <w:t>标准题目为</w:t>
      </w:r>
      <w:r>
        <w:rPr>
          <w:rFonts w:hint="eastAsia" w:ascii="Times New Roman" w:hAnsi="Times New Roman" w:eastAsia="宋体" w:cs="Times New Roman"/>
          <w:sz w:val="24"/>
        </w:rPr>
        <w:t>“</w:t>
      </w:r>
      <w:r>
        <w:rPr>
          <w:rFonts w:ascii="Times New Roman" w:hAnsi="Times New Roman" w:eastAsia="宋体" w:cs="Times New Roman"/>
          <w:sz w:val="24"/>
          <w:szCs w:val="24"/>
        </w:rPr>
        <w:t>高粘结聚合物沥青防水涂料</w:t>
      </w:r>
      <w:r>
        <w:rPr>
          <w:rFonts w:hint="eastAsia" w:ascii="Times New Roman" w:hAnsi="Times New Roman" w:eastAsia="宋体" w:cs="Times New Roman"/>
          <w:sz w:val="24"/>
        </w:rPr>
        <w:t>”</w:t>
      </w:r>
      <w:r>
        <w:rPr>
          <w:rFonts w:ascii="Times New Roman" w:hAnsi="Times New Roman" w:eastAsia="宋体" w:cs="Times New Roman"/>
          <w:sz w:val="24"/>
        </w:rPr>
        <w:t>。</w:t>
      </w:r>
    </w:p>
    <w:p w14:paraId="2CFFE3CB">
      <w:pPr>
        <w:pStyle w:val="2"/>
        <w:spacing w:before="100" w:after="100" w:line="360" w:lineRule="auto"/>
        <w:rPr>
          <w:rFonts w:ascii="Times New Roman" w:hAnsi="Times New Roman" w:eastAsia="宋体" w:cs="Times New Roman"/>
          <w:sz w:val="24"/>
          <w:szCs w:val="24"/>
        </w:rPr>
      </w:pPr>
      <w:bookmarkStart w:id="10" w:name="_Toc41034875"/>
      <w:r>
        <w:rPr>
          <w:rFonts w:ascii="Times New Roman" w:hAnsi="Times New Roman" w:eastAsia="宋体" w:cs="Times New Roman"/>
          <w:sz w:val="24"/>
          <w:szCs w:val="24"/>
        </w:rPr>
        <w:t>2.2.2标准制定的目的及使用范围</w:t>
      </w:r>
      <w:bookmarkEnd w:id="10"/>
    </w:p>
    <w:p w14:paraId="3ED1DF6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高粘结聚合物沥青防水涂料是通过树脂、橡胶等聚合物改性剂对乳化沥青涂料进行改性，并通过多种助剂进行优化，得到的一种高性能沥青防水涂料，</w:t>
      </w:r>
      <w:r>
        <w:rPr>
          <w:rFonts w:hint="eastAsia" w:ascii="Times New Roman" w:hAnsi="Times New Roman" w:eastAsia="宋体" w:cs="Times New Roman"/>
          <w:sz w:val="24"/>
          <w:szCs w:val="24"/>
        </w:rPr>
        <w:t>由于</w:t>
      </w:r>
      <w:r>
        <w:rPr>
          <w:rFonts w:ascii="Times New Roman" w:hAnsi="Times New Roman" w:eastAsia="宋体" w:cs="Times New Roman"/>
          <w:sz w:val="24"/>
          <w:szCs w:val="24"/>
        </w:rPr>
        <w:t>GB 55030-2022《建筑与市政工程防水通用规范》在2023年4月1日实施后，此类防水涂料的应用越来越重要。在该规范中对于防水等级的设计提出了更高要求，90%以上的防水工程都应当按照一级防水要求进行设计，防水层结构不应少于三道。而针对这种构造要求 “高粘结聚合物沥青防水涂料+卷材”的复合防水系统+防水混凝土模式能够满足一级防水设计要求的最佳构造。</w:t>
      </w:r>
    </w:p>
    <w:p w14:paraId="0ACD33EC">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但是针对于高粘结聚合物沥青防水涂料目前尚没有完全适用的标准，相近的标准有JC/T 2428-2017、JC/T 2678-2022以及JC/T 408-2005。JC/T 2428-2017和JC/T 2678-2022以上相近标准虽然同属沥青类防水涂料，但从产品形态、制备工艺、关键性能指标上都不适用于高粘结聚合物沥青防水涂料。特别是高粘结聚合物沥青防水涂料需要满足的与卷材复合性能方面的技术要求。</w:t>
      </w:r>
    </w:p>
    <w:p w14:paraId="67F8708A">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因此，现有标准无法满足新产品的技术要求，需要制定新的产品标准来规范产品的各项性能指标，为高粘结聚合物沥青防水涂料的发展提供统一的评判依据及标准。</w:t>
      </w:r>
    </w:p>
    <w:p w14:paraId="75EE265D">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本文件规定了高粘结聚合物沥青防水涂料的术语和定义、标记、一般要求、技术要求、试验方法、检验规则、包装、标志、运输与贮存。</w:t>
      </w:r>
    </w:p>
    <w:p w14:paraId="32DAFA6C">
      <w:pPr>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本标准适用于建设工程用的高粘结聚合物沥青防水涂料。</w:t>
      </w:r>
    </w:p>
    <w:p w14:paraId="710050E4">
      <w:pPr>
        <w:pStyle w:val="2"/>
        <w:spacing w:before="100" w:after="100" w:line="360" w:lineRule="auto"/>
        <w:rPr>
          <w:rFonts w:ascii="Times New Roman" w:hAnsi="Times New Roman" w:eastAsia="宋体" w:cs="Times New Roman"/>
          <w:color w:val="auto"/>
          <w:sz w:val="24"/>
          <w:szCs w:val="24"/>
        </w:rPr>
      </w:pPr>
      <w:bookmarkStart w:id="11" w:name="_Toc41034876"/>
      <w:r>
        <w:rPr>
          <w:rFonts w:ascii="Times New Roman" w:hAnsi="Times New Roman" w:eastAsia="宋体" w:cs="Times New Roman"/>
          <w:sz w:val="24"/>
          <w:szCs w:val="24"/>
        </w:rPr>
        <w:t>2.2.3引用文件</w:t>
      </w:r>
      <w:bookmarkEnd w:id="11"/>
    </w:p>
    <w:p w14:paraId="0DD1E15F">
      <w:pPr>
        <w:pStyle w:val="11"/>
        <w:autoSpaceDE/>
        <w:autoSpaceDN/>
        <w:spacing w:beforeAutospacing="0" w:afterAutospacing="0" w:line="360" w:lineRule="auto"/>
        <w:ind w:firstLine="480" w:firstLineChars="200"/>
        <w:jc w:val="both"/>
        <w:rPr>
          <w:rFonts w:hint="default" w:hAnsi="Times New Roman" w:eastAsia="宋体"/>
          <w:sz w:val="21"/>
          <w:szCs w:val="21"/>
          <w:lang w:val="en-US" w:eastAsia="zh-CN"/>
        </w:rPr>
      </w:pPr>
      <w:r>
        <w:rPr>
          <w:rFonts w:ascii="Times New Roman" w:hAnsi="Times New Roman" w:eastAsia="宋体"/>
          <w:color w:val="auto"/>
          <w:kern w:val="2"/>
          <w:szCs w:val="24"/>
        </w:rPr>
        <w:t>标准中共</w:t>
      </w:r>
      <w:r>
        <w:rPr>
          <w:rFonts w:ascii="Times New Roman" w:hAnsi="Times New Roman" w:eastAsia="宋体"/>
          <w:kern w:val="2"/>
          <w:szCs w:val="24"/>
        </w:rPr>
        <w:t>引用了</w:t>
      </w:r>
      <w:r>
        <w:rPr>
          <w:rFonts w:hint="default" w:ascii="Times New Roman" w:hAnsi="Times New Roman" w:eastAsia="宋体"/>
          <w:kern w:val="2"/>
          <w:szCs w:val="24"/>
          <w:lang w:val="en-US" w:eastAsia="zh-CN"/>
        </w:rPr>
        <w:t>8</w:t>
      </w:r>
      <w:r>
        <w:rPr>
          <w:rFonts w:ascii="Times New Roman" w:hAnsi="Times New Roman" w:eastAsia="宋体"/>
          <w:kern w:val="2"/>
          <w:szCs w:val="24"/>
        </w:rPr>
        <w:t>项标准。GB 18242弹性体改性沥青防水卷材、</w:t>
      </w:r>
      <w:r>
        <w:rPr>
          <w:rFonts w:hint="default" w:ascii="Times New Roman" w:hAnsi="Times New Roman" w:eastAsia="宋体"/>
          <w:kern w:val="2"/>
          <w:sz w:val="24"/>
          <w:szCs w:val="24"/>
          <w:lang w:bidi="ar"/>
        </w:rPr>
        <w:t xml:space="preserve">GB 3186 </w:t>
      </w:r>
      <w:r>
        <w:rPr>
          <w:rFonts w:hint="default" w:ascii="Times New Roman" w:hAnsi="Times New Roman" w:eastAsia="宋体"/>
          <w:kern w:val="2"/>
          <w:sz w:val="24"/>
          <w:szCs w:val="24"/>
          <w:lang w:val="en-US" w:eastAsia="zh-CN" w:bidi="ar"/>
        </w:rPr>
        <w:t xml:space="preserve">    </w:t>
      </w:r>
      <w:r>
        <w:rPr>
          <w:rFonts w:hint="default" w:ascii="Times New Roman" w:hAnsi="Times New Roman" w:eastAsia="宋体"/>
          <w:kern w:val="2"/>
          <w:sz w:val="24"/>
          <w:szCs w:val="24"/>
        </w:rPr>
        <w:t>色漆、清漆和色漆与清漆用原材料取样</w:t>
      </w:r>
      <w:r>
        <w:rPr>
          <w:rFonts w:ascii="Times New Roman" w:hAnsi="Times New Roman" w:eastAsia="宋体"/>
          <w:kern w:val="2"/>
          <w:szCs w:val="24"/>
        </w:rPr>
        <w:t>、</w:t>
      </w:r>
      <w:r>
        <w:rPr>
          <w:rFonts w:hint="default" w:ascii="Times New Roman" w:hAnsi="Times New Roman" w:eastAsia="宋体"/>
          <w:kern w:val="2"/>
          <w:sz w:val="24"/>
          <w:szCs w:val="24"/>
          <w:lang w:val="en-US" w:eastAsia="zh-CN"/>
        </w:rPr>
        <w:t>GB 23441 自粘聚合物改性沥青防水卷材、</w:t>
      </w:r>
      <w:r>
        <w:rPr>
          <w:rFonts w:hint="default" w:ascii="Times New Roman" w:hAnsi="Times New Roman" w:eastAsia="宋体"/>
          <w:kern w:val="2"/>
          <w:sz w:val="24"/>
          <w:szCs w:val="24"/>
        </w:rPr>
        <w:t>GB/T 23457</w:t>
      </w:r>
      <w:r>
        <w:rPr>
          <w:rFonts w:hint="default" w:ascii="Times New Roman" w:hAnsi="Times New Roman" w:eastAsia="宋体"/>
          <w:kern w:val="2"/>
          <w:sz w:val="24"/>
          <w:szCs w:val="24"/>
          <w:lang w:val="en-US" w:eastAsia="zh-CN"/>
        </w:rPr>
        <w:t xml:space="preserve">  </w:t>
      </w:r>
      <w:r>
        <w:rPr>
          <w:rFonts w:hint="default" w:ascii="Times New Roman" w:hAnsi="Times New Roman" w:eastAsia="宋体"/>
          <w:kern w:val="2"/>
          <w:sz w:val="24"/>
          <w:szCs w:val="24"/>
        </w:rPr>
        <w:t>预铺湿铺防水卷材</w:t>
      </w:r>
      <w:r>
        <w:rPr>
          <w:rFonts w:hint="default" w:ascii="Times New Roman" w:hAnsi="Times New Roman" w:eastAsia="宋体"/>
          <w:kern w:val="2"/>
          <w:sz w:val="24"/>
          <w:szCs w:val="24"/>
          <w:lang w:eastAsia="zh-CN"/>
        </w:rPr>
        <w:t>、</w:t>
      </w:r>
      <w:r>
        <w:rPr>
          <w:rFonts w:hint="default" w:ascii="Times New Roman" w:hAnsi="Times New Roman" w:eastAsia="宋体" w:cs="Times New Roman"/>
          <w:kern w:val="2"/>
          <w:sz w:val="24"/>
          <w:szCs w:val="24"/>
          <w:lang w:bidi="ar"/>
        </w:rPr>
        <w:t>GB/T</w:t>
      </w:r>
      <w:r>
        <w:rPr>
          <w:rFonts w:hint="default" w:ascii="Times New Roman" w:hAnsi="Times New Roman" w:eastAsia="宋体"/>
          <w:kern w:val="2"/>
          <w:sz w:val="24"/>
          <w:szCs w:val="24"/>
          <w:lang w:bidi="ar"/>
        </w:rPr>
        <w:t xml:space="preserve"> </w:t>
      </w:r>
      <w:r>
        <w:rPr>
          <w:rFonts w:hint="default" w:ascii="Times New Roman" w:hAnsi="Times New Roman" w:eastAsia="宋体" w:cs="Times New Roman"/>
          <w:kern w:val="2"/>
          <w:sz w:val="24"/>
          <w:szCs w:val="24"/>
          <w:lang w:bidi="ar"/>
        </w:rPr>
        <w:t>16777</w:t>
      </w:r>
      <w:r>
        <w:rPr>
          <w:rFonts w:hint="default" w:ascii="Times New Roman" w:hAnsi="Times New Roman" w:eastAsia="宋体"/>
          <w:kern w:val="2"/>
          <w:sz w:val="24"/>
          <w:szCs w:val="24"/>
          <w:lang w:bidi="ar"/>
        </w:rPr>
        <w:t xml:space="preserve">  </w:t>
      </w:r>
      <w:r>
        <w:rPr>
          <w:rFonts w:hint="default" w:ascii="Times New Roman" w:hAnsi="Times New Roman" w:eastAsia="宋体" w:cs="Times New Roman"/>
          <w:kern w:val="2"/>
          <w:sz w:val="24"/>
          <w:szCs w:val="24"/>
          <w:lang w:bidi="ar"/>
        </w:rPr>
        <w:t>建筑防水涂料试验方法</w:t>
      </w:r>
      <w:r>
        <w:rPr>
          <w:rFonts w:hint="default" w:ascii="Times New Roman" w:hAnsi="Times New Roman" w:eastAsia="宋体" w:cs="Times New Roman"/>
          <w:kern w:val="2"/>
          <w:sz w:val="24"/>
          <w:szCs w:val="24"/>
          <w:lang w:eastAsia="zh-CN" w:bidi="ar"/>
        </w:rPr>
        <w:t>、</w:t>
      </w:r>
      <w:r>
        <w:rPr>
          <w:rFonts w:hint="default" w:ascii="Times New Roman" w:hAnsi="Times New Roman" w:eastAsia="宋体" w:cs="Times New Roman"/>
          <w:kern w:val="2"/>
          <w:sz w:val="24"/>
          <w:szCs w:val="24"/>
          <w:lang w:bidi="ar"/>
        </w:rPr>
        <w:t>GB/T 23457</w:t>
      </w:r>
      <w:r>
        <w:rPr>
          <w:rFonts w:hint="default" w:ascii="Times New Roman" w:hAnsi="Times New Roman" w:eastAsia="宋体" w:cs="Times New Roman"/>
          <w:kern w:val="2"/>
          <w:sz w:val="24"/>
          <w:szCs w:val="24"/>
          <w:lang w:val="en-US" w:eastAsia="zh-CN" w:bidi="ar"/>
        </w:rPr>
        <w:t xml:space="preserve">  预铺防水卷材、</w:t>
      </w:r>
      <w:r>
        <w:rPr>
          <w:rFonts w:hint="default" w:ascii="Times New Roman" w:hAnsi="Times New Roman" w:eastAsia="宋体" w:cs="Times New Roman"/>
          <w:kern w:val="2"/>
          <w:sz w:val="24"/>
          <w:szCs w:val="24"/>
          <w:lang w:bidi="ar"/>
        </w:rPr>
        <w:t>J</w:t>
      </w:r>
      <w:r>
        <w:rPr>
          <w:rFonts w:hint="default" w:ascii="Times New Roman" w:hAnsi="Times New Roman" w:eastAsia="宋体"/>
          <w:kern w:val="2"/>
          <w:sz w:val="24"/>
          <w:szCs w:val="24"/>
          <w:lang w:bidi="ar"/>
        </w:rPr>
        <w:t>C</w:t>
      </w:r>
      <w:r>
        <w:rPr>
          <w:rFonts w:hint="default" w:ascii="Times New Roman" w:hAnsi="Times New Roman" w:eastAsia="宋体"/>
          <w:kern w:val="2"/>
          <w:sz w:val="24"/>
          <w:szCs w:val="24"/>
          <w:lang w:val="en-US" w:eastAsia="zh-CN" w:bidi="ar"/>
        </w:rPr>
        <w:t xml:space="preserve"> </w:t>
      </w:r>
      <w:r>
        <w:rPr>
          <w:rFonts w:hint="default" w:ascii="Times New Roman" w:hAnsi="Times New Roman" w:eastAsia="宋体" w:cs="Times New Roman"/>
          <w:kern w:val="2"/>
          <w:sz w:val="24"/>
          <w:szCs w:val="24"/>
          <w:lang w:bidi="ar"/>
        </w:rPr>
        <w:t>1066</w:t>
      </w:r>
      <w:r>
        <w:rPr>
          <w:rFonts w:hint="default" w:ascii="Times New Roman" w:hAnsi="Times New Roman" w:eastAsia="宋体"/>
          <w:kern w:val="2"/>
          <w:sz w:val="24"/>
          <w:szCs w:val="24"/>
          <w:lang w:bidi="ar"/>
        </w:rPr>
        <w:t xml:space="preserve"> </w:t>
      </w:r>
      <w:r>
        <w:rPr>
          <w:rFonts w:hint="default" w:ascii="Times New Roman" w:hAnsi="Times New Roman" w:eastAsia="宋体" w:cs="Times New Roman"/>
          <w:kern w:val="2"/>
          <w:sz w:val="24"/>
          <w:szCs w:val="24"/>
          <w:lang w:bidi="ar"/>
        </w:rPr>
        <w:t>建筑防水涂料中有害物质限量</w:t>
      </w:r>
      <w:r>
        <w:rPr>
          <w:rFonts w:hint="default" w:ascii="Times New Roman" w:hAnsi="Times New Roman" w:eastAsia="宋体" w:cs="Times New Roman"/>
          <w:kern w:val="2"/>
          <w:sz w:val="24"/>
          <w:szCs w:val="24"/>
          <w:lang w:eastAsia="zh-CN" w:bidi="ar"/>
        </w:rPr>
        <w:t>、</w:t>
      </w:r>
      <w:r>
        <w:rPr>
          <w:rFonts w:hint="default" w:ascii="Times New Roman" w:hAnsi="Times New Roman" w:eastAsia="宋体" w:cs="Times New Roman"/>
          <w:kern w:val="2"/>
          <w:sz w:val="24"/>
          <w:szCs w:val="24"/>
          <w:lang w:bidi="ar"/>
        </w:rPr>
        <w:t>JC</w:t>
      </w:r>
      <w:r>
        <w:rPr>
          <w:rFonts w:hint="default" w:ascii="Times New Roman" w:hAnsi="Times New Roman" w:eastAsia="宋体" w:cs="Times New Roman"/>
          <w:kern w:val="2"/>
          <w:sz w:val="24"/>
          <w:szCs w:val="24"/>
          <w:lang w:val="en-US" w:eastAsia="zh-CN" w:bidi="ar"/>
        </w:rPr>
        <w:t>/T</w:t>
      </w:r>
      <w:r>
        <w:rPr>
          <w:rFonts w:hint="default" w:ascii="Times New Roman" w:hAnsi="Times New Roman" w:eastAsia="宋体" w:cs="Times New Roman"/>
          <w:kern w:val="2"/>
          <w:sz w:val="24"/>
          <w:szCs w:val="24"/>
          <w:lang w:bidi="ar"/>
        </w:rPr>
        <w:t xml:space="preserve"> 863</w:t>
      </w:r>
      <w:r>
        <w:rPr>
          <w:rFonts w:hint="default" w:ascii="Times New Roman" w:hAnsi="Times New Roman" w:eastAsia="宋体" w:cs="Times New Roman"/>
          <w:kern w:val="2"/>
          <w:sz w:val="24"/>
          <w:szCs w:val="24"/>
          <w:lang w:val="en-US" w:eastAsia="zh-CN" w:bidi="ar"/>
        </w:rPr>
        <w:t xml:space="preserve"> 高分子防水卷材胶粘剂</w:t>
      </w:r>
      <w:r>
        <w:rPr>
          <w:rFonts w:hint="default" w:ascii="Times New Roman" w:hAnsi="Times New Roman" w:eastAsia="宋体" w:cs="Times New Roman"/>
          <w:kern w:val="2"/>
          <w:sz w:val="24"/>
          <w:szCs w:val="24"/>
          <w:lang w:val="en-US" w:eastAsia="zh-CN" w:bidi="ar"/>
        </w:rPr>
        <w:t>。</w:t>
      </w:r>
    </w:p>
    <w:p w14:paraId="7E9B1827">
      <w:pPr>
        <w:pStyle w:val="2"/>
        <w:spacing w:before="100" w:after="100" w:line="360" w:lineRule="auto"/>
        <w:rPr>
          <w:rFonts w:ascii="Times New Roman" w:hAnsi="Times New Roman" w:eastAsia="宋体" w:cs="Times New Roman"/>
          <w:sz w:val="24"/>
          <w:szCs w:val="24"/>
        </w:rPr>
      </w:pPr>
      <w:bookmarkStart w:id="12" w:name="_Toc41034877"/>
      <w:r>
        <w:rPr>
          <w:rFonts w:ascii="Times New Roman" w:hAnsi="Times New Roman" w:eastAsia="宋体" w:cs="Times New Roman"/>
          <w:sz w:val="24"/>
          <w:szCs w:val="24"/>
        </w:rPr>
        <w:t>2.2.4术语和定义</w:t>
      </w:r>
      <w:bookmarkEnd w:id="12"/>
    </w:p>
    <w:p w14:paraId="5E31E091">
      <w:pPr>
        <w:pStyle w:val="21"/>
        <w:autoSpaceDE/>
        <w:autoSpaceDN/>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以沥青、橡胶、水为主要组份，加入多种功能型助剂，利用高分子聚合物改性沥青技术制备的、具有高粘结特点的单组</w:t>
      </w:r>
      <w:r>
        <w:rPr>
          <w:rFonts w:hint="eastAsia" w:ascii="Times New Roman" w:hAnsi="Times New Roman" w:eastAsia="宋体" w:cs="Times New Roman"/>
          <w:sz w:val="24"/>
          <w:szCs w:val="24"/>
          <w:lang w:eastAsia="zh-CN"/>
        </w:rPr>
        <w:t>分</w:t>
      </w:r>
      <w:r>
        <w:rPr>
          <w:rFonts w:ascii="Times New Roman" w:hAnsi="Times New Roman" w:eastAsia="宋体" w:cs="Times New Roman"/>
          <w:sz w:val="24"/>
          <w:szCs w:val="24"/>
        </w:rPr>
        <w:t>防水涂料。</w:t>
      </w:r>
    </w:p>
    <w:p w14:paraId="3B4B94B4">
      <w:pPr>
        <w:pStyle w:val="2"/>
        <w:spacing w:before="100" w:after="100" w:line="360" w:lineRule="auto"/>
        <w:rPr>
          <w:rFonts w:ascii="Times New Roman" w:hAnsi="Times New Roman" w:eastAsia="宋体" w:cs="Times New Roman"/>
          <w:sz w:val="24"/>
          <w:szCs w:val="24"/>
        </w:rPr>
      </w:pPr>
      <w:bookmarkStart w:id="13" w:name="_Toc41034878"/>
      <w:r>
        <w:rPr>
          <w:rFonts w:ascii="Times New Roman" w:hAnsi="Times New Roman" w:eastAsia="宋体" w:cs="Times New Roman"/>
          <w:sz w:val="24"/>
          <w:szCs w:val="24"/>
        </w:rPr>
        <w:t>2.2.5</w:t>
      </w:r>
      <w:bookmarkEnd w:id="13"/>
      <w:r>
        <w:rPr>
          <w:rFonts w:hint="eastAsia" w:ascii="Times New Roman" w:hAnsi="Times New Roman" w:eastAsia="宋体" w:cs="Times New Roman"/>
          <w:sz w:val="24"/>
          <w:szCs w:val="24"/>
        </w:rPr>
        <w:t>标记</w:t>
      </w:r>
    </w:p>
    <w:p w14:paraId="02CB1BF6">
      <w:pPr>
        <w:pStyle w:val="21"/>
        <w:autoSpaceDE/>
        <w:autoSpaceDN/>
        <w:snapToGrid w:val="0"/>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按产品名称、产品类型和标准编号顺序标记。</w:t>
      </w:r>
    </w:p>
    <w:p w14:paraId="1C0DD444">
      <w:pPr>
        <w:pStyle w:val="21"/>
        <w:snapToGrid w:val="0"/>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示例：高粘结聚合物沥青防水涂料的标记为：高粘结沥青涂料 T/CBMF XXX -XXX</w:t>
      </w:r>
    </w:p>
    <w:p w14:paraId="74B78CB6">
      <w:pPr>
        <w:pStyle w:val="21"/>
        <w:spacing w:before="100" w:after="100" w:line="360" w:lineRule="auto"/>
        <w:ind w:firstLine="0" w:firstLineChars="0"/>
        <w:rPr>
          <w:rStyle w:val="31"/>
          <w:sz w:val="24"/>
          <w:szCs w:val="24"/>
        </w:rPr>
      </w:pPr>
      <w:r>
        <w:rPr>
          <w:rFonts w:hint="eastAsia" w:ascii="Times New Roman" w:hAnsi="Times New Roman" w:eastAsia="宋体" w:cs="Times New Roman"/>
          <w:b/>
          <w:bCs/>
          <w:sz w:val="24"/>
          <w:szCs w:val="24"/>
        </w:rPr>
        <w:t>2.2.6</w:t>
      </w:r>
      <w:r>
        <w:rPr>
          <w:rStyle w:val="31"/>
          <w:rFonts w:hint="eastAsia"/>
          <w:sz w:val="24"/>
          <w:szCs w:val="24"/>
        </w:rPr>
        <w:t>一般要求</w:t>
      </w:r>
    </w:p>
    <w:p w14:paraId="1E5FA97C">
      <w:pPr>
        <w:pStyle w:val="21"/>
        <w:autoSpaceDE/>
        <w:autoSpaceDN/>
        <w:snapToGrid w:val="0"/>
        <w:spacing w:line="360" w:lineRule="auto"/>
        <w:ind w:firstLine="480"/>
        <w:rPr>
          <w:rFonts w:ascii="Times New Roman" w:hAnsi="Times New Roman" w:eastAsia="宋体" w:cs="Times New Roman"/>
          <w:sz w:val="24"/>
          <w:szCs w:val="24"/>
        </w:rPr>
      </w:pPr>
      <w:r>
        <w:rPr>
          <w:rFonts w:ascii="Times New Roman" w:hAnsi="Times New Roman" w:eastAsia="宋体" w:cs="Times New Roman"/>
          <w:sz w:val="24"/>
          <w:szCs w:val="24"/>
        </w:rPr>
        <w:t>产品的原料、生产和应用不应对人体、生物与环境造成有害的影响，所涉及与使用有关的安全与环保要求，应符合我国的相关国家标准和规范的规定。</w:t>
      </w:r>
    </w:p>
    <w:p w14:paraId="11912CD2">
      <w:pPr>
        <w:pStyle w:val="2"/>
        <w:spacing w:before="100" w:after="100" w:line="360" w:lineRule="auto"/>
        <w:rPr>
          <w:rFonts w:ascii="Times New Roman" w:hAnsi="Times New Roman" w:eastAsia="宋体" w:cs="Times New Roman"/>
          <w:sz w:val="24"/>
          <w:szCs w:val="24"/>
          <w:lang w:val="zh-CN"/>
        </w:rPr>
      </w:pPr>
      <w:r>
        <w:rPr>
          <w:rFonts w:ascii="Times New Roman" w:hAnsi="Times New Roman" w:eastAsia="宋体" w:cs="Times New Roman"/>
          <w:sz w:val="24"/>
          <w:szCs w:val="24"/>
        </w:rPr>
        <w:t>2.2.</w:t>
      </w:r>
      <w:r>
        <w:rPr>
          <w:rFonts w:hint="eastAsia" w:ascii="Times New Roman" w:hAnsi="Times New Roman" w:eastAsia="宋体" w:cs="Times New Roman"/>
          <w:sz w:val="24"/>
          <w:szCs w:val="24"/>
        </w:rPr>
        <w:t>7</w:t>
      </w:r>
      <w:r>
        <w:rPr>
          <w:rFonts w:ascii="Times New Roman" w:hAnsi="Times New Roman" w:eastAsia="宋体" w:cs="Times New Roman"/>
          <w:sz w:val="24"/>
          <w:szCs w:val="24"/>
        </w:rPr>
        <w:t>技术要求</w:t>
      </w:r>
    </w:p>
    <w:p w14:paraId="1A94F7DB">
      <w:pPr>
        <w:spacing w:line="360" w:lineRule="auto"/>
        <w:ind w:left="420" w:leftChars="200" w:firstLine="240" w:firstLineChars="1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外观</w:t>
      </w:r>
    </w:p>
    <w:p w14:paraId="0BE6EA5A">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sz w:val="24"/>
          <w:szCs w:val="24"/>
        </w:rPr>
        <w:t>样品搅拌后均匀无色差、无凝胶、无结块、无明显沥青丝。</w:t>
      </w:r>
    </w:p>
    <w:p w14:paraId="23809B9B">
      <w:pPr>
        <w:spacing w:line="360" w:lineRule="auto"/>
        <w:ind w:firstLine="720" w:firstLineChars="3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2、固体含量</w:t>
      </w:r>
    </w:p>
    <w:p w14:paraId="0FFC9826">
      <w:pPr>
        <w:widowControl/>
        <w:spacing w:line="360" w:lineRule="auto"/>
        <w:ind w:firstLine="480" w:firstLineChars="200"/>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lang w:bidi="ar"/>
          <w14:textFill>
            <w14:solidFill>
              <w14:schemeClr w14:val="tx1"/>
            </w14:solidFill>
          </w14:textFill>
        </w:rPr>
        <w:t>固</w:t>
      </w:r>
      <w:r>
        <w:rPr>
          <w:rFonts w:hint="eastAsia" w:ascii="Times New Roman" w:hAnsi="Times New Roman" w:eastAsia="宋体" w:cs="Times New Roman"/>
          <w:color w:val="000000" w:themeColor="text1"/>
          <w:sz w:val="24"/>
          <w:szCs w:val="24"/>
          <w:lang w:bidi="ar"/>
          <w14:textFill>
            <w14:solidFill>
              <w14:schemeClr w14:val="tx1"/>
            </w14:solidFill>
          </w14:textFill>
        </w:rPr>
        <w:t>体</w:t>
      </w:r>
      <w:r>
        <w:rPr>
          <w:rFonts w:ascii="Times New Roman" w:hAnsi="Times New Roman" w:eastAsia="宋体" w:cs="Times New Roman"/>
          <w:color w:val="000000" w:themeColor="text1"/>
          <w:sz w:val="24"/>
          <w:szCs w:val="24"/>
          <w:lang w:bidi="ar"/>
          <w14:textFill>
            <w14:solidFill>
              <w14:schemeClr w14:val="tx1"/>
            </w14:solidFill>
          </w14:textFill>
        </w:rPr>
        <w:t xml:space="preserve">含量是衡量产品有效物质含量的一个重要指标。 </w:t>
      </w:r>
      <w:r>
        <w:rPr>
          <w:rFonts w:hint="eastAsia" w:ascii="Times New Roman" w:hAnsi="Times New Roman" w:eastAsia="宋体" w:cs="Times New Roman"/>
          <w:color w:val="000000" w:themeColor="text1"/>
          <w:sz w:val="24"/>
          <w:szCs w:val="24"/>
          <w:lang w:bidi="ar"/>
          <w14:textFill>
            <w14:solidFill>
              <w14:schemeClr w14:val="tx1"/>
            </w14:solidFill>
          </w14:textFill>
        </w:rPr>
        <w:t>但</w:t>
      </w:r>
      <w:r>
        <w:rPr>
          <w:rFonts w:ascii="Times New Roman" w:hAnsi="Times New Roman" w:eastAsia="宋体" w:cs="Times New Roman"/>
          <w:color w:val="000000" w:themeColor="text1"/>
          <w:sz w:val="24"/>
          <w:szCs w:val="24"/>
          <w:lang w:bidi="ar"/>
          <w14:textFill>
            <w14:solidFill>
              <w14:schemeClr w14:val="tx1"/>
            </w14:solidFill>
          </w14:textFill>
        </w:rPr>
        <w:t xml:space="preserve">固含量越高，粘度越大，机械喷涂就越困难。因此还要兼顾其产品的其它性能，如产品的粘度、施工性（喷涂）、储存稳定性。 </w:t>
      </w:r>
    </w:p>
    <w:p w14:paraId="6A224CD4">
      <w:pPr>
        <w:spacing w:line="360" w:lineRule="auto"/>
        <w:ind w:firstLine="720" w:firstLineChars="3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3、耐热性</w:t>
      </w:r>
    </w:p>
    <w:p w14:paraId="273E63C5">
      <w:pPr>
        <w:widowControl/>
        <w:spacing w:line="360" w:lineRule="auto"/>
        <w:ind w:firstLine="480" w:firstLineChars="200"/>
        <w:jc w:val="left"/>
        <w:rPr>
          <w:rFonts w:ascii="Times New Roman" w:hAnsi="Times New Roman" w:eastAsia="宋体" w:cs="Times New Roman"/>
          <w:color w:val="000000" w:themeColor="text1"/>
          <w:sz w:val="24"/>
          <w:szCs w:val="24"/>
          <w:lang w:bidi="ar"/>
          <w14:textFill>
            <w14:solidFill>
              <w14:schemeClr w14:val="tx1"/>
            </w14:solidFill>
          </w14:textFill>
        </w:rPr>
      </w:pPr>
      <w:r>
        <w:rPr>
          <w:rFonts w:ascii="Times New Roman" w:hAnsi="Times New Roman" w:eastAsia="宋体" w:cs="Times New Roman"/>
          <w:color w:val="000000" w:themeColor="text1"/>
          <w:sz w:val="24"/>
          <w:szCs w:val="24"/>
          <w:lang w:bidi="ar"/>
          <w14:textFill>
            <w14:solidFill>
              <w14:schemeClr w14:val="tx1"/>
            </w14:solidFill>
          </w14:textFill>
        </w:rPr>
        <w:t xml:space="preserve">耐热性反映产品在多少温度下涂层不会产生流动（滑移）的能力。为了保证产品的施工和应用部位的可靠性，特别在立面施工，就是通过耐热性指标来衡量。耐热性高于使用环境温度就不会产生流动（滑移）。 </w:t>
      </w:r>
    </w:p>
    <w:p w14:paraId="11D3DB76">
      <w:pPr>
        <w:spacing w:line="360" w:lineRule="auto"/>
        <w:ind w:firstLine="720" w:firstLineChars="300"/>
        <w:rPr>
          <w:rFonts w:ascii="Times New Roman" w:hAnsi="Times New Roman" w:eastAsia="宋体" w:cs="Times New Roman"/>
          <w:sz w:val="24"/>
          <w:szCs w:val="24"/>
        </w:rPr>
      </w:pPr>
      <w:r>
        <w:rPr>
          <w:rFonts w:hint="eastAsia" w:ascii="Times New Roman" w:hAnsi="Times New Roman" w:eastAsia="宋体" w:cs="Times New Roman"/>
          <w:sz w:val="24"/>
          <w:szCs w:val="24"/>
        </w:rPr>
        <w:t>4、不透水性</w:t>
      </w:r>
    </w:p>
    <w:p w14:paraId="58DB86AC">
      <w:pPr>
        <w:widowControl/>
        <w:spacing w:line="360" w:lineRule="auto"/>
        <w:ind w:firstLine="480" w:firstLineChars="200"/>
        <w:jc w:val="left"/>
        <w:rPr>
          <w:rFonts w:ascii="Times New Roman" w:hAnsi="Times New Roman" w:eastAsia="宋体" w:cs="Times New Roman"/>
          <w:color w:val="000000" w:themeColor="text1"/>
          <w:sz w:val="24"/>
          <w:szCs w:val="24"/>
          <w:lang w:bidi="ar"/>
          <w14:textFill>
            <w14:solidFill>
              <w14:schemeClr w14:val="tx1"/>
            </w14:solidFill>
          </w14:textFill>
        </w:rPr>
      </w:pPr>
      <w:r>
        <w:rPr>
          <w:rFonts w:ascii="Times New Roman" w:hAnsi="Times New Roman" w:eastAsia="宋体" w:cs="Times New Roman"/>
          <w:color w:val="000000" w:themeColor="text1"/>
          <w:sz w:val="24"/>
          <w:szCs w:val="24"/>
          <w:lang w:bidi="ar"/>
          <w14:textFill>
            <w14:solidFill>
              <w14:schemeClr w14:val="tx1"/>
            </w14:solidFill>
          </w14:textFill>
        </w:rPr>
        <w:t>抗窜水性，反映产品抗窜水的能力。</w:t>
      </w:r>
    </w:p>
    <w:p w14:paraId="6F53A450">
      <w:pPr>
        <w:spacing w:line="360" w:lineRule="auto"/>
        <w:ind w:firstLine="720" w:firstLineChars="300"/>
        <w:rPr>
          <w:rFonts w:ascii="Times New Roman" w:hAnsi="Times New Roman" w:eastAsia="宋体" w:cs="Times New Roman"/>
          <w:sz w:val="24"/>
          <w:szCs w:val="24"/>
        </w:rPr>
      </w:pPr>
      <w:r>
        <w:rPr>
          <w:rFonts w:hint="eastAsia" w:ascii="Times New Roman" w:hAnsi="Times New Roman" w:eastAsia="宋体" w:cs="Times New Roman"/>
          <w:sz w:val="24"/>
          <w:szCs w:val="24"/>
        </w:rPr>
        <w:t>5、粘结强度</w:t>
      </w:r>
    </w:p>
    <w:p w14:paraId="3F7A2A81">
      <w:pPr>
        <w:widowControl/>
        <w:spacing w:line="360" w:lineRule="auto"/>
        <w:ind w:firstLine="480" w:firstLineChars="200"/>
        <w:jc w:val="left"/>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lang w:bidi="ar"/>
          <w14:textFill>
            <w14:solidFill>
              <w14:schemeClr w14:val="tx1"/>
            </w14:solidFill>
          </w14:textFill>
        </w:rPr>
        <w:t>粘结强度反映</w:t>
      </w:r>
      <w:r>
        <w:rPr>
          <w:rFonts w:ascii="Times New Roman" w:hAnsi="Times New Roman" w:eastAsia="宋体" w:cs="Times New Roman"/>
          <w:sz w:val="24"/>
          <w:szCs w:val="24"/>
        </w:rPr>
        <w:t>高粘结聚合物沥青防水涂料</w:t>
      </w:r>
      <w:r>
        <w:rPr>
          <w:rFonts w:ascii="Times New Roman" w:hAnsi="Times New Roman" w:eastAsia="宋体" w:cs="Times New Roman"/>
          <w:color w:val="000000" w:themeColor="text1"/>
          <w:sz w:val="24"/>
          <w:szCs w:val="24"/>
          <w:lang w:bidi="ar"/>
          <w14:textFill>
            <w14:solidFill>
              <w14:schemeClr w14:val="tx1"/>
            </w14:solidFill>
          </w14:textFill>
        </w:rPr>
        <w:t>产品与混凝土、砂浆基面的粘接效果。由于产品干燥后始终保持粘滞状态，与混凝土、砂浆基面的粘接以后，就很难与混凝土、砂浆基面剥离且粘接效果效果好，由于内应力小，用“8”字模粘接后拉开，基层无脱离而是涂层中间拉开。因此规定粘结性能是内聚破坏。粘结性能分为干基面粘结性能和湿基面粘结性能。</w:t>
      </w:r>
    </w:p>
    <w:p w14:paraId="75908E27">
      <w:pPr>
        <w:spacing w:line="360" w:lineRule="auto"/>
        <w:ind w:firstLine="720" w:firstLineChars="300"/>
        <w:rPr>
          <w:rFonts w:ascii="Times New Roman" w:hAnsi="Times New Roman" w:eastAsia="宋体" w:cs="Times New Roman"/>
          <w:sz w:val="24"/>
          <w:szCs w:val="24"/>
        </w:rPr>
      </w:pPr>
      <w:r>
        <w:rPr>
          <w:rFonts w:hint="eastAsia" w:ascii="Times New Roman" w:hAnsi="Times New Roman" w:eastAsia="宋体" w:cs="Times New Roman"/>
          <w:sz w:val="24"/>
          <w:szCs w:val="24"/>
        </w:rPr>
        <w:t>6、表干时间、实干时间</w:t>
      </w:r>
    </w:p>
    <w:p w14:paraId="0FC7B57B">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在规定的干燥条件下，表面成膜的时间为表干时间，全部形成固体涂膜的时间成为实干时间。</w:t>
      </w:r>
    </w:p>
    <w:p w14:paraId="1BA43E4D">
      <w:pPr>
        <w:spacing w:line="360" w:lineRule="auto"/>
        <w:ind w:firstLine="720" w:firstLineChars="300"/>
        <w:rPr>
          <w:rFonts w:ascii="Times New Roman" w:hAnsi="Times New Roman" w:eastAsia="宋体" w:cs="Times New Roman"/>
          <w:kern w:val="0"/>
          <w:sz w:val="24"/>
          <w:szCs w:val="24"/>
        </w:rPr>
      </w:pPr>
      <w:r>
        <w:rPr>
          <w:rFonts w:hint="eastAsia" w:ascii="Times New Roman" w:hAnsi="Times New Roman" w:eastAsia="宋体" w:cs="Times New Roman"/>
          <w:sz w:val="24"/>
          <w:szCs w:val="24"/>
        </w:rPr>
        <w:t>7、</w:t>
      </w:r>
      <w:r>
        <w:rPr>
          <w:rFonts w:hint="eastAsia" w:ascii="Times New Roman" w:hAnsi="Times New Roman" w:eastAsia="宋体" w:cs="Times New Roman"/>
          <w:kern w:val="0"/>
          <w:sz w:val="24"/>
          <w:szCs w:val="24"/>
        </w:rPr>
        <w:t>低温柔性</w:t>
      </w:r>
    </w:p>
    <w:p w14:paraId="310DB941">
      <w:pPr>
        <w:widowControl/>
        <w:spacing w:line="360" w:lineRule="auto"/>
        <w:ind w:firstLine="480" w:firstLineChars="200"/>
        <w:jc w:val="left"/>
        <w:rPr>
          <w:rFonts w:ascii="Times New Roman" w:hAnsi="Times New Roman" w:eastAsia="宋体" w:cs="Times New Roman"/>
          <w:color w:val="000000" w:themeColor="text1"/>
          <w:sz w:val="24"/>
          <w:szCs w:val="24"/>
          <w:lang w:bidi="ar"/>
          <w14:textFill>
            <w14:solidFill>
              <w14:schemeClr w14:val="tx1"/>
            </w14:solidFill>
          </w14:textFill>
        </w:rPr>
      </w:pPr>
      <w:r>
        <w:rPr>
          <w:rFonts w:ascii="Times New Roman" w:hAnsi="Times New Roman" w:eastAsia="宋体" w:cs="Times New Roman"/>
          <w:color w:val="000000" w:themeColor="text1"/>
          <w:sz w:val="24"/>
          <w:szCs w:val="24"/>
          <w:lang w:bidi="ar"/>
          <w14:textFill>
            <w14:solidFill>
              <w14:schemeClr w14:val="tx1"/>
            </w14:solidFill>
          </w14:textFill>
        </w:rPr>
        <w:t>低温柔性反映了材料低温施工和低温变形能力，以及材料本身的特性，低温柔性的好坏与聚合物改性材料的</w:t>
      </w:r>
      <w:r>
        <w:rPr>
          <w:rFonts w:hint="eastAsia" w:ascii="Times New Roman" w:hAnsi="Times New Roman" w:eastAsia="宋体" w:cs="Times New Roman"/>
          <w:color w:val="000000" w:themeColor="text1"/>
          <w:sz w:val="24"/>
          <w:szCs w:val="24"/>
          <w:lang w:bidi="ar"/>
          <w14:textFill>
            <w14:solidFill>
              <w14:schemeClr w14:val="tx1"/>
            </w14:solidFill>
          </w14:textFill>
        </w:rPr>
        <w:t>添</w:t>
      </w:r>
      <w:r>
        <w:rPr>
          <w:rFonts w:ascii="Times New Roman" w:hAnsi="Times New Roman" w:eastAsia="宋体" w:cs="Times New Roman"/>
          <w:color w:val="000000" w:themeColor="text1"/>
          <w:sz w:val="24"/>
          <w:szCs w:val="24"/>
          <w:lang w:bidi="ar"/>
          <w14:textFill>
            <w14:solidFill>
              <w14:schemeClr w14:val="tx1"/>
            </w14:solidFill>
          </w14:textFill>
        </w:rPr>
        <w:t>加量，以及增塑剂的加量有关。</w:t>
      </w:r>
    </w:p>
    <w:p w14:paraId="6BB309D1">
      <w:pPr>
        <w:widowControl/>
        <w:spacing w:line="360" w:lineRule="auto"/>
        <w:ind w:firstLine="720" w:firstLineChars="300"/>
        <w:jc w:val="left"/>
        <w:rPr>
          <w:rFonts w:ascii="Times New Roman" w:hAnsi="Times New Roman" w:eastAsia="宋体" w:cs="Times New Roman"/>
          <w:sz w:val="24"/>
          <w:szCs w:val="24"/>
          <w:lang w:bidi="ar"/>
        </w:rPr>
      </w:pPr>
      <w:r>
        <w:rPr>
          <w:rFonts w:hint="eastAsia" w:ascii="Times New Roman" w:hAnsi="Times New Roman" w:eastAsia="宋体" w:cs="Times New Roman"/>
          <w:sz w:val="24"/>
          <w:szCs w:val="24"/>
          <w:lang w:bidi="ar"/>
        </w:rPr>
        <w:t>8、断裂伸长率</w:t>
      </w:r>
    </w:p>
    <w:p w14:paraId="45A34BB6">
      <w:pPr>
        <w:widowControl/>
        <w:spacing w:line="360" w:lineRule="auto"/>
        <w:ind w:firstLine="480" w:firstLineChars="200"/>
        <w:jc w:val="left"/>
        <w:rPr>
          <w:rFonts w:ascii="Times New Roman" w:hAnsi="Times New Roman" w:eastAsia="宋体" w:cs="Times New Roman"/>
          <w:sz w:val="24"/>
          <w:szCs w:val="24"/>
          <w:lang w:bidi="ar"/>
        </w:rPr>
      </w:pPr>
      <w:r>
        <w:rPr>
          <w:rFonts w:hint="eastAsia" w:ascii="Times New Roman" w:hAnsi="Times New Roman" w:eastAsia="宋体" w:cs="Times New Roman"/>
          <w:color w:val="000000" w:themeColor="text1"/>
          <w:sz w:val="24"/>
          <w:szCs w:val="24"/>
          <w:lang w:bidi="ar"/>
          <w14:textFill>
            <w14:solidFill>
              <w14:schemeClr w14:val="tx1"/>
            </w14:solidFill>
          </w14:textFill>
        </w:rPr>
        <w:t>断裂伸长率</w:t>
      </w:r>
      <w:r>
        <w:rPr>
          <w:rFonts w:ascii="Times New Roman" w:hAnsi="Times New Roman" w:eastAsia="宋体" w:cs="Times New Roman"/>
          <w:color w:val="000000" w:themeColor="text1"/>
          <w:sz w:val="24"/>
          <w:szCs w:val="24"/>
          <w:lang w:bidi="ar"/>
          <w14:textFill>
            <w14:solidFill>
              <w14:schemeClr w14:val="tx1"/>
            </w14:solidFill>
          </w14:textFill>
        </w:rPr>
        <w:t>反映涂层伸长的能力。由于产品不成膜，因此无法象普通的涂膜</w:t>
      </w:r>
      <w:r>
        <w:rPr>
          <w:rFonts w:ascii="Times New Roman" w:hAnsi="Times New Roman" w:eastAsia="宋体" w:cs="Times New Roman"/>
          <w:sz w:val="24"/>
          <w:szCs w:val="24"/>
          <w:lang w:bidi="ar"/>
        </w:rPr>
        <w:t>状材料裁切哑铃型测定伸长率，但涂层仍有延伸性。</w:t>
      </w:r>
    </w:p>
    <w:p w14:paraId="2F1F0708">
      <w:pPr>
        <w:widowControl/>
        <w:spacing w:line="360" w:lineRule="auto"/>
        <w:ind w:firstLine="720" w:firstLineChars="300"/>
        <w:jc w:val="left"/>
        <w:rPr>
          <w:rFonts w:ascii="Times New Roman" w:hAnsi="Times New Roman" w:eastAsia="宋体" w:cs="Times New Roman"/>
          <w:sz w:val="24"/>
          <w:szCs w:val="24"/>
          <w:lang w:bidi="ar"/>
        </w:rPr>
      </w:pPr>
      <w:r>
        <w:rPr>
          <w:rFonts w:hint="eastAsia" w:ascii="Times New Roman" w:hAnsi="Times New Roman" w:eastAsia="宋体" w:cs="Times New Roman"/>
          <w:sz w:val="24"/>
          <w:szCs w:val="24"/>
          <w:lang w:bidi="ar"/>
        </w:rPr>
        <w:t>9、耐水性</w:t>
      </w:r>
    </w:p>
    <w:p w14:paraId="3EE3DF7F">
      <w:pPr>
        <w:widowControl/>
        <w:spacing w:line="360" w:lineRule="auto"/>
        <w:ind w:firstLine="480" w:firstLineChars="200"/>
        <w:jc w:val="left"/>
        <w:rPr>
          <w:rFonts w:ascii="Times New Roman" w:hAnsi="Times New Roman" w:eastAsia="宋体" w:cs="Times New Roman"/>
          <w:sz w:val="24"/>
          <w:szCs w:val="24"/>
          <w:lang w:bidi="ar"/>
        </w:rPr>
      </w:pPr>
      <w:r>
        <w:rPr>
          <w:rFonts w:hint="eastAsia" w:ascii="Times New Roman" w:hAnsi="Times New Roman" w:eastAsia="宋体" w:cs="Times New Roman"/>
          <w:sz w:val="24"/>
          <w:szCs w:val="24"/>
          <w:lang w:bidi="ar"/>
        </w:rPr>
        <w:t>耐水性指材料抵抗水破坏的能力。材料吸水后，内布质点之间的结合力被消弱，导致材料强度均有不同程度的下降，耐水力越强说明材料抵抗水破坏的能力越强。</w:t>
      </w:r>
    </w:p>
    <w:p w14:paraId="63836551">
      <w:pPr>
        <w:widowControl/>
        <w:spacing w:line="360" w:lineRule="auto"/>
        <w:ind w:firstLine="720" w:firstLineChars="300"/>
        <w:jc w:val="left"/>
        <w:rPr>
          <w:rFonts w:ascii="Times New Roman" w:hAnsi="Times New Roman" w:eastAsia="宋体" w:cs="Times New Roman"/>
          <w:sz w:val="24"/>
          <w:szCs w:val="24"/>
          <w:lang w:bidi="ar"/>
        </w:rPr>
      </w:pPr>
      <w:r>
        <w:rPr>
          <w:rFonts w:hint="eastAsia" w:ascii="Times New Roman" w:hAnsi="Times New Roman" w:eastAsia="宋体" w:cs="Times New Roman"/>
          <w:sz w:val="24"/>
          <w:szCs w:val="24"/>
          <w:lang w:bidi="ar"/>
        </w:rPr>
        <w:t>10、剥离强度</w:t>
      </w:r>
    </w:p>
    <w:p w14:paraId="11F45450">
      <w:pPr>
        <w:widowControl/>
        <w:spacing w:line="360" w:lineRule="auto"/>
        <w:ind w:firstLine="480" w:firstLineChars="20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剥离强度是指试样</w:t>
      </w:r>
      <w:r>
        <w:rPr>
          <w:rFonts w:hint="eastAsia" w:ascii="Times New Roman" w:hAnsi="Times New Roman" w:eastAsia="宋体" w:cs="Times New Roman"/>
          <w:sz w:val="24"/>
          <w:szCs w:val="24"/>
          <w:lang w:bidi="ar"/>
        </w:rPr>
        <w:t>涂刷在</w:t>
      </w:r>
      <w:r>
        <w:rPr>
          <w:rFonts w:ascii="Times New Roman" w:hAnsi="Times New Roman" w:eastAsia="宋体" w:cs="Times New Roman"/>
          <w:sz w:val="24"/>
          <w:szCs w:val="24"/>
          <w:lang w:bidi="ar"/>
        </w:rPr>
        <w:t>水泥砂浆块上，表面</w:t>
      </w:r>
      <w:r>
        <w:rPr>
          <w:rFonts w:hint="eastAsia" w:ascii="Times New Roman" w:hAnsi="Times New Roman" w:eastAsia="宋体" w:cs="Times New Roman"/>
          <w:sz w:val="24"/>
          <w:szCs w:val="24"/>
          <w:lang w:bidi="ar"/>
        </w:rPr>
        <w:t>复合改性沥青卷材</w:t>
      </w:r>
      <w:r>
        <w:rPr>
          <w:rFonts w:ascii="Times New Roman" w:hAnsi="Times New Roman" w:eastAsia="宋体" w:cs="Times New Roman"/>
          <w:sz w:val="24"/>
          <w:szCs w:val="24"/>
          <w:lang w:bidi="ar"/>
        </w:rPr>
        <w:t>，在试验机上从接触面进行单位宽度剥离时所需要的</w:t>
      </w:r>
      <w:r>
        <w:rPr>
          <w:rFonts w:hint="eastAsia" w:ascii="Times New Roman" w:hAnsi="Times New Roman" w:eastAsia="宋体" w:cs="Times New Roman"/>
          <w:sz w:val="24"/>
          <w:szCs w:val="24"/>
          <w:lang w:bidi="ar"/>
        </w:rPr>
        <w:t>平均力</w:t>
      </w:r>
      <w:r>
        <w:rPr>
          <w:rFonts w:ascii="Times New Roman" w:hAnsi="Times New Roman" w:eastAsia="宋体" w:cs="Times New Roman"/>
          <w:sz w:val="24"/>
          <w:szCs w:val="24"/>
          <w:lang w:bidi="ar"/>
        </w:rPr>
        <w:t>，反映的产品与基层的粘结性能。</w:t>
      </w:r>
    </w:p>
    <w:p w14:paraId="1A1D2030">
      <w:pPr>
        <w:widowControl/>
        <w:spacing w:line="360" w:lineRule="auto"/>
        <w:ind w:firstLine="720" w:firstLineChars="300"/>
        <w:jc w:val="left"/>
        <w:rPr>
          <w:rFonts w:ascii="Times New Roman" w:hAnsi="Times New Roman" w:eastAsia="宋体" w:cs="Times New Roman"/>
          <w:sz w:val="24"/>
          <w:szCs w:val="24"/>
        </w:rPr>
      </w:pPr>
      <w:r>
        <w:rPr>
          <w:rFonts w:ascii="Times New Roman" w:hAnsi="Times New Roman" w:eastAsia="宋体" w:cs="Times New Roman"/>
          <w:sz w:val="24"/>
          <w:szCs w:val="24"/>
          <w:lang w:bidi="ar"/>
        </w:rPr>
        <w:t>11</w:t>
      </w:r>
      <w:r>
        <w:rPr>
          <w:rFonts w:hint="eastAsia" w:ascii="Times New Roman" w:hAnsi="Times New Roman" w:eastAsia="宋体" w:cs="Times New Roman"/>
          <w:sz w:val="24"/>
          <w:szCs w:val="24"/>
          <w:lang w:bidi="ar"/>
        </w:rPr>
        <w:t>、</w:t>
      </w:r>
      <w:r>
        <w:rPr>
          <w:rFonts w:ascii="Times New Roman" w:hAnsi="Times New Roman" w:eastAsia="宋体" w:cs="Times New Roman"/>
          <w:sz w:val="24"/>
          <w:szCs w:val="24"/>
        </w:rPr>
        <w:t>挥发性有机化合物（VOC）含量</w:t>
      </w:r>
    </w:p>
    <w:p w14:paraId="792A7D6D">
      <w:pPr>
        <w:widowControl/>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lang w:bidi="ar"/>
        </w:rPr>
        <w:t>鉴于国家重视环保要求，因此标准制订设立了有害物质限量的试验项目，按照JC 1066《建筑防水涂料中有害物质限量》4.1条水性建筑防水涂料的要求。</w:t>
      </w:r>
    </w:p>
    <w:p w14:paraId="5CE56B4E">
      <w:pPr>
        <w:pStyle w:val="2"/>
        <w:spacing w:before="100" w:after="100" w:line="360" w:lineRule="auto"/>
        <w:rPr>
          <w:rFonts w:ascii="Times New Roman" w:hAnsi="Times New Roman" w:eastAsia="宋体" w:cs="Times New Roman"/>
          <w:sz w:val="24"/>
          <w:szCs w:val="24"/>
          <w:lang w:val="zh-CN"/>
        </w:rPr>
      </w:pPr>
      <w:r>
        <w:rPr>
          <w:rFonts w:ascii="Times New Roman" w:hAnsi="Times New Roman" w:eastAsia="宋体" w:cs="Times New Roman"/>
          <w:sz w:val="24"/>
          <w:szCs w:val="24"/>
        </w:rPr>
        <w:t>2.2.</w:t>
      </w:r>
      <w:r>
        <w:rPr>
          <w:rFonts w:hint="eastAsia" w:ascii="Times New Roman" w:hAnsi="Times New Roman" w:eastAsia="宋体" w:cs="Times New Roman"/>
          <w:sz w:val="24"/>
          <w:szCs w:val="24"/>
        </w:rPr>
        <w:t>8</w:t>
      </w:r>
      <w:r>
        <w:rPr>
          <w:rFonts w:ascii="Times New Roman" w:hAnsi="Times New Roman" w:eastAsia="宋体" w:cs="Times New Roman"/>
          <w:sz w:val="24"/>
          <w:szCs w:val="24"/>
        </w:rPr>
        <w:t>试验方法</w:t>
      </w:r>
    </w:p>
    <w:p w14:paraId="768DF80E">
      <w:pPr>
        <w:widowControl/>
        <w:spacing w:line="360" w:lineRule="auto"/>
        <w:ind w:firstLine="480" w:firstLineChars="20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标准实验条件</w:t>
      </w:r>
      <w:r>
        <w:rPr>
          <w:rFonts w:ascii="Times New Roman" w:hAnsi="Times New Roman" w:eastAsia="宋体" w:cs="Times New Roman"/>
          <w:sz w:val="24"/>
          <w:szCs w:val="24"/>
          <w:lang w:val="zh-CN" w:bidi="ar"/>
        </w:rPr>
        <w:t>：温度（</w:t>
      </w:r>
      <w:r>
        <w:rPr>
          <w:rFonts w:hint="eastAsia" w:ascii="Times New Roman" w:hAnsi="Times New Roman" w:eastAsia="宋体" w:cs="Times New Roman"/>
          <w:sz w:val="24"/>
          <w:szCs w:val="24"/>
          <w:lang w:val="zh-CN" w:bidi="ar"/>
        </w:rPr>
        <w:t>23</w:t>
      </w:r>
      <w:r>
        <w:rPr>
          <w:rFonts w:ascii="Times New Roman" w:hAnsi="Times New Roman" w:eastAsia="宋体" w:cs="Times New Roman"/>
          <w:sz w:val="24"/>
          <w:szCs w:val="24"/>
          <w:lang w:val="zh-CN" w:bidi="ar"/>
        </w:rPr>
        <w:t>±</w:t>
      </w:r>
      <w:r>
        <w:rPr>
          <w:rFonts w:hint="eastAsia" w:ascii="Times New Roman" w:hAnsi="Times New Roman" w:eastAsia="宋体" w:cs="Times New Roman"/>
          <w:sz w:val="24"/>
          <w:szCs w:val="24"/>
          <w:lang w:val="zh-CN" w:bidi="ar"/>
        </w:rPr>
        <w:t>2</w:t>
      </w:r>
      <w:r>
        <w:rPr>
          <w:rFonts w:ascii="Times New Roman" w:hAnsi="Times New Roman" w:eastAsia="宋体" w:cs="Times New Roman"/>
          <w:sz w:val="24"/>
          <w:szCs w:val="24"/>
          <w:lang w:val="zh-CN" w:bidi="ar"/>
        </w:rPr>
        <w:t>）℃，相对湿度（</w:t>
      </w:r>
      <w:r>
        <w:rPr>
          <w:rFonts w:hint="eastAsia" w:ascii="Times New Roman" w:hAnsi="Times New Roman" w:eastAsia="宋体" w:cs="Times New Roman"/>
          <w:sz w:val="24"/>
          <w:szCs w:val="24"/>
          <w:lang w:val="en-US" w:eastAsia="zh-CN" w:bidi="ar"/>
        </w:rPr>
        <w:t>50</w:t>
      </w:r>
      <w:r>
        <w:rPr>
          <w:rFonts w:ascii="Times New Roman" w:hAnsi="Times New Roman" w:eastAsia="宋体" w:cs="Times New Roman"/>
          <w:sz w:val="24"/>
          <w:szCs w:val="24"/>
          <w:lang w:val="zh-CN" w:bidi="ar"/>
        </w:rPr>
        <w:t>±</w:t>
      </w:r>
      <w:r>
        <w:rPr>
          <w:rFonts w:hint="eastAsia" w:ascii="Times New Roman" w:hAnsi="Times New Roman" w:eastAsia="宋体" w:cs="Times New Roman"/>
          <w:sz w:val="24"/>
          <w:szCs w:val="24"/>
          <w:lang w:val="zh-CN" w:bidi="ar"/>
        </w:rPr>
        <w:t>1</w:t>
      </w:r>
      <w:r>
        <w:rPr>
          <w:rFonts w:hint="eastAsia" w:ascii="Times New Roman" w:hAnsi="Times New Roman" w:eastAsia="宋体" w:cs="Times New Roman"/>
          <w:sz w:val="24"/>
          <w:szCs w:val="24"/>
          <w:lang w:val="en-US" w:eastAsia="zh-CN" w:bidi="ar"/>
        </w:rPr>
        <w:t>0</w:t>
      </w:r>
      <w:r>
        <w:rPr>
          <w:rFonts w:ascii="Times New Roman" w:hAnsi="Times New Roman" w:eastAsia="宋体" w:cs="Times New Roman"/>
          <w:sz w:val="24"/>
          <w:szCs w:val="24"/>
          <w:lang w:val="zh-CN" w:bidi="ar"/>
        </w:rPr>
        <w:t>）％</w:t>
      </w:r>
      <w:r>
        <w:rPr>
          <w:rFonts w:ascii="Times New Roman" w:hAnsi="Times New Roman" w:eastAsia="宋体" w:cs="Times New Roman"/>
          <w:sz w:val="24"/>
          <w:szCs w:val="24"/>
          <w:lang w:bidi="ar"/>
        </w:rPr>
        <w:t>。</w:t>
      </w:r>
      <w:r>
        <w:rPr>
          <w:rFonts w:ascii="Times New Roman" w:hAnsi="Times New Roman" w:eastAsia="宋体" w:cs="Times New Roman"/>
          <w:sz w:val="24"/>
          <w:szCs w:val="24"/>
          <w:lang w:val="zh-CN" w:bidi="ar"/>
        </w:rPr>
        <w:t xml:space="preserve">试验前样品和所用试验器具应在标准试验条件下放置至少 </w:t>
      </w:r>
      <w:r>
        <w:rPr>
          <w:rFonts w:hint="eastAsia" w:ascii="Times New Roman" w:hAnsi="Times New Roman" w:eastAsia="宋体" w:cs="Times New Roman"/>
          <w:sz w:val="24"/>
          <w:szCs w:val="24"/>
          <w:lang w:val="zh-CN" w:bidi="ar"/>
        </w:rPr>
        <w:t>24h</w:t>
      </w:r>
      <w:r>
        <w:rPr>
          <w:rFonts w:ascii="Times New Roman" w:hAnsi="Times New Roman" w:eastAsia="宋体" w:cs="Times New Roman"/>
          <w:sz w:val="24"/>
          <w:szCs w:val="24"/>
          <w:lang w:bidi="ar"/>
        </w:rPr>
        <w:t>。</w:t>
      </w:r>
    </w:p>
    <w:p w14:paraId="3BB840A9">
      <w:pPr>
        <w:widowControl/>
        <w:spacing w:line="360" w:lineRule="auto"/>
        <w:ind w:firstLine="0" w:firstLineChars="0"/>
        <w:jc w:val="left"/>
        <w:rPr>
          <w:rFonts w:ascii="Times New Roman" w:hAnsi="Times New Roman" w:eastAsia="宋体" w:cs="Times New Roman"/>
          <w:kern w:val="0"/>
          <w:szCs w:val="20"/>
        </w:rPr>
      </w:pPr>
      <w:r>
        <w:rPr>
          <w:rFonts w:ascii="Times New Roman" w:hAnsi="Times New Roman" w:eastAsia="宋体" w:cs="Times New Roman"/>
          <w:sz w:val="24"/>
          <w:szCs w:val="24"/>
          <w:lang w:val="zh-CN"/>
        </w:rPr>
        <w:t>本标准遵从与现有相关标准协调一致的原则。大量采用现有标准的试验方法。</w:t>
      </w:r>
      <w:r>
        <w:rPr>
          <w:rFonts w:ascii="Times New Roman" w:hAnsi="Times New Roman" w:eastAsia="宋体" w:cs="Times New Roman"/>
          <w:kern w:val="0"/>
          <w:sz w:val="24"/>
          <w:szCs w:val="24"/>
        </w:rPr>
        <w:t>试验方法如表</w:t>
      </w:r>
      <w:r>
        <w:rPr>
          <w:rFonts w:hint="eastAsia" w:ascii="Times New Roman" w:hAnsi="Times New Roman" w:eastAsia="宋体" w:cs="Times New Roman"/>
          <w:kern w:val="0"/>
          <w:sz w:val="24"/>
          <w:szCs w:val="24"/>
        </w:rPr>
        <w:t>2</w:t>
      </w:r>
      <w:r>
        <w:rPr>
          <w:rFonts w:ascii="Times New Roman" w:hAnsi="Times New Roman" w:eastAsia="宋体" w:cs="Times New Roman"/>
          <w:kern w:val="0"/>
          <w:sz w:val="24"/>
          <w:szCs w:val="24"/>
        </w:rPr>
        <w:t>所示。</w:t>
      </w:r>
    </w:p>
    <w:p w14:paraId="0FABE7B3">
      <w:pPr>
        <w:tabs>
          <w:tab w:val="left" w:pos="3120"/>
          <w:tab w:val="center" w:pos="4213"/>
        </w:tabs>
        <w:spacing w:line="360" w:lineRule="auto"/>
        <w:ind w:firstLine="3162" w:firstLineChars="1500"/>
        <w:jc w:val="left"/>
        <w:rPr>
          <w:rFonts w:ascii="Times New Roman" w:hAnsi="Times New Roman" w:eastAsia="宋体" w:cs="Times New Roman"/>
          <w:b/>
          <w:bCs/>
          <w:kern w:val="0"/>
          <w:szCs w:val="20"/>
        </w:rPr>
      </w:pPr>
      <w:r>
        <w:rPr>
          <w:rFonts w:ascii="Times New Roman" w:hAnsi="Times New Roman" w:eastAsia="宋体" w:cs="Times New Roman"/>
          <w:b/>
          <w:bCs/>
          <w:kern w:val="0"/>
          <w:szCs w:val="20"/>
        </w:rPr>
        <w:t>表</w:t>
      </w:r>
      <w:r>
        <w:rPr>
          <w:rFonts w:hint="eastAsia" w:ascii="Times New Roman" w:hAnsi="Times New Roman" w:eastAsia="宋体" w:cs="Times New Roman"/>
          <w:b/>
          <w:bCs/>
          <w:kern w:val="0"/>
          <w:szCs w:val="20"/>
        </w:rPr>
        <w:t>2</w:t>
      </w:r>
      <w:r>
        <w:rPr>
          <w:rFonts w:ascii="Times New Roman" w:hAnsi="Times New Roman" w:eastAsia="宋体" w:cs="Times New Roman"/>
          <w:b/>
          <w:bCs/>
          <w:kern w:val="0"/>
          <w:szCs w:val="20"/>
        </w:rPr>
        <w:t xml:space="preserve"> 主要试验方法</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5647"/>
      </w:tblGrid>
      <w:tr w14:paraId="6241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37BB22D5">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性  能</w:t>
            </w:r>
          </w:p>
        </w:tc>
        <w:tc>
          <w:tcPr>
            <w:tcW w:w="5647" w:type="dxa"/>
            <w:vAlign w:val="center"/>
          </w:tcPr>
          <w:p w14:paraId="56C51E15">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试验方法</w:t>
            </w:r>
          </w:p>
        </w:tc>
      </w:tr>
      <w:tr w14:paraId="5C5A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481F7C2C">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外观</w:t>
            </w:r>
          </w:p>
        </w:tc>
        <w:tc>
          <w:tcPr>
            <w:tcW w:w="5647" w:type="dxa"/>
            <w:vAlign w:val="center"/>
          </w:tcPr>
          <w:p w14:paraId="204753A1">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color w:val="000000"/>
                <w:kern w:val="0"/>
              </w:rPr>
              <w:t>目测</w:t>
            </w:r>
          </w:p>
        </w:tc>
      </w:tr>
      <w:tr w14:paraId="3C7D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0AEC8E2C">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固体含量</w:t>
            </w:r>
          </w:p>
        </w:tc>
        <w:tc>
          <w:tcPr>
            <w:tcW w:w="5647" w:type="dxa"/>
            <w:vAlign w:val="center"/>
          </w:tcPr>
          <w:p w14:paraId="526F66D2">
            <w:pPr>
              <w:spacing w:before="312" w:beforeAutospacing="1" w:after="312" w:afterAutospacing="1" w:line="360" w:lineRule="auto"/>
              <w:ind w:firstLine="420" w:firstLineChars="200"/>
              <w:jc w:val="left"/>
              <w:rPr>
                <w:rFonts w:ascii="Times New Roman" w:eastAsia="宋体"/>
                <w:lang w:val="zh-CN"/>
              </w:rPr>
            </w:pPr>
            <w:r>
              <w:rPr>
                <w:rFonts w:ascii="Times New Roman" w:eastAsia="宋体"/>
                <w:color w:val="000000"/>
              </w:rPr>
              <w:t>按</w:t>
            </w:r>
            <w:r>
              <w:rPr>
                <w:rFonts w:hint="eastAsia" w:ascii="宋体" w:hAnsi="宋体" w:eastAsia="宋体" w:cs="宋体"/>
                <w:color w:val="000000"/>
                <w:kern w:val="0"/>
                <w:sz w:val="20"/>
                <w:szCs w:val="20"/>
                <w:lang w:bidi="ar"/>
              </w:rPr>
              <w:t>GB/T 16777中第5章进行试验。</w:t>
            </w:r>
          </w:p>
        </w:tc>
      </w:tr>
      <w:tr w14:paraId="47A3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67A67AC2">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耐热性</w:t>
            </w:r>
          </w:p>
        </w:tc>
        <w:tc>
          <w:tcPr>
            <w:tcW w:w="5647" w:type="dxa"/>
            <w:vAlign w:val="center"/>
          </w:tcPr>
          <w:p w14:paraId="17A108AB">
            <w:pPr>
              <w:pStyle w:val="11"/>
              <w:autoSpaceDE w:val="0"/>
              <w:autoSpaceDN w:val="0"/>
              <w:spacing w:beforeAutospacing="0" w:afterAutospacing="0" w:line="400" w:lineRule="exact"/>
              <w:ind w:firstLine="400" w:firstLineChars="200"/>
              <w:jc w:val="both"/>
              <w:rPr>
                <w:rFonts w:ascii="Times New Roman" w:eastAsia="宋体"/>
                <w:lang w:val="el-GR"/>
              </w:rPr>
            </w:pPr>
            <w:r>
              <w:rPr>
                <w:rFonts w:hint="eastAsia" w:ascii="宋体" w:hAnsi="宋体" w:eastAsia="宋体" w:cs="宋体"/>
                <w:color w:val="000000"/>
                <w:sz w:val="20"/>
                <w:szCs w:val="20"/>
                <w:lang w:bidi="ar"/>
              </w:rPr>
              <w:t>按</w:t>
            </w:r>
            <w:r>
              <w:rPr>
                <w:rFonts w:hint="eastAsia" w:ascii="宋体" w:hAnsi="宋体" w:eastAsia="宋体" w:cs="宋体"/>
                <w:color w:val="000000"/>
                <w:kern w:val="0"/>
                <w:sz w:val="20"/>
                <w:szCs w:val="20"/>
                <w:lang w:bidi="ar"/>
              </w:rPr>
              <w:t>GB/T 16777中第</w:t>
            </w:r>
            <w:r>
              <w:rPr>
                <w:rFonts w:hint="eastAsia" w:ascii="宋体" w:hAnsi="宋体" w:eastAsia="宋体" w:cs="宋体"/>
                <w:color w:val="000000"/>
                <w:kern w:val="0"/>
                <w:sz w:val="20"/>
                <w:szCs w:val="20"/>
                <w:lang w:val="en-US" w:eastAsia="zh-CN" w:bidi="ar"/>
              </w:rPr>
              <w:t>6</w:t>
            </w:r>
            <w:r>
              <w:rPr>
                <w:rFonts w:hint="eastAsia" w:ascii="宋体" w:hAnsi="宋体" w:eastAsia="宋体" w:cs="宋体"/>
                <w:color w:val="000000"/>
                <w:kern w:val="0"/>
                <w:sz w:val="20"/>
                <w:szCs w:val="20"/>
                <w:lang w:bidi="ar"/>
              </w:rPr>
              <w:t>章进行试验。</w:t>
            </w:r>
          </w:p>
        </w:tc>
      </w:tr>
      <w:tr w14:paraId="1D4E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72A4D871">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不透水性</w:t>
            </w:r>
          </w:p>
        </w:tc>
        <w:tc>
          <w:tcPr>
            <w:tcW w:w="5647" w:type="dxa"/>
            <w:vAlign w:val="center"/>
          </w:tcPr>
          <w:p w14:paraId="59CC4067">
            <w:pPr>
              <w:pStyle w:val="24"/>
              <w:numPr>
                <w:ilvl w:val="0"/>
                <w:numId w:val="0"/>
              </w:numPr>
              <w:spacing w:before="312" w:beforeAutospacing="1" w:after="312" w:afterAutospacing="1" w:line="360" w:lineRule="auto"/>
              <w:ind w:firstLine="400" w:firstLineChars="200"/>
              <w:jc w:val="left"/>
              <w:outlineLvl w:val="9"/>
              <w:rPr>
                <w:rFonts w:ascii="Times New Roman" w:eastAsia="宋体"/>
                <w:kern w:val="2"/>
                <w:szCs w:val="22"/>
                <w:lang w:val="zh-CN"/>
              </w:rPr>
            </w:pPr>
            <w:r>
              <w:rPr>
                <w:rFonts w:hint="eastAsia" w:ascii="宋体" w:hAnsi="宋体" w:eastAsia="宋体" w:cs="宋体"/>
                <w:color w:val="000000"/>
                <w:sz w:val="20"/>
                <w:lang w:eastAsia="zh-CN" w:bidi="ar"/>
              </w:rPr>
              <w:t>按</w:t>
            </w:r>
            <w:r>
              <w:rPr>
                <w:rFonts w:hint="eastAsia" w:ascii="宋体" w:hAnsi="宋体" w:eastAsia="宋体" w:cs="宋体"/>
                <w:color w:val="000000"/>
                <w:sz w:val="20"/>
                <w:lang w:bidi="ar"/>
              </w:rPr>
              <w:t>GB/T 16777中15</w:t>
            </w:r>
            <w:r>
              <w:rPr>
                <w:rFonts w:hint="eastAsia" w:ascii="宋体" w:hAnsi="宋体" w:eastAsia="宋体" w:cs="宋体"/>
                <w:color w:val="000000"/>
                <w:sz w:val="20"/>
                <w:lang w:eastAsia="zh-CN" w:bidi="ar"/>
              </w:rPr>
              <w:t>章</w:t>
            </w:r>
            <w:r>
              <w:rPr>
                <w:rFonts w:hint="eastAsia" w:ascii="宋体" w:hAnsi="宋体" w:eastAsia="宋体" w:cs="宋体"/>
                <w:color w:val="000000"/>
                <w:sz w:val="20"/>
                <w:lang w:bidi="ar"/>
              </w:rPr>
              <w:t>进行试验。</w:t>
            </w:r>
          </w:p>
        </w:tc>
      </w:tr>
      <w:tr w14:paraId="29F0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2EB2E590">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粘结强度</w:t>
            </w:r>
          </w:p>
        </w:tc>
        <w:tc>
          <w:tcPr>
            <w:tcW w:w="5647" w:type="dxa"/>
            <w:vAlign w:val="center"/>
          </w:tcPr>
          <w:p w14:paraId="2A99EE57">
            <w:pPr>
              <w:pStyle w:val="24"/>
              <w:numPr>
                <w:ilvl w:val="0"/>
                <w:numId w:val="0"/>
              </w:numPr>
              <w:spacing w:before="312" w:beforeAutospacing="1" w:after="312" w:afterAutospacing="1" w:line="360" w:lineRule="auto"/>
              <w:ind w:firstLine="400" w:firstLineChars="200"/>
              <w:jc w:val="left"/>
              <w:outlineLvl w:val="9"/>
              <w:rPr>
                <w:rFonts w:ascii="Times New Roman" w:eastAsia="宋体"/>
              </w:rPr>
            </w:pPr>
            <w:r>
              <w:rPr>
                <w:rFonts w:hint="eastAsia" w:ascii="宋体" w:hAnsi="宋体" w:eastAsia="宋体" w:cs="宋体"/>
                <w:color w:val="000000"/>
                <w:sz w:val="20"/>
                <w:lang w:eastAsia="zh-CN" w:bidi="ar"/>
              </w:rPr>
              <w:t>按</w:t>
            </w:r>
            <w:r>
              <w:rPr>
                <w:rFonts w:hint="eastAsia" w:ascii="宋体" w:hAnsi="宋体" w:eastAsia="宋体" w:cs="宋体"/>
                <w:color w:val="000000"/>
                <w:sz w:val="20"/>
                <w:lang w:bidi="ar"/>
              </w:rPr>
              <w:t>GB/T 16777进行试验。</w:t>
            </w:r>
          </w:p>
        </w:tc>
      </w:tr>
      <w:tr w14:paraId="73DA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4B12727F">
            <w:pPr>
              <w:pStyle w:val="21"/>
              <w:spacing w:line="360" w:lineRule="auto"/>
              <w:ind w:firstLine="0" w:firstLineChars="0"/>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表干时间、实干时间</w:t>
            </w:r>
          </w:p>
        </w:tc>
        <w:tc>
          <w:tcPr>
            <w:tcW w:w="5647" w:type="dxa"/>
            <w:vAlign w:val="center"/>
          </w:tcPr>
          <w:p w14:paraId="0B5EEA5A">
            <w:pPr>
              <w:pStyle w:val="24"/>
              <w:numPr>
                <w:ilvl w:val="0"/>
                <w:numId w:val="0"/>
              </w:numPr>
              <w:spacing w:before="312" w:beforeAutospacing="1" w:after="312" w:afterAutospacing="1" w:line="360" w:lineRule="auto"/>
              <w:ind w:firstLine="400" w:firstLineChars="200"/>
              <w:jc w:val="left"/>
              <w:outlineLvl w:val="9"/>
              <w:rPr>
                <w:rFonts w:hint="eastAsia" w:ascii="宋体" w:hAnsi="宋体" w:eastAsia="宋体" w:cs="宋体"/>
                <w:color w:val="000000"/>
                <w:sz w:val="20"/>
                <w:lang w:bidi="ar"/>
              </w:rPr>
            </w:pPr>
            <w:r>
              <w:rPr>
                <w:rFonts w:hint="eastAsia" w:ascii="宋体" w:hAnsi="宋体" w:eastAsia="宋体" w:cs="宋体"/>
                <w:color w:val="000000"/>
                <w:sz w:val="20"/>
                <w:lang w:eastAsia="zh-CN" w:bidi="ar"/>
              </w:rPr>
              <w:t>按</w:t>
            </w:r>
            <w:r>
              <w:rPr>
                <w:rFonts w:hint="eastAsia" w:ascii="宋体" w:hAnsi="宋体" w:eastAsia="宋体" w:cs="宋体"/>
                <w:color w:val="000000"/>
                <w:sz w:val="20"/>
                <w:lang w:bidi="ar"/>
              </w:rPr>
              <w:t>GB/T 16777中</w:t>
            </w:r>
            <w:r>
              <w:rPr>
                <w:rFonts w:hint="eastAsia" w:ascii="宋体" w:hAnsi="宋体" w:eastAsia="宋体" w:cs="宋体"/>
                <w:color w:val="000000"/>
                <w:sz w:val="20"/>
                <w:lang w:val="en-US" w:eastAsia="zh-CN" w:bidi="ar"/>
              </w:rPr>
              <w:t>16</w:t>
            </w:r>
            <w:r>
              <w:rPr>
                <w:rFonts w:hint="eastAsia" w:ascii="宋体" w:hAnsi="宋体" w:eastAsia="宋体" w:cs="宋体"/>
                <w:color w:val="000000"/>
                <w:sz w:val="20"/>
                <w:lang w:eastAsia="zh-CN" w:bidi="ar"/>
              </w:rPr>
              <w:t>章</w:t>
            </w:r>
            <w:r>
              <w:rPr>
                <w:rFonts w:hint="eastAsia" w:ascii="宋体" w:hAnsi="宋体" w:eastAsia="宋体" w:cs="宋体"/>
                <w:color w:val="000000"/>
                <w:sz w:val="20"/>
                <w:lang w:bidi="ar"/>
              </w:rPr>
              <w:t>进行试验</w:t>
            </w:r>
          </w:p>
        </w:tc>
      </w:tr>
      <w:tr w14:paraId="7B38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53B0D2AF">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低温柔性</w:t>
            </w:r>
          </w:p>
        </w:tc>
        <w:tc>
          <w:tcPr>
            <w:tcW w:w="5647" w:type="dxa"/>
            <w:vAlign w:val="center"/>
          </w:tcPr>
          <w:p w14:paraId="7E1E3F83">
            <w:pPr>
              <w:ind w:firstLine="400" w:firstLineChars="200"/>
              <w:rPr>
                <w:rFonts w:ascii="Times New Roman" w:eastAsia="宋体"/>
              </w:rPr>
            </w:pPr>
            <w:r>
              <w:rPr>
                <w:rFonts w:hint="eastAsia" w:ascii="宋体" w:hAnsi="宋体" w:eastAsia="宋体" w:cs="宋体"/>
                <w:color w:val="000000"/>
                <w:kern w:val="0"/>
                <w:sz w:val="20"/>
                <w:szCs w:val="20"/>
                <w:lang w:bidi="ar"/>
              </w:rPr>
              <w:t>GB/T 16777中13章规定进行</w:t>
            </w:r>
            <w:r>
              <w:rPr>
                <w:rFonts w:hint="eastAsia" w:ascii="宋体" w:hAnsi="宋体" w:eastAsia="宋体" w:cs="宋体"/>
                <w:color w:val="000000"/>
                <w:kern w:val="0"/>
                <w:sz w:val="20"/>
                <w:szCs w:val="20"/>
                <w:lang w:eastAsia="zh-CN" w:bidi="ar"/>
              </w:rPr>
              <w:t>试验</w:t>
            </w:r>
            <w:r>
              <w:rPr>
                <w:rFonts w:hint="eastAsia" w:ascii="宋体" w:hAnsi="宋体" w:eastAsia="宋体" w:cs="宋体"/>
                <w:color w:val="000000"/>
                <w:kern w:val="0"/>
                <w:sz w:val="20"/>
                <w:szCs w:val="20"/>
                <w:lang w:bidi="ar"/>
              </w:rPr>
              <w:t>。</w:t>
            </w:r>
          </w:p>
        </w:tc>
      </w:tr>
      <w:tr w14:paraId="237E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5FC5BFB3">
            <w:pPr>
              <w:pStyle w:val="21"/>
              <w:spacing w:line="360" w:lineRule="auto"/>
              <w:ind w:firstLine="0" w:firstLineChars="0"/>
              <w:jc w:val="center"/>
              <w:rPr>
                <w:rFonts w:hAnsi="宋体" w:eastAsia="宋体" w:cs="宋体"/>
                <w:color w:val="000000"/>
                <w:kern w:val="0"/>
                <w:sz w:val="20"/>
                <w:szCs w:val="20"/>
                <w:lang w:bidi="ar"/>
              </w:rPr>
            </w:pPr>
            <w:r>
              <w:rPr>
                <w:rFonts w:hint="eastAsia" w:hAnsi="宋体" w:eastAsia="宋体" w:cs="宋体"/>
                <w:color w:val="000000"/>
                <w:kern w:val="0"/>
                <w:sz w:val="20"/>
                <w:szCs w:val="20"/>
                <w:lang w:bidi="ar"/>
              </w:rPr>
              <w:t>断裂伸长率</w:t>
            </w:r>
          </w:p>
        </w:tc>
        <w:tc>
          <w:tcPr>
            <w:tcW w:w="5647" w:type="dxa"/>
            <w:vAlign w:val="center"/>
          </w:tcPr>
          <w:p w14:paraId="5123074A">
            <w:pPr>
              <w:pStyle w:val="24"/>
              <w:numPr>
                <w:ilvl w:val="0"/>
                <w:numId w:val="0"/>
              </w:numPr>
              <w:spacing w:before="312" w:beforeAutospacing="1" w:after="312" w:afterAutospacing="1" w:line="360" w:lineRule="auto"/>
              <w:ind w:left="0" w:firstLine="400" w:firstLineChars="200"/>
              <w:jc w:val="left"/>
              <w:outlineLvl w:val="9"/>
              <w:rPr>
                <w:rFonts w:ascii="宋体" w:hAnsi="宋体" w:eastAsia="宋体" w:cs="宋体"/>
                <w:color w:val="000000"/>
                <w:sz w:val="20"/>
                <w:lang w:bidi="ar"/>
              </w:rPr>
            </w:pPr>
            <w:r>
              <w:rPr>
                <w:rFonts w:hint="eastAsia" w:ascii="宋体" w:hAnsi="宋体" w:eastAsia="宋体" w:cs="宋体"/>
                <w:color w:val="000000"/>
                <w:sz w:val="20"/>
                <w:lang w:bidi="ar"/>
              </w:rPr>
              <w:t xml:space="preserve">GB/T </w:t>
            </w:r>
            <w:r>
              <w:rPr>
                <w:rFonts w:ascii="宋体" w:hAnsi="宋体" w:eastAsia="宋体" w:cs="宋体"/>
                <w:color w:val="000000"/>
                <w:sz w:val="20"/>
                <w:lang w:bidi="ar"/>
              </w:rPr>
              <w:t>16777</w:t>
            </w:r>
            <w:r>
              <w:rPr>
                <w:rFonts w:hint="eastAsia" w:ascii="宋体" w:hAnsi="宋体" w:eastAsia="宋体" w:cs="宋体"/>
                <w:color w:val="000000"/>
                <w:sz w:val="20"/>
                <w:lang w:eastAsia="zh-CN" w:bidi="ar"/>
              </w:rPr>
              <w:t>中第</w:t>
            </w:r>
            <w:r>
              <w:rPr>
                <w:rFonts w:hint="eastAsia" w:ascii="宋体" w:hAnsi="宋体" w:eastAsia="宋体" w:cs="宋体"/>
                <w:color w:val="000000"/>
                <w:sz w:val="20"/>
                <w:lang w:val="en-US" w:eastAsia="zh-CN" w:bidi="ar"/>
              </w:rPr>
              <w:t>9章进行实验</w:t>
            </w:r>
            <w:r>
              <w:rPr>
                <w:rFonts w:hint="eastAsia" w:ascii="宋体" w:hAnsi="宋体" w:eastAsia="宋体" w:cs="宋体"/>
                <w:color w:val="000000"/>
                <w:sz w:val="20"/>
                <w:lang w:bidi="ar"/>
              </w:rPr>
              <w:t>。</w:t>
            </w:r>
          </w:p>
        </w:tc>
      </w:tr>
      <w:tr w14:paraId="290A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4DB2F3A3">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耐水性</w:t>
            </w:r>
          </w:p>
        </w:tc>
        <w:tc>
          <w:tcPr>
            <w:tcW w:w="5647" w:type="dxa"/>
            <w:vAlign w:val="center"/>
          </w:tcPr>
          <w:p w14:paraId="7F864F7E">
            <w:pPr>
              <w:pStyle w:val="24"/>
              <w:numPr>
                <w:ilvl w:val="0"/>
                <w:numId w:val="0"/>
              </w:numPr>
              <w:spacing w:before="312" w:beforeAutospacing="1" w:after="312" w:afterAutospacing="1" w:line="240" w:lineRule="auto"/>
              <w:ind w:firstLine="400" w:firstLineChars="200"/>
              <w:jc w:val="left"/>
              <w:outlineLvl w:val="9"/>
              <w:rPr>
                <w:rFonts w:ascii="宋体" w:hAnsi="宋体" w:eastAsia="宋体" w:cs="宋体"/>
                <w:sz w:val="20"/>
                <w:lang w:bidi="ar"/>
              </w:rPr>
            </w:pPr>
            <w:r>
              <w:rPr>
                <w:rFonts w:hint="eastAsia" w:ascii="宋体" w:hAnsi="宋体" w:eastAsia="宋体" w:cs="宋体"/>
                <w:color w:val="000000"/>
                <w:sz w:val="20"/>
                <w:lang w:bidi="ar"/>
              </w:rPr>
              <w:t>在制备好的涂膜上裁取三个试件，将试件浸入（23±2）℃的水中，液面高出试件上端10mm以上，浸泡336h后，取出用滤纸吸干表面的水渍，观察是否有裂纹、分层、起泡和破碎现象。</w:t>
            </w:r>
          </w:p>
        </w:tc>
      </w:tr>
      <w:tr w14:paraId="6C55F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2EA4525D">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剥离强度</w:t>
            </w:r>
          </w:p>
        </w:tc>
        <w:tc>
          <w:tcPr>
            <w:tcW w:w="5647" w:type="dxa"/>
            <w:vAlign w:val="center"/>
          </w:tcPr>
          <w:p w14:paraId="63DC9B8C">
            <w:pPr>
              <w:pStyle w:val="24"/>
              <w:numPr>
                <w:ilvl w:val="0"/>
                <w:numId w:val="0"/>
              </w:numPr>
              <w:spacing w:before="312" w:beforeAutospacing="1" w:after="312" w:afterAutospacing="1" w:line="360" w:lineRule="auto"/>
              <w:ind w:firstLine="400" w:firstLineChars="200"/>
              <w:jc w:val="left"/>
              <w:outlineLvl w:val="9"/>
              <w:rPr>
                <w:rFonts w:ascii="Times New Roman" w:eastAsia="宋体"/>
              </w:rPr>
            </w:pPr>
            <w:r>
              <w:rPr>
                <w:rFonts w:ascii="宋体" w:hAnsi="宋体" w:eastAsia="宋体" w:cs="宋体"/>
                <w:sz w:val="20"/>
                <w:lang w:bidi="ar"/>
              </w:rPr>
              <w:t>JC/T 1069</w:t>
            </w:r>
            <w:r>
              <w:rPr>
                <w:rFonts w:hint="eastAsia" w:ascii="宋体" w:hAnsi="宋体" w:eastAsia="宋体" w:cs="宋体"/>
                <w:sz w:val="20"/>
                <w:lang w:bidi="ar"/>
              </w:rPr>
              <w:t>中</w:t>
            </w:r>
            <w:r>
              <w:rPr>
                <w:rFonts w:ascii="宋体" w:hAnsi="宋体" w:eastAsia="宋体" w:cs="宋体"/>
                <w:sz w:val="20"/>
                <w:lang w:bidi="ar"/>
              </w:rPr>
              <w:t>5.8</w:t>
            </w:r>
            <w:r>
              <w:rPr>
                <w:rFonts w:hint="eastAsia" w:ascii="宋体" w:hAnsi="宋体" w:eastAsia="宋体" w:cs="宋体"/>
                <w:sz w:val="20"/>
                <w:lang w:bidi="ar"/>
              </w:rPr>
              <w:t>进行试验，用量为</w:t>
            </w:r>
            <w:r>
              <w:rPr>
                <w:rFonts w:hint="eastAsia" w:ascii="宋体" w:hAnsi="宋体" w:eastAsia="宋体" w:cs="宋体"/>
                <w:sz w:val="20"/>
                <w:lang w:val="en-US" w:eastAsia="zh-CN" w:bidi="ar"/>
              </w:rPr>
              <w:t>1.5</w:t>
            </w:r>
            <w:r>
              <w:rPr>
                <w:rFonts w:ascii="宋体" w:hAnsi="宋体" w:eastAsia="宋体" w:cs="宋体"/>
                <w:sz w:val="20"/>
                <w:lang w:bidi="ar"/>
              </w:rPr>
              <w:t>kg/m</w:t>
            </w:r>
            <w:r>
              <w:rPr>
                <w:rFonts w:ascii="宋体" w:hAnsi="宋体" w:eastAsia="宋体" w:cs="宋体"/>
                <w:sz w:val="20"/>
                <w:vertAlign w:val="superscript"/>
                <w:lang w:bidi="ar"/>
              </w:rPr>
              <w:t>2</w:t>
            </w:r>
          </w:p>
        </w:tc>
      </w:tr>
      <w:tr w14:paraId="16D0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5" w:type="dxa"/>
            <w:vAlign w:val="center"/>
          </w:tcPr>
          <w:p w14:paraId="5B33023A">
            <w:pPr>
              <w:pStyle w:val="21"/>
              <w:spacing w:line="360" w:lineRule="auto"/>
              <w:ind w:firstLine="0" w:firstLineChars="0"/>
              <w:jc w:val="center"/>
              <w:rPr>
                <w:rFonts w:ascii="Times New Roman" w:hAnsi="Times New Roman" w:eastAsia="宋体" w:cs="Times New Roman"/>
                <w:szCs w:val="21"/>
              </w:rPr>
            </w:pPr>
            <w:r>
              <w:rPr>
                <w:rFonts w:ascii="Times New Roman" w:hAnsi="Times New Roman" w:eastAsia="宋体" w:cs="Times New Roman"/>
                <w:szCs w:val="21"/>
              </w:rPr>
              <w:t>挥发性有机化合物（VOC）</w:t>
            </w:r>
          </w:p>
        </w:tc>
        <w:tc>
          <w:tcPr>
            <w:tcW w:w="5647" w:type="dxa"/>
            <w:vAlign w:val="center"/>
          </w:tcPr>
          <w:p w14:paraId="5F1CBC5F">
            <w:pPr>
              <w:ind w:firstLine="400" w:firstLineChars="200"/>
              <w:rPr>
                <w:rFonts w:ascii="Times New Roman" w:eastAsia="宋体"/>
              </w:rPr>
            </w:pPr>
            <w:r>
              <w:rPr>
                <w:rFonts w:hint="eastAsia" w:ascii="宋体" w:hAnsi="宋体" w:eastAsia="宋体" w:cs="宋体"/>
                <w:color w:val="000000"/>
                <w:kern w:val="0"/>
                <w:sz w:val="20"/>
                <w:szCs w:val="20"/>
                <w:lang w:bidi="ar"/>
              </w:rPr>
              <w:t>按JC 1066</w:t>
            </w:r>
            <w:r>
              <w:rPr>
                <w:rFonts w:hint="eastAsia" w:ascii="宋体" w:hAnsi="宋体" w:eastAsia="宋体" w:cs="宋体"/>
                <w:color w:val="000000"/>
                <w:kern w:val="0"/>
                <w:sz w:val="20"/>
                <w:szCs w:val="20"/>
                <w:lang w:eastAsia="zh-CN" w:bidi="ar"/>
              </w:rPr>
              <w:t>进行试验</w:t>
            </w:r>
            <w:r>
              <w:rPr>
                <w:rFonts w:hint="eastAsia" w:ascii="宋体" w:hAnsi="宋体" w:eastAsia="宋体" w:cs="宋体"/>
                <w:color w:val="000000"/>
                <w:kern w:val="0"/>
                <w:sz w:val="20"/>
                <w:szCs w:val="20"/>
                <w:lang w:bidi="ar"/>
              </w:rPr>
              <w:t xml:space="preserve"> 。</w:t>
            </w:r>
          </w:p>
        </w:tc>
      </w:tr>
    </w:tbl>
    <w:p w14:paraId="3594B274">
      <w:pPr>
        <w:autoSpaceDE w:val="0"/>
        <w:autoSpaceDN w:val="0"/>
        <w:adjustRightInd w:val="0"/>
        <w:spacing w:line="360" w:lineRule="auto"/>
        <w:textAlignment w:val="center"/>
        <w:rPr>
          <w:rFonts w:ascii="Times New Roman" w:hAnsi="Times New Roman" w:eastAsia="宋体" w:cs="Times New Roman"/>
          <w:color w:val="000000"/>
          <w:kern w:val="0"/>
        </w:rPr>
      </w:pPr>
    </w:p>
    <w:p w14:paraId="3377782F">
      <w:pPr>
        <w:pStyle w:val="2"/>
        <w:spacing w:before="100" w:after="100" w:line="360" w:lineRule="auto"/>
        <w:rPr>
          <w:rFonts w:ascii="Times New Roman" w:hAnsi="Times New Roman" w:eastAsia="宋体" w:cs="Times New Roman"/>
          <w:sz w:val="24"/>
          <w:szCs w:val="24"/>
          <w:lang w:val="zh-CN"/>
        </w:rPr>
      </w:pPr>
      <w:r>
        <w:rPr>
          <w:rFonts w:ascii="Times New Roman" w:hAnsi="Times New Roman" w:eastAsia="宋体" w:cs="Times New Roman"/>
          <w:sz w:val="24"/>
          <w:szCs w:val="24"/>
        </w:rPr>
        <w:t>2.2.</w:t>
      </w:r>
      <w:r>
        <w:rPr>
          <w:rFonts w:hint="eastAsia" w:ascii="Times New Roman" w:hAnsi="Times New Roman" w:eastAsia="宋体" w:cs="Times New Roman"/>
          <w:sz w:val="24"/>
          <w:szCs w:val="24"/>
        </w:rPr>
        <w:t>9</w:t>
      </w:r>
      <w:r>
        <w:rPr>
          <w:rFonts w:ascii="Times New Roman" w:hAnsi="Times New Roman" w:eastAsia="宋体" w:cs="Times New Roman"/>
          <w:sz w:val="24"/>
          <w:szCs w:val="24"/>
        </w:rPr>
        <w:t>检验规则</w:t>
      </w:r>
    </w:p>
    <w:p w14:paraId="18FDDA85">
      <w:pPr>
        <w:widowControl/>
        <w:spacing w:line="360" w:lineRule="auto"/>
        <w:ind w:firstLine="480" w:firstLineChars="20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高粘结聚合物沥青防水涂料按检验类型分为出厂检验和型式检验。</w:t>
      </w:r>
    </w:p>
    <w:p w14:paraId="6C837DE8">
      <w:pPr>
        <w:widowControl/>
        <w:spacing w:line="360" w:lineRule="auto"/>
        <w:ind w:firstLine="480" w:firstLineChars="20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（1）出厂检验</w:t>
      </w:r>
    </w:p>
    <w:p w14:paraId="0D609C37">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出厂检验项目包括：外观、固体含量、表干时间、实干时间、粘结强度（干燥基层）、低温柔性（标准条件）、断裂伸长率（标准条件）和剥离强度。</w:t>
      </w:r>
    </w:p>
    <w:p w14:paraId="27C56F96">
      <w:pPr>
        <w:widowControl/>
        <w:spacing w:line="360" w:lineRule="auto"/>
        <w:ind w:firstLine="480" w:firstLineChars="20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（2）型式检验</w:t>
      </w:r>
    </w:p>
    <w:p w14:paraId="3AFBE6D1">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型式检验项目包括第6章中所有规定，在下列情况下进行型式检验：</w:t>
      </w:r>
    </w:p>
    <w:p w14:paraId="609B6B95">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a）新产品投产或产品定型鉴定时；</w:t>
      </w:r>
    </w:p>
    <w:p w14:paraId="4E6BA854">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b）正常生产时，每年进行一次；</w:t>
      </w:r>
    </w:p>
    <w:p w14:paraId="1C5FDB62">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c）原材料、工艺等发生较大变化，可能影响产品质量时；</w:t>
      </w:r>
    </w:p>
    <w:p w14:paraId="730FC185">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d）出厂检验结果与上次型式检验结果有较大差异时；</w:t>
      </w:r>
    </w:p>
    <w:p w14:paraId="5B89C62B">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e）产品停产六个月以上恢复生产时；</w:t>
      </w:r>
    </w:p>
    <w:p w14:paraId="0D1B06DF">
      <w:pPr>
        <w:pStyle w:val="2"/>
        <w:spacing w:before="100" w:after="10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2.2.10组批</w:t>
      </w:r>
    </w:p>
    <w:p w14:paraId="3620F489">
      <w:pPr>
        <w:pStyle w:val="21"/>
        <w:ind w:firstLine="480"/>
        <w:rPr>
          <w:rFonts w:hAnsi="宋体" w:eastAsia="宋体" w:cs="宋体"/>
          <w:sz w:val="24"/>
          <w:szCs w:val="24"/>
        </w:rPr>
      </w:pPr>
      <w:r>
        <w:rPr>
          <w:rFonts w:hint="eastAsia" w:hAnsi="宋体" w:eastAsia="宋体" w:cs="宋体"/>
          <w:sz w:val="24"/>
          <w:szCs w:val="24"/>
        </w:rPr>
        <w:t>以同一类型、同一规格20t为一批，不足20t也作为一批。</w:t>
      </w:r>
    </w:p>
    <w:p w14:paraId="6BF6DF3F">
      <w:pPr>
        <w:pStyle w:val="2"/>
        <w:spacing w:before="100" w:after="10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2.2.11抽样</w:t>
      </w:r>
    </w:p>
    <w:p w14:paraId="72B07110">
      <w:pPr>
        <w:spacing w:line="360" w:lineRule="auto"/>
        <w:ind w:firstLine="480"/>
        <w:jc w:val="left"/>
        <w:rPr>
          <w:rFonts w:ascii="Times New Roman" w:hAnsi="Times New Roman" w:eastAsia="宋体" w:cs="Times New Roman"/>
          <w:sz w:val="24"/>
          <w:szCs w:val="24"/>
          <w:lang w:bidi="ar"/>
        </w:rPr>
      </w:pPr>
      <w:r>
        <w:rPr>
          <w:rFonts w:ascii="Times New Roman" w:hAnsi="Times New Roman" w:eastAsia="宋体" w:cs="Times New Roman"/>
          <w:sz w:val="24"/>
          <w:szCs w:val="24"/>
          <w:lang w:bidi="ar"/>
        </w:rPr>
        <w:t>在每批产品中按GB 3186规定取样，取两组样品，每组至少2kg。一组样品用于检验，另一组样品封存备用。</w:t>
      </w:r>
    </w:p>
    <w:p w14:paraId="6A028EF6">
      <w:pPr>
        <w:pStyle w:val="2"/>
        <w:spacing w:before="100" w:after="10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2.2.12判定规则</w:t>
      </w:r>
    </w:p>
    <w:p w14:paraId="0046CAB8">
      <w:pPr>
        <w:pStyle w:val="45"/>
        <w:numPr>
          <w:ilvl w:val="255"/>
          <w:numId w:val="0"/>
        </w:numPr>
        <w:spacing w:before="156" w:after="156"/>
      </w:pPr>
      <w:r>
        <w:rPr>
          <w:rFonts w:hint="eastAsia"/>
        </w:rPr>
        <w:t>2.2.12.1单项判定</w:t>
      </w:r>
    </w:p>
    <w:p w14:paraId="3DFD26F7">
      <w:pPr>
        <w:pStyle w:val="46"/>
        <w:numPr>
          <w:ilvl w:val="255"/>
          <w:numId w:val="0"/>
        </w:numPr>
        <w:spacing w:before="156" w:after="156"/>
        <w:ind w:firstLine="630" w:firstLineChars="300"/>
      </w:pPr>
      <w:r>
        <w:rPr>
          <w:rFonts w:hint="eastAsia"/>
        </w:rPr>
        <w:t>1.外观</w:t>
      </w:r>
    </w:p>
    <w:p w14:paraId="7E304AA6">
      <w:pPr>
        <w:pStyle w:val="21"/>
        <w:ind w:firstLine="480"/>
        <w:rPr>
          <w:sz w:val="24"/>
          <w:szCs w:val="24"/>
        </w:rPr>
      </w:pPr>
      <w:r>
        <w:rPr>
          <w:rFonts w:hint="eastAsia"/>
          <w:sz w:val="24"/>
          <w:szCs w:val="24"/>
        </w:rPr>
        <w:t>抽取的样品外观符合标准规定时，判该项合格。否则判该批产品不合格。</w:t>
      </w:r>
    </w:p>
    <w:p w14:paraId="2B455DB7">
      <w:pPr>
        <w:pStyle w:val="46"/>
        <w:numPr>
          <w:ilvl w:val="255"/>
          <w:numId w:val="0"/>
        </w:numPr>
        <w:spacing w:before="156" w:after="156"/>
        <w:ind w:firstLine="630" w:firstLineChars="300"/>
      </w:pPr>
      <w:r>
        <w:rPr>
          <w:rFonts w:hint="eastAsia"/>
        </w:rPr>
        <w:t>2.物理力学性能</w:t>
      </w:r>
    </w:p>
    <w:p w14:paraId="0BAD75F9">
      <w:pPr>
        <w:pStyle w:val="47"/>
        <w:numPr>
          <w:ilvl w:val="255"/>
          <w:numId w:val="0"/>
        </w:numPr>
        <w:spacing w:line="360" w:lineRule="auto"/>
        <w:ind w:firstLine="480" w:firstLineChars="200"/>
        <w:rPr>
          <w:rFonts w:ascii="Times New Roman" w:hAnsi="Times New Roman" w:eastAsia="宋体" w:cs="Times New Roman"/>
          <w:kern w:val="2"/>
          <w:sz w:val="24"/>
          <w:szCs w:val="24"/>
          <w:lang w:bidi="ar"/>
        </w:rPr>
      </w:pPr>
      <w:r>
        <w:rPr>
          <w:rFonts w:ascii="Times New Roman" w:hAnsi="Times New Roman" w:eastAsia="宋体" w:cs="Times New Roman"/>
          <w:kern w:val="2"/>
          <w:sz w:val="24"/>
          <w:szCs w:val="24"/>
          <w:lang w:bidi="ar"/>
        </w:rPr>
        <w:t>固体含量、粘结强度、断裂伸长率、剥离强度、抗滑移性能、抗粘脚性、VOC含量以其算术平均值达到标准规定的指标判为该项合格。</w:t>
      </w:r>
    </w:p>
    <w:p w14:paraId="310457D3">
      <w:pPr>
        <w:pStyle w:val="47"/>
        <w:numPr>
          <w:ilvl w:val="0"/>
          <w:numId w:val="5"/>
        </w:numPr>
        <w:spacing w:line="360" w:lineRule="auto"/>
        <w:ind w:firstLine="480" w:firstLineChars="200"/>
        <w:rPr>
          <w:rFonts w:ascii="Times New Roman" w:hAnsi="Times New Roman" w:eastAsia="宋体" w:cs="Times New Roman"/>
          <w:kern w:val="2"/>
          <w:sz w:val="24"/>
          <w:szCs w:val="24"/>
          <w:lang w:bidi="ar"/>
        </w:rPr>
      </w:pPr>
      <w:r>
        <w:rPr>
          <w:rFonts w:ascii="Times New Roman" w:hAnsi="Times New Roman" w:eastAsia="宋体" w:cs="Times New Roman"/>
          <w:kern w:val="2"/>
          <w:sz w:val="24"/>
          <w:szCs w:val="24"/>
          <w:lang w:bidi="ar"/>
        </w:rPr>
        <w:t>耐热度、不透水性、低温柔度以每组三个试件分别达到标准规定判为该项合格。</w:t>
      </w:r>
    </w:p>
    <w:p w14:paraId="200EB11C">
      <w:pPr>
        <w:pStyle w:val="47"/>
        <w:numPr>
          <w:ilvl w:val="255"/>
          <w:numId w:val="0"/>
        </w:numPr>
        <w:spacing w:line="360" w:lineRule="auto"/>
        <w:ind w:firstLine="480" w:firstLineChars="200"/>
        <w:rPr>
          <w:rFonts w:ascii="Times New Roman" w:hAnsi="Times New Roman" w:eastAsia="宋体" w:cs="Times New Roman"/>
          <w:kern w:val="2"/>
          <w:sz w:val="24"/>
          <w:szCs w:val="24"/>
          <w:lang w:bidi="ar"/>
        </w:rPr>
      </w:pPr>
      <w:r>
        <w:rPr>
          <w:rFonts w:hint="eastAsia" w:ascii="Times New Roman" w:hAnsi="Times New Roman" w:eastAsia="宋体" w:cs="Times New Roman"/>
          <w:kern w:val="2"/>
          <w:sz w:val="24"/>
          <w:szCs w:val="24"/>
          <w:lang w:bidi="ar"/>
        </w:rPr>
        <w:t>（2）</w:t>
      </w:r>
      <w:r>
        <w:rPr>
          <w:rFonts w:ascii="Times New Roman" w:hAnsi="Times New Roman" w:eastAsia="宋体" w:cs="Times New Roman"/>
          <w:kern w:val="2"/>
          <w:sz w:val="24"/>
          <w:szCs w:val="24"/>
          <w:lang w:bidi="ar"/>
        </w:rPr>
        <w:t>表干时间、实干时间达到标准规定时判为该项合格。</w:t>
      </w:r>
    </w:p>
    <w:p w14:paraId="7A610C8E">
      <w:pPr>
        <w:pStyle w:val="47"/>
        <w:numPr>
          <w:ilvl w:val="255"/>
          <w:numId w:val="0"/>
        </w:numPr>
        <w:spacing w:line="360" w:lineRule="auto"/>
        <w:ind w:firstLine="480" w:firstLineChars="200"/>
        <w:rPr>
          <w:rFonts w:ascii="Times New Roman" w:hAnsi="Times New Roman" w:eastAsia="宋体" w:cs="Times New Roman"/>
          <w:kern w:val="2"/>
          <w:sz w:val="24"/>
          <w:szCs w:val="24"/>
          <w:lang w:bidi="ar"/>
        </w:rPr>
      </w:pPr>
      <w:r>
        <w:rPr>
          <w:rFonts w:hint="eastAsia" w:ascii="Times New Roman" w:hAnsi="Times New Roman" w:eastAsia="宋体" w:cs="Times New Roman"/>
          <w:kern w:val="2"/>
          <w:sz w:val="24"/>
          <w:szCs w:val="24"/>
          <w:lang w:bidi="ar"/>
        </w:rPr>
        <w:t>（3）</w:t>
      </w:r>
      <w:r>
        <w:rPr>
          <w:rFonts w:ascii="Times New Roman" w:hAnsi="Times New Roman" w:eastAsia="宋体" w:cs="Times New Roman"/>
          <w:kern w:val="2"/>
          <w:sz w:val="24"/>
          <w:szCs w:val="24"/>
          <w:lang w:bidi="ar"/>
        </w:rPr>
        <w:t>抗流挂性以最小值达到标准判定为该项合格。</w:t>
      </w:r>
    </w:p>
    <w:p w14:paraId="670E86E9">
      <w:pPr>
        <w:pStyle w:val="47"/>
        <w:numPr>
          <w:ilvl w:val="255"/>
          <w:numId w:val="0"/>
        </w:numPr>
        <w:spacing w:line="360" w:lineRule="auto"/>
        <w:ind w:firstLine="480" w:firstLineChars="200"/>
        <w:rPr>
          <w:rFonts w:ascii="Times New Roman" w:hAnsi="Times New Roman" w:eastAsia="宋体" w:cs="Times New Roman"/>
          <w:kern w:val="2"/>
          <w:sz w:val="24"/>
          <w:szCs w:val="24"/>
          <w:lang w:bidi="ar"/>
        </w:rPr>
      </w:pPr>
      <w:r>
        <w:rPr>
          <w:rFonts w:hint="eastAsia" w:ascii="Times New Roman" w:hAnsi="Times New Roman" w:eastAsia="宋体" w:cs="Times New Roman"/>
          <w:kern w:val="2"/>
          <w:sz w:val="24"/>
          <w:szCs w:val="24"/>
          <w:lang w:bidi="ar"/>
        </w:rPr>
        <w:t>（4）</w:t>
      </w:r>
      <w:r>
        <w:rPr>
          <w:rFonts w:ascii="Times New Roman" w:hAnsi="Times New Roman" w:eastAsia="宋体" w:cs="Times New Roman"/>
          <w:kern w:val="2"/>
          <w:sz w:val="24"/>
          <w:szCs w:val="24"/>
          <w:lang w:bidi="ar"/>
        </w:rPr>
        <w:t>各项试验结果均符合表1规定，则判该批产品物理力学性能合格。</w:t>
      </w:r>
    </w:p>
    <w:p w14:paraId="613E6F19">
      <w:pPr>
        <w:pStyle w:val="47"/>
        <w:numPr>
          <w:ilvl w:val="255"/>
          <w:numId w:val="0"/>
        </w:numPr>
        <w:spacing w:line="360" w:lineRule="auto"/>
        <w:ind w:firstLine="480" w:firstLineChars="200"/>
      </w:pPr>
      <w:r>
        <w:rPr>
          <w:rFonts w:hint="eastAsia" w:ascii="Times New Roman" w:hAnsi="Times New Roman" w:eastAsia="宋体" w:cs="Times New Roman"/>
          <w:kern w:val="2"/>
          <w:sz w:val="24"/>
          <w:szCs w:val="24"/>
          <w:lang w:bidi="ar"/>
        </w:rPr>
        <w:t>（5）</w:t>
      </w:r>
      <w:r>
        <w:rPr>
          <w:rFonts w:ascii="Times New Roman" w:hAnsi="Times New Roman" w:eastAsia="宋体" w:cs="Times New Roman"/>
          <w:kern w:val="2"/>
          <w:sz w:val="24"/>
          <w:szCs w:val="24"/>
          <w:lang w:bidi="ar"/>
        </w:rPr>
        <w:t>若有两项或两项以上不符合标准规定，则判该批产品物理力学性能不合格。</w:t>
      </w:r>
    </w:p>
    <w:p w14:paraId="1687418A">
      <w:pPr>
        <w:pStyle w:val="47"/>
        <w:numPr>
          <w:ilvl w:val="255"/>
          <w:numId w:val="0"/>
        </w:numPr>
        <w:spacing w:line="360" w:lineRule="auto"/>
        <w:ind w:firstLine="480" w:firstLineChars="200"/>
        <w:rPr>
          <w:rFonts w:ascii="Times New Roman" w:hAnsi="Times New Roman" w:eastAsia="宋体" w:cs="Times New Roman"/>
          <w:kern w:val="2"/>
          <w:sz w:val="24"/>
          <w:szCs w:val="24"/>
          <w:lang w:bidi="ar"/>
        </w:rPr>
      </w:pPr>
      <w:r>
        <w:rPr>
          <w:rFonts w:hint="eastAsia" w:ascii="Times New Roman" w:hAnsi="Times New Roman" w:eastAsia="宋体" w:cs="Times New Roman"/>
          <w:kern w:val="2"/>
          <w:sz w:val="24"/>
          <w:szCs w:val="24"/>
          <w:lang w:bidi="ar"/>
        </w:rPr>
        <w:t>（6）</w:t>
      </w:r>
      <w:r>
        <w:rPr>
          <w:rFonts w:ascii="Times New Roman" w:hAnsi="Times New Roman" w:eastAsia="宋体" w:cs="Times New Roman"/>
          <w:kern w:val="2"/>
          <w:sz w:val="24"/>
          <w:szCs w:val="24"/>
          <w:lang w:bidi="ar"/>
        </w:rPr>
        <w:t>若仅有一项指标不符合标准规定，允许用备用样对不合格项进行单项复验。达到标准规定时，则判该批产品物理力学性能合格，否则判为不合格。</w:t>
      </w:r>
    </w:p>
    <w:p w14:paraId="162B3C0A">
      <w:pPr>
        <w:pStyle w:val="25"/>
        <w:numPr>
          <w:ilvl w:val="255"/>
          <w:numId w:val="0"/>
        </w:numPr>
        <w:spacing w:before="156" w:after="156"/>
      </w:pPr>
      <w:r>
        <w:rPr>
          <w:rFonts w:hint="eastAsia"/>
        </w:rPr>
        <w:t>2.2.12.2总判定</w:t>
      </w:r>
    </w:p>
    <w:p w14:paraId="22DF86EB">
      <w:pPr>
        <w:pStyle w:val="21"/>
        <w:ind w:firstLine="480"/>
        <w:rPr>
          <w:sz w:val="24"/>
          <w:szCs w:val="24"/>
        </w:rPr>
      </w:pPr>
      <w:r>
        <w:rPr>
          <w:rFonts w:hint="eastAsia"/>
          <w:sz w:val="24"/>
          <w:szCs w:val="24"/>
        </w:rPr>
        <w:t>外观、物理力学性能均符合标准第6章规定的全部要求时，则判该批产品合格。</w:t>
      </w:r>
    </w:p>
    <w:p w14:paraId="1A1A1E9C">
      <w:pPr>
        <w:pStyle w:val="2"/>
        <w:numPr>
          <w:ilvl w:val="0"/>
          <w:numId w:val="4"/>
        </w:numPr>
        <w:spacing w:before="100" w:after="100" w:line="360" w:lineRule="auto"/>
        <w:rPr>
          <w:rFonts w:ascii="Times New Roman" w:hAnsi="Times New Roman" w:eastAsia="宋体" w:cs="Times New Roman"/>
          <w:sz w:val="28"/>
        </w:rPr>
      </w:pPr>
      <w:r>
        <w:rPr>
          <w:rFonts w:ascii="Times New Roman" w:hAnsi="Times New Roman" w:eastAsia="宋体" w:cs="Times New Roman"/>
          <w:sz w:val="28"/>
        </w:rPr>
        <w:t>主要实验验证情况分析</w:t>
      </w:r>
    </w:p>
    <w:p w14:paraId="70147E09">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试验由天津市建筑材料科学研究院有限公司、北京东方雨虹防水技术股份有限公司、唐山东方雨虹防水技术有限责任公司、天津市贰拾壹站检测技术有限公司、天津大学</w:t>
      </w:r>
      <w:r>
        <w:rPr>
          <w:rFonts w:hint="eastAsia" w:ascii="Times New Roman"/>
          <w:color w:val="000000"/>
          <w:szCs w:val="21"/>
        </w:rPr>
        <w:t>、天津市禹神建筑防水材料有限公司</w:t>
      </w:r>
      <w:r>
        <w:rPr>
          <w:rFonts w:hint="eastAsia" w:ascii="宋体" w:hAnsi="宋体" w:eastAsia="宋体" w:cs="宋体"/>
          <w:sz w:val="24"/>
          <w:szCs w:val="24"/>
          <w:lang w:val="zh-CN"/>
        </w:rPr>
        <w:t>共同承担试验项目检测。</w:t>
      </w:r>
      <w:r>
        <w:rPr>
          <w:rFonts w:hint="eastAsia" w:ascii="宋体" w:hAnsi="宋体" w:eastAsia="宋体" w:cs="宋体"/>
          <w:sz w:val="24"/>
          <w:szCs w:val="24"/>
        </w:rPr>
        <w:t>根据《</w:t>
      </w:r>
      <w:r>
        <w:rPr>
          <w:rFonts w:hint="eastAsia" w:ascii="宋体" w:hAnsi="宋体" w:eastAsia="宋体" w:cs="宋体"/>
          <w:sz w:val="24"/>
          <w:szCs w:val="24"/>
          <w:lang w:bidi="ar"/>
        </w:rPr>
        <w:t>高粘结聚合物沥青防水涂料</w:t>
      </w:r>
      <w:r>
        <w:rPr>
          <w:rFonts w:hint="eastAsia" w:ascii="宋体" w:hAnsi="宋体" w:eastAsia="宋体" w:cs="宋体"/>
          <w:sz w:val="24"/>
          <w:szCs w:val="24"/>
        </w:rPr>
        <w:t>》团体标准编制组第一次工作会议研究讨论结果，</w:t>
      </w:r>
      <w:r>
        <w:rPr>
          <w:rFonts w:hint="eastAsia" w:ascii="宋体" w:hAnsi="宋体" w:eastAsia="宋体" w:cs="宋体"/>
          <w:sz w:val="24"/>
          <w:szCs w:val="24"/>
          <w:lang w:bidi="ar"/>
        </w:rPr>
        <w:t>高粘结聚合物沥青防水涂料</w:t>
      </w:r>
      <w:r>
        <w:rPr>
          <w:rFonts w:hint="eastAsia" w:ascii="宋体" w:hAnsi="宋体" w:eastAsia="宋体" w:cs="宋体"/>
          <w:sz w:val="24"/>
          <w:szCs w:val="24"/>
        </w:rPr>
        <w:t>的验证试验内容包括：外观、固体含量、耐热性、不透水性、粘结强度、</w:t>
      </w:r>
      <w:r>
        <w:rPr>
          <w:rFonts w:hint="eastAsia" w:ascii="宋体" w:hAnsi="宋体" w:eastAsia="宋体" w:cs="宋体"/>
          <w:kern w:val="0"/>
          <w:sz w:val="24"/>
          <w:szCs w:val="24"/>
        </w:rPr>
        <w:t>表干时间、实干时间、低温柔性、断裂伸长率、耐水性、剥离强度、挥发性有机化合物（VOC）</w:t>
      </w:r>
      <w:r>
        <w:rPr>
          <w:rFonts w:hint="eastAsia" w:ascii="宋体" w:hAnsi="宋体" w:eastAsia="宋体" w:cs="宋体"/>
          <w:sz w:val="24"/>
          <w:szCs w:val="24"/>
        </w:rPr>
        <w:t>试验结果如下表。</w:t>
      </w:r>
    </w:p>
    <w:p w14:paraId="5D715A66">
      <w:pPr>
        <w:spacing w:line="360" w:lineRule="auto"/>
        <w:ind w:firstLine="480" w:firstLineChars="200"/>
        <w:rPr>
          <w:rFonts w:ascii="宋体" w:hAnsi="宋体" w:eastAsia="宋体" w:cs="宋体"/>
          <w:sz w:val="24"/>
          <w:szCs w:val="24"/>
        </w:rPr>
      </w:pPr>
    </w:p>
    <w:p w14:paraId="0B3E430F">
      <w:pPr>
        <w:widowControl/>
        <w:jc w:val="left"/>
        <w:rPr>
          <w:rFonts w:ascii="宋体" w:hAnsi="宋体" w:eastAsia="宋体" w:cs="宋体"/>
          <w:kern w:val="0"/>
          <w:sz w:val="24"/>
          <w:szCs w:val="24"/>
          <w:lang w:bidi="ar"/>
        </w:rPr>
      </w:pPr>
      <w:r>
        <w:rPr>
          <w:rFonts w:hint="eastAsia" w:ascii="宋体" w:hAnsi="宋体" w:eastAsia="宋体" w:cs="宋体"/>
          <w:kern w:val="0"/>
          <w:sz w:val="24"/>
          <w:szCs w:val="24"/>
          <w:lang w:bidi="ar"/>
        </w:rPr>
        <w:t>1 外观</w:t>
      </w:r>
    </w:p>
    <w:p w14:paraId="0B8FDB74">
      <w:pPr>
        <w:widowControl/>
        <w:jc w:val="center"/>
        <w:rPr>
          <w:rFonts w:ascii="宋体" w:hAnsi="宋体" w:eastAsia="宋体" w:cs="宋体"/>
          <w:kern w:val="0"/>
          <w:szCs w:val="21"/>
          <w:lang w:bidi="ar"/>
        </w:rPr>
      </w:pPr>
      <w:r>
        <w:rPr>
          <w:rFonts w:hint="eastAsia" w:ascii="宋体" w:hAnsi="宋体" w:eastAsia="宋体" w:cs="宋体"/>
          <w:kern w:val="0"/>
          <w:szCs w:val="21"/>
          <w:lang w:bidi="ar"/>
        </w:rPr>
        <w:t>表1 外观测试结果</w:t>
      </w:r>
    </w:p>
    <w:tbl>
      <w:tblPr>
        <w:tblStyle w:val="13"/>
        <w:tblW w:w="4987" w:type="pct"/>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1410"/>
        <w:gridCol w:w="1410"/>
        <w:gridCol w:w="1425"/>
        <w:gridCol w:w="1395"/>
        <w:gridCol w:w="1426"/>
      </w:tblGrid>
      <w:tr w14:paraId="1274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3" w:type="pct"/>
          </w:tcPr>
          <w:p w14:paraId="44EE483B">
            <w:pPr>
              <w:spacing w:line="360" w:lineRule="auto"/>
              <w:jc w:val="center"/>
              <w:rPr>
                <w:rFonts w:ascii="宋体" w:hAnsi="宋体" w:eastAsia="宋体" w:cs="宋体"/>
                <w:szCs w:val="21"/>
              </w:rPr>
            </w:pPr>
            <w:r>
              <w:rPr>
                <w:rFonts w:hint="eastAsia" w:ascii="宋体" w:hAnsi="宋体" w:eastAsia="宋体" w:cs="宋体"/>
                <w:szCs w:val="21"/>
              </w:rPr>
              <w:t>样品编号</w:t>
            </w:r>
          </w:p>
        </w:tc>
        <w:tc>
          <w:tcPr>
            <w:tcW w:w="829" w:type="pct"/>
          </w:tcPr>
          <w:p w14:paraId="03DD70CB">
            <w:pPr>
              <w:spacing w:line="360" w:lineRule="auto"/>
              <w:jc w:val="center"/>
              <w:rPr>
                <w:rFonts w:ascii="宋体" w:hAnsi="宋体" w:eastAsia="宋体" w:cs="宋体"/>
                <w:szCs w:val="21"/>
              </w:rPr>
            </w:pPr>
            <w:r>
              <w:rPr>
                <w:rFonts w:hint="eastAsia" w:ascii="宋体" w:hAnsi="宋体" w:eastAsia="宋体" w:cs="宋体"/>
                <w:szCs w:val="21"/>
              </w:rPr>
              <w:t>1</w:t>
            </w:r>
          </w:p>
        </w:tc>
        <w:tc>
          <w:tcPr>
            <w:tcW w:w="829" w:type="pct"/>
          </w:tcPr>
          <w:p w14:paraId="5F2A9A3D">
            <w:pPr>
              <w:spacing w:line="360" w:lineRule="auto"/>
              <w:jc w:val="center"/>
              <w:rPr>
                <w:rFonts w:ascii="宋体" w:hAnsi="宋体" w:eastAsia="宋体" w:cs="宋体"/>
                <w:szCs w:val="21"/>
              </w:rPr>
            </w:pPr>
            <w:r>
              <w:rPr>
                <w:rFonts w:hint="eastAsia" w:ascii="宋体" w:hAnsi="宋体" w:eastAsia="宋体" w:cs="宋体"/>
                <w:szCs w:val="21"/>
              </w:rPr>
              <w:t>2</w:t>
            </w:r>
          </w:p>
        </w:tc>
        <w:tc>
          <w:tcPr>
            <w:tcW w:w="838" w:type="pct"/>
          </w:tcPr>
          <w:p w14:paraId="065C4187">
            <w:pPr>
              <w:spacing w:line="360" w:lineRule="auto"/>
              <w:jc w:val="center"/>
              <w:rPr>
                <w:rFonts w:ascii="宋体" w:hAnsi="宋体" w:eastAsia="宋体" w:cs="宋体"/>
                <w:szCs w:val="21"/>
              </w:rPr>
            </w:pPr>
            <w:r>
              <w:rPr>
                <w:rFonts w:hint="eastAsia" w:ascii="宋体" w:hAnsi="宋体" w:eastAsia="宋体" w:cs="宋体"/>
                <w:szCs w:val="21"/>
              </w:rPr>
              <w:t>3</w:t>
            </w:r>
          </w:p>
        </w:tc>
        <w:tc>
          <w:tcPr>
            <w:tcW w:w="820" w:type="pct"/>
          </w:tcPr>
          <w:p w14:paraId="7A7954E8">
            <w:pPr>
              <w:spacing w:line="360" w:lineRule="auto"/>
              <w:jc w:val="center"/>
              <w:rPr>
                <w:rFonts w:ascii="宋体" w:hAnsi="宋体" w:eastAsia="宋体" w:cs="宋体"/>
                <w:szCs w:val="21"/>
              </w:rPr>
            </w:pPr>
            <w:r>
              <w:rPr>
                <w:rFonts w:hint="eastAsia" w:ascii="宋体" w:hAnsi="宋体" w:eastAsia="宋体" w:cs="宋体"/>
                <w:szCs w:val="21"/>
              </w:rPr>
              <w:t>4</w:t>
            </w:r>
          </w:p>
        </w:tc>
        <w:tc>
          <w:tcPr>
            <w:tcW w:w="838" w:type="pct"/>
          </w:tcPr>
          <w:p w14:paraId="48568B22">
            <w:pPr>
              <w:spacing w:line="360" w:lineRule="auto"/>
              <w:jc w:val="center"/>
              <w:rPr>
                <w:rFonts w:ascii="宋体" w:hAnsi="宋体" w:eastAsia="宋体" w:cs="宋体"/>
                <w:szCs w:val="21"/>
              </w:rPr>
            </w:pPr>
            <w:r>
              <w:rPr>
                <w:rFonts w:hint="eastAsia" w:ascii="宋体" w:hAnsi="宋体" w:eastAsia="宋体" w:cs="宋体"/>
                <w:szCs w:val="21"/>
              </w:rPr>
              <w:t>5</w:t>
            </w:r>
          </w:p>
        </w:tc>
      </w:tr>
      <w:tr w14:paraId="11CC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3" w:type="pct"/>
          </w:tcPr>
          <w:p w14:paraId="79803A75">
            <w:pPr>
              <w:spacing w:line="360" w:lineRule="auto"/>
              <w:jc w:val="center"/>
              <w:rPr>
                <w:rFonts w:ascii="宋体" w:hAnsi="宋体" w:eastAsia="宋体" w:cs="宋体"/>
                <w:szCs w:val="21"/>
              </w:rPr>
            </w:pPr>
            <w:r>
              <w:rPr>
                <w:rFonts w:hint="eastAsia" w:ascii="宋体" w:hAnsi="宋体" w:eastAsia="宋体" w:cs="宋体"/>
                <w:szCs w:val="21"/>
              </w:rPr>
              <w:t>外观</w:t>
            </w:r>
          </w:p>
        </w:tc>
        <w:tc>
          <w:tcPr>
            <w:tcW w:w="829" w:type="pct"/>
          </w:tcPr>
          <w:p w14:paraId="6D69C8E9">
            <w:pPr>
              <w:spacing w:line="360" w:lineRule="auto"/>
              <w:jc w:val="center"/>
              <w:rPr>
                <w:rFonts w:ascii="宋体" w:hAnsi="宋体" w:eastAsia="宋体" w:cs="宋体"/>
                <w:szCs w:val="21"/>
              </w:rPr>
            </w:pPr>
            <w:r>
              <w:rPr>
                <w:rFonts w:hint="eastAsia" w:ascii="宋体" w:hAnsi="宋体" w:eastAsia="宋体" w:cs="宋体"/>
                <w:szCs w:val="21"/>
              </w:rPr>
              <w:t>满足</w:t>
            </w:r>
          </w:p>
        </w:tc>
        <w:tc>
          <w:tcPr>
            <w:tcW w:w="829" w:type="pct"/>
          </w:tcPr>
          <w:p w14:paraId="529A19FE">
            <w:pPr>
              <w:spacing w:line="360" w:lineRule="auto"/>
              <w:jc w:val="center"/>
              <w:rPr>
                <w:rFonts w:ascii="宋体" w:hAnsi="宋体" w:eastAsia="宋体" w:cs="宋体"/>
                <w:szCs w:val="21"/>
              </w:rPr>
            </w:pPr>
            <w:r>
              <w:rPr>
                <w:rFonts w:hint="eastAsia" w:ascii="宋体" w:hAnsi="宋体" w:eastAsia="宋体" w:cs="宋体"/>
                <w:szCs w:val="21"/>
              </w:rPr>
              <w:t>满足</w:t>
            </w:r>
          </w:p>
        </w:tc>
        <w:tc>
          <w:tcPr>
            <w:tcW w:w="838" w:type="pct"/>
          </w:tcPr>
          <w:p w14:paraId="6C921006">
            <w:pPr>
              <w:spacing w:line="360" w:lineRule="auto"/>
              <w:jc w:val="center"/>
              <w:rPr>
                <w:rFonts w:ascii="宋体" w:hAnsi="宋体" w:eastAsia="宋体" w:cs="宋体"/>
                <w:szCs w:val="21"/>
              </w:rPr>
            </w:pPr>
            <w:r>
              <w:rPr>
                <w:rFonts w:hint="eastAsia" w:ascii="宋体" w:hAnsi="宋体" w:eastAsia="宋体" w:cs="宋体"/>
                <w:szCs w:val="21"/>
              </w:rPr>
              <w:t>满足</w:t>
            </w:r>
          </w:p>
        </w:tc>
        <w:tc>
          <w:tcPr>
            <w:tcW w:w="820" w:type="pct"/>
          </w:tcPr>
          <w:p w14:paraId="2F8BBDB5">
            <w:pPr>
              <w:spacing w:line="360" w:lineRule="auto"/>
              <w:jc w:val="center"/>
              <w:rPr>
                <w:rFonts w:ascii="宋体" w:hAnsi="宋体" w:eastAsia="宋体" w:cs="宋体"/>
                <w:szCs w:val="21"/>
              </w:rPr>
            </w:pPr>
            <w:r>
              <w:rPr>
                <w:rFonts w:hint="eastAsia" w:ascii="宋体" w:hAnsi="宋体" w:eastAsia="宋体" w:cs="宋体"/>
                <w:szCs w:val="21"/>
              </w:rPr>
              <w:t>满足</w:t>
            </w:r>
          </w:p>
        </w:tc>
        <w:tc>
          <w:tcPr>
            <w:tcW w:w="838" w:type="pct"/>
          </w:tcPr>
          <w:p w14:paraId="0DC0186B">
            <w:pPr>
              <w:spacing w:line="360" w:lineRule="auto"/>
              <w:jc w:val="center"/>
              <w:rPr>
                <w:rFonts w:ascii="宋体" w:hAnsi="宋体" w:eastAsia="宋体" w:cs="宋体"/>
                <w:szCs w:val="21"/>
              </w:rPr>
            </w:pPr>
            <w:r>
              <w:rPr>
                <w:rFonts w:hint="eastAsia" w:ascii="宋体" w:hAnsi="宋体" w:eastAsia="宋体" w:cs="宋体"/>
                <w:szCs w:val="21"/>
              </w:rPr>
              <w:t>满足</w:t>
            </w:r>
          </w:p>
        </w:tc>
      </w:tr>
    </w:tbl>
    <w:p w14:paraId="74F0C681">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由表</w:t>
      </w:r>
      <w:r>
        <w:rPr>
          <w:rFonts w:hint="eastAsia" w:ascii="Times New Roman" w:hAnsi="Times New Roman" w:eastAsia="宋体" w:cs="Times New Roman"/>
          <w:sz w:val="24"/>
          <w:szCs w:val="24"/>
        </w:rPr>
        <w:t>1</w:t>
      </w:r>
      <w:r>
        <w:rPr>
          <w:rFonts w:ascii="Times New Roman" w:hAnsi="Times New Roman" w:eastAsia="宋体" w:cs="Times New Roman"/>
          <w:sz w:val="24"/>
          <w:szCs w:val="24"/>
        </w:rPr>
        <w:t>可知，</w:t>
      </w:r>
      <w:r>
        <w:rPr>
          <w:rFonts w:hint="eastAsia" w:ascii="Times New Roman" w:hAnsi="Times New Roman" w:eastAsia="宋体" w:cs="Times New Roman"/>
          <w:sz w:val="24"/>
          <w:szCs w:val="24"/>
        </w:rPr>
        <w:t>5</w:t>
      </w:r>
      <w:r>
        <w:rPr>
          <w:rFonts w:ascii="Times New Roman" w:hAnsi="Times New Roman" w:eastAsia="宋体" w:cs="Times New Roman"/>
          <w:sz w:val="24"/>
          <w:szCs w:val="24"/>
        </w:rPr>
        <w:t>组样品全部满足外观的要求</w:t>
      </w:r>
      <w:r>
        <w:rPr>
          <w:rFonts w:hint="eastAsia" w:ascii="Times New Roman" w:hAnsi="Times New Roman" w:eastAsia="宋体" w:cs="Times New Roman"/>
          <w:sz w:val="24"/>
          <w:szCs w:val="24"/>
        </w:rPr>
        <w:t>。</w:t>
      </w:r>
    </w:p>
    <w:p w14:paraId="6C5D426E">
      <w:pPr>
        <w:spacing w:line="360" w:lineRule="auto"/>
        <w:ind w:firstLine="480" w:firstLineChars="200"/>
        <w:rPr>
          <w:rFonts w:ascii="Times New Roman" w:hAnsi="Times New Roman" w:eastAsia="宋体" w:cs="Times New Roman"/>
          <w:sz w:val="24"/>
          <w:szCs w:val="24"/>
        </w:rPr>
      </w:pPr>
    </w:p>
    <w:p w14:paraId="3EF790BD">
      <w:pPr>
        <w:numPr>
          <w:ilvl w:val="255"/>
          <w:numId w:val="0"/>
        </w:numPr>
        <w:rPr>
          <w:rFonts w:ascii="宋体" w:hAnsi="宋体" w:eastAsia="宋体" w:cs="宋体"/>
          <w:sz w:val="24"/>
          <w:szCs w:val="24"/>
        </w:rPr>
      </w:pPr>
      <w:r>
        <w:rPr>
          <w:rFonts w:hint="eastAsia" w:ascii="宋体" w:hAnsi="宋体" w:eastAsia="宋体" w:cs="宋体"/>
          <w:sz w:val="24"/>
          <w:szCs w:val="24"/>
        </w:rPr>
        <w:t>2 固体含量</w:t>
      </w:r>
    </w:p>
    <w:p w14:paraId="4DCD4A41">
      <w:pPr>
        <w:numPr>
          <w:ilvl w:val="255"/>
          <w:numId w:val="0"/>
        </w:numPr>
        <w:jc w:val="center"/>
        <w:rPr>
          <w:rFonts w:ascii="宋体" w:hAnsi="宋体" w:eastAsia="宋体" w:cs="宋体"/>
        </w:rPr>
      </w:pPr>
      <w:r>
        <w:rPr>
          <w:rFonts w:hint="eastAsia" w:ascii="宋体" w:hAnsi="宋体" w:eastAsia="宋体" w:cs="宋体"/>
        </w:rPr>
        <w:t>表2 固体含量测试结果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2305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6B828D58">
            <w:pPr>
              <w:numPr>
                <w:ilvl w:val="255"/>
                <w:numId w:val="0"/>
              </w:numPr>
              <w:rPr>
                <w:rFonts w:ascii="宋体" w:hAnsi="宋体" w:eastAsia="宋体" w:cs="宋体"/>
              </w:rPr>
            </w:pPr>
            <w:r>
              <w:rPr>
                <w:rFonts w:hint="eastAsia" w:ascii="宋体" w:hAnsi="宋体" w:eastAsia="宋体" w:cs="宋体"/>
              </w:rPr>
              <w:t>样品编号</w:t>
            </w:r>
          </w:p>
        </w:tc>
        <w:tc>
          <w:tcPr>
            <w:tcW w:w="1420" w:type="dxa"/>
          </w:tcPr>
          <w:p w14:paraId="231CEFF7">
            <w:pPr>
              <w:numPr>
                <w:ilvl w:val="255"/>
                <w:numId w:val="0"/>
              </w:numPr>
              <w:jc w:val="center"/>
              <w:rPr>
                <w:rFonts w:ascii="宋体" w:hAnsi="宋体" w:eastAsia="宋体" w:cs="宋体"/>
              </w:rPr>
            </w:pPr>
            <w:r>
              <w:rPr>
                <w:rFonts w:hint="eastAsia" w:ascii="宋体" w:hAnsi="宋体" w:eastAsia="宋体" w:cs="宋体"/>
              </w:rPr>
              <w:t>1</w:t>
            </w:r>
          </w:p>
        </w:tc>
        <w:tc>
          <w:tcPr>
            <w:tcW w:w="1420" w:type="dxa"/>
          </w:tcPr>
          <w:p w14:paraId="59244A13">
            <w:pPr>
              <w:numPr>
                <w:ilvl w:val="255"/>
                <w:numId w:val="0"/>
              </w:numPr>
              <w:rPr>
                <w:rFonts w:ascii="宋体" w:hAnsi="宋体" w:eastAsia="宋体" w:cs="宋体"/>
              </w:rPr>
            </w:pPr>
            <w:r>
              <w:rPr>
                <w:rFonts w:hint="eastAsia" w:ascii="宋体" w:hAnsi="宋体" w:eastAsia="宋体" w:cs="宋体"/>
              </w:rPr>
              <w:t>2</w:t>
            </w:r>
          </w:p>
        </w:tc>
        <w:tc>
          <w:tcPr>
            <w:tcW w:w="1420" w:type="dxa"/>
          </w:tcPr>
          <w:p w14:paraId="1ED287D7">
            <w:pPr>
              <w:numPr>
                <w:ilvl w:val="255"/>
                <w:numId w:val="0"/>
              </w:numPr>
              <w:rPr>
                <w:rFonts w:ascii="宋体" w:hAnsi="宋体" w:eastAsia="宋体" w:cs="宋体"/>
              </w:rPr>
            </w:pPr>
            <w:r>
              <w:rPr>
                <w:rFonts w:hint="eastAsia" w:ascii="宋体" w:hAnsi="宋体" w:eastAsia="宋体" w:cs="宋体"/>
              </w:rPr>
              <w:t>3</w:t>
            </w:r>
          </w:p>
        </w:tc>
        <w:tc>
          <w:tcPr>
            <w:tcW w:w="1421" w:type="dxa"/>
          </w:tcPr>
          <w:p w14:paraId="7163A903">
            <w:pPr>
              <w:numPr>
                <w:ilvl w:val="255"/>
                <w:numId w:val="0"/>
              </w:numPr>
              <w:rPr>
                <w:rFonts w:ascii="宋体" w:hAnsi="宋体" w:eastAsia="宋体" w:cs="宋体"/>
              </w:rPr>
            </w:pPr>
            <w:r>
              <w:rPr>
                <w:rFonts w:hint="eastAsia" w:ascii="宋体" w:hAnsi="宋体" w:eastAsia="宋体" w:cs="宋体"/>
              </w:rPr>
              <w:t>4</w:t>
            </w:r>
          </w:p>
        </w:tc>
        <w:tc>
          <w:tcPr>
            <w:tcW w:w="1421" w:type="dxa"/>
          </w:tcPr>
          <w:p w14:paraId="5AFC8BF1">
            <w:pPr>
              <w:numPr>
                <w:ilvl w:val="255"/>
                <w:numId w:val="0"/>
              </w:numPr>
              <w:rPr>
                <w:rFonts w:ascii="宋体" w:hAnsi="宋体" w:eastAsia="宋体" w:cs="宋体"/>
              </w:rPr>
            </w:pPr>
            <w:r>
              <w:rPr>
                <w:rFonts w:hint="eastAsia" w:ascii="宋体" w:hAnsi="宋体" w:eastAsia="宋体" w:cs="宋体"/>
              </w:rPr>
              <w:t>5</w:t>
            </w:r>
          </w:p>
        </w:tc>
      </w:tr>
      <w:tr w14:paraId="6F82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4C7CD64F">
            <w:pPr>
              <w:numPr>
                <w:ilvl w:val="255"/>
                <w:numId w:val="0"/>
              </w:numPr>
              <w:rPr>
                <w:rFonts w:ascii="宋体" w:hAnsi="宋体" w:eastAsia="宋体" w:cs="宋体"/>
              </w:rPr>
            </w:pPr>
            <w:r>
              <w:rPr>
                <w:rFonts w:hint="eastAsia" w:ascii="宋体" w:hAnsi="宋体" w:eastAsia="宋体" w:cs="宋体"/>
              </w:rPr>
              <w:t>固体含量</w:t>
            </w:r>
          </w:p>
        </w:tc>
        <w:tc>
          <w:tcPr>
            <w:tcW w:w="1420" w:type="dxa"/>
          </w:tcPr>
          <w:p w14:paraId="6CEA4412">
            <w:pPr>
              <w:numPr>
                <w:ilvl w:val="255"/>
                <w:numId w:val="0"/>
              </w:numPr>
              <w:rPr>
                <w:rFonts w:ascii="宋体" w:hAnsi="宋体" w:eastAsia="宋体" w:cs="宋体"/>
              </w:rPr>
            </w:pPr>
            <w:r>
              <w:rPr>
                <w:rFonts w:hint="eastAsia" w:ascii="宋体" w:hAnsi="宋体" w:eastAsia="宋体" w:cs="宋体"/>
              </w:rPr>
              <w:t>55</w:t>
            </w:r>
          </w:p>
        </w:tc>
        <w:tc>
          <w:tcPr>
            <w:tcW w:w="1420" w:type="dxa"/>
          </w:tcPr>
          <w:p w14:paraId="059D20C1">
            <w:pPr>
              <w:numPr>
                <w:ilvl w:val="255"/>
                <w:numId w:val="0"/>
              </w:numPr>
              <w:rPr>
                <w:rFonts w:ascii="宋体" w:hAnsi="宋体" w:eastAsia="宋体" w:cs="宋体"/>
              </w:rPr>
            </w:pPr>
            <w:r>
              <w:rPr>
                <w:rFonts w:hint="eastAsia" w:ascii="宋体" w:hAnsi="宋体" w:eastAsia="宋体" w:cs="宋体"/>
              </w:rPr>
              <w:t>56</w:t>
            </w:r>
          </w:p>
        </w:tc>
        <w:tc>
          <w:tcPr>
            <w:tcW w:w="1420" w:type="dxa"/>
          </w:tcPr>
          <w:p w14:paraId="62E6F2CE">
            <w:pPr>
              <w:numPr>
                <w:ilvl w:val="255"/>
                <w:numId w:val="0"/>
              </w:numPr>
              <w:rPr>
                <w:rFonts w:ascii="宋体" w:hAnsi="宋体" w:eastAsia="宋体" w:cs="宋体"/>
              </w:rPr>
            </w:pPr>
            <w:r>
              <w:rPr>
                <w:rFonts w:hint="eastAsia" w:ascii="宋体" w:hAnsi="宋体" w:eastAsia="宋体" w:cs="宋体"/>
              </w:rPr>
              <w:t>53</w:t>
            </w:r>
          </w:p>
        </w:tc>
        <w:tc>
          <w:tcPr>
            <w:tcW w:w="1421" w:type="dxa"/>
          </w:tcPr>
          <w:p w14:paraId="0B59B400">
            <w:pPr>
              <w:numPr>
                <w:ilvl w:val="255"/>
                <w:numId w:val="0"/>
              </w:numPr>
              <w:rPr>
                <w:rFonts w:ascii="宋体" w:hAnsi="宋体" w:eastAsia="宋体" w:cs="宋体"/>
              </w:rPr>
            </w:pPr>
            <w:r>
              <w:rPr>
                <w:rFonts w:hint="eastAsia" w:ascii="宋体" w:hAnsi="宋体" w:eastAsia="宋体" w:cs="宋体"/>
              </w:rPr>
              <w:t>56</w:t>
            </w:r>
          </w:p>
        </w:tc>
        <w:tc>
          <w:tcPr>
            <w:tcW w:w="1421" w:type="dxa"/>
          </w:tcPr>
          <w:p w14:paraId="03D7097F">
            <w:pPr>
              <w:numPr>
                <w:ilvl w:val="255"/>
                <w:numId w:val="0"/>
              </w:numPr>
              <w:rPr>
                <w:rFonts w:ascii="宋体" w:hAnsi="宋体" w:eastAsia="宋体" w:cs="宋体"/>
              </w:rPr>
            </w:pPr>
            <w:r>
              <w:rPr>
                <w:rFonts w:hint="eastAsia" w:ascii="宋体" w:hAnsi="宋体" w:eastAsia="宋体" w:cs="宋体"/>
              </w:rPr>
              <w:t>55</w:t>
            </w:r>
          </w:p>
        </w:tc>
      </w:tr>
    </w:tbl>
    <w:p w14:paraId="29034FB8">
      <w:pPr>
        <w:numPr>
          <w:ilvl w:val="255"/>
          <w:numId w:val="0"/>
        </w:numPr>
        <w:ind w:firstLine="480" w:firstLineChars="200"/>
        <w:rPr>
          <w:rFonts w:ascii="宋体" w:hAnsi="宋体" w:eastAsia="宋体" w:cs="宋体"/>
          <w:sz w:val="24"/>
          <w:szCs w:val="24"/>
        </w:rPr>
      </w:pPr>
      <w:r>
        <w:rPr>
          <w:rFonts w:hint="eastAsia" w:ascii="宋体" w:hAnsi="宋体" w:eastAsia="宋体" w:cs="宋体"/>
          <w:sz w:val="24"/>
          <w:szCs w:val="24"/>
        </w:rPr>
        <w:t>由表2可知，5组样品全部满足固含量的要求。</w:t>
      </w:r>
    </w:p>
    <w:p w14:paraId="367C1701">
      <w:pPr>
        <w:numPr>
          <w:ilvl w:val="255"/>
          <w:numId w:val="0"/>
        </w:numPr>
        <w:ind w:firstLine="480" w:firstLineChars="200"/>
        <w:rPr>
          <w:rFonts w:ascii="宋体" w:hAnsi="宋体" w:eastAsia="宋体" w:cs="宋体"/>
          <w:sz w:val="24"/>
          <w:szCs w:val="24"/>
        </w:rPr>
      </w:pPr>
    </w:p>
    <w:p w14:paraId="03EBB57F">
      <w:pPr>
        <w:spacing w:line="360" w:lineRule="auto"/>
        <w:rPr>
          <w:rFonts w:ascii="宋体" w:hAnsi="宋体" w:eastAsia="宋体" w:cs="宋体"/>
          <w:sz w:val="24"/>
          <w:szCs w:val="24"/>
        </w:rPr>
      </w:pPr>
      <w:r>
        <w:rPr>
          <w:rFonts w:hint="eastAsia" w:ascii="宋体" w:hAnsi="宋体" w:eastAsia="宋体" w:cs="宋体"/>
          <w:sz w:val="24"/>
        </w:rPr>
        <w:t xml:space="preserve">3 </w:t>
      </w:r>
      <w:r>
        <w:rPr>
          <w:rFonts w:hint="eastAsia" w:ascii="宋体" w:hAnsi="宋体" w:eastAsia="宋体" w:cs="宋体"/>
          <w:sz w:val="24"/>
          <w:szCs w:val="24"/>
        </w:rPr>
        <w:t>耐热性</w:t>
      </w:r>
    </w:p>
    <w:p w14:paraId="013E977B">
      <w:pPr>
        <w:spacing w:line="360" w:lineRule="auto"/>
        <w:jc w:val="center"/>
        <w:rPr>
          <w:rFonts w:ascii="宋体" w:hAnsi="宋体" w:eastAsia="宋体" w:cs="宋体"/>
          <w:szCs w:val="21"/>
        </w:rPr>
      </w:pPr>
      <w:r>
        <w:rPr>
          <w:rFonts w:hint="eastAsia" w:ascii="宋体" w:hAnsi="宋体" w:eastAsia="宋体" w:cs="宋体"/>
          <w:szCs w:val="21"/>
        </w:rPr>
        <w:t>表3 耐热性测试结果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4B3A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7E0FC71F">
            <w:pPr>
              <w:numPr>
                <w:ilvl w:val="255"/>
                <w:numId w:val="0"/>
              </w:numPr>
            </w:pPr>
            <w:r>
              <w:rPr>
                <w:rFonts w:hint="eastAsia"/>
              </w:rPr>
              <w:t>样品编号</w:t>
            </w:r>
          </w:p>
        </w:tc>
        <w:tc>
          <w:tcPr>
            <w:tcW w:w="1420" w:type="dxa"/>
          </w:tcPr>
          <w:p w14:paraId="1474F69A">
            <w:pPr>
              <w:numPr>
                <w:ilvl w:val="255"/>
                <w:numId w:val="0"/>
              </w:numPr>
              <w:jc w:val="center"/>
            </w:pPr>
            <w:r>
              <w:rPr>
                <w:rFonts w:hint="eastAsia"/>
              </w:rPr>
              <w:t>1</w:t>
            </w:r>
          </w:p>
        </w:tc>
        <w:tc>
          <w:tcPr>
            <w:tcW w:w="1420" w:type="dxa"/>
          </w:tcPr>
          <w:p w14:paraId="46F87680">
            <w:pPr>
              <w:numPr>
                <w:ilvl w:val="255"/>
                <w:numId w:val="0"/>
              </w:numPr>
            </w:pPr>
            <w:r>
              <w:rPr>
                <w:rFonts w:hint="eastAsia"/>
              </w:rPr>
              <w:t>2</w:t>
            </w:r>
          </w:p>
        </w:tc>
        <w:tc>
          <w:tcPr>
            <w:tcW w:w="1420" w:type="dxa"/>
          </w:tcPr>
          <w:p w14:paraId="3002E03B">
            <w:pPr>
              <w:numPr>
                <w:ilvl w:val="255"/>
                <w:numId w:val="0"/>
              </w:numPr>
            </w:pPr>
            <w:r>
              <w:rPr>
                <w:rFonts w:hint="eastAsia"/>
              </w:rPr>
              <w:t>3</w:t>
            </w:r>
          </w:p>
        </w:tc>
        <w:tc>
          <w:tcPr>
            <w:tcW w:w="1421" w:type="dxa"/>
          </w:tcPr>
          <w:p w14:paraId="59A0B507">
            <w:pPr>
              <w:numPr>
                <w:ilvl w:val="255"/>
                <w:numId w:val="0"/>
              </w:numPr>
            </w:pPr>
            <w:r>
              <w:rPr>
                <w:rFonts w:hint="eastAsia"/>
              </w:rPr>
              <w:t>4</w:t>
            </w:r>
          </w:p>
        </w:tc>
        <w:tc>
          <w:tcPr>
            <w:tcW w:w="1421" w:type="dxa"/>
          </w:tcPr>
          <w:p w14:paraId="04EBC1AA">
            <w:pPr>
              <w:numPr>
                <w:ilvl w:val="255"/>
                <w:numId w:val="0"/>
              </w:numPr>
            </w:pPr>
            <w:r>
              <w:rPr>
                <w:rFonts w:hint="eastAsia"/>
              </w:rPr>
              <w:t>5</w:t>
            </w:r>
          </w:p>
        </w:tc>
      </w:tr>
      <w:tr w14:paraId="4193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3028D446">
            <w:pPr>
              <w:numPr>
                <w:ilvl w:val="255"/>
                <w:numId w:val="0"/>
              </w:numPr>
            </w:pPr>
            <w:r>
              <w:rPr>
                <w:rFonts w:hint="eastAsia"/>
              </w:rPr>
              <w:t>耐热性能</w:t>
            </w:r>
          </w:p>
        </w:tc>
        <w:tc>
          <w:tcPr>
            <w:tcW w:w="1420" w:type="dxa"/>
          </w:tcPr>
          <w:p w14:paraId="4C04585F">
            <w:pPr>
              <w:numPr>
                <w:ilvl w:val="255"/>
                <w:numId w:val="0"/>
              </w:numPr>
            </w:pPr>
            <w:r>
              <w:rPr>
                <w:rFonts w:hint="eastAsia"/>
              </w:rPr>
              <w:t>满足</w:t>
            </w:r>
          </w:p>
        </w:tc>
        <w:tc>
          <w:tcPr>
            <w:tcW w:w="1420" w:type="dxa"/>
          </w:tcPr>
          <w:p w14:paraId="5FB0800D">
            <w:pPr>
              <w:numPr>
                <w:ilvl w:val="255"/>
                <w:numId w:val="0"/>
              </w:numPr>
            </w:pPr>
            <w:r>
              <w:rPr>
                <w:rFonts w:hint="eastAsia"/>
              </w:rPr>
              <w:t>满足</w:t>
            </w:r>
          </w:p>
        </w:tc>
        <w:tc>
          <w:tcPr>
            <w:tcW w:w="1420" w:type="dxa"/>
          </w:tcPr>
          <w:p w14:paraId="3A82AEB0">
            <w:pPr>
              <w:numPr>
                <w:ilvl w:val="255"/>
                <w:numId w:val="0"/>
              </w:numPr>
            </w:pPr>
            <w:r>
              <w:rPr>
                <w:rFonts w:hint="eastAsia"/>
              </w:rPr>
              <w:t>满足</w:t>
            </w:r>
          </w:p>
        </w:tc>
        <w:tc>
          <w:tcPr>
            <w:tcW w:w="1421" w:type="dxa"/>
          </w:tcPr>
          <w:p w14:paraId="7A53A726">
            <w:pPr>
              <w:numPr>
                <w:ilvl w:val="255"/>
                <w:numId w:val="0"/>
              </w:numPr>
            </w:pPr>
            <w:r>
              <w:rPr>
                <w:rFonts w:hint="eastAsia"/>
              </w:rPr>
              <w:t>满足</w:t>
            </w:r>
          </w:p>
        </w:tc>
        <w:tc>
          <w:tcPr>
            <w:tcW w:w="1421" w:type="dxa"/>
          </w:tcPr>
          <w:p w14:paraId="4C4A1C0A">
            <w:pPr>
              <w:numPr>
                <w:ilvl w:val="255"/>
                <w:numId w:val="0"/>
              </w:numPr>
            </w:pPr>
            <w:r>
              <w:rPr>
                <w:rFonts w:hint="eastAsia"/>
              </w:rPr>
              <w:t>满足</w:t>
            </w:r>
          </w:p>
        </w:tc>
      </w:tr>
    </w:tbl>
    <w:p w14:paraId="5A716B1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由表3可知，5组样品全部满足耐热性的要求。</w:t>
      </w:r>
    </w:p>
    <w:p w14:paraId="41D55096">
      <w:pPr>
        <w:rPr>
          <w:rFonts w:ascii="宋体" w:hAnsi="宋体" w:eastAsia="宋体" w:cs="宋体"/>
          <w:sz w:val="24"/>
          <w:szCs w:val="24"/>
        </w:rPr>
      </w:pPr>
      <w:r>
        <w:rPr>
          <w:rFonts w:hint="eastAsia" w:ascii="宋体" w:hAnsi="宋体" w:eastAsia="宋体" w:cs="宋体"/>
          <w:sz w:val="24"/>
          <w:szCs w:val="24"/>
        </w:rPr>
        <w:t>4 不透水性</w:t>
      </w:r>
    </w:p>
    <w:p w14:paraId="0F2E70B4">
      <w:pPr>
        <w:jc w:val="center"/>
      </w:pPr>
      <w:r>
        <w:rPr>
          <w:rFonts w:hint="eastAsia"/>
        </w:rPr>
        <w:t>表4 不透水性检测结果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0CD3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27B6676B">
            <w:pPr>
              <w:numPr>
                <w:ilvl w:val="255"/>
                <w:numId w:val="0"/>
              </w:numPr>
            </w:pPr>
            <w:r>
              <w:rPr>
                <w:rFonts w:hint="eastAsia"/>
              </w:rPr>
              <w:t>样品编号</w:t>
            </w:r>
          </w:p>
        </w:tc>
        <w:tc>
          <w:tcPr>
            <w:tcW w:w="1420" w:type="dxa"/>
          </w:tcPr>
          <w:p w14:paraId="301D451E">
            <w:pPr>
              <w:numPr>
                <w:ilvl w:val="255"/>
                <w:numId w:val="0"/>
              </w:numPr>
              <w:jc w:val="center"/>
            </w:pPr>
            <w:r>
              <w:rPr>
                <w:rFonts w:hint="eastAsia"/>
              </w:rPr>
              <w:t>1</w:t>
            </w:r>
          </w:p>
        </w:tc>
        <w:tc>
          <w:tcPr>
            <w:tcW w:w="1420" w:type="dxa"/>
          </w:tcPr>
          <w:p w14:paraId="2B5D87E2">
            <w:pPr>
              <w:numPr>
                <w:ilvl w:val="255"/>
                <w:numId w:val="0"/>
              </w:numPr>
            </w:pPr>
            <w:r>
              <w:rPr>
                <w:rFonts w:hint="eastAsia"/>
              </w:rPr>
              <w:t>2</w:t>
            </w:r>
          </w:p>
        </w:tc>
        <w:tc>
          <w:tcPr>
            <w:tcW w:w="1420" w:type="dxa"/>
          </w:tcPr>
          <w:p w14:paraId="1555FA56">
            <w:pPr>
              <w:numPr>
                <w:ilvl w:val="255"/>
                <w:numId w:val="0"/>
              </w:numPr>
            </w:pPr>
            <w:r>
              <w:rPr>
                <w:rFonts w:hint="eastAsia"/>
              </w:rPr>
              <w:t>3</w:t>
            </w:r>
          </w:p>
        </w:tc>
        <w:tc>
          <w:tcPr>
            <w:tcW w:w="1421" w:type="dxa"/>
          </w:tcPr>
          <w:p w14:paraId="450891A2">
            <w:pPr>
              <w:numPr>
                <w:ilvl w:val="255"/>
                <w:numId w:val="0"/>
              </w:numPr>
            </w:pPr>
            <w:r>
              <w:rPr>
                <w:rFonts w:hint="eastAsia"/>
              </w:rPr>
              <w:t>4</w:t>
            </w:r>
          </w:p>
        </w:tc>
        <w:tc>
          <w:tcPr>
            <w:tcW w:w="1421" w:type="dxa"/>
          </w:tcPr>
          <w:p w14:paraId="2F0957A0">
            <w:pPr>
              <w:numPr>
                <w:ilvl w:val="255"/>
                <w:numId w:val="0"/>
              </w:numPr>
            </w:pPr>
            <w:r>
              <w:rPr>
                <w:rFonts w:hint="eastAsia"/>
              </w:rPr>
              <w:t>5</w:t>
            </w:r>
          </w:p>
        </w:tc>
      </w:tr>
      <w:tr w14:paraId="489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44B2A174">
            <w:pPr>
              <w:numPr>
                <w:ilvl w:val="255"/>
                <w:numId w:val="0"/>
              </w:numPr>
            </w:pPr>
            <w:r>
              <w:rPr>
                <w:rFonts w:hint="eastAsia"/>
              </w:rPr>
              <w:t>耐热性能</w:t>
            </w:r>
          </w:p>
        </w:tc>
        <w:tc>
          <w:tcPr>
            <w:tcW w:w="1420" w:type="dxa"/>
          </w:tcPr>
          <w:p w14:paraId="41800D8E">
            <w:pPr>
              <w:numPr>
                <w:ilvl w:val="255"/>
                <w:numId w:val="0"/>
              </w:numPr>
            </w:pPr>
            <w:r>
              <w:rPr>
                <w:rFonts w:hint="eastAsia"/>
              </w:rPr>
              <w:t>满足</w:t>
            </w:r>
          </w:p>
        </w:tc>
        <w:tc>
          <w:tcPr>
            <w:tcW w:w="1420" w:type="dxa"/>
          </w:tcPr>
          <w:p w14:paraId="67A512B1">
            <w:pPr>
              <w:numPr>
                <w:ilvl w:val="255"/>
                <w:numId w:val="0"/>
              </w:numPr>
            </w:pPr>
            <w:r>
              <w:rPr>
                <w:rFonts w:hint="eastAsia"/>
              </w:rPr>
              <w:t>满足</w:t>
            </w:r>
          </w:p>
        </w:tc>
        <w:tc>
          <w:tcPr>
            <w:tcW w:w="1420" w:type="dxa"/>
          </w:tcPr>
          <w:p w14:paraId="2D452C16">
            <w:pPr>
              <w:numPr>
                <w:ilvl w:val="255"/>
                <w:numId w:val="0"/>
              </w:numPr>
            </w:pPr>
            <w:r>
              <w:rPr>
                <w:rFonts w:hint="eastAsia"/>
              </w:rPr>
              <w:t>满足</w:t>
            </w:r>
          </w:p>
        </w:tc>
        <w:tc>
          <w:tcPr>
            <w:tcW w:w="1421" w:type="dxa"/>
          </w:tcPr>
          <w:p w14:paraId="23CF6228">
            <w:pPr>
              <w:numPr>
                <w:ilvl w:val="255"/>
                <w:numId w:val="0"/>
              </w:numPr>
            </w:pPr>
            <w:r>
              <w:rPr>
                <w:rFonts w:hint="eastAsia"/>
              </w:rPr>
              <w:t>满足</w:t>
            </w:r>
          </w:p>
        </w:tc>
        <w:tc>
          <w:tcPr>
            <w:tcW w:w="1421" w:type="dxa"/>
          </w:tcPr>
          <w:p w14:paraId="72B2E7A8">
            <w:pPr>
              <w:numPr>
                <w:ilvl w:val="255"/>
                <w:numId w:val="0"/>
              </w:numPr>
            </w:pPr>
            <w:r>
              <w:rPr>
                <w:rFonts w:hint="eastAsia"/>
              </w:rPr>
              <w:t>满足</w:t>
            </w:r>
          </w:p>
        </w:tc>
      </w:tr>
    </w:tbl>
    <w:p w14:paraId="5FCD9F6A">
      <w:pPr>
        <w:numPr>
          <w:ilvl w:val="255"/>
          <w:numId w:val="0"/>
        </w:numPr>
        <w:ind w:firstLine="480" w:firstLineChars="200"/>
        <w:rPr>
          <w:rFonts w:ascii="宋体" w:hAnsi="宋体" w:eastAsia="宋体" w:cs="宋体"/>
          <w:sz w:val="24"/>
          <w:szCs w:val="24"/>
        </w:rPr>
      </w:pPr>
      <w:r>
        <w:rPr>
          <w:rFonts w:hint="eastAsia" w:ascii="宋体" w:hAnsi="宋体" w:eastAsia="宋体" w:cs="宋体"/>
          <w:sz w:val="24"/>
          <w:szCs w:val="24"/>
        </w:rPr>
        <w:t>由表4可知，5组样品全部满足不透水性的要求。</w:t>
      </w:r>
    </w:p>
    <w:p w14:paraId="67623AFE">
      <w:pPr>
        <w:numPr>
          <w:ilvl w:val="255"/>
          <w:numId w:val="0"/>
        </w:numPr>
        <w:ind w:firstLine="480" w:firstLineChars="200"/>
        <w:rPr>
          <w:rFonts w:ascii="宋体" w:hAnsi="宋体" w:eastAsia="宋体" w:cs="宋体"/>
          <w:sz w:val="24"/>
          <w:szCs w:val="24"/>
        </w:rPr>
      </w:pPr>
    </w:p>
    <w:p w14:paraId="760EC732">
      <w:pPr>
        <w:numPr>
          <w:ilvl w:val="255"/>
          <w:numId w:val="0"/>
        </w:numPr>
        <w:rPr>
          <w:rFonts w:ascii="宋体" w:hAnsi="宋体" w:eastAsia="宋体" w:cs="宋体"/>
          <w:sz w:val="24"/>
          <w:szCs w:val="24"/>
        </w:rPr>
      </w:pPr>
      <w:r>
        <w:rPr>
          <w:rFonts w:hint="eastAsia" w:ascii="宋体" w:hAnsi="宋体" w:eastAsia="宋体" w:cs="宋体"/>
          <w:sz w:val="24"/>
          <w:szCs w:val="24"/>
        </w:rPr>
        <w:t>5 粘结强度</w:t>
      </w:r>
    </w:p>
    <w:p w14:paraId="015100F4">
      <w:pPr>
        <w:numPr>
          <w:ilvl w:val="255"/>
          <w:numId w:val="0"/>
        </w:numPr>
        <w:ind w:firstLine="420" w:firstLineChars="200"/>
        <w:jc w:val="center"/>
      </w:pPr>
      <w:r>
        <w:rPr>
          <w:rFonts w:hint="eastAsia"/>
        </w:rPr>
        <w:t>表5 粘结强度测试结果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5"/>
        <w:gridCol w:w="1400"/>
        <w:gridCol w:w="1075"/>
        <w:gridCol w:w="963"/>
        <w:gridCol w:w="850"/>
        <w:gridCol w:w="1188"/>
        <w:gridCol w:w="1421"/>
      </w:tblGrid>
      <w:tr w14:paraId="06BC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gridSpan w:val="2"/>
          </w:tcPr>
          <w:p w14:paraId="5B66D397">
            <w:pPr>
              <w:numPr>
                <w:ilvl w:val="255"/>
                <w:numId w:val="0"/>
              </w:numPr>
              <w:jc w:val="center"/>
            </w:pPr>
            <w:r>
              <w:rPr>
                <w:rFonts w:hint="eastAsia"/>
              </w:rPr>
              <w:t>样品编号</w:t>
            </w:r>
          </w:p>
        </w:tc>
        <w:tc>
          <w:tcPr>
            <w:tcW w:w="1075" w:type="dxa"/>
          </w:tcPr>
          <w:p w14:paraId="3CEE19CD">
            <w:pPr>
              <w:numPr>
                <w:ilvl w:val="255"/>
                <w:numId w:val="0"/>
              </w:numPr>
              <w:jc w:val="center"/>
            </w:pPr>
            <w:r>
              <w:rPr>
                <w:rFonts w:hint="eastAsia"/>
              </w:rPr>
              <w:t>1</w:t>
            </w:r>
          </w:p>
        </w:tc>
        <w:tc>
          <w:tcPr>
            <w:tcW w:w="963" w:type="dxa"/>
          </w:tcPr>
          <w:p w14:paraId="5FCCA954">
            <w:pPr>
              <w:numPr>
                <w:ilvl w:val="255"/>
                <w:numId w:val="0"/>
              </w:numPr>
              <w:jc w:val="center"/>
            </w:pPr>
            <w:r>
              <w:rPr>
                <w:rFonts w:hint="eastAsia"/>
              </w:rPr>
              <w:t>2</w:t>
            </w:r>
          </w:p>
        </w:tc>
        <w:tc>
          <w:tcPr>
            <w:tcW w:w="850" w:type="dxa"/>
          </w:tcPr>
          <w:p w14:paraId="6C061FAF">
            <w:pPr>
              <w:numPr>
                <w:ilvl w:val="255"/>
                <w:numId w:val="0"/>
              </w:numPr>
              <w:jc w:val="center"/>
            </w:pPr>
            <w:r>
              <w:rPr>
                <w:rFonts w:hint="eastAsia"/>
              </w:rPr>
              <w:t>3</w:t>
            </w:r>
          </w:p>
        </w:tc>
        <w:tc>
          <w:tcPr>
            <w:tcW w:w="1188" w:type="dxa"/>
          </w:tcPr>
          <w:p w14:paraId="5AAC496C">
            <w:pPr>
              <w:numPr>
                <w:ilvl w:val="255"/>
                <w:numId w:val="0"/>
              </w:numPr>
              <w:jc w:val="center"/>
            </w:pPr>
            <w:r>
              <w:rPr>
                <w:rFonts w:hint="eastAsia"/>
              </w:rPr>
              <w:t>4</w:t>
            </w:r>
          </w:p>
        </w:tc>
        <w:tc>
          <w:tcPr>
            <w:tcW w:w="1421" w:type="dxa"/>
          </w:tcPr>
          <w:p w14:paraId="4732DF34">
            <w:pPr>
              <w:numPr>
                <w:ilvl w:val="255"/>
                <w:numId w:val="0"/>
              </w:numPr>
              <w:jc w:val="center"/>
            </w:pPr>
            <w:r>
              <w:rPr>
                <w:rFonts w:hint="eastAsia"/>
              </w:rPr>
              <w:t>5</w:t>
            </w:r>
          </w:p>
        </w:tc>
      </w:tr>
      <w:tr w14:paraId="3648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625" w:type="dxa"/>
            <w:vMerge w:val="restart"/>
          </w:tcPr>
          <w:p w14:paraId="3325C746">
            <w:pPr>
              <w:numPr>
                <w:ilvl w:val="255"/>
                <w:numId w:val="0"/>
              </w:numPr>
              <w:jc w:val="center"/>
            </w:pPr>
            <w:r>
              <w:rPr>
                <w:rFonts w:hint="eastAsia"/>
              </w:rPr>
              <w:t>粘结强度</w:t>
            </w:r>
            <w:r>
              <w:t>/MPa</w:t>
            </w:r>
          </w:p>
        </w:tc>
        <w:tc>
          <w:tcPr>
            <w:tcW w:w="1400" w:type="dxa"/>
          </w:tcPr>
          <w:p w14:paraId="3DDED05F">
            <w:pPr>
              <w:numPr>
                <w:ilvl w:val="255"/>
                <w:numId w:val="0"/>
              </w:numPr>
              <w:jc w:val="center"/>
            </w:pPr>
            <w:r>
              <w:rPr>
                <w:rFonts w:hint="eastAsia"/>
              </w:rPr>
              <w:t>干燥基面</w:t>
            </w:r>
          </w:p>
        </w:tc>
        <w:tc>
          <w:tcPr>
            <w:tcW w:w="1075" w:type="dxa"/>
          </w:tcPr>
          <w:p w14:paraId="2C978F43">
            <w:pPr>
              <w:numPr>
                <w:ilvl w:val="255"/>
                <w:numId w:val="0"/>
              </w:numPr>
              <w:jc w:val="center"/>
            </w:pPr>
            <w:r>
              <w:rPr>
                <w:rFonts w:hint="eastAsia"/>
              </w:rPr>
              <w:t>0</w:t>
            </w:r>
            <w:r>
              <w:t>.72</w:t>
            </w:r>
          </w:p>
        </w:tc>
        <w:tc>
          <w:tcPr>
            <w:tcW w:w="963" w:type="dxa"/>
          </w:tcPr>
          <w:p w14:paraId="5CAFFA11">
            <w:pPr>
              <w:numPr>
                <w:ilvl w:val="255"/>
                <w:numId w:val="0"/>
              </w:numPr>
              <w:jc w:val="center"/>
            </w:pPr>
            <w:r>
              <w:rPr>
                <w:rFonts w:hint="eastAsia"/>
              </w:rPr>
              <w:t>0</w:t>
            </w:r>
            <w:r>
              <w:t>.64</w:t>
            </w:r>
          </w:p>
        </w:tc>
        <w:tc>
          <w:tcPr>
            <w:tcW w:w="850" w:type="dxa"/>
          </w:tcPr>
          <w:p w14:paraId="60C3B784">
            <w:pPr>
              <w:numPr>
                <w:ilvl w:val="255"/>
                <w:numId w:val="0"/>
              </w:numPr>
              <w:jc w:val="center"/>
            </w:pPr>
            <w:r>
              <w:rPr>
                <w:rFonts w:hint="eastAsia"/>
              </w:rPr>
              <w:t>0</w:t>
            </w:r>
            <w:r>
              <w:t>.83</w:t>
            </w:r>
          </w:p>
        </w:tc>
        <w:tc>
          <w:tcPr>
            <w:tcW w:w="1188" w:type="dxa"/>
          </w:tcPr>
          <w:p w14:paraId="6AEC9A8B">
            <w:pPr>
              <w:numPr>
                <w:ilvl w:val="255"/>
                <w:numId w:val="0"/>
              </w:numPr>
              <w:jc w:val="center"/>
            </w:pPr>
            <w:r>
              <w:rPr>
                <w:rFonts w:hint="eastAsia"/>
              </w:rPr>
              <w:t>0</w:t>
            </w:r>
            <w:r>
              <w:t>.59</w:t>
            </w:r>
          </w:p>
        </w:tc>
        <w:tc>
          <w:tcPr>
            <w:tcW w:w="1421" w:type="dxa"/>
          </w:tcPr>
          <w:p w14:paraId="134597DB">
            <w:pPr>
              <w:numPr>
                <w:ilvl w:val="255"/>
                <w:numId w:val="0"/>
              </w:numPr>
              <w:jc w:val="center"/>
            </w:pPr>
            <w:r>
              <w:rPr>
                <w:rFonts w:hint="eastAsia"/>
              </w:rPr>
              <w:t>0</w:t>
            </w:r>
            <w:r>
              <w:t>.69</w:t>
            </w:r>
          </w:p>
        </w:tc>
      </w:tr>
      <w:tr w14:paraId="797D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625" w:type="dxa"/>
            <w:vMerge w:val="continue"/>
          </w:tcPr>
          <w:p w14:paraId="36BDEAA3">
            <w:pPr>
              <w:numPr>
                <w:ilvl w:val="255"/>
                <w:numId w:val="0"/>
              </w:numPr>
              <w:jc w:val="center"/>
            </w:pPr>
          </w:p>
        </w:tc>
        <w:tc>
          <w:tcPr>
            <w:tcW w:w="1400" w:type="dxa"/>
          </w:tcPr>
          <w:p w14:paraId="3D1CB862">
            <w:pPr>
              <w:numPr>
                <w:ilvl w:val="255"/>
                <w:numId w:val="0"/>
              </w:numPr>
              <w:jc w:val="center"/>
            </w:pPr>
            <w:r>
              <w:rPr>
                <w:rFonts w:hint="eastAsia"/>
              </w:rPr>
              <w:t>潮湿基面</w:t>
            </w:r>
          </w:p>
        </w:tc>
        <w:tc>
          <w:tcPr>
            <w:tcW w:w="1075" w:type="dxa"/>
          </w:tcPr>
          <w:p w14:paraId="6B91556A">
            <w:pPr>
              <w:numPr>
                <w:ilvl w:val="255"/>
                <w:numId w:val="0"/>
              </w:numPr>
              <w:jc w:val="center"/>
            </w:pPr>
            <w:r>
              <w:rPr>
                <w:rFonts w:hint="eastAsia"/>
              </w:rPr>
              <w:t>0</w:t>
            </w:r>
            <w:r>
              <w:t>.81</w:t>
            </w:r>
          </w:p>
        </w:tc>
        <w:tc>
          <w:tcPr>
            <w:tcW w:w="963" w:type="dxa"/>
          </w:tcPr>
          <w:p w14:paraId="3A7E7D8E">
            <w:pPr>
              <w:numPr>
                <w:ilvl w:val="255"/>
                <w:numId w:val="0"/>
              </w:numPr>
              <w:jc w:val="center"/>
            </w:pPr>
            <w:r>
              <w:rPr>
                <w:rFonts w:hint="eastAsia"/>
              </w:rPr>
              <w:t>0</w:t>
            </w:r>
            <w:r>
              <w:t>.61</w:t>
            </w:r>
          </w:p>
        </w:tc>
        <w:tc>
          <w:tcPr>
            <w:tcW w:w="850" w:type="dxa"/>
          </w:tcPr>
          <w:p w14:paraId="46799CDD">
            <w:pPr>
              <w:numPr>
                <w:ilvl w:val="255"/>
                <w:numId w:val="0"/>
              </w:numPr>
              <w:jc w:val="center"/>
            </w:pPr>
            <w:r>
              <w:rPr>
                <w:rFonts w:hint="eastAsia"/>
              </w:rPr>
              <w:t>0</w:t>
            </w:r>
            <w:r>
              <w:t>.58</w:t>
            </w:r>
          </w:p>
        </w:tc>
        <w:tc>
          <w:tcPr>
            <w:tcW w:w="1188" w:type="dxa"/>
          </w:tcPr>
          <w:p w14:paraId="5BF7773E">
            <w:pPr>
              <w:numPr>
                <w:ilvl w:val="255"/>
                <w:numId w:val="0"/>
              </w:numPr>
              <w:jc w:val="center"/>
            </w:pPr>
            <w:r>
              <w:rPr>
                <w:rFonts w:hint="eastAsia"/>
              </w:rPr>
              <w:t>0</w:t>
            </w:r>
            <w:r>
              <w:t>.62</w:t>
            </w:r>
          </w:p>
        </w:tc>
        <w:tc>
          <w:tcPr>
            <w:tcW w:w="1421" w:type="dxa"/>
          </w:tcPr>
          <w:p w14:paraId="2F17FFF5">
            <w:pPr>
              <w:numPr>
                <w:ilvl w:val="255"/>
                <w:numId w:val="0"/>
              </w:numPr>
              <w:jc w:val="center"/>
            </w:pPr>
            <w:r>
              <w:rPr>
                <w:rFonts w:hint="eastAsia"/>
              </w:rPr>
              <w:t>0</w:t>
            </w:r>
            <w:r>
              <w:t>.63</w:t>
            </w:r>
          </w:p>
        </w:tc>
      </w:tr>
    </w:tbl>
    <w:p w14:paraId="4D0BEDC6">
      <w:pPr>
        <w:numPr>
          <w:ilvl w:val="255"/>
          <w:numId w:val="0"/>
        </w:numPr>
        <w:ind w:firstLine="480" w:firstLineChars="200"/>
        <w:rPr>
          <w:rFonts w:ascii="宋体" w:hAnsi="宋体" w:eastAsia="宋体" w:cs="宋体"/>
          <w:sz w:val="24"/>
          <w:szCs w:val="24"/>
        </w:rPr>
      </w:pPr>
      <w:r>
        <w:rPr>
          <w:rFonts w:hint="eastAsia" w:ascii="宋体" w:hAnsi="宋体" w:eastAsia="宋体" w:cs="宋体"/>
          <w:sz w:val="24"/>
          <w:szCs w:val="24"/>
        </w:rPr>
        <w:t>由表5可知，5组样品全部满足粘结强度的要求。</w:t>
      </w:r>
    </w:p>
    <w:p w14:paraId="5570AABC">
      <w:pPr>
        <w:numPr>
          <w:ilvl w:val="255"/>
          <w:numId w:val="0"/>
        </w:numPr>
        <w:ind w:firstLine="420" w:firstLineChars="200"/>
      </w:pPr>
    </w:p>
    <w:p w14:paraId="391207A0">
      <w:pPr>
        <w:numPr>
          <w:ilvl w:val="255"/>
          <w:numId w:val="0"/>
        </w:numPr>
        <w:rPr>
          <w:sz w:val="24"/>
          <w:szCs w:val="24"/>
        </w:rPr>
      </w:pPr>
      <w:r>
        <w:rPr>
          <w:rFonts w:hint="eastAsia"/>
          <w:sz w:val="24"/>
          <w:szCs w:val="24"/>
        </w:rPr>
        <w:t>6 表干时间、实干时间</w:t>
      </w:r>
    </w:p>
    <w:p w14:paraId="4D6A0A6C">
      <w:pPr>
        <w:numPr>
          <w:ilvl w:val="255"/>
          <w:numId w:val="0"/>
        </w:numPr>
        <w:jc w:val="center"/>
        <w:rPr>
          <w:rFonts w:ascii="宋体" w:hAnsi="宋体" w:eastAsia="宋体" w:cs="宋体"/>
          <w:szCs w:val="21"/>
        </w:rPr>
      </w:pPr>
      <w:r>
        <w:rPr>
          <w:rFonts w:hint="eastAsia" w:ascii="宋体" w:hAnsi="宋体" w:eastAsia="宋体" w:cs="宋体"/>
          <w:szCs w:val="21"/>
        </w:rPr>
        <w:t>表6 表干时间、实干时间测试结果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0"/>
        <w:gridCol w:w="1450"/>
        <w:gridCol w:w="963"/>
        <w:gridCol w:w="850"/>
        <w:gridCol w:w="1188"/>
        <w:gridCol w:w="1421"/>
      </w:tblGrid>
      <w:tr w14:paraId="1CE9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0" w:type="dxa"/>
          </w:tcPr>
          <w:p w14:paraId="41D57C88">
            <w:pPr>
              <w:numPr>
                <w:ilvl w:val="255"/>
                <w:numId w:val="0"/>
              </w:numPr>
              <w:jc w:val="center"/>
              <w:rPr>
                <w:szCs w:val="21"/>
              </w:rPr>
            </w:pPr>
            <w:r>
              <w:rPr>
                <w:rFonts w:hint="eastAsia"/>
                <w:szCs w:val="21"/>
              </w:rPr>
              <w:t>样品编号</w:t>
            </w:r>
          </w:p>
        </w:tc>
        <w:tc>
          <w:tcPr>
            <w:tcW w:w="1450" w:type="dxa"/>
          </w:tcPr>
          <w:p w14:paraId="2A08AC13">
            <w:pPr>
              <w:numPr>
                <w:ilvl w:val="255"/>
                <w:numId w:val="0"/>
              </w:numPr>
              <w:jc w:val="center"/>
              <w:rPr>
                <w:szCs w:val="21"/>
              </w:rPr>
            </w:pPr>
            <w:r>
              <w:rPr>
                <w:rFonts w:hint="eastAsia"/>
                <w:szCs w:val="21"/>
              </w:rPr>
              <w:t>1</w:t>
            </w:r>
          </w:p>
        </w:tc>
        <w:tc>
          <w:tcPr>
            <w:tcW w:w="963" w:type="dxa"/>
          </w:tcPr>
          <w:p w14:paraId="09DD021D">
            <w:pPr>
              <w:numPr>
                <w:ilvl w:val="255"/>
                <w:numId w:val="0"/>
              </w:numPr>
              <w:jc w:val="center"/>
              <w:rPr>
                <w:szCs w:val="21"/>
              </w:rPr>
            </w:pPr>
            <w:r>
              <w:rPr>
                <w:rFonts w:hint="eastAsia"/>
                <w:szCs w:val="21"/>
              </w:rPr>
              <w:t>2</w:t>
            </w:r>
          </w:p>
        </w:tc>
        <w:tc>
          <w:tcPr>
            <w:tcW w:w="850" w:type="dxa"/>
          </w:tcPr>
          <w:p w14:paraId="0CB86E69">
            <w:pPr>
              <w:numPr>
                <w:ilvl w:val="255"/>
                <w:numId w:val="0"/>
              </w:numPr>
              <w:jc w:val="center"/>
              <w:rPr>
                <w:szCs w:val="21"/>
              </w:rPr>
            </w:pPr>
            <w:r>
              <w:rPr>
                <w:rFonts w:hint="eastAsia"/>
                <w:szCs w:val="21"/>
              </w:rPr>
              <w:t>3</w:t>
            </w:r>
          </w:p>
        </w:tc>
        <w:tc>
          <w:tcPr>
            <w:tcW w:w="1188" w:type="dxa"/>
          </w:tcPr>
          <w:p w14:paraId="29B5366A">
            <w:pPr>
              <w:numPr>
                <w:ilvl w:val="255"/>
                <w:numId w:val="0"/>
              </w:numPr>
              <w:jc w:val="center"/>
              <w:rPr>
                <w:szCs w:val="21"/>
              </w:rPr>
            </w:pPr>
            <w:r>
              <w:rPr>
                <w:rFonts w:hint="eastAsia"/>
                <w:szCs w:val="21"/>
              </w:rPr>
              <w:t>4</w:t>
            </w:r>
          </w:p>
        </w:tc>
        <w:tc>
          <w:tcPr>
            <w:tcW w:w="1421" w:type="dxa"/>
          </w:tcPr>
          <w:p w14:paraId="2182ACF8">
            <w:pPr>
              <w:numPr>
                <w:ilvl w:val="255"/>
                <w:numId w:val="0"/>
              </w:numPr>
              <w:jc w:val="center"/>
              <w:rPr>
                <w:szCs w:val="21"/>
              </w:rPr>
            </w:pPr>
            <w:r>
              <w:rPr>
                <w:rFonts w:hint="eastAsia"/>
                <w:szCs w:val="21"/>
              </w:rPr>
              <w:t>5</w:t>
            </w:r>
          </w:p>
        </w:tc>
      </w:tr>
      <w:tr w14:paraId="5C9D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650" w:type="dxa"/>
          </w:tcPr>
          <w:p w14:paraId="74BCDA62">
            <w:pPr>
              <w:numPr>
                <w:ilvl w:val="255"/>
                <w:numId w:val="0"/>
              </w:numPr>
              <w:jc w:val="center"/>
              <w:rPr>
                <w:szCs w:val="21"/>
              </w:rPr>
            </w:pPr>
            <w:r>
              <w:rPr>
                <w:rFonts w:hint="eastAsia"/>
                <w:szCs w:val="21"/>
              </w:rPr>
              <w:t>表干时间</w:t>
            </w:r>
          </w:p>
        </w:tc>
        <w:tc>
          <w:tcPr>
            <w:tcW w:w="1450" w:type="dxa"/>
          </w:tcPr>
          <w:p w14:paraId="3F3E2F99">
            <w:pPr>
              <w:numPr>
                <w:ilvl w:val="255"/>
                <w:numId w:val="0"/>
              </w:numPr>
              <w:jc w:val="center"/>
              <w:rPr>
                <w:szCs w:val="21"/>
              </w:rPr>
            </w:pPr>
            <w:r>
              <w:rPr>
                <w:rFonts w:hint="eastAsia"/>
                <w:szCs w:val="21"/>
              </w:rPr>
              <w:t>满足</w:t>
            </w:r>
          </w:p>
        </w:tc>
        <w:tc>
          <w:tcPr>
            <w:tcW w:w="963" w:type="dxa"/>
          </w:tcPr>
          <w:p w14:paraId="2CADC753">
            <w:pPr>
              <w:numPr>
                <w:ilvl w:val="255"/>
                <w:numId w:val="0"/>
              </w:numPr>
              <w:jc w:val="center"/>
              <w:rPr>
                <w:szCs w:val="21"/>
              </w:rPr>
            </w:pPr>
            <w:r>
              <w:rPr>
                <w:rFonts w:hint="eastAsia"/>
                <w:szCs w:val="21"/>
              </w:rPr>
              <w:t>满足</w:t>
            </w:r>
          </w:p>
        </w:tc>
        <w:tc>
          <w:tcPr>
            <w:tcW w:w="850" w:type="dxa"/>
          </w:tcPr>
          <w:p w14:paraId="1F3EB364">
            <w:pPr>
              <w:numPr>
                <w:ilvl w:val="255"/>
                <w:numId w:val="0"/>
              </w:numPr>
              <w:jc w:val="center"/>
              <w:rPr>
                <w:szCs w:val="21"/>
              </w:rPr>
            </w:pPr>
            <w:r>
              <w:rPr>
                <w:rFonts w:hint="eastAsia"/>
                <w:szCs w:val="21"/>
              </w:rPr>
              <w:t>满足</w:t>
            </w:r>
          </w:p>
        </w:tc>
        <w:tc>
          <w:tcPr>
            <w:tcW w:w="1188" w:type="dxa"/>
          </w:tcPr>
          <w:p w14:paraId="1A8DAA91">
            <w:pPr>
              <w:numPr>
                <w:ilvl w:val="255"/>
                <w:numId w:val="0"/>
              </w:numPr>
              <w:jc w:val="center"/>
              <w:rPr>
                <w:szCs w:val="21"/>
              </w:rPr>
            </w:pPr>
            <w:r>
              <w:rPr>
                <w:rFonts w:hint="eastAsia"/>
                <w:szCs w:val="21"/>
              </w:rPr>
              <w:t>满足</w:t>
            </w:r>
          </w:p>
        </w:tc>
        <w:tc>
          <w:tcPr>
            <w:tcW w:w="1421" w:type="dxa"/>
          </w:tcPr>
          <w:p w14:paraId="5FD77C6D">
            <w:pPr>
              <w:numPr>
                <w:ilvl w:val="255"/>
                <w:numId w:val="0"/>
              </w:numPr>
              <w:jc w:val="center"/>
              <w:rPr>
                <w:szCs w:val="21"/>
              </w:rPr>
            </w:pPr>
            <w:r>
              <w:rPr>
                <w:rFonts w:hint="eastAsia"/>
                <w:szCs w:val="21"/>
              </w:rPr>
              <w:t>满足</w:t>
            </w:r>
          </w:p>
        </w:tc>
      </w:tr>
      <w:tr w14:paraId="619B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50" w:type="dxa"/>
          </w:tcPr>
          <w:p w14:paraId="74A665A1">
            <w:pPr>
              <w:numPr>
                <w:ilvl w:val="255"/>
                <w:numId w:val="0"/>
              </w:numPr>
              <w:jc w:val="center"/>
              <w:rPr>
                <w:szCs w:val="21"/>
              </w:rPr>
            </w:pPr>
            <w:r>
              <w:rPr>
                <w:rFonts w:hint="eastAsia"/>
                <w:szCs w:val="21"/>
              </w:rPr>
              <w:t>实干时间</w:t>
            </w:r>
          </w:p>
        </w:tc>
        <w:tc>
          <w:tcPr>
            <w:tcW w:w="1450" w:type="dxa"/>
          </w:tcPr>
          <w:p w14:paraId="00A5C8D4">
            <w:pPr>
              <w:numPr>
                <w:ilvl w:val="255"/>
                <w:numId w:val="0"/>
              </w:numPr>
              <w:jc w:val="center"/>
              <w:rPr>
                <w:szCs w:val="21"/>
              </w:rPr>
            </w:pPr>
            <w:r>
              <w:rPr>
                <w:rFonts w:hint="eastAsia"/>
                <w:szCs w:val="21"/>
              </w:rPr>
              <w:t>满足</w:t>
            </w:r>
          </w:p>
        </w:tc>
        <w:tc>
          <w:tcPr>
            <w:tcW w:w="963" w:type="dxa"/>
          </w:tcPr>
          <w:p w14:paraId="25FDBB94">
            <w:pPr>
              <w:numPr>
                <w:ilvl w:val="255"/>
                <w:numId w:val="0"/>
              </w:numPr>
              <w:jc w:val="center"/>
              <w:rPr>
                <w:szCs w:val="21"/>
              </w:rPr>
            </w:pPr>
            <w:r>
              <w:rPr>
                <w:rFonts w:hint="eastAsia"/>
                <w:szCs w:val="21"/>
              </w:rPr>
              <w:t>满足</w:t>
            </w:r>
          </w:p>
        </w:tc>
        <w:tc>
          <w:tcPr>
            <w:tcW w:w="850" w:type="dxa"/>
          </w:tcPr>
          <w:p w14:paraId="3A7FABEC">
            <w:pPr>
              <w:numPr>
                <w:ilvl w:val="255"/>
                <w:numId w:val="0"/>
              </w:numPr>
              <w:jc w:val="center"/>
              <w:rPr>
                <w:szCs w:val="21"/>
              </w:rPr>
            </w:pPr>
            <w:r>
              <w:rPr>
                <w:rFonts w:hint="eastAsia"/>
                <w:szCs w:val="21"/>
              </w:rPr>
              <w:t>满足</w:t>
            </w:r>
          </w:p>
        </w:tc>
        <w:tc>
          <w:tcPr>
            <w:tcW w:w="1188" w:type="dxa"/>
          </w:tcPr>
          <w:p w14:paraId="41566773">
            <w:pPr>
              <w:numPr>
                <w:ilvl w:val="255"/>
                <w:numId w:val="0"/>
              </w:numPr>
              <w:jc w:val="center"/>
              <w:rPr>
                <w:szCs w:val="21"/>
              </w:rPr>
            </w:pPr>
            <w:r>
              <w:rPr>
                <w:rFonts w:hint="eastAsia"/>
                <w:szCs w:val="21"/>
              </w:rPr>
              <w:t>满足</w:t>
            </w:r>
          </w:p>
        </w:tc>
        <w:tc>
          <w:tcPr>
            <w:tcW w:w="1421" w:type="dxa"/>
          </w:tcPr>
          <w:p w14:paraId="3A7D09C1">
            <w:pPr>
              <w:numPr>
                <w:ilvl w:val="255"/>
                <w:numId w:val="0"/>
              </w:numPr>
              <w:jc w:val="center"/>
              <w:rPr>
                <w:szCs w:val="21"/>
              </w:rPr>
            </w:pPr>
            <w:r>
              <w:rPr>
                <w:rFonts w:hint="eastAsia"/>
                <w:szCs w:val="21"/>
              </w:rPr>
              <w:t>满足</w:t>
            </w:r>
          </w:p>
        </w:tc>
      </w:tr>
    </w:tbl>
    <w:p w14:paraId="798EC60B">
      <w:pPr>
        <w:ind w:firstLine="480" w:firstLineChars="200"/>
        <w:rPr>
          <w:rFonts w:ascii="宋体" w:hAnsi="宋体" w:eastAsia="宋体" w:cs="宋体"/>
          <w:sz w:val="24"/>
          <w:szCs w:val="24"/>
        </w:rPr>
      </w:pPr>
      <w:r>
        <w:rPr>
          <w:rFonts w:hint="eastAsia" w:ascii="宋体" w:hAnsi="宋体" w:eastAsia="宋体" w:cs="宋体"/>
          <w:sz w:val="24"/>
          <w:szCs w:val="24"/>
        </w:rPr>
        <w:t>由表6可知，5组样品全部满足表干时间、实干时间的要求。</w:t>
      </w:r>
    </w:p>
    <w:p w14:paraId="2BEABB17">
      <w:pPr>
        <w:rPr>
          <w:rFonts w:ascii="宋体" w:hAnsi="宋体" w:eastAsia="宋体" w:cs="宋体"/>
          <w:sz w:val="24"/>
          <w:szCs w:val="24"/>
        </w:rPr>
      </w:pPr>
    </w:p>
    <w:p w14:paraId="00CF2309">
      <w:pPr>
        <w:rPr>
          <w:rFonts w:ascii="宋体" w:hAnsi="宋体" w:eastAsia="宋体" w:cs="宋体"/>
          <w:sz w:val="24"/>
          <w:szCs w:val="24"/>
        </w:rPr>
      </w:pPr>
      <w:r>
        <w:rPr>
          <w:rFonts w:hint="eastAsia" w:ascii="宋体" w:hAnsi="宋体" w:eastAsia="宋体" w:cs="宋体"/>
          <w:sz w:val="24"/>
          <w:szCs w:val="24"/>
        </w:rPr>
        <w:t>7 低温柔性处理</w:t>
      </w:r>
    </w:p>
    <w:p w14:paraId="03B51EFD">
      <w:pPr>
        <w:jc w:val="center"/>
        <w:rPr>
          <w:rFonts w:ascii="宋体" w:hAnsi="宋体" w:eastAsia="宋体" w:cs="宋体"/>
          <w:szCs w:val="21"/>
        </w:rPr>
      </w:pPr>
      <w:r>
        <w:rPr>
          <w:rFonts w:hint="eastAsia" w:ascii="宋体" w:hAnsi="宋体" w:eastAsia="宋体" w:cs="宋体"/>
          <w:szCs w:val="21"/>
        </w:rPr>
        <w:t>表7 低温柔性测试结果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1361"/>
        <w:gridCol w:w="1029"/>
        <w:gridCol w:w="1200"/>
        <w:gridCol w:w="1242"/>
        <w:gridCol w:w="1233"/>
        <w:gridCol w:w="969"/>
      </w:tblGrid>
      <w:tr w14:paraId="3318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6" w:type="dxa"/>
            <w:gridSpan w:val="2"/>
          </w:tcPr>
          <w:p w14:paraId="5512ABFB">
            <w:pPr>
              <w:jc w:val="center"/>
              <w:rPr>
                <w:rFonts w:ascii="宋体" w:hAnsi="宋体" w:eastAsia="宋体" w:cs="宋体"/>
                <w:szCs w:val="21"/>
              </w:rPr>
            </w:pPr>
            <w:r>
              <w:rPr>
                <w:rFonts w:hint="eastAsia" w:ascii="宋体" w:hAnsi="宋体" w:eastAsia="宋体" w:cs="宋体"/>
                <w:szCs w:val="21"/>
              </w:rPr>
              <w:t>样品编号</w:t>
            </w:r>
          </w:p>
        </w:tc>
        <w:tc>
          <w:tcPr>
            <w:tcW w:w="1029" w:type="dxa"/>
          </w:tcPr>
          <w:p w14:paraId="5B8A4D94">
            <w:pPr>
              <w:jc w:val="center"/>
              <w:rPr>
                <w:rFonts w:ascii="宋体" w:hAnsi="宋体" w:eastAsia="宋体" w:cs="宋体"/>
                <w:szCs w:val="21"/>
              </w:rPr>
            </w:pPr>
            <w:r>
              <w:rPr>
                <w:rFonts w:hint="eastAsia" w:ascii="宋体" w:hAnsi="宋体" w:eastAsia="宋体" w:cs="宋体"/>
                <w:szCs w:val="21"/>
              </w:rPr>
              <w:t>1</w:t>
            </w:r>
          </w:p>
        </w:tc>
        <w:tc>
          <w:tcPr>
            <w:tcW w:w="1200" w:type="dxa"/>
          </w:tcPr>
          <w:p w14:paraId="3E96D026">
            <w:pPr>
              <w:jc w:val="center"/>
              <w:rPr>
                <w:rFonts w:ascii="宋体" w:hAnsi="宋体" w:eastAsia="宋体" w:cs="宋体"/>
                <w:szCs w:val="21"/>
              </w:rPr>
            </w:pPr>
            <w:r>
              <w:rPr>
                <w:rFonts w:hint="eastAsia" w:ascii="宋体" w:hAnsi="宋体" w:eastAsia="宋体" w:cs="宋体"/>
                <w:szCs w:val="21"/>
              </w:rPr>
              <w:t>2</w:t>
            </w:r>
          </w:p>
        </w:tc>
        <w:tc>
          <w:tcPr>
            <w:tcW w:w="1242" w:type="dxa"/>
          </w:tcPr>
          <w:p w14:paraId="28001A38">
            <w:pPr>
              <w:jc w:val="center"/>
              <w:rPr>
                <w:rFonts w:ascii="宋体" w:hAnsi="宋体" w:eastAsia="宋体" w:cs="宋体"/>
                <w:szCs w:val="21"/>
              </w:rPr>
            </w:pPr>
            <w:r>
              <w:rPr>
                <w:rFonts w:hint="eastAsia" w:ascii="宋体" w:hAnsi="宋体" w:eastAsia="宋体" w:cs="宋体"/>
                <w:szCs w:val="21"/>
              </w:rPr>
              <w:t>3</w:t>
            </w:r>
          </w:p>
        </w:tc>
        <w:tc>
          <w:tcPr>
            <w:tcW w:w="1233" w:type="dxa"/>
          </w:tcPr>
          <w:p w14:paraId="7103FF87">
            <w:pPr>
              <w:jc w:val="center"/>
              <w:rPr>
                <w:rFonts w:ascii="宋体" w:hAnsi="宋体" w:eastAsia="宋体" w:cs="宋体"/>
                <w:szCs w:val="21"/>
              </w:rPr>
            </w:pPr>
            <w:r>
              <w:rPr>
                <w:rFonts w:hint="eastAsia" w:ascii="宋体" w:hAnsi="宋体" w:eastAsia="宋体" w:cs="宋体"/>
                <w:szCs w:val="21"/>
              </w:rPr>
              <w:t>4</w:t>
            </w:r>
          </w:p>
        </w:tc>
        <w:tc>
          <w:tcPr>
            <w:tcW w:w="969" w:type="dxa"/>
          </w:tcPr>
          <w:p w14:paraId="5699AAF8">
            <w:pPr>
              <w:jc w:val="center"/>
              <w:rPr>
                <w:rFonts w:ascii="宋体" w:hAnsi="宋体" w:eastAsia="宋体" w:cs="宋体"/>
                <w:szCs w:val="21"/>
              </w:rPr>
            </w:pPr>
            <w:r>
              <w:rPr>
                <w:rFonts w:hint="eastAsia" w:ascii="宋体" w:hAnsi="宋体" w:eastAsia="宋体" w:cs="宋体"/>
                <w:szCs w:val="21"/>
              </w:rPr>
              <w:t>5</w:t>
            </w:r>
          </w:p>
        </w:tc>
      </w:tr>
      <w:tr w14:paraId="7135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vMerge w:val="restart"/>
          </w:tcPr>
          <w:p w14:paraId="2D2440C7">
            <w:pPr>
              <w:jc w:val="center"/>
              <w:rPr>
                <w:rFonts w:ascii="宋体" w:hAnsi="宋体" w:eastAsia="宋体" w:cs="宋体"/>
                <w:szCs w:val="21"/>
              </w:rPr>
            </w:pPr>
            <w:r>
              <w:rPr>
                <w:rFonts w:hint="eastAsia" w:ascii="宋体" w:hAnsi="宋体" w:eastAsia="宋体" w:cs="宋体"/>
                <w:szCs w:val="21"/>
              </w:rPr>
              <w:t>低温柔性</w:t>
            </w:r>
            <w:r>
              <w:rPr>
                <w:rFonts w:ascii="宋体" w:hAnsi="宋体" w:eastAsia="宋体" w:cs="宋体"/>
                <w:szCs w:val="21"/>
              </w:rPr>
              <w:t>/℃</w:t>
            </w:r>
          </w:p>
        </w:tc>
        <w:tc>
          <w:tcPr>
            <w:tcW w:w="1361" w:type="dxa"/>
          </w:tcPr>
          <w:p w14:paraId="40358C66">
            <w:pPr>
              <w:jc w:val="center"/>
              <w:rPr>
                <w:rFonts w:ascii="宋体" w:hAnsi="宋体" w:eastAsia="宋体" w:cs="宋体"/>
                <w:szCs w:val="21"/>
              </w:rPr>
            </w:pPr>
            <w:r>
              <w:rPr>
                <w:rFonts w:hint="eastAsia" w:ascii="宋体" w:hAnsi="宋体" w:eastAsia="宋体" w:cs="宋体"/>
                <w:szCs w:val="21"/>
              </w:rPr>
              <w:t>标准条件</w:t>
            </w:r>
          </w:p>
        </w:tc>
        <w:tc>
          <w:tcPr>
            <w:tcW w:w="1029" w:type="dxa"/>
          </w:tcPr>
          <w:p w14:paraId="75FCB2F8">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8</w:t>
            </w:r>
          </w:p>
        </w:tc>
        <w:tc>
          <w:tcPr>
            <w:tcW w:w="1200" w:type="dxa"/>
          </w:tcPr>
          <w:p w14:paraId="793753F5">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6</w:t>
            </w:r>
          </w:p>
        </w:tc>
        <w:tc>
          <w:tcPr>
            <w:tcW w:w="1242" w:type="dxa"/>
          </w:tcPr>
          <w:p w14:paraId="7C61E120">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6</w:t>
            </w:r>
          </w:p>
        </w:tc>
        <w:tc>
          <w:tcPr>
            <w:tcW w:w="1233" w:type="dxa"/>
          </w:tcPr>
          <w:p w14:paraId="1BBC268C">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12</w:t>
            </w:r>
          </w:p>
        </w:tc>
        <w:tc>
          <w:tcPr>
            <w:tcW w:w="969" w:type="dxa"/>
          </w:tcPr>
          <w:p w14:paraId="3552E906">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8</w:t>
            </w:r>
          </w:p>
        </w:tc>
      </w:tr>
      <w:tr w14:paraId="313B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vMerge w:val="continue"/>
          </w:tcPr>
          <w:p w14:paraId="6B6D0EA5">
            <w:pPr>
              <w:jc w:val="center"/>
              <w:rPr>
                <w:rFonts w:ascii="宋体" w:hAnsi="宋体" w:eastAsia="宋体" w:cs="宋体"/>
                <w:szCs w:val="21"/>
              </w:rPr>
            </w:pPr>
          </w:p>
        </w:tc>
        <w:tc>
          <w:tcPr>
            <w:tcW w:w="1361" w:type="dxa"/>
          </w:tcPr>
          <w:p w14:paraId="16967A08">
            <w:pPr>
              <w:jc w:val="center"/>
              <w:rPr>
                <w:rFonts w:ascii="宋体" w:hAnsi="宋体" w:eastAsia="宋体" w:cs="宋体"/>
                <w:szCs w:val="21"/>
              </w:rPr>
            </w:pPr>
            <w:r>
              <w:rPr>
                <w:rFonts w:hint="eastAsia" w:ascii="宋体" w:hAnsi="宋体" w:eastAsia="宋体" w:cs="宋体"/>
                <w:szCs w:val="21"/>
              </w:rPr>
              <w:t>碱处理</w:t>
            </w:r>
          </w:p>
        </w:tc>
        <w:tc>
          <w:tcPr>
            <w:tcW w:w="1029" w:type="dxa"/>
          </w:tcPr>
          <w:p w14:paraId="5719851A">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p>
        </w:tc>
        <w:tc>
          <w:tcPr>
            <w:tcW w:w="1200" w:type="dxa"/>
          </w:tcPr>
          <w:p w14:paraId="20AF8B04">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5</w:t>
            </w:r>
          </w:p>
        </w:tc>
        <w:tc>
          <w:tcPr>
            <w:tcW w:w="1242" w:type="dxa"/>
          </w:tcPr>
          <w:p w14:paraId="4908F95A">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8</w:t>
            </w:r>
          </w:p>
        </w:tc>
        <w:tc>
          <w:tcPr>
            <w:tcW w:w="1233" w:type="dxa"/>
          </w:tcPr>
          <w:p w14:paraId="0742C8F7">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10</w:t>
            </w:r>
          </w:p>
        </w:tc>
        <w:tc>
          <w:tcPr>
            <w:tcW w:w="969" w:type="dxa"/>
          </w:tcPr>
          <w:p w14:paraId="3D854874">
            <w:pPr>
              <w:jc w:val="center"/>
              <w:rPr>
                <w:rFonts w:ascii="宋体" w:hAnsi="宋体" w:eastAsia="宋体" w:cs="宋体"/>
                <w:szCs w:val="21"/>
              </w:rPr>
            </w:pPr>
            <w:r>
              <w:rPr>
                <w:rFonts w:hint="eastAsia" w:ascii="宋体" w:hAnsi="宋体" w:eastAsia="宋体" w:cs="宋体"/>
                <w:szCs w:val="21"/>
              </w:rPr>
              <w:t>-</w:t>
            </w:r>
            <w:r>
              <w:rPr>
                <w:rFonts w:ascii="宋体" w:hAnsi="宋体" w:eastAsia="宋体" w:cs="宋体"/>
                <w:szCs w:val="21"/>
              </w:rPr>
              <w:t>9</w:t>
            </w:r>
          </w:p>
        </w:tc>
      </w:tr>
      <w:tr w14:paraId="627C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vMerge w:val="continue"/>
          </w:tcPr>
          <w:p w14:paraId="4A449814">
            <w:pPr>
              <w:rPr>
                <w:rFonts w:ascii="宋体" w:hAnsi="宋体" w:eastAsia="宋体" w:cs="宋体"/>
                <w:sz w:val="24"/>
                <w:szCs w:val="24"/>
              </w:rPr>
            </w:pPr>
          </w:p>
        </w:tc>
        <w:tc>
          <w:tcPr>
            <w:tcW w:w="1361" w:type="dxa"/>
          </w:tcPr>
          <w:p w14:paraId="153EBBA8">
            <w:pPr>
              <w:rPr>
                <w:rFonts w:ascii="宋体" w:hAnsi="宋体" w:eastAsia="宋体" w:cs="宋体"/>
                <w:sz w:val="24"/>
                <w:szCs w:val="24"/>
              </w:rPr>
            </w:pPr>
            <w:r>
              <w:rPr>
                <w:rFonts w:hint="eastAsia" w:ascii="宋体" w:hAnsi="宋体" w:eastAsia="宋体" w:cs="宋体"/>
                <w:sz w:val="24"/>
                <w:szCs w:val="24"/>
              </w:rPr>
              <w:t>紫外线处理</w:t>
            </w:r>
          </w:p>
        </w:tc>
        <w:tc>
          <w:tcPr>
            <w:tcW w:w="1029" w:type="dxa"/>
            <w:vAlign w:val="center"/>
          </w:tcPr>
          <w:p w14:paraId="51AB01DF">
            <w:pPr>
              <w:jc w:val="center"/>
              <w:rPr>
                <w:rFonts w:ascii="宋体" w:hAnsi="宋体" w:eastAsia="宋体" w:cs="宋体"/>
                <w:szCs w:val="21"/>
              </w:rPr>
            </w:pPr>
            <w:r>
              <w:rPr>
                <w:rFonts w:ascii="宋体" w:hAnsi="宋体" w:eastAsia="宋体" w:cs="宋体"/>
                <w:szCs w:val="21"/>
              </w:rPr>
              <w:t>-5</w:t>
            </w:r>
          </w:p>
        </w:tc>
        <w:tc>
          <w:tcPr>
            <w:tcW w:w="1200" w:type="dxa"/>
            <w:vAlign w:val="center"/>
          </w:tcPr>
          <w:p w14:paraId="3466DAD9">
            <w:pPr>
              <w:jc w:val="center"/>
              <w:rPr>
                <w:rFonts w:ascii="宋体" w:hAnsi="宋体" w:eastAsia="宋体" w:cs="宋体"/>
                <w:szCs w:val="21"/>
              </w:rPr>
            </w:pPr>
            <w:r>
              <w:rPr>
                <w:rFonts w:ascii="宋体" w:hAnsi="宋体" w:eastAsia="宋体" w:cs="宋体"/>
                <w:szCs w:val="21"/>
              </w:rPr>
              <w:t>-2</w:t>
            </w:r>
          </w:p>
        </w:tc>
        <w:tc>
          <w:tcPr>
            <w:tcW w:w="1242" w:type="dxa"/>
            <w:vAlign w:val="center"/>
          </w:tcPr>
          <w:p w14:paraId="6211BEFB">
            <w:pPr>
              <w:jc w:val="center"/>
              <w:rPr>
                <w:rFonts w:ascii="宋体" w:hAnsi="宋体" w:eastAsia="宋体" w:cs="宋体"/>
                <w:szCs w:val="21"/>
              </w:rPr>
            </w:pPr>
            <w:r>
              <w:rPr>
                <w:rFonts w:ascii="宋体" w:hAnsi="宋体" w:eastAsia="宋体" w:cs="宋体"/>
                <w:szCs w:val="21"/>
              </w:rPr>
              <w:t>-3</w:t>
            </w:r>
          </w:p>
        </w:tc>
        <w:tc>
          <w:tcPr>
            <w:tcW w:w="1233" w:type="dxa"/>
            <w:vAlign w:val="center"/>
          </w:tcPr>
          <w:p w14:paraId="0F7BC461">
            <w:pPr>
              <w:jc w:val="center"/>
              <w:rPr>
                <w:rFonts w:ascii="宋体" w:hAnsi="宋体" w:eastAsia="宋体" w:cs="宋体"/>
                <w:szCs w:val="21"/>
              </w:rPr>
            </w:pPr>
            <w:r>
              <w:rPr>
                <w:rFonts w:ascii="宋体" w:hAnsi="宋体" w:eastAsia="宋体" w:cs="宋体"/>
                <w:szCs w:val="21"/>
              </w:rPr>
              <w:t>-5</w:t>
            </w:r>
          </w:p>
        </w:tc>
        <w:tc>
          <w:tcPr>
            <w:tcW w:w="969" w:type="dxa"/>
            <w:vAlign w:val="center"/>
          </w:tcPr>
          <w:p w14:paraId="0EAAE230">
            <w:pPr>
              <w:jc w:val="center"/>
              <w:rPr>
                <w:rFonts w:ascii="宋体" w:hAnsi="宋体" w:eastAsia="宋体" w:cs="宋体"/>
                <w:szCs w:val="21"/>
              </w:rPr>
            </w:pPr>
            <w:r>
              <w:rPr>
                <w:rFonts w:ascii="宋体" w:hAnsi="宋体" w:eastAsia="宋体" w:cs="宋体"/>
                <w:szCs w:val="21"/>
              </w:rPr>
              <w:t>-2</w:t>
            </w:r>
          </w:p>
        </w:tc>
      </w:tr>
      <w:tr w14:paraId="28F1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vMerge w:val="continue"/>
          </w:tcPr>
          <w:p w14:paraId="1E7987BC">
            <w:pPr>
              <w:rPr>
                <w:rFonts w:ascii="宋体" w:hAnsi="宋体" w:eastAsia="宋体" w:cs="宋体"/>
                <w:sz w:val="24"/>
                <w:szCs w:val="24"/>
              </w:rPr>
            </w:pPr>
          </w:p>
        </w:tc>
        <w:tc>
          <w:tcPr>
            <w:tcW w:w="1361" w:type="dxa"/>
          </w:tcPr>
          <w:p w14:paraId="788F4CB1">
            <w:pPr>
              <w:rPr>
                <w:rFonts w:ascii="宋体" w:hAnsi="宋体" w:eastAsia="宋体" w:cs="宋体"/>
                <w:sz w:val="24"/>
                <w:szCs w:val="24"/>
              </w:rPr>
            </w:pPr>
            <w:r>
              <w:rPr>
                <w:rFonts w:hint="eastAsia" w:ascii="宋体" w:hAnsi="宋体" w:eastAsia="宋体" w:cs="宋体"/>
                <w:sz w:val="24"/>
                <w:szCs w:val="24"/>
              </w:rPr>
              <w:t>热处理</w:t>
            </w:r>
          </w:p>
        </w:tc>
        <w:tc>
          <w:tcPr>
            <w:tcW w:w="1029" w:type="dxa"/>
            <w:vAlign w:val="center"/>
          </w:tcPr>
          <w:p w14:paraId="29E98B27">
            <w:pPr>
              <w:jc w:val="center"/>
              <w:rPr>
                <w:rFonts w:ascii="宋体" w:hAnsi="宋体" w:eastAsia="宋体" w:cs="宋体"/>
                <w:szCs w:val="21"/>
              </w:rPr>
            </w:pPr>
            <w:r>
              <w:rPr>
                <w:rFonts w:ascii="宋体" w:hAnsi="宋体" w:eastAsia="宋体" w:cs="宋体"/>
                <w:szCs w:val="21"/>
              </w:rPr>
              <w:t>-6</w:t>
            </w:r>
          </w:p>
        </w:tc>
        <w:tc>
          <w:tcPr>
            <w:tcW w:w="1200" w:type="dxa"/>
            <w:vAlign w:val="center"/>
          </w:tcPr>
          <w:p w14:paraId="330B6355">
            <w:pPr>
              <w:jc w:val="center"/>
              <w:rPr>
                <w:rFonts w:ascii="宋体" w:hAnsi="宋体" w:eastAsia="宋体" w:cs="宋体"/>
                <w:szCs w:val="21"/>
              </w:rPr>
            </w:pPr>
            <w:r>
              <w:rPr>
                <w:rFonts w:ascii="宋体" w:hAnsi="宋体" w:eastAsia="宋体" w:cs="宋体"/>
                <w:szCs w:val="21"/>
              </w:rPr>
              <w:t>-4</w:t>
            </w:r>
          </w:p>
        </w:tc>
        <w:tc>
          <w:tcPr>
            <w:tcW w:w="1242" w:type="dxa"/>
            <w:vAlign w:val="center"/>
          </w:tcPr>
          <w:p w14:paraId="7B469E02">
            <w:pPr>
              <w:jc w:val="center"/>
              <w:rPr>
                <w:rFonts w:ascii="宋体" w:hAnsi="宋体" w:eastAsia="宋体" w:cs="宋体"/>
                <w:szCs w:val="21"/>
              </w:rPr>
            </w:pPr>
            <w:r>
              <w:rPr>
                <w:rFonts w:ascii="宋体" w:hAnsi="宋体" w:eastAsia="宋体" w:cs="宋体"/>
                <w:szCs w:val="21"/>
              </w:rPr>
              <w:t>-2</w:t>
            </w:r>
          </w:p>
        </w:tc>
        <w:tc>
          <w:tcPr>
            <w:tcW w:w="1233" w:type="dxa"/>
            <w:vAlign w:val="center"/>
          </w:tcPr>
          <w:p w14:paraId="1E800241">
            <w:pPr>
              <w:jc w:val="center"/>
              <w:rPr>
                <w:rFonts w:ascii="宋体" w:hAnsi="宋体" w:eastAsia="宋体" w:cs="宋体"/>
                <w:szCs w:val="21"/>
              </w:rPr>
            </w:pPr>
            <w:r>
              <w:rPr>
                <w:rFonts w:ascii="宋体" w:hAnsi="宋体" w:eastAsia="宋体" w:cs="宋体"/>
                <w:szCs w:val="21"/>
              </w:rPr>
              <w:t>-6</w:t>
            </w:r>
          </w:p>
        </w:tc>
        <w:tc>
          <w:tcPr>
            <w:tcW w:w="969" w:type="dxa"/>
            <w:vAlign w:val="center"/>
          </w:tcPr>
          <w:p w14:paraId="065825CF">
            <w:pPr>
              <w:jc w:val="center"/>
              <w:rPr>
                <w:rFonts w:ascii="宋体" w:hAnsi="宋体" w:eastAsia="宋体" w:cs="宋体"/>
                <w:szCs w:val="21"/>
              </w:rPr>
            </w:pPr>
            <w:r>
              <w:rPr>
                <w:rFonts w:ascii="宋体" w:hAnsi="宋体" w:eastAsia="宋体" w:cs="宋体"/>
                <w:szCs w:val="21"/>
              </w:rPr>
              <w:t>-4</w:t>
            </w:r>
          </w:p>
        </w:tc>
      </w:tr>
    </w:tbl>
    <w:p w14:paraId="45DBF135">
      <w:pPr>
        <w:ind w:firstLine="480" w:firstLineChars="200"/>
        <w:rPr>
          <w:rFonts w:ascii="宋体" w:hAnsi="宋体" w:eastAsia="宋体" w:cs="宋体"/>
          <w:sz w:val="24"/>
          <w:szCs w:val="24"/>
        </w:rPr>
      </w:pPr>
      <w:r>
        <w:rPr>
          <w:rFonts w:hint="eastAsia" w:ascii="宋体" w:hAnsi="宋体" w:eastAsia="宋体" w:cs="宋体"/>
          <w:sz w:val="24"/>
          <w:szCs w:val="24"/>
        </w:rPr>
        <w:t>由表7可知，5组样品全部满足低温柔性的要求。</w:t>
      </w:r>
    </w:p>
    <w:p w14:paraId="6AD288C2">
      <w:pPr>
        <w:rPr>
          <w:rFonts w:ascii="宋体" w:hAnsi="宋体" w:eastAsia="宋体" w:cs="宋体"/>
          <w:sz w:val="24"/>
          <w:szCs w:val="24"/>
        </w:rPr>
      </w:pPr>
    </w:p>
    <w:p w14:paraId="79D06F90">
      <w:pPr>
        <w:rPr>
          <w:rFonts w:ascii="宋体" w:hAnsi="宋体" w:eastAsia="宋体" w:cs="宋体"/>
          <w:sz w:val="24"/>
          <w:szCs w:val="24"/>
        </w:rPr>
      </w:pPr>
      <w:r>
        <w:rPr>
          <w:rFonts w:hint="eastAsia" w:ascii="宋体" w:hAnsi="宋体" w:eastAsia="宋体" w:cs="宋体"/>
          <w:sz w:val="24"/>
          <w:szCs w:val="24"/>
        </w:rPr>
        <w:t>8 断裂伸长率</w:t>
      </w:r>
    </w:p>
    <w:p w14:paraId="217D101A">
      <w:pPr>
        <w:jc w:val="center"/>
        <w:rPr>
          <w:rFonts w:ascii="宋体" w:hAnsi="宋体" w:eastAsia="宋体" w:cs="宋体"/>
          <w:szCs w:val="21"/>
        </w:rPr>
      </w:pPr>
      <w:r>
        <w:rPr>
          <w:rFonts w:hint="eastAsia" w:ascii="宋体" w:hAnsi="宋体" w:eastAsia="宋体" w:cs="宋体"/>
          <w:szCs w:val="21"/>
        </w:rPr>
        <w:t>表8 断裂伸长率测试结果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2"/>
        <w:gridCol w:w="1446"/>
        <w:gridCol w:w="1125"/>
        <w:gridCol w:w="1125"/>
        <w:gridCol w:w="1093"/>
        <w:gridCol w:w="1136"/>
        <w:gridCol w:w="1012"/>
      </w:tblGrid>
      <w:tr w14:paraId="36A9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8" w:type="dxa"/>
            <w:gridSpan w:val="2"/>
          </w:tcPr>
          <w:p w14:paraId="32854556">
            <w:pPr>
              <w:rPr>
                <w:rFonts w:ascii="宋体" w:hAnsi="宋体" w:eastAsia="宋体" w:cs="宋体"/>
                <w:szCs w:val="21"/>
              </w:rPr>
            </w:pPr>
            <w:r>
              <w:rPr>
                <w:rFonts w:hint="eastAsia" w:ascii="宋体" w:hAnsi="宋体" w:eastAsia="宋体" w:cs="宋体"/>
                <w:szCs w:val="21"/>
              </w:rPr>
              <w:t>样品编号</w:t>
            </w:r>
          </w:p>
        </w:tc>
        <w:tc>
          <w:tcPr>
            <w:tcW w:w="1125" w:type="dxa"/>
            <w:vAlign w:val="center"/>
          </w:tcPr>
          <w:p w14:paraId="75ED9FE9">
            <w:pPr>
              <w:jc w:val="center"/>
              <w:rPr>
                <w:rFonts w:ascii="宋体" w:hAnsi="宋体" w:eastAsia="宋体" w:cs="宋体"/>
                <w:szCs w:val="21"/>
              </w:rPr>
            </w:pPr>
            <w:r>
              <w:rPr>
                <w:rFonts w:hint="eastAsia" w:ascii="宋体" w:hAnsi="宋体" w:eastAsia="宋体" w:cs="宋体"/>
                <w:szCs w:val="21"/>
              </w:rPr>
              <w:t>1</w:t>
            </w:r>
          </w:p>
        </w:tc>
        <w:tc>
          <w:tcPr>
            <w:tcW w:w="1125" w:type="dxa"/>
            <w:vAlign w:val="center"/>
          </w:tcPr>
          <w:p w14:paraId="261E72D5">
            <w:pPr>
              <w:jc w:val="center"/>
              <w:rPr>
                <w:rFonts w:ascii="宋体" w:hAnsi="宋体" w:eastAsia="宋体" w:cs="宋体"/>
                <w:szCs w:val="21"/>
              </w:rPr>
            </w:pPr>
            <w:r>
              <w:rPr>
                <w:rFonts w:hint="eastAsia" w:ascii="宋体" w:hAnsi="宋体" w:eastAsia="宋体" w:cs="宋体"/>
                <w:szCs w:val="21"/>
              </w:rPr>
              <w:t>2</w:t>
            </w:r>
          </w:p>
        </w:tc>
        <w:tc>
          <w:tcPr>
            <w:tcW w:w="1093" w:type="dxa"/>
            <w:vAlign w:val="center"/>
          </w:tcPr>
          <w:p w14:paraId="55D03529">
            <w:pPr>
              <w:jc w:val="center"/>
              <w:rPr>
                <w:rFonts w:ascii="宋体" w:hAnsi="宋体" w:eastAsia="宋体" w:cs="宋体"/>
                <w:szCs w:val="21"/>
              </w:rPr>
            </w:pPr>
            <w:r>
              <w:rPr>
                <w:rFonts w:hint="eastAsia" w:ascii="宋体" w:hAnsi="宋体" w:eastAsia="宋体" w:cs="宋体"/>
                <w:szCs w:val="21"/>
              </w:rPr>
              <w:t>3</w:t>
            </w:r>
          </w:p>
        </w:tc>
        <w:tc>
          <w:tcPr>
            <w:tcW w:w="1136" w:type="dxa"/>
            <w:vAlign w:val="center"/>
          </w:tcPr>
          <w:p w14:paraId="56660EA9">
            <w:pPr>
              <w:jc w:val="center"/>
              <w:rPr>
                <w:rFonts w:ascii="宋体" w:hAnsi="宋体" w:eastAsia="宋体" w:cs="宋体"/>
                <w:szCs w:val="21"/>
              </w:rPr>
            </w:pPr>
            <w:r>
              <w:rPr>
                <w:rFonts w:hint="eastAsia" w:ascii="宋体" w:hAnsi="宋体" w:eastAsia="宋体" w:cs="宋体"/>
                <w:szCs w:val="21"/>
              </w:rPr>
              <w:t>4</w:t>
            </w:r>
          </w:p>
        </w:tc>
        <w:tc>
          <w:tcPr>
            <w:tcW w:w="1012" w:type="dxa"/>
            <w:vAlign w:val="center"/>
          </w:tcPr>
          <w:p w14:paraId="3D922D24">
            <w:pPr>
              <w:jc w:val="center"/>
              <w:rPr>
                <w:rFonts w:ascii="宋体" w:hAnsi="宋体" w:eastAsia="宋体" w:cs="宋体"/>
                <w:szCs w:val="21"/>
              </w:rPr>
            </w:pPr>
            <w:r>
              <w:rPr>
                <w:rFonts w:hint="eastAsia" w:ascii="宋体" w:hAnsi="宋体" w:eastAsia="宋体" w:cs="宋体"/>
                <w:szCs w:val="21"/>
              </w:rPr>
              <w:t>5</w:t>
            </w:r>
          </w:p>
        </w:tc>
      </w:tr>
      <w:tr w14:paraId="357CE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2" w:type="dxa"/>
            <w:vMerge w:val="restart"/>
          </w:tcPr>
          <w:p w14:paraId="35D8C01B">
            <w:pPr>
              <w:rPr>
                <w:rFonts w:ascii="宋体" w:hAnsi="宋体" w:eastAsia="宋体" w:cs="宋体"/>
                <w:szCs w:val="21"/>
              </w:rPr>
            </w:pPr>
            <w:r>
              <w:rPr>
                <w:rFonts w:hint="eastAsia" w:ascii="宋体" w:hAnsi="宋体" w:eastAsia="宋体" w:cs="宋体"/>
                <w:szCs w:val="21"/>
              </w:rPr>
              <w:t>断裂伸长率</w:t>
            </w:r>
            <w:r>
              <w:rPr>
                <w:rFonts w:ascii="宋体" w:hAnsi="宋体" w:eastAsia="宋体" w:cs="宋体"/>
                <w:szCs w:val="21"/>
              </w:rPr>
              <w:t>/%</w:t>
            </w:r>
          </w:p>
        </w:tc>
        <w:tc>
          <w:tcPr>
            <w:tcW w:w="1446" w:type="dxa"/>
          </w:tcPr>
          <w:p w14:paraId="549136BA">
            <w:pPr>
              <w:rPr>
                <w:rFonts w:ascii="宋体" w:hAnsi="宋体" w:eastAsia="宋体" w:cs="宋体"/>
                <w:szCs w:val="21"/>
              </w:rPr>
            </w:pPr>
            <w:r>
              <w:rPr>
                <w:rFonts w:hint="eastAsia" w:ascii="宋体" w:hAnsi="宋体" w:eastAsia="宋体" w:cs="宋体"/>
                <w:szCs w:val="21"/>
              </w:rPr>
              <w:t>标准条件</w:t>
            </w:r>
          </w:p>
        </w:tc>
        <w:tc>
          <w:tcPr>
            <w:tcW w:w="1125" w:type="dxa"/>
            <w:vAlign w:val="center"/>
          </w:tcPr>
          <w:p w14:paraId="1E9298C1">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253</w:t>
            </w:r>
          </w:p>
        </w:tc>
        <w:tc>
          <w:tcPr>
            <w:tcW w:w="1125" w:type="dxa"/>
            <w:vAlign w:val="center"/>
          </w:tcPr>
          <w:p w14:paraId="56404257">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031</w:t>
            </w:r>
          </w:p>
        </w:tc>
        <w:tc>
          <w:tcPr>
            <w:tcW w:w="1093" w:type="dxa"/>
            <w:vAlign w:val="center"/>
          </w:tcPr>
          <w:p w14:paraId="3790759C">
            <w:pPr>
              <w:jc w:val="center"/>
              <w:rPr>
                <w:rFonts w:ascii="宋体" w:hAnsi="宋体" w:eastAsia="宋体" w:cs="宋体"/>
                <w:szCs w:val="21"/>
              </w:rPr>
            </w:pPr>
            <w:r>
              <w:rPr>
                <w:rFonts w:hint="eastAsia" w:ascii="宋体" w:hAnsi="宋体" w:eastAsia="宋体" w:cs="宋体"/>
                <w:szCs w:val="21"/>
              </w:rPr>
              <w:t>9</w:t>
            </w:r>
            <w:r>
              <w:rPr>
                <w:rFonts w:ascii="宋体" w:hAnsi="宋体" w:eastAsia="宋体" w:cs="宋体"/>
                <w:szCs w:val="21"/>
              </w:rPr>
              <w:t>89</w:t>
            </w:r>
          </w:p>
        </w:tc>
        <w:tc>
          <w:tcPr>
            <w:tcW w:w="1136" w:type="dxa"/>
            <w:vAlign w:val="center"/>
          </w:tcPr>
          <w:p w14:paraId="635C8471">
            <w:pPr>
              <w:jc w:val="center"/>
              <w:rPr>
                <w:rFonts w:ascii="宋体" w:hAnsi="宋体" w:eastAsia="宋体" w:cs="宋体"/>
                <w:szCs w:val="21"/>
              </w:rPr>
            </w:pPr>
            <w:r>
              <w:rPr>
                <w:rFonts w:hint="eastAsia" w:ascii="宋体" w:hAnsi="宋体" w:eastAsia="宋体" w:cs="宋体"/>
                <w:szCs w:val="21"/>
              </w:rPr>
              <w:t>9</w:t>
            </w:r>
            <w:r>
              <w:rPr>
                <w:rFonts w:ascii="宋体" w:hAnsi="宋体" w:eastAsia="宋体" w:cs="宋体"/>
                <w:szCs w:val="21"/>
              </w:rPr>
              <w:t>12</w:t>
            </w:r>
          </w:p>
        </w:tc>
        <w:tc>
          <w:tcPr>
            <w:tcW w:w="1012" w:type="dxa"/>
            <w:vAlign w:val="center"/>
          </w:tcPr>
          <w:p w14:paraId="7AFFD59D">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089</w:t>
            </w:r>
          </w:p>
        </w:tc>
      </w:tr>
      <w:tr w14:paraId="3218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2" w:type="dxa"/>
            <w:vMerge w:val="continue"/>
          </w:tcPr>
          <w:p w14:paraId="283A1680">
            <w:pPr>
              <w:rPr>
                <w:rFonts w:ascii="宋体" w:hAnsi="宋体" w:eastAsia="宋体" w:cs="宋体"/>
                <w:szCs w:val="21"/>
              </w:rPr>
            </w:pPr>
          </w:p>
        </w:tc>
        <w:tc>
          <w:tcPr>
            <w:tcW w:w="1446" w:type="dxa"/>
          </w:tcPr>
          <w:p w14:paraId="500904A4">
            <w:pPr>
              <w:rPr>
                <w:rFonts w:ascii="宋体" w:hAnsi="宋体" w:eastAsia="宋体" w:cs="宋体"/>
                <w:szCs w:val="21"/>
              </w:rPr>
            </w:pPr>
            <w:r>
              <w:rPr>
                <w:rFonts w:hint="eastAsia" w:ascii="宋体" w:hAnsi="宋体" w:eastAsia="宋体" w:cs="宋体"/>
                <w:szCs w:val="21"/>
              </w:rPr>
              <w:t>碱处理</w:t>
            </w:r>
          </w:p>
        </w:tc>
        <w:tc>
          <w:tcPr>
            <w:tcW w:w="1125" w:type="dxa"/>
            <w:vAlign w:val="center"/>
          </w:tcPr>
          <w:p w14:paraId="40B1ECAD">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421</w:t>
            </w:r>
          </w:p>
        </w:tc>
        <w:tc>
          <w:tcPr>
            <w:tcW w:w="1125" w:type="dxa"/>
            <w:vAlign w:val="center"/>
          </w:tcPr>
          <w:p w14:paraId="4B60D6CE">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415</w:t>
            </w:r>
          </w:p>
        </w:tc>
        <w:tc>
          <w:tcPr>
            <w:tcW w:w="1093" w:type="dxa"/>
            <w:vAlign w:val="center"/>
          </w:tcPr>
          <w:p w14:paraId="36812339">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241</w:t>
            </w:r>
          </w:p>
        </w:tc>
        <w:tc>
          <w:tcPr>
            <w:tcW w:w="1136" w:type="dxa"/>
            <w:vAlign w:val="center"/>
          </w:tcPr>
          <w:p w14:paraId="57B45C05">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056</w:t>
            </w:r>
          </w:p>
        </w:tc>
        <w:tc>
          <w:tcPr>
            <w:tcW w:w="1012" w:type="dxa"/>
            <w:vAlign w:val="center"/>
          </w:tcPr>
          <w:p w14:paraId="20C37E26">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278</w:t>
            </w:r>
          </w:p>
        </w:tc>
      </w:tr>
      <w:tr w14:paraId="5744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2" w:type="dxa"/>
            <w:vMerge w:val="continue"/>
          </w:tcPr>
          <w:p w14:paraId="032CB225">
            <w:pPr>
              <w:rPr>
                <w:rFonts w:ascii="宋体" w:hAnsi="宋体" w:eastAsia="宋体" w:cs="宋体"/>
                <w:sz w:val="24"/>
                <w:szCs w:val="24"/>
              </w:rPr>
            </w:pPr>
          </w:p>
        </w:tc>
        <w:tc>
          <w:tcPr>
            <w:tcW w:w="1446" w:type="dxa"/>
          </w:tcPr>
          <w:p w14:paraId="0247690B">
            <w:pPr>
              <w:rPr>
                <w:rFonts w:ascii="宋体" w:hAnsi="宋体" w:eastAsia="宋体" w:cs="宋体"/>
                <w:sz w:val="24"/>
                <w:szCs w:val="24"/>
              </w:rPr>
            </w:pPr>
            <w:r>
              <w:rPr>
                <w:rFonts w:hint="eastAsia" w:ascii="宋体" w:hAnsi="宋体" w:eastAsia="宋体" w:cs="宋体"/>
                <w:sz w:val="24"/>
                <w:szCs w:val="24"/>
              </w:rPr>
              <w:t>紫外线处理</w:t>
            </w:r>
          </w:p>
        </w:tc>
        <w:tc>
          <w:tcPr>
            <w:tcW w:w="1125" w:type="dxa"/>
            <w:vAlign w:val="center"/>
          </w:tcPr>
          <w:p w14:paraId="5508427C">
            <w:pPr>
              <w:jc w:val="center"/>
              <w:rPr>
                <w:rFonts w:ascii="宋体" w:hAnsi="宋体" w:eastAsia="宋体" w:cs="宋体"/>
                <w:szCs w:val="21"/>
              </w:rPr>
            </w:pPr>
            <w:r>
              <w:rPr>
                <w:rFonts w:ascii="宋体" w:hAnsi="宋体" w:eastAsia="宋体" w:cs="宋体"/>
                <w:szCs w:val="21"/>
              </w:rPr>
              <w:t>1045</w:t>
            </w:r>
          </w:p>
        </w:tc>
        <w:tc>
          <w:tcPr>
            <w:tcW w:w="1125" w:type="dxa"/>
            <w:vAlign w:val="center"/>
          </w:tcPr>
          <w:p w14:paraId="5951F73E">
            <w:pPr>
              <w:jc w:val="center"/>
              <w:rPr>
                <w:rFonts w:ascii="宋体" w:hAnsi="宋体" w:eastAsia="宋体" w:cs="宋体"/>
                <w:szCs w:val="21"/>
              </w:rPr>
            </w:pPr>
            <w:r>
              <w:rPr>
                <w:rFonts w:ascii="宋体" w:hAnsi="宋体" w:eastAsia="宋体" w:cs="宋体"/>
                <w:szCs w:val="21"/>
              </w:rPr>
              <w:t>964</w:t>
            </w:r>
          </w:p>
        </w:tc>
        <w:tc>
          <w:tcPr>
            <w:tcW w:w="1093" w:type="dxa"/>
            <w:vAlign w:val="center"/>
          </w:tcPr>
          <w:p w14:paraId="7DF670FD">
            <w:pPr>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90</w:t>
            </w:r>
          </w:p>
        </w:tc>
        <w:tc>
          <w:tcPr>
            <w:tcW w:w="1136" w:type="dxa"/>
            <w:vAlign w:val="center"/>
          </w:tcPr>
          <w:p w14:paraId="0B519DD4">
            <w:pPr>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68</w:t>
            </w:r>
          </w:p>
        </w:tc>
        <w:tc>
          <w:tcPr>
            <w:tcW w:w="1012" w:type="dxa"/>
            <w:vAlign w:val="center"/>
          </w:tcPr>
          <w:p w14:paraId="38C79678">
            <w:pPr>
              <w:jc w:val="center"/>
              <w:rPr>
                <w:rFonts w:ascii="宋体" w:hAnsi="宋体" w:eastAsia="宋体" w:cs="宋体"/>
                <w:szCs w:val="21"/>
              </w:rPr>
            </w:pPr>
            <w:r>
              <w:rPr>
                <w:rFonts w:hint="eastAsia" w:ascii="宋体" w:hAnsi="宋体" w:eastAsia="宋体" w:cs="宋体"/>
                <w:szCs w:val="21"/>
              </w:rPr>
              <w:t>1</w:t>
            </w:r>
            <w:r>
              <w:rPr>
                <w:rFonts w:ascii="宋体" w:hAnsi="宋体" w:eastAsia="宋体" w:cs="宋体"/>
                <w:szCs w:val="21"/>
              </w:rPr>
              <w:t>021</w:t>
            </w:r>
          </w:p>
        </w:tc>
      </w:tr>
      <w:tr w14:paraId="7DF49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2" w:type="dxa"/>
            <w:vMerge w:val="continue"/>
          </w:tcPr>
          <w:p w14:paraId="3802E825">
            <w:pPr>
              <w:rPr>
                <w:rFonts w:ascii="宋体" w:hAnsi="宋体" w:eastAsia="宋体" w:cs="宋体"/>
                <w:sz w:val="24"/>
                <w:szCs w:val="24"/>
              </w:rPr>
            </w:pPr>
          </w:p>
        </w:tc>
        <w:tc>
          <w:tcPr>
            <w:tcW w:w="1446" w:type="dxa"/>
          </w:tcPr>
          <w:p w14:paraId="49408670">
            <w:pPr>
              <w:rPr>
                <w:rFonts w:ascii="宋体" w:hAnsi="宋体" w:eastAsia="宋体" w:cs="宋体"/>
                <w:sz w:val="24"/>
                <w:szCs w:val="24"/>
              </w:rPr>
            </w:pPr>
            <w:r>
              <w:rPr>
                <w:rFonts w:hint="eastAsia" w:ascii="宋体" w:hAnsi="宋体" w:eastAsia="宋体" w:cs="宋体"/>
                <w:sz w:val="24"/>
                <w:szCs w:val="24"/>
              </w:rPr>
              <w:t>热处理</w:t>
            </w:r>
          </w:p>
        </w:tc>
        <w:tc>
          <w:tcPr>
            <w:tcW w:w="1125" w:type="dxa"/>
            <w:vAlign w:val="center"/>
          </w:tcPr>
          <w:p w14:paraId="33FE1A45">
            <w:pPr>
              <w:jc w:val="center"/>
              <w:rPr>
                <w:rFonts w:ascii="宋体" w:hAnsi="宋体" w:eastAsia="宋体" w:cs="宋体"/>
                <w:szCs w:val="21"/>
              </w:rPr>
            </w:pPr>
            <w:r>
              <w:rPr>
                <w:rFonts w:ascii="宋体" w:hAnsi="宋体" w:eastAsia="宋体" w:cs="宋体"/>
                <w:szCs w:val="21"/>
              </w:rPr>
              <w:t>970</w:t>
            </w:r>
          </w:p>
        </w:tc>
        <w:tc>
          <w:tcPr>
            <w:tcW w:w="1125" w:type="dxa"/>
            <w:vAlign w:val="center"/>
          </w:tcPr>
          <w:p w14:paraId="7554D362">
            <w:pPr>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78</w:t>
            </w:r>
          </w:p>
        </w:tc>
        <w:tc>
          <w:tcPr>
            <w:tcW w:w="1093" w:type="dxa"/>
            <w:vAlign w:val="center"/>
          </w:tcPr>
          <w:p w14:paraId="5841958E">
            <w:pPr>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21</w:t>
            </w:r>
          </w:p>
        </w:tc>
        <w:tc>
          <w:tcPr>
            <w:tcW w:w="1136" w:type="dxa"/>
            <w:vAlign w:val="center"/>
          </w:tcPr>
          <w:p w14:paraId="21B34715">
            <w:pPr>
              <w:jc w:val="center"/>
              <w:rPr>
                <w:rFonts w:ascii="宋体" w:hAnsi="宋体" w:eastAsia="宋体" w:cs="宋体"/>
                <w:szCs w:val="21"/>
              </w:rPr>
            </w:pPr>
            <w:r>
              <w:rPr>
                <w:rFonts w:hint="eastAsia" w:ascii="宋体" w:hAnsi="宋体" w:eastAsia="宋体" w:cs="宋体"/>
                <w:szCs w:val="21"/>
              </w:rPr>
              <w:t>8</w:t>
            </w:r>
            <w:r>
              <w:rPr>
                <w:rFonts w:ascii="宋体" w:hAnsi="宋体" w:eastAsia="宋体" w:cs="宋体"/>
                <w:szCs w:val="21"/>
              </w:rPr>
              <w:t>16</w:t>
            </w:r>
          </w:p>
        </w:tc>
        <w:tc>
          <w:tcPr>
            <w:tcW w:w="1012" w:type="dxa"/>
            <w:vAlign w:val="center"/>
          </w:tcPr>
          <w:p w14:paraId="78241C6A">
            <w:pPr>
              <w:jc w:val="center"/>
              <w:rPr>
                <w:rFonts w:ascii="宋体" w:hAnsi="宋体" w:eastAsia="宋体" w:cs="宋体"/>
                <w:szCs w:val="21"/>
              </w:rPr>
            </w:pPr>
            <w:r>
              <w:rPr>
                <w:rFonts w:hint="eastAsia" w:ascii="宋体" w:hAnsi="宋体" w:eastAsia="宋体" w:cs="宋体"/>
                <w:szCs w:val="21"/>
              </w:rPr>
              <w:t>9</w:t>
            </w:r>
            <w:r>
              <w:rPr>
                <w:rFonts w:ascii="宋体" w:hAnsi="宋体" w:eastAsia="宋体" w:cs="宋体"/>
                <w:szCs w:val="21"/>
              </w:rPr>
              <w:t>15</w:t>
            </w:r>
          </w:p>
        </w:tc>
      </w:tr>
    </w:tbl>
    <w:p w14:paraId="69E874EC">
      <w:pPr>
        <w:ind w:firstLine="480" w:firstLineChars="200"/>
        <w:rPr>
          <w:rFonts w:ascii="宋体" w:hAnsi="宋体" w:eastAsia="宋体" w:cs="宋体"/>
          <w:sz w:val="24"/>
          <w:szCs w:val="24"/>
        </w:rPr>
      </w:pPr>
      <w:r>
        <w:rPr>
          <w:rFonts w:hint="eastAsia" w:ascii="宋体" w:hAnsi="宋体" w:eastAsia="宋体" w:cs="宋体"/>
          <w:sz w:val="24"/>
          <w:szCs w:val="24"/>
        </w:rPr>
        <w:t>由表8可知，5组样品全部满足断裂伸长率的要求。</w:t>
      </w:r>
    </w:p>
    <w:p w14:paraId="7C6C9AD3">
      <w:pPr>
        <w:rPr>
          <w:rFonts w:ascii="宋体" w:hAnsi="宋体" w:eastAsia="宋体" w:cs="宋体"/>
          <w:sz w:val="24"/>
          <w:szCs w:val="24"/>
        </w:rPr>
      </w:pPr>
    </w:p>
    <w:p w14:paraId="36901C49">
      <w:pPr>
        <w:rPr>
          <w:rFonts w:ascii="宋体" w:hAnsi="宋体" w:eastAsia="宋体" w:cs="宋体"/>
          <w:sz w:val="24"/>
          <w:szCs w:val="24"/>
        </w:rPr>
      </w:pPr>
      <w:r>
        <w:rPr>
          <w:rFonts w:hint="eastAsia" w:ascii="宋体" w:hAnsi="宋体" w:eastAsia="宋体" w:cs="宋体"/>
          <w:sz w:val="24"/>
          <w:szCs w:val="24"/>
        </w:rPr>
        <w:t>9 耐水性</w:t>
      </w:r>
    </w:p>
    <w:p w14:paraId="3D08B905">
      <w:pPr>
        <w:jc w:val="center"/>
        <w:rPr>
          <w:rFonts w:ascii="宋体" w:hAnsi="宋体" w:eastAsia="宋体" w:cs="宋体"/>
          <w:sz w:val="24"/>
          <w:szCs w:val="24"/>
        </w:rPr>
      </w:pPr>
      <w:r>
        <w:rPr>
          <w:rFonts w:hint="eastAsia" w:ascii="宋体" w:hAnsi="宋体" w:eastAsia="宋体" w:cs="宋体"/>
          <w:sz w:val="24"/>
          <w:szCs w:val="24"/>
        </w:rPr>
        <w:t>表9 耐水性测试结果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4FA9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275D292B">
            <w:pPr>
              <w:numPr>
                <w:ilvl w:val="255"/>
                <w:numId w:val="0"/>
              </w:numPr>
            </w:pPr>
            <w:r>
              <w:rPr>
                <w:rFonts w:hint="eastAsia"/>
              </w:rPr>
              <w:t>样品编号</w:t>
            </w:r>
          </w:p>
        </w:tc>
        <w:tc>
          <w:tcPr>
            <w:tcW w:w="1420" w:type="dxa"/>
            <w:vAlign w:val="center"/>
          </w:tcPr>
          <w:p w14:paraId="3080ACC4">
            <w:pPr>
              <w:numPr>
                <w:ilvl w:val="255"/>
                <w:numId w:val="0"/>
              </w:numPr>
              <w:jc w:val="center"/>
            </w:pPr>
            <w:r>
              <w:rPr>
                <w:rFonts w:hint="eastAsia"/>
              </w:rPr>
              <w:t>1</w:t>
            </w:r>
          </w:p>
        </w:tc>
        <w:tc>
          <w:tcPr>
            <w:tcW w:w="1420" w:type="dxa"/>
            <w:vAlign w:val="center"/>
          </w:tcPr>
          <w:p w14:paraId="76C74F12">
            <w:pPr>
              <w:numPr>
                <w:ilvl w:val="255"/>
                <w:numId w:val="0"/>
              </w:numPr>
              <w:jc w:val="center"/>
            </w:pPr>
            <w:r>
              <w:rPr>
                <w:rFonts w:hint="eastAsia"/>
              </w:rPr>
              <w:t>2</w:t>
            </w:r>
          </w:p>
        </w:tc>
        <w:tc>
          <w:tcPr>
            <w:tcW w:w="1420" w:type="dxa"/>
            <w:vAlign w:val="center"/>
          </w:tcPr>
          <w:p w14:paraId="6D3BFB01">
            <w:pPr>
              <w:numPr>
                <w:ilvl w:val="255"/>
                <w:numId w:val="0"/>
              </w:numPr>
              <w:jc w:val="center"/>
            </w:pPr>
            <w:r>
              <w:rPr>
                <w:rFonts w:hint="eastAsia"/>
              </w:rPr>
              <w:t>3</w:t>
            </w:r>
          </w:p>
        </w:tc>
        <w:tc>
          <w:tcPr>
            <w:tcW w:w="1421" w:type="dxa"/>
            <w:vAlign w:val="center"/>
          </w:tcPr>
          <w:p w14:paraId="2B8E8E46">
            <w:pPr>
              <w:numPr>
                <w:ilvl w:val="255"/>
                <w:numId w:val="0"/>
              </w:numPr>
              <w:jc w:val="center"/>
            </w:pPr>
            <w:r>
              <w:rPr>
                <w:rFonts w:hint="eastAsia"/>
              </w:rPr>
              <w:t>4</w:t>
            </w:r>
          </w:p>
        </w:tc>
        <w:tc>
          <w:tcPr>
            <w:tcW w:w="1421" w:type="dxa"/>
            <w:vAlign w:val="center"/>
          </w:tcPr>
          <w:p w14:paraId="715D5C15">
            <w:pPr>
              <w:numPr>
                <w:ilvl w:val="255"/>
                <w:numId w:val="0"/>
              </w:numPr>
              <w:jc w:val="center"/>
            </w:pPr>
            <w:r>
              <w:rPr>
                <w:rFonts w:hint="eastAsia"/>
              </w:rPr>
              <w:t>5</w:t>
            </w:r>
          </w:p>
        </w:tc>
      </w:tr>
      <w:tr w14:paraId="515F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6D289C94">
            <w:pPr>
              <w:numPr>
                <w:ilvl w:val="255"/>
                <w:numId w:val="0"/>
              </w:numPr>
            </w:pPr>
            <w:r>
              <w:rPr>
                <w:rFonts w:hint="eastAsia"/>
              </w:rPr>
              <w:t>耐水性</w:t>
            </w:r>
            <w:r>
              <w:t>/ %</w:t>
            </w:r>
          </w:p>
        </w:tc>
        <w:tc>
          <w:tcPr>
            <w:tcW w:w="1420" w:type="dxa"/>
            <w:vAlign w:val="center"/>
          </w:tcPr>
          <w:p w14:paraId="0922DA9F">
            <w:pPr>
              <w:numPr>
                <w:ilvl w:val="255"/>
                <w:numId w:val="0"/>
              </w:numPr>
              <w:jc w:val="center"/>
            </w:pPr>
            <w:r>
              <w:rPr>
                <w:rFonts w:ascii="Times New Roman" w:hAnsi="Times New Roman"/>
                <w:kern w:val="0"/>
                <w:lang w:bidi="ar"/>
              </w:rPr>
              <w:t>14d</w:t>
            </w:r>
            <w:r>
              <w:rPr>
                <w:rFonts w:hint="eastAsia" w:ascii="宋体" w:hAnsi="宋体" w:cs="宋体"/>
                <w:kern w:val="0"/>
                <w:lang w:bidi="ar"/>
              </w:rPr>
              <w:t>无裂纹、分层、起泡、破碎</w:t>
            </w:r>
          </w:p>
        </w:tc>
        <w:tc>
          <w:tcPr>
            <w:tcW w:w="1420" w:type="dxa"/>
            <w:vAlign w:val="center"/>
          </w:tcPr>
          <w:p w14:paraId="273667E0">
            <w:pPr>
              <w:numPr>
                <w:ilvl w:val="255"/>
                <w:numId w:val="0"/>
              </w:numPr>
              <w:jc w:val="center"/>
            </w:pPr>
            <w:r>
              <w:rPr>
                <w:rFonts w:ascii="Times New Roman" w:hAnsi="Times New Roman"/>
                <w:kern w:val="0"/>
                <w:lang w:bidi="ar"/>
              </w:rPr>
              <w:t>14d</w:t>
            </w:r>
            <w:r>
              <w:rPr>
                <w:rFonts w:hint="eastAsia" w:ascii="宋体" w:hAnsi="宋体" w:cs="宋体"/>
                <w:kern w:val="0"/>
                <w:lang w:bidi="ar"/>
              </w:rPr>
              <w:t>无裂纹、分层、起泡、破碎</w:t>
            </w:r>
          </w:p>
        </w:tc>
        <w:tc>
          <w:tcPr>
            <w:tcW w:w="1420" w:type="dxa"/>
            <w:vAlign w:val="center"/>
          </w:tcPr>
          <w:p w14:paraId="7CC77B84">
            <w:pPr>
              <w:numPr>
                <w:ilvl w:val="255"/>
                <w:numId w:val="0"/>
              </w:numPr>
              <w:jc w:val="center"/>
            </w:pPr>
            <w:r>
              <w:rPr>
                <w:rFonts w:ascii="Times New Roman" w:hAnsi="Times New Roman"/>
                <w:kern w:val="0"/>
                <w:lang w:bidi="ar"/>
              </w:rPr>
              <w:t>14d</w:t>
            </w:r>
            <w:r>
              <w:rPr>
                <w:rFonts w:hint="eastAsia" w:ascii="宋体" w:hAnsi="宋体" w:cs="宋体"/>
                <w:kern w:val="0"/>
                <w:lang w:bidi="ar"/>
              </w:rPr>
              <w:t>无裂纹、分层、起泡、破碎</w:t>
            </w:r>
          </w:p>
        </w:tc>
        <w:tc>
          <w:tcPr>
            <w:tcW w:w="1421" w:type="dxa"/>
            <w:vAlign w:val="center"/>
          </w:tcPr>
          <w:p w14:paraId="5B5C0B0D">
            <w:pPr>
              <w:numPr>
                <w:ilvl w:val="255"/>
                <w:numId w:val="0"/>
              </w:numPr>
              <w:jc w:val="center"/>
            </w:pPr>
            <w:r>
              <w:rPr>
                <w:rFonts w:ascii="Times New Roman" w:hAnsi="Times New Roman"/>
                <w:kern w:val="0"/>
                <w:lang w:bidi="ar"/>
              </w:rPr>
              <w:t>14d</w:t>
            </w:r>
            <w:r>
              <w:rPr>
                <w:rFonts w:hint="eastAsia" w:ascii="宋体" w:hAnsi="宋体" w:cs="宋体"/>
                <w:kern w:val="0"/>
                <w:lang w:bidi="ar"/>
              </w:rPr>
              <w:t>无裂纹、分层、起泡、破碎</w:t>
            </w:r>
          </w:p>
        </w:tc>
        <w:tc>
          <w:tcPr>
            <w:tcW w:w="1421" w:type="dxa"/>
            <w:vAlign w:val="center"/>
          </w:tcPr>
          <w:p w14:paraId="1FBF9ADF">
            <w:pPr>
              <w:numPr>
                <w:ilvl w:val="255"/>
                <w:numId w:val="0"/>
              </w:numPr>
              <w:jc w:val="center"/>
            </w:pPr>
            <w:r>
              <w:rPr>
                <w:rFonts w:ascii="Times New Roman" w:hAnsi="Times New Roman"/>
                <w:kern w:val="0"/>
                <w:lang w:bidi="ar"/>
              </w:rPr>
              <w:t>14d</w:t>
            </w:r>
            <w:r>
              <w:rPr>
                <w:rFonts w:hint="eastAsia" w:ascii="宋体" w:hAnsi="宋体" w:cs="宋体"/>
                <w:kern w:val="0"/>
                <w:lang w:bidi="ar"/>
              </w:rPr>
              <w:t>无裂纹、分层、起泡、破碎</w:t>
            </w:r>
          </w:p>
        </w:tc>
      </w:tr>
    </w:tbl>
    <w:p w14:paraId="528883F8">
      <w:pPr>
        <w:ind w:firstLine="480" w:firstLineChars="200"/>
        <w:rPr>
          <w:rFonts w:ascii="宋体" w:hAnsi="宋体" w:eastAsia="宋体" w:cs="宋体"/>
          <w:sz w:val="24"/>
          <w:szCs w:val="24"/>
        </w:rPr>
      </w:pPr>
      <w:r>
        <w:rPr>
          <w:rFonts w:hint="eastAsia" w:ascii="宋体" w:hAnsi="宋体" w:eastAsia="宋体" w:cs="宋体"/>
          <w:sz w:val="24"/>
          <w:szCs w:val="24"/>
        </w:rPr>
        <w:t>由表9可知，5组样品全部满足耐水性的要求。</w:t>
      </w:r>
    </w:p>
    <w:p w14:paraId="6F4F4107">
      <w:pPr>
        <w:rPr>
          <w:rFonts w:ascii="宋体" w:hAnsi="宋体" w:eastAsia="宋体" w:cs="宋体"/>
          <w:sz w:val="24"/>
          <w:szCs w:val="24"/>
        </w:rPr>
      </w:pPr>
    </w:p>
    <w:p w14:paraId="18DB881E">
      <w:pPr>
        <w:rPr>
          <w:rFonts w:ascii="宋体" w:hAnsi="宋体" w:eastAsia="宋体" w:cs="宋体"/>
          <w:sz w:val="24"/>
          <w:szCs w:val="24"/>
        </w:rPr>
      </w:pPr>
      <w:r>
        <w:rPr>
          <w:rFonts w:hint="eastAsia" w:ascii="宋体" w:hAnsi="宋体" w:eastAsia="宋体" w:cs="宋体"/>
          <w:sz w:val="24"/>
          <w:szCs w:val="24"/>
        </w:rPr>
        <w:t>10 剥离强度</w:t>
      </w:r>
    </w:p>
    <w:p w14:paraId="4A90E1DA">
      <w:pPr>
        <w:jc w:val="center"/>
        <w:rPr>
          <w:rFonts w:ascii="宋体" w:hAnsi="宋体" w:eastAsia="宋体" w:cs="宋体"/>
          <w:szCs w:val="21"/>
        </w:rPr>
      </w:pPr>
      <w:r>
        <w:rPr>
          <w:rFonts w:hint="eastAsia" w:ascii="宋体" w:hAnsi="宋体" w:eastAsia="宋体" w:cs="宋体"/>
          <w:szCs w:val="21"/>
        </w:rPr>
        <w:t>表10 剥离强度测试结果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287"/>
        <w:gridCol w:w="1325"/>
        <w:gridCol w:w="1425"/>
        <w:gridCol w:w="1375"/>
        <w:gridCol w:w="1215"/>
      </w:tblGrid>
      <w:tr w14:paraId="38B8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5" w:type="dxa"/>
          </w:tcPr>
          <w:p w14:paraId="5A573573">
            <w:pPr>
              <w:numPr>
                <w:ilvl w:val="255"/>
                <w:numId w:val="0"/>
              </w:numPr>
            </w:pPr>
            <w:r>
              <w:rPr>
                <w:rFonts w:hint="eastAsia"/>
              </w:rPr>
              <w:t>样品编号</w:t>
            </w:r>
          </w:p>
        </w:tc>
        <w:tc>
          <w:tcPr>
            <w:tcW w:w="1287" w:type="dxa"/>
            <w:vAlign w:val="center"/>
          </w:tcPr>
          <w:p w14:paraId="093A4F2C">
            <w:pPr>
              <w:numPr>
                <w:ilvl w:val="255"/>
                <w:numId w:val="0"/>
              </w:numPr>
              <w:jc w:val="center"/>
            </w:pPr>
            <w:r>
              <w:rPr>
                <w:rFonts w:hint="eastAsia"/>
              </w:rPr>
              <w:t>1</w:t>
            </w:r>
          </w:p>
        </w:tc>
        <w:tc>
          <w:tcPr>
            <w:tcW w:w="1325" w:type="dxa"/>
            <w:vAlign w:val="center"/>
          </w:tcPr>
          <w:p w14:paraId="775558FD">
            <w:pPr>
              <w:numPr>
                <w:ilvl w:val="255"/>
                <w:numId w:val="0"/>
              </w:numPr>
              <w:jc w:val="center"/>
            </w:pPr>
            <w:r>
              <w:rPr>
                <w:rFonts w:hint="eastAsia"/>
              </w:rPr>
              <w:t>2</w:t>
            </w:r>
          </w:p>
        </w:tc>
        <w:tc>
          <w:tcPr>
            <w:tcW w:w="1425" w:type="dxa"/>
            <w:vAlign w:val="center"/>
          </w:tcPr>
          <w:p w14:paraId="3569C9D0">
            <w:pPr>
              <w:numPr>
                <w:ilvl w:val="255"/>
                <w:numId w:val="0"/>
              </w:numPr>
              <w:jc w:val="center"/>
            </w:pPr>
            <w:r>
              <w:rPr>
                <w:rFonts w:hint="eastAsia"/>
              </w:rPr>
              <w:t>3</w:t>
            </w:r>
          </w:p>
        </w:tc>
        <w:tc>
          <w:tcPr>
            <w:tcW w:w="1375" w:type="dxa"/>
            <w:vAlign w:val="center"/>
          </w:tcPr>
          <w:p w14:paraId="27BD3D07">
            <w:pPr>
              <w:numPr>
                <w:ilvl w:val="255"/>
                <w:numId w:val="0"/>
              </w:numPr>
              <w:jc w:val="center"/>
            </w:pPr>
            <w:r>
              <w:rPr>
                <w:rFonts w:hint="eastAsia"/>
              </w:rPr>
              <w:t>4</w:t>
            </w:r>
          </w:p>
        </w:tc>
        <w:tc>
          <w:tcPr>
            <w:tcW w:w="1215" w:type="dxa"/>
            <w:vAlign w:val="center"/>
          </w:tcPr>
          <w:p w14:paraId="365C6154">
            <w:pPr>
              <w:numPr>
                <w:ilvl w:val="255"/>
                <w:numId w:val="0"/>
              </w:numPr>
              <w:jc w:val="center"/>
            </w:pPr>
            <w:r>
              <w:rPr>
                <w:rFonts w:hint="eastAsia"/>
              </w:rPr>
              <w:t>5</w:t>
            </w:r>
          </w:p>
        </w:tc>
      </w:tr>
      <w:tr w14:paraId="662D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5" w:type="dxa"/>
          </w:tcPr>
          <w:p w14:paraId="3ACFA8D7">
            <w:pPr>
              <w:numPr>
                <w:ilvl w:val="255"/>
                <w:numId w:val="0"/>
              </w:numPr>
            </w:pPr>
            <w:r>
              <w:rPr>
                <w:rFonts w:hint="eastAsia"/>
              </w:rPr>
              <w:t>剥离强度</w:t>
            </w:r>
            <w:r>
              <w:t>/(N/mm)</w:t>
            </w:r>
          </w:p>
        </w:tc>
        <w:tc>
          <w:tcPr>
            <w:tcW w:w="1287" w:type="dxa"/>
            <w:vAlign w:val="center"/>
          </w:tcPr>
          <w:p w14:paraId="684A8A1E">
            <w:pPr>
              <w:numPr>
                <w:ilvl w:val="255"/>
                <w:numId w:val="0"/>
              </w:numPr>
              <w:jc w:val="center"/>
            </w:pPr>
            <w:r>
              <w:rPr>
                <w:rFonts w:hint="eastAsia"/>
              </w:rPr>
              <w:t>4</w:t>
            </w:r>
            <w:r>
              <w:t>.2</w:t>
            </w:r>
          </w:p>
        </w:tc>
        <w:tc>
          <w:tcPr>
            <w:tcW w:w="1325" w:type="dxa"/>
            <w:vAlign w:val="center"/>
          </w:tcPr>
          <w:p w14:paraId="5830823B">
            <w:pPr>
              <w:numPr>
                <w:ilvl w:val="255"/>
                <w:numId w:val="0"/>
              </w:numPr>
              <w:jc w:val="center"/>
            </w:pPr>
            <w:r>
              <w:rPr>
                <w:rFonts w:hint="eastAsia"/>
              </w:rPr>
              <w:t>3</w:t>
            </w:r>
            <w:r>
              <w:t>.8</w:t>
            </w:r>
          </w:p>
        </w:tc>
        <w:tc>
          <w:tcPr>
            <w:tcW w:w="1425" w:type="dxa"/>
            <w:vAlign w:val="center"/>
          </w:tcPr>
          <w:p w14:paraId="7570565F">
            <w:pPr>
              <w:numPr>
                <w:ilvl w:val="255"/>
                <w:numId w:val="0"/>
              </w:numPr>
              <w:jc w:val="center"/>
            </w:pPr>
            <w:r>
              <w:t>2.2</w:t>
            </w:r>
          </w:p>
        </w:tc>
        <w:tc>
          <w:tcPr>
            <w:tcW w:w="1375" w:type="dxa"/>
            <w:vAlign w:val="center"/>
          </w:tcPr>
          <w:p w14:paraId="41E96D2D">
            <w:pPr>
              <w:numPr>
                <w:ilvl w:val="255"/>
                <w:numId w:val="0"/>
              </w:numPr>
              <w:jc w:val="center"/>
            </w:pPr>
            <w:r>
              <w:rPr>
                <w:rFonts w:hint="eastAsia"/>
              </w:rPr>
              <w:t>3</w:t>
            </w:r>
            <w:r>
              <w:t>.0</w:t>
            </w:r>
          </w:p>
        </w:tc>
        <w:tc>
          <w:tcPr>
            <w:tcW w:w="1215" w:type="dxa"/>
            <w:vAlign w:val="center"/>
          </w:tcPr>
          <w:p w14:paraId="52A0F062">
            <w:pPr>
              <w:numPr>
                <w:ilvl w:val="255"/>
                <w:numId w:val="0"/>
              </w:numPr>
              <w:jc w:val="center"/>
            </w:pPr>
            <w:r>
              <w:t>2.9</w:t>
            </w:r>
          </w:p>
        </w:tc>
      </w:tr>
    </w:tbl>
    <w:p w14:paraId="4AA8C120">
      <w:pPr>
        <w:ind w:firstLine="480" w:firstLineChars="200"/>
        <w:rPr>
          <w:rFonts w:ascii="宋体" w:hAnsi="宋体" w:eastAsia="宋体" w:cs="宋体"/>
          <w:sz w:val="24"/>
          <w:szCs w:val="24"/>
        </w:rPr>
      </w:pPr>
      <w:r>
        <w:rPr>
          <w:rFonts w:hint="eastAsia" w:ascii="宋体" w:hAnsi="宋体" w:eastAsia="宋体" w:cs="宋体"/>
          <w:sz w:val="24"/>
          <w:szCs w:val="24"/>
        </w:rPr>
        <w:t>由表10可知，5组样品全部满足剥离强度的要求。</w:t>
      </w:r>
    </w:p>
    <w:p w14:paraId="6FE61F59">
      <w:pPr>
        <w:rPr>
          <w:rFonts w:ascii="宋体" w:hAnsi="宋体" w:eastAsia="宋体" w:cs="宋体"/>
          <w:kern w:val="0"/>
          <w:sz w:val="24"/>
          <w:szCs w:val="24"/>
        </w:rPr>
      </w:pPr>
    </w:p>
    <w:p w14:paraId="339B477F">
      <w:pPr>
        <w:rPr>
          <w:rFonts w:ascii="宋体" w:hAnsi="宋体" w:eastAsia="宋体" w:cs="宋体"/>
          <w:kern w:val="0"/>
          <w:sz w:val="24"/>
          <w:szCs w:val="24"/>
        </w:rPr>
      </w:pPr>
      <w:r>
        <w:rPr>
          <w:rFonts w:hint="eastAsia" w:ascii="宋体" w:hAnsi="宋体" w:eastAsia="宋体" w:cs="宋体"/>
          <w:kern w:val="0"/>
          <w:sz w:val="24"/>
          <w:szCs w:val="24"/>
        </w:rPr>
        <w:t>11 挥发性有机化合物</w:t>
      </w:r>
    </w:p>
    <w:p w14:paraId="022A2DFF">
      <w:pPr>
        <w:jc w:val="center"/>
        <w:rPr>
          <w:kern w:val="0"/>
        </w:rPr>
      </w:pPr>
      <w:r>
        <w:rPr>
          <w:rFonts w:hint="eastAsia"/>
          <w:kern w:val="0"/>
        </w:rPr>
        <w:t>表11 挥发性有机物含量测试结果</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1291"/>
        <w:gridCol w:w="1420"/>
        <w:gridCol w:w="1420"/>
        <w:gridCol w:w="1421"/>
        <w:gridCol w:w="1421"/>
      </w:tblGrid>
      <w:tr w14:paraId="7BDB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5277C0EE">
            <w:pPr>
              <w:numPr>
                <w:ilvl w:val="255"/>
                <w:numId w:val="0"/>
              </w:numPr>
            </w:pPr>
            <w:r>
              <w:rPr>
                <w:rFonts w:hint="eastAsia"/>
              </w:rPr>
              <w:t>样品编号</w:t>
            </w:r>
          </w:p>
        </w:tc>
        <w:tc>
          <w:tcPr>
            <w:tcW w:w="1291" w:type="dxa"/>
          </w:tcPr>
          <w:p w14:paraId="2B1FA515">
            <w:pPr>
              <w:numPr>
                <w:ilvl w:val="255"/>
                <w:numId w:val="0"/>
              </w:numPr>
              <w:jc w:val="center"/>
            </w:pPr>
            <w:r>
              <w:rPr>
                <w:rFonts w:hint="eastAsia"/>
              </w:rPr>
              <w:t>1</w:t>
            </w:r>
          </w:p>
        </w:tc>
        <w:tc>
          <w:tcPr>
            <w:tcW w:w="1420" w:type="dxa"/>
            <w:vAlign w:val="center"/>
          </w:tcPr>
          <w:p w14:paraId="09C98273">
            <w:pPr>
              <w:numPr>
                <w:ilvl w:val="255"/>
                <w:numId w:val="0"/>
              </w:numPr>
              <w:jc w:val="center"/>
            </w:pPr>
            <w:r>
              <w:rPr>
                <w:rFonts w:hint="eastAsia"/>
              </w:rPr>
              <w:t>2</w:t>
            </w:r>
          </w:p>
        </w:tc>
        <w:tc>
          <w:tcPr>
            <w:tcW w:w="1420" w:type="dxa"/>
            <w:vAlign w:val="center"/>
          </w:tcPr>
          <w:p w14:paraId="74C760F1">
            <w:pPr>
              <w:numPr>
                <w:ilvl w:val="255"/>
                <w:numId w:val="0"/>
              </w:numPr>
              <w:jc w:val="center"/>
            </w:pPr>
            <w:r>
              <w:rPr>
                <w:rFonts w:hint="eastAsia"/>
              </w:rPr>
              <w:t>3</w:t>
            </w:r>
          </w:p>
        </w:tc>
        <w:tc>
          <w:tcPr>
            <w:tcW w:w="1421" w:type="dxa"/>
            <w:vAlign w:val="center"/>
          </w:tcPr>
          <w:p w14:paraId="2E154827">
            <w:pPr>
              <w:numPr>
                <w:ilvl w:val="255"/>
                <w:numId w:val="0"/>
              </w:numPr>
              <w:jc w:val="center"/>
            </w:pPr>
            <w:r>
              <w:rPr>
                <w:rFonts w:hint="eastAsia"/>
              </w:rPr>
              <w:t>4</w:t>
            </w:r>
          </w:p>
        </w:tc>
        <w:tc>
          <w:tcPr>
            <w:tcW w:w="1421" w:type="dxa"/>
            <w:vAlign w:val="center"/>
          </w:tcPr>
          <w:p w14:paraId="1E59F8F2">
            <w:pPr>
              <w:numPr>
                <w:ilvl w:val="255"/>
                <w:numId w:val="0"/>
              </w:numPr>
              <w:jc w:val="center"/>
            </w:pPr>
            <w:r>
              <w:rPr>
                <w:rFonts w:hint="eastAsia"/>
              </w:rPr>
              <w:t>5</w:t>
            </w:r>
          </w:p>
        </w:tc>
      </w:tr>
      <w:tr w14:paraId="03DB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FD02DCB">
            <w:pPr>
              <w:numPr>
                <w:ilvl w:val="255"/>
                <w:numId w:val="0"/>
              </w:numPr>
            </w:pPr>
            <w:r>
              <w:rPr>
                <w:rFonts w:hint="eastAsia"/>
              </w:rPr>
              <w:t>挥发性有机物</w:t>
            </w:r>
            <w:r>
              <w:t>/ (g/L)</w:t>
            </w:r>
          </w:p>
        </w:tc>
        <w:tc>
          <w:tcPr>
            <w:tcW w:w="1291" w:type="dxa"/>
          </w:tcPr>
          <w:p w14:paraId="5F66A657">
            <w:pPr>
              <w:numPr>
                <w:ilvl w:val="255"/>
                <w:numId w:val="0"/>
              </w:numPr>
              <w:jc w:val="center"/>
            </w:pPr>
            <w:r>
              <w:rPr>
                <w:rFonts w:hint="eastAsia"/>
              </w:rPr>
              <w:t>未检出（</w:t>
            </w:r>
            <w:r>
              <w:rPr>
                <w:rFonts w:hint="eastAsia" w:asciiTheme="minorEastAsia" w:hAnsiTheme="minorEastAsia"/>
              </w:rPr>
              <w:t>≤</w:t>
            </w:r>
            <w:r>
              <w:rPr>
                <w:rFonts w:hint="eastAsia"/>
              </w:rPr>
              <w:t>2）</w:t>
            </w:r>
          </w:p>
        </w:tc>
        <w:tc>
          <w:tcPr>
            <w:tcW w:w="1420" w:type="dxa"/>
          </w:tcPr>
          <w:p w14:paraId="4D9AF562">
            <w:pPr>
              <w:numPr>
                <w:ilvl w:val="255"/>
                <w:numId w:val="0"/>
              </w:numPr>
              <w:jc w:val="center"/>
            </w:pPr>
            <w:r>
              <w:rPr>
                <w:rFonts w:hint="eastAsia"/>
              </w:rPr>
              <w:t>8</w:t>
            </w:r>
          </w:p>
        </w:tc>
        <w:tc>
          <w:tcPr>
            <w:tcW w:w="1420" w:type="dxa"/>
          </w:tcPr>
          <w:p w14:paraId="29E2849D">
            <w:pPr>
              <w:numPr>
                <w:ilvl w:val="255"/>
                <w:numId w:val="0"/>
              </w:numPr>
              <w:jc w:val="center"/>
            </w:pPr>
            <w:r>
              <w:rPr>
                <w:rFonts w:hint="eastAsia"/>
              </w:rPr>
              <w:t>1</w:t>
            </w:r>
            <w:r>
              <w:t>2</w:t>
            </w:r>
          </w:p>
        </w:tc>
        <w:tc>
          <w:tcPr>
            <w:tcW w:w="1421" w:type="dxa"/>
          </w:tcPr>
          <w:p w14:paraId="16B2DBF3">
            <w:pPr>
              <w:numPr>
                <w:ilvl w:val="255"/>
                <w:numId w:val="0"/>
              </w:numPr>
              <w:jc w:val="center"/>
            </w:pPr>
            <w:r>
              <w:t>5</w:t>
            </w:r>
          </w:p>
        </w:tc>
        <w:tc>
          <w:tcPr>
            <w:tcW w:w="1421" w:type="dxa"/>
          </w:tcPr>
          <w:p w14:paraId="612E0CC8">
            <w:pPr>
              <w:numPr>
                <w:ilvl w:val="255"/>
                <w:numId w:val="0"/>
              </w:numPr>
              <w:jc w:val="center"/>
            </w:pPr>
            <w:r>
              <w:t>5</w:t>
            </w:r>
          </w:p>
        </w:tc>
      </w:tr>
    </w:tbl>
    <w:p w14:paraId="4F8A3EB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由表11可知，5组样品中4组满足挥发性有机物的要求。</w:t>
      </w:r>
    </w:p>
    <w:p w14:paraId="52D873DF">
      <w:pPr>
        <w:spacing w:line="360" w:lineRule="auto"/>
        <w:ind w:firstLine="480" w:firstLineChars="200"/>
        <w:rPr>
          <w:kern w:val="0"/>
          <w:sz w:val="24"/>
          <w:szCs w:val="24"/>
        </w:rPr>
      </w:pPr>
      <w:r>
        <w:rPr>
          <w:rFonts w:hint="eastAsia"/>
          <w:kern w:val="0"/>
          <w:sz w:val="24"/>
          <w:szCs w:val="24"/>
        </w:rPr>
        <w:t>通过实验数据的汇总分析，可以看得出所征集的5个厂家的产品合格率为</w:t>
      </w:r>
      <w:r>
        <w:rPr>
          <w:kern w:val="0"/>
          <w:sz w:val="24"/>
          <w:szCs w:val="24"/>
        </w:rPr>
        <w:t>98.2</w:t>
      </w:r>
      <w:r>
        <w:rPr>
          <w:rFonts w:hint="eastAsia"/>
          <w:kern w:val="0"/>
          <w:sz w:val="24"/>
          <w:szCs w:val="24"/>
        </w:rPr>
        <w:t>%。</w:t>
      </w:r>
    </w:p>
    <w:p w14:paraId="3ED3DC06">
      <w:pPr>
        <w:pStyle w:val="2"/>
        <w:numPr>
          <w:ilvl w:val="0"/>
          <w:numId w:val="4"/>
        </w:numPr>
        <w:spacing w:before="100" w:after="100"/>
        <w:rPr>
          <w:rFonts w:ascii="Times New Roman" w:hAnsi="Times New Roman" w:eastAsia="宋体" w:cs="Times New Roman"/>
          <w:sz w:val="24"/>
          <w:szCs w:val="24"/>
        </w:rPr>
      </w:pPr>
      <w:bookmarkStart w:id="14" w:name="_Toc41034882"/>
      <w:r>
        <w:rPr>
          <w:rFonts w:ascii="Times New Roman" w:hAnsi="Times New Roman" w:eastAsia="宋体" w:cs="Times New Roman"/>
          <w:sz w:val="28"/>
        </w:rPr>
        <w:t>标准中涉及专利情况说明</w:t>
      </w:r>
      <w:bookmarkEnd w:id="14"/>
    </w:p>
    <w:p w14:paraId="7B87AB8A">
      <w:pPr>
        <w:pStyle w:val="2"/>
        <w:numPr>
          <w:ilvl w:val="255"/>
          <w:numId w:val="0"/>
        </w:numPr>
        <w:spacing w:before="100" w:after="1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本标准在制定过程中没有涉及专利的情况。</w:t>
      </w:r>
    </w:p>
    <w:p w14:paraId="3F486BC8">
      <w:pPr>
        <w:pStyle w:val="2"/>
        <w:spacing w:before="100" w:after="100" w:line="360" w:lineRule="auto"/>
        <w:rPr>
          <w:rFonts w:ascii="Times New Roman" w:hAnsi="Times New Roman" w:eastAsia="宋体" w:cs="Times New Roman"/>
          <w:color w:val="FF0000"/>
          <w:sz w:val="28"/>
        </w:rPr>
      </w:pPr>
      <w:bookmarkStart w:id="15" w:name="_Toc41034883"/>
      <w:r>
        <w:rPr>
          <w:rFonts w:ascii="Times New Roman" w:hAnsi="Times New Roman" w:eastAsia="宋体" w:cs="Times New Roman"/>
          <w:sz w:val="28"/>
        </w:rPr>
        <w:t>5.产业化情况、推广应用论证和预期达到的经济效果</w:t>
      </w:r>
      <w:bookmarkEnd w:id="15"/>
    </w:p>
    <w:p w14:paraId="040814B2">
      <w:pPr>
        <w:spacing w:line="360" w:lineRule="auto"/>
        <w:rPr>
          <w:rFonts w:ascii="宋体" w:hAnsi="宋体" w:eastAsia="宋体" w:cs="Times New Roman"/>
          <w:sz w:val="24"/>
          <w:szCs w:val="28"/>
        </w:rPr>
      </w:pPr>
      <w:r>
        <w:rPr>
          <w:rFonts w:hint="eastAsia" w:ascii="宋体" w:hAnsi="宋体" w:eastAsia="宋体" w:cs="Times New Roman"/>
          <w:sz w:val="24"/>
          <w:szCs w:val="28"/>
        </w:rPr>
        <w:t>（一）经济效益、社会效益、产业规模、推广应用、工程应用情况</w:t>
      </w:r>
    </w:p>
    <w:p w14:paraId="6CC8EDC1">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近些年来国外的水性沥青涂料厂家形成了以Henry和Gardner等为代表的的专业公司，其主力产品为聚合物改性水性沥青涂料，主要用于屋面维修、小区路面养护和地下室防水等领域，力学性能较低，且缺乏针对“涂料+卷材”复合系统的性能指标项。如Henry</w:t>
      </w:r>
      <w:r>
        <w:rPr>
          <w:rFonts w:ascii="宋体" w:hAnsi="宋体" w:eastAsia="宋体" w:cs="Times New Roman"/>
          <w:sz w:val="24"/>
          <w:szCs w:val="28"/>
        </w:rPr>
        <w:t xml:space="preserve"> </w:t>
      </w:r>
      <w:r>
        <w:rPr>
          <w:rFonts w:hint="eastAsia" w:ascii="宋体" w:hAnsi="宋体" w:eastAsia="宋体" w:cs="Times New Roman"/>
          <w:sz w:val="24"/>
          <w:szCs w:val="28"/>
        </w:rPr>
        <w:t>HE784等，材料7天浸水后剥离强度仅为0</w:t>
      </w:r>
      <w:r>
        <w:rPr>
          <w:rFonts w:ascii="宋体" w:hAnsi="宋体" w:eastAsia="宋体" w:cs="Times New Roman"/>
          <w:sz w:val="24"/>
          <w:szCs w:val="28"/>
        </w:rPr>
        <w:t>.75</w:t>
      </w:r>
      <w:r>
        <w:rPr>
          <w:rFonts w:hint="eastAsia" w:ascii="宋体" w:hAnsi="宋体" w:eastAsia="宋体" w:cs="Times New Roman"/>
          <w:sz w:val="24"/>
          <w:szCs w:val="28"/>
        </w:rPr>
        <w:t>N</w:t>
      </w:r>
      <w:r>
        <w:rPr>
          <w:rFonts w:ascii="宋体" w:hAnsi="宋体" w:eastAsia="宋体" w:cs="Times New Roman"/>
          <w:sz w:val="24"/>
          <w:szCs w:val="28"/>
        </w:rPr>
        <w:t>/mm</w:t>
      </w:r>
      <w:r>
        <w:rPr>
          <w:rFonts w:hint="eastAsia" w:ascii="宋体" w:hAnsi="宋体" w:eastAsia="宋体" w:cs="Times New Roman"/>
          <w:sz w:val="24"/>
          <w:szCs w:val="28"/>
        </w:rPr>
        <w:t>，不具备良好的复合性能，而且近年来总体技术无新的进展。</w:t>
      </w:r>
    </w:p>
    <w:p w14:paraId="52CB9D50">
      <w:pPr>
        <w:spacing w:line="360" w:lineRule="auto"/>
        <w:ind w:firstLine="480" w:firstLineChars="200"/>
        <w:rPr>
          <w:rFonts w:ascii="Times New Roman" w:hAnsi="Times New Roman" w:eastAsia="宋体" w:cs="Times New Roman"/>
          <w:kern w:val="0"/>
          <w:sz w:val="24"/>
          <w:szCs w:val="24"/>
        </w:rPr>
      </w:pPr>
      <w:r>
        <w:rPr>
          <w:rFonts w:hint="eastAsia" w:ascii="宋体" w:hAnsi="宋体" w:eastAsia="宋体" w:cs="Times New Roman"/>
          <w:sz w:val="24"/>
          <w:szCs w:val="28"/>
        </w:rPr>
        <w:t>在国内针对</w:t>
      </w:r>
      <w:r>
        <w:rPr>
          <w:rFonts w:hint="eastAsia" w:ascii="Times New Roman" w:hAnsi="Times New Roman" w:eastAsia="宋体" w:cs="Times New Roman"/>
          <w:kern w:val="0"/>
          <w:sz w:val="24"/>
          <w:szCs w:val="24"/>
        </w:rPr>
        <w:t>市售水性沥青防水涂料现存的粘结性能低，易鼓包，施工粘脚，以及耐水性不足等瓶颈点，为了保证水性沥青防水涂料屋面施工和易性和地下防水可靠性，</w:t>
      </w:r>
      <w:r>
        <w:rPr>
          <w:rFonts w:hint="eastAsia" w:ascii="Times New Roman" w:hAnsi="Times New Roman" w:eastAsia="宋体" w:cs="Times New Roman"/>
          <w:kern w:val="0"/>
          <w:sz w:val="24"/>
          <w:szCs w:val="24"/>
          <w:lang w:eastAsia="zh-CN"/>
        </w:rPr>
        <w:t>国内几家大规模的</w:t>
      </w:r>
      <w:r>
        <w:rPr>
          <w:rFonts w:hint="eastAsia" w:ascii="Times New Roman" w:hAnsi="Times New Roman" w:eastAsia="宋体" w:cs="Times New Roman"/>
          <w:kern w:val="0"/>
          <w:sz w:val="24"/>
          <w:szCs w:val="24"/>
        </w:rPr>
        <w:t>防水企业开发了“高粘结聚合物沥青防水涂料”。该类型产品与传统水性沥青防水涂料相比粘结强度可达到0</w:t>
      </w:r>
      <w:r>
        <w:rPr>
          <w:rFonts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5</w:t>
      </w:r>
      <w:r>
        <w:rPr>
          <w:rFonts w:hint="eastAsia" w:ascii="Times New Roman" w:hAnsi="Times New Roman" w:eastAsia="宋体" w:cs="Times New Roman"/>
          <w:kern w:val="0"/>
          <w:sz w:val="24"/>
          <w:szCs w:val="24"/>
        </w:rPr>
        <w:t>MPa以上，与卷材的剥离强度可达到</w:t>
      </w:r>
      <w:r>
        <w:rPr>
          <w:rFonts w:hint="eastAsia" w:ascii="Times New Roman" w:hAnsi="Times New Roman" w:eastAsia="宋体" w:cs="Times New Roman"/>
          <w:kern w:val="0"/>
          <w:sz w:val="24"/>
          <w:szCs w:val="24"/>
          <w:lang w:val="en-US" w:eastAsia="zh-CN"/>
        </w:rPr>
        <w:t>2</w:t>
      </w:r>
      <w:r>
        <w:rPr>
          <w:rFonts w:hint="eastAsia" w:ascii="Times New Roman" w:hAnsi="Times New Roman" w:eastAsia="宋体" w:cs="Times New Roman"/>
          <w:kern w:val="0"/>
          <w:sz w:val="24"/>
          <w:szCs w:val="24"/>
        </w:rPr>
        <w:t>N/</w:t>
      </w:r>
      <w:r>
        <w:rPr>
          <w:rFonts w:ascii="Times New Roman" w:hAnsi="Times New Roman" w:eastAsia="宋体" w:cs="Times New Roman"/>
          <w:kern w:val="0"/>
          <w:sz w:val="24"/>
          <w:szCs w:val="24"/>
        </w:rPr>
        <w:t>mm</w:t>
      </w:r>
      <w:r>
        <w:rPr>
          <w:rFonts w:hint="eastAsia" w:ascii="Times New Roman" w:hAnsi="Times New Roman" w:eastAsia="宋体" w:cs="Times New Roman"/>
          <w:kern w:val="0"/>
          <w:sz w:val="24"/>
          <w:szCs w:val="24"/>
        </w:rPr>
        <w:t>以上，具有良好的复合卷材性能，同时耐水保持率可达到9</w:t>
      </w:r>
      <w:r>
        <w:rPr>
          <w:rFonts w:ascii="Times New Roman" w:hAnsi="Times New Roman" w:eastAsia="宋体" w:cs="Times New Roman"/>
          <w:kern w:val="0"/>
          <w:sz w:val="24"/>
          <w:szCs w:val="24"/>
        </w:rPr>
        <w:t>0%</w:t>
      </w:r>
      <w:r>
        <w:rPr>
          <w:rFonts w:hint="eastAsia" w:ascii="Times New Roman" w:hAnsi="Times New Roman" w:eastAsia="宋体" w:cs="Times New Roman"/>
          <w:kern w:val="0"/>
          <w:sz w:val="24"/>
          <w:szCs w:val="24"/>
        </w:rPr>
        <w:t>以上，具有良好的服役可靠性。</w:t>
      </w:r>
    </w:p>
    <w:p w14:paraId="783088BD">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环境效益方面，</w:t>
      </w:r>
      <w:r>
        <w:rPr>
          <w:rFonts w:hint="eastAsia" w:ascii="Times New Roman" w:hAnsi="Times New Roman" w:eastAsia="宋体" w:cs="Times New Roman"/>
          <w:kern w:val="0"/>
          <w:sz w:val="24"/>
          <w:szCs w:val="24"/>
        </w:rPr>
        <w:t>高粘结聚合物沥青防水涂料采用环保低排放</w:t>
      </w:r>
      <w:r>
        <w:rPr>
          <w:rFonts w:ascii="Times New Roman" w:hAnsi="Times New Roman" w:eastAsia="宋体" w:cs="Times New Roman"/>
          <w:sz w:val="24"/>
          <w:szCs w:val="24"/>
        </w:rPr>
        <w:t>技术进行设计，</w:t>
      </w:r>
      <w:r>
        <w:rPr>
          <w:rFonts w:hint="eastAsia" w:ascii="Times New Roman" w:hAnsi="Times New Roman" w:eastAsia="宋体" w:cs="Times New Roman"/>
          <w:sz w:val="24"/>
          <w:szCs w:val="24"/>
        </w:rPr>
        <w:t>VOCs排放量达到</w:t>
      </w:r>
      <w:r>
        <w:rPr>
          <w:rFonts w:hint="eastAsia" w:ascii="Times New Roman" w:hAnsi="Times New Roman" w:eastAsia="宋体" w:cs="Times New Roman"/>
          <w:sz w:val="24"/>
          <w:szCs w:val="24"/>
          <w:lang w:val="en-US" w:eastAsia="zh-CN"/>
        </w:rPr>
        <w:t>8</w:t>
      </w:r>
      <w:r>
        <w:rPr>
          <w:rFonts w:hint="eastAsia" w:ascii="Times New Roman" w:hAnsi="Times New Roman" w:eastAsia="宋体" w:cs="Times New Roman"/>
          <w:sz w:val="24"/>
          <w:szCs w:val="24"/>
        </w:rPr>
        <w:t>g</w:t>
      </w:r>
      <w:r>
        <w:rPr>
          <w:rFonts w:ascii="Times New Roman" w:hAnsi="Times New Roman" w:eastAsia="宋体" w:cs="Times New Roman"/>
          <w:sz w:val="24"/>
          <w:szCs w:val="24"/>
        </w:rPr>
        <w:t>/L</w:t>
      </w:r>
      <w:r>
        <w:rPr>
          <w:rFonts w:hint="eastAsia" w:ascii="Times New Roman" w:hAnsi="Times New Roman" w:eastAsia="宋体" w:cs="Times New Roman"/>
          <w:sz w:val="24"/>
          <w:szCs w:val="24"/>
        </w:rPr>
        <w:t>以下，减少了对环境的污染</w:t>
      </w:r>
      <w:r>
        <w:rPr>
          <w:rFonts w:ascii="Times New Roman" w:hAnsi="Times New Roman" w:eastAsia="宋体" w:cs="Times New Roman"/>
          <w:sz w:val="24"/>
          <w:szCs w:val="24"/>
        </w:rPr>
        <w:t>。社会效益方面，</w:t>
      </w:r>
      <w:r>
        <w:rPr>
          <w:rFonts w:hint="eastAsia" w:ascii="Times New Roman" w:hAnsi="Times New Roman" w:eastAsia="宋体" w:cs="Times New Roman"/>
          <w:sz w:val="24"/>
          <w:szCs w:val="24"/>
        </w:rPr>
        <w:t>产品</w:t>
      </w:r>
      <w:r>
        <w:rPr>
          <w:rFonts w:ascii="Times New Roman" w:hAnsi="Times New Roman" w:eastAsia="宋体" w:cs="Times New Roman"/>
          <w:sz w:val="24"/>
          <w:szCs w:val="24"/>
        </w:rPr>
        <w:t>应用于</w:t>
      </w:r>
      <w:r>
        <w:rPr>
          <w:rFonts w:hint="eastAsia" w:ascii="Times New Roman" w:hAnsi="Times New Roman" w:eastAsia="宋体" w:cs="Times New Roman"/>
          <w:sz w:val="24"/>
          <w:szCs w:val="24"/>
        </w:rPr>
        <w:t>既有屋面的维修</w:t>
      </w:r>
      <w:r>
        <w:rPr>
          <w:rFonts w:ascii="Times New Roman" w:hAnsi="Times New Roman" w:eastAsia="宋体" w:cs="Times New Roman"/>
          <w:sz w:val="24"/>
          <w:szCs w:val="24"/>
        </w:rPr>
        <w:t>，有效保障老百姓的</w:t>
      </w:r>
      <w:r>
        <w:rPr>
          <w:rFonts w:hint="eastAsia" w:ascii="Times New Roman" w:hAnsi="Times New Roman" w:eastAsia="宋体" w:cs="Times New Roman"/>
          <w:sz w:val="24"/>
          <w:szCs w:val="24"/>
        </w:rPr>
        <w:t>住房</w:t>
      </w:r>
      <w:r>
        <w:rPr>
          <w:rFonts w:ascii="Times New Roman" w:hAnsi="Times New Roman" w:eastAsia="宋体" w:cs="Times New Roman"/>
          <w:sz w:val="24"/>
          <w:szCs w:val="24"/>
        </w:rPr>
        <w:t>安全</w:t>
      </w:r>
      <w:r>
        <w:rPr>
          <w:rFonts w:hint="eastAsia" w:ascii="Times New Roman" w:hAnsi="Times New Roman" w:eastAsia="宋体" w:cs="Times New Roman"/>
          <w:sz w:val="24"/>
          <w:szCs w:val="24"/>
        </w:rPr>
        <w:t>和生活需求</w:t>
      </w:r>
      <w:r>
        <w:rPr>
          <w:rFonts w:ascii="Times New Roman" w:hAnsi="Times New Roman" w:eastAsia="宋体" w:cs="Times New Roman"/>
          <w:sz w:val="24"/>
          <w:szCs w:val="24"/>
        </w:rPr>
        <w:t>。应用于</w:t>
      </w:r>
      <w:r>
        <w:rPr>
          <w:rFonts w:hint="eastAsia" w:ascii="Times New Roman" w:hAnsi="Times New Roman" w:eastAsia="宋体" w:cs="Times New Roman"/>
          <w:sz w:val="24"/>
          <w:szCs w:val="24"/>
        </w:rPr>
        <w:t>工业、商业</w:t>
      </w:r>
      <w:r>
        <w:rPr>
          <w:rFonts w:ascii="Times New Roman" w:hAnsi="Times New Roman" w:eastAsia="宋体" w:cs="Times New Roman"/>
          <w:sz w:val="24"/>
          <w:szCs w:val="24"/>
        </w:rPr>
        <w:t>建筑物对</w:t>
      </w:r>
      <w:r>
        <w:rPr>
          <w:rFonts w:hint="eastAsia" w:ascii="Times New Roman" w:hAnsi="Times New Roman" w:eastAsia="宋体" w:cs="Times New Roman"/>
          <w:sz w:val="24"/>
          <w:szCs w:val="24"/>
        </w:rPr>
        <w:t>的地下侧墙和屋面防水工程</w:t>
      </w:r>
      <w:r>
        <w:rPr>
          <w:rFonts w:ascii="Times New Roman" w:hAnsi="Times New Roman" w:eastAsia="宋体" w:cs="Times New Roman"/>
          <w:sz w:val="24"/>
          <w:szCs w:val="24"/>
        </w:rPr>
        <w:t>，提升建筑工程建设水平，助力我国经济建设。经济效益方面，</w:t>
      </w:r>
      <w:r>
        <w:rPr>
          <w:rFonts w:hint="eastAsia" w:ascii="Times New Roman" w:hAnsi="Times New Roman" w:eastAsia="宋体" w:cs="Times New Roman"/>
          <w:sz w:val="24"/>
          <w:szCs w:val="24"/>
        </w:rPr>
        <w:t>涂料+卷材的防水设计与卷材+卷材相比，施工便捷，对基层条件适应性强，且具有更优的性价比</w:t>
      </w:r>
      <w:r>
        <w:rPr>
          <w:rFonts w:ascii="Times New Roman" w:hAnsi="Times New Roman" w:eastAsia="宋体" w:cs="Times New Roman"/>
          <w:sz w:val="24"/>
          <w:szCs w:val="24"/>
        </w:rPr>
        <w:t>。</w:t>
      </w:r>
    </w:p>
    <w:p w14:paraId="5068F3AA">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国内典型工程案例：</w:t>
      </w:r>
    </w:p>
    <w:p w14:paraId="66690261">
      <w:pPr>
        <w:spacing w:line="360" w:lineRule="auto"/>
        <w:ind w:firstLine="480" w:firstLineChars="200"/>
        <w:rPr>
          <w:rFonts w:ascii="Times New Roman" w:hAnsi="Times New Roman" w:eastAsia="宋体" w:cs="Times New Roman"/>
          <w:kern w:val="0"/>
          <w:sz w:val="24"/>
          <w:szCs w:val="24"/>
        </w:rPr>
      </w:pPr>
      <w:r>
        <w:rPr>
          <w:rFonts w:ascii="宋体" w:hAnsi="宋体" w:eastAsia="宋体" w:cs="Times New Roman"/>
          <w:sz w:val="24"/>
          <w:szCs w:val="28"/>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ge">
                  <wp:posOffset>2110740</wp:posOffset>
                </wp:positionV>
                <wp:extent cx="5257800" cy="496570"/>
                <wp:effectExtent l="0" t="0" r="0" b="6350"/>
                <wp:wrapTopAndBottom/>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57800" cy="496570"/>
                        </a:xfrm>
                        <a:prstGeom prst="rect">
                          <a:avLst/>
                        </a:prstGeom>
                        <a:solidFill>
                          <a:srgbClr val="FFFFFF"/>
                        </a:solidFill>
                        <a:ln w="9525">
                          <a:noFill/>
                          <a:miter lim="800000"/>
                        </a:ln>
                      </wps:spPr>
                      <wps:txbx>
                        <w:txbxContent>
                          <w:p w14:paraId="4FF8C628">
                            <w:pPr>
                              <w:jc w:val="center"/>
                            </w:pPr>
                            <w:r>
                              <w:drawing>
                                <wp:inline distT="0" distB="0" distL="0" distR="0">
                                  <wp:extent cx="1439545" cy="1079500"/>
                                  <wp:effectExtent l="0" t="0" r="8255" b="6350"/>
                                  <wp:docPr id="4" name="图片 4" descr="D:\个人数据\项目资料\1.立墙用沥青涂料\视频图片\工地\20200914青岛工地\IMG_20200914_100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个人数据\项目资料\1.立墙用沥青涂料\视频图片\工地\20200914青岛工地\IMG_20200914_10060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5" name="图片 5" descr="D:\个人数据\项目资料\1.立墙用沥青涂料\视频图片\工地\20200914青岛工地\IMG_20200914_100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个人数据\项目资料\1.立墙用沥青涂料\视频图片\工地\20200914青岛工地\IMG_20200914_1007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6" name="图片 6" descr="D:\个人数据\项目资料\1.立墙用沥青涂料\视频图片\工地\20200914青岛工地\IMG_20200914_101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个人数据\项目资料\1.立墙用沥青涂料\视频图片\工地\20200914青岛工地\IMG_20200914_10145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166.2pt;height:39.1pt;width:414pt;mso-position-horizontal:left;mso-position-horizontal-relative:margin;mso-position-vertical-relative:page;mso-wrap-distance-bottom:3.6pt;mso-wrap-distance-top:3.6pt;z-index:251661312;mso-width-relative:page;mso-height-relative:margin;mso-height-percent:200;" fillcolor="#FFFFFF" filled="t" stroked="f" coordsize="21600,21600" o:gfxdata="UEsDBAoAAAAAAIdO4kAAAAAAAAAAAAAAAAAEAAAAZHJzL1BLAwQUAAAACACHTuJAN2wW29cAAAAI&#10;AQAADwAAAGRycy9kb3ducmV2LnhtbE2PzU7DMBCE70i8g7VI3KidtFRRyKZCVFw4INEiwdGNN3GE&#10;fyLbTcPbY05wnJ3VzDfNbrGGzRTi6B1CsRLAyHVejW5AeD8+31XAYpJOSeMdIXxThF17fdXIWvmL&#10;e6P5kAaWQ1ysJYJOaao5j50mK+PKT+Sy1/tgZcoyDFwFecnh1vBSiC23cnS5QcuJnjR1X4ezRfiw&#10;elT78PrZKzPvX/rH+2kJE+LtTSEegCVa0t8z/OJndGgz08mfnYrMIOQhCWG9LjfAsl2VVb6cEDaF&#10;2AJvG/5/QPsDUEsDBBQAAAAIAIdO4kBstExiOQIAAFQEAAAOAAAAZHJzL2Uyb0RvYy54bWytVM2O&#10;0zAQviPxDpbvNG3VbrdR09XSqghp+ZEWHsB1nMbC9hjbbbI8ALzBnrhw57n6HIydbKnKZQ/kYHk8&#10;M5/n+2acxU2rFTkI5yWYgo4GQ0qE4VBKsyvo50+bV9eU+MBMyRQYUdAH4enN8uWLRWNzMYYaVCkc&#10;QRDj88YWtA7B5lnmeS008wOwwqCzAqdZQNPtstKxBtG1ysbD4VXWgCutAy68x9N156Q9onsOIFSV&#10;5GINfK+FCR2qE4oFpORraT1dpmqrSvDwoaq8CEQVFJmGtOIluN/GNVsuWL5zzNaS9yWw55RwwUkz&#10;afDSE9SaBUb2Tv4DpSV34KEKAw4664gkRZDFaHihzX3NrEhcUGpvT6L7/wfL3x8+OiLLgo5HM0oM&#10;09jy4+OP48/fx1/fyTgK1FifY9y9xcjQvoYWxyaR9fYO+BdPDKxqZnbi1jloasFKLHAUM7Oz1A7H&#10;R5Bt8w5KvIftAySgtnI6qod6EETH5jycmiPaQDgeTsfT2fUQXRx9k/nVdJa6l7H8Kds6H94I0CRu&#10;Cuqw+QmdHe58iNWw/CkkXuZByXIjlUqG221XypEDw0HZpC8RuAhThjQFnWMtCdlAzE8zpGXAZ6Gk&#10;LihWiV+frkwvQ2TeaRDabdvLuoXyAQVx0A0mPkvc1OC+UdLgUBbUf90zJyhRbw2KOh9NJnGKkzGZ&#10;zsZouHPP9tzDDEeoggZKuu0qpMlPfO0tir+RSZfYpa6SvlYctiRX/zDiNJ/bKervz2D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dsFtvXAAAACAEAAA8AAAAAAAAAAQAgAAAAIgAAAGRycy9kb3du&#10;cmV2LnhtbFBLAQIUABQAAAAIAIdO4kBstExiOQIAAFQEAAAOAAAAAAAAAAEAIAAAACYBAABkcnMv&#10;ZTJvRG9jLnhtbFBLBQYAAAAABgAGAFkBAADRBQAAAAA=&#10;">
                <v:fill on="t" focussize="0,0"/>
                <v:stroke on="f" miterlimit="8" joinstyle="miter"/>
                <v:imagedata o:title=""/>
                <o:lock v:ext="edit" aspectratio="f"/>
                <v:textbox style="mso-fit-shape-to-text:t;">
                  <w:txbxContent>
                    <w:p w14:paraId="4FF8C628">
                      <w:pPr>
                        <w:jc w:val="center"/>
                      </w:pPr>
                      <w:r>
                        <w:drawing>
                          <wp:inline distT="0" distB="0" distL="0" distR="0">
                            <wp:extent cx="1439545" cy="1079500"/>
                            <wp:effectExtent l="0" t="0" r="8255" b="6350"/>
                            <wp:docPr id="4" name="图片 4" descr="D:\个人数据\项目资料\1.立墙用沥青涂料\视频图片\工地\20200914青岛工地\IMG_20200914_100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个人数据\项目资料\1.立墙用沥青涂料\视频图片\工地\20200914青岛工地\IMG_20200914_10060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5" name="图片 5" descr="D:\个人数据\项目资料\1.立墙用沥青涂料\视频图片\工地\20200914青岛工地\IMG_20200914_100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个人数据\项目资料\1.立墙用沥青涂料\视频图片\工地\20200914青岛工地\IMG_20200914_1007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6" name="图片 6" descr="D:\个人数据\项目资料\1.立墙用沥青涂料\视频图片\工地\20200914青岛工地\IMG_20200914_101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个人数据\项目资料\1.立墙用沥青涂料\视频图片\工地\20200914青岛工地\IMG_20200914_10145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0000" cy="1080000"/>
                                    </a:xfrm>
                                    <a:prstGeom prst="rect">
                                      <a:avLst/>
                                    </a:prstGeom>
                                    <a:noFill/>
                                    <a:ln>
                                      <a:noFill/>
                                    </a:ln>
                                  </pic:spPr>
                                </pic:pic>
                              </a:graphicData>
                            </a:graphic>
                          </wp:inline>
                        </w:drawing>
                      </w:r>
                    </w:p>
                  </w:txbxContent>
                </v:textbox>
                <w10:wrap type="topAndBottom"/>
              </v:shape>
            </w:pict>
          </mc:Fallback>
        </mc:AlternateContent>
      </w:r>
      <w:r>
        <w:rPr>
          <w:rFonts w:hint="eastAsia" w:ascii="Times New Roman" w:hAnsi="Times New Roman" w:eastAsia="宋体" w:cs="Times New Roman"/>
          <w:kern w:val="0"/>
          <w:sz w:val="24"/>
          <w:szCs w:val="24"/>
        </w:rPr>
        <w:t>高粘结聚合物沥青防水涂料目前已广泛应用于国内屋面、车库顶板、地下室侧墙等部位的防水工程中，与防水卷材复合使用组成涂料+卷材防水系统。</w:t>
      </w:r>
    </w:p>
    <w:p w14:paraId="7DF1A80B">
      <w:pPr>
        <w:spacing w:line="360" w:lineRule="auto"/>
        <w:ind w:firstLine="480" w:firstLineChars="200"/>
        <w:rPr>
          <w:rFonts w:ascii="Times New Roman" w:hAnsi="Times New Roman" w:eastAsia="宋体" w:cs="Times New Roman"/>
          <w:kern w:val="0"/>
          <w:sz w:val="24"/>
          <w:szCs w:val="24"/>
        </w:rPr>
      </w:pPr>
      <w:r>
        <w:rPr>
          <w:rFonts w:ascii="宋体" w:hAnsi="宋体" w:eastAsia="宋体" w:cs="Times New Roman"/>
          <w:sz w:val="24"/>
          <w:szCs w:val="28"/>
        </w:rPr>
        <mc:AlternateContent>
          <mc:Choice Requires="wps">
            <w:drawing>
              <wp:anchor distT="45720" distB="45720" distL="114300" distR="114300" simplePos="0" relativeHeight="251662336" behindDoc="0" locked="0" layoutInCell="1" allowOverlap="1">
                <wp:simplePos x="0" y="0"/>
                <wp:positionH relativeFrom="margin">
                  <wp:posOffset>85090</wp:posOffset>
                </wp:positionH>
                <wp:positionV relativeFrom="page">
                  <wp:posOffset>5000625</wp:posOffset>
                </wp:positionV>
                <wp:extent cx="5212080" cy="496570"/>
                <wp:effectExtent l="0" t="0" r="7620" b="6350"/>
                <wp:wrapTopAndBottom/>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12080" cy="496570"/>
                        </a:xfrm>
                        <a:prstGeom prst="rect">
                          <a:avLst/>
                        </a:prstGeom>
                        <a:solidFill>
                          <a:srgbClr val="FFFFFF"/>
                        </a:solidFill>
                        <a:ln w="9525">
                          <a:noFill/>
                          <a:miter lim="800000"/>
                        </a:ln>
                      </wps:spPr>
                      <wps:txbx>
                        <w:txbxContent>
                          <w:p w14:paraId="5B0EEBC6">
                            <w:pPr>
                              <w:jc w:val="center"/>
                            </w:pPr>
                            <w:r>
                              <w:drawing>
                                <wp:inline distT="0" distB="0" distL="0" distR="0">
                                  <wp:extent cx="1919605" cy="1079500"/>
                                  <wp:effectExtent l="0" t="0" r="4445" b="6350"/>
                                  <wp:docPr id="8" name="图片 8" descr="D:\个人数据\项目资料\4.厚涂水性沥青涂料\BCW408工程案例\2022湖北孝感美加职业学院\86d6277f9e2f07082838bb84b26baf99a9014d0854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个人数据\项目资料\4.厚涂水性沥青涂料\BCW408工程案例\2022湖北孝感美加职业学院\86d6277f9e2f07082838bb84b26baf99a9014d0854ad.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20000" cy="1080000"/>
                                          </a:xfrm>
                                          <a:prstGeom prst="rect">
                                            <a:avLst/>
                                          </a:prstGeom>
                                          <a:noFill/>
                                          <a:ln>
                                            <a:noFill/>
                                          </a:ln>
                                        </pic:spPr>
                                      </pic:pic>
                                    </a:graphicData>
                                  </a:graphic>
                                </wp:inline>
                              </w:drawing>
                            </w:r>
                            <w:r>
                              <w:t xml:space="preserve">  </w:t>
                            </w:r>
                            <w:r>
                              <w:drawing>
                                <wp:inline distT="0" distB="0" distL="0" distR="0">
                                  <wp:extent cx="1079500" cy="809625"/>
                                  <wp:effectExtent l="1587" t="0" r="7938" b="7937"/>
                                  <wp:docPr id="9" name="图片 9" descr="D:\个人数据\项目资料\4.厚涂水性沥青涂料\BCW408工程案例\2022湖北孝感美加职业学院\IMG_00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个人数据\项目资料\4.厚涂水性沥青涂料\BCW408工程案例\2022湖北孝感美加职业学院\IMG_0087.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5400000">
                                            <a:off x="0" y="0"/>
                                            <a:ext cx="1080000" cy="810000"/>
                                          </a:xfrm>
                                          <a:prstGeom prst="rect">
                                            <a:avLst/>
                                          </a:prstGeom>
                                          <a:noFill/>
                                          <a:ln>
                                            <a:noFill/>
                                          </a:ln>
                                        </pic:spPr>
                                      </pic:pic>
                                    </a:graphicData>
                                  </a:graphic>
                                </wp:inline>
                              </w:drawing>
                            </w:r>
                            <w:r>
                              <w:t xml:space="preserve">  </w:t>
                            </w:r>
                            <w:r>
                              <w:drawing>
                                <wp:inline distT="0" distB="0" distL="0" distR="0">
                                  <wp:extent cx="1079500" cy="809625"/>
                                  <wp:effectExtent l="1587" t="0" r="7938" b="7937"/>
                                  <wp:docPr id="10" name="图片 10" descr="D:\个人数据\项目资料\4.厚涂水性沥青涂料\BCW408工程案例\2022湖北孝感美加职业学院\IMG_00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个人数据\项目资料\4.厚涂水性沥青涂料\BCW408工程案例\2022湖北孝感美加职业学院\IMG_0088.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rot="5400000">
                                            <a:off x="0" y="0"/>
                                            <a:ext cx="1080000" cy="8100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6.7pt;margin-top:393.75pt;height:39.1pt;width:410.4pt;mso-position-horizontal-relative:margin;mso-position-vertical-relative:page;mso-wrap-distance-bottom:3.6pt;mso-wrap-distance-top:3.6pt;z-index:251662336;mso-width-relative:page;mso-height-relative:margin;mso-height-percent:200;" fillcolor="#FFFFFF" filled="t" stroked="f" coordsize="21600,21600" o:gfxdata="UEsDBAoAAAAAAIdO4kAAAAAAAAAAAAAAAAAEAAAAZHJzL1BLAwQUAAAACACHTuJAzYRtI9kAAAAK&#10;AQAADwAAAGRycy9kb3ducmV2LnhtbE2Py07DMBBF90j8gzVI7KjTR5oojVMhKjYskChIdOnGkzjC&#10;j8h20/D3DCvYzdUc3TlT72dr2IQhDt4JWC4yYOharwbXC/h4f34ogcUknZLGOxTwjRH2ze1NLSvl&#10;r+4Np2PqGZW4WEkBOqWx4jy2Gq2MCz+io13ng5WJYui5CvJK5dbwVZZtuZWDowtajviksf06XqyA&#10;T6sHdQivp06Z6fDSPebjHEYh7u+W2Q5Ywjn9wfCrT+rQkNPZX5yKzFBeb4gUUJRFDoyAcr1ZATvT&#10;sM0L4E3N/7/Q/ABQSwMEFAAAAAgAh07iQMmBPow4AgAAUgQAAA4AAABkcnMvZTJvRG9jLnhtbK1U&#10;S27bMBDdF+gdCO4b2YKdxILlILXhokD6AdIegKYoiyjJYUnaUnqA9gZZddN9z+VzdEgpruFusqgW&#10;BIcz8zjvzVDzm04rshfOSzAlHV+MKBGGQyXNtqSfP61fXVPiAzMVU2BESR+EpzeLly/mrS1EDg2o&#10;SjiCIMYXrS1pE4ItsszzRmjmL8AKg84anGYBTbfNKsdaRNcqy0ejy6wFV1kHXHiPp6veSQdE9xxA&#10;qGvJxQr4TgsTelQnFAtIyTfSerpI1da14OFDXXsRiCopMg1pxUtwv4lrtpizYuuYbSQfSmDPKeGM&#10;k2bS4KVHqBULjOyc/AdKS+7AQx0uOOisJ5IUQRbj0Zk29w2zInFBqb09iu7/Hyx/v//oiKxKekWJ&#10;YRobfnj8cfj5+/DrO8mjPK31BUbdW4wL3WvocGgSVW/vgH/xxMCyYWYrbp2DthGswvLGMTM7Se1x&#10;fATZtO+gwnvYLkAC6mqno3aoBkF0bM3DsTWiC4Tj4TQf56NrdHH0TWaX06vUu4wVT9nW+fBGgCZx&#10;U1KHrU/obH/nQ6yGFU8h8TIPSlZrqVQy3HazVI7sGY7JOn2JwFmYMqQt6WyaTxOygZifJkjLgI9C&#10;SV3S61H8hnRlBhki816D0G26QdYNVA8oiIN+LPFR4qYB942SFkeypP7rjjlBiXprUNTZeDKJM5yM&#10;yfQqR8OdejanHmY4QpU0UNJvlyHNfeJrb1H8tUy6xC71lQy14qgluYZnEWf51E5Rf38Fi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NhG0j2QAAAAoBAAAPAAAAAAAAAAEAIAAAACIAAABkcnMvZG93&#10;bnJldi54bWxQSwECFAAUAAAACACHTuJAyYE+jDgCAABSBAAADgAAAAAAAAABACAAAAAoAQAAZHJz&#10;L2Uyb0RvYy54bWxQSwUGAAAAAAYABgBZAQAA0gUAAAAA&#10;">
                <v:fill on="t" focussize="0,0"/>
                <v:stroke on="f" miterlimit="8" joinstyle="miter"/>
                <v:imagedata o:title=""/>
                <o:lock v:ext="edit" aspectratio="f"/>
                <v:textbox style="mso-fit-shape-to-text:t;">
                  <w:txbxContent>
                    <w:p w14:paraId="5B0EEBC6">
                      <w:pPr>
                        <w:jc w:val="center"/>
                      </w:pPr>
                      <w:r>
                        <w:drawing>
                          <wp:inline distT="0" distB="0" distL="0" distR="0">
                            <wp:extent cx="1919605" cy="1079500"/>
                            <wp:effectExtent l="0" t="0" r="4445" b="6350"/>
                            <wp:docPr id="8" name="图片 8" descr="D:\个人数据\项目资料\4.厚涂水性沥青涂料\BCW408工程案例\2022湖北孝感美加职业学院\86d6277f9e2f07082838bb84b26baf99a9014d0854a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个人数据\项目资料\4.厚涂水性沥青涂料\BCW408工程案例\2022湖北孝感美加职业学院\86d6277f9e2f07082838bb84b26baf99a9014d0854ad.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20000" cy="1080000"/>
                                    </a:xfrm>
                                    <a:prstGeom prst="rect">
                                      <a:avLst/>
                                    </a:prstGeom>
                                    <a:noFill/>
                                    <a:ln>
                                      <a:noFill/>
                                    </a:ln>
                                  </pic:spPr>
                                </pic:pic>
                              </a:graphicData>
                            </a:graphic>
                          </wp:inline>
                        </w:drawing>
                      </w:r>
                      <w:r>
                        <w:t xml:space="preserve">  </w:t>
                      </w:r>
                      <w:r>
                        <w:drawing>
                          <wp:inline distT="0" distB="0" distL="0" distR="0">
                            <wp:extent cx="1079500" cy="809625"/>
                            <wp:effectExtent l="1587" t="0" r="7938" b="7937"/>
                            <wp:docPr id="9" name="图片 9" descr="D:\个人数据\项目资料\4.厚涂水性沥青涂料\BCW408工程案例\2022湖北孝感美加职业学院\IMG_00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个人数据\项目资料\4.厚涂水性沥青涂料\BCW408工程案例\2022湖北孝感美加职业学院\IMG_0087.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5400000">
                                      <a:off x="0" y="0"/>
                                      <a:ext cx="1080000" cy="810000"/>
                                    </a:xfrm>
                                    <a:prstGeom prst="rect">
                                      <a:avLst/>
                                    </a:prstGeom>
                                    <a:noFill/>
                                    <a:ln>
                                      <a:noFill/>
                                    </a:ln>
                                  </pic:spPr>
                                </pic:pic>
                              </a:graphicData>
                            </a:graphic>
                          </wp:inline>
                        </w:drawing>
                      </w:r>
                      <w:r>
                        <w:t xml:space="preserve">  </w:t>
                      </w:r>
                      <w:r>
                        <w:drawing>
                          <wp:inline distT="0" distB="0" distL="0" distR="0">
                            <wp:extent cx="1079500" cy="809625"/>
                            <wp:effectExtent l="1587" t="0" r="7938" b="7937"/>
                            <wp:docPr id="10" name="图片 10" descr="D:\个人数据\项目资料\4.厚涂水性沥青涂料\BCW408工程案例\2022湖北孝感美加职业学院\IMG_00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个人数据\项目资料\4.厚涂水性沥青涂料\BCW408工程案例\2022湖北孝感美加职业学院\IMG_0088.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rot="5400000">
                                      <a:off x="0" y="0"/>
                                      <a:ext cx="1080000" cy="810000"/>
                                    </a:xfrm>
                                    <a:prstGeom prst="rect">
                                      <a:avLst/>
                                    </a:prstGeom>
                                    <a:noFill/>
                                    <a:ln>
                                      <a:noFill/>
                                    </a:ln>
                                  </pic:spPr>
                                </pic:pic>
                              </a:graphicData>
                            </a:graphic>
                          </wp:inline>
                        </w:drawing>
                      </w:r>
                    </w:p>
                  </w:txbxContent>
                </v:textbox>
                <w10:wrap type="topAndBottom"/>
              </v:shape>
            </w:pict>
          </mc:Fallback>
        </mc:AlternateContent>
      </w:r>
      <w:r>
        <w:rPr>
          <w:rFonts w:hint="eastAsia" w:ascii="宋体" w:hAnsi="宋体" w:eastAsia="宋体" w:cs="Times New Roman"/>
          <w:sz w:val="24"/>
          <w:szCs w:val="28"/>
        </w:rPr>
        <w:t>1、青岛金茂智慧城项目，采用</w:t>
      </w:r>
      <w:r>
        <w:rPr>
          <w:rFonts w:hint="eastAsia" w:ascii="Times New Roman" w:hAnsi="Times New Roman" w:eastAsia="宋体" w:cs="Times New Roman"/>
          <w:kern w:val="0"/>
          <w:sz w:val="24"/>
          <w:szCs w:val="24"/>
        </w:rPr>
        <w:t>高粘结聚合物沥青防水涂料复合聚酯胎自粘 防水卷材，防水性能优异。项目靠近海边，对地下工程的防水要求高，采用高粘结聚合物沥青防水涂料与卷材复合防水系统，喷涂施工单日可施工</w:t>
      </w:r>
      <w:r>
        <w:rPr>
          <w:rFonts w:ascii="Times New Roman" w:hAnsi="Times New Roman" w:eastAsia="宋体" w:cs="Times New Roman"/>
          <w:kern w:val="0"/>
          <w:sz w:val="24"/>
          <w:szCs w:val="24"/>
        </w:rPr>
        <w:t>800</w:t>
      </w:r>
      <w:r>
        <w:rPr>
          <w:rFonts w:hint="eastAsia" w:ascii="Times New Roman" w:hAnsi="Times New Roman" w:eastAsia="宋体" w:cs="Times New Roman"/>
          <w:kern w:val="0"/>
          <w:sz w:val="24"/>
          <w:szCs w:val="24"/>
        </w:rPr>
        <w:t>㎡，施工效率高，优异的粘结性能避免了回填对防水层造成的损害，起到了良好的防水效果。</w:t>
      </w:r>
    </w:p>
    <w:p w14:paraId="5CBC2972">
      <w:pPr>
        <w:spacing w:line="360" w:lineRule="auto"/>
        <w:ind w:firstLine="480" w:firstLineChars="200"/>
        <w:rPr>
          <w:rFonts w:ascii="Times New Roman" w:hAnsi="Times New Roman" w:eastAsia="宋体" w:cs="Times New Roman"/>
          <w:kern w:val="0"/>
          <w:sz w:val="24"/>
          <w:szCs w:val="24"/>
        </w:rPr>
      </w:pPr>
      <w:r>
        <w:rPr>
          <w:rFonts w:ascii="宋体" w:hAnsi="宋体" w:eastAsia="宋体" w:cs="Times New Roman"/>
          <w:sz w:val="24"/>
          <w:szCs w:val="28"/>
        </w:rPr>
        <mc:AlternateContent>
          <mc:Choice Requires="wps">
            <w:drawing>
              <wp:anchor distT="45720" distB="45720" distL="114300" distR="114300" simplePos="0" relativeHeight="251663360" behindDoc="0" locked="0" layoutInCell="1" allowOverlap="1">
                <wp:simplePos x="0" y="0"/>
                <wp:positionH relativeFrom="margin">
                  <wp:posOffset>38100</wp:posOffset>
                </wp:positionH>
                <wp:positionV relativeFrom="page">
                  <wp:posOffset>7063740</wp:posOffset>
                </wp:positionV>
                <wp:extent cx="5219700" cy="496570"/>
                <wp:effectExtent l="0" t="0" r="0" b="6350"/>
                <wp:wrapTopAndBottom/>
                <wp:docPr id="1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19700" cy="496570"/>
                        </a:xfrm>
                        <a:prstGeom prst="rect">
                          <a:avLst/>
                        </a:prstGeom>
                        <a:solidFill>
                          <a:srgbClr val="FFFFFF"/>
                        </a:solidFill>
                        <a:ln w="9525">
                          <a:noFill/>
                          <a:miter lim="800000"/>
                        </a:ln>
                      </wps:spPr>
                      <wps:txbx>
                        <w:txbxContent>
                          <w:p w14:paraId="402122FB">
                            <w:pPr>
                              <w:jc w:val="center"/>
                            </w:pPr>
                            <w:r>
                              <w:drawing>
                                <wp:inline distT="0" distB="0" distL="0" distR="0">
                                  <wp:extent cx="1439545" cy="1079500"/>
                                  <wp:effectExtent l="0" t="0" r="8255" b="6350"/>
                                  <wp:docPr id="12" name="图片 12" descr="D:\个人数据\项目资料\4.厚涂水性沥青涂料\BCW408工程案例\2023-BCW408+SBS(屋面免拆)\WechatIMG14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个人数据\项目资料\4.厚涂水性沥青涂料\BCW408工程案例\2023-BCW408+SBS(屋面免拆)\WechatIMG1440.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r>
                              <w:rPr>
                                <w:rFonts w:hint="eastAsia"/>
                              </w:rPr>
                              <w:t xml:space="preserve">  </w:t>
                            </w:r>
                            <w:r>
                              <w:drawing>
                                <wp:inline distT="0" distB="0" distL="0" distR="0">
                                  <wp:extent cx="1439545" cy="1079500"/>
                                  <wp:effectExtent l="0" t="0" r="8255" b="6350"/>
                                  <wp:docPr id="13" name="图片 13" descr="D:\个人数据\项目资料\4.厚涂水性沥青涂料\BCW408工程案例\2023-BCW408+SBS(屋面免拆)\WechatIMG14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个人数据\项目资料\4.厚涂水性沥青涂料\BCW408工程案例\2023-BCW408+SBS(屋面免拆)\WechatIMG144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14" name="图片 14" descr="D:\个人数据\项目资料\4.厚涂水性沥青涂料\BCW408工程案例\2023-BCW408+SBS(屋面免拆)\WechatIMG14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个人数据\项目资料\4.厚涂水性沥青涂料\BCW408工程案例\2023-BCW408+SBS(屋面免拆)\WechatIMG1444.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pt;margin-top:556.2pt;height:39.1pt;width:411pt;mso-position-horizontal-relative:margin;mso-position-vertical-relative:page;mso-wrap-distance-bottom:3.6pt;mso-wrap-distance-top:3.6pt;z-index:251663360;mso-width-relative:page;mso-height-relative:margin;mso-height-percent:200;" fillcolor="#FFFFFF" filled="t" stroked="f" coordsize="21600,21600" o:gfxdata="UEsDBAoAAAAAAIdO4kAAAAAAAAAAAAAAAAAEAAAAZHJzL1BLAwQUAAAACACHTuJAxIlDQNcAAAAL&#10;AQAADwAAAGRycy9kb3ducmV2LnhtbE2PQUvEMBCF74L/IYzgzU1atNTadBEXLx4EV0GP2SZtismk&#10;JNlu/ffOnvQ4bx7vfa/drt6xxcQ0BZRQbAQwg33QE44SPt6fb2pgKSvUygU0En5Mgm13edGqRocT&#10;vplln0dGIZgaJcHmPDecp94ar9ImzAbpN4ToVaYzjlxHdaJw73gpRMW9mpAarJrNkzX99/7oJXx6&#10;O+ldfP0atFt2L8Pj3bzGWcrrq0I8AMtmzX9mOOMTOnTEdAhH1Ik5CRUtySQXRXkLjAx1WZN0OEv3&#10;ogLetfz/hu4XUEsDBBQAAAAIAIdO4kDwz5LcOAIAAFMEAAAOAAAAZHJzL2Uyb0RvYy54bWytVM2O&#10;0zAQviPxDpbvNG3VbrdR09XSqghp+ZEWHsB1nMbC9hjbbbI8ALzBnrhw57n6HIydbKnKZQ/kYHk8&#10;M5/n+2acxU2rFTkI5yWYgo4GQ0qE4VBKsyvo50+bV9eU+MBMyRQYUdAH4enN8uWLRWNzMYYaVCkc&#10;QRDj88YWtA7B5lnmeS008wOwwqCzAqdZQNPtstKxBtG1ysbD4VXWgCutAy68x9N156Q9onsOIFSV&#10;5GINfK+FCR2qE4oFpORraT1dpmqrSvDwoaq8CEQVFJmGtOIluN/GNVsuWL5zzNaS9yWw55RwwUkz&#10;afDSE9SaBUb2Tv4DpSV34KEKAw4664gkRZDFaHihzX3NrEhcUGpvT6L7/wfL3x8+OiJLnIQRJYZp&#10;7Pjx8cfx5+/jr+9kHPVprM8x7N5iYGhfQ4uxiau3d8C/eGJgVTOzE7fOQVMLVmJ9o5iZnaV2OD6C&#10;bJt3UOI9bB8gAbWV01E8lIMgOvbm4dQb0QbC8XA6Hs1nQ3Rx9E3mV9NZal7G8qds63x4I0CTuCmo&#10;w94ndHa48yFWw/KnkHiZByXLjVQqGW63XSlHDgznZJO+ROAiTBnSFHQ+HU8TsoGYn0ZIy4CvQkld&#10;0Oth/Pp0ZXoZIvNOg9Bu217WLZQPKIiDbi7xVeKmBveNkgZnsqD+6545QYl6a1DU+WgyiUOcjMl0&#10;NkbDnXu25x5mOEIVNFDSbVchDX7ia29R/I1MusQudZX0teKsJbn6dxGH+dxOUX//Bc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IlDQNcAAAALAQAADwAAAAAAAAABACAAAAAiAAAAZHJzL2Rvd25y&#10;ZXYueG1sUEsBAhQAFAAAAAgAh07iQPDPktw4AgAAUwQAAA4AAAAAAAAAAQAgAAAAJgEAAGRycy9l&#10;Mm9Eb2MueG1sUEsFBgAAAAAGAAYAWQEAANAFAAAAAA==&#10;">
                <v:fill on="t" focussize="0,0"/>
                <v:stroke on="f" miterlimit="8" joinstyle="miter"/>
                <v:imagedata o:title=""/>
                <o:lock v:ext="edit" aspectratio="f"/>
                <v:textbox style="mso-fit-shape-to-text:t;">
                  <w:txbxContent>
                    <w:p w14:paraId="402122FB">
                      <w:pPr>
                        <w:jc w:val="center"/>
                      </w:pPr>
                      <w:r>
                        <w:drawing>
                          <wp:inline distT="0" distB="0" distL="0" distR="0">
                            <wp:extent cx="1439545" cy="1079500"/>
                            <wp:effectExtent l="0" t="0" r="8255" b="6350"/>
                            <wp:docPr id="12" name="图片 12" descr="D:\个人数据\项目资料\4.厚涂水性沥青涂料\BCW408工程案例\2023-BCW408+SBS(屋面免拆)\WechatIMG14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个人数据\项目资料\4.厚涂水性沥青涂料\BCW408工程案例\2023-BCW408+SBS(屋面免拆)\WechatIMG1440.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r>
                        <w:rPr>
                          <w:rFonts w:hint="eastAsia"/>
                        </w:rPr>
                        <w:t xml:space="preserve">  </w:t>
                      </w:r>
                      <w:r>
                        <w:drawing>
                          <wp:inline distT="0" distB="0" distL="0" distR="0">
                            <wp:extent cx="1439545" cy="1079500"/>
                            <wp:effectExtent l="0" t="0" r="8255" b="6350"/>
                            <wp:docPr id="13" name="图片 13" descr="D:\个人数据\项目资料\4.厚涂水性沥青涂料\BCW408工程案例\2023-BCW408+SBS(屋面免拆)\WechatIMG14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D:\个人数据\项目资料\4.厚涂水性沥青涂料\BCW408工程案例\2023-BCW408+SBS(屋面免拆)\WechatIMG1442.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r>
                        <w:t xml:space="preserve">  </w:t>
                      </w:r>
                      <w:r>
                        <w:drawing>
                          <wp:inline distT="0" distB="0" distL="0" distR="0">
                            <wp:extent cx="1439545" cy="1079500"/>
                            <wp:effectExtent l="0" t="0" r="8255" b="6350"/>
                            <wp:docPr id="14" name="图片 14" descr="D:\个人数据\项目资料\4.厚涂水性沥青涂料\BCW408工程案例\2023-BCW408+SBS(屋面免拆)\WechatIMG14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个人数据\项目资料\4.厚涂水性沥青涂料\BCW408工程案例\2023-BCW408+SBS(屋面免拆)\WechatIMG1444.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39775" cy="1080000"/>
                                    </a:xfrm>
                                    <a:prstGeom prst="rect">
                                      <a:avLst/>
                                    </a:prstGeom>
                                    <a:noFill/>
                                    <a:ln>
                                      <a:noFill/>
                                    </a:ln>
                                  </pic:spPr>
                                </pic:pic>
                              </a:graphicData>
                            </a:graphic>
                          </wp:inline>
                        </w:drawing>
                      </w:r>
                    </w:p>
                  </w:txbxContent>
                </v:textbox>
                <w10:wrap type="topAndBottom"/>
              </v:shape>
            </w:pict>
          </mc:Fallback>
        </mc:AlternateContent>
      </w:r>
      <w:r>
        <w:rPr>
          <w:rFonts w:hint="eastAsia" w:ascii="宋体" w:hAnsi="宋体" w:eastAsia="宋体" w:cs="Times New Roman"/>
          <w:sz w:val="24"/>
          <w:szCs w:val="28"/>
        </w:rPr>
        <w:t>2、湖北孝感美加职业学院屋面项目，采用</w:t>
      </w:r>
      <w:r>
        <w:rPr>
          <w:rFonts w:hint="eastAsia" w:ascii="Times New Roman" w:hAnsi="Times New Roman" w:eastAsia="宋体" w:cs="Times New Roman"/>
          <w:kern w:val="0"/>
          <w:sz w:val="24"/>
          <w:szCs w:val="24"/>
        </w:rPr>
        <w:t>高粘结聚合物沥青防水涂料复合SBS改性沥青卷材，能够适应屋面轻微沉降变形导致的基层变化，防水效果良好。</w:t>
      </w:r>
    </w:p>
    <w:p w14:paraId="051528B5">
      <w:pPr>
        <w:spacing w:line="360" w:lineRule="auto"/>
        <w:ind w:firstLine="480" w:firstLineChars="200"/>
        <w:rPr>
          <w:rFonts w:ascii="Times New Roman" w:hAnsi="Times New Roman" w:eastAsia="宋体" w:cs="Times New Roman"/>
          <w:kern w:val="0"/>
          <w:sz w:val="24"/>
          <w:szCs w:val="24"/>
        </w:rPr>
      </w:pPr>
      <w:r>
        <w:rPr>
          <w:rFonts w:hint="eastAsia" w:ascii="宋体" w:hAnsi="宋体" w:eastAsia="宋体" w:cs="Times New Roman"/>
          <w:sz w:val="24"/>
          <w:szCs w:val="28"/>
        </w:rPr>
        <w:t>3、北京某项目屋面维修，采用</w:t>
      </w:r>
      <w:r>
        <w:rPr>
          <w:rFonts w:hint="eastAsia" w:ascii="Times New Roman" w:hAnsi="Times New Roman" w:eastAsia="宋体" w:cs="Times New Roman"/>
          <w:kern w:val="0"/>
          <w:sz w:val="24"/>
          <w:szCs w:val="24"/>
        </w:rPr>
        <w:t>高粘结聚合物沥青防水涂料复合SBS改性沥青卷材，涂料与瓷砖层有良好的粘结性能，对原基层瓷砖无需做拆除处理，节约工期，减少人工成本5</w:t>
      </w:r>
      <w:r>
        <w:rPr>
          <w:rFonts w:ascii="Times New Roman" w:hAnsi="Times New Roman" w:eastAsia="宋体" w:cs="Times New Roman"/>
          <w:kern w:val="0"/>
          <w:sz w:val="24"/>
          <w:szCs w:val="24"/>
        </w:rPr>
        <w:t>0%</w:t>
      </w:r>
      <w:r>
        <w:rPr>
          <w:rFonts w:hint="eastAsia" w:ascii="Times New Roman" w:hAnsi="Times New Roman" w:eastAsia="宋体" w:cs="Times New Roman"/>
          <w:kern w:val="0"/>
          <w:sz w:val="24"/>
          <w:szCs w:val="24"/>
        </w:rPr>
        <w:t>以上。</w:t>
      </w:r>
    </w:p>
    <w:p w14:paraId="660F364A">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（二）本标准指标的技术先进性以及本标准的发布对行业及社会发展的促进作用</w:t>
      </w:r>
    </w:p>
    <w:p w14:paraId="46704488">
      <w:pPr>
        <w:spacing w:line="360" w:lineRule="auto"/>
        <w:ind w:firstLine="480" w:firstLineChars="200"/>
        <w:rPr>
          <w:rFonts w:ascii="宋体" w:hAnsi="宋体" w:eastAsia="宋体" w:cs="Times New Roman"/>
          <w:color w:val="FF0000"/>
          <w:sz w:val="24"/>
          <w:szCs w:val="28"/>
        </w:rPr>
      </w:pPr>
      <w:r>
        <w:rPr>
          <w:rFonts w:hint="eastAsia" w:ascii="宋体" w:hAnsi="宋体" w:eastAsia="宋体" w:cs="Times New Roman"/>
          <w:sz w:val="24"/>
          <w:szCs w:val="28"/>
        </w:rPr>
        <w:t>随着人们对美好生活和宜居环境需求的不断增长，对于建筑物防水性能提出了更高的要求，建筑材料也需要提高标准以适应这一变化。</w:t>
      </w:r>
      <w:r>
        <w:rPr>
          <w:rFonts w:hint="eastAsia" w:ascii="Times New Roman" w:hAnsi="Times New Roman" w:eastAsia="宋体" w:cs="Times New Roman"/>
          <w:kern w:val="0"/>
          <w:sz w:val="24"/>
          <w:szCs w:val="24"/>
        </w:rPr>
        <w:t>高粘结聚合物沥青防水涂料与基层和沥青卷材均具有良好的粘结性能，避免了防水层间、防水层与基层间发生窜水现象，有效避免渗漏的发生。该材料符合绿色安全发展的要求，施工过程避免了明火加热，降低了火灾风险，低VOC含量避免了对环境的污染，符合国家和行业共同的利益要求，作为一种高性能的防水涂料，</w:t>
      </w:r>
      <w:r>
        <w:rPr>
          <w:rFonts w:hint="eastAsia" w:ascii="宋体" w:hAnsi="宋体" w:cs="宋体"/>
          <w:sz w:val="24"/>
        </w:rPr>
        <w:t>与技术迭代同步，与文明发展同行，与市场需求相配，与生态环境相容。该材料</w:t>
      </w:r>
      <w:r>
        <w:rPr>
          <w:rFonts w:hint="eastAsia" w:ascii="Times New Roman" w:hAnsi="Times New Roman" w:eastAsia="宋体" w:cs="Times New Roman"/>
          <w:sz w:val="24"/>
          <w:szCs w:val="24"/>
        </w:rPr>
        <w:t>有利于</w:t>
      </w:r>
      <w:r>
        <w:rPr>
          <w:rFonts w:ascii="Times New Roman" w:hAnsi="Times New Roman" w:eastAsia="宋体" w:cs="Times New Roman"/>
          <w:sz w:val="24"/>
          <w:szCs w:val="24"/>
        </w:rPr>
        <w:t>提升建筑</w:t>
      </w:r>
      <w:r>
        <w:rPr>
          <w:rFonts w:hint="eastAsia" w:ascii="Times New Roman" w:hAnsi="Times New Roman" w:eastAsia="宋体" w:cs="Times New Roman"/>
          <w:sz w:val="24"/>
          <w:szCs w:val="24"/>
        </w:rPr>
        <w:t>物防水防护</w:t>
      </w:r>
      <w:r>
        <w:rPr>
          <w:rFonts w:ascii="Times New Roman" w:hAnsi="Times New Roman" w:eastAsia="宋体" w:cs="Times New Roman"/>
          <w:sz w:val="24"/>
          <w:szCs w:val="24"/>
        </w:rPr>
        <w:t>水平，助力我国经济建设。</w:t>
      </w:r>
      <w:r>
        <w:rPr>
          <w:rFonts w:hint="eastAsia" w:ascii="宋体" w:hAnsi="宋体" w:cs="宋体"/>
          <w:sz w:val="24"/>
        </w:rPr>
        <w:t>本标准的发布，将进一步规范该产品的性能，促进该产品的进一步发展，该产品的应用为人类文明进步做出开创性的贡献，从而为全会提出的远景目标的实现，为安全发展、高质量发展，做出建材行业应有的贡献。</w:t>
      </w:r>
    </w:p>
    <w:p w14:paraId="4211BE51">
      <w:pPr>
        <w:pStyle w:val="2"/>
        <w:spacing w:before="100" w:after="100" w:line="360" w:lineRule="auto"/>
        <w:rPr>
          <w:rFonts w:ascii="Times New Roman" w:hAnsi="Times New Roman" w:eastAsia="宋体" w:cs="Times New Roman"/>
          <w:sz w:val="28"/>
        </w:rPr>
      </w:pPr>
      <w:r>
        <w:rPr>
          <w:rFonts w:ascii="Times New Roman" w:hAnsi="Times New Roman" w:eastAsia="宋体" w:cs="Times New Roman"/>
          <w:sz w:val="28"/>
        </w:rPr>
        <w:t>6.采用国际标准和国外先进标准情况</w:t>
      </w:r>
    </w:p>
    <w:p w14:paraId="13FEDFB9">
      <w:pPr>
        <w:pStyle w:val="21"/>
        <w:spacing w:line="360" w:lineRule="auto"/>
        <w:ind w:firstLine="480"/>
        <w:rPr>
          <w:rFonts w:ascii="Times New Roman" w:hAnsi="Times New Roman" w:eastAsia="宋体" w:cs="Times New Roman"/>
          <w:sz w:val="24"/>
          <w:szCs w:val="24"/>
        </w:rPr>
      </w:pPr>
      <w:r>
        <w:rPr>
          <w:rFonts w:hint="eastAsia" w:ascii="Times New Roman" w:hAnsi="Times New Roman" w:eastAsia="宋体" w:cs="Times New Roman"/>
          <w:sz w:val="24"/>
          <w:szCs w:val="24"/>
        </w:rPr>
        <w:t>无。</w:t>
      </w:r>
    </w:p>
    <w:p w14:paraId="661BDA7F">
      <w:pPr>
        <w:pStyle w:val="2"/>
        <w:spacing w:before="100" w:after="100" w:line="360" w:lineRule="auto"/>
        <w:rPr>
          <w:rFonts w:ascii="Times New Roman" w:hAnsi="Times New Roman" w:eastAsia="宋体" w:cs="Times New Roman"/>
          <w:sz w:val="28"/>
        </w:rPr>
      </w:pPr>
      <w:bookmarkStart w:id="16" w:name="_Toc41034885"/>
      <w:r>
        <w:rPr>
          <w:rFonts w:ascii="Times New Roman" w:hAnsi="Times New Roman" w:eastAsia="宋体" w:cs="Times New Roman"/>
          <w:sz w:val="28"/>
        </w:rPr>
        <w:t>7.与现行相关法律、法规、规章及相关标准的协调性</w:t>
      </w:r>
      <w:bookmarkEnd w:id="16"/>
    </w:p>
    <w:p w14:paraId="4C84989F">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zh-CN"/>
        </w:rPr>
        <w:t>综合调研国内外情况，市场上有与本标准相关的标准，但是标准中涉及的检测项目与性能指标与本标准存在差异。本标准中所涉及到的试验方法与现行相关法律、法规、规章及相关标准保持一致，没有冲突的地方，具有很好的协调性。</w:t>
      </w:r>
    </w:p>
    <w:p w14:paraId="36E6A3B5">
      <w:pPr>
        <w:pStyle w:val="2"/>
        <w:spacing w:before="100" w:after="100" w:line="360" w:lineRule="auto"/>
        <w:rPr>
          <w:rFonts w:ascii="Times New Roman" w:hAnsi="Times New Roman" w:eastAsia="宋体" w:cs="Times New Roman"/>
          <w:sz w:val="28"/>
        </w:rPr>
      </w:pPr>
      <w:bookmarkStart w:id="17" w:name="_Toc41034886"/>
      <w:r>
        <w:rPr>
          <w:rFonts w:ascii="Times New Roman" w:hAnsi="Times New Roman" w:eastAsia="宋体" w:cs="Times New Roman"/>
          <w:sz w:val="28"/>
        </w:rPr>
        <w:t>8.重大分歧意见的处理经过和依据</w:t>
      </w:r>
      <w:bookmarkEnd w:id="17"/>
    </w:p>
    <w:p w14:paraId="3EDEC12A">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szCs w:val="24"/>
          <w:lang w:val="zh-CN"/>
        </w:rPr>
        <w:t>在标准的编制过程中，广泛征求了行业相关单位和业内专家的意见和建议，主要针对标准规定中各项技术指标的要求做了深入研讨，各家单位和行业专家结合自身的工作经验和实验验证提出了作为数据支撑的有力依据，最终对标准要求达成一致。编制过程中对标准的主要内容并未产生重大意见分歧。</w:t>
      </w:r>
    </w:p>
    <w:p w14:paraId="70418AF4">
      <w:pPr>
        <w:pStyle w:val="2"/>
        <w:spacing w:before="100" w:after="100" w:line="360" w:lineRule="auto"/>
        <w:rPr>
          <w:rFonts w:ascii="Times New Roman" w:hAnsi="Times New Roman" w:eastAsia="宋体" w:cs="Times New Roman"/>
          <w:sz w:val="28"/>
        </w:rPr>
      </w:pPr>
      <w:bookmarkStart w:id="18" w:name="_Toc41034887"/>
      <w:r>
        <w:rPr>
          <w:rFonts w:ascii="Times New Roman" w:hAnsi="Times New Roman" w:eastAsia="宋体" w:cs="Times New Roman"/>
          <w:sz w:val="28"/>
        </w:rPr>
        <w:t>9.标准性质的建议说明</w:t>
      </w:r>
      <w:bookmarkEnd w:id="18"/>
    </w:p>
    <w:p w14:paraId="1AE9FA59">
      <w:pPr>
        <w:spacing w:line="360" w:lineRule="auto"/>
        <w:ind w:firstLine="480" w:firstLineChars="200"/>
        <w:rPr>
          <w:rFonts w:ascii="Times New Roman" w:hAnsi="Times New Roman" w:eastAsia="宋体" w:cs="Times New Roman"/>
          <w:sz w:val="24"/>
          <w:szCs w:val="24"/>
          <w:lang w:val="zh-CN"/>
        </w:rPr>
      </w:pPr>
      <w:r>
        <w:rPr>
          <w:rFonts w:ascii="Times New Roman" w:hAnsi="Times New Roman" w:eastAsia="宋体" w:cs="Times New Roman"/>
          <w:sz w:val="24"/>
          <w:szCs w:val="24"/>
          <w:lang w:val="zh-CN"/>
        </w:rPr>
        <w:t>本标准为产品标准，建议作为</w:t>
      </w:r>
      <w:r>
        <w:rPr>
          <w:rFonts w:hint="eastAsia" w:ascii="Times New Roman" w:hAnsi="Times New Roman" w:eastAsia="宋体" w:cs="Times New Roman"/>
          <w:sz w:val="24"/>
          <w:szCs w:val="24"/>
          <w:lang w:val="zh-CN"/>
        </w:rPr>
        <w:t>团体</w:t>
      </w:r>
      <w:r>
        <w:rPr>
          <w:rFonts w:ascii="Times New Roman" w:hAnsi="Times New Roman" w:eastAsia="宋体" w:cs="Times New Roman"/>
          <w:sz w:val="24"/>
          <w:szCs w:val="24"/>
          <w:lang w:val="zh-CN"/>
        </w:rPr>
        <w:t>产品标准发布。</w:t>
      </w:r>
    </w:p>
    <w:p w14:paraId="1D98CD76">
      <w:pPr>
        <w:pStyle w:val="2"/>
        <w:spacing w:before="100" w:after="100" w:line="360" w:lineRule="auto"/>
        <w:rPr>
          <w:rFonts w:ascii="Times New Roman" w:hAnsi="Times New Roman" w:eastAsia="宋体" w:cs="Times New Roman"/>
          <w:sz w:val="28"/>
        </w:rPr>
      </w:pPr>
      <w:bookmarkStart w:id="19" w:name="_Toc41034888"/>
      <w:r>
        <w:rPr>
          <w:rFonts w:ascii="Times New Roman" w:hAnsi="Times New Roman" w:eastAsia="宋体" w:cs="Times New Roman"/>
          <w:sz w:val="28"/>
        </w:rPr>
        <w:t>10.贯彻标准的要求和措施建议</w:t>
      </w:r>
      <w:bookmarkEnd w:id="19"/>
    </w:p>
    <w:p w14:paraId="6FA1E728">
      <w:pPr>
        <w:spacing w:line="360" w:lineRule="auto"/>
        <w:ind w:firstLine="480" w:firstLineChars="200"/>
        <w:rPr>
          <w:rFonts w:ascii="Times New Roman" w:hAnsi="Times New Roman" w:eastAsia="宋体" w:cs="Times New Roman"/>
          <w:sz w:val="24"/>
          <w:szCs w:val="24"/>
          <w:lang w:val="zh-CN"/>
        </w:rPr>
      </w:pPr>
      <w:r>
        <w:rPr>
          <w:rFonts w:ascii="Times New Roman" w:hAnsi="Times New Roman" w:eastAsia="宋体" w:cs="Times New Roman"/>
          <w:sz w:val="24"/>
          <w:szCs w:val="24"/>
          <w:lang w:val="zh-CN"/>
        </w:rPr>
        <w:t>目前，国内高粘结聚合物沥青防水涂料产品没有统一的评价标准，所以产品以哪些性能进行评价，评价方法、评价指标是什么等都给企业和消费者带来困扰，整体上不利于产品的发展，制约了该行业的进步。</w:t>
      </w:r>
    </w:p>
    <w:p w14:paraId="5A452DA6">
      <w:pPr>
        <w:spacing w:line="360" w:lineRule="auto"/>
        <w:ind w:firstLine="480" w:firstLineChars="200"/>
        <w:rPr>
          <w:rFonts w:ascii="Times New Roman" w:hAnsi="Times New Roman" w:eastAsia="宋体" w:cs="Times New Roman"/>
          <w:sz w:val="24"/>
          <w:szCs w:val="24"/>
          <w:lang w:val="zh-CN"/>
        </w:rPr>
      </w:pPr>
      <w:r>
        <w:rPr>
          <w:rFonts w:ascii="Times New Roman" w:hAnsi="Times New Roman" w:eastAsia="宋体" w:cs="Times New Roman"/>
          <w:sz w:val="24"/>
          <w:szCs w:val="24"/>
          <w:lang w:val="zh-CN"/>
        </w:rPr>
        <w:t>建议在本标准发布实施后，各生产厂家、科研单位以及相关检测机构、管理部门依据本标准中的相关规定，对高粘结聚合物沥青防水涂料产品进行评判和管理。具体实施措施建议如下：（1）加大标准宣传力度，提高认知度。（2）标准归口单位进行贯标指导，组织标准宣贯活动。（3）鼓励行业相关企业贯彻实施标准，并对相关企业人员进行指导，使有关人员拥有标准、了解标准、熟悉标准，按要求执行标准。（4）标准归口单位跟踪服务，对企业贯彻实施标准中遇到的问题进行协调处理作好记录，并进行长期监督检查工作。</w:t>
      </w:r>
    </w:p>
    <w:p w14:paraId="550E653A">
      <w:pPr>
        <w:pStyle w:val="2"/>
        <w:spacing w:before="100" w:after="100" w:line="360" w:lineRule="auto"/>
        <w:rPr>
          <w:rFonts w:ascii="Times New Roman" w:hAnsi="Times New Roman" w:eastAsia="宋体" w:cs="Times New Roman"/>
          <w:sz w:val="28"/>
        </w:rPr>
      </w:pPr>
      <w:bookmarkStart w:id="20" w:name="_Toc41034889"/>
      <w:r>
        <w:rPr>
          <w:rFonts w:ascii="Times New Roman" w:hAnsi="Times New Roman" w:eastAsia="宋体" w:cs="Times New Roman"/>
          <w:sz w:val="28"/>
        </w:rPr>
        <w:t>11.废止现行相关标准的建议</w:t>
      </w:r>
      <w:bookmarkEnd w:id="20"/>
    </w:p>
    <w:p w14:paraId="1731ED7A">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无。</w:t>
      </w:r>
    </w:p>
    <w:p w14:paraId="05CCA953">
      <w:pPr>
        <w:pStyle w:val="2"/>
        <w:numPr>
          <w:ilvl w:val="0"/>
          <w:numId w:val="6"/>
        </w:numPr>
        <w:spacing w:before="100" w:after="100" w:line="360" w:lineRule="auto"/>
        <w:rPr>
          <w:rFonts w:ascii="Times New Roman" w:hAnsi="Times New Roman" w:eastAsia="宋体" w:cs="Times New Roman"/>
          <w:sz w:val="28"/>
        </w:rPr>
      </w:pPr>
      <w:bookmarkStart w:id="21" w:name="_Toc41034890"/>
      <w:r>
        <w:rPr>
          <w:rFonts w:ascii="Times New Roman" w:hAnsi="Times New Roman" w:eastAsia="宋体" w:cs="Times New Roman"/>
          <w:sz w:val="28"/>
        </w:rPr>
        <w:t>其它应予说明的事项</w:t>
      </w:r>
      <w:bookmarkEnd w:id="21"/>
    </w:p>
    <w:p w14:paraId="2D85E0D1">
      <w:pPr>
        <w:spacing w:line="360" w:lineRule="auto"/>
        <w:ind w:firstLine="480" w:firstLineChars="200"/>
        <w:rPr>
          <w:rFonts w:ascii="Times New Roman" w:hAnsi="Times New Roman" w:eastAsia="宋体" w:cs="Times New Roman"/>
          <w:sz w:val="24"/>
        </w:rPr>
        <w:sectPr>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宋体" w:cs="Times New Roman"/>
          <w:sz w:val="24"/>
        </w:rPr>
        <w:t>无。</w:t>
      </w:r>
    </w:p>
    <w:p w14:paraId="5244B8FC"/>
    <w:sectPr>
      <w:footerReference r:id="rId5" w:type="default"/>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31482">
    <w:pPr>
      <w:pStyle w:val="2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240665" cy="2241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40665" cy="224155"/>
                      </a:xfrm>
                      <a:prstGeom prst="rect">
                        <a:avLst/>
                      </a:prstGeom>
                      <a:noFill/>
                      <a:ln w="6350">
                        <a:noFill/>
                      </a:ln>
                    </wps:spPr>
                    <wps:txbx>
                      <w:txbxContent>
                        <w:p w14:paraId="22B7B785">
                          <w:pPr>
                            <w:pStyle w:val="2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7.65pt;width:18.95pt;mso-position-horizontal:right;mso-position-horizontal-relative:margin;mso-wrap-style:none;z-index:251659264;mso-width-relative:page;mso-height-relative:page;" filled="f" stroked="f" coordsize="21600,21600" o:gfxdata="UEsDBAoAAAAAAIdO4kAAAAAAAAAAAAAAAAAEAAAAZHJzL1BLAwQUAAAACACHTuJAv/1yJdIAAAAD&#10;AQAADwAAAGRycy9kb3ducmV2LnhtbE2PzU7DMBCE70i8g7VI3KhTwk8JcSpREY5IbTj06MZLErDX&#10;ke2m4e1ZuMBlR6tZzXxbrmdnxYQhDp4ULBcZCKTWm4E6BW9NfbUCEZMmo60nVPCFEdbV+VmpC+NP&#10;tMVplzrBIRQLraBPaSykjG2PTseFH5HYe/fB6cRr6KQJ+sThzsrrLLuTTg/EDb0ecdNj+7k7OgWb&#10;umnChDHYPb7U+cfr0w0+z0pdXiyzRxAJ5/R3DD/4jA4VMx38kUwUVgE/kn4ne/n9A4gD620Osirl&#10;f/bqG1BLAwQUAAAACACHTuJAbXLNazACAABTBAAADgAAAGRycy9lMm9Eb2MueG1srVTNjtMwEL4j&#10;8Q6W7zRp2VYoaroqWxUhVexKBXF2HaeJ5D/ZbpPyAPAGnLhw57n6HHxO0i5aOOyBizuZGX8z3zfj&#10;zm9bJclROF8bndPxKKVEaG6KWu9z+unj+tUbSnxgumDSaJHTk/D0dvHyxbyxmZiYyshCOAIQ7bPG&#10;5rQKwWZJ4nklFPMjY4VGsDROsYBPt08KxxqgK5lM0nSWNMYV1hkuvId31QfpgOieA2jKsuZiZfhB&#10;CR16VCckC6Dkq9p6uui6LUvBw31ZehGIzCmYhu5EEdi7eCaLOcv2jtmq5kML7DktPOGkWK1R9Aq1&#10;YoGRg6v/glI1d8abMoy4UUlPpFMELMbpE222FbOi4wKpvb2K7v8fLP9wfHCkLrAJlGimMPDz92/n&#10;H7/OP7+ScZSnsT5D1tYiL7RvTRtTB7+HM7JuS6fiL/gQxCHu6SquaAPhcE5u0tlsSglHaDK5GU+n&#10;ESV5vGydD++EUSQaOXWYXScpO2586FMvKbGWNutaSvhZJjVpcjp7PU27C9cIwKVGjUihbzVaod21&#10;Q/87U5xAy5l+L7zl6xrFN8yHB+awCGCCpxLucZTSoIgZLEoq4778yx/zMR9EKWmwWDnVeEeUyPca&#10;c4s7eDHcxdhdDH1Qdwabilmgl87EBRfkxSydUZ/xfpaxBkJMc1TKabiYd6Ffbrw/LpbLLgmbZlnY&#10;6K3lEToq5u3yECBgp2sUpVdi0Aq71k1meBdxmf/87rIe/ws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XIl0gAAAAMBAAAPAAAAAAAAAAEAIAAAACIAAABkcnMvZG93bnJldi54bWxQSwECFAAU&#10;AAAACACHTuJAbXLNazACAABTBAAADgAAAAAAAAABACAAAAAhAQAAZHJzL2Uyb0RvYy54bWxQSwUG&#10;AAAAAAYABgBZAQAAwwUAAAAA&#10;">
              <v:fill on="f" focussize="0,0"/>
              <v:stroke on="f" weight="0.5pt"/>
              <v:imagedata o:title=""/>
              <o:lock v:ext="edit" aspectratio="f"/>
              <v:textbox inset="0mm,0mm,0mm,0mm" style="mso-fit-shape-to-text:t;">
                <w:txbxContent>
                  <w:p w14:paraId="22B7B785">
                    <w:pPr>
                      <w:pStyle w:val="2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0930F">
    <w:pPr>
      <w:pStyle w:val="23"/>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240665" cy="224155"/>
              <wp:effectExtent l="0" t="0" r="635" b="0"/>
              <wp:wrapNone/>
              <wp:docPr id="3" name="文本框 3"/>
              <wp:cNvGraphicFramePr/>
              <a:graphic xmlns:a="http://schemas.openxmlformats.org/drawingml/2006/main">
                <a:graphicData uri="http://schemas.microsoft.com/office/word/2010/wordprocessingShape">
                  <wps:wsp>
                    <wps:cNvSpPr txBox="1"/>
                    <wps:spPr>
                      <a:xfrm>
                        <a:off x="0" y="0"/>
                        <a:ext cx="240665" cy="224155"/>
                      </a:xfrm>
                      <a:prstGeom prst="rect">
                        <a:avLst/>
                      </a:prstGeom>
                      <a:noFill/>
                      <a:ln w="6350">
                        <a:noFill/>
                      </a:ln>
                    </wps:spPr>
                    <wps:txbx>
                      <w:txbxContent>
                        <w:p w14:paraId="51DFE09D">
                          <w:pPr>
                            <w:pStyle w:val="2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7.65pt;width:18.95pt;mso-position-horizontal:right;mso-position-horizontal-relative:margin;mso-wrap-style:none;z-index:251660288;mso-width-relative:page;mso-height-relative:page;" filled="f" stroked="f" coordsize="21600,21600" o:gfxdata="UEsDBAoAAAAAAIdO4kAAAAAAAAAAAAAAAAAEAAAAZHJzL1BLAwQUAAAACACHTuJAv/1yJdIAAAAD&#10;AQAADwAAAGRycy9kb3ducmV2LnhtbE2PzU7DMBCE70i8g7VI3KhTwk8JcSpREY5IbTj06MZLErDX&#10;ke2m4e1ZuMBlR6tZzXxbrmdnxYQhDp4ULBcZCKTWm4E6BW9NfbUCEZMmo60nVPCFEdbV+VmpC+NP&#10;tMVplzrBIRQLraBPaSykjG2PTseFH5HYe/fB6cRr6KQJ+sThzsrrLLuTTg/EDb0ecdNj+7k7OgWb&#10;umnChDHYPb7U+cfr0w0+z0pdXiyzRxAJ5/R3DD/4jA4VMx38kUwUVgE/kn4ne/n9A4gD620Osirl&#10;f/bqG1BLAwQUAAAACACHTuJA1Op7vDECAABTBAAADgAAAGRycy9lMm9Eb2MueG1srVTBjtMwEL0j&#10;8Q+W7zRpu61Q1HRVtipCqtiVCuLsOk4TyfZYttukfAD8AScu3Pe7+h2MnaSLFg574OJOZsZv/N7M&#10;dHHbKklOwroadE7Ho5QSoTkUtT7k9POnzZu3lDjPdMEkaJHTs3D0dvn61aIxmZhABbIQliCIdllj&#10;clp5b7IkcbwSirkRGKExWIJVzOOnPSSFZQ2iK5lM0nSeNGALY4EL59C77oK0R7QvAYSyrLlYAz8q&#10;oX2HaoVkHim5qjaOLuNry1Jwf1+WTngic4pMfTyxCNr7cCbLBcsOlpmq5v0T2Eue8IyTYrXGoleo&#10;NfOMHG39F5SquQUHpR9xUElHJCqCLMbpM212FTMickGpnbmK7v4fLP94erCkLnI6pUQzhQ2//Ph+&#10;+fl4+fWNTIM8jXEZZu0M5vn2HbQ4NIPfoTOwbkurwi/yIRhHcc9XcUXrCUfn5Cadz2eUcAxNJjfj&#10;2SygJE+XjXX+vQBFgpFTi72LkrLT1vkudUgJtTRsailj/6QmTU7n01kaL1wjCC411ggUuqcGy7f7&#10;tue1h+KMtCx0c+EM39RYfMucf2AWBwGZ4Kr4ezxKCVgEeouSCuzXf/lDPvYHo5Q0OFg51bhHlMgP&#10;GvsWZnAw7GDsB0Mf1R3gpI5xBQ2PJl6wXg5maUF9wf1ZhRoYYppjpZz6wbzz3XDj/nGxWsUknDTD&#10;/FbvDA/QQTxnVkePAkZdgyidEr1WOGuxM/1ehGH+8ztmPf0X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1yJdIAAAADAQAADwAAAAAAAAABACAAAAAiAAAAZHJzL2Rvd25yZXYueG1sUEsBAhQA&#10;FAAAAAgAh07iQNTqe7wxAgAAUwQAAA4AAAAAAAAAAQAgAAAAIQEAAGRycy9lMm9Eb2MueG1sUEsF&#10;BgAAAAAGAAYAWQEAAMQFAAAAAA==&#10;">
              <v:fill on="f" focussize="0,0"/>
              <v:stroke on="f" weight="0.5pt"/>
              <v:imagedata o:title=""/>
              <o:lock v:ext="edit" aspectratio="f"/>
              <v:textbox inset="0mm,0mm,0mm,0mm" style="mso-fit-shape-to-text:t;">
                <w:txbxContent>
                  <w:p w14:paraId="51DFE09D">
                    <w:pPr>
                      <w:pStyle w:val="2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9B4F4">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D895C"/>
    <w:multiLevelType w:val="singleLevel"/>
    <w:tmpl w:val="8B2D895C"/>
    <w:lvl w:ilvl="0" w:tentative="0">
      <w:start w:val="1"/>
      <w:numFmt w:val="decimal"/>
      <w:suff w:val="nothing"/>
      <w:lvlText w:val="（%1）"/>
      <w:lvlJc w:val="left"/>
    </w:lvl>
  </w:abstractNum>
  <w:abstractNum w:abstractNumId="1">
    <w:nsid w:val="A406DDC0"/>
    <w:multiLevelType w:val="singleLevel"/>
    <w:tmpl w:val="A406DDC0"/>
    <w:lvl w:ilvl="0" w:tentative="0">
      <w:start w:val="12"/>
      <w:numFmt w:val="decimal"/>
      <w:lvlText w:val="%1."/>
      <w:lvlJc w:val="left"/>
      <w:pPr>
        <w:tabs>
          <w:tab w:val="left" w:pos="312"/>
        </w:tabs>
      </w:pPr>
    </w:lvl>
  </w:abstractNum>
  <w:abstractNum w:abstractNumId="2">
    <w:nsid w:val="184BADB6"/>
    <w:multiLevelType w:val="singleLevel"/>
    <w:tmpl w:val="184BADB6"/>
    <w:lvl w:ilvl="0" w:tentative="0">
      <w:start w:val="1"/>
      <w:numFmt w:val="decimal"/>
      <w:suff w:val="space"/>
      <w:lvlText w:val="%1."/>
      <w:lvlJc w:val="left"/>
      <w:rPr>
        <w:rFonts w:hint="default" w:ascii="Times New Roman" w:hAnsi="Times New Roman" w:eastAsia="宋体" w:cs="Times New Roman"/>
        <w:sz w:val="28"/>
        <w:szCs w:val="28"/>
      </w:r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945" w:firstLine="0"/>
      </w:pPr>
      <w:rPr>
        <w:rFonts w:hint="eastAsia" w:ascii="黑体" w:hAnsi="Times New Roman" w:eastAsia="黑体"/>
        <w:b w:val="0"/>
        <w:i w:val="0"/>
        <w:sz w:val="21"/>
      </w:rPr>
    </w:lvl>
    <w:lvl w:ilvl="4" w:tentative="0">
      <w:start w:val="1"/>
      <w:numFmt w:val="decimal"/>
      <w:pStyle w:val="47"/>
      <w:suff w:val="nothing"/>
      <w:lvlText w:val="%1.%2.%3.%4.%5　"/>
      <w:lvlJc w:val="left"/>
      <w:pPr>
        <w:ind w:left="4678"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6AE0673"/>
    <w:multiLevelType w:val="multilevel"/>
    <w:tmpl w:val="56AE0673"/>
    <w:lvl w:ilvl="0" w:tentative="0">
      <w:start w:val="1"/>
      <w:numFmt w:val="none"/>
      <w:suff w:val="nothing"/>
      <w:lvlText w:val="%1"/>
      <w:lvlJc w:val="left"/>
      <w:pPr>
        <w:ind w:left="0" w:firstLine="0"/>
      </w:pPr>
      <w:rPr>
        <w:rFonts w:hint="default" w:ascii="Times New Roman" w:hAnsi="Times New Roman"/>
        <w:b/>
        <w:i w:val="0"/>
        <w:sz w:val="21"/>
      </w:rPr>
    </w:lvl>
    <w:lvl w:ilvl="1" w:tentative="0">
      <w:start w:val="5"/>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180" w:firstLine="0"/>
      </w:pPr>
      <w:rPr>
        <w:rFonts w:hint="eastAsia" w:ascii="黑体" w:hAnsi="Times New Roman" w:eastAsia="黑体" w:cs="Times New Roman"/>
        <w:b w:val="0"/>
        <w:bCs w:val="0"/>
        <w:i w:val="0"/>
        <w:iCs w:val="0"/>
        <w:caps w:val="0"/>
        <w:smallCaps w:val="0"/>
        <w:strike w:val="0"/>
        <w:dstrike w:val="0"/>
        <w:vanish w:val="0"/>
        <w:color w:val="000000"/>
        <w:spacing w:val="0"/>
        <w:w w:val="100"/>
        <w:kern w:val="0"/>
        <w:position w:val="0"/>
        <w:sz w:val="21"/>
        <w:u w:val="none"/>
        <w:shd w:val="clear" w:color="auto" w:fill="auto"/>
        <w:vertAlign w:val="baseline"/>
      </w:rPr>
    </w:lvl>
    <w:lvl w:ilvl="3" w:tentative="0">
      <w:start w:val="1"/>
      <w:numFmt w:val="decimal"/>
      <w:suff w:val="nothing"/>
      <w:lvlText w:val="%4%2.%3.　"/>
      <w:lvlJc w:val="left"/>
      <w:pPr>
        <w:ind w:left="540" w:hanging="540"/>
      </w:pPr>
      <w:rPr>
        <w:rFonts w:hint="eastAsia" w:ascii="黑体" w:hAnsi="Times New Roman" w:eastAsia="黑体"/>
        <w:b w:val="0"/>
        <w:i w:val="0"/>
        <w:sz w:val="21"/>
      </w:rPr>
    </w:lvl>
    <w:lvl w:ilvl="4" w:tentative="0">
      <w:start w:val="1"/>
      <w:numFmt w:val="decimal"/>
      <w:pStyle w:val="46"/>
      <w:suff w:val="nothing"/>
      <w:lvlText w:val="%1%2.%3.%4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CFE0E26"/>
    <w:multiLevelType w:val="multilevel"/>
    <w:tmpl w:val="6CFE0E26"/>
    <w:lvl w:ilvl="0" w:tentative="0">
      <w:start w:val="1"/>
      <w:numFmt w:val="decimal"/>
      <w:pStyle w:val="24"/>
      <w:lvlText w:val="%1."/>
      <w:lvlJc w:val="left"/>
      <w:pPr>
        <w:tabs>
          <w:tab w:val="left" w:pos="720"/>
        </w:tabs>
        <w:ind w:left="720" w:hanging="720"/>
      </w:pPr>
    </w:lvl>
    <w:lvl w:ilvl="1" w:tentative="0">
      <w:start w:val="1"/>
      <w:numFmt w:val="decimal"/>
      <w:pStyle w:val="25"/>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45"/>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5NmRmZDU3OWVkYjk2ZmE0NThjOTA4MDQ2Yjc4OGYifQ=="/>
    <w:docVar w:name="KSO_WPS_MARK_KEY" w:val="875f2eef-1487-4491-831c-9f34a66fbaff"/>
  </w:docVars>
  <w:rsids>
    <w:rsidRoot w:val="00D95C8C"/>
    <w:rsid w:val="000062F5"/>
    <w:rsid w:val="0001420E"/>
    <w:rsid w:val="00017962"/>
    <w:rsid w:val="00025615"/>
    <w:rsid w:val="00025EB0"/>
    <w:rsid w:val="00030467"/>
    <w:rsid w:val="00030657"/>
    <w:rsid w:val="000408B8"/>
    <w:rsid w:val="0006387B"/>
    <w:rsid w:val="00065BF7"/>
    <w:rsid w:val="00074DAE"/>
    <w:rsid w:val="000908BA"/>
    <w:rsid w:val="00093185"/>
    <w:rsid w:val="000B06DA"/>
    <w:rsid w:val="000B0D87"/>
    <w:rsid w:val="000B32D3"/>
    <w:rsid w:val="000C7AC7"/>
    <w:rsid w:val="000D2381"/>
    <w:rsid w:val="000E1BA3"/>
    <w:rsid w:val="000E525D"/>
    <w:rsid w:val="000E6C8C"/>
    <w:rsid w:val="000F630E"/>
    <w:rsid w:val="0010496E"/>
    <w:rsid w:val="001117AE"/>
    <w:rsid w:val="001143A1"/>
    <w:rsid w:val="001148DE"/>
    <w:rsid w:val="00116C66"/>
    <w:rsid w:val="00132B89"/>
    <w:rsid w:val="001404D8"/>
    <w:rsid w:val="0014596C"/>
    <w:rsid w:val="001514C8"/>
    <w:rsid w:val="0015257F"/>
    <w:rsid w:val="001610D6"/>
    <w:rsid w:val="00162092"/>
    <w:rsid w:val="00165548"/>
    <w:rsid w:val="00174DB1"/>
    <w:rsid w:val="00185E3C"/>
    <w:rsid w:val="001A2216"/>
    <w:rsid w:val="001C6BFB"/>
    <w:rsid w:val="001D08D3"/>
    <w:rsid w:val="001F0558"/>
    <w:rsid w:val="00201DE0"/>
    <w:rsid w:val="00202126"/>
    <w:rsid w:val="002024DF"/>
    <w:rsid w:val="00205E52"/>
    <w:rsid w:val="002141D2"/>
    <w:rsid w:val="00223A7E"/>
    <w:rsid w:val="00227860"/>
    <w:rsid w:val="00227E6F"/>
    <w:rsid w:val="00232C9D"/>
    <w:rsid w:val="00234F6C"/>
    <w:rsid w:val="002410C0"/>
    <w:rsid w:val="00245640"/>
    <w:rsid w:val="002509F6"/>
    <w:rsid w:val="00273640"/>
    <w:rsid w:val="00275E65"/>
    <w:rsid w:val="00277AD6"/>
    <w:rsid w:val="00282B41"/>
    <w:rsid w:val="00285ADF"/>
    <w:rsid w:val="002965A0"/>
    <w:rsid w:val="00296B58"/>
    <w:rsid w:val="002A56B6"/>
    <w:rsid w:val="002C32B4"/>
    <w:rsid w:val="002C3F53"/>
    <w:rsid w:val="002C758D"/>
    <w:rsid w:val="002E1F8D"/>
    <w:rsid w:val="002E1FB8"/>
    <w:rsid w:val="002E4D27"/>
    <w:rsid w:val="002F5EC9"/>
    <w:rsid w:val="002F6C0F"/>
    <w:rsid w:val="002F7CB0"/>
    <w:rsid w:val="003149A7"/>
    <w:rsid w:val="00321E94"/>
    <w:rsid w:val="0032595D"/>
    <w:rsid w:val="00333A66"/>
    <w:rsid w:val="003343F9"/>
    <w:rsid w:val="003451D8"/>
    <w:rsid w:val="003468BF"/>
    <w:rsid w:val="00347F5E"/>
    <w:rsid w:val="00355475"/>
    <w:rsid w:val="00360945"/>
    <w:rsid w:val="003627BA"/>
    <w:rsid w:val="00381AD6"/>
    <w:rsid w:val="00383F4D"/>
    <w:rsid w:val="003A0530"/>
    <w:rsid w:val="003B3B09"/>
    <w:rsid w:val="003B3C8A"/>
    <w:rsid w:val="003B7927"/>
    <w:rsid w:val="003C7C1B"/>
    <w:rsid w:val="003F2578"/>
    <w:rsid w:val="003F4B7D"/>
    <w:rsid w:val="003F5456"/>
    <w:rsid w:val="00400B95"/>
    <w:rsid w:val="0042241E"/>
    <w:rsid w:val="0042380E"/>
    <w:rsid w:val="004350B9"/>
    <w:rsid w:val="00447548"/>
    <w:rsid w:val="00454CB7"/>
    <w:rsid w:val="00461A71"/>
    <w:rsid w:val="004727A3"/>
    <w:rsid w:val="004861B4"/>
    <w:rsid w:val="004973D6"/>
    <w:rsid w:val="004B5216"/>
    <w:rsid w:val="004C0D03"/>
    <w:rsid w:val="004C30E2"/>
    <w:rsid w:val="004E26E6"/>
    <w:rsid w:val="004E4049"/>
    <w:rsid w:val="004E5C10"/>
    <w:rsid w:val="00501588"/>
    <w:rsid w:val="00503D1F"/>
    <w:rsid w:val="005138FE"/>
    <w:rsid w:val="005353D3"/>
    <w:rsid w:val="005448E0"/>
    <w:rsid w:val="00567277"/>
    <w:rsid w:val="005732F7"/>
    <w:rsid w:val="00577274"/>
    <w:rsid w:val="005955AE"/>
    <w:rsid w:val="005B0D2C"/>
    <w:rsid w:val="005C367F"/>
    <w:rsid w:val="005C693B"/>
    <w:rsid w:val="005D26F9"/>
    <w:rsid w:val="005D618E"/>
    <w:rsid w:val="005D6A24"/>
    <w:rsid w:val="006001D3"/>
    <w:rsid w:val="00611570"/>
    <w:rsid w:val="00611C01"/>
    <w:rsid w:val="0061597D"/>
    <w:rsid w:val="006214A5"/>
    <w:rsid w:val="00625884"/>
    <w:rsid w:val="00634E5A"/>
    <w:rsid w:val="00641338"/>
    <w:rsid w:val="00646862"/>
    <w:rsid w:val="00652093"/>
    <w:rsid w:val="00667304"/>
    <w:rsid w:val="00686441"/>
    <w:rsid w:val="006B0E34"/>
    <w:rsid w:val="006B31B0"/>
    <w:rsid w:val="006C6FB1"/>
    <w:rsid w:val="006E2082"/>
    <w:rsid w:val="006F7B27"/>
    <w:rsid w:val="00701EB7"/>
    <w:rsid w:val="0070360A"/>
    <w:rsid w:val="00707CB1"/>
    <w:rsid w:val="00714494"/>
    <w:rsid w:val="00716198"/>
    <w:rsid w:val="00717FE9"/>
    <w:rsid w:val="007200CD"/>
    <w:rsid w:val="007257AA"/>
    <w:rsid w:val="0073360E"/>
    <w:rsid w:val="00741866"/>
    <w:rsid w:val="007471E8"/>
    <w:rsid w:val="007578AB"/>
    <w:rsid w:val="00761AB5"/>
    <w:rsid w:val="0076666E"/>
    <w:rsid w:val="007833C9"/>
    <w:rsid w:val="007B798B"/>
    <w:rsid w:val="007C45CD"/>
    <w:rsid w:val="007E1288"/>
    <w:rsid w:val="007E1ADF"/>
    <w:rsid w:val="007E6FEC"/>
    <w:rsid w:val="007F2F21"/>
    <w:rsid w:val="007F6F00"/>
    <w:rsid w:val="00803E95"/>
    <w:rsid w:val="00811F43"/>
    <w:rsid w:val="0082073C"/>
    <w:rsid w:val="0082310A"/>
    <w:rsid w:val="008322C0"/>
    <w:rsid w:val="0083288B"/>
    <w:rsid w:val="008425D5"/>
    <w:rsid w:val="008447FA"/>
    <w:rsid w:val="00850C70"/>
    <w:rsid w:val="0085287F"/>
    <w:rsid w:val="008528F3"/>
    <w:rsid w:val="008674C9"/>
    <w:rsid w:val="008678D5"/>
    <w:rsid w:val="00874184"/>
    <w:rsid w:val="0087502F"/>
    <w:rsid w:val="00882AC6"/>
    <w:rsid w:val="00897D8B"/>
    <w:rsid w:val="008A0921"/>
    <w:rsid w:val="008A0BEB"/>
    <w:rsid w:val="008D251A"/>
    <w:rsid w:val="008D6C31"/>
    <w:rsid w:val="008E7488"/>
    <w:rsid w:val="008E753E"/>
    <w:rsid w:val="008F1228"/>
    <w:rsid w:val="008F5BBC"/>
    <w:rsid w:val="00906CFA"/>
    <w:rsid w:val="00910B79"/>
    <w:rsid w:val="00912C3B"/>
    <w:rsid w:val="009167C8"/>
    <w:rsid w:val="009367B2"/>
    <w:rsid w:val="00936A7B"/>
    <w:rsid w:val="0094662E"/>
    <w:rsid w:val="0095492A"/>
    <w:rsid w:val="00954BFD"/>
    <w:rsid w:val="00961761"/>
    <w:rsid w:val="009677D2"/>
    <w:rsid w:val="0097306C"/>
    <w:rsid w:val="00973DD7"/>
    <w:rsid w:val="009A1FD7"/>
    <w:rsid w:val="009A234A"/>
    <w:rsid w:val="009B4654"/>
    <w:rsid w:val="009C73E8"/>
    <w:rsid w:val="009D0B85"/>
    <w:rsid w:val="009D59E3"/>
    <w:rsid w:val="009F2B62"/>
    <w:rsid w:val="009F2CD9"/>
    <w:rsid w:val="00A03377"/>
    <w:rsid w:val="00A07AC7"/>
    <w:rsid w:val="00A1470C"/>
    <w:rsid w:val="00A16F53"/>
    <w:rsid w:val="00A21E14"/>
    <w:rsid w:val="00A26313"/>
    <w:rsid w:val="00A3170C"/>
    <w:rsid w:val="00A34371"/>
    <w:rsid w:val="00A356ED"/>
    <w:rsid w:val="00A37DF4"/>
    <w:rsid w:val="00A404D7"/>
    <w:rsid w:val="00A4065F"/>
    <w:rsid w:val="00A40D55"/>
    <w:rsid w:val="00A4690E"/>
    <w:rsid w:val="00A7310B"/>
    <w:rsid w:val="00A75EA0"/>
    <w:rsid w:val="00A76E71"/>
    <w:rsid w:val="00A81386"/>
    <w:rsid w:val="00A840E6"/>
    <w:rsid w:val="00A9017B"/>
    <w:rsid w:val="00A92B73"/>
    <w:rsid w:val="00AC4CD0"/>
    <w:rsid w:val="00AF1F46"/>
    <w:rsid w:val="00AF21E0"/>
    <w:rsid w:val="00AF31E2"/>
    <w:rsid w:val="00AF3C9D"/>
    <w:rsid w:val="00B04A44"/>
    <w:rsid w:val="00B10BF9"/>
    <w:rsid w:val="00B166A3"/>
    <w:rsid w:val="00B17734"/>
    <w:rsid w:val="00B17EEC"/>
    <w:rsid w:val="00B317A8"/>
    <w:rsid w:val="00B42324"/>
    <w:rsid w:val="00B4735B"/>
    <w:rsid w:val="00B60F6E"/>
    <w:rsid w:val="00B65533"/>
    <w:rsid w:val="00B80A5D"/>
    <w:rsid w:val="00B831B1"/>
    <w:rsid w:val="00B84862"/>
    <w:rsid w:val="00B901F1"/>
    <w:rsid w:val="00B969D0"/>
    <w:rsid w:val="00B97807"/>
    <w:rsid w:val="00BA15E7"/>
    <w:rsid w:val="00BA3569"/>
    <w:rsid w:val="00BA356F"/>
    <w:rsid w:val="00BB7809"/>
    <w:rsid w:val="00BC65C6"/>
    <w:rsid w:val="00BE1853"/>
    <w:rsid w:val="00BF708E"/>
    <w:rsid w:val="00C22148"/>
    <w:rsid w:val="00C44C52"/>
    <w:rsid w:val="00C46A73"/>
    <w:rsid w:val="00C70E5C"/>
    <w:rsid w:val="00C94290"/>
    <w:rsid w:val="00C96950"/>
    <w:rsid w:val="00CA1F45"/>
    <w:rsid w:val="00CA4754"/>
    <w:rsid w:val="00CB7E85"/>
    <w:rsid w:val="00CC28E3"/>
    <w:rsid w:val="00CC6C34"/>
    <w:rsid w:val="00CC72B2"/>
    <w:rsid w:val="00CD1A69"/>
    <w:rsid w:val="00CE50F7"/>
    <w:rsid w:val="00CE55F4"/>
    <w:rsid w:val="00CF5054"/>
    <w:rsid w:val="00D0116E"/>
    <w:rsid w:val="00D05444"/>
    <w:rsid w:val="00D15B2F"/>
    <w:rsid w:val="00D238A6"/>
    <w:rsid w:val="00D26405"/>
    <w:rsid w:val="00D34276"/>
    <w:rsid w:val="00D35C94"/>
    <w:rsid w:val="00D45A82"/>
    <w:rsid w:val="00D5350A"/>
    <w:rsid w:val="00D55640"/>
    <w:rsid w:val="00D60EBC"/>
    <w:rsid w:val="00D800EF"/>
    <w:rsid w:val="00D8240F"/>
    <w:rsid w:val="00D9201B"/>
    <w:rsid w:val="00D95C8C"/>
    <w:rsid w:val="00DA51AE"/>
    <w:rsid w:val="00DA5261"/>
    <w:rsid w:val="00DB2E65"/>
    <w:rsid w:val="00DB6B2B"/>
    <w:rsid w:val="00DC09F1"/>
    <w:rsid w:val="00DD02A3"/>
    <w:rsid w:val="00DE07EA"/>
    <w:rsid w:val="00DF1AC2"/>
    <w:rsid w:val="00DF368A"/>
    <w:rsid w:val="00E202B5"/>
    <w:rsid w:val="00E24DE8"/>
    <w:rsid w:val="00E27175"/>
    <w:rsid w:val="00E30FFD"/>
    <w:rsid w:val="00E40240"/>
    <w:rsid w:val="00E42506"/>
    <w:rsid w:val="00E55449"/>
    <w:rsid w:val="00E659A0"/>
    <w:rsid w:val="00E91999"/>
    <w:rsid w:val="00E91CD5"/>
    <w:rsid w:val="00E96022"/>
    <w:rsid w:val="00EA49BE"/>
    <w:rsid w:val="00EA4BBC"/>
    <w:rsid w:val="00EA6159"/>
    <w:rsid w:val="00EC10D0"/>
    <w:rsid w:val="00EC37E4"/>
    <w:rsid w:val="00ED5986"/>
    <w:rsid w:val="00EE14F7"/>
    <w:rsid w:val="00EF6959"/>
    <w:rsid w:val="00EF730D"/>
    <w:rsid w:val="00F02C95"/>
    <w:rsid w:val="00F15B04"/>
    <w:rsid w:val="00F24F59"/>
    <w:rsid w:val="00F25742"/>
    <w:rsid w:val="00F37298"/>
    <w:rsid w:val="00F54A8C"/>
    <w:rsid w:val="00F855E2"/>
    <w:rsid w:val="00F9239C"/>
    <w:rsid w:val="00FA2D33"/>
    <w:rsid w:val="00FA537A"/>
    <w:rsid w:val="00FC143F"/>
    <w:rsid w:val="00FC266D"/>
    <w:rsid w:val="00FC50C8"/>
    <w:rsid w:val="00FC7995"/>
    <w:rsid w:val="00FD08CB"/>
    <w:rsid w:val="00FE69C4"/>
    <w:rsid w:val="00FF0A77"/>
    <w:rsid w:val="00FF1317"/>
    <w:rsid w:val="00FF6533"/>
    <w:rsid w:val="00FF7D9A"/>
    <w:rsid w:val="01136AF5"/>
    <w:rsid w:val="01555429"/>
    <w:rsid w:val="019E5819"/>
    <w:rsid w:val="01DE737D"/>
    <w:rsid w:val="021D762E"/>
    <w:rsid w:val="022259B6"/>
    <w:rsid w:val="02452746"/>
    <w:rsid w:val="031713E0"/>
    <w:rsid w:val="03271B39"/>
    <w:rsid w:val="03B50F2A"/>
    <w:rsid w:val="03F82FC0"/>
    <w:rsid w:val="04372AD0"/>
    <w:rsid w:val="049423A0"/>
    <w:rsid w:val="05526700"/>
    <w:rsid w:val="05760640"/>
    <w:rsid w:val="05EF315A"/>
    <w:rsid w:val="065979E4"/>
    <w:rsid w:val="06A51BAF"/>
    <w:rsid w:val="06DC6245"/>
    <w:rsid w:val="0700686E"/>
    <w:rsid w:val="073C7629"/>
    <w:rsid w:val="07485B32"/>
    <w:rsid w:val="07B5507C"/>
    <w:rsid w:val="07C538DE"/>
    <w:rsid w:val="07CA33BB"/>
    <w:rsid w:val="07DD3FB9"/>
    <w:rsid w:val="07EA2C20"/>
    <w:rsid w:val="081B5EC5"/>
    <w:rsid w:val="084E6701"/>
    <w:rsid w:val="085E74C8"/>
    <w:rsid w:val="08A35BB6"/>
    <w:rsid w:val="08D35DAA"/>
    <w:rsid w:val="09A73D3F"/>
    <w:rsid w:val="09CD6A86"/>
    <w:rsid w:val="09DE1F31"/>
    <w:rsid w:val="09E75E4D"/>
    <w:rsid w:val="0A613E28"/>
    <w:rsid w:val="0A66084B"/>
    <w:rsid w:val="0A876E4C"/>
    <w:rsid w:val="0AD75C8C"/>
    <w:rsid w:val="0AE204E5"/>
    <w:rsid w:val="0B2840D1"/>
    <w:rsid w:val="0B6632D2"/>
    <w:rsid w:val="0B8C55A8"/>
    <w:rsid w:val="0B903ADE"/>
    <w:rsid w:val="0B9E444D"/>
    <w:rsid w:val="0C082910"/>
    <w:rsid w:val="0C66524E"/>
    <w:rsid w:val="0C786429"/>
    <w:rsid w:val="0CC22B0E"/>
    <w:rsid w:val="0CEE7AA8"/>
    <w:rsid w:val="0CF467AA"/>
    <w:rsid w:val="0D1263DB"/>
    <w:rsid w:val="0D2B1847"/>
    <w:rsid w:val="0D3A6FC7"/>
    <w:rsid w:val="0D4157EC"/>
    <w:rsid w:val="0D700F62"/>
    <w:rsid w:val="0D7662F1"/>
    <w:rsid w:val="0DAB4271"/>
    <w:rsid w:val="0DE86A12"/>
    <w:rsid w:val="0E0A0E61"/>
    <w:rsid w:val="0E0A2F51"/>
    <w:rsid w:val="0E686875"/>
    <w:rsid w:val="0E687B8C"/>
    <w:rsid w:val="0E737505"/>
    <w:rsid w:val="0EA53D44"/>
    <w:rsid w:val="0EA77ABC"/>
    <w:rsid w:val="0ED14F7C"/>
    <w:rsid w:val="0ED51652"/>
    <w:rsid w:val="0EE47723"/>
    <w:rsid w:val="0F0B4840"/>
    <w:rsid w:val="0F142552"/>
    <w:rsid w:val="0F274759"/>
    <w:rsid w:val="0F7F043E"/>
    <w:rsid w:val="0F832B02"/>
    <w:rsid w:val="0F90647E"/>
    <w:rsid w:val="0FAA73A1"/>
    <w:rsid w:val="0FAC2A5E"/>
    <w:rsid w:val="0FB144B0"/>
    <w:rsid w:val="0FB921AC"/>
    <w:rsid w:val="0FDB69B3"/>
    <w:rsid w:val="0FE20D9A"/>
    <w:rsid w:val="0FE8038D"/>
    <w:rsid w:val="0FF00819"/>
    <w:rsid w:val="10040A7B"/>
    <w:rsid w:val="10185485"/>
    <w:rsid w:val="10243A68"/>
    <w:rsid w:val="10392996"/>
    <w:rsid w:val="104242EA"/>
    <w:rsid w:val="111366E5"/>
    <w:rsid w:val="11673ECD"/>
    <w:rsid w:val="11A53555"/>
    <w:rsid w:val="11B60016"/>
    <w:rsid w:val="11C42733"/>
    <w:rsid w:val="12073BE1"/>
    <w:rsid w:val="120C7C36"/>
    <w:rsid w:val="127D3062"/>
    <w:rsid w:val="12C8074C"/>
    <w:rsid w:val="12D544CC"/>
    <w:rsid w:val="12FE23E1"/>
    <w:rsid w:val="136F2140"/>
    <w:rsid w:val="13824654"/>
    <w:rsid w:val="13A9398F"/>
    <w:rsid w:val="13C418C0"/>
    <w:rsid w:val="13EE1CEA"/>
    <w:rsid w:val="13EE2FBC"/>
    <w:rsid w:val="14101C60"/>
    <w:rsid w:val="143C2A55"/>
    <w:rsid w:val="144933C4"/>
    <w:rsid w:val="1459094D"/>
    <w:rsid w:val="14667AD2"/>
    <w:rsid w:val="14EF1875"/>
    <w:rsid w:val="14F003FB"/>
    <w:rsid w:val="15197E32"/>
    <w:rsid w:val="153F780F"/>
    <w:rsid w:val="15453B8B"/>
    <w:rsid w:val="154A3E17"/>
    <w:rsid w:val="157E07A6"/>
    <w:rsid w:val="15834F16"/>
    <w:rsid w:val="15B12AD8"/>
    <w:rsid w:val="15BA6DCF"/>
    <w:rsid w:val="16056832"/>
    <w:rsid w:val="16062333"/>
    <w:rsid w:val="16286644"/>
    <w:rsid w:val="166A3504"/>
    <w:rsid w:val="16C86822"/>
    <w:rsid w:val="17521BA3"/>
    <w:rsid w:val="17E073B4"/>
    <w:rsid w:val="180A5761"/>
    <w:rsid w:val="183944D5"/>
    <w:rsid w:val="18FE29CF"/>
    <w:rsid w:val="190E6499"/>
    <w:rsid w:val="1943580D"/>
    <w:rsid w:val="19542027"/>
    <w:rsid w:val="198C7FDB"/>
    <w:rsid w:val="19C060B2"/>
    <w:rsid w:val="19DF75AB"/>
    <w:rsid w:val="19F46965"/>
    <w:rsid w:val="1A18361C"/>
    <w:rsid w:val="1A310200"/>
    <w:rsid w:val="1A383CBF"/>
    <w:rsid w:val="1AE45BF4"/>
    <w:rsid w:val="1AED6E60"/>
    <w:rsid w:val="1B171B26"/>
    <w:rsid w:val="1BBD610A"/>
    <w:rsid w:val="1C093966"/>
    <w:rsid w:val="1C0D16D3"/>
    <w:rsid w:val="1C3D736A"/>
    <w:rsid w:val="1C532C80"/>
    <w:rsid w:val="1D02428A"/>
    <w:rsid w:val="1D8D3097"/>
    <w:rsid w:val="1D9C4564"/>
    <w:rsid w:val="1DE40220"/>
    <w:rsid w:val="1E066835"/>
    <w:rsid w:val="1E0E385B"/>
    <w:rsid w:val="1E1205D6"/>
    <w:rsid w:val="1F301408"/>
    <w:rsid w:val="1F5012AB"/>
    <w:rsid w:val="1FB7332E"/>
    <w:rsid w:val="1FC02BB1"/>
    <w:rsid w:val="20052895"/>
    <w:rsid w:val="201610AA"/>
    <w:rsid w:val="201B22C9"/>
    <w:rsid w:val="202A22FB"/>
    <w:rsid w:val="2038262B"/>
    <w:rsid w:val="20643AE9"/>
    <w:rsid w:val="20C938C2"/>
    <w:rsid w:val="210355AB"/>
    <w:rsid w:val="216435EB"/>
    <w:rsid w:val="2177331E"/>
    <w:rsid w:val="21F20BE0"/>
    <w:rsid w:val="224156DA"/>
    <w:rsid w:val="227A59FF"/>
    <w:rsid w:val="229A006E"/>
    <w:rsid w:val="23171A29"/>
    <w:rsid w:val="231E43A1"/>
    <w:rsid w:val="23421220"/>
    <w:rsid w:val="23811411"/>
    <w:rsid w:val="23914FEB"/>
    <w:rsid w:val="242C558A"/>
    <w:rsid w:val="244B42AB"/>
    <w:rsid w:val="246B6A3F"/>
    <w:rsid w:val="246F263F"/>
    <w:rsid w:val="247C67B6"/>
    <w:rsid w:val="248C76AC"/>
    <w:rsid w:val="248F3554"/>
    <w:rsid w:val="2495498D"/>
    <w:rsid w:val="251610A0"/>
    <w:rsid w:val="2527505B"/>
    <w:rsid w:val="25777D5C"/>
    <w:rsid w:val="25C95979"/>
    <w:rsid w:val="26137AED"/>
    <w:rsid w:val="26195EDD"/>
    <w:rsid w:val="2669187D"/>
    <w:rsid w:val="26761366"/>
    <w:rsid w:val="26B45526"/>
    <w:rsid w:val="27271343"/>
    <w:rsid w:val="275D6B12"/>
    <w:rsid w:val="27C93467"/>
    <w:rsid w:val="2809096D"/>
    <w:rsid w:val="280926D2"/>
    <w:rsid w:val="28133675"/>
    <w:rsid w:val="28411CD4"/>
    <w:rsid w:val="286640ED"/>
    <w:rsid w:val="287E166C"/>
    <w:rsid w:val="2916341D"/>
    <w:rsid w:val="297269F0"/>
    <w:rsid w:val="297445E7"/>
    <w:rsid w:val="299474BD"/>
    <w:rsid w:val="299953A9"/>
    <w:rsid w:val="29F51284"/>
    <w:rsid w:val="2A094D30"/>
    <w:rsid w:val="2A4C715E"/>
    <w:rsid w:val="2A694DAC"/>
    <w:rsid w:val="2A7C5D91"/>
    <w:rsid w:val="2A935FCD"/>
    <w:rsid w:val="2AA82D11"/>
    <w:rsid w:val="2AD306B9"/>
    <w:rsid w:val="2B9C7791"/>
    <w:rsid w:val="2BA056F7"/>
    <w:rsid w:val="2BC77238"/>
    <w:rsid w:val="2BD548A4"/>
    <w:rsid w:val="2BD57052"/>
    <w:rsid w:val="2BD824FE"/>
    <w:rsid w:val="2BE735AD"/>
    <w:rsid w:val="2BF3090A"/>
    <w:rsid w:val="2C175172"/>
    <w:rsid w:val="2C1D42B4"/>
    <w:rsid w:val="2C3F29E4"/>
    <w:rsid w:val="2C6D33C2"/>
    <w:rsid w:val="2C793021"/>
    <w:rsid w:val="2CC80940"/>
    <w:rsid w:val="2D2411D9"/>
    <w:rsid w:val="2D3C0473"/>
    <w:rsid w:val="2D405FB1"/>
    <w:rsid w:val="2D7746A6"/>
    <w:rsid w:val="2DF228BA"/>
    <w:rsid w:val="2DFB4BC8"/>
    <w:rsid w:val="2E275F8E"/>
    <w:rsid w:val="2E316D01"/>
    <w:rsid w:val="2E344345"/>
    <w:rsid w:val="2EA83227"/>
    <w:rsid w:val="2F6173BC"/>
    <w:rsid w:val="2F7E3ACA"/>
    <w:rsid w:val="2FC811E9"/>
    <w:rsid w:val="301D7787"/>
    <w:rsid w:val="303C47E2"/>
    <w:rsid w:val="30517430"/>
    <w:rsid w:val="3076772A"/>
    <w:rsid w:val="31C11945"/>
    <w:rsid w:val="329F4483"/>
    <w:rsid w:val="331A61FF"/>
    <w:rsid w:val="332A507B"/>
    <w:rsid w:val="333D7AB8"/>
    <w:rsid w:val="33A013C3"/>
    <w:rsid w:val="340F01AB"/>
    <w:rsid w:val="34825E0A"/>
    <w:rsid w:val="34DB04C3"/>
    <w:rsid w:val="34DD6030"/>
    <w:rsid w:val="34FA0097"/>
    <w:rsid w:val="35113190"/>
    <w:rsid w:val="3538296D"/>
    <w:rsid w:val="35700D5E"/>
    <w:rsid w:val="35F25212"/>
    <w:rsid w:val="35F42162"/>
    <w:rsid w:val="3678644A"/>
    <w:rsid w:val="3684230E"/>
    <w:rsid w:val="369A5FB6"/>
    <w:rsid w:val="36EC3A0F"/>
    <w:rsid w:val="3704695C"/>
    <w:rsid w:val="370A77B2"/>
    <w:rsid w:val="376656CD"/>
    <w:rsid w:val="37ED3E3C"/>
    <w:rsid w:val="382F44FB"/>
    <w:rsid w:val="3844395C"/>
    <w:rsid w:val="385F7BAD"/>
    <w:rsid w:val="38E12382"/>
    <w:rsid w:val="393D57CF"/>
    <w:rsid w:val="397164BF"/>
    <w:rsid w:val="39C26CA9"/>
    <w:rsid w:val="39CD7B28"/>
    <w:rsid w:val="3A1E09DB"/>
    <w:rsid w:val="3A4F795A"/>
    <w:rsid w:val="3A6675DC"/>
    <w:rsid w:val="3A741D7A"/>
    <w:rsid w:val="3AC10FC5"/>
    <w:rsid w:val="3ACF6C7C"/>
    <w:rsid w:val="3AEF1521"/>
    <w:rsid w:val="3B1F5D8D"/>
    <w:rsid w:val="3B237289"/>
    <w:rsid w:val="3B506AE3"/>
    <w:rsid w:val="3BB943D1"/>
    <w:rsid w:val="3C87272A"/>
    <w:rsid w:val="3D070DF4"/>
    <w:rsid w:val="3D516CC2"/>
    <w:rsid w:val="3D785FFC"/>
    <w:rsid w:val="3D880EF9"/>
    <w:rsid w:val="3D9702A8"/>
    <w:rsid w:val="3DAA399A"/>
    <w:rsid w:val="3DBB6166"/>
    <w:rsid w:val="3DD00D25"/>
    <w:rsid w:val="3DD143EF"/>
    <w:rsid w:val="3DE511B8"/>
    <w:rsid w:val="3E4279E2"/>
    <w:rsid w:val="3E4800C5"/>
    <w:rsid w:val="3E830672"/>
    <w:rsid w:val="3EA6551D"/>
    <w:rsid w:val="3EC25E8C"/>
    <w:rsid w:val="3ED623ED"/>
    <w:rsid w:val="3EE8492E"/>
    <w:rsid w:val="3F3D74FE"/>
    <w:rsid w:val="3FA4757D"/>
    <w:rsid w:val="3FEB5061"/>
    <w:rsid w:val="3FFA3E6B"/>
    <w:rsid w:val="40073668"/>
    <w:rsid w:val="403141E1"/>
    <w:rsid w:val="40317B1D"/>
    <w:rsid w:val="407B1336"/>
    <w:rsid w:val="40C60C78"/>
    <w:rsid w:val="41006A35"/>
    <w:rsid w:val="41742110"/>
    <w:rsid w:val="41AE59AA"/>
    <w:rsid w:val="42402D59"/>
    <w:rsid w:val="42550211"/>
    <w:rsid w:val="426468C0"/>
    <w:rsid w:val="42923270"/>
    <w:rsid w:val="42D32917"/>
    <w:rsid w:val="42FC0BA8"/>
    <w:rsid w:val="430A2715"/>
    <w:rsid w:val="430E6A46"/>
    <w:rsid w:val="432C7529"/>
    <w:rsid w:val="437C1635"/>
    <w:rsid w:val="43E443EC"/>
    <w:rsid w:val="43FB35CB"/>
    <w:rsid w:val="446C0F1F"/>
    <w:rsid w:val="44A65B45"/>
    <w:rsid w:val="45143770"/>
    <w:rsid w:val="456A7F2C"/>
    <w:rsid w:val="457A50C7"/>
    <w:rsid w:val="45A40ED8"/>
    <w:rsid w:val="45A961AB"/>
    <w:rsid w:val="461C402C"/>
    <w:rsid w:val="46254F20"/>
    <w:rsid w:val="463B05D7"/>
    <w:rsid w:val="463E1748"/>
    <w:rsid w:val="4651388E"/>
    <w:rsid w:val="46A460B4"/>
    <w:rsid w:val="46E9005F"/>
    <w:rsid w:val="47013773"/>
    <w:rsid w:val="473138EC"/>
    <w:rsid w:val="477E4B57"/>
    <w:rsid w:val="47AF0D9E"/>
    <w:rsid w:val="47D23DB4"/>
    <w:rsid w:val="47F7213D"/>
    <w:rsid w:val="48192341"/>
    <w:rsid w:val="481E3C44"/>
    <w:rsid w:val="483F250B"/>
    <w:rsid w:val="48563C44"/>
    <w:rsid w:val="486A443E"/>
    <w:rsid w:val="48831CF9"/>
    <w:rsid w:val="489C4477"/>
    <w:rsid w:val="48D10415"/>
    <w:rsid w:val="48E1326C"/>
    <w:rsid w:val="49216B7F"/>
    <w:rsid w:val="49C82A8E"/>
    <w:rsid w:val="49D762DA"/>
    <w:rsid w:val="49E35EEB"/>
    <w:rsid w:val="4A0F5F3A"/>
    <w:rsid w:val="4A151CCD"/>
    <w:rsid w:val="4A1B6221"/>
    <w:rsid w:val="4A835FE1"/>
    <w:rsid w:val="4AAC3789"/>
    <w:rsid w:val="4B087628"/>
    <w:rsid w:val="4B177539"/>
    <w:rsid w:val="4B2F6D4F"/>
    <w:rsid w:val="4B645C12"/>
    <w:rsid w:val="4BA23901"/>
    <w:rsid w:val="4BB171F6"/>
    <w:rsid w:val="4BCF3A93"/>
    <w:rsid w:val="4C061D05"/>
    <w:rsid w:val="4C4203FA"/>
    <w:rsid w:val="4C6205A3"/>
    <w:rsid w:val="4C965D6E"/>
    <w:rsid w:val="4CB448D5"/>
    <w:rsid w:val="4CBF00E9"/>
    <w:rsid w:val="4D035D18"/>
    <w:rsid w:val="4D6245D3"/>
    <w:rsid w:val="4D6F1FBB"/>
    <w:rsid w:val="4D7D19FF"/>
    <w:rsid w:val="4DA37782"/>
    <w:rsid w:val="4DB03590"/>
    <w:rsid w:val="4DE030ED"/>
    <w:rsid w:val="4E216C44"/>
    <w:rsid w:val="4E3C7D95"/>
    <w:rsid w:val="4E943633"/>
    <w:rsid w:val="4EA07161"/>
    <w:rsid w:val="4EB16272"/>
    <w:rsid w:val="4F1155E0"/>
    <w:rsid w:val="4F29445C"/>
    <w:rsid w:val="4F471CD3"/>
    <w:rsid w:val="4F697E9B"/>
    <w:rsid w:val="4FAE511A"/>
    <w:rsid w:val="4FF57B40"/>
    <w:rsid w:val="5053516E"/>
    <w:rsid w:val="50707B75"/>
    <w:rsid w:val="507400F6"/>
    <w:rsid w:val="50A757B4"/>
    <w:rsid w:val="50B63707"/>
    <w:rsid w:val="50D15566"/>
    <w:rsid w:val="51072F54"/>
    <w:rsid w:val="510F5940"/>
    <w:rsid w:val="51761B1C"/>
    <w:rsid w:val="51955126"/>
    <w:rsid w:val="51C96F3E"/>
    <w:rsid w:val="51DB3A73"/>
    <w:rsid w:val="524B648E"/>
    <w:rsid w:val="524E56CE"/>
    <w:rsid w:val="529B5EA6"/>
    <w:rsid w:val="52C65FA4"/>
    <w:rsid w:val="52D67E53"/>
    <w:rsid w:val="52E15F9A"/>
    <w:rsid w:val="532D1096"/>
    <w:rsid w:val="53430609"/>
    <w:rsid w:val="53465B4F"/>
    <w:rsid w:val="53631404"/>
    <w:rsid w:val="53675DB5"/>
    <w:rsid w:val="53961319"/>
    <w:rsid w:val="53D94F3D"/>
    <w:rsid w:val="53DB7F70"/>
    <w:rsid w:val="54841B20"/>
    <w:rsid w:val="54992A2E"/>
    <w:rsid w:val="54A3079E"/>
    <w:rsid w:val="54AF45A2"/>
    <w:rsid w:val="550266F2"/>
    <w:rsid w:val="555022BB"/>
    <w:rsid w:val="55875B07"/>
    <w:rsid w:val="55A66903"/>
    <w:rsid w:val="56187F25"/>
    <w:rsid w:val="56567D8D"/>
    <w:rsid w:val="566028EE"/>
    <w:rsid w:val="56AF7B24"/>
    <w:rsid w:val="56D021FE"/>
    <w:rsid w:val="56E277B9"/>
    <w:rsid w:val="56EF4FC8"/>
    <w:rsid w:val="571C3A45"/>
    <w:rsid w:val="57226632"/>
    <w:rsid w:val="57515603"/>
    <w:rsid w:val="576318FE"/>
    <w:rsid w:val="576B5698"/>
    <w:rsid w:val="576C677A"/>
    <w:rsid w:val="579077DB"/>
    <w:rsid w:val="57D66E92"/>
    <w:rsid w:val="5817206E"/>
    <w:rsid w:val="583F3A1F"/>
    <w:rsid w:val="58652219"/>
    <w:rsid w:val="58BD4DB3"/>
    <w:rsid w:val="593502DC"/>
    <w:rsid w:val="5940031E"/>
    <w:rsid w:val="59945B14"/>
    <w:rsid w:val="59F20D2E"/>
    <w:rsid w:val="59FB2037"/>
    <w:rsid w:val="5A0C5FF2"/>
    <w:rsid w:val="5A3E3C43"/>
    <w:rsid w:val="5A5966F1"/>
    <w:rsid w:val="5B092532"/>
    <w:rsid w:val="5B7E4F36"/>
    <w:rsid w:val="5BC4334F"/>
    <w:rsid w:val="5BDF1197"/>
    <w:rsid w:val="5BFF211A"/>
    <w:rsid w:val="5C425CFC"/>
    <w:rsid w:val="5C4E2AF3"/>
    <w:rsid w:val="5C602C26"/>
    <w:rsid w:val="5CC4246A"/>
    <w:rsid w:val="5D0E2082"/>
    <w:rsid w:val="5D375134"/>
    <w:rsid w:val="5D4E06D0"/>
    <w:rsid w:val="5DA222F4"/>
    <w:rsid w:val="5E5D0BCB"/>
    <w:rsid w:val="5E6C1CF9"/>
    <w:rsid w:val="5E785697"/>
    <w:rsid w:val="5E912F6A"/>
    <w:rsid w:val="5EAF4FFB"/>
    <w:rsid w:val="5EBF6B63"/>
    <w:rsid w:val="5F2D1B6A"/>
    <w:rsid w:val="5F4F035E"/>
    <w:rsid w:val="60520B92"/>
    <w:rsid w:val="605B0EFC"/>
    <w:rsid w:val="60633491"/>
    <w:rsid w:val="607E307A"/>
    <w:rsid w:val="60C50CA9"/>
    <w:rsid w:val="610B0DB2"/>
    <w:rsid w:val="611411AD"/>
    <w:rsid w:val="61197D37"/>
    <w:rsid w:val="613A51F3"/>
    <w:rsid w:val="61442372"/>
    <w:rsid w:val="614D09A7"/>
    <w:rsid w:val="618B1BAA"/>
    <w:rsid w:val="619863BE"/>
    <w:rsid w:val="61B156C4"/>
    <w:rsid w:val="61C133FC"/>
    <w:rsid w:val="61D608EB"/>
    <w:rsid w:val="621D3E35"/>
    <w:rsid w:val="623B5252"/>
    <w:rsid w:val="62402CDD"/>
    <w:rsid w:val="624A1C1A"/>
    <w:rsid w:val="62B92A90"/>
    <w:rsid w:val="62D517D1"/>
    <w:rsid w:val="62F721C8"/>
    <w:rsid w:val="63141A74"/>
    <w:rsid w:val="6367429A"/>
    <w:rsid w:val="639D5F0D"/>
    <w:rsid w:val="63BF5E84"/>
    <w:rsid w:val="63E31B72"/>
    <w:rsid w:val="641461CF"/>
    <w:rsid w:val="64222BE2"/>
    <w:rsid w:val="64650D0A"/>
    <w:rsid w:val="64703C7C"/>
    <w:rsid w:val="652561BA"/>
    <w:rsid w:val="65384140"/>
    <w:rsid w:val="653D0A14"/>
    <w:rsid w:val="65A74E21"/>
    <w:rsid w:val="65C827A5"/>
    <w:rsid w:val="661165A9"/>
    <w:rsid w:val="662D5A50"/>
    <w:rsid w:val="66323A37"/>
    <w:rsid w:val="667F59A4"/>
    <w:rsid w:val="67A71109"/>
    <w:rsid w:val="67BC5D51"/>
    <w:rsid w:val="67BD2434"/>
    <w:rsid w:val="67CD58A0"/>
    <w:rsid w:val="67D5313E"/>
    <w:rsid w:val="6804647A"/>
    <w:rsid w:val="68AA0EFC"/>
    <w:rsid w:val="68B657FA"/>
    <w:rsid w:val="68B863FB"/>
    <w:rsid w:val="69717C20"/>
    <w:rsid w:val="69FF6F72"/>
    <w:rsid w:val="6A1E2B6C"/>
    <w:rsid w:val="6A373242"/>
    <w:rsid w:val="6A482045"/>
    <w:rsid w:val="6A61013D"/>
    <w:rsid w:val="6A793196"/>
    <w:rsid w:val="6AB042ED"/>
    <w:rsid w:val="6AD330BB"/>
    <w:rsid w:val="6B7C63E0"/>
    <w:rsid w:val="6BC457E7"/>
    <w:rsid w:val="6BDE2D0F"/>
    <w:rsid w:val="6BF00C75"/>
    <w:rsid w:val="6C0A085B"/>
    <w:rsid w:val="6C111256"/>
    <w:rsid w:val="6C1215D5"/>
    <w:rsid w:val="6C381735"/>
    <w:rsid w:val="6C6E5ACE"/>
    <w:rsid w:val="6C733CAF"/>
    <w:rsid w:val="6CDE381E"/>
    <w:rsid w:val="6CEC5586"/>
    <w:rsid w:val="6CF134E3"/>
    <w:rsid w:val="6D4D62AE"/>
    <w:rsid w:val="6D643DE4"/>
    <w:rsid w:val="6D877A12"/>
    <w:rsid w:val="6DA210B8"/>
    <w:rsid w:val="6DA763B7"/>
    <w:rsid w:val="6DD43758"/>
    <w:rsid w:val="6DE34B5D"/>
    <w:rsid w:val="6DF30733"/>
    <w:rsid w:val="6E726E86"/>
    <w:rsid w:val="6E7A1E0A"/>
    <w:rsid w:val="6E95615F"/>
    <w:rsid w:val="6EA22358"/>
    <w:rsid w:val="6F0E4E6C"/>
    <w:rsid w:val="6F237101"/>
    <w:rsid w:val="6F8C26C7"/>
    <w:rsid w:val="6F916DBF"/>
    <w:rsid w:val="70020CBA"/>
    <w:rsid w:val="704B29B4"/>
    <w:rsid w:val="70786A4A"/>
    <w:rsid w:val="70AF4319"/>
    <w:rsid w:val="70BF74C3"/>
    <w:rsid w:val="71035CB8"/>
    <w:rsid w:val="712612F0"/>
    <w:rsid w:val="715A4137"/>
    <w:rsid w:val="71912181"/>
    <w:rsid w:val="71A37E7F"/>
    <w:rsid w:val="71A861A9"/>
    <w:rsid w:val="71B578E5"/>
    <w:rsid w:val="71E03B95"/>
    <w:rsid w:val="725A3947"/>
    <w:rsid w:val="725D2AC4"/>
    <w:rsid w:val="72646574"/>
    <w:rsid w:val="72B03567"/>
    <w:rsid w:val="72B34E05"/>
    <w:rsid w:val="72C9287B"/>
    <w:rsid w:val="731A7C89"/>
    <w:rsid w:val="732545E7"/>
    <w:rsid w:val="74257F85"/>
    <w:rsid w:val="74330E30"/>
    <w:rsid w:val="747C7B36"/>
    <w:rsid w:val="74805FF6"/>
    <w:rsid w:val="74836A59"/>
    <w:rsid w:val="74946F29"/>
    <w:rsid w:val="74E67714"/>
    <w:rsid w:val="75436915"/>
    <w:rsid w:val="758D6173"/>
    <w:rsid w:val="75C34EA3"/>
    <w:rsid w:val="75D96DB8"/>
    <w:rsid w:val="76083503"/>
    <w:rsid w:val="763149BF"/>
    <w:rsid w:val="768216BE"/>
    <w:rsid w:val="76C16A44"/>
    <w:rsid w:val="76E527AD"/>
    <w:rsid w:val="77A15B74"/>
    <w:rsid w:val="77AB07A1"/>
    <w:rsid w:val="78232A2D"/>
    <w:rsid w:val="78EF7A1D"/>
    <w:rsid w:val="78F46178"/>
    <w:rsid w:val="790243F1"/>
    <w:rsid w:val="79115724"/>
    <w:rsid w:val="797177C8"/>
    <w:rsid w:val="79A32B04"/>
    <w:rsid w:val="79BE76F7"/>
    <w:rsid w:val="79C3586B"/>
    <w:rsid w:val="7A087165"/>
    <w:rsid w:val="7A7E7FD5"/>
    <w:rsid w:val="7AB656DD"/>
    <w:rsid w:val="7B1B6CA4"/>
    <w:rsid w:val="7B2F5245"/>
    <w:rsid w:val="7B482E6F"/>
    <w:rsid w:val="7BA479E1"/>
    <w:rsid w:val="7BC2430B"/>
    <w:rsid w:val="7C0349DE"/>
    <w:rsid w:val="7C063149"/>
    <w:rsid w:val="7C156B31"/>
    <w:rsid w:val="7C2F41E4"/>
    <w:rsid w:val="7C345209"/>
    <w:rsid w:val="7C466CEA"/>
    <w:rsid w:val="7C6043DA"/>
    <w:rsid w:val="7C8A4E29"/>
    <w:rsid w:val="7CFB5D27"/>
    <w:rsid w:val="7D2A03BA"/>
    <w:rsid w:val="7D686C61"/>
    <w:rsid w:val="7D7A00D3"/>
    <w:rsid w:val="7D9D30D6"/>
    <w:rsid w:val="7DC46119"/>
    <w:rsid w:val="7E111492"/>
    <w:rsid w:val="7EAE7F12"/>
    <w:rsid w:val="7F1255AA"/>
    <w:rsid w:val="7F301604"/>
    <w:rsid w:val="7F7709E1"/>
    <w:rsid w:val="7F844559"/>
    <w:rsid w:val="7F8D69DE"/>
    <w:rsid w:val="7FCE0464"/>
    <w:rsid w:val="7FE851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9"/>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alloon Text"/>
    <w:basedOn w:val="1"/>
    <w:link w:val="26"/>
    <w:autoRedefine/>
    <w:semiHidden/>
    <w:unhideWhenUsed/>
    <w:qFormat/>
    <w:uiPriority w:val="99"/>
    <w:rPr>
      <w:sz w:val="18"/>
      <w:szCs w:val="18"/>
    </w:rPr>
  </w:style>
  <w:style w:type="paragraph" w:styleId="6">
    <w:name w:val="footer"/>
    <w:basedOn w:val="1"/>
    <w:link w:val="18"/>
    <w:autoRedefine/>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qFormat/>
    <w:uiPriority w:val="39"/>
    <w:rPr>
      <w:rFonts w:ascii="Times New Roman" w:hAnsi="Times New Roman" w:eastAsia="宋体" w:cs="Times New Roman"/>
      <w:szCs w:val="24"/>
    </w:rPr>
  </w:style>
  <w:style w:type="paragraph" w:styleId="9">
    <w:name w:val="Subtitle"/>
    <w:basedOn w:val="1"/>
    <w:next w:val="1"/>
    <w:link w:val="29"/>
    <w:qFormat/>
    <w:uiPriority w:val="11"/>
    <w:pPr>
      <w:spacing w:before="240" w:after="60" w:line="312" w:lineRule="auto"/>
      <w:jc w:val="center"/>
      <w:outlineLvl w:val="1"/>
    </w:pPr>
    <w:rPr>
      <w:rFonts w:ascii="Cambria" w:hAnsi="Cambria" w:eastAsia="宋体" w:cs="Times New Roman"/>
      <w:b/>
      <w:bCs/>
      <w:kern w:val="28"/>
      <w:sz w:val="32"/>
      <w:szCs w:val="32"/>
    </w:rPr>
  </w:style>
  <w:style w:type="paragraph" w:styleId="10">
    <w:name w:val="toc 2"/>
    <w:basedOn w:val="1"/>
    <w:next w:val="1"/>
    <w:unhideWhenUsed/>
    <w:qFormat/>
    <w:uiPriority w:val="39"/>
    <w:pPr>
      <w:ind w:left="420" w:leftChars="200"/>
    </w:pPr>
  </w:style>
  <w:style w:type="paragraph" w:styleId="11">
    <w:name w:val="Normal (Web)"/>
    <w:basedOn w:val="1"/>
    <w:semiHidden/>
    <w:unhideWhenUsed/>
    <w:qFormat/>
    <w:uiPriority w:val="99"/>
    <w:pPr>
      <w:spacing w:beforeAutospacing="1" w:afterAutospacing="1"/>
      <w:jc w:val="left"/>
    </w:pPr>
    <w:rPr>
      <w:rFonts w:cs="Times New Roman"/>
      <w:kern w:val="0"/>
      <w:sz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字符"/>
    <w:basedOn w:val="14"/>
    <w:link w:val="7"/>
    <w:qFormat/>
    <w:uiPriority w:val="99"/>
    <w:rPr>
      <w:sz w:val="18"/>
      <w:szCs w:val="18"/>
    </w:rPr>
  </w:style>
  <w:style w:type="character" w:customStyle="1" w:styleId="18">
    <w:name w:val="页脚 字符"/>
    <w:basedOn w:val="14"/>
    <w:link w:val="6"/>
    <w:qFormat/>
    <w:uiPriority w:val="99"/>
    <w:rPr>
      <w:sz w:val="18"/>
      <w:szCs w:val="18"/>
    </w:rPr>
  </w:style>
  <w:style w:type="character" w:customStyle="1" w:styleId="19">
    <w:name w:val="标题 3 字符"/>
    <w:basedOn w:val="14"/>
    <w:link w:val="3"/>
    <w:qFormat/>
    <w:uiPriority w:val="9"/>
    <w:rPr>
      <w:rFonts w:ascii="宋体" w:hAnsi="宋体" w:eastAsia="宋体" w:cs="宋体"/>
      <w:b/>
      <w:bCs/>
      <w:kern w:val="0"/>
      <w:sz w:val="27"/>
      <w:szCs w:val="27"/>
    </w:rPr>
  </w:style>
  <w:style w:type="character" w:customStyle="1" w:styleId="20">
    <w:name w:val="段 Char"/>
    <w:link w:val="21"/>
    <w:qFormat/>
    <w:uiPriority w:val="0"/>
    <w:rPr>
      <w:rFonts w:ascii="宋体"/>
    </w:rPr>
  </w:style>
  <w:style w:type="paragraph" w:customStyle="1" w:styleId="21">
    <w:name w:val="段"/>
    <w:link w:val="20"/>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
    <w:name w:val="章标题"/>
    <w:next w:val="21"/>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5">
    <w:name w:val="一级条标题"/>
    <w:next w:val="21"/>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character" w:customStyle="1" w:styleId="26">
    <w:name w:val="批注框文本 字符"/>
    <w:basedOn w:val="14"/>
    <w:link w:val="5"/>
    <w:autoRedefine/>
    <w:semiHidden/>
    <w:qFormat/>
    <w:uiPriority w:val="99"/>
    <w:rPr>
      <w:sz w:val="18"/>
      <w:szCs w:val="18"/>
    </w:rPr>
  </w:style>
  <w:style w:type="paragraph" w:customStyle="1" w:styleId="27">
    <w:name w:val="封面一致性程度标识"/>
    <w:basedOn w:val="1"/>
    <w:autoRedefine/>
    <w:qFormat/>
    <w:uiPriority w:val="0"/>
    <w:pPr>
      <w:framePr w:w="9639" w:h="6917" w:hRule="exact" w:wrap="around" w:vAnchor="page" w:hAnchor="page" w:xAlign="center" w:y="6408" w:anchorLock="1"/>
      <w:widowControl/>
      <w:spacing w:before="440" w:line="400" w:lineRule="exact"/>
      <w:jc w:val="center"/>
      <w:textAlignment w:val="center"/>
    </w:pPr>
    <w:rPr>
      <w:rFonts w:ascii="宋体" w:hAnsi="Times New Roman" w:eastAsia="宋体" w:cs="Times New Roman"/>
      <w:kern w:val="0"/>
      <w:sz w:val="28"/>
      <w:szCs w:val="28"/>
    </w:rPr>
  </w:style>
  <w:style w:type="paragraph" w:styleId="28">
    <w:name w:val="List Paragraph"/>
    <w:basedOn w:val="1"/>
    <w:autoRedefine/>
    <w:qFormat/>
    <w:uiPriority w:val="34"/>
    <w:pPr>
      <w:ind w:firstLine="420" w:firstLineChars="200"/>
    </w:pPr>
  </w:style>
  <w:style w:type="character" w:customStyle="1" w:styleId="29">
    <w:name w:val="副标题 字符"/>
    <w:basedOn w:val="14"/>
    <w:link w:val="9"/>
    <w:autoRedefine/>
    <w:qFormat/>
    <w:uiPriority w:val="11"/>
    <w:rPr>
      <w:rFonts w:ascii="Cambria" w:hAnsi="Cambria"/>
      <w:b/>
      <w:bCs/>
      <w:kern w:val="28"/>
      <w:sz w:val="32"/>
      <w:szCs w:val="32"/>
    </w:rPr>
  </w:style>
  <w:style w:type="character" w:customStyle="1" w:styleId="30">
    <w:name w:val="明显强调1"/>
    <w:basedOn w:val="14"/>
    <w:autoRedefine/>
    <w:qFormat/>
    <w:uiPriority w:val="21"/>
    <w:rPr>
      <w:rFonts w:ascii="Times New Roman" w:hAnsi="Times New Roman" w:eastAsia="宋体" w:cs="Times New Roman"/>
      <w:b/>
      <w:bCs/>
      <w:i/>
      <w:iCs/>
      <w:color w:val="4F81BD"/>
    </w:rPr>
  </w:style>
  <w:style w:type="character" w:customStyle="1" w:styleId="31">
    <w:name w:val="标题 1 字符"/>
    <w:basedOn w:val="14"/>
    <w:link w:val="2"/>
    <w:qFormat/>
    <w:uiPriority w:val="9"/>
    <w:rPr>
      <w:rFonts w:asciiTheme="minorHAnsi" w:hAnsiTheme="minorHAnsi" w:eastAsiaTheme="minorEastAsia" w:cstheme="minorBidi"/>
      <w:b/>
      <w:bCs/>
      <w:kern w:val="44"/>
      <w:sz w:val="44"/>
      <w:szCs w:val="44"/>
    </w:rPr>
  </w:style>
  <w:style w:type="paragraph" w:customStyle="1" w:styleId="32">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font31"/>
    <w:basedOn w:val="14"/>
    <w:autoRedefine/>
    <w:qFormat/>
    <w:uiPriority w:val="0"/>
    <w:rPr>
      <w:rFonts w:hint="default" w:ascii="Times New Roman" w:hAnsi="Times New Roman" w:cs="Times New Roman"/>
      <w:color w:val="000000"/>
      <w:sz w:val="21"/>
      <w:szCs w:val="21"/>
      <w:u w:val="none"/>
    </w:rPr>
  </w:style>
  <w:style w:type="character" w:customStyle="1" w:styleId="34">
    <w:name w:val="font21"/>
    <w:basedOn w:val="14"/>
    <w:autoRedefine/>
    <w:qFormat/>
    <w:uiPriority w:val="0"/>
    <w:rPr>
      <w:rFonts w:hint="eastAsia" w:ascii="宋体" w:hAnsi="宋体" w:eastAsia="宋体" w:cs="宋体"/>
      <w:color w:val="000000"/>
      <w:sz w:val="21"/>
      <w:szCs w:val="21"/>
      <w:u w:val="none"/>
    </w:rPr>
  </w:style>
  <w:style w:type="character" w:customStyle="1" w:styleId="35">
    <w:name w:val="font41"/>
    <w:basedOn w:val="14"/>
    <w:autoRedefine/>
    <w:qFormat/>
    <w:uiPriority w:val="0"/>
    <w:rPr>
      <w:rFonts w:hint="default" w:ascii="Times New Roman" w:hAnsi="Times New Roman" w:cs="Times New Roman"/>
      <w:color w:val="000000"/>
      <w:sz w:val="21"/>
      <w:szCs w:val="21"/>
      <w:u w:val="none"/>
    </w:rPr>
  </w:style>
  <w:style w:type="character" w:customStyle="1" w:styleId="36">
    <w:name w:val="font11"/>
    <w:basedOn w:val="14"/>
    <w:autoRedefine/>
    <w:qFormat/>
    <w:uiPriority w:val="0"/>
    <w:rPr>
      <w:rFonts w:hint="default" w:ascii="Times New Roman" w:hAnsi="Times New Roman" w:cs="Times New Roman"/>
      <w:color w:val="000000"/>
      <w:sz w:val="21"/>
      <w:szCs w:val="21"/>
      <w:u w:val="none"/>
    </w:rPr>
  </w:style>
  <w:style w:type="character" w:customStyle="1" w:styleId="37">
    <w:name w:val="font61"/>
    <w:basedOn w:val="14"/>
    <w:autoRedefine/>
    <w:qFormat/>
    <w:uiPriority w:val="0"/>
    <w:rPr>
      <w:rFonts w:hint="default" w:ascii="Times New Roman" w:hAnsi="Times New Roman" w:cs="Times New Roman"/>
      <w:color w:val="000000"/>
      <w:sz w:val="21"/>
      <w:szCs w:val="21"/>
      <w:u w:val="none"/>
    </w:rPr>
  </w:style>
  <w:style w:type="character" w:customStyle="1" w:styleId="38">
    <w:name w:val="font01"/>
    <w:basedOn w:val="14"/>
    <w:autoRedefine/>
    <w:qFormat/>
    <w:uiPriority w:val="0"/>
    <w:rPr>
      <w:rFonts w:hint="eastAsia" w:ascii="宋体" w:hAnsi="宋体" w:eastAsia="宋体" w:cs="宋体"/>
      <w:color w:val="000000"/>
      <w:sz w:val="21"/>
      <w:szCs w:val="21"/>
      <w:u w:val="none"/>
    </w:rPr>
  </w:style>
  <w:style w:type="character" w:customStyle="1" w:styleId="39">
    <w:name w:val="font51"/>
    <w:basedOn w:val="14"/>
    <w:autoRedefine/>
    <w:qFormat/>
    <w:uiPriority w:val="0"/>
    <w:rPr>
      <w:rFonts w:hint="eastAsia" w:ascii="宋体" w:hAnsi="宋体" w:eastAsia="宋体" w:cs="宋体"/>
      <w:color w:val="000000"/>
      <w:sz w:val="21"/>
      <w:szCs w:val="21"/>
      <w:u w:val="none"/>
    </w:rPr>
  </w:style>
  <w:style w:type="character" w:customStyle="1" w:styleId="40">
    <w:name w:val="font81"/>
    <w:basedOn w:val="14"/>
    <w:autoRedefine/>
    <w:qFormat/>
    <w:uiPriority w:val="0"/>
    <w:rPr>
      <w:rFonts w:hint="default" w:ascii="Times New Roman" w:hAnsi="Times New Roman" w:cs="Times New Roman"/>
      <w:color w:val="000000"/>
      <w:sz w:val="21"/>
      <w:szCs w:val="21"/>
      <w:u w:val="none"/>
    </w:rPr>
  </w:style>
  <w:style w:type="character" w:customStyle="1" w:styleId="41">
    <w:name w:val="font131"/>
    <w:basedOn w:val="14"/>
    <w:autoRedefine/>
    <w:qFormat/>
    <w:uiPriority w:val="0"/>
    <w:rPr>
      <w:rFonts w:hint="default" w:ascii="Times New Roman" w:hAnsi="Times New Roman" w:cs="Times New Roman"/>
      <w:color w:val="000000"/>
      <w:sz w:val="22"/>
      <w:szCs w:val="22"/>
      <w:u w:val="none"/>
    </w:rPr>
  </w:style>
  <w:style w:type="character" w:customStyle="1" w:styleId="42">
    <w:name w:val="font12"/>
    <w:basedOn w:val="14"/>
    <w:autoRedefine/>
    <w:qFormat/>
    <w:uiPriority w:val="0"/>
    <w:rPr>
      <w:rFonts w:hint="eastAsia" w:ascii="宋体" w:hAnsi="宋体" w:eastAsia="宋体" w:cs="宋体"/>
      <w:color w:val="000000"/>
      <w:sz w:val="22"/>
      <w:szCs w:val="22"/>
      <w:u w:val="none"/>
    </w:rPr>
  </w:style>
  <w:style w:type="paragraph" w:customStyle="1" w:styleId="43">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4">
    <w:name w:val="示例"/>
    <w:next w:val="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45">
    <w:name w:val="二级条标题"/>
    <w:basedOn w:val="25"/>
    <w:next w:val="21"/>
    <w:qFormat/>
    <w:uiPriority w:val="0"/>
    <w:pPr>
      <w:numPr>
        <w:ilvl w:val="3"/>
      </w:numPr>
      <w:outlineLvl w:val="3"/>
    </w:pPr>
  </w:style>
  <w:style w:type="paragraph" w:customStyle="1" w:styleId="46">
    <w:name w:val="三级条标题"/>
    <w:basedOn w:val="45"/>
    <w:next w:val="21"/>
    <w:qFormat/>
    <w:uiPriority w:val="0"/>
    <w:pPr>
      <w:numPr>
        <w:ilvl w:val="4"/>
        <w:numId w:val="2"/>
      </w:numPr>
      <w:outlineLvl w:val="4"/>
    </w:pPr>
  </w:style>
  <w:style w:type="paragraph" w:customStyle="1" w:styleId="47">
    <w:name w:val="四级无"/>
    <w:basedOn w:val="1"/>
    <w:qFormat/>
    <w:uiPriority w:val="0"/>
    <w:pPr>
      <w:widowControl/>
      <w:numPr>
        <w:ilvl w:val="4"/>
        <w:numId w:val="3"/>
      </w:numPr>
      <w:spacing w:before="50" w:after="50"/>
      <w:jc w:val="left"/>
      <w:outlineLvl w:val="5"/>
    </w:pPr>
    <w:rPr>
      <w:rFonts w:asci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CE5371-5C17-49AD-8F82-701FD7709284}">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16</Pages>
  <Words>8270</Words>
  <Characters>8986</Characters>
  <Lines>69</Lines>
  <Paragraphs>19</Paragraphs>
  <TotalTime>12</TotalTime>
  <ScaleCrop>false</ScaleCrop>
  <LinksUpToDate>false</LinksUpToDate>
  <CharactersWithSpaces>9073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2024-08-27T02:29:00Z</dcterms:created>
  <dc:creator>Anonymous</dc:creator>
  <cp:lastModifiedBy>WPS_1654139557</cp:lastModifiedBy>
  <dcterms:modified xsi:type="dcterms:W3CDTF">2024-08-29T03:07:10Z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CB147B25B9024EB595FA58A202DABAFC_13</vt:lpwstr>
  </property>
</Properties>
</file>