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460FAA">
      <w:pPr>
        <w:spacing w:line="300" w:lineRule="auto"/>
        <w:jc w:val="center"/>
        <w:rPr>
          <w:b/>
          <w:sz w:val="48"/>
          <w:szCs w:val="48"/>
        </w:rPr>
      </w:pPr>
      <w:r>
        <w:rPr>
          <w:sz w:val="28"/>
        </w:rPr>
        <mc:AlternateContent>
          <mc:Choice Requires="wps">
            <w:drawing>
              <wp:anchor distT="0" distB="0" distL="114300" distR="114300" simplePos="0" relativeHeight="251660288" behindDoc="0" locked="0" layoutInCell="1" allowOverlap="1">
                <wp:simplePos x="0" y="0"/>
                <wp:positionH relativeFrom="column">
                  <wp:posOffset>3503930</wp:posOffset>
                </wp:positionH>
                <wp:positionV relativeFrom="paragraph">
                  <wp:posOffset>-335280</wp:posOffset>
                </wp:positionV>
                <wp:extent cx="1781175" cy="77152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81175" cy="771525"/>
                        </a:xfrm>
                        <a:prstGeom prst="rect">
                          <a:avLst/>
                        </a:prstGeom>
                        <a:noFill/>
                        <a:ln w="9525">
                          <a:noFill/>
                        </a:ln>
                        <a:effectLst/>
                      </wps:spPr>
                      <wps:txbx>
                        <w:txbxContent>
                          <w:p w14:paraId="05B3BA53">
                            <w:pPr>
                              <w:pStyle w:val="64"/>
                              <w:rPr>
                                <w:rFonts w:ascii="Times New Roman" w:hAnsi="Times New Roman"/>
                              </w:rPr>
                            </w:pPr>
                            <w:r>
                              <w:rPr>
                                <w:rFonts w:ascii="Times New Roman" w:hAnsi="Times New Roman"/>
                              </w:rPr>
                              <w:t>JC</w:t>
                            </w:r>
                          </w:p>
                        </w:txbxContent>
                      </wps:txbx>
                      <wps:bodyPr upright="1"/>
                    </wps:wsp>
                  </a:graphicData>
                </a:graphic>
              </wp:anchor>
            </w:drawing>
          </mc:Choice>
          <mc:Fallback>
            <w:pict>
              <v:shape id="_x0000_s1026" o:spid="_x0000_s1026" o:spt="202" type="#_x0000_t202" style="position:absolute;left:0pt;margin-left:275.9pt;margin-top:-26.4pt;height:60.75pt;width:140.25pt;z-index:251660288;mso-width-relative:page;mso-height-relative:page;" filled="f" stroked="f" coordsize="21600,21600" o:gfxdata="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JZ+Bt3YAAAACgEAAA8AAAAAAAAAAQAgAAAAIgAAAGRycy9kb3ducmV2LnhtbFBLAQIUABQA&#10;AAAIAIdO4kBNtNtstwEAAGUDAAAOAAAAAAAAAAEAIAAAACcBAABkcnMvZTJvRG9jLnhtbFBLBQYA&#10;AAAABgAGAFkBAABQBQAAAAA=&#10;">
                <v:fill on="f" focussize="0,0"/>
                <v:stroke on="f"/>
                <v:imagedata o:title=""/>
                <o:lock v:ext="edit" aspectratio="f"/>
                <v:textbox>
                  <w:txbxContent>
                    <w:p w14:paraId="05B3BA53">
                      <w:pPr>
                        <w:pStyle w:val="64"/>
                        <w:rPr>
                          <w:rFonts w:ascii="Times New Roman" w:hAnsi="Times New Roman"/>
                        </w:rPr>
                      </w:pPr>
                      <w:r>
                        <w:rPr>
                          <w:rFonts w:ascii="Times New Roman" w:hAnsi="Times New Roman"/>
                        </w:rPr>
                        <w:t>JC</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-239395</wp:posOffset>
                </wp:positionH>
                <wp:positionV relativeFrom="paragraph">
                  <wp:posOffset>626745</wp:posOffset>
                </wp:positionV>
                <wp:extent cx="6019800" cy="590550"/>
                <wp:effectExtent l="0" t="0" r="0" b="0"/>
                <wp:wrapNone/>
                <wp:docPr id="3" name="文本框 3"/>
                <wp:cNvGraphicFramePr/>
                <a:graphic xmlns:a="http://schemas.openxmlformats.org/drawingml/2006/main">
                  <a:graphicData uri="http://schemas.microsoft.com/office/word/2010/wordprocessingShape">
                    <wps:wsp>
                      <wps:cNvSpPr txBox="1"/>
                      <wps:spPr>
                        <a:xfrm>
                          <a:off x="0" y="0"/>
                          <a:ext cx="6019800" cy="590550"/>
                        </a:xfrm>
                        <a:prstGeom prst="rect">
                          <a:avLst/>
                        </a:prstGeom>
                        <a:solidFill>
                          <a:srgbClr val="FFFFFF"/>
                        </a:solidFill>
                        <a:ln w="9525">
                          <a:noFill/>
                        </a:ln>
                        <a:effectLst/>
                      </wps:spPr>
                      <wps:txbx>
                        <w:txbxContent>
                          <w:p w14:paraId="214023E4">
                            <w:pPr>
                              <w:jc w:val="center"/>
                              <w:rPr>
                                <w:rFonts w:ascii="黑体" w:hAnsi="黑体" w:eastAsia="黑体" w:cs="黑体"/>
                                <w:spacing w:val="108"/>
                                <w:sz w:val="48"/>
                                <w:szCs w:val="48"/>
                              </w:rPr>
                            </w:pPr>
                            <w:r>
                              <w:rPr>
                                <w:rFonts w:hint="eastAsia" w:ascii="黑体" w:hAnsi="黑体" w:eastAsia="黑体" w:cs="黑体"/>
                                <w:spacing w:val="108"/>
                                <w:sz w:val="48"/>
                                <w:szCs w:val="48"/>
                              </w:rPr>
                              <w:t>中华人民共和国建材行业标准</w:t>
                            </w:r>
                          </w:p>
                        </w:txbxContent>
                      </wps:txbx>
                      <wps:bodyPr upright="1"/>
                    </wps:wsp>
                  </a:graphicData>
                </a:graphic>
              </wp:anchor>
            </w:drawing>
          </mc:Choice>
          <mc:Fallback>
            <w:pict>
              <v:shape id="_x0000_s1026" o:spid="_x0000_s1026" o:spt="202" type="#_x0000_t202" style="position:absolute;left:0pt;margin-left:-18.85pt;margin-top:49.35pt;height:46.5pt;width:474pt;z-index:251661312;mso-width-relative:page;mso-height-relative:page;" fillcolor="#FFFFFF" filled="t" stroked="f" coordsize="21600,21600" o:gfxdata="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RRS6T2AAAAAoBAAAPAAAAAAAAAAEAIAAAACIA&#10;AABkcnMvZG93bnJldi54bWxQSwECFAAUAAAACACHTuJAWx9xVNABAACOAwAADgAAAAAAAAABACAA&#10;AAAnAQAAZHJzL2Uyb0RvYy54bWxQSwUGAAAAAAYABgBZAQAAaQUAAAAA&#10;">
                <v:fill on="t" focussize="0,0"/>
                <v:stroke on="f"/>
                <v:imagedata o:title=""/>
                <o:lock v:ext="edit" aspectratio="f"/>
                <v:textbox>
                  <w:txbxContent>
                    <w:p w14:paraId="214023E4">
                      <w:pPr>
                        <w:jc w:val="center"/>
                        <w:rPr>
                          <w:rFonts w:ascii="黑体" w:hAnsi="黑体" w:eastAsia="黑体" w:cs="黑体"/>
                          <w:spacing w:val="108"/>
                          <w:sz w:val="48"/>
                          <w:szCs w:val="48"/>
                        </w:rPr>
                      </w:pPr>
                      <w:r>
                        <w:rPr>
                          <w:rFonts w:hint="eastAsia" w:ascii="黑体" w:hAnsi="黑体" w:eastAsia="黑体" w:cs="黑体"/>
                          <w:spacing w:val="108"/>
                          <w:sz w:val="48"/>
                          <w:szCs w:val="48"/>
                        </w:rPr>
                        <w:t>中华人民共和国建材行业标准</w:t>
                      </w:r>
                    </w:p>
                  </w:txbxContent>
                </v:textbox>
              </v:shape>
            </w:pict>
          </mc:Fallback>
        </mc:AlternateContent>
      </w:r>
      <w:r>
        <w:rPr>
          <w:sz w:val="28"/>
        </w:rPr>
        <mc:AlternateContent>
          <mc:Choice Requires="wps">
            <w:drawing>
              <wp:anchor distT="0" distB="0" distL="114300" distR="114300" simplePos="0" relativeHeight="251662336" behindDoc="0" locked="0" layoutInCell="1" allowOverlap="1">
                <wp:simplePos x="0" y="0"/>
                <wp:positionH relativeFrom="column">
                  <wp:posOffset>4018280</wp:posOffset>
                </wp:positionH>
                <wp:positionV relativeFrom="paragraph">
                  <wp:posOffset>1160145</wp:posOffset>
                </wp:positionV>
                <wp:extent cx="1562100" cy="3810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562100" cy="381000"/>
                        </a:xfrm>
                        <a:prstGeom prst="rect">
                          <a:avLst/>
                        </a:prstGeom>
                        <a:solidFill>
                          <a:srgbClr val="FFFFFF"/>
                        </a:solidFill>
                        <a:ln w="9525">
                          <a:noFill/>
                        </a:ln>
                        <a:effectLst/>
                      </wps:spPr>
                      <wps:txbx>
                        <w:txbxContent>
                          <w:p w14:paraId="6BCDB9FA">
                            <w:pPr>
                              <w:rPr>
                                <w:rFonts w:ascii="黑体" w:hAnsi="黑体" w:eastAsia="黑体" w:cs="黑体"/>
                                <w:sz w:val="28"/>
                                <w:szCs w:val="28"/>
                              </w:rPr>
                            </w:pPr>
                            <w:r>
                              <w:rPr>
                                <w:rFonts w:hint="eastAsia" w:ascii="黑体" w:hAnsi="黑体" w:eastAsia="黑体" w:cs="黑体"/>
                                <w:sz w:val="28"/>
                                <w:szCs w:val="28"/>
                              </w:rPr>
                              <w:t>JC/T XXXX-202X</w:t>
                            </w:r>
                          </w:p>
                        </w:txbxContent>
                      </wps:txbx>
                      <wps:bodyPr upright="1"/>
                    </wps:wsp>
                  </a:graphicData>
                </a:graphic>
              </wp:anchor>
            </w:drawing>
          </mc:Choice>
          <mc:Fallback>
            <w:pict>
              <v:shape id="_x0000_s1026" o:spid="_x0000_s1026" o:spt="202" type="#_x0000_t202" style="position:absolute;left:0pt;margin-left:316.4pt;margin-top:91.35pt;height:30pt;width:123pt;z-index:251662336;mso-width-relative:page;mso-height-relative:page;" fillcolor="#FFFFFF" filled="t" stroked="f" coordsize="21600,21600" o:gfxdata="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Xh63l1wAAAAsBAAAPAAAAAAAAAAEAIAAAACIAAABk&#10;cnMvZG93bnJldi54bWxQSwECFAAUAAAACACHTuJAp7dYSs4BAACOAwAADgAAAAAAAAABACAAAAAm&#10;AQAAZHJzL2Uyb0RvYy54bWxQSwUGAAAAAAYABgBZAQAAZgUAAAAA&#10;">
                <v:fill on="t" focussize="0,0"/>
                <v:stroke on="f"/>
                <v:imagedata o:title=""/>
                <o:lock v:ext="edit" aspectratio="f"/>
                <v:textbox>
                  <w:txbxContent>
                    <w:p w14:paraId="6BCDB9FA">
                      <w:pPr>
                        <w:rPr>
                          <w:rFonts w:ascii="黑体" w:hAnsi="黑体" w:eastAsia="黑体" w:cs="黑体"/>
                          <w:sz w:val="28"/>
                          <w:szCs w:val="28"/>
                        </w:rPr>
                      </w:pPr>
                      <w:r>
                        <w:rPr>
                          <w:rFonts w:hint="eastAsia" w:ascii="黑体" w:hAnsi="黑体" w:eastAsia="黑体" w:cs="黑体"/>
                          <w:sz w:val="28"/>
                          <w:szCs w:val="28"/>
                        </w:rPr>
                        <w:t>JC/T XXXX-202X</w:t>
                      </w:r>
                    </w:p>
                  </w:txbxContent>
                </v:textbox>
              </v:shape>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-315595</wp:posOffset>
                </wp:positionH>
                <wp:positionV relativeFrom="paragraph">
                  <wp:posOffset>1912620</wp:posOffset>
                </wp:positionV>
                <wp:extent cx="6120130" cy="635"/>
                <wp:effectExtent l="0" t="0" r="0" b="0"/>
                <wp:wrapNone/>
                <wp:docPr id="5" name="直接连接符 5"/>
                <wp:cNvGraphicFramePr/>
                <a:graphic xmlns:a="http://schemas.openxmlformats.org/drawingml/2006/main">
                  <a:graphicData uri="http://schemas.microsoft.com/office/word/2010/wordprocessingShape">
                    <wps:wsp>
                      <wps:cNvCnPr/>
                      <wps:spPr>
                        <a:xfrm>
                          <a:off x="0" y="0"/>
                          <a:ext cx="612013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24.85pt;margin-top:150.6pt;height:0.05pt;width:481.9pt;z-index:251663360;mso-width-relative:page;mso-height-relative:page;" filled="f" stroked="t" coordsize="21600,21600" o:gfxdata="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NqSZPLYAAAACwEAAA8AAAAAAAAAAQAgAAAAIgAAAGRycy9kb3ducmV2LnhtbFBLAQIU&#10;ABQAAAAIAIdO4kA2PUOj8wEAAOgDAAAOAAAAAAAAAAEAIAAAACcBAABkcnMvZTJvRG9jLnhtbFBL&#10;BQYAAAAABgAGAFkBAACMBQAAAAA=&#10;">
                <v:fill on="f" focussize="0,0"/>
                <v:stroke color="#000000" joinstyle="round"/>
                <v:imagedata o:title=""/>
                <o:lock v:ext="edit" aspectratio="f"/>
              </v:line>
            </w:pict>
          </mc:Fallback>
        </mc:AlternateContent>
      </w:r>
    </w:p>
    <w:p w14:paraId="1879D8B4">
      <w:pPr>
        <w:spacing w:line="300" w:lineRule="auto"/>
        <w:jc w:val="center"/>
        <w:rPr>
          <w:b/>
          <w:sz w:val="48"/>
          <w:szCs w:val="48"/>
        </w:rPr>
      </w:pPr>
    </w:p>
    <w:p w14:paraId="05727858">
      <w:pPr>
        <w:spacing w:line="300" w:lineRule="auto"/>
        <w:jc w:val="center"/>
        <w:rPr>
          <w:b/>
          <w:sz w:val="48"/>
          <w:szCs w:val="48"/>
        </w:rPr>
      </w:pPr>
    </w:p>
    <w:p w14:paraId="3DC50241">
      <w:pPr>
        <w:spacing w:line="300" w:lineRule="auto"/>
        <w:jc w:val="center"/>
        <w:rPr>
          <w:b/>
          <w:sz w:val="48"/>
          <w:szCs w:val="48"/>
        </w:rPr>
      </w:pPr>
    </w:p>
    <w:p w14:paraId="07207E43">
      <w:pPr>
        <w:spacing w:line="300" w:lineRule="auto"/>
        <w:jc w:val="center"/>
        <w:rPr>
          <w:b/>
          <w:sz w:val="48"/>
          <w:szCs w:val="48"/>
        </w:rPr>
      </w:pPr>
    </w:p>
    <w:p w14:paraId="12FD9C83">
      <w:pPr>
        <w:spacing w:line="300" w:lineRule="auto"/>
        <w:jc w:val="center"/>
        <w:outlineLvl w:val="9"/>
        <w:rPr>
          <w:rFonts w:hint="eastAsia"/>
          <w:b/>
          <w:sz w:val="48"/>
          <w:szCs w:val="48"/>
        </w:rPr>
      </w:pPr>
      <w:bookmarkStart w:id="0" w:name="_Toc23841"/>
    </w:p>
    <w:p w14:paraId="4989385D">
      <w:pPr>
        <w:spacing w:line="300" w:lineRule="auto"/>
        <w:jc w:val="center"/>
        <w:outlineLvl w:val="9"/>
        <w:rPr>
          <w:rFonts w:hint="eastAsia"/>
          <w:b/>
          <w:sz w:val="48"/>
          <w:szCs w:val="48"/>
        </w:rPr>
      </w:pPr>
    </w:p>
    <w:p w14:paraId="5ED63F7F">
      <w:pPr>
        <w:spacing w:line="300" w:lineRule="auto"/>
        <w:jc w:val="center"/>
        <w:outlineLvl w:val="9"/>
        <w:rPr>
          <w:rFonts w:hint="eastAsia"/>
          <w:b/>
          <w:sz w:val="48"/>
          <w:szCs w:val="48"/>
        </w:rPr>
      </w:pPr>
    </w:p>
    <w:p w14:paraId="049323A7">
      <w:pPr>
        <w:spacing w:line="300" w:lineRule="auto"/>
        <w:jc w:val="center"/>
        <w:outlineLvl w:val="9"/>
        <w:rPr>
          <w:rFonts w:hint="eastAsia"/>
          <w:b/>
          <w:sz w:val="48"/>
          <w:szCs w:val="48"/>
        </w:rPr>
      </w:pPr>
    </w:p>
    <w:p w14:paraId="35C87F4C">
      <w:pPr>
        <w:spacing w:line="300" w:lineRule="auto"/>
        <w:jc w:val="center"/>
        <w:outlineLvl w:val="9"/>
        <w:rPr>
          <w:b/>
          <w:sz w:val="48"/>
          <w:szCs w:val="48"/>
        </w:rPr>
      </w:pPr>
      <w:r>
        <w:rPr>
          <w:rFonts w:hint="eastAsia"/>
          <w:b/>
          <w:sz w:val="48"/>
          <w:szCs w:val="48"/>
        </w:rPr>
        <w:t>夏热冬冷地区集成保温外墙板应用技术规范</w:t>
      </w:r>
      <w:bookmarkEnd w:id="0"/>
    </w:p>
    <w:p w14:paraId="3B0D8B49">
      <w:pPr>
        <w:spacing w:line="360" w:lineRule="auto"/>
        <w:jc w:val="center"/>
        <w:rPr>
          <w:sz w:val="28"/>
          <w:szCs w:val="28"/>
        </w:rPr>
      </w:pPr>
      <w:bookmarkStart w:id="1" w:name="_Toc207781878"/>
      <w:bookmarkStart w:id="2" w:name="_Toc207596292"/>
      <w:bookmarkStart w:id="3" w:name="_Toc14845"/>
      <w:bookmarkStart w:id="4" w:name="_Toc31933"/>
      <w:bookmarkStart w:id="5" w:name="_Toc212891139"/>
      <w:bookmarkStart w:id="6" w:name="_Toc23958"/>
      <w:r>
        <w:rPr>
          <w:rFonts w:hint="eastAsia"/>
          <w:sz w:val="28"/>
          <w:szCs w:val="28"/>
        </w:rPr>
        <w:t>Technical specification for application of thermal insulation integrated exterior wall in hot summer and cold winter zone</w:t>
      </w:r>
    </w:p>
    <w:p w14:paraId="1B24F4A6">
      <w:pPr>
        <w:spacing w:line="360" w:lineRule="auto"/>
        <w:jc w:val="center"/>
        <w:outlineLvl w:val="9"/>
        <w:rPr>
          <w:b/>
          <w:sz w:val="28"/>
        </w:rPr>
      </w:pPr>
      <w:bookmarkStart w:id="7" w:name="_Toc24239"/>
      <w:r>
        <w:rPr>
          <w:b/>
          <w:sz w:val="36"/>
          <w:szCs w:val="36"/>
        </w:rPr>
        <w:t>（</w:t>
      </w:r>
      <w:r>
        <w:rPr>
          <w:rFonts w:hint="eastAsia"/>
          <w:b/>
          <w:sz w:val="36"/>
          <w:szCs w:val="36"/>
          <w:lang w:eastAsia="zh-CN"/>
        </w:rPr>
        <w:t>征求意见</w:t>
      </w:r>
      <w:r>
        <w:rPr>
          <w:b/>
          <w:sz w:val="36"/>
          <w:szCs w:val="36"/>
        </w:rPr>
        <w:t>稿）</w:t>
      </w:r>
      <w:bookmarkEnd w:id="1"/>
      <w:bookmarkEnd w:id="2"/>
      <w:bookmarkEnd w:id="3"/>
      <w:bookmarkEnd w:id="4"/>
      <w:bookmarkEnd w:id="5"/>
      <w:bookmarkEnd w:id="6"/>
      <w:bookmarkEnd w:id="7"/>
    </w:p>
    <w:p w14:paraId="41AEBE06">
      <w:pPr>
        <w:pStyle w:val="10"/>
        <w:pBdr>
          <w:bottom w:val="single" w:color="auto" w:sz="6" w:space="1"/>
        </w:pBdr>
        <w:spacing w:line="360" w:lineRule="auto"/>
        <w:jc w:val="center"/>
        <w:rPr>
          <w:rFonts w:ascii="Times New Roman" w:hAnsi="Times New Roman"/>
          <w:b/>
          <w:sz w:val="28"/>
        </w:rPr>
      </w:pPr>
    </w:p>
    <w:p w14:paraId="3C2235EA">
      <w:pPr>
        <w:pStyle w:val="10"/>
        <w:pBdr>
          <w:bottom w:val="single" w:color="auto" w:sz="6" w:space="1"/>
        </w:pBdr>
        <w:spacing w:line="360" w:lineRule="auto"/>
        <w:jc w:val="center"/>
        <w:rPr>
          <w:rFonts w:ascii="Times New Roman" w:hAnsi="Times New Roman"/>
          <w:b/>
          <w:sz w:val="28"/>
        </w:rPr>
      </w:pPr>
    </w:p>
    <w:p w14:paraId="32DAB87D">
      <w:pPr>
        <w:pStyle w:val="10"/>
        <w:pBdr>
          <w:bottom w:val="single" w:color="auto" w:sz="6" w:space="1"/>
        </w:pBdr>
        <w:spacing w:line="360" w:lineRule="auto"/>
        <w:jc w:val="center"/>
        <w:rPr>
          <w:rFonts w:ascii="Times New Roman" w:hAnsi="Times New Roman"/>
          <w:b/>
          <w:sz w:val="28"/>
        </w:rPr>
      </w:pPr>
    </w:p>
    <w:p w14:paraId="3F3882E9">
      <w:pPr>
        <w:pStyle w:val="10"/>
        <w:pBdr>
          <w:bottom w:val="single" w:color="auto" w:sz="6" w:space="1"/>
        </w:pBdr>
        <w:spacing w:line="360" w:lineRule="auto"/>
        <w:jc w:val="center"/>
        <w:rPr>
          <w:rFonts w:ascii="Times New Roman" w:hAnsi="Times New Roman"/>
          <w:b/>
          <w:sz w:val="28"/>
        </w:rPr>
      </w:pPr>
    </w:p>
    <w:p w14:paraId="42F8FBAC">
      <w:pPr>
        <w:pStyle w:val="10"/>
        <w:pBdr>
          <w:bottom w:val="single" w:color="auto" w:sz="6" w:space="1"/>
        </w:pBdr>
        <w:spacing w:line="360" w:lineRule="auto"/>
        <w:jc w:val="center"/>
        <w:rPr>
          <w:rFonts w:ascii="Times New Roman" w:hAnsi="Times New Roman"/>
          <w:b/>
          <w:sz w:val="28"/>
        </w:rPr>
      </w:pPr>
      <w:bookmarkStart w:id="126" w:name="_GoBack"/>
      <w:bookmarkEnd w:id="126"/>
    </w:p>
    <w:p w14:paraId="4F62DFDB">
      <w:pPr>
        <w:pStyle w:val="10"/>
        <w:pBdr>
          <w:bottom w:val="single" w:color="auto" w:sz="6" w:space="1"/>
        </w:pBdr>
        <w:spacing w:line="360" w:lineRule="auto"/>
        <w:jc w:val="center"/>
        <w:rPr>
          <w:sz w:val="28"/>
          <w:szCs w:val="28"/>
        </w:rPr>
      </w:pPr>
      <w:r>
        <w:rPr>
          <w:rFonts w:hint="eastAsia" w:ascii="黑体"/>
          <w:sz w:val="28"/>
          <w:szCs w:val="28"/>
        </w:rPr>
        <w:t>202X-XX-XX</w:t>
      </w:r>
      <w:r>
        <w:rPr>
          <w:rFonts w:hint="eastAsia" w:ascii="黑体" w:hAnsi="黑体" w:eastAsia="黑体" w:cs="黑体"/>
          <w:sz w:val="28"/>
          <w:szCs w:val="28"/>
        </w:rPr>
        <w:t xml:space="preserve">发布                              </w:t>
      </w:r>
      <w:r>
        <w:rPr>
          <w:rFonts w:hint="eastAsia" w:ascii="黑体"/>
          <w:sz w:val="28"/>
          <w:szCs w:val="28"/>
        </w:rPr>
        <w:t>202X-XX-XX</w:t>
      </w:r>
      <w:r>
        <w:rPr>
          <w:rFonts w:hint="eastAsia" w:ascii="黑体" w:hAnsi="黑体" w:eastAsia="黑体" w:cs="黑体"/>
          <w:sz w:val="28"/>
          <w:szCs w:val="28"/>
        </w:rPr>
        <w:t>实施</w:t>
      </w:r>
    </w:p>
    <w:p w14:paraId="44E57947">
      <w:pPr>
        <w:jc w:val="center"/>
        <w:rPr>
          <w:rFonts w:eastAsia="黑体"/>
          <w:b/>
          <w:sz w:val="32"/>
          <w:szCs w:val="32"/>
        </w:rPr>
      </w:pPr>
      <w:r>
        <w:rPr>
          <w:rFonts w:hint="eastAsia" w:ascii="黑体" w:hAnsi="黑体" w:eastAsia="黑体" w:cs="黑体"/>
          <w:sz w:val="28"/>
          <w:szCs w:val="28"/>
        </w:rPr>
        <w:t>中华人民共和国工业和信息化部    发布</w:t>
      </w:r>
      <w:r>
        <w:rPr>
          <w:rFonts w:eastAsia="黑体"/>
          <w:sz w:val="28"/>
          <w:szCs w:val="28"/>
        </w:rPr>
        <w:br w:type="page"/>
      </w:r>
    </w:p>
    <w:p w14:paraId="6B2477AF">
      <w:pPr>
        <w:jc w:val="center"/>
        <w:rPr>
          <w:rFonts w:eastAsia="黑体"/>
          <w:b/>
          <w:sz w:val="32"/>
          <w:szCs w:val="32"/>
        </w:rPr>
      </w:pPr>
    </w:p>
    <w:p w14:paraId="05EF51B2">
      <w:pPr>
        <w:jc w:val="center"/>
        <w:rPr>
          <w:rFonts w:eastAsia="黑体"/>
          <w:b/>
          <w:sz w:val="32"/>
          <w:szCs w:val="32"/>
        </w:rPr>
      </w:pPr>
    </w:p>
    <w:p w14:paraId="2C1E88CB">
      <w:pPr>
        <w:jc w:val="center"/>
        <w:rPr>
          <w:rFonts w:eastAsia="黑体"/>
          <w:b/>
          <w:sz w:val="32"/>
          <w:szCs w:val="32"/>
        </w:rPr>
      </w:pPr>
    </w:p>
    <w:p w14:paraId="0FCEA8F7">
      <w:pPr>
        <w:jc w:val="center"/>
        <w:outlineLvl w:val="9"/>
        <w:rPr>
          <w:rFonts w:eastAsia="黑体"/>
          <w:b/>
          <w:sz w:val="32"/>
          <w:szCs w:val="32"/>
        </w:rPr>
      </w:pPr>
      <w:bookmarkStart w:id="8" w:name="_Toc24708"/>
      <w:r>
        <w:rPr>
          <w:rFonts w:eastAsia="黑体"/>
          <w:b/>
          <w:sz w:val="32"/>
          <w:szCs w:val="32"/>
        </w:rPr>
        <w:t>中华人民共和国行业标准</w:t>
      </w:r>
      <w:bookmarkEnd w:id="8"/>
    </w:p>
    <w:p w14:paraId="208E6C05">
      <w:pPr>
        <w:jc w:val="center"/>
        <w:rPr>
          <w:rFonts w:eastAsia="黑体"/>
          <w:b/>
          <w:sz w:val="32"/>
          <w:szCs w:val="32"/>
        </w:rPr>
      </w:pPr>
    </w:p>
    <w:p w14:paraId="1D4EC86C">
      <w:pPr>
        <w:jc w:val="center"/>
        <w:rPr>
          <w:rFonts w:eastAsia="黑体"/>
          <w:b/>
          <w:sz w:val="32"/>
          <w:szCs w:val="32"/>
        </w:rPr>
      </w:pPr>
    </w:p>
    <w:p w14:paraId="4A1A4522">
      <w:pPr>
        <w:jc w:val="center"/>
        <w:rPr>
          <w:rFonts w:eastAsia="黑体"/>
          <w:b/>
          <w:sz w:val="32"/>
          <w:szCs w:val="32"/>
        </w:rPr>
      </w:pPr>
    </w:p>
    <w:p w14:paraId="70FF7124">
      <w:pPr>
        <w:spacing w:line="300" w:lineRule="auto"/>
        <w:jc w:val="center"/>
        <w:outlineLvl w:val="9"/>
        <w:rPr>
          <w:b/>
          <w:sz w:val="48"/>
          <w:szCs w:val="48"/>
        </w:rPr>
      </w:pPr>
      <w:bookmarkStart w:id="9" w:name="_Toc12978"/>
      <w:r>
        <w:rPr>
          <w:rFonts w:hint="eastAsia"/>
          <w:b/>
          <w:sz w:val="32"/>
          <w:szCs w:val="32"/>
        </w:rPr>
        <w:t>夏热冬冷地区集成保温外墙板应用技术规范</w:t>
      </w:r>
      <w:bookmarkEnd w:id="9"/>
    </w:p>
    <w:p w14:paraId="61447AAA">
      <w:pPr>
        <w:jc w:val="center"/>
        <w:rPr>
          <w:b/>
          <w:sz w:val="32"/>
          <w:szCs w:val="32"/>
        </w:rPr>
      </w:pPr>
    </w:p>
    <w:p w14:paraId="7091BD20">
      <w:pPr>
        <w:jc w:val="center"/>
        <w:rPr>
          <w:b/>
          <w:szCs w:val="21"/>
        </w:rPr>
      </w:pPr>
      <w:r>
        <w:rPr>
          <w:rFonts w:hint="eastAsia"/>
          <w:b/>
          <w:szCs w:val="21"/>
        </w:rPr>
        <w:t>Technical specification for application of thermal insulation integrated exterior wall in hot summer and cold winter zone</w:t>
      </w:r>
    </w:p>
    <w:p w14:paraId="009888F7">
      <w:pPr>
        <w:jc w:val="center"/>
        <w:rPr>
          <w:rFonts w:eastAsia="黑体"/>
          <w:b/>
          <w:sz w:val="32"/>
          <w:szCs w:val="32"/>
        </w:rPr>
      </w:pPr>
    </w:p>
    <w:p w14:paraId="6AF09F1B">
      <w:pPr>
        <w:jc w:val="center"/>
        <w:rPr>
          <w:rFonts w:eastAsia="黑体"/>
          <w:b/>
          <w:szCs w:val="21"/>
        </w:rPr>
      </w:pPr>
      <w:r>
        <w:rPr>
          <w:rFonts w:eastAsia="黑体"/>
          <w:b/>
          <w:szCs w:val="21"/>
        </w:rPr>
        <w:t>J</w:t>
      </w:r>
      <w:r>
        <w:rPr>
          <w:rFonts w:hint="eastAsia" w:eastAsia="黑体"/>
          <w:b/>
          <w:szCs w:val="21"/>
        </w:rPr>
        <w:t>C</w:t>
      </w:r>
      <w:r>
        <w:rPr>
          <w:rFonts w:eastAsia="黑体"/>
          <w:b/>
          <w:szCs w:val="21"/>
        </w:rPr>
        <w:t xml:space="preserve">/T </w:t>
      </w:r>
      <w:r>
        <w:rPr>
          <w:rFonts w:hint="eastAsia" w:eastAsia="黑体"/>
          <w:b/>
          <w:szCs w:val="21"/>
        </w:rPr>
        <w:t>xxx</w:t>
      </w:r>
      <w:r>
        <w:rPr>
          <w:rFonts w:eastAsia="黑体"/>
          <w:b/>
          <w:szCs w:val="21"/>
        </w:rPr>
        <w:t>-202×</w:t>
      </w:r>
    </w:p>
    <w:p w14:paraId="2252C836">
      <w:pPr>
        <w:jc w:val="center"/>
        <w:rPr>
          <w:rFonts w:eastAsia="黑体"/>
          <w:b/>
          <w:sz w:val="32"/>
          <w:szCs w:val="32"/>
        </w:rPr>
      </w:pPr>
    </w:p>
    <w:p w14:paraId="1EF9714B">
      <w:pPr>
        <w:ind w:firstLine="2415" w:firstLineChars="1150"/>
        <w:rPr>
          <w:szCs w:val="21"/>
        </w:rPr>
      </w:pPr>
      <w:r>
        <w:rPr>
          <w:szCs w:val="21"/>
        </w:rPr>
        <w:t>批准部门：中华人民共和国</w:t>
      </w:r>
      <w:r>
        <w:rPr>
          <w:rFonts w:hint="eastAsia"/>
          <w:szCs w:val="21"/>
        </w:rPr>
        <w:t>工业和信息化</w:t>
      </w:r>
      <w:r>
        <w:rPr>
          <w:szCs w:val="21"/>
        </w:rPr>
        <w:t>部</w:t>
      </w:r>
    </w:p>
    <w:p w14:paraId="72BECF5C">
      <w:pPr>
        <w:ind w:firstLine="2415" w:firstLineChars="1150"/>
        <w:rPr>
          <w:szCs w:val="21"/>
        </w:rPr>
      </w:pPr>
      <w:r>
        <w:rPr>
          <w:szCs w:val="21"/>
        </w:rPr>
        <w:t>施行日期：202×年×月×日</w:t>
      </w:r>
    </w:p>
    <w:p w14:paraId="3142681A">
      <w:pPr>
        <w:rPr>
          <w:rFonts w:eastAsia="黑体"/>
          <w:b/>
          <w:sz w:val="32"/>
          <w:szCs w:val="32"/>
        </w:rPr>
      </w:pPr>
    </w:p>
    <w:p w14:paraId="2352DCAC">
      <w:pPr>
        <w:rPr>
          <w:rFonts w:eastAsia="黑体"/>
          <w:b/>
          <w:sz w:val="32"/>
          <w:szCs w:val="32"/>
        </w:rPr>
      </w:pPr>
    </w:p>
    <w:p w14:paraId="0ED16D04">
      <w:pPr>
        <w:rPr>
          <w:rFonts w:eastAsia="黑体"/>
          <w:b/>
          <w:sz w:val="32"/>
          <w:szCs w:val="32"/>
        </w:rPr>
      </w:pPr>
    </w:p>
    <w:p w14:paraId="08BD7E84">
      <w:pPr>
        <w:rPr>
          <w:rFonts w:eastAsia="黑体"/>
          <w:b/>
          <w:sz w:val="32"/>
          <w:szCs w:val="32"/>
        </w:rPr>
      </w:pPr>
    </w:p>
    <w:p w14:paraId="2A77CA51">
      <w:pPr>
        <w:rPr>
          <w:rFonts w:eastAsia="黑体"/>
          <w:b/>
          <w:sz w:val="32"/>
          <w:szCs w:val="32"/>
        </w:rPr>
      </w:pPr>
    </w:p>
    <w:p w14:paraId="15545793">
      <w:pPr>
        <w:rPr>
          <w:rFonts w:eastAsia="黑体"/>
          <w:b/>
          <w:sz w:val="32"/>
          <w:szCs w:val="32"/>
        </w:rPr>
      </w:pPr>
    </w:p>
    <w:p w14:paraId="6C4C852B">
      <w:pPr>
        <w:spacing w:line="360" w:lineRule="auto"/>
        <w:jc w:val="center"/>
        <w:rPr>
          <w:b/>
          <w:bCs/>
          <w:sz w:val="28"/>
          <w:szCs w:val="28"/>
        </w:rPr>
      </w:pPr>
      <w:r>
        <w:rPr>
          <w:rFonts w:eastAsia="黑体"/>
          <w:sz w:val="28"/>
          <w:szCs w:val="28"/>
        </w:rPr>
        <w:br w:type="page"/>
      </w:r>
      <w:r>
        <w:rPr>
          <w:b/>
          <w:bCs/>
          <w:sz w:val="28"/>
          <w:szCs w:val="28"/>
        </w:rPr>
        <w:t>前</w:t>
      </w:r>
      <w:r>
        <w:rPr>
          <w:rFonts w:hint="eastAsia"/>
          <w:b/>
          <w:bCs/>
          <w:sz w:val="28"/>
          <w:szCs w:val="28"/>
          <w:lang w:val="en-US" w:eastAsia="zh-CN"/>
        </w:rPr>
        <w:t xml:space="preserve">  </w:t>
      </w:r>
      <w:r>
        <w:rPr>
          <w:b/>
          <w:bCs/>
          <w:sz w:val="28"/>
          <w:szCs w:val="28"/>
        </w:rPr>
        <w:t xml:space="preserve">  言</w:t>
      </w:r>
    </w:p>
    <w:p w14:paraId="2A6FC837">
      <w:pPr>
        <w:spacing w:line="360" w:lineRule="auto"/>
        <w:ind w:firstLine="420" w:firstLineChars="200"/>
      </w:pPr>
      <w:r>
        <w:t>根据</w:t>
      </w:r>
      <w:r>
        <w:rPr>
          <w:rFonts w:hint="eastAsia"/>
        </w:rPr>
        <w:t>工业和信息化</w:t>
      </w:r>
      <w:r>
        <w:t>部</w:t>
      </w:r>
      <w:r>
        <w:rPr>
          <w:rFonts w:hint="eastAsia"/>
        </w:rPr>
        <w:t>办公厅</w:t>
      </w:r>
      <w:r>
        <w:t>《关于</w:t>
      </w:r>
      <w:r>
        <w:rPr>
          <w:rFonts w:hint="eastAsia"/>
        </w:rPr>
        <w:t>印发2023年第一批行业标准修订和外文版项目计划的通知</w:t>
      </w:r>
      <w:r>
        <w:t>》（</w:t>
      </w:r>
      <w:r>
        <w:rPr>
          <w:rFonts w:hint="eastAsia"/>
        </w:rPr>
        <w:t>工信厅科</w:t>
      </w:r>
      <w:r>
        <w:t>[202</w:t>
      </w:r>
      <w:r>
        <w:rPr>
          <w:rFonts w:hint="eastAsia"/>
        </w:rPr>
        <w:t>3</w:t>
      </w:r>
      <w:r>
        <w:t>]1</w:t>
      </w:r>
      <w:r>
        <w:rPr>
          <w:rFonts w:hint="eastAsia"/>
        </w:rPr>
        <w:t>8</w:t>
      </w:r>
      <w:r>
        <w:t>号）的要求，标准编制组经广泛调查研究，认真总结实践经验，并在广泛征求意见的基础上，</w:t>
      </w:r>
      <w:r>
        <w:rPr>
          <w:rFonts w:hint="eastAsia"/>
        </w:rPr>
        <w:t>进行标准编制</w:t>
      </w:r>
      <w:r>
        <w:t>。</w:t>
      </w:r>
    </w:p>
    <w:p w14:paraId="20FA0A3E">
      <w:pPr>
        <w:pStyle w:val="16"/>
        <w:spacing w:line="360" w:lineRule="auto"/>
        <w:ind w:firstLine="420" w:firstLineChars="200"/>
        <w:jc w:val="both"/>
        <w:rPr>
          <w:b w:val="0"/>
          <w:bCs w:val="0"/>
          <w:sz w:val="21"/>
          <w:szCs w:val="24"/>
        </w:rPr>
      </w:pPr>
      <w:r>
        <w:rPr>
          <w:b w:val="0"/>
          <w:bCs w:val="0"/>
          <w:sz w:val="21"/>
          <w:szCs w:val="24"/>
        </w:rPr>
        <w:t>本标准的主要技术内容有：</w:t>
      </w:r>
      <w:r>
        <w:rPr>
          <w:rFonts w:hint="eastAsia"/>
          <w:b w:val="0"/>
          <w:bCs w:val="0"/>
          <w:sz w:val="21"/>
          <w:szCs w:val="24"/>
          <w:lang w:val="en-US" w:eastAsia="zh-CN"/>
        </w:rPr>
        <w:t>1</w:t>
      </w:r>
      <w:r>
        <w:rPr>
          <w:b w:val="0"/>
          <w:bCs w:val="0"/>
          <w:sz w:val="21"/>
          <w:szCs w:val="24"/>
        </w:rPr>
        <w:t>总则；</w:t>
      </w:r>
      <w:r>
        <w:rPr>
          <w:rFonts w:hint="eastAsia"/>
          <w:b w:val="0"/>
          <w:bCs w:val="0"/>
          <w:sz w:val="21"/>
          <w:szCs w:val="24"/>
          <w:lang w:val="en-US" w:eastAsia="zh-CN"/>
        </w:rPr>
        <w:t>2</w:t>
      </w:r>
      <w:r>
        <w:rPr>
          <w:rFonts w:hint="eastAsia"/>
          <w:b w:val="0"/>
          <w:bCs w:val="0"/>
          <w:sz w:val="21"/>
          <w:szCs w:val="24"/>
          <w:lang w:eastAsia="zh-CN"/>
        </w:rPr>
        <w:t>术语和符</w:t>
      </w:r>
      <w:r>
        <w:rPr>
          <w:rFonts w:hint="eastAsia"/>
          <w:b w:val="0"/>
          <w:bCs w:val="0"/>
          <w:sz w:val="21"/>
          <w:szCs w:val="24"/>
          <w:lang w:val="en-US" w:eastAsia="zh-CN"/>
        </w:rPr>
        <w:t>号</w:t>
      </w:r>
      <w:r>
        <w:rPr>
          <w:rFonts w:hint="eastAsia"/>
          <w:b w:val="0"/>
          <w:bCs w:val="0"/>
          <w:sz w:val="21"/>
          <w:szCs w:val="24"/>
          <w:lang w:eastAsia="zh-CN"/>
        </w:rPr>
        <w:t>；</w:t>
      </w:r>
      <w:r>
        <w:rPr>
          <w:rFonts w:hint="eastAsia"/>
          <w:b w:val="0"/>
          <w:bCs w:val="0"/>
          <w:sz w:val="21"/>
          <w:szCs w:val="24"/>
          <w:lang w:val="en-US" w:eastAsia="zh-CN"/>
        </w:rPr>
        <w:t>3</w:t>
      </w:r>
      <w:r>
        <w:rPr>
          <w:b w:val="0"/>
          <w:bCs w:val="0"/>
          <w:sz w:val="21"/>
          <w:szCs w:val="24"/>
        </w:rPr>
        <w:t>基本规定；</w:t>
      </w:r>
      <w:r>
        <w:rPr>
          <w:rFonts w:hint="eastAsia"/>
          <w:b w:val="0"/>
          <w:bCs w:val="0"/>
          <w:sz w:val="21"/>
          <w:szCs w:val="24"/>
          <w:lang w:val="en-US" w:eastAsia="zh-CN"/>
        </w:rPr>
        <w:t>4</w:t>
      </w:r>
      <w:r>
        <w:rPr>
          <w:rFonts w:hint="eastAsia"/>
          <w:b w:val="0"/>
          <w:bCs w:val="0"/>
          <w:sz w:val="21"/>
          <w:szCs w:val="24"/>
          <w:lang w:eastAsia="zh-CN"/>
        </w:rPr>
        <w:t>材料；</w:t>
      </w:r>
      <w:r>
        <w:rPr>
          <w:rFonts w:hint="eastAsia"/>
          <w:b w:val="0"/>
          <w:bCs w:val="0"/>
          <w:sz w:val="21"/>
          <w:szCs w:val="24"/>
          <w:lang w:val="en-US" w:eastAsia="zh-CN"/>
        </w:rPr>
        <w:t>5</w:t>
      </w:r>
      <w:r>
        <w:rPr>
          <w:rFonts w:hint="eastAsia"/>
          <w:b w:val="0"/>
          <w:bCs w:val="0"/>
          <w:sz w:val="21"/>
          <w:szCs w:val="24"/>
          <w:lang w:eastAsia="zh-CN"/>
        </w:rPr>
        <w:t>设计；</w:t>
      </w:r>
      <w:r>
        <w:rPr>
          <w:rFonts w:hint="eastAsia"/>
          <w:b w:val="0"/>
          <w:bCs w:val="0"/>
          <w:sz w:val="21"/>
          <w:szCs w:val="24"/>
          <w:lang w:val="en-US" w:eastAsia="zh-CN"/>
        </w:rPr>
        <w:t>6</w:t>
      </w:r>
      <w:r>
        <w:rPr>
          <w:rFonts w:hint="eastAsia"/>
          <w:b w:val="0"/>
          <w:bCs w:val="0"/>
          <w:sz w:val="21"/>
          <w:szCs w:val="24"/>
          <w:lang w:eastAsia="zh-CN"/>
        </w:rPr>
        <w:t>生产和运输；</w:t>
      </w:r>
      <w:r>
        <w:rPr>
          <w:rFonts w:hint="eastAsia"/>
          <w:b w:val="0"/>
          <w:bCs w:val="0"/>
          <w:sz w:val="21"/>
          <w:szCs w:val="24"/>
          <w:lang w:val="en-US" w:eastAsia="zh-CN"/>
        </w:rPr>
        <w:t>7</w:t>
      </w:r>
      <w:r>
        <w:rPr>
          <w:rFonts w:hint="eastAsia"/>
          <w:b w:val="0"/>
          <w:bCs w:val="0"/>
          <w:sz w:val="21"/>
          <w:szCs w:val="24"/>
          <w:lang w:eastAsia="zh-CN"/>
        </w:rPr>
        <w:t>施工和验收；</w:t>
      </w:r>
      <w:r>
        <w:rPr>
          <w:rFonts w:hint="eastAsia"/>
          <w:b w:val="0"/>
          <w:bCs w:val="0"/>
          <w:sz w:val="21"/>
          <w:szCs w:val="24"/>
          <w:lang w:val="en-US" w:eastAsia="zh-CN"/>
        </w:rPr>
        <w:t>8</w:t>
      </w:r>
      <w:r>
        <w:rPr>
          <w:rFonts w:hint="eastAsia"/>
          <w:b w:val="0"/>
          <w:bCs w:val="0"/>
          <w:sz w:val="21"/>
          <w:szCs w:val="24"/>
          <w:lang w:eastAsia="zh-CN"/>
        </w:rPr>
        <w:t>运维</w:t>
      </w:r>
      <w:r>
        <w:rPr>
          <w:b w:val="0"/>
          <w:bCs w:val="0"/>
          <w:sz w:val="21"/>
          <w:szCs w:val="24"/>
        </w:rPr>
        <w:t>。</w:t>
      </w:r>
    </w:p>
    <w:p w14:paraId="0DDFAC04">
      <w:pPr>
        <w:spacing w:line="360" w:lineRule="auto"/>
        <w:ind w:firstLine="420" w:firstLineChars="200"/>
        <w:jc w:val="left"/>
        <w:rPr>
          <w:rFonts w:hint="eastAsia"/>
        </w:rPr>
      </w:pPr>
      <w:r>
        <w:t>本标准</w:t>
      </w:r>
      <w:r>
        <w:rPr>
          <w:rFonts w:hint="eastAsia"/>
          <w:color w:val="auto"/>
          <w:lang w:eastAsia="zh-CN"/>
        </w:rPr>
        <w:t>主编</w:t>
      </w:r>
      <w:r>
        <w:t>单位：</w:t>
      </w:r>
    </w:p>
    <w:p w14:paraId="0B0149D7">
      <w:pPr>
        <w:spacing w:line="360" w:lineRule="auto"/>
        <w:ind w:firstLine="420" w:firstLineChars="200"/>
        <w:jc w:val="left"/>
        <w:rPr>
          <w:rFonts w:hint="eastAsia"/>
        </w:rPr>
      </w:pPr>
      <w:r>
        <w:t>本标准</w:t>
      </w:r>
      <w:r>
        <w:rPr>
          <w:rFonts w:hint="eastAsia"/>
          <w:color w:val="auto"/>
          <w:lang w:eastAsia="zh-CN"/>
        </w:rPr>
        <w:t>参编</w:t>
      </w:r>
      <w:r>
        <w:t>单位：</w:t>
      </w:r>
    </w:p>
    <w:p w14:paraId="4733A10C">
      <w:pPr>
        <w:spacing w:line="360" w:lineRule="auto"/>
        <w:ind w:firstLine="420" w:firstLineChars="200"/>
        <w:jc w:val="left"/>
      </w:pPr>
      <w:r>
        <w:t>本标准主要起草人员：</w:t>
      </w:r>
    </w:p>
    <w:p w14:paraId="1BE30735">
      <w:pPr>
        <w:spacing w:line="360" w:lineRule="auto"/>
        <w:ind w:firstLine="420" w:firstLineChars="200"/>
        <w:jc w:val="left"/>
      </w:pPr>
      <w:r>
        <w:t>本标准主要审查人员：</w:t>
      </w:r>
    </w:p>
    <w:p w14:paraId="38366B47">
      <w:pPr>
        <w:pStyle w:val="3"/>
        <w:spacing w:before="0" w:after="0" w:line="360" w:lineRule="auto"/>
        <w:jc w:val="center"/>
        <w:rPr>
          <w:rFonts w:ascii="Times New Roman" w:hAnsi="Times New Roman" w:eastAsia="宋体" w:cs="Times New Roman"/>
          <w:b/>
          <w:bCs/>
          <w:kern w:val="44"/>
          <w:sz w:val="44"/>
          <w:szCs w:val="44"/>
          <w:lang w:val="en-US" w:eastAsia="zh-CN" w:bidi="ar-SA"/>
        </w:rPr>
      </w:pPr>
      <w:r>
        <w:t xml:space="preserve"> </w:t>
      </w:r>
      <w:r>
        <w:br w:type="page"/>
      </w:r>
      <w:bookmarkStart w:id="10" w:name="_Toc17623"/>
      <w:bookmarkStart w:id="11" w:name="_Toc144295476"/>
      <w:bookmarkStart w:id="12" w:name="_Toc10119"/>
      <w:bookmarkStart w:id="13" w:name="_Toc13202"/>
      <w:bookmarkStart w:id="14" w:name="_Toc144295475"/>
      <w:bookmarkStart w:id="15" w:name="_Toc8595"/>
      <w:r>
        <w:rPr>
          <w:sz w:val="28"/>
          <w:szCs w:val="28"/>
        </w:rPr>
        <w:t>目</w:t>
      </w:r>
      <w:r>
        <w:rPr>
          <w:rFonts w:hint="eastAsia"/>
          <w:sz w:val="28"/>
          <w:szCs w:val="28"/>
          <w:lang w:val="en-US" w:eastAsia="zh-CN"/>
        </w:rPr>
        <w:t xml:space="preserve">  </w:t>
      </w:r>
      <w:r>
        <w:rPr>
          <w:sz w:val="28"/>
          <w:szCs w:val="28"/>
        </w:rPr>
        <w:t xml:space="preserve">  次</w:t>
      </w:r>
      <w:bookmarkEnd w:id="10"/>
      <w:bookmarkEnd w:id="11"/>
      <w:bookmarkEnd w:id="12"/>
      <w:bookmarkEnd w:id="13"/>
      <w:bookmarkEnd w:id="14"/>
      <w:bookmarkEnd w:id="15"/>
      <w:r>
        <w:fldChar w:fldCharType="begin"/>
      </w:r>
      <w:r>
        <w:instrText xml:space="preserve">TOC \o "1-2" \h \u </w:instrText>
      </w:r>
      <w:r>
        <w:fldChar w:fldCharType="separate"/>
      </w:r>
    </w:p>
    <w:p w14:paraId="06023F41">
      <w:pPr>
        <w:pStyle w:val="16"/>
        <w:keepNext w:val="0"/>
        <w:keepLines w:val="0"/>
        <w:pageBreakBefore w:val="0"/>
        <w:widowControl w:val="0"/>
        <w:tabs>
          <w:tab w:val="right" w:leader="dot" w:pos="8306"/>
          <w:tab w:val="clear" w:pos="8302"/>
        </w:tabs>
        <w:kinsoku/>
        <w:wordWrap/>
        <w:overflowPunct/>
        <w:topLinePunct w:val="0"/>
        <w:autoSpaceDE/>
        <w:autoSpaceDN/>
        <w:bidi w:val="0"/>
        <w:adjustRightInd/>
        <w:snapToGrid/>
        <w:spacing w:line="400" w:lineRule="exact"/>
        <w:textAlignment w:val="auto"/>
        <w:rPr>
          <w:sz w:val="24"/>
          <w:szCs w:val="24"/>
        </w:rPr>
      </w:pPr>
      <w:r>
        <w:rPr>
          <w:sz w:val="24"/>
          <w:szCs w:val="24"/>
        </w:rPr>
        <w:fldChar w:fldCharType="begin"/>
      </w:r>
      <w:r>
        <w:rPr>
          <w:sz w:val="24"/>
          <w:szCs w:val="24"/>
        </w:rPr>
        <w:instrText xml:space="preserve"> HYPERLINK \l _Toc23134 </w:instrText>
      </w:r>
      <w:r>
        <w:rPr>
          <w:sz w:val="24"/>
          <w:szCs w:val="24"/>
        </w:rPr>
        <w:fldChar w:fldCharType="separate"/>
      </w:r>
      <w:r>
        <w:rPr>
          <w:sz w:val="24"/>
          <w:szCs w:val="24"/>
        </w:rPr>
        <w:t>1  总则</w:t>
      </w:r>
      <w:r>
        <w:rPr>
          <w:sz w:val="24"/>
          <w:szCs w:val="24"/>
        </w:rPr>
        <w:tab/>
      </w:r>
      <w:r>
        <w:rPr>
          <w:sz w:val="24"/>
          <w:szCs w:val="24"/>
        </w:rPr>
        <w:fldChar w:fldCharType="begin"/>
      </w:r>
      <w:r>
        <w:rPr>
          <w:sz w:val="24"/>
          <w:szCs w:val="24"/>
        </w:rPr>
        <w:instrText xml:space="preserve"> PAGEREF _Toc23134 \h </w:instrText>
      </w:r>
      <w:r>
        <w:rPr>
          <w:sz w:val="24"/>
          <w:szCs w:val="24"/>
        </w:rPr>
        <w:fldChar w:fldCharType="separate"/>
      </w:r>
      <w:r>
        <w:rPr>
          <w:sz w:val="24"/>
          <w:szCs w:val="24"/>
        </w:rPr>
        <w:t>1</w:t>
      </w:r>
      <w:r>
        <w:rPr>
          <w:sz w:val="24"/>
          <w:szCs w:val="24"/>
        </w:rPr>
        <w:fldChar w:fldCharType="end"/>
      </w:r>
      <w:r>
        <w:rPr>
          <w:sz w:val="24"/>
          <w:szCs w:val="24"/>
        </w:rPr>
        <w:fldChar w:fldCharType="end"/>
      </w:r>
    </w:p>
    <w:p w14:paraId="4FE1AFED">
      <w:pPr>
        <w:pStyle w:val="16"/>
        <w:keepNext w:val="0"/>
        <w:keepLines w:val="0"/>
        <w:pageBreakBefore w:val="0"/>
        <w:widowControl w:val="0"/>
        <w:tabs>
          <w:tab w:val="right" w:leader="dot" w:pos="8306"/>
          <w:tab w:val="clear" w:pos="8302"/>
        </w:tabs>
        <w:kinsoku/>
        <w:wordWrap/>
        <w:overflowPunct/>
        <w:topLinePunct w:val="0"/>
        <w:autoSpaceDE/>
        <w:autoSpaceDN/>
        <w:bidi w:val="0"/>
        <w:adjustRightInd/>
        <w:snapToGrid/>
        <w:spacing w:line="400" w:lineRule="exact"/>
        <w:textAlignment w:val="auto"/>
        <w:rPr>
          <w:sz w:val="24"/>
          <w:szCs w:val="24"/>
        </w:rPr>
      </w:pPr>
      <w:r>
        <w:rPr>
          <w:sz w:val="24"/>
          <w:szCs w:val="24"/>
        </w:rPr>
        <w:fldChar w:fldCharType="begin"/>
      </w:r>
      <w:r>
        <w:rPr>
          <w:sz w:val="24"/>
          <w:szCs w:val="24"/>
        </w:rPr>
        <w:instrText xml:space="preserve"> HYPERLINK \l _Toc24790 </w:instrText>
      </w:r>
      <w:r>
        <w:rPr>
          <w:sz w:val="24"/>
          <w:szCs w:val="24"/>
        </w:rPr>
        <w:fldChar w:fldCharType="separate"/>
      </w:r>
      <w:r>
        <w:rPr>
          <w:sz w:val="24"/>
          <w:szCs w:val="24"/>
        </w:rPr>
        <w:t xml:space="preserve">2  </w:t>
      </w:r>
      <w:r>
        <w:rPr>
          <w:rFonts w:hint="eastAsia"/>
          <w:sz w:val="24"/>
          <w:szCs w:val="24"/>
        </w:rPr>
        <w:t>术语和符号</w:t>
      </w:r>
      <w:r>
        <w:rPr>
          <w:sz w:val="24"/>
          <w:szCs w:val="24"/>
        </w:rPr>
        <w:tab/>
      </w:r>
      <w:r>
        <w:rPr>
          <w:sz w:val="24"/>
          <w:szCs w:val="24"/>
        </w:rPr>
        <w:fldChar w:fldCharType="begin"/>
      </w:r>
      <w:r>
        <w:rPr>
          <w:sz w:val="24"/>
          <w:szCs w:val="24"/>
        </w:rPr>
        <w:instrText xml:space="preserve"> PAGEREF _Toc24790 \h </w:instrText>
      </w:r>
      <w:r>
        <w:rPr>
          <w:sz w:val="24"/>
          <w:szCs w:val="24"/>
        </w:rPr>
        <w:fldChar w:fldCharType="separate"/>
      </w:r>
      <w:r>
        <w:rPr>
          <w:sz w:val="24"/>
          <w:szCs w:val="24"/>
        </w:rPr>
        <w:t>2</w:t>
      </w:r>
      <w:r>
        <w:rPr>
          <w:sz w:val="24"/>
          <w:szCs w:val="24"/>
        </w:rPr>
        <w:fldChar w:fldCharType="end"/>
      </w:r>
      <w:r>
        <w:rPr>
          <w:sz w:val="24"/>
          <w:szCs w:val="24"/>
        </w:rPr>
        <w:fldChar w:fldCharType="end"/>
      </w:r>
    </w:p>
    <w:p w14:paraId="638BC5B0">
      <w:pPr>
        <w:pStyle w:val="1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sz w:val="24"/>
          <w:szCs w:val="24"/>
        </w:rPr>
        <w:fldChar w:fldCharType="begin"/>
      </w:r>
      <w:r>
        <w:rPr>
          <w:sz w:val="24"/>
          <w:szCs w:val="24"/>
        </w:rPr>
        <w:instrText xml:space="preserve"> HYPERLINK \l _Toc29749 </w:instrText>
      </w:r>
      <w:r>
        <w:rPr>
          <w:sz w:val="24"/>
          <w:szCs w:val="24"/>
        </w:rPr>
        <w:fldChar w:fldCharType="separate"/>
      </w:r>
      <w:r>
        <w:rPr>
          <w:rFonts w:hint="eastAsia"/>
          <w:sz w:val="24"/>
          <w:szCs w:val="24"/>
        </w:rPr>
        <w:t>2</w:t>
      </w:r>
      <w:r>
        <w:rPr>
          <w:sz w:val="24"/>
          <w:szCs w:val="24"/>
        </w:rPr>
        <w:t>.1</w:t>
      </w:r>
      <w:r>
        <w:rPr>
          <w:rFonts w:hint="eastAsia"/>
          <w:sz w:val="24"/>
          <w:szCs w:val="24"/>
        </w:rPr>
        <w:t xml:space="preserve">  术语</w:t>
      </w:r>
      <w:r>
        <w:rPr>
          <w:sz w:val="24"/>
          <w:szCs w:val="24"/>
        </w:rPr>
        <w:tab/>
      </w:r>
      <w:r>
        <w:rPr>
          <w:sz w:val="24"/>
          <w:szCs w:val="24"/>
        </w:rPr>
        <w:fldChar w:fldCharType="begin"/>
      </w:r>
      <w:r>
        <w:rPr>
          <w:sz w:val="24"/>
          <w:szCs w:val="24"/>
        </w:rPr>
        <w:instrText xml:space="preserve"> PAGEREF _Toc29749 \h </w:instrText>
      </w:r>
      <w:r>
        <w:rPr>
          <w:sz w:val="24"/>
          <w:szCs w:val="24"/>
        </w:rPr>
        <w:fldChar w:fldCharType="separate"/>
      </w:r>
      <w:r>
        <w:rPr>
          <w:sz w:val="24"/>
          <w:szCs w:val="24"/>
        </w:rPr>
        <w:t>2</w:t>
      </w:r>
      <w:r>
        <w:rPr>
          <w:sz w:val="24"/>
          <w:szCs w:val="24"/>
        </w:rPr>
        <w:fldChar w:fldCharType="end"/>
      </w:r>
      <w:r>
        <w:rPr>
          <w:sz w:val="24"/>
          <w:szCs w:val="24"/>
        </w:rPr>
        <w:fldChar w:fldCharType="end"/>
      </w:r>
    </w:p>
    <w:p w14:paraId="212FBD91">
      <w:pPr>
        <w:pStyle w:val="1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sz w:val="24"/>
          <w:szCs w:val="24"/>
        </w:rPr>
        <w:fldChar w:fldCharType="begin"/>
      </w:r>
      <w:r>
        <w:rPr>
          <w:sz w:val="24"/>
          <w:szCs w:val="24"/>
        </w:rPr>
        <w:instrText xml:space="preserve"> HYPERLINK \l _Toc4600 </w:instrText>
      </w:r>
      <w:r>
        <w:rPr>
          <w:sz w:val="24"/>
          <w:szCs w:val="24"/>
        </w:rPr>
        <w:fldChar w:fldCharType="separate"/>
      </w:r>
      <w:r>
        <w:rPr>
          <w:rFonts w:hint="eastAsia"/>
          <w:sz w:val="24"/>
          <w:szCs w:val="24"/>
        </w:rPr>
        <w:t>2</w:t>
      </w:r>
      <w:r>
        <w:rPr>
          <w:sz w:val="24"/>
          <w:szCs w:val="24"/>
        </w:rPr>
        <w:t>.</w:t>
      </w:r>
      <w:r>
        <w:rPr>
          <w:rFonts w:hint="eastAsia"/>
          <w:sz w:val="24"/>
          <w:szCs w:val="24"/>
        </w:rPr>
        <w:t>2  符号</w:t>
      </w:r>
      <w:r>
        <w:rPr>
          <w:sz w:val="24"/>
          <w:szCs w:val="24"/>
        </w:rPr>
        <w:tab/>
      </w:r>
      <w:r>
        <w:rPr>
          <w:sz w:val="24"/>
          <w:szCs w:val="24"/>
        </w:rPr>
        <w:fldChar w:fldCharType="begin"/>
      </w:r>
      <w:r>
        <w:rPr>
          <w:sz w:val="24"/>
          <w:szCs w:val="24"/>
        </w:rPr>
        <w:instrText xml:space="preserve"> PAGEREF _Toc4600 \h </w:instrText>
      </w:r>
      <w:r>
        <w:rPr>
          <w:sz w:val="24"/>
          <w:szCs w:val="24"/>
        </w:rPr>
        <w:fldChar w:fldCharType="separate"/>
      </w:r>
      <w:r>
        <w:rPr>
          <w:sz w:val="24"/>
          <w:szCs w:val="24"/>
        </w:rPr>
        <w:t>3</w:t>
      </w:r>
      <w:r>
        <w:rPr>
          <w:sz w:val="24"/>
          <w:szCs w:val="24"/>
        </w:rPr>
        <w:fldChar w:fldCharType="end"/>
      </w:r>
      <w:r>
        <w:rPr>
          <w:sz w:val="24"/>
          <w:szCs w:val="24"/>
        </w:rPr>
        <w:fldChar w:fldCharType="end"/>
      </w:r>
    </w:p>
    <w:p w14:paraId="7EE10535">
      <w:pPr>
        <w:pStyle w:val="16"/>
        <w:keepNext w:val="0"/>
        <w:keepLines w:val="0"/>
        <w:pageBreakBefore w:val="0"/>
        <w:widowControl w:val="0"/>
        <w:tabs>
          <w:tab w:val="right" w:leader="dot" w:pos="8306"/>
          <w:tab w:val="clear" w:pos="8302"/>
        </w:tabs>
        <w:kinsoku/>
        <w:wordWrap/>
        <w:overflowPunct/>
        <w:topLinePunct w:val="0"/>
        <w:autoSpaceDE/>
        <w:autoSpaceDN/>
        <w:bidi w:val="0"/>
        <w:adjustRightInd/>
        <w:snapToGrid/>
        <w:spacing w:line="400" w:lineRule="exact"/>
        <w:textAlignment w:val="auto"/>
        <w:rPr>
          <w:sz w:val="24"/>
          <w:szCs w:val="24"/>
        </w:rPr>
      </w:pPr>
      <w:r>
        <w:rPr>
          <w:sz w:val="24"/>
          <w:szCs w:val="24"/>
        </w:rPr>
        <w:fldChar w:fldCharType="begin"/>
      </w:r>
      <w:r>
        <w:rPr>
          <w:sz w:val="24"/>
          <w:szCs w:val="24"/>
        </w:rPr>
        <w:instrText xml:space="preserve"> HYPERLINK \l _Toc3197 </w:instrText>
      </w:r>
      <w:r>
        <w:rPr>
          <w:sz w:val="24"/>
          <w:szCs w:val="24"/>
        </w:rPr>
        <w:fldChar w:fldCharType="separate"/>
      </w:r>
      <w:r>
        <w:rPr>
          <w:sz w:val="24"/>
          <w:szCs w:val="24"/>
        </w:rPr>
        <w:t xml:space="preserve">3  </w:t>
      </w:r>
      <w:r>
        <w:rPr>
          <w:rFonts w:hint="eastAsia"/>
          <w:sz w:val="24"/>
          <w:szCs w:val="24"/>
        </w:rPr>
        <w:t>基本规定</w:t>
      </w:r>
      <w:r>
        <w:rPr>
          <w:sz w:val="24"/>
          <w:szCs w:val="24"/>
        </w:rPr>
        <w:tab/>
      </w:r>
      <w:r>
        <w:rPr>
          <w:sz w:val="24"/>
          <w:szCs w:val="24"/>
        </w:rPr>
        <w:fldChar w:fldCharType="begin"/>
      </w:r>
      <w:r>
        <w:rPr>
          <w:sz w:val="24"/>
          <w:szCs w:val="24"/>
        </w:rPr>
        <w:instrText xml:space="preserve"> PAGEREF _Toc3197 \h </w:instrText>
      </w:r>
      <w:r>
        <w:rPr>
          <w:sz w:val="24"/>
          <w:szCs w:val="24"/>
        </w:rPr>
        <w:fldChar w:fldCharType="separate"/>
      </w:r>
      <w:r>
        <w:rPr>
          <w:sz w:val="24"/>
          <w:szCs w:val="24"/>
        </w:rPr>
        <w:t>5</w:t>
      </w:r>
      <w:r>
        <w:rPr>
          <w:sz w:val="24"/>
          <w:szCs w:val="24"/>
        </w:rPr>
        <w:fldChar w:fldCharType="end"/>
      </w:r>
      <w:r>
        <w:rPr>
          <w:sz w:val="24"/>
          <w:szCs w:val="24"/>
        </w:rPr>
        <w:fldChar w:fldCharType="end"/>
      </w:r>
    </w:p>
    <w:p w14:paraId="5B095AC7">
      <w:pPr>
        <w:pStyle w:val="16"/>
        <w:keepNext w:val="0"/>
        <w:keepLines w:val="0"/>
        <w:pageBreakBefore w:val="0"/>
        <w:widowControl w:val="0"/>
        <w:tabs>
          <w:tab w:val="right" w:leader="dot" w:pos="8306"/>
          <w:tab w:val="clear" w:pos="8302"/>
        </w:tabs>
        <w:kinsoku/>
        <w:wordWrap/>
        <w:overflowPunct/>
        <w:topLinePunct w:val="0"/>
        <w:autoSpaceDE/>
        <w:autoSpaceDN/>
        <w:bidi w:val="0"/>
        <w:adjustRightInd/>
        <w:snapToGrid/>
        <w:spacing w:line="400" w:lineRule="exact"/>
        <w:textAlignment w:val="auto"/>
        <w:rPr>
          <w:sz w:val="24"/>
          <w:szCs w:val="24"/>
        </w:rPr>
      </w:pPr>
      <w:r>
        <w:rPr>
          <w:sz w:val="24"/>
          <w:szCs w:val="24"/>
        </w:rPr>
        <w:fldChar w:fldCharType="begin"/>
      </w:r>
      <w:r>
        <w:rPr>
          <w:sz w:val="24"/>
          <w:szCs w:val="24"/>
        </w:rPr>
        <w:instrText xml:space="preserve"> HYPERLINK \l _Toc20271 </w:instrText>
      </w:r>
      <w:r>
        <w:rPr>
          <w:sz w:val="24"/>
          <w:szCs w:val="24"/>
        </w:rPr>
        <w:fldChar w:fldCharType="separate"/>
      </w:r>
      <w:r>
        <w:rPr>
          <w:sz w:val="24"/>
          <w:szCs w:val="24"/>
        </w:rPr>
        <w:t>4</w:t>
      </w:r>
      <w:r>
        <w:rPr>
          <w:rFonts w:hint="eastAsia"/>
          <w:sz w:val="24"/>
          <w:szCs w:val="24"/>
        </w:rPr>
        <w:t xml:space="preserve">  材料</w:t>
      </w:r>
      <w:r>
        <w:rPr>
          <w:sz w:val="24"/>
          <w:szCs w:val="24"/>
        </w:rPr>
        <w:tab/>
      </w:r>
      <w:r>
        <w:rPr>
          <w:sz w:val="24"/>
          <w:szCs w:val="24"/>
        </w:rPr>
        <w:fldChar w:fldCharType="begin"/>
      </w:r>
      <w:r>
        <w:rPr>
          <w:sz w:val="24"/>
          <w:szCs w:val="24"/>
        </w:rPr>
        <w:instrText xml:space="preserve"> PAGEREF _Toc20271 \h </w:instrText>
      </w:r>
      <w:r>
        <w:rPr>
          <w:sz w:val="24"/>
          <w:szCs w:val="24"/>
        </w:rPr>
        <w:fldChar w:fldCharType="separate"/>
      </w:r>
      <w:r>
        <w:rPr>
          <w:sz w:val="24"/>
          <w:szCs w:val="24"/>
        </w:rPr>
        <w:t>6</w:t>
      </w:r>
      <w:r>
        <w:rPr>
          <w:sz w:val="24"/>
          <w:szCs w:val="24"/>
        </w:rPr>
        <w:fldChar w:fldCharType="end"/>
      </w:r>
      <w:r>
        <w:rPr>
          <w:sz w:val="24"/>
          <w:szCs w:val="24"/>
        </w:rPr>
        <w:fldChar w:fldCharType="end"/>
      </w:r>
    </w:p>
    <w:p w14:paraId="5D8A2848">
      <w:pPr>
        <w:pStyle w:val="1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sz w:val="24"/>
          <w:szCs w:val="24"/>
        </w:rPr>
        <w:fldChar w:fldCharType="begin"/>
      </w:r>
      <w:r>
        <w:rPr>
          <w:sz w:val="24"/>
          <w:szCs w:val="24"/>
        </w:rPr>
        <w:instrText xml:space="preserve"> HYPERLINK \l _Toc10056 </w:instrText>
      </w:r>
      <w:r>
        <w:rPr>
          <w:sz w:val="24"/>
          <w:szCs w:val="24"/>
        </w:rPr>
        <w:fldChar w:fldCharType="separate"/>
      </w:r>
      <w:r>
        <w:rPr>
          <w:sz w:val="24"/>
          <w:szCs w:val="24"/>
        </w:rPr>
        <w:t>4.1</w:t>
      </w:r>
      <w:r>
        <w:rPr>
          <w:rFonts w:hint="eastAsia"/>
          <w:sz w:val="24"/>
          <w:szCs w:val="24"/>
        </w:rPr>
        <w:t xml:space="preserve">  混凝土、钢筋和钢材</w:t>
      </w:r>
      <w:r>
        <w:rPr>
          <w:sz w:val="24"/>
          <w:szCs w:val="24"/>
        </w:rPr>
        <w:tab/>
      </w:r>
      <w:r>
        <w:rPr>
          <w:sz w:val="24"/>
          <w:szCs w:val="24"/>
        </w:rPr>
        <w:fldChar w:fldCharType="begin"/>
      </w:r>
      <w:r>
        <w:rPr>
          <w:sz w:val="24"/>
          <w:szCs w:val="24"/>
        </w:rPr>
        <w:instrText xml:space="preserve"> PAGEREF _Toc10056 \h </w:instrText>
      </w:r>
      <w:r>
        <w:rPr>
          <w:sz w:val="24"/>
          <w:szCs w:val="24"/>
        </w:rPr>
        <w:fldChar w:fldCharType="separate"/>
      </w:r>
      <w:r>
        <w:rPr>
          <w:sz w:val="24"/>
          <w:szCs w:val="24"/>
        </w:rPr>
        <w:t>6</w:t>
      </w:r>
      <w:r>
        <w:rPr>
          <w:sz w:val="24"/>
          <w:szCs w:val="24"/>
        </w:rPr>
        <w:fldChar w:fldCharType="end"/>
      </w:r>
      <w:r>
        <w:rPr>
          <w:sz w:val="24"/>
          <w:szCs w:val="24"/>
        </w:rPr>
        <w:fldChar w:fldCharType="end"/>
      </w:r>
    </w:p>
    <w:p w14:paraId="46465507">
      <w:pPr>
        <w:pStyle w:val="1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sz w:val="24"/>
          <w:szCs w:val="24"/>
        </w:rPr>
        <w:fldChar w:fldCharType="begin"/>
      </w:r>
      <w:r>
        <w:rPr>
          <w:sz w:val="24"/>
          <w:szCs w:val="24"/>
        </w:rPr>
        <w:instrText xml:space="preserve"> HYPERLINK \l _Toc22948 </w:instrText>
      </w:r>
      <w:r>
        <w:rPr>
          <w:sz w:val="24"/>
          <w:szCs w:val="24"/>
        </w:rPr>
        <w:fldChar w:fldCharType="separate"/>
      </w:r>
      <w:r>
        <w:rPr>
          <w:sz w:val="24"/>
          <w:szCs w:val="24"/>
        </w:rPr>
        <w:t>4.2</w:t>
      </w:r>
      <w:r>
        <w:rPr>
          <w:rFonts w:hint="eastAsia"/>
          <w:sz w:val="24"/>
          <w:szCs w:val="24"/>
        </w:rPr>
        <w:t xml:space="preserve">  保温材料</w:t>
      </w:r>
      <w:r>
        <w:rPr>
          <w:sz w:val="24"/>
          <w:szCs w:val="24"/>
        </w:rPr>
        <w:tab/>
      </w:r>
      <w:r>
        <w:rPr>
          <w:sz w:val="24"/>
          <w:szCs w:val="24"/>
        </w:rPr>
        <w:fldChar w:fldCharType="begin"/>
      </w:r>
      <w:r>
        <w:rPr>
          <w:sz w:val="24"/>
          <w:szCs w:val="24"/>
        </w:rPr>
        <w:instrText xml:space="preserve"> PAGEREF _Toc22948 \h </w:instrText>
      </w:r>
      <w:r>
        <w:rPr>
          <w:sz w:val="24"/>
          <w:szCs w:val="24"/>
        </w:rPr>
        <w:fldChar w:fldCharType="separate"/>
      </w:r>
      <w:r>
        <w:rPr>
          <w:sz w:val="24"/>
          <w:szCs w:val="24"/>
        </w:rPr>
        <w:t>6</w:t>
      </w:r>
      <w:r>
        <w:rPr>
          <w:sz w:val="24"/>
          <w:szCs w:val="24"/>
        </w:rPr>
        <w:fldChar w:fldCharType="end"/>
      </w:r>
      <w:r>
        <w:rPr>
          <w:sz w:val="24"/>
          <w:szCs w:val="24"/>
        </w:rPr>
        <w:fldChar w:fldCharType="end"/>
      </w:r>
    </w:p>
    <w:p w14:paraId="1FD99B61">
      <w:pPr>
        <w:pStyle w:val="1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sz w:val="24"/>
          <w:szCs w:val="24"/>
        </w:rPr>
        <w:fldChar w:fldCharType="begin"/>
      </w:r>
      <w:r>
        <w:rPr>
          <w:sz w:val="24"/>
          <w:szCs w:val="24"/>
        </w:rPr>
        <w:instrText xml:space="preserve"> HYPERLINK \l _Toc261 </w:instrText>
      </w:r>
      <w:r>
        <w:rPr>
          <w:sz w:val="24"/>
          <w:szCs w:val="24"/>
        </w:rPr>
        <w:fldChar w:fldCharType="separate"/>
      </w:r>
      <w:r>
        <w:rPr>
          <w:sz w:val="24"/>
          <w:szCs w:val="24"/>
        </w:rPr>
        <w:t xml:space="preserve">4.3  </w:t>
      </w:r>
      <w:r>
        <w:rPr>
          <w:rFonts w:hint="eastAsia"/>
          <w:sz w:val="24"/>
          <w:szCs w:val="24"/>
        </w:rPr>
        <w:t>拉结材料</w:t>
      </w:r>
      <w:r>
        <w:rPr>
          <w:sz w:val="24"/>
          <w:szCs w:val="24"/>
        </w:rPr>
        <w:tab/>
      </w:r>
      <w:r>
        <w:rPr>
          <w:sz w:val="24"/>
          <w:szCs w:val="24"/>
        </w:rPr>
        <w:fldChar w:fldCharType="begin"/>
      </w:r>
      <w:r>
        <w:rPr>
          <w:sz w:val="24"/>
          <w:szCs w:val="24"/>
        </w:rPr>
        <w:instrText xml:space="preserve"> PAGEREF _Toc261 \h </w:instrText>
      </w:r>
      <w:r>
        <w:rPr>
          <w:sz w:val="24"/>
          <w:szCs w:val="24"/>
        </w:rPr>
        <w:fldChar w:fldCharType="separate"/>
      </w:r>
      <w:r>
        <w:rPr>
          <w:sz w:val="24"/>
          <w:szCs w:val="24"/>
        </w:rPr>
        <w:t>7</w:t>
      </w:r>
      <w:r>
        <w:rPr>
          <w:sz w:val="24"/>
          <w:szCs w:val="24"/>
        </w:rPr>
        <w:fldChar w:fldCharType="end"/>
      </w:r>
      <w:r>
        <w:rPr>
          <w:sz w:val="24"/>
          <w:szCs w:val="24"/>
        </w:rPr>
        <w:fldChar w:fldCharType="end"/>
      </w:r>
    </w:p>
    <w:p w14:paraId="61F0686E">
      <w:pPr>
        <w:pStyle w:val="1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sz w:val="24"/>
          <w:szCs w:val="24"/>
        </w:rPr>
        <w:fldChar w:fldCharType="begin"/>
      </w:r>
      <w:r>
        <w:rPr>
          <w:sz w:val="24"/>
          <w:szCs w:val="24"/>
        </w:rPr>
        <w:instrText xml:space="preserve"> HYPERLINK \l _Toc17460 </w:instrText>
      </w:r>
      <w:r>
        <w:rPr>
          <w:sz w:val="24"/>
          <w:szCs w:val="24"/>
        </w:rPr>
        <w:fldChar w:fldCharType="separate"/>
      </w:r>
      <w:r>
        <w:rPr>
          <w:sz w:val="24"/>
          <w:szCs w:val="24"/>
        </w:rPr>
        <w:t xml:space="preserve">4.4  </w:t>
      </w:r>
      <w:r>
        <w:rPr>
          <w:rFonts w:hint="eastAsia"/>
          <w:sz w:val="24"/>
          <w:szCs w:val="24"/>
        </w:rPr>
        <w:t>防水材料</w:t>
      </w:r>
      <w:r>
        <w:rPr>
          <w:sz w:val="24"/>
          <w:szCs w:val="24"/>
        </w:rPr>
        <w:tab/>
      </w:r>
      <w:r>
        <w:rPr>
          <w:sz w:val="24"/>
          <w:szCs w:val="24"/>
        </w:rPr>
        <w:fldChar w:fldCharType="begin"/>
      </w:r>
      <w:r>
        <w:rPr>
          <w:sz w:val="24"/>
          <w:szCs w:val="24"/>
        </w:rPr>
        <w:instrText xml:space="preserve"> PAGEREF _Toc17460 \h </w:instrText>
      </w:r>
      <w:r>
        <w:rPr>
          <w:sz w:val="24"/>
          <w:szCs w:val="24"/>
        </w:rPr>
        <w:fldChar w:fldCharType="separate"/>
      </w:r>
      <w:r>
        <w:rPr>
          <w:sz w:val="24"/>
          <w:szCs w:val="24"/>
        </w:rPr>
        <w:t>9</w:t>
      </w:r>
      <w:r>
        <w:rPr>
          <w:sz w:val="24"/>
          <w:szCs w:val="24"/>
        </w:rPr>
        <w:fldChar w:fldCharType="end"/>
      </w:r>
      <w:r>
        <w:rPr>
          <w:sz w:val="24"/>
          <w:szCs w:val="24"/>
        </w:rPr>
        <w:fldChar w:fldCharType="end"/>
      </w:r>
    </w:p>
    <w:p w14:paraId="1B0C8E6B">
      <w:pPr>
        <w:pStyle w:val="1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sz w:val="24"/>
          <w:szCs w:val="24"/>
        </w:rPr>
        <w:fldChar w:fldCharType="begin"/>
      </w:r>
      <w:r>
        <w:rPr>
          <w:sz w:val="24"/>
          <w:szCs w:val="24"/>
        </w:rPr>
        <w:instrText xml:space="preserve"> HYPERLINK \l _Toc12455 </w:instrText>
      </w:r>
      <w:r>
        <w:rPr>
          <w:sz w:val="24"/>
          <w:szCs w:val="24"/>
        </w:rPr>
        <w:fldChar w:fldCharType="separate"/>
      </w:r>
      <w:r>
        <w:rPr>
          <w:sz w:val="24"/>
          <w:szCs w:val="24"/>
        </w:rPr>
        <w:t>4.</w:t>
      </w:r>
      <w:r>
        <w:rPr>
          <w:rFonts w:hint="eastAsia"/>
          <w:sz w:val="24"/>
          <w:szCs w:val="24"/>
        </w:rPr>
        <w:t>5</w:t>
      </w:r>
      <w:r>
        <w:rPr>
          <w:sz w:val="24"/>
          <w:szCs w:val="24"/>
        </w:rPr>
        <w:t xml:space="preserve">  </w:t>
      </w:r>
      <w:r>
        <w:rPr>
          <w:rFonts w:hint="eastAsia"/>
          <w:sz w:val="24"/>
          <w:szCs w:val="24"/>
        </w:rPr>
        <w:t>饰面材料</w:t>
      </w:r>
      <w:r>
        <w:rPr>
          <w:sz w:val="24"/>
          <w:szCs w:val="24"/>
        </w:rPr>
        <w:tab/>
      </w:r>
      <w:r>
        <w:rPr>
          <w:sz w:val="24"/>
          <w:szCs w:val="24"/>
        </w:rPr>
        <w:fldChar w:fldCharType="begin"/>
      </w:r>
      <w:r>
        <w:rPr>
          <w:sz w:val="24"/>
          <w:szCs w:val="24"/>
        </w:rPr>
        <w:instrText xml:space="preserve"> PAGEREF _Toc12455 \h </w:instrText>
      </w:r>
      <w:r>
        <w:rPr>
          <w:sz w:val="24"/>
          <w:szCs w:val="24"/>
        </w:rPr>
        <w:fldChar w:fldCharType="separate"/>
      </w:r>
      <w:r>
        <w:rPr>
          <w:sz w:val="24"/>
          <w:szCs w:val="24"/>
        </w:rPr>
        <w:t>9</w:t>
      </w:r>
      <w:r>
        <w:rPr>
          <w:sz w:val="24"/>
          <w:szCs w:val="24"/>
        </w:rPr>
        <w:fldChar w:fldCharType="end"/>
      </w:r>
      <w:r>
        <w:rPr>
          <w:sz w:val="24"/>
          <w:szCs w:val="24"/>
        </w:rPr>
        <w:fldChar w:fldCharType="end"/>
      </w:r>
    </w:p>
    <w:p w14:paraId="05790CEE">
      <w:pPr>
        <w:pStyle w:val="1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sz w:val="24"/>
          <w:szCs w:val="24"/>
        </w:rPr>
        <w:fldChar w:fldCharType="begin"/>
      </w:r>
      <w:r>
        <w:rPr>
          <w:sz w:val="24"/>
          <w:szCs w:val="24"/>
        </w:rPr>
        <w:instrText xml:space="preserve"> HYPERLINK \l _Toc25466 </w:instrText>
      </w:r>
      <w:r>
        <w:rPr>
          <w:sz w:val="24"/>
          <w:szCs w:val="24"/>
        </w:rPr>
        <w:fldChar w:fldCharType="separate"/>
      </w:r>
      <w:r>
        <w:rPr>
          <w:sz w:val="24"/>
          <w:szCs w:val="24"/>
        </w:rPr>
        <w:t>4.</w:t>
      </w:r>
      <w:r>
        <w:rPr>
          <w:rFonts w:hint="eastAsia"/>
          <w:sz w:val="24"/>
          <w:szCs w:val="24"/>
        </w:rPr>
        <w:t>6</w:t>
      </w:r>
      <w:r>
        <w:rPr>
          <w:sz w:val="24"/>
          <w:szCs w:val="24"/>
        </w:rPr>
        <w:t xml:space="preserve">  </w:t>
      </w:r>
      <w:r>
        <w:rPr>
          <w:rFonts w:hint="eastAsia"/>
          <w:sz w:val="24"/>
          <w:szCs w:val="24"/>
        </w:rPr>
        <w:t>其他材料</w:t>
      </w:r>
      <w:r>
        <w:rPr>
          <w:sz w:val="24"/>
          <w:szCs w:val="24"/>
        </w:rPr>
        <w:tab/>
      </w:r>
      <w:r>
        <w:rPr>
          <w:sz w:val="24"/>
          <w:szCs w:val="24"/>
        </w:rPr>
        <w:fldChar w:fldCharType="begin"/>
      </w:r>
      <w:r>
        <w:rPr>
          <w:sz w:val="24"/>
          <w:szCs w:val="24"/>
        </w:rPr>
        <w:instrText xml:space="preserve"> PAGEREF _Toc25466 \h </w:instrText>
      </w:r>
      <w:r>
        <w:rPr>
          <w:sz w:val="24"/>
          <w:szCs w:val="24"/>
        </w:rPr>
        <w:fldChar w:fldCharType="separate"/>
      </w:r>
      <w:r>
        <w:rPr>
          <w:sz w:val="24"/>
          <w:szCs w:val="24"/>
        </w:rPr>
        <w:t>10</w:t>
      </w:r>
      <w:r>
        <w:rPr>
          <w:sz w:val="24"/>
          <w:szCs w:val="24"/>
        </w:rPr>
        <w:fldChar w:fldCharType="end"/>
      </w:r>
      <w:r>
        <w:rPr>
          <w:sz w:val="24"/>
          <w:szCs w:val="24"/>
        </w:rPr>
        <w:fldChar w:fldCharType="end"/>
      </w:r>
    </w:p>
    <w:p w14:paraId="746BEE55">
      <w:pPr>
        <w:pStyle w:val="16"/>
        <w:keepNext w:val="0"/>
        <w:keepLines w:val="0"/>
        <w:pageBreakBefore w:val="0"/>
        <w:widowControl w:val="0"/>
        <w:tabs>
          <w:tab w:val="right" w:leader="dot" w:pos="8306"/>
          <w:tab w:val="clear" w:pos="8302"/>
        </w:tabs>
        <w:kinsoku/>
        <w:wordWrap/>
        <w:overflowPunct/>
        <w:topLinePunct w:val="0"/>
        <w:autoSpaceDE/>
        <w:autoSpaceDN/>
        <w:bidi w:val="0"/>
        <w:adjustRightInd/>
        <w:snapToGrid/>
        <w:spacing w:line="400" w:lineRule="exact"/>
        <w:textAlignment w:val="auto"/>
        <w:rPr>
          <w:sz w:val="24"/>
          <w:szCs w:val="24"/>
        </w:rPr>
      </w:pPr>
      <w:r>
        <w:rPr>
          <w:sz w:val="24"/>
          <w:szCs w:val="24"/>
        </w:rPr>
        <w:fldChar w:fldCharType="begin"/>
      </w:r>
      <w:r>
        <w:rPr>
          <w:sz w:val="24"/>
          <w:szCs w:val="24"/>
        </w:rPr>
        <w:instrText xml:space="preserve"> HYPERLINK \l _Toc21481 </w:instrText>
      </w:r>
      <w:r>
        <w:rPr>
          <w:sz w:val="24"/>
          <w:szCs w:val="24"/>
        </w:rPr>
        <w:fldChar w:fldCharType="separate"/>
      </w:r>
      <w:r>
        <w:rPr>
          <w:sz w:val="24"/>
          <w:szCs w:val="24"/>
        </w:rPr>
        <w:t xml:space="preserve">5  </w:t>
      </w:r>
      <w:r>
        <w:rPr>
          <w:rFonts w:hint="eastAsia"/>
          <w:sz w:val="24"/>
          <w:szCs w:val="24"/>
        </w:rPr>
        <w:t>设计</w:t>
      </w:r>
      <w:r>
        <w:rPr>
          <w:sz w:val="24"/>
          <w:szCs w:val="24"/>
        </w:rPr>
        <w:tab/>
      </w:r>
      <w:r>
        <w:rPr>
          <w:sz w:val="24"/>
          <w:szCs w:val="24"/>
        </w:rPr>
        <w:fldChar w:fldCharType="begin"/>
      </w:r>
      <w:r>
        <w:rPr>
          <w:sz w:val="24"/>
          <w:szCs w:val="24"/>
        </w:rPr>
        <w:instrText xml:space="preserve"> PAGEREF _Toc21481 \h </w:instrText>
      </w:r>
      <w:r>
        <w:rPr>
          <w:sz w:val="24"/>
          <w:szCs w:val="24"/>
        </w:rPr>
        <w:fldChar w:fldCharType="separate"/>
      </w:r>
      <w:r>
        <w:rPr>
          <w:sz w:val="24"/>
          <w:szCs w:val="24"/>
        </w:rPr>
        <w:t>11</w:t>
      </w:r>
      <w:r>
        <w:rPr>
          <w:sz w:val="24"/>
          <w:szCs w:val="24"/>
        </w:rPr>
        <w:fldChar w:fldCharType="end"/>
      </w:r>
      <w:r>
        <w:rPr>
          <w:sz w:val="24"/>
          <w:szCs w:val="24"/>
        </w:rPr>
        <w:fldChar w:fldCharType="end"/>
      </w:r>
    </w:p>
    <w:p w14:paraId="685EA325">
      <w:pPr>
        <w:pStyle w:val="1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sz w:val="24"/>
          <w:szCs w:val="24"/>
        </w:rPr>
        <w:fldChar w:fldCharType="begin"/>
      </w:r>
      <w:r>
        <w:rPr>
          <w:sz w:val="24"/>
          <w:szCs w:val="24"/>
        </w:rPr>
        <w:instrText xml:space="preserve"> HYPERLINK \l _Toc21399 </w:instrText>
      </w:r>
      <w:r>
        <w:rPr>
          <w:sz w:val="24"/>
          <w:szCs w:val="24"/>
        </w:rPr>
        <w:fldChar w:fldCharType="separate"/>
      </w:r>
      <w:r>
        <w:rPr>
          <w:sz w:val="24"/>
          <w:szCs w:val="24"/>
        </w:rPr>
        <w:t>5.1 一般规定</w:t>
      </w:r>
      <w:r>
        <w:rPr>
          <w:sz w:val="24"/>
          <w:szCs w:val="24"/>
        </w:rPr>
        <w:tab/>
      </w:r>
      <w:r>
        <w:rPr>
          <w:sz w:val="24"/>
          <w:szCs w:val="24"/>
        </w:rPr>
        <w:fldChar w:fldCharType="begin"/>
      </w:r>
      <w:r>
        <w:rPr>
          <w:sz w:val="24"/>
          <w:szCs w:val="24"/>
        </w:rPr>
        <w:instrText xml:space="preserve"> PAGEREF _Toc21399 \h </w:instrText>
      </w:r>
      <w:r>
        <w:rPr>
          <w:sz w:val="24"/>
          <w:szCs w:val="24"/>
        </w:rPr>
        <w:fldChar w:fldCharType="separate"/>
      </w:r>
      <w:r>
        <w:rPr>
          <w:sz w:val="24"/>
          <w:szCs w:val="24"/>
        </w:rPr>
        <w:t>11</w:t>
      </w:r>
      <w:r>
        <w:rPr>
          <w:sz w:val="24"/>
          <w:szCs w:val="24"/>
        </w:rPr>
        <w:fldChar w:fldCharType="end"/>
      </w:r>
      <w:r>
        <w:rPr>
          <w:sz w:val="24"/>
          <w:szCs w:val="24"/>
        </w:rPr>
        <w:fldChar w:fldCharType="end"/>
      </w:r>
    </w:p>
    <w:p w14:paraId="5CDA930E">
      <w:pPr>
        <w:pStyle w:val="1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sz w:val="24"/>
          <w:szCs w:val="24"/>
        </w:rPr>
        <w:fldChar w:fldCharType="begin"/>
      </w:r>
      <w:r>
        <w:rPr>
          <w:sz w:val="24"/>
          <w:szCs w:val="24"/>
        </w:rPr>
        <w:instrText xml:space="preserve"> HYPERLINK \l _Toc24204 </w:instrText>
      </w:r>
      <w:r>
        <w:rPr>
          <w:sz w:val="24"/>
          <w:szCs w:val="24"/>
        </w:rPr>
        <w:fldChar w:fldCharType="separate"/>
      </w:r>
      <w:r>
        <w:rPr>
          <w:sz w:val="24"/>
          <w:szCs w:val="24"/>
        </w:rPr>
        <w:t xml:space="preserve">5.2 </w:t>
      </w:r>
      <w:r>
        <w:rPr>
          <w:rFonts w:hint="eastAsia"/>
          <w:sz w:val="24"/>
          <w:szCs w:val="24"/>
        </w:rPr>
        <w:t>组成构造</w:t>
      </w:r>
      <w:r>
        <w:rPr>
          <w:sz w:val="24"/>
          <w:szCs w:val="24"/>
        </w:rPr>
        <w:tab/>
      </w:r>
      <w:r>
        <w:rPr>
          <w:sz w:val="24"/>
          <w:szCs w:val="24"/>
        </w:rPr>
        <w:fldChar w:fldCharType="begin"/>
      </w:r>
      <w:r>
        <w:rPr>
          <w:sz w:val="24"/>
          <w:szCs w:val="24"/>
        </w:rPr>
        <w:instrText xml:space="preserve"> PAGEREF _Toc24204 \h </w:instrText>
      </w:r>
      <w:r>
        <w:rPr>
          <w:sz w:val="24"/>
          <w:szCs w:val="24"/>
        </w:rPr>
        <w:fldChar w:fldCharType="separate"/>
      </w:r>
      <w:r>
        <w:rPr>
          <w:sz w:val="24"/>
          <w:szCs w:val="24"/>
        </w:rPr>
        <w:t>11</w:t>
      </w:r>
      <w:r>
        <w:rPr>
          <w:sz w:val="24"/>
          <w:szCs w:val="24"/>
        </w:rPr>
        <w:fldChar w:fldCharType="end"/>
      </w:r>
      <w:r>
        <w:rPr>
          <w:sz w:val="24"/>
          <w:szCs w:val="24"/>
        </w:rPr>
        <w:fldChar w:fldCharType="end"/>
      </w:r>
    </w:p>
    <w:p w14:paraId="29842B07">
      <w:pPr>
        <w:pStyle w:val="1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sz w:val="24"/>
          <w:szCs w:val="24"/>
        </w:rPr>
        <w:fldChar w:fldCharType="begin"/>
      </w:r>
      <w:r>
        <w:rPr>
          <w:sz w:val="24"/>
          <w:szCs w:val="24"/>
        </w:rPr>
        <w:instrText xml:space="preserve"> HYPERLINK \l _Toc26844 </w:instrText>
      </w:r>
      <w:r>
        <w:rPr>
          <w:sz w:val="24"/>
          <w:szCs w:val="24"/>
        </w:rPr>
        <w:fldChar w:fldCharType="separate"/>
      </w:r>
      <w:r>
        <w:rPr>
          <w:sz w:val="24"/>
          <w:szCs w:val="24"/>
        </w:rPr>
        <w:t xml:space="preserve">5.3 </w:t>
      </w:r>
      <w:r>
        <w:rPr>
          <w:rFonts w:hint="eastAsia"/>
          <w:sz w:val="24"/>
          <w:szCs w:val="24"/>
          <w:lang w:eastAsia="zh-CN"/>
        </w:rPr>
        <w:t>墙板及</w:t>
      </w:r>
      <w:r>
        <w:rPr>
          <w:rFonts w:hint="eastAsia"/>
          <w:sz w:val="24"/>
          <w:szCs w:val="24"/>
        </w:rPr>
        <w:t>连接设计</w:t>
      </w:r>
      <w:r>
        <w:rPr>
          <w:sz w:val="24"/>
          <w:szCs w:val="24"/>
        </w:rPr>
        <w:tab/>
      </w:r>
      <w:r>
        <w:rPr>
          <w:sz w:val="24"/>
          <w:szCs w:val="24"/>
        </w:rPr>
        <w:fldChar w:fldCharType="begin"/>
      </w:r>
      <w:r>
        <w:rPr>
          <w:sz w:val="24"/>
          <w:szCs w:val="24"/>
        </w:rPr>
        <w:instrText xml:space="preserve"> PAGEREF _Toc26844 \h </w:instrText>
      </w:r>
      <w:r>
        <w:rPr>
          <w:sz w:val="24"/>
          <w:szCs w:val="24"/>
        </w:rPr>
        <w:fldChar w:fldCharType="separate"/>
      </w:r>
      <w:r>
        <w:rPr>
          <w:sz w:val="24"/>
          <w:szCs w:val="24"/>
        </w:rPr>
        <w:t>18</w:t>
      </w:r>
      <w:r>
        <w:rPr>
          <w:sz w:val="24"/>
          <w:szCs w:val="24"/>
        </w:rPr>
        <w:fldChar w:fldCharType="end"/>
      </w:r>
      <w:r>
        <w:rPr>
          <w:sz w:val="24"/>
          <w:szCs w:val="24"/>
        </w:rPr>
        <w:fldChar w:fldCharType="end"/>
      </w:r>
    </w:p>
    <w:p w14:paraId="5474AEB3">
      <w:pPr>
        <w:pStyle w:val="16"/>
        <w:keepNext w:val="0"/>
        <w:keepLines w:val="0"/>
        <w:pageBreakBefore w:val="0"/>
        <w:widowControl w:val="0"/>
        <w:tabs>
          <w:tab w:val="right" w:leader="dot" w:pos="8306"/>
          <w:tab w:val="clear" w:pos="8302"/>
        </w:tabs>
        <w:kinsoku/>
        <w:wordWrap/>
        <w:overflowPunct/>
        <w:topLinePunct w:val="0"/>
        <w:autoSpaceDE/>
        <w:autoSpaceDN/>
        <w:bidi w:val="0"/>
        <w:adjustRightInd/>
        <w:snapToGrid/>
        <w:spacing w:line="400" w:lineRule="exact"/>
        <w:textAlignment w:val="auto"/>
        <w:rPr>
          <w:sz w:val="24"/>
          <w:szCs w:val="24"/>
        </w:rPr>
      </w:pPr>
      <w:r>
        <w:rPr>
          <w:sz w:val="24"/>
          <w:szCs w:val="24"/>
        </w:rPr>
        <w:fldChar w:fldCharType="begin"/>
      </w:r>
      <w:r>
        <w:rPr>
          <w:sz w:val="24"/>
          <w:szCs w:val="24"/>
        </w:rPr>
        <w:instrText xml:space="preserve"> HYPERLINK \l _Toc11474 </w:instrText>
      </w:r>
      <w:r>
        <w:rPr>
          <w:sz w:val="24"/>
          <w:szCs w:val="24"/>
        </w:rPr>
        <w:fldChar w:fldCharType="separate"/>
      </w:r>
      <w:r>
        <w:rPr>
          <w:rFonts w:hint="eastAsia"/>
          <w:bCs w:val="0"/>
          <w:sz w:val="24"/>
          <w:szCs w:val="24"/>
        </w:rPr>
        <w:t>6</w:t>
      </w:r>
      <w:r>
        <w:rPr>
          <w:bCs w:val="0"/>
          <w:sz w:val="24"/>
          <w:szCs w:val="24"/>
        </w:rPr>
        <w:t xml:space="preserve">  </w:t>
      </w:r>
      <w:r>
        <w:rPr>
          <w:rFonts w:hint="eastAsia"/>
          <w:bCs w:val="0"/>
          <w:sz w:val="24"/>
          <w:szCs w:val="24"/>
        </w:rPr>
        <w:t>生产和运输</w:t>
      </w:r>
      <w:r>
        <w:rPr>
          <w:sz w:val="24"/>
          <w:szCs w:val="24"/>
        </w:rPr>
        <w:tab/>
      </w:r>
      <w:r>
        <w:rPr>
          <w:sz w:val="24"/>
          <w:szCs w:val="24"/>
        </w:rPr>
        <w:fldChar w:fldCharType="begin"/>
      </w:r>
      <w:r>
        <w:rPr>
          <w:sz w:val="24"/>
          <w:szCs w:val="24"/>
        </w:rPr>
        <w:instrText xml:space="preserve"> PAGEREF _Toc11474 \h </w:instrText>
      </w:r>
      <w:r>
        <w:rPr>
          <w:sz w:val="24"/>
          <w:szCs w:val="24"/>
        </w:rPr>
        <w:fldChar w:fldCharType="separate"/>
      </w:r>
      <w:r>
        <w:rPr>
          <w:sz w:val="24"/>
          <w:szCs w:val="24"/>
        </w:rPr>
        <w:t>24</w:t>
      </w:r>
      <w:r>
        <w:rPr>
          <w:sz w:val="24"/>
          <w:szCs w:val="24"/>
        </w:rPr>
        <w:fldChar w:fldCharType="end"/>
      </w:r>
      <w:r>
        <w:rPr>
          <w:sz w:val="24"/>
          <w:szCs w:val="24"/>
        </w:rPr>
        <w:fldChar w:fldCharType="end"/>
      </w:r>
    </w:p>
    <w:p w14:paraId="6A1BC5FA">
      <w:pPr>
        <w:pStyle w:val="1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sz w:val="24"/>
          <w:szCs w:val="24"/>
        </w:rPr>
        <w:fldChar w:fldCharType="begin"/>
      </w:r>
      <w:r>
        <w:rPr>
          <w:sz w:val="24"/>
          <w:szCs w:val="24"/>
        </w:rPr>
        <w:instrText xml:space="preserve"> HYPERLINK \l _Toc19186 </w:instrText>
      </w:r>
      <w:r>
        <w:rPr>
          <w:sz w:val="24"/>
          <w:szCs w:val="24"/>
        </w:rPr>
        <w:fldChar w:fldCharType="separate"/>
      </w:r>
      <w:r>
        <w:rPr>
          <w:rFonts w:hint="eastAsia"/>
          <w:sz w:val="24"/>
          <w:szCs w:val="24"/>
        </w:rPr>
        <w:t>6</w:t>
      </w:r>
      <w:r>
        <w:rPr>
          <w:sz w:val="24"/>
          <w:szCs w:val="24"/>
        </w:rPr>
        <w:t>.1  一般规定</w:t>
      </w:r>
      <w:r>
        <w:rPr>
          <w:sz w:val="24"/>
          <w:szCs w:val="24"/>
        </w:rPr>
        <w:tab/>
      </w:r>
      <w:r>
        <w:rPr>
          <w:sz w:val="24"/>
          <w:szCs w:val="24"/>
        </w:rPr>
        <w:fldChar w:fldCharType="begin"/>
      </w:r>
      <w:r>
        <w:rPr>
          <w:sz w:val="24"/>
          <w:szCs w:val="24"/>
        </w:rPr>
        <w:instrText xml:space="preserve"> PAGEREF _Toc19186 \h </w:instrText>
      </w:r>
      <w:r>
        <w:rPr>
          <w:sz w:val="24"/>
          <w:szCs w:val="24"/>
        </w:rPr>
        <w:fldChar w:fldCharType="separate"/>
      </w:r>
      <w:r>
        <w:rPr>
          <w:sz w:val="24"/>
          <w:szCs w:val="24"/>
        </w:rPr>
        <w:t>24</w:t>
      </w:r>
      <w:r>
        <w:rPr>
          <w:sz w:val="24"/>
          <w:szCs w:val="24"/>
        </w:rPr>
        <w:fldChar w:fldCharType="end"/>
      </w:r>
      <w:r>
        <w:rPr>
          <w:sz w:val="24"/>
          <w:szCs w:val="24"/>
        </w:rPr>
        <w:fldChar w:fldCharType="end"/>
      </w:r>
    </w:p>
    <w:p w14:paraId="46D49AB4">
      <w:pPr>
        <w:pStyle w:val="1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sz w:val="24"/>
          <w:szCs w:val="24"/>
        </w:rPr>
        <w:fldChar w:fldCharType="begin"/>
      </w:r>
      <w:r>
        <w:rPr>
          <w:sz w:val="24"/>
          <w:szCs w:val="24"/>
        </w:rPr>
        <w:instrText xml:space="preserve"> HYPERLINK \l _Toc14974 </w:instrText>
      </w:r>
      <w:r>
        <w:rPr>
          <w:sz w:val="24"/>
          <w:szCs w:val="24"/>
        </w:rPr>
        <w:fldChar w:fldCharType="separate"/>
      </w:r>
      <w:r>
        <w:rPr>
          <w:rFonts w:hint="eastAsia"/>
          <w:sz w:val="24"/>
          <w:szCs w:val="24"/>
        </w:rPr>
        <w:t>6</w:t>
      </w:r>
      <w:r>
        <w:rPr>
          <w:sz w:val="24"/>
          <w:szCs w:val="24"/>
        </w:rPr>
        <w:t xml:space="preserve">.2  </w:t>
      </w:r>
      <w:r>
        <w:rPr>
          <w:rFonts w:hint="eastAsia"/>
          <w:sz w:val="24"/>
          <w:szCs w:val="24"/>
        </w:rPr>
        <w:t>生产</w:t>
      </w:r>
      <w:r>
        <w:rPr>
          <w:sz w:val="24"/>
          <w:szCs w:val="24"/>
        </w:rPr>
        <w:tab/>
      </w:r>
      <w:r>
        <w:rPr>
          <w:sz w:val="24"/>
          <w:szCs w:val="24"/>
        </w:rPr>
        <w:fldChar w:fldCharType="begin"/>
      </w:r>
      <w:r>
        <w:rPr>
          <w:sz w:val="24"/>
          <w:szCs w:val="24"/>
        </w:rPr>
        <w:instrText xml:space="preserve"> PAGEREF _Toc14974 \h </w:instrText>
      </w:r>
      <w:r>
        <w:rPr>
          <w:sz w:val="24"/>
          <w:szCs w:val="24"/>
        </w:rPr>
        <w:fldChar w:fldCharType="separate"/>
      </w:r>
      <w:r>
        <w:rPr>
          <w:sz w:val="24"/>
          <w:szCs w:val="24"/>
        </w:rPr>
        <w:t>24</w:t>
      </w:r>
      <w:r>
        <w:rPr>
          <w:sz w:val="24"/>
          <w:szCs w:val="24"/>
        </w:rPr>
        <w:fldChar w:fldCharType="end"/>
      </w:r>
      <w:r>
        <w:rPr>
          <w:sz w:val="24"/>
          <w:szCs w:val="24"/>
        </w:rPr>
        <w:fldChar w:fldCharType="end"/>
      </w:r>
    </w:p>
    <w:p w14:paraId="78D76338">
      <w:pPr>
        <w:pStyle w:val="1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sz w:val="24"/>
          <w:szCs w:val="24"/>
        </w:rPr>
        <w:fldChar w:fldCharType="begin"/>
      </w:r>
      <w:r>
        <w:rPr>
          <w:sz w:val="24"/>
          <w:szCs w:val="24"/>
        </w:rPr>
        <w:instrText xml:space="preserve"> HYPERLINK \l _Toc13893 </w:instrText>
      </w:r>
      <w:r>
        <w:rPr>
          <w:sz w:val="24"/>
          <w:szCs w:val="24"/>
        </w:rPr>
        <w:fldChar w:fldCharType="separate"/>
      </w:r>
      <w:r>
        <w:rPr>
          <w:rFonts w:hint="eastAsia"/>
          <w:sz w:val="24"/>
          <w:szCs w:val="24"/>
        </w:rPr>
        <w:t>6</w:t>
      </w:r>
      <w:r>
        <w:rPr>
          <w:sz w:val="24"/>
          <w:szCs w:val="24"/>
        </w:rPr>
        <w:t>.</w:t>
      </w:r>
      <w:r>
        <w:rPr>
          <w:rFonts w:hint="eastAsia"/>
          <w:sz w:val="24"/>
          <w:szCs w:val="24"/>
        </w:rPr>
        <w:t>3</w:t>
      </w:r>
      <w:r>
        <w:rPr>
          <w:sz w:val="24"/>
          <w:szCs w:val="24"/>
        </w:rPr>
        <w:t xml:space="preserve">  </w:t>
      </w:r>
      <w:r>
        <w:rPr>
          <w:rFonts w:hint="eastAsia"/>
          <w:sz w:val="24"/>
          <w:szCs w:val="24"/>
        </w:rPr>
        <w:t>出厂检验</w:t>
      </w:r>
      <w:r>
        <w:rPr>
          <w:sz w:val="24"/>
          <w:szCs w:val="24"/>
        </w:rPr>
        <w:tab/>
      </w:r>
      <w:r>
        <w:rPr>
          <w:sz w:val="24"/>
          <w:szCs w:val="24"/>
        </w:rPr>
        <w:fldChar w:fldCharType="begin"/>
      </w:r>
      <w:r>
        <w:rPr>
          <w:sz w:val="24"/>
          <w:szCs w:val="24"/>
        </w:rPr>
        <w:instrText xml:space="preserve"> PAGEREF _Toc13893 \h </w:instrText>
      </w:r>
      <w:r>
        <w:rPr>
          <w:sz w:val="24"/>
          <w:szCs w:val="24"/>
        </w:rPr>
        <w:fldChar w:fldCharType="separate"/>
      </w:r>
      <w:r>
        <w:rPr>
          <w:sz w:val="24"/>
          <w:szCs w:val="24"/>
        </w:rPr>
        <w:t>26</w:t>
      </w:r>
      <w:r>
        <w:rPr>
          <w:sz w:val="24"/>
          <w:szCs w:val="24"/>
        </w:rPr>
        <w:fldChar w:fldCharType="end"/>
      </w:r>
      <w:r>
        <w:rPr>
          <w:sz w:val="24"/>
          <w:szCs w:val="24"/>
        </w:rPr>
        <w:fldChar w:fldCharType="end"/>
      </w:r>
    </w:p>
    <w:p w14:paraId="1E3D917E">
      <w:pPr>
        <w:pStyle w:val="1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sz w:val="24"/>
          <w:szCs w:val="24"/>
        </w:rPr>
        <w:fldChar w:fldCharType="begin"/>
      </w:r>
      <w:r>
        <w:rPr>
          <w:sz w:val="24"/>
          <w:szCs w:val="24"/>
        </w:rPr>
        <w:instrText xml:space="preserve"> HYPERLINK \l _Toc11038 </w:instrText>
      </w:r>
      <w:r>
        <w:rPr>
          <w:sz w:val="24"/>
          <w:szCs w:val="24"/>
        </w:rPr>
        <w:fldChar w:fldCharType="separate"/>
      </w:r>
      <w:r>
        <w:rPr>
          <w:rFonts w:hint="eastAsia"/>
          <w:sz w:val="24"/>
          <w:szCs w:val="24"/>
        </w:rPr>
        <w:t>6</w:t>
      </w:r>
      <w:r>
        <w:rPr>
          <w:sz w:val="24"/>
          <w:szCs w:val="24"/>
        </w:rPr>
        <w:t>.</w:t>
      </w:r>
      <w:r>
        <w:rPr>
          <w:rFonts w:hint="eastAsia"/>
          <w:sz w:val="24"/>
          <w:szCs w:val="24"/>
        </w:rPr>
        <w:t>4</w:t>
      </w:r>
      <w:r>
        <w:rPr>
          <w:sz w:val="24"/>
          <w:szCs w:val="24"/>
        </w:rPr>
        <w:t xml:space="preserve">  </w:t>
      </w:r>
      <w:r>
        <w:rPr>
          <w:rFonts w:hint="eastAsia"/>
          <w:sz w:val="24"/>
          <w:szCs w:val="24"/>
        </w:rPr>
        <w:t>运输</w:t>
      </w:r>
      <w:r>
        <w:rPr>
          <w:sz w:val="24"/>
          <w:szCs w:val="24"/>
        </w:rPr>
        <w:tab/>
      </w:r>
      <w:r>
        <w:rPr>
          <w:sz w:val="24"/>
          <w:szCs w:val="24"/>
        </w:rPr>
        <w:fldChar w:fldCharType="begin"/>
      </w:r>
      <w:r>
        <w:rPr>
          <w:sz w:val="24"/>
          <w:szCs w:val="24"/>
        </w:rPr>
        <w:instrText xml:space="preserve"> PAGEREF _Toc11038 \h </w:instrText>
      </w:r>
      <w:r>
        <w:rPr>
          <w:sz w:val="24"/>
          <w:szCs w:val="24"/>
        </w:rPr>
        <w:fldChar w:fldCharType="separate"/>
      </w:r>
      <w:r>
        <w:rPr>
          <w:sz w:val="24"/>
          <w:szCs w:val="24"/>
        </w:rPr>
        <w:t>27</w:t>
      </w:r>
      <w:r>
        <w:rPr>
          <w:sz w:val="24"/>
          <w:szCs w:val="24"/>
        </w:rPr>
        <w:fldChar w:fldCharType="end"/>
      </w:r>
      <w:r>
        <w:rPr>
          <w:sz w:val="24"/>
          <w:szCs w:val="24"/>
        </w:rPr>
        <w:fldChar w:fldCharType="end"/>
      </w:r>
    </w:p>
    <w:p w14:paraId="3CC9614A">
      <w:pPr>
        <w:pStyle w:val="16"/>
        <w:keepNext w:val="0"/>
        <w:keepLines w:val="0"/>
        <w:pageBreakBefore w:val="0"/>
        <w:widowControl w:val="0"/>
        <w:tabs>
          <w:tab w:val="right" w:leader="dot" w:pos="8306"/>
          <w:tab w:val="clear" w:pos="8302"/>
        </w:tabs>
        <w:kinsoku/>
        <w:wordWrap/>
        <w:overflowPunct/>
        <w:topLinePunct w:val="0"/>
        <w:autoSpaceDE/>
        <w:autoSpaceDN/>
        <w:bidi w:val="0"/>
        <w:adjustRightInd/>
        <w:snapToGrid/>
        <w:spacing w:line="400" w:lineRule="exact"/>
        <w:textAlignment w:val="auto"/>
        <w:rPr>
          <w:sz w:val="24"/>
          <w:szCs w:val="24"/>
        </w:rPr>
      </w:pPr>
      <w:r>
        <w:rPr>
          <w:sz w:val="24"/>
          <w:szCs w:val="24"/>
        </w:rPr>
        <w:fldChar w:fldCharType="begin"/>
      </w:r>
      <w:r>
        <w:rPr>
          <w:sz w:val="24"/>
          <w:szCs w:val="24"/>
        </w:rPr>
        <w:instrText xml:space="preserve"> HYPERLINK \l _Toc32182 </w:instrText>
      </w:r>
      <w:r>
        <w:rPr>
          <w:sz w:val="24"/>
          <w:szCs w:val="24"/>
        </w:rPr>
        <w:fldChar w:fldCharType="separate"/>
      </w:r>
      <w:r>
        <w:rPr>
          <w:rFonts w:hint="eastAsia"/>
          <w:bCs w:val="0"/>
          <w:sz w:val="24"/>
          <w:szCs w:val="24"/>
        </w:rPr>
        <w:t>7</w:t>
      </w:r>
      <w:r>
        <w:rPr>
          <w:bCs w:val="0"/>
          <w:sz w:val="24"/>
          <w:szCs w:val="24"/>
        </w:rPr>
        <w:t xml:space="preserve">  </w:t>
      </w:r>
      <w:r>
        <w:rPr>
          <w:rFonts w:hint="eastAsia"/>
          <w:bCs w:val="0"/>
          <w:sz w:val="24"/>
          <w:szCs w:val="24"/>
        </w:rPr>
        <w:t>施工和验收</w:t>
      </w:r>
      <w:r>
        <w:rPr>
          <w:sz w:val="24"/>
          <w:szCs w:val="24"/>
        </w:rPr>
        <w:tab/>
      </w:r>
      <w:r>
        <w:rPr>
          <w:sz w:val="24"/>
          <w:szCs w:val="24"/>
        </w:rPr>
        <w:fldChar w:fldCharType="begin"/>
      </w:r>
      <w:r>
        <w:rPr>
          <w:sz w:val="24"/>
          <w:szCs w:val="24"/>
        </w:rPr>
        <w:instrText xml:space="preserve"> PAGEREF _Toc32182 \h </w:instrText>
      </w:r>
      <w:r>
        <w:rPr>
          <w:sz w:val="24"/>
          <w:szCs w:val="24"/>
        </w:rPr>
        <w:fldChar w:fldCharType="separate"/>
      </w:r>
      <w:r>
        <w:rPr>
          <w:sz w:val="24"/>
          <w:szCs w:val="24"/>
        </w:rPr>
        <w:t>28</w:t>
      </w:r>
      <w:r>
        <w:rPr>
          <w:sz w:val="24"/>
          <w:szCs w:val="24"/>
        </w:rPr>
        <w:fldChar w:fldCharType="end"/>
      </w:r>
      <w:r>
        <w:rPr>
          <w:sz w:val="24"/>
          <w:szCs w:val="24"/>
        </w:rPr>
        <w:fldChar w:fldCharType="end"/>
      </w:r>
    </w:p>
    <w:p w14:paraId="25A491A5">
      <w:pPr>
        <w:pStyle w:val="1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sz w:val="24"/>
          <w:szCs w:val="24"/>
        </w:rPr>
        <w:fldChar w:fldCharType="begin"/>
      </w:r>
      <w:r>
        <w:rPr>
          <w:sz w:val="24"/>
          <w:szCs w:val="24"/>
        </w:rPr>
        <w:instrText xml:space="preserve"> HYPERLINK \l _Toc30068 </w:instrText>
      </w:r>
      <w:r>
        <w:rPr>
          <w:sz w:val="24"/>
          <w:szCs w:val="24"/>
        </w:rPr>
        <w:fldChar w:fldCharType="separate"/>
      </w:r>
      <w:r>
        <w:rPr>
          <w:rFonts w:hint="eastAsia"/>
          <w:sz w:val="24"/>
          <w:szCs w:val="24"/>
        </w:rPr>
        <w:t>7</w:t>
      </w:r>
      <w:r>
        <w:rPr>
          <w:sz w:val="24"/>
          <w:szCs w:val="24"/>
        </w:rPr>
        <w:t>.1  一般规定</w:t>
      </w:r>
      <w:r>
        <w:rPr>
          <w:sz w:val="24"/>
          <w:szCs w:val="24"/>
        </w:rPr>
        <w:tab/>
      </w:r>
      <w:r>
        <w:rPr>
          <w:sz w:val="24"/>
          <w:szCs w:val="24"/>
        </w:rPr>
        <w:fldChar w:fldCharType="begin"/>
      </w:r>
      <w:r>
        <w:rPr>
          <w:sz w:val="24"/>
          <w:szCs w:val="24"/>
        </w:rPr>
        <w:instrText xml:space="preserve"> PAGEREF _Toc30068 \h </w:instrText>
      </w:r>
      <w:r>
        <w:rPr>
          <w:sz w:val="24"/>
          <w:szCs w:val="24"/>
        </w:rPr>
        <w:fldChar w:fldCharType="separate"/>
      </w:r>
      <w:r>
        <w:rPr>
          <w:sz w:val="24"/>
          <w:szCs w:val="24"/>
        </w:rPr>
        <w:t>28</w:t>
      </w:r>
      <w:r>
        <w:rPr>
          <w:sz w:val="24"/>
          <w:szCs w:val="24"/>
        </w:rPr>
        <w:fldChar w:fldCharType="end"/>
      </w:r>
      <w:r>
        <w:rPr>
          <w:sz w:val="24"/>
          <w:szCs w:val="24"/>
        </w:rPr>
        <w:fldChar w:fldCharType="end"/>
      </w:r>
    </w:p>
    <w:p w14:paraId="141890D1">
      <w:pPr>
        <w:pStyle w:val="1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sz w:val="24"/>
          <w:szCs w:val="24"/>
        </w:rPr>
        <w:fldChar w:fldCharType="begin"/>
      </w:r>
      <w:r>
        <w:rPr>
          <w:sz w:val="24"/>
          <w:szCs w:val="24"/>
        </w:rPr>
        <w:instrText xml:space="preserve"> HYPERLINK \l _Toc30428 </w:instrText>
      </w:r>
      <w:r>
        <w:rPr>
          <w:sz w:val="24"/>
          <w:szCs w:val="24"/>
        </w:rPr>
        <w:fldChar w:fldCharType="separate"/>
      </w:r>
      <w:r>
        <w:rPr>
          <w:rFonts w:hint="eastAsia"/>
          <w:sz w:val="24"/>
          <w:szCs w:val="24"/>
        </w:rPr>
        <w:t>7</w:t>
      </w:r>
      <w:r>
        <w:rPr>
          <w:sz w:val="24"/>
          <w:szCs w:val="24"/>
        </w:rPr>
        <w:t xml:space="preserve">.2  </w:t>
      </w:r>
      <w:r>
        <w:rPr>
          <w:rFonts w:hint="eastAsia"/>
          <w:sz w:val="24"/>
          <w:szCs w:val="24"/>
        </w:rPr>
        <w:t>施工</w:t>
      </w:r>
      <w:r>
        <w:rPr>
          <w:sz w:val="24"/>
          <w:szCs w:val="24"/>
        </w:rPr>
        <w:tab/>
      </w:r>
      <w:r>
        <w:rPr>
          <w:sz w:val="24"/>
          <w:szCs w:val="24"/>
        </w:rPr>
        <w:fldChar w:fldCharType="begin"/>
      </w:r>
      <w:r>
        <w:rPr>
          <w:sz w:val="24"/>
          <w:szCs w:val="24"/>
        </w:rPr>
        <w:instrText xml:space="preserve"> PAGEREF _Toc30428 \h </w:instrText>
      </w:r>
      <w:r>
        <w:rPr>
          <w:sz w:val="24"/>
          <w:szCs w:val="24"/>
        </w:rPr>
        <w:fldChar w:fldCharType="separate"/>
      </w:r>
      <w:r>
        <w:rPr>
          <w:sz w:val="24"/>
          <w:szCs w:val="24"/>
        </w:rPr>
        <w:t>28</w:t>
      </w:r>
      <w:r>
        <w:rPr>
          <w:sz w:val="24"/>
          <w:szCs w:val="24"/>
        </w:rPr>
        <w:fldChar w:fldCharType="end"/>
      </w:r>
      <w:r>
        <w:rPr>
          <w:sz w:val="24"/>
          <w:szCs w:val="24"/>
        </w:rPr>
        <w:fldChar w:fldCharType="end"/>
      </w:r>
    </w:p>
    <w:p w14:paraId="760703A3">
      <w:pPr>
        <w:pStyle w:val="1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sz w:val="24"/>
          <w:szCs w:val="24"/>
        </w:rPr>
        <w:fldChar w:fldCharType="begin"/>
      </w:r>
      <w:r>
        <w:rPr>
          <w:sz w:val="24"/>
          <w:szCs w:val="24"/>
        </w:rPr>
        <w:instrText xml:space="preserve"> HYPERLINK \l _Toc21289 </w:instrText>
      </w:r>
      <w:r>
        <w:rPr>
          <w:sz w:val="24"/>
          <w:szCs w:val="24"/>
        </w:rPr>
        <w:fldChar w:fldCharType="separate"/>
      </w:r>
      <w:r>
        <w:rPr>
          <w:rFonts w:hint="eastAsia"/>
          <w:sz w:val="24"/>
          <w:szCs w:val="24"/>
        </w:rPr>
        <w:t>7</w:t>
      </w:r>
      <w:r>
        <w:rPr>
          <w:sz w:val="24"/>
          <w:szCs w:val="24"/>
        </w:rPr>
        <w:t>.</w:t>
      </w:r>
      <w:r>
        <w:rPr>
          <w:rFonts w:hint="eastAsia"/>
          <w:sz w:val="24"/>
          <w:szCs w:val="24"/>
        </w:rPr>
        <w:t>3</w:t>
      </w:r>
      <w:r>
        <w:rPr>
          <w:sz w:val="24"/>
          <w:szCs w:val="24"/>
        </w:rPr>
        <w:t xml:space="preserve">  </w:t>
      </w:r>
      <w:r>
        <w:rPr>
          <w:rFonts w:hint="eastAsia"/>
          <w:sz w:val="24"/>
          <w:szCs w:val="24"/>
        </w:rPr>
        <w:t>验收</w:t>
      </w:r>
      <w:r>
        <w:rPr>
          <w:sz w:val="24"/>
          <w:szCs w:val="24"/>
        </w:rPr>
        <w:tab/>
      </w:r>
      <w:r>
        <w:rPr>
          <w:sz w:val="24"/>
          <w:szCs w:val="24"/>
        </w:rPr>
        <w:fldChar w:fldCharType="begin"/>
      </w:r>
      <w:r>
        <w:rPr>
          <w:sz w:val="24"/>
          <w:szCs w:val="24"/>
        </w:rPr>
        <w:instrText xml:space="preserve"> PAGEREF _Toc21289 \h </w:instrText>
      </w:r>
      <w:r>
        <w:rPr>
          <w:sz w:val="24"/>
          <w:szCs w:val="24"/>
        </w:rPr>
        <w:fldChar w:fldCharType="separate"/>
      </w:r>
      <w:r>
        <w:rPr>
          <w:sz w:val="24"/>
          <w:szCs w:val="24"/>
        </w:rPr>
        <w:t>30</w:t>
      </w:r>
      <w:r>
        <w:rPr>
          <w:sz w:val="24"/>
          <w:szCs w:val="24"/>
        </w:rPr>
        <w:fldChar w:fldCharType="end"/>
      </w:r>
      <w:r>
        <w:rPr>
          <w:sz w:val="24"/>
          <w:szCs w:val="24"/>
        </w:rPr>
        <w:fldChar w:fldCharType="end"/>
      </w:r>
    </w:p>
    <w:p w14:paraId="02AD37E3">
      <w:pPr>
        <w:pStyle w:val="16"/>
        <w:keepNext w:val="0"/>
        <w:keepLines w:val="0"/>
        <w:pageBreakBefore w:val="0"/>
        <w:widowControl w:val="0"/>
        <w:tabs>
          <w:tab w:val="right" w:leader="dot" w:pos="8306"/>
          <w:tab w:val="clear" w:pos="8302"/>
        </w:tabs>
        <w:kinsoku/>
        <w:wordWrap/>
        <w:overflowPunct/>
        <w:topLinePunct w:val="0"/>
        <w:autoSpaceDE/>
        <w:autoSpaceDN/>
        <w:bidi w:val="0"/>
        <w:adjustRightInd/>
        <w:snapToGrid/>
        <w:spacing w:line="400" w:lineRule="exact"/>
        <w:textAlignment w:val="auto"/>
        <w:rPr>
          <w:sz w:val="24"/>
          <w:szCs w:val="24"/>
        </w:rPr>
      </w:pPr>
      <w:r>
        <w:rPr>
          <w:sz w:val="24"/>
          <w:szCs w:val="24"/>
        </w:rPr>
        <w:fldChar w:fldCharType="begin"/>
      </w:r>
      <w:r>
        <w:rPr>
          <w:sz w:val="24"/>
          <w:szCs w:val="24"/>
        </w:rPr>
        <w:instrText xml:space="preserve"> HYPERLINK \l _Toc3427 </w:instrText>
      </w:r>
      <w:r>
        <w:rPr>
          <w:sz w:val="24"/>
          <w:szCs w:val="24"/>
        </w:rPr>
        <w:fldChar w:fldCharType="separate"/>
      </w:r>
      <w:r>
        <w:rPr>
          <w:rFonts w:hint="eastAsia"/>
          <w:bCs w:val="0"/>
          <w:sz w:val="24"/>
          <w:szCs w:val="24"/>
        </w:rPr>
        <w:t>8</w:t>
      </w:r>
      <w:r>
        <w:rPr>
          <w:bCs w:val="0"/>
          <w:sz w:val="24"/>
          <w:szCs w:val="24"/>
        </w:rPr>
        <w:t xml:space="preserve">  </w:t>
      </w:r>
      <w:r>
        <w:rPr>
          <w:rFonts w:hint="eastAsia"/>
          <w:bCs w:val="0"/>
          <w:sz w:val="24"/>
          <w:szCs w:val="24"/>
        </w:rPr>
        <w:t>运维</w:t>
      </w:r>
      <w:r>
        <w:rPr>
          <w:sz w:val="24"/>
          <w:szCs w:val="24"/>
        </w:rPr>
        <w:tab/>
      </w:r>
      <w:r>
        <w:rPr>
          <w:sz w:val="24"/>
          <w:szCs w:val="24"/>
        </w:rPr>
        <w:fldChar w:fldCharType="begin"/>
      </w:r>
      <w:r>
        <w:rPr>
          <w:sz w:val="24"/>
          <w:szCs w:val="24"/>
        </w:rPr>
        <w:instrText xml:space="preserve"> PAGEREF _Toc3427 \h </w:instrText>
      </w:r>
      <w:r>
        <w:rPr>
          <w:sz w:val="24"/>
          <w:szCs w:val="24"/>
        </w:rPr>
        <w:fldChar w:fldCharType="separate"/>
      </w:r>
      <w:r>
        <w:rPr>
          <w:sz w:val="24"/>
          <w:szCs w:val="24"/>
        </w:rPr>
        <w:t>35</w:t>
      </w:r>
      <w:r>
        <w:rPr>
          <w:sz w:val="24"/>
          <w:szCs w:val="24"/>
        </w:rPr>
        <w:fldChar w:fldCharType="end"/>
      </w:r>
      <w:r>
        <w:rPr>
          <w:sz w:val="24"/>
          <w:szCs w:val="24"/>
        </w:rPr>
        <w:fldChar w:fldCharType="end"/>
      </w:r>
    </w:p>
    <w:p w14:paraId="457D6FD4">
      <w:pPr>
        <w:pStyle w:val="1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sz w:val="24"/>
          <w:szCs w:val="24"/>
        </w:rPr>
        <w:fldChar w:fldCharType="begin"/>
      </w:r>
      <w:r>
        <w:rPr>
          <w:sz w:val="24"/>
          <w:szCs w:val="24"/>
        </w:rPr>
        <w:instrText xml:space="preserve"> HYPERLINK \l _Toc24381 </w:instrText>
      </w:r>
      <w:r>
        <w:rPr>
          <w:sz w:val="24"/>
          <w:szCs w:val="24"/>
        </w:rPr>
        <w:fldChar w:fldCharType="separate"/>
      </w:r>
      <w:r>
        <w:rPr>
          <w:rFonts w:hint="eastAsia"/>
          <w:sz w:val="24"/>
          <w:szCs w:val="24"/>
        </w:rPr>
        <w:t>8</w:t>
      </w:r>
      <w:r>
        <w:rPr>
          <w:sz w:val="24"/>
          <w:szCs w:val="24"/>
        </w:rPr>
        <w:t>.1  一般规定</w:t>
      </w:r>
      <w:r>
        <w:rPr>
          <w:sz w:val="24"/>
          <w:szCs w:val="24"/>
        </w:rPr>
        <w:tab/>
      </w:r>
      <w:r>
        <w:rPr>
          <w:sz w:val="24"/>
          <w:szCs w:val="24"/>
        </w:rPr>
        <w:fldChar w:fldCharType="begin"/>
      </w:r>
      <w:r>
        <w:rPr>
          <w:sz w:val="24"/>
          <w:szCs w:val="24"/>
        </w:rPr>
        <w:instrText xml:space="preserve"> PAGEREF _Toc24381 \h </w:instrText>
      </w:r>
      <w:r>
        <w:rPr>
          <w:sz w:val="24"/>
          <w:szCs w:val="24"/>
        </w:rPr>
        <w:fldChar w:fldCharType="separate"/>
      </w:r>
      <w:r>
        <w:rPr>
          <w:sz w:val="24"/>
          <w:szCs w:val="24"/>
        </w:rPr>
        <w:t>35</w:t>
      </w:r>
      <w:r>
        <w:rPr>
          <w:sz w:val="24"/>
          <w:szCs w:val="24"/>
        </w:rPr>
        <w:fldChar w:fldCharType="end"/>
      </w:r>
      <w:r>
        <w:rPr>
          <w:sz w:val="24"/>
          <w:szCs w:val="24"/>
        </w:rPr>
        <w:fldChar w:fldCharType="end"/>
      </w:r>
    </w:p>
    <w:p w14:paraId="723600DF">
      <w:pPr>
        <w:pStyle w:val="1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sz w:val="24"/>
          <w:szCs w:val="24"/>
        </w:rPr>
        <w:fldChar w:fldCharType="begin"/>
      </w:r>
      <w:r>
        <w:rPr>
          <w:sz w:val="24"/>
          <w:szCs w:val="24"/>
        </w:rPr>
        <w:instrText xml:space="preserve"> HYPERLINK \l _Toc24137 </w:instrText>
      </w:r>
      <w:r>
        <w:rPr>
          <w:sz w:val="24"/>
          <w:szCs w:val="24"/>
        </w:rPr>
        <w:fldChar w:fldCharType="separate"/>
      </w:r>
      <w:r>
        <w:rPr>
          <w:rFonts w:hint="eastAsia"/>
          <w:sz w:val="24"/>
          <w:szCs w:val="24"/>
        </w:rPr>
        <w:t>8</w:t>
      </w:r>
      <w:r>
        <w:rPr>
          <w:sz w:val="24"/>
          <w:szCs w:val="24"/>
        </w:rPr>
        <w:t xml:space="preserve">.2  </w:t>
      </w:r>
      <w:r>
        <w:rPr>
          <w:rFonts w:hint="eastAsia"/>
          <w:sz w:val="24"/>
          <w:szCs w:val="24"/>
        </w:rPr>
        <w:t>检查</w:t>
      </w:r>
      <w:r>
        <w:rPr>
          <w:sz w:val="24"/>
          <w:szCs w:val="24"/>
        </w:rPr>
        <w:tab/>
      </w:r>
      <w:r>
        <w:rPr>
          <w:sz w:val="24"/>
          <w:szCs w:val="24"/>
        </w:rPr>
        <w:fldChar w:fldCharType="begin"/>
      </w:r>
      <w:r>
        <w:rPr>
          <w:sz w:val="24"/>
          <w:szCs w:val="24"/>
        </w:rPr>
        <w:instrText xml:space="preserve"> PAGEREF _Toc24137 \h </w:instrText>
      </w:r>
      <w:r>
        <w:rPr>
          <w:sz w:val="24"/>
          <w:szCs w:val="24"/>
        </w:rPr>
        <w:fldChar w:fldCharType="separate"/>
      </w:r>
      <w:r>
        <w:rPr>
          <w:sz w:val="24"/>
          <w:szCs w:val="24"/>
        </w:rPr>
        <w:t>36</w:t>
      </w:r>
      <w:r>
        <w:rPr>
          <w:sz w:val="24"/>
          <w:szCs w:val="24"/>
        </w:rPr>
        <w:fldChar w:fldCharType="end"/>
      </w:r>
      <w:r>
        <w:rPr>
          <w:sz w:val="24"/>
          <w:szCs w:val="24"/>
        </w:rPr>
        <w:fldChar w:fldCharType="end"/>
      </w:r>
    </w:p>
    <w:p w14:paraId="7F2970A3">
      <w:pPr>
        <w:pStyle w:val="1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sz w:val="24"/>
          <w:szCs w:val="24"/>
        </w:rPr>
        <w:fldChar w:fldCharType="begin"/>
      </w:r>
      <w:r>
        <w:rPr>
          <w:sz w:val="24"/>
          <w:szCs w:val="24"/>
        </w:rPr>
        <w:instrText xml:space="preserve"> HYPERLINK \l _Toc24780 </w:instrText>
      </w:r>
      <w:r>
        <w:rPr>
          <w:sz w:val="24"/>
          <w:szCs w:val="24"/>
        </w:rPr>
        <w:fldChar w:fldCharType="separate"/>
      </w:r>
      <w:r>
        <w:rPr>
          <w:rFonts w:hint="eastAsia"/>
          <w:sz w:val="24"/>
          <w:szCs w:val="24"/>
        </w:rPr>
        <w:t>8</w:t>
      </w:r>
      <w:r>
        <w:rPr>
          <w:sz w:val="24"/>
          <w:szCs w:val="24"/>
        </w:rPr>
        <w:t xml:space="preserve">.3  </w:t>
      </w:r>
      <w:r>
        <w:rPr>
          <w:rFonts w:hint="eastAsia"/>
          <w:sz w:val="24"/>
          <w:szCs w:val="24"/>
        </w:rPr>
        <w:t>修缮</w:t>
      </w:r>
      <w:r>
        <w:rPr>
          <w:sz w:val="24"/>
          <w:szCs w:val="24"/>
        </w:rPr>
        <w:tab/>
      </w:r>
      <w:r>
        <w:rPr>
          <w:sz w:val="24"/>
          <w:szCs w:val="24"/>
        </w:rPr>
        <w:fldChar w:fldCharType="begin"/>
      </w:r>
      <w:r>
        <w:rPr>
          <w:sz w:val="24"/>
          <w:szCs w:val="24"/>
        </w:rPr>
        <w:instrText xml:space="preserve"> PAGEREF _Toc24780 \h </w:instrText>
      </w:r>
      <w:r>
        <w:rPr>
          <w:sz w:val="24"/>
          <w:szCs w:val="24"/>
        </w:rPr>
        <w:fldChar w:fldCharType="separate"/>
      </w:r>
      <w:r>
        <w:rPr>
          <w:sz w:val="24"/>
          <w:szCs w:val="24"/>
        </w:rPr>
        <w:t>37</w:t>
      </w:r>
      <w:r>
        <w:rPr>
          <w:sz w:val="24"/>
          <w:szCs w:val="24"/>
        </w:rPr>
        <w:fldChar w:fldCharType="end"/>
      </w:r>
      <w:r>
        <w:rPr>
          <w:sz w:val="24"/>
          <w:szCs w:val="24"/>
        </w:rPr>
        <w:fldChar w:fldCharType="end"/>
      </w:r>
    </w:p>
    <w:p w14:paraId="55898CF0">
      <w:pPr>
        <w:pStyle w:val="1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sz w:val="24"/>
          <w:szCs w:val="24"/>
        </w:rPr>
        <w:fldChar w:fldCharType="begin"/>
      </w:r>
      <w:r>
        <w:rPr>
          <w:sz w:val="24"/>
          <w:szCs w:val="24"/>
        </w:rPr>
        <w:instrText xml:space="preserve"> HYPERLINK \l _Toc511 </w:instrText>
      </w:r>
      <w:r>
        <w:rPr>
          <w:sz w:val="24"/>
          <w:szCs w:val="24"/>
        </w:rPr>
        <w:fldChar w:fldCharType="separate"/>
      </w:r>
      <w:r>
        <w:rPr>
          <w:rFonts w:hint="eastAsia"/>
          <w:sz w:val="24"/>
          <w:szCs w:val="24"/>
        </w:rPr>
        <w:t>8</w:t>
      </w:r>
      <w:r>
        <w:rPr>
          <w:sz w:val="24"/>
          <w:szCs w:val="24"/>
        </w:rPr>
        <w:t>.</w:t>
      </w:r>
      <w:r>
        <w:rPr>
          <w:rFonts w:hint="eastAsia"/>
          <w:sz w:val="24"/>
          <w:szCs w:val="24"/>
        </w:rPr>
        <w:t>4</w:t>
      </w:r>
      <w:r>
        <w:rPr>
          <w:sz w:val="24"/>
          <w:szCs w:val="24"/>
        </w:rPr>
        <w:t xml:space="preserve">  </w:t>
      </w:r>
      <w:r>
        <w:rPr>
          <w:rFonts w:hint="eastAsia"/>
          <w:sz w:val="24"/>
          <w:szCs w:val="24"/>
        </w:rPr>
        <w:t>信息化管理和运维</w:t>
      </w:r>
      <w:r>
        <w:rPr>
          <w:sz w:val="24"/>
          <w:szCs w:val="24"/>
        </w:rPr>
        <w:tab/>
      </w:r>
      <w:r>
        <w:rPr>
          <w:sz w:val="24"/>
          <w:szCs w:val="24"/>
        </w:rPr>
        <w:fldChar w:fldCharType="begin"/>
      </w:r>
      <w:r>
        <w:rPr>
          <w:sz w:val="24"/>
          <w:szCs w:val="24"/>
        </w:rPr>
        <w:instrText xml:space="preserve"> PAGEREF _Toc511 \h </w:instrText>
      </w:r>
      <w:r>
        <w:rPr>
          <w:sz w:val="24"/>
          <w:szCs w:val="24"/>
        </w:rPr>
        <w:fldChar w:fldCharType="separate"/>
      </w:r>
      <w:r>
        <w:rPr>
          <w:sz w:val="24"/>
          <w:szCs w:val="24"/>
        </w:rPr>
        <w:t>38</w:t>
      </w:r>
      <w:r>
        <w:rPr>
          <w:sz w:val="24"/>
          <w:szCs w:val="24"/>
        </w:rPr>
        <w:fldChar w:fldCharType="end"/>
      </w:r>
      <w:r>
        <w:rPr>
          <w:sz w:val="24"/>
          <w:szCs w:val="24"/>
        </w:rPr>
        <w:fldChar w:fldCharType="end"/>
      </w:r>
    </w:p>
    <w:p w14:paraId="28D56152">
      <w:pPr>
        <w:pStyle w:val="16"/>
        <w:keepNext w:val="0"/>
        <w:keepLines w:val="0"/>
        <w:pageBreakBefore w:val="0"/>
        <w:widowControl w:val="0"/>
        <w:tabs>
          <w:tab w:val="right" w:leader="dot" w:pos="8306"/>
          <w:tab w:val="clear" w:pos="8302"/>
        </w:tabs>
        <w:kinsoku/>
        <w:wordWrap/>
        <w:overflowPunct/>
        <w:topLinePunct w:val="0"/>
        <w:autoSpaceDE/>
        <w:autoSpaceDN/>
        <w:bidi w:val="0"/>
        <w:adjustRightInd/>
        <w:snapToGrid/>
        <w:spacing w:line="400" w:lineRule="exact"/>
        <w:textAlignment w:val="auto"/>
        <w:rPr>
          <w:sz w:val="24"/>
          <w:szCs w:val="24"/>
        </w:rPr>
      </w:pPr>
      <w:r>
        <w:rPr>
          <w:sz w:val="24"/>
          <w:szCs w:val="24"/>
        </w:rPr>
        <w:fldChar w:fldCharType="begin"/>
      </w:r>
      <w:r>
        <w:rPr>
          <w:sz w:val="24"/>
          <w:szCs w:val="24"/>
        </w:rPr>
        <w:instrText xml:space="preserve"> HYPERLINK \l _Toc27935 </w:instrText>
      </w:r>
      <w:r>
        <w:rPr>
          <w:sz w:val="24"/>
          <w:szCs w:val="24"/>
        </w:rPr>
        <w:fldChar w:fldCharType="separate"/>
      </w:r>
      <w:r>
        <w:rPr>
          <w:sz w:val="24"/>
          <w:szCs w:val="24"/>
        </w:rPr>
        <w:t>本标准用词说明</w:t>
      </w:r>
      <w:r>
        <w:rPr>
          <w:sz w:val="24"/>
          <w:szCs w:val="24"/>
        </w:rPr>
        <w:tab/>
      </w:r>
      <w:r>
        <w:rPr>
          <w:sz w:val="24"/>
          <w:szCs w:val="24"/>
        </w:rPr>
        <w:fldChar w:fldCharType="begin"/>
      </w:r>
      <w:r>
        <w:rPr>
          <w:sz w:val="24"/>
          <w:szCs w:val="24"/>
        </w:rPr>
        <w:instrText xml:space="preserve"> PAGEREF _Toc27935 \h </w:instrText>
      </w:r>
      <w:r>
        <w:rPr>
          <w:sz w:val="24"/>
          <w:szCs w:val="24"/>
        </w:rPr>
        <w:fldChar w:fldCharType="separate"/>
      </w:r>
      <w:r>
        <w:rPr>
          <w:sz w:val="24"/>
          <w:szCs w:val="24"/>
        </w:rPr>
        <w:t>39</w:t>
      </w:r>
      <w:r>
        <w:rPr>
          <w:sz w:val="24"/>
          <w:szCs w:val="24"/>
        </w:rPr>
        <w:fldChar w:fldCharType="end"/>
      </w:r>
      <w:r>
        <w:rPr>
          <w:sz w:val="24"/>
          <w:szCs w:val="24"/>
        </w:rPr>
        <w:fldChar w:fldCharType="end"/>
      </w:r>
    </w:p>
    <w:p w14:paraId="0E49E193">
      <w:pPr>
        <w:pStyle w:val="16"/>
        <w:keepNext w:val="0"/>
        <w:keepLines w:val="0"/>
        <w:pageBreakBefore w:val="0"/>
        <w:widowControl w:val="0"/>
        <w:tabs>
          <w:tab w:val="right" w:leader="dot" w:pos="8306"/>
          <w:tab w:val="clear" w:pos="8302"/>
        </w:tabs>
        <w:kinsoku/>
        <w:wordWrap/>
        <w:overflowPunct/>
        <w:topLinePunct w:val="0"/>
        <w:autoSpaceDE/>
        <w:autoSpaceDN/>
        <w:bidi w:val="0"/>
        <w:adjustRightInd/>
        <w:snapToGrid/>
        <w:spacing w:line="400" w:lineRule="exact"/>
        <w:textAlignment w:val="auto"/>
        <w:rPr>
          <w:sz w:val="24"/>
          <w:szCs w:val="24"/>
        </w:rPr>
      </w:pPr>
      <w:r>
        <w:rPr>
          <w:sz w:val="24"/>
          <w:szCs w:val="24"/>
        </w:rPr>
        <w:fldChar w:fldCharType="begin"/>
      </w:r>
      <w:r>
        <w:rPr>
          <w:sz w:val="24"/>
          <w:szCs w:val="24"/>
        </w:rPr>
        <w:instrText xml:space="preserve"> HYPERLINK \l _Toc9415 </w:instrText>
      </w:r>
      <w:r>
        <w:rPr>
          <w:sz w:val="24"/>
          <w:szCs w:val="24"/>
        </w:rPr>
        <w:fldChar w:fldCharType="separate"/>
      </w:r>
      <w:r>
        <w:rPr>
          <w:rFonts w:ascii="Times New Roman" w:hAnsi="Times New Roman"/>
          <w:sz w:val="24"/>
          <w:szCs w:val="24"/>
        </w:rPr>
        <w:t>引用标准名录</w:t>
      </w:r>
      <w:r>
        <w:rPr>
          <w:sz w:val="24"/>
          <w:szCs w:val="24"/>
        </w:rPr>
        <w:tab/>
      </w:r>
      <w:r>
        <w:rPr>
          <w:sz w:val="24"/>
          <w:szCs w:val="24"/>
        </w:rPr>
        <w:fldChar w:fldCharType="begin"/>
      </w:r>
      <w:r>
        <w:rPr>
          <w:sz w:val="24"/>
          <w:szCs w:val="24"/>
        </w:rPr>
        <w:instrText xml:space="preserve"> PAGEREF _Toc9415 \h </w:instrText>
      </w:r>
      <w:r>
        <w:rPr>
          <w:sz w:val="24"/>
          <w:szCs w:val="24"/>
        </w:rPr>
        <w:fldChar w:fldCharType="separate"/>
      </w:r>
      <w:r>
        <w:rPr>
          <w:sz w:val="24"/>
          <w:szCs w:val="24"/>
        </w:rPr>
        <w:t>40</w:t>
      </w:r>
      <w:r>
        <w:rPr>
          <w:sz w:val="24"/>
          <w:szCs w:val="24"/>
        </w:rPr>
        <w:fldChar w:fldCharType="end"/>
      </w:r>
      <w:r>
        <w:rPr>
          <w:sz w:val="24"/>
          <w:szCs w:val="24"/>
        </w:rPr>
        <w:fldChar w:fldCharType="end"/>
      </w:r>
    </w:p>
    <w:p w14:paraId="1D6FBEC1">
      <w:pPr>
        <w:rPr>
          <w:sz w:val="24"/>
          <w:szCs w:val="24"/>
        </w:rPr>
      </w:pPr>
    </w:p>
    <w:sdt>
      <w:sdtPr>
        <w:rPr>
          <w:rFonts w:hint="default" w:ascii="Times New Roman" w:hAnsi="Times New Roman" w:eastAsia="宋体" w:cs="Times New Roman"/>
          <w:b/>
          <w:bCs/>
          <w:kern w:val="2"/>
          <w:sz w:val="21"/>
          <w:szCs w:val="24"/>
          <w:lang w:val="en-US" w:eastAsia="zh-CN" w:bidi="ar-SA"/>
        </w:rPr>
        <w:id w:val="147466492"/>
        <w15:color w:val="DBDBDB"/>
        <w:docPartObj>
          <w:docPartGallery w:val="Table of Contents"/>
          <w:docPartUnique/>
        </w:docPartObj>
      </w:sdtPr>
      <w:sdtEndPr>
        <w:rPr>
          <w:rFonts w:hint="default" w:ascii="Times New Roman" w:hAnsi="Times New Roman" w:eastAsia="宋体" w:cs="Times New Roman"/>
          <w:b/>
          <w:bCs/>
          <w:kern w:val="2"/>
          <w:sz w:val="21"/>
          <w:szCs w:val="24"/>
          <w:lang w:val="en-US" w:eastAsia="zh-CN" w:bidi="ar-SA"/>
        </w:rPr>
      </w:sdtEndPr>
      <w:sdtContent>
        <w:p w14:paraId="4B5BC556">
          <w:pPr>
            <w:spacing w:before="0" w:beforeLines="0" w:after="0" w:afterLines="0" w:line="240" w:lineRule="auto"/>
            <w:ind w:left="0" w:leftChars="0" w:right="0" w:rightChars="0" w:firstLine="0" w:firstLineChars="0"/>
            <w:jc w:val="center"/>
            <w:rPr>
              <w:rFonts w:hint="default" w:ascii="Times New Roman" w:hAnsi="Times New Roman" w:cs="Times New Roman"/>
              <w:b/>
              <w:bCs/>
              <w:lang w:val="en-US"/>
            </w:rPr>
          </w:pPr>
          <w:r>
            <w:rPr>
              <w:rFonts w:hint="default" w:ascii="Times New Roman" w:hAnsi="Times New Roman" w:eastAsia="宋体" w:cs="Times New Roman"/>
              <w:b/>
              <w:bCs/>
              <w:kern w:val="2"/>
              <w:sz w:val="21"/>
              <w:szCs w:val="24"/>
              <w:lang w:val="en-US" w:eastAsia="zh-CN" w:bidi="ar-SA"/>
            </w:rPr>
            <w:t>Contents</w:t>
          </w:r>
        </w:p>
        <w:p w14:paraId="0A5363CE">
          <w:pPr>
            <w:pStyle w:val="51"/>
            <w:tabs>
              <w:tab w:val="right" w:leader="dot" w:pos="8306"/>
            </w:tabs>
            <w:rPr>
              <w:b/>
            </w:rPr>
          </w:pPr>
          <w:r>
            <w:rPr>
              <w:sz w:val="24"/>
              <w:szCs w:val="24"/>
            </w:rPr>
            <w:fldChar w:fldCharType="begin"/>
          </w:r>
          <w:r>
            <w:rPr>
              <w:sz w:val="24"/>
              <w:szCs w:val="24"/>
            </w:rPr>
            <w:instrText xml:space="preserve">TOC \o "1-2" \h \u </w:instrText>
          </w:r>
          <w:r>
            <w:rPr>
              <w:sz w:val="24"/>
              <w:szCs w:val="24"/>
            </w:rPr>
            <w:fldChar w:fldCharType="separate"/>
          </w:r>
          <w:r>
            <w:rPr>
              <w:b/>
              <w:szCs w:val="24"/>
            </w:rPr>
            <w:fldChar w:fldCharType="begin"/>
          </w:r>
          <w:r>
            <w:rPr>
              <w:b/>
              <w:szCs w:val="24"/>
            </w:rPr>
            <w:instrText xml:space="preserve"> HYPERLINK \l _Toc3944 </w:instrText>
          </w:r>
          <w:r>
            <w:rPr>
              <w:b/>
              <w:szCs w:val="24"/>
            </w:rPr>
            <w:fldChar w:fldCharType="separate"/>
          </w:r>
          <w:r>
            <w:rPr>
              <w:b/>
              <w:szCs w:val="28"/>
            </w:rPr>
            <w:t>1</w:t>
          </w:r>
          <w:r>
            <w:rPr>
              <w:rFonts w:hint="eastAsia"/>
              <w:b/>
              <w:szCs w:val="28"/>
              <w:lang w:val="en-US" w:eastAsia="zh-CN"/>
            </w:rPr>
            <w:t xml:space="preserve"> General Provisions</w:t>
          </w:r>
          <w:r>
            <w:rPr>
              <w:b/>
            </w:rPr>
            <w:tab/>
          </w:r>
          <w:r>
            <w:rPr>
              <w:b/>
            </w:rPr>
            <w:fldChar w:fldCharType="begin"/>
          </w:r>
          <w:r>
            <w:rPr>
              <w:b/>
            </w:rPr>
            <w:instrText xml:space="preserve"> PAGEREF _Toc3944 \h </w:instrText>
          </w:r>
          <w:r>
            <w:rPr>
              <w:b/>
            </w:rPr>
            <w:fldChar w:fldCharType="separate"/>
          </w:r>
          <w:r>
            <w:rPr>
              <w:b/>
            </w:rPr>
            <w:t>1</w:t>
          </w:r>
          <w:r>
            <w:rPr>
              <w:b/>
            </w:rPr>
            <w:fldChar w:fldCharType="end"/>
          </w:r>
          <w:r>
            <w:rPr>
              <w:b/>
              <w:szCs w:val="24"/>
            </w:rPr>
            <w:fldChar w:fldCharType="end"/>
          </w:r>
        </w:p>
        <w:p w14:paraId="2F749E94">
          <w:pPr>
            <w:pStyle w:val="51"/>
            <w:tabs>
              <w:tab w:val="right" w:leader="dot" w:pos="8306"/>
            </w:tabs>
            <w:rPr>
              <w:b/>
            </w:rPr>
          </w:pPr>
          <w:r>
            <w:rPr>
              <w:b/>
              <w:szCs w:val="24"/>
            </w:rPr>
            <w:fldChar w:fldCharType="begin"/>
          </w:r>
          <w:r>
            <w:rPr>
              <w:b/>
              <w:szCs w:val="24"/>
            </w:rPr>
            <w:instrText xml:space="preserve"> HYPERLINK \l _Toc21114 </w:instrText>
          </w:r>
          <w:r>
            <w:rPr>
              <w:b/>
              <w:szCs w:val="24"/>
            </w:rPr>
            <w:fldChar w:fldCharType="separate"/>
          </w:r>
          <w:r>
            <w:rPr>
              <w:b/>
              <w:szCs w:val="28"/>
            </w:rPr>
            <w:t>2</w:t>
          </w:r>
          <w:r>
            <w:rPr>
              <w:rFonts w:hint="eastAsia"/>
              <w:b/>
              <w:szCs w:val="28"/>
              <w:lang w:val="en-US" w:eastAsia="zh-CN"/>
            </w:rPr>
            <w:t xml:space="preserve"> Terms and Symbols</w:t>
          </w:r>
          <w:r>
            <w:rPr>
              <w:b/>
            </w:rPr>
            <w:tab/>
          </w:r>
          <w:r>
            <w:rPr>
              <w:b/>
            </w:rPr>
            <w:fldChar w:fldCharType="begin"/>
          </w:r>
          <w:r>
            <w:rPr>
              <w:b/>
            </w:rPr>
            <w:instrText xml:space="preserve"> PAGEREF _Toc21114 \h </w:instrText>
          </w:r>
          <w:r>
            <w:rPr>
              <w:b/>
            </w:rPr>
            <w:fldChar w:fldCharType="separate"/>
          </w:r>
          <w:r>
            <w:rPr>
              <w:b/>
            </w:rPr>
            <w:t>2</w:t>
          </w:r>
          <w:r>
            <w:rPr>
              <w:b/>
            </w:rPr>
            <w:fldChar w:fldCharType="end"/>
          </w:r>
          <w:r>
            <w:rPr>
              <w:b/>
              <w:szCs w:val="24"/>
            </w:rPr>
            <w:fldChar w:fldCharType="end"/>
          </w:r>
        </w:p>
        <w:p w14:paraId="7443F920">
          <w:pPr>
            <w:pStyle w:val="52"/>
            <w:tabs>
              <w:tab w:val="right" w:leader="dot" w:pos="8306"/>
            </w:tabs>
          </w:pPr>
          <w:r>
            <w:rPr>
              <w:szCs w:val="24"/>
            </w:rPr>
            <w:fldChar w:fldCharType="begin"/>
          </w:r>
          <w:r>
            <w:rPr>
              <w:szCs w:val="24"/>
            </w:rPr>
            <w:instrText xml:space="preserve"> HYPERLINK \l _Toc28597 </w:instrText>
          </w:r>
          <w:r>
            <w:rPr>
              <w:szCs w:val="24"/>
            </w:rPr>
            <w:fldChar w:fldCharType="separate"/>
          </w:r>
          <w:r>
            <w:rPr>
              <w:rFonts w:hint="eastAsia"/>
            </w:rPr>
            <w:t>2</w:t>
          </w:r>
          <w:r>
            <w:t>.1</w:t>
          </w:r>
          <w:r>
            <w:rPr>
              <w:rFonts w:hint="eastAsia"/>
              <w:lang w:val="en-US" w:eastAsia="zh-CN"/>
            </w:rPr>
            <w:t xml:space="preserve"> Terms</w:t>
          </w:r>
          <w:r>
            <w:tab/>
          </w:r>
          <w:r>
            <w:fldChar w:fldCharType="begin"/>
          </w:r>
          <w:r>
            <w:instrText xml:space="preserve"> PAGEREF _Toc28597 \h </w:instrText>
          </w:r>
          <w:r>
            <w:fldChar w:fldCharType="separate"/>
          </w:r>
          <w:r>
            <w:t>2</w:t>
          </w:r>
          <w:r>
            <w:fldChar w:fldCharType="end"/>
          </w:r>
          <w:r>
            <w:rPr>
              <w:szCs w:val="24"/>
            </w:rPr>
            <w:fldChar w:fldCharType="end"/>
          </w:r>
        </w:p>
        <w:p w14:paraId="1CC2B5A9">
          <w:pPr>
            <w:pStyle w:val="52"/>
            <w:tabs>
              <w:tab w:val="right" w:leader="dot" w:pos="8306"/>
            </w:tabs>
          </w:pPr>
          <w:r>
            <w:rPr>
              <w:szCs w:val="24"/>
            </w:rPr>
            <w:fldChar w:fldCharType="begin"/>
          </w:r>
          <w:r>
            <w:rPr>
              <w:szCs w:val="24"/>
            </w:rPr>
            <w:instrText xml:space="preserve"> HYPERLINK \l _Toc26144 </w:instrText>
          </w:r>
          <w:r>
            <w:rPr>
              <w:szCs w:val="24"/>
            </w:rPr>
            <w:fldChar w:fldCharType="separate"/>
          </w:r>
          <w:r>
            <w:rPr>
              <w:rFonts w:hint="eastAsia"/>
            </w:rPr>
            <w:t>2</w:t>
          </w:r>
          <w:r>
            <w:t>.</w:t>
          </w:r>
          <w:r>
            <w:rPr>
              <w:rFonts w:hint="eastAsia"/>
            </w:rPr>
            <w:t>2</w:t>
          </w:r>
          <w:r>
            <w:rPr>
              <w:rFonts w:hint="eastAsia"/>
              <w:lang w:val="en-US" w:eastAsia="zh-CN"/>
            </w:rPr>
            <w:t xml:space="preserve"> Symbols</w:t>
          </w:r>
          <w:r>
            <w:tab/>
          </w:r>
          <w:r>
            <w:fldChar w:fldCharType="begin"/>
          </w:r>
          <w:r>
            <w:instrText xml:space="preserve"> PAGEREF _Toc26144 \h </w:instrText>
          </w:r>
          <w:r>
            <w:fldChar w:fldCharType="separate"/>
          </w:r>
          <w:r>
            <w:t>3</w:t>
          </w:r>
          <w:r>
            <w:fldChar w:fldCharType="end"/>
          </w:r>
          <w:r>
            <w:rPr>
              <w:szCs w:val="24"/>
            </w:rPr>
            <w:fldChar w:fldCharType="end"/>
          </w:r>
        </w:p>
        <w:p w14:paraId="46668A01">
          <w:pPr>
            <w:pStyle w:val="51"/>
            <w:tabs>
              <w:tab w:val="right" w:leader="dot" w:pos="8306"/>
            </w:tabs>
            <w:rPr>
              <w:b/>
            </w:rPr>
          </w:pPr>
          <w:r>
            <w:rPr>
              <w:b/>
              <w:szCs w:val="24"/>
            </w:rPr>
            <w:fldChar w:fldCharType="begin"/>
          </w:r>
          <w:r>
            <w:rPr>
              <w:b/>
              <w:szCs w:val="24"/>
            </w:rPr>
            <w:instrText xml:space="preserve"> HYPERLINK \l _Toc21564 </w:instrText>
          </w:r>
          <w:r>
            <w:rPr>
              <w:b/>
              <w:szCs w:val="24"/>
            </w:rPr>
            <w:fldChar w:fldCharType="separate"/>
          </w:r>
          <w:r>
            <w:rPr>
              <w:b/>
            </w:rPr>
            <w:t xml:space="preserve">3  </w:t>
          </w:r>
          <w:r>
            <w:rPr>
              <w:rFonts w:hint="eastAsia"/>
              <w:b/>
              <w:lang w:val="en-US" w:eastAsia="zh-CN"/>
            </w:rPr>
            <w:t>Basic Requirements</w:t>
          </w:r>
          <w:r>
            <w:rPr>
              <w:b/>
            </w:rPr>
            <w:tab/>
          </w:r>
          <w:r>
            <w:rPr>
              <w:b/>
            </w:rPr>
            <w:fldChar w:fldCharType="begin"/>
          </w:r>
          <w:r>
            <w:rPr>
              <w:b/>
            </w:rPr>
            <w:instrText xml:space="preserve"> PAGEREF _Toc21564 \h </w:instrText>
          </w:r>
          <w:r>
            <w:rPr>
              <w:b/>
            </w:rPr>
            <w:fldChar w:fldCharType="separate"/>
          </w:r>
          <w:r>
            <w:rPr>
              <w:b/>
            </w:rPr>
            <w:t>5</w:t>
          </w:r>
          <w:r>
            <w:rPr>
              <w:b/>
            </w:rPr>
            <w:fldChar w:fldCharType="end"/>
          </w:r>
          <w:r>
            <w:rPr>
              <w:b/>
              <w:szCs w:val="24"/>
            </w:rPr>
            <w:fldChar w:fldCharType="end"/>
          </w:r>
        </w:p>
        <w:p w14:paraId="64ADB852">
          <w:pPr>
            <w:pStyle w:val="51"/>
            <w:tabs>
              <w:tab w:val="right" w:leader="dot" w:pos="8306"/>
            </w:tabs>
            <w:rPr>
              <w:b/>
            </w:rPr>
          </w:pPr>
          <w:r>
            <w:rPr>
              <w:b/>
              <w:szCs w:val="24"/>
            </w:rPr>
            <w:fldChar w:fldCharType="begin"/>
          </w:r>
          <w:r>
            <w:rPr>
              <w:b/>
              <w:szCs w:val="24"/>
            </w:rPr>
            <w:instrText xml:space="preserve"> HYPERLINK \l _Toc8892 </w:instrText>
          </w:r>
          <w:r>
            <w:rPr>
              <w:b/>
              <w:szCs w:val="24"/>
            </w:rPr>
            <w:fldChar w:fldCharType="separate"/>
          </w:r>
          <w:r>
            <w:rPr>
              <w:b/>
            </w:rPr>
            <w:t>4</w:t>
          </w:r>
          <w:r>
            <w:rPr>
              <w:rFonts w:hint="eastAsia"/>
              <w:b/>
              <w:lang w:val="en-US" w:eastAsia="zh-CN"/>
            </w:rPr>
            <w:t xml:space="preserve"> Materials</w:t>
          </w:r>
          <w:r>
            <w:rPr>
              <w:b/>
            </w:rPr>
            <w:tab/>
          </w:r>
          <w:r>
            <w:rPr>
              <w:b/>
            </w:rPr>
            <w:fldChar w:fldCharType="begin"/>
          </w:r>
          <w:r>
            <w:rPr>
              <w:b/>
            </w:rPr>
            <w:instrText xml:space="preserve"> PAGEREF _Toc8892 \h </w:instrText>
          </w:r>
          <w:r>
            <w:rPr>
              <w:b/>
            </w:rPr>
            <w:fldChar w:fldCharType="separate"/>
          </w:r>
          <w:r>
            <w:rPr>
              <w:b/>
            </w:rPr>
            <w:t>6</w:t>
          </w:r>
          <w:r>
            <w:rPr>
              <w:b/>
            </w:rPr>
            <w:fldChar w:fldCharType="end"/>
          </w:r>
          <w:r>
            <w:rPr>
              <w:b/>
              <w:szCs w:val="24"/>
            </w:rPr>
            <w:fldChar w:fldCharType="end"/>
          </w:r>
        </w:p>
        <w:p w14:paraId="72BA6084">
          <w:pPr>
            <w:pStyle w:val="52"/>
            <w:tabs>
              <w:tab w:val="right" w:leader="dot" w:pos="8306"/>
            </w:tabs>
          </w:pPr>
          <w:r>
            <w:rPr>
              <w:szCs w:val="24"/>
            </w:rPr>
            <w:fldChar w:fldCharType="begin"/>
          </w:r>
          <w:r>
            <w:rPr>
              <w:szCs w:val="24"/>
            </w:rPr>
            <w:instrText xml:space="preserve"> HYPERLINK \l _Toc1519 </w:instrText>
          </w:r>
          <w:r>
            <w:rPr>
              <w:szCs w:val="24"/>
            </w:rPr>
            <w:fldChar w:fldCharType="separate"/>
          </w:r>
          <w:r>
            <w:t>4.1</w:t>
          </w:r>
          <w:r>
            <w:rPr>
              <w:rFonts w:hint="eastAsia"/>
              <w:lang w:val="en-US" w:eastAsia="zh-CN"/>
            </w:rPr>
            <w:t xml:space="preserve"> Concrete</w:t>
          </w:r>
          <w:r>
            <w:rPr>
              <w:rFonts w:hint="eastAsia"/>
            </w:rPr>
            <w:t>、</w:t>
          </w:r>
          <w:r>
            <w:rPr>
              <w:rFonts w:hint="eastAsia"/>
              <w:lang w:val="en-US" w:eastAsia="zh-CN"/>
            </w:rPr>
            <w:t>Steel reinforcement and Steel</w:t>
          </w:r>
          <w:r>
            <w:tab/>
          </w:r>
          <w:r>
            <w:fldChar w:fldCharType="begin"/>
          </w:r>
          <w:r>
            <w:instrText xml:space="preserve"> PAGEREF _Toc1519 \h </w:instrText>
          </w:r>
          <w:r>
            <w:fldChar w:fldCharType="separate"/>
          </w:r>
          <w:r>
            <w:t>6</w:t>
          </w:r>
          <w:r>
            <w:fldChar w:fldCharType="end"/>
          </w:r>
          <w:r>
            <w:rPr>
              <w:szCs w:val="24"/>
            </w:rPr>
            <w:fldChar w:fldCharType="end"/>
          </w:r>
        </w:p>
        <w:p w14:paraId="207A1812">
          <w:pPr>
            <w:pStyle w:val="52"/>
            <w:tabs>
              <w:tab w:val="right" w:leader="dot" w:pos="8306"/>
            </w:tabs>
            <w:rPr>
              <w:b/>
            </w:rPr>
          </w:pPr>
          <w:r>
            <w:rPr>
              <w:szCs w:val="24"/>
            </w:rPr>
            <w:fldChar w:fldCharType="begin"/>
          </w:r>
          <w:r>
            <w:rPr>
              <w:szCs w:val="24"/>
            </w:rPr>
            <w:instrText xml:space="preserve"> HYPERLINK \l _Toc25776 </w:instrText>
          </w:r>
          <w:r>
            <w:rPr>
              <w:szCs w:val="24"/>
            </w:rPr>
            <w:fldChar w:fldCharType="separate"/>
          </w:r>
          <w:r>
            <w:t>4.2</w:t>
          </w:r>
          <w:r>
            <w:rPr>
              <w:rFonts w:hint="eastAsia"/>
              <w:lang w:val="en-US" w:eastAsia="zh-CN"/>
            </w:rPr>
            <w:t xml:space="preserve"> Insulation Materials</w:t>
          </w:r>
          <w:r>
            <w:tab/>
          </w:r>
          <w:r>
            <w:fldChar w:fldCharType="begin"/>
          </w:r>
          <w:r>
            <w:instrText xml:space="preserve"> PAGEREF _Toc25776 \h </w:instrText>
          </w:r>
          <w:r>
            <w:fldChar w:fldCharType="separate"/>
          </w:r>
          <w:r>
            <w:t>6</w:t>
          </w:r>
          <w:r>
            <w:fldChar w:fldCharType="end"/>
          </w:r>
          <w:r>
            <w:rPr>
              <w:szCs w:val="24"/>
            </w:rPr>
            <w:fldChar w:fldCharType="end"/>
          </w:r>
        </w:p>
        <w:p w14:paraId="2BE5CCBB">
          <w:pPr>
            <w:pStyle w:val="52"/>
            <w:tabs>
              <w:tab w:val="right" w:leader="dot" w:pos="8306"/>
            </w:tabs>
          </w:pPr>
          <w:r>
            <w:rPr>
              <w:szCs w:val="24"/>
            </w:rPr>
            <w:fldChar w:fldCharType="begin"/>
          </w:r>
          <w:r>
            <w:rPr>
              <w:szCs w:val="24"/>
            </w:rPr>
            <w:instrText xml:space="preserve"> HYPERLINK \l _Toc17646 </w:instrText>
          </w:r>
          <w:r>
            <w:rPr>
              <w:szCs w:val="24"/>
            </w:rPr>
            <w:fldChar w:fldCharType="separate"/>
          </w:r>
          <w:r>
            <w:t>4.3</w:t>
          </w:r>
          <w:r>
            <w:rPr>
              <w:rFonts w:hint="eastAsia"/>
              <w:lang w:val="en-US" w:eastAsia="zh-CN"/>
            </w:rPr>
            <w:t xml:space="preserve"> Connecting Materials</w:t>
          </w:r>
          <w:r>
            <w:tab/>
          </w:r>
          <w:r>
            <w:fldChar w:fldCharType="begin"/>
          </w:r>
          <w:r>
            <w:instrText xml:space="preserve"> PAGEREF _Toc17646 \h </w:instrText>
          </w:r>
          <w:r>
            <w:fldChar w:fldCharType="separate"/>
          </w:r>
          <w:r>
            <w:t>7</w:t>
          </w:r>
          <w:r>
            <w:fldChar w:fldCharType="end"/>
          </w:r>
          <w:r>
            <w:rPr>
              <w:szCs w:val="24"/>
            </w:rPr>
            <w:fldChar w:fldCharType="end"/>
          </w:r>
        </w:p>
        <w:p w14:paraId="7FC7BB4D">
          <w:pPr>
            <w:pStyle w:val="52"/>
            <w:tabs>
              <w:tab w:val="right" w:leader="dot" w:pos="8306"/>
            </w:tabs>
          </w:pPr>
          <w:r>
            <w:rPr>
              <w:szCs w:val="24"/>
            </w:rPr>
            <w:fldChar w:fldCharType="begin"/>
          </w:r>
          <w:r>
            <w:rPr>
              <w:szCs w:val="24"/>
            </w:rPr>
            <w:instrText xml:space="preserve"> HYPERLINK \l _Toc29576 </w:instrText>
          </w:r>
          <w:r>
            <w:rPr>
              <w:szCs w:val="24"/>
            </w:rPr>
            <w:fldChar w:fldCharType="separate"/>
          </w:r>
          <w:r>
            <w:t>4.4</w:t>
          </w:r>
          <w:r>
            <w:rPr>
              <w:rFonts w:hint="eastAsia"/>
              <w:lang w:val="en-US" w:eastAsia="zh-CN"/>
            </w:rPr>
            <w:t xml:space="preserve"> Waterproof Materials</w:t>
          </w:r>
          <w:r>
            <w:tab/>
          </w:r>
          <w:r>
            <w:fldChar w:fldCharType="begin"/>
          </w:r>
          <w:r>
            <w:instrText xml:space="preserve"> PAGEREF _Toc29576 \h </w:instrText>
          </w:r>
          <w:r>
            <w:fldChar w:fldCharType="separate"/>
          </w:r>
          <w:r>
            <w:t>9</w:t>
          </w:r>
          <w:r>
            <w:fldChar w:fldCharType="end"/>
          </w:r>
          <w:r>
            <w:rPr>
              <w:szCs w:val="24"/>
            </w:rPr>
            <w:fldChar w:fldCharType="end"/>
          </w:r>
        </w:p>
        <w:p w14:paraId="30D341E1">
          <w:pPr>
            <w:pStyle w:val="52"/>
            <w:tabs>
              <w:tab w:val="right" w:leader="dot" w:pos="8306"/>
            </w:tabs>
          </w:pPr>
          <w:r>
            <w:rPr>
              <w:szCs w:val="24"/>
            </w:rPr>
            <w:fldChar w:fldCharType="begin"/>
          </w:r>
          <w:r>
            <w:rPr>
              <w:szCs w:val="24"/>
            </w:rPr>
            <w:instrText xml:space="preserve"> HYPERLINK \l _Toc27037 </w:instrText>
          </w:r>
          <w:r>
            <w:rPr>
              <w:szCs w:val="24"/>
            </w:rPr>
            <w:fldChar w:fldCharType="separate"/>
          </w:r>
          <w:r>
            <w:t>4.</w:t>
          </w:r>
          <w:r>
            <w:rPr>
              <w:rFonts w:hint="eastAsia"/>
            </w:rPr>
            <w:t>5</w:t>
          </w:r>
          <w:r>
            <w:rPr>
              <w:rFonts w:hint="eastAsia"/>
              <w:lang w:val="en-US" w:eastAsia="zh-CN"/>
            </w:rPr>
            <w:t xml:space="preserve"> Decorative Materials</w:t>
          </w:r>
          <w:r>
            <w:tab/>
          </w:r>
          <w:r>
            <w:fldChar w:fldCharType="begin"/>
          </w:r>
          <w:r>
            <w:instrText xml:space="preserve"> PAGEREF _Toc27037 \h </w:instrText>
          </w:r>
          <w:r>
            <w:fldChar w:fldCharType="separate"/>
          </w:r>
          <w:r>
            <w:t>9</w:t>
          </w:r>
          <w:r>
            <w:fldChar w:fldCharType="end"/>
          </w:r>
          <w:r>
            <w:rPr>
              <w:szCs w:val="24"/>
            </w:rPr>
            <w:fldChar w:fldCharType="end"/>
          </w:r>
        </w:p>
        <w:p w14:paraId="4701C89C">
          <w:pPr>
            <w:pStyle w:val="52"/>
            <w:tabs>
              <w:tab w:val="right" w:leader="dot" w:pos="8306"/>
            </w:tabs>
          </w:pPr>
          <w:r>
            <w:rPr>
              <w:szCs w:val="24"/>
            </w:rPr>
            <w:fldChar w:fldCharType="begin"/>
          </w:r>
          <w:r>
            <w:rPr>
              <w:szCs w:val="24"/>
            </w:rPr>
            <w:instrText xml:space="preserve"> HYPERLINK \l _Toc15206 </w:instrText>
          </w:r>
          <w:r>
            <w:rPr>
              <w:szCs w:val="24"/>
            </w:rPr>
            <w:fldChar w:fldCharType="separate"/>
          </w:r>
          <w:r>
            <w:t>4.</w:t>
          </w:r>
          <w:r>
            <w:rPr>
              <w:rFonts w:hint="eastAsia"/>
            </w:rPr>
            <w:t>6</w:t>
          </w:r>
          <w:r>
            <w:rPr>
              <w:rFonts w:hint="eastAsia"/>
              <w:lang w:val="en-US" w:eastAsia="zh-CN"/>
            </w:rPr>
            <w:t xml:space="preserve"> Other Materials</w:t>
          </w:r>
          <w:r>
            <w:tab/>
          </w:r>
          <w:r>
            <w:fldChar w:fldCharType="begin"/>
          </w:r>
          <w:r>
            <w:instrText xml:space="preserve"> PAGEREF _Toc15206 \h </w:instrText>
          </w:r>
          <w:r>
            <w:fldChar w:fldCharType="separate"/>
          </w:r>
          <w:r>
            <w:t>10</w:t>
          </w:r>
          <w:r>
            <w:fldChar w:fldCharType="end"/>
          </w:r>
          <w:r>
            <w:rPr>
              <w:szCs w:val="24"/>
            </w:rPr>
            <w:fldChar w:fldCharType="end"/>
          </w:r>
        </w:p>
        <w:p w14:paraId="12144C82">
          <w:pPr>
            <w:pStyle w:val="51"/>
            <w:tabs>
              <w:tab w:val="right" w:leader="dot" w:pos="8306"/>
            </w:tabs>
            <w:rPr>
              <w:b/>
            </w:rPr>
          </w:pPr>
          <w:r>
            <w:rPr>
              <w:b/>
              <w:szCs w:val="24"/>
            </w:rPr>
            <w:fldChar w:fldCharType="begin"/>
          </w:r>
          <w:r>
            <w:rPr>
              <w:b/>
              <w:szCs w:val="24"/>
            </w:rPr>
            <w:instrText xml:space="preserve"> HYPERLINK \l _Toc15587 </w:instrText>
          </w:r>
          <w:r>
            <w:rPr>
              <w:b/>
              <w:szCs w:val="24"/>
            </w:rPr>
            <w:fldChar w:fldCharType="separate"/>
          </w:r>
          <w:r>
            <w:rPr>
              <w:b/>
            </w:rPr>
            <w:t>5</w:t>
          </w:r>
          <w:r>
            <w:rPr>
              <w:rFonts w:hint="eastAsia"/>
              <w:b/>
              <w:lang w:val="en-US" w:eastAsia="zh-CN"/>
            </w:rPr>
            <w:t xml:space="preserve"> Design</w:t>
          </w:r>
          <w:r>
            <w:rPr>
              <w:b/>
            </w:rPr>
            <w:tab/>
          </w:r>
          <w:r>
            <w:rPr>
              <w:b/>
            </w:rPr>
            <w:fldChar w:fldCharType="begin"/>
          </w:r>
          <w:r>
            <w:rPr>
              <w:b/>
            </w:rPr>
            <w:instrText xml:space="preserve"> PAGEREF _Toc15587 \h </w:instrText>
          </w:r>
          <w:r>
            <w:rPr>
              <w:b/>
            </w:rPr>
            <w:fldChar w:fldCharType="separate"/>
          </w:r>
          <w:r>
            <w:rPr>
              <w:b/>
            </w:rPr>
            <w:t>11</w:t>
          </w:r>
          <w:r>
            <w:rPr>
              <w:b/>
            </w:rPr>
            <w:fldChar w:fldCharType="end"/>
          </w:r>
          <w:r>
            <w:rPr>
              <w:b/>
              <w:szCs w:val="24"/>
            </w:rPr>
            <w:fldChar w:fldCharType="end"/>
          </w:r>
        </w:p>
        <w:p w14:paraId="19A8A786">
          <w:pPr>
            <w:pStyle w:val="52"/>
            <w:tabs>
              <w:tab w:val="right" w:leader="dot" w:pos="8306"/>
            </w:tabs>
          </w:pPr>
          <w:r>
            <w:rPr>
              <w:szCs w:val="24"/>
            </w:rPr>
            <w:fldChar w:fldCharType="begin"/>
          </w:r>
          <w:r>
            <w:rPr>
              <w:szCs w:val="24"/>
            </w:rPr>
            <w:instrText xml:space="preserve"> HYPERLINK \l _Toc23315 </w:instrText>
          </w:r>
          <w:r>
            <w:rPr>
              <w:szCs w:val="24"/>
            </w:rPr>
            <w:fldChar w:fldCharType="separate"/>
          </w:r>
          <w:r>
            <w:t xml:space="preserve">5.1 </w:t>
          </w:r>
          <w:r>
            <w:rPr>
              <w:rFonts w:hint="eastAsia"/>
              <w:lang w:val="en-US" w:eastAsia="zh-CN"/>
            </w:rPr>
            <w:t>Genernal Requirements</w:t>
          </w:r>
          <w:r>
            <w:tab/>
          </w:r>
          <w:r>
            <w:fldChar w:fldCharType="begin"/>
          </w:r>
          <w:r>
            <w:instrText xml:space="preserve"> PAGEREF _Toc23315 \h </w:instrText>
          </w:r>
          <w:r>
            <w:fldChar w:fldCharType="separate"/>
          </w:r>
          <w:r>
            <w:t>11</w:t>
          </w:r>
          <w:r>
            <w:fldChar w:fldCharType="end"/>
          </w:r>
          <w:r>
            <w:rPr>
              <w:szCs w:val="24"/>
            </w:rPr>
            <w:fldChar w:fldCharType="end"/>
          </w:r>
        </w:p>
        <w:p w14:paraId="1B1B2DDD">
          <w:pPr>
            <w:pStyle w:val="52"/>
            <w:tabs>
              <w:tab w:val="right" w:leader="dot" w:pos="8306"/>
            </w:tabs>
          </w:pPr>
          <w:r>
            <w:rPr>
              <w:szCs w:val="24"/>
            </w:rPr>
            <w:fldChar w:fldCharType="begin"/>
          </w:r>
          <w:r>
            <w:rPr>
              <w:szCs w:val="24"/>
            </w:rPr>
            <w:instrText xml:space="preserve"> HYPERLINK \l _Toc17148 </w:instrText>
          </w:r>
          <w:r>
            <w:rPr>
              <w:szCs w:val="24"/>
            </w:rPr>
            <w:fldChar w:fldCharType="separate"/>
          </w:r>
          <w:r>
            <w:t xml:space="preserve">5.2 </w:t>
          </w:r>
          <w:r>
            <w:rPr>
              <w:rFonts w:hint="eastAsia"/>
              <w:lang w:val="en-US" w:eastAsia="zh-CN"/>
            </w:rPr>
            <w:t>Component and Construction</w:t>
          </w:r>
          <w:r>
            <w:tab/>
          </w:r>
          <w:r>
            <w:fldChar w:fldCharType="begin"/>
          </w:r>
          <w:r>
            <w:instrText xml:space="preserve"> PAGEREF _Toc17148 \h </w:instrText>
          </w:r>
          <w:r>
            <w:fldChar w:fldCharType="separate"/>
          </w:r>
          <w:r>
            <w:t>11</w:t>
          </w:r>
          <w:r>
            <w:fldChar w:fldCharType="end"/>
          </w:r>
          <w:r>
            <w:rPr>
              <w:szCs w:val="24"/>
            </w:rPr>
            <w:fldChar w:fldCharType="end"/>
          </w:r>
        </w:p>
        <w:p w14:paraId="2D0C1D85">
          <w:pPr>
            <w:pStyle w:val="52"/>
            <w:tabs>
              <w:tab w:val="right" w:leader="dot" w:pos="8306"/>
            </w:tabs>
          </w:pPr>
          <w:r>
            <w:rPr>
              <w:szCs w:val="24"/>
            </w:rPr>
            <w:fldChar w:fldCharType="begin"/>
          </w:r>
          <w:r>
            <w:rPr>
              <w:szCs w:val="24"/>
            </w:rPr>
            <w:instrText xml:space="preserve"> HYPERLINK \l _Toc11680 </w:instrText>
          </w:r>
          <w:r>
            <w:rPr>
              <w:szCs w:val="24"/>
            </w:rPr>
            <w:fldChar w:fldCharType="separate"/>
          </w:r>
          <w:r>
            <w:t xml:space="preserve">5.3 </w:t>
          </w:r>
          <w:r>
            <w:rPr>
              <w:rFonts w:hint="eastAsia"/>
              <w:lang w:val="en-US" w:eastAsia="zh-CN"/>
            </w:rPr>
            <w:t>Wall and Connector Design</w:t>
          </w:r>
          <w:r>
            <w:tab/>
          </w:r>
          <w:r>
            <w:fldChar w:fldCharType="begin"/>
          </w:r>
          <w:r>
            <w:instrText xml:space="preserve"> PAGEREF _Toc11680 \h </w:instrText>
          </w:r>
          <w:r>
            <w:fldChar w:fldCharType="separate"/>
          </w:r>
          <w:r>
            <w:t>18</w:t>
          </w:r>
          <w:r>
            <w:fldChar w:fldCharType="end"/>
          </w:r>
          <w:r>
            <w:rPr>
              <w:szCs w:val="24"/>
            </w:rPr>
            <w:fldChar w:fldCharType="end"/>
          </w:r>
        </w:p>
        <w:p w14:paraId="5F9435DD">
          <w:pPr>
            <w:pStyle w:val="51"/>
            <w:tabs>
              <w:tab w:val="right" w:leader="dot" w:pos="8306"/>
            </w:tabs>
            <w:rPr>
              <w:b/>
            </w:rPr>
          </w:pPr>
          <w:r>
            <w:rPr>
              <w:b/>
              <w:szCs w:val="24"/>
            </w:rPr>
            <w:fldChar w:fldCharType="begin"/>
          </w:r>
          <w:r>
            <w:rPr>
              <w:b/>
              <w:szCs w:val="24"/>
            </w:rPr>
            <w:instrText xml:space="preserve"> HYPERLINK \l _Toc4191 </w:instrText>
          </w:r>
          <w:r>
            <w:rPr>
              <w:b/>
              <w:szCs w:val="24"/>
            </w:rPr>
            <w:fldChar w:fldCharType="separate"/>
          </w:r>
          <w:r>
            <w:rPr>
              <w:rFonts w:hint="eastAsia"/>
              <w:b/>
              <w:bCs w:val="0"/>
              <w:szCs w:val="24"/>
            </w:rPr>
            <w:t>6</w:t>
          </w:r>
          <w:r>
            <w:rPr>
              <w:rFonts w:hint="eastAsia"/>
              <w:b/>
              <w:bCs w:val="0"/>
              <w:szCs w:val="24"/>
              <w:lang w:val="en-US" w:eastAsia="zh-CN"/>
            </w:rPr>
            <w:t xml:space="preserve"> Production and Transportation</w:t>
          </w:r>
          <w:r>
            <w:rPr>
              <w:b/>
            </w:rPr>
            <w:tab/>
          </w:r>
          <w:r>
            <w:rPr>
              <w:b/>
            </w:rPr>
            <w:fldChar w:fldCharType="begin"/>
          </w:r>
          <w:r>
            <w:rPr>
              <w:b/>
            </w:rPr>
            <w:instrText xml:space="preserve"> PAGEREF _Toc4191 \h </w:instrText>
          </w:r>
          <w:r>
            <w:rPr>
              <w:b/>
            </w:rPr>
            <w:fldChar w:fldCharType="separate"/>
          </w:r>
          <w:r>
            <w:rPr>
              <w:b/>
            </w:rPr>
            <w:t>24</w:t>
          </w:r>
          <w:r>
            <w:rPr>
              <w:b/>
            </w:rPr>
            <w:fldChar w:fldCharType="end"/>
          </w:r>
          <w:r>
            <w:rPr>
              <w:b/>
              <w:szCs w:val="24"/>
            </w:rPr>
            <w:fldChar w:fldCharType="end"/>
          </w:r>
        </w:p>
        <w:p w14:paraId="2FA9CA1A">
          <w:pPr>
            <w:pStyle w:val="52"/>
            <w:tabs>
              <w:tab w:val="right" w:leader="dot" w:pos="8306"/>
            </w:tabs>
          </w:pPr>
          <w:r>
            <w:rPr>
              <w:szCs w:val="24"/>
            </w:rPr>
            <w:fldChar w:fldCharType="begin"/>
          </w:r>
          <w:r>
            <w:rPr>
              <w:szCs w:val="24"/>
            </w:rPr>
            <w:instrText xml:space="preserve"> HYPERLINK \l _Toc20787 </w:instrText>
          </w:r>
          <w:r>
            <w:rPr>
              <w:szCs w:val="24"/>
            </w:rPr>
            <w:fldChar w:fldCharType="separate"/>
          </w:r>
          <w:r>
            <w:rPr>
              <w:rFonts w:hint="eastAsia"/>
            </w:rPr>
            <w:t>6</w:t>
          </w:r>
          <w:r>
            <w:t>.1</w:t>
          </w:r>
          <w:r>
            <w:rPr>
              <w:rFonts w:hint="eastAsia"/>
              <w:lang w:val="en-US" w:eastAsia="zh-CN"/>
            </w:rPr>
            <w:t xml:space="preserve"> Generanal Requirements</w:t>
          </w:r>
          <w:r>
            <w:tab/>
          </w:r>
          <w:r>
            <w:fldChar w:fldCharType="begin"/>
          </w:r>
          <w:r>
            <w:instrText xml:space="preserve"> PAGEREF _Toc20787 \h </w:instrText>
          </w:r>
          <w:r>
            <w:fldChar w:fldCharType="separate"/>
          </w:r>
          <w:r>
            <w:t>24</w:t>
          </w:r>
          <w:r>
            <w:fldChar w:fldCharType="end"/>
          </w:r>
          <w:r>
            <w:rPr>
              <w:szCs w:val="24"/>
            </w:rPr>
            <w:fldChar w:fldCharType="end"/>
          </w:r>
        </w:p>
        <w:p w14:paraId="5DF4BC50">
          <w:pPr>
            <w:pStyle w:val="52"/>
            <w:tabs>
              <w:tab w:val="right" w:leader="dot" w:pos="8306"/>
            </w:tabs>
          </w:pPr>
          <w:r>
            <w:rPr>
              <w:szCs w:val="24"/>
            </w:rPr>
            <w:fldChar w:fldCharType="begin"/>
          </w:r>
          <w:r>
            <w:rPr>
              <w:szCs w:val="24"/>
            </w:rPr>
            <w:instrText xml:space="preserve"> HYPERLINK \l _Toc19601 </w:instrText>
          </w:r>
          <w:r>
            <w:rPr>
              <w:szCs w:val="24"/>
            </w:rPr>
            <w:fldChar w:fldCharType="separate"/>
          </w:r>
          <w:r>
            <w:rPr>
              <w:rFonts w:hint="eastAsia"/>
            </w:rPr>
            <w:t>6</w:t>
          </w:r>
          <w:r>
            <w:t>.2</w:t>
          </w:r>
          <w:r>
            <w:rPr>
              <w:rFonts w:hint="eastAsia"/>
              <w:lang w:val="en-US" w:eastAsia="zh-CN"/>
            </w:rPr>
            <w:t xml:space="preserve"> Production</w:t>
          </w:r>
          <w:r>
            <w:tab/>
          </w:r>
          <w:r>
            <w:fldChar w:fldCharType="begin"/>
          </w:r>
          <w:r>
            <w:instrText xml:space="preserve"> PAGEREF _Toc19601 \h </w:instrText>
          </w:r>
          <w:r>
            <w:fldChar w:fldCharType="separate"/>
          </w:r>
          <w:r>
            <w:t>24</w:t>
          </w:r>
          <w:r>
            <w:fldChar w:fldCharType="end"/>
          </w:r>
          <w:r>
            <w:rPr>
              <w:szCs w:val="24"/>
            </w:rPr>
            <w:fldChar w:fldCharType="end"/>
          </w:r>
        </w:p>
        <w:p w14:paraId="4C12F598">
          <w:pPr>
            <w:pStyle w:val="52"/>
            <w:tabs>
              <w:tab w:val="right" w:leader="dot" w:pos="8306"/>
            </w:tabs>
          </w:pPr>
          <w:r>
            <w:rPr>
              <w:szCs w:val="24"/>
            </w:rPr>
            <w:fldChar w:fldCharType="begin"/>
          </w:r>
          <w:r>
            <w:rPr>
              <w:szCs w:val="24"/>
            </w:rPr>
            <w:instrText xml:space="preserve"> HYPERLINK \l _Toc10969 </w:instrText>
          </w:r>
          <w:r>
            <w:rPr>
              <w:szCs w:val="24"/>
            </w:rPr>
            <w:fldChar w:fldCharType="separate"/>
          </w:r>
          <w:r>
            <w:rPr>
              <w:rFonts w:hint="eastAsia"/>
            </w:rPr>
            <w:t>6</w:t>
          </w:r>
          <w:r>
            <w:t>.</w:t>
          </w:r>
          <w:r>
            <w:rPr>
              <w:rFonts w:hint="eastAsia"/>
            </w:rPr>
            <w:t>3</w:t>
          </w:r>
          <w:r>
            <w:rPr>
              <w:rFonts w:hint="eastAsia"/>
              <w:lang w:val="en-US" w:eastAsia="zh-CN"/>
            </w:rPr>
            <w:t xml:space="preserve"> Outgoing Inpection</w:t>
          </w:r>
          <w:r>
            <w:tab/>
          </w:r>
          <w:r>
            <w:fldChar w:fldCharType="begin"/>
          </w:r>
          <w:r>
            <w:instrText xml:space="preserve"> PAGEREF _Toc10969 \h </w:instrText>
          </w:r>
          <w:r>
            <w:fldChar w:fldCharType="separate"/>
          </w:r>
          <w:r>
            <w:t>26</w:t>
          </w:r>
          <w:r>
            <w:fldChar w:fldCharType="end"/>
          </w:r>
          <w:r>
            <w:rPr>
              <w:szCs w:val="24"/>
            </w:rPr>
            <w:fldChar w:fldCharType="end"/>
          </w:r>
        </w:p>
        <w:p w14:paraId="2ECA2BCC">
          <w:pPr>
            <w:pStyle w:val="52"/>
            <w:tabs>
              <w:tab w:val="right" w:leader="dot" w:pos="8306"/>
            </w:tabs>
          </w:pPr>
          <w:r>
            <w:rPr>
              <w:szCs w:val="24"/>
            </w:rPr>
            <w:fldChar w:fldCharType="begin"/>
          </w:r>
          <w:r>
            <w:rPr>
              <w:szCs w:val="24"/>
            </w:rPr>
            <w:instrText xml:space="preserve"> HYPERLINK \l _Toc16649 </w:instrText>
          </w:r>
          <w:r>
            <w:rPr>
              <w:szCs w:val="24"/>
            </w:rPr>
            <w:fldChar w:fldCharType="separate"/>
          </w:r>
          <w:r>
            <w:rPr>
              <w:rFonts w:hint="eastAsia"/>
            </w:rPr>
            <w:t>6</w:t>
          </w:r>
          <w:r>
            <w:t>.</w:t>
          </w:r>
          <w:r>
            <w:rPr>
              <w:rFonts w:hint="eastAsia"/>
            </w:rPr>
            <w:t>4</w:t>
          </w:r>
          <w:r>
            <w:rPr>
              <w:rFonts w:hint="eastAsia"/>
              <w:lang w:val="en-US" w:eastAsia="zh-CN"/>
            </w:rPr>
            <w:t xml:space="preserve"> Transportation</w:t>
          </w:r>
          <w:r>
            <w:tab/>
          </w:r>
          <w:r>
            <w:fldChar w:fldCharType="begin"/>
          </w:r>
          <w:r>
            <w:instrText xml:space="preserve"> PAGEREF _Toc16649 \h </w:instrText>
          </w:r>
          <w:r>
            <w:fldChar w:fldCharType="separate"/>
          </w:r>
          <w:r>
            <w:t>27</w:t>
          </w:r>
          <w:r>
            <w:fldChar w:fldCharType="end"/>
          </w:r>
          <w:r>
            <w:rPr>
              <w:szCs w:val="24"/>
            </w:rPr>
            <w:fldChar w:fldCharType="end"/>
          </w:r>
        </w:p>
        <w:p w14:paraId="1F1CEBD8">
          <w:pPr>
            <w:pStyle w:val="51"/>
            <w:tabs>
              <w:tab w:val="right" w:leader="dot" w:pos="8306"/>
            </w:tabs>
            <w:rPr>
              <w:b/>
            </w:rPr>
          </w:pPr>
          <w:r>
            <w:rPr>
              <w:b/>
              <w:szCs w:val="24"/>
            </w:rPr>
            <w:fldChar w:fldCharType="begin"/>
          </w:r>
          <w:r>
            <w:rPr>
              <w:b/>
              <w:szCs w:val="24"/>
            </w:rPr>
            <w:instrText xml:space="preserve"> HYPERLINK \l _Toc17619 </w:instrText>
          </w:r>
          <w:r>
            <w:rPr>
              <w:b/>
              <w:szCs w:val="24"/>
            </w:rPr>
            <w:fldChar w:fldCharType="separate"/>
          </w:r>
          <w:r>
            <w:rPr>
              <w:rFonts w:hint="eastAsia"/>
              <w:b/>
              <w:bCs w:val="0"/>
              <w:szCs w:val="24"/>
            </w:rPr>
            <w:t>7</w:t>
          </w:r>
          <w:r>
            <w:rPr>
              <w:rFonts w:hint="eastAsia"/>
              <w:b/>
              <w:bCs w:val="0"/>
              <w:szCs w:val="24"/>
              <w:lang w:val="en-US" w:eastAsia="zh-CN"/>
            </w:rPr>
            <w:t xml:space="preserve"> Construction and Inspection</w:t>
          </w:r>
          <w:r>
            <w:rPr>
              <w:b/>
            </w:rPr>
            <w:tab/>
          </w:r>
          <w:r>
            <w:rPr>
              <w:b/>
            </w:rPr>
            <w:fldChar w:fldCharType="begin"/>
          </w:r>
          <w:r>
            <w:rPr>
              <w:b/>
            </w:rPr>
            <w:instrText xml:space="preserve"> PAGEREF _Toc17619 \h </w:instrText>
          </w:r>
          <w:r>
            <w:rPr>
              <w:b/>
            </w:rPr>
            <w:fldChar w:fldCharType="separate"/>
          </w:r>
          <w:r>
            <w:rPr>
              <w:b/>
            </w:rPr>
            <w:t>28</w:t>
          </w:r>
          <w:r>
            <w:rPr>
              <w:b/>
            </w:rPr>
            <w:fldChar w:fldCharType="end"/>
          </w:r>
          <w:r>
            <w:rPr>
              <w:b/>
              <w:szCs w:val="24"/>
            </w:rPr>
            <w:fldChar w:fldCharType="end"/>
          </w:r>
        </w:p>
        <w:p w14:paraId="6D08F73A">
          <w:pPr>
            <w:pStyle w:val="52"/>
            <w:tabs>
              <w:tab w:val="right" w:leader="dot" w:pos="8306"/>
            </w:tabs>
          </w:pPr>
          <w:r>
            <w:rPr>
              <w:szCs w:val="24"/>
            </w:rPr>
            <w:fldChar w:fldCharType="begin"/>
          </w:r>
          <w:r>
            <w:rPr>
              <w:szCs w:val="24"/>
            </w:rPr>
            <w:instrText xml:space="preserve"> HYPERLINK \l _Toc6680 </w:instrText>
          </w:r>
          <w:r>
            <w:rPr>
              <w:szCs w:val="24"/>
            </w:rPr>
            <w:fldChar w:fldCharType="separate"/>
          </w:r>
          <w:r>
            <w:rPr>
              <w:rFonts w:hint="eastAsia"/>
            </w:rPr>
            <w:t>7</w:t>
          </w:r>
          <w:r>
            <w:t>.1</w:t>
          </w:r>
          <w:r>
            <w:rPr>
              <w:rFonts w:hint="eastAsia"/>
              <w:lang w:val="en-US" w:eastAsia="zh-CN"/>
            </w:rPr>
            <w:t xml:space="preserve"> General Requirements</w:t>
          </w:r>
          <w:r>
            <w:tab/>
          </w:r>
          <w:r>
            <w:fldChar w:fldCharType="begin"/>
          </w:r>
          <w:r>
            <w:instrText xml:space="preserve"> PAGEREF _Toc6680 \h </w:instrText>
          </w:r>
          <w:r>
            <w:fldChar w:fldCharType="separate"/>
          </w:r>
          <w:r>
            <w:t>28</w:t>
          </w:r>
          <w:r>
            <w:fldChar w:fldCharType="end"/>
          </w:r>
          <w:r>
            <w:rPr>
              <w:szCs w:val="24"/>
            </w:rPr>
            <w:fldChar w:fldCharType="end"/>
          </w:r>
        </w:p>
        <w:p w14:paraId="0FAB80D8">
          <w:pPr>
            <w:pStyle w:val="52"/>
            <w:tabs>
              <w:tab w:val="right" w:leader="dot" w:pos="8306"/>
            </w:tabs>
          </w:pPr>
          <w:r>
            <w:rPr>
              <w:szCs w:val="24"/>
            </w:rPr>
            <w:fldChar w:fldCharType="begin"/>
          </w:r>
          <w:r>
            <w:rPr>
              <w:szCs w:val="24"/>
            </w:rPr>
            <w:instrText xml:space="preserve"> HYPERLINK \l _Toc7500 </w:instrText>
          </w:r>
          <w:r>
            <w:rPr>
              <w:szCs w:val="24"/>
            </w:rPr>
            <w:fldChar w:fldCharType="separate"/>
          </w:r>
          <w:r>
            <w:rPr>
              <w:rFonts w:hint="eastAsia"/>
            </w:rPr>
            <w:t>7</w:t>
          </w:r>
          <w:r>
            <w:t>.2</w:t>
          </w:r>
          <w:r>
            <w:rPr>
              <w:rFonts w:hint="eastAsia"/>
              <w:lang w:val="en-US" w:eastAsia="zh-CN"/>
            </w:rPr>
            <w:t xml:space="preserve"> Construction</w:t>
          </w:r>
          <w:r>
            <w:tab/>
          </w:r>
          <w:r>
            <w:fldChar w:fldCharType="begin"/>
          </w:r>
          <w:r>
            <w:instrText xml:space="preserve"> PAGEREF _Toc7500 \h </w:instrText>
          </w:r>
          <w:r>
            <w:fldChar w:fldCharType="separate"/>
          </w:r>
          <w:r>
            <w:t>28</w:t>
          </w:r>
          <w:r>
            <w:fldChar w:fldCharType="end"/>
          </w:r>
          <w:r>
            <w:rPr>
              <w:szCs w:val="24"/>
            </w:rPr>
            <w:fldChar w:fldCharType="end"/>
          </w:r>
        </w:p>
        <w:p w14:paraId="4A0CF769">
          <w:pPr>
            <w:pStyle w:val="52"/>
            <w:tabs>
              <w:tab w:val="right" w:leader="dot" w:pos="8306"/>
            </w:tabs>
          </w:pPr>
          <w:r>
            <w:rPr>
              <w:szCs w:val="24"/>
            </w:rPr>
            <w:fldChar w:fldCharType="begin"/>
          </w:r>
          <w:r>
            <w:rPr>
              <w:szCs w:val="24"/>
            </w:rPr>
            <w:instrText xml:space="preserve"> HYPERLINK \l _Toc23513 </w:instrText>
          </w:r>
          <w:r>
            <w:rPr>
              <w:szCs w:val="24"/>
            </w:rPr>
            <w:fldChar w:fldCharType="separate"/>
          </w:r>
          <w:r>
            <w:rPr>
              <w:rFonts w:hint="eastAsia"/>
            </w:rPr>
            <w:t>7</w:t>
          </w:r>
          <w:r>
            <w:t>.</w:t>
          </w:r>
          <w:r>
            <w:rPr>
              <w:rFonts w:hint="eastAsia"/>
            </w:rPr>
            <w:t>3</w:t>
          </w:r>
          <w:r>
            <w:rPr>
              <w:rFonts w:hint="eastAsia"/>
              <w:lang w:val="en-US" w:eastAsia="zh-CN"/>
            </w:rPr>
            <w:t xml:space="preserve"> Inspection</w:t>
          </w:r>
          <w:r>
            <w:tab/>
          </w:r>
          <w:r>
            <w:fldChar w:fldCharType="begin"/>
          </w:r>
          <w:r>
            <w:instrText xml:space="preserve"> PAGEREF _Toc23513 \h </w:instrText>
          </w:r>
          <w:r>
            <w:fldChar w:fldCharType="separate"/>
          </w:r>
          <w:r>
            <w:t>30</w:t>
          </w:r>
          <w:r>
            <w:fldChar w:fldCharType="end"/>
          </w:r>
          <w:r>
            <w:rPr>
              <w:szCs w:val="24"/>
            </w:rPr>
            <w:fldChar w:fldCharType="end"/>
          </w:r>
        </w:p>
        <w:p w14:paraId="48D0D4F0">
          <w:pPr>
            <w:pStyle w:val="51"/>
            <w:tabs>
              <w:tab w:val="right" w:leader="dot" w:pos="8306"/>
            </w:tabs>
            <w:rPr>
              <w:b/>
            </w:rPr>
          </w:pPr>
          <w:r>
            <w:rPr>
              <w:b/>
              <w:szCs w:val="24"/>
            </w:rPr>
            <w:fldChar w:fldCharType="begin"/>
          </w:r>
          <w:r>
            <w:rPr>
              <w:b/>
              <w:szCs w:val="24"/>
            </w:rPr>
            <w:instrText xml:space="preserve"> HYPERLINK \l _Toc7048 </w:instrText>
          </w:r>
          <w:r>
            <w:rPr>
              <w:b/>
              <w:szCs w:val="24"/>
            </w:rPr>
            <w:fldChar w:fldCharType="separate"/>
          </w:r>
          <w:r>
            <w:rPr>
              <w:rFonts w:hint="eastAsia"/>
              <w:b/>
              <w:bCs w:val="0"/>
              <w:szCs w:val="24"/>
            </w:rPr>
            <w:t>8</w:t>
          </w:r>
          <w:r>
            <w:rPr>
              <w:rFonts w:hint="eastAsia"/>
              <w:b/>
              <w:bCs w:val="0"/>
              <w:szCs w:val="24"/>
              <w:lang w:val="en-US" w:eastAsia="zh-CN"/>
            </w:rPr>
            <w:t xml:space="preserve"> Maintance</w:t>
          </w:r>
          <w:r>
            <w:rPr>
              <w:b/>
            </w:rPr>
            <w:tab/>
          </w:r>
          <w:r>
            <w:rPr>
              <w:b/>
            </w:rPr>
            <w:fldChar w:fldCharType="begin"/>
          </w:r>
          <w:r>
            <w:rPr>
              <w:b/>
            </w:rPr>
            <w:instrText xml:space="preserve"> PAGEREF _Toc7048 \h </w:instrText>
          </w:r>
          <w:r>
            <w:rPr>
              <w:b/>
            </w:rPr>
            <w:fldChar w:fldCharType="separate"/>
          </w:r>
          <w:r>
            <w:rPr>
              <w:b/>
            </w:rPr>
            <w:t>35</w:t>
          </w:r>
          <w:r>
            <w:rPr>
              <w:b/>
            </w:rPr>
            <w:fldChar w:fldCharType="end"/>
          </w:r>
          <w:r>
            <w:rPr>
              <w:b/>
              <w:szCs w:val="24"/>
            </w:rPr>
            <w:fldChar w:fldCharType="end"/>
          </w:r>
        </w:p>
        <w:p w14:paraId="69705A95">
          <w:pPr>
            <w:pStyle w:val="52"/>
            <w:tabs>
              <w:tab w:val="right" w:leader="dot" w:pos="8306"/>
            </w:tabs>
          </w:pPr>
          <w:r>
            <w:rPr>
              <w:szCs w:val="24"/>
            </w:rPr>
            <w:fldChar w:fldCharType="begin"/>
          </w:r>
          <w:r>
            <w:rPr>
              <w:szCs w:val="24"/>
            </w:rPr>
            <w:instrText xml:space="preserve"> HYPERLINK \l _Toc3034 </w:instrText>
          </w:r>
          <w:r>
            <w:rPr>
              <w:szCs w:val="24"/>
            </w:rPr>
            <w:fldChar w:fldCharType="separate"/>
          </w:r>
          <w:r>
            <w:rPr>
              <w:rFonts w:hint="eastAsia"/>
            </w:rPr>
            <w:t>8</w:t>
          </w:r>
          <w:r>
            <w:t>.1</w:t>
          </w:r>
          <w:r>
            <w:rPr>
              <w:rFonts w:hint="eastAsia"/>
              <w:lang w:val="en-US" w:eastAsia="zh-CN"/>
            </w:rPr>
            <w:t xml:space="preserve"> General Requirments</w:t>
          </w:r>
          <w:r>
            <w:tab/>
          </w:r>
          <w:r>
            <w:fldChar w:fldCharType="begin"/>
          </w:r>
          <w:r>
            <w:instrText xml:space="preserve"> PAGEREF _Toc3034 \h </w:instrText>
          </w:r>
          <w:r>
            <w:fldChar w:fldCharType="separate"/>
          </w:r>
          <w:r>
            <w:t>35</w:t>
          </w:r>
          <w:r>
            <w:fldChar w:fldCharType="end"/>
          </w:r>
          <w:r>
            <w:rPr>
              <w:szCs w:val="24"/>
            </w:rPr>
            <w:fldChar w:fldCharType="end"/>
          </w:r>
        </w:p>
        <w:p w14:paraId="67F79569">
          <w:pPr>
            <w:pStyle w:val="52"/>
            <w:tabs>
              <w:tab w:val="right" w:leader="dot" w:pos="8306"/>
            </w:tabs>
          </w:pPr>
          <w:r>
            <w:rPr>
              <w:szCs w:val="24"/>
            </w:rPr>
            <w:fldChar w:fldCharType="begin"/>
          </w:r>
          <w:r>
            <w:rPr>
              <w:szCs w:val="24"/>
            </w:rPr>
            <w:instrText xml:space="preserve"> HYPERLINK \l _Toc8179 </w:instrText>
          </w:r>
          <w:r>
            <w:rPr>
              <w:szCs w:val="24"/>
            </w:rPr>
            <w:fldChar w:fldCharType="separate"/>
          </w:r>
          <w:r>
            <w:rPr>
              <w:rFonts w:hint="eastAsia"/>
            </w:rPr>
            <w:t>8</w:t>
          </w:r>
          <w:r>
            <w:t>.2</w:t>
          </w:r>
          <w:r>
            <w:rPr>
              <w:rFonts w:hint="eastAsia"/>
              <w:lang w:val="en-US" w:eastAsia="zh-CN"/>
            </w:rPr>
            <w:t xml:space="preserve"> Inspection</w:t>
          </w:r>
          <w:r>
            <w:tab/>
          </w:r>
          <w:r>
            <w:fldChar w:fldCharType="begin"/>
          </w:r>
          <w:r>
            <w:instrText xml:space="preserve"> PAGEREF _Toc8179 \h </w:instrText>
          </w:r>
          <w:r>
            <w:fldChar w:fldCharType="separate"/>
          </w:r>
          <w:r>
            <w:t>36</w:t>
          </w:r>
          <w:r>
            <w:fldChar w:fldCharType="end"/>
          </w:r>
          <w:r>
            <w:rPr>
              <w:szCs w:val="24"/>
            </w:rPr>
            <w:fldChar w:fldCharType="end"/>
          </w:r>
        </w:p>
        <w:p w14:paraId="5588DA91">
          <w:pPr>
            <w:pStyle w:val="52"/>
            <w:tabs>
              <w:tab w:val="right" w:leader="dot" w:pos="8306"/>
            </w:tabs>
          </w:pPr>
          <w:r>
            <w:rPr>
              <w:szCs w:val="24"/>
            </w:rPr>
            <w:fldChar w:fldCharType="begin"/>
          </w:r>
          <w:r>
            <w:rPr>
              <w:szCs w:val="24"/>
            </w:rPr>
            <w:instrText xml:space="preserve"> HYPERLINK \l _Toc29614 </w:instrText>
          </w:r>
          <w:r>
            <w:rPr>
              <w:szCs w:val="24"/>
            </w:rPr>
            <w:fldChar w:fldCharType="separate"/>
          </w:r>
          <w:r>
            <w:rPr>
              <w:rFonts w:hint="eastAsia"/>
            </w:rPr>
            <w:t>8</w:t>
          </w:r>
          <w:r>
            <w:t>.3</w:t>
          </w:r>
          <w:r>
            <w:rPr>
              <w:rFonts w:hint="eastAsia"/>
              <w:lang w:val="en-US" w:eastAsia="zh-CN"/>
            </w:rPr>
            <w:t xml:space="preserve"> Repair</w:t>
          </w:r>
          <w:r>
            <w:tab/>
          </w:r>
          <w:r>
            <w:fldChar w:fldCharType="begin"/>
          </w:r>
          <w:r>
            <w:instrText xml:space="preserve"> PAGEREF _Toc29614 \h </w:instrText>
          </w:r>
          <w:r>
            <w:fldChar w:fldCharType="separate"/>
          </w:r>
          <w:r>
            <w:t>37</w:t>
          </w:r>
          <w:r>
            <w:fldChar w:fldCharType="end"/>
          </w:r>
          <w:r>
            <w:rPr>
              <w:szCs w:val="24"/>
            </w:rPr>
            <w:fldChar w:fldCharType="end"/>
          </w:r>
        </w:p>
        <w:p w14:paraId="5D1F6D42">
          <w:pPr>
            <w:pStyle w:val="52"/>
            <w:tabs>
              <w:tab w:val="right" w:leader="dot" w:pos="8306"/>
            </w:tabs>
          </w:pPr>
          <w:r>
            <w:rPr>
              <w:szCs w:val="24"/>
            </w:rPr>
            <w:fldChar w:fldCharType="begin"/>
          </w:r>
          <w:r>
            <w:rPr>
              <w:szCs w:val="24"/>
            </w:rPr>
            <w:instrText xml:space="preserve"> HYPERLINK \l _Toc17729 </w:instrText>
          </w:r>
          <w:r>
            <w:rPr>
              <w:szCs w:val="24"/>
            </w:rPr>
            <w:fldChar w:fldCharType="separate"/>
          </w:r>
          <w:r>
            <w:rPr>
              <w:rFonts w:hint="eastAsia"/>
            </w:rPr>
            <w:t>8</w:t>
          </w:r>
          <w:r>
            <w:t>.</w:t>
          </w:r>
          <w:r>
            <w:rPr>
              <w:rFonts w:hint="eastAsia"/>
            </w:rPr>
            <w:t>4</w:t>
          </w:r>
          <w:r>
            <w:rPr>
              <w:rFonts w:hint="eastAsia"/>
              <w:lang w:val="en-US" w:eastAsia="zh-CN"/>
            </w:rPr>
            <w:t xml:space="preserve"> Informational Manage and Maintance</w:t>
          </w:r>
          <w:r>
            <w:tab/>
          </w:r>
          <w:r>
            <w:fldChar w:fldCharType="begin"/>
          </w:r>
          <w:r>
            <w:instrText xml:space="preserve"> PAGEREF _Toc17729 \h </w:instrText>
          </w:r>
          <w:r>
            <w:fldChar w:fldCharType="separate"/>
          </w:r>
          <w:r>
            <w:t>38</w:t>
          </w:r>
          <w:r>
            <w:fldChar w:fldCharType="end"/>
          </w:r>
          <w:r>
            <w:rPr>
              <w:szCs w:val="24"/>
            </w:rPr>
            <w:fldChar w:fldCharType="end"/>
          </w:r>
        </w:p>
        <w:p w14:paraId="18BA1ACD">
          <w:pPr>
            <w:pStyle w:val="51"/>
            <w:tabs>
              <w:tab w:val="right" w:leader="dot" w:pos="8306"/>
            </w:tabs>
            <w:rPr>
              <w:b/>
            </w:rPr>
          </w:pPr>
          <w:r>
            <w:rPr>
              <w:b/>
              <w:szCs w:val="24"/>
            </w:rPr>
            <w:fldChar w:fldCharType="begin"/>
          </w:r>
          <w:r>
            <w:rPr>
              <w:b/>
              <w:szCs w:val="24"/>
            </w:rPr>
            <w:instrText xml:space="preserve"> HYPERLINK \l _Toc689 </w:instrText>
          </w:r>
          <w:r>
            <w:rPr>
              <w:b/>
              <w:szCs w:val="24"/>
            </w:rPr>
            <w:fldChar w:fldCharType="separate"/>
          </w:r>
          <w:r>
            <w:rPr>
              <w:rFonts w:hint="eastAsia"/>
              <w:b/>
              <w:szCs w:val="24"/>
              <w:lang w:val="en-US" w:eastAsia="zh-CN"/>
            </w:rPr>
            <w:t>Explanation of Wording</w:t>
          </w:r>
          <w:r>
            <w:rPr>
              <w:b/>
            </w:rPr>
            <w:tab/>
          </w:r>
          <w:r>
            <w:rPr>
              <w:b/>
            </w:rPr>
            <w:fldChar w:fldCharType="begin"/>
          </w:r>
          <w:r>
            <w:rPr>
              <w:b/>
            </w:rPr>
            <w:instrText xml:space="preserve"> PAGEREF _Toc689 \h </w:instrText>
          </w:r>
          <w:r>
            <w:rPr>
              <w:b/>
            </w:rPr>
            <w:fldChar w:fldCharType="separate"/>
          </w:r>
          <w:r>
            <w:rPr>
              <w:b/>
            </w:rPr>
            <w:t>39</w:t>
          </w:r>
          <w:r>
            <w:rPr>
              <w:b/>
            </w:rPr>
            <w:fldChar w:fldCharType="end"/>
          </w:r>
          <w:r>
            <w:rPr>
              <w:b/>
              <w:szCs w:val="24"/>
            </w:rPr>
            <w:fldChar w:fldCharType="end"/>
          </w:r>
        </w:p>
        <w:p w14:paraId="2DB60039">
          <w:pPr>
            <w:pStyle w:val="51"/>
            <w:tabs>
              <w:tab w:val="right" w:leader="dot" w:pos="8306"/>
            </w:tabs>
            <w:rPr>
              <w:b/>
            </w:rPr>
          </w:pPr>
          <w:r>
            <w:rPr>
              <w:b/>
              <w:szCs w:val="24"/>
            </w:rPr>
            <w:fldChar w:fldCharType="begin"/>
          </w:r>
          <w:r>
            <w:rPr>
              <w:b/>
              <w:szCs w:val="24"/>
            </w:rPr>
            <w:instrText xml:space="preserve"> HYPERLINK \l _Toc24467 </w:instrText>
          </w:r>
          <w:r>
            <w:rPr>
              <w:b/>
              <w:szCs w:val="24"/>
            </w:rPr>
            <w:fldChar w:fldCharType="separate"/>
          </w:r>
          <w:r>
            <w:rPr>
              <w:rFonts w:hint="eastAsia"/>
              <w:b/>
              <w:szCs w:val="24"/>
              <w:lang w:val="en-US" w:eastAsia="zh-CN"/>
            </w:rPr>
            <w:t>List of Quoted Standards</w:t>
          </w:r>
          <w:r>
            <w:rPr>
              <w:b/>
            </w:rPr>
            <w:tab/>
          </w:r>
          <w:r>
            <w:rPr>
              <w:b/>
            </w:rPr>
            <w:fldChar w:fldCharType="begin"/>
          </w:r>
          <w:r>
            <w:rPr>
              <w:b/>
            </w:rPr>
            <w:instrText xml:space="preserve"> PAGEREF _Toc24467 \h </w:instrText>
          </w:r>
          <w:r>
            <w:rPr>
              <w:b/>
            </w:rPr>
            <w:fldChar w:fldCharType="separate"/>
          </w:r>
          <w:r>
            <w:rPr>
              <w:b/>
            </w:rPr>
            <w:t>40</w:t>
          </w:r>
          <w:r>
            <w:rPr>
              <w:b/>
            </w:rPr>
            <w:fldChar w:fldCharType="end"/>
          </w:r>
          <w:r>
            <w:rPr>
              <w:b/>
              <w:szCs w:val="24"/>
            </w:rPr>
            <w:fldChar w:fldCharType="end"/>
          </w:r>
        </w:p>
        <w:p w14:paraId="5EE37972">
          <w:pPr>
            <w:rPr>
              <w:sz w:val="24"/>
              <w:szCs w:val="24"/>
            </w:rPr>
          </w:pPr>
          <w:r>
            <w:rPr>
              <w:b/>
              <w:szCs w:val="24"/>
            </w:rPr>
            <w:fldChar w:fldCharType="end"/>
          </w:r>
        </w:p>
      </w:sdtContent>
    </w:sdt>
    <w:p w14:paraId="13B1AD06">
      <w:pPr>
        <w:pStyle w:val="20"/>
        <w:spacing w:before="0" w:beforeAutospacing="0" w:after="0" w:afterAutospacing="0" w:line="360" w:lineRule="auto"/>
        <w:jc w:val="center"/>
        <w:sectPr>
          <w:footerReference r:id="rId3" w:type="default"/>
          <w:footerReference r:id="rId4" w:type="even"/>
          <w:pgSz w:w="11906" w:h="16838"/>
          <w:pgMar w:top="1440" w:right="1800" w:bottom="1440" w:left="1800" w:header="851" w:footer="992" w:gutter="0"/>
          <w:cols w:space="720" w:num="1"/>
          <w:docGrid w:type="lines" w:linePitch="312" w:charSpace="0"/>
        </w:sectPr>
      </w:pPr>
      <w:r>
        <w:fldChar w:fldCharType="end"/>
      </w:r>
    </w:p>
    <w:p w14:paraId="3FA9137A">
      <w:pPr>
        <w:pStyle w:val="3"/>
        <w:jc w:val="center"/>
        <w:rPr>
          <w:sz w:val="28"/>
          <w:szCs w:val="28"/>
        </w:rPr>
      </w:pPr>
      <w:bookmarkStart w:id="16" w:name="_Toc3944"/>
      <w:bookmarkStart w:id="17" w:name="_Toc15744"/>
      <w:bookmarkStart w:id="18" w:name="_Toc23134"/>
      <w:r>
        <w:rPr>
          <w:sz w:val="28"/>
          <w:szCs w:val="28"/>
        </w:rPr>
        <w:t>1</w:t>
      </w:r>
      <w:r>
        <w:rPr>
          <w:rFonts w:hint="eastAsia"/>
          <w:sz w:val="28"/>
          <w:szCs w:val="28"/>
          <w:lang w:val="en-US" w:eastAsia="zh-CN"/>
        </w:rPr>
        <w:t xml:space="preserve"> </w:t>
      </w:r>
      <w:r>
        <w:rPr>
          <w:sz w:val="28"/>
          <w:szCs w:val="28"/>
        </w:rPr>
        <w:t>总则</w:t>
      </w:r>
      <w:bookmarkEnd w:id="16"/>
      <w:bookmarkEnd w:id="17"/>
      <w:bookmarkEnd w:id="18"/>
    </w:p>
    <w:p w14:paraId="04E465EC">
      <w:pPr>
        <w:tabs>
          <w:tab w:val="left" w:pos="1800"/>
        </w:tabs>
        <w:spacing w:line="360" w:lineRule="auto"/>
        <w:rPr>
          <w:color w:val="000000" w:themeColor="text1"/>
          <w:sz w:val="24"/>
          <w14:textFill>
            <w14:solidFill>
              <w14:schemeClr w14:val="tx1"/>
            </w14:solidFill>
          </w14:textFill>
        </w:rPr>
      </w:pPr>
      <w:r>
        <w:rPr>
          <w:b/>
          <w:sz w:val="24"/>
        </w:rPr>
        <w:t>1.0.1</w:t>
      </w:r>
      <w:r>
        <w:rPr>
          <w:rFonts w:hint="eastAsia"/>
          <w:sz w:val="24"/>
          <w:lang w:val="en-US" w:eastAsia="zh-CN"/>
        </w:rPr>
        <w:t xml:space="preserve"> </w:t>
      </w:r>
      <w:r>
        <w:rPr>
          <w:sz w:val="24"/>
        </w:rPr>
        <w:t>为</w:t>
      </w:r>
      <w:r>
        <w:rPr>
          <w:rFonts w:hint="eastAsia"/>
          <w:sz w:val="24"/>
        </w:rPr>
        <w:t>规范预制集成保温外墙板，提高建筑外围护质量，</w:t>
      </w:r>
      <w:r>
        <w:rPr>
          <w:rFonts w:hint="eastAsia"/>
          <w:color w:val="000000" w:themeColor="text1"/>
          <w:sz w:val="24"/>
          <w:lang w:eastAsia="zh-CN"/>
          <w14:textFill>
            <w14:solidFill>
              <w14:schemeClr w14:val="tx1"/>
            </w14:solidFill>
          </w14:textFill>
        </w:rPr>
        <w:t>做到技术先进、安全可靠、经济合理</w:t>
      </w:r>
      <w:r>
        <w:rPr>
          <w:rFonts w:hint="eastAsia"/>
          <w:color w:val="000000" w:themeColor="text1"/>
          <w:sz w:val="24"/>
          <w14:textFill>
            <w14:solidFill>
              <w14:schemeClr w14:val="tx1"/>
            </w14:solidFill>
          </w14:textFill>
        </w:rPr>
        <w:t>，制定本标准。</w:t>
      </w:r>
    </w:p>
    <w:p w14:paraId="168EAC17">
      <w:pPr>
        <w:tabs>
          <w:tab w:val="left" w:pos="1800"/>
        </w:tabs>
        <w:spacing w:line="360" w:lineRule="auto"/>
        <w:rPr>
          <w:sz w:val="24"/>
        </w:rPr>
      </w:pPr>
      <w:r>
        <w:rPr>
          <w:b/>
          <w:sz w:val="24"/>
        </w:rPr>
        <w:t>1.0.</w:t>
      </w:r>
      <w:r>
        <w:rPr>
          <w:rFonts w:hint="eastAsia"/>
          <w:b/>
          <w:sz w:val="24"/>
        </w:rPr>
        <w:t>2</w:t>
      </w:r>
      <w:r>
        <w:rPr>
          <w:rFonts w:hint="eastAsia"/>
          <w:sz w:val="24"/>
          <w:lang w:val="en-US" w:eastAsia="zh-CN"/>
        </w:rPr>
        <w:t xml:space="preserve"> </w:t>
      </w:r>
      <w:r>
        <w:rPr>
          <w:rFonts w:hint="eastAsia"/>
          <w:sz w:val="24"/>
        </w:rPr>
        <w:t>本标准适用于新建、扩建和改建建筑的预制集成保温外墙板的设计、生产、施工、验收和运维。</w:t>
      </w:r>
    </w:p>
    <w:p w14:paraId="4BE74397">
      <w:pPr>
        <w:tabs>
          <w:tab w:val="left" w:pos="1800"/>
        </w:tabs>
        <w:spacing w:line="360" w:lineRule="auto"/>
        <w:rPr>
          <w:sz w:val="24"/>
        </w:rPr>
      </w:pPr>
      <w:r>
        <w:rPr>
          <w:b/>
          <w:sz w:val="24"/>
        </w:rPr>
        <w:t>1.0.</w:t>
      </w:r>
      <w:r>
        <w:rPr>
          <w:rFonts w:hint="eastAsia"/>
          <w:b/>
          <w:sz w:val="24"/>
        </w:rPr>
        <w:t>3</w:t>
      </w:r>
      <w:r>
        <w:rPr>
          <w:rFonts w:hint="eastAsia"/>
          <w:sz w:val="24"/>
          <w:lang w:val="en-US" w:eastAsia="zh-CN"/>
        </w:rPr>
        <w:t xml:space="preserve"> </w:t>
      </w:r>
      <w:r>
        <w:rPr>
          <w:rFonts w:hint="eastAsia"/>
          <w:sz w:val="24"/>
        </w:rPr>
        <w:t>预制集成保温外墙板的设计、生产、施工、验收和运维除应符合本标准外，尚应符合国家</w:t>
      </w:r>
      <w:r>
        <w:rPr>
          <w:rFonts w:hint="eastAsia"/>
          <w:color w:val="auto"/>
          <w:sz w:val="24"/>
        </w:rPr>
        <w:t>现行有关</w:t>
      </w:r>
      <w:r>
        <w:rPr>
          <w:rFonts w:hint="eastAsia"/>
          <w:color w:val="auto"/>
          <w:sz w:val="24"/>
          <w:lang w:eastAsia="zh-CN"/>
        </w:rPr>
        <w:t>标准的</w:t>
      </w:r>
      <w:r>
        <w:rPr>
          <w:rFonts w:hint="eastAsia"/>
          <w:sz w:val="24"/>
        </w:rPr>
        <w:t>规定。</w:t>
      </w:r>
    </w:p>
    <w:p w14:paraId="36C2512C">
      <w:pPr>
        <w:pStyle w:val="3"/>
        <w:jc w:val="center"/>
        <w:rPr>
          <w:rStyle w:val="31"/>
          <w:b/>
          <w:bCs/>
          <w:sz w:val="28"/>
          <w:szCs w:val="28"/>
        </w:rPr>
      </w:pPr>
      <w:r>
        <w:rPr>
          <w:rFonts w:eastAsia="楷体"/>
          <w:sz w:val="24"/>
        </w:rPr>
        <w:br w:type="page"/>
      </w:r>
      <w:bookmarkStart w:id="19" w:name="_Toc24790"/>
      <w:bookmarkStart w:id="20" w:name="_Toc21114"/>
      <w:bookmarkStart w:id="21" w:name="_Toc10723"/>
      <w:r>
        <w:rPr>
          <w:sz w:val="28"/>
          <w:szCs w:val="28"/>
        </w:rPr>
        <w:t>2</w:t>
      </w:r>
      <w:r>
        <w:rPr>
          <w:rFonts w:hint="eastAsia"/>
          <w:sz w:val="28"/>
          <w:szCs w:val="28"/>
          <w:lang w:val="en-US" w:eastAsia="zh-CN"/>
        </w:rPr>
        <w:t xml:space="preserve"> </w:t>
      </w:r>
      <w:r>
        <w:rPr>
          <w:rFonts w:hint="eastAsia"/>
          <w:sz w:val="28"/>
          <w:szCs w:val="28"/>
        </w:rPr>
        <w:t>术语和符号</w:t>
      </w:r>
      <w:bookmarkEnd w:id="19"/>
      <w:bookmarkEnd w:id="20"/>
    </w:p>
    <w:bookmarkEnd w:id="21"/>
    <w:p w14:paraId="7AF604C4">
      <w:pPr>
        <w:pStyle w:val="4"/>
      </w:pPr>
      <w:bookmarkStart w:id="22" w:name="_Toc28597"/>
      <w:bookmarkStart w:id="23" w:name="_Toc29749"/>
      <w:bookmarkStart w:id="24" w:name="_Toc171243799"/>
      <w:r>
        <w:rPr>
          <w:rFonts w:hint="eastAsia"/>
        </w:rPr>
        <w:t>2</w:t>
      </w:r>
      <w:r>
        <w:t>.1</w:t>
      </w:r>
      <w:r>
        <w:rPr>
          <w:rFonts w:hint="eastAsia"/>
          <w:lang w:val="en-US" w:eastAsia="zh-CN"/>
        </w:rPr>
        <w:t xml:space="preserve"> </w:t>
      </w:r>
      <w:r>
        <w:rPr>
          <w:rFonts w:hint="eastAsia"/>
        </w:rPr>
        <w:t>术语</w:t>
      </w:r>
      <w:bookmarkEnd w:id="22"/>
      <w:bookmarkEnd w:id="23"/>
    </w:p>
    <w:p w14:paraId="24D2F803">
      <w:pPr>
        <w:spacing w:line="360" w:lineRule="auto"/>
        <w:jc w:val="left"/>
        <w:rPr>
          <w:rFonts w:hint="default" w:eastAsia="宋体"/>
          <w:color w:val="000000" w:themeColor="text1"/>
          <w:sz w:val="24"/>
          <w:lang w:val="en-US" w:eastAsia="zh-CN"/>
          <w14:textFill>
            <w14:solidFill>
              <w14:schemeClr w14:val="tx1"/>
            </w14:solidFill>
          </w14:textFill>
        </w:rPr>
      </w:pPr>
      <w:r>
        <w:rPr>
          <w:b/>
          <w:bCs/>
          <w:sz w:val="24"/>
        </w:rPr>
        <w:t>2.</w:t>
      </w:r>
      <w:r>
        <w:rPr>
          <w:rFonts w:hint="eastAsia"/>
          <w:b/>
          <w:bCs/>
          <w:sz w:val="24"/>
        </w:rPr>
        <w:t>1</w:t>
      </w:r>
      <w:r>
        <w:rPr>
          <w:b/>
          <w:bCs/>
          <w:sz w:val="24"/>
        </w:rPr>
        <w:t>.1</w:t>
      </w:r>
      <w:r>
        <w:rPr>
          <w:rFonts w:hint="eastAsia"/>
          <w:sz w:val="24"/>
          <w:lang w:val="en-US" w:eastAsia="zh-CN"/>
        </w:rPr>
        <w:t xml:space="preserve"> </w:t>
      </w:r>
      <w:r>
        <w:rPr>
          <w:rFonts w:hint="eastAsia"/>
          <w:color w:val="000000" w:themeColor="text1"/>
          <w:sz w:val="24"/>
          <w14:textFill>
            <w14:solidFill>
              <w14:schemeClr w14:val="tx1"/>
            </w14:solidFill>
          </w14:textFill>
        </w:rPr>
        <w:t>预制集成保温外墙</w:t>
      </w:r>
      <w:r>
        <w:rPr>
          <w:rFonts w:hint="eastAsia"/>
          <w:color w:val="000000" w:themeColor="text1"/>
          <w:sz w:val="24"/>
          <w:lang w:eastAsia="zh-CN"/>
          <w14:textFill>
            <w14:solidFill>
              <w14:schemeClr w14:val="tx1"/>
            </w14:solidFill>
          </w14:textFill>
        </w:rPr>
        <w:t>系统</w:t>
      </w:r>
      <w:r>
        <w:rPr>
          <w:rFonts w:hint="eastAsia"/>
          <w:color w:val="000000" w:themeColor="text1"/>
          <w:sz w:val="24"/>
          <w:lang w:val="en-US" w:eastAsia="zh-CN"/>
          <w14:textFill>
            <w14:solidFill>
              <w14:schemeClr w14:val="tx1"/>
            </w14:solidFill>
          </w14:textFill>
        </w:rPr>
        <w:t xml:space="preserve">  </w:t>
      </w:r>
      <w:r>
        <w:rPr>
          <w:rFonts w:hint="eastAsia"/>
          <w:color w:val="000000" w:themeColor="text1"/>
          <w:sz w:val="24"/>
          <w14:textFill>
            <w14:solidFill>
              <w14:schemeClr w14:val="tx1"/>
            </w14:solidFill>
          </w14:textFill>
        </w:rPr>
        <w:t>prefabricated integrated thermal insulation external wall</w:t>
      </w:r>
      <w:r>
        <w:rPr>
          <w:rFonts w:hint="eastAsia"/>
          <w:color w:val="000000" w:themeColor="text1"/>
          <w:sz w:val="24"/>
          <w:lang w:val="en-US" w:eastAsia="zh-CN"/>
          <w14:textFill>
            <w14:solidFill>
              <w14:schemeClr w14:val="tx1"/>
            </w14:solidFill>
          </w14:textFill>
        </w:rPr>
        <w:t xml:space="preserve"> system</w:t>
      </w:r>
    </w:p>
    <w:p w14:paraId="403C5913">
      <w:pPr>
        <w:spacing w:line="360" w:lineRule="auto"/>
        <w:ind w:firstLine="480" w:firstLineChars="200"/>
        <w:rPr>
          <w:rFonts w:hint="eastAsia"/>
          <w:sz w:val="24"/>
        </w:rPr>
      </w:pPr>
      <w:r>
        <w:rPr>
          <w:rFonts w:hint="eastAsia"/>
          <w:color w:val="000000" w:themeColor="text1"/>
          <w:sz w:val="24"/>
          <w14:textFill>
            <w14:solidFill>
              <w14:schemeClr w14:val="tx1"/>
            </w14:solidFill>
          </w14:textFill>
        </w:rPr>
        <w:t>预制集成保温外墙板</w:t>
      </w:r>
      <w:r>
        <w:rPr>
          <w:rFonts w:hint="eastAsia"/>
          <w:color w:val="000000" w:themeColor="text1"/>
          <w:sz w:val="24"/>
          <w:lang w:eastAsia="zh-CN"/>
          <w14:textFill>
            <w14:solidFill>
              <w14:schemeClr w14:val="tx1"/>
            </w14:solidFill>
          </w14:textFill>
        </w:rPr>
        <w:t>和防护层组成的集成保温外墙系统</w:t>
      </w:r>
      <w:r>
        <w:rPr>
          <w:rFonts w:hint="eastAsia"/>
          <w:sz w:val="24"/>
        </w:rPr>
        <w:t>。</w:t>
      </w:r>
    </w:p>
    <w:p w14:paraId="7F048281">
      <w:pPr>
        <w:spacing w:line="360" w:lineRule="auto"/>
        <w:jc w:val="left"/>
        <w:rPr>
          <w:sz w:val="24"/>
        </w:rPr>
      </w:pPr>
      <w:r>
        <w:rPr>
          <w:b/>
          <w:bCs/>
          <w:sz w:val="24"/>
        </w:rPr>
        <w:t>2.</w:t>
      </w:r>
      <w:r>
        <w:rPr>
          <w:rFonts w:hint="eastAsia"/>
          <w:b/>
          <w:bCs/>
          <w:sz w:val="24"/>
        </w:rPr>
        <w:t>1</w:t>
      </w:r>
      <w:r>
        <w:rPr>
          <w:b/>
          <w:bCs/>
          <w:sz w:val="24"/>
        </w:rPr>
        <w:t>.</w:t>
      </w:r>
      <w:r>
        <w:rPr>
          <w:rFonts w:hint="eastAsia"/>
          <w:b/>
          <w:bCs/>
          <w:sz w:val="24"/>
          <w:lang w:val="en-US" w:eastAsia="zh-CN"/>
        </w:rPr>
        <w:t>2</w:t>
      </w:r>
      <w:r>
        <w:rPr>
          <w:rFonts w:hint="eastAsia"/>
          <w:sz w:val="24"/>
          <w:lang w:val="en-US" w:eastAsia="zh-CN"/>
        </w:rPr>
        <w:t xml:space="preserve"> </w:t>
      </w:r>
      <w:r>
        <w:rPr>
          <w:rFonts w:hint="eastAsia"/>
          <w:sz w:val="24"/>
        </w:rPr>
        <w:t>预制集成保温外墙板</w:t>
      </w:r>
      <w:r>
        <w:rPr>
          <w:rFonts w:hint="eastAsia"/>
          <w:sz w:val="24"/>
          <w:lang w:val="en-US" w:eastAsia="zh-CN"/>
        </w:rPr>
        <w:t xml:space="preserve">  </w:t>
      </w:r>
      <w:r>
        <w:rPr>
          <w:rFonts w:hint="eastAsia"/>
          <w:sz w:val="24"/>
        </w:rPr>
        <w:t>prefabricated integrated thermal insulation external wall</w:t>
      </w:r>
    </w:p>
    <w:p w14:paraId="2710617B">
      <w:pPr>
        <w:spacing w:line="360" w:lineRule="auto"/>
        <w:ind w:firstLine="480"/>
        <w:rPr>
          <w:sz w:val="24"/>
        </w:rPr>
      </w:pPr>
      <w:r>
        <w:rPr>
          <w:rFonts w:hint="eastAsia"/>
          <w:sz w:val="24"/>
        </w:rPr>
        <w:t>由基层混凝土、保温板和锚固件在工厂一体化预制的集成保温外墙板。</w:t>
      </w:r>
    </w:p>
    <w:bookmarkEnd w:id="24"/>
    <w:p w14:paraId="1331F958">
      <w:pPr>
        <w:spacing w:line="360" w:lineRule="auto"/>
        <w:rPr>
          <w:sz w:val="24"/>
        </w:rPr>
      </w:pPr>
      <w:r>
        <w:rPr>
          <w:b/>
          <w:bCs/>
          <w:sz w:val="24"/>
        </w:rPr>
        <w:t>2.</w:t>
      </w:r>
      <w:r>
        <w:rPr>
          <w:rFonts w:hint="eastAsia"/>
          <w:b/>
          <w:bCs/>
          <w:sz w:val="24"/>
        </w:rPr>
        <w:t>1</w:t>
      </w:r>
      <w:r>
        <w:rPr>
          <w:b/>
          <w:bCs/>
          <w:sz w:val="24"/>
        </w:rPr>
        <w:t>.</w:t>
      </w:r>
      <w:r>
        <w:rPr>
          <w:rFonts w:hint="eastAsia"/>
          <w:b/>
          <w:bCs/>
          <w:sz w:val="24"/>
          <w:lang w:val="en-US" w:eastAsia="zh-CN"/>
        </w:rPr>
        <w:t>3</w:t>
      </w:r>
      <w:r>
        <w:rPr>
          <w:rFonts w:hint="eastAsia"/>
          <w:sz w:val="24"/>
          <w:lang w:val="en-US" w:eastAsia="zh-CN"/>
        </w:rPr>
        <w:t xml:space="preserve"> </w:t>
      </w:r>
      <w:r>
        <w:rPr>
          <w:rFonts w:hint="eastAsia"/>
          <w:sz w:val="24"/>
        </w:rPr>
        <w:t>保温板</w:t>
      </w:r>
      <w:r>
        <w:rPr>
          <w:rFonts w:hint="eastAsia"/>
          <w:sz w:val="24"/>
          <w:lang w:val="en-US" w:eastAsia="zh-CN"/>
        </w:rPr>
        <w:t xml:space="preserve">  </w:t>
      </w:r>
      <w:r>
        <w:rPr>
          <w:rFonts w:hint="eastAsia"/>
          <w:sz w:val="24"/>
        </w:rPr>
        <w:t>insulation board</w:t>
      </w:r>
    </w:p>
    <w:p w14:paraId="43C41CE1">
      <w:pPr>
        <w:spacing w:line="360" w:lineRule="auto"/>
        <w:rPr>
          <w:color w:val="000000" w:themeColor="text1"/>
          <w:sz w:val="24"/>
          <w14:textFill>
            <w14:solidFill>
              <w14:schemeClr w14:val="tx1"/>
            </w14:solidFill>
          </w14:textFill>
        </w:rPr>
      </w:pPr>
      <w:r>
        <w:rPr>
          <w:rFonts w:hint="eastAsia"/>
          <w:sz w:val="24"/>
        </w:rPr>
        <w:t xml:space="preserve">    具有增强构造的</w:t>
      </w:r>
      <w:r>
        <w:rPr>
          <w:rFonts w:hint="eastAsia"/>
          <w:color w:val="000000" w:themeColor="text1"/>
          <w:sz w:val="24"/>
          <w:lang w:eastAsia="zh-CN"/>
          <w14:textFill>
            <w14:solidFill>
              <w14:schemeClr w14:val="tx1"/>
            </w14:solidFill>
          </w14:textFill>
        </w:rPr>
        <w:t>单一材质的</w:t>
      </w:r>
      <w:r>
        <w:rPr>
          <w:rFonts w:hint="eastAsia"/>
          <w:color w:val="000000" w:themeColor="text1"/>
          <w:sz w:val="24"/>
          <w14:textFill>
            <w14:solidFill>
              <w14:schemeClr w14:val="tx1"/>
            </w14:solidFill>
          </w14:textFill>
        </w:rPr>
        <w:t>保温材料，</w:t>
      </w:r>
      <w:r>
        <w:rPr>
          <w:rFonts w:hint="eastAsia"/>
          <w:color w:val="000000" w:themeColor="text1"/>
          <w:sz w:val="24"/>
          <w:lang w:eastAsia="zh-CN"/>
          <w14:textFill>
            <w14:solidFill>
              <w14:schemeClr w14:val="tx1"/>
            </w14:solidFill>
          </w14:textFill>
        </w:rPr>
        <w:t>在预制集成保温外墙系统中</w:t>
      </w:r>
      <w:r>
        <w:rPr>
          <w:rFonts w:hint="eastAsia"/>
          <w:color w:val="000000" w:themeColor="text1"/>
          <w:sz w:val="24"/>
          <w14:textFill>
            <w14:solidFill>
              <w14:schemeClr w14:val="tx1"/>
            </w14:solidFill>
          </w14:textFill>
        </w:rPr>
        <w:t>起到保温隔热作用。</w:t>
      </w:r>
    </w:p>
    <w:p w14:paraId="72CA7741">
      <w:pPr>
        <w:spacing w:line="360" w:lineRule="auto"/>
        <w:rPr>
          <w:sz w:val="24"/>
        </w:rPr>
      </w:pPr>
      <w:r>
        <w:rPr>
          <w:b/>
          <w:bCs/>
          <w:sz w:val="24"/>
        </w:rPr>
        <w:t>2.</w:t>
      </w:r>
      <w:r>
        <w:rPr>
          <w:rFonts w:hint="eastAsia"/>
          <w:b/>
          <w:bCs/>
          <w:sz w:val="24"/>
        </w:rPr>
        <w:t>1</w:t>
      </w:r>
      <w:r>
        <w:rPr>
          <w:b/>
          <w:bCs/>
          <w:sz w:val="24"/>
        </w:rPr>
        <w:t>.</w:t>
      </w:r>
      <w:r>
        <w:rPr>
          <w:rFonts w:hint="eastAsia"/>
          <w:b/>
          <w:bCs/>
          <w:sz w:val="24"/>
          <w:lang w:val="en-US" w:eastAsia="zh-CN"/>
        </w:rPr>
        <w:t>4</w:t>
      </w:r>
      <w:r>
        <w:rPr>
          <w:rFonts w:hint="eastAsia"/>
          <w:sz w:val="24"/>
          <w:lang w:val="en-US" w:eastAsia="zh-CN"/>
        </w:rPr>
        <w:t xml:space="preserve"> </w:t>
      </w:r>
      <w:r>
        <w:rPr>
          <w:rFonts w:hint="eastAsia"/>
          <w:sz w:val="24"/>
        </w:rPr>
        <w:t>锚固件</w:t>
      </w:r>
      <w:r>
        <w:rPr>
          <w:rFonts w:hint="eastAsia"/>
          <w:sz w:val="24"/>
          <w:lang w:val="en-US" w:eastAsia="zh-CN"/>
        </w:rPr>
        <w:t xml:space="preserve">  </w:t>
      </w:r>
      <w:r>
        <w:rPr>
          <w:rFonts w:hint="eastAsia"/>
          <w:sz w:val="24"/>
        </w:rPr>
        <w:t>anchor</w:t>
      </w:r>
    </w:p>
    <w:p w14:paraId="31F7FD0D">
      <w:pPr>
        <w:spacing w:line="360" w:lineRule="auto"/>
        <w:ind w:firstLine="480"/>
        <w:rPr>
          <w:sz w:val="24"/>
        </w:rPr>
      </w:pPr>
      <w:r>
        <w:rPr>
          <w:rFonts w:hint="eastAsia"/>
          <w:sz w:val="24"/>
        </w:rPr>
        <w:t>连接保温板与混凝土的固定件。</w:t>
      </w:r>
    </w:p>
    <w:p w14:paraId="31F013B4">
      <w:pPr>
        <w:spacing w:line="360" w:lineRule="auto"/>
        <w:rPr>
          <w:sz w:val="24"/>
        </w:rPr>
      </w:pPr>
      <w:r>
        <w:rPr>
          <w:b/>
          <w:bCs/>
          <w:sz w:val="24"/>
        </w:rPr>
        <w:t>2.</w:t>
      </w:r>
      <w:r>
        <w:rPr>
          <w:rFonts w:hint="eastAsia"/>
          <w:b/>
          <w:bCs/>
          <w:sz w:val="24"/>
        </w:rPr>
        <w:t>1</w:t>
      </w:r>
      <w:r>
        <w:rPr>
          <w:b/>
          <w:bCs/>
          <w:sz w:val="24"/>
        </w:rPr>
        <w:t>.</w:t>
      </w:r>
      <w:r>
        <w:rPr>
          <w:rFonts w:hint="eastAsia"/>
          <w:b/>
          <w:bCs/>
          <w:sz w:val="24"/>
          <w:lang w:val="en-US" w:eastAsia="zh-CN"/>
        </w:rPr>
        <w:t>5</w:t>
      </w:r>
      <w:r>
        <w:rPr>
          <w:rFonts w:hint="eastAsia"/>
          <w:sz w:val="24"/>
          <w:lang w:val="en-US" w:eastAsia="zh-CN"/>
        </w:rPr>
        <w:t xml:space="preserve"> </w:t>
      </w:r>
      <w:r>
        <w:rPr>
          <w:rFonts w:hint="eastAsia"/>
          <w:sz w:val="24"/>
        </w:rPr>
        <w:t>界面剂</w:t>
      </w:r>
      <w:r>
        <w:rPr>
          <w:rFonts w:hint="eastAsia"/>
          <w:sz w:val="24"/>
          <w:lang w:val="en-US" w:eastAsia="zh-CN"/>
        </w:rPr>
        <w:t xml:space="preserve">  </w:t>
      </w:r>
      <w:r>
        <w:rPr>
          <w:rFonts w:hint="eastAsia"/>
          <w:sz w:val="24"/>
        </w:rPr>
        <w:t>interface agent</w:t>
      </w:r>
    </w:p>
    <w:p w14:paraId="731267D3">
      <w:pPr>
        <w:pStyle w:val="2"/>
        <w:spacing w:after="0" w:line="360" w:lineRule="auto"/>
        <w:ind w:firstLine="482"/>
        <w:rPr>
          <w:rFonts w:hint="eastAsia"/>
          <w:sz w:val="24"/>
        </w:rPr>
      </w:pPr>
      <w:r>
        <w:rPr>
          <w:rFonts w:hint="eastAsia"/>
          <w:sz w:val="24"/>
        </w:rPr>
        <w:t>用于改善保温层表面粘结性能，增强界面附着能力的处理剂。</w:t>
      </w:r>
    </w:p>
    <w:p w14:paraId="06B4BC78">
      <w:pPr>
        <w:spacing w:line="360" w:lineRule="auto"/>
        <w:rPr>
          <w:color w:val="000000" w:themeColor="text1"/>
          <w:sz w:val="24"/>
          <w14:textFill>
            <w14:solidFill>
              <w14:schemeClr w14:val="tx1"/>
            </w14:solidFill>
          </w14:textFill>
        </w:rPr>
      </w:pPr>
      <w:r>
        <w:rPr>
          <w:b/>
          <w:bCs/>
          <w:sz w:val="24"/>
        </w:rPr>
        <w:t>2.</w:t>
      </w:r>
      <w:r>
        <w:rPr>
          <w:rFonts w:hint="eastAsia"/>
          <w:b/>
          <w:bCs/>
          <w:sz w:val="24"/>
        </w:rPr>
        <w:t>1</w:t>
      </w:r>
      <w:r>
        <w:rPr>
          <w:b/>
          <w:bCs/>
          <w:sz w:val="24"/>
        </w:rPr>
        <w:t>.</w:t>
      </w:r>
      <w:r>
        <w:rPr>
          <w:rFonts w:hint="eastAsia"/>
          <w:b/>
          <w:bCs/>
          <w:sz w:val="24"/>
          <w:lang w:val="en-US" w:eastAsia="zh-CN"/>
        </w:rPr>
        <w:t>6</w:t>
      </w:r>
      <w:r>
        <w:rPr>
          <w:rFonts w:hint="eastAsia"/>
          <w:sz w:val="24"/>
          <w:lang w:val="en-US" w:eastAsia="zh-CN"/>
        </w:rPr>
        <w:t xml:space="preserve"> </w:t>
      </w:r>
      <w:r>
        <w:rPr>
          <w:rFonts w:hint="eastAsia"/>
          <w:color w:val="000000" w:themeColor="text1"/>
          <w:sz w:val="24"/>
          <w:lang w:eastAsia="zh-CN"/>
          <w14:textFill>
            <w14:solidFill>
              <w14:schemeClr w14:val="tx1"/>
            </w14:solidFill>
          </w14:textFill>
        </w:rPr>
        <w:t>聚合物找平砂浆</w:t>
      </w:r>
      <w:r>
        <w:rPr>
          <w:rFonts w:hint="eastAsia"/>
          <w:color w:val="000000" w:themeColor="text1"/>
          <w:sz w:val="24"/>
          <w:lang w:val="en-US" w:eastAsia="zh-CN"/>
          <w14:textFill>
            <w14:solidFill>
              <w14:schemeClr w14:val="tx1"/>
            </w14:solidFill>
          </w14:textFill>
        </w:rPr>
        <w:t xml:space="preserve">  polymer leveling mortar</w:t>
      </w:r>
    </w:p>
    <w:p w14:paraId="3142E5D8">
      <w:pPr>
        <w:pStyle w:val="2"/>
        <w:spacing w:after="0" w:line="360" w:lineRule="auto"/>
        <w:ind w:firstLine="482"/>
        <w:rPr>
          <w:color w:val="000000" w:themeColor="text1"/>
          <w14:textFill>
            <w14:solidFill>
              <w14:schemeClr w14:val="tx1"/>
            </w14:solidFill>
          </w14:textFill>
        </w:rPr>
      </w:pPr>
      <w:r>
        <w:rPr>
          <w:rFonts w:hint="eastAsia"/>
          <w:color w:val="000000" w:themeColor="text1"/>
          <w:sz w:val="24"/>
          <w14:textFill>
            <w14:solidFill>
              <w14:schemeClr w14:val="tx1"/>
            </w14:solidFill>
          </w14:textFill>
        </w:rPr>
        <w:t>由水泥、可再分散乳胶粉、填料和其他功能性添加剂组成的干混砂浆，用于保温系统面层找平的干混砂浆。</w:t>
      </w:r>
    </w:p>
    <w:p w14:paraId="79F7F811">
      <w:pPr>
        <w:spacing w:line="360" w:lineRule="auto"/>
        <w:rPr>
          <w:sz w:val="24"/>
        </w:rPr>
      </w:pPr>
      <w:r>
        <w:rPr>
          <w:b/>
          <w:bCs/>
          <w:sz w:val="24"/>
        </w:rPr>
        <w:t>2.</w:t>
      </w:r>
      <w:r>
        <w:rPr>
          <w:rFonts w:hint="eastAsia"/>
          <w:b/>
          <w:bCs/>
          <w:sz w:val="24"/>
        </w:rPr>
        <w:t>1</w:t>
      </w:r>
      <w:r>
        <w:rPr>
          <w:b/>
          <w:bCs/>
          <w:sz w:val="24"/>
        </w:rPr>
        <w:t>.</w:t>
      </w:r>
      <w:r>
        <w:rPr>
          <w:rFonts w:hint="eastAsia"/>
          <w:b/>
          <w:bCs/>
          <w:sz w:val="24"/>
          <w:lang w:val="en-US" w:eastAsia="zh-CN"/>
        </w:rPr>
        <w:t>7</w:t>
      </w:r>
      <w:r>
        <w:rPr>
          <w:rFonts w:hint="eastAsia"/>
          <w:sz w:val="24"/>
          <w:lang w:val="en-US" w:eastAsia="zh-CN"/>
        </w:rPr>
        <w:t xml:space="preserve"> </w:t>
      </w:r>
      <w:r>
        <w:rPr>
          <w:rFonts w:hint="eastAsia"/>
          <w:sz w:val="24"/>
        </w:rPr>
        <w:t>防护层</w:t>
      </w:r>
      <w:r>
        <w:rPr>
          <w:rFonts w:hint="eastAsia"/>
          <w:sz w:val="24"/>
          <w:lang w:val="en-US" w:eastAsia="zh-CN"/>
        </w:rPr>
        <w:t xml:space="preserve">  </w:t>
      </w:r>
      <w:r>
        <w:rPr>
          <w:rFonts w:hint="eastAsia"/>
          <w:sz w:val="24"/>
        </w:rPr>
        <w:t>rendering system</w:t>
      </w:r>
    </w:p>
    <w:p w14:paraId="592C75D0">
      <w:pPr>
        <w:spacing w:line="360" w:lineRule="auto"/>
        <w:rPr>
          <w:sz w:val="24"/>
        </w:rPr>
      </w:pPr>
      <w:r>
        <w:rPr>
          <w:rFonts w:hint="eastAsia"/>
          <w:sz w:val="24"/>
        </w:rPr>
        <w:t xml:space="preserve">    抹面层和饰面层的总称。</w:t>
      </w:r>
    </w:p>
    <w:p w14:paraId="0FD66A3E">
      <w:pPr>
        <w:spacing w:line="360" w:lineRule="auto"/>
        <w:rPr>
          <w:sz w:val="24"/>
        </w:rPr>
      </w:pPr>
      <w:r>
        <w:rPr>
          <w:b/>
          <w:bCs/>
          <w:sz w:val="24"/>
        </w:rPr>
        <w:t>2.</w:t>
      </w:r>
      <w:r>
        <w:rPr>
          <w:rFonts w:hint="eastAsia"/>
          <w:b/>
          <w:bCs/>
          <w:sz w:val="24"/>
        </w:rPr>
        <w:t>1</w:t>
      </w:r>
      <w:r>
        <w:rPr>
          <w:b/>
          <w:bCs/>
          <w:sz w:val="24"/>
        </w:rPr>
        <w:t>.</w:t>
      </w:r>
      <w:r>
        <w:rPr>
          <w:rFonts w:hint="eastAsia"/>
          <w:b/>
          <w:bCs/>
          <w:sz w:val="24"/>
          <w:lang w:val="en-US" w:eastAsia="zh-CN"/>
        </w:rPr>
        <w:t>8</w:t>
      </w:r>
      <w:r>
        <w:rPr>
          <w:rFonts w:hint="eastAsia"/>
          <w:sz w:val="24"/>
          <w:lang w:val="en-US" w:eastAsia="zh-CN"/>
        </w:rPr>
        <w:t xml:space="preserve"> </w:t>
      </w:r>
      <w:r>
        <w:rPr>
          <w:rFonts w:hint="eastAsia"/>
          <w:sz w:val="24"/>
        </w:rPr>
        <w:t>抹面层</w:t>
      </w:r>
      <w:r>
        <w:rPr>
          <w:rFonts w:hint="eastAsia"/>
          <w:sz w:val="24"/>
          <w:lang w:val="en-US" w:eastAsia="zh-CN"/>
        </w:rPr>
        <w:t xml:space="preserve"> </w:t>
      </w:r>
      <w:r>
        <w:rPr>
          <w:rFonts w:hint="eastAsia"/>
          <w:sz w:val="24"/>
        </w:rPr>
        <w:t>rendering</w:t>
      </w:r>
    </w:p>
    <w:p w14:paraId="029092DD">
      <w:pPr>
        <w:spacing w:line="360" w:lineRule="auto"/>
        <w:rPr>
          <w:sz w:val="24"/>
        </w:rPr>
      </w:pPr>
      <w:r>
        <w:rPr>
          <w:rFonts w:hint="eastAsia"/>
          <w:sz w:val="24"/>
        </w:rPr>
        <w:t xml:space="preserve">    抹在保温层上中间夹有耐碱纤维网格布的聚合物水泥砂浆层。</w:t>
      </w:r>
    </w:p>
    <w:p w14:paraId="098CE2D2">
      <w:pPr>
        <w:spacing w:line="360" w:lineRule="auto"/>
        <w:rPr>
          <w:sz w:val="24"/>
        </w:rPr>
      </w:pPr>
      <w:r>
        <w:rPr>
          <w:b/>
          <w:bCs/>
          <w:sz w:val="24"/>
        </w:rPr>
        <w:t>2.</w:t>
      </w:r>
      <w:r>
        <w:rPr>
          <w:rFonts w:hint="eastAsia"/>
          <w:b/>
          <w:bCs/>
          <w:sz w:val="24"/>
        </w:rPr>
        <w:t>1</w:t>
      </w:r>
      <w:r>
        <w:rPr>
          <w:b/>
          <w:bCs/>
          <w:sz w:val="24"/>
        </w:rPr>
        <w:t>.</w:t>
      </w:r>
      <w:r>
        <w:rPr>
          <w:rFonts w:hint="eastAsia"/>
          <w:b/>
          <w:bCs/>
          <w:sz w:val="24"/>
          <w:lang w:val="en-US" w:eastAsia="zh-CN"/>
        </w:rPr>
        <w:t>9</w:t>
      </w:r>
      <w:r>
        <w:rPr>
          <w:rFonts w:hint="eastAsia"/>
          <w:sz w:val="24"/>
          <w:lang w:val="en-US" w:eastAsia="zh-CN"/>
        </w:rPr>
        <w:t xml:space="preserve"> </w:t>
      </w:r>
      <w:r>
        <w:rPr>
          <w:rFonts w:hint="eastAsia"/>
          <w:sz w:val="24"/>
        </w:rPr>
        <w:t>饰面层</w:t>
      </w:r>
      <w:r>
        <w:rPr>
          <w:rFonts w:hint="eastAsia"/>
          <w:sz w:val="24"/>
          <w:lang w:val="en-US" w:eastAsia="zh-CN"/>
        </w:rPr>
        <w:t xml:space="preserve">  </w:t>
      </w:r>
      <w:r>
        <w:rPr>
          <w:rFonts w:hint="eastAsia"/>
          <w:sz w:val="24"/>
        </w:rPr>
        <w:t>finish coat</w:t>
      </w:r>
    </w:p>
    <w:p w14:paraId="36ACCEB3">
      <w:pPr>
        <w:spacing w:line="360" w:lineRule="auto"/>
        <w:rPr>
          <w:sz w:val="24"/>
        </w:rPr>
      </w:pPr>
      <w:r>
        <w:rPr>
          <w:rFonts w:hint="eastAsia"/>
          <w:sz w:val="24"/>
        </w:rPr>
        <w:t xml:space="preserve">    涂料装饰层。</w:t>
      </w:r>
    </w:p>
    <w:p w14:paraId="50E00753">
      <w:pPr>
        <w:spacing w:line="360" w:lineRule="auto"/>
        <w:rPr>
          <w:sz w:val="24"/>
        </w:rPr>
      </w:pPr>
    </w:p>
    <w:p w14:paraId="27D89AC8">
      <w:pPr>
        <w:pStyle w:val="4"/>
      </w:pPr>
      <w:bookmarkStart w:id="25" w:name="_Toc4600"/>
      <w:bookmarkStart w:id="26" w:name="_Toc26144"/>
      <w:r>
        <w:rPr>
          <w:rFonts w:hint="eastAsia"/>
        </w:rPr>
        <w:t>2</w:t>
      </w:r>
      <w:r>
        <w:t>.</w:t>
      </w:r>
      <w:r>
        <w:rPr>
          <w:rFonts w:hint="eastAsia"/>
        </w:rPr>
        <w:t>2</w:t>
      </w:r>
      <w:r>
        <w:rPr>
          <w:rFonts w:hint="eastAsia"/>
          <w:lang w:val="en-US" w:eastAsia="zh-CN"/>
        </w:rPr>
        <w:t xml:space="preserve"> </w:t>
      </w:r>
      <w:r>
        <w:rPr>
          <w:rFonts w:hint="eastAsia"/>
        </w:rPr>
        <w:t>符号</w:t>
      </w:r>
      <w:bookmarkEnd w:id="25"/>
      <w:bookmarkEnd w:id="26"/>
    </w:p>
    <w:p w14:paraId="51689F8B">
      <w:pPr>
        <w:keepNext w:val="0"/>
        <w:keepLines w:val="0"/>
        <w:pageBreakBefore w:val="0"/>
        <w:kinsoku/>
        <w:wordWrap/>
        <w:overflowPunct/>
        <w:topLinePunct w:val="0"/>
        <w:autoSpaceDE/>
        <w:autoSpaceDN/>
        <w:bidi w:val="0"/>
        <w:spacing w:line="360" w:lineRule="auto"/>
        <w:ind w:firstLine="720" w:firstLineChars="300"/>
        <w:textAlignment w:val="auto"/>
        <w:rPr>
          <w:rFonts w:hint="eastAsia" w:cs="Times New Roman"/>
          <w:sz w:val="24"/>
          <w:szCs w:val="32"/>
          <w:lang w:eastAsia="zh-CN"/>
        </w:rPr>
      </w:pPr>
      <m:oMath>
        <m:sSub>
          <m:sSubPr>
            <m:ctrlPr>
              <w:rPr>
                <w:rFonts w:ascii="Cambria Math" w:hAnsi="Cambria Math" w:cs="Times New Roman"/>
                <w:i/>
                <w:sz w:val="24"/>
                <w:szCs w:val="32"/>
              </w:rPr>
            </m:ctrlPr>
          </m:sSubPr>
          <m:e>
            <m:r>
              <m:rPr/>
              <w:rPr>
                <w:rFonts w:ascii="Cambria Math" w:hAnsi="Cambria Math" w:cs="Times New Roman"/>
                <w:sz w:val="24"/>
                <w:szCs w:val="32"/>
              </w:rPr>
              <m:t>F</m:t>
            </m:r>
            <m:ctrlPr>
              <w:rPr>
                <w:rFonts w:ascii="Cambria Math" w:hAnsi="Cambria Math" w:cs="Times New Roman"/>
                <w:i/>
                <w:sz w:val="24"/>
                <w:szCs w:val="32"/>
              </w:rPr>
            </m:ctrlPr>
          </m:e>
          <m:sub>
            <m:r>
              <m:rPr/>
              <w:rPr>
                <w:rFonts w:ascii="Cambria Math" w:hAnsi="Cambria Math" w:cs="Times New Roman"/>
                <w:sz w:val="24"/>
                <w:szCs w:val="32"/>
              </w:rPr>
              <m:t>Eℎk</m:t>
            </m:r>
            <m:ctrlPr>
              <w:rPr>
                <w:rFonts w:ascii="Cambria Math" w:hAnsi="Cambria Math" w:cs="Times New Roman"/>
                <w:i/>
                <w:sz w:val="24"/>
                <w:szCs w:val="32"/>
              </w:rPr>
            </m:ctrlPr>
          </m:sub>
        </m:sSub>
      </m:oMath>
      <w:r>
        <w:rPr>
          <w:rFonts w:cs="Times New Roman"/>
          <w:sz w:val="24"/>
          <w:szCs w:val="32"/>
        </w:rPr>
        <w:t>——施加</w:t>
      </w:r>
      <w:r>
        <w:rPr>
          <w:rFonts w:hint="eastAsia" w:cs="Times New Roman"/>
          <w:sz w:val="24"/>
          <w:szCs w:val="32"/>
        </w:rPr>
        <w:t>于外墙保温层和抹面层</w:t>
      </w:r>
      <w:r>
        <w:rPr>
          <w:rFonts w:cs="Times New Roman"/>
          <w:sz w:val="24"/>
          <w:szCs w:val="32"/>
        </w:rPr>
        <w:t>重心处的水平地震作用标准值</w:t>
      </w:r>
      <w:r>
        <w:rPr>
          <w:rFonts w:hint="eastAsia" w:cs="Times New Roman"/>
          <w:sz w:val="24"/>
          <w:szCs w:val="32"/>
          <w:lang w:eastAsia="zh-CN"/>
        </w:rPr>
        <w:t>；</w:t>
      </w:r>
    </w:p>
    <w:p w14:paraId="4C6FFB39">
      <w:pPr>
        <w:keepNext w:val="0"/>
        <w:keepLines w:val="0"/>
        <w:pageBreakBefore w:val="0"/>
        <w:kinsoku/>
        <w:wordWrap/>
        <w:overflowPunct/>
        <w:topLinePunct w:val="0"/>
        <w:autoSpaceDE/>
        <w:autoSpaceDN/>
        <w:bidi w:val="0"/>
        <w:spacing w:line="360" w:lineRule="auto"/>
        <w:ind w:firstLine="720" w:firstLineChars="300"/>
        <w:textAlignment w:val="auto"/>
        <w:rPr>
          <w:rFonts w:hint="eastAsia" w:eastAsia="宋体" w:cs="Times New Roman"/>
          <w:sz w:val="24"/>
          <w:szCs w:val="32"/>
          <w:lang w:eastAsia="zh-CN"/>
        </w:rPr>
      </w:pPr>
      <m:oMath>
        <m:sSub>
          <m:sSubPr>
            <m:ctrlPr>
              <w:rPr>
                <w:rFonts w:ascii="Cambria Math" w:hAnsi="Cambria Math" w:cs="Times New Roman"/>
                <w:i/>
                <w:sz w:val="24"/>
                <w:szCs w:val="32"/>
              </w:rPr>
            </m:ctrlPr>
          </m:sSubPr>
          <m:e>
            <m:r>
              <m:rPr/>
              <w:rPr>
                <w:rFonts w:ascii="Cambria Math" w:hAnsi="Cambria Math" w:cs="Times New Roman"/>
                <w:sz w:val="24"/>
                <w:szCs w:val="32"/>
              </w:rPr>
              <m:t>G</m:t>
            </m:r>
            <m:ctrlPr>
              <w:rPr>
                <w:rFonts w:ascii="Cambria Math" w:hAnsi="Cambria Math" w:cs="Times New Roman"/>
                <w:i/>
                <w:sz w:val="24"/>
                <w:szCs w:val="32"/>
              </w:rPr>
            </m:ctrlPr>
          </m:e>
          <m:sub>
            <m:r>
              <m:rPr/>
              <w:rPr>
                <w:rFonts w:ascii="Cambria Math" w:hAnsi="Cambria Math" w:cs="Times New Roman"/>
                <w:sz w:val="24"/>
                <w:szCs w:val="32"/>
              </w:rPr>
              <m:t>k</m:t>
            </m:r>
            <m:ctrlPr>
              <w:rPr>
                <w:rFonts w:ascii="Cambria Math" w:hAnsi="Cambria Math" w:cs="Times New Roman"/>
                <w:i/>
                <w:sz w:val="24"/>
                <w:szCs w:val="32"/>
              </w:rPr>
            </m:ctrlPr>
          </m:sub>
        </m:sSub>
      </m:oMath>
      <w:r>
        <w:rPr>
          <w:rFonts w:cs="Times New Roman"/>
          <w:sz w:val="24"/>
          <w:szCs w:val="32"/>
        </w:rPr>
        <w:t>——</w:t>
      </w:r>
      <w:r>
        <w:rPr>
          <w:rFonts w:hint="eastAsia" w:cs="Times New Roman"/>
          <w:sz w:val="24"/>
          <w:szCs w:val="32"/>
        </w:rPr>
        <w:t>外墙保温层和抹面层</w:t>
      </w:r>
      <w:r>
        <w:rPr>
          <w:rFonts w:cs="Times New Roman"/>
          <w:sz w:val="24"/>
          <w:szCs w:val="32"/>
        </w:rPr>
        <w:t>的重力荷载标准值</w:t>
      </w:r>
      <w:r>
        <w:rPr>
          <w:rFonts w:hint="eastAsia" w:cs="Times New Roman"/>
          <w:sz w:val="24"/>
          <w:szCs w:val="32"/>
          <w:lang w:val="en-US" w:eastAsia="zh-CN"/>
        </w:rPr>
        <w:t>；</w:t>
      </w:r>
    </w:p>
    <w:p w14:paraId="6B8CD91D">
      <w:pPr>
        <w:keepNext w:val="0"/>
        <w:keepLines w:val="0"/>
        <w:pageBreakBefore w:val="0"/>
        <w:kinsoku/>
        <w:wordWrap/>
        <w:overflowPunct/>
        <w:topLinePunct w:val="0"/>
        <w:autoSpaceDE/>
        <w:autoSpaceDN/>
        <w:bidi w:val="0"/>
        <w:spacing w:line="360" w:lineRule="auto"/>
        <w:ind w:firstLine="720" w:firstLineChars="300"/>
        <w:textAlignment w:val="auto"/>
        <w:rPr>
          <w:rFonts w:hint="eastAsia" w:ascii="宋体" w:hAnsi="宋体" w:eastAsia="宋体" w:cs="宋体"/>
          <w:strike w:val="0"/>
          <w:dstrike w:val="0"/>
          <w:color w:val="auto"/>
          <w:sz w:val="24"/>
          <w:highlight w:val="none"/>
          <w:lang w:eastAsia="zh-CN"/>
        </w:rPr>
      </w:pPr>
      <w:r>
        <w:rPr>
          <w:rFonts w:hint="eastAsia" w:hAnsi="Cambria Math" w:cs="宋体"/>
          <w:i w:val="0"/>
          <w:strike w:val="0"/>
          <w:dstrike w:val="0"/>
          <w:color w:val="auto"/>
          <w:sz w:val="24"/>
          <w:highlight w:val="none"/>
          <w:lang w:val="en-US" w:eastAsia="zh-CN"/>
        </w:rPr>
        <w:t>R</w:t>
      </w:r>
      <w:r>
        <w:rPr>
          <w:rFonts w:hint="eastAsia" w:ascii="宋体" w:hAnsi="宋体" w:cs="宋体"/>
          <w:strike w:val="0"/>
          <w:dstrike w:val="0"/>
          <w:color w:val="auto"/>
          <w:sz w:val="24"/>
          <w:highlight w:val="none"/>
        </w:rPr>
        <w:t>——</w:t>
      </w:r>
      <w:r>
        <w:rPr>
          <w:rFonts w:hint="eastAsia" w:ascii="宋体" w:hAnsi="宋体" w:cs="宋体"/>
          <w:strike w:val="0"/>
          <w:dstrike w:val="0"/>
          <w:color w:val="auto"/>
          <w:sz w:val="24"/>
          <w:highlight w:val="none"/>
          <w:lang w:eastAsia="zh-CN"/>
        </w:rPr>
        <w:t>承载力设计值；</w:t>
      </w:r>
    </w:p>
    <w:p w14:paraId="02F69D60">
      <w:pPr>
        <w:keepNext w:val="0"/>
        <w:keepLines w:val="0"/>
        <w:pageBreakBefore w:val="0"/>
        <w:kinsoku/>
        <w:wordWrap/>
        <w:overflowPunct/>
        <w:topLinePunct w:val="0"/>
        <w:autoSpaceDE/>
        <w:autoSpaceDN/>
        <w:bidi w:val="0"/>
        <w:spacing w:line="360" w:lineRule="auto"/>
        <w:ind w:firstLine="720" w:firstLineChars="300"/>
        <w:textAlignment w:val="auto"/>
        <w:rPr>
          <w:rFonts w:ascii="宋体" w:hAnsi="宋体" w:cs="宋体"/>
          <w:strike w:val="0"/>
          <w:dstrike w:val="0"/>
          <w:color w:val="auto"/>
          <w:sz w:val="24"/>
          <w:highlight w:val="none"/>
        </w:rPr>
      </w:pPr>
      <m:oMath>
        <m:sSub>
          <m:sSubPr>
            <m:ctrlPr>
              <w:rPr>
                <w:rFonts w:ascii="Cambria Math" w:hAnsi="Cambria Math" w:cs="宋体"/>
                <w:i/>
                <w:strike w:val="0"/>
                <w:dstrike w:val="0"/>
                <w:color w:val="auto"/>
                <w:sz w:val="24"/>
                <w:highlight w:val="none"/>
              </w:rPr>
            </m:ctrlPr>
          </m:sSubPr>
          <m:e>
            <m:r>
              <m:rPr/>
              <w:rPr>
                <w:rFonts w:ascii="Cambria Math" w:hAnsi="Cambria Math" w:cs="宋体"/>
                <w:strike w:val="0"/>
                <w:dstrike w:val="0"/>
                <w:color w:val="auto"/>
                <w:sz w:val="24"/>
                <w:highlight w:val="none"/>
              </w:rPr>
              <m:t>R</m:t>
            </m:r>
            <m:ctrlPr>
              <w:rPr>
                <w:rFonts w:ascii="Cambria Math" w:hAnsi="Cambria Math" w:cs="宋体"/>
                <w:i/>
                <w:strike w:val="0"/>
                <w:dstrike w:val="0"/>
                <w:color w:val="auto"/>
                <w:sz w:val="24"/>
                <w:highlight w:val="none"/>
              </w:rPr>
            </m:ctrlPr>
          </m:e>
          <m:sub>
            <m:r>
              <m:rPr/>
              <w:rPr>
                <w:rFonts w:hint="default" w:ascii="Cambria Math" w:hAnsi="Cambria Math" w:cs="宋体"/>
                <w:strike w:val="0"/>
                <w:dstrike w:val="0"/>
                <w:color w:val="auto"/>
                <w:sz w:val="24"/>
                <w:highlight w:val="none"/>
                <w:lang w:val="en-US" w:eastAsia="zh-CN"/>
              </w:rPr>
              <m:t>E</m:t>
            </m:r>
            <m:ctrlPr>
              <w:rPr>
                <w:rFonts w:ascii="Cambria Math" w:hAnsi="Cambria Math" w:cs="宋体"/>
                <w:i/>
                <w:strike w:val="0"/>
                <w:dstrike w:val="0"/>
                <w:color w:val="auto"/>
                <w:sz w:val="24"/>
                <w:highlight w:val="none"/>
              </w:rPr>
            </m:ctrlPr>
          </m:sub>
        </m:sSub>
      </m:oMath>
      <w:r>
        <w:rPr>
          <w:rFonts w:hint="eastAsia" w:ascii="宋体" w:hAnsi="宋体" w:cs="宋体"/>
          <w:strike w:val="0"/>
          <w:dstrike w:val="0"/>
          <w:color w:val="auto"/>
          <w:sz w:val="24"/>
          <w:highlight w:val="none"/>
        </w:rPr>
        <w:t>——</w:t>
      </w:r>
      <w:r>
        <w:rPr>
          <w:rFonts w:hint="eastAsia" w:ascii="宋体" w:hAnsi="宋体" w:cs="宋体"/>
          <w:strike w:val="0"/>
          <w:dstrike w:val="0"/>
          <w:color w:val="auto"/>
          <w:sz w:val="24"/>
          <w:highlight w:val="none"/>
          <w:lang w:eastAsia="zh-CN"/>
        </w:rPr>
        <w:t>地震作用下承载力设计值</w:t>
      </w:r>
      <w:r>
        <w:rPr>
          <w:rFonts w:hint="eastAsia" w:ascii="宋体" w:hAnsi="宋体" w:cs="宋体"/>
          <w:strike w:val="0"/>
          <w:dstrike w:val="0"/>
          <w:color w:val="auto"/>
          <w:sz w:val="24"/>
          <w:highlight w:val="none"/>
        </w:rPr>
        <w:t>；</w:t>
      </w:r>
    </w:p>
    <w:p w14:paraId="6D8051EA">
      <w:pPr>
        <w:keepNext w:val="0"/>
        <w:keepLines w:val="0"/>
        <w:pageBreakBefore w:val="0"/>
        <w:kinsoku/>
        <w:wordWrap/>
        <w:overflowPunct/>
        <w:topLinePunct w:val="0"/>
        <w:autoSpaceDE/>
        <w:autoSpaceDN/>
        <w:bidi w:val="0"/>
        <w:spacing w:line="360" w:lineRule="auto"/>
        <w:ind w:firstLine="480" w:firstLineChars="200"/>
        <w:textAlignment w:val="auto"/>
        <w:rPr>
          <w:rFonts w:ascii="宋体" w:hAnsi="宋体" w:cs="宋体"/>
          <w:sz w:val="24"/>
        </w:rPr>
      </w:pPr>
      <w:r>
        <w:rPr>
          <w:rFonts w:hint="eastAsia" w:ascii="宋体" w:hAnsi="宋体" w:cs="宋体"/>
          <w:sz w:val="24"/>
          <w:lang w:val="en-US" w:eastAsia="zh-CN"/>
        </w:rPr>
        <w:t xml:space="preserve">  </w:t>
      </w:r>
      <m:oMath>
        <m:sSub>
          <m:sSubPr>
            <m:ctrlPr>
              <w:rPr>
                <w:rFonts w:ascii="Cambria Math" w:hAnsi="Cambria Math" w:cs="宋体"/>
                <w:i/>
                <w:sz w:val="24"/>
              </w:rPr>
            </m:ctrlPr>
          </m:sSubPr>
          <m:e>
            <m:r>
              <m:rPr/>
              <w:rPr>
                <w:rFonts w:ascii="Cambria Math" w:hAnsi="Cambria Math" w:cs="宋体"/>
                <w:sz w:val="24"/>
              </w:rPr>
              <m:t>R</m:t>
            </m:r>
            <m:ctrlPr>
              <w:rPr>
                <w:rFonts w:ascii="Cambria Math" w:hAnsi="Cambria Math" w:cs="宋体"/>
                <w:i/>
                <w:sz w:val="24"/>
              </w:rPr>
            </m:ctrlPr>
          </m:e>
          <m:sub>
            <m:r>
              <m:rPr/>
              <w:rPr>
                <w:rFonts w:ascii="Cambria Math" w:hAnsi="Cambria Math" w:cs="宋体"/>
                <w:sz w:val="24"/>
              </w:rPr>
              <m:t>c</m:t>
            </m:r>
            <m:ctrlPr>
              <w:rPr>
                <w:rFonts w:ascii="Cambria Math" w:hAnsi="Cambria Math" w:cs="宋体"/>
                <w:i/>
                <w:sz w:val="24"/>
              </w:rPr>
            </m:ctrlPr>
          </m:sub>
        </m:sSub>
      </m:oMath>
      <w:r>
        <w:rPr>
          <w:rFonts w:hint="eastAsia" w:ascii="宋体" w:hAnsi="宋体" w:cs="宋体"/>
          <w:sz w:val="24"/>
        </w:rPr>
        <w:t>——锚固件与保温板局部承压承载力设计值；</w:t>
      </w:r>
    </w:p>
    <w:p w14:paraId="4584DC13">
      <w:pPr>
        <w:keepNext w:val="0"/>
        <w:keepLines w:val="0"/>
        <w:pageBreakBefore w:val="0"/>
        <w:kinsoku/>
        <w:wordWrap/>
        <w:overflowPunct/>
        <w:topLinePunct w:val="0"/>
        <w:autoSpaceDE/>
        <w:autoSpaceDN/>
        <w:bidi w:val="0"/>
        <w:spacing w:line="360" w:lineRule="auto"/>
        <w:ind w:firstLine="720" w:firstLineChars="300"/>
        <w:textAlignment w:val="auto"/>
        <w:rPr>
          <w:rFonts w:ascii="宋体" w:hAnsi="宋体" w:cs="宋体"/>
          <w:sz w:val="24"/>
        </w:rPr>
      </w:pPr>
      <m:oMath>
        <m:sSub>
          <m:sSubPr>
            <m:ctrlPr>
              <w:rPr>
                <w:rFonts w:ascii="Cambria Math" w:hAnsi="Cambria Math" w:cs="宋体"/>
                <w:i/>
                <w:sz w:val="24"/>
              </w:rPr>
            </m:ctrlPr>
          </m:sSubPr>
          <m:e>
            <m:r>
              <m:rPr/>
              <w:rPr>
                <w:rFonts w:ascii="Cambria Math" w:hAnsi="Cambria Math" w:cs="宋体"/>
                <w:sz w:val="24"/>
              </w:rPr>
              <m:t>R</m:t>
            </m:r>
            <m:ctrlPr>
              <w:rPr>
                <w:rFonts w:ascii="Cambria Math" w:hAnsi="Cambria Math" w:cs="宋体"/>
                <w:i/>
                <w:sz w:val="24"/>
              </w:rPr>
            </m:ctrlPr>
          </m:e>
          <m:sub>
            <m:r>
              <m:rPr/>
              <w:rPr>
                <w:rFonts w:ascii="Cambria Math" w:hAnsi="Cambria Math" w:cs="宋体"/>
                <w:sz w:val="24"/>
              </w:rPr>
              <m:t>d</m:t>
            </m:r>
            <m:ctrlPr>
              <w:rPr>
                <w:rFonts w:ascii="Cambria Math" w:hAnsi="Cambria Math" w:cs="宋体"/>
                <w:i/>
                <w:sz w:val="24"/>
              </w:rPr>
            </m:ctrlPr>
          </m:sub>
        </m:sSub>
      </m:oMath>
      <w:r>
        <w:rPr>
          <w:rFonts w:hint="eastAsia" w:ascii="宋体" w:hAnsi="宋体" w:cs="宋体"/>
          <w:sz w:val="24"/>
        </w:rPr>
        <w:t>——锚固件与混凝土抗拔承载力设计值；</w:t>
      </w:r>
    </w:p>
    <w:p w14:paraId="651DA9C0">
      <w:pPr>
        <w:keepNext w:val="0"/>
        <w:keepLines w:val="0"/>
        <w:pageBreakBefore w:val="0"/>
        <w:kinsoku/>
        <w:wordWrap/>
        <w:overflowPunct/>
        <w:topLinePunct w:val="0"/>
        <w:autoSpaceDE/>
        <w:autoSpaceDN/>
        <w:bidi w:val="0"/>
        <w:spacing w:line="360" w:lineRule="auto"/>
        <w:ind w:firstLine="720" w:firstLineChars="300"/>
        <w:textAlignment w:val="auto"/>
        <w:rPr>
          <w:rFonts w:hint="eastAsia" w:ascii="宋体" w:hAnsi="宋体" w:cs="宋体"/>
          <w:sz w:val="24"/>
        </w:rPr>
      </w:pPr>
      <m:oMath>
        <m:sSub>
          <m:sSubPr>
            <m:ctrlPr>
              <w:rPr>
                <w:rFonts w:ascii="Cambria Math" w:hAnsi="Cambria Math" w:cs="宋体"/>
                <w:i/>
                <w:sz w:val="24"/>
              </w:rPr>
            </m:ctrlPr>
          </m:sSubPr>
          <m:e>
            <m:r>
              <m:rPr/>
              <w:rPr>
                <w:rFonts w:ascii="Cambria Math" w:hAnsi="Cambria Math" w:cs="宋体"/>
                <w:sz w:val="24"/>
              </w:rPr>
              <m:t>R</m:t>
            </m:r>
            <m:ctrlPr>
              <w:rPr>
                <w:rFonts w:ascii="Cambria Math" w:hAnsi="Cambria Math" w:cs="宋体"/>
                <w:i/>
                <w:sz w:val="24"/>
              </w:rPr>
            </m:ctrlPr>
          </m:e>
          <m:sub>
            <m:r>
              <m:rPr/>
              <w:rPr>
                <w:rFonts w:ascii="Cambria Math" w:hAnsi="Cambria Math" w:cs="宋体"/>
                <w:sz w:val="24"/>
              </w:rPr>
              <m:t>p</m:t>
            </m:r>
            <m:ctrlPr>
              <w:rPr>
                <w:rFonts w:ascii="Cambria Math" w:hAnsi="Cambria Math" w:cs="宋体"/>
                <w:i/>
                <w:sz w:val="24"/>
              </w:rPr>
            </m:ctrlPr>
          </m:sub>
        </m:sSub>
      </m:oMath>
      <w:r>
        <w:rPr>
          <w:rFonts w:hint="eastAsia" w:ascii="宋体" w:hAnsi="宋体" w:cs="宋体"/>
          <w:sz w:val="24"/>
        </w:rPr>
        <w:t>——锚固件尾盘抗拉承载力设计值；</w:t>
      </w:r>
    </w:p>
    <w:p w14:paraId="066A9BE3">
      <w:pPr>
        <w:keepNext w:val="0"/>
        <w:keepLines w:val="0"/>
        <w:pageBreakBefore w:val="0"/>
        <w:kinsoku/>
        <w:wordWrap/>
        <w:overflowPunct/>
        <w:topLinePunct w:val="0"/>
        <w:autoSpaceDE/>
        <w:autoSpaceDN/>
        <w:bidi w:val="0"/>
        <w:spacing w:line="360" w:lineRule="auto"/>
        <w:ind w:firstLine="720" w:firstLineChars="300"/>
        <w:textAlignment w:val="auto"/>
        <w:rPr>
          <w:rFonts w:ascii="宋体" w:hAnsi="宋体" w:cs="宋体"/>
          <w:sz w:val="24"/>
        </w:rPr>
      </w:pPr>
      <m:oMath>
        <m:sSub>
          <m:sSubPr>
            <m:ctrlPr>
              <w:rPr>
                <w:rFonts w:ascii="Cambria Math" w:hAnsi="Cambria Math" w:cs="宋体"/>
                <w:i/>
                <w:sz w:val="24"/>
              </w:rPr>
            </m:ctrlPr>
          </m:sSubPr>
          <m:e>
            <m:r>
              <m:rPr/>
              <w:rPr>
                <w:rFonts w:ascii="Cambria Math" w:hAnsi="Cambria Math" w:cs="宋体"/>
                <w:sz w:val="24"/>
              </w:rPr>
              <m:t>R</m:t>
            </m:r>
            <m:ctrlPr>
              <w:rPr>
                <w:rFonts w:ascii="Cambria Math" w:hAnsi="Cambria Math" w:cs="宋体"/>
                <w:i/>
                <w:sz w:val="24"/>
              </w:rPr>
            </m:ctrlPr>
          </m:e>
          <m:sub>
            <m:r>
              <m:rPr/>
              <w:rPr>
                <w:rFonts w:ascii="Cambria Math" w:hAnsi="Cambria Math" w:cs="宋体"/>
                <w:sz w:val="24"/>
              </w:rPr>
              <m:t>tm</m:t>
            </m:r>
            <m:ctrlPr>
              <w:rPr>
                <w:rFonts w:ascii="Cambria Math" w:hAnsi="Cambria Math" w:cs="宋体"/>
                <w:i/>
                <w:sz w:val="24"/>
              </w:rPr>
            </m:ctrlPr>
          </m:sub>
        </m:sSub>
      </m:oMath>
      <w:r>
        <w:rPr>
          <w:rFonts w:hint="eastAsia" w:ascii="宋体" w:hAnsi="宋体" w:cs="宋体"/>
          <w:sz w:val="24"/>
        </w:rPr>
        <w:t>——锚固件与保温板反向拉拔承载力检验值；</w:t>
      </w:r>
    </w:p>
    <w:p w14:paraId="771B48D0">
      <w:pPr>
        <w:keepNext w:val="0"/>
        <w:keepLines w:val="0"/>
        <w:pageBreakBefore w:val="0"/>
        <w:kinsoku/>
        <w:wordWrap/>
        <w:overflowPunct/>
        <w:topLinePunct w:val="0"/>
        <w:autoSpaceDE/>
        <w:autoSpaceDN/>
        <w:bidi w:val="0"/>
        <w:spacing w:line="360" w:lineRule="auto"/>
        <w:ind w:firstLine="720" w:firstLineChars="300"/>
        <w:textAlignment w:val="auto"/>
        <w:rPr>
          <w:rFonts w:ascii="宋体" w:hAnsi="宋体" w:cs="宋体"/>
          <w:sz w:val="24"/>
        </w:rPr>
      </w:pPr>
      <m:oMath>
        <m:sSub>
          <m:sSubPr>
            <m:ctrlPr>
              <w:rPr>
                <w:rFonts w:ascii="Cambria Math" w:hAnsi="Cambria Math" w:cs="宋体"/>
                <w:i/>
                <w:sz w:val="24"/>
              </w:rPr>
            </m:ctrlPr>
          </m:sSubPr>
          <m:e>
            <m:r>
              <m:rPr/>
              <w:rPr>
                <w:rFonts w:ascii="Cambria Math" w:hAnsi="Cambria Math" w:cs="宋体"/>
                <w:sz w:val="24"/>
              </w:rPr>
              <m:t>R</m:t>
            </m:r>
            <m:ctrlPr>
              <w:rPr>
                <w:rFonts w:ascii="Cambria Math" w:hAnsi="Cambria Math" w:cs="宋体"/>
                <w:i/>
                <w:sz w:val="24"/>
              </w:rPr>
            </m:ctrlPr>
          </m:e>
          <m:sub>
            <m:r>
              <m:rPr/>
              <w:rPr>
                <w:rFonts w:ascii="Cambria Math" w:hAnsi="Cambria Math" w:cs="宋体"/>
                <w:sz w:val="24"/>
              </w:rPr>
              <m:t>cm</m:t>
            </m:r>
            <m:ctrlPr>
              <w:rPr>
                <w:rFonts w:ascii="Cambria Math" w:hAnsi="Cambria Math" w:cs="宋体"/>
                <w:i/>
                <w:sz w:val="24"/>
              </w:rPr>
            </m:ctrlPr>
          </m:sub>
        </m:sSub>
      </m:oMath>
      <w:r>
        <w:rPr>
          <w:rFonts w:hint="eastAsia" w:ascii="宋体" w:hAnsi="宋体" w:cs="宋体"/>
          <w:sz w:val="24"/>
        </w:rPr>
        <w:t>——锚固件与保温板局部承压承载力检验值；</w:t>
      </w:r>
    </w:p>
    <w:p w14:paraId="677AF20B">
      <w:pPr>
        <w:keepNext w:val="0"/>
        <w:keepLines w:val="0"/>
        <w:pageBreakBefore w:val="0"/>
        <w:kinsoku/>
        <w:wordWrap/>
        <w:overflowPunct/>
        <w:topLinePunct w:val="0"/>
        <w:autoSpaceDE/>
        <w:autoSpaceDN/>
        <w:bidi w:val="0"/>
        <w:spacing w:line="360" w:lineRule="auto"/>
        <w:ind w:firstLine="720" w:firstLineChars="300"/>
        <w:textAlignment w:val="auto"/>
        <w:rPr>
          <w:rFonts w:ascii="宋体" w:hAnsi="宋体" w:cs="宋体"/>
          <w:sz w:val="24"/>
        </w:rPr>
      </w:pPr>
      <m:oMath>
        <m:sSub>
          <m:sSubPr>
            <m:ctrlPr>
              <w:rPr>
                <w:rFonts w:ascii="Cambria Math" w:hAnsi="Cambria Math" w:cs="宋体"/>
                <w:i/>
                <w:sz w:val="24"/>
              </w:rPr>
            </m:ctrlPr>
          </m:sSubPr>
          <m:e>
            <m:r>
              <m:rPr/>
              <w:rPr>
                <w:rFonts w:ascii="Cambria Math" w:hAnsi="Cambria Math" w:cs="宋体"/>
                <w:sz w:val="24"/>
              </w:rPr>
              <m:t>R</m:t>
            </m:r>
            <m:ctrlPr>
              <w:rPr>
                <w:rFonts w:ascii="Cambria Math" w:hAnsi="Cambria Math" w:cs="宋体"/>
                <w:i/>
                <w:sz w:val="24"/>
              </w:rPr>
            </m:ctrlPr>
          </m:e>
          <m:sub>
            <m:r>
              <m:rPr/>
              <w:rPr>
                <w:rFonts w:ascii="Cambria Math" w:hAnsi="Cambria Math" w:cs="宋体"/>
                <w:sz w:val="24"/>
              </w:rPr>
              <m:t>dm</m:t>
            </m:r>
            <m:ctrlPr>
              <w:rPr>
                <w:rFonts w:ascii="Cambria Math" w:hAnsi="Cambria Math" w:cs="宋体"/>
                <w:i/>
                <w:sz w:val="24"/>
              </w:rPr>
            </m:ctrlPr>
          </m:sub>
        </m:sSub>
      </m:oMath>
      <w:r>
        <w:rPr>
          <w:rFonts w:hint="eastAsia" w:ascii="Times New Roman" w:hAnsi="Times New Roman" w:eastAsia="宋体" w:cs="Times New Roman"/>
          <w:bCs/>
          <w:kern w:val="0"/>
          <w:sz w:val="24"/>
          <w:szCs w:val="24"/>
          <w:lang w:val="en-US" w:eastAsia="zh-CN" w:bidi="ar-SA"/>
        </w:rPr>
        <w:t>——</w:t>
      </w:r>
      <w:r>
        <w:rPr>
          <w:rFonts w:hint="eastAsia" w:ascii="宋体" w:hAnsi="宋体" w:cs="宋体"/>
          <w:sz w:val="24"/>
        </w:rPr>
        <w:t>锚固件与混凝土抗拔承载力检验值；</w:t>
      </w:r>
    </w:p>
    <w:p w14:paraId="7C609EBD">
      <w:pPr>
        <w:keepNext w:val="0"/>
        <w:keepLines w:val="0"/>
        <w:pageBreakBefore w:val="0"/>
        <w:kinsoku/>
        <w:wordWrap/>
        <w:overflowPunct/>
        <w:topLinePunct w:val="0"/>
        <w:autoSpaceDE/>
        <w:autoSpaceDN/>
        <w:bidi w:val="0"/>
        <w:spacing w:line="360" w:lineRule="auto"/>
        <w:ind w:firstLine="720" w:firstLineChars="300"/>
        <w:textAlignment w:val="auto"/>
        <w:rPr>
          <w:rFonts w:hint="eastAsia" w:ascii="宋体" w:hAnsi="宋体" w:cs="宋体"/>
          <w:sz w:val="24"/>
          <w:lang w:eastAsia="zh-CN"/>
        </w:rPr>
      </w:pPr>
      <m:oMath>
        <m:sSub>
          <m:sSubPr>
            <m:ctrlPr>
              <w:rPr>
                <w:rFonts w:ascii="Cambria Math" w:hAnsi="Cambria Math" w:cs="宋体"/>
                <w:i/>
                <w:sz w:val="24"/>
              </w:rPr>
            </m:ctrlPr>
          </m:sSubPr>
          <m:e>
            <m:r>
              <m:rPr/>
              <w:rPr>
                <w:rFonts w:ascii="Cambria Math" w:hAnsi="Cambria Math" w:cs="宋体"/>
                <w:sz w:val="24"/>
              </w:rPr>
              <m:t>R</m:t>
            </m:r>
            <m:ctrlPr>
              <w:rPr>
                <w:rFonts w:ascii="Cambria Math" w:hAnsi="Cambria Math" w:cs="宋体"/>
                <w:i/>
                <w:sz w:val="24"/>
              </w:rPr>
            </m:ctrlPr>
          </m:e>
          <m:sub>
            <m:r>
              <m:rPr/>
              <w:rPr>
                <w:rFonts w:ascii="Cambria Math" w:hAnsi="Cambria Math" w:cs="宋体"/>
                <w:sz w:val="24"/>
              </w:rPr>
              <m:t>pm</m:t>
            </m:r>
            <m:ctrlPr>
              <w:rPr>
                <w:rFonts w:ascii="Cambria Math" w:hAnsi="Cambria Math" w:cs="宋体"/>
                <w:i/>
                <w:sz w:val="24"/>
              </w:rPr>
            </m:ctrlPr>
          </m:sub>
        </m:sSub>
      </m:oMath>
      <w:r>
        <w:rPr>
          <w:rFonts w:hint="eastAsia" w:ascii="宋体" w:hAnsi="宋体" w:cs="宋体"/>
          <w:sz w:val="24"/>
        </w:rPr>
        <w:t>——锚固件尾盘抗拉承载力检验值</w:t>
      </w:r>
      <w:r>
        <w:rPr>
          <w:rFonts w:hint="eastAsia" w:ascii="宋体" w:hAnsi="宋体" w:cs="宋体"/>
          <w:sz w:val="24"/>
          <w:lang w:eastAsia="zh-CN"/>
        </w:rPr>
        <w:t>；</w:t>
      </w:r>
    </w:p>
    <w:p w14:paraId="445D3D01">
      <w:pPr>
        <w:keepNext w:val="0"/>
        <w:keepLines w:val="0"/>
        <w:pageBreakBefore w:val="0"/>
        <w:kinsoku/>
        <w:wordWrap/>
        <w:overflowPunct/>
        <w:topLinePunct w:val="0"/>
        <w:autoSpaceDE/>
        <w:autoSpaceDN/>
        <w:bidi w:val="0"/>
        <w:spacing w:line="360" w:lineRule="auto"/>
        <w:ind w:firstLine="720" w:firstLineChars="300"/>
        <w:textAlignment w:val="auto"/>
        <w:rPr>
          <w:rFonts w:hint="eastAsia" w:ascii="宋体" w:hAnsi="宋体" w:cs="宋体"/>
          <w:sz w:val="24"/>
          <w:lang w:eastAsia="zh-CN"/>
        </w:rPr>
      </w:pPr>
      <m:oMath>
        <m:sSub>
          <m:sSubPr>
            <m:ctrlPr>
              <w:rPr>
                <w:rFonts w:ascii="Cambria Math" w:hAnsi="Cambria Math" w:cs="宋体"/>
                <w:i/>
                <w:sz w:val="24"/>
              </w:rPr>
            </m:ctrlPr>
          </m:sSubPr>
          <m:e>
            <m:r>
              <m:rPr/>
              <w:rPr>
                <w:rFonts w:ascii="Cambria Math" w:hAnsi="Cambria Math" w:cs="宋体"/>
                <w:sz w:val="24"/>
              </w:rPr>
              <m:t>R</m:t>
            </m:r>
            <m:ctrlPr>
              <w:rPr>
                <w:rFonts w:ascii="Cambria Math" w:hAnsi="Cambria Math" w:cs="宋体"/>
                <w:i/>
                <w:sz w:val="24"/>
              </w:rPr>
            </m:ctrlPr>
          </m:e>
          <m:sub>
            <m:r>
              <m:rPr/>
              <w:rPr>
                <w:rFonts w:ascii="Cambria Math" w:hAnsi="Cambria Math" w:cs="宋体"/>
                <w:sz w:val="24"/>
              </w:rPr>
              <m:t>t</m:t>
            </m:r>
            <m:ctrlPr>
              <w:rPr>
                <w:rFonts w:ascii="Cambria Math" w:hAnsi="Cambria Math" w:cs="宋体"/>
                <w:i/>
                <w:sz w:val="24"/>
              </w:rPr>
            </m:ctrlPr>
          </m:sub>
        </m:sSub>
      </m:oMath>
      <w:r>
        <w:rPr>
          <w:rFonts w:hint="eastAsia" w:ascii="宋体" w:hAnsi="宋体" w:cs="宋体"/>
          <w:sz w:val="24"/>
        </w:rPr>
        <w:t>——锚固件与保温板反向拉拔承载力设计值；</w:t>
      </w:r>
    </w:p>
    <w:p w14:paraId="0F48D0EC">
      <w:pPr>
        <w:pStyle w:val="63"/>
        <w:keepNext w:val="0"/>
        <w:keepLines w:val="0"/>
        <w:pageBreakBefore w:val="0"/>
        <w:kinsoku/>
        <w:wordWrap/>
        <w:overflowPunct/>
        <w:topLinePunct w:val="0"/>
        <w:autoSpaceDE/>
        <w:autoSpaceDN/>
        <w:bidi w:val="0"/>
        <w:spacing w:before="0" w:after="0" w:line="360" w:lineRule="auto"/>
        <w:ind w:firstLine="720" w:firstLineChars="300"/>
        <w:jc w:val="both"/>
        <w:textAlignment w:val="auto"/>
        <w:rPr>
          <w:rFonts w:hint="eastAsia" w:ascii="Times New Roman" w:hAnsi="Times New Roman" w:eastAsia="宋体" w:cs="Times New Roman"/>
          <w:kern w:val="2"/>
          <w:sz w:val="24"/>
          <w:szCs w:val="32"/>
          <w:lang w:val="en-US" w:eastAsia="zh-CN" w:bidi="ar-SA"/>
        </w:rPr>
      </w:pPr>
      <m:oMath>
        <m:r>
          <m:rPr>
            <m:sty m:val="p"/>
          </m:rPr>
          <w:rPr>
            <w:rFonts w:ascii="Cambria Math" w:hAnsi="Cambria Math" w:eastAsia="宋体" w:cs="Times New Roman"/>
            <w:kern w:val="2"/>
            <w:sz w:val="24"/>
            <w:szCs w:val="32"/>
            <w:lang w:val="en-US" w:eastAsia="zh-CN" w:bidi="ar-SA"/>
          </w:rPr>
          <m:t>S</m:t>
        </m:r>
      </m:oMath>
      <w:r>
        <w:rPr>
          <w:rFonts w:hint="eastAsia" w:ascii="Times New Roman" w:hAnsi="Times New Roman" w:eastAsia="宋体" w:cs="Times New Roman"/>
          <w:kern w:val="2"/>
          <w:sz w:val="24"/>
          <w:szCs w:val="32"/>
          <w:lang w:val="en-US" w:eastAsia="zh-CN" w:bidi="ar-SA"/>
        </w:rPr>
        <w:t>——荷载效应基本组合的设计值；</w:t>
      </w:r>
    </w:p>
    <w:p w14:paraId="0AD9B7DB">
      <w:pPr>
        <w:pStyle w:val="63"/>
        <w:keepNext w:val="0"/>
        <w:keepLines w:val="0"/>
        <w:pageBreakBefore w:val="0"/>
        <w:kinsoku/>
        <w:wordWrap/>
        <w:overflowPunct/>
        <w:topLinePunct w:val="0"/>
        <w:autoSpaceDE/>
        <w:autoSpaceDN/>
        <w:bidi w:val="0"/>
        <w:spacing w:before="0" w:after="0" w:line="360" w:lineRule="auto"/>
        <w:ind w:firstLine="720" w:firstLineChars="300"/>
        <w:jc w:val="both"/>
        <w:textAlignment w:val="auto"/>
        <w:rPr>
          <w:rFonts w:cs="Times New Roman"/>
          <w:bCs/>
        </w:rPr>
      </w:pPr>
      <m:oMath>
        <m:sSub>
          <m:sSubPr>
            <m:ctrlPr>
              <w:rPr>
                <w:rFonts w:ascii="Cambria Math" w:hAnsi="Cambria Math" w:cs="Times New Roman"/>
                <w:bCs/>
                <w:sz w:val="24"/>
                <w:szCs w:val="32"/>
              </w:rPr>
            </m:ctrlPr>
          </m:sSubPr>
          <m:e>
            <m:r>
              <m:rPr>
                <m:sty m:val="p"/>
              </m:rPr>
              <w:rPr>
                <w:rFonts w:ascii="Cambria Math" w:hAnsi="Cambria Math" w:cs="Times New Roman"/>
                <w:sz w:val="24"/>
                <w:szCs w:val="32"/>
              </w:rPr>
              <m:t>S</m:t>
            </m:r>
            <m:ctrlPr>
              <w:rPr>
                <w:rFonts w:ascii="Cambria Math" w:hAnsi="Cambria Math" w:cs="Times New Roman"/>
                <w:bCs/>
                <w:sz w:val="24"/>
                <w:szCs w:val="32"/>
              </w:rPr>
            </m:ctrlPr>
          </m:e>
          <m:sub>
            <m:r>
              <m:rPr>
                <m:sty m:val="p"/>
              </m:rPr>
              <w:rPr>
                <w:rFonts w:ascii="Cambria Math" w:hAnsi="Cambria Math" w:cs="Times New Roman"/>
                <w:sz w:val="24"/>
                <w:szCs w:val="32"/>
              </w:rPr>
              <m:t>Ehk</m:t>
            </m:r>
            <m:ctrlPr>
              <w:rPr>
                <w:rFonts w:ascii="Cambria Math" w:hAnsi="Cambria Math" w:cs="Times New Roman"/>
                <w:bCs/>
                <w:sz w:val="24"/>
                <w:szCs w:val="32"/>
              </w:rPr>
            </m:ctrlPr>
          </m:sub>
        </m:sSub>
      </m:oMath>
      <w:r>
        <w:rPr>
          <w:rFonts w:hint="eastAsia" w:cs="Times New Roman"/>
          <w:bCs/>
          <w:sz w:val="24"/>
          <w:szCs w:val="24"/>
          <w:lang w:eastAsia="zh-CN"/>
        </w:rPr>
        <w:t>——</w:t>
      </w:r>
      <w:r>
        <w:rPr>
          <w:rFonts w:hint="eastAsia" w:ascii="宋体" w:hAnsi="宋体" w:eastAsia="宋体" w:cs="宋体"/>
          <w:strike w:val="0"/>
          <w:dstrike w:val="0"/>
          <w:kern w:val="2"/>
          <w:sz w:val="24"/>
          <w:szCs w:val="24"/>
          <w:highlight w:val="none"/>
          <w:lang w:val="en-US" w:eastAsia="zh-CN" w:bidi="ar-SA"/>
        </w:rPr>
        <w:t>水平地震作用组合的效应标准值</w:t>
      </w:r>
      <w:r>
        <w:rPr>
          <w:rFonts w:hint="eastAsia" w:ascii="宋体" w:hAnsi="宋体" w:cs="宋体"/>
          <w:strike w:val="0"/>
          <w:dstrike w:val="0"/>
          <w:kern w:val="2"/>
          <w:sz w:val="24"/>
          <w:szCs w:val="24"/>
          <w:highlight w:val="none"/>
          <w:lang w:val="en-US" w:eastAsia="zh-CN" w:bidi="ar-SA"/>
        </w:rPr>
        <w:t>；</w:t>
      </w:r>
    </w:p>
    <w:p w14:paraId="0851CB4D">
      <w:pPr>
        <w:pStyle w:val="63"/>
        <w:keepNext w:val="0"/>
        <w:keepLines w:val="0"/>
        <w:pageBreakBefore w:val="0"/>
        <w:kinsoku/>
        <w:wordWrap/>
        <w:overflowPunct/>
        <w:topLinePunct w:val="0"/>
        <w:autoSpaceDE/>
        <w:autoSpaceDN/>
        <w:bidi w:val="0"/>
        <w:spacing w:before="0" w:after="0" w:line="360" w:lineRule="auto"/>
        <w:ind w:firstLine="720" w:firstLineChars="300"/>
        <w:jc w:val="both"/>
        <w:textAlignment w:val="auto"/>
        <w:rPr>
          <w:rFonts w:cs="Times New Roman"/>
          <w:bCs/>
        </w:rPr>
      </w:pPr>
      <m:oMath>
        <m:sSub>
          <m:sSubPr>
            <m:ctrlPr>
              <w:rPr>
                <w:rFonts w:ascii="Cambria Math" w:hAnsi="Cambria Math" w:cs="Times New Roman"/>
                <w:bCs/>
                <w:sz w:val="24"/>
                <w:szCs w:val="32"/>
              </w:rPr>
            </m:ctrlPr>
          </m:sSubPr>
          <m:e>
            <m:r>
              <m:rPr>
                <m:sty m:val="p"/>
              </m:rPr>
              <w:rPr>
                <w:rFonts w:ascii="Cambria Math" w:hAnsi="Cambria Math" w:cs="Times New Roman"/>
                <w:sz w:val="24"/>
                <w:szCs w:val="32"/>
              </w:rPr>
              <m:t>S</m:t>
            </m:r>
            <m:ctrlPr>
              <w:rPr>
                <w:rFonts w:ascii="Cambria Math" w:hAnsi="Cambria Math" w:cs="Times New Roman"/>
                <w:bCs/>
                <w:sz w:val="24"/>
                <w:szCs w:val="32"/>
              </w:rPr>
            </m:ctrlPr>
          </m:e>
          <m:sub>
            <m:r>
              <m:rPr>
                <m:sty m:val="p"/>
              </m:rPr>
              <w:rPr>
                <w:rFonts w:ascii="Cambria Math" w:hAnsi="Cambria Math" w:cs="Times New Roman"/>
                <w:sz w:val="24"/>
                <w:szCs w:val="32"/>
              </w:rPr>
              <m:t>Evk</m:t>
            </m:r>
            <m:ctrlPr>
              <w:rPr>
                <w:rFonts w:ascii="Cambria Math" w:hAnsi="Cambria Math" w:cs="Times New Roman"/>
                <w:bCs/>
                <w:sz w:val="24"/>
                <w:szCs w:val="32"/>
              </w:rPr>
            </m:ctrlPr>
          </m:sub>
        </m:sSub>
      </m:oMath>
      <w:r>
        <w:rPr>
          <w:rFonts w:hint="eastAsia" w:cs="Times New Roman"/>
          <w:bCs/>
          <w:sz w:val="24"/>
          <w:szCs w:val="24"/>
          <w:lang w:eastAsia="zh-CN"/>
        </w:rPr>
        <w:t>——</w:t>
      </w:r>
      <w:r>
        <w:rPr>
          <w:rFonts w:hint="eastAsia" w:ascii="宋体" w:hAnsi="宋体" w:eastAsia="宋体" w:cs="宋体"/>
          <w:strike w:val="0"/>
          <w:dstrike w:val="0"/>
          <w:kern w:val="2"/>
          <w:sz w:val="24"/>
          <w:szCs w:val="24"/>
          <w:highlight w:val="none"/>
          <w:lang w:val="en-US" w:eastAsia="zh-CN" w:bidi="ar-SA"/>
        </w:rPr>
        <w:t>竖向地震作用组合的效应标准值</w:t>
      </w:r>
      <w:r>
        <w:rPr>
          <w:rFonts w:hint="eastAsia" w:ascii="宋体" w:hAnsi="宋体" w:cs="宋体"/>
          <w:strike w:val="0"/>
          <w:dstrike w:val="0"/>
          <w:kern w:val="2"/>
          <w:sz w:val="24"/>
          <w:szCs w:val="24"/>
          <w:highlight w:val="none"/>
          <w:lang w:val="en-US" w:eastAsia="zh-CN" w:bidi="ar-SA"/>
        </w:rPr>
        <w:t>；</w:t>
      </w:r>
    </w:p>
    <w:p w14:paraId="43D48AD0">
      <w:pPr>
        <w:pStyle w:val="63"/>
        <w:keepNext w:val="0"/>
        <w:keepLines w:val="0"/>
        <w:pageBreakBefore w:val="0"/>
        <w:kinsoku/>
        <w:wordWrap/>
        <w:overflowPunct/>
        <w:topLinePunct w:val="0"/>
        <w:autoSpaceDE/>
        <w:autoSpaceDN/>
        <w:bidi w:val="0"/>
        <w:spacing w:before="0" w:after="0" w:line="360" w:lineRule="auto"/>
        <w:ind w:firstLine="720" w:firstLineChars="300"/>
        <w:jc w:val="both"/>
        <w:textAlignment w:val="auto"/>
        <w:rPr>
          <w:rFonts w:cs="Times New Roman"/>
          <w:bCs/>
        </w:rPr>
      </w:pPr>
      <m:oMath>
        <m:sSub>
          <m:sSubPr>
            <m:ctrlPr>
              <w:rPr>
                <w:rFonts w:ascii="Cambria Math" w:hAnsi="Cambria Math" w:cs="Times New Roman"/>
                <w:bCs/>
                <w:sz w:val="24"/>
                <w:szCs w:val="32"/>
              </w:rPr>
            </m:ctrlPr>
          </m:sSubPr>
          <m:e>
            <m:r>
              <m:rPr>
                <m:sty m:val="p"/>
              </m:rPr>
              <w:rPr>
                <w:rFonts w:ascii="Cambria Math" w:hAnsi="Cambria Math" w:cs="Times New Roman"/>
                <w:sz w:val="24"/>
                <w:szCs w:val="32"/>
              </w:rPr>
              <m:t>S</m:t>
            </m:r>
            <m:ctrlPr>
              <w:rPr>
                <w:rFonts w:ascii="Cambria Math" w:hAnsi="Cambria Math" w:cs="Times New Roman"/>
                <w:bCs/>
                <w:sz w:val="24"/>
                <w:szCs w:val="32"/>
              </w:rPr>
            </m:ctrlPr>
          </m:e>
          <m:sub>
            <m:r>
              <m:rPr>
                <m:sty m:val="p"/>
              </m:rPr>
              <w:rPr>
                <w:rFonts w:ascii="Cambria Math" w:hAnsi="Cambria Math" w:cs="Times New Roman"/>
                <w:sz w:val="24"/>
                <w:szCs w:val="32"/>
              </w:rPr>
              <m:t>Gk</m:t>
            </m:r>
            <m:ctrlPr>
              <w:rPr>
                <w:rFonts w:ascii="Cambria Math" w:hAnsi="Cambria Math" w:cs="Times New Roman"/>
                <w:bCs/>
                <w:sz w:val="24"/>
                <w:szCs w:val="32"/>
              </w:rPr>
            </m:ctrlPr>
          </m:sub>
        </m:sSub>
      </m:oMath>
      <w:r>
        <w:rPr>
          <w:rFonts w:hint="eastAsia" w:cs="Times New Roman"/>
          <w:bCs/>
          <w:sz w:val="24"/>
          <w:szCs w:val="24"/>
          <w:lang w:eastAsia="zh-CN"/>
        </w:rPr>
        <w:t>——</w:t>
      </w:r>
      <w:r>
        <w:rPr>
          <w:rFonts w:hint="eastAsia" w:ascii="宋体" w:hAnsi="宋体" w:eastAsia="宋体" w:cs="宋体"/>
          <w:strike w:val="0"/>
          <w:dstrike w:val="0"/>
          <w:kern w:val="2"/>
          <w:sz w:val="24"/>
          <w:szCs w:val="24"/>
          <w:highlight w:val="none"/>
          <w:lang w:val="en-US" w:eastAsia="zh-CN" w:bidi="ar-SA"/>
        </w:rPr>
        <w:t>永久荷载的效应标准值</w:t>
      </w:r>
      <w:r>
        <w:rPr>
          <w:rFonts w:hint="eastAsia" w:ascii="宋体" w:hAnsi="宋体" w:cs="宋体"/>
          <w:strike w:val="0"/>
          <w:dstrike w:val="0"/>
          <w:kern w:val="2"/>
          <w:sz w:val="24"/>
          <w:szCs w:val="24"/>
          <w:highlight w:val="none"/>
          <w:lang w:val="en-US" w:eastAsia="zh-CN" w:bidi="ar-SA"/>
        </w:rPr>
        <w:t>；</w:t>
      </w:r>
    </w:p>
    <w:p w14:paraId="656F53F5">
      <w:pPr>
        <w:pStyle w:val="63"/>
        <w:keepNext w:val="0"/>
        <w:keepLines w:val="0"/>
        <w:pageBreakBefore w:val="0"/>
        <w:kinsoku/>
        <w:wordWrap/>
        <w:overflowPunct/>
        <w:topLinePunct w:val="0"/>
        <w:autoSpaceDE/>
        <w:autoSpaceDN/>
        <w:bidi w:val="0"/>
        <w:spacing w:before="0" w:after="0" w:line="360" w:lineRule="auto"/>
        <w:ind w:firstLine="720" w:firstLineChars="300"/>
        <w:jc w:val="both"/>
        <w:textAlignment w:val="auto"/>
        <w:rPr>
          <w:rFonts w:cs="Times New Roman"/>
          <w:bCs/>
        </w:rPr>
      </w:pPr>
      <m:oMath>
        <m:sSub>
          <m:sSubPr>
            <m:ctrlPr>
              <w:rPr>
                <w:rFonts w:ascii="Cambria Math" w:hAnsi="Cambria Math" w:cs="Times New Roman"/>
                <w:bCs/>
                <w:sz w:val="24"/>
                <w:szCs w:val="32"/>
              </w:rPr>
            </m:ctrlPr>
          </m:sSubPr>
          <m:e>
            <m:r>
              <m:rPr>
                <m:sty m:val="p"/>
              </m:rPr>
              <w:rPr>
                <w:rFonts w:ascii="Cambria Math" w:hAnsi="Cambria Math" w:cs="Times New Roman"/>
                <w:sz w:val="24"/>
                <w:szCs w:val="32"/>
              </w:rPr>
              <m:t>S</m:t>
            </m:r>
            <m:ctrlPr>
              <w:rPr>
                <w:rFonts w:ascii="Cambria Math" w:hAnsi="Cambria Math" w:cs="Times New Roman"/>
                <w:bCs/>
                <w:sz w:val="24"/>
                <w:szCs w:val="32"/>
              </w:rPr>
            </m:ctrlPr>
          </m:e>
          <m:sub>
            <m:r>
              <m:rPr>
                <m:sty m:val="p"/>
              </m:rPr>
              <w:rPr>
                <w:rFonts w:ascii="Cambria Math" w:hAnsi="Cambria Math" w:cs="Times New Roman"/>
                <w:sz w:val="24"/>
                <w:szCs w:val="32"/>
              </w:rPr>
              <m:t>Wk</m:t>
            </m:r>
            <m:ctrlPr>
              <w:rPr>
                <w:rFonts w:ascii="Cambria Math" w:hAnsi="Cambria Math" w:cs="Times New Roman"/>
                <w:bCs/>
                <w:sz w:val="24"/>
                <w:szCs w:val="32"/>
              </w:rPr>
            </m:ctrlPr>
          </m:sub>
        </m:sSub>
      </m:oMath>
      <w:r>
        <w:rPr>
          <w:rFonts w:hint="eastAsia" w:cs="Times New Roman"/>
          <w:bCs/>
          <w:sz w:val="24"/>
          <w:szCs w:val="24"/>
          <w:lang w:eastAsia="zh-CN"/>
        </w:rPr>
        <w:t>——</w:t>
      </w:r>
      <w:r>
        <w:rPr>
          <w:rFonts w:hint="eastAsia" w:ascii="宋体" w:hAnsi="宋体" w:eastAsia="宋体" w:cs="宋体"/>
          <w:strike w:val="0"/>
          <w:dstrike w:val="0"/>
          <w:kern w:val="2"/>
          <w:sz w:val="24"/>
          <w:szCs w:val="24"/>
          <w:highlight w:val="none"/>
          <w:lang w:val="en-US" w:eastAsia="zh-CN" w:bidi="ar-SA"/>
        </w:rPr>
        <w:t>风荷载的效应标准值</w:t>
      </w:r>
      <w:r>
        <w:rPr>
          <w:rFonts w:hint="eastAsia" w:ascii="宋体" w:hAnsi="宋体" w:cs="宋体"/>
          <w:strike w:val="0"/>
          <w:dstrike w:val="0"/>
          <w:kern w:val="2"/>
          <w:sz w:val="24"/>
          <w:szCs w:val="24"/>
          <w:highlight w:val="none"/>
          <w:lang w:val="en-US" w:eastAsia="zh-CN" w:bidi="ar-SA"/>
        </w:rPr>
        <w:t>；</w:t>
      </w:r>
    </w:p>
    <w:p w14:paraId="7AED1E11">
      <w:pPr>
        <w:pStyle w:val="63"/>
        <w:keepNext w:val="0"/>
        <w:keepLines w:val="0"/>
        <w:pageBreakBefore w:val="0"/>
        <w:kinsoku/>
        <w:wordWrap/>
        <w:overflowPunct/>
        <w:topLinePunct w:val="0"/>
        <w:autoSpaceDE/>
        <w:autoSpaceDN/>
        <w:bidi w:val="0"/>
        <w:spacing w:before="0" w:after="0" w:line="360" w:lineRule="auto"/>
        <w:ind w:firstLine="630" w:firstLineChars="300"/>
        <w:jc w:val="both"/>
        <w:textAlignment w:val="auto"/>
        <w:rPr>
          <w:rFonts w:hint="eastAsia" w:cs="Times New Roman"/>
          <w:sz w:val="24"/>
          <w:szCs w:val="32"/>
          <w:lang w:val="en-US" w:eastAsia="zh-CN"/>
        </w:rPr>
      </w:pPr>
      <w:r>
        <w:rPr>
          <w:rFonts w:cs="Times New Roman"/>
          <w:bCs/>
        </w:rPr>
        <w:t xml:space="preserve"> </w:t>
      </w:r>
      <m:oMath>
        <m:sSub>
          <m:sSubPr>
            <m:ctrlPr>
              <w:rPr>
                <w:rFonts w:ascii="Cambria Math" w:hAnsi="Cambria Math" w:cs="Times New Roman"/>
                <w:i/>
                <w:sz w:val="24"/>
                <w:szCs w:val="32"/>
              </w:rPr>
            </m:ctrlPr>
          </m:sSubPr>
          <m:e>
            <m:r>
              <m:rPr/>
              <w:rPr>
                <w:rFonts w:ascii="Cambria Math" w:hAnsi="Cambria Math" w:cs="Times New Roman"/>
                <w:sz w:val="24"/>
                <w:szCs w:val="32"/>
              </w:rPr>
              <m:t>α</m:t>
            </m:r>
            <m:ctrlPr>
              <w:rPr>
                <w:rFonts w:ascii="Cambria Math" w:hAnsi="Cambria Math" w:cs="Times New Roman"/>
                <w:i/>
                <w:sz w:val="24"/>
                <w:szCs w:val="32"/>
              </w:rPr>
            </m:ctrlPr>
          </m:e>
          <m:sub>
            <m:r>
              <m:rPr/>
              <w:rPr>
                <w:rFonts w:ascii="Cambria Math" w:hAnsi="Cambria Math" w:cs="Times New Roman"/>
                <w:sz w:val="24"/>
                <w:szCs w:val="32"/>
              </w:rPr>
              <m:t>max</m:t>
            </m:r>
            <m:ctrlPr>
              <w:rPr>
                <w:rFonts w:ascii="Cambria Math" w:hAnsi="Cambria Math" w:cs="Times New Roman"/>
                <w:i/>
                <w:sz w:val="24"/>
                <w:szCs w:val="32"/>
              </w:rPr>
            </m:ctrlPr>
          </m:sub>
        </m:sSub>
      </m:oMath>
      <w:r>
        <w:rPr>
          <w:rFonts w:hint="eastAsia" w:cs="Times New Roman"/>
          <w:sz w:val="24"/>
          <w:szCs w:val="32"/>
          <w:lang w:eastAsia="zh-CN"/>
        </w:rPr>
        <w:t>——</w:t>
      </w:r>
      <w:r>
        <w:rPr>
          <w:rFonts w:cs="Times New Roman"/>
          <w:sz w:val="24"/>
          <w:szCs w:val="32"/>
        </w:rPr>
        <w:t>水平地震影响系数最大值</w:t>
      </w:r>
      <w:r>
        <w:rPr>
          <w:rFonts w:hint="eastAsia" w:cs="Times New Roman"/>
          <w:sz w:val="24"/>
          <w:szCs w:val="32"/>
          <w:lang w:eastAsia="zh-CN"/>
        </w:rPr>
        <w:t>；</w:t>
      </w:r>
    </w:p>
    <w:p w14:paraId="55E820A1">
      <w:pPr>
        <w:keepNext w:val="0"/>
        <w:keepLines w:val="0"/>
        <w:pageBreakBefore w:val="0"/>
        <w:kinsoku/>
        <w:wordWrap/>
        <w:overflowPunct/>
        <w:topLinePunct w:val="0"/>
        <w:autoSpaceDE/>
        <w:autoSpaceDN/>
        <w:bidi w:val="0"/>
        <w:snapToGrid w:val="0"/>
        <w:spacing w:line="360" w:lineRule="auto"/>
        <w:ind w:firstLine="720" w:firstLineChars="300"/>
        <w:textAlignment w:val="auto"/>
        <w:rPr>
          <w:rFonts w:hint="eastAsia" w:cs="Times New Roman"/>
          <w:sz w:val="24"/>
          <w:szCs w:val="32"/>
          <w:lang w:eastAsia="zh-CN"/>
        </w:rPr>
      </w:pPr>
      <m:oMath>
        <m:sSub>
          <m:sSubPr>
            <m:ctrlPr>
              <w:rPr>
                <w:rFonts w:ascii="Cambria Math" w:hAnsi="Cambria Math" w:cs="Times New Roman"/>
                <w:i/>
                <w:sz w:val="24"/>
                <w:szCs w:val="32"/>
              </w:rPr>
            </m:ctrlPr>
          </m:sSubPr>
          <m:e>
            <m:r>
              <m:rPr/>
              <w:rPr>
                <w:rFonts w:ascii="Cambria Math" w:hAnsi="Cambria Math" w:cs="Times New Roman"/>
                <w:sz w:val="24"/>
                <w:szCs w:val="32"/>
              </w:rPr>
              <m:t>β</m:t>
            </m:r>
            <m:ctrlPr>
              <w:rPr>
                <w:rFonts w:ascii="Cambria Math" w:hAnsi="Cambria Math" w:cs="Times New Roman"/>
                <w:i/>
                <w:sz w:val="24"/>
                <w:szCs w:val="32"/>
              </w:rPr>
            </m:ctrlPr>
          </m:e>
          <m:sub>
            <m:r>
              <m:rPr/>
              <w:rPr>
                <w:rFonts w:ascii="Cambria Math" w:hAnsi="Cambria Math" w:cs="Times New Roman"/>
                <w:sz w:val="24"/>
                <w:szCs w:val="32"/>
              </w:rPr>
              <m:t>E</m:t>
            </m:r>
            <m:ctrlPr>
              <w:rPr>
                <w:rFonts w:ascii="Cambria Math" w:hAnsi="Cambria Math" w:cs="Times New Roman"/>
                <w:i/>
                <w:sz w:val="24"/>
                <w:szCs w:val="32"/>
              </w:rPr>
            </m:ctrlPr>
          </m:sub>
        </m:sSub>
      </m:oMath>
      <w:r>
        <w:rPr>
          <w:rFonts w:hint="eastAsia" w:cs="Times New Roman"/>
          <w:sz w:val="24"/>
          <w:szCs w:val="32"/>
          <w:lang w:eastAsia="zh-CN"/>
        </w:rPr>
        <w:t>——</w:t>
      </w:r>
      <w:r>
        <w:rPr>
          <w:rFonts w:cs="Times New Roman"/>
          <w:sz w:val="24"/>
          <w:szCs w:val="32"/>
        </w:rPr>
        <w:t>动力放大系数</w:t>
      </w:r>
      <w:r>
        <w:rPr>
          <w:rFonts w:hint="eastAsia" w:cs="Times New Roman"/>
          <w:sz w:val="24"/>
          <w:szCs w:val="32"/>
          <w:lang w:eastAsia="zh-CN"/>
        </w:rPr>
        <w:t>；</w:t>
      </w:r>
    </w:p>
    <w:p w14:paraId="2824A4F1">
      <w:pPr>
        <w:keepNext w:val="0"/>
        <w:keepLines w:val="0"/>
        <w:pageBreakBefore w:val="0"/>
        <w:kinsoku/>
        <w:wordWrap/>
        <w:overflowPunct/>
        <w:topLinePunct w:val="0"/>
        <w:autoSpaceDE/>
        <w:autoSpaceDN/>
        <w:bidi w:val="0"/>
        <w:snapToGrid w:val="0"/>
        <w:spacing w:line="360" w:lineRule="auto"/>
        <w:ind w:firstLine="720" w:firstLineChars="300"/>
        <w:textAlignment w:val="auto"/>
        <w:rPr>
          <w:rFonts w:hint="eastAsia" w:ascii="宋体" w:hAnsi="宋体" w:cs="宋体"/>
          <w:strike w:val="0"/>
          <w:dstrike w:val="0"/>
          <w:kern w:val="2"/>
          <w:sz w:val="24"/>
          <w:szCs w:val="24"/>
          <w:highlight w:val="none"/>
          <w:lang w:val="en-US" w:eastAsia="zh-CN" w:bidi="ar-SA"/>
        </w:rPr>
      </w:pPr>
      <m:oMath>
        <m:sSub>
          <m:sSubPr>
            <m:ctrlPr>
              <w:rPr>
                <w:rFonts w:ascii="Cambria Math" w:hAnsi="Cambria Math" w:cs="Times New Roman"/>
                <w:bCs/>
                <w:sz w:val="24"/>
                <w:szCs w:val="32"/>
              </w:rPr>
            </m:ctrlPr>
          </m:sSubPr>
          <m:e>
            <m:r>
              <m:rPr>
                <m:sty m:val="p"/>
              </m:rPr>
              <w:rPr>
                <w:rFonts w:ascii="Cambria Math" w:hAnsi="Cambria Math" w:cs="Times New Roman"/>
                <w:sz w:val="24"/>
                <w:szCs w:val="32"/>
              </w:rPr>
              <m:t>γ</m:t>
            </m:r>
            <m:ctrlPr>
              <w:rPr>
                <w:rFonts w:ascii="Cambria Math" w:hAnsi="Cambria Math" w:cs="Times New Roman"/>
                <w:bCs/>
                <w:sz w:val="24"/>
                <w:szCs w:val="32"/>
              </w:rPr>
            </m:ctrlPr>
          </m:e>
          <m:sub>
            <m:r>
              <m:rPr>
                <m:sty m:val="p"/>
              </m:rPr>
              <w:rPr>
                <w:rFonts w:ascii="Cambria Math" w:hAnsi="Cambria Math" w:cs="Times New Roman"/>
                <w:sz w:val="24"/>
                <w:szCs w:val="32"/>
              </w:rPr>
              <m:t>G</m:t>
            </m:r>
            <m:ctrlPr>
              <w:rPr>
                <w:rFonts w:ascii="Cambria Math" w:hAnsi="Cambria Math" w:cs="Times New Roman"/>
                <w:bCs/>
                <w:sz w:val="24"/>
                <w:szCs w:val="32"/>
              </w:rPr>
            </m:ctrlPr>
          </m:sub>
        </m:sSub>
      </m:oMath>
      <w:r>
        <w:rPr>
          <w:rFonts w:hint="eastAsia" w:ascii="Times New Roman" w:hAnsi="Times New Roman" w:eastAsia="宋体" w:cs="Times New Roman"/>
          <w:bCs/>
          <w:kern w:val="0"/>
          <w:sz w:val="24"/>
          <w:szCs w:val="24"/>
          <w:lang w:val="en-US" w:eastAsia="zh-CN" w:bidi="ar-SA"/>
        </w:rPr>
        <w:t>——</w:t>
      </w:r>
      <w:r>
        <w:rPr>
          <w:rFonts w:hint="eastAsia" w:ascii="宋体" w:hAnsi="宋体" w:eastAsia="宋体" w:cs="宋体"/>
          <w:strike w:val="0"/>
          <w:dstrike w:val="0"/>
          <w:kern w:val="2"/>
          <w:sz w:val="24"/>
          <w:szCs w:val="24"/>
          <w:highlight w:val="none"/>
          <w:lang w:val="en-US" w:eastAsia="zh-CN" w:bidi="ar-SA"/>
        </w:rPr>
        <w:t>永久荷载分项系数</w:t>
      </w:r>
      <w:r>
        <w:rPr>
          <w:rFonts w:hint="eastAsia" w:ascii="宋体" w:hAnsi="宋体" w:cs="宋体"/>
          <w:strike w:val="0"/>
          <w:dstrike w:val="0"/>
          <w:kern w:val="2"/>
          <w:sz w:val="24"/>
          <w:szCs w:val="24"/>
          <w:highlight w:val="none"/>
          <w:lang w:val="en-US" w:eastAsia="zh-CN" w:bidi="ar-SA"/>
        </w:rPr>
        <w:t>；</w:t>
      </w:r>
    </w:p>
    <w:p w14:paraId="322DF16F">
      <w:pPr>
        <w:keepNext w:val="0"/>
        <w:keepLines w:val="0"/>
        <w:pageBreakBefore w:val="0"/>
        <w:kinsoku/>
        <w:wordWrap/>
        <w:overflowPunct/>
        <w:topLinePunct w:val="0"/>
        <w:autoSpaceDE/>
        <w:autoSpaceDN/>
        <w:bidi w:val="0"/>
        <w:spacing w:line="360" w:lineRule="auto"/>
        <w:ind w:firstLine="720" w:firstLineChars="300"/>
        <w:textAlignment w:val="auto"/>
        <w:rPr>
          <w:rFonts w:ascii="宋体" w:hAnsi="宋体" w:cs="宋体"/>
          <w:strike w:val="0"/>
          <w:dstrike w:val="0"/>
          <w:sz w:val="24"/>
          <w:highlight w:val="none"/>
        </w:rPr>
      </w:pPr>
      <m:oMath>
        <m:sSub>
          <m:sSubPr>
            <m:ctrlPr>
              <w:rPr>
                <w:rFonts w:ascii="Cambria Math" w:hAnsi="Cambria Math" w:cs="宋体"/>
                <w:i/>
                <w:strike w:val="0"/>
                <w:dstrike w:val="0"/>
                <w:color w:val="auto"/>
                <w:sz w:val="24"/>
                <w:highlight w:val="none"/>
              </w:rPr>
            </m:ctrlPr>
          </m:sSubPr>
          <m:e>
            <m:r>
              <m:rPr/>
              <w:rPr>
                <w:rFonts w:ascii="Cambria Math" w:hAnsi="Cambria Math" w:cs="宋体"/>
                <w:strike w:val="0"/>
                <w:dstrike w:val="0"/>
                <w:color w:val="auto"/>
                <w:sz w:val="24"/>
                <w:highlight w:val="none"/>
              </w:rPr>
              <m:t xml:space="preserve"> γ</m:t>
            </m:r>
            <m:ctrlPr>
              <w:rPr>
                <w:rFonts w:ascii="Cambria Math" w:hAnsi="Cambria Math" w:cs="宋体"/>
                <w:i/>
                <w:strike w:val="0"/>
                <w:dstrike w:val="0"/>
                <w:color w:val="auto"/>
                <w:sz w:val="24"/>
                <w:highlight w:val="none"/>
              </w:rPr>
            </m:ctrlPr>
          </m:e>
          <m:sub>
            <m:r>
              <m:rPr/>
              <w:rPr>
                <w:rFonts w:hint="default" w:ascii="Cambria Math" w:hAnsi="Cambria Math" w:cs="宋体"/>
                <w:strike w:val="0"/>
                <w:dstrike w:val="0"/>
                <w:color w:val="auto"/>
                <w:sz w:val="24"/>
                <w:highlight w:val="none"/>
                <w:lang w:val="en-US" w:eastAsia="zh-CN"/>
              </w:rPr>
              <m:t>RE</m:t>
            </m:r>
            <m:ctrlPr>
              <w:rPr>
                <w:rFonts w:ascii="Cambria Math" w:hAnsi="Cambria Math" w:cs="宋体"/>
                <w:i/>
                <w:strike w:val="0"/>
                <w:dstrike w:val="0"/>
                <w:color w:val="auto"/>
                <w:sz w:val="24"/>
                <w:highlight w:val="none"/>
              </w:rPr>
            </m:ctrlPr>
          </m:sub>
        </m:sSub>
      </m:oMath>
      <w:r>
        <w:rPr>
          <w:rFonts w:hint="eastAsia" w:ascii="宋体" w:hAnsi="宋体" w:cs="宋体"/>
          <w:strike w:val="0"/>
          <w:dstrike w:val="0"/>
          <w:color w:val="auto"/>
          <w:sz w:val="24"/>
          <w:highlight w:val="none"/>
        </w:rPr>
        <w:t>——</w:t>
      </w:r>
      <w:r>
        <w:rPr>
          <w:rFonts w:hint="eastAsia" w:ascii="宋体" w:hAnsi="宋体" w:cs="宋体"/>
          <w:strike w:val="0"/>
          <w:dstrike w:val="0"/>
          <w:color w:val="auto"/>
          <w:sz w:val="24"/>
          <w:highlight w:val="none"/>
          <w:lang w:eastAsia="zh-CN"/>
        </w:rPr>
        <w:t>承载力抗震调整系数</w:t>
      </w:r>
      <w:r>
        <w:rPr>
          <w:rFonts w:hint="eastAsia" w:ascii="宋体" w:hAnsi="宋体" w:cs="宋体"/>
          <w:strike w:val="0"/>
          <w:dstrike w:val="0"/>
          <w:sz w:val="24"/>
          <w:highlight w:val="none"/>
        </w:rPr>
        <w:t>；</w:t>
      </w:r>
    </w:p>
    <w:p w14:paraId="0FC8CAA0">
      <w:pPr>
        <w:pStyle w:val="63"/>
        <w:keepNext w:val="0"/>
        <w:keepLines w:val="0"/>
        <w:pageBreakBefore w:val="0"/>
        <w:widowControl/>
        <w:kinsoku/>
        <w:wordWrap/>
        <w:overflowPunct/>
        <w:topLinePunct w:val="0"/>
        <w:autoSpaceDE/>
        <w:autoSpaceDN/>
        <w:bidi w:val="0"/>
        <w:adjustRightInd w:val="0"/>
        <w:snapToGrid w:val="0"/>
        <w:spacing w:before="0" w:after="0" w:line="360" w:lineRule="auto"/>
        <w:ind w:firstLine="720" w:firstLineChars="300"/>
        <w:jc w:val="both"/>
        <w:textAlignment w:val="auto"/>
        <w:rPr>
          <w:rFonts w:cs="Times New Roman"/>
          <w:bCs/>
        </w:rPr>
      </w:pPr>
      <m:oMath>
        <m:sSub>
          <m:sSubPr>
            <m:ctrlPr>
              <w:rPr>
                <w:rFonts w:ascii="Cambria Math" w:hAnsi="Cambria Math" w:eastAsia="宋体" w:cs="Times New Roman"/>
                <w:kern w:val="2"/>
                <w:sz w:val="24"/>
                <w:szCs w:val="32"/>
                <w:lang w:val="en-US" w:eastAsia="zh-CN" w:bidi="ar-SA"/>
              </w:rPr>
            </m:ctrlPr>
          </m:sSubPr>
          <m:e>
            <m:r>
              <m:rPr>
                <m:sty m:val="p"/>
              </m:rPr>
              <w:rPr>
                <w:rFonts w:ascii="Cambria Math" w:hAnsi="Cambria Math" w:eastAsia="宋体" w:cs="Times New Roman"/>
                <w:kern w:val="2"/>
                <w:sz w:val="24"/>
                <w:szCs w:val="32"/>
                <w:lang w:val="en-US" w:eastAsia="zh-CN" w:bidi="ar-SA"/>
              </w:rPr>
              <m:t xml:space="preserve"> γ</m:t>
            </m:r>
            <m:ctrlPr>
              <w:rPr>
                <w:rFonts w:ascii="Cambria Math" w:hAnsi="Cambria Math" w:eastAsia="宋体" w:cs="Times New Roman"/>
                <w:kern w:val="2"/>
                <w:sz w:val="24"/>
                <w:szCs w:val="32"/>
                <w:lang w:val="en-US" w:eastAsia="zh-CN" w:bidi="ar-SA"/>
              </w:rPr>
            </m:ctrlPr>
          </m:e>
          <m:sub>
            <m:r>
              <m:rPr>
                <m:sty m:val="p"/>
              </m:rPr>
              <w:rPr>
                <w:rFonts w:hint="default" w:ascii="Cambria Math" w:hAnsi="Cambria Math" w:eastAsia="宋体" w:cs="Times New Roman"/>
                <w:kern w:val="2"/>
                <w:sz w:val="24"/>
                <w:szCs w:val="32"/>
                <w:lang w:val="en-US" w:eastAsia="zh-CN" w:bidi="ar-SA"/>
              </w:rPr>
              <m:t>Eℎ</m:t>
            </m:r>
            <m:ctrlPr>
              <w:rPr>
                <w:rFonts w:ascii="Cambria Math" w:hAnsi="Cambria Math" w:eastAsia="宋体" w:cs="Times New Roman"/>
                <w:kern w:val="2"/>
                <w:sz w:val="24"/>
                <w:szCs w:val="32"/>
                <w:lang w:val="en-US" w:eastAsia="zh-CN" w:bidi="ar-SA"/>
              </w:rPr>
            </m:ctrlPr>
          </m:sub>
        </m:sSub>
      </m:oMath>
      <w:r>
        <w:rPr>
          <w:rFonts w:hint="eastAsia" w:ascii="Times New Roman" w:hAnsi="Times New Roman" w:eastAsia="宋体" w:cs="Times New Roman"/>
          <w:kern w:val="2"/>
          <w:sz w:val="24"/>
          <w:szCs w:val="32"/>
          <w:lang w:val="en-US" w:eastAsia="zh-CN" w:bidi="ar-SA"/>
        </w:rPr>
        <w:t>——水平地震作用分项系数；</w:t>
      </w:r>
    </w:p>
    <w:p w14:paraId="7E7F269B">
      <w:pPr>
        <w:pStyle w:val="63"/>
        <w:keepNext w:val="0"/>
        <w:keepLines w:val="0"/>
        <w:pageBreakBefore w:val="0"/>
        <w:widowControl/>
        <w:kinsoku/>
        <w:wordWrap/>
        <w:overflowPunct/>
        <w:topLinePunct w:val="0"/>
        <w:autoSpaceDE/>
        <w:autoSpaceDN/>
        <w:bidi w:val="0"/>
        <w:adjustRightInd w:val="0"/>
        <w:snapToGrid w:val="0"/>
        <w:spacing w:before="0" w:after="0" w:line="360" w:lineRule="auto"/>
        <w:ind w:firstLine="720" w:firstLineChars="300"/>
        <w:jc w:val="both"/>
        <w:textAlignment w:val="auto"/>
        <w:rPr>
          <w:rFonts w:hint="eastAsia" w:ascii="宋体" w:hAnsi="宋体" w:cs="宋体"/>
          <w:strike w:val="0"/>
          <w:dstrike w:val="0"/>
          <w:kern w:val="2"/>
          <w:sz w:val="24"/>
          <w:szCs w:val="24"/>
          <w:highlight w:val="none"/>
          <w:lang w:val="en-US" w:eastAsia="zh-CN" w:bidi="ar-SA"/>
        </w:rPr>
      </w:pPr>
      <m:oMath>
        <m:sSub>
          <m:sSubPr>
            <m:ctrlPr>
              <w:rPr>
                <w:rFonts w:ascii="Cambria Math" w:hAnsi="Cambria Math" w:cs="宋体"/>
                <w:i/>
                <w:strike w:val="0"/>
                <w:dstrike w:val="0"/>
                <w:sz w:val="24"/>
                <w:highlight w:val="none"/>
              </w:rPr>
            </m:ctrlPr>
          </m:sSubPr>
          <m:e>
            <m:r>
              <m:rPr/>
              <w:rPr>
                <w:rFonts w:ascii="Cambria Math" w:hAnsi="Cambria Math" w:cs="宋体"/>
                <w:strike w:val="0"/>
                <w:dstrike w:val="0"/>
                <w:sz w:val="24"/>
                <w:highlight w:val="none"/>
              </w:rPr>
              <m:t xml:space="preserve"> γ</m:t>
            </m:r>
            <m:ctrlPr>
              <w:rPr>
                <w:rFonts w:ascii="Cambria Math" w:hAnsi="Cambria Math" w:cs="宋体"/>
                <w:i/>
                <w:strike w:val="0"/>
                <w:dstrike w:val="0"/>
                <w:sz w:val="24"/>
                <w:highlight w:val="none"/>
              </w:rPr>
            </m:ctrlPr>
          </m:e>
          <m:sub>
            <m:r>
              <m:rPr/>
              <w:rPr>
                <w:rFonts w:hint="default" w:ascii="Cambria Math" w:hAnsi="Cambria Math" w:cs="宋体"/>
                <w:strike w:val="0"/>
                <w:dstrike w:val="0"/>
                <w:sz w:val="24"/>
                <w:highlight w:val="none"/>
                <w:lang w:val="en-US" w:eastAsia="zh-CN"/>
              </w:rPr>
              <m:t>Ev</m:t>
            </m:r>
            <m:ctrlPr>
              <w:rPr>
                <w:rFonts w:ascii="Cambria Math" w:hAnsi="Cambria Math" w:cs="宋体"/>
                <w:i/>
                <w:strike w:val="0"/>
                <w:dstrike w:val="0"/>
                <w:sz w:val="24"/>
                <w:highlight w:val="none"/>
              </w:rPr>
            </m:ctrlPr>
          </m:sub>
        </m:sSub>
      </m:oMath>
      <w:r>
        <w:rPr>
          <w:rFonts w:hint="eastAsia" w:cs="Times New Roman"/>
          <w:bCs/>
          <w:sz w:val="24"/>
          <w:szCs w:val="24"/>
          <w:lang w:eastAsia="zh-CN"/>
        </w:rPr>
        <w:t>——</w:t>
      </w:r>
      <w:r>
        <w:rPr>
          <w:rFonts w:hint="eastAsia" w:ascii="Times New Roman" w:hAnsi="Times New Roman" w:eastAsia="宋体" w:cs="Times New Roman"/>
          <w:kern w:val="2"/>
          <w:sz w:val="24"/>
          <w:szCs w:val="32"/>
          <w:lang w:val="en-US" w:eastAsia="zh-CN" w:bidi="ar-SA"/>
        </w:rPr>
        <w:t>竖向地震作用分项系数；</w:t>
      </w:r>
    </w:p>
    <w:p w14:paraId="6F3AF71F">
      <w:pPr>
        <w:keepNext w:val="0"/>
        <w:keepLines w:val="0"/>
        <w:pageBreakBefore w:val="0"/>
        <w:widowControl w:val="0"/>
        <w:kinsoku/>
        <w:wordWrap/>
        <w:overflowPunct/>
        <w:topLinePunct w:val="0"/>
        <w:autoSpaceDE/>
        <w:autoSpaceDN/>
        <w:bidi w:val="0"/>
        <w:adjustRightInd w:val="0"/>
        <w:snapToGrid w:val="0"/>
        <w:spacing w:line="360" w:lineRule="auto"/>
        <w:ind w:firstLine="664" w:firstLineChars="277"/>
        <w:textAlignment w:val="auto"/>
        <w:rPr>
          <w:rFonts w:hint="eastAsia" w:hAnsi="宋体" w:eastAsia="宋体" w:cs="宋体"/>
          <w:strike w:val="0"/>
          <w:dstrike w:val="0"/>
          <w:color w:val="auto"/>
          <w:sz w:val="24"/>
          <w:highlight w:val="none"/>
          <w:lang w:eastAsia="zh-CN"/>
        </w:rPr>
      </w:pPr>
      <m:oMath>
        <m:sSub>
          <m:sSubPr>
            <m:ctrlPr>
              <w:rPr>
                <w:rFonts w:ascii="Cambria Math" w:hAnsi="Cambria Math" w:cs="宋体"/>
                <w:i/>
                <w:strike w:val="0"/>
                <w:dstrike w:val="0"/>
                <w:color w:val="auto"/>
                <w:sz w:val="24"/>
                <w:szCs w:val="24"/>
                <w:highlight w:val="none"/>
              </w:rPr>
            </m:ctrlPr>
          </m:sSubPr>
          <m:e>
            <m:r>
              <m:rPr/>
              <w:rPr>
                <w:rFonts w:ascii="Cambria Math" w:hAnsi="Cambria Math" w:cs="宋体"/>
                <w:strike w:val="0"/>
                <w:dstrike w:val="0"/>
                <w:color w:val="auto"/>
                <w:sz w:val="24"/>
                <w:szCs w:val="24"/>
                <w:highlight w:val="none"/>
              </w:rPr>
              <m:t xml:space="preserve"> γ</m:t>
            </m:r>
            <m:ctrlPr>
              <w:rPr>
                <w:rFonts w:ascii="Cambria Math" w:hAnsi="Cambria Math" w:cs="宋体"/>
                <w:i/>
                <w:strike w:val="0"/>
                <w:dstrike w:val="0"/>
                <w:color w:val="auto"/>
                <w:sz w:val="24"/>
                <w:szCs w:val="24"/>
                <w:highlight w:val="none"/>
              </w:rPr>
            </m:ctrlPr>
          </m:e>
          <m:sub>
            <m:r>
              <m:rPr/>
              <w:rPr>
                <w:rFonts w:hint="default" w:ascii="Cambria Math" w:hAnsi="Cambria Math" w:cs="宋体"/>
                <w:strike w:val="0"/>
                <w:dstrike w:val="0"/>
                <w:color w:val="auto"/>
                <w:sz w:val="24"/>
                <w:szCs w:val="24"/>
                <w:highlight w:val="none"/>
                <w:lang w:val="en-US" w:eastAsia="zh-CN"/>
              </w:rPr>
              <m:t>0</m:t>
            </m:r>
            <m:ctrlPr>
              <w:rPr>
                <w:rFonts w:ascii="Cambria Math" w:hAnsi="Cambria Math" w:cs="宋体"/>
                <w:i/>
                <w:strike w:val="0"/>
                <w:dstrike w:val="0"/>
                <w:color w:val="auto"/>
                <w:sz w:val="24"/>
                <w:szCs w:val="24"/>
                <w:highlight w:val="none"/>
              </w:rPr>
            </m:ctrlPr>
          </m:sub>
        </m:sSub>
        <m:r>
          <m:rPr>
            <m:sty m:val="p"/>
          </m:rPr>
          <w:rPr>
            <w:rFonts w:hint="eastAsia" w:ascii="宋体" w:hAnsi="宋体" w:cs="宋体"/>
            <w:strike w:val="0"/>
            <w:dstrike w:val="0"/>
            <w:color w:val="auto"/>
            <w:sz w:val="24"/>
            <w:szCs w:val="24"/>
            <w:highlight w:val="none"/>
          </w:rPr>
          <m:t>——</m:t>
        </m:r>
      </m:oMath>
      <w:r>
        <w:rPr>
          <w:rFonts w:hint="eastAsia"/>
          <w:sz w:val="24"/>
          <w:szCs w:val="24"/>
          <w:lang w:eastAsia="zh-CN"/>
        </w:rPr>
        <w:t>结构重要性系数；</w:t>
      </w:r>
    </w:p>
    <w:p w14:paraId="7B75380F">
      <w:pPr>
        <w:keepNext w:val="0"/>
        <w:keepLines w:val="0"/>
        <w:pageBreakBefore w:val="0"/>
        <w:kinsoku/>
        <w:wordWrap/>
        <w:overflowPunct/>
        <w:topLinePunct w:val="0"/>
        <w:autoSpaceDE/>
        <w:autoSpaceDN/>
        <w:bidi w:val="0"/>
        <w:spacing w:line="360" w:lineRule="auto"/>
        <w:ind w:firstLine="720" w:firstLineChars="300"/>
        <w:textAlignment w:val="auto"/>
        <w:rPr>
          <w:rFonts w:cs="Times New Roman"/>
          <w:sz w:val="24"/>
          <w:szCs w:val="32"/>
        </w:rPr>
      </w:pPr>
      <m:oMath>
        <m:sSub>
          <m:sSubPr>
            <m:ctrlPr>
              <w:rPr>
                <w:rFonts w:ascii="Cambria Math" w:hAnsi="Cambria Math" w:cs="Times New Roman"/>
                <w:sz w:val="24"/>
                <w:szCs w:val="32"/>
              </w:rPr>
            </m:ctrlPr>
          </m:sSubPr>
          <m:e>
            <m:r>
              <m:rPr>
                <m:sty m:val="p"/>
              </m:rPr>
              <w:rPr>
                <w:rFonts w:ascii="Cambria Math" w:hAnsi="Cambria Math" w:cs="Times New Roman"/>
                <w:sz w:val="24"/>
                <w:szCs w:val="32"/>
              </w:rPr>
              <m:t>γ</m:t>
            </m:r>
            <m:ctrlPr>
              <w:rPr>
                <w:rFonts w:ascii="Cambria Math" w:hAnsi="Cambria Math" w:cs="Times New Roman"/>
                <w:sz w:val="24"/>
                <w:szCs w:val="32"/>
              </w:rPr>
            </m:ctrlPr>
          </m:e>
          <m:sub>
            <m:r>
              <m:rPr>
                <m:sty m:val="p"/>
              </m:rPr>
              <w:rPr>
                <w:rFonts w:ascii="Cambria Math" w:hAnsi="Cambria Math" w:cs="Times New Roman"/>
                <w:sz w:val="24"/>
                <w:szCs w:val="32"/>
              </w:rPr>
              <m:t>c</m:t>
            </m:r>
            <m:ctrlPr>
              <w:rPr>
                <w:rFonts w:ascii="Cambria Math" w:hAnsi="Cambria Math" w:cs="Times New Roman"/>
                <w:sz w:val="24"/>
                <w:szCs w:val="32"/>
              </w:rPr>
            </m:ctrlPr>
          </m:sub>
        </m:sSub>
      </m:oMath>
      <w:r>
        <w:rPr>
          <w:rFonts w:hint="eastAsia" w:cs="Times New Roman"/>
          <w:sz w:val="24"/>
          <w:szCs w:val="32"/>
        </w:rPr>
        <w:t>——锚固件与保温板局部承压承载力分项系数；</w:t>
      </w:r>
    </w:p>
    <w:p w14:paraId="7BCC2342">
      <w:pPr>
        <w:keepNext w:val="0"/>
        <w:keepLines w:val="0"/>
        <w:pageBreakBefore w:val="0"/>
        <w:kinsoku/>
        <w:wordWrap/>
        <w:overflowPunct/>
        <w:topLinePunct w:val="0"/>
        <w:autoSpaceDE/>
        <w:autoSpaceDN/>
        <w:bidi w:val="0"/>
        <w:spacing w:line="360" w:lineRule="auto"/>
        <w:ind w:firstLine="720" w:firstLineChars="300"/>
        <w:textAlignment w:val="auto"/>
        <w:rPr>
          <w:rFonts w:ascii="宋体" w:hAnsi="宋体" w:cs="宋体"/>
          <w:sz w:val="24"/>
        </w:rPr>
      </w:pPr>
      <m:oMath>
        <m:sSub>
          <m:sSubPr>
            <m:ctrlPr>
              <w:rPr>
                <w:rFonts w:ascii="Cambria Math" w:hAnsi="Cambria Math" w:cs="宋体"/>
                <w:i/>
                <w:sz w:val="24"/>
              </w:rPr>
            </m:ctrlPr>
          </m:sSubPr>
          <m:e>
            <m:r>
              <m:rPr/>
              <w:rPr>
                <w:rFonts w:ascii="Cambria Math" w:hAnsi="Cambria Math" w:cs="宋体"/>
                <w:sz w:val="24"/>
              </w:rPr>
              <m:t>γ</m:t>
            </m:r>
            <m:ctrlPr>
              <w:rPr>
                <w:rFonts w:ascii="Cambria Math" w:hAnsi="Cambria Math" w:cs="宋体"/>
                <w:i/>
                <w:sz w:val="24"/>
              </w:rPr>
            </m:ctrlPr>
          </m:e>
          <m:sub>
            <m:r>
              <m:rPr/>
              <w:rPr>
                <w:rFonts w:ascii="Cambria Math" w:hAnsi="Cambria Math" w:cs="宋体"/>
                <w:sz w:val="24"/>
              </w:rPr>
              <m:t>d</m:t>
            </m:r>
            <m:ctrlPr>
              <w:rPr>
                <w:rFonts w:ascii="Cambria Math" w:hAnsi="Cambria Math" w:cs="宋体"/>
                <w:i/>
                <w:sz w:val="24"/>
              </w:rPr>
            </m:ctrlPr>
          </m:sub>
        </m:sSub>
      </m:oMath>
      <w:r>
        <w:rPr>
          <w:rFonts w:hint="eastAsia" w:ascii="宋体" w:hAnsi="宋体" w:cs="宋体"/>
          <w:sz w:val="24"/>
        </w:rPr>
        <w:t>——锚固件与混凝土抗拔承载力分项系数；</w:t>
      </w:r>
    </w:p>
    <w:p w14:paraId="23D42E24">
      <w:pPr>
        <w:keepNext w:val="0"/>
        <w:keepLines w:val="0"/>
        <w:pageBreakBefore w:val="0"/>
        <w:kinsoku/>
        <w:wordWrap/>
        <w:overflowPunct/>
        <w:topLinePunct w:val="0"/>
        <w:autoSpaceDE/>
        <w:autoSpaceDN/>
        <w:bidi w:val="0"/>
        <w:spacing w:line="360" w:lineRule="auto"/>
        <w:ind w:firstLine="720" w:firstLineChars="300"/>
        <w:textAlignment w:val="auto"/>
        <w:rPr>
          <w:rFonts w:ascii="宋体" w:hAnsi="宋体" w:cs="宋体"/>
          <w:sz w:val="24"/>
        </w:rPr>
      </w:pPr>
      <m:oMath>
        <m:sSub>
          <m:sSubPr>
            <m:ctrlPr>
              <w:rPr>
                <w:rFonts w:ascii="Cambria Math" w:hAnsi="Cambria Math" w:cs="宋体"/>
                <w:i/>
                <w:sz w:val="24"/>
              </w:rPr>
            </m:ctrlPr>
          </m:sSubPr>
          <m:e>
            <m:r>
              <m:rPr/>
              <w:rPr>
                <w:rFonts w:ascii="Cambria Math" w:hAnsi="Cambria Math" w:cs="宋体"/>
                <w:sz w:val="24"/>
              </w:rPr>
              <m:t xml:space="preserve"> γ</m:t>
            </m:r>
            <m:ctrlPr>
              <w:rPr>
                <w:rFonts w:ascii="Cambria Math" w:hAnsi="Cambria Math" w:cs="宋体"/>
                <w:i/>
                <w:sz w:val="24"/>
              </w:rPr>
            </m:ctrlPr>
          </m:e>
          <m:sub>
            <m:r>
              <m:rPr/>
              <w:rPr>
                <w:rFonts w:ascii="Cambria Math" w:hAnsi="Cambria Math" w:cs="宋体"/>
                <w:sz w:val="24"/>
              </w:rPr>
              <m:t>t</m:t>
            </m:r>
            <m:ctrlPr>
              <w:rPr>
                <w:rFonts w:ascii="Cambria Math" w:hAnsi="Cambria Math" w:cs="宋体"/>
                <w:i/>
                <w:sz w:val="24"/>
              </w:rPr>
            </m:ctrlPr>
          </m:sub>
        </m:sSub>
      </m:oMath>
      <w:r>
        <w:rPr>
          <w:rFonts w:hint="eastAsia" w:ascii="宋体" w:hAnsi="宋体" w:cs="宋体"/>
          <w:sz w:val="24"/>
          <w:lang w:eastAsia="zh-CN"/>
        </w:rPr>
        <w:t>——</w:t>
      </w:r>
      <w:r>
        <w:rPr>
          <w:rFonts w:hint="eastAsia" w:ascii="宋体" w:hAnsi="宋体" w:cs="宋体"/>
          <w:sz w:val="24"/>
        </w:rPr>
        <w:t>锚固件与保温板反向拉拔承载力分项系数；</w:t>
      </w:r>
    </w:p>
    <w:p w14:paraId="6D3331A5">
      <w:pPr>
        <w:keepNext w:val="0"/>
        <w:keepLines w:val="0"/>
        <w:pageBreakBefore w:val="0"/>
        <w:kinsoku/>
        <w:wordWrap/>
        <w:overflowPunct/>
        <w:topLinePunct w:val="0"/>
        <w:autoSpaceDE/>
        <w:autoSpaceDN/>
        <w:bidi w:val="0"/>
        <w:spacing w:line="360" w:lineRule="auto"/>
        <w:ind w:firstLine="720" w:firstLineChars="300"/>
        <w:textAlignment w:val="auto"/>
        <w:rPr>
          <w:rFonts w:ascii="宋体" w:hAnsi="宋体" w:cs="宋体"/>
          <w:sz w:val="24"/>
        </w:rPr>
      </w:pPr>
      <m:oMath>
        <m:sSub>
          <m:sSubPr>
            <m:ctrlPr>
              <w:rPr>
                <w:rFonts w:ascii="Cambria Math" w:hAnsi="Cambria Math" w:cs="宋体"/>
                <w:i/>
                <w:sz w:val="24"/>
              </w:rPr>
            </m:ctrlPr>
          </m:sSubPr>
          <m:e>
            <m:r>
              <m:rPr/>
              <w:rPr>
                <w:rFonts w:ascii="Cambria Math" w:hAnsi="Cambria Math" w:cs="宋体"/>
                <w:sz w:val="24"/>
              </w:rPr>
              <m:t>γ</m:t>
            </m:r>
            <m:ctrlPr>
              <w:rPr>
                <w:rFonts w:ascii="Cambria Math" w:hAnsi="Cambria Math" w:cs="宋体"/>
                <w:i/>
                <w:sz w:val="24"/>
              </w:rPr>
            </m:ctrlPr>
          </m:e>
          <m:sub>
            <m:r>
              <m:rPr/>
              <w:rPr>
                <w:rFonts w:ascii="Cambria Math" w:hAnsi="Cambria Math" w:cs="宋体"/>
                <w:sz w:val="24"/>
              </w:rPr>
              <m:t>p</m:t>
            </m:r>
            <m:ctrlPr>
              <w:rPr>
                <w:rFonts w:ascii="Cambria Math" w:hAnsi="Cambria Math" w:cs="宋体"/>
                <w:i/>
                <w:sz w:val="24"/>
              </w:rPr>
            </m:ctrlPr>
          </m:sub>
        </m:sSub>
      </m:oMath>
      <w:r>
        <w:rPr>
          <w:rFonts w:hint="eastAsia" w:ascii="宋体" w:hAnsi="宋体" w:cs="宋体"/>
          <w:sz w:val="24"/>
          <w:lang w:eastAsia="zh-CN"/>
        </w:rPr>
        <w:t>——</w:t>
      </w:r>
      <w:r>
        <w:rPr>
          <w:rFonts w:hint="eastAsia" w:ascii="宋体" w:hAnsi="宋体" w:cs="宋体"/>
          <w:sz w:val="24"/>
        </w:rPr>
        <w:t>锚固件尾盘抗拉承载力分项系数；</w:t>
      </w:r>
    </w:p>
    <w:p w14:paraId="04BD0297">
      <w:pPr>
        <w:pStyle w:val="63"/>
        <w:keepNext w:val="0"/>
        <w:keepLines w:val="0"/>
        <w:pageBreakBefore w:val="0"/>
        <w:kinsoku/>
        <w:wordWrap/>
        <w:overflowPunct/>
        <w:topLinePunct w:val="0"/>
        <w:autoSpaceDE/>
        <w:autoSpaceDN/>
        <w:bidi w:val="0"/>
        <w:spacing w:before="0" w:after="0" w:line="360" w:lineRule="auto"/>
        <w:ind w:left="1699" w:leftChars="343" w:hanging="979" w:hangingChars="408"/>
        <w:jc w:val="both"/>
        <w:textAlignment w:val="auto"/>
        <w:rPr>
          <w:rFonts w:cs="Times New Roman"/>
          <w:bCs/>
        </w:rPr>
      </w:pPr>
      <m:oMath>
        <m:sSub>
          <m:sSubPr>
            <m:ctrlPr>
              <w:rPr>
                <w:rFonts w:ascii="Cambria Math" w:hAnsi="Cambria Math" w:cs="Times New Roman"/>
                <w:bCs/>
                <w:sz w:val="24"/>
                <w:szCs w:val="32"/>
              </w:rPr>
            </m:ctrlPr>
          </m:sSubPr>
          <m:e>
            <m:r>
              <m:rPr>
                <m:sty m:val="p"/>
              </m:rPr>
              <w:rPr>
                <w:rFonts w:ascii="Cambria Math" w:hAnsi="Cambria Math" w:cs="Times New Roman"/>
                <w:sz w:val="24"/>
                <w:szCs w:val="32"/>
              </w:rPr>
              <m:t>γ</m:t>
            </m:r>
            <m:ctrlPr>
              <w:rPr>
                <w:rFonts w:ascii="Cambria Math" w:hAnsi="Cambria Math" w:cs="Times New Roman"/>
                <w:bCs/>
                <w:sz w:val="24"/>
                <w:szCs w:val="32"/>
              </w:rPr>
            </m:ctrlPr>
          </m:e>
          <m:sub>
            <m:r>
              <m:rPr>
                <m:sty m:val="p"/>
              </m:rPr>
              <w:rPr>
                <w:rFonts w:ascii="Cambria Math" w:hAnsi="Cambria Math" w:cs="Times New Roman"/>
                <w:sz w:val="24"/>
                <w:szCs w:val="32"/>
              </w:rPr>
              <m:t>W</m:t>
            </m:r>
            <m:ctrlPr>
              <w:rPr>
                <w:rFonts w:ascii="Cambria Math" w:hAnsi="Cambria Math" w:cs="Times New Roman"/>
                <w:bCs/>
                <w:sz w:val="24"/>
                <w:szCs w:val="32"/>
              </w:rPr>
            </m:ctrlPr>
          </m:sub>
        </m:sSub>
      </m:oMath>
      <w:r>
        <w:rPr>
          <w:rFonts w:hint="eastAsia" w:cs="Times New Roman"/>
          <w:bCs/>
          <w:sz w:val="24"/>
          <w:szCs w:val="24"/>
          <w:lang w:eastAsia="zh-CN"/>
        </w:rPr>
        <w:t>——</w:t>
      </w:r>
      <w:r>
        <w:rPr>
          <w:rFonts w:hint="eastAsia" w:ascii="宋体" w:hAnsi="宋体" w:eastAsia="宋体" w:cs="宋体"/>
          <w:strike w:val="0"/>
          <w:dstrike w:val="0"/>
          <w:kern w:val="2"/>
          <w:sz w:val="24"/>
          <w:szCs w:val="24"/>
          <w:highlight w:val="none"/>
          <w:lang w:val="en-US" w:eastAsia="zh-CN" w:bidi="ar-SA"/>
        </w:rPr>
        <w:t>风荷载分项系数</w:t>
      </w:r>
      <w:r>
        <w:rPr>
          <w:rFonts w:hint="eastAsia" w:ascii="宋体" w:hAnsi="宋体" w:cs="宋体"/>
          <w:strike w:val="0"/>
          <w:dstrike w:val="0"/>
          <w:kern w:val="2"/>
          <w:sz w:val="24"/>
          <w:szCs w:val="24"/>
          <w:highlight w:val="none"/>
          <w:lang w:val="en-US" w:eastAsia="zh-CN" w:bidi="ar-SA"/>
        </w:rPr>
        <w:t>；</w:t>
      </w:r>
    </w:p>
    <w:p w14:paraId="45924A1F">
      <w:pPr>
        <w:pStyle w:val="63"/>
        <w:keepNext w:val="0"/>
        <w:keepLines w:val="0"/>
        <w:pageBreakBefore w:val="0"/>
        <w:kinsoku/>
        <w:wordWrap/>
        <w:overflowPunct/>
        <w:topLinePunct w:val="0"/>
        <w:autoSpaceDE/>
        <w:autoSpaceDN/>
        <w:bidi w:val="0"/>
        <w:spacing w:before="0" w:after="0" w:line="360" w:lineRule="auto"/>
        <w:ind w:firstLine="247" w:firstLineChars="118"/>
        <w:jc w:val="both"/>
        <w:textAlignment w:val="auto"/>
        <w:rPr>
          <w:rFonts w:cs="Times New Roman"/>
          <w:bCs/>
        </w:rPr>
      </w:pPr>
      <w:r>
        <w:rPr>
          <w:rFonts w:cs="Times New Roman"/>
          <w:bCs/>
        </w:rPr>
        <w:t xml:space="preserve">    </w:t>
      </w:r>
      <m:oMath>
        <m:sSub>
          <m:sSubPr>
            <m:ctrlPr>
              <w:rPr>
                <w:rFonts w:ascii="Cambria Math" w:hAnsi="Cambria Math" w:cs="Times New Roman"/>
                <w:bCs/>
                <w:sz w:val="24"/>
                <w:szCs w:val="32"/>
              </w:rPr>
            </m:ctrlPr>
          </m:sSubPr>
          <m:e>
            <m:r>
              <m:rPr>
                <m:sty m:val="p"/>
              </m:rPr>
              <w:rPr>
                <w:rFonts w:ascii="Cambria Math" w:hAnsi="Cambria Math" w:cs="Times New Roman"/>
                <w:sz w:val="24"/>
                <w:szCs w:val="32"/>
              </w:rPr>
              <m:t>ψ</m:t>
            </m:r>
            <m:ctrlPr>
              <w:rPr>
                <w:rFonts w:ascii="Cambria Math" w:hAnsi="Cambria Math" w:cs="Times New Roman"/>
                <w:bCs/>
                <w:sz w:val="24"/>
                <w:szCs w:val="32"/>
              </w:rPr>
            </m:ctrlPr>
          </m:e>
          <m:sub>
            <m:r>
              <m:rPr>
                <m:sty m:val="p"/>
              </m:rPr>
              <w:rPr>
                <w:rFonts w:ascii="Cambria Math" w:hAnsi="Cambria Math" w:cs="Times New Roman"/>
                <w:sz w:val="24"/>
                <w:szCs w:val="32"/>
              </w:rPr>
              <m:t>W</m:t>
            </m:r>
            <m:ctrlPr>
              <w:rPr>
                <w:rFonts w:ascii="Cambria Math" w:hAnsi="Cambria Math" w:cs="Times New Roman"/>
                <w:bCs/>
                <w:sz w:val="24"/>
                <w:szCs w:val="32"/>
              </w:rPr>
            </m:ctrlPr>
          </m:sub>
        </m:sSub>
      </m:oMath>
      <w:r>
        <w:rPr>
          <w:rFonts w:hint="eastAsia" w:cs="Times New Roman"/>
          <w:bCs/>
          <w:sz w:val="24"/>
          <w:szCs w:val="24"/>
          <w:lang w:eastAsia="zh-CN"/>
        </w:rPr>
        <w:t>——</w:t>
      </w:r>
      <w:r>
        <w:rPr>
          <w:rFonts w:hint="eastAsia" w:ascii="宋体" w:hAnsi="宋体" w:eastAsia="宋体" w:cs="宋体"/>
          <w:strike w:val="0"/>
          <w:dstrike w:val="0"/>
          <w:kern w:val="2"/>
          <w:sz w:val="24"/>
          <w:szCs w:val="24"/>
          <w:highlight w:val="none"/>
          <w:lang w:val="en-US" w:eastAsia="zh-CN" w:bidi="ar-SA"/>
        </w:rPr>
        <w:t>风荷载组合系数</w:t>
      </w:r>
      <w:r>
        <w:rPr>
          <w:rFonts w:hint="eastAsia" w:ascii="宋体" w:hAnsi="宋体" w:cs="宋体"/>
          <w:strike w:val="0"/>
          <w:dstrike w:val="0"/>
          <w:kern w:val="2"/>
          <w:sz w:val="24"/>
          <w:szCs w:val="24"/>
          <w:highlight w:val="none"/>
          <w:lang w:val="en-US" w:eastAsia="zh-CN" w:bidi="ar-SA"/>
        </w:rPr>
        <w:t>。</w:t>
      </w:r>
    </w:p>
    <w:p w14:paraId="2EA564F7">
      <w:pPr>
        <w:spacing w:line="360" w:lineRule="auto"/>
        <w:ind w:left="1678" w:leftChars="342" w:hanging="960" w:hangingChars="400"/>
        <w:rPr>
          <w:rFonts w:hint="eastAsia" w:eastAsia="宋体" w:cs="Times New Roman"/>
          <w:sz w:val="24"/>
          <w:szCs w:val="32"/>
          <w:lang w:eastAsia="zh-CN"/>
        </w:rPr>
      </w:pPr>
    </w:p>
    <w:p w14:paraId="233F704F">
      <w:pPr>
        <w:snapToGrid w:val="0"/>
        <w:spacing w:line="360" w:lineRule="auto"/>
        <w:ind w:firstLine="664" w:firstLineChars="277"/>
        <w:rPr>
          <w:rFonts w:cs="Times New Roman"/>
          <w:sz w:val="24"/>
          <w:szCs w:val="32"/>
        </w:rPr>
      </w:pPr>
    </w:p>
    <w:p w14:paraId="7DCC929E">
      <w:pPr>
        <w:pStyle w:val="3"/>
        <w:jc w:val="center"/>
        <w:rPr>
          <w:rStyle w:val="31"/>
          <w:b/>
          <w:bCs/>
          <w:sz w:val="28"/>
          <w:szCs w:val="28"/>
        </w:rPr>
      </w:pPr>
      <w:r>
        <w:rPr>
          <w:sz w:val="24"/>
          <w:szCs w:val="24"/>
        </w:rPr>
        <w:br w:type="page"/>
      </w:r>
      <w:bookmarkStart w:id="27" w:name="_Toc3197"/>
      <w:bookmarkStart w:id="28" w:name="_Toc21564"/>
      <w:bookmarkStart w:id="29" w:name="_Toc17876"/>
      <w:r>
        <w:rPr>
          <w:sz w:val="28"/>
        </w:rPr>
        <w:t xml:space="preserve">3  </w:t>
      </w:r>
      <w:r>
        <w:rPr>
          <w:rFonts w:hint="eastAsia"/>
          <w:sz w:val="28"/>
        </w:rPr>
        <w:t>基本规定</w:t>
      </w:r>
      <w:bookmarkEnd w:id="27"/>
      <w:bookmarkEnd w:id="28"/>
    </w:p>
    <w:bookmarkEnd w:id="29"/>
    <w:p w14:paraId="1AC468AE">
      <w:pPr>
        <w:pStyle w:val="2"/>
        <w:spacing w:after="0" w:line="360" w:lineRule="auto"/>
        <w:rPr>
          <w:rFonts w:ascii="宋体" w:hAnsi="宋体" w:cs="宋体"/>
          <w:color w:val="FF0000"/>
          <w:sz w:val="24"/>
        </w:rPr>
      </w:pPr>
      <w:r>
        <w:rPr>
          <w:rFonts w:hint="eastAsia"/>
          <w:b/>
          <w:bCs/>
          <w:sz w:val="24"/>
        </w:rPr>
        <w:t>3.0.1</w:t>
      </w:r>
      <w:r>
        <w:rPr>
          <w:rFonts w:hint="eastAsia" w:ascii="宋体" w:hAnsi="宋体" w:cs="宋体"/>
          <w:color w:val="000000"/>
          <w:sz w:val="24"/>
        </w:rPr>
        <w:t xml:space="preserve">  预制</w:t>
      </w:r>
      <w:r>
        <w:rPr>
          <w:rFonts w:hint="eastAsia"/>
          <w:bCs/>
          <w:sz w:val="24"/>
        </w:rPr>
        <w:t>集成保温外墙板</w:t>
      </w:r>
      <w:r>
        <w:rPr>
          <w:rFonts w:hint="eastAsia" w:ascii="宋体" w:hAnsi="宋体" w:cs="宋体"/>
          <w:sz w:val="24"/>
        </w:rPr>
        <w:t>的构造应根据建筑、结构、装饰、制作工艺、运输、施工安装以及维护等多方面的因素综合确定，其尺寸应与装配式建筑模数相协调。</w:t>
      </w:r>
    </w:p>
    <w:p w14:paraId="16B00E28">
      <w:pPr>
        <w:pStyle w:val="2"/>
        <w:spacing w:after="0" w:line="360" w:lineRule="auto"/>
        <w:rPr>
          <w:rFonts w:ascii="宋体" w:hAnsi="宋体" w:cs="宋体"/>
          <w:color w:val="FF0000"/>
          <w:sz w:val="24"/>
        </w:rPr>
      </w:pPr>
      <w:r>
        <w:rPr>
          <w:rFonts w:hint="eastAsia"/>
          <w:b/>
          <w:bCs/>
          <w:sz w:val="24"/>
        </w:rPr>
        <w:t>3.0.2</w:t>
      </w:r>
      <w:r>
        <w:rPr>
          <w:rFonts w:hint="eastAsia" w:ascii="宋体" w:hAnsi="宋体" w:cs="宋体"/>
          <w:color w:val="000000"/>
          <w:sz w:val="24"/>
        </w:rPr>
        <w:t xml:space="preserve">  预制</w:t>
      </w:r>
      <w:r>
        <w:rPr>
          <w:rFonts w:hint="eastAsia"/>
          <w:bCs/>
          <w:sz w:val="24"/>
        </w:rPr>
        <w:t>集成保温外墙板</w:t>
      </w:r>
      <w:r>
        <w:rPr>
          <w:rFonts w:hint="eastAsia" w:ascii="宋体" w:hAnsi="宋体" w:cs="宋体"/>
          <w:sz w:val="24"/>
        </w:rPr>
        <w:t>采用结构、保温</w:t>
      </w:r>
      <w:r>
        <w:rPr>
          <w:rFonts w:hint="eastAsia" w:ascii="宋体" w:hAnsi="宋体" w:cs="宋体"/>
          <w:strike w:val="0"/>
          <w:dstrike w:val="0"/>
          <w:sz w:val="24"/>
        </w:rPr>
        <w:t>与装饰</w:t>
      </w:r>
      <w:r>
        <w:rPr>
          <w:rFonts w:hint="eastAsia" w:ascii="宋体" w:hAnsi="宋体" w:cs="宋体"/>
          <w:sz w:val="24"/>
        </w:rPr>
        <w:t>一体化设计，并与相关设备及管线协调。</w:t>
      </w:r>
    </w:p>
    <w:p w14:paraId="5D2A1385">
      <w:pPr>
        <w:pStyle w:val="2"/>
        <w:spacing w:after="0" w:line="360" w:lineRule="auto"/>
        <w:rPr>
          <w:rFonts w:hint="eastAsia" w:ascii="宋体" w:hAnsi="宋体" w:eastAsia="宋体" w:cs="宋体"/>
          <w:sz w:val="24"/>
          <w:lang w:eastAsia="zh-CN"/>
        </w:rPr>
      </w:pPr>
      <w:r>
        <w:rPr>
          <w:rFonts w:hint="eastAsia"/>
          <w:b/>
          <w:bCs/>
          <w:sz w:val="24"/>
        </w:rPr>
        <w:t>3.0.3</w:t>
      </w:r>
      <w:r>
        <w:rPr>
          <w:rFonts w:hint="eastAsia" w:ascii="宋体" w:hAnsi="宋体" w:cs="宋体"/>
          <w:color w:val="000000"/>
          <w:sz w:val="24"/>
        </w:rPr>
        <w:t xml:space="preserve">  预制</w:t>
      </w:r>
      <w:r>
        <w:rPr>
          <w:rFonts w:hint="eastAsia"/>
          <w:bCs/>
          <w:sz w:val="24"/>
        </w:rPr>
        <w:t>集成保温外墙板</w:t>
      </w:r>
      <w:r>
        <w:rPr>
          <w:rFonts w:hint="eastAsia" w:ascii="宋体" w:hAnsi="宋体" w:cs="宋体"/>
          <w:sz w:val="24"/>
        </w:rPr>
        <w:t>的设计、</w:t>
      </w:r>
      <w:r>
        <w:rPr>
          <w:rFonts w:hint="eastAsia" w:ascii="宋体" w:hAnsi="宋体" w:cs="宋体"/>
          <w:sz w:val="24"/>
          <w:lang w:eastAsia="zh-CN"/>
        </w:rPr>
        <w:t>生产</w:t>
      </w:r>
      <w:r>
        <w:rPr>
          <w:rFonts w:hint="eastAsia" w:ascii="宋体" w:hAnsi="宋体" w:cs="宋体"/>
          <w:sz w:val="24"/>
        </w:rPr>
        <w:t>、</w:t>
      </w:r>
      <w:r>
        <w:rPr>
          <w:rFonts w:hint="eastAsia" w:ascii="宋体" w:hAnsi="宋体" w:cs="宋体"/>
          <w:color w:val="000000" w:themeColor="text1"/>
          <w:sz w:val="24"/>
          <w14:textFill>
            <w14:solidFill>
              <w14:schemeClr w14:val="tx1"/>
            </w14:solidFill>
          </w14:textFill>
        </w:rPr>
        <w:t>安装等环节宜采用建筑信息模型技术（BIM）</w:t>
      </w:r>
      <w:r>
        <w:rPr>
          <w:rFonts w:hint="eastAsia" w:ascii="宋体" w:hAnsi="宋体" w:cs="宋体"/>
          <w:color w:val="000000" w:themeColor="text1"/>
          <w:sz w:val="24"/>
          <w:highlight w:val="none"/>
          <w:lang w:eastAsia="zh-CN"/>
          <w14:textFill>
            <w14:solidFill>
              <w14:schemeClr w14:val="tx1"/>
            </w14:solidFill>
          </w14:textFill>
        </w:rPr>
        <w:t>，模型的深度和要求宜根据项目特点和甲方要求确定</w:t>
      </w:r>
      <w:r>
        <w:rPr>
          <w:rFonts w:hint="eastAsia" w:ascii="宋体" w:hAnsi="宋体" w:cs="宋体"/>
          <w:color w:val="000000" w:themeColor="text1"/>
          <w:sz w:val="24"/>
          <w14:textFill>
            <w14:solidFill>
              <w14:schemeClr w14:val="tx1"/>
            </w14:solidFill>
          </w14:textFill>
        </w:rPr>
        <w:t>。预制构件信息模型宜在设计、生产、安装、验收和运维等各阶段建立统一协同工作平台，采用统一编码规则和数据格式，实现信息模型全过程应用。预制构件建筑信息模型的存储和维护宜满足全过程中不同软件的数据交互要求。</w:t>
      </w:r>
    </w:p>
    <w:p w14:paraId="362AEE0C">
      <w:pPr>
        <w:pStyle w:val="2"/>
        <w:spacing w:after="0" w:line="360" w:lineRule="auto"/>
        <w:rPr>
          <w:rFonts w:ascii="宋体" w:hAnsi="宋体" w:cs="宋体"/>
          <w:color w:val="2414F4"/>
          <w:sz w:val="24"/>
          <w:u w:val="single"/>
        </w:rPr>
      </w:pPr>
      <w:r>
        <w:rPr>
          <w:rFonts w:hint="eastAsia" w:ascii="宋体" w:hAnsi="宋体" w:cs="宋体"/>
          <w:color w:val="2414F4"/>
          <w:sz w:val="24"/>
          <w:u w:val="single"/>
        </w:rPr>
        <w:t>【条文说明】预制构件建筑信息模型设计，主要目的是实现设计、生产、施工的协同工作和信息共享，减少“错、漏、碰、缺”等错误的发生，提高预制构件质量，实现设计、生产、施工、运维一体化。各实施阶段应制定统一的规则要求，实现数据的有效共享，在统一的平台下进行相互协同工作。预制构件建筑信息模型涉及建筑、结构、机电、施工等各专业，及设计、生产、施工全流程，故模型需满足各方要求，预制构件信息模型应能够实现数据在各专业软件间的有效传输。</w:t>
      </w:r>
    </w:p>
    <w:p w14:paraId="5AF329B3">
      <w:pPr>
        <w:pStyle w:val="2"/>
        <w:spacing w:after="0" w:line="360" w:lineRule="auto"/>
        <w:rPr>
          <w:rFonts w:hint="eastAsia" w:ascii="宋体" w:hAnsi="宋体" w:eastAsia="宋体" w:cs="宋体"/>
          <w:color w:val="000000" w:themeColor="text1"/>
          <w:sz w:val="24"/>
          <w:lang w:eastAsia="zh-CN"/>
          <w14:textFill>
            <w14:solidFill>
              <w14:schemeClr w14:val="tx1"/>
            </w14:solidFill>
          </w14:textFill>
        </w:rPr>
      </w:pPr>
      <w:r>
        <w:rPr>
          <w:rFonts w:hint="eastAsia"/>
          <w:b/>
          <w:bCs/>
          <w:sz w:val="24"/>
        </w:rPr>
        <w:t>3.0.4</w:t>
      </w:r>
      <w:r>
        <w:rPr>
          <w:rFonts w:hint="eastAsia" w:ascii="宋体" w:hAnsi="宋体" w:cs="宋体"/>
          <w:color w:val="000000"/>
          <w:sz w:val="24"/>
        </w:rPr>
        <w:t xml:space="preserve">  预制</w:t>
      </w:r>
      <w:r>
        <w:rPr>
          <w:rFonts w:hint="eastAsia"/>
          <w:bCs/>
          <w:sz w:val="24"/>
        </w:rPr>
        <w:t>集成保温外墙板</w:t>
      </w:r>
      <w:r>
        <w:rPr>
          <w:rFonts w:hint="eastAsia" w:ascii="宋体" w:hAnsi="宋体" w:cs="宋体"/>
          <w:sz w:val="24"/>
        </w:rPr>
        <w:t>的设计使用年限应与主体结构相一致，防水</w:t>
      </w:r>
      <w:r>
        <w:rPr>
          <w:rFonts w:hint="eastAsia" w:ascii="宋体" w:hAnsi="宋体" w:cs="宋体"/>
          <w:sz w:val="24"/>
          <w:lang w:eastAsia="zh-CN"/>
        </w:rPr>
        <w:t>材料</w:t>
      </w:r>
      <w:r>
        <w:rPr>
          <w:rFonts w:hint="eastAsia" w:ascii="宋体" w:hAnsi="宋体" w:cs="宋体"/>
          <w:sz w:val="24"/>
        </w:rPr>
        <w:t>的耐久性应满足</w:t>
      </w:r>
      <w:r>
        <w:rPr>
          <w:rFonts w:hint="eastAsia" w:ascii="宋体" w:hAnsi="宋体" w:cs="宋体"/>
          <w:sz w:val="24"/>
          <w:lang w:eastAsia="zh-CN"/>
        </w:rPr>
        <w:t>现行国家标准</w:t>
      </w:r>
      <w:r>
        <w:rPr>
          <w:rFonts w:hint="eastAsia" w:ascii="宋体" w:hAnsi="宋体" w:cs="宋体"/>
          <w:color w:val="000000" w:themeColor="text1"/>
          <w:sz w:val="24"/>
          <w14:textFill>
            <w14:solidFill>
              <w14:schemeClr w14:val="tx1"/>
            </w14:solidFill>
          </w14:textFill>
        </w:rPr>
        <w:t>《建筑与市政工程防水通用规范》GB 55030</w:t>
      </w:r>
      <w:r>
        <w:rPr>
          <w:rFonts w:hint="eastAsia" w:ascii="宋体" w:hAnsi="宋体" w:cs="宋体"/>
          <w:color w:val="000000" w:themeColor="text1"/>
          <w:sz w:val="24"/>
          <w:lang w:eastAsia="zh-CN"/>
          <w14:textFill>
            <w14:solidFill>
              <w14:schemeClr w14:val="tx1"/>
            </w14:solidFill>
          </w14:textFill>
        </w:rPr>
        <w:t>的要求，饰面材料的耐久性应满足现行国家标准《装配式混凝土建筑技术标准》GB/T 51231的要求。</w:t>
      </w:r>
    </w:p>
    <w:p w14:paraId="1D545E7D">
      <w:pPr>
        <w:pStyle w:val="42"/>
        <w:outlineLvl w:val="9"/>
        <w:rPr>
          <w:rFonts w:cs="宋体"/>
        </w:rPr>
      </w:pPr>
      <w:r>
        <w:rPr>
          <w:rFonts w:hint="eastAsia" w:ascii="Times New Roman" w:hAnsi="Times New Roman"/>
          <w:b/>
          <w:bCs/>
          <w:szCs w:val="24"/>
        </w:rPr>
        <w:t>3.0.5</w:t>
      </w:r>
      <w:r>
        <w:rPr>
          <w:rFonts w:hint="eastAsia" w:cs="宋体"/>
          <w:color w:val="000000"/>
          <w:szCs w:val="24"/>
        </w:rPr>
        <w:t xml:space="preserve">  </w:t>
      </w:r>
      <w:r>
        <w:rPr>
          <w:rFonts w:hint="eastAsia" w:cs="宋体"/>
          <w:szCs w:val="24"/>
        </w:rPr>
        <w:t>锚固件的耐久性应满足设计</w:t>
      </w:r>
      <w:r>
        <w:rPr>
          <w:rFonts w:hint="eastAsia" w:cs="宋体"/>
          <w:color w:val="000000" w:themeColor="text1"/>
          <w:szCs w:val="24"/>
          <w:lang w:eastAsia="zh-CN"/>
          <w14:textFill>
            <w14:solidFill>
              <w14:schemeClr w14:val="tx1"/>
            </w14:solidFill>
          </w14:textFill>
        </w:rPr>
        <w:t>使用</w:t>
      </w:r>
      <w:r>
        <w:rPr>
          <w:rFonts w:hint="eastAsia" w:cs="宋体"/>
          <w:color w:val="000000" w:themeColor="text1"/>
          <w:szCs w:val="24"/>
          <w14:textFill>
            <w14:solidFill>
              <w14:schemeClr w14:val="tx1"/>
            </w14:solidFill>
          </w14:textFill>
        </w:rPr>
        <w:t>年限的要求</w:t>
      </w:r>
      <w:r>
        <w:rPr>
          <w:rFonts w:hint="eastAsia" w:cs="宋体"/>
          <w:color w:val="000000" w:themeColor="text1"/>
          <w14:textFill>
            <w14:solidFill>
              <w14:schemeClr w14:val="tx1"/>
            </w14:solidFill>
          </w14:textFill>
        </w:rPr>
        <w:t>。接缝密封材料应在</w:t>
      </w:r>
      <w:r>
        <w:rPr>
          <w:rFonts w:hint="eastAsia" w:cs="宋体"/>
          <w:color w:val="000000" w:themeColor="text1"/>
          <w:lang w:eastAsia="zh-CN"/>
          <w14:textFill>
            <w14:solidFill>
              <w14:schemeClr w14:val="tx1"/>
            </w14:solidFill>
          </w14:textFill>
        </w:rPr>
        <w:t>使用</w:t>
      </w:r>
      <w:r>
        <w:rPr>
          <w:rFonts w:hint="eastAsia" w:cs="宋体"/>
          <w:color w:val="000000" w:themeColor="text1"/>
          <w14:textFill>
            <w14:solidFill>
              <w14:schemeClr w14:val="tx1"/>
            </w14:solidFill>
          </w14:textFill>
        </w:rPr>
        <w:t>年限</w:t>
      </w:r>
      <w:r>
        <w:rPr>
          <w:rFonts w:hint="eastAsia" w:cs="宋体"/>
        </w:rPr>
        <w:t>内定期检查、维护或更新，维护或更新周期应与其使用寿命相匹配。</w:t>
      </w:r>
    </w:p>
    <w:p w14:paraId="7EB55877"/>
    <w:p w14:paraId="3C05BEC5">
      <w:pPr>
        <w:spacing w:line="360" w:lineRule="auto"/>
        <w:ind w:firstLine="480" w:firstLineChars="200"/>
        <w:rPr>
          <w:sz w:val="24"/>
        </w:rPr>
      </w:pPr>
    </w:p>
    <w:p w14:paraId="773EC42F">
      <w:pPr>
        <w:spacing w:line="360" w:lineRule="auto"/>
        <w:ind w:firstLine="480" w:firstLineChars="200"/>
        <w:rPr>
          <w:sz w:val="24"/>
        </w:rPr>
      </w:pPr>
    </w:p>
    <w:p w14:paraId="22B83D40">
      <w:pPr>
        <w:spacing w:line="360" w:lineRule="auto"/>
        <w:ind w:firstLine="480" w:firstLineChars="200"/>
        <w:rPr>
          <w:sz w:val="24"/>
        </w:rPr>
      </w:pPr>
    </w:p>
    <w:p w14:paraId="106BE0AE">
      <w:pPr>
        <w:spacing w:line="360" w:lineRule="auto"/>
        <w:ind w:firstLine="480" w:firstLineChars="200"/>
        <w:rPr>
          <w:sz w:val="24"/>
        </w:rPr>
      </w:pPr>
    </w:p>
    <w:p w14:paraId="6BFC24FB">
      <w:pPr>
        <w:pStyle w:val="3"/>
        <w:jc w:val="center"/>
        <w:rPr>
          <w:rStyle w:val="31"/>
          <w:b w:val="0"/>
          <w:bCs w:val="0"/>
          <w:sz w:val="28"/>
          <w:szCs w:val="28"/>
        </w:rPr>
      </w:pPr>
      <w:bookmarkStart w:id="30" w:name="_Toc8892"/>
      <w:bookmarkStart w:id="31" w:name="_Toc20271"/>
      <w:r>
        <w:rPr>
          <w:sz w:val="28"/>
        </w:rPr>
        <w:t>4</w:t>
      </w:r>
      <w:r>
        <w:rPr>
          <w:rFonts w:hint="eastAsia"/>
          <w:sz w:val="28"/>
          <w:lang w:val="en-US" w:eastAsia="zh-CN"/>
        </w:rPr>
        <w:t xml:space="preserve"> </w:t>
      </w:r>
      <w:r>
        <w:rPr>
          <w:rFonts w:hint="eastAsia"/>
          <w:sz w:val="28"/>
        </w:rPr>
        <w:t>材料</w:t>
      </w:r>
      <w:bookmarkEnd w:id="30"/>
      <w:bookmarkEnd w:id="31"/>
    </w:p>
    <w:p w14:paraId="123FF8B7">
      <w:pPr>
        <w:pStyle w:val="4"/>
      </w:pPr>
      <w:bookmarkStart w:id="32" w:name="_Toc18150"/>
      <w:bookmarkStart w:id="33" w:name="_Toc1519"/>
      <w:bookmarkStart w:id="34" w:name="_Toc10056"/>
      <w:r>
        <w:t>4.1</w:t>
      </w:r>
      <w:bookmarkEnd w:id="32"/>
      <w:r>
        <w:rPr>
          <w:rFonts w:hint="eastAsia"/>
          <w:lang w:val="en-US" w:eastAsia="zh-CN"/>
        </w:rPr>
        <w:t xml:space="preserve"> </w:t>
      </w:r>
      <w:r>
        <w:rPr>
          <w:rFonts w:hint="eastAsia"/>
        </w:rPr>
        <w:t>混凝土、钢筋和钢材</w:t>
      </w:r>
      <w:bookmarkEnd w:id="33"/>
      <w:bookmarkEnd w:id="34"/>
    </w:p>
    <w:p w14:paraId="25A1B647">
      <w:pPr>
        <w:pStyle w:val="2"/>
        <w:spacing w:after="0" w:line="360" w:lineRule="auto"/>
        <w:rPr>
          <w:rFonts w:ascii="宋体" w:hAnsi="宋体" w:cs="宋体"/>
          <w:sz w:val="24"/>
        </w:rPr>
      </w:pPr>
      <w:r>
        <w:rPr>
          <w:rFonts w:hint="eastAsia"/>
          <w:b/>
          <w:bCs/>
          <w:sz w:val="24"/>
        </w:rPr>
        <w:t>4.1.1</w:t>
      </w:r>
      <w:r>
        <w:rPr>
          <w:rFonts w:hint="eastAsia" w:ascii="宋体" w:hAnsi="宋体" w:cs="宋体"/>
          <w:sz w:val="24"/>
        </w:rPr>
        <w:t xml:space="preserve"> 混凝土、钢筋和钢材的力学性能指标和耐久性要求应符合现行国家标准《混凝土结构设计规范》GB 50010和《钢结构设计标准》GB 50017的有关规定。</w:t>
      </w:r>
    </w:p>
    <w:p w14:paraId="42FA4AAC">
      <w:pPr>
        <w:pStyle w:val="2"/>
        <w:spacing w:after="0" w:line="360" w:lineRule="auto"/>
        <w:rPr>
          <w:rFonts w:ascii="宋体" w:hAnsi="宋体" w:cs="宋体"/>
          <w:color w:val="000000" w:themeColor="text1"/>
          <w:sz w:val="24"/>
          <w14:textFill>
            <w14:solidFill>
              <w14:schemeClr w14:val="tx1"/>
            </w14:solidFill>
          </w14:textFill>
        </w:rPr>
      </w:pPr>
      <w:r>
        <w:rPr>
          <w:rFonts w:hint="eastAsia"/>
          <w:b/>
          <w:bCs/>
          <w:sz w:val="24"/>
        </w:rPr>
        <w:t>4.1.2</w:t>
      </w:r>
      <w:r>
        <w:rPr>
          <w:rFonts w:hint="eastAsia" w:ascii="宋体" w:hAnsi="宋体" w:cs="宋体"/>
          <w:sz w:val="24"/>
        </w:rPr>
        <w:t xml:space="preserve"> 预制构件的混凝土强度等级不应低于C30，与建筑物主体结构现浇连接部分的混凝土强度等级不应低于预制墙体的混凝土强度等级</w:t>
      </w:r>
      <w:r>
        <w:rPr>
          <w:rFonts w:hint="eastAsia" w:ascii="宋体" w:hAnsi="宋体" w:cs="宋体"/>
          <w:color w:val="000000" w:themeColor="text1"/>
          <w:sz w:val="24"/>
          <w:lang w:eastAsia="zh-CN"/>
          <w14:textFill>
            <w14:solidFill>
              <w14:schemeClr w14:val="tx1"/>
            </w14:solidFill>
          </w14:textFill>
        </w:rPr>
        <w:t>，应满足结构要求的混凝土强度</w:t>
      </w:r>
      <w:r>
        <w:rPr>
          <w:rFonts w:hint="eastAsia" w:ascii="宋体" w:hAnsi="宋体" w:cs="宋体"/>
          <w:color w:val="000000" w:themeColor="text1"/>
          <w:sz w:val="24"/>
          <w14:textFill>
            <w14:solidFill>
              <w14:schemeClr w14:val="tx1"/>
            </w14:solidFill>
          </w14:textFill>
        </w:rPr>
        <w:t>。</w:t>
      </w:r>
    </w:p>
    <w:p w14:paraId="14209BCF">
      <w:pPr>
        <w:pStyle w:val="2"/>
        <w:spacing w:after="0" w:line="360" w:lineRule="auto"/>
        <w:rPr>
          <w:rFonts w:ascii="宋体" w:hAnsi="宋体" w:cs="宋体"/>
          <w:sz w:val="24"/>
        </w:rPr>
      </w:pPr>
      <w:r>
        <w:rPr>
          <w:rFonts w:hint="eastAsia"/>
          <w:b/>
          <w:bCs/>
          <w:color w:val="000000" w:themeColor="text1"/>
          <w:sz w:val="24"/>
          <w14:textFill>
            <w14:solidFill>
              <w14:schemeClr w14:val="tx1"/>
            </w14:solidFill>
          </w14:textFill>
        </w:rPr>
        <w:t>4.1.3</w:t>
      </w:r>
      <w:r>
        <w:rPr>
          <w:rFonts w:hint="eastAsia" w:ascii="宋体" w:hAnsi="宋体" w:cs="宋体"/>
          <w:color w:val="000000" w:themeColor="text1"/>
          <w:sz w:val="24"/>
          <w14:textFill>
            <w14:solidFill>
              <w14:schemeClr w14:val="tx1"/>
            </w14:solidFill>
          </w14:textFill>
        </w:rPr>
        <w:t xml:space="preserve"> </w:t>
      </w:r>
      <w:r>
        <w:rPr>
          <w:rFonts w:hint="eastAsia" w:ascii="宋体" w:hAnsi="宋体" w:cs="宋体"/>
          <w:color w:val="000000" w:themeColor="text1"/>
          <w:sz w:val="24"/>
          <w:lang w:eastAsia="zh-CN"/>
          <w14:textFill>
            <w14:solidFill>
              <w14:schemeClr w14:val="tx1"/>
            </w14:solidFill>
          </w14:textFill>
        </w:rPr>
        <w:t>预制构件宜采用标准化的钢筋网，钢筋网宜采用自动化机械设备加工，并应符合现行国家标准《混凝土结构成型钢筋应用技术规程》</w:t>
      </w:r>
      <w:r>
        <w:rPr>
          <w:rFonts w:hint="eastAsia" w:ascii="宋体" w:hAnsi="宋体" w:cs="宋体"/>
          <w:color w:val="000000" w:themeColor="text1"/>
          <w:sz w:val="24"/>
          <w:lang w:val="en-US" w:eastAsia="zh-CN"/>
          <w14:textFill>
            <w14:solidFill>
              <w14:schemeClr w14:val="tx1"/>
            </w14:solidFill>
          </w14:textFill>
        </w:rPr>
        <w:t>JGJ 366的有关规定</w:t>
      </w:r>
      <w:r>
        <w:rPr>
          <w:rFonts w:hint="eastAsia" w:ascii="宋体" w:hAnsi="宋体" w:cs="宋体"/>
          <w:color w:val="000000" w:themeColor="text1"/>
          <w:sz w:val="24"/>
          <w14:textFill>
            <w14:solidFill>
              <w14:schemeClr w14:val="tx1"/>
            </w14:solidFill>
          </w14:textFill>
        </w:rPr>
        <w:t>。</w:t>
      </w:r>
    </w:p>
    <w:p w14:paraId="354A0305">
      <w:pPr>
        <w:pStyle w:val="2"/>
        <w:spacing w:after="0" w:line="360" w:lineRule="auto"/>
        <w:rPr>
          <w:rFonts w:ascii="宋体" w:hAnsi="宋体" w:cs="宋体"/>
          <w:sz w:val="24"/>
        </w:rPr>
      </w:pPr>
      <w:r>
        <w:rPr>
          <w:rFonts w:hint="eastAsia"/>
          <w:b/>
          <w:bCs/>
          <w:sz w:val="24"/>
        </w:rPr>
        <w:t>4.1.4</w:t>
      </w:r>
      <w:r>
        <w:rPr>
          <w:rFonts w:hint="eastAsia" w:ascii="宋体" w:hAnsi="宋体" w:cs="宋体"/>
          <w:sz w:val="24"/>
        </w:rPr>
        <w:t xml:space="preserve"> 吊环应采用未经冷加工的HPB300级钢筋或Q235B圆钢制作。吊装用内埋式螺母或吊杆的材料应符合现行国家相关标准及产品应用技术文件的规定。</w:t>
      </w:r>
    </w:p>
    <w:p w14:paraId="03B52AAC">
      <w:pPr>
        <w:pStyle w:val="2"/>
        <w:spacing w:after="0" w:line="360" w:lineRule="auto"/>
        <w:rPr>
          <w:rFonts w:ascii="宋体" w:hAnsi="宋体" w:cs="宋体"/>
          <w:sz w:val="24"/>
        </w:rPr>
      </w:pPr>
      <w:r>
        <w:rPr>
          <w:rFonts w:hint="eastAsia"/>
          <w:b/>
          <w:bCs/>
          <w:sz w:val="24"/>
        </w:rPr>
        <w:t>4.1.5</w:t>
      </w:r>
      <w:r>
        <w:rPr>
          <w:rFonts w:hint="eastAsia" w:ascii="宋体" w:hAnsi="宋体" w:cs="宋体"/>
          <w:sz w:val="24"/>
        </w:rPr>
        <w:t xml:space="preserve"> 成品预埋件的性能应符合现行国家标准《混凝土结构设计规范》GB 50010和《钢结构设计标准》GB 50017的有关规定。</w:t>
      </w:r>
    </w:p>
    <w:p w14:paraId="60A43A27">
      <w:pPr>
        <w:pStyle w:val="2"/>
        <w:spacing w:after="0" w:line="360" w:lineRule="auto"/>
        <w:rPr>
          <w:rFonts w:ascii="宋体" w:hAnsi="宋体" w:cs="宋体"/>
          <w:sz w:val="24"/>
        </w:rPr>
      </w:pPr>
      <w:r>
        <w:rPr>
          <w:rFonts w:hint="eastAsia"/>
          <w:b/>
          <w:bCs/>
          <w:sz w:val="24"/>
        </w:rPr>
        <w:t>4.1.6</w:t>
      </w:r>
      <w:r>
        <w:rPr>
          <w:rFonts w:hint="eastAsia" w:ascii="宋体" w:hAnsi="宋体" w:cs="宋体"/>
          <w:sz w:val="24"/>
        </w:rPr>
        <w:t xml:space="preserve"> 不锈钢钢材的牌号、化学成分应符合现行国家标准《不锈钢和耐热钢牌号及化学成分》GB/T20878的有关规定。</w:t>
      </w:r>
    </w:p>
    <w:p w14:paraId="43C1434B">
      <w:pPr>
        <w:pStyle w:val="4"/>
      </w:pPr>
      <w:bookmarkStart w:id="35" w:name="_Toc12512"/>
      <w:bookmarkStart w:id="36" w:name="_Toc25776"/>
      <w:bookmarkStart w:id="37" w:name="_Toc22948"/>
      <w:r>
        <w:t>4.2</w:t>
      </w:r>
      <w:bookmarkEnd w:id="35"/>
      <w:r>
        <w:rPr>
          <w:rFonts w:hint="eastAsia"/>
          <w:lang w:val="en-US" w:eastAsia="zh-CN"/>
        </w:rPr>
        <w:t xml:space="preserve"> </w:t>
      </w:r>
      <w:r>
        <w:rPr>
          <w:rFonts w:hint="eastAsia"/>
        </w:rPr>
        <w:t>保温材料</w:t>
      </w:r>
      <w:bookmarkEnd w:id="36"/>
      <w:bookmarkEnd w:id="37"/>
    </w:p>
    <w:p w14:paraId="2A87CFAD">
      <w:pPr>
        <w:spacing w:line="360" w:lineRule="auto"/>
        <w:rPr>
          <w:rFonts w:ascii="宋体" w:hAnsi="宋体" w:cs="宋体"/>
          <w:sz w:val="24"/>
        </w:rPr>
      </w:pPr>
      <w:r>
        <w:rPr>
          <w:rFonts w:hint="eastAsia"/>
          <w:b/>
          <w:bCs/>
          <w:sz w:val="24"/>
        </w:rPr>
        <w:t>4.2.1</w:t>
      </w:r>
      <w:r>
        <w:rPr>
          <w:rFonts w:hint="eastAsia" w:ascii="宋体" w:hAnsi="宋体" w:cs="宋体"/>
          <w:sz w:val="24"/>
        </w:rPr>
        <w:t xml:space="preserve"> 保温材料采用燃烧性能</w:t>
      </w:r>
      <w:r>
        <w:rPr>
          <w:rFonts w:hint="eastAsia" w:ascii="宋体" w:hAnsi="宋体" w:cs="宋体"/>
          <w:sz w:val="24"/>
          <w:lang w:eastAsia="zh-CN"/>
        </w:rPr>
        <w:t>等级为</w:t>
      </w:r>
      <w:r>
        <w:rPr>
          <w:rFonts w:hint="eastAsia" w:ascii="宋体" w:hAnsi="宋体" w:cs="宋体"/>
          <w:sz w:val="24"/>
        </w:rPr>
        <w:t>A级材料，其性能指标应符合表4.2.1的规定。</w:t>
      </w:r>
    </w:p>
    <w:p w14:paraId="0A0BE1F8">
      <w:pPr>
        <w:pStyle w:val="61"/>
        <w:spacing w:before="156"/>
      </w:pPr>
      <w:r>
        <w:t>表4.2.</w:t>
      </w:r>
      <w:r>
        <w:rPr>
          <w:rFonts w:hint="eastAsia"/>
        </w:rPr>
        <w:t>1</w:t>
      </w:r>
      <w:r>
        <w:t xml:space="preserve"> 保温</w:t>
      </w:r>
      <w:r>
        <w:rPr>
          <w:rFonts w:hint="eastAsia"/>
        </w:rPr>
        <w:t>板</w:t>
      </w:r>
      <w:r>
        <w:t>性能指标</w:t>
      </w:r>
    </w:p>
    <w:tbl>
      <w:tblPr>
        <w:tblStyle w:val="23"/>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912"/>
        <w:gridCol w:w="1691"/>
        <w:gridCol w:w="3919"/>
      </w:tblGrid>
      <w:tr w14:paraId="28A96B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1708" w:type="pct"/>
            <w:tcBorders>
              <w:bottom w:val="single" w:color="auto" w:sz="12" w:space="0"/>
            </w:tcBorders>
            <w:shd w:val="clear" w:color="auto" w:fill="auto"/>
            <w:noWrap/>
            <w:vAlign w:val="center"/>
          </w:tcPr>
          <w:p w14:paraId="24955DD5">
            <w:pPr>
              <w:pStyle w:val="60"/>
            </w:pPr>
            <w:r>
              <w:t>项目</w:t>
            </w:r>
          </w:p>
        </w:tc>
        <w:tc>
          <w:tcPr>
            <w:tcW w:w="992" w:type="pct"/>
            <w:tcBorders>
              <w:bottom w:val="single" w:color="auto" w:sz="12" w:space="0"/>
            </w:tcBorders>
            <w:shd w:val="clear" w:color="auto" w:fill="auto"/>
            <w:noWrap/>
            <w:vAlign w:val="center"/>
          </w:tcPr>
          <w:p w14:paraId="0D75F010">
            <w:pPr>
              <w:pStyle w:val="60"/>
            </w:pPr>
            <w:r>
              <w:t>性能指标</w:t>
            </w:r>
          </w:p>
        </w:tc>
        <w:tc>
          <w:tcPr>
            <w:tcW w:w="2299" w:type="pct"/>
            <w:tcBorders>
              <w:bottom w:val="single" w:color="auto" w:sz="12" w:space="0"/>
            </w:tcBorders>
            <w:shd w:val="clear" w:color="auto" w:fill="auto"/>
            <w:noWrap/>
            <w:vAlign w:val="center"/>
          </w:tcPr>
          <w:p w14:paraId="518BB7AD">
            <w:pPr>
              <w:pStyle w:val="60"/>
            </w:pPr>
            <w:r>
              <w:rPr>
                <w:rFonts w:hint="eastAsia"/>
              </w:rPr>
              <w:t>试验方法</w:t>
            </w:r>
          </w:p>
        </w:tc>
      </w:tr>
      <w:tr w14:paraId="377362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1708" w:type="pct"/>
            <w:tcBorders>
              <w:top w:val="single" w:color="auto" w:sz="12" w:space="0"/>
            </w:tcBorders>
            <w:shd w:val="clear" w:color="auto" w:fill="auto"/>
            <w:noWrap/>
            <w:vAlign w:val="center"/>
          </w:tcPr>
          <w:p w14:paraId="232FE3D1">
            <w:pPr>
              <w:pStyle w:val="60"/>
            </w:pPr>
            <w:r>
              <w:t>干密度</w:t>
            </w:r>
            <w:r>
              <w:rPr>
                <w:rFonts w:hint="eastAsia"/>
                <w:lang w:eastAsia="zh-CN"/>
              </w:rPr>
              <w:t>（</w:t>
            </w:r>
            <w:r>
              <w:t>kg/m</w:t>
            </w:r>
            <w:r>
              <w:rPr>
                <w:vertAlign w:val="superscript"/>
              </w:rPr>
              <w:t>3</w:t>
            </w:r>
            <w:r>
              <w:rPr>
                <w:rFonts w:hint="eastAsia"/>
                <w:lang w:eastAsia="zh-CN"/>
              </w:rPr>
              <w:t>）</w:t>
            </w:r>
          </w:p>
        </w:tc>
        <w:tc>
          <w:tcPr>
            <w:tcW w:w="992" w:type="pct"/>
            <w:tcBorders>
              <w:top w:val="single" w:color="auto" w:sz="12" w:space="0"/>
            </w:tcBorders>
            <w:shd w:val="clear" w:color="auto" w:fill="auto"/>
            <w:noWrap/>
            <w:vAlign w:val="center"/>
          </w:tcPr>
          <w:p w14:paraId="0BEB0D45">
            <w:pPr>
              <w:pStyle w:val="60"/>
            </w:pPr>
            <w:r>
              <w:t>180~230</w:t>
            </w:r>
          </w:p>
        </w:tc>
        <w:tc>
          <w:tcPr>
            <w:tcW w:w="2299" w:type="pct"/>
            <w:vMerge w:val="restart"/>
            <w:tcBorders>
              <w:top w:val="single" w:color="auto" w:sz="12" w:space="0"/>
            </w:tcBorders>
            <w:shd w:val="clear" w:color="auto" w:fill="auto"/>
            <w:noWrap/>
            <w:vAlign w:val="center"/>
          </w:tcPr>
          <w:p w14:paraId="1D2C4624">
            <w:pPr>
              <w:pStyle w:val="60"/>
            </w:pPr>
            <w:r>
              <w:rPr>
                <w:rFonts w:hint="eastAsia"/>
                <w:lang w:eastAsia="zh-CN"/>
              </w:rPr>
              <w:t>《外墙外保温技术标准》</w:t>
            </w:r>
            <w:r>
              <w:rPr>
                <w:rFonts w:hint="eastAsia"/>
              </w:rPr>
              <w:t>JGJ 144</w:t>
            </w:r>
          </w:p>
        </w:tc>
      </w:tr>
      <w:tr w14:paraId="118421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1708" w:type="pct"/>
            <w:shd w:val="clear" w:color="auto" w:fill="auto"/>
            <w:noWrap/>
            <w:vAlign w:val="center"/>
          </w:tcPr>
          <w:p w14:paraId="48B45ADE">
            <w:pPr>
              <w:pStyle w:val="60"/>
            </w:pPr>
            <w:r>
              <w:t>抗压强度</w:t>
            </w:r>
            <w:r>
              <w:rPr>
                <w:rFonts w:hint="eastAsia"/>
                <w:lang w:eastAsia="zh-CN"/>
              </w:rPr>
              <w:t>（</w:t>
            </w:r>
            <w:r>
              <w:t>MPa</w:t>
            </w:r>
            <w:r>
              <w:rPr>
                <w:rFonts w:hint="eastAsia"/>
                <w:lang w:eastAsia="zh-CN"/>
              </w:rPr>
              <w:t>）</w:t>
            </w:r>
          </w:p>
        </w:tc>
        <w:tc>
          <w:tcPr>
            <w:tcW w:w="992" w:type="pct"/>
            <w:shd w:val="clear" w:color="auto" w:fill="auto"/>
            <w:noWrap/>
            <w:vAlign w:val="center"/>
          </w:tcPr>
          <w:p w14:paraId="036A91F2">
            <w:pPr>
              <w:pStyle w:val="60"/>
            </w:pPr>
            <w:r>
              <w:t>≥0.30</w:t>
            </w:r>
          </w:p>
        </w:tc>
        <w:tc>
          <w:tcPr>
            <w:tcW w:w="2299" w:type="pct"/>
            <w:vMerge w:val="continue"/>
            <w:shd w:val="clear" w:color="auto" w:fill="auto"/>
            <w:noWrap/>
            <w:vAlign w:val="center"/>
          </w:tcPr>
          <w:p w14:paraId="04426962">
            <w:pPr>
              <w:pStyle w:val="60"/>
            </w:pPr>
          </w:p>
        </w:tc>
      </w:tr>
      <w:tr w14:paraId="131E6C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4" w:hRule="atLeast"/>
        </w:trPr>
        <w:tc>
          <w:tcPr>
            <w:tcW w:w="1708" w:type="pct"/>
            <w:shd w:val="clear" w:color="auto" w:fill="auto"/>
            <w:noWrap/>
            <w:vAlign w:val="center"/>
          </w:tcPr>
          <w:p w14:paraId="0BE99745">
            <w:pPr>
              <w:pStyle w:val="60"/>
            </w:pPr>
            <w:r>
              <w:t>垂直于板面方向的抗拉强度</w:t>
            </w:r>
            <w:r>
              <w:rPr>
                <w:rFonts w:hint="eastAsia"/>
                <w:lang w:eastAsia="zh-CN"/>
              </w:rPr>
              <w:t>（</w:t>
            </w:r>
            <w:r>
              <w:t>MPa</w:t>
            </w:r>
            <w:r>
              <w:rPr>
                <w:rFonts w:hint="eastAsia"/>
                <w:lang w:eastAsia="zh-CN"/>
              </w:rPr>
              <w:t>）</w:t>
            </w:r>
          </w:p>
        </w:tc>
        <w:tc>
          <w:tcPr>
            <w:tcW w:w="992" w:type="pct"/>
            <w:shd w:val="clear" w:color="auto" w:fill="auto"/>
            <w:noWrap/>
            <w:vAlign w:val="center"/>
          </w:tcPr>
          <w:p w14:paraId="44B31E66">
            <w:pPr>
              <w:pStyle w:val="60"/>
            </w:pPr>
            <w:r>
              <w:t>≥0.20</w:t>
            </w:r>
          </w:p>
        </w:tc>
        <w:tc>
          <w:tcPr>
            <w:tcW w:w="2299" w:type="pct"/>
            <w:vMerge w:val="continue"/>
            <w:shd w:val="clear" w:color="auto" w:fill="auto"/>
            <w:noWrap/>
            <w:vAlign w:val="center"/>
          </w:tcPr>
          <w:p w14:paraId="554E84F4">
            <w:pPr>
              <w:pStyle w:val="60"/>
            </w:pPr>
          </w:p>
        </w:tc>
      </w:tr>
      <w:tr w14:paraId="32F1AE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1708" w:type="pct"/>
            <w:shd w:val="clear" w:color="auto" w:fill="auto"/>
            <w:noWrap/>
            <w:vAlign w:val="center"/>
          </w:tcPr>
          <w:p w14:paraId="3C443D6B">
            <w:pPr>
              <w:pStyle w:val="60"/>
            </w:pPr>
            <w:r>
              <w:t>体积吸水率</w:t>
            </w:r>
            <w:r>
              <w:rPr>
                <w:rFonts w:hint="eastAsia"/>
                <w:lang w:eastAsia="zh-CN"/>
              </w:rPr>
              <w:t>（</w:t>
            </w:r>
            <w:r>
              <w:t>%</w:t>
            </w:r>
            <w:r>
              <w:rPr>
                <w:rFonts w:hint="eastAsia"/>
                <w:lang w:eastAsia="zh-CN"/>
              </w:rPr>
              <w:t>）</w:t>
            </w:r>
          </w:p>
        </w:tc>
        <w:tc>
          <w:tcPr>
            <w:tcW w:w="992" w:type="pct"/>
            <w:shd w:val="clear" w:color="auto" w:fill="auto"/>
            <w:noWrap/>
            <w:vAlign w:val="center"/>
          </w:tcPr>
          <w:p w14:paraId="0A134B7E">
            <w:pPr>
              <w:pStyle w:val="60"/>
            </w:pPr>
            <w:r>
              <w:t>≤10.0</w:t>
            </w:r>
          </w:p>
        </w:tc>
        <w:tc>
          <w:tcPr>
            <w:tcW w:w="2299" w:type="pct"/>
            <w:shd w:val="clear" w:color="auto" w:fill="auto"/>
            <w:noWrap/>
            <w:vAlign w:val="center"/>
          </w:tcPr>
          <w:p w14:paraId="562A0331">
            <w:pPr>
              <w:pStyle w:val="60"/>
              <w:jc w:val="left"/>
            </w:pPr>
            <w:r>
              <w:rPr>
                <w:rFonts w:hint="eastAsia"/>
                <w:color w:val="000000" w:themeColor="text1"/>
                <w:lang w:eastAsia="zh-CN"/>
                <w14:textFill>
                  <w14:solidFill>
                    <w14:schemeClr w14:val="tx1"/>
                  </w14:solidFill>
                </w14:textFill>
              </w:rPr>
              <w:t>《无机硬质绝热制品试验方法》</w:t>
            </w:r>
            <w:r>
              <w:rPr>
                <w:rFonts w:hint="eastAsia"/>
                <w:color w:val="000000" w:themeColor="text1"/>
                <w14:textFill>
                  <w14:solidFill>
                    <w14:schemeClr w14:val="tx1"/>
                  </w14:solidFill>
                </w14:textFill>
              </w:rPr>
              <w:t>GB/T 5486</w:t>
            </w:r>
          </w:p>
        </w:tc>
      </w:tr>
      <w:tr w14:paraId="0656D9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1708" w:type="pct"/>
            <w:shd w:val="clear" w:color="auto" w:fill="auto"/>
            <w:noWrap/>
            <w:vAlign w:val="center"/>
          </w:tcPr>
          <w:p w14:paraId="723635D7">
            <w:pPr>
              <w:pStyle w:val="60"/>
            </w:pPr>
            <w:r>
              <w:t>拉伸粘结强度（与混凝土）</w:t>
            </w:r>
            <w:r>
              <w:rPr>
                <w:rFonts w:hint="eastAsia"/>
                <w:lang w:eastAsia="zh-CN"/>
              </w:rPr>
              <w:t>（</w:t>
            </w:r>
            <w:r>
              <w:t>MPa</w:t>
            </w:r>
            <w:r>
              <w:rPr>
                <w:rFonts w:hint="eastAsia"/>
                <w:lang w:eastAsia="zh-CN"/>
              </w:rPr>
              <w:t>）</w:t>
            </w:r>
          </w:p>
        </w:tc>
        <w:tc>
          <w:tcPr>
            <w:tcW w:w="992" w:type="pct"/>
            <w:shd w:val="clear" w:color="auto" w:fill="auto"/>
            <w:noWrap/>
            <w:vAlign w:val="center"/>
          </w:tcPr>
          <w:p w14:paraId="35066B06">
            <w:pPr>
              <w:pStyle w:val="60"/>
            </w:pPr>
            <w:r>
              <w:t>≥0.20，</w:t>
            </w:r>
          </w:p>
          <w:p w14:paraId="40CFEAE7">
            <w:pPr>
              <w:pStyle w:val="60"/>
            </w:pPr>
            <w:r>
              <w:t>且破坏面在保温层内</w:t>
            </w:r>
          </w:p>
        </w:tc>
        <w:tc>
          <w:tcPr>
            <w:tcW w:w="2299" w:type="pct"/>
            <w:vMerge w:val="restart"/>
            <w:shd w:val="clear" w:color="auto" w:fill="auto"/>
            <w:noWrap/>
            <w:vAlign w:val="center"/>
          </w:tcPr>
          <w:p w14:paraId="6441EFA4">
            <w:pPr>
              <w:pStyle w:val="60"/>
            </w:pPr>
            <w:r>
              <w:rPr>
                <w:rFonts w:hint="eastAsia"/>
                <w:lang w:eastAsia="zh-CN"/>
              </w:rPr>
              <w:t>《外墙外保温技术标准》</w:t>
            </w:r>
            <w:r>
              <w:rPr>
                <w:rFonts w:hint="eastAsia"/>
              </w:rPr>
              <w:t>JGJ 144</w:t>
            </w:r>
          </w:p>
        </w:tc>
      </w:tr>
      <w:tr w14:paraId="09C767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1708" w:type="pct"/>
            <w:shd w:val="clear" w:color="auto" w:fill="auto"/>
            <w:noWrap/>
            <w:vAlign w:val="center"/>
          </w:tcPr>
          <w:p w14:paraId="2169AA10">
            <w:pPr>
              <w:pStyle w:val="60"/>
            </w:pPr>
            <w:r>
              <w:t>导热系数（25</w:t>
            </w:r>
            <w:r>
              <w:rPr>
                <w:rFonts w:hint="eastAsia"/>
              </w:rPr>
              <w:t>℃</w:t>
            </w:r>
            <w:r>
              <w:t>）</w:t>
            </w:r>
            <w:r>
              <w:rPr>
                <w:rFonts w:hint="eastAsia"/>
                <w:lang w:eastAsia="zh-CN"/>
              </w:rPr>
              <w:t>（</w:t>
            </w:r>
            <w:r>
              <w:t>W/（m·K）</w:t>
            </w:r>
            <w:r>
              <w:rPr>
                <w:rFonts w:hint="eastAsia"/>
                <w:lang w:eastAsia="zh-CN"/>
              </w:rPr>
              <w:t>）</w:t>
            </w:r>
          </w:p>
        </w:tc>
        <w:tc>
          <w:tcPr>
            <w:tcW w:w="992" w:type="pct"/>
            <w:shd w:val="clear" w:color="auto" w:fill="auto"/>
            <w:noWrap/>
            <w:vAlign w:val="center"/>
          </w:tcPr>
          <w:p w14:paraId="6BEAF4A9">
            <w:pPr>
              <w:pStyle w:val="60"/>
            </w:pPr>
            <w:r>
              <w:t>≤0.055</w:t>
            </w:r>
          </w:p>
        </w:tc>
        <w:tc>
          <w:tcPr>
            <w:tcW w:w="2299" w:type="pct"/>
            <w:vMerge w:val="continue"/>
            <w:shd w:val="clear" w:color="auto" w:fill="auto"/>
            <w:noWrap/>
            <w:vAlign w:val="center"/>
          </w:tcPr>
          <w:p w14:paraId="3DAF58D1">
            <w:pPr>
              <w:pStyle w:val="60"/>
            </w:pPr>
          </w:p>
        </w:tc>
      </w:tr>
      <w:tr w14:paraId="6F5676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708" w:type="pct"/>
            <w:shd w:val="clear" w:color="auto" w:fill="auto"/>
            <w:noWrap/>
            <w:vAlign w:val="center"/>
          </w:tcPr>
          <w:p w14:paraId="741437D8">
            <w:pPr>
              <w:pStyle w:val="60"/>
            </w:pPr>
            <w:r>
              <w:t>软化系数</w:t>
            </w:r>
          </w:p>
        </w:tc>
        <w:tc>
          <w:tcPr>
            <w:tcW w:w="992" w:type="pct"/>
            <w:shd w:val="clear" w:color="auto" w:fill="auto"/>
            <w:noWrap/>
            <w:vAlign w:val="center"/>
          </w:tcPr>
          <w:p w14:paraId="23A676CD">
            <w:pPr>
              <w:pStyle w:val="60"/>
            </w:pPr>
            <w:r>
              <w:t>≥0.8</w:t>
            </w:r>
          </w:p>
        </w:tc>
        <w:tc>
          <w:tcPr>
            <w:tcW w:w="2299" w:type="pct"/>
            <w:vMerge w:val="continue"/>
            <w:shd w:val="clear" w:color="auto" w:fill="auto"/>
            <w:noWrap/>
            <w:vAlign w:val="center"/>
          </w:tcPr>
          <w:p w14:paraId="6ECFB715">
            <w:pPr>
              <w:pStyle w:val="60"/>
            </w:pPr>
          </w:p>
        </w:tc>
      </w:tr>
      <w:tr w14:paraId="0D930F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708" w:type="pct"/>
            <w:shd w:val="clear" w:color="auto" w:fill="auto"/>
            <w:noWrap/>
            <w:vAlign w:val="center"/>
          </w:tcPr>
          <w:p w14:paraId="54121769">
            <w:pPr>
              <w:pStyle w:val="60"/>
            </w:pPr>
            <w:r>
              <w:t>干燥收缩率</w:t>
            </w:r>
            <w:r>
              <w:rPr>
                <w:rFonts w:hint="eastAsia"/>
                <w:lang w:eastAsia="zh-CN"/>
              </w:rPr>
              <w:t>（</w:t>
            </w:r>
            <w:r>
              <w:t>%</w:t>
            </w:r>
            <w:r>
              <w:rPr>
                <w:rFonts w:hint="eastAsia"/>
                <w:lang w:eastAsia="zh-CN"/>
              </w:rPr>
              <w:t>）</w:t>
            </w:r>
          </w:p>
        </w:tc>
        <w:tc>
          <w:tcPr>
            <w:tcW w:w="992" w:type="pct"/>
            <w:shd w:val="clear" w:color="auto" w:fill="auto"/>
            <w:noWrap/>
            <w:vAlign w:val="center"/>
          </w:tcPr>
          <w:p w14:paraId="52AD73C6">
            <w:pPr>
              <w:pStyle w:val="60"/>
            </w:pPr>
            <w:r>
              <w:t>≤0.3</w:t>
            </w:r>
          </w:p>
        </w:tc>
        <w:tc>
          <w:tcPr>
            <w:tcW w:w="2299" w:type="pct"/>
            <w:vMerge w:val="continue"/>
            <w:shd w:val="clear" w:color="auto" w:fill="auto"/>
            <w:noWrap/>
            <w:vAlign w:val="center"/>
          </w:tcPr>
          <w:p w14:paraId="5199D2B9">
            <w:pPr>
              <w:pStyle w:val="60"/>
            </w:pPr>
          </w:p>
        </w:tc>
      </w:tr>
      <w:tr w14:paraId="2727C1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708" w:type="pct"/>
            <w:shd w:val="clear" w:color="auto" w:fill="auto"/>
            <w:noWrap/>
            <w:vAlign w:val="center"/>
          </w:tcPr>
          <w:p w14:paraId="2F12DDFB">
            <w:pPr>
              <w:pStyle w:val="60"/>
            </w:pPr>
            <w:r>
              <w:t>燃烧性能等级</w:t>
            </w:r>
          </w:p>
        </w:tc>
        <w:tc>
          <w:tcPr>
            <w:tcW w:w="992" w:type="pct"/>
            <w:shd w:val="clear" w:color="auto" w:fill="auto"/>
            <w:noWrap/>
            <w:vAlign w:val="center"/>
          </w:tcPr>
          <w:p w14:paraId="7231C04C">
            <w:pPr>
              <w:pStyle w:val="60"/>
            </w:pPr>
            <w:r>
              <w:t>A级</w:t>
            </w:r>
          </w:p>
        </w:tc>
        <w:tc>
          <w:tcPr>
            <w:tcW w:w="2299" w:type="pct"/>
            <w:vMerge w:val="continue"/>
            <w:shd w:val="clear" w:color="auto" w:fill="auto"/>
            <w:noWrap/>
            <w:vAlign w:val="center"/>
          </w:tcPr>
          <w:p w14:paraId="7AFDB881">
            <w:pPr>
              <w:pStyle w:val="60"/>
            </w:pPr>
          </w:p>
        </w:tc>
      </w:tr>
    </w:tbl>
    <w:p w14:paraId="5E4E3AAC">
      <w:pPr>
        <w:spacing w:line="360" w:lineRule="auto"/>
        <w:rPr>
          <w:bCs/>
          <w:sz w:val="24"/>
        </w:rPr>
      </w:pPr>
      <w:r>
        <w:rPr>
          <w:rFonts w:hint="eastAsia"/>
          <w:b/>
          <w:bCs/>
          <w:sz w:val="24"/>
        </w:rPr>
        <w:t>4.2.2</w:t>
      </w:r>
      <w:r>
        <w:rPr>
          <w:rFonts w:hint="eastAsia" w:ascii="宋体" w:hAnsi="宋体" w:cs="宋体"/>
          <w:sz w:val="24"/>
        </w:rPr>
        <w:t xml:space="preserve"> </w:t>
      </w:r>
      <w:r>
        <w:rPr>
          <w:sz w:val="24"/>
        </w:rPr>
        <w:t>预制</w:t>
      </w:r>
      <w:r>
        <w:rPr>
          <w:rFonts w:hint="eastAsia"/>
          <w:sz w:val="24"/>
        </w:rPr>
        <w:t>集成外保温墙板</w:t>
      </w:r>
      <w:r>
        <w:rPr>
          <w:sz w:val="24"/>
        </w:rPr>
        <w:t>中采用的</w:t>
      </w:r>
      <w:r>
        <w:rPr>
          <w:rFonts w:hint="eastAsia"/>
          <w:sz w:val="24"/>
        </w:rPr>
        <w:t>保温板</w:t>
      </w:r>
      <w:r>
        <w:rPr>
          <w:bCs/>
          <w:sz w:val="24"/>
        </w:rPr>
        <w:t>应符合</w:t>
      </w:r>
      <w:r>
        <w:rPr>
          <w:rFonts w:hint="eastAsia"/>
          <w:bCs/>
          <w:sz w:val="24"/>
        </w:rPr>
        <w:t>下列</w:t>
      </w:r>
      <w:r>
        <w:rPr>
          <w:bCs/>
          <w:sz w:val="24"/>
        </w:rPr>
        <w:t>规定</w:t>
      </w:r>
      <w:r>
        <w:rPr>
          <w:rFonts w:hint="eastAsia"/>
          <w:bCs/>
          <w:sz w:val="24"/>
        </w:rPr>
        <w:t>：</w:t>
      </w:r>
    </w:p>
    <w:p w14:paraId="084A1B06">
      <w:pPr>
        <w:spacing w:line="360" w:lineRule="auto"/>
        <w:ind w:firstLine="482" w:firstLineChars="200"/>
        <w:rPr>
          <w:rFonts w:hint="eastAsia" w:eastAsia="宋体"/>
          <w:bCs/>
          <w:sz w:val="24"/>
          <w:lang w:eastAsia="zh-CN"/>
        </w:rPr>
      </w:pPr>
      <w:r>
        <w:rPr>
          <w:rFonts w:hint="eastAsia"/>
          <w:b/>
          <w:kern w:val="0"/>
          <w:sz w:val="24"/>
        </w:rPr>
        <w:t>1</w:t>
      </w:r>
      <w:r>
        <w:rPr>
          <w:rFonts w:hint="eastAsia"/>
          <w:b/>
          <w:bCs/>
          <w:sz w:val="24"/>
        </w:rPr>
        <w:t xml:space="preserve"> </w:t>
      </w:r>
      <w:r>
        <w:rPr>
          <w:rFonts w:hint="eastAsia"/>
          <w:bCs/>
          <w:sz w:val="24"/>
        </w:rPr>
        <w:t>保温板</w:t>
      </w:r>
      <w:r>
        <w:rPr>
          <w:rFonts w:hint="eastAsia"/>
          <w:sz w:val="24"/>
        </w:rPr>
        <w:t>常用规格尺寸及</w:t>
      </w:r>
      <w:r>
        <w:rPr>
          <w:rFonts w:hint="eastAsia"/>
          <w:bCs/>
          <w:sz w:val="24"/>
        </w:rPr>
        <w:t>尺寸允许</w:t>
      </w:r>
      <w:r>
        <w:rPr>
          <w:bCs/>
          <w:sz w:val="24"/>
        </w:rPr>
        <w:t>偏差应符合表</w:t>
      </w:r>
      <w:r>
        <w:rPr>
          <w:rFonts w:hint="eastAsia"/>
          <w:bCs/>
          <w:sz w:val="24"/>
        </w:rPr>
        <w:t>4.2.2</w:t>
      </w:r>
      <w:r>
        <w:rPr>
          <w:bCs/>
          <w:sz w:val="24"/>
        </w:rPr>
        <w:t>-1</w:t>
      </w:r>
      <w:r>
        <w:rPr>
          <w:rFonts w:hint="eastAsia"/>
          <w:bCs/>
          <w:sz w:val="24"/>
        </w:rPr>
        <w:t>的</w:t>
      </w:r>
      <w:r>
        <w:rPr>
          <w:bCs/>
          <w:sz w:val="24"/>
        </w:rPr>
        <w:t>规定</w:t>
      </w:r>
      <w:r>
        <w:rPr>
          <w:rFonts w:hint="eastAsia" w:ascii="宋体" w:hAnsi="宋体" w:eastAsia="宋体" w:cs="宋体"/>
          <w:bCs/>
          <w:sz w:val="24"/>
          <w:lang w:val="en-US" w:eastAsia="zh-CN"/>
        </w:rPr>
        <w:t>；</w:t>
      </w:r>
    </w:p>
    <w:p w14:paraId="2E555B51">
      <w:pPr>
        <w:bidi w:val="0"/>
        <w:ind w:firstLine="480" w:firstLineChars="200"/>
        <w:rPr>
          <w:sz w:val="22"/>
          <w:szCs w:val="28"/>
        </w:rPr>
      </w:pPr>
      <w:bookmarkStart w:id="38" w:name="_Toc4625"/>
      <w:r>
        <w:rPr>
          <w:rFonts w:hint="eastAsia"/>
          <w:sz w:val="24"/>
          <w:szCs w:val="24"/>
        </w:rPr>
        <w:t>2</w:t>
      </w:r>
      <w:r>
        <w:rPr>
          <w:rFonts w:hint="eastAsia"/>
          <w:sz w:val="22"/>
          <w:szCs w:val="28"/>
        </w:rPr>
        <w:t xml:space="preserve"> </w:t>
      </w:r>
      <w:r>
        <w:rPr>
          <w:rFonts w:hint="eastAsia"/>
          <w:bCs/>
          <w:sz w:val="24"/>
        </w:rPr>
        <w:t>保温板如内置钢丝网，其性能应符合表4.2.2-2的规定</w:t>
      </w:r>
      <w:r>
        <w:rPr>
          <w:rFonts w:hint="eastAsia"/>
          <w:sz w:val="22"/>
          <w:szCs w:val="28"/>
        </w:rPr>
        <w:t>。</w:t>
      </w:r>
      <w:bookmarkEnd w:id="38"/>
    </w:p>
    <w:p w14:paraId="23C48775">
      <w:pPr>
        <w:pStyle w:val="61"/>
        <w:spacing w:before="156"/>
      </w:pPr>
      <w:r>
        <w:rPr>
          <w:rFonts w:hint="eastAsia"/>
        </w:rPr>
        <w:t>表4</w:t>
      </w:r>
      <w:r>
        <w:t>.2.</w:t>
      </w:r>
      <w:r>
        <w:rPr>
          <w:rFonts w:hint="eastAsia"/>
        </w:rPr>
        <w:t>2</w:t>
      </w:r>
      <w:r>
        <w:t>-1</w:t>
      </w:r>
      <w:r>
        <w:rPr>
          <w:rFonts w:hint="eastAsia"/>
        </w:rPr>
        <w:t xml:space="preserve"> 保温板尺寸常用规格尺寸及允许偏差（m</w:t>
      </w:r>
      <w:r>
        <w:t>m</w:t>
      </w:r>
      <w:r>
        <w:rPr>
          <w:rFonts w:hint="eastAsia"/>
        </w:rPr>
        <w:t>）</w:t>
      </w:r>
    </w:p>
    <w:tbl>
      <w:tblPr>
        <w:tblStyle w:val="23"/>
        <w:tblW w:w="499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430"/>
        <w:gridCol w:w="2198"/>
        <w:gridCol w:w="1717"/>
        <w:gridCol w:w="2174"/>
      </w:tblGrid>
      <w:tr w14:paraId="2C7478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26" w:type="pct"/>
            <w:tcBorders>
              <w:bottom w:val="single" w:color="auto" w:sz="12" w:space="0"/>
            </w:tcBorders>
            <w:vAlign w:val="center"/>
          </w:tcPr>
          <w:p w14:paraId="45A938DC">
            <w:pPr>
              <w:pStyle w:val="60"/>
            </w:pPr>
            <w:r>
              <w:t>项目</w:t>
            </w:r>
          </w:p>
        </w:tc>
        <w:tc>
          <w:tcPr>
            <w:tcW w:w="1290" w:type="pct"/>
            <w:tcBorders>
              <w:bottom w:val="single" w:color="auto" w:sz="12" w:space="0"/>
            </w:tcBorders>
            <w:vAlign w:val="center"/>
          </w:tcPr>
          <w:p w14:paraId="55A7D0E7">
            <w:pPr>
              <w:pStyle w:val="60"/>
            </w:pPr>
            <w:r>
              <w:rPr>
                <w:rFonts w:hint="eastAsia"/>
              </w:rPr>
              <w:t>常用规格尺寸</w:t>
            </w:r>
          </w:p>
        </w:tc>
        <w:tc>
          <w:tcPr>
            <w:tcW w:w="1008" w:type="pct"/>
            <w:tcBorders>
              <w:bottom w:val="single" w:color="auto" w:sz="12" w:space="0"/>
            </w:tcBorders>
            <w:vAlign w:val="center"/>
          </w:tcPr>
          <w:p w14:paraId="3B7BC389">
            <w:pPr>
              <w:pStyle w:val="60"/>
            </w:pPr>
            <w:r>
              <w:t>允许偏差</w:t>
            </w:r>
          </w:p>
        </w:tc>
        <w:tc>
          <w:tcPr>
            <w:tcW w:w="1274" w:type="pct"/>
            <w:tcBorders>
              <w:bottom w:val="single" w:color="auto" w:sz="12" w:space="0"/>
            </w:tcBorders>
            <w:vAlign w:val="center"/>
          </w:tcPr>
          <w:p w14:paraId="62FD31BB">
            <w:pPr>
              <w:pStyle w:val="60"/>
            </w:pPr>
            <w:r>
              <w:rPr>
                <w:rFonts w:hint="eastAsia"/>
              </w:rPr>
              <w:t>试验方法</w:t>
            </w:r>
          </w:p>
        </w:tc>
      </w:tr>
      <w:tr w14:paraId="6ABDE9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26" w:type="pct"/>
            <w:tcBorders>
              <w:top w:val="single" w:color="auto" w:sz="12" w:space="0"/>
            </w:tcBorders>
            <w:vAlign w:val="center"/>
          </w:tcPr>
          <w:p w14:paraId="6207D1CD">
            <w:pPr>
              <w:pStyle w:val="60"/>
            </w:pPr>
            <w:r>
              <w:t>长度</w:t>
            </w:r>
          </w:p>
        </w:tc>
        <w:tc>
          <w:tcPr>
            <w:tcW w:w="1290" w:type="pct"/>
            <w:tcBorders>
              <w:top w:val="single" w:color="auto" w:sz="12" w:space="0"/>
            </w:tcBorders>
            <w:vAlign w:val="center"/>
          </w:tcPr>
          <w:p w14:paraId="47B677C6">
            <w:pPr>
              <w:pStyle w:val="60"/>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rFonts w:hint="default" w:ascii="Times New Roman" w:hAnsi="Times New Roman" w:cs="Times New Roman"/>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400、</w:t>
            </w:r>
            <w:r>
              <w:rPr>
                <w:color w:val="000000" w:themeColor="text1"/>
                <w14:textFill>
                  <w14:solidFill>
                    <w14:schemeClr w14:val="tx1"/>
                  </w14:solidFill>
                </w14:textFill>
              </w:rPr>
              <w:t>3</w:t>
            </w:r>
            <w:r>
              <w:rPr>
                <w:rFonts w:hint="default" w:ascii="Times New Roman" w:hAnsi="Times New Roman" w:cs="Times New Roman"/>
                <w:color w:val="000000" w:themeColor="text1"/>
                <w:lang w:eastAsia="zh-CN"/>
                <w14:textFill>
                  <w14:solidFill>
                    <w14:schemeClr w14:val="tx1"/>
                  </w14:solidFill>
                </w14:textFill>
              </w:rPr>
              <w:t>，</w:t>
            </w:r>
            <w:r>
              <w:rPr>
                <w:color w:val="000000" w:themeColor="text1"/>
                <w14:textFill>
                  <w14:solidFill>
                    <w14:schemeClr w14:val="tx1"/>
                  </w14:solidFill>
                </w14:textFill>
              </w:rPr>
              <w:t>000</w:t>
            </w:r>
          </w:p>
        </w:tc>
        <w:tc>
          <w:tcPr>
            <w:tcW w:w="1008" w:type="pct"/>
            <w:tcBorders>
              <w:top w:val="single" w:color="auto" w:sz="12" w:space="0"/>
            </w:tcBorders>
            <w:vAlign w:val="center"/>
          </w:tcPr>
          <w:p w14:paraId="67EDBD3A">
            <w:pPr>
              <w:pStyle w:val="60"/>
            </w:pPr>
            <w:r>
              <w:t>±</w:t>
            </w:r>
            <w:r>
              <w:rPr>
                <w:rFonts w:hint="eastAsia"/>
              </w:rPr>
              <w:t>3.0</w:t>
            </w:r>
          </w:p>
        </w:tc>
        <w:tc>
          <w:tcPr>
            <w:tcW w:w="1274" w:type="pct"/>
            <w:vMerge w:val="restart"/>
            <w:tcBorders>
              <w:top w:val="single" w:color="auto" w:sz="12" w:space="0"/>
            </w:tcBorders>
            <w:vAlign w:val="center"/>
          </w:tcPr>
          <w:p w14:paraId="26445949">
            <w:pPr>
              <w:pStyle w:val="60"/>
              <w:jc w:val="left"/>
            </w:pPr>
            <w:r>
              <w:rPr>
                <w:rFonts w:hint="eastAsia"/>
                <w:lang w:eastAsia="zh-CN"/>
              </w:rPr>
              <w:t>《模塑聚苯板薄抹灰外墙外保温系统材料》</w:t>
            </w:r>
            <w:r>
              <w:t>GB/T 29906</w:t>
            </w:r>
          </w:p>
        </w:tc>
      </w:tr>
      <w:tr w14:paraId="138609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26" w:type="pct"/>
            <w:vAlign w:val="center"/>
          </w:tcPr>
          <w:p w14:paraId="4CD01A97">
            <w:pPr>
              <w:pStyle w:val="60"/>
            </w:pPr>
            <w:r>
              <w:t>宽度</w:t>
            </w:r>
          </w:p>
        </w:tc>
        <w:tc>
          <w:tcPr>
            <w:tcW w:w="1290" w:type="pct"/>
            <w:vAlign w:val="center"/>
          </w:tcPr>
          <w:p w14:paraId="6ADE920D">
            <w:pPr>
              <w:pStyle w:val="6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00、1</w:t>
            </w:r>
            <w:r>
              <w:rPr>
                <w:rFonts w:hint="eastAsia"/>
                <w:color w:val="000000" w:themeColor="text1"/>
                <w:lang w:eastAsia="zh-CN"/>
                <w14:textFill>
                  <w14:solidFill>
                    <w14:schemeClr w14:val="tx1"/>
                  </w14:solidFill>
                </w14:textFill>
              </w:rPr>
              <w:t>，</w:t>
            </w:r>
            <w:r>
              <w:rPr>
                <w:color w:val="000000" w:themeColor="text1"/>
                <w14:textFill>
                  <w14:solidFill>
                    <w14:schemeClr w14:val="tx1"/>
                  </w14:solidFill>
                </w14:textFill>
              </w:rPr>
              <w:t>200</w:t>
            </w:r>
          </w:p>
        </w:tc>
        <w:tc>
          <w:tcPr>
            <w:tcW w:w="1008" w:type="pct"/>
            <w:vAlign w:val="center"/>
          </w:tcPr>
          <w:p w14:paraId="297F4B92">
            <w:pPr>
              <w:pStyle w:val="60"/>
            </w:pPr>
            <w:r>
              <w:t>±</w:t>
            </w:r>
            <w:r>
              <w:rPr>
                <w:rFonts w:hint="eastAsia"/>
              </w:rPr>
              <w:t>2.0</w:t>
            </w:r>
          </w:p>
        </w:tc>
        <w:tc>
          <w:tcPr>
            <w:tcW w:w="1274" w:type="pct"/>
            <w:vMerge w:val="continue"/>
          </w:tcPr>
          <w:p w14:paraId="1717005F">
            <w:pPr>
              <w:pStyle w:val="60"/>
            </w:pPr>
          </w:p>
        </w:tc>
      </w:tr>
      <w:tr w14:paraId="2A82CC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26" w:type="pct"/>
            <w:vAlign w:val="center"/>
          </w:tcPr>
          <w:p w14:paraId="72C6544F">
            <w:pPr>
              <w:pStyle w:val="60"/>
            </w:pPr>
            <w:r>
              <w:t>厚度</w:t>
            </w:r>
          </w:p>
        </w:tc>
        <w:tc>
          <w:tcPr>
            <w:tcW w:w="1290" w:type="pct"/>
            <w:vAlign w:val="center"/>
          </w:tcPr>
          <w:p w14:paraId="434CBC04">
            <w:pPr>
              <w:pStyle w:val="60"/>
            </w:pPr>
            <w:r>
              <w:rPr>
                <w:rFonts w:hint="eastAsia"/>
                <w:lang w:val="en-US" w:eastAsia="zh-CN"/>
              </w:rPr>
              <w:t>3</w:t>
            </w:r>
            <w:r>
              <w:rPr>
                <w:rFonts w:hint="eastAsia"/>
              </w:rPr>
              <w:t>0~150</w:t>
            </w:r>
          </w:p>
        </w:tc>
        <w:tc>
          <w:tcPr>
            <w:tcW w:w="1008" w:type="pct"/>
            <w:vAlign w:val="center"/>
          </w:tcPr>
          <w:p w14:paraId="50268A24">
            <w:pPr>
              <w:pStyle w:val="60"/>
            </w:pPr>
            <w:r>
              <w:t>+</w:t>
            </w:r>
            <w:r>
              <w:rPr>
                <w:rFonts w:hint="eastAsia"/>
              </w:rPr>
              <w:t>3</w:t>
            </w:r>
          </w:p>
          <w:p w14:paraId="145CCA7D">
            <w:pPr>
              <w:pStyle w:val="60"/>
            </w:pPr>
            <w:r>
              <w:rPr>
                <w:rFonts w:hint="eastAsia"/>
              </w:rPr>
              <w:t>0</w:t>
            </w:r>
          </w:p>
        </w:tc>
        <w:tc>
          <w:tcPr>
            <w:tcW w:w="1274" w:type="pct"/>
            <w:vMerge w:val="continue"/>
          </w:tcPr>
          <w:p w14:paraId="7A3959A7">
            <w:pPr>
              <w:pStyle w:val="60"/>
            </w:pPr>
          </w:p>
        </w:tc>
      </w:tr>
      <w:tr w14:paraId="067D97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26" w:type="pct"/>
            <w:vAlign w:val="center"/>
          </w:tcPr>
          <w:p w14:paraId="1247BCCC">
            <w:pPr>
              <w:pStyle w:val="60"/>
            </w:pPr>
            <w:r>
              <w:t>对角线差</w:t>
            </w:r>
          </w:p>
        </w:tc>
        <w:tc>
          <w:tcPr>
            <w:tcW w:w="1290" w:type="pct"/>
            <w:vAlign w:val="center"/>
          </w:tcPr>
          <w:p w14:paraId="70B62A6B">
            <w:pPr>
              <w:pStyle w:val="60"/>
            </w:pPr>
            <w:r>
              <w:rPr>
                <w:rFonts w:hint="eastAsia"/>
              </w:rPr>
              <w:t>/</w:t>
            </w:r>
          </w:p>
        </w:tc>
        <w:tc>
          <w:tcPr>
            <w:tcW w:w="1008" w:type="pct"/>
            <w:vAlign w:val="center"/>
          </w:tcPr>
          <w:p w14:paraId="5F374A39">
            <w:pPr>
              <w:pStyle w:val="60"/>
            </w:pPr>
            <w:r>
              <w:t>≤</w:t>
            </w:r>
            <w:r>
              <w:rPr>
                <w:rFonts w:hint="eastAsia"/>
              </w:rPr>
              <w:t>3.0</w:t>
            </w:r>
          </w:p>
        </w:tc>
        <w:tc>
          <w:tcPr>
            <w:tcW w:w="1274" w:type="pct"/>
            <w:vMerge w:val="continue"/>
          </w:tcPr>
          <w:p w14:paraId="4F501525">
            <w:pPr>
              <w:pStyle w:val="60"/>
            </w:pPr>
          </w:p>
        </w:tc>
      </w:tr>
      <w:tr w14:paraId="00E78A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26" w:type="pct"/>
            <w:vAlign w:val="center"/>
          </w:tcPr>
          <w:p w14:paraId="276C9145">
            <w:pPr>
              <w:pStyle w:val="60"/>
            </w:pPr>
            <w:r>
              <w:rPr>
                <w:rFonts w:hint="eastAsia"/>
              </w:rPr>
              <w:t>板侧边平直度</w:t>
            </w:r>
          </w:p>
        </w:tc>
        <w:tc>
          <w:tcPr>
            <w:tcW w:w="1290" w:type="pct"/>
            <w:vAlign w:val="center"/>
          </w:tcPr>
          <w:p w14:paraId="46FA5661">
            <w:pPr>
              <w:pStyle w:val="60"/>
            </w:pPr>
            <w:r>
              <w:rPr>
                <w:rFonts w:hint="eastAsia"/>
              </w:rPr>
              <w:t>/</w:t>
            </w:r>
          </w:p>
        </w:tc>
        <w:tc>
          <w:tcPr>
            <w:tcW w:w="1008" w:type="pct"/>
            <w:vAlign w:val="center"/>
          </w:tcPr>
          <w:p w14:paraId="7D92C9D8">
            <w:pPr>
              <w:pStyle w:val="60"/>
            </w:pPr>
            <w:r>
              <w:t>≤</w:t>
            </w:r>
            <w:r>
              <w:rPr>
                <w:rFonts w:hint="eastAsia"/>
              </w:rPr>
              <w:t>L</w:t>
            </w:r>
            <w:r>
              <w:t>/750</w:t>
            </w:r>
          </w:p>
        </w:tc>
        <w:tc>
          <w:tcPr>
            <w:tcW w:w="1274" w:type="pct"/>
            <w:vMerge w:val="continue"/>
          </w:tcPr>
          <w:p w14:paraId="7C8AF2AB">
            <w:pPr>
              <w:pStyle w:val="60"/>
            </w:pPr>
          </w:p>
        </w:tc>
      </w:tr>
      <w:tr w14:paraId="15C679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4"/>
            <w:vAlign w:val="center"/>
          </w:tcPr>
          <w:p w14:paraId="4EF8A3BE">
            <w:pPr>
              <w:pStyle w:val="60"/>
              <w:jc w:val="left"/>
            </w:pPr>
            <w:r>
              <w:rPr>
                <w:rFonts w:hint="eastAsia"/>
              </w:rPr>
              <w:t>注：其他规格的非标产品，由供需双方协商决定。</w:t>
            </w:r>
          </w:p>
        </w:tc>
      </w:tr>
    </w:tbl>
    <w:p w14:paraId="05746C07">
      <w:pPr>
        <w:pStyle w:val="61"/>
        <w:spacing w:before="156"/>
      </w:pPr>
      <w:r>
        <w:t>表4.2.</w:t>
      </w:r>
      <w:r>
        <w:rPr>
          <w:rFonts w:hint="eastAsia"/>
        </w:rPr>
        <w:t>2-2</w:t>
      </w:r>
      <w:r>
        <w:t xml:space="preserve"> 钢丝网性能要求</w:t>
      </w:r>
    </w:p>
    <w:tbl>
      <w:tblPr>
        <w:tblStyle w:val="23"/>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667"/>
        <w:gridCol w:w="1567"/>
        <w:gridCol w:w="4288"/>
      </w:tblGrid>
      <w:tr w14:paraId="6DC9F89D">
        <w:tblPrEx>
          <w:tblCellMar>
            <w:top w:w="0" w:type="dxa"/>
            <w:left w:w="108" w:type="dxa"/>
            <w:bottom w:w="0" w:type="dxa"/>
            <w:right w:w="108" w:type="dxa"/>
          </w:tblCellMar>
        </w:tblPrEx>
        <w:trPr>
          <w:trHeight w:val="54" w:hRule="atLeast"/>
          <w:jc w:val="center"/>
        </w:trPr>
        <w:tc>
          <w:tcPr>
            <w:tcW w:w="1564" w:type="pct"/>
            <w:tcBorders>
              <w:bottom w:val="single" w:color="auto" w:sz="12" w:space="0"/>
            </w:tcBorders>
            <w:shd w:val="clear" w:color="auto" w:fill="auto"/>
            <w:vAlign w:val="center"/>
          </w:tcPr>
          <w:p w14:paraId="2355EF05">
            <w:pPr>
              <w:pStyle w:val="60"/>
            </w:pPr>
            <w:r>
              <w:t>项目</w:t>
            </w:r>
          </w:p>
        </w:tc>
        <w:tc>
          <w:tcPr>
            <w:tcW w:w="919" w:type="pct"/>
            <w:tcBorders>
              <w:bottom w:val="single" w:color="auto" w:sz="12" w:space="0"/>
            </w:tcBorders>
            <w:shd w:val="clear" w:color="auto" w:fill="auto"/>
            <w:vAlign w:val="center"/>
          </w:tcPr>
          <w:p w14:paraId="77B66926">
            <w:pPr>
              <w:pStyle w:val="60"/>
            </w:pPr>
            <w:r>
              <w:t>指标</w:t>
            </w:r>
          </w:p>
        </w:tc>
        <w:tc>
          <w:tcPr>
            <w:tcW w:w="2515" w:type="pct"/>
            <w:tcBorders>
              <w:bottom w:val="single" w:color="auto" w:sz="12" w:space="0"/>
            </w:tcBorders>
            <w:shd w:val="clear" w:color="auto" w:fill="auto"/>
            <w:vAlign w:val="center"/>
          </w:tcPr>
          <w:p w14:paraId="739B3592">
            <w:pPr>
              <w:pStyle w:val="60"/>
            </w:pPr>
            <w:r>
              <w:t>试验方法</w:t>
            </w:r>
          </w:p>
        </w:tc>
      </w:tr>
      <w:tr w14:paraId="35C9D5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564" w:type="pct"/>
            <w:tcBorders>
              <w:top w:val="single" w:color="auto" w:sz="12" w:space="0"/>
            </w:tcBorders>
            <w:shd w:val="clear" w:color="auto" w:fill="auto"/>
            <w:vAlign w:val="center"/>
          </w:tcPr>
          <w:p w14:paraId="6DB5897D">
            <w:pPr>
              <w:pStyle w:val="60"/>
            </w:pPr>
            <w:r>
              <w:t>焊点抗拉力</w:t>
            </w:r>
            <w:r>
              <w:rPr>
                <w:rFonts w:hint="eastAsia"/>
                <w:lang w:eastAsia="zh-CN"/>
              </w:rPr>
              <w:t>（</w:t>
            </w:r>
            <w:r>
              <w:t>N</w:t>
            </w:r>
            <w:r>
              <w:rPr>
                <w:rFonts w:hint="eastAsia"/>
                <w:lang w:eastAsia="zh-CN"/>
              </w:rPr>
              <w:t>）</w:t>
            </w:r>
          </w:p>
        </w:tc>
        <w:tc>
          <w:tcPr>
            <w:tcW w:w="919" w:type="pct"/>
            <w:tcBorders>
              <w:top w:val="single" w:color="auto" w:sz="12" w:space="0"/>
            </w:tcBorders>
            <w:shd w:val="clear" w:color="auto" w:fill="auto"/>
            <w:vAlign w:val="center"/>
          </w:tcPr>
          <w:p w14:paraId="044C8173">
            <w:pPr>
              <w:pStyle w:val="60"/>
            </w:pPr>
            <w:r>
              <w:t>＞65</w:t>
            </w:r>
          </w:p>
        </w:tc>
        <w:tc>
          <w:tcPr>
            <w:tcW w:w="2515" w:type="pct"/>
            <w:tcBorders>
              <w:top w:val="single" w:color="auto" w:sz="12" w:space="0"/>
            </w:tcBorders>
            <w:shd w:val="clear" w:color="auto" w:fill="auto"/>
            <w:vAlign w:val="center"/>
          </w:tcPr>
          <w:p w14:paraId="3685D14F">
            <w:pPr>
              <w:pStyle w:val="60"/>
            </w:pPr>
            <w:r>
              <w:rPr>
                <w:rFonts w:hint="eastAsia"/>
                <w:lang w:eastAsia="zh-CN"/>
              </w:rPr>
              <w:t>《镀锌电焊网》</w:t>
            </w:r>
            <w:r>
              <w:t>GB/T 33281</w:t>
            </w:r>
          </w:p>
        </w:tc>
      </w:tr>
      <w:tr w14:paraId="6D0E8D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564" w:type="pct"/>
            <w:shd w:val="clear" w:color="auto" w:fill="auto"/>
            <w:vAlign w:val="center"/>
          </w:tcPr>
          <w:p w14:paraId="0E9C7702">
            <w:pPr>
              <w:pStyle w:val="60"/>
            </w:pPr>
            <w:r>
              <w:t>镀锌层质量</w:t>
            </w:r>
            <w:r>
              <w:rPr>
                <w:rFonts w:hint="eastAsia"/>
                <w:lang w:eastAsia="zh-CN"/>
              </w:rPr>
              <w:t>（</w:t>
            </w:r>
            <w:r>
              <w:t>g/m</w:t>
            </w:r>
            <w:r>
              <w:rPr>
                <w:vertAlign w:val="superscript"/>
              </w:rPr>
              <w:t>2</w:t>
            </w:r>
            <w:r>
              <w:rPr>
                <w:rFonts w:hint="eastAsia"/>
                <w:lang w:eastAsia="zh-CN"/>
              </w:rPr>
              <w:t>）</w:t>
            </w:r>
          </w:p>
        </w:tc>
        <w:tc>
          <w:tcPr>
            <w:tcW w:w="919" w:type="pct"/>
            <w:shd w:val="clear" w:color="auto" w:fill="auto"/>
            <w:vAlign w:val="center"/>
          </w:tcPr>
          <w:p w14:paraId="433476E6">
            <w:pPr>
              <w:pStyle w:val="60"/>
            </w:pPr>
            <w:r>
              <w:t>≥25</w:t>
            </w:r>
          </w:p>
        </w:tc>
        <w:tc>
          <w:tcPr>
            <w:tcW w:w="2515" w:type="pct"/>
            <w:shd w:val="clear" w:color="auto" w:fill="auto"/>
            <w:vAlign w:val="center"/>
          </w:tcPr>
          <w:p w14:paraId="1B0BCCF4">
            <w:pPr>
              <w:pStyle w:val="60"/>
            </w:pPr>
            <w:r>
              <w:rPr>
                <w:rFonts w:hint="eastAsia"/>
                <w:lang w:eastAsia="zh-CN"/>
              </w:rPr>
              <w:t>《钢产品镀锌层质量试验方法》</w:t>
            </w:r>
            <w:r>
              <w:t>GB/T 1839</w:t>
            </w:r>
          </w:p>
        </w:tc>
      </w:tr>
    </w:tbl>
    <w:p w14:paraId="695AA402">
      <w:pPr>
        <w:pStyle w:val="4"/>
      </w:pPr>
      <w:bookmarkStart w:id="39" w:name="_Toc17646"/>
      <w:bookmarkStart w:id="40" w:name="_Toc261"/>
      <w:r>
        <w:t>4.3</w:t>
      </w:r>
      <w:r>
        <w:rPr>
          <w:rFonts w:hint="eastAsia"/>
          <w:lang w:val="en-US" w:eastAsia="zh-CN"/>
        </w:rPr>
        <w:t xml:space="preserve"> </w:t>
      </w:r>
      <w:r>
        <w:rPr>
          <w:rFonts w:hint="eastAsia"/>
        </w:rPr>
        <w:t>拉结材料</w:t>
      </w:r>
      <w:bookmarkEnd w:id="39"/>
      <w:bookmarkEnd w:id="40"/>
    </w:p>
    <w:p w14:paraId="5521C322">
      <w:pPr>
        <w:spacing w:line="360" w:lineRule="auto"/>
        <w:rPr>
          <w:rFonts w:hint="eastAsia" w:ascii="宋体" w:hAnsi="宋体" w:cs="宋体"/>
          <w:sz w:val="24"/>
        </w:rPr>
      </w:pPr>
      <w:r>
        <w:rPr>
          <w:rFonts w:hint="eastAsia"/>
          <w:b/>
          <w:bCs/>
          <w:sz w:val="24"/>
        </w:rPr>
        <w:t>4.3.1</w:t>
      </w:r>
      <w:r>
        <w:rPr>
          <w:rFonts w:hint="eastAsia" w:ascii="宋体" w:hAnsi="宋体" w:cs="宋体"/>
          <w:sz w:val="24"/>
        </w:rPr>
        <w:t xml:space="preserve">  保温层与基层墙体间的锚固件的材质</w:t>
      </w:r>
      <w:r>
        <w:rPr>
          <w:rFonts w:hint="eastAsia" w:ascii="宋体" w:hAnsi="宋体" w:cs="宋体"/>
          <w:sz w:val="24"/>
          <w:lang w:eastAsia="zh-CN"/>
        </w:rPr>
        <w:t>应</w:t>
      </w:r>
      <w:r>
        <w:rPr>
          <w:rFonts w:hint="eastAsia" w:ascii="宋体" w:hAnsi="宋体" w:cs="宋体"/>
          <w:sz w:val="24"/>
        </w:rPr>
        <w:t>采用</w:t>
      </w:r>
      <w:r>
        <w:rPr>
          <w:rFonts w:hint="eastAsia" w:ascii="宋体" w:hAnsi="宋体" w:cs="宋体"/>
          <w:sz w:val="24"/>
          <w:highlight w:val="none"/>
          <w:lang w:eastAsia="zh-CN"/>
        </w:rPr>
        <w:t>不锈钢、</w:t>
      </w:r>
      <w:r>
        <w:rPr>
          <w:rFonts w:hint="eastAsia" w:ascii="宋体" w:hAnsi="宋体" w:cs="宋体"/>
          <w:sz w:val="24"/>
          <w:lang w:eastAsia="zh-CN"/>
        </w:rPr>
        <w:t>经</w:t>
      </w:r>
      <w:r>
        <w:rPr>
          <w:rFonts w:hint="eastAsia" w:ascii="宋体" w:hAnsi="宋体" w:cs="宋体"/>
          <w:color w:val="000000" w:themeColor="text1"/>
          <w:sz w:val="24"/>
          <w:lang w:eastAsia="zh-CN"/>
          <w14:textFill>
            <w14:solidFill>
              <w14:schemeClr w14:val="tx1"/>
            </w14:solidFill>
          </w14:textFill>
        </w:rPr>
        <w:t>防腐处理的金属</w:t>
      </w:r>
      <w:r>
        <w:rPr>
          <w:rFonts w:hint="eastAsia" w:ascii="宋体" w:hAnsi="宋体" w:cs="宋体"/>
          <w:sz w:val="24"/>
        </w:rPr>
        <w:t>或纤维增强塑料。</w:t>
      </w:r>
    </w:p>
    <w:p w14:paraId="29311FCB">
      <w:pPr>
        <w:spacing w:line="360" w:lineRule="auto"/>
        <w:rPr>
          <w:rFonts w:ascii="宋体" w:hAnsi="宋体" w:cs="宋体"/>
          <w:sz w:val="24"/>
        </w:rPr>
      </w:pPr>
      <w:r>
        <w:rPr>
          <w:rFonts w:hint="eastAsia"/>
          <w:b/>
          <w:bCs/>
          <w:sz w:val="24"/>
        </w:rPr>
        <w:t>4.3.2</w:t>
      </w:r>
      <w:r>
        <w:rPr>
          <w:rFonts w:hint="eastAsia" w:ascii="宋体" w:hAnsi="宋体" w:cs="宋体"/>
          <w:sz w:val="24"/>
        </w:rPr>
        <w:t xml:space="preserve">  纤维增强塑料（FRP）</w:t>
      </w:r>
      <w:r>
        <w:rPr>
          <w:rFonts w:hint="eastAsia" w:ascii="宋体" w:hAnsi="宋体" w:cs="宋体"/>
          <w:sz w:val="24"/>
          <w:lang w:eastAsia="zh-CN"/>
        </w:rPr>
        <w:t>锚固</w:t>
      </w:r>
      <w:r>
        <w:rPr>
          <w:rFonts w:hint="eastAsia" w:ascii="宋体" w:hAnsi="宋体" w:cs="宋体"/>
          <w:sz w:val="24"/>
        </w:rPr>
        <w:t>件宜采用拉挤成型工艺制作，应符合下列规定：</w:t>
      </w:r>
    </w:p>
    <w:p w14:paraId="0BCCB11E">
      <w:pPr>
        <w:spacing w:line="360" w:lineRule="auto"/>
        <w:ind w:firstLine="482" w:firstLineChars="200"/>
        <w:rPr>
          <w:rFonts w:ascii="宋体" w:hAnsi="宋体" w:cs="宋体"/>
          <w:sz w:val="24"/>
        </w:rPr>
      </w:pPr>
      <w:r>
        <w:rPr>
          <w:rFonts w:hint="eastAsia"/>
          <w:b/>
          <w:bCs/>
          <w:sz w:val="24"/>
        </w:rPr>
        <w:t>1</w:t>
      </w:r>
      <w:r>
        <w:rPr>
          <w:rFonts w:hint="eastAsia" w:ascii="宋体" w:hAnsi="宋体" w:cs="宋体"/>
          <w:sz w:val="24"/>
        </w:rPr>
        <w:t xml:space="preserve">  纤维增强塑料（FRP）</w:t>
      </w:r>
      <w:r>
        <w:rPr>
          <w:rFonts w:hint="eastAsia" w:ascii="宋体" w:hAnsi="宋体" w:cs="宋体"/>
          <w:sz w:val="24"/>
          <w:lang w:eastAsia="zh-CN"/>
        </w:rPr>
        <w:t>锚固</w:t>
      </w:r>
      <w:r>
        <w:rPr>
          <w:rFonts w:hint="eastAsia" w:ascii="宋体" w:hAnsi="宋体" w:cs="宋体"/>
          <w:sz w:val="24"/>
        </w:rPr>
        <w:t>件件的材料力学性能指标应符合表</w:t>
      </w:r>
      <w:r>
        <w:rPr>
          <w:rFonts w:ascii="宋体" w:hAnsi="宋体" w:cs="宋体"/>
          <w:sz w:val="24"/>
        </w:rPr>
        <w:t>4</w:t>
      </w:r>
      <w:r>
        <w:rPr>
          <w:rFonts w:hint="eastAsia" w:ascii="宋体" w:hAnsi="宋体" w:cs="宋体"/>
          <w:sz w:val="24"/>
        </w:rPr>
        <w:t>.</w:t>
      </w:r>
      <w:r>
        <w:rPr>
          <w:rFonts w:ascii="宋体" w:hAnsi="宋体" w:cs="宋体"/>
          <w:sz w:val="24"/>
        </w:rPr>
        <w:t>3</w:t>
      </w:r>
      <w:r>
        <w:rPr>
          <w:rFonts w:hint="eastAsia" w:ascii="宋体" w:hAnsi="宋体" w:cs="宋体"/>
          <w:sz w:val="24"/>
        </w:rPr>
        <w:t>.2的规定：</w:t>
      </w:r>
    </w:p>
    <w:p w14:paraId="5E25F62C">
      <w:pPr>
        <w:spacing w:line="400" w:lineRule="exact"/>
        <w:jc w:val="center"/>
        <w:rPr>
          <w:rFonts w:ascii="宋体" w:hAnsi="宋体" w:cs="宋体"/>
          <w:sz w:val="24"/>
        </w:rPr>
      </w:pPr>
      <w:r>
        <w:rPr>
          <w:rFonts w:hint="eastAsia" w:ascii="宋体" w:hAnsi="宋体" w:cs="宋体"/>
          <w:b/>
          <w:bCs/>
          <w:szCs w:val="21"/>
        </w:rPr>
        <w:t>表</w:t>
      </w:r>
      <w:r>
        <w:rPr>
          <w:b/>
          <w:bCs/>
          <w:szCs w:val="21"/>
        </w:rPr>
        <w:t>4.3.2</w:t>
      </w:r>
      <w:r>
        <w:rPr>
          <w:rFonts w:hint="eastAsia" w:ascii="宋体" w:hAnsi="宋体" w:cs="宋体"/>
          <w:sz w:val="24"/>
        </w:rPr>
        <w:t xml:space="preserve">  </w:t>
      </w:r>
      <w:r>
        <w:rPr>
          <w:rFonts w:hint="eastAsia" w:ascii="宋体" w:hAnsi="宋体" w:cs="宋体"/>
          <w:b/>
          <w:bCs/>
          <w:szCs w:val="21"/>
        </w:rPr>
        <w:t>纤维增强塑料（FRP）</w:t>
      </w:r>
      <w:r>
        <w:rPr>
          <w:rFonts w:hint="eastAsia" w:ascii="宋体" w:hAnsi="宋体" w:cs="宋体"/>
          <w:b/>
          <w:bCs/>
          <w:szCs w:val="21"/>
          <w:lang w:eastAsia="zh-CN"/>
        </w:rPr>
        <w:t>锚固</w:t>
      </w:r>
      <w:r>
        <w:rPr>
          <w:rFonts w:hint="eastAsia" w:ascii="宋体" w:hAnsi="宋体" w:cs="宋体"/>
          <w:b/>
          <w:bCs/>
          <w:szCs w:val="21"/>
        </w:rPr>
        <w:t>件材料力学性能指标</w:t>
      </w:r>
    </w:p>
    <w:tbl>
      <w:tblPr>
        <w:tblStyle w:val="58"/>
        <w:tblW w:w="499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704"/>
        <w:gridCol w:w="1273"/>
        <w:gridCol w:w="4542"/>
      </w:tblGrid>
      <w:tr w14:paraId="0A154C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587" w:type="pct"/>
            <w:tcBorders>
              <w:bottom w:val="single" w:color="auto" w:sz="12" w:space="0"/>
              <w:right w:val="single" w:color="auto" w:sz="4" w:space="0"/>
            </w:tcBorders>
            <w:vAlign w:val="center"/>
          </w:tcPr>
          <w:p w14:paraId="62DC0B95">
            <w:pPr>
              <w:widowControl/>
              <w:adjustRightInd w:val="0"/>
              <w:snapToGrid w:val="0"/>
              <w:jc w:val="center"/>
              <w:rPr>
                <w:rFonts w:ascii="宋体" w:hAnsi="宋体" w:eastAsia="Times New Roman"/>
                <w:kern w:val="0"/>
                <w:szCs w:val="21"/>
              </w:rPr>
            </w:pPr>
            <w:r>
              <w:rPr>
                <w:rFonts w:hint="eastAsia" w:ascii="宋体" w:hAnsi="宋体" w:eastAsia="Times New Roman" w:cs="宋体"/>
                <w:kern w:val="0"/>
                <w:szCs w:val="21"/>
              </w:rPr>
              <w:t>项目</w:t>
            </w:r>
          </w:p>
        </w:tc>
        <w:tc>
          <w:tcPr>
            <w:tcW w:w="747" w:type="pct"/>
            <w:tcBorders>
              <w:left w:val="single" w:color="auto" w:sz="4" w:space="0"/>
              <w:bottom w:val="single" w:color="auto" w:sz="12" w:space="0"/>
              <w:right w:val="single" w:color="auto" w:sz="4" w:space="0"/>
            </w:tcBorders>
            <w:vAlign w:val="center"/>
          </w:tcPr>
          <w:p w14:paraId="516653DF">
            <w:pPr>
              <w:widowControl/>
              <w:adjustRightInd w:val="0"/>
              <w:snapToGrid w:val="0"/>
              <w:jc w:val="center"/>
              <w:rPr>
                <w:rFonts w:ascii="宋体" w:hAnsi="宋体" w:eastAsia="Times New Roman"/>
                <w:kern w:val="0"/>
                <w:szCs w:val="21"/>
              </w:rPr>
            </w:pPr>
            <w:r>
              <w:rPr>
                <w:rFonts w:hint="eastAsia" w:ascii="宋体" w:hAnsi="宋体" w:eastAsia="Times New Roman" w:cs="宋体"/>
                <w:kern w:val="0"/>
                <w:szCs w:val="21"/>
              </w:rPr>
              <w:t>指标要求</w:t>
            </w:r>
          </w:p>
        </w:tc>
        <w:tc>
          <w:tcPr>
            <w:tcW w:w="2665" w:type="pct"/>
            <w:tcBorders>
              <w:left w:val="single" w:color="auto" w:sz="4" w:space="0"/>
              <w:bottom w:val="single" w:color="auto" w:sz="12" w:space="0"/>
            </w:tcBorders>
            <w:vAlign w:val="center"/>
          </w:tcPr>
          <w:p w14:paraId="6C1C6E8B">
            <w:pPr>
              <w:widowControl/>
              <w:adjustRightInd w:val="0"/>
              <w:snapToGrid w:val="0"/>
              <w:jc w:val="center"/>
              <w:rPr>
                <w:rFonts w:ascii="宋体" w:hAnsi="宋体" w:eastAsia="Times New Roman"/>
                <w:kern w:val="0"/>
                <w:szCs w:val="21"/>
              </w:rPr>
            </w:pPr>
            <w:r>
              <w:rPr>
                <w:rFonts w:hint="eastAsia" w:ascii="宋体" w:hAnsi="宋体" w:eastAsia="Times New Roman" w:cs="宋体"/>
                <w:kern w:val="0"/>
                <w:szCs w:val="21"/>
              </w:rPr>
              <w:t>试验方法</w:t>
            </w:r>
          </w:p>
        </w:tc>
      </w:tr>
      <w:tr w14:paraId="5C6D1D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587" w:type="pct"/>
            <w:tcBorders>
              <w:top w:val="single" w:color="auto" w:sz="12" w:space="0"/>
              <w:bottom w:val="single" w:color="auto" w:sz="4" w:space="0"/>
              <w:right w:val="single" w:color="auto" w:sz="4" w:space="0"/>
            </w:tcBorders>
            <w:vAlign w:val="center"/>
          </w:tcPr>
          <w:p w14:paraId="1A8D5FFB">
            <w:pPr>
              <w:widowControl/>
              <w:adjustRightInd w:val="0"/>
              <w:snapToGrid w:val="0"/>
              <w:jc w:val="center"/>
              <w:rPr>
                <w:rFonts w:ascii="宋体" w:hAnsi="宋体" w:eastAsia="Times New Roman"/>
                <w:kern w:val="0"/>
                <w:szCs w:val="21"/>
              </w:rPr>
            </w:pPr>
            <w:r>
              <w:rPr>
                <w:rFonts w:hint="eastAsia" w:ascii="宋体" w:hAnsi="宋体" w:eastAsia="Times New Roman" w:cs="宋体"/>
                <w:kern w:val="0"/>
                <w:szCs w:val="21"/>
              </w:rPr>
              <w:t>拉伸强度</w:t>
            </w:r>
            <w:r>
              <w:rPr>
                <w:rFonts w:hint="eastAsia" w:ascii="宋体" w:hAnsi="宋体" w:eastAsia="宋体" w:cs="宋体"/>
                <w:kern w:val="0"/>
                <w:szCs w:val="21"/>
                <w:lang w:eastAsia="zh-CN"/>
              </w:rPr>
              <w:t>（</w:t>
            </w:r>
            <w:r>
              <w:rPr>
                <w:rFonts w:ascii="宋体" w:hAnsi="宋体" w:eastAsia="Times New Roman"/>
                <w:kern w:val="0"/>
                <w:szCs w:val="21"/>
              </w:rPr>
              <w:t>MPa</w:t>
            </w:r>
            <w:r>
              <w:rPr>
                <w:rFonts w:hint="eastAsia" w:ascii="宋体" w:hAnsi="宋体" w:eastAsia="宋体" w:cs="宋体"/>
                <w:kern w:val="0"/>
                <w:szCs w:val="21"/>
                <w:lang w:eastAsia="zh-CN"/>
              </w:rPr>
              <w:t>）</w:t>
            </w:r>
          </w:p>
        </w:tc>
        <w:tc>
          <w:tcPr>
            <w:tcW w:w="747" w:type="pct"/>
            <w:tcBorders>
              <w:top w:val="single" w:color="auto" w:sz="12" w:space="0"/>
              <w:left w:val="single" w:color="auto" w:sz="4" w:space="0"/>
              <w:bottom w:val="single" w:color="auto" w:sz="4" w:space="0"/>
              <w:right w:val="single" w:color="auto" w:sz="4" w:space="0"/>
            </w:tcBorders>
            <w:vAlign w:val="center"/>
          </w:tcPr>
          <w:p w14:paraId="46671927">
            <w:pPr>
              <w:widowControl/>
              <w:adjustRightInd w:val="0"/>
              <w:snapToGrid w:val="0"/>
              <w:jc w:val="center"/>
              <w:rPr>
                <w:rFonts w:ascii="宋体" w:hAnsi="宋体" w:eastAsia="Times New Roman"/>
                <w:kern w:val="0"/>
                <w:szCs w:val="21"/>
              </w:rPr>
            </w:pPr>
            <w:r>
              <w:rPr>
                <w:rFonts w:hint="eastAsia" w:ascii="宋体" w:hAnsi="宋体" w:eastAsia="Times New Roman"/>
                <w:kern w:val="0"/>
                <w:szCs w:val="21"/>
              </w:rPr>
              <w:t>≥</w:t>
            </w:r>
            <w:r>
              <w:rPr>
                <w:rFonts w:ascii="宋体" w:hAnsi="宋体" w:eastAsia="Times New Roman"/>
                <w:kern w:val="0"/>
                <w:szCs w:val="21"/>
              </w:rPr>
              <w:t>700</w:t>
            </w:r>
          </w:p>
        </w:tc>
        <w:tc>
          <w:tcPr>
            <w:tcW w:w="2665" w:type="pct"/>
            <w:vMerge w:val="restart"/>
            <w:tcBorders>
              <w:top w:val="single" w:color="auto" w:sz="12" w:space="0"/>
              <w:left w:val="single" w:color="auto" w:sz="4" w:space="0"/>
            </w:tcBorders>
            <w:vAlign w:val="center"/>
          </w:tcPr>
          <w:p w14:paraId="05A585C8">
            <w:pPr>
              <w:widowControl/>
              <w:adjustRightInd w:val="0"/>
              <w:snapToGrid w:val="0"/>
              <w:jc w:val="left"/>
              <w:rPr>
                <w:rFonts w:ascii="宋体" w:hAnsi="宋体" w:eastAsia="Times New Roman"/>
                <w:kern w:val="0"/>
                <w:szCs w:val="21"/>
              </w:rPr>
            </w:pPr>
            <w:r>
              <w:rPr>
                <w:rFonts w:hint="eastAsia" w:ascii="宋体" w:hAnsi="宋体" w:eastAsia="Times New Roman"/>
              </w:rPr>
              <w:t>《纤维增强塑料拉伸性能试验方法》</w:t>
            </w:r>
            <w:r>
              <w:rPr>
                <w:rFonts w:ascii="宋体" w:hAnsi="宋体" w:eastAsia="Times New Roman"/>
                <w:kern w:val="0"/>
                <w:szCs w:val="21"/>
              </w:rPr>
              <w:t>GB/T 1447</w:t>
            </w:r>
          </w:p>
          <w:p w14:paraId="6C218751">
            <w:pPr>
              <w:widowControl/>
              <w:adjustRightInd w:val="0"/>
              <w:snapToGrid w:val="0"/>
              <w:jc w:val="left"/>
              <w:rPr>
                <w:rFonts w:ascii="宋体" w:hAnsi="宋体" w:eastAsia="Times New Roman"/>
                <w:kern w:val="0"/>
                <w:szCs w:val="21"/>
              </w:rPr>
            </w:pPr>
            <w:r>
              <w:rPr>
                <w:rFonts w:hint="eastAsia" w:ascii="宋体" w:hAnsi="宋体" w:eastAsia="Times New Roman"/>
              </w:rPr>
              <w:t>《纤维增强复合材料筋基本力学性能试验方法》</w:t>
            </w:r>
            <w:r>
              <w:rPr>
                <w:rFonts w:ascii="宋体" w:hAnsi="宋体" w:eastAsia="Times New Roman"/>
                <w:kern w:val="0"/>
                <w:szCs w:val="21"/>
              </w:rPr>
              <w:t>GB/T</w:t>
            </w:r>
            <w:r>
              <w:rPr>
                <w:rFonts w:hint="eastAsia" w:ascii="宋体" w:hAnsi="宋体" w:eastAsia="Times New Roman"/>
                <w:kern w:val="0"/>
                <w:szCs w:val="21"/>
              </w:rPr>
              <w:t xml:space="preserve"> </w:t>
            </w:r>
            <w:r>
              <w:rPr>
                <w:rFonts w:ascii="宋体" w:hAnsi="宋体" w:eastAsia="Times New Roman"/>
                <w:kern w:val="0"/>
                <w:szCs w:val="21"/>
              </w:rPr>
              <w:t>30022</w:t>
            </w:r>
          </w:p>
        </w:tc>
      </w:tr>
      <w:tr w14:paraId="29F2D3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587" w:type="pct"/>
            <w:tcBorders>
              <w:top w:val="single" w:color="auto" w:sz="4" w:space="0"/>
              <w:bottom w:val="single" w:color="auto" w:sz="4" w:space="0"/>
              <w:right w:val="single" w:color="auto" w:sz="4" w:space="0"/>
            </w:tcBorders>
            <w:vAlign w:val="center"/>
          </w:tcPr>
          <w:p w14:paraId="6AB6817C">
            <w:pPr>
              <w:widowControl/>
              <w:adjustRightInd w:val="0"/>
              <w:snapToGrid w:val="0"/>
              <w:jc w:val="center"/>
              <w:rPr>
                <w:rFonts w:ascii="宋体" w:hAnsi="宋体" w:eastAsia="Times New Roman"/>
                <w:kern w:val="0"/>
                <w:szCs w:val="21"/>
              </w:rPr>
            </w:pPr>
            <w:r>
              <w:rPr>
                <w:rFonts w:hint="eastAsia" w:ascii="宋体" w:hAnsi="宋体" w:eastAsia="Times New Roman" w:cs="宋体"/>
                <w:kern w:val="0"/>
                <w:szCs w:val="21"/>
              </w:rPr>
              <w:t>拉伸弹模</w:t>
            </w:r>
            <w:r>
              <w:rPr>
                <w:rFonts w:hint="eastAsia" w:ascii="宋体" w:hAnsi="宋体" w:eastAsia="宋体" w:cs="宋体"/>
                <w:kern w:val="0"/>
                <w:szCs w:val="21"/>
                <w:lang w:eastAsia="zh-CN"/>
              </w:rPr>
              <w:t>（</w:t>
            </w:r>
            <w:r>
              <w:rPr>
                <w:rFonts w:ascii="宋体" w:hAnsi="宋体" w:eastAsia="Times New Roman"/>
                <w:kern w:val="0"/>
                <w:szCs w:val="21"/>
              </w:rPr>
              <w:t>GPa</w:t>
            </w:r>
            <w:r>
              <w:rPr>
                <w:rFonts w:hint="eastAsia" w:ascii="宋体" w:hAnsi="宋体" w:eastAsia="宋体" w:cs="宋体"/>
                <w:kern w:val="0"/>
                <w:szCs w:val="21"/>
                <w:lang w:eastAsia="zh-CN"/>
              </w:rPr>
              <w:t>）</w:t>
            </w:r>
          </w:p>
        </w:tc>
        <w:tc>
          <w:tcPr>
            <w:tcW w:w="747" w:type="pct"/>
            <w:tcBorders>
              <w:top w:val="single" w:color="auto" w:sz="4" w:space="0"/>
              <w:left w:val="single" w:color="auto" w:sz="4" w:space="0"/>
              <w:bottom w:val="single" w:color="auto" w:sz="4" w:space="0"/>
              <w:right w:val="single" w:color="auto" w:sz="4" w:space="0"/>
            </w:tcBorders>
            <w:vAlign w:val="center"/>
          </w:tcPr>
          <w:p w14:paraId="001059EB">
            <w:pPr>
              <w:widowControl/>
              <w:adjustRightInd w:val="0"/>
              <w:snapToGrid w:val="0"/>
              <w:jc w:val="center"/>
              <w:rPr>
                <w:rFonts w:ascii="宋体" w:hAnsi="宋体" w:eastAsia="Times New Roman"/>
                <w:color w:val="FF0000"/>
                <w:kern w:val="0"/>
                <w:szCs w:val="21"/>
              </w:rPr>
            </w:pPr>
            <w:r>
              <w:rPr>
                <w:rFonts w:hint="eastAsia" w:ascii="宋体" w:hAnsi="宋体" w:eastAsia="Times New Roman"/>
                <w:kern w:val="0"/>
                <w:szCs w:val="21"/>
              </w:rPr>
              <w:t>≥</w:t>
            </w:r>
            <w:r>
              <w:rPr>
                <w:rFonts w:ascii="宋体" w:hAnsi="宋体" w:eastAsia="Times New Roman"/>
                <w:color w:val="000000" w:themeColor="text1"/>
                <w:kern w:val="0"/>
                <w:szCs w:val="21"/>
                <w14:textFill>
                  <w14:solidFill>
                    <w14:schemeClr w14:val="tx1"/>
                  </w14:solidFill>
                </w14:textFill>
              </w:rPr>
              <w:t>40</w:t>
            </w:r>
          </w:p>
          <w:p w14:paraId="35EECF05">
            <w:pPr>
              <w:widowControl/>
              <w:adjustRightInd w:val="0"/>
              <w:snapToGrid w:val="0"/>
              <w:jc w:val="center"/>
              <w:rPr>
                <w:rFonts w:ascii="宋体" w:hAnsi="宋体" w:eastAsia="Times New Roman"/>
                <w:kern w:val="0"/>
                <w:szCs w:val="21"/>
              </w:rPr>
            </w:pPr>
          </w:p>
        </w:tc>
        <w:tc>
          <w:tcPr>
            <w:tcW w:w="2665" w:type="pct"/>
            <w:vMerge w:val="continue"/>
            <w:tcBorders>
              <w:left w:val="single" w:color="auto" w:sz="4" w:space="0"/>
              <w:bottom w:val="single" w:color="auto" w:sz="4" w:space="0"/>
            </w:tcBorders>
            <w:vAlign w:val="center"/>
          </w:tcPr>
          <w:p w14:paraId="3E0F5434">
            <w:pPr>
              <w:widowControl/>
              <w:adjustRightInd w:val="0"/>
              <w:snapToGrid w:val="0"/>
              <w:jc w:val="left"/>
              <w:rPr>
                <w:rFonts w:ascii="宋体" w:hAnsi="宋体" w:eastAsia="Times New Roman"/>
                <w:kern w:val="0"/>
                <w:szCs w:val="21"/>
              </w:rPr>
            </w:pPr>
          </w:p>
        </w:tc>
      </w:tr>
      <w:tr w14:paraId="007A58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587" w:type="pct"/>
            <w:tcBorders>
              <w:top w:val="single" w:color="auto" w:sz="4" w:space="0"/>
              <w:right w:val="single" w:color="auto" w:sz="4" w:space="0"/>
            </w:tcBorders>
            <w:vAlign w:val="center"/>
          </w:tcPr>
          <w:p w14:paraId="5903E357">
            <w:pPr>
              <w:widowControl/>
              <w:adjustRightInd w:val="0"/>
              <w:snapToGrid w:val="0"/>
              <w:jc w:val="center"/>
              <w:rPr>
                <w:rFonts w:ascii="宋体" w:hAnsi="宋体" w:eastAsia="Times New Roman"/>
                <w:kern w:val="0"/>
                <w:szCs w:val="21"/>
              </w:rPr>
            </w:pPr>
            <w:r>
              <w:rPr>
                <w:rFonts w:hint="eastAsia" w:ascii="宋体" w:hAnsi="宋体" w:eastAsia="Times New Roman" w:cs="宋体"/>
                <w:kern w:val="0"/>
                <w:szCs w:val="21"/>
              </w:rPr>
              <w:t>层间抗剪强度（</w:t>
            </w:r>
            <w:r>
              <w:rPr>
                <w:rFonts w:ascii="宋体" w:hAnsi="宋体" w:eastAsia="Times New Roman"/>
                <w:kern w:val="0"/>
                <w:szCs w:val="21"/>
              </w:rPr>
              <w:t>MPa</w:t>
            </w:r>
            <w:r>
              <w:rPr>
                <w:rFonts w:hint="eastAsia" w:ascii="宋体" w:hAnsi="宋体" w:eastAsia="Times New Roman" w:cs="宋体"/>
                <w:kern w:val="0"/>
                <w:szCs w:val="21"/>
              </w:rPr>
              <w:t>）</w:t>
            </w:r>
          </w:p>
        </w:tc>
        <w:tc>
          <w:tcPr>
            <w:tcW w:w="747" w:type="pct"/>
            <w:tcBorders>
              <w:top w:val="single" w:color="auto" w:sz="4" w:space="0"/>
              <w:left w:val="single" w:color="auto" w:sz="4" w:space="0"/>
              <w:right w:val="single" w:color="auto" w:sz="4" w:space="0"/>
            </w:tcBorders>
            <w:vAlign w:val="center"/>
          </w:tcPr>
          <w:p w14:paraId="53CC6C6D">
            <w:pPr>
              <w:widowControl/>
              <w:adjustRightInd w:val="0"/>
              <w:snapToGrid w:val="0"/>
              <w:jc w:val="center"/>
              <w:rPr>
                <w:rFonts w:ascii="宋体" w:hAnsi="宋体" w:eastAsia="Times New Roman"/>
                <w:kern w:val="0"/>
                <w:szCs w:val="21"/>
              </w:rPr>
            </w:pPr>
            <w:r>
              <w:rPr>
                <w:rFonts w:hint="eastAsia" w:ascii="宋体" w:hAnsi="宋体" w:eastAsia="Times New Roman"/>
                <w:kern w:val="0"/>
                <w:szCs w:val="21"/>
              </w:rPr>
              <w:t>≥</w:t>
            </w:r>
            <w:r>
              <w:rPr>
                <w:rFonts w:ascii="宋体" w:hAnsi="宋体" w:eastAsia="Times New Roman"/>
                <w:kern w:val="0"/>
                <w:szCs w:val="21"/>
              </w:rPr>
              <w:t>30</w:t>
            </w:r>
          </w:p>
        </w:tc>
        <w:tc>
          <w:tcPr>
            <w:tcW w:w="2665" w:type="pct"/>
            <w:tcBorders>
              <w:top w:val="single" w:color="auto" w:sz="4" w:space="0"/>
              <w:left w:val="single" w:color="auto" w:sz="4" w:space="0"/>
            </w:tcBorders>
            <w:vAlign w:val="center"/>
          </w:tcPr>
          <w:p w14:paraId="6040B417">
            <w:pPr>
              <w:widowControl/>
              <w:adjustRightInd w:val="0"/>
              <w:snapToGrid w:val="0"/>
              <w:jc w:val="both"/>
              <w:rPr>
                <w:rFonts w:ascii="宋体" w:hAnsi="宋体" w:eastAsia="Times New Roman"/>
              </w:rPr>
            </w:pPr>
            <w:r>
              <w:rPr>
                <w:rFonts w:hint="eastAsia" w:ascii="宋体" w:hAnsi="宋体" w:eastAsia="Times New Roman"/>
              </w:rPr>
              <w:t>《纤维增强塑料 短梁法测定层间剪切强度》</w:t>
            </w:r>
          </w:p>
          <w:p w14:paraId="3BF3B1F6">
            <w:pPr>
              <w:widowControl/>
              <w:adjustRightInd w:val="0"/>
              <w:snapToGrid w:val="0"/>
              <w:jc w:val="left"/>
              <w:rPr>
                <w:rFonts w:ascii="宋体" w:hAnsi="宋体" w:eastAsia="Times New Roman"/>
                <w:kern w:val="0"/>
                <w:szCs w:val="21"/>
              </w:rPr>
            </w:pPr>
            <w:r>
              <w:rPr>
                <w:rFonts w:ascii="宋体" w:hAnsi="宋体" w:eastAsia="Times New Roman"/>
                <w:kern w:val="0"/>
                <w:szCs w:val="21"/>
              </w:rPr>
              <w:t>JC/T 773</w:t>
            </w:r>
          </w:p>
        </w:tc>
      </w:tr>
    </w:tbl>
    <w:p w14:paraId="64726BBC">
      <w:pPr>
        <w:spacing w:line="360" w:lineRule="auto"/>
        <w:ind w:firstLine="482" w:firstLineChars="200"/>
        <w:rPr>
          <w:rFonts w:ascii="宋体" w:hAnsi="宋体" w:cs="宋体"/>
          <w:sz w:val="24"/>
        </w:rPr>
      </w:pPr>
      <w:r>
        <w:rPr>
          <w:rFonts w:hint="eastAsia"/>
          <w:b/>
          <w:bCs/>
          <w:sz w:val="24"/>
        </w:rPr>
        <w:t>2</w:t>
      </w:r>
      <w:r>
        <w:rPr>
          <w:rFonts w:hint="eastAsia" w:ascii="宋体" w:hAnsi="宋体" w:cs="宋体"/>
          <w:sz w:val="24"/>
        </w:rPr>
        <w:t xml:space="preserve">  纤维增强塑料（FRP）</w:t>
      </w:r>
      <w:r>
        <w:rPr>
          <w:rFonts w:hint="eastAsia" w:ascii="宋体" w:hAnsi="宋体" w:cs="宋体"/>
          <w:sz w:val="24"/>
          <w:lang w:eastAsia="zh-CN"/>
        </w:rPr>
        <w:t>锚固</w:t>
      </w:r>
      <w:r>
        <w:rPr>
          <w:rFonts w:hint="eastAsia" w:ascii="宋体" w:hAnsi="宋体" w:cs="宋体"/>
          <w:sz w:val="24"/>
        </w:rPr>
        <w:t>件的抗拉强度设计值应根据混凝土环境及长期荷载的影响予以折减。</w:t>
      </w:r>
    </w:p>
    <w:p w14:paraId="712CE51A">
      <w:pPr>
        <w:spacing w:line="360" w:lineRule="auto"/>
        <w:rPr>
          <w:rFonts w:ascii="宋体" w:hAnsi="宋体" w:cs="宋体"/>
          <w:sz w:val="24"/>
          <w:highlight w:val="none"/>
        </w:rPr>
      </w:pPr>
      <w:r>
        <w:rPr>
          <w:rFonts w:hint="eastAsia"/>
          <w:b/>
          <w:bCs/>
          <w:sz w:val="24"/>
        </w:rPr>
        <w:t>4.3.3</w:t>
      </w:r>
      <w:r>
        <w:rPr>
          <w:rFonts w:hint="eastAsia" w:ascii="宋体" w:hAnsi="宋体" w:cs="宋体"/>
          <w:sz w:val="24"/>
        </w:rPr>
        <w:t xml:space="preserve">  </w:t>
      </w:r>
      <w:r>
        <w:rPr>
          <w:rFonts w:hint="eastAsia" w:ascii="宋体" w:hAnsi="宋体" w:cs="宋体"/>
          <w:sz w:val="24"/>
          <w:highlight w:val="none"/>
        </w:rPr>
        <w:t>不锈钢锚固件应符合下列规定：</w:t>
      </w:r>
    </w:p>
    <w:p w14:paraId="04708266">
      <w:pPr>
        <w:spacing w:line="360" w:lineRule="auto"/>
        <w:rPr>
          <w:rFonts w:ascii="宋体" w:hAnsi="宋体" w:cs="宋体"/>
          <w:sz w:val="24"/>
          <w:highlight w:val="none"/>
        </w:rPr>
      </w:pPr>
      <w:r>
        <w:rPr>
          <w:rFonts w:hint="eastAsia" w:ascii="宋体" w:hAnsi="宋体" w:cs="宋体"/>
          <w:sz w:val="24"/>
          <w:highlight w:val="none"/>
        </w:rPr>
        <w:t xml:space="preserve">   </w:t>
      </w:r>
      <w:r>
        <w:rPr>
          <w:rFonts w:hint="eastAsia"/>
          <w:b/>
          <w:bCs/>
          <w:sz w:val="24"/>
          <w:highlight w:val="none"/>
        </w:rPr>
        <w:t>1</w:t>
      </w:r>
      <w:r>
        <w:rPr>
          <w:rFonts w:hint="eastAsia" w:ascii="宋体" w:hAnsi="宋体" w:cs="宋体"/>
          <w:sz w:val="24"/>
          <w:highlight w:val="none"/>
        </w:rPr>
        <w:t xml:space="preserve">  锚固件不锈钢的材料力学性能应符合表4.3.3-1的规定；</w:t>
      </w:r>
    </w:p>
    <w:p w14:paraId="7FDCA4A3">
      <w:pPr>
        <w:pStyle w:val="2"/>
        <w:rPr>
          <w:rFonts w:ascii="宋体" w:hAnsi="宋体" w:cs="宋体"/>
          <w:sz w:val="24"/>
          <w:highlight w:val="none"/>
        </w:rPr>
      </w:pPr>
      <w:r>
        <w:rPr>
          <w:rFonts w:hint="eastAsia" w:ascii="宋体" w:hAnsi="宋体" w:cs="宋体"/>
          <w:sz w:val="24"/>
          <w:highlight w:val="none"/>
        </w:rPr>
        <w:t xml:space="preserve">   </w:t>
      </w:r>
      <w:r>
        <w:rPr>
          <w:rFonts w:hint="eastAsia"/>
          <w:b/>
          <w:bCs/>
          <w:sz w:val="24"/>
          <w:highlight w:val="none"/>
        </w:rPr>
        <w:t>2</w:t>
      </w:r>
      <w:r>
        <w:rPr>
          <w:rFonts w:hint="eastAsia" w:ascii="宋体" w:hAnsi="宋体" w:cs="宋体"/>
          <w:sz w:val="24"/>
          <w:highlight w:val="none"/>
        </w:rPr>
        <w:t xml:space="preserve">  锚固件常用规格件表4.3.3-2；</w:t>
      </w:r>
    </w:p>
    <w:p w14:paraId="36EEAFA9">
      <w:pPr>
        <w:rPr>
          <w:rFonts w:ascii="宋体" w:hAnsi="宋体" w:cs="宋体"/>
          <w:sz w:val="24"/>
          <w:highlight w:val="none"/>
        </w:rPr>
      </w:pPr>
      <w:r>
        <w:rPr>
          <w:rFonts w:hint="eastAsia" w:ascii="宋体" w:hAnsi="宋体" w:cs="宋体"/>
          <w:sz w:val="24"/>
          <w:highlight w:val="none"/>
        </w:rPr>
        <w:t xml:space="preserve">  </w:t>
      </w:r>
      <w:r>
        <w:rPr>
          <w:rFonts w:hint="eastAsia"/>
          <w:b/>
          <w:bCs/>
          <w:sz w:val="24"/>
          <w:highlight w:val="none"/>
        </w:rPr>
        <w:t xml:space="preserve"> 3</w:t>
      </w:r>
      <w:r>
        <w:rPr>
          <w:rFonts w:hint="eastAsia" w:ascii="宋体" w:hAnsi="宋体" w:cs="宋体"/>
          <w:sz w:val="24"/>
          <w:highlight w:val="none"/>
        </w:rPr>
        <w:t xml:space="preserve">  锚固件性能指标要求应符合表4.3.3-3的规定；</w:t>
      </w:r>
    </w:p>
    <w:p w14:paraId="41D2D435">
      <w:pPr>
        <w:pStyle w:val="54"/>
        <w:spacing w:line="360" w:lineRule="auto"/>
        <w:ind w:firstLine="0" w:firstLineChars="0"/>
        <w:jc w:val="center"/>
        <w:rPr>
          <w:rFonts w:ascii="宋体" w:hAnsi="宋体" w:cs="宋体"/>
          <w:b/>
          <w:bCs/>
          <w:szCs w:val="21"/>
          <w:highlight w:val="none"/>
        </w:rPr>
      </w:pPr>
      <w:r>
        <w:rPr>
          <w:rFonts w:hint="eastAsia" w:ascii="宋体" w:hAnsi="宋体" w:cs="宋体"/>
          <w:b/>
          <w:bCs/>
          <w:szCs w:val="21"/>
          <w:highlight w:val="none"/>
        </w:rPr>
        <w:t>表</w:t>
      </w:r>
      <w:r>
        <w:rPr>
          <w:rFonts w:hint="eastAsia" w:ascii="Times New Roman" w:hAnsi="Times New Roman"/>
          <w:b/>
          <w:bCs/>
          <w:szCs w:val="21"/>
          <w:highlight w:val="none"/>
        </w:rPr>
        <w:t xml:space="preserve">4.3.3-1 </w:t>
      </w:r>
      <w:r>
        <w:rPr>
          <w:rFonts w:hint="eastAsia" w:ascii="宋体" w:hAnsi="宋体" w:cs="宋体"/>
          <w:b/>
          <w:bCs/>
          <w:szCs w:val="21"/>
          <w:highlight w:val="none"/>
        </w:rPr>
        <w:t xml:space="preserve"> 锚固件不锈钢材料的力学性能要求</w:t>
      </w:r>
    </w:p>
    <w:tbl>
      <w:tblPr>
        <w:tblStyle w:val="24"/>
        <w:tblW w:w="4998" w:type="pct"/>
        <w:jc w:val="center"/>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Layout w:type="autofit"/>
        <w:tblCellMar>
          <w:top w:w="0" w:type="dxa"/>
          <w:left w:w="108" w:type="dxa"/>
          <w:bottom w:w="0" w:type="dxa"/>
          <w:right w:w="108" w:type="dxa"/>
        </w:tblCellMar>
      </w:tblPr>
      <w:tblGrid>
        <w:gridCol w:w="2382"/>
        <w:gridCol w:w="3390"/>
        <w:gridCol w:w="2747"/>
      </w:tblGrid>
      <w:tr w14:paraId="0136440D">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trHeight w:val="527" w:hRule="atLeast"/>
          <w:jc w:val="center"/>
        </w:trPr>
        <w:tc>
          <w:tcPr>
            <w:tcW w:w="1398" w:type="pct"/>
            <w:tcBorders>
              <w:bottom w:val="single" w:color="auto" w:sz="12" w:space="0"/>
              <w:right w:val="single" w:color="auto" w:sz="4" w:space="0"/>
            </w:tcBorders>
            <w:vAlign w:val="center"/>
          </w:tcPr>
          <w:p w14:paraId="44DA85BB">
            <w:pPr>
              <w:jc w:val="center"/>
              <w:rPr>
                <w:rFonts w:ascii="宋体" w:hAnsi="宋体" w:cs="宋体"/>
              </w:rPr>
            </w:pPr>
            <w:r>
              <w:rPr>
                <w:rFonts w:hint="eastAsia" w:ascii="宋体" w:hAnsi="宋体" w:cs="宋体"/>
              </w:rPr>
              <w:t>项目</w:t>
            </w:r>
          </w:p>
        </w:tc>
        <w:tc>
          <w:tcPr>
            <w:tcW w:w="1989" w:type="pct"/>
            <w:tcBorders>
              <w:left w:val="single" w:color="auto" w:sz="4" w:space="0"/>
              <w:bottom w:val="single" w:color="auto" w:sz="12" w:space="0"/>
              <w:right w:val="single" w:color="auto" w:sz="4" w:space="0"/>
            </w:tcBorders>
            <w:vAlign w:val="center"/>
          </w:tcPr>
          <w:p w14:paraId="08BC0CA1">
            <w:pPr>
              <w:jc w:val="center"/>
              <w:rPr>
                <w:rFonts w:ascii="宋体" w:hAnsi="宋体" w:cs="宋体"/>
              </w:rPr>
            </w:pPr>
            <w:r>
              <w:rPr>
                <w:rFonts w:hint="eastAsia" w:ascii="宋体" w:hAnsi="宋体" w:cs="宋体"/>
              </w:rPr>
              <w:t>性能要求</w:t>
            </w:r>
          </w:p>
        </w:tc>
        <w:tc>
          <w:tcPr>
            <w:tcW w:w="1612" w:type="pct"/>
            <w:tcBorders>
              <w:left w:val="single" w:color="auto" w:sz="4" w:space="0"/>
              <w:bottom w:val="single" w:color="auto" w:sz="12" w:space="0"/>
            </w:tcBorders>
            <w:vAlign w:val="center"/>
          </w:tcPr>
          <w:p w14:paraId="118A42DF">
            <w:pPr>
              <w:jc w:val="center"/>
              <w:rPr>
                <w:rFonts w:ascii="宋体" w:hAnsi="宋体" w:cs="宋体"/>
              </w:rPr>
            </w:pPr>
            <w:r>
              <w:rPr>
                <w:rFonts w:hint="eastAsia" w:ascii="宋体" w:hAnsi="宋体" w:cs="宋体"/>
              </w:rPr>
              <w:t>试验方法</w:t>
            </w:r>
          </w:p>
        </w:tc>
      </w:tr>
      <w:tr w14:paraId="72F2D8A3">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trHeight w:val="527" w:hRule="atLeast"/>
          <w:jc w:val="center"/>
        </w:trPr>
        <w:tc>
          <w:tcPr>
            <w:tcW w:w="1398" w:type="pct"/>
            <w:tcBorders>
              <w:top w:val="single" w:color="auto" w:sz="12" w:space="0"/>
              <w:bottom w:val="single" w:color="auto" w:sz="4" w:space="0"/>
              <w:right w:val="single" w:color="auto" w:sz="4" w:space="0"/>
            </w:tcBorders>
            <w:vAlign w:val="center"/>
          </w:tcPr>
          <w:p w14:paraId="1D9BA8CE">
            <w:pPr>
              <w:jc w:val="center"/>
              <w:rPr>
                <w:rFonts w:ascii="宋体" w:hAnsi="宋体" w:cs="宋体"/>
              </w:rPr>
            </w:pPr>
            <w:r>
              <w:rPr>
                <w:rFonts w:hint="eastAsia" w:ascii="宋体" w:hAnsi="宋体" w:cs="宋体"/>
              </w:rPr>
              <w:t>规定塑性延伸强度R</w:t>
            </w:r>
            <w:r>
              <w:rPr>
                <w:rFonts w:hint="eastAsia" w:ascii="宋体" w:hAnsi="宋体" w:cs="宋体"/>
                <w:vertAlign w:val="subscript"/>
              </w:rPr>
              <w:t>p0.2</w:t>
            </w:r>
            <w:r>
              <w:rPr>
                <w:rFonts w:hint="eastAsia" w:ascii="宋体" w:hAnsi="宋体" w:cs="宋体"/>
              </w:rPr>
              <w:t>（MPa）</w:t>
            </w:r>
          </w:p>
        </w:tc>
        <w:tc>
          <w:tcPr>
            <w:tcW w:w="1989" w:type="pct"/>
            <w:tcBorders>
              <w:top w:val="single" w:color="auto" w:sz="12" w:space="0"/>
              <w:left w:val="single" w:color="auto" w:sz="4" w:space="0"/>
              <w:bottom w:val="single" w:color="auto" w:sz="4" w:space="0"/>
              <w:right w:val="single" w:color="auto" w:sz="4" w:space="0"/>
            </w:tcBorders>
            <w:vAlign w:val="center"/>
          </w:tcPr>
          <w:p w14:paraId="3823A3E2">
            <w:pPr>
              <w:jc w:val="center"/>
              <w:rPr>
                <w:rFonts w:ascii="宋体" w:hAnsi="宋体" w:cs="宋体"/>
              </w:rPr>
            </w:pPr>
            <w:r>
              <w:rPr>
                <w:rFonts w:hint="eastAsia" w:ascii="宋体" w:hAnsi="宋体" w:cs="宋体"/>
              </w:rPr>
              <w:t>≥380</w:t>
            </w:r>
          </w:p>
        </w:tc>
        <w:tc>
          <w:tcPr>
            <w:tcW w:w="1612" w:type="pct"/>
            <w:vMerge w:val="restart"/>
            <w:tcBorders>
              <w:top w:val="single" w:color="auto" w:sz="12" w:space="0"/>
              <w:left w:val="single" w:color="auto" w:sz="4" w:space="0"/>
            </w:tcBorders>
            <w:vAlign w:val="center"/>
          </w:tcPr>
          <w:p w14:paraId="61792FF8">
            <w:pPr>
              <w:jc w:val="left"/>
              <w:rPr>
                <w:rFonts w:ascii="宋体" w:hAnsi="宋体" w:cs="宋体"/>
              </w:rPr>
            </w:pPr>
            <w:r>
              <w:rPr>
                <w:rFonts w:hint="eastAsia" w:ascii="宋体" w:hAnsi="宋体" w:cs="宋体"/>
              </w:rPr>
              <w:t>《金属材料拉伸试验》GB/T 228.1</w:t>
            </w:r>
          </w:p>
        </w:tc>
      </w:tr>
      <w:tr w14:paraId="28AFFC2A">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trHeight w:val="527" w:hRule="atLeast"/>
          <w:jc w:val="center"/>
        </w:trPr>
        <w:tc>
          <w:tcPr>
            <w:tcW w:w="1398" w:type="pct"/>
            <w:tcBorders>
              <w:top w:val="single" w:color="auto" w:sz="4" w:space="0"/>
              <w:bottom w:val="single" w:color="auto" w:sz="4" w:space="0"/>
              <w:right w:val="single" w:color="auto" w:sz="4" w:space="0"/>
            </w:tcBorders>
            <w:vAlign w:val="center"/>
          </w:tcPr>
          <w:p w14:paraId="4A4E59D9">
            <w:pPr>
              <w:jc w:val="center"/>
              <w:rPr>
                <w:rFonts w:ascii="宋体" w:hAnsi="宋体" w:cs="宋体"/>
              </w:rPr>
            </w:pPr>
            <w:r>
              <w:rPr>
                <w:rFonts w:hint="eastAsia" w:ascii="宋体" w:hAnsi="宋体" w:cs="宋体"/>
              </w:rPr>
              <w:t>抗拉强度R</w:t>
            </w:r>
            <w:r>
              <w:rPr>
                <w:rFonts w:hint="eastAsia" w:ascii="宋体" w:hAnsi="宋体" w:cs="宋体"/>
                <w:vertAlign w:val="subscript"/>
              </w:rPr>
              <w:t>m</w:t>
            </w:r>
            <w:r>
              <w:rPr>
                <w:rFonts w:hint="eastAsia" w:ascii="宋体" w:hAnsi="宋体" w:cs="宋体"/>
              </w:rPr>
              <w:t>（MPa）</w:t>
            </w:r>
          </w:p>
        </w:tc>
        <w:tc>
          <w:tcPr>
            <w:tcW w:w="1989" w:type="pct"/>
            <w:tcBorders>
              <w:top w:val="single" w:color="auto" w:sz="4" w:space="0"/>
              <w:left w:val="single" w:color="auto" w:sz="4" w:space="0"/>
              <w:bottom w:val="single" w:color="auto" w:sz="4" w:space="0"/>
              <w:right w:val="single" w:color="auto" w:sz="4" w:space="0"/>
            </w:tcBorders>
            <w:vAlign w:val="center"/>
          </w:tcPr>
          <w:p w14:paraId="338B3E03">
            <w:pPr>
              <w:jc w:val="center"/>
              <w:rPr>
                <w:rFonts w:ascii="宋体" w:hAnsi="宋体" w:cs="宋体"/>
              </w:rPr>
            </w:pPr>
            <w:r>
              <w:rPr>
                <w:rFonts w:hint="eastAsia" w:ascii="宋体" w:hAnsi="宋体" w:cs="宋体"/>
              </w:rPr>
              <w:t>≥600</w:t>
            </w:r>
          </w:p>
        </w:tc>
        <w:tc>
          <w:tcPr>
            <w:tcW w:w="1612" w:type="pct"/>
            <w:vMerge w:val="continue"/>
            <w:tcBorders>
              <w:left w:val="single" w:color="auto" w:sz="4" w:space="0"/>
            </w:tcBorders>
            <w:vAlign w:val="center"/>
          </w:tcPr>
          <w:p w14:paraId="4A65BE0C">
            <w:pPr>
              <w:jc w:val="center"/>
              <w:rPr>
                <w:rFonts w:ascii="宋体" w:hAnsi="宋体" w:cs="宋体"/>
              </w:rPr>
            </w:pPr>
          </w:p>
        </w:tc>
      </w:tr>
      <w:tr w14:paraId="4B74B54D">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trHeight w:val="514" w:hRule="atLeast"/>
          <w:jc w:val="center"/>
        </w:trPr>
        <w:tc>
          <w:tcPr>
            <w:tcW w:w="1398" w:type="pct"/>
            <w:tcBorders>
              <w:top w:val="single" w:color="auto" w:sz="4" w:space="0"/>
              <w:bottom w:val="single" w:color="auto" w:sz="4" w:space="0"/>
              <w:right w:val="single" w:color="auto" w:sz="4" w:space="0"/>
            </w:tcBorders>
            <w:vAlign w:val="center"/>
          </w:tcPr>
          <w:p w14:paraId="4BE8D62B">
            <w:pPr>
              <w:jc w:val="center"/>
              <w:rPr>
                <w:rFonts w:ascii="宋体" w:hAnsi="宋体" w:cs="宋体"/>
              </w:rPr>
            </w:pPr>
            <w:r>
              <w:rPr>
                <w:rFonts w:hint="eastAsia" w:ascii="宋体" w:hAnsi="宋体" w:cs="宋体"/>
              </w:rPr>
              <w:t>断后伸长率A(%)</w:t>
            </w:r>
          </w:p>
        </w:tc>
        <w:tc>
          <w:tcPr>
            <w:tcW w:w="1989" w:type="pct"/>
            <w:tcBorders>
              <w:top w:val="single" w:color="auto" w:sz="4" w:space="0"/>
              <w:left w:val="single" w:color="auto" w:sz="4" w:space="0"/>
              <w:bottom w:val="single" w:color="auto" w:sz="4" w:space="0"/>
              <w:right w:val="single" w:color="auto" w:sz="4" w:space="0"/>
            </w:tcBorders>
            <w:vAlign w:val="center"/>
          </w:tcPr>
          <w:p w14:paraId="1A7B0828">
            <w:pPr>
              <w:jc w:val="center"/>
              <w:rPr>
                <w:rFonts w:ascii="宋体" w:hAnsi="宋体" w:cs="宋体"/>
              </w:rPr>
            </w:pPr>
            <w:r>
              <w:rPr>
                <w:rFonts w:hint="eastAsia" w:ascii="宋体" w:hAnsi="宋体" w:cs="宋体"/>
              </w:rPr>
              <w:t>≥30</w:t>
            </w:r>
          </w:p>
        </w:tc>
        <w:tc>
          <w:tcPr>
            <w:tcW w:w="1612" w:type="pct"/>
            <w:vMerge w:val="continue"/>
            <w:tcBorders>
              <w:left w:val="single" w:color="auto" w:sz="4" w:space="0"/>
              <w:bottom w:val="single" w:color="auto" w:sz="4" w:space="0"/>
            </w:tcBorders>
            <w:vAlign w:val="center"/>
          </w:tcPr>
          <w:p w14:paraId="149D7277">
            <w:pPr>
              <w:jc w:val="center"/>
              <w:rPr>
                <w:rFonts w:ascii="宋体" w:hAnsi="宋体" w:cs="宋体"/>
              </w:rPr>
            </w:pPr>
          </w:p>
        </w:tc>
      </w:tr>
      <w:tr w14:paraId="53301312">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trHeight w:val="742" w:hRule="atLeast"/>
          <w:jc w:val="center"/>
        </w:trPr>
        <w:tc>
          <w:tcPr>
            <w:tcW w:w="1398" w:type="pct"/>
            <w:tcBorders>
              <w:top w:val="single" w:color="auto" w:sz="4" w:space="0"/>
              <w:right w:val="single" w:color="auto" w:sz="4" w:space="0"/>
            </w:tcBorders>
            <w:vAlign w:val="center"/>
          </w:tcPr>
          <w:p w14:paraId="102B248B">
            <w:pPr>
              <w:jc w:val="center"/>
              <w:rPr>
                <w:rFonts w:ascii="宋体" w:hAnsi="宋体" w:cs="宋体"/>
              </w:rPr>
            </w:pPr>
            <w:r>
              <w:rPr>
                <w:rFonts w:hint="eastAsia" w:ascii="宋体" w:hAnsi="宋体" w:cs="宋体"/>
              </w:rPr>
              <w:t>拉伸杨氏模量（静态法）（GPa）</w:t>
            </w:r>
          </w:p>
        </w:tc>
        <w:tc>
          <w:tcPr>
            <w:tcW w:w="1989" w:type="pct"/>
            <w:tcBorders>
              <w:top w:val="single" w:color="auto" w:sz="4" w:space="0"/>
              <w:left w:val="single" w:color="auto" w:sz="4" w:space="0"/>
              <w:right w:val="single" w:color="auto" w:sz="4" w:space="0"/>
            </w:tcBorders>
            <w:vAlign w:val="center"/>
          </w:tcPr>
          <w:p w14:paraId="0D01909B">
            <w:pPr>
              <w:jc w:val="center"/>
              <w:rPr>
                <w:rFonts w:ascii="宋体" w:hAnsi="宋体" w:cs="宋体"/>
              </w:rPr>
            </w:pPr>
            <w:r>
              <w:rPr>
                <w:rFonts w:hint="eastAsia" w:ascii="宋体" w:hAnsi="宋体" w:cs="宋体"/>
              </w:rPr>
              <w:t>≥130</w:t>
            </w:r>
          </w:p>
        </w:tc>
        <w:tc>
          <w:tcPr>
            <w:tcW w:w="1612" w:type="pct"/>
            <w:tcBorders>
              <w:top w:val="single" w:color="auto" w:sz="4" w:space="0"/>
              <w:left w:val="single" w:color="auto" w:sz="4" w:space="0"/>
            </w:tcBorders>
            <w:vAlign w:val="center"/>
          </w:tcPr>
          <w:p w14:paraId="26E73007">
            <w:pPr>
              <w:jc w:val="center"/>
              <w:rPr>
                <w:rFonts w:ascii="宋体" w:hAnsi="宋体" w:cs="宋体"/>
              </w:rPr>
            </w:pPr>
            <w:r>
              <w:rPr>
                <w:rFonts w:hint="eastAsia" w:ascii="宋体" w:hAnsi="宋体" w:cs="宋体"/>
              </w:rPr>
              <w:t>《金属材料 弹性模量和泊松比试验方法》GB/T 22315</w:t>
            </w:r>
          </w:p>
        </w:tc>
      </w:tr>
    </w:tbl>
    <w:p w14:paraId="4A3A9CE8">
      <w:pPr>
        <w:rPr>
          <w:rFonts w:hint="default" w:ascii="宋体" w:hAnsi="宋体" w:cs="宋体"/>
          <w:sz w:val="24"/>
          <w:lang w:val="en-US" w:eastAsia="zh-CN"/>
        </w:rPr>
      </w:pPr>
    </w:p>
    <w:p w14:paraId="5078F0A7">
      <w:pPr>
        <w:pStyle w:val="2"/>
        <w:spacing w:line="400" w:lineRule="exact"/>
        <w:jc w:val="center"/>
        <w:rPr>
          <w:rFonts w:ascii="宋体" w:hAnsi="宋体" w:cs="宋体"/>
          <w:b/>
          <w:bCs/>
          <w:szCs w:val="21"/>
        </w:rPr>
      </w:pPr>
      <w:r>
        <w:rPr>
          <w:rFonts w:hint="eastAsia"/>
          <w:b/>
          <w:bCs/>
          <w:szCs w:val="21"/>
        </w:rPr>
        <w:t>表4.3.3-2</w:t>
      </w:r>
      <w:r>
        <w:rPr>
          <w:rFonts w:hint="eastAsia" w:ascii="宋体" w:hAnsi="宋体" w:cs="宋体"/>
          <w:b/>
          <w:bCs/>
          <w:szCs w:val="21"/>
        </w:rPr>
        <w:t xml:space="preserve">  锚固件常用规格</w:t>
      </w:r>
    </w:p>
    <w:tbl>
      <w:tblPr>
        <w:tblStyle w:val="24"/>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14:paraId="1FA437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249" w:type="pct"/>
            <w:tcBorders>
              <w:bottom w:val="single" w:color="auto" w:sz="12" w:space="0"/>
            </w:tcBorders>
          </w:tcPr>
          <w:p w14:paraId="3DD5500D">
            <w:pPr>
              <w:jc w:val="center"/>
              <w:rPr>
                <w:rFonts w:ascii="宋体" w:hAnsi="宋体" w:cs="宋体"/>
              </w:rPr>
            </w:pPr>
            <w:r>
              <w:rPr>
                <w:rFonts w:hint="eastAsia" w:ascii="宋体" w:hAnsi="宋体" w:cs="宋体"/>
              </w:rPr>
              <w:t>锚杆直径（mm）</w:t>
            </w:r>
          </w:p>
        </w:tc>
        <w:tc>
          <w:tcPr>
            <w:tcW w:w="1249" w:type="pct"/>
            <w:tcBorders>
              <w:bottom w:val="single" w:color="auto" w:sz="12" w:space="0"/>
            </w:tcBorders>
          </w:tcPr>
          <w:p w14:paraId="13F4F878">
            <w:pPr>
              <w:jc w:val="center"/>
              <w:rPr>
                <w:rFonts w:ascii="宋体" w:hAnsi="宋体" w:cs="宋体"/>
              </w:rPr>
            </w:pPr>
            <w:r>
              <w:rPr>
                <w:rFonts w:hint="eastAsia" w:ascii="宋体" w:hAnsi="宋体" w:cs="宋体"/>
              </w:rPr>
              <w:t>锚杆长度（mm）</w:t>
            </w:r>
          </w:p>
        </w:tc>
        <w:tc>
          <w:tcPr>
            <w:tcW w:w="1250" w:type="pct"/>
            <w:tcBorders>
              <w:bottom w:val="single" w:color="auto" w:sz="12" w:space="0"/>
            </w:tcBorders>
          </w:tcPr>
          <w:p w14:paraId="286788D7">
            <w:pPr>
              <w:jc w:val="center"/>
              <w:rPr>
                <w:rFonts w:ascii="宋体" w:hAnsi="宋体" w:cs="宋体"/>
              </w:rPr>
            </w:pPr>
            <w:r>
              <w:rPr>
                <w:rFonts w:hint="eastAsia" w:ascii="宋体" w:hAnsi="宋体" w:cs="宋体"/>
              </w:rPr>
              <w:t>尾盘直径（mm）</w:t>
            </w:r>
          </w:p>
        </w:tc>
        <w:tc>
          <w:tcPr>
            <w:tcW w:w="1250" w:type="pct"/>
            <w:tcBorders>
              <w:bottom w:val="single" w:color="auto" w:sz="12" w:space="0"/>
            </w:tcBorders>
          </w:tcPr>
          <w:p w14:paraId="32772FB5">
            <w:pPr>
              <w:jc w:val="center"/>
              <w:rPr>
                <w:rFonts w:ascii="宋体" w:hAnsi="宋体" w:cs="宋体"/>
              </w:rPr>
            </w:pPr>
            <w:r>
              <w:rPr>
                <w:rFonts w:hint="eastAsia" w:ascii="宋体" w:hAnsi="宋体" w:cs="宋体"/>
              </w:rPr>
              <w:t>尾盘厚度（mm）</w:t>
            </w:r>
          </w:p>
        </w:tc>
      </w:tr>
      <w:tr w14:paraId="0F2B8E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249" w:type="pct"/>
            <w:tcBorders>
              <w:top w:val="single" w:color="auto" w:sz="12" w:space="0"/>
            </w:tcBorders>
          </w:tcPr>
          <w:p w14:paraId="4C0D5FB7">
            <w:pPr>
              <w:jc w:val="center"/>
              <w:rPr>
                <w:rFonts w:ascii="宋体" w:hAnsi="宋体" w:cs="宋体"/>
              </w:rPr>
            </w:pPr>
            <w:r>
              <w:rPr>
                <w:rFonts w:hint="eastAsia" w:ascii="宋体" w:hAnsi="宋体" w:cs="宋体"/>
              </w:rPr>
              <w:t>6,8,10</w:t>
            </w:r>
          </w:p>
        </w:tc>
        <w:tc>
          <w:tcPr>
            <w:tcW w:w="1249" w:type="pct"/>
            <w:tcBorders>
              <w:top w:val="single" w:color="auto" w:sz="12" w:space="0"/>
            </w:tcBorders>
          </w:tcPr>
          <w:p w14:paraId="6ACBDAD9">
            <w:pPr>
              <w:jc w:val="center"/>
              <w:rPr>
                <w:rFonts w:ascii="宋体" w:hAnsi="宋体" w:cs="宋体"/>
              </w:rPr>
            </w:pPr>
            <w:r>
              <w:rPr>
                <w:rFonts w:hint="eastAsia" w:ascii="宋体" w:hAnsi="宋体" w:cs="宋体"/>
              </w:rPr>
              <w:t>120,150,180,220</w:t>
            </w:r>
          </w:p>
        </w:tc>
        <w:tc>
          <w:tcPr>
            <w:tcW w:w="1250" w:type="pct"/>
            <w:tcBorders>
              <w:top w:val="single" w:color="auto" w:sz="12" w:space="0"/>
            </w:tcBorders>
          </w:tcPr>
          <w:p w14:paraId="43E1FA37">
            <w:pPr>
              <w:jc w:val="center"/>
              <w:rPr>
                <w:rFonts w:ascii="宋体" w:hAnsi="宋体" w:cs="宋体"/>
              </w:rPr>
            </w:pPr>
            <w:r>
              <w:rPr>
                <w:rFonts w:hint="eastAsia" w:ascii="宋体" w:hAnsi="宋体" w:cs="宋体"/>
              </w:rPr>
              <w:t>60,80</w:t>
            </w:r>
          </w:p>
        </w:tc>
        <w:tc>
          <w:tcPr>
            <w:tcW w:w="1250" w:type="pct"/>
            <w:tcBorders>
              <w:top w:val="single" w:color="auto" w:sz="12" w:space="0"/>
            </w:tcBorders>
          </w:tcPr>
          <w:p w14:paraId="1992013C">
            <w:pPr>
              <w:jc w:val="center"/>
              <w:rPr>
                <w:rFonts w:ascii="宋体" w:hAnsi="宋体" w:cs="宋体"/>
              </w:rPr>
            </w:pPr>
            <w:r>
              <w:rPr>
                <w:rFonts w:hint="eastAsia" w:ascii="宋体" w:hAnsi="宋体" w:cs="宋体"/>
              </w:rPr>
              <w:t>≥1.2</w:t>
            </w:r>
          </w:p>
        </w:tc>
      </w:tr>
    </w:tbl>
    <w:p w14:paraId="46AF0DFA"/>
    <w:p w14:paraId="3C074F2B">
      <w:pPr>
        <w:spacing w:line="400" w:lineRule="exact"/>
        <w:jc w:val="center"/>
        <w:rPr>
          <w:rFonts w:ascii="宋体" w:hAnsi="宋体" w:cs="宋体"/>
          <w:b/>
          <w:bCs/>
          <w:szCs w:val="21"/>
        </w:rPr>
      </w:pPr>
      <w:r>
        <w:rPr>
          <w:rFonts w:hint="eastAsia"/>
          <w:b/>
          <w:bCs/>
          <w:szCs w:val="21"/>
        </w:rPr>
        <w:t>表4.3.3-3</w:t>
      </w:r>
      <w:r>
        <w:rPr>
          <w:rFonts w:hint="eastAsia" w:ascii="宋体" w:hAnsi="宋体" w:cs="宋体"/>
          <w:b/>
          <w:bCs/>
          <w:szCs w:val="21"/>
        </w:rPr>
        <w:t xml:space="preserve">  锚固件尾盘抗拉承载力性能要求</w:t>
      </w:r>
    </w:p>
    <w:tbl>
      <w:tblPr>
        <w:tblStyle w:val="24"/>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196"/>
        <w:gridCol w:w="1661"/>
        <w:gridCol w:w="1950"/>
        <w:gridCol w:w="2011"/>
      </w:tblGrid>
      <w:tr w14:paraId="77CDEB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704" w:type="dxa"/>
            <w:tcBorders>
              <w:bottom w:val="single" w:color="auto" w:sz="12" w:space="0"/>
            </w:tcBorders>
            <w:vAlign w:val="center"/>
          </w:tcPr>
          <w:p w14:paraId="750D158C">
            <w:pPr>
              <w:pStyle w:val="2"/>
              <w:jc w:val="center"/>
              <w:rPr>
                <w:szCs w:val="21"/>
              </w:rPr>
            </w:pPr>
            <w:r>
              <w:rPr>
                <w:rFonts w:hint="eastAsia"/>
                <w:szCs w:val="21"/>
              </w:rPr>
              <w:t>项目</w:t>
            </w:r>
          </w:p>
        </w:tc>
        <w:tc>
          <w:tcPr>
            <w:tcW w:w="4807" w:type="dxa"/>
            <w:gridSpan w:val="3"/>
            <w:tcBorders>
              <w:bottom w:val="single" w:color="auto" w:sz="12" w:space="0"/>
            </w:tcBorders>
            <w:vAlign w:val="center"/>
          </w:tcPr>
          <w:p w14:paraId="278D3606">
            <w:pPr>
              <w:pStyle w:val="2"/>
              <w:jc w:val="center"/>
              <w:rPr>
                <w:szCs w:val="21"/>
              </w:rPr>
            </w:pPr>
            <w:r>
              <w:rPr>
                <w:rFonts w:hint="eastAsia"/>
                <w:szCs w:val="21"/>
              </w:rPr>
              <w:t>性能要求</w:t>
            </w:r>
          </w:p>
        </w:tc>
        <w:tc>
          <w:tcPr>
            <w:tcW w:w="2011" w:type="dxa"/>
            <w:tcBorders>
              <w:bottom w:val="single" w:color="auto" w:sz="12" w:space="0"/>
            </w:tcBorders>
            <w:vAlign w:val="center"/>
          </w:tcPr>
          <w:p w14:paraId="41D6816C">
            <w:pPr>
              <w:pStyle w:val="2"/>
              <w:jc w:val="center"/>
              <w:rPr>
                <w:szCs w:val="21"/>
              </w:rPr>
            </w:pPr>
            <w:r>
              <w:rPr>
                <w:rFonts w:hint="eastAsia"/>
                <w:szCs w:val="21"/>
              </w:rPr>
              <w:t>试验方法</w:t>
            </w:r>
          </w:p>
        </w:tc>
      </w:tr>
      <w:tr w14:paraId="452479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704" w:type="dxa"/>
            <w:vMerge w:val="restart"/>
            <w:tcBorders>
              <w:top w:val="single" w:color="auto" w:sz="12" w:space="0"/>
            </w:tcBorders>
            <w:vAlign w:val="center"/>
          </w:tcPr>
          <w:p w14:paraId="027E510A">
            <w:pPr>
              <w:pStyle w:val="2"/>
              <w:jc w:val="center"/>
              <w:rPr>
                <w:szCs w:val="21"/>
              </w:rPr>
            </w:pPr>
            <w:r>
              <w:rPr>
                <w:rFonts w:hint="eastAsia"/>
                <w:szCs w:val="21"/>
              </w:rPr>
              <w:t>尾盘抗拉承载力（kN）</w:t>
            </w:r>
          </w:p>
        </w:tc>
        <w:tc>
          <w:tcPr>
            <w:tcW w:w="1196" w:type="dxa"/>
            <w:vMerge w:val="restart"/>
            <w:tcBorders>
              <w:top w:val="single" w:color="auto" w:sz="12" w:space="0"/>
            </w:tcBorders>
            <w:vAlign w:val="center"/>
          </w:tcPr>
          <w:p w14:paraId="5525B319">
            <w:pPr>
              <w:pStyle w:val="2"/>
              <w:jc w:val="center"/>
              <w:rPr>
                <w:szCs w:val="21"/>
              </w:rPr>
            </w:pPr>
            <w:r>
              <w:rPr>
                <w:rFonts w:hint="eastAsia"/>
                <w:szCs w:val="21"/>
              </w:rPr>
              <w:t>锚杆</w:t>
            </w:r>
          </w:p>
          <w:p w14:paraId="6DCBC18F">
            <w:pPr>
              <w:pStyle w:val="2"/>
              <w:jc w:val="center"/>
              <w:rPr>
                <w:szCs w:val="21"/>
              </w:rPr>
            </w:pPr>
            <w:r>
              <w:rPr>
                <w:rFonts w:hint="eastAsia"/>
                <w:szCs w:val="21"/>
              </w:rPr>
              <w:t>直径</w:t>
            </w:r>
          </w:p>
        </w:tc>
        <w:tc>
          <w:tcPr>
            <w:tcW w:w="1661" w:type="dxa"/>
            <w:tcBorders>
              <w:top w:val="single" w:color="auto" w:sz="12" w:space="0"/>
            </w:tcBorders>
            <w:vAlign w:val="center"/>
          </w:tcPr>
          <w:p w14:paraId="4692D338">
            <w:pPr>
              <w:pStyle w:val="2"/>
              <w:jc w:val="center"/>
              <w:rPr>
                <w:szCs w:val="21"/>
              </w:rPr>
            </w:pPr>
            <w:r>
              <w:rPr>
                <w:rFonts w:hint="eastAsia" w:ascii="宋体" w:hAnsi="宋体" w:cs="宋体"/>
              </w:rPr>
              <w:t>6mm</w:t>
            </w:r>
          </w:p>
        </w:tc>
        <w:tc>
          <w:tcPr>
            <w:tcW w:w="1950" w:type="dxa"/>
            <w:tcBorders>
              <w:top w:val="single" w:color="auto" w:sz="12" w:space="0"/>
            </w:tcBorders>
            <w:vAlign w:val="center"/>
          </w:tcPr>
          <w:p w14:paraId="7965B5C3">
            <w:pPr>
              <w:pStyle w:val="2"/>
              <w:jc w:val="center"/>
              <w:rPr>
                <w:szCs w:val="21"/>
              </w:rPr>
            </w:pPr>
            <w:r>
              <w:rPr>
                <w:rFonts w:hint="eastAsia" w:ascii="宋体" w:hAnsi="宋体" w:cs="宋体"/>
              </w:rPr>
              <w:t>≥5.0</w:t>
            </w:r>
          </w:p>
        </w:tc>
        <w:tc>
          <w:tcPr>
            <w:tcW w:w="2011" w:type="dxa"/>
            <w:tcBorders>
              <w:top w:val="single" w:color="auto" w:sz="12" w:space="0"/>
            </w:tcBorders>
            <w:vAlign w:val="center"/>
          </w:tcPr>
          <w:p w14:paraId="5E994AA3">
            <w:pPr>
              <w:pStyle w:val="2"/>
              <w:jc w:val="center"/>
              <w:rPr>
                <w:szCs w:val="21"/>
              </w:rPr>
            </w:pPr>
            <w:r>
              <w:rPr>
                <w:rFonts w:hint="eastAsia"/>
                <w:szCs w:val="21"/>
              </w:rPr>
              <w:t>—</w:t>
            </w:r>
          </w:p>
        </w:tc>
      </w:tr>
      <w:tr w14:paraId="022C19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704" w:type="dxa"/>
            <w:vMerge w:val="continue"/>
            <w:vAlign w:val="center"/>
          </w:tcPr>
          <w:p w14:paraId="2029A4D9">
            <w:pPr>
              <w:pStyle w:val="2"/>
              <w:jc w:val="center"/>
              <w:rPr>
                <w:szCs w:val="21"/>
              </w:rPr>
            </w:pPr>
          </w:p>
        </w:tc>
        <w:tc>
          <w:tcPr>
            <w:tcW w:w="1196" w:type="dxa"/>
            <w:vMerge w:val="continue"/>
            <w:vAlign w:val="center"/>
          </w:tcPr>
          <w:p w14:paraId="3B4B5CA9">
            <w:pPr>
              <w:pStyle w:val="2"/>
              <w:jc w:val="center"/>
              <w:rPr>
                <w:szCs w:val="21"/>
              </w:rPr>
            </w:pPr>
          </w:p>
        </w:tc>
        <w:tc>
          <w:tcPr>
            <w:tcW w:w="1661" w:type="dxa"/>
            <w:vAlign w:val="center"/>
          </w:tcPr>
          <w:p w14:paraId="18C42A2F">
            <w:pPr>
              <w:pStyle w:val="2"/>
              <w:jc w:val="center"/>
              <w:rPr>
                <w:szCs w:val="21"/>
              </w:rPr>
            </w:pPr>
            <w:r>
              <w:rPr>
                <w:rFonts w:hint="eastAsia" w:ascii="宋体" w:hAnsi="宋体" w:cs="宋体"/>
              </w:rPr>
              <w:t>8mm</w:t>
            </w:r>
          </w:p>
        </w:tc>
        <w:tc>
          <w:tcPr>
            <w:tcW w:w="1950" w:type="dxa"/>
            <w:vAlign w:val="center"/>
          </w:tcPr>
          <w:p w14:paraId="3EE73A51">
            <w:pPr>
              <w:pStyle w:val="2"/>
              <w:jc w:val="center"/>
              <w:rPr>
                <w:szCs w:val="21"/>
              </w:rPr>
            </w:pPr>
            <w:r>
              <w:rPr>
                <w:rFonts w:hint="eastAsia" w:ascii="宋体" w:hAnsi="宋体" w:cs="宋体"/>
              </w:rPr>
              <w:t>≥6.5</w:t>
            </w:r>
          </w:p>
        </w:tc>
        <w:tc>
          <w:tcPr>
            <w:tcW w:w="2011" w:type="dxa"/>
            <w:vAlign w:val="center"/>
          </w:tcPr>
          <w:p w14:paraId="64B1E70B">
            <w:pPr>
              <w:pStyle w:val="2"/>
              <w:jc w:val="center"/>
              <w:rPr>
                <w:szCs w:val="21"/>
              </w:rPr>
            </w:pPr>
            <w:r>
              <w:rPr>
                <w:rFonts w:hint="eastAsia"/>
                <w:szCs w:val="21"/>
              </w:rPr>
              <w:t>—</w:t>
            </w:r>
          </w:p>
        </w:tc>
      </w:tr>
      <w:tr w14:paraId="7A653D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704" w:type="dxa"/>
            <w:vMerge w:val="continue"/>
            <w:vAlign w:val="center"/>
          </w:tcPr>
          <w:p w14:paraId="2E6E7375">
            <w:pPr>
              <w:pStyle w:val="2"/>
              <w:jc w:val="center"/>
              <w:rPr>
                <w:szCs w:val="21"/>
              </w:rPr>
            </w:pPr>
          </w:p>
        </w:tc>
        <w:tc>
          <w:tcPr>
            <w:tcW w:w="1196" w:type="dxa"/>
            <w:vMerge w:val="continue"/>
            <w:vAlign w:val="center"/>
          </w:tcPr>
          <w:p w14:paraId="5B51CB92">
            <w:pPr>
              <w:pStyle w:val="2"/>
              <w:jc w:val="center"/>
              <w:rPr>
                <w:szCs w:val="21"/>
              </w:rPr>
            </w:pPr>
          </w:p>
        </w:tc>
        <w:tc>
          <w:tcPr>
            <w:tcW w:w="1661" w:type="dxa"/>
            <w:vAlign w:val="center"/>
          </w:tcPr>
          <w:p w14:paraId="15034DDD">
            <w:pPr>
              <w:pStyle w:val="2"/>
              <w:jc w:val="center"/>
              <w:rPr>
                <w:szCs w:val="21"/>
              </w:rPr>
            </w:pPr>
            <w:r>
              <w:rPr>
                <w:rFonts w:hint="eastAsia" w:ascii="宋体" w:hAnsi="宋体" w:cs="宋体"/>
              </w:rPr>
              <w:t>10mm</w:t>
            </w:r>
          </w:p>
        </w:tc>
        <w:tc>
          <w:tcPr>
            <w:tcW w:w="1950" w:type="dxa"/>
            <w:vAlign w:val="center"/>
          </w:tcPr>
          <w:p w14:paraId="069C3176">
            <w:pPr>
              <w:pStyle w:val="2"/>
              <w:jc w:val="center"/>
              <w:rPr>
                <w:szCs w:val="21"/>
              </w:rPr>
            </w:pPr>
            <w:r>
              <w:rPr>
                <w:rFonts w:hint="eastAsia" w:ascii="宋体" w:hAnsi="宋体" w:cs="宋体"/>
              </w:rPr>
              <w:t>≥7.5</w:t>
            </w:r>
          </w:p>
        </w:tc>
        <w:tc>
          <w:tcPr>
            <w:tcW w:w="2011" w:type="dxa"/>
            <w:vAlign w:val="center"/>
          </w:tcPr>
          <w:p w14:paraId="46AD4893">
            <w:pPr>
              <w:pStyle w:val="2"/>
              <w:jc w:val="center"/>
              <w:rPr>
                <w:szCs w:val="21"/>
              </w:rPr>
            </w:pPr>
            <w:r>
              <w:rPr>
                <w:rFonts w:hint="eastAsia"/>
                <w:szCs w:val="21"/>
              </w:rPr>
              <w:t>—</w:t>
            </w:r>
          </w:p>
        </w:tc>
      </w:tr>
    </w:tbl>
    <w:p w14:paraId="58DE2C44">
      <w:pPr>
        <w:pStyle w:val="2"/>
        <w:spacing w:after="0" w:line="360" w:lineRule="auto"/>
        <w:rPr>
          <w:rFonts w:ascii="宋体" w:hAnsi="宋体" w:cs="宋体"/>
          <w:color w:val="2414F4"/>
          <w:sz w:val="24"/>
          <w:u w:val="single"/>
        </w:rPr>
      </w:pPr>
      <w:r>
        <w:rPr>
          <w:rFonts w:hint="eastAsia" w:ascii="宋体" w:hAnsi="宋体" w:cs="宋体"/>
          <w:color w:val="2414F4"/>
          <w:sz w:val="24"/>
          <w:u w:val="single"/>
        </w:rPr>
        <w:t>【条文说明】锚固件将保温板与预制混凝土拉结锚固，其圆盘在保温板外侧，杆身穿过保温层埋设于预制混凝土中，是防止保温板脱落的第二道防线。锚固件采用不锈钢材质，可提高长期耐久性。</w:t>
      </w:r>
    </w:p>
    <w:p w14:paraId="40EFB866">
      <w:pPr>
        <w:spacing w:line="360" w:lineRule="auto"/>
        <w:rPr>
          <w:rFonts w:ascii="宋体" w:hAnsi="宋体" w:cs="宋体"/>
          <w:sz w:val="24"/>
        </w:rPr>
      </w:pPr>
      <w:r>
        <w:rPr>
          <w:rFonts w:hint="eastAsia"/>
          <w:b/>
          <w:bCs/>
          <w:sz w:val="24"/>
        </w:rPr>
        <w:t>4.3.</w:t>
      </w:r>
      <w:r>
        <w:rPr>
          <w:rFonts w:hint="eastAsia"/>
          <w:b/>
          <w:bCs/>
          <w:sz w:val="24"/>
          <w:lang w:val="en-US" w:eastAsia="zh-CN"/>
        </w:rPr>
        <w:t>4</w:t>
      </w:r>
      <w:r>
        <w:rPr>
          <w:rFonts w:hint="eastAsia" w:ascii="宋体" w:hAnsi="宋体" w:cs="宋体"/>
          <w:sz w:val="24"/>
        </w:rPr>
        <w:t xml:space="preserve">  预制集成保温外墙板与建筑物主体结构之间的连接材料应符合下列规定：</w:t>
      </w:r>
    </w:p>
    <w:p w14:paraId="4F4294E7">
      <w:pPr>
        <w:spacing w:line="360" w:lineRule="auto"/>
        <w:ind w:firstLine="482" w:firstLineChars="200"/>
        <w:rPr>
          <w:rFonts w:ascii="宋体" w:hAnsi="宋体" w:cs="宋体"/>
          <w:sz w:val="24"/>
        </w:rPr>
      </w:pPr>
      <w:r>
        <w:rPr>
          <w:rFonts w:hint="eastAsia"/>
          <w:b/>
          <w:bCs/>
          <w:sz w:val="24"/>
        </w:rPr>
        <w:t>1</w:t>
      </w:r>
      <w:r>
        <w:rPr>
          <w:rFonts w:hint="eastAsia" w:ascii="宋体" w:hAnsi="宋体" w:cs="宋体"/>
          <w:sz w:val="24"/>
        </w:rPr>
        <w:t xml:space="preserve">  钢筋锚固板材料应符合现行行业标准《钢筋锚固板应用技术规程》JGJ 256的规定；</w:t>
      </w:r>
    </w:p>
    <w:p w14:paraId="1C565B59">
      <w:pPr>
        <w:spacing w:line="360" w:lineRule="auto"/>
        <w:ind w:firstLine="482" w:firstLineChars="200"/>
        <w:rPr>
          <w:rFonts w:ascii="宋体" w:hAnsi="宋体" w:cs="宋体"/>
          <w:sz w:val="24"/>
        </w:rPr>
      </w:pPr>
      <w:r>
        <w:rPr>
          <w:rFonts w:hint="eastAsia"/>
          <w:b/>
          <w:bCs/>
          <w:sz w:val="24"/>
        </w:rPr>
        <w:t xml:space="preserve">2  </w:t>
      </w:r>
      <w:r>
        <w:rPr>
          <w:rFonts w:hint="eastAsia" w:ascii="宋体" w:hAnsi="宋体" w:cs="宋体"/>
          <w:sz w:val="24"/>
        </w:rPr>
        <w:t>预埋件的锚板及锚筋材料应符合现行国家标准《混凝土结构设计规范》GB 50010的有关规定。专用预埋件及连接件材料应符合现行行业标准</w:t>
      </w:r>
      <w:r>
        <w:rPr>
          <w:rFonts w:hint="eastAsia" w:ascii="宋体" w:hAnsi="宋体" w:cs="宋体"/>
          <w:color w:val="000000" w:themeColor="text1"/>
          <w:sz w:val="24"/>
          <w14:textFill>
            <w14:solidFill>
              <w14:schemeClr w14:val="tx1"/>
            </w14:solidFill>
          </w14:textFill>
        </w:rPr>
        <w:t>《装配式混凝土结构技术规程》JGJ 1</w:t>
      </w:r>
      <w:r>
        <w:rPr>
          <w:rFonts w:hint="eastAsia" w:ascii="宋体" w:hAnsi="宋体" w:cs="宋体"/>
          <w:sz w:val="24"/>
        </w:rPr>
        <w:t>的有关规定；</w:t>
      </w:r>
    </w:p>
    <w:p w14:paraId="7BB97D6E">
      <w:pPr>
        <w:spacing w:line="360" w:lineRule="auto"/>
        <w:ind w:firstLine="480"/>
      </w:pPr>
      <w:r>
        <w:rPr>
          <w:rFonts w:hint="eastAsia"/>
          <w:b/>
          <w:bCs/>
          <w:sz w:val="24"/>
        </w:rPr>
        <w:t>3</w:t>
      </w:r>
      <w:r>
        <w:rPr>
          <w:rFonts w:hint="eastAsia" w:ascii="宋体" w:hAnsi="宋体" w:cs="宋体"/>
          <w:sz w:val="24"/>
        </w:rPr>
        <w:t xml:space="preserve">  连接用焊接材料、螺栓、锚栓和铆钉等紧固件的材料应符合现行国家标准《钢结构设计标准》GB 50017、《钢结构焊接规范》GB 50661和行业标准《钢筋焊接及验收规程》JGJ 18的</w:t>
      </w:r>
      <w:r>
        <w:rPr>
          <w:rFonts w:hint="eastAsia" w:ascii="宋体" w:hAnsi="宋体" w:cs="宋体"/>
          <w:sz w:val="24"/>
          <w:lang w:eastAsia="zh-CN"/>
        </w:rPr>
        <w:t>有关</w:t>
      </w:r>
      <w:r>
        <w:rPr>
          <w:rFonts w:hint="eastAsia" w:ascii="宋体" w:hAnsi="宋体" w:cs="宋体"/>
          <w:sz w:val="24"/>
        </w:rPr>
        <w:t>规定。</w:t>
      </w:r>
    </w:p>
    <w:p w14:paraId="1C359937">
      <w:pPr>
        <w:pStyle w:val="4"/>
      </w:pPr>
      <w:bookmarkStart w:id="41" w:name="_Toc29576"/>
      <w:bookmarkStart w:id="42" w:name="_Toc17460"/>
      <w:r>
        <w:t>4.4</w:t>
      </w:r>
      <w:r>
        <w:rPr>
          <w:rFonts w:hint="eastAsia"/>
          <w:lang w:val="en-US" w:eastAsia="zh-CN"/>
        </w:rPr>
        <w:t xml:space="preserve"> </w:t>
      </w:r>
      <w:r>
        <w:rPr>
          <w:rFonts w:hint="eastAsia"/>
        </w:rPr>
        <w:t>防水材料</w:t>
      </w:r>
      <w:bookmarkEnd w:id="41"/>
      <w:bookmarkEnd w:id="42"/>
    </w:p>
    <w:p w14:paraId="1163B4C4">
      <w:pPr>
        <w:spacing w:line="360" w:lineRule="auto"/>
        <w:rPr>
          <w:rFonts w:ascii="宋体" w:hAnsi="宋体" w:cs="宋体"/>
          <w:sz w:val="24"/>
        </w:rPr>
      </w:pPr>
      <w:r>
        <w:rPr>
          <w:b/>
        </w:rPr>
        <w:t>4</w:t>
      </w:r>
      <w:r>
        <w:rPr>
          <w:rFonts w:hint="eastAsia"/>
          <w:b/>
          <w:bCs/>
          <w:sz w:val="24"/>
        </w:rPr>
        <w:t>.4.1</w:t>
      </w:r>
      <w:r>
        <w:rPr>
          <w:rFonts w:hint="eastAsia" w:ascii="宋体" w:hAnsi="宋体" w:cs="宋体"/>
          <w:sz w:val="24"/>
        </w:rPr>
        <w:t xml:space="preserve">  外墙板所用密封胶材料的粘接性能和耐久性应满足设计要求，并应与所有接触材料的相容性试验报告。</w:t>
      </w:r>
    </w:p>
    <w:p w14:paraId="6FFE50DD">
      <w:pPr>
        <w:spacing w:line="360" w:lineRule="auto"/>
        <w:rPr>
          <w:rFonts w:ascii="宋体" w:hAnsi="宋体" w:cs="宋体"/>
          <w:sz w:val="24"/>
        </w:rPr>
      </w:pPr>
      <w:r>
        <w:rPr>
          <w:rFonts w:hint="eastAsia"/>
          <w:b/>
          <w:bCs/>
          <w:sz w:val="24"/>
        </w:rPr>
        <w:t>4.4.2</w:t>
      </w:r>
      <w:r>
        <w:rPr>
          <w:rFonts w:hint="eastAsia" w:ascii="宋体" w:hAnsi="宋体" w:cs="宋体"/>
          <w:sz w:val="24"/>
        </w:rPr>
        <w:t xml:space="preserve">  外墙板接缝用密封胶应满足现行行业标准《混凝土建筑接缝用密封胶》JC/T 881的有关规定，宜选用低模量弹性密封胶，位移能力不宜低于20级。</w:t>
      </w:r>
    </w:p>
    <w:p w14:paraId="7E67782E">
      <w:pPr>
        <w:spacing w:line="360" w:lineRule="auto"/>
        <w:rPr>
          <w:rFonts w:ascii="宋体" w:hAnsi="宋体" w:cs="宋体"/>
          <w:sz w:val="24"/>
        </w:rPr>
      </w:pPr>
      <w:r>
        <w:rPr>
          <w:rFonts w:hint="eastAsia"/>
          <w:b/>
          <w:bCs/>
          <w:sz w:val="24"/>
        </w:rPr>
        <w:t>4.4.3</w:t>
      </w:r>
      <w:r>
        <w:rPr>
          <w:rFonts w:hint="eastAsia" w:ascii="宋体" w:hAnsi="宋体" w:cs="宋体"/>
          <w:sz w:val="24"/>
        </w:rPr>
        <w:t xml:space="preserve">  外墙板接缝处的密封条宜采用三元乙丙橡胶或氯丁橡胶等密封材料。</w:t>
      </w:r>
    </w:p>
    <w:p w14:paraId="39F647B1">
      <w:pPr>
        <w:spacing w:line="360" w:lineRule="auto"/>
        <w:rPr>
          <w:rFonts w:ascii="宋体" w:hAnsi="宋体" w:cs="宋体"/>
          <w:sz w:val="24"/>
        </w:rPr>
      </w:pPr>
      <w:r>
        <w:rPr>
          <w:rFonts w:hint="eastAsia"/>
          <w:b/>
          <w:bCs/>
          <w:sz w:val="24"/>
        </w:rPr>
        <w:t>4.4.4</w:t>
      </w:r>
      <w:r>
        <w:rPr>
          <w:rFonts w:hint="eastAsia" w:ascii="宋体" w:hAnsi="宋体" w:cs="宋体"/>
          <w:sz w:val="24"/>
        </w:rPr>
        <w:t xml:space="preserve">  外墙板接缝处密封胶的背衬材料宜选用聚乙烯泡沫棒，其直径不应小于1.5倍缝宽。</w:t>
      </w:r>
    </w:p>
    <w:p w14:paraId="45862892">
      <w:pPr>
        <w:spacing w:line="360" w:lineRule="auto"/>
        <w:rPr>
          <w:rFonts w:ascii="宋体" w:hAnsi="宋体" w:cs="宋体"/>
          <w:sz w:val="24"/>
        </w:rPr>
      </w:pPr>
      <w:r>
        <w:rPr>
          <w:rFonts w:hint="eastAsia"/>
          <w:b/>
          <w:bCs/>
          <w:sz w:val="24"/>
        </w:rPr>
        <w:t>4.4.5</w:t>
      </w:r>
      <w:r>
        <w:rPr>
          <w:rFonts w:hint="eastAsia" w:ascii="宋体" w:hAnsi="宋体" w:cs="宋体"/>
          <w:sz w:val="24"/>
        </w:rPr>
        <w:t xml:space="preserve">  当有可靠依据时，也可采用其他拼缝材料。</w:t>
      </w:r>
    </w:p>
    <w:p w14:paraId="15561874">
      <w:pPr>
        <w:pStyle w:val="4"/>
      </w:pPr>
      <w:bookmarkStart w:id="43" w:name="_Toc27037"/>
      <w:bookmarkStart w:id="44" w:name="_Toc12455"/>
      <w:r>
        <w:t>4.</w:t>
      </w:r>
      <w:r>
        <w:rPr>
          <w:rFonts w:hint="eastAsia"/>
        </w:rPr>
        <w:t>5</w:t>
      </w:r>
      <w:r>
        <w:rPr>
          <w:rFonts w:hint="eastAsia"/>
          <w:lang w:val="en-US" w:eastAsia="zh-CN"/>
        </w:rPr>
        <w:t xml:space="preserve"> </w:t>
      </w:r>
      <w:r>
        <w:rPr>
          <w:rFonts w:hint="eastAsia"/>
        </w:rPr>
        <w:t>饰面材料</w:t>
      </w:r>
      <w:bookmarkEnd w:id="43"/>
      <w:bookmarkEnd w:id="44"/>
    </w:p>
    <w:p w14:paraId="2E28763B">
      <w:pPr>
        <w:pStyle w:val="2"/>
        <w:spacing w:after="0" w:line="360" w:lineRule="auto"/>
        <w:rPr>
          <w:rFonts w:ascii="宋体" w:hAnsi="宋体" w:cs="宋体"/>
          <w:sz w:val="24"/>
        </w:rPr>
      </w:pPr>
      <w:r>
        <w:rPr>
          <w:rFonts w:hint="eastAsia"/>
          <w:b/>
          <w:bCs/>
          <w:sz w:val="24"/>
        </w:rPr>
        <w:t>4.5.1</w:t>
      </w:r>
      <w:r>
        <w:rPr>
          <w:rFonts w:hint="eastAsia" w:ascii="宋体" w:hAnsi="宋体" w:cs="宋体"/>
          <w:sz w:val="24"/>
        </w:rPr>
        <w:t xml:space="preserve">  外墙涂饰材料应符合现行国家标准《建筑用外墙涂料中有害物质限量》GB 24408和《建筑外墙涂料通用技术要求》JG/T 512的有关规定。</w:t>
      </w:r>
    </w:p>
    <w:p w14:paraId="6DE08734">
      <w:pPr>
        <w:pStyle w:val="2"/>
        <w:spacing w:after="0" w:line="360" w:lineRule="auto"/>
        <w:rPr>
          <w:rFonts w:ascii="宋体" w:hAnsi="宋体" w:cs="宋体"/>
          <w:sz w:val="24"/>
        </w:rPr>
      </w:pPr>
      <w:r>
        <w:rPr>
          <w:rFonts w:hint="eastAsia"/>
          <w:b/>
          <w:bCs/>
          <w:sz w:val="24"/>
        </w:rPr>
        <w:t>4.5.2</w:t>
      </w:r>
      <w:r>
        <w:rPr>
          <w:rFonts w:hint="eastAsia" w:ascii="宋体" w:hAnsi="宋体" w:cs="宋体"/>
          <w:sz w:val="24"/>
        </w:rPr>
        <w:t xml:space="preserve">  反射隔热涂料应符合现行行业标准《建筑反射隔热涂料应用技术规程》JGJ/T 359的有关规定。</w:t>
      </w:r>
      <w:r>
        <w:rPr>
          <w:rFonts w:hint="eastAsia" w:ascii="宋体" w:hAnsi="宋体" w:cs="宋体"/>
          <w:color w:val="000000" w:themeColor="text1"/>
          <w:sz w:val="24"/>
          <w14:textFill>
            <w14:solidFill>
              <w14:schemeClr w14:val="tx1"/>
            </w14:solidFill>
          </w14:textFill>
        </w:rPr>
        <w:t>预制集成保温外墙系统采用涂料饰面时，外墙腻子应为外墙柔性耐水腻子,并</w:t>
      </w:r>
      <w:r>
        <w:rPr>
          <w:rFonts w:hint="eastAsia" w:ascii="宋体" w:hAnsi="宋体" w:cs="宋体"/>
          <w:color w:val="000000" w:themeColor="text1"/>
          <w:sz w:val="24"/>
          <w:lang w:eastAsia="zh-CN"/>
          <w14:textFill>
            <w14:solidFill>
              <w14:schemeClr w14:val="tx1"/>
            </w14:solidFill>
          </w14:textFill>
        </w:rPr>
        <w:t>应</w:t>
      </w:r>
      <w:r>
        <w:rPr>
          <w:rFonts w:hint="eastAsia" w:ascii="宋体" w:hAnsi="宋体" w:cs="宋体"/>
          <w:color w:val="000000" w:themeColor="text1"/>
          <w:sz w:val="24"/>
          <w14:textFill>
            <w14:solidFill>
              <w14:schemeClr w14:val="tx1"/>
            </w14:solidFill>
          </w14:textFill>
        </w:rPr>
        <w:t>符合《外墙柔性腻子》GB/T 23455 的</w:t>
      </w:r>
      <w:r>
        <w:rPr>
          <w:rFonts w:hint="eastAsia" w:ascii="宋体" w:hAnsi="宋体" w:cs="宋体"/>
          <w:color w:val="000000" w:themeColor="text1"/>
          <w:sz w:val="24"/>
          <w:lang w:eastAsia="zh-CN"/>
          <w14:textFill>
            <w14:solidFill>
              <w14:schemeClr w14:val="tx1"/>
            </w14:solidFill>
          </w14:textFill>
        </w:rPr>
        <w:t>有关规定</w:t>
      </w:r>
      <w:r>
        <w:rPr>
          <w:rFonts w:hint="eastAsia" w:ascii="宋体" w:hAnsi="宋体" w:cs="宋体"/>
          <w:color w:val="000000" w:themeColor="text1"/>
          <w:sz w:val="24"/>
          <w14:textFill>
            <w14:solidFill>
              <w14:schemeClr w14:val="tx1"/>
            </w14:solidFill>
          </w14:textFill>
        </w:rPr>
        <w:t>。</w:t>
      </w:r>
    </w:p>
    <w:p w14:paraId="36AEE951">
      <w:pPr>
        <w:spacing w:line="360" w:lineRule="auto"/>
        <w:rPr>
          <w:rFonts w:ascii="宋体" w:hAnsi="宋体" w:cs="宋体"/>
          <w:sz w:val="24"/>
          <w:highlight w:val="none"/>
        </w:rPr>
      </w:pPr>
      <w:r>
        <w:rPr>
          <w:rFonts w:hint="eastAsia"/>
          <w:b/>
          <w:bCs/>
          <w:sz w:val="24"/>
          <w:highlight w:val="none"/>
        </w:rPr>
        <w:t>4.5.3</w:t>
      </w:r>
      <w:r>
        <w:rPr>
          <w:rFonts w:hint="eastAsia" w:ascii="宋体" w:hAnsi="宋体" w:cs="宋体"/>
          <w:sz w:val="24"/>
          <w:highlight w:val="none"/>
        </w:rPr>
        <w:t xml:space="preserve">  金属与石材应符合现行行业标准《金属与石材幕墙工程技术规范》JGJ 133的有关规定。</w:t>
      </w:r>
    </w:p>
    <w:p w14:paraId="56793C1B">
      <w:pPr>
        <w:spacing w:line="360" w:lineRule="auto"/>
        <w:rPr>
          <w:rFonts w:ascii="宋体" w:hAnsi="宋体" w:cs="宋体"/>
          <w:sz w:val="24"/>
        </w:rPr>
      </w:pPr>
      <w:r>
        <w:rPr>
          <w:rFonts w:hint="eastAsia"/>
          <w:b/>
          <w:bCs/>
          <w:sz w:val="24"/>
        </w:rPr>
        <w:t>4.5.4</w:t>
      </w:r>
      <w:r>
        <w:rPr>
          <w:rFonts w:hint="eastAsia" w:ascii="宋体" w:hAnsi="宋体" w:cs="宋体"/>
          <w:sz w:val="24"/>
        </w:rPr>
        <w:t xml:space="preserve">  建筑陶瓷薄板应符合现行行业标准《建筑陶瓷薄板应用技术规程》JGJ/T 172的有关规定。</w:t>
      </w:r>
    </w:p>
    <w:p w14:paraId="49486969">
      <w:pPr>
        <w:spacing w:line="360" w:lineRule="auto"/>
      </w:pPr>
      <w:r>
        <w:rPr>
          <w:rFonts w:hint="eastAsia"/>
          <w:b/>
          <w:bCs/>
          <w:sz w:val="24"/>
        </w:rPr>
        <w:t>4.5.5</w:t>
      </w:r>
      <w:r>
        <w:rPr>
          <w:rFonts w:hint="eastAsia" w:ascii="宋体" w:hAnsi="宋体" w:cs="宋体"/>
          <w:sz w:val="24"/>
        </w:rPr>
        <w:t xml:space="preserve">  其他饰面材料应有质量保证书和型式检验报告，质量应符合现行有关标准的规定。</w:t>
      </w:r>
    </w:p>
    <w:p w14:paraId="573638F3">
      <w:pPr>
        <w:pStyle w:val="4"/>
      </w:pPr>
      <w:bookmarkStart w:id="45" w:name="_Toc15206"/>
      <w:bookmarkStart w:id="46" w:name="_Toc25466"/>
      <w:r>
        <w:t>4.</w:t>
      </w:r>
      <w:r>
        <w:rPr>
          <w:rFonts w:hint="eastAsia"/>
        </w:rPr>
        <w:t>6</w:t>
      </w:r>
      <w:r>
        <w:rPr>
          <w:rFonts w:hint="eastAsia"/>
          <w:lang w:val="en-US" w:eastAsia="zh-CN"/>
        </w:rPr>
        <w:t xml:space="preserve"> </w:t>
      </w:r>
      <w:r>
        <w:rPr>
          <w:rFonts w:hint="eastAsia"/>
        </w:rPr>
        <w:t>其他材料</w:t>
      </w:r>
      <w:bookmarkEnd w:id="45"/>
      <w:bookmarkEnd w:id="46"/>
    </w:p>
    <w:p w14:paraId="0CDD68DD">
      <w:pPr>
        <w:spacing w:line="360" w:lineRule="auto"/>
        <w:rPr>
          <w:rFonts w:ascii="宋体" w:hAnsi="宋体" w:cs="宋体"/>
          <w:sz w:val="24"/>
        </w:rPr>
      </w:pPr>
      <w:r>
        <w:rPr>
          <w:rFonts w:hint="eastAsia"/>
          <w:b/>
          <w:bCs/>
          <w:sz w:val="24"/>
        </w:rPr>
        <w:t>4.6.1</w:t>
      </w:r>
      <w:r>
        <w:rPr>
          <w:rFonts w:hint="eastAsia" w:ascii="宋体" w:hAnsi="宋体" w:cs="宋体"/>
          <w:sz w:val="24"/>
        </w:rPr>
        <w:t xml:space="preserve">  玻纤网格布应有质量保证书和型式检验报告，质量应符合现行有关标准的规定。</w:t>
      </w:r>
    </w:p>
    <w:p w14:paraId="197F10F8">
      <w:pPr>
        <w:pStyle w:val="2"/>
        <w:spacing w:line="360" w:lineRule="auto"/>
        <w:rPr>
          <w:rFonts w:ascii="宋体" w:hAnsi="宋体" w:cs="宋体"/>
          <w:sz w:val="24"/>
        </w:rPr>
      </w:pPr>
      <w:r>
        <w:rPr>
          <w:rFonts w:hint="eastAsia"/>
          <w:b/>
          <w:bCs/>
          <w:sz w:val="24"/>
        </w:rPr>
        <w:t>4.6.2</w:t>
      </w:r>
      <w:r>
        <w:rPr>
          <w:rFonts w:hint="eastAsia" w:ascii="宋体" w:hAnsi="宋体" w:cs="宋体"/>
          <w:sz w:val="24"/>
        </w:rPr>
        <w:t xml:space="preserve">  钢丝网应采用低碳镀锌钢丝，</w:t>
      </w:r>
      <w:r>
        <w:rPr>
          <w:rFonts w:hint="eastAsia" w:ascii="宋体" w:hAnsi="宋体" w:cs="宋体"/>
          <w:sz w:val="24"/>
          <w:lang w:eastAsia="zh-CN"/>
        </w:rPr>
        <w:t>其</w:t>
      </w:r>
      <w:r>
        <w:rPr>
          <w:rFonts w:hint="eastAsia" w:ascii="宋体" w:hAnsi="宋体" w:cs="宋体"/>
          <w:sz w:val="24"/>
        </w:rPr>
        <w:t>性能指标</w:t>
      </w:r>
      <w:r>
        <w:rPr>
          <w:rFonts w:hint="eastAsia" w:ascii="宋体" w:hAnsi="宋体" w:cs="宋体"/>
          <w:sz w:val="24"/>
          <w:lang w:eastAsia="zh-CN"/>
        </w:rPr>
        <w:t>应</w:t>
      </w:r>
      <w:r>
        <w:rPr>
          <w:rFonts w:hint="eastAsia" w:ascii="宋体" w:hAnsi="宋体" w:cs="宋体"/>
          <w:sz w:val="24"/>
        </w:rPr>
        <w:t>符合现行国家标准《镀锌电焊网》GB/T 33281的有关规定。</w:t>
      </w:r>
    </w:p>
    <w:p w14:paraId="2980A6E8">
      <w:pPr>
        <w:pStyle w:val="42"/>
        <w:outlineLvl w:val="9"/>
        <w:rPr>
          <w:bCs/>
        </w:rPr>
      </w:pPr>
      <w:r>
        <w:rPr>
          <w:rFonts w:hint="eastAsia" w:ascii="Times New Roman" w:hAnsi="Times New Roman"/>
          <w:b/>
          <w:bCs/>
          <w:kern w:val="2"/>
          <w:szCs w:val="24"/>
        </w:rPr>
        <w:t>4.6.3</w:t>
      </w:r>
      <w:r>
        <w:rPr>
          <w:rFonts w:hint="eastAsia" w:cs="宋体"/>
          <w:szCs w:val="24"/>
        </w:rPr>
        <w:t xml:space="preserve">  玻璃纤维复合材料</w:t>
      </w:r>
      <w:r>
        <w:rPr>
          <w:rFonts w:hint="eastAsia" w:cs="宋体"/>
          <w:kern w:val="2"/>
          <w:szCs w:val="24"/>
        </w:rPr>
        <w:t>筋的性能指标应符合现行国家标准《结构工程用纤维增强复合材料筋》GB/T 26743的有关规定</w:t>
      </w:r>
      <w:r>
        <w:rPr>
          <w:bCs/>
        </w:rPr>
        <w:t>。</w:t>
      </w:r>
    </w:p>
    <w:p w14:paraId="245B5BDD">
      <w:pPr>
        <w:pStyle w:val="42"/>
        <w:outlineLvl w:val="9"/>
        <w:rPr>
          <w:bCs/>
        </w:rPr>
      </w:pPr>
      <w:r>
        <w:rPr>
          <w:rFonts w:hint="eastAsia" w:ascii="Times New Roman" w:hAnsi="Times New Roman"/>
          <w:b/>
          <w:bCs/>
          <w:kern w:val="2"/>
          <w:szCs w:val="24"/>
        </w:rPr>
        <w:t>4.6.4</w:t>
      </w:r>
      <w:r>
        <w:rPr>
          <w:rFonts w:hint="eastAsia" w:cs="宋体"/>
          <w:szCs w:val="24"/>
        </w:rPr>
        <w:t xml:space="preserve">  界面剂、防水抗裂材料、轻质修补砂浆、聚合物</w:t>
      </w:r>
      <w:r>
        <w:rPr>
          <w:rFonts w:hint="eastAsia" w:cs="宋体"/>
          <w:szCs w:val="24"/>
          <w:lang w:eastAsia="zh-CN"/>
        </w:rPr>
        <w:t>找平</w:t>
      </w:r>
      <w:r>
        <w:rPr>
          <w:rFonts w:hint="eastAsia" w:cs="宋体"/>
          <w:szCs w:val="24"/>
        </w:rPr>
        <w:t>砂浆等应符合现行产品和环保标准的规定，并应满足设计要求，在选择和使用前，均应验证其与系统组成材料的相容性</w:t>
      </w:r>
      <w:r>
        <w:rPr>
          <w:bCs/>
        </w:rPr>
        <w:t>。</w:t>
      </w:r>
    </w:p>
    <w:p w14:paraId="0A57CD42">
      <w:pPr>
        <w:pStyle w:val="42"/>
        <w:outlineLvl w:val="9"/>
        <w:rPr>
          <w:bCs/>
          <w:color w:val="FF0000"/>
          <w:highlight w:val="yellow"/>
        </w:rPr>
      </w:pPr>
    </w:p>
    <w:p w14:paraId="0C3414DC">
      <w:pPr>
        <w:spacing w:line="360" w:lineRule="auto"/>
        <w:jc w:val="left"/>
        <w:rPr>
          <w:rFonts w:ascii="宋体" w:hAnsi="宋体" w:cs="宋体"/>
          <w:sz w:val="24"/>
        </w:rPr>
      </w:pPr>
    </w:p>
    <w:p w14:paraId="31A0E99B">
      <w:pPr>
        <w:pStyle w:val="3"/>
        <w:spacing w:line="360" w:lineRule="auto"/>
        <w:jc w:val="center"/>
        <w:rPr>
          <w:rStyle w:val="31"/>
          <w:b/>
          <w:bCs/>
          <w:sz w:val="28"/>
          <w:szCs w:val="28"/>
        </w:rPr>
      </w:pPr>
      <w:r>
        <w:rPr>
          <w:rFonts w:hint="eastAsia" w:ascii="宋体" w:hAnsi="宋体" w:cs="宋体"/>
          <w:sz w:val="24"/>
          <w:szCs w:val="24"/>
        </w:rPr>
        <w:br w:type="page"/>
      </w:r>
      <w:bookmarkStart w:id="47" w:name="_Toc15587"/>
      <w:bookmarkStart w:id="48" w:name="_Toc21481"/>
      <w:bookmarkStart w:id="49" w:name="_Toc32076"/>
      <w:r>
        <w:rPr>
          <w:sz w:val="28"/>
        </w:rPr>
        <w:t>5</w:t>
      </w:r>
      <w:r>
        <w:rPr>
          <w:rFonts w:hint="eastAsia"/>
          <w:sz w:val="28"/>
          <w:lang w:val="en-US" w:eastAsia="zh-CN"/>
        </w:rPr>
        <w:t xml:space="preserve"> </w:t>
      </w:r>
      <w:r>
        <w:rPr>
          <w:rFonts w:hint="eastAsia"/>
          <w:sz w:val="28"/>
        </w:rPr>
        <w:t>设计</w:t>
      </w:r>
      <w:bookmarkEnd w:id="47"/>
      <w:bookmarkEnd w:id="48"/>
    </w:p>
    <w:bookmarkEnd w:id="49"/>
    <w:p w14:paraId="63D49C3A">
      <w:pPr>
        <w:pStyle w:val="4"/>
      </w:pPr>
      <w:bookmarkStart w:id="50" w:name="_Toc24856"/>
      <w:bookmarkStart w:id="51" w:name="_Toc21399"/>
      <w:bookmarkStart w:id="52" w:name="_Toc23315"/>
      <w:r>
        <w:t>5.1 一般规定</w:t>
      </w:r>
      <w:bookmarkEnd w:id="50"/>
      <w:bookmarkEnd w:id="51"/>
      <w:bookmarkEnd w:id="52"/>
    </w:p>
    <w:p w14:paraId="27548433">
      <w:pPr>
        <w:pStyle w:val="2"/>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宋体" w:hAnsi="宋体" w:eastAsia="宋体" w:cs="宋体"/>
          <w:sz w:val="24"/>
          <w:szCs w:val="24"/>
          <w:lang w:eastAsia="zh-CN"/>
        </w:rPr>
      </w:pPr>
      <w:r>
        <w:rPr>
          <w:rFonts w:hint="eastAsia"/>
          <w:b/>
          <w:bCs/>
          <w:sz w:val="24"/>
          <w:szCs w:val="24"/>
        </w:rPr>
        <w:t>5.1.1</w:t>
      </w:r>
      <w:r>
        <w:rPr>
          <w:rFonts w:hint="eastAsia" w:ascii="宋体" w:hAnsi="宋体" w:cs="宋体"/>
          <w:sz w:val="24"/>
          <w:szCs w:val="24"/>
        </w:rPr>
        <w:t xml:space="preserve">  集成保温外墙板适用于</w:t>
      </w:r>
      <w:r>
        <w:rPr>
          <w:rFonts w:hint="eastAsia" w:ascii="宋体" w:hAnsi="宋体" w:cs="宋体"/>
          <w:sz w:val="24"/>
          <w:szCs w:val="24"/>
          <w:highlight w:val="none"/>
        </w:rPr>
        <w:t>抗震设防烈度为8度及以下</w:t>
      </w:r>
      <w:r>
        <w:rPr>
          <w:rFonts w:hint="eastAsia" w:ascii="宋体" w:hAnsi="宋体" w:cs="宋体"/>
          <w:sz w:val="24"/>
          <w:szCs w:val="24"/>
          <w:highlight w:val="none"/>
          <w:lang w:eastAsia="zh-CN"/>
        </w:rPr>
        <w:t>的</w:t>
      </w:r>
      <w:r>
        <w:rPr>
          <w:rFonts w:hint="eastAsia" w:ascii="宋体" w:hAnsi="宋体" w:cs="宋体"/>
          <w:sz w:val="24"/>
          <w:szCs w:val="24"/>
        </w:rPr>
        <w:t>建筑高度不超过100m的预制混凝土外墙，不适用于地下室外墙。</w:t>
      </w:r>
    </w:p>
    <w:p w14:paraId="77A9ED07">
      <w:pPr>
        <w:pStyle w:val="2"/>
        <w:keepNext w:val="0"/>
        <w:keepLines w:val="0"/>
        <w:pageBreakBefore w:val="0"/>
        <w:widowControl w:val="0"/>
        <w:kinsoku/>
        <w:wordWrap/>
        <w:overflowPunct/>
        <w:topLinePunct w:val="0"/>
        <w:autoSpaceDE/>
        <w:autoSpaceDN/>
        <w:bidi w:val="0"/>
        <w:adjustRightInd/>
        <w:snapToGrid/>
        <w:spacing w:after="0" w:line="360" w:lineRule="auto"/>
        <w:textAlignment w:val="auto"/>
        <w:rPr>
          <w:rFonts w:ascii="宋体" w:hAnsi="宋体" w:cs="宋体"/>
          <w:sz w:val="24"/>
          <w:szCs w:val="24"/>
        </w:rPr>
      </w:pPr>
      <w:r>
        <w:rPr>
          <w:rFonts w:hint="eastAsia"/>
          <w:b/>
          <w:bCs/>
          <w:sz w:val="24"/>
          <w:szCs w:val="24"/>
        </w:rPr>
        <w:t>5.1.2</w:t>
      </w:r>
      <w:r>
        <w:rPr>
          <w:rFonts w:hint="eastAsia" w:ascii="宋体" w:hAnsi="宋体" w:cs="宋体"/>
          <w:sz w:val="24"/>
          <w:szCs w:val="24"/>
        </w:rPr>
        <w:t xml:space="preserve">  集成保温外墙板应能适应正常的建筑变形，在长期正常荷载及室外荷载气候的反复作用下，不应产生破坏。</w:t>
      </w:r>
    </w:p>
    <w:p w14:paraId="6CD6114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szCs w:val="24"/>
        </w:rPr>
      </w:pPr>
      <w:r>
        <w:rPr>
          <w:rFonts w:hint="eastAsia"/>
          <w:b/>
          <w:bCs/>
          <w:sz w:val="24"/>
          <w:szCs w:val="24"/>
        </w:rPr>
        <w:t>5.1.3</w:t>
      </w:r>
      <w:r>
        <w:rPr>
          <w:rFonts w:hint="eastAsia" w:ascii="宋体" w:hAnsi="宋体" w:cs="宋体"/>
          <w:sz w:val="24"/>
          <w:szCs w:val="24"/>
        </w:rPr>
        <w:t xml:space="preserve">  集成保温外墙板的结构设计应符合现行国家标准《工程结构通用规范》GB 55001和《建筑与市政工程抗震通用规范》GB 55002。荷载取值应符合现行国家标准《建筑结构荷载规范》GB 50009的规定。</w:t>
      </w:r>
    </w:p>
    <w:p w14:paraId="06796B9A">
      <w:pPr>
        <w:pStyle w:val="2"/>
        <w:keepNext w:val="0"/>
        <w:keepLines w:val="0"/>
        <w:pageBreakBefore w:val="0"/>
        <w:widowControl w:val="0"/>
        <w:kinsoku/>
        <w:wordWrap/>
        <w:overflowPunct/>
        <w:topLinePunct w:val="0"/>
        <w:autoSpaceDE/>
        <w:autoSpaceDN/>
        <w:bidi w:val="0"/>
        <w:adjustRightInd/>
        <w:snapToGrid/>
        <w:spacing w:after="0" w:line="360" w:lineRule="auto"/>
        <w:textAlignment w:val="auto"/>
        <w:rPr>
          <w:rFonts w:ascii="宋体" w:hAnsi="宋体" w:cs="宋体"/>
          <w:sz w:val="24"/>
          <w:szCs w:val="24"/>
        </w:rPr>
      </w:pPr>
      <w:r>
        <w:rPr>
          <w:rFonts w:hint="eastAsia"/>
          <w:b/>
          <w:bCs/>
          <w:sz w:val="24"/>
          <w:szCs w:val="24"/>
        </w:rPr>
        <w:t>5.1.4</w:t>
      </w:r>
      <w:r>
        <w:rPr>
          <w:rFonts w:hint="eastAsia" w:ascii="宋体" w:hAnsi="宋体" w:cs="宋体"/>
          <w:sz w:val="24"/>
          <w:szCs w:val="24"/>
        </w:rPr>
        <w:t xml:space="preserve">  集成保温外墙板</w:t>
      </w:r>
      <w:r>
        <w:rPr>
          <w:rFonts w:ascii="宋体" w:hAnsi="宋体" w:cs="宋体"/>
          <w:sz w:val="24"/>
          <w:szCs w:val="24"/>
        </w:rPr>
        <w:t>的抗震等级、平面和竖向布置原则及承载力抗震调整系数应符合现行国家标准《装配式混凝土建筑技术标准》GB/T 51231和《装配式混凝土结构技术规程》JGJ 1的相关规定。重点设防类建筑中的</w:t>
      </w:r>
      <w:r>
        <w:rPr>
          <w:rFonts w:hint="eastAsia" w:ascii="宋体" w:hAnsi="宋体" w:cs="宋体"/>
          <w:sz w:val="24"/>
          <w:szCs w:val="24"/>
        </w:rPr>
        <w:t>集成保温外墙板</w:t>
      </w:r>
      <w:r>
        <w:rPr>
          <w:rFonts w:ascii="宋体" w:hAnsi="宋体" w:cs="宋体"/>
          <w:sz w:val="24"/>
          <w:szCs w:val="24"/>
        </w:rPr>
        <w:t>应按本地区抗震设防烈度提高一度的要求加强其抗震措施。</w:t>
      </w:r>
    </w:p>
    <w:p w14:paraId="5D617437">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b/>
          <w:bCs/>
          <w:sz w:val="24"/>
          <w:szCs w:val="24"/>
        </w:rPr>
        <w:t>5.1.5</w:t>
      </w:r>
      <w:r>
        <w:rPr>
          <w:rFonts w:hint="eastAsia" w:ascii="宋体" w:hAnsi="宋体" w:cs="宋体"/>
          <w:sz w:val="24"/>
          <w:szCs w:val="24"/>
        </w:rPr>
        <w:t xml:space="preserve">  集成保温外墙板</w:t>
      </w:r>
      <w:r>
        <w:rPr>
          <w:rFonts w:ascii="宋体" w:hAnsi="宋体" w:cs="宋体"/>
          <w:sz w:val="24"/>
          <w:szCs w:val="24"/>
        </w:rPr>
        <w:t>应采用标准化预制构件，预制墙板规格尺寸</w:t>
      </w:r>
      <w:r>
        <w:rPr>
          <w:rFonts w:hint="eastAsia" w:ascii="宋体" w:hAnsi="宋体" w:cs="宋体"/>
          <w:color w:val="000000" w:themeColor="text1"/>
          <w:sz w:val="24"/>
          <w:szCs w:val="24"/>
          <w:lang w:eastAsia="zh-CN"/>
          <w14:textFill>
            <w14:solidFill>
              <w14:schemeClr w14:val="tx1"/>
            </w14:solidFill>
          </w14:textFill>
        </w:rPr>
        <w:t>宜</w:t>
      </w:r>
      <w:r>
        <w:rPr>
          <w:rFonts w:ascii="宋体" w:hAnsi="宋体" w:cs="宋体"/>
          <w:color w:val="000000" w:themeColor="text1"/>
          <w:sz w:val="24"/>
          <w:szCs w:val="24"/>
          <w14:textFill>
            <w14:solidFill>
              <w14:schemeClr w14:val="tx1"/>
            </w14:solidFill>
          </w14:textFill>
        </w:rPr>
        <w:t>符合模数化要求。其中</w:t>
      </w:r>
      <w:r>
        <w:rPr>
          <w:rFonts w:hint="eastAsia" w:ascii="宋体" w:hAnsi="宋体" w:cs="宋体"/>
          <w:color w:val="000000" w:themeColor="text1"/>
          <w:sz w:val="24"/>
          <w:szCs w:val="24"/>
          <w14:textFill>
            <w14:solidFill>
              <w14:schemeClr w14:val="tx1"/>
            </w14:solidFill>
          </w14:textFill>
        </w:rPr>
        <w:t>预制集成保温外墙板</w:t>
      </w:r>
      <w:r>
        <w:rPr>
          <w:rFonts w:ascii="宋体" w:hAnsi="宋体" w:cs="宋体"/>
          <w:color w:val="000000" w:themeColor="text1"/>
          <w:sz w:val="24"/>
          <w:szCs w:val="24"/>
          <w14:textFill>
            <w14:solidFill>
              <w14:schemeClr w14:val="tx1"/>
            </w14:solidFill>
          </w14:textFill>
        </w:rPr>
        <w:t>的尺寸</w:t>
      </w:r>
      <w:r>
        <w:rPr>
          <w:rFonts w:hint="eastAsia" w:ascii="宋体" w:hAnsi="宋体" w:cs="宋体"/>
          <w:color w:val="000000" w:themeColor="text1"/>
          <w:sz w:val="24"/>
          <w:szCs w:val="24"/>
          <w:lang w:eastAsia="zh-CN"/>
          <w14:textFill>
            <w14:solidFill>
              <w14:schemeClr w14:val="tx1"/>
            </w14:solidFill>
          </w14:textFill>
        </w:rPr>
        <w:t>宜</w:t>
      </w:r>
      <w:r>
        <w:rPr>
          <w:rFonts w:ascii="宋体" w:hAnsi="宋体" w:cs="宋体"/>
          <w:sz w:val="24"/>
          <w:szCs w:val="24"/>
        </w:rPr>
        <w:t>符合现行国家标准《建筑模数协调标准》GB/T 50002的要求</w:t>
      </w:r>
      <w:r>
        <w:rPr>
          <w:rFonts w:hint="eastAsia" w:ascii="宋体" w:hAnsi="宋体" w:cs="宋体"/>
          <w:sz w:val="24"/>
          <w:szCs w:val="24"/>
        </w:rPr>
        <w:t>。</w:t>
      </w:r>
    </w:p>
    <w:p w14:paraId="0B49E4E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szCs w:val="24"/>
        </w:rPr>
      </w:pPr>
      <w:r>
        <w:rPr>
          <w:rFonts w:hint="eastAsia"/>
          <w:b/>
          <w:bCs/>
          <w:sz w:val="24"/>
          <w:szCs w:val="24"/>
        </w:rPr>
        <w:t>5.1.6</w:t>
      </w:r>
      <w:r>
        <w:rPr>
          <w:rFonts w:hint="eastAsia" w:ascii="宋体" w:hAnsi="宋体" w:cs="宋体"/>
          <w:sz w:val="24"/>
          <w:szCs w:val="24"/>
        </w:rPr>
        <w:t xml:space="preserve">  集成保温外墙板接缝等防水薄弱部位，应采用构造防水和材料防水相结合的做法。</w:t>
      </w:r>
    </w:p>
    <w:p w14:paraId="06304867">
      <w:pPr>
        <w:pStyle w:val="2"/>
        <w:keepNext w:val="0"/>
        <w:keepLines w:val="0"/>
        <w:pageBreakBefore w:val="0"/>
        <w:widowControl w:val="0"/>
        <w:kinsoku/>
        <w:wordWrap/>
        <w:overflowPunct/>
        <w:topLinePunct w:val="0"/>
        <w:autoSpaceDE/>
        <w:autoSpaceDN/>
        <w:bidi w:val="0"/>
        <w:adjustRightInd/>
        <w:snapToGrid/>
        <w:spacing w:after="0" w:line="360" w:lineRule="auto"/>
        <w:textAlignment w:val="auto"/>
        <w:rPr>
          <w:rFonts w:ascii="宋体" w:hAnsi="宋体" w:cs="宋体"/>
          <w:sz w:val="24"/>
          <w:szCs w:val="24"/>
        </w:rPr>
      </w:pPr>
      <w:r>
        <w:rPr>
          <w:rFonts w:hint="eastAsia"/>
          <w:b/>
          <w:bCs/>
          <w:sz w:val="24"/>
          <w:szCs w:val="24"/>
        </w:rPr>
        <w:t>5.1.</w:t>
      </w:r>
      <w:r>
        <w:rPr>
          <w:rFonts w:hint="eastAsia"/>
          <w:b/>
          <w:bCs/>
          <w:sz w:val="24"/>
          <w:szCs w:val="24"/>
          <w:lang w:val="en-US" w:eastAsia="zh-CN"/>
        </w:rPr>
        <w:t>7</w:t>
      </w:r>
      <w:r>
        <w:rPr>
          <w:rFonts w:hint="eastAsia"/>
          <w:b/>
          <w:bCs/>
          <w:sz w:val="24"/>
          <w:szCs w:val="24"/>
        </w:rPr>
        <w:t xml:space="preserve">  </w:t>
      </w:r>
      <w:r>
        <w:rPr>
          <w:rFonts w:hint="eastAsia" w:ascii="宋体" w:hAnsi="宋体" w:cs="宋体"/>
          <w:sz w:val="24"/>
          <w:szCs w:val="24"/>
        </w:rPr>
        <w:t>饰面层应采用耐久性好、不易污染的建筑材料。</w:t>
      </w:r>
    </w:p>
    <w:p w14:paraId="17AA15B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szCs w:val="24"/>
          <w:highlight w:val="yellow"/>
        </w:rPr>
      </w:pPr>
      <w:r>
        <w:rPr>
          <w:rFonts w:hint="eastAsia"/>
          <w:b/>
          <w:bCs/>
          <w:sz w:val="24"/>
          <w:szCs w:val="24"/>
        </w:rPr>
        <w:t>5.1.</w:t>
      </w:r>
      <w:r>
        <w:rPr>
          <w:rFonts w:hint="eastAsia"/>
          <w:b/>
          <w:bCs/>
          <w:sz w:val="24"/>
          <w:szCs w:val="24"/>
          <w:lang w:val="en-US" w:eastAsia="zh-CN"/>
        </w:rPr>
        <w:t>8</w:t>
      </w:r>
      <w:r>
        <w:rPr>
          <w:rFonts w:hint="eastAsia" w:ascii="宋体" w:hAnsi="宋体" w:cs="宋体"/>
          <w:sz w:val="24"/>
          <w:szCs w:val="24"/>
        </w:rPr>
        <w:t xml:space="preserve">  集成保温外墙板</w:t>
      </w:r>
      <w:r>
        <w:rPr>
          <w:rFonts w:hint="eastAsia"/>
          <w:sz w:val="24"/>
          <w:szCs w:val="24"/>
        </w:rPr>
        <w:t>设计应采用数字化技术，构件设计阶段交付的模型应能满足构件生产、施工、运维阶段等要求。</w:t>
      </w:r>
    </w:p>
    <w:p w14:paraId="674D6A5C">
      <w:pPr>
        <w:pStyle w:val="4"/>
      </w:pPr>
      <w:bookmarkStart w:id="53" w:name="_Toc23340"/>
      <w:bookmarkStart w:id="54" w:name="_Toc17148"/>
      <w:bookmarkStart w:id="55" w:name="_Toc24204"/>
      <w:r>
        <w:t xml:space="preserve">5.2 </w:t>
      </w:r>
      <w:bookmarkEnd w:id="53"/>
      <w:r>
        <w:rPr>
          <w:rFonts w:hint="eastAsia"/>
        </w:rPr>
        <w:t>组成构造</w:t>
      </w:r>
      <w:bookmarkEnd w:id="54"/>
      <w:bookmarkEnd w:id="55"/>
    </w:p>
    <w:p w14:paraId="1530278A">
      <w:pPr>
        <w:spacing w:line="360" w:lineRule="auto"/>
        <w:rPr>
          <w:rFonts w:hint="eastAsia" w:ascii="宋体" w:hAnsi="宋体" w:cs="宋体"/>
          <w:sz w:val="24"/>
        </w:rPr>
      </w:pPr>
      <w:r>
        <w:rPr>
          <w:rFonts w:hint="eastAsia"/>
          <w:b/>
          <w:bCs/>
          <w:sz w:val="24"/>
        </w:rPr>
        <w:t>5.2.1</w:t>
      </w:r>
      <w:r>
        <w:rPr>
          <w:rFonts w:hint="eastAsia" w:ascii="宋体" w:hAnsi="宋体" w:cs="宋体"/>
          <w:sz w:val="24"/>
        </w:rPr>
        <w:t xml:space="preserve"> 预制集成保温外墙</w:t>
      </w:r>
      <w:r>
        <w:rPr>
          <w:rFonts w:hint="eastAsia" w:ascii="宋体" w:hAnsi="宋体" w:cs="宋体"/>
          <w:sz w:val="24"/>
          <w:lang w:eastAsia="zh-CN"/>
        </w:rPr>
        <w:t>系统</w:t>
      </w:r>
      <w:r>
        <w:rPr>
          <w:rFonts w:hint="eastAsia" w:ascii="宋体" w:hAnsi="宋体" w:cs="宋体"/>
          <w:sz w:val="24"/>
        </w:rPr>
        <w:t>由基层混凝土层、保温层、锚固件、防护层组成，其基本构造符合表5.2.1的规定。</w:t>
      </w:r>
    </w:p>
    <w:p w14:paraId="28195B4D">
      <w:pPr>
        <w:spacing w:line="360" w:lineRule="auto"/>
        <w:rPr>
          <w:rFonts w:hint="eastAsia" w:ascii="宋体" w:hAnsi="宋体" w:cs="宋体"/>
          <w:sz w:val="24"/>
        </w:rPr>
      </w:pPr>
    </w:p>
    <w:p w14:paraId="12FB0314">
      <w:pPr>
        <w:spacing w:line="360" w:lineRule="auto"/>
        <w:rPr>
          <w:rFonts w:hint="eastAsia" w:ascii="宋体" w:hAnsi="宋体" w:cs="宋体"/>
          <w:sz w:val="24"/>
        </w:rPr>
      </w:pPr>
    </w:p>
    <w:p w14:paraId="53C93430">
      <w:pPr>
        <w:spacing w:line="400" w:lineRule="exact"/>
        <w:jc w:val="center"/>
        <w:rPr>
          <w:rFonts w:ascii="宋体" w:hAnsi="宋体" w:cs="宋体"/>
          <w:b/>
          <w:bCs/>
          <w:szCs w:val="21"/>
        </w:rPr>
      </w:pPr>
      <w:r>
        <w:rPr>
          <w:rFonts w:hint="eastAsia" w:ascii="宋体" w:hAnsi="宋体" w:cs="宋体"/>
          <w:b/>
          <w:bCs/>
          <w:szCs w:val="21"/>
        </w:rPr>
        <w:t>表</w:t>
      </w:r>
      <w:r>
        <w:rPr>
          <w:rFonts w:hint="eastAsia"/>
          <w:b/>
          <w:bCs/>
          <w:szCs w:val="21"/>
        </w:rPr>
        <w:t>5.2.1</w:t>
      </w:r>
      <w:r>
        <w:rPr>
          <w:rFonts w:hint="eastAsia" w:ascii="宋体" w:hAnsi="宋体" w:cs="宋体"/>
          <w:b/>
          <w:bCs/>
          <w:szCs w:val="21"/>
        </w:rPr>
        <w:t xml:space="preserve">  预制集成保温外墙</w:t>
      </w:r>
      <w:r>
        <w:rPr>
          <w:rFonts w:hint="eastAsia" w:ascii="宋体" w:hAnsi="宋体" w:cs="宋体"/>
          <w:b/>
          <w:bCs/>
          <w:szCs w:val="21"/>
          <w:lang w:eastAsia="zh-CN"/>
        </w:rPr>
        <w:t>系统</w:t>
      </w:r>
      <w:r>
        <w:rPr>
          <w:rFonts w:hint="eastAsia" w:ascii="宋体" w:hAnsi="宋体" w:cs="宋体"/>
          <w:b/>
          <w:bCs/>
          <w:szCs w:val="21"/>
        </w:rPr>
        <w:t>基本构造</w:t>
      </w:r>
    </w:p>
    <w:tbl>
      <w:tblPr>
        <w:tblStyle w:val="24"/>
        <w:tblW w:w="5000" w:type="pct"/>
        <w:tblInd w:w="0" w:type="dxa"/>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Layout w:type="autofit"/>
        <w:tblCellMar>
          <w:top w:w="0" w:type="dxa"/>
          <w:left w:w="108" w:type="dxa"/>
          <w:bottom w:w="0" w:type="dxa"/>
          <w:right w:w="108" w:type="dxa"/>
        </w:tblCellMar>
      </w:tblPr>
      <w:tblGrid>
        <w:gridCol w:w="2125"/>
        <w:gridCol w:w="2183"/>
        <w:gridCol w:w="1941"/>
        <w:gridCol w:w="2273"/>
      </w:tblGrid>
      <w:tr w14:paraId="25994A1E">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trHeight w:val="372" w:hRule="atLeast"/>
        </w:trPr>
        <w:tc>
          <w:tcPr>
            <w:tcW w:w="5000" w:type="pct"/>
            <w:gridSpan w:val="4"/>
            <w:tcBorders>
              <w:bottom w:val="single" w:color="auto" w:sz="12" w:space="0"/>
            </w:tcBorders>
          </w:tcPr>
          <w:p w14:paraId="6C979FE3">
            <w:pPr>
              <w:spacing w:line="400" w:lineRule="exact"/>
              <w:jc w:val="center"/>
              <w:rPr>
                <w:rFonts w:ascii="宋体" w:hAnsi="宋体" w:cs="宋体"/>
                <w:sz w:val="24"/>
              </w:rPr>
            </w:pPr>
            <w:r>
              <w:rPr>
                <w:rFonts w:hint="eastAsia" w:ascii="宋体" w:hAnsi="宋体" w:cs="宋体"/>
                <w:sz w:val="24"/>
              </w:rPr>
              <w:t>基本构造</w:t>
            </w:r>
          </w:p>
        </w:tc>
      </w:tr>
      <w:tr w14:paraId="7DC9FF47">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trHeight w:val="382" w:hRule="atLeast"/>
        </w:trPr>
        <w:tc>
          <w:tcPr>
            <w:tcW w:w="1247" w:type="pct"/>
            <w:tcBorders>
              <w:top w:val="single" w:color="auto" w:sz="12" w:space="0"/>
            </w:tcBorders>
            <w:vAlign w:val="center"/>
          </w:tcPr>
          <w:p w14:paraId="0201D09F">
            <w:pPr>
              <w:jc w:val="center"/>
              <w:rPr>
                <w:rFonts w:ascii="宋体" w:hAnsi="宋体" w:cs="宋体"/>
                <w:sz w:val="24"/>
              </w:rPr>
            </w:pPr>
            <w:r>
              <w:rPr>
                <w:rFonts w:hint="eastAsia" w:ascii="宋体" w:hAnsi="宋体" w:cs="宋体"/>
                <w:sz w:val="24"/>
              </w:rPr>
              <w:t>①基层墙体</w:t>
            </w:r>
          </w:p>
        </w:tc>
        <w:tc>
          <w:tcPr>
            <w:tcW w:w="1281" w:type="pct"/>
            <w:tcBorders>
              <w:top w:val="single" w:color="auto" w:sz="12" w:space="0"/>
            </w:tcBorders>
            <w:vAlign w:val="center"/>
          </w:tcPr>
          <w:p w14:paraId="1F7D9DF6">
            <w:pPr>
              <w:jc w:val="center"/>
              <w:rPr>
                <w:rFonts w:ascii="宋体" w:hAnsi="宋体" w:cs="宋体"/>
                <w:sz w:val="24"/>
              </w:rPr>
            </w:pPr>
            <w:r>
              <w:rPr>
                <w:rFonts w:hint="eastAsia" w:ascii="宋体" w:hAnsi="宋体" w:cs="宋体"/>
                <w:sz w:val="24"/>
              </w:rPr>
              <w:t>②保温层</w:t>
            </w:r>
          </w:p>
        </w:tc>
        <w:tc>
          <w:tcPr>
            <w:tcW w:w="1139" w:type="pct"/>
            <w:tcBorders>
              <w:top w:val="single" w:color="auto" w:sz="12" w:space="0"/>
            </w:tcBorders>
            <w:vAlign w:val="center"/>
          </w:tcPr>
          <w:p w14:paraId="24974088">
            <w:pPr>
              <w:jc w:val="center"/>
              <w:rPr>
                <w:rFonts w:ascii="宋体" w:hAnsi="宋体" w:cs="宋体"/>
                <w:sz w:val="24"/>
              </w:rPr>
            </w:pPr>
            <w:r>
              <w:rPr>
                <w:rFonts w:hint="eastAsia" w:ascii="宋体" w:hAnsi="宋体" w:cs="宋体"/>
                <w:sz w:val="24"/>
              </w:rPr>
              <w:t>③锚固件</w:t>
            </w:r>
          </w:p>
        </w:tc>
        <w:tc>
          <w:tcPr>
            <w:tcW w:w="1330" w:type="pct"/>
            <w:tcBorders>
              <w:top w:val="single" w:color="auto" w:sz="12" w:space="0"/>
            </w:tcBorders>
            <w:vAlign w:val="center"/>
          </w:tcPr>
          <w:p w14:paraId="74FD39CD">
            <w:pPr>
              <w:jc w:val="center"/>
              <w:rPr>
                <w:rFonts w:ascii="宋体" w:hAnsi="宋体" w:cs="宋体"/>
                <w:sz w:val="24"/>
              </w:rPr>
            </w:pPr>
            <w:r>
              <w:rPr>
                <w:rFonts w:hint="eastAsia" w:ascii="宋体" w:hAnsi="宋体" w:cs="宋体"/>
                <w:sz w:val="24"/>
              </w:rPr>
              <w:t>④防护层</w:t>
            </w:r>
          </w:p>
        </w:tc>
      </w:tr>
      <w:tr w14:paraId="64A8C946">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247" w:type="pct"/>
            <w:vAlign w:val="center"/>
          </w:tcPr>
          <w:p w14:paraId="4C3083FF">
            <w:pPr>
              <w:spacing w:line="400" w:lineRule="exact"/>
              <w:jc w:val="center"/>
              <w:rPr>
                <w:rFonts w:ascii="宋体" w:hAnsi="宋体" w:cs="宋体"/>
                <w:sz w:val="24"/>
              </w:rPr>
            </w:pPr>
            <w:r>
              <w:rPr>
                <w:rFonts w:hint="eastAsia" w:ascii="宋体" w:hAnsi="宋体" w:cs="宋体"/>
                <w:sz w:val="24"/>
              </w:rPr>
              <w:t>钢筋混凝土</w:t>
            </w:r>
          </w:p>
        </w:tc>
        <w:tc>
          <w:tcPr>
            <w:tcW w:w="1281" w:type="pct"/>
            <w:vAlign w:val="center"/>
          </w:tcPr>
          <w:p w14:paraId="7A220A5A">
            <w:pPr>
              <w:spacing w:line="400" w:lineRule="exact"/>
              <w:jc w:val="center"/>
              <w:rPr>
                <w:rFonts w:ascii="宋体" w:hAnsi="宋体" w:cs="宋体"/>
                <w:sz w:val="24"/>
              </w:rPr>
            </w:pPr>
            <w:r>
              <w:rPr>
                <w:rFonts w:hint="eastAsia" w:ascii="宋体" w:hAnsi="宋体" w:cs="宋体"/>
                <w:sz w:val="24"/>
              </w:rPr>
              <w:t>A级保温材料</w:t>
            </w:r>
          </w:p>
        </w:tc>
        <w:tc>
          <w:tcPr>
            <w:tcW w:w="1139" w:type="pct"/>
            <w:vAlign w:val="center"/>
          </w:tcPr>
          <w:p w14:paraId="09672695">
            <w:pPr>
              <w:spacing w:line="400" w:lineRule="exact"/>
              <w:jc w:val="center"/>
              <w:rPr>
                <w:rFonts w:ascii="宋体" w:hAnsi="宋体" w:cs="宋体"/>
                <w:sz w:val="24"/>
              </w:rPr>
            </w:pPr>
            <w:r>
              <w:rPr>
                <w:rFonts w:hint="eastAsia" w:ascii="宋体" w:hAnsi="宋体" w:cs="宋体"/>
                <w:sz w:val="24"/>
              </w:rPr>
              <w:t>锚固件</w:t>
            </w:r>
          </w:p>
        </w:tc>
        <w:tc>
          <w:tcPr>
            <w:tcW w:w="1330" w:type="pct"/>
            <w:vAlign w:val="center"/>
          </w:tcPr>
          <w:p w14:paraId="49B516FF">
            <w:pPr>
              <w:spacing w:line="400" w:lineRule="exact"/>
              <w:jc w:val="center"/>
              <w:rPr>
                <w:rFonts w:ascii="宋体" w:hAnsi="宋体" w:cs="宋体"/>
                <w:sz w:val="24"/>
              </w:rPr>
            </w:pPr>
            <w:r>
              <w:rPr>
                <w:rFonts w:hint="eastAsia" w:ascii="宋体" w:hAnsi="宋体" w:cs="宋体"/>
                <w:sz w:val="24"/>
              </w:rPr>
              <w:t>抹面层+饰面层</w:t>
            </w:r>
          </w:p>
        </w:tc>
      </w:tr>
    </w:tbl>
    <w:p w14:paraId="47B3A86D">
      <w:pPr>
        <w:spacing w:line="360" w:lineRule="auto"/>
        <w:jc w:val="center"/>
      </w:pPr>
    </w:p>
    <w:p w14:paraId="79AC9D5E">
      <w:pPr>
        <w:spacing w:line="360" w:lineRule="auto"/>
        <w:jc w:val="center"/>
        <w:rPr>
          <w:rFonts w:ascii="宋体" w:hAnsi="宋体" w:cs="宋体"/>
          <w:sz w:val="24"/>
        </w:rPr>
      </w:pPr>
      <w:r>
        <w:drawing>
          <wp:inline distT="0" distB="0" distL="114300" distR="114300">
            <wp:extent cx="2994660" cy="2462530"/>
            <wp:effectExtent l="0" t="0" r="15240" b="13970"/>
            <wp:docPr id="2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1"/>
                    <pic:cNvPicPr>
                      <a:picLocks noChangeAspect="1"/>
                    </pic:cNvPicPr>
                  </pic:nvPicPr>
                  <pic:blipFill>
                    <a:blip r:embed="rId8"/>
                    <a:stretch>
                      <a:fillRect/>
                    </a:stretch>
                  </pic:blipFill>
                  <pic:spPr>
                    <a:xfrm>
                      <a:off x="0" y="0"/>
                      <a:ext cx="2994660" cy="2462530"/>
                    </a:xfrm>
                    <a:prstGeom prst="rect">
                      <a:avLst/>
                    </a:prstGeom>
                    <a:noFill/>
                    <a:ln>
                      <a:noFill/>
                    </a:ln>
                  </pic:spPr>
                </pic:pic>
              </a:graphicData>
            </a:graphic>
          </wp:inline>
        </w:drawing>
      </w:r>
    </w:p>
    <w:p w14:paraId="05401422">
      <w:pPr>
        <w:pStyle w:val="2"/>
        <w:jc w:val="center"/>
        <w:rPr>
          <w:rFonts w:ascii="宋体" w:hAnsi="宋体" w:cs="宋体"/>
          <w:sz w:val="24"/>
          <w:szCs w:val="32"/>
        </w:rPr>
      </w:pPr>
      <w:r>
        <w:rPr>
          <w:rFonts w:hint="eastAsia" w:ascii="宋体" w:hAnsi="宋体" w:cs="宋体"/>
          <w:sz w:val="24"/>
          <w:szCs w:val="32"/>
        </w:rPr>
        <w:t>图5.5.1 预制集成保温外墙</w:t>
      </w:r>
      <w:r>
        <w:rPr>
          <w:rFonts w:hint="eastAsia" w:ascii="宋体" w:hAnsi="宋体" w:cs="宋体"/>
          <w:sz w:val="24"/>
          <w:szCs w:val="32"/>
          <w:lang w:eastAsia="zh-CN"/>
        </w:rPr>
        <w:t>系统</w:t>
      </w:r>
      <w:r>
        <w:rPr>
          <w:rFonts w:hint="eastAsia" w:ascii="宋体" w:hAnsi="宋体" w:cs="宋体"/>
          <w:sz w:val="24"/>
          <w:szCs w:val="32"/>
        </w:rPr>
        <w:t>构造示意图</w:t>
      </w:r>
    </w:p>
    <w:p w14:paraId="41C48374">
      <w:pPr>
        <w:jc w:val="center"/>
        <w:rPr>
          <w:rFonts w:ascii="宋体" w:hAnsi="宋体" w:cs="宋体"/>
          <w:sz w:val="24"/>
          <w:szCs w:val="32"/>
        </w:rPr>
      </w:pPr>
      <w:r>
        <w:rPr>
          <w:rFonts w:hint="eastAsia" w:ascii="宋体" w:hAnsi="宋体" w:cs="宋体"/>
          <w:sz w:val="24"/>
          <w:szCs w:val="32"/>
        </w:rPr>
        <w:t>1</w:t>
      </w:r>
      <w:r>
        <w:rPr>
          <w:rFonts w:hint="eastAsia" w:ascii="宋体" w:hAnsi="宋体" w:cs="宋体"/>
          <w:sz w:val="24"/>
          <w:szCs w:val="32"/>
          <w:lang w:eastAsia="zh-CN"/>
        </w:rPr>
        <w:t>——</w:t>
      </w:r>
      <w:r>
        <w:rPr>
          <w:rFonts w:hint="eastAsia" w:ascii="宋体" w:hAnsi="宋体" w:cs="宋体"/>
          <w:sz w:val="24"/>
          <w:szCs w:val="32"/>
        </w:rPr>
        <w:t>基层混凝土墙体；2</w:t>
      </w:r>
      <w:r>
        <w:rPr>
          <w:rFonts w:hint="eastAsia" w:ascii="宋体" w:hAnsi="宋体" w:cs="宋体"/>
          <w:sz w:val="24"/>
          <w:szCs w:val="32"/>
          <w:lang w:eastAsia="zh-CN"/>
        </w:rPr>
        <w:t>——</w:t>
      </w:r>
      <w:r>
        <w:rPr>
          <w:rFonts w:hint="eastAsia" w:ascii="宋体" w:hAnsi="宋体" w:cs="宋体"/>
          <w:sz w:val="24"/>
          <w:szCs w:val="32"/>
        </w:rPr>
        <w:t>保温层；3</w:t>
      </w:r>
      <w:r>
        <w:rPr>
          <w:rFonts w:hint="eastAsia" w:ascii="宋体" w:hAnsi="宋体" w:cs="宋体"/>
          <w:sz w:val="24"/>
          <w:szCs w:val="32"/>
          <w:lang w:eastAsia="zh-CN"/>
        </w:rPr>
        <w:t>——</w:t>
      </w:r>
      <w:r>
        <w:rPr>
          <w:rFonts w:hint="eastAsia" w:ascii="宋体" w:hAnsi="宋体" w:cs="宋体"/>
          <w:sz w:val="24"/>
          <w:szCs w:val="32"/>
        </w:rPr>
        <w:t>锚固件；4</w:t>
      </w:r>
      <w:r>
        <w:rPr>
          <w:rFonts w:hint="eastAsia" w:ascii="宋体" w:hAnsi="宋体" w:cs="宋体"/>
          <w:sz w:val="24"/>
          <w:szCs w:val="32"/>
          <w:lang w:eastAsia="zh-CN"/>
        </w:rPr>
        <w:t>——</w:t>
      </w:r>
      <w:r>
        <w:rPr>
          <w:rFonts w:hint="eastAsia" w:ascii="宋体" w:hAnsi="宋体" w:cs="宋体"/>
          <w:sz w:val="24"/>
          <w:szCs w:val="32"/>
        </w:rPr>
        <w:t>防护层</w:t>
      </w:r>
    </w:p>
    <w:p w14:paraId="4E849DA5">
      <w:pPr>
        <w:spacing w:line="360" w:lineRule="auto"/>
        <w:rPr>
          <w:rFonts w:hint="eastAsia" w:ascii="宋体" w:hAnsi="宋体" w:eastAsia="宋体" w:cs="宋体"/>
          <w:sz w:val="24"/>
          <w:lang w:eastAsia="zh-CN"/>
        </w:rPr>
      </w:pPr>
      <w:r>
        <w:rPr>
          <w:rFonts w:hint="eastAsia"/>
          <w:b/>
          <w:bCs/>
          <w:sz w:val="24"/>
        </w:rPr>
        <w:t>5.2.2</w:t>
      </w:r>
      <w:r>
        <w:rPr>
          <w:rFonts w:hint="eastAsia" w:ascii="宋体" w:hAnsi="宋体" w:cs="宋体"/>
          <w:sz w:val="24"/>
        </w:rPr>
        <w:t xml:space="preserve"> 预制集成保温外墙</w:t>
      </w:r>
      <w:r>
        <w:rPr>
          <w:rFonts w:hint="eastAsia" w:ascii="宋体" w:hAnsi="宋体" w:cs="宋体"/>
          <w:sz w:val="24"/>
          <w:lang w:eastAsia="zh-CN"/>
        </w:rPr>
        <w:t>系统</w:t>
      </w:r>
      <w:r>
        <w:rPr>
          <w:rFonts w:hint="eastAsia" w:ascii="宋体" w:hAnsi="宋体" w:cs="宋体"/>
          <w:sz w:val="24"/>
        </w:rPr>
        <w:t>性能应符合表5.2.2的要求</w:t>
      </w:r>
      <w:r>
        <w:rPr>
          <w:rFonts w:hint="eastAsia" w:ascii="宋体" w:hAnsi="宋体" w:cs="宋体"/>
          <w:sz w:val="24"/>
          <w:lang w:eastAsia="zh-CN"/>
        </w:rPr>
        <w:t>。</w:t>
      </w:r>
    </w:p>
    <w:p w14:paraId="3FB0BBB6">
      <w:pPr>
        <w:spacing w:line="360" w:lineRule="auto"/>
        <w:jc w:val="center"/>
        <w:rPr>
          <w:rFonts w:ascii="宋体" w:hAnsi="宋体" w:cs="宋体"/>
          <w:b/>
          <w:bCs/>
          <w:sz w:val="21"/>
          <w:szCs w:val="21"/>
        </w:rPr>
      </w:pPr>
      <w:r>
        <w:rPr>
          <w:rFonts w:hint="eastAsia" w:ascii="宋体" w:hAnsi="宋体" w:cs="宋体"/>
          <w:b/>
          <w:bCs/>
          <w:sz w:val="21"/>
          <w:szCs w:val="21"/>
        </w:rPr>
        <w:t>表5.2.2 预制集成保温外墙</w:t>
      </w:r>
      <w:r>
        <w:rPr>
          <w:rFonts w:hint="eastAsia" w:ascii="宋体" w:hAnsi="宋体" w:cs="宋体"/>
          <w:b/>
          <w:bCs/>
          <w:sz w:val="21"/>
          <w:szCs w:val="21"/>
          <w:lang w:eastAsia="zh-CN"/>
        </w:rPr>
        <w:t>系统</w:t>
      </w:r>
      <w:r>
        <w:rPr>
          <w:rFonts w:hint="eastAsia" w:ascii="宋体" w:hAnsi="宋体" w:cs="宋体"/>
          <w:b/>
          <w:bCs/>
          <w:sz w:val="21"/>
          <w:szCs w:val="21"/>
        </w:rPr>
        <w:t>性能要求</w:t>
      </w:r>
    </w:p>
    <w:tbl>
      <w:tblPr>
        <w:tblStyle w:val="24"/>
        <w:tblW w:w="499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2482"/>
        <w:gridCol w:w="4077"/>
        <w:gridCol w:w="1239"/>
      </w:tblGrid>
      <w:tr w14:paraId="19A9F3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9" w:type="pct"/>
            <w:gridSpan w:val="2"/>
            <w:tcBorders>
              <w:bottom w:val="single" w:color="auto" w:sz="12" w:space="0"/>
            </w:tcBorders>
            <w:vAlign w:val="center"/>
          </w:tcPr>
          <w:p w14:paraId="701B4DF2">
            <w:pPr>
              <w:pStyle w:val="60"/>
            </w:pPr>
            <w:r>
              <w:t>项目</w:t>
            </w:r>
          </w:p>
        </w:tc>
        <w:tc>
          <w:tcPr>
            <w:tcW w:w="2392" w:type="pct"/>
            <w:tcBorders>
              <w:bottom w:val="single" w:color="auto" w:sz="12" w:space="0"/>
            </w:tcBorders>
            <w:vAlign w:val="center"/>
          </w:tcPr>
          <w:p w14:paraId="0A889153">
            <w:pPr>
              <w:pStyle w:val="60"/>
            </w:pPr>
            <w:r>
              <w:t>性能指标</w:t>
            </w:r>
          </w:p>
        </w:tc>
        <w:tc>
          <w:tcPr>
            <w:tcW w:w="727" w:type="pct"/>
            <w:tcBorders>
              <w:bottom w:val="single" w:color="auto" w:sz="12" w:space="0"/>
            </w:tcBorders>
            <w:vAlign w:val="center"/>
          </w:tcPr>
          <w:p w14:paraId="524E3150">
            <w:pPr>
              <w:pStyle w:val="60"/>
            </w:pPr>
            <w:r>
              <w:t>试验方法</w:t>
            </w:r>
          </w:p>
        </w:tc>
      </w:tr>
      <w:tr w14:paraId="2EDAAC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23" w:type="pct"/>
            <w:vMerge w:val="restart"/>
            <w:tcBorders>
              <w:top w:val="single" w:color="auto" w:sz="12" w:space="0"/>
            </w:tcBorders>
            <w:vAlign w:val="center"/>
          </w:tcPr>
          <w:p w14:paraId="1CF01759">
            <w:pPr>
              <w:pStyle w:val="60"/>
            </w:pPr>
            <w:r>
              <w:t>耐候性</w:t>
            </w:r>
          </w:p>
        </w:tc>
        <w:tc>
          <w:tcPr>
            <w:tcW w:w="1456" w:type="pct"/>
            <w:tcBorders>
              <w:top w:val="single" w:color="auto" w:sz="12" w:space="0"/>
            </w:tcBorders>
            <w:vAlign w:val="center"/>
          </w:tcPr>
          <w:p w14:paraId="22B52A0B">
            <w:pPr>
              <w:pStyle w:val="60"/>
            </w:pPr>
            <w:r>
              <w:t>外观</w:t>
            </w:r>
          </w:p>
        </w:tc>
        <w:tc>
          <w:tcPr>
            <w:tcW w:w="2392" w:type="pct"/>
            <w:tcBorders>
              <w:top w:val="single" w:color="auto" w:sz="12" w:space="0"/>
            </w:tcBorders>
            <w:vAlign w:val="center"/>
          </w:tcPr>
          <w:p w14:paraId="24E13639">
            <w:pPr>
              <w:pStyle w:val="60"/>
            </w:pPr>
            <w:r>
              <w:t>不得出现空鼓、剥落或脱落、开裂等破坏，不得产生裂缝出现渗水。</w:t>
            </w:r>
          </w:p>
        </w:tc>
        <w:tc>
          <w:tcPr>
            <w:tcW w:w="727" w:type="pct"/>
            <w:vMerge w:val="restart"/>
            <w:tcBorders>
              <w:top w:val="single" w:color="auto" w:sz="12" w:space="0"/>
            </w:tcBorders>
            <w:vAlign w:val="center"/>
          </w:tcPr>
          <w:p w14:paraId="7D794988">
            <w:pPr>
              <w:pStyle w:val="60"/>
              <w:jc w:val="left"/>
            </w:pPr>
            <w:r>
              <w:rPr>
                <w:rFonts w:hint="eastAsia"/>
                <w:lang w:eastAsia="zh-CN"/>
              </w:rPr>
              <w:t>《外墙外保温技术标准》</w:t>
            </w:r>
            <w:r>
              <w:t>JGJ 144</w:t>
            </w:r>
          </w:p>
        </w:tc>
      </w:tr>
      <w:tr w14:paraId="635490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23" w:type="pct"/>
            <w:vMerge w:val="continue"/>
            <w:vAlign w:val="center"/>
          </w:tcPr>
          <w:p w14:paraId="38E66388">
            <w:pPr>
              <w:pStyle w:val="60"/>
            </w:pPr>
          </w:p>
        </w:tc>
        <w:tc>
          <w:tcPr>
            <w:tcW w:w="1456" w:type="pct"/>
            <w:vAlign w:val="center"/>
          </w:tcPr>
          <w:p w14:paraId="7DF977C6">
            <w:pPr>
              <w:pStyle w:val="60"/>
            </w:pPr>
            <w:r>
              <w:t>拉伸粘结强度</w:t>
            </w:r>
            <w:r>
              <w:rPr>
                <w:rFonts w:hint="eastAsia"/>
                <w:lang w:eastAsia="zh-CN"/>
              </w:rPr>
              <w:t>（</w:t>
            </w:r>
            <w:r>
              <w:t>MPa</w:t>
            </w:r>
            <w:r>
              <w:rPr>
                <w:rFonts w:hint="eastAsia"/>
                <w:lang w:eastAsia="zh-CN"/>
              </w:rPr>
              <w:t>）</w:t>
            </w:r>
          </w:p>
        </w:tc>
        <w:tc>
          <w:tcPr>
            <w:tcW w:w="2392" w:type="pct"/>
            <w:vAlign w:val="center"/>
          </w:tcPr>
          <w:p w14:paraId="737C588E">
            <w:pPr>
              <w:pStyle w:val="60"/>
            </w:pPr>
            <w:r>
              <w:rPr>
                <w:rFonts w:hint="eastAsia"/>
              </w:rPr>
              <w:t>≥</w:t>
            </w:r>
            <w:r>
              <w:t>0.20</w:t>
            </w:r>
            <w:r>
              <w:rPr>
                <w:rFonts w:hint="eastAsia"/>
              </w:rPr>
              <w:t>，</w:t>
            </w:r>
          </w:p>
          <w:p w14:paraId="54CEF26E">
            <w:pPr>
              <w:pStyle w:val="60"/>
            </w:pPr>
            <w:r>
              <w:t>且破坏部位应位于保温层内</w:t>
            </w:r>
          </w:p>
        </w:tc>
        <w:tc>
          <w:tcPr>
            <w:tcW w:w="727" w:type="pct"/>
            <w:vMerge w:val="continue"/>
            <w:vAlign w:val="center"/>
          </w:tcPr>
          <w:p w14:paraId="7DD30CD6">
            <w:pPr>
              <w:pStyle w:val="60"/>
            </w:pPr>
          </w:p>
        </w:tc>
      </w:tr>
      <w:tr w14:paraId="189114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879" w:type="pct"/>
            <w:gridSpan w:val="2"/>
            <w:tcBorders>
              <w:top w:val="single" w:color="auto" w:sz="4" w:space="0"/>
              <w:bottom w:val="single" w:color="auto" w:sz="4" w:space="0"/>
              <w:right w:val="single" w:color="auto" w:sz="4" w:space="0"/>
            </w:tcBorders>
            <w:vAlign w:val="center"/>
          </w:tcPr>
          <w:p w14:paraId="3FE10CCA">
            <w:pPr>
              <w:pStyle w:val="60"/>
            </w:pPr>
            <w:r>
              <w:t>耐冻融性</w:t>
            </w:r>
          </w:p>
        </w:tc>
        <w:tc>
          <w:tcPr>
            <w:tcW w:w="2392" w:type="pct"/>
            <w:tcBorders>
              <w:top w:val="single" w:color="auto" w:sz="4" w:space="0"/>
              <w:left w:val="single" w:color="auto" w:sz="4" w:space="0"/>
              <w:bottom w:val="single" w:color="auto" w:sz="4" w:space="0"/>
              <w:right w:val="single" w:color="auto" w:sz="4" w:space="0"/>
            </w:tcBorders>
            <w:vAlign w:val="center"/>
          </w:tcPr>
          <w:p w14:paraId="55DF888C">
            <w:pPr>
              <w:pStyle w:val="60"/>
            </w:pPr>
            <w:r>
              <w:t>60次循环后，系统应无空鼓、剥落，无可见裂缝。系统拉伸粘结强度≥0.20MPa，破坏部位应位于保温层内。</w:t>
            </w:r>
          </w:p>
        </w:tc>
        <w:tc>
          <w:tcPr>
            <w:tcW w:w="727" w:type="pct"/>
            <w:vMerge w:val="continue"/>
            <w:vAlign w:val="center"/>
          </w:tcPr>
          <w:p w14:paraId="173A61F5">
            <w:pPr>
              <w:pStyle w:val="60"/>
            </w:pPr>
          </w:p>
        </w:tc>
      </w:tr>
      <w:tr w14:paraId="59E9F2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423" w:type="pct"/>
            <w:vMerge w:val="restart"/>
            <w:tcBorders>
              <w:top w:val="single" w:color="auto" w:sz="4" w:space="0"/>
              <w:bottom w:val="single" w:color="auto" w:sz="4" w:space="0"/>
              <w:right w:val="single" w:color="auto" w:sz="4" w:space="0"/>
            </w:tcBorders>
            <w:vAlign w:val="center"/>
          </w:tcPr>
          <w:p w14:paraId="37B1FB7E">
            <w:pPr>
              <w:pStyle w:val="60"/>
            </w:pPr>
            <w:r>
              <w:t>抗冲击性</w:t>
            </w:r>
          </w:p>
        </w:tc>
        <w:tc>
          <w:tcPr>
            <w:tcW w:w="1456" w:type="pct"/>
            <w:tcBorders>
              <w:top w:val="single" w:color="auto" w:sz="4" w:space="0"/>
              <w:left w:val="single" w:color="auto" w:sz="4" w:space="0"/>
              <w:bottom w:val="single" w:color="auto" w:sz="4" w:space="0"/>
              <w:right w:val="single" w:color="auto" w:sz="4" w:space="0"/>
            </w:tcBorders>
            <w:vAlign w:val="center"/>
          </w:tcPr>
          <w:p w14:paraId="29F9E8B4">
            <w:pPr>
              <w:pStyle w:val="60"/>
            </w:pPr>
            <w:r>
              <w:t>建筑物首层墙面及门窗口等易受碰撞部位</w:t>
            </w:r>
          </w:p>
        </w:tc>
        <w:tc>
          <w:tcPr>
            <w:tcW w:w="2392" w:type="pct"/>
            <w:tcBorders>
              <w:top w:val="single" w:color="auto" w:sz="4" w:space="0"/>
              <w:left w:val="single" w:color="auto" w:sz="4" w:space="0"/>
              <w:bottom w:val="single" w:color="auto" w:sz="4" w:space="0"/>
              <w:right w:val="single" w:color="auto" w:sz="4" w:space="0"/>
            </w:tcBorders>
            <w:vAlign w:val="center"/>
          </w:tcPr>
          <w:p w14:paraId="58008B8A">
            <w:pPr>
              <w:pStyle w:val="60"/>
            </w:pPr>
            <w:r>
              <w:t>10J级</w:t>
            </w:r>
          </w:p>
        </w:tc>
        <w:tc>
          <w:tcPr>
            <w:tcW w:w="727" w:type="pct"/>
            <w:vMerge w:val="continue"/>
            <w:vAlign w:val="center"/>
          </w:tcPr>
          <w:p w14:paraId="4F52CC6B">
            <w:pPr>
              <w:pStyle w:val="60"/>
            </w:pPr>
          </w:p>
        </w:tc>
      </w:tr>
      <w:tr w14:paraId="45658A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7" w:hRule="atLeast"/>
          <w:jc w:val="center"/>
        </w:trPr>
        <w:tc>
          <w:tcPr>
            <w:tcW w:w="423" w:type="pct"/>
            <w:vMerge w:val="continue"/>
            <w:tcBorders>
              <w:top w:val="single" w:color="auto" w:sz="4" w:space="0"/>
              <w:bottom w:val="single" w:color="auto" w:sz="4" w:space="0"/>
              <w:right w:val="single" w:color="auto" w:sz="4" w:space="0"/>
            </w:tcBorders>
            <w:vAlign w:val="center"/>
          </w:tcPr>
          <w:p w14:paraId="2C61FCD8">
            <w:pPr>
              <w:pStyle w:val="60"/>
            </w:pPr>
          </w:p>
        </w:tc>
        <w:tc>
          <w:tcPr>
            <w:tcW w:w="1456" w:type="pct"/>
            <w:tcBorders>
              <w:top w:val="single" w:color="auto" w:sz="4" w:space="0"/>
              <w:left w:val="single" w:color="auto" w:sz="4" w:space="0"/>
              <w:bottom w:val="single" w:color="auto" w:sz="4" w:space="0"/>
              <w:right w:val="single" w:color="auto" w:sz="4" w:space="0"/>
            </w:tcBorders>
            <w:vAlign w:val="center"/>
          </w:tcPr>
          <w:p w14:paraId="3C40ACFB">
            <w:pPr>
              <w:pStyle w:val="60"/>
            </w:pPr>
            <w:r>
              <w:t>建筑物二层及以上墙面</w:t>
            </w:r>
          </w:p>
        </w:tc>
        <w:tc>
          <w:tcPr>
            <w:tcW w:w="2392" w:type="pct"/>
            <w:tcBorders>
              <w:top w:val="single" w:color="auto" w:sz="4" w:space="0"/>
              <w:left w:val="single" w:color="auto" w:sz="4" w:space="0"/>
              <w:bottom w:val="single" w:color="auto" w:sz="4" w:space="0"/>
              <w:right w:val="single" w:color="auto" w:sz="4" w:space="0"/>
            </w:tcBorders>
            <w:vAlign w:val="center"/>
          </w:tcPr>
          <w:p w14:paraId="4C4BC88B">
            <w:pPr>
              <w:pStyle w:val="60"/>
            </w:pPr>
            <w:r>
              <w:t>3J级</w:t>
            </w:r>
          </w:p>
        </w:tc>
        <w:tc>
          <w:tcPr>
            <w:tcW w:w="727" w:type="pct"/>
            <w:vMerge w:val="continue"/>
            <w:vAlign w:val="center"/>
          </w:tcPr>
          <w:p w14:paraId="0BAB2EC4">
            <w:pPr>
              <w:pStyle w:val="60"/>
            </w:pPr>
          </w:p>
        </w:tc>
      </w:tr>
      <w:tr w14:paraId="770CA4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9" w:type="pct"/>
            <w:gridSpan w:val="2"/>
            <w:tcBorders>
              <w:top w:val="single" w:color="auto" w:sz="4" w:space="0"/>
              <w:bottom w:val="single" w:color="auto" w:sz="4" w:space="0"/>
              <w:right w:val="single" w:color="auto" w:sz="4" w:space="0"/>
            </w:tcBorders>
            <w:vAlign w:val="center"/>
          </w:tcPr>
          <w:p w14:paraId="1A8A4286">
            <w:pPr>
              <w:pStyle w:val="60"/>
            </w:pPr>
            <w:r>
              <w:t>吸水量（浸水24h）</w:t>
            </w:r>
            <w:r>
              <w:rPr>
                <w:rFonts w:hint="eastAsia"/>
                <w:lang w:eastAsia="zh-CN"/>
              </w:rPr>
              <w:t>（</w:t>
            </w:r>
            <w:r>
              <w:t>g/m²</w:t>
            </w:r>
            <w:r>
              <w:rPr>
                <w:rFonts w:hint="eastAsia"/>
                <w:lang w:eastAsia="zh-CN"/>
              </w:rPr>
              <w:t>）</w:t>
            </w:r>
          </w:p>
        </w:tc>
        <w:tc>
          <w:tcPr>
            <w:tcW w:w="2392" w:type="pct"/>
            <w:tcBorders>
              <w:top w:val="single" w:color="auto" w:sz="4" w:space="0"/>
              <w:left w:val="single" w:color="auto" w:sz="4" w:space="0"/>
              <w:bottom w:val="single" w:color="auto" w:sz="4" w:space="0"/>
              <w:right w:val="single" w:color="auto" w:sz="4" w:space="0"/>
            </w:tcBorders>
            <w:vAlign w:val="center"/>
          </w:tcPr>
          <w:p w14:paraId="4F5C0DF9">
            <w:pPr>
              <w:pStyle w:val="60"/>
            </w:pPr>
            <w:r>
              <w:t>≤500</w:t>
            </w:r>
          </w:p>
        </w:tc>
        <w:tc>
          <w:tcPr>
            <w:tcW w:w="727" w:type="pct"/>
            <w:vMerge w:val="continue"/>
            <w:vAlign w:val="center"/>
          </w:tcPr>
          <w:p w14:paraId="67638DD0">
            <w:pPr>
              <w:pStyle w:val="60"/>
            </w:pPr>
          </w:p>
        </w:tc>
      </w:tr>
      <w:tr w14:paraId="0AE94F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9" w:type="pct"/>
            <w:gridSpan w:val="2"/>
            <w:tcBorders>
              <w:top w:val="single" w:color="auto" w:sz="4" w:space="0"/>
              <w:bottom w:val="single" w:color="auto" w:sz="4" w:space="0"/>
              <w:right w:val="single" w:color="auto" w:sz="4" w:space="0"/>
            </w:tcBorders>
            <w:vAlign w:val="center"/>
          </w:tcPr>
          <w:p w14:paraId="4836ABBD">
            <w:pPr>
              <w:pStyle w:val="60"/>
            </w:pPr>
            <w:r>
              <w:t>抹面层不透水性</w:t>
            </w:r>
          </w:p>
        </w:tc>
        <w:tc>
          <w:tcPr>
            <w:tcW w:w="2392" w:type="pct"/>
            <w:tcBorders>
              <w:top w:val="single" w:color="auto" w:sz="4" w:space="0"/>
              <w:left w:val="single" w:color="auto" w:sz="4" w:space="0"/>
              <w:bottom w:val="single" w:color="auto" w:sz="4" w:space="0"/>
              <w:right w:val="single" w:color="auto" w:sz="4" w:space="0"/>
            </w:tcBorders>
            <w:vAlign w:val="center"/>
          </w:tcPr>
          <w:p w14:paraId="31ECD2C2">
            <w:pPr>
              <w:pStyle w:val="60"/>
            </w:pPr>
            <w:r>
              <w:t>2h不透水</w:t>
            </w:r>
          </w:p>
        </w:tc>
        <w:tc>
          <w:tcPr>
            <w:tcW w:w="727" w:type="pct"/>
            <w:vMerge w:val="continue"/>
            <w:vAlign w:val="center"/>
          </w:tcPr>
          <w:p w14:paraId="4B8B76BD">
            <w:pPr>
              <w:pStyle w:val="60"/>
            </w:pPr>
          </w:p>
        </w:tc>
      </w:tr>
      <w:tr w14:paraId="482F55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jc w:val="center"/>
        </w:trPr>
        <w:tc>
          <w:tcPr>
            <w:tcW w:w="1879" w:type="pct"/>
            <w:gridSpan w:val="2"/>
            <w:tcBorders>
              <w:top w:val="single" w:color="auto" w:sz="4" w:space="0"/>
              <w:right w:val="single" w:color="auto" w:sz="4" w:space="0"/>
            </w:tcBorders>
            <w:vAlign w:val="center"/>
          </w:tcPr>
          <w:p w14:paraId="6DEC73C1">
            <w:pPr>
              <w:pStyle w:val="60"/>
            </w:pPr>
            <w:r>
              <w:t>防护层水蒸气渗透阻</w:t>
            </w:r>
          </w:p>
        </w:tc>
        <w:tc>
          <w:tcPr>
            <w:tcW w:w="2392" w:type="pct"/>
            <w:tcBorders>
              <w:top w:val="single" w:color="auto" w:sz="4" w:space="0"/>
              <w:left w:val="single" w:color="auto" w:sz="4" w:space="0"/>
              <w:right w:val="single" w:color="auto" w:sz="4" w:space="0"/>
            </w:tcBorders>
            <w:vAlign w:val="center"/>
          </w:tcPr>
          <w:p w14:paraId="5E950341">
            <w:pPr>
              <w:pStyle w:val="60"/>
            </w:pPr>
            <w:r>
              <w:t>符合设计要求</w:t>
            </w:r>
          </w:p>
        </w:tc>
        <w:tc>
          <w:tcPr>
            <w:tcW w:w="727" w:type="pct"/>
            <w:vMerge w:val="continue"/>
            <w:vAlign w:val="center"/>
          </w:tcPr>
          <w:p w14:paraId="180E45DF">
            <w:pPr>
              <w:pStyle w:val="60"/>
            </w:pPr>
          </w:p>
        </w:tc>
      </w:tr>
    </w:tbl>
    <w:p w14:paraId="3B48FD95">
      <w:pPr>
        <w:pStyle w:val="2"/>
        <w:rPr>
          <w:b/>
          <w:bCs/>
          <w:sz w:val="24"/>
        </w:rPr>
      </w:pPr>
    </w:p>
    <w:p w14:paraId="081046A6">
      <w:pPr>
        <w:spacing w:line="360" w:lineRule="auto"/>
        <w:jc w:val="left"/>
        <w:rPr>
          <w:rFonts w:hint="eastAsia" w:ascii="宋体" w:hAnsi="宋体" w:cs="宋体"/>
          <w:sz w:val="24"/>
        </w:rPr>
      </w:pPr>
      <w:r>
        <w:rPr>
          <w:rFonts w:hint="eastAsia"/>
          <w:b/>
          <w:bCs/>
          <w:sz w:val="24"/>
        </w:rPr>
        <w:t>5.2.3</w:t>
      </w:r>
      <w:r>
        <w:rPr>
          <w:rFonts w:hint="eastAsia"/>
          <w:b/>
          <w:bCs/>
          <w:sz w:val="24"/>
          <w:lang w:val="de-DE"/>
        </w:rPr>
        <w:t xml:space="preserve"> </w:t>
      </w:r>
      <w:r>
        <w:rPr>
          <w:lang w:val="de-DE"/>
        </w:rPr>
        <w:t xml:space="preserve"> </w:t>
      </w:r>
      <w:r>
        <w:rPr>
          <w:rFonts w:hint="eastAsia" w:ascii="宋体" w:hAnsi="宋体" w:cs="宋体"/>
          <w:sz w:val="24"/>
        </w:rPr>
        <w:t>预制集成保温外墙板出厂时的外观质量和尺寸偏差应分别符合表5.2.3-1和表5.2.3-2的规定。</w:t>
      </w:r>
    </w:p>
    <w:p w14:paraId="1E5E03E5">
      <w:pPr>
        <w:pStyle w:val="61"/>
        <w:spacing w:before="156"/>
      </w:pPr>
      <w:r>
        <w:t>表</w:t>
      </w:r>
      <w:r>
        <w:rPr>
          <w:rFonts w:hint="eastAsia"/>
        </w:rPr>
        <w:t>5</w:t>
      </w:r>
      <w:r>
        <w:t>.2.</w:t>
      </w:r>
      <w:r>
        <w:rPr>
          <w:rFonts w:hint="eastAsia"/>
        </w:rPr>
        <w:t>3-</w:t>
      </w:r>
      <w:r>
        <w:t>1  预制</w:t>
      </w:r>
      <w:r>
        <w:rPr>
          <w:rFonts w:hint="eastAsia"/>
        </w:rPr>
        <w:t>集成</w:t>
      </w:r>
      <w:r>
        <w:t>保温</w:t>
      </w:r>
      <w:r>
        <w:rPr>
          <w:rFonts w:hint="eastAsia"/>
        </w:rPr>
        <w:t>外墙板外观质量</w:t>
      </w:r>
    </w:p>
    <w:tbl>
      <w:tblPr>
        <w:tblStyle w:val="62"/>
        <w:tblW w:w="499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68"/>
        <w:gridCol w:w="1723"/>
        <w:gridCol w:w="4022"/>
        <w:gridCol w:w="2006"/>
      </w:tblGrid>
      <w:tr w14:paraId="1B1E91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1462" w:type="pct"/>
            <w:gridSpan w:val="2"/>
            <w:tcBorders>
              <w:bottom w:val="single" w:color="auto" w:sz="12" w:space="0"/>
            </w:tcBorders>
            <w:vAlign w:val="center"/>
          </w:tcPr>
          <w:p w14:paraId="72B670A1">
            <w:pPr>
              <w:pStyle w:val="60"/>
            </w:pPr>
            <w:r>
              <w:t>项目</w:t>
            </w:r>
          </w:p>
        </w:tc>
        <w:tc>
          <w:tcPr>
            <w:tcW w:w="2360" w:type="pct"/>
            <w:tcBorders>
              <w:bottom w:val="single" w:color="auto" w:sz="12" w:space="0"/>
            </w:tcBorders>
            <w:vAlign w:val="center"/>
          </w:tcPr>
          <w:p w14:paraId="02E424F2">
            <w:pPr>
              <w:pStyle w:val="60"/>
              <w:rPr>
                <w:rFonts w:hint="eastAsia" w:eastAsia="宋体"/>
                <w:lang w:eastAsia="zh-CN"/>
              </w:rPr>
            </w:pPr>
            <w:r>
              <w:rPr>
                <w:rFonts w:hint="eastAsia"/>
                <w:lang w:eastAsia="zh-CN"/>
              </w:rPr>
              <w:t>要求</w:t>
            </w:r>
          </w:p>
        </w:tc>
        <w:tc>
          <w:tcPr>
            <w:tcW w:w="1177" w:type="pct"/>
            <w:tcBorders>
              <w:bottom w:val="single" w:color="auto" w:sz="12" w:space="0"/>
            </w:tcBorders>
            <w:vAlign w:val="center"/>
          </w:tcPr>
          <w:p w14:paraId="51D7A51D">
            <w:pPr>
              <w:pStyle w:val="60"/>
            </w:pPr>
            <w:r>
              <w:t>试验方法</w:t>
            </w:r>
          </w:p>
        </w:tc>
      </w:tr>
      <w:tr w14:paraId="2C6BE3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51" w:type="pct"/>
            <w:vMerge w:val="restart"/>
            <w:tcBorders>
              <w:top w:val="single" w:color="auto" w:sz="12" w:space="0"/>
            </w:tcBorders>
            <w:vAlign w:val="center"/>
          </w:tcPr>
          <w:p w14:paraId="786A58D8">
            <w:pPr>
              <w:pStyle w:val="60"/>
            </w:pPr>
            <w:r>
              <w:rPr>
                <w:rFonts w:hint="eastAsia"/>
              </w:rPr>
              <w:t>混凝土部分</w:t>
            </w:r>
          </w:p>
        </w:tc>
        <w:tc>
          <w:tcPr>
            <w:tcW w:w="1010" w:type="pct"/>
            <w:tcBorders>
              <w:top w:val="single" w:color="auto" w:sz="12" w:space="0"/>
            </w:tcBorders>
            <w:vAlign w:val="center"/>
          </w:tcPr>
          <w:p w14:paraId="3A0F8FF7">
            <w:pPr>
              <w:pStyle w:val="60"/>
            </w:pPr>
            <w:r>
              <w:rPr>
                <w:rFonts w:hint="eastAsia"/>
              </w:rPr>
              <w:t>露筋</w:t>
            </w:r>
          </w:p>
        </w:tc>
        <w:tc>
          <w:tcPr>
            <w:tcW w:w="2360" w:type="pct"/>
            <w:tcBorders>
              <w:top w:val="single" w:color="auto" w:sz="12" w:space="0"/>
            </w:tcBorders>
            <w:vAlign w:val="center"/>
          </w:tcPr>
          <w:p w14:paraId="28F22B35">
            <w:pPr>
              <w:pStyle w:val="60"/>
              <w:jc w:val="left"/>
            </w:pPr>
            <w:r>
              <w:rPr>
                <w:rFonts w:hint="eastAsia"/>
              </w:rPr>
              <w:t>钢筋</w:t>
            </w:r>
            <w:r>
              <w:rPr>
                <w:rFonts w:hint="eastAsia"/>
                <w:lang w:eastAsia="zh-CN"/>
              </w:rPr>
              <w:t>应</w:t>
            </w:r>
            <w:r>
              <w:rPr>
                <w:rFonts w:hint="eastAsia"/>
              </w:rPr>
              <w:t>被混凝土完全包裹</w:t>
            </w:r>
          </w:p>
        </w:tc>
        <w:tc>
          <w:tcPr>
            <w:tcW w:w="1177" w:type="pct"/>
            <w:vMerge w:val="restart"/>
            <w:tcBorders>
              <w:top w:val="single" w:color="auto" w:sz="12" w:space="0"/>
            </w:tcBorders>
            <w:vAlign w:val="center"/>
          </w:tcPr>
          <w:p w14:paraId="4EDE7853">
            <w:pPr>
              <w:pStyle w:val="60"/>
              <w:jc w:val="left"/>
            </w:pPr>
            <w:r>
              <w:rPr>
                <w:rFonts w:hint="eastAsia"/>
                <w:lang w:eastAsia="zh-CN"/>
              </w:rPr>
              <w:t>《装配式混凝土建筑用预制部品通用技术条件》</w:t>
            </w:r>
            <w:r>
              <w:rPr>
                <w:rFonts w:hint="eastAsia"/>
              </w:rPr>
              <w:t>GB/T 40399</w:t>
            </w:r>
          </w:p>
        </w:tc>
      </w:tr>
      <w:tr w14:paraId="2CC800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51" w:type="pct"/>
            <w:vMerge w:val="continue"/>
            <w:vAlign w:val="center"/>
          </w:tcPr>
          <w:p w14:paraId="64805A94">
            <w:pPr>
              <w:pStyle w:val="60"/>
            </w:pPr>
          </w:p>
        </w:tc>
        <w:tc>
          <w:tcPr>
            <w:tcW w:w="1010" w:type="pct"/>
            <w:vAlign w:val="center"/>
          </w:tcPr>
          <w:p w14:paraId="3847AA58">
            <w:pPr>
              <w:pStyle w:val="60"/>
            </w:pPr>
            <w:r>
              <w:rPr>
                <w:rFonts w:hint="eastAsia"/>
              </w:rPr>
              <w:t>蜂窝</w:t>
            </w:r>
          </w:p>
        </w:tc>
        <w:tc>
          <w:tcPr>
            <w:tcW w:w="2360" w:type="pct"/>
            <w:vAlign w:val="center"/>
          </w:tcPr>
          <w:p w14:paraId="30E92765">
            <w:pPr>
              <w:pStyle w:val="60"/>
              <w:jc w:val="left"/>
            </w:pPr>
            <w:r>
              <w:rPr>
                <w:rFonts w:hint="eastAsia"/>
              </w:rPr>
              <w:t>混凝土表面石子</w:t>
            </w:r>
            <w:r>
              <w:rPr>
                <w:rFonts w:hint="eastAsia"/>
                <w:lang w:eastAsia="zh-CN"/>
              </w:rPr>
              <w:t>不应</w:t>
            </w:r>
            <w:r>
              <w:rPr>
                <w:rFonts w:hint="eastAsia"/>
              </w:rPr>
              <w:t>外露</w:t>
            </w:r>
          </w:p>
        </w:tc>
        <w:tc>
          <w:tcPr>
            <w:tcW w:w="1177" w:type="pct"/>
            <w:vMerge w:val="continue"/>
            <w:vAlign w:val="center"/>
          </w:tcPr>
          <w:p w14:paraId="798B31D5">
            <w:pPr>
              <w:pStyle w:val="60"/>
            </w:pPr>
          </w:p>
        </w:tc>
      </w:tr>
      <w:tr w14:paraId="3D63BB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51" w:type="pct"/>
            <w:vMerge w:val="continue"/>
            <w:vAlign w:val="center"/>
          </w:tcPr>
          <w:p w14:paraId="437D204D">
            <w:pPr>
              <w:pStyle w:val="60"/>
            </w:pPr>
          </w:p>
        </w:tc>
        <w:tc>
          <w:tcPr>
            <w:tcW w:w="1010" w:type="pct"/>
            <w:vAlign w:val="center"/>
          </w:tcPr>
          <w:p w14:paraId="0CF9F51D">
            <w:pPr>
              <w:pStyle w:val="60"/>
            </w:pPr>
            <w:r>
              <w:rPr>
                <w:rFonts w:hint="eastAsia"/>
              </w:rPr>
              <w:t>孔洞</w:t>
            </w:r>
          </w:p>
        </w:tc>
        <w:tc>
          <w:tcPr>
            <w:tcW w:w="2360" w:type="pct"/>
            <w:vAlign w:val="center"/>
          </w:tcPr>
          <w:p w14:paraId="5536A178">
            <w:pPr>
              <w:pStyle w:val="60"/>
              <w:jc w:val="left"/>
            </w:pPr>
            <w:r>
              <w:rPr>
                <w:rFonts w:hint="eastAsia"/>
              </w:rPr>
              <w:t>混凝土中孔洞深度和长度</w:t>
            </w:r>
            <w:r>
              <w:rPr>
                <w:rFonts w:hint="eastAsia"/>
                <w:lang w:eastAsia="zh-CN"/>
              </w:rPr>
              <w:t>不应</w:t>
            </w:r>
            <w:r>
              <w:rPr>
                <w:rFonts w:hint="eastAsia"/>
              </w:rPr>
              <w:t>超过保护层</w:t>
            </w:r>
          </w:p>
        </w:tc>
        <w:tc>
          <w:tcPr>
            <w:tcW w:w="1177" w:type="pct"/>
            <w:vMerge w:val="continue"/>
            <w:vAlign w:val="center"/>
          </w:tcPr>
          <w:p w14:paraId="6281ADFF">
            <w:pPr>
              <w:pStyle w:val="60"/>
            </w:pPr>
          </w:p>
        </w:tc>
      </w:tr>
      <w:tr w14:paraId="3215FB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51" w:type="pct"/>
            <w:vMerge w:val="continue"/>
            <w:vAlign w:val="center"/>
          </w:tcPr>
          <w:p w14:paraId="3265B0DE">
            <w:pPr>
              <w:pStyle w:val="60"/>
            </w:pPr>
          </w:p>
        </w:tc>
        <w:tc>
          <w:tcPr>
            <w:tcW w:w="1010" w:type="pct"/>
            <w:vAlign w:val="center"/>
          </w:tcPr>
          <w:p w14:paraId="437AF889">
            <w:pPr>
              <w:pStyle w:val="60"/>
            </w:pPr>
            <w:r>
              <w:rPr>
                <w:rFonts w:hint="eastAsia"/>
              </w:rPr>
              <w:t>外形缺陷</w:t>
            </w:r>
          </w:p>
        </w:tc>
        <w:tc>
          <w:tcPr>
            <w:tcW w:w="2360" w:type="pct"/>
            <w:vAlign w:val="center"/>
          </w:tcPr>
          <w:p w14:paraId="6896471D">
            <w:pPr>
              <w:pStyle w:val="60"/>
              <w:jc w:val="left"/>
            </w:pPr>
            <w:r>
              <w:rPr>
                <w:rFonts w:hint="eastAsia"/>
                <w:lang w:eastAsia="zh-CN"/>
              </w:rPr>
              <w:t>不宜有</w:t>
            </w:r>
            <w:r>
              <w:rPr>
                <w:rFonts w:hint="eastAsia"/>
              </w:rPr>
              <w:t>缺棱掉角、表面翘曲</w:t>
            </w:r>
          </w:p>
        </w:tc>
        <w:tc>
          <w:tcPr>
            <w:tcW w:w="1177" w:type="pct"/>
            <w:vMerge w:val="continue"/>
            <w:vAlign w:val="center"/>
          </w:tcPr>
          <w:p w14:paraId="77B595C6">
            <w:pPr>
              <w:pStyle w:val="60"/>
            </w:pPr>
          </w:p>
        </w:tc>
      </w:tr>
      <w:tr w14:paraId="5A4633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51" w:type="pct"/>
            <w:vMerge w:val="continue"/>
            <w:vAlign w:val="center"/>
          </w:tcPr>
          <w:p w14:paraId="4A365E57">
            <w:pPr>
              <w:pStyle w:val="60"/>
            </w:pPr>
          </w:p>
        </w:tc>
        <w:tc>
          <w:tcPr>
            <w:tcW w:w="1010" w:type="pct"/>
            <w:vAlign w:val="center"/>
          </w:tcPr>
          <w:p w14:paraId="0762B6BE">
            <w:pPr>
              <w:pStyle w:val="60"/>
            </w:pPr>
            <w:r>
              <w:rPr>
                <w:rFonts w:hint="eastAsia"/>
              </w:rPr>
              <w:t>外表缺陷</w:t>
            </w:r>
          </w:p>
        </w:tc>
        <w:tc>
          <w:tcPr>
            <w:tcW w:w="2360" w:type="pct"/>
            <w:vAlign w:val="center"/>
          </w:tcPr>
          <w:p w14:paraId="59B37122">
            <w:pPr>
              <w:pStyle w:val="60"/>
              <w:jc w:val="left"/>
              <w:rPr>
                <w:rFonts w:hint="eastAsia" w:eastAsia="宋体"/>
                <w:lang w:eastAsia="zh-CN"/>
              </w:rPr>
            </w:pPr>
            <w:r>
              <w:rPr>
                <w:rFonts w:hint="eastAsia"/>
              </w:rPr>
              <w:t>表面</w:t>
            </w:r>
            <w:r>
              <w:rPr>
                <w:rFonts w:hint="eastAsia"/>
                <w:lang w:eastAsia="zh-CN"/>
              </w:rPr>
              <w:t>不宜有</w:t>
            </w:r>
            <w:r>
              <w:rPr>
                <w:rFonts w:hint="eastAsia"/>
              </w:rPr>
              <w:t>麻面、起砂、掉皮、污染、门窗框材划伤、破损</w:t>
            </w:r>
            <w:r>
              <w:rPr>
                <w:rFonts w:hint="eastAsia"/>
                <w:lang w:eastAsia="zh-CN"/>
              </w:rPr>
              <w:t>；</w:t>
            </w:r>
            <w:r>
              <w:rPr>
                <w:rFonts w:hint="eastAsia"/>
              </w:rPr>
              <w:t>不应有影响结构性能的破损，</w:t>
            </w:r>
            <w:r>
              <w:rPr>
                <w:rFonts w:hint="eastAsia"/>
                <w:lang w:eastAsia="zh-CN"/>
              </w:rPr>
              <w:t>不宜有</w:t>
            </w:r>
            <w:r>
              <w:rPr>
                <w:rFonts w:hint="eastAsia"/>
              </w:rPr>
              <w:t>不影响结构性能和使用功能的破损</w:t>
            </w:r>
          </w:p>
        </w:tc>
        <w:tc>
          <w:tcPr>
            <w:tcW w:w="1177" w:type="pct"/>
            <w:vMerge w:val="continue"/>
            <w:vAlign w:val="center"/>
          </w:tcPr>
          <w:p w14:paraId="1A49C0A9">
            <w:pPr>
              <w:pStyle w:val="60"/>
            </w:pPr>
          </w:p>
        </w:tc>
      </w:tr>
      <w:tr w14:paraId="52D8DB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51" w:type="pct"/>
            <w:vMerge w:val="continue"/>
            <w:vAlign w:val="center"/>
          </w:tcPr>
          <w:p w14:paraId="63E94558">
            <w:pPr>
              <w:pStyle w:val="60"/>
            </w:pPr>
          </w:p>
        </w:tc>
        <w:tc>
          <w:tcPr>
            <w:tcW w:w="1010" w:type="pct"/>
            <w:vAlign w:val="center"/>
          </w:tcPr>
          <w:p w14:paraId="76CC4EB9">
            <w:pPr>
              <w:pStyle w:val="60"/>
            </w:pPr>
            <w:r>
              <w:rPr>
                <w:rFonts w:hint="eastAsia"/>
              </w:rPr>
              <w:t>连接部位</w:t>
            </w:r>
          </w:p>
        </w:tc>
        <w:tc>
          <w:tcPr>
            <w:tcW w:w="2360" w:type="pct"/>
            <w:vAlign w:val="center"/>
          </w:tcPr>
          <w:p w14:paraId="4A3B22F5">
            <w:pPr>
              <w:pStyle w:val="60"/>
              <w:jc w:val="left"/>
            </w:pPr>
            <w:r>
              <w:rPr>
                <w:rFonts w:hint="eastAsia"/>
                <w:lang w:eastAsia="zh-CN"/>
              </w:rPr>
              <w:t>不应有</w:t>
            </w:r>
            <w:r>
              <w:rPr>
                <w:rFonts w:hint="eastAsia"/>
              </w:rPr>
              <w:t>连接钢筋、拉接件松动</w:t>
            </w:r>
          </w:p>
        </w:tc>
        <w:tc>
          <w:tcPr>
            <w:tcW w:w="1177" w:type="pct"/>
            <w:vMerge w:val="continue"/>
            <w:vAlign w:val="center"/>
          </w:tcPr>
          <w:p w14:paraId="36AED70F">
            <w:pPr>
              <w:pStyle w:val="60"/>
            </w:pPr>
          </w:p>
        </w:tc>
      </w:tr>
      <w:tr w14:paraId="528F13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51" w:type="pct"/>
            <w:vMerge w:val="continue"/>
            <w:vAlign w:val="center"/>
          </w:tcPr>
          <w:p w14:paraId="32732F56">
            <w:pPr>
              <w:pStyle w:val="60"/>
            </w:pPr>
          </w:p>
        </w:tc>
        <w:tc>
          <w:tcPr>
            <w:tcW w:w="1010" w:type="pct"/>
            <w:vAlign w:val="center"/>
          </w:tcPr>
          <w:p w14:paraId="4AFF391C">
            <w:pPr>
              <w:pStyle w:val="60"/>
            </w:pPr>
            <w:r>
              <w:rPr>
                <w:rFonts w:hint="eastAsia"/>
              </w:rPr>
              <w:t>裂缝</w:t>
            </w:r>
          </w:p>
        </w:tc>
        <w:tc>
          <w:tcPr>
            <w:tcW w:w="2360" w:type="pct"/>
            <w:vAlign w:val="center"/>
          </w:tcPr>
          <w:p w14:paraId="6624142A">
            <w:pPr>
              <w:pStyle w:val="60"/>
              <w:jc w:val="left"/>
              <w:rPr>
                <w:rFonts w:hint="eastAsia" w:eastAsia="宋体"/>
                <w:lang w:eastAsia="zh-CN"/>
              </w:rPr>
            </w:pPr>
            <w:r>
              <w:rPr>
                <w:rFonts w:hint="eastAsia"/>
              </w:rPr>
              <w:t>裂缝</w:t>
            </w:r>
            <w:r>
              <w:rPr>
                <w:rFonts w:hint="eastAsia"/>
                <w:lang w:eastAsia="zh-CN"/>
              </w:rPr>
              <w:t>不应</w:t>
            </w:r>
            <w:r>
              <w:rPr>
                <w:rFonts w:hint="eastAsia"/>
              </w:rPr>
              <w:t>贯穿保护层到达</w:t>
            </w:r>
            <w:r>
              <w:rPr>
                <w:rFonts w:hint="eastAsia"/>
                <w:lang w:eastAsia="zh-CN"/>
              </w:rPr>
              <w:t>构件</w:t>
            </w:r>
            <w:r>
              <w:rPr>
                <w:rFonts w:hint="eastAsia"/>
              </w:rPr>
              <w:t>内部</w:t>
            </w:r>
            <w:r>
              <w:rPr>
                <w:rFonts w:hint="eastAsia"/>
                <w:lang w:eastAsia="zh-CN"/>
              </w:rPr>
              <w:t>；不应</w:t>
            </w:r>
            <w:r>
              <w:rPr>
                <w:rFonts w:hint="eastAsia"/>
              </w:rPr>
              <w:t>有影响结构性能的裂缝，不宜有不影响结构性能和使用功能的裂缝</w:t>
            </w:r>
          </w:p>
        </w:tc>
        <w:tc>
          <w:tcPr>
            <w:tcW w:w="1177" w:type="pct"/>
            <w:vMerge w:val="continue"/>
            <w:vAlign w:val="center"/>
          </w:tcPr>
          <w:p w14:paraId="3A648664">
            <w:pPr>
              <w:pStyle w:val="60"/>
            </w:pPr>
          </w:p>
        </w:tc>
      </w:tr>
      <w:tr w14:paraId="73C19E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51" w:type="pct"/>
            <w:vMerge w:val="restart"/>
            <w:vAlign w:val="center"/>
          </w:tcPr>
          <w:p w14:paraId="1AA2BF9F">
            <w:pPr>
              <w:pStyle w:val="60"/>
            </w:pPr>
            <w:r>
              <w:rPr>
                <w:rFonts w:hint="eastAsia"/>
              </w:rPr>
              <w:t>保温板部分</w:t>
            </w:r>
          </w:p>
        </w:tc>
        <w:tc>
          <w:tcPr>
            <w:tcW w:w="1010" w:type="pct"/>
            <w:vAlign w:val="center"/>
          </w:tcPr>
          <w:p w14:paraId="4EBABF04">
            <w:pPr>
              <w:pStyle w:val="60"/>
            </w:pPr>
            <w:r>
              <w:t>锚固件</w:t>
            </w:r>
          </w:p>
        </w:tc>
        <w:tc>
          <w:tcPr>
            <w:tcW w:w="2360" w:type="pct"/>
            <w:vAlign w:val="center"/>
          </w:tcPr>
          <w:p w14:paraId="7E5C03BF">
            <w:pPr>
              <w:pStyle w:val="60"/>
              <w:jc w:val="left"/>
              <w:rPr>
                <w:color w:val="000000"/>
              </w:rPr>
            </w:pPr>
            <w:r>
              <w:t>锚固件</w:t>
            </w:r>
            <w:r>
              <w:rPr>
                <w:rFonts w:hint="eastAsia"/>
              </w:rPr>
              <w:t>不应</w:t>
            </w:r>
            <w:r>
              <w:t>松动</w:t>
            </w:r>
            <w:r>
              <w:rPr>
                <w:rFonts w:hint="eastAsia"/>
              </w:rPr>
              <w:t>，</w:t>
            </w:r>
            <w:r>
              <w:t>尾盘</w:t>
            </w:r>
            <w:r>
              <w:rPr>
                <w:rFonts w:hint="eastAsia"/>
              </w:rPr>
              <w:t>不应严重</w:t>
            </w:r>
            <w:r>
              <w:t>歪曲</w:t>
            </w:r>
            <w:r>
              <w:rPr>
                <w:rFonts w:hint="eastAsia"/>
              </w:rPr>
              <w:t>或</w:t>
            </w:r>
            <w:r>
              <w:t>破损</w:t>
            </w:r>
          </w:p>
        </w:tc>
        <w:tc>
          <w:tcPr>
            <w:tcW w:w="1177" w:type="pct"/>
            <w:vMerge w:val="restart"/>
            <w:vAlign w:val="center"/>
          </w:tcPr>
          <w:p w14:paraId="1CDE33B5">
            <w:pPr>
              <w:pStyle w:val="60"/>
            </w:pPr>
            <w:r>
              <w:rPr>
                <w:rFonts w:hint="eastAsia"/>
              </w:rPr>
              <w:t>目测</w:t>
            </w:r>
          </w:p>
        </w:tc>
      </w:tr>
      <w:tr w14:paraId="7163B9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451" w:type="pct"/>
            <w:vMerge w:val="continue"/>
            <w:vAlign w:val="center"/>
          </w:tcPr>
          <w:p w14:paraId="6788CC1A">
            <w:pPr>
              <w:pStyle w:val="60"/>
            </w:pPr>
          </w:p>
        </w:tc>
        <w:tc>
          <w:tcPr>
            <w:tcW w:w="1010" w:type="pct"/>
            <w:vAlign w:val="center"/>
          </w:tcPr>
          <w:p w14:paraId="1C49515B">
            <w:pPr>
              <w:pStyle w:val="60"/>
            </w:pPr>
            <w:r>
              <w:rPr>
                <w:rFonts w:hint="eastAsia"/>
              </w:rPr>
              <w:t>外形缺陷</w:t>
            </w:r>
          </w:p>
        </w:tc>
        <w:tc>
          <w:tcPr>
            <w:tcW w:w="2360" w:type="pct"/>
            <w:vAlign w:val="center"/>
          </w:tcPr>
          <w:p w14:paraId="41C0F403">
            <w:pPr>
              <w:pStyle w:val="60"/>
              <w:jc w:val="left"/>
              <w:rPr>
                <w:color w:val="000000"/>
              </w:rPr>
            </w:pPr>
            <w:r>
              <w:rPr>
                <w:rFonts w:hint="eastAsia"/>
              </w:rPr>
              <w:t>不应有缺棱掉角、表面翘曲</w:t>
            </w:r>
          </w:p>
        </w:tc>
        <w:tc>
          <w:tcPr>
            <w:tcW w:w="1177" w:type="pct"/>
            <w:vMerge w:val="continue"/>
            <w:vAlign w:val="center"/>
          </w:tcPr>
          <w:p w14:paraId="1B6B649A">
            <w:pPr>
              <w:pStyle w:val="60"/>
            </w:pPr>
          </w:p>
        </w:tc>
      </w:tr>
      <w:tr w14:paraId="31ACBC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451" w:type="pct"/>
            <w:vMerge w:val="continue"/>
            <w:vAlign w:val="center"/>
          </w:tcPr>
          <w:p w14:paraId="64240697">
            <w:pPr>
              <w:pStyle w:val="60"/>
            </w:pPr>
          </w:p>
        </w:tc>
        <w:tc>
          <w:tcPr>
            <w:tcW w:w="1010" w:type="pct"/>
            <w:vMerge w:val="restart"/>
            <w:vAlign w:val="center"/>
          </w:tcPr>
          <w:p w14:paraId="015B093A">
            <w:pPr>
              <w:pStyle w:val="60"/>
              <w:rPr>
                <w:highlight w:val="yellow"/>
              </w:rPr>
            </w:pPr>
            <w:r>
              <w:rPr>
                <w:rFonts w:hint="eastAsia"/>
              </w:rPr>
              <w:t>外表缺陷</w:t>
            </w:r>
          </w:p>
        </w:tc>
        <w:tc>
          <w:tcPr>
            <w:tcW w:w="2360" w:type="pct"/>
            <w:vAlign w:val="center"/>
          </w:tcPr>
          <w:p w14:paraId="17D5C9FA">
            <w:pPr>
              <w:pStyle w:val="60"/>
              <w:jc w:val="left"/>
              <w:rPr>
                <w:color w:val="000000"/>
              </w:rPr>
            </w:pPr>
            <w:r>
              <w:rPr>
                <w:rFonts w:hint="eastAsia"/>
              </w:rPr>
              <w:t>表面</w:t>
            </w:r>
            <w:r>
              <w:rPr>
                <w:rFonts w:hint="eastAsia"/>
                <w:lang w:eastAsia="zh-CN"/>
              </w:rPr>
              <w:t>不应</w:t>
            </w:r>
            <w:r>
              <w:t>粉化、</w:t>
            </w:r>
            <w:r>
              <w:rPr>
                <w:rFonts w:hint="eastAsia"/>
                <w:lang w:eastAsia="zh-CN"/>
              </w:rPr>
              <w:t>疏松、开裂、</w:t>
            </w:r>
            <w:r>
              <w:t>破损</w:t>
            </w:r>
          </w:p>
        </w:tc>
        <w:tc>
          <w:tcPr>
            <w:tcW w:w="1177" w:type="pct"/>
            <w:vMerge w:val="continue"/>
            <w:vAlign w:val="center"/>
          </w:tcPr>
          <w:p w14:paraId="54BFF786">
            <w:pPr>
              <w:pStyle w:val="60"/>
              <w:rPr>
                <w:color w:val="000000"/>
              </w:rPr>
            </w:pPr>
          </w:p>
        </w:tc>
      </w:tr>
      <w:tr w14:paraId="348744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451" w:type="pct"/>
            <w:vMerge w:val="continue"/>
            <w:vAlign w:val="center"/>
          </w:tcPr>
          <w:p w14:paraId="58CAE524">
            <w:pPr>
              <w:pStyle w:val="60"/>
            </w:pPr>
          </w:p>
        </w:tc>
        <w:tc>
          <w:tcPr>
            <w:tcW w:w="1010" w:type="pct"/>
            <w:vMerge w:val="continue"/>
            <w:vAlign w:val="center"/>
          </w:tcPr>
          <w:p w14:paraId="24706D71">
            <w:pPr>
              <w:pStyle w:val="60"/>
            </w:pPr>
          </w:p>
        </w:tc>
        <w:tc>
          <w:tcPr>
            <w:tcW w:w="2360" w:type="pct"/>
            <w:vAlign w:val="center"/>
          </w:tcPr>
          <w:p w14:paraId="069FD6CA">
            <w:pPr>
              <w:pStyle w:val="60"/>
              <w:jc w:val="left"/>
            </w:pPr>
            <w:r>
              <w:rPr>
                <w:rFonts w:hint="eastAsia"/>
              </w:rPr>
              <w:t>不应有拼缝漏浆</w:t>
            </w:r>
          </w:p>
        </w:tc>
        <w:tc>
          <w:tcPr>
            <w:tcW w:w="1177" w:type="pct"/>
            <w:vMerge w:val="continue"/>
            <w:vAlign w:val="center"/>
          </w:tcPr>
          <w:p w14:paraId="6229D21B">
            <w:pPr>
              <w:pStyle w:val="60"/>
            </w:pPr>
          </w:p>
        </w:tc>
      </w:tr>
      <w:tr w14:paraId="2FA153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51" w:type="pct"/>
            <w:vMerge w:val="continue"/>
            <w:vAlign w:val="center"/>
          </w:tcPr>
          <w:p w14:paraId="53DC4E9E">
            <w:pPr>
              <w:pStyle w:val="60"/>
            </w:pPr>
          </w:p>
        </w:tc>
        <w:tc>
          <w:tcPr>
            <w:tcW w:w="1010" w:type="pct"/>
            <w:vAlign w:val="center"/>
          </w:tcPr>
          <w:p w14:paraId="24FF1D61">
            <w:pPr>
              <w:pStyle w:val="60"/>
              <w:rPr>
                <w:rFonts w:hint="eastAsia" w:eastAsia="宋体"/>
                <w:highlight w:val="yellow"/>
                <w:lang w:eastAsia="zh-CN"/>
              </w:rPr>
            </w:pPr>
            <w:r>
              <w:rPr>
                <w:rFonts w:hint="eastAsia"/>
                <w:lang w:eastAsia="zh-CN"/>
              </w:rPr>
              <w:t>污渍、油渍</w:t>
            </w:r>
          </w:p>
        </w:tc>
        <w:tc>
          <w:tcPr>
            <w:tcW w:w="2360" w:type="pct"/>
            <w:vAlign w:val="center"/>
          </w:tcPr>
          <w:p w14:paraId="5EC82AD8">
            <w:pPr>
              <w:pStyle w:val="60"/>
              <w:jc w:val="left"/>
              <w:rPr>
                <w:rFonts w:hint="eastAsia" w:eastAsia="宋体"/>
                <w:color w:val="000000"/>
                <w:lang w:eastAsia="zh-CN"/>
              </w:rPr>
            </w:pPr>
            <w:r>
              <w:rPr>
                <w:rFonts w:hint="eastAsia"/>
              </w:rPr>
              <w:t>不应有</w:t>
            </w:r>
            <w:r>
              <w:rPr>
                <w:rFonts w:hint="eastAsia"/>
                <w:lang w:eastAsia="zh-CN"/>
              </w:rPr>
              <w:t>污渍、油渍</w:t>
            </w:r>
          </w:p>
        </w:tc>
        <w:tc>
          <w:tcPr>
            <w:tcW w:w="1177" w:type="pct"/>
            <w:vMerge w:val="continue"/>
            <w:vAlign w:val="center"/>
          </w:tcPr>
          <w:p w14:paraId="5CF53C7F">
            <w:pPr>
              <w:pStyle w:val="60"/>
            </w:pPr>
          </w:p>
        </w:tc>
      </w:tr>
    </w:tbl>
    <w:p w14:paraId="5BA1722D">
      <w:pPr>
        <w:pStyle w:val="61"/>
        <w:spacing w:before="156"/>
      </w:pPr>
      <w:r>
        <w:t>表</w:t>
      </w:r>
      <w:r>
        <w:rPr>
          <w:rFonts w:hint="eastAsia"/>
        </w:rPr>
        <w:t>5</w:t>
      </w:r>
      <w:r>
        <w:t>.2.</w:t>
      </w:r>
      <w:r>
        <w:rPr>
          <w:rFonts w:hint="eastAsia"/>
        </w:rPr>
        <w:t>3-</w:t>
      </w:r>
      <w:r>
        <w:t>2   预制</w:t>
      </w:r>
      <w:r>
        <w:rPr>
          <w:rFonts w:hint="eastAsia"/>
        </w:rPr>
        <w:t>集成</w:t>
      </w:r>
      <w:r>
        <w:t>保温</w:t>
      </w:r>
      <w:r>
        <w:rPr>
          <w:rFonts w:hint="eastAsia"/>
        </w:rPr>
        <w:t>外墙板外形尺寸允许偏差（m</w:t>
      </w:r>
      <w:r>
        <w:t>m</w:t>
      </w:r>
      <w:r>
        <w:rPr>
          <w:rFonts w:hint="eastAsia"/>
        </w:rPr>
        <w:t>）</w:t>
      </w:r>
    </w:p>
    <w:tbl>
      <w:tblPr>
        <w:tblStyle w:val="24"/>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621"/>
        <w:gridCol w:w="2357"/>
        <w:gridCol w:w="2282"/>
        <w:gridCol w:w="2262"/>
      </w:tblGrid>
      <w:tr w14:paraId="192737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978" w:type="dxa"/>
            <w:gridSpan w:val="2"/>
            <w:tcBorders>
              <w:bottom w:val="single" w:color="auto" w:sz="12" w:space="0"/>
            </w:tcBorders>
            <w:vAlign w:val="center"/>
          </w:tcPr>
          <w:p w14:paraId="56DAE3D0">
            <w:pPr>
              <w:pStyle w:val="60"/>
            </w:pPr>
            <w:r>
              <w:rPr>
                <w:rFonts w:hint="eastAsia"/>
              </w:rPr>
              <w:t>项目</w:t>
            </w:r>
          </w:p>
        </w:tc>
        <w:tc>
          <w:tcPr>
            <w:tcW w:w="2282" w:type="dxa"/>
            <w:tcBorders>
              <w:bottom w:val="single" w:color="auto" w:sz="12" w:space="0"/>
            </w:tcBorders>
            <w:vAlign w:val="center"/>
          </w:tcPr>
          <w:p w14:paraId="224CBBC5">
            <w:pPr>
              <w:pStyle w:val="60"/>
            </w:pPr>
            <w:r>
              <w:rPr>
                <w:rFonts w:hint="eastAsia"/>
              </w:rPr>
              <w:t>允许偏差</w:t>
            </w:r>
          </w:p>
        </w:tc>
        <w:tc>
          <w:tcPr>
            <w:tcW w:w="2262" w:type="dxa"/>
            <w:tcBorders>
              <w:bottom w:val="single" w:color="auto" w:sz="12" w:space="0"/>
            </w:tcBorders>
            <w:vAlign w:val="center"/>
          </w:tcPr>
          <w:p w14:paraId="5185AE92">
            <w:pPr>
              <w:pStyle w:val="60"/>
            </w:pPr>
            <w:r>
              <w:t>试验方法</w:t>
            </w:r>
          </w:p>
        </w:tc>
      </w:tr>
      <w:tr w14:paraId="51C645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978" w:type="dxa"/>
            <w:gridSpan w:val="2"/>
            <w:tcBorders>
              <w:top w:val="single" w:color="auto" w:sz="12" w:space="0"/>
            </w:tcBorders>
            <w:vAlign w:val="center"/>
          </w:tcPr>
          <w:p w14:paraId="0FF6A993">
            <w:pPr>
              <w:pStyle w:val="60"/>
            </w:pPr>
            <w:r>
              <w:rPr>
                <w:rFonts w:hint="eastAsia"/>
              </w:rPr>
              <w:t>长度/宽度</w:t>
            </w:r>
          </w:p>
        </w:tc>
        <w:tc>
          <w:tcPr>
            <w:tcW w:w="2282" w:type="dxa"/>
            <w:tcBorders>
              <w:top w:val="single" w:color="auto" w:sz="12" w:space="0"/>
            </w:tcBorders>
            <w:vAlign w:val="center"/>
          </w:tcPr>
          <w:p w14:paraId="6B784ABD">
            <w:pPr>
              <w:pStyle w:val="60"/>
            </w:pPr>
            <w:r>
              <w:t>±4</w:t>
            </w:r>
          </w:p>
        </w:tc>
        <w:tc>
          <w:tcPr>
            <w:tcW w:w="2262" w:type="dxa"/>
            <w:vMerge w:val="restart"/>
            <w:tcBorders>
              <w:top w:val="single" w:color="auto" w:sz="12" w:space="0"/>
            </w:tcBorders>
            <w:vAlign w:val="center"/>
          </w:tcPr>
          <w:p w14:paraId="0B81C4F1">
            <w:pPr>
              <w:pStyle w:val="60"/>
            </w:pPr>
            <w:r>
              <w:rPr>
                <w:rFonts w:hint="eastAsia"/>
              </w:rPr>
              <w:t>《装配式混凝土建筑用预制部品通用技术条件》</w:t>
            </w:r>
            <w:r>
              <w:t xml:space="preserve">GB/T </w:t>
            </w:r>
            <w:r>
              <w:rPr>
                <w:rFonts w:hint="eastAsia"/>
              </w:rPr>
              <w:t>40399</w:t>
            </w:r>
          </w:p>
        </w:tc>
      </w:tr>
      <w:tr w14:paraId="6900D3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978" w:type="dxa"/>
            <w:gridSpan w:val="2"/>
            <w:vAlign w:val="center"/>
          </w:tcPr>
          <w:p w14:paraId="32A1E64D">
            <w:pPr>
              <w:pStyle w:val="60"/>
            </w:pPr>
            <w:r>
              <w:rPr>
                <w:rFonts w:hint="eastAsia"/>
              </w:rPr>
              <w:t>高度</w:t>
            </w:r>
          </w:p>
        </w:tc>
        <w:tc>
          <w:tcPr>
            <w:tcW w:w="2282" w:type="dxa"/>
            <w:vAlign w:val="center"/>
          </w:tcPr>
          <w:p w14:paraId="3467F1EB">
            <w:pPr>
              <w:pStyle w:val="60"/>
            </w:pPr>
            <w:r>
              <w:t>±4</w:t>
            </w:r>
          </w:p>
        </w:tc>
        <w:tc>
          <w:tcPr>
            <w:tcW w:w="2262" w:type="dxa"/>
            <w:vMerge w:val="continue"/>
          </w:tcPr>
          <w:p w14:paraId="596E5B16">
            <w:pPr>
              <w:pStyle w:val="60"/>
            </w:pPr>
          </w:p>
        </w:tc>
      </w:tr>
      <w:tr w14:paraId="2099BD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978" w:type="dxa"/>
            <w:gridSpan w:val="2"/>
            <w:vAlign w:val="center"/>
          </w:tcPr>
          <w:p w14:paraId="1070C1C3">
            <w:pPr>
              <w:pStyle w:val="60"/>
            </w:pPr>
            <w:r>
              <w:rPr>
                <w:rFonts w:hint="eastAsia"/>
              </w:rPr>
              <w:t>厚度</w:t>
            </w:r>
          </w:p>
        </w:tc>
        <w:tc>
          <w:tcPr>
            <w:tcW w:w="2282" w:type="dxa"/>
            <w:vAlign w:val="center"/>
          </w:tcPr>
          <w:p w14:paraId="3F065B4E">
            <w:pPr>
              <w:pStyle w:val="60"/>
            </w:pPr>
            <w:r>
              <w:t>±3</w:t>
            </w:r>
          </w:p>
        </w:tc>
        <w:tc>
          <w:tcPr>
            <w:tcW w:w="2262" w:type="dxa"/>
            <w:vMerge w:val="continue"/>
          </w:tcPr>
          <w:p w14:paraId="69BDE668">
            <w:pPr>
              <w:pStyle w:val="60"/>
            </w:pPr>
          </w:p>
        </w:tc>
      </w:tr>
      <w:tr w14:paraId="5F91A4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621" w:type="dxa"/>
            <w:vMerge w:val="restart"/>
            <w:vAlign w:val="center"/>
          </w:tcPr>
          <w:p w14:paraId="3F217B59">
            <w:pPr>
              <w:pStyle w:val="60"/>
            </w:pPr>
            <w:r>
              <w:t>表面平整度</w:t>
            </w:r>
          </w:p>
        </w:tc>
        <w:tc>
          <w:tcPr>
            <w:tcW w:w="2357" w:type="dxa"/>
            <w:vAlign w:val="center"/>
          </w:tcPr>
          <w:p w14:paraId="0428BC95">
            <w:pPr>
              <w:pStyle w:val="60"/>
            </w:pPr>
            <w:r>
              <w:rPr>
                <w:rFonts w:hint="eastAsia"/>
              </w:rPr>
              <w:t>混凝土部分</w:t>
            </w:r>
          </w:p>
        </w:tc>
        <w:tc>
          <w:tcPr>
            <w:tcW w:w="2282" w:type="dxa"/>
            <w:vAlign w:val="center"/>
          </w:tcPr>
          <w:p w14:paraId="4DDB159B">
            <w:pPr>
              <w:pStyle w:val="60"/>
            </w:pPr>
            <w:r>
              <w:t>≤4</w:t>
            </w:r>
          </w:p>
        </w:tc>
        <w:tc>
          <w:tcPr>
            <w:tcW w:w="2262" w:type="dxa"/>
            <w:vMerge w:val="continue"/>
          </w:tcPr>
          <w:p w14:paraId="0093E68A">
            <w:pPr>
              <w:pStyle w:val="60"/>
            </w:pPr>
          </w:p>
        </w:tc>
      </w:tr>
      <w:tr w14:paraId="14AC4D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621" w:type="dxa"/>
            <w:vMerge w:val="continue"/>
            <w:vAlign w:val="center"/>
          </w:tcPr>
          <w:p w14:paraId="44B38E58">
            <w:pPr>
              <w:pStyle w:val="60"/>
            </w:pPr>
          </w:p>
        </w:tc>
        <w:tc>
          <w:tcPr>
            <w:tcW w:w="2357" w:type="dxa"/>
            <w:vAlign w:val="center"/>
          </w:tcPr>
          <w:p w14:paraId="65E15A47">
            <w:pPr>
              <w:pStyle w:val="60"/>
            </w:pPr>
            <w:r>
              <w:rPr>
                <w:rFonts w:hint="eastAsia"/>
              </w:rPr>
              <w:t>保温板部分</w:t>
            </w:r>
          </w:p>
        </w:tc>
        <w:tc>
          <w:tcPr>
            <w:tcW w:w="2282" w:type="dxa"/>
            <w:vAlign w:val="center"/>
          </w:tcPr>
          <w:p w14:paraId="66F3A306">
            <w:pPr>
              <w:pStyle w:val="60"/>
            </w:pPr>
            <w:r>
              <w:t>≤</w:t>
            </w:r>
            <w:r>
              <w:rPr>
                <w:rFonts w:hint="eastAsia"/>
              </w:rPr>
              <w:t>2</w:t>
            </w:r>
          </w:p>
        </w:tc>
        <w:tc>
          <w:tcPr>
            <w:tcW w:w="2262" w:type="dxa"/>
            <w:vMerge w:val="continue"/>
          </w:tcPr>
          <w:p w14:paraId="27B018A1">
            <w:pPr>
              <w:pStyle w:val="60"/>
            </w:pPr>
          </w:p>
        </w:tc>
      </w:tr>
      <w:tr w14:paraId="647CD7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978" w:type="dxa"/>
            <w:gridSpan w:val="2"/>
            <w:vAlign w:val="center"/>
          </w:tcPr>
          <w:p w14:paraId="54527607">
            <w:pPr>
              <w:pStyle w:val="60"/>
            </w:pPr>
            <w:r>
              <w:t>侧向弯曲</w:t>
            </w:r>
          </w:p>
        </w:tc>
        <w:tc>
          <w:tcPr>
            <w:tcW w:w="2282" w:type="dxa"/>
            <w:vAlign w:val="center"/>
          </w:tcPr>
          <w:p w14:paraId="75108BAF">
            <w:pPr>
              <w:pStyle w:val="60"/>
            </w:pPr>
            <w:r>
              <w:t>L/1000</w:t>
            </w:r>
            <w:r>
              <w:rPr>
                <w:rFonts w:hint="eastAsia"/>
              </w:rPr>
              <w:t>且</w:t>
            </w:r>
            <w:r>
              <w:t>≤10</w:t>
            </w:r>
          </w:p>
        </w:tc>
        <w:tc>
          <w:tcPr>
            <w:tcW w:w="2262" w:type="dxa"/>
            <w:vMerge w:val="continue"/>
          </w:tcPr>
          <w:p w14:paraId="05A072D9">
            <w:pPr>
              <w:pStyle w:val="60"/>
            </w:pPr>
          </w:p>
        </w:tc>
      </w:tr>
      <w:tr w14:paraId="77D717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978" w:type="dxa"/>
            <w:gridSpan w:val="2"/>
            <w:vAlign w:val="center"/>
          </w:tcPr>
          <w:p w14:paraId="1C638AA2">
            <w:pPr>
              <w:pStyle w:val="60"/>
            </w:pPr>
            <w:r>
              <w:rPr>
                <w:rFonts w:hint="eastAsia"/>
              </w:rPr>
              <w:t>混凝土部分</w:t>
            </w:r>
            <w:r>
              <w:t>翘曲</w:t>
            </w:r>
          </w:p>
        </w:tc>
        <w:tc>
          <w:tcPr>
            <w:tcW w:w="2282" w:type="dxa"/>
            <w:vAlign w:val="center"/>
          </w:tcPr>
          <w:p w14:paraId="36EB2CF4">
            <w:pPr>
              <w:pStyle w:val="60"/>
            </w:pPr>
            <w:r>
              <w:t>L/1000</w:t>
            </w:r>
            <w:r>
              <w:rPr>
                <w:rFonts w:hint="eastAsia"/>
              </w:rPr>
              <w:t>且</w:t>
            </w:r>
            <w:r>
              <w:t>≤10</w:t>
            </w:r>
          </w:p>
        </w:tc>
        <w:tc>
          <w:tcPr>
            <w:tcW w:w="2262" w:type="dxa"/>
            <w:vMerge w:val="continue"/>
          </w:tcPr>
          <w:p w14:paraId="7121FB1B">
            <w:pPr>
              <w:pStyle w:val="60"/>
            </w:pPr>
          </w:p>
        </w:tc>
      </w:tr>
      <w:tr w14:paraId="2AE313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978" w:type="dxa"/>
            <w:gridSpan w:val="2"/>
            <w:vAlign w:val="center"/>
          </w:tcPr>
          <w:p w14:paraId="6C6429A9">
            <w:pPr>
              <w:pStyle w:val="60"/>
            </w:pPr>
            <w:r>
              <w:t>对角线差</w:t>
            </w:r>
          </w:p>
        </w:tc>
        <w:tc>
          <w:tcPr>
            <w:tcW w:w="2282" w:type="dxa"/>
            <w:vAlign w:val="center"/>
          </w:tcPr>
          <w:p w14:paraId="21A4F3F8">
            <w:pPr>
              <w:pStyle w:val="60"/>
            </w:pPr>
            <w:r>
              <w:t>≤5</w:t>
            </w:r>
          </w:p>
        </w:tc>
        <w:tc>
          <w:tcPr>
            <w:tcW w:w="2262" w:type="dxa"/>
            <w:vMerge w:val="continue"/>
          </w:tcPr>
          <w:p w14:paraId="00ED5846">
            <w:pPr>
              <w:pStyle w:val="60"/>
            </w:pPr>
          </w:p>
        </w:tc>
      </w:tr>
      <w:tr w14:paraId="1473C8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621" w:type="dxa"/>
            <w:vMerge w:val="restart"/>
            <w:vAlign w:val="center"/>
          </w:tcPr>
          <w:p w14:paraId="4C7F705E">
            <w:pPr>
              <w:pStyle w:val="60"/>
            </w:pPr>
            <w:r>
              <w:t>门窗洞口</w:t>
            </w:r>
          </w:p>
        </w:tc>
        <w:tc>
          <w:tcPr>
            <w:tcW w:w="2357" w:type="dxa"/>
            <w:vAlign w:val="center"/>
          </w:tcPr>
          <w:p w14:paraId="42F7B1B2">
            <w:pPr>
              <w:pStyle w:val="60"/>
            </w:pPr>
            <w:r>
              <w:rPr>
                <w:rFonts w:hint="eastAsia"/>
              </w:rPr>
              <w:t>中心线</w:t>
            </w:r>
            <w:r>
              <w:t>位置</w:t>
            </w:r>
          </w:p>
        </w:tc>
        <w:tc>
          <w:tcPr>
            <w:tcW w:w="2282" w:type="dxa"/>
            <w:vAlign w:val="center"/>
          </w:tcPr>
          <w:p w14:paraId="457AD764">
            <w:pPr>
              <w:pStyle w:val="60"/>
            </w:pPr>
            <w:r>
              <w:t>≤3</w:t>
            </w:r>
          </w:p>
        </w:tc>
        <w:tc>
          <w:tcPr>
            <w:tcW w:w="2262" w:type="dxa"/>
            <w:vMerge w:val="continue"/>
          </w:tcPr>
          <w:p w14:paraId="2E030922">
            <w:pPr>
              <w:pStyle w:val="60"/>
            </w:pPr>
          </w:p>
        </w:tc>
      </w:tr>
      <w:tr w14:paraId="596F81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621" w:type="dxa"/>
            <w:vMerge w:val="continue"/>
            <w:vAlign w:val="center"/>
          </w:tcPr>
          <w:p w14:paraId="5D6F004E">
            <w:pPr>
              <w:pStyle w:val="60"/>
            </w:pPr>
          </w:p>
        </w:tc>
        <w:tc>
          <w:tcPr>
            <w:tcW w:w="2357" w:type="dxa"/>
            <w:vAlign w:val="center"/>
          </w:tcPr>
          <w:p w14:paraId="2A134926">
            <w:pPr>
              <w:pStyle w:val="60"/>
            </w:pPr>
            <w:r>
              <w:t>宽度、高度</w:t>
            </w:r>
          </w:p>
        </w:tc>
        <w:tc>
          <w:tcPr>
            <w:tcW w:w="2282" w:type="dxa"/>
            <w:vAlign w:val="center"/>
          </w:tcPr>
          <w:p w14:paraId="4ECD1E1B">
            <w:pPr>
              <w:pStyle w:val="60"/>
            </w:pPr>
            <w:r>
              <w:t>±4</w:t>
            </w:r>
          </w:p>
        </w:tc>
        <w:tc>
          <w:tcPr>
            <w:tcW w:w="2262" w:type="dxa"/>
            <w:vMerge w:val="continue"/>
          </w:tcPr>
          <w:p w14:paraId="4597F476">
            <w:pPr>
              <w:pStyle w:val="60"/>
            </w:pPr>
          </w:p>
        </w:tc>
      </w:tr>
      <w:tr w14:paraId="48F3FC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621" w:type="dxa"/>
            <w:vMerge w:val="continue"/>
            <w:vAlign w:val="center"/>
          </w:tcPr>
          <w:p w14:paraId="39322498">
            <w:pPr>
              <w:pStyle w:val="60"/>
            </w:pPr>
          </w:p>
        </w:tc>
        <w:tc>
          <w:tcPr>
            <w:tcW w:w="2357" w:type="dxa"/>
            <w:vAlign w:val="center"/>
          </w:tcPr>
          <w:p w14:paraId="1E98EAF2">
            <w:pPr>
              <w:pStyle w:val="60"/>
            </w:pPr>
            <w:r>
              <w:rPr>
                <w:rFonts w:hint="eastAsia"/>
              </w:rPr>
              <w:t>对角线</w:t>
            </w:r>
          </w:p>
        </w:tc>
        <w:tc>
          <w:tcPr>
            <w:tcW w:w="2282" w:type="dxa"/>
            <w:vAlign w:val="center"/>
          </w:tcPr>
          <w:p w14:paraId="22AF8A84">
            <w:pPr>
              <w:pStyle w:val="60"/>
            </w:pPr>
            <w:r>
              <w:t>≤4</w:t>
            </w:r>
          </w:p>
        </w:tc>
        <w:tc>
          <w:tcPr>
            <w:tcW w:w="2262" w:type="dxa"/>
            <w:vMerge w:val="continue"/>
          </w:tcPr>
          <w:p w14:paraId="2B1846E2">
            <w:pPr>
              <w:pStyle w:val="60"/>
            </w:pPr>
          </w:p>
        </w:tc>
      </w:tr>
      <w:tr w14:paraId="3BA0E8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522" w:type="dxa"/>
            <w:gridSpan w:val="4"/>
            <w:vAlign w:val="center"/>
          </w:tcPr>
          <w:p w14:paraId="2FAA72CA">
            <w:pPr>
              <w:pStyle w:val="60"/>
            </w:pPr>
            <w:r>
              <w:t>注</w:t>
            </w:r>
            <w:r>
              <w:rPr>
                <w:rFonts w:hint="eastAsia"/>
              </w:rPr>
              <w:t>1</w:t>
            </w:r>
            <w:r>
              <w:t>：</w:t>
            </w:r>
            <w:r>
              <w:rPr>
                <w:rFonts w:hint="eastAsia"/>
              </w:rPr>
              <w:t>保温</w:t>
            </w:r>
            <w:r>
              <w:t>板厚度</w:t>
            </w:r>
            <w:r>
              <w:rPr>
                <w:rFonts w:hint="eastAsia"/>
              </w:rPr>
              <w:t>应无负偏差</w:t>
            </w:r>
            <w:r>
              <w:t>；注</w:t>
            </w:r>
            <w:r>
              <w:rPr>
                <w:rFonts w:hint="eastAsia"/>
              </w:rPr>
              <w:t>2：</w:t>
            </w:r>
            <w:r>
              <w:t>L为预制</w:t>
            </w:r>
            <w:r>
              <w:rPr>
                <w:rFonts w:hint="eastAsia"/>
              </w:rPr>
              <w:t>集成</w:t>
            </w:r>
            <w:r>
              <w:t>保温</w:t>
            </w:r>
            <w:r>
              <w:rPr>
                <w:rFonts w:hint="eastAsia"/>
              </w:rPr>
              <w:t>墙板最长边</w:t>
            </w:r>
            <w:r>
              <w:t>长度</w:t>
            </w:r>
            <w:r>
              <w:rPr>
                <w:rFonts w:hint="eastAsia"/>
              </w:rPr>
              <w:t>（mm）</w:t>
            </w:r>
          </w:p>
        </w:tc>
      </w:tr>
    </w:tbl>
    <w:p w14:paraId="43BB1074"/>
    <w:p w14:paraId="2AE7DE4C">
      <w:pPr>
        <w:spacing w:line="360" w:lineRule="auto"/>
        <w:rPr>
          <w:rFonts w:ascii="宋体" w:hAnsi="宋体" w:cs="宋体"/>
          <w:sz w:val="24"/>
        </w:rPr>
      </w:pPr>
      <w:r>
        <w:rPr>
          <w:rFonts w:hint="eastAsia"/>
          <w:b/>
          <w:bCs/>
          <w:sz w:val="24"/>
        </w:rPr>
        <w:t>5.2.4</w:t>
      </w:r>
      <w:r>
        <w:rPr>
          <w:rFonts w:hint="eastAsia" w:ascii="宋体" w:hAnsi="宋体" w:cs="宋体"/>
          <w:sz w:val="24"/>
        </w:rPr>
        <w:t xml:space="preserve">  建筑外墙门窗洞口、雨蓬、阳台、女儿墙、室外挑板、变形缝、穿墙管道和预埋件等节点应采取防水构造措施，并应根据工程防水等级设置墙面防水层。</w:t>
      </w:r>
    </w:p>
    <w:p w14:paraId="2AFC052A">
      <w:pPr>
        <w:spacing w:line="360" w:lineRule="auto"/>
        <w:rPr>
          <w:rFonts w:ascii="宋体" w:hAnsi="宋体" w:cs="宋体"/>
          <w:sz w:val="24"/>
        </w:rPr>
      </w:pPr>
      <w:r>
        <w:rPr>
          <w:b/>
          <w:sz w:val="24"/>
        </w:rPr>
        <w:t>5.</w:t>
      </w:r>
      <w:r>
        <w:rPr>
          <w:rFonts w:hint="eastAsia"/>
          <w:b/>
          <w:sz w:val="24"/>
        </w:rPr>
        <w:t>2</w:t>
      </w:r>
      <w:r>
        <w:rPr>
          <w:b/>
          <w:sz w:val="24"/>
        </w:rPr>
        <w:t>.</w:t>
      </w:r>
      <w:r>
        <w:rPr>
          <w:rFonts w:hint="eastAsia"/>
          <w:b/>
          <w:sz w:val="24"/>
        </w:rPr>
        <w:t>5</w:t>
      </w:r>
      <w:r>
        <w:rPr>
          <w:b/>
          <w:color w:val="FF0000"/>
          <w:sz w:val="24"/>
        </w:rPr>
        <w:t xml:space="preserve">  </w:t>
      </w:r>
      <w:r>
        <w:rPr>
          <w:rFonts w:hint="eastAsia" w:ascii="宋体" w:hAnsi="宋体" w:cs="宋体"/>
          <w:sz w:val="24"/>
        </w:rPr>
        <w:t>集成保温外墙板与现浇保温外墙水平和竖向交接处应密拼错缝处理，错缝宽度宜为50mm</w:t>
      </w:r>
      <w:r>
        <w:rPr>
          <w:rFonts w:hint="eastAsia" w:ascii="宋体" w:hAnsi="宋体" w:cs="宋体"/>
          <w:color w:val="000000" w:themeColor="text1"/>
          <w:sz w:val="24"/>
          <w14:textFill>
            <w14:solidFill>
              <w14:schemeClr w14:val="tx1"/>
            </w14:solidFill>
          </w14:textFill>
        </w:rPr>
        <w:t>。外墙立面抹面层内的水平分隔缝应每层设置，位置宜结合楼层设置；当水平分隔缝设置间距大于1层且连续墙面面积大于30m</w:t>
      </w:r>
      <w:r>
        <w:rPr>
          <w:rFonts w:hint="eastAsia" w:ascii="宋体" w:hAnsi="宋体" w:cs="宋体"/>
          <w:color w:val="000000" w:themeColor="text1"/>
          <w:sz w:val="24"/>
          <w:vertAlign w:val="superscript"/>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时，应设置竖向分隔缝，并宜结合阴角位置设置。</w:t>
      </w:r>
      <w:r>
        <w:rPr>
          <w:rFonts w:hint="eastAsia" w:ascii="宋体" w:hAnsi="宋体" w:cs="宋体"/>
          <w:sz w:val="24"/>
        </w:rPr>
        <w:t>水平交接处和竖向交接处构造示意图。</w:t>
      </w:r>
    </w:p>
    <w:p w14:paraId="2E04F435">
      <w:pPr>
        <w:spacing w:line="360" w:lineRule="auto"/>
        <w:jc w:val="center"/>
      </w:pPr>
      <w:r>
        <w:drawing>
          <wp:inline distT="0" distB="0" distL="114300" distR="114300">
            <wp:extent cx="4164330" cy="2350770"/>
            <wp:effectExtent l="0" t="0" r="7620" b="11430"/>
            <wp:docPr id="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0"/>
                    <pic:cNvPicPr>
                      <a:picLocks noChangeAspect="1"/>
                    </pic:cNvPicPr>
                  </pic:nvPicPr>
                  <pic:blipFill>
                    <a:blip r:embed="rId9"/>
                    <a:stretch>
                      <a:fillRect/>
                    </a:stretch>
                  </pic:blipFill>
                  <pic:spPr>
                    <a:xfrm>
                      <a:off x="0" y="0"/>
                      <a:ext cx="4164330" cy="2350770"/>
                    </a:xfrm>
                    <a:prstGeom prst="rect">
                      <a:avLst/>
                    </a:prstGeom>
                    <a:noFill/>
                    <a:ln>
                      <a:noFill/>
                    </a:ln>
                  </pic:spPr>
                </pic:pic>
              </a:graphicData>
            </a:graphic>
          </wp:inline>
        </w:drawing>
      </w:r>
    </w:p>
    <w:p w14:paraId="24E66CAD">
      <w:pPr>
        <w:jc w:val="center"/>
        <w:rPr>
          <w:rFonts w:hint="eastAsia"/>
          <w:lang w:eastAsia="zh-CN"/>
        </w:rPr>
      </w:pPr>
      <w:bookmarkStart w:id="56" w:name="_Toc1158"/>
      <w:r>
        <w:rPr>
          <w:rFonts w:hint="eastAsia"/>
          <w:lang w:eastAsia="zh-CN"/>
        </w:rPr>
        <w:t>（</w:t>
      </w:r>
      <w:r>
        <w:rPr>
          <w:rFonts w:hint="eastAsia"/>
          <w:lang w:val="en-US" w:eastAsia="zh-CN"/>
        </w:rPr>
        <w:t>a</w:t>
      </w:r>
      <w:r>
        <w:rPr>
          <w:rFonts w:hint="eastAsia"/>
          <w:lang w:eastAsia="zh-CN"/>
        </w:rPr>
        <w:t>）</w:t>
      </w:r>
      <w:bookmarkEnd w:id="56"/>
    </w:p>
    <w:p w14:paraId="666A2C86">
      <w:pPr>
        <w:spacing w:line="360" w:lineRule="auto"/>
      </w:pPr>
      <w:r>
        <w:drawing>
          <wp:inline distT="0" distB="0" distL="114300" distR="114300">
            <wp:extent cx="2095500" cy="1863090"/>
            <wp:effectExtent l="0" t="0" r="0" b="3810"/>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8"/>
                    <pic:cNvPicPr>
                      <a:picLocks noChangeAspect="1"/>
                    </pic:cNvPicPr>
                  </pic:nvPicPr>
                  <pic:blipFill>
                    <a:blip r:embed="rId10"/>
                    <a:stretch>
                      <a:fillRect/>
                    </a:stretch>
                  </pic:blipFill>
                  <pic:spPr>
                    <a:xfrm>
                      <a:off x="0" y="0"/>
                      <a:ext cx="2095500" cy="1863090"/>
                    </a:xfrm>
                    <a:prstGeom prst="rect">
                      <a:avLst/>
                    </a:prstGeom>
                    <a:noFill/>
                    <a:ln>
                      <a:noFill/>
                    </a:ln>
                  </pic:spPr>
                </pic:pic>
              </a:graphicData>
            </a:graphic>
          </wp:inline>
        </w:drawing>
      </w:r>
      <w:r>
        <w:rPr>
          <w:rFonts w:hint="eastAsia"/>
          <w:lang w:val="en-US" w:eastAsia="zh-CN"/>
        </w:rPr>
        <w:t xml:space="preserve">       </w:t>
      </w:r>
      <w:r>
        <w:rPr>
          <w:rFonts w:hint="eastAsia"/>
        </w:rPr>
        <w:t xml:space="preserve">  </w:t>
      </w:r>
      <w:r>
        <w:drawing>
          <wp:inline distT="0" distB="0" distL="114300" distR="114300">
            <wp:extent cx="2238375" cy="1920240"/>
            <wp:effectExtent l="0" t="0" r="9525" b="3810"/>
            <wp:docPr id="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
                    <pic:cNvPicPr>
                      <a:picLocks noChangeAspect="1"/>
                    </pic:cNvPicPr>
                  </pic:nvPicPr>
                  <pic:blipFill>
                    <a:blip r:embed="rId11"/>
                    <a:stretch>
                      <a:fillRect/>
                    </a:stretch>
                  </pic:blipFill>
                  <pic:spPr>
                    <a:xfrm>
                      <a:off x="0" y="0"/>
                      <a:ext cx="2238375" cy="1920240"/>
                    </a:xfrm>
                    <a:prstGeom prst="rect">
                      <a:avLst/>
                    </a:prstGeom>
                    <a:noFill/>
                    <a:ln>
                      <a:noFill/>
                    </a:ln>
                  </pic:spPr>
                </pic:pic>
              </a:graphicData>
            </a:graphic>
          </wp:inline>
        </w:drawing>
      </w:r>
    </w:p>
    <w:p w14:paraId="088FE857">
      <w:pPr>
        <w:spacing w:line="360" w:lineRule="auto"/>
        <w:jc w:val="center"/>
        <w:rPr>
          <w:rFonts w:hint="eastAsia" w:ascii="宋体" w:hAnsi="宋体" w:eastAsia="宋体" w:cs="宋体"/>
          <w:sz w:val="24"/>
          <w:lang w:eastAsia="zh-CN"/>
        </w:rPr>
      </w:pPr>
      <w:r>
        <w:rPr>
          <w:rFonts w:hint="eastAsia" w:ascii="宋体" w:hAnsi="宋体" w:cs="宋体"/>
          <w:sz w:val="24"/>
          <w:lang w:eastAsia="zh-CN"/>
        </w:rPr>
        <w:t>（</w:t>
      </w:r>
      <w:r>
        <w:rPr>
          <w:rFonts w:hint="eastAsia" w:ascii="宋体" w:hAnsi="宋体" w:cs="宋体"/>
          <w:sz w:val="24"/>
          <w:lang w:val="en-US" w:eastAsia="zh-CN"/>
        </w:rPr>
        <w:t>b</w:t>
      </w:r>
      <w:r>
        <w:rPr>
          <w:rFonts w:hint="eastAsia" w:ascii="宋体" w:hAnsi="宋体" w:cs="宋体"/>
          <w:sz w:val="24"/>
          <w:lang w:eastAsia="zh-CN"/>
        </w:rPr>
        <w:t>）</w:t>
      </w:r>
      <w:r>
        <w:rPr>
          <w:rFonts w:hint="eastAsia" w:ascii="宋体" w:hAnsi="宋体" w:cs="宋体"/>
          <w:sz w:val="24"/>
          <w:lang w:val="en-US" w:eastAsia="zh-CN"/>
        </w:rPr>
        <w:t xml:space="preserve">                           </w:t>
      </w:r>
      <w:r>
        <w:rPr>
          <w:rFonts w:hint="eastAsia" w:ascii="宋体" w:hAnsi="宋体" w:cs="宋体"/>
          <w:sz w:val="24"/>
          <w:lang w:eastAsia="zh-CN"/>
        </w:rPr>
        <w:t>（</w:t>
      </w:r>
      <w:r>
        <w:rPr>
          <w:rFonts w:hint="eastAsia" w:ascii="宋体" w:hAnsi="宋体" w:cs="宋体"/>
          <w:sz w:val="24"/>
          <w:lang w:val="en-US" w:eastAsia="zh-CN"/>
        </w:rPr>
        <w:t>c</w:t>
      </w:r>
      <w:r>
        <w:rPr>
          <w:rFonts w:hint="eastAsia" w:ascii="宋体" w:hAnsi="宋体" w:cs="宋体"/>
          <w:sz w:val="24"/>
          <w:lang w:eastAsia="zh-CN"/>
        </w:rPr>
        <w:t>）</w:t>
      </w:r>
    </w:p>
    <w:p w14:paraId="70302D9C">
      <w:pPr>
        <w:spacing w:line="360" w:lineRule="auto"/>
        <w:jc w:val="center"/>
        <w:rPr>
          <w:rFonts w:ascii="宋体" w:hAnsi="宋体" w:cs="宋体"/>
          <w:sz w:val="24"/>
        </w:rPr>
      </w:pPr>
      <w:r>
        <w:rPr>
          <w:rFonts w:hint="eastAsia" w:ascii="宋体" w:hAnsi="宋体" w:cs="宋体"/>
          <w:sz w:val="24"/>
        </w:rPr>
        <w:t>图5.2.5-1 竖向缝构造示意图</w:t>
      </w:r>
    </w:p>
    <w:p w14:paraId="339A11E5">
      <w:pPr>
        <w:spacing w:line="360" w:lineRule="auto"/>
        <w:jc w:val="center"/>
      </w:pPr>
      <w:r>
        <w:rPr>
          <w:rFonts w:hint="eastAsia"/>
        </w:rPr>
        <w:t>1</w:t>
      </w:r>
      <w:r>
        <w:rPr>
          <w:rFonts w:hint="eastAsia"/>
          <w:lang w:eastAsia="zh-CN"/>
        </w:rPr>
        <w:t>——</w:t>
      </w:r>
      <w:r>
        <w:rPr>
          <w:rFonts w:hint="eastAsia"/>
        </w:rPr>
        <w:t>预制墙体；2</w:t>
      </w:r>
      <w:r>
        <w:rPr>
          <w:rFonts w:hint="eastAsia"/>
          <w:lang w:eastAsia="zh-CN"/>
        </w:rPr>
        <w:t>——</w:t>
      </w:r>
      <w:r>
        <w:rPr>
          <w:rFonts w:hint="eastAsia"/>
        </w:rPr>
        <w:t>保温层；3</w:t>
      </w:r>
      <w:r>
        <w:rPr>
          <w:rFonts w:hint="eastAsia"/>
          <w:lang w:eastAsia="zh-CN"/>
        </w:rPr>
        <w:t>——</w:t>
      </w:r>
      <w:r>
        <w:rPr>
          <w:rFonts w:hint="eastAsia"/>
        </w:rPr>
        <w:t>锚固件；4</w:t>
      </w:r>
      <w:r>
        <w:rPr>
          <w:rFonts w:hint="eastAsia"/>
          <w:lang w:eastAsia="zh-CN"/>
        </w:rPr>
        <w:t>——</w:t>
      </w:r>
      <w:r>
        <w:rPr>
          <w:rFonts w:hint="eastAsia"/>
        </w:rPr>
        <w:t>抹面层；5</w:t>
      </w:r>
      <w:r>
        <w:rPr>
          <w:rFonts w:hint="eastAsia"/>
          <w:lang w:eastAsia="zh-CN"/>
        </w:rPr>
        <w:t>——</w:t>
      </w:r>
      <w:r>
        <w:rPr>
          <w:rFonts w:hint="eastAsia"/>
        </w:rPr>
        <w:t>饰面层；6</w:t>
      </w:r>
      <w:r>
        <w:rPr>
          <w:rFonts w:hint="eastAsia"/>
          <w:lang w:eastAsia="zh-CN"/>
        </w:rPr>
        <w:t>——</w:t>
      </w:r>
      <w:r>
        <w:rPr>
          <w:rFonts w:hint="eastAsia"/>
        </w:rPr>
        <w:t>现浇混凝土</w:t>
      </w:r>
    </w:p>
    <w:p w14:paraId="4875A096">
      <w:pPr>
        <w:spacing w:line="360" w:lineRule="auto"/>
        <w:rPr>
          <w:rFonts w:ascii="宋体" w:hAnsi="宋体" w:cs="宋体"/>
          <w:sz w:val="24"/>
        </w:rPr>
      </w:pPr>
    </w:p>
    <w:p w14:paraId="6EC5BF79">
      <w:pPr>
        <w:spacing w:line="360" w:lineRule="auto"/>
      </w:pPr>
      <w:r>
        <w:drawing>
          <wp:inline distT="0" distB="0" distL="114300" distR="114300">
            <wp:extent cx="2225675" cy="2475865"/>
            <wp:effectExtent l="0" t="0" r="3175" b="635"/>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pic:cNvPicPr>
                      <a:picLocks noChangeAspect="1"/>
                    </pic:cNvPicPr>
                  </pic:nvPicPr>
                  <pic:blipFill>
                    <a:blip r:embed="rId12"/>
                    <a:stretch>
                      <a:fillRect/>
                    </a:stretch>
                  </pic:blipFill>
                  <pic:spPr>
                    <a:xfrm>
                      <a:off x="0" y="0"/>
                      <a:ext cx="2225675" cy="2475865"/>
                    </a:xfrm>
                    <a:prstGeom prst="rect">
                      <a:avLst/>
                    </a:prstGeom>
                    <a:noFill/>
                    <a:ln>
                      <a:noFill/>
                    </a:ln>
                  </pic:spPr>
                </pic:pic>
              </a:graphicData>
            </a:graphic>
          </wp:inline>
        </w:drawing>
      </w:r>
      <w:r>
        <w:rPr>
          <w:rFonts w:hint="eastAsia"/>
        </w:rPr>
        <w:t xml:space="preserve">  </w:t>
      </w:r>
      <w:r>
        <w:rPr>
          <w:rFonts w:hint="eastAsia"/>
          <w:lang w:val="en-US" w:eastAsia="zh-CN"/>
        </w:rPr>
        <w:t xml:space="preserve">       </w:t>
      </w:r>
      <w:r>
        <w:rPr>
          <w:rFonts w:hint="eastAsia"/>
        </w:rPr>
        <w:t xml:space="preserve"> </w:t>
      </w:r>
      <w:r>
        <w:drawing>
          <wp:inline distT="0" distB="0" distL="114300" distR="114300">
            <wp:extent cx="2092960" cy="2350770"/>
            <wp:effectExtent l="0" t="0" r="2540" b="11430"/>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
                    <pic:cNvPicPr>
                      <a:picLocks noChangeAspect="1"/>
                    </pic:cNvPicPr>
                  </pic:nvPicPr>
                  <pic:blipFill>
                    <a:blip r:embed="rId13"/>
                    <a:stretch>
                      <a:fillRect/>
                    </a:stretch>
                  </pic:blipFill>
                  <pic:spPr>
                    <a:xfrm>
                      <a:off x="0" y="0"/>
                      <a:ext cx="2092960" cy="2350770"/>
                    </a:xfrm>
                    <a:prstGeom prst="rect">
                      <a:avLst/>
                    </a:prstGeom>
                    <a:noFill/>
                    <a:ln>
                      <a:noFill/>
                    </a:ln>
                  </pic:spPr>
                </pic:pic>
              </a:graphicData>
            </a:graphic>
          </wp:inline>
        </w:drawing>
      </w:r>
    </w:p>
    <w:p w14:paraId="63E87A0A">
      <w:pPr>
        <w:numPr>
          <w:ilvl w:val="0"/>
          <w:numId w:val="0"/>
        </w:numPr>
        <w:spacing w:line="360" w:lineRule="auto"/>
        <w:jc w:val="center"/>
        <w:rPr>
          <w:rFonts w:hint="eastAsia" w:eastAsia="宋体"/>
          <w:lang w:eastAsia="zh-CN"/>
        </w:rPr>
      </w:pPr>
      <w:r>
        <w:rPr>
          <w:rFonts w:hint="eastAsia" w:ascii="Times New Roman" w:hAnsi="Times New Roman" w:eastAsia="宋体" w:cs="Times New Roman"/>
          <w:kern w:val="2"/>
          <w:sz w:val="21"/>
          <w:szCs w:val="24"/>
          <w:lang w:val="en-US" w:eastAsia="zh-CN" w:bidi="ar-SA"/>
        </w:rPr>
        <w:t>（a）</w:t>
      </w:r>
      <w:r>
        <w:rPr>
          <w:rFonts w:hint="eastAsia"/>
          <w:lang w:val="en-US" w:eastAsia="zh-CN"/>
        </w:rPr>
        <w:t xml:space="preserve">                                </w:t>
      </w:r>
      <w:r>
        <w:rPr>
          <w:rFonts w:hint="eastAsia"/>
          <w:lang w:eastAsia="zh-CN"/>
        </w:rPr>
        <w:t>（</w:t>
      </w:r>
      <w:r>
        <w:rPr>
          <w:rFonts w:hint="eastAsia"/>
          <w:lang w:val="en-US" w:eastAsia="zh-CN"/>
        </w:rPr>
        <w:t>b</w:t>
      </w:r>
      <w:r>
        <w:rPr>
          <w:rFonts w:hint="eastAsia"/>
          <w:lang w:eastAsia="zh-CN"/>
        </w:rPr>
        <w:t>）</w:t>
      </w:r>
    </w:p>
    <w:p w14:paraId="1372A6B5">
      <w:pPr>
        <w:spacing w:line="360" w:lineRule="auto"/>
        <w:jc w:val="center"/>
      </w:pPr>
      <w:r>
        <w:drawing>
          <wp:inline distT="0" distB="0" distL="114300" distR="114300">
            <wp:extent cx="3777615" cy="2891790"/>
            <wp:effectExtent l="0" t="0" r="13335" b="3810"/>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pic:cNvPicPr>
                  </pic:nvPicPr>
                  <pic:blipFill>
                    <a:blip r:embed="rId14"/>
                    <a:stretch>
                      <a:fillRect/>
                    </a:stretch>
                  </pic:blipFill>
                  <pic:spPr>
                    <a:xfrm>
                      <a:off x="0" y="0"/>
                      <a:ext cx="3777615" cy="2891790"/>
                    </a:xfrm>
                    <a:prstGeom prst="rect">
                      <a:avLst/>
                    </a:prstGeom>
                    <a:noFill/>
                    <a:ln>
                      <a:noFill/>
                    </a:ln>
                  </pic:spPr>
                </pic:pic>
              </a:graphicData>
            </a:graphic>
          </wp:inline>
        </w:drawing>
      </w:r>
    </w:p>
    <w:p w14:paraId="52F16983">
      <w:pPr>
        <w:spacing w:line="360" w:lineRule="auto"/>
        <w:jc w:val="center"/>
        <w:rPr>
          <w:rFonts w:hint="eastAsia" w:ascii="宋体" w:hAnsi="宋体" w:eastAsia="宋体" w:cs="宋体"/>
          <w:sz w:val="24"/>
          <w:lang w:eastAsia="zh-CN"/>
        </w:rPr>
      </w:pPr>
      <w:r>
        <w:rPr>
          <w:rFonts w:hint="eastAsia" w:ascii="宋体" w:hAnsi="宋体" w:cs="宋体"/>
          <w:sz w:val="24"/>
          <w:lang w:eastAsia="zh-CN"/>
        </w:rPr>
        <w:t>（</w:t>
      </w:r>
      <w:r>
        <w:rPr>
          <w:rFonts w:hint="eastAsia" w:ascii="宋体" w:hAnsi="宋体" w:cs="宋体"/>
          <w:sz w:val="24"/>
          <w:lang w:val="en-US" w:eastAsia="zh-CN"/>
        </w:rPr>
        <w:t>c</w:t>
      </w:r>
      <w:r>
        <w:rPr>
          <w:rFonts w:hint="eastAsia" w:ascii="宋体" w:hAnsi="宋体" w:cs="宋体"/>
          <w:sz w:val="24"/>
          <w:lang w:eastAsia="zh-CN"/>
        </w:rPr>
        <w:t>）</w:t>
      </w:r>
    </w:p>
    <w:p w14:paraId="267A122F">
      <w:pPr>
        <w:spacing w:line="360" w:lineRule="auto"/>
        <w:jc w:val="center"/>
        <w:rPr>
          <w:rFonts w:ascii="宋体" w:hAnsi="宋体" w:cs="宋体"/>
          <w:sz w:val="24"/>
        </w:rPr>
      </w:pPr>
      <w:r>
        <w:rPr>
          <w:rFonts w:hint="eastAsia" w:ascii="宋体" w:hAnsi="宋体" w:cs="宋体"/>
          <w:sz w:val="24"/>
        </w:rPr>
        <w:t>图5.2.5-2 水平缝构造示意图</w:t>
      </w:r>
    </w:p>
    <w:p w14:paraId="6D0BCB88">
      <w:pPr>
        <w:spacing w:line="360" w:lineRule="auto"/>
        <w:jc w:val="center"/>
      </w:pPr>
      <w:r>
        <w:rPr>
          <w:rFonts w:hint="eastAsia"/>
        </w:rPr>
        <w:t>1</w:t>
      </w:r>
      <w:r>
        <w:rPr>
          <w:rFonts w:hint="eastAsia"/>
          <w:lang w:eastAsia="zh-CN"/>
        </w:rPr>
        <w:t>——</w:t>
      </w:r>
      <w:r>
        <w:rPr>
          <w:rFonts w:hint="eastAsia"/>
        </w:rPr>
        <w:t>预制墙体；2</w:t>
      </w:r>
      <w:r>
        <w:rPr>
          <w:rFonts w:hint="eastAsia"/>
          <w:lang w:eastAsia="zh-CN"/>
        </w:rPr>
        <w:t>——</w:t>
      </w:r>
      <w:r>
        <w:rPr>
          <w:rFonts w:hint="eastAsia"/>
        </w:rPr>
        <w:t>保温层；3</w:t>
      </w:r>
      <w:r>
        <w:rPr>
          <w:rFonts w:hint="eastAsia"/>
          <w:lang w:eastAsia="zh-CN"/>
        </w:rPr>
        <w:t>——</w:t>
      </w:r>
      <w:r>
        <w:rPr>
          <w:rFonts w:hint="eastAsia"/>
        </w:rPr>
        <w:t>锚固件；4</w:t>
      </w:r>
      <w:r>
        <w:rPr>
          <w:rFonts w:hint="eastAsia"/>
          <w:lang w:eastAsia="zh-CN"/>
        </w:rPr>
        <w:t>——</w:t>
      </w:r>
      <w:r>
        <w:rPr>
          <w:rFonts w:hint="eastAsia"/>
        </w:rPr>
        <w:t>抹面层；5</w:t>
      </w:r>
      <w:r>
        <w:rPr>
          <w:rFonts w:hint="eastAsia"/>
          <w:lang w:eastAsia="zh-CN"/>
        </w:rPr>
        <w:t>——</w:t>
      </w:r>
      <w:r>
        <w:rPr>
          <w:rFonts w:hint="eastAsia"/>
        </w:rPr>
        <w:t>饰面层；6</w:t>
      </w:r>
      <w:r>
        <w:rPr>
          <w:rFonts w:hint="eastAsia"/>
          <w:lang w:eastAsia="zh-CN"/>
        </w:rPr>
        <w:t>——</w:t>
      </w:r>
      <w:r>
        <w:rPr>
          <w:rFonts w:hint="eastAsia"/>
        </w:rPr>
        <w:t>预制楼板；7</w:t>
      </w:r>
      <w:r>
        <w:rPr>
          <w:rFonts w:hint="eastAsia"/>
          <w:lang w:eastAsia="zh-CN"/>
        </w:rPr>
        <w:t>——</w:t>
      </w:r>
      <w:r>
        <w:rPr>
          <w:rFonts w:hint="eastAsia"/>
        </w:rPr>
        <w:t>现浇混凝土；8</w:t>
      </w:r>
      <w:r>
        <w:rPr>
          <w:rFonts w:hint="eastAsia"/>
          <w:lang w:eastAsia="zh-CN"/>
        </w:rPr>
        <w:t>——</w:t>
      </w:r>
      <w:r>
        <w:rPr>
          <w:rFonts w:hint="eastAsia"/>
        </w:rPr>
        <w:t>滴水线；9</w:t>
      </w:r>
      <w:r>
        <w:rPr>
          <w:rFonts w:hint="eastAsia"/>
          <w:lang w:eastAsia="zh-CN"/>
        </w:rPr>
        <w:t>——</w:t>
      </w:r>
      <w:r>
        <w:rPr>
          <w:rFonts w:hint="eastAsia"/>
        </w:rPr>
        <w:t>防水层</w:t>
      </w:r>
    </w:p>
    <w:p w14:paraId="254AE679">
      <w:pPr>
        <w:spacing w:line="360" w:lineRule="auto"/>
        <w:rPr>
          <w:rFonts w:ascii="宋体" w:hAnsi="宋体" w:cs="宋体"/>
          <w:sz w:val="24"/>
        </w:rPr>
      </w:pPr>
      <w:r>
        <w:rPr>
          <w:b/>
          <w:sz w:val="24"/>
        </w:rPr>
        <w:t>5.</w:t>
      </w:r>
      <w:r>
        <w:rPr>
          <w:rFonts w:hint="eastAsia"/>
          <w:b/>
          <w:sz w:val="24"/>
        </w:rPr>
        <w:t>2</w:t>
      </w:r>
      <w:r>
        <w:rPr>
          <w:b/>
          <w:sz w:val="24"/>
        </w:rPr>
        <w:t>.</w:t>
      </w:r>
      <w:r>
        <w:rPr>
          <w:rFonts w:hint="eastAsia"/>
          <w:b/>
          <w:sz w:val="24"/>
        </w:rPr>
        <w:t>6</w:t>
      </w:r>
      <w:r>
        <w:rPr>
          <w:b/>
          <w:color w:val="FF0000"/>
          <w:sz w:val="24"/>
        </w:rPr>
        <w:t xml:space="preserve">  </w:t>
      </w:r>
      <w:r>
        <w:rPr>
          <w:rFonts w:hint="eastAsia" w:ascii="宋体" w:hAnsi="宋体" w:cs="宋体"/>
          <w:sz w:val="24"/>
        </w:rPr>
        <w:t>集成保温外墙板外墙抹面层中耐碱网布的铺设应符合下列规定：</w:t>
      </w:r>
    </w:p>
    <w:p w14:paraId="24EA5ECC">
      <w:pPr>
        <w:ind w:firstLine="482" w:firstLineChars="200"/>
        <w:rPr>
          <w:rFonts w:hint="eastAsia" w:ascii="宋体" w:hAnsi="宋体" w:eastAsia="宋体" w:cs="宋体"/>
          <w:sz w:val="24"/>
          <w:szCs w:val="24"/>
          <w:lang w:eastAsia="zh-CN"/>
        </w:rPr>
      </w:pPr>
      <w:bookmarkStart w:id="57" w:name="_Toc20997"/>
      <w:r>
        <w:rPr>
          <w:rFonts w:hint="eastAsia" w:ascii="宋体" w:hAnsi="宋体" w:eastAsia="宋体" w:cs="宋体"/>
          <w:b/>
          <w:bCs/>
          <w:sz w:val="24"/>
          <w:szCs w:val="24"/>
        </w:rPr>
        <w:t>1</w:t>
      </w:r>
      <w:r>
        <w:rPr>
          <w:rFonts w:hint="eastAsia" w:ascii="宋体" w:hAnsi="宋体" w:eastAsia="宋体" w:cs="宋体"/>
          <w:sz w:val="24"/>
          <w:szCs w:val="24"/>
        </w:rPr>
        <w:t xml:space="preserve"> 应连续铺设耐碱网布，搭接长度不应小于100mm</w:t>
      </w:r>
      <w:r>
        <w:rPr>
          <w:rFonts w:hint="eastAsia" w:ascii="宋体" w:hAnsi="宋体" w:eastAsia="宋体" w:cs="宋体"/>
          <w:sz w:val="24"/>
          <w:szCs w:val="24"/>
          <w:lang w:eastAsia="zh-CN"/>
        </w:rPr>
        <w:t>；</w:t>
      </w:r>
      <w:bookmarkEnd w:id="57"/>
    </w:p>
    <w:p w14:paraId="56CFA43C">
      <w:pPr>
        <w:spacing w:line="360" w:lineRule="auto"/>
        <w:ind w:firstLine="482" w:firstLineChars="200"/>
        <w:rPr>
          <w:rFonts w:hint="eastAsia" w:ascii="宋体" w:hAnsi="宋体" w:eastAsia="宋体" w:cs="宋体"/>
          <w:sz w:val="24"/>
          <w:lang w:eastAsia="zh-CN"/>
        </w:rPr>
      </w:pPr>
      <w:r>
        <w:rPr>
          <w:rFonts w:hint="eastAsia" w:ascii="宋体" w:hAnsi="宋体" w:cs="宋体"/>
          <w:b/>
          <w:bCs/>
          <w:sz w:val="24"/>
        </w:rPr>
        <w:t>2</w:t>
      </w:r>
      <w:r>
        <w:rPr>
          <w:rFonts w:hint="eastAsia" w:ascii="宋体" w:hAnsi="宋体" w:cs="宋体"/>
          <w:sz w:val="24"/>
        </w:rPr>
        <w:t xml:space="preserve"> 外墙阴阳角处耐碱网布应交错搭接，搭接宽度不应小于200mm</w:t>
      </w:r>
      <w:r>
        <w:rPr>
          <w:rFonts w:hint="eastAsia" w:ascii="宋体" w:hAnsi="宋体" w:cs="宋体"/>
          <w:sz w:val="24"/>
          <w:lang w:eastAsia="zh-CN"/>
        </w:rPr>
        <w:t>；</w:t>
      </w:r>
    </w:p>
    <w:p w14:paraId="38108C82">
      <w:pPr>
        <w:spacing w:line="360" w:lineRule="auto"/>
        <w:ind w:firstLine="482" w:firstLineChars="200"/>
        <w:rPr>
          <w:rFonts w:hint="eastAsia" w:ascii="宋体" w:hAnsi="宋体" w:eastAsia="宋体" w:cs="宋体"/>
          <w:sz w:val="24"/>
          <w:lang w:eastAsia="zh-CN"/>
        </w:rPr>
      </w:pPr>
      <w:r>
        <w:rPr>
          <w:rFonts w:hint="eastAsia" w:ascii="宋体" w:hAnsi="宋体" w:cs="宋体"/>
          <w:b/>
          <w:bCs/>
          <w:sz w:val="24"/>
        </w:rPr>
        <w:t>3</w:t>
      </w:r>
      <w:r>
        <w:rPr>
          <w:rFonts w:hint="eastAsia" w:ascii="宋体" w:hAnsi="宋体" w:cs="宋体"/>
          <w:b/>
          <w:bCs/>
          <w:sz w:val="24"/>
          <w:lang w:val="en-US" w:eastAsia="zh-CN"/>
        </w:rPr>
        <w:t xml:space="preserve"> </w:t>
      </w:r>
      <w:r>
        <w:rPr>
          <w:rFonts w:hint="eastAsia" w:ascii="宋体" w:hAnsi="宋体" w:cs="宋体"/>
          <w:sz w:val="24"/>
        </w:rPr>
        <w:t>现浇段保温板与预制保温墙板密拼交接处周边150mm宽的范围内，应附加1层玻纤网</w:t>
      </w:r>
      <w:r>
        <w:rPr>
          <w:rFonts w:hint="eastAsia" w:ascii="宋体" w:hAnsi="宋体" w:cs="宋体"/>
          <w:sz w:val="24"/>
          <w:lang w:eastAsia="zh-CN"/>
        </w:rPr>
        <w:t>；</w:t>
      </w:r>
    </w:p>
    <w:p w14:paraId="2BE8D4FB">
      <w:pPr>
        <w:spacing w:line="360" w:lineRule="auto"/>
        <w:ind w:firstLine="482" w:firstLineChars="200"/>
        <w:rPr>
          <w:rFonts w:ascii="宋体" w:hAnsi="宋体" w:cs="宋体"/>
          <w:sz w:val="24"/>
        </w:rPr>
      </w:pPr>
      <w:r>
        <w:rPr>
          <w:rFonts w:hint="eastAsia" w:ascii="宋体" w:hAnsi="宋体" w:cs="宋体"/>
          <w:b/>
          <w:bCs/>
          <w:sz w:val="24"/>
        </w:rPr>
        <w:t>4</w:t>
      </w:r>
      <w:r>
        <w:rPr>
          <w:rFonts w:hint="eastAsia" w:ascii="宋体" w:hAnsi="宋体" w:cs="宋体"/>
          <w:sz w:val="24"/>
        </w:rPr>
        <w:t xml:space="preserve"> 门窗洞口周边应附加一层耐碱网布，耐碱网布的搭接宽度不应小于200mm；门窗洞口角部45°方向应加贴小块耐碱网布，尺寸不应小于300 mm×400 mm。</w:t>
      </w:r>
    </w:p>
    <w:p w14:paraId="6C8B48E8">
      <w:pPr>
        <w:spacing w:line="360" w:lineRule="auto"/>
        <w:rPr>
          <w:rFonts w:ascii="宋体" w:hAnsi="宋体" w:cs="宋体"/>
          <w:sz w:val="24"/>
        </w:rPr>
      </w:pPr>
      <w:r>
        <w:rPr>
          <w:rFonts w:hint="eastAsia"/>
          <w:b/>
          <w:bCs/>
          <w:sz w:val="24"/>
        </w:rPr>
        <w:t>5.2.7</w:t>
      </w:r>
      <w:r>
        <w:rPr>
          <w:rFonts w:hint="eastAsia" w:ascii="宋体" w:hAnsi="宋体" w:cs="宋体"/>
          <w:sz w:val="24"/>
        </w:rPr>
        <w:t xml:space="preserve">  集成保温外墙板上的门窗框可采取预埋或预留门窗洞方式。当窗框采取预埋方式时，窗框应在工厂与预制外墙整体成型。当窗框采取预留门窗洞方式时，应按照现行行业标准的相关内容保证外窗与墙体连接部位的防水性和气密性。</w:t>
      </w:r>
    </w:p>
    <w:p w14:paraId="3C804957">
      <w:pPr>
        <w:spacing w:line="360" w:lineRule="auto"/>
      </w:pPr>
      <w:r>
        <w:rPr>
          <w:rFonts w:hint="eastAsia"/>
        </w:rPr>
        <w:t xml:space="preserve"> </w:t>
      </w:r>
      <w:r>
        <w:drawing>
          <wp:inline distT="0" distB="0" distL="114300" distR="114300">
            <wp:extent cx="2491740" cy="2399665"/>
            <wp:effectExtent l="0" t="0" r="3810" b="635"/>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15"/>
                    <a:stretch>
                      <a:fillRect/>
                    </a:stretch>
                  </pic:blipFill>
                  <pic:spPr>
                    <a:xfrm>
                      <a:off x="0" y="0"/>
                      <a:ext cx="2491740" cy="2399665"/>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2289810" cy="2141220"/>
            <wp:effectExtent l="0" t="0" r="15240" b="1143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16"/>
                    <a:stretch>
                      <a:fillRect/>
                    </a:stretch>
                  </pic:blipFill>
                  <pic:spPr>
                    <a:xfrm>
                      <a:off x="0" y="0"/>
                      <a:ext cx="2289810" cy="2141220"/>
                    </a:xfrm>
                    <a:prstGeom prst="rect">
                      <a:avLst/>
                    </a:prstGeom>
                    <a:noFill/>
                    <a:ln>
                      <a:noFill/>
                    </a:ln>
                  </pic:spPr>
                </pic:pic>
              </a:graphicData>
            </a:graphic>
          </wp:inline>
        </w:drawing>
      </w:r>
    </w:p>
    <w:p w14:paraId="598E825D">
      <w:pPr>
        <w:numPr>
          <w:ilvl w:val="0"/>
          <w:numId w:val="0"/>
        </w:numPr>
        <w:spacing w:line="360" w:lineRule="auto"/>
        <w:jc w:val="center"/>
        <w:rPr>
          <w:rFonts w:hint="eastAsia" w:eastAsia="宋体"/>
          <w:lang w:val="en-US" w:eastAsia="zh-CN"/>
        </w:rPr>
      </w:pPr>
      <w:r>
        <w:rPr>
          <w:rFonts w:hint="eastAsia" w:ascii="Times New Roman" w:hAnsi="Times New Roman" w:eastAsia="宋体" w:cs="Times New Roman"/>
          <w:kern w:val="2"/>
          <w:sz w:val="21"/>
          <w:szCs w:val="24"/>
          <w:lang w:val="en-US" w:eastAsia="zh-CN" w:bidi="ar-SA"/>
        </w:rPr>
        <w:t>（a）</w:t>
      </w:r>
      <w:r>
        <w:rPr>
          <w:rFonts w:hint="eastAsia"/>
          <w:lang w:val="en-US" w:eastAsia="zh-CN"/>
        </w:rPr>
        <w:t xml:space="preserve">                                </w:t>
      </w:r>
      <w:r>
        <w:rPr>
          <w:rFonts w:hint="eastAsia"/>
          <w:lang w:eastAsia="zh-CN"/>
        </w:rPr>
        <w:t>（</w:t>
      </w:r>
      <w:r>
        <w:rPr>
          <w:rFonts w:hint="eastAsia"/>
          <w:lang w:val="en-US" w:eastAsia="zh-CN"/>
        </w:rPr>
        <w:t>b</w:t>
      </w:r>
      <w:r>
        <w:rPr>
          <w:rFonts w:hint="eastAsia"/>
          <w:lang w:eastAsia="zh-CN"/>
        </w:rPr>
        <w:t>）</w:t>
      </w:r>
    </w:p>
    <w:p w14:paraId="320F5308">
      <w:pPr>
        <w:spacing w:line="360" w:lineRule="auto"/>
        <w:jc w:val="center"/>
      </w:pPr>
      <w:r>
        <w:drawing>
          <wp:inline distT="0" distB="0" distL="114300" distR="114300">
            <wp:extent cx="2946400" cy="2701290"/>
            <wp:effectExtent l="0" t="0" r="6350" b="381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7"/>
                    <a:stretch>
                      <a:fillRect/>
                    </a:stretch>
                  </pic:blipFill>
                  <pic:spPr>
                    <a:xfrm>
                      <a:off x="0" y="0"/>
                      <a:ext cx="2946400" cy="2701290"/>
                    </a:xfrm>
                    <a:prstGeom prst="rect">
                      <a:avLst/>
                    </a:prstGeom>
                    <a:noFill/>
                    <a:ln>
                      <a:noFill/>
                    </a:ln>
                  </pic:spPr>
                </pic:pic>
              </a:graphicData>
            </a:graphic>
          </wp:inline>
        </w:drawing>
      </w:r>
    </w:p>
    <w:p w14:paraId="4044AA94">
      <w:pPr>
        <w:jc w:val="center"/>
        <w:rPr>
          <w:rFonts w:hint="eastAsia"/>
          <w:lang w:eastAsia="zh-CN"/>
        </w:rPr>
      </w:pPr>
      <w:bookmarkStart w:id="58" w:name="_Toc31075"/>
      <w:r>
        <w:rPr>
          <w:rFonts w:hint="eastAsia"/>
          <w:lang w:eastAsia="zh-CN"/>
        </w:rPr>
        <w:t>（</w:t>
      </w:r>
      <w:r>
        <w:rPr>
          <w:rFonts w:hint="eastAsia"/>
          <w:lang w:val="en-US" w:eastAsia="zh-CN"/>
        </w:rPr>
        <w:t>c</w:t>
      </w:r>
      <w:r>
        <w:rPr>
          <w:rFonts w:hint="eastAsia"/>
          <w:lang w:eastAsia="zh-CN"/>
        </w:rPr>
        <w:t>）</w:t>
      </w:r>
      <w:bookmarkEnd w:id="58"/>
    </w:p>
    <w:p w14:paraId="5EEE1C40">
      <w:pPr>
        <w:spacing w:line="360" w:lineRule="auto"/>
        <w:jc w:val="center"/>
        <w:rPr>
          <w:rFonts w:hint="eastAsia" w:ascii="宋体" w:hAnsi="宋体" w:cs="宋体"/>
          <w:sz w:val="24"/>
        </w:rPr>
      </w:pPr>
      <w:r>
        <w:rPr>
          <w:rFonts w:hint="eastAsia" w:ascii="宋体" w:hAnsi="宋体" w:cs="宋体"/>
          <w:sz w:val="24"/>
        </w:rPr>
        <w:t>图5.2.7 外窗设计构造示意图</w:t>
      </w:r>
    </w:p>
    <w:p w14:paraId="197818CB">
      <w:pPr>
        <w:spacing w:line="360" w:lineRule="auto"/>
        <w:jc w:val="center"/>
      </w:pPr>
      <w:r>
        <w:rPr>
          <w:rFonts w:hint="eastAsia"/>
        </w:rPr>
        <w:t>1</w:t>
      </w:r>
      <w:r>
        <w:rPr>
          <w:rFonts w:hint="eastAsia"/>
          <w:lang w:eastAsia="zh-CN"/>
        </w:rPr>
        <w:t>——</w:t>
      </w:r>
      <w:r>
        <w:rPr>
          <w:rFonts w:hint="eastAsia"/>
        </w:rPr>
        <w:t>预制墙体；2</w:t>
      </w:r>
      <w:r>
        <w:rPr>
          <w:rFonts w:hint="eastAsia"/>
          <w:lang w:eastAsia="zh-CN"/>
        </w:rPr>
        <w:t>——</w:t>
      </w:r>
      <w:r>
        <w:rPr>
          <w:rFonts w:hint="eastAsia"/>
        </w:rPr>
        <w:t>保温层；3</w:t>
      </w:r>
      <w:r>
        <w:rPr>
          <w:rFonts w:hint="eastAsia"/>
          <w:lang w:eastAsia="zh-CN"/>
        </w:rPr>
        <w:t>——</w:t>
      </w:r>
      <w:r>
        <w:rPr>
          <w:rFonts w:hint="eastAsia"/>
        </w:rPr>
        <w:t>锚固件；4</w:t>
      </w:r>
      <w:r>
        <w:rPr>
          <w:rFonts w:hint="eastAsia"/>
          <w:lang w:eastAsia="zh-CN"/>
        </w:rPr>
        <w:t>——</w:t>
      </w:r>
      <w:r>
        <w:rPr>
          <w:rFonts w:hint="eastAsia"/>
        </w:rPr>
        <w:t>防护层；5</w:t>
      </w:r>
      <w:r>
        <w:rPr>
          <w:rFonts w:hint="eastAsia"/>
          <w:lang w:eastAsia="zh-CN"/>
        </w:rPr>
        <w:t>——</w:t>
      </w:r>
      <w:r>
        <w:rPr>
          <w:rFonts w:hint="eastAsia"/>
        </w:rPr>
        <w:t>预埋窗附框；6</w:t>
      </w:r>
      <w:r>
        <w:rPr>
          <w:rFonts w:hint="eastAsia"/>
          <w:lang w:eastAsia="zh-CN"/>
        </w:rPr>
        <w:t>——</w:t>
      </w:r>
      <w:r>
        <w:rPr>
          <w:rFonts w:hint="eastAsia"/>
        </w:rPr>
        <w:t>窗框；7</w:t>
      </w:r>
      <w:r>
        <w:rPr>
          <w:rFonts w:hint="eastAsia"/>
          <w:lang w:eastAsia="zh-CN"/>
        </w:rPr>
        <w:t>——</w:t>
      </w:r>
      <w:r>
        <w:rPr>
          <w:rFonts w:hint="eastAsia"/>
        </w:rPr>
        <w:t>密封胶；8</w:t>
      </w:r>
      <w:r>
        <w:rPr>
          <w:rFonts w:hint="eastAsia"/>
          <w:lang w:eastAsia="zh-CN"/>
        </w:rPr>
        <w:t>——</w:t>
      </w:r>
      <w:r>
        <w:rPr>
          <w:rFonts w:hint="eastAsia"/>
        </w:rPr>
        <w:t>阳台排水板</w:t>
      </w:r>
    </w:p>
    <w:p w14:paraId="12AF0773">
      <w:pPr>
        <w:spacing w:line="360" w:lineRule="auto"/>
        <w:jc w:val="center"/>
        <w:rPr>
          <w:rFonts w:ascii="宋体" w:hAnsi="宋体" w:cs="宋体"/>
          <w:sz w:val="24"/>
        </w:rPr>
      </w:pPr>
    </w:p>
    <w:p w14:paraId="011E9D97">
      <w:pPr>
        <w:spacing w:line="360" w:lineRule="auto"/>
        <w:rPr>
          <w:rFonts w:ascii="宋体" w:hAnsi="宋体" w:cs="宋体"/>
          <w:sz w:val="24"/>
        </w:rPr>
      </w:pPr>
      <w:r>
        <w:rPr>
          <w:rFonts w:hint="eastAsia"/>
          <w:b/>
          <w:bCs/>
          <w:sz w:val="24"/>
        </w:rPr>
        <w:t>5.2.8</w:t>
      </w:r>
      <w:r>
        <w:rPr>
          <w:rFonts w:hint="eastAsia" w:ascii="宋体" w:hAnsi="宋体" w:cs="宋体"/>
          <w:sz w:val="24"/>
        </w:rPr>
        <w:t xml:space="preserve">  集成保温外墙板之间，及其与各种建筑部品部件之间的接缝应根据不同部位的接缝特点和使用环境要求做防水处理。接缝密封防水设计应包含水平接缝、竖向接缝、门窗洞口、穿墙孔洞等部位的密封防水设计。</w:t>
      </w:r>
    </w:p>
    <w:p w14:paraId="7ADE7215">
      <w:pPr>
        <w:pStyle w:val="2"/>
        <w:spacing w:line="360" w:lineRule="auto"/>
        <w:jc w:val="center"/>
        <w:rPr>
          <w:b/>
          <w:bCs/>
          <w:sz w:val="24"/>
        </w:rPr>
      </w:pPr>
      <w:r>
        <w:drawing>
          <wp:inline distT="0" distB="0" distL="114300" distR="114300">
            <wp:extent cx="2834640" cy="3328035"/>
            <wp:effectExtent l="0" t="0" r="3810" b="571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8"/>
                    <a:stretch>
                      <a:fillRect/>
                    </a:stretch>
                  </pic:blipFill>
                  <pic:spPr>
                    <a:xfrm>
                      <a:off x="0" y="0"/>
                      <a:ext cx="2834640" cy="3328035"/>
                    </a:xfrm>
                    <a:prstGeom prst="rect">
                      <a:avLst/>
                    </a:prstGeom>
                    <a:noFill/>
                    <a:ln>
                      <a:noFill/>
                    </a:ln>
                  </pic:spPr>
                </pic:pic>
              </a:graphicData>
            </a:graphic>
          </wp:inline>
        </w:drawing>
      </w:r>
    </w:p>
    <w:p w14:paraId="6CEC0AF1">
      <w:pPr>
        <w:spacing w:line="360" w:lineRule="auto"/>
        <w:ind w:firstLine="360" w:firstLineChars="150"/>
        <w:jc w:val="center"/>
      </w:pPr>
      <w:r>
        <w:rPr>
          <w:rFonts w:hint="eastAsia"/>
          <w:sz w:val="24"/>
        </w:rPr>
        <w:t>图 5.2.8 洞口构造示意图</w:t>
      </w:r>
    </w:p>
    <w:p w14:paraId="45717993">
      <w:pPr>
        <w:spacing w:line="360" w:lineRule="auto"/>
        <w:ind w:firstLine="315" w:firstLineChars="150"/>
        <w:jc w:val="center"/>
        <w:rPr>
          <w:sz w:val="24"/>
        </w:rPr>
      </w:pPr>
      <w:r>
        <w:rPr>
          <w:rFonts w:hint="eastAsia"/>
        </w:rPr>
        <w:t>1</w:t>
      </w:r>
      <w:r>
        <w:rPr>
          <w:rFonts w:hint="eastAsia"/>
          <w:lang w:eastAsia="zh-CN"/>
        </w:rPr>
        <w:t>——</w:t>
      </w:r>
      <w:r>
        <w:rPr>
          <w:rFonts w:hint="eastAsia"/>
        </w:rPr>
        <w:t>预制墙体；2</w:t>
      </w:r>
      <w:r>
        <w:rPr>
          <w:rFonts w:hint="eastAsia"/>
          <w:lang w:eastAsia="zh-CN"/>
        </w:rPr>
        <w:t>——</w:t>
      </w:r>
      <w:r>
        <w:rPr>
          <w:rFonts w:hint="eastAsia"/>
        </w:rPr>
        <w:t>保温层；3</w:t>
      </w:r>
      <w:r>
        <w:rPr>
          <w:rFonts w:hint="eastAsia"/>
          <w:lang w:eastAsia="zh-CN"/>
        </w:rPr>
        <w:t>——</w:t>
      </w:r>
      <w:r>
        <w:rPr>
          <w:rFonts w:hint="eastAsia"/>
        </w:rPr>
        <w:t>锚固件；4</w:t>
      </w:r>
      <w:r>
        <w:rPr>
          <w:rFonts w:hint="eastAsia"/>
          <w:lang w:eastAsia="zh-CN"/>
        </w:rPr>
        <w:t>——</w:t>
      </w:r>
      <w:r>
        <w:rPr>
          <w:rFonts w:hint="eastAsia"/>
        </w:rPr>
        <w:t>抹面层层；5</w:t>
      </w:r>
      <w:r>
        <w:rPr>
          <w:rFonts w:hint="eastAsia"/>
          <w:lang w:eastAsia="zh-CN"/>
        </w:rPr>
        <w:t>——</w:t>
      </w:r>
      <w:r>
        <w:rPr>
          <w:rFonts w:hint="eastAsia"/>
        </w:rPr>
        <w:t>饰面层；6</w:t>
      </w:r>
      <w:r>
        <w:rPr>
          <w:rFonts w:hint="eastAsia"/>
          <w:lang w:eastAsia="zh-CN"/>
        </w:rPr>
        <w:t>——</w:t>
      </w:r>
      <w:r>
        <w:rPr>
          <w:rFonts w:hint="eastAsia"/>
        </w:rPr>
        <w:t>密封胶；7</w:t>
      </w:r>
      <w:r>
        <w:rPr>
          <w:rFonts w:hint="eastAsia"/>
          <w:lang w:eastAsia="zh-CN"/>
        </w:rPr>
        <w:t>——</w:t>
      </w:r>
      <w:r>
        <w:rPr>
          <w:rFonts w:hint="eastAsia"/>
        </w:rPr>
        <w:t>穿墙管道；8</w:t>
      </w:r>
      <w:r>
        <w:rPr>
          <w:rFonts w:hint="eastAsia"/>
          <w:lang w:eastAsia="zh-CN"/>
        </w:rPr>
        <w:t>——</w:t>
      </w:r>
      <w:r>
        <w:rPr>
          <w:rFonts w:hint="eastAsia"/>
        </w:rPr>
        <w:t>保温材料；9</w:t>
      </w:r>
      <w:r>
        <w:rPr>
          <w:rFonts w:hint="eastAsia"/>
          <w:lang w:eastAsia="zh-CN"/>
        </w:rPr>
        <w:t>——</w:t>
      </w:r>
      <w:r>
        <w:rPr>
          <w:rFonts w:hint="eastAsia"/>
        </w:rPr>
        <w:t>预埋套管</w:t>
      </w:r>
    </w:p>
    <w:p w14:paraId="2FDD514C">
      <w:pPr>
        <w:spacing w:line="360" w:lineRule="auto"/>
        <w:rPr>
          <w:rFonts w:ascii="宋体" w:hAnsi="宋体" w:cs="宋体"/>
          <w:sz w:val="24"/>
        </w:rPr>
      </w:pPr>
      <w:r>
        <w:rPr>
          <w:rFonts w:hint="eastAsia"/>
          <w:b/>
          <w:bCs/>
          <w:sz w:val="24"/>
        </w:rPr>
        <w:t>5.2.9</w:t>
      </w:r>
      <w:r>
        <w:rPr>
          <w:rFonts w:hint="eastAsia" w:ascii="宋体" w:hAnsi="宋体" w:cs="宋体"/>
          <w:sz w:val="24"/>
        </w:rPr>
        <w:t xml:space="preserve">  </w:t>
      </w:r>
      <w:r>
        <w:rPr>
          <w:rFonts w:hint="eastAsia" w:ascii="宋体" w:hAnsi="宋体" w:cs="宋体"/>
          <w:color w:val="000000"/>
          <w:sz w:val="24"/>
        </w:rPr>
        <w:t>集成保温外墙板</w:t>
      </w:r>
      <w:r>
        <w:rPr>
          <w:rFonts w:hint="eastAsia" w:ascii="宋体" w:hAnsi="宋体" w:cs="宋体"/>
          <w:sz w:val="24"/>
        </w:rPr>
        <w:t>的保温材料厚度应通过热工计算确定，计算方法应符合现行国家标准《民用建筑热工设计规范》GB 50176的规定。</w:t>
      </w:r>
    </w:p>
    <w:p w14:paraId="1AB4BD9E">
      <w:pPr>
        <w:pStyle w:val="2"/>
        <w:spacing w:after="0" w:line="360" w:lineRule="auto"/>
        <w:rPr>
          <w:rFonts w:ascii="宋体" w:hAnsi="宋体" w:cs="宋体"/>
          <w:color w:val="2414F4"/>
          <w:sz w:val="24"/>
          <w:u w:val="single"/>
        </w:rPr>
      </w:pPr>
      <w:r>
        <w:rPr>
          <w:rFonts w:hint="eastAsia" w:ascii="宋体" w:hAnsi="宋体" w:cs="宋体"/>
          <w:color w:val="2414F4"/>
          <w:sz w:val="24"/>
          <w:u w:val="single"/>
        </w:rPr>
        <w:t>【条文说明】</w:t>
      </w:r>
      <w:r>
        <w:rPr>
          <w:rFonts w:hint="eastAsia" w:ascii="宋体" w:hAnsi="宋体" w:cs="宋体"/>
          <w:color w:val="0000FF"/>
          <w:sz w:val="24"/>
          <w:u w:val="single"/>
        </w:rPr>
        <w:t>集成保温外墙板</w:t>
      </w:r>
      <w:r>
        <w:rPr>
          <w:rFonts w:hint="eastAsia" w:ascii="宋体" w:hAnsi="宋体" w:cs="宋体"/>
          <w:color w:val="2414F4"/>
          <w:sz w:val="24"/>
          <w:u w:val="single"/>
        </w:rPr>
        <w:t>的保温、隔热性能应符合现行国家标准《民用建筑热工设计规范》GB 50176、《公共建筑节能设计标准》GB 50189的有关规定。用于居住建筑的外围墙体的保温、隔热性能应符合现行行业标准《夏热冬冷地区居住建筑节能设计标准》JGJ134的有关规定。</w:t>
      </w:r>
    </w:p>
    <w:p w14:paraId="22F92072">
      <w:pPr>
        <w:spacing w:line="360" w:lineRule="auto"/>
        <w:rPr>
          <w:b/>
          <w:bCs/>
          <w:sz w:val="24"/>
        </w:rPr>
      </w:pPr>
      <w:r>
        <w:rPr>
          <w:rFonts w:hint="eastAsia"/>
          <w:b/>
          <w:bCs/>
          <w:sz w:val="24"/>
        </w:rPr>
        <w:t>5.2.10</w:t>
      </w:r>
      <w:r>
        <w:rPr>
          <w:rFonts w:hint="eastAsia" w:ascii="宋体" w:hAnsi="宋体" w:cs="宋体"/>
          <w:sz w:val="24"/>
        </w:rPr>
        <w:t xml:space="preserve">  预制集成外保温墙板的保温板厚度应满足节能设计要求，</w:t>
      </w:r>
      <w:r>
        <w:rPr>
          <w:rFonts w:hint="eastAsia" w:ascii="宋体" w:hAnsi="宋体" w:cs="宋体"/>
          <w:strike w:val="0"/>
          <w:dstrike w:val="0"/>
          <w:color w:val="000000" w:themeColor="text1"/>
          <w:sz w:val="24"/>
          <w14:textFill>
            <w14:solidFill>
              <w14:schemeClr w14:val="tx1"/>
            </w14:solidFill>
          </w14:textFill>
        </w:rPr>
        <w:t>不宜小于30mm，</w:t>
      </w:r>
      <w:r>
        <w:rPr>
          <w:rFonts w:hint="eastAsia" w:ascii="宋体" w:hAnsi="宋体" w:cs="宋体"/>
          <w:sz w:val="24"/>
        </w:rPr>
        <w:t>不宜大于100mm。当保温层厚度超过100mm时，应有计算依据，并补充附加支撑构造。</w:t>
      </w:r>
    </w:p>
    <w:p w14:paraId="7E9CBCE4">
      <w:pPr>
        <w:spacing w:line="360" w:lineRule="auto"/>
        <w:rPr>
          <w:rFonts w:hint="eastAsia" w:ascii="宋体" w:hAnsi="宋体" w:cs="宋体"/>
          <w:sz w:val="24"/>
          <w:lang w:val="en-US" w:eastAsia="zh-CN"/>
        </w:rPr>
      </w:pPr>
      <w:bookmarkStart w:id="59" w:name="_Toc16677"/>
      <w:r>
        <w:rPr>
          <w:rFonts w:hint="eastAsia"/>
          <w:b/>
          <w:bCs/>
          <w:sz w:val="24"/>
          <w:lang w:val="en-US" w:eastAsia="zh-CN"/>
        </w:rPr>
        <w:t>5.2.11</w:t>
      </w:r>
      <w:r>
        <w:rPr>
          <w:rFonts w:hint="eastAsia" w:ascii="宋体" w:hAnsi="宋体" w:cs="宋体"/>
          <w:sz w:val="24"/>
          <w:lang w:val="en-US" w:eastAsia="zh-CN"/>
        </w:rPr>
        <w:t xml:space="preserve">  热桥部位的处理，应符合下列规定：</w:t>
      </w:r>
      <w:bookmarkEnd w:id="59"/>
    </w:p>
    <w:p w14:paraId="0D33D565">
      <w:pPr>
        <w:spacing w:line="360" w:lineRule="auto"/>
        <w:rPr>
          <w:rFonts w:hint="eastAsia" w:ascii="宋体" w:hAnsi="宋体" w:cs="宋体"/>
          <w:sz w:val="24"/>
        </w:rPr>
      </w:pP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 xml:space="preserve">  </w:t>
      </w:r>
      <w:bookmarkStart w:id="60" w:name="_Toc10241"/>
      <w:r>
        <w:rPr>
          <w:rFonts w:hint="eastAsia"/>
          <w:b/>
          <w:bCs/>
          <w:sz w:val="24"/>
        </w:rPr>
        <w:t xml:space="preserve">1 </w:t>
      </w:r>
      <w:r>
        <w:rPr>
          <w:rFonts w:hint="eastAsia" w:ascii="宋体" w:hAnsi="宋体" w:cs="宋体"/>
          <w:sz w:val="24"/>
        </w:rPr>
        <w:t xml:space="preserve"> 宜提高热桥部位的热阻；</w:t>
      </w:r>
      <w:bookmarkEnd w:id="60"/>
    </w:p>
    <w:p w14:paraId="0B7B707E">
      <w:pPr>
        <w:pStyle w:val="2"/>
        <w:spacing w:after="0" w:line="360" w:lineRule="auto"/>
        <w:rPr>
          <w:rFonts w:ascii="宋体" w:hAnsi="宋体" w:cs="宋体"/>
          <w:sz w:val="24"/>
        </w:rPr>
      </w:pP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 xml:space="preserve"> </w:t>
      </w:r>
      <w:r>
        <w:rPr>
          <w:rFonts w:hint="eastAsia"/>
          <w:b/>
          <w:bCs/>
          <w:sz w:val="24"/>
        </w:rPr>
        <w:t>2</w:t>
      </w:r>
      <w:r>
        <w:rPr>
          <w:rFonts w:hint="eastAsia" w:ascii="宋体" w:hAnsi="宋体" w:cs="宋体"/>
          <w:sz w:val="24"/>
        </w:rPr>
        <w:t xml:space="preserve">  墙板采用内嵌式连接时，外露主体结构的保温和墙板应采取保温连续措施；</w:t>
      </w:r>
    </w:p>
    <w:p w14:paraId="28DFE15E">
      <w:pPr>
        <w:spacing w:line="360" w:lineRule="auto"/>
        <w:rPr>
          <w:rFonts w:ascii="宋体" w:hAnsi="宋体" w:cs="宋体"/>
          <w:sz w:val="24"/>
        </w:rPr>
      </w:pP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 xml:space="preserve">  </w:t>
      </w:r>
      <w:r>
        <w:rPr>
          <w:rFonts w:hint="eastAsia"/>
          <w:b/>
          <w:bCs/>
          <w:sz w:val="24"/>
        </w:rPr>
        <w:t>3</w:t>
      </w:r>
      <w:r>
        <w:rPr>
          <w:rFonts w:hint="eastAsia" w:ascii="宋体" w:hAnsi="宋体" w:cs="宋体"/>
          <w:sz w:val="24"/>
        </w:rPr>
        <w:t xml:space="preserve">  应切断热流通路；</w:t>
      </w:r>
    </w:p>
    <w:p w14:paraId="2EE02FFE">
      <w:pPr>
        <w:pStyle w:val="2"/>
        <w:spacing w:after="0" w:line="360" w:lineRule="auto"/>
        <w:rPr>
          <w:rFonts w:ascii="宋体" w:hAnsi="宋体" w:cs="宋体"/>
          <w:sz w:val="24"/>
        </w:rPr>
      </w:pP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 xml:space="preserve"> </w:t>
      </w:r>
      <w:r>
        <w:rPr>
          <w:rFonts w:hint="eastAsia"/>
          <w:b/>
          <w:bCs/>
          <w:sz w:val="24"/>
        </w:rPr>
        <w:t>4</w:t>
      </w:r>
      <w:r>
        <w:rPr>
          <w:rFonts w:hint="eastAsia" w:ascii="宋体" w:hAnsi="宋体" w:cs="宋体"/>
          <w:sz w:val="24"/>
        </w:rPr>
        <w:t xml:space="preserve">  应减少热桥中低热阻部分的面积；</w:t>
      </w:r>
    </w:p>
    <w:p w14:paraId="6A6FDA71">
      <w:pPr>
        <w:spacing w:line="360" w:lineRule="auto"/>
        <w:rPr>
          <w:rFonts w:ascii="宋体" w:hAnsi="宋体" w:cs="宋体"/>
          <w:sz w:val="24"/>
        </w:rPr>
      </w:pP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 xml:space="preserve"> </w:t>
      </w:r>
      <w:r>
        <w:rPr>
          <w:rFonts w:hint="eastAsia"/>
          <w:b/>
          <w:bCs/>
          <w:sz w:val="24"/>
        </w:rPr>
        <w:t>5</w:t>
      </w:r>
      <w:r>
        <w:rPr>
          <w:rFonts w:hint="eastAsia" w:ascii="宋体" w:hAnsi="宋体" w:cs="宋体"/>
          <w:sz w:val="24"/>
        </w:rPr>
        <w:t xml:space="preserve">  应降低热桥部位内外表面材料的导热系数。</w:t>
      </w:r>
    </w:p>
    <w:p w14:paraId="1D789112">
      <w:pPr>
        <w:pStyle w:val="42"/>
        <w:outlineLvl w:val="9"/>
        <w:rPr>
          <w:rFonts w:ascii="Times New Roman" w:hAnsi="Times New Roman"/>
        </w:rPr>
      </w:pPr>
      <w:r>
        <w:rPr>
          <w:rFonts w:ascii="Times New Roman" w:hAnsi="Times New Roman"/>
          <w:b/>
        </w:rPr>
        <w:t>5.</w:t>
      </w:r>
      <w:r>
        <w:rPr>
          <w:rFonts w:hint="eastAsia" w:ascii="Times New Roman" w:hAnsi="Times New Roman"/>
          <w:b/>
        </w:rPr>
        <w:t>2</w:t>
      </w:r>
      <w:r>
        <w:rPr>
          <w:rFonts w:ascii="Times New Roman" w:hAnsi="Times New Roman"/>
          <w:b/>
        </w:rPr>
        <w:t>.</w:t>
      </w:r>
      <w:r>
        <w:rPr>
          <w:rFonts w:hint="eastAsia" w:ascii="Times New Roman" w:hAnsi="Times New Roman"/>
          <w:b/>
        </w:rPr>
        <w:t>12</w:t>
      </w:r>
      <w:r>
        <w:rPr>
          <w:rFonts w:ascii="Times New Roman" w:hAnsi="Times New Roman"/>
          <w:b/>
        </w:rPr>
        <w:t xml:space="preserve"> </w:t>
      </w:r>
      <w:r>
        <w:rPr>
          <w:rFonts w:hint="eastAsia" w:ascii="Times New Roman" w:hAnsi="Times New Roman"/>
        </w:rPr>
        <w:t>预制集成保温外墙板的燃烧性能和耐火极限应符合现行国家标准《建筑设计防火规范》GB 50016的规定，且应符合现行行业相关标准的规定。</w:t>
      </w:r>
    </w:p>
    <w:p w14:paraId="75A62BEC">
      <w:pPr>
        <w:pStyle w:val="42"/>
        <w:outlineLvl w:val="9"/>
        <w:rPr>
          <w:rFonts w:ascii="Times New Roman" w:hAnsi="Times New Roman"/>
        </w:rPr>
      </w:pPr>
      <w:r>
        <w:rPr>
          <w:rFonts w:ascii="Times New Roman" w:hAnsi="Times New Roman"/>
          <w:b/>
        </w:rPr>
        <w:t>5.</w:t>
      </w:r>
      <w:r>
        <w:rPr>
          <w:rFonts w:hint="eastAsia" w:ascii="Times New Roman" w:hAnsi="Times New Roman"/>
          <w:b/>
        </w:rPr>
        <w:t>2</w:t>
      </w:r>
      <w:r>
        <w:rPr>
          <w:rFonts w:ascii="Times New Roman" w:hAnsi="Times New Roman"/>
          <w:b/>
        </w:rPr>
        <w:t>.</w:t>
      </w:r>
      <w:r>
        <w:rPr>
          <w:rFonts w:hint="eastAsia" w:ascii="Times New Roman" w:hAnsi="Times New Roman"/>
          <w:b/>
        </w:rPr>
        <w:t xml:space="preserve">13 </w:t>
      </w:r>
      <w:r>
        <w:rPr>
          <w:rFonts w:hint="eastAsia" w:ascii="Times New Roman" w:hAnsi="Times New Roman"/>
        </w:rPr>
        <w:t>预制集成保温外墙板接缝及墙板与相邻构件之间的接缝跨越防火分区时，室内一侧的接缝应采用防火封堵材料进行密封。</w:t>
      </w:r>
    </w:p>
    <w:p w14:paraId="68FB9EA4">
      <w:pPr>
        <w:pStyle w:val="42"/>
        <w:outlineLvl w:val="9"/>
        <w:rPr>
          <w:rFonts w:ascii="Times New Roman" w:hAnsi="Times New Roman"/>
        </w:rPr>
      </w:pPr>
      <w:r>
        <w:rPr>
          <w:rFonts w:ascii="Times New Roman" w:hAnsi="Times New Roman"/>
          <w:b/>
        </w:rPr>
        <w:t>5.</w:t>
      </w:r>
      <w:r>
        <w:rPr>
          <w:rFonts w:hint="eastAsia" w:ascii="Times New Roman" w:hAnsi="Times New Roman"/>
          <w:b/>
        </w:rPr>
        <w:t>2</w:t>
      </w:r>
      <w:r>
        <w:rPr>
          <w:rFonts w:ascii="Times New Roman" w:hAnsi="Times New Roman"/>
          <w:b/>
        </w:rPr>
        <w:t>.</w:t>
      </w:r>
      <w:r>
        <w:rPr>
          <w:rFonts w:hint="eastAsia" w:ascii="Times New Roman" w:hAnsi="Times New Roman"/>
          <w:b/>
        </w:rPr>
        <w:t xml:space="preserve">14 </w:t>
      </w:r>
      <w:r>
        <w:rPr>
          <w:rFonts w:hint="eastAsia" w:ascii="Times New Roman" w:hAnsi="Times New Roman"/>
        </w:rPr>
        <w:t>预制集成保温外墙板金属预埋件外露部分应采取防火、防腐等措施，其耐火极限不应低于预制集成保温外墙板的耐火极限，且应符合现行国家、行业相关标准的规定。</w:t>
      </w:r>
    </w:p>
    <w:p w14:paraId="3708ABC3">
      <w:pPr>
        <w:pStyle w:val="4"/>
      </w:pPr>
      <w:bookmarkStart w:id="61" w:name="_Toc26844"/>
      <w:bookmarkStart w:id="62" w:name="_Toc11680"/>
      <w:r>
        <w:t xml:space="preserve">5.3 </w:t>
      </w:r>
      <w:r>
        <w:rPr>
          <w:rFonts w:hint="eastAsia"/>
          <w:lang w:eastAsia="zh-CN"/>
        </w:rPr>
        <w:t>墙板及</w:t>
      </w:r>
      <w:r>
        <w:rPr>
          <w:rFonts w:hint="eastAsia"/>
        </w:rPr>
        <w:t>连接设计</w:t>
      </w:r>
      <w:bookmarkEnd w:id="61"/>
      <w:bookmarkEnd w:id="62"/>
    </w:p>
    <w:p w14:paraId="7786A461">
      <w:pPr>
        <w:spacing w:line="360" w:lineRule="auto"/>
        <w:rPr>
          <w:rFonts w:hint="default" w:ascii="宋体" w:hAnsi="宋体" w:eastAsia="宋体" w:cs="宋体"/>
          <w:sz w:val="24"/>
          <w:lang w:val="en-US" w:eastAsia="zh-CN"/>
        </w:rPr>
      </w:pPr>
      <w:r>
        <w:rPr>
          <w:rFonts w:hint="eastAsia"/>
          <w:b/>
          <w:bCs/>
          <w:sz w:val="24"/>
        </w:rPr>
        <w:t>5.3.1</w:t>
      </w:r>
      <w:r>
        <w:rPr>
          <w:rFonts w:hint="eastAsia" w:ascii="宋体" w:hAnsi="宋体" w:cs="宋体"/>
          <w:sz w:val="24"/>
        </w:rPr>
        <w:t xml:space="preserve">  剪力墙板接缝的正截面承载力应符合现行国家标准《混凝土结构设计规范》GB 50010的规定</w:t>
      </w:r>
      <w:r>
        <w:rPr>
          <w:rFonts w:hint="eastAsia" w:ascii="宋体" w:hAnsi="宋体" w:cs="宋体"/>
          <w:sz w:val="24"/>
          <w:lang w:eastAsia="zh-CN"/>
        </w:rPr>
        <w:t>，接缝的受剪承载力应符合现行行业标准《装配式混凝土结构技术规程》</w:t>
      </w:r>
      <w:r>
        <w:rPr>
          <w:rFonts w:hint="eastAsia" w:ascii="宋体" w:hAnsi="宋体" w:cs="宋体"/>
          <w:sz w:val="24"/>
          <w:lang w:val="en-US" w:eastAsia="zh-CN"/>
        </w:rPr>
        <w:t>JGJ1的有关规定。</w:t>
      </w:r>
    </w:p>
    <w:p w14:paraId="7A7D386A">
      <w:pPr>
        <w:spacing w:line="360" w:lineRule="auto"/>
      </w:pPr>
      <w:r>
        <w:rPr>
          <w:rFonts w:hint="eastAsia"/>
          <w:b/>
          <w:bCs/>
          <w:sz w:val="24"/>
        </w:rPr>
        <w:t>5.3.2</w:t>
      </w:r>
      <w:r>
        <w:rPr>
          <w:rFonts w:hint="eastAsia" w:ascii="宋体" w:hAnsi="宋体" w:cs="宋体"/>
          <w:sz w:val="24"/>
        </w:rPr>
        <w:t xml:space="preserve">  剪力墙板中，竖向钢筋连接宜根据受力特点、施工工艺等要求选用套筒灌浆连接、机械连接、浆锚搭接连接、焊接连接、绑扎搭接连接等连接方式，并应符合现行国家</w:t>
      </w:r>
      <w:r>
        <w:rPr>
          <w:rFonts w:hint="eastAsia" w:ascii="宋体" w:hAnsi="宋体" w:cs="宋体"/>
          <w:color w:val="000000" w:themeColor="text1"/>
          <w:sz w:val="24"/>
          <w14:textFill>
            <w14:solidFill>
              <w14:schemeClr w14:val="tx1"/>
            </w14:solidFill>
          </w14:textFill>
        </w:rPr>
        <w:t>标准《装配式混凝土建筑技术标准》GB/T 51231的</w:t>
      </w:r>
      <w:r>
        <w:rPr>
          <w:rFonts w:hint="eastAsia" w:ascii="宋体" w:hAnsi="宋体" w:cs="宋体"/>
          <w:color w:val="000000" w:themeColor="text1"/>
          <w:sz w:val="24"/>
          <w:lang w:eastAsia="zh-CN"/>
          <w14:textFill>
            <w14:solidFill>
              <w14:schemeClr w14:val="tx1"/>
            </w14:solidFill>
          </w14:textFill>
        </w:rPr>
        <w:t>有关</w:t>
      </w:r>
      <w:r>
        <w:rPr>
          <w:rFonts w:hint="eastAsia" w:ascii="宋体" w:hAnsi="宋体" w:cs="宋体"/>
          <w:sz w:val="24"/>
        </w:rPr>
        <w:t>规定。</w:t>
      </w:r>
    </w:p>
    <w:p w14:paraId="00123CD6">
      <w:pPr>
        <w:spacing w:line="360" w:lineRule="auto"/>
        <w:rPr>
          <w:rFonts w:ascii="宋体" w:hAnsi="宋体" w:cs="宋体"/>
          <w:sz w:val="24"/>
        </w:rPr>
      </w:pPr>
      <w:r>
        <w:rPr>
          <w:rFonts w:hint="eastAsia"/>
          <w:b/>
          <w:bCs/>
          <w:sz w:val="24"/>
        </w:rPr>
        <w:t>5.3.4</w:t>
      </w:r>
      <w:r>
        <w:rPr>
          <w:rFonts w:hint="eastAsia" w:ascii="宋体" w:hAnsi="宋体" w:cs="宋体"/>
          <w:sz w:val="24"/>
        </w:rPr>
        <w:t xml:space="preserve">  节点连接件采用金属件时，金属件材料应符合现行国家标准《钢结构设计标准》GB 50017的有关规定；当节点连接件和预埋件采用耐候结构钢时，其材料性能</w:t>
      </w:r>
      <w:r>
        <w:rPr>
          <w:rFonts w:hint="eastAsia" w:ascii="宋体" w:hAnsi="宋体" w:cs="宋体"/>
          <w:sz w:val="24"/>
          <w:lang w:eastAsia="zh-CN"/>
        </w:rPr>
        <w:t>还</w:t>
      </w:r>
      <w:r>
        <w:rPr>
          <w:rFonts w:hint="eastAsia" w:ascii="宋体" w:hAnsi="宋体" w:cs="宋体"/>
          <w:sz w:val="24"/>
        </w:rPr>
        <w:t>应符合现行国家标准《耐候结构钢》GB/T 4171的有关规定。</w:t>
      </w:r>
    </w:p>
    <w:p w14:paraId="70DD08A3">
      <w:pPr>
        <w:spacing w:line="360" w:lineRule="auto"/>
        <w:rPr>
          <w:rFonts w:ascii="宋体" w:hAnsi="宋体" w:cs="宋体"/>
          <w:sz w:val="24"/>
        </w:rPr>
      </w:pPr>
      <w:r>
        <w:rPr>
          <w:rFonts w:hint="eastAsia"/>
          <w:b/>
          <w:bCs/>
          <w:sz w:val="24"/>
        </w:rPr>
        <w:t>5.3.5</w:t>
      </w:r>
      <w:r>
        <w:rPr>
          <w:rFonts w:hint="eastAsia" w:ascii="宋体" w:hAnsi="宋体" w:cs="宋体"/>
          <w:sz w:val="24"/>
        </w:rPr>
        <w:t xml:space="preserve">  连接用焊接材料、螺栓、锚栓应符合国家现行标准《钢结构设计标准》GB50017、《钢结构焊接规范》GB50661、《钢筋焊接及验收规程》JGJ18的有关规定。</w:t>
      </w:r>
    </w:p>
    <w:p w14:paraId="2F79AB29">
      <w:pPr>
        <w:pStyle w:val="2"/>
        <w:spacing w:after="0" w:line="360" w:lineRule="auto"/>
        <w:rPr>
          <w:rFonts w:ascii="宋体" w:hAnsi="宋体" w:cs="宋体"/>
          <w:sz w:val="24"/>
        </w:rPr>
      </w:pPr>
      <w:r>
        <w:rPr>
          <w:rFonts w:hint="eastAsia"/>
          <w:b/>
          <w:bCs/>
          <w:sz w:val="24"/>
        </w:rPr>
        <w:t>5.3.</w:t>
      </w:r>
      <w:r>
        <w:rPr>
          <w:rFonts w:hint="eastAsia"/>
          <w:b/>
          <w:bCs/>
          <w:sz w:val="24"/>
          <w:lang w:val="en-US" w:eastAsia="zh-CN"/>
        </w:rPr>
        <w:t>6</w:t>
      </w:r>
      <w:r>
        <w:rPr>
          <w:rFonts w:hint="eastAsia" w:ascii="宋体" w:hAnsi="宋体" w:cs="宋体"/>
          <w:sz w:val="24"/>
        </w:rPr>
        <w:t xml:space="preserve">  当预制集成保温外墙板应用于超低能耗或近零能耗时，</w:t>
      </w:r>
      <w:r>
        <w:rPr>
          <w:rFonts w:hint="eastAsia" w:ascii="宋体" w:hAnsi="宋体" w:cs="宋体"/>
          <w:color w:val="000000" w:themeColor="text1"/>
          <w:sz w:val="24"/>
          <w:lang w:eastAsia="zh-CN"/>
          <w14:textFill>
            <w14:solidFill>
              <w14:schemeClr w14:val="tx1"/>
            </w14:solidFill>
          </w14:textFill>
        </w:rPr>
        <w:t>锚固</w:t>
      </w:r>
      <w:r>
        <w:rPr>
          <w:rFonts w:hint="eastAsia" w:ascii="宋体" w:hAnsi="宋体" w:cs="宋体"/>
          <w:color w:val="000000" w:themeColor="text1"/>
          <w:sz w:val="24"/>
          <w14:textFill>
            <w14:solidFill>
              <w14:schemeClr w14:val="tx1"/>
            </w14:solidFill>
          </w14:textFill>
        </w:rPr>
        <w:t>件</w:t>
      </w:r>
      <w:r>
        <w:rPr>
          <w:rFonts w:hint="eastAsia" w:ascii="宋体" w:hAnsi="宋体" w:cs="宋体"/>
          <w:sz w:val="24"/>
        </w:rPr>
        <w:t>应采取断热桥措施。</w:t>
      </w:r>
    </w:p>
    <w:p w14:paraId="5EDD101A">
      <w:pPr>
        <w:pStyle w:val="2"/>
        <w:spacing w:after="0" w:line="360" w:lineRule="auto"/>
        <w:rPr>
          <w:rFonts w:ascii="宋体" w:hAnsi="宋体" w:cs="宋体"/>
          <w:sz w:val="24"/>
        </w:rPr>
      </w:pPr>
      <w:r>
        <w:rPr>
          <w:rFonts w:hint="eastAsia"/>
          <w:b/>
          <w:bCs/>
          <w:sz w:val="24"/>
        </w:rPr>
        <w:t>5.3.</w:t>
      </w:r>
      <w:r>
        <w:rPr>
          <w:rFonts w:hint="eastAsia"/>
          <w:b/>
          <w:bCs/>
          <w:sz w:val="24"/>
          <w:lang w:val="en-US" w:eastAsia="zh-CN"/>
        </w:rPr>
        <w:t>7</w:t>
      </w:r>
      <w:r>
        <w:rPr>
          <w:rFonts w:hint="eastAsia" w:ascii="宋体" w:hAnsi="宋体" w:cs="宋体"/>
          <w:sz w:val="24"/>
        </w:rPr>
        <w:t xml:space="preserve">  锚固件应进行在使用阶段持久设计状况下的承载力验算和变形验算、地震设计状况下的承载力验算，验算时不应计入保温层与混凝土基层墙体间的粘结作用。</w:t>
      </w:r>
    </w:p>
    <w:p w14:paraId="36CDC3F4">
      <w:pPr>
        <w:pStyle w:val="2"/>
        <w:spacing w:after="0" w:line="360" w:lineRule="auto"/>
        <w:rPr>
          <w:rFonts w:hint="eastAsia"/>
          <w:sz w:val="24"/>
          <w:szCs w:val="24"/>
          <w:lang w:eastAsia="zh-CN"/>
        </w:rPr>
      </w:pPr>
      <w:r>
        <w:rPr>
          <w:rFonts w:hint="eastAsia"/>
          <w:b/>
          <w:bCs/>
          <w:sz w:val="24"/>
        </w:rPr>
        <w:t>5.3.</w:t>
      </w:r>
      <w:r>
        <w:rPr>
          <w:rFonts w:hint="eastAsia"/>
          <w:b/>
          <w:bCs/>
          <w:sz w:val="24"/>
          <w:lang w:val="en-US" w:eastAsia="zh-CN"/>
        </w:rPr>
        <w:t>8</w:t>
      </w:r>
      <w:r>
        <w:rPr>
          <w:rFonts w:hint="eastAsia" w:ascii="宋体" w:hAnsi="宋体" w:cs="宋体"/>
          <w:sz w:val="24"/>
        </w:rPr>
        <w:t xml:space="preserve">  考虑到作用在预制集成保温外墙上的风荷载，保温层与基层墙体的连接应按围护结构进行计算和设计。在锚固件设计时，应承受直接施加于外墙外侧上的荷载与作用。</w:t>
      </w:r>
    </w:p>
    <w:p w14:paraId="62C721B5">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eastAsia="宋体"/>
          <w:color w:val="000000" w:themeColor="text1"/>
          <w:sz w:val="24"/>
          <w:szCs w:val="24"/>
          <w:lang w:val="en-US" w:eastAsia="zh-CN"/>
          <w14:textFill>
            <w14:solidFill>
              <w14:schemeClr w14:val="tx1"/>
            </w14:solidFill>
          </w14:textFill>
        </w:rPr>
      </w:pPr>
      <w:r>
        <w:rPr>
          <w:rFonts w:hint="eastAsia"/>
          <w:b/>
          <w:bCs/>
          <w:color w:val="000000" w:themeColor="text1"/>
          <w:sz w:val="24"/>
          <w14:textFill>
            <w14:solidFill>
              <w14:schemeClr w14:val="tx1"/>
            </w14:solidFill>
          </w14:textFill>
        </w:rPr>
        <w:t>5.3.</w:t>
      </w:r>
      <w:r>
        <w:rPr>
          <w:rFonts w:hint="eastAsia"/>
          <w:b/>
          <w:bCs/>
          <w:color w:val="000000" w:themeColor="text1"/>
          <w:sz w:val="24"/>
          <w:lang w:val="en-US" w:eastAsia="zh-CN"/>
          <w14:textFill>
            <w14:solidFill>
              <w14:schemeClr w14:val="tx1"/>
            </w14:solidFill>
          </w14:textFill>
        </w:rPr>
        <w:t>9</w:t>
      </w:r>
      <w:r>
        <w:rPr>
          <w:rFonts w:hint="eastAsia" w:ascii="宋体" w:hAnsi="宋体" w:cs="宋体"/>
          <w:color w:val="000000" w:themeColor="text1"/>
          <w:sz w:val="24"/>
          <w14:textFill>
            <w14:solidFill>
              <w14:schemeClr w14:val="tx1"/>
            </w14:solidFill>
          </w14:textFill>
        </w:rPr>
        <w:t xml:space="preserve">  </w:t>
      </w:r>
      <w:r>
        <w:rPr>
          <w:rFonts w:hint="eastAsia" w:ascii="宋体" w:hAnsi="宋体" w:cs="宋体"/>
          <w:color w:val="000000" w:themeColor="text1"/>
          <w:sz w:val="24"/>
          <w:lang w:eastAsia="zh-CN"/>
          <w14:textFill>
            <w14:solidFill>
              <w14:schemeClr w14:val="tx1"/>
            </w14:solidFill>
          </w14:textFill>
        </w:rPr>
        <w:t>墙板及</w:t>
      </w:r>
      <w:r>
        <w:rPr>
          <w:rFonts w:hint="eastAsia"/>
          <w:color w:val="000000" w:themeColor="text1"/>
          <w:sz w:val="24"/>
          <w:szCs w:val="24"/>
          <w:lang w:eastAsia="zh-CN"/>
          <w14:textFill>
            <w14:solidFill>
              <w14:schemeClr w14:val="tx1"/>
            </w14:solidFill>
          </w14:textFill>
        </w:rPr>
        <w:t>连接的承载力应分别按下列公式</w:t>
      </w:r>
      <w:r>
        <w:rPr>
          <w:rFonts w:hint="eastAsia"/>
          <w:color w:val="000000" w:themeColor="text1"/>
          <w:sz w:val="24"/>
          <w:szCs w:val="24"/>
          <w:lang w:val="en-US" w:eastAsia="zh-CN"/>
          <w14:textFill>
            <w14:solidFill>
              <w14:schemeClr w14:val="tx1"/>
            </w14:solidFill>
          </w14:textFill>
        </w:rPr>
        <w:t>计算。</w:t>
      </w:r>
    </w:p>
    <w:p w14:paraId="771EFCFA">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color w:val="000000" w:themeColor="text1"/>
          <w:sz w:val="24"/>
          <w:szCs w:val="24"/>
          <w:lang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 xml:space="preserve">1 </w:t>
      </w:r>
      <w:r>
        <w:rPr>
          <w:rFonts w:hint="eastAsia"/>
          <w:color w:val="000000" w:themeColor="text1"/>
          <w:sz w:val="24"/>
          <w:szCs w:val="24"/>
          <w:lang w:eastAsia="zh-CN"/>
          <w14:textFill>
            <w14:solidFill>
              <w14:schemeClr w14:val="tx1"/>
            </w14:solidFill>
          </w14:textFill>
        </w:rPr>
        <w:t>持久设计状况</w:t>
      </w:r>
    </w:p>
    <w:p w14:paraId="5548AD3B">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default" w:eastAsia="宋体"/>
          <w:color w:val="000000" w:themeColor="text1"/>
          <w:sz w:val="24"/>
          <w:szCs w:val="24"/>
          <w:lang w:val="en-US" w:eastAsia="zh-CN"/>
          <w14:textFill>
            <w14:solidFill>
              <w14:schemeClr w14:val="tx1"/>
            </w14:solidFill>
          </w14:textFill>
        </w:rPr>
      </w:pPr>
      <m:oMath>
        <m:sSub>
          <m:sSubPr>
            <m:ctrlPr>
              <w:rPr>
                <w:rFonts w:ascii="Cambria Math" w:hAnsi="Cambria Math"/>
                <w:i/>
                <w:color w:val="000000" w:themeColor="text1"/>
                <w:sz w:val="24"/>
                <w:szCs w:val="24"/>
                <w14:textFill>
                  <w14:solidFill>
                    <w14:schemeClr w14:val="tx1"/>
                  </w14:solidFill>
                </w14:textFill>
              </w:rPr>
            </m:ctrlPr>
          </m:sSubPr>
          <m:e>
            <m:r>
              <m:rPr/>
              <w:rPr>
                <w:rFonts w:ascii="Cambria Math" w:hAnsi="Cambria Math"/>
                <w:color w:val="000000" w:themeColor="text1"/>
                <w:sz w:val="24"/>
                <w:szCs w:val="24"/>
                <w14:textFill>
                  <w14:solidFill>
                    <w14:schemeClr w14:val="tx1"/>
                  </w14:solidFill>
                </w14:textFill>
              </w:rPr>
              <m:t>γ</m:t>
            </m:r>
            <m:ctrlPr>
              <w:rPr>
                <w:rFonts w:ascii="Cambria Math" w:hAnsi="Cambria Math"/>
                <w:i/>
                <w:color w:val="000000" w:themeColor="text1"/>
                <w:sz w:val="24"/>
                <w:szCs w:val="24"/>
                <w14:textFill>
                  <w14:solidFill>
                    <w14:schemeClr w14:val="tx1"/>
                  </w14:solidFill>
                </w14:textFill>
              </w:rPr>
            </m:ctrlPr>
          </m:e>
          <m:sub>
            <m:r>
              <m:rPr/>
              <w:rPr>
                <w:rFonts w:hint="default" w:ascii="Cambria Math" w:hAnsi="Cambria Math"/>
                <w:color w:val="000000" w:themeColor="text1"/>
                <w:sz w:val="24"/>
                <w:szCs w:val="24"/>
                <w:lang w:val="en-US" w:eastAsia="zh-CN"/>
                <w14:textFill>
                  <w14:solidFill>
                    <w14:schemeClr w14:val="tx1"/>
                  </w14:solidFill>
                </w14:textFill>
              </w:rPr>
              <m:t>0</m:t>
            </m:r>
            <m:ctrlPr>
              <w:rPr>
                <w:rFonts w:ascii="Cambria Math" w:hAnsi="Cambria Math"/>
                <w:i/>
                <w:color w:val="000000" w:themeColor="text1"/>
                <w:sz w:val="24"/>
                <w:szCs w:val="24"/>
                <w14:textFill>
                  <w14:solidFill>
                    <w14:schemeClr w14:val="tx1"/>
                  </w14:solidFill>
                </w14:textFill>
              </w:rPr>
            </m:ctrlPr>
          </m:sub>
        </m:sSub>
        <m:r>
          <m:rPr/>
          <w:rPr>
            <w:rFonts w:hint="default" w:ascii="Cambria Math" w:hAnsi="Cambria Math"/>
            <w:color w:val="000000" w:themeColor="text1"/>
            <w:sz w:val="24"/>
            <w:szCs w:val="24"/>
            <w:lang w:val="en-US" w:eastAsia="zh-CN"/>
            <w14:textFill>
              <w14:solidFill>
                <w14:schemeClr w14:val="tx1"/>
              </w14:solidFill>
            </w14:textFill>
          </w:rPr>
          <m:t>S</m:t>
        </m:r>
        <m:r>
          <m:rPr/>
          <w:rPr>
            <w:rFonts w:hint="default" w:ascii="Cambria Math" w:hAnsi="Cambria Math" w:cs="Cambria Math"/>
            <w:color w:val="000000" w:themeColor="text1"/>
            <w:sz w:val="24"/>
            <w:szCs w:val="24"/>
            <w:lang w:val="en-US" w:eastAsia="zh-CN"/>
            <w14:textFill>
              <w14:solidFill>
                <w14:schemeClr w14:val="tx1"/>
              </w14:solidFill>
            </w14:textFill>
          </w:rPr>
          <m:t>≤R</m:t>
        </m:r>
      </m:oMath>
      <w:r>
        <w:rPr>
          <w:rFonts w:hint="eastAsia" w:hAnsi="Cambria Math" w:cs="Cambria Math"/>
          <w:i w:val="0"/>
          <w:color w:val="000000" w:themeColor="text1"/>
          <w:sz w:val="24"/>
          <w:szCs w:val="24"/>
          <w:lang w:val="en-US" w:eastAsia="zh-CN"/>
          <w14:textFill>
            <w14:solidFill>
              <w14:schemeClr w14:val="tx1"/>
            </w14:solidFill>
          </w14:textFill>
        </w:rPr>
        <w:t xml:space="preserve">                   (5.3.9-1)</w:t>
      </w:r>
    </w:p>
    <w:p w14:paraId="0833E99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color w:val="000000" w:themeColor="text1"/>
          <w:sz w:val="24"/>
          <w:szCs w:val="24"/>
          <w:lang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 xml:space="preserve">2 </w:t>
      </w:r>
      <w:r>
        <w:rPr>
          <w:rFonts w:hint="eastAsia"/>
          <w:color w:val="000000" w:themeColor="text1"/>
          <w:sz w:val="24"/>
          <w:szCs w:val="24"/>
          <w:lang w:eastAsia="zh-CN"/>
          <w14:textFill>
            <w14:solidFill>
              <w14:schemeClr w14:val="tx1"/>
            </w14:solidFill>
          </w14:textFill>
        </w:rPr>
        <w:t>地震设计状况</w:t>
      </w:r>
    </w:p>
    <w:p w14:paraId="6CFD06E3">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default"/>
          <w:color w:val="000000" w:themeColor="text1"/>
          <w:sz w:val="24"/>
          <w:szCs w:val="24"/>
          <w:lang w:val="en-US"/>
          <w14:textFill>
            <w14:solidFill>
              <w14:schemeClr w14:val="tx1"/>
            </w14:solidFill>
          </w14:textFill>
        </w:rPr>
      </w:pPr>
      <m:oMath>
        <m:r>
          <m:rPr>
            <m:sty m:val="p"/>
          </m:rPr>
          <w:rPr>
            <w:rFonts w:hint="default" w:ascii="Cambria Math" w:hAnsi="Cambria Math" w:cs="Times New Roman"/>
            <w:color w:val="000000" w:themeColor="text1"/>
            <w:kern w:val="2"/>
            <w:sz w:val="24"/>
            <w:szCs w:val="24"/>
            <w:lang w:val="en-US" w:eastAsia="zh-CN" w:bidi="ar-SA"/>
            <w14:textFill>
              <w14:solidFill>
                <w14:schemeClr w14:val="tx1"/>
              </w14:solidFill>
            </w14:textFill>
          </w:rPr>
          <m:t>S</m:t>
        </m:r>
        <m:r>
          <m:rPr>
            <m:sty m:val="p"/>
          </m:rPr>
          <w:rPr>
            <w:rFonts w:hint="default" w:ascii="Cambria Math" w:hAnsi="Cambria Math" w:cs="Cambria Math"/>
            <w:color w:val="000000" w:themeColor="text1"/>
            <w:kern w:val="2"/>
            <w:sz w:val="24"/>
            <w:szCs w:val="24"/>
            <w:lang w:val="en-US" w:eastAsia="zh-CN" w:bidi="ar-SA"/>
            <w14:textFill>
              <w14:solidFill>
                <w14:schemeClr w14:val="tx1"/>
              </w14:solidFill>
            </w14:textFill>
          </w:rPr>
          <m:t>≤</m:t>
        </m:r>
        <m:f>
          <m:fPr>
            <m:type m:val="lin"/>
            <m:ctrlPr>
              <w:rPr>
                <w:rFonts w:hint="default" w:ascii="Cambria Math" w:hAnsi="Cambria Math" w:cs="Cambria Math"/>
                <w:color w:val="000000" w:themeColor="text1"/>
                <w:kern w:val="2"/>
                <w:sz w:val="24"/>
                <w:szCs w:val="24"/>
                <w:lang w:val="en-US" w:eastAsia="zh-CN" w:bidi="ar-SA"/>
                <w14:textFill>
                  <w14:solidFill>
                    <w14:schemeClr w14:val="tx1"/>
                  </w14:solidFill>
                </w14:textFill>
              </w:rPr>
            </m:ctrlPr>
          </m:fPr>
          <m:num>
            <m:sSub>
              <m:sSubPr>
                <m:ctrlPr>
                  <w:rPr>
                    <w:rFonts w:hint="default" w:ascii="Cambria Math" w:hAnsi="Cambria Math" w:cs="Cambria Math"/>
                    <w:color w:val="000000" w:themeColor="text1"/>
                    <w:kern w:val="2"/>
                    <w:sz w:val="24"/>
                    <w:szCs w:val="24"/>
                    <w:lang w:val="en-US" w:eastAsia="zh-CN" w:bidi="ar-SA"/>
                    <w14:textFill>
                      <w14:solidFill>
                        <w14:schemeClr w14:val="tx1"/>
                      </w14:solidFill>
                    </w14:textFill>
                  </w:rPr>
                </m:ctrlPr>
              </m:sSubPr>
              <m:e>
                <m:r>
                  <m:rPr>
                    <m:sty m:val="p"/>
                  </m:rPr>
                  <w:rPr>
                    <w:rFonts w:hint="default" w:ascii="Cambria Math" w:hAnsi="Cambria Math" w:cs="Cambria Math"/>
                    <w:color w:val="000000" w:themeColor="text1"/>
                    <w:kern w:val="2"/>
                    <w:sz w:val="24"/>
                    <w:szCs w:val="24"/>
                    <w:lang w:val="en-US" w:eastAsia="zh-CN" w:bidi="ar-SA"/>
                    <w14:textFill>
                      <w14:solidFill>
                        <w14:schemeClr w14:val="tx1"/>
                      </w14:solidFill>
                    </w14:textFill>
                  </w:rPr>
                  <m:t>R</m:t>
                </m:r>
                <m:ctrlPr>
                  <w:rPr>
                    <w:rFonts w:hint="default" w:ascii="Cambria Math" w:hAnsi="Cambria Math" w:cs="Cambria Math"/>
                    <w:color w:val="000000" w:themeColor="text1"/>
                    <w:kern w:val="2"/>
                    <w:sz w:val="24"/>
                    <w:szCs w:val="24"/>
                    <w:lang w:val="en-US" w:eastAsia="zh-CN" w:bidi="ar-SA"/>
                    <w14:textFill>
                      <w14:solidFill>
                        <w14:schemeClr w14:val="tx1"/>
                      </w14:solidFill>
                    </w14:textFill>
                  </w:rPr>
                </m:ctrlPr>
              </m:e>
              <m:sub>
                <m:r>
                  <m:rPr>
                    <m:sty m:val="p"/>
                  </m:rPr>
                  <w:rPr>
                    <w:rFonts w:hint="default" w:ascii="Cambria Math" w:hAnsi="Cambria Math" w:cs="Cambria Math"/>
                    <w:color w:val="000000" w:themeColor="text1"/>
                    <w:kern w:val="2"/>
                    <w:sz w:val="24"/>
                    <w:szCs w:val="24"/>
                    <w:lang w:val="en-US" w:eastAsia="zh-CN" w:bidi="ar-SA"/>
                    <w14:textFill>
                      <w14:solidFill>
                        <w14:schemeClr w14:val="tx1"/>
                      </w14:solidFill>
                    </w14:textFill>
                  </w:rPr>
                  <m:t>E</m:t>
                </m:r>
                <m:ctrlPr>
                  <w:rPr>
                    <w:rFonts w:hint="default" w:ascii="Cambria Math" w:hAnsi="Cambria Math" w:cs="Cambria Math"/>
                    <w:color w:val="000000" w:themeColor="text1"/>
                    <w:kern w:val="2"/>
                    <w:sz w:val="24"/>
                    <w:szCs w:val="24"/>
                    <w:lang w:val="en-US" w:eastAsia="zh-CN" w:bidi="ar-SA"/>
                    <w14:textFill>
                      <w14:solidFill>
                        <w14:schemeClr w14:val="tx1"/>
                      </w14:solidFill>
                    </w14:textFill>
                  </w:rPr>
                </m:ctrlPr>
              </m:sub>
            </m:sSub>
            <m:ctrlPr>
              <w:rPr>
                <w:rFonts w:hint="default" w:ascii="Cambria Math" w:hAnsi="Cambria Math" w:cs="Cambria Math"/>
                <w:color w:val="000000" w:themeColor="text1"/>
                <w:kern w:val="2"/>
                <w:sz w:val="24"/>
                <w:szCs w:val="24"/>
                <w:lang w:val="en-US" w:eastAsia="zh-CN" w:bidi="ar-SA"/>
                <w14:textFill>
                  <w14:solidFill>
                    <w14:schemeClr w14:val="tx1"/>
                  </w14:solidFill>
                </w14:textFill>
              </w:rPr>
            </m:ctrlPr>
          </m:num>
          <m:den>
            <m:sSub>
              <m:sSubPr>
                <m:ctrlPr>
                  <w:rPr>
                    <w:rFonts w:hint="default" w:ascii="Cambria Math" w:hAnsi="Cambria Math" w:cs="Cambria Math"/>
                    <w:color w:val="000000" w:themeColor="text1"/>
                    <w:kern w:val="2"/>
                    <w:sz w:val="24"/>
                    <w:szCs w:val="24"/>
                    <w:lang w:val="en-US" w:eastAsia="zh-CN" w:bidi="ar-SA"/>
                    <w14:textFill>
                      <w14:solidFill>
                        <w14:schemeClr w14:val="tx1"/>
                      </w14:solidFill>
                    </w14:textFill>
                  </w:rPr>
                </m:ctrlPr>
              </m:sSubPr>
              <m:e>
                <m:r>
                  <m:rPr>
                    <m:sty m:val="p"/>
                  </m:rPr>
                  <w:rPr>
                    <w:rFonts w:ascii="Cambria Math" w:hAnsi="Cambria Math" w:cs="Cambria Math"/>
                    <w:color w:val="000000" w:themeColor="text1"/>
                    <w:kern w:val="2"/>
                    <w:sz w:val="24"/>
                    <w:szCs w:val="24"/>
                    <w:lang w:val="en-US" w:bidi="ar-SA"/>
                    <w14:textFill>
                      <w14:solidFill>
                        <w14:schemeClr w14:val="tx1"/>
                      </w14:solidFill>
                    </w14:textFill>
                  </w:rPr>
                  <m:t>γ</m:t>
                </m:r>
                <m:ctrlPr>
                  <w:rPr>
                    <w:rFonts w:hint="default" w:ascii="Cambria Math" w:hAnsi="Cambria Math" w:cs="Cambria Math"/>
                    <w:color w:val="000000" w:themeColor="text1"/>
                    <w:kern w:val="2"/>
                    <w:sz w:val="24"/>
                    <w:szCs w:val="24"/>
                    <w:lang w:val="en-US" w:eastAsia="zh-CN" w:bidi="ar-SA"/>
                    <w14:textFill>
                      <w14:solidFill>
                        <w14:schemeClr w14:val="tx1"/>
                      </w14:solidFill>
                    </w14:textFill>
                  </w:rPr>
                </m:ctrlPr>
              </m:e>
              <m:sub>
                <m:r>
                  <m:rPr>
                    <m:sty m:val="p"/>
                  </m:rPr>
                  <w:rPr>
                    <w:rFonts w:hint="default" w:ascii="Cambria Math" w:hAnsi="Cambria Math" w:cs="Cambria Math"/>
                    <w:color w:val="000000" w:themeColor="text1"/>
                    <w:kern w:val="2"/>
                    <w:sz w:val="24"/>
                    <w:szCs w:val="24"/>
                    <w:lang w:val="en-US" w:eastAsia="zh-CN" w:bidi="ar-SA"/>
                    <w14:textFill>
                      <w14:solidFill>
                        <w14:schemeClr w14:val="tx1"/>
                      </w14:solidFill>
                    </w14:textFill>
                  </w:rPr>
                  <m:t>RE</m:t>
                </m:r>
                <m:ctrlPr>
                  <w:rPr>
                    <w:rFonts w:hint="default" w:ascii="Cambria Math" w:hAnsi="Cambria Math" w:cs="Cambria Math"/>
                    <w:color w:val="000000" w:themeColor="text1"/>
                    <w:kern w:val="2"/>
                    <w:sz w:val="24"/>
                    <w:szCs w:val="24"/>
                    <w:lang w:val="en-US" w:eastAsia="zh-CN" w:bidi="ar-SA"/>
                    <w14:textFill>
                      <w14:solidFill>
                        <w14:schemeClr w14:val="tx1"/>
                      </w14:solidFill>
                    </w14:textFill>
                  </w:rPr>
                </m:ctrlPr>
              </m:sub>
            </m:sSub>
            <m:ctrlPr>
              <w:rPr>
                <w:rFonts w:hint="default" w:ascii="Cambria Math" w:hAnsi="Cambria Math" w:cs="Cambria Math"/>
                <w:color w:val="000000" w:themeColor="text1"/>
                <w:kern w:val="2"/>
                <w:sz w:val="24"/>
                <w:szCs w:val="24"/>
                <w:lang w:val="en-US" w:eastAsia="zh-CN" w:bidi="ar-SA"/>
                <w14:textFill>
                  <w14:solidFill>
                    <w14:schemeClr w14:val="tx1"/>
                  </w14:solidFill>
                </w14:textFill>
              </w:rPr>
            </m:ctrlPr>
          </m:den>
        </m:f>
      </m:oMath>
      <w:r>
        <w:rPr>
          <w:rFonts w:hint="eastAsia" w:hAnsi="Cambria Math" w:cs="Cambria Math"/>
          <w:i w:val="0"/>
          <w:color w:val="000000" w:themeColor="text1"/>
          <w:kern w:val="2"/>
          <w:sz w:val="24"/>
          <w:szCs w:val="24"/>
          <w:lang w:val="en-US" w:eastAsia="zh-CN" w:bidi="ar-SA"/>
          <w14:textFill>
            <w14:solidFill>
              <w14:schemeClr w14:val="tx1"/>
            </w14:solidFill>
          </w14:textFill>
        </w:rPr>
        <w:t xml:space="preserve">                 (5.3.9-2)</w:t>
      </w:r>
    </w:p>
    <w:p w14:paraId="4B152424">
      <w:pPr>
        <w:spacing w:line="360" w:lineRule="auto"/>
        <w:rPr>
          <w:rFonts w:hint="eastAsia" w:hAnsi="宋体" w:eastAsia="宋体" w:cs="宋体"/>
          <w:strike w:val="0"/>
          <w:dstrike w:val="0"/>
          <w:color w:val="000000" w:themeColor="text1"/>
          <w:sz w:val="24"/>
          <w:highlight w:val="none"/>
          <w:lang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式中：</w:t>
      </w:r>
      <m:oMath>
        <m:sSub>
          <m:sSubPr>
            <m:ctrlPr>
              <w:rPr>
                <w:rFonts w:ascii="Cambria Math" w:hAnsi="Cambria Math" w:cs="宋体"/>
                <w:i/>
                <w:strike w:val="0"/>
                <w:dstrike w:val="0"/>
                <w:color w:val="000000" w:themeColor="text1"/>
                <w:sz w:val="24"/>
                <w:highlight w:val="none"/>
                <w14:textFill>
                  <w14:solidFill>
                    <w14:schemeClr w14:val="tx1"/>
                  </w14:solidFill>
                </w14:textFill>
              </w:rPr>
            </m:ctrlPr>
          </m:sSubPr>
          <m:e>
            <m:r>
              <m:rPr/>
              <w:rPr>
                <w:rFonts w:ascii="Cambria Math" w:hAnsi="Cambria Math" w:cs="宋体"/>
                <w:strike w:val="0"/>
                <w:dstrike w:val="0"/>
                <w:color w:val="000000" w:themeColor="text1"/>
                <w:sz w:val="24"/>
                <w:highlight w:val="none"/>
                <w14:textFill>
                  <w14:solidFill>
                    <w14:schemeClr w14:val="tx1"/>
                  </w14:solidFill>
                </w14:textFill>
              </w:rPr>
              <m:t xml:space="preserve"> γ</m:t>
            </m:r>
            <m:ctrlPr>
              <w:rPr>
                <w:rFonts w:ascii="Cambria Math" w:hAnsi="Cambria Math" w:cs="宋体"/>
                <w:i/>
                <w:strike w:val="0"/>
                <w:dstrike w:val="0"/>
                <w:color w:val="000000" w:themeColor="text1"/>
                <w:sz w:val="24"/>
                <w:highlight w:val="none"/>
                <w14:textFill>
                  <w14:solidFill>
                    <w14:schemeClr w14:val="tx1"/>
                  </w14:solidFill>
                </w14:textFill>
              </w:rPr>
            </m:ctrlPr>
          </m:e>
          <m:sub>
            <m:r>
              <m:rPr/>
              <w:rPr>
                <w:rFonts w:hint="default" w:ascii="Cambria Math" w:hAnsi="Cambria Math" w:cs="宋体"/>
                <w:strike w:val="0"/>
                <w:dstrike w:val="0"/>
                <w:color w:val="000000" w:themeColor="text1"/>
                <w:sz w:val="24"/>
                <w:highlight w:val="none"/>
                <w:lang w:val="en-US" w:eastAsia="zh-CN"/>
                <w14:textFill>
                  <w14:solidFill>
                    <w14:schemeClr w14:val="tx1"/>
                  </w14:solidFill>
                </w14:textFill>
              </w:rPr>
              <m:t>0</m:t>
            </m:r>
            <m:ctrlPr>
              <w:rPr>
                <w:rFonts w:ascii="Cambria Math" w:hAnsi="Cambria Math" w:cs="宋体"/>
                <w:i/>
                <w:strike w:val="0"/>
                <w:dstrike w:val="0"/>
                <w:color w:val="000000" w:themeColor="text1"/>
                <w:sz w:val="24"/>
                <w:highlight w:val="none"/>
                <w14:textFill>
                  <w14:solidFill>
                    <w14:schemeClr w14:val="tx1"/>
                  </w14:solidFill>
                </w14:textFill>
              </w:rPr>
            </m:ctrlPr>
          </m:sub>
        </m:sSub>
        <m:r>
          <m:rPr>
            <m:sty m:val="p"/>
          </m:rPr>
          <w:rPr>
            <w:rFonts w:hint="eastAsia" w:ascii="宋体" w:hAnsi="宋体" w:cs="宋体"/>
            <w:strike w:val="0"/>
            <w:dstrike w:val="0"/>
            <w:color w:val="000000" w:themeColor="text1"/>
            <w:sz w:val="24"/>
            <w:highlight w:val="none"/>
            <w14:textFill>
              <w14:solidFill>
                <w14:schemeClr w14:val="tx1"/>
              </w14:solidFill>
            </w14:textFill>
          </w:rPr>
          <m:t>——</m:t>
        </m:r>
      </m:oMath>
      <w:r>
        <w:rPr>
          <w:rFonts w:hint="eastAsia" w:hAnsi="宋体" w:cs="宋体"/>
          <w:i w:val="0"/>
          <w:strike w:val="0"/>
          <w:dstrike w:val="0"/>
          <w:color w:val="000000" w:themeColor="text1"/>
          <w:sz w:val="24"/>
          <w:highlight w:val="none"/>
          <w:lang w:eastAsia="zh-CN"/>
          <w14:textFill>
            <w14:solidFill>
              <w14:schemeClr w14:val="tx1"/>
            </w14:solidFill>
          </w14:textFill>
        </w:rPr>
        <w:t>结构重要性系数；</w:t>
      </w:r>
    </w:p>
    <w:p w14:paraId="7E03589E">
      <w:pPr>
        <w:spacing w:line="360" w:lineRule="auto"/>
        <w:ind w:firstLine="720" w:firstLineChars="300"/>
        <w:rPr>
          <w:rFonts w:hint="eastAsia" w:ascii="宋体" w:hAnsi="宋体" w:cs="宋体"/>
          <w:strike w:val="0"/>
          <w:dstrike w:val="0"/>
          <w:color w:val="000000" w:themeColor="text1"/>
          <w:sz w:val="24"/>
          <w:highlight w:val="none"/>
          <w14:textFill>
            <w14:solidFill>
              <w14:schemeClr w14:val="tx1"/>
            </w14:solidFill>
          </w14:textFill>
        </w:rPr>
      </w:pPr>
      <m:oMath>
        <m:r>
          <m:rPr/>
          <w:rPr>
            <w:rFonts w:hint="default" w:ascii="Cambria Math" w:hAnsi="Cambria Math" w:cs="宋体"/>
            <w:strike w:val="0"/>
            <w:dstrike w:val="0"/>
            <w:color w:val="000000" w:themeColor="text1"/>
            <w:sz w:val="24"/>
            <w:highlight w:val="none"/>
            <w:lang w:val="en-US" w:eastAsia="zh-CN"/>
            <w14:textFill>
              <w14:solidFill>
                <w14:schemeClr w14:val="tx1"/>
              </w14:solidFill>
            </w14:textFill>
          </w:rPr>
          <m:t>S</m:t>
        </m:r>
      </m:oMath>
      <w:r>
        <w:rPr>
          <w:rFonts w:hint="eastAsia" w:hAnsi="Cambria Math" w:cs="宋体"/>
          <w:i w:val="0"/>
          <w:strike w:val="0"/>
          <w:dstrike w:val="0"/>
          <w:color w:val="000000" w:themeColor="text1"/>
          <w:sz w:val="24"/>
          <w:highlight w:val="none"/>
          <w:lang w:val="en-US" w:eastAsia="zh-CN"/>
          <w14:textFill>
            <w14:solidFill>
              <w14:schemeClr w14:val="tx1"/>
            </w14:solidFill>
          </w14:textFill>
        </w:rPr>
        <w:t xml:space="preserve"> </w:t>
      </w:r>
      <w:r>
        <w:rPr>
          <w:rFonts w:hint="eastAsia" w:ascii="宋体" w:hAnsi="宋体" w:cs="宋体"/>
          <w:strike w:val="0"/>
          <w:dstrike w:val="0"/>
          <w:color w:val="000000" w:themeColor="text1"/>
          <w:sz w:val="24"/>
          <w:highlight w:val="none"/>
          <w14:textFill>
            <w14:solidFill>
              <w14:schemeClr w14:val="tx1"/>
            </w14:solidFill>
          </w14:textFill>
        </w:rPr>
        <w:t>——</w:t>
      </w:r>
      <w:r>
        <w:rPr>
          <w:rFonts w:cs="Times New Roman"/>
          <w:bCs/>
          <w:color w:val="000000" w:themeColor="text1"/>
          <w:sz w:val="24"/>
          <w:szCs w:val="32"/>
          <w14:textFill>
            <w14:solidFill>
              <w14:schemeClr w14:val="tx1"/>
            </w14:solidFill>
          </w14:textFill>
        </w:rPr>
        <w:t>荷载效应</w:t>
      </w:r>
      <w:r>
        <w:rPr>
          <w:rFonts w:hint="eastAsia" w:cs="Times New Roman"/>
          <w:bCs/>
          <w:color w:val="000000" w:themeColor="text1"/>
          <w:sz w:val="24"/>
          <w:szCs w:val="32"/>
          <w:lang w:eastAsia="zh-CN"/>
          <w14:textFill>
            <w14:solidFill>
              <w14:schemeClr w14:val="tx1"/>
            </w14:solidFill>
          </w14:textFill>
        </w:rPr>
        <w:t>基本</w:t>
      </w:r>
      <w:r>
        <w:rPr>
          <w:rFonts w:cs="Times New Roman"/>
          <w:bCs/>
          <w:color w:val="000000" w:themeColor="text1"/>
          <w:sz w:val="24"/>
          <w:szCs w:val="32"/>
          <w14:textFill>
            <w14:solidFill>
              <w14:schemeClr w14:val="tx1"/>
            </w14:solidFill>
          </w14:textFill>
        </w:rPr>
        <w:t>组合设计值</w:t>
      </w:r>
      <w:r>
        <w:rPr>
          <w:rFonts w:hint="eastAsia" w:ascii="宋体" w:hAnsi="宋体" w:cs="宋体"/>
          <w:strike w:val="0"/>
          <w:dstrike w:val="0"/>
          <w:color w:val="000000" w:themeColor="text1"/>
          <w:sz w:val="24"/>
          <w:highlight w:val="none"/>
          <w14:textFill>
            <w14:solidFill>
              <w14:schemeClr w14:val="tx1"/>
            </w14:solidFill>
          </w14:textFill>
        </w:rPr>
        <w:t>；</w:t>
      </w:r>
    </w:p>
    <w:p w14:paraId="49E28710">
      <w:pPr>
        <w:spacing w:line="360" w:lineRule="auto"/>
        <w:ind w:firstLine="720" w:firstLineChars="300"/>
        <w:rPr>
          <w:rFonts w:hint="eastAsia" w:ascii="宋体" w:hAnsi="宋体" w:eastAsia="宋体" w:cs="宋体"/>
          <w:strike w:val="0"/>
          <w:dstrike w:val="0"/>
          <w:color w:val="000000" w:themeColor="text1"/>
          <w:sz w:val="24"/>
          <w:highlight w:val="none"/>
          <w:lang w:eastAsia="zh-CN"/>
          <w14:textFill>
            <w14:solidFill>
              <w14:schemeClr w14:val="tx1"/>
            </w14:solidFill>
          </w14:textFill>
        </w:rPr>
      </w:pPr>
      <m:oMath>
        <m:r>
          <m:rPr/>
          <w:rPr>
            <w:rFonts w:hint="default" w:ascii="Cambria Math" w:hAnsi="Cambria Math" w:cs="宋体"/>
            <w:strike w:val="0"/>
            <w:dstrike w:val="0"/>
            <w:color w:val="000000" w:themeColor="text1"/>
            <w:sz w:val="24"/>
            <w:highlight w:val="none"/>
            <w:lang w:val="en-US" w:eastAsia="zh-CN"/>
            <w14:textFill>
              <w14:solidFill>
                <w14:schemeClr w14:val="tx1"/>
              </w14:solidFill>
            </w14:textFill>
          </w:rPr>
          <m:t xml:space="preserve">R  </m:t>
        </m:r>
      </m:oMath>
      <w:r>
        <w:rPr>
          <w:rFonts w:hint="eastAsia" w:ascii="宋体" w:hAnsi="宋体" w:cs="宋体"/>
          <w:strike w:val="0"/>
          <w:dstrike w:val="0"/>
          <w:color w:val="000000" w:themeColor="text1"/>
          <w:sz w:val="24"/>
          <w:highlight w:val="none"/>
          <w14:textFill>
            <w14:solidFill>
              <w14:schemeClr w14:val="tx1"/>
            </w14:solidFill>
          </w14:textFill>
        </w:rPr>
        <w:t>——</w:t>
      </w:r>
      <w:r>
        <w:rPr>
          <w:rFonts w:hint="eastAsia" w:ascii="宋体" w:hAnsi="宋体" w:cs="宋体"/>
          <w:strike w:val="0"/>
          <w:dstrike w:val="0"/>
          <w:color w:val="000000" w:themeColor="text1"/>
          <w:sz w:val="24"/>
          <w:highlight w:val="none"/>
          <w:lang w:eastAsia="zh-CN"/>
          <w14:textFill>
            <w14:solidFill>
              <w14:schemeClr w14:val="tx1"/>
            </w14:solidFill>
          </w14:textFill>
        </w:rPr>
        <w:t>承载力设计值；</w:t>
      </w:r>
    </w:p>
    <w:p w14:paraId="05286FFB">
      <w:pPr>
        <w:spacing w:line="360" w:lineRule="auto"/>
        <w:ind w:firstLine="720" w:firstLineChars="300"/>
        <w:rPr>
          <w:rFonts w:ascii="宋体" w:hAnsi="宋体" w:cs="宋体"/>
          <w:strike w:val="0"/>
          <w:dstrike w:val="0"/>
          <w:color w:val="000000" w:themeColor="text1"/>
          <w:sz w:val="24"/>
          <w:highlight w:val="none"/>
          <w14:textFill>
            <w14:solidFill>
              <w14:schemeClr w14:val="tx1"/>
            </w14:solidFill>
          </w14:textFill>
        </w:rPr>
      </w:pPr>
      <m:oMath>
        <m:sSub>
          <m:sSubPr>
            <m:ctrlPr>
              <w:rPr>
                <w:rFonts w:ascii="Cambria Math" w:hAnsi="Cambria Math" w:cs="宋体"/>
                <w:i/>
                <w:strike w:val="0"/>
                <w:dstrike w:val="0"/>
                <w:color w:val="000000" w:themeColor="text1"/>
                <w:sz w:val="24"/>
                <w:highlight w:val="none"/>
                <w14:textFill>
                  <w14:solidFill>
                    <w14:schemeClr w14:val="tx1"/>
                  </w14:solidFill>
                </w14:textFill>
              </w:rPr>
            </m:ctrlPr>
          </m:sSubPr>
          <m:e>
            <m:r>
              <m:rPr/>
              <w:rPr>
                <w:rFonts w:ascii="Cambria Math" w:hAnsi="Cambria Math" w:cs="宋体"/>
                <w:strike w:val="0"/>
                <w:dstrike w:val="0"/>
                <w:color w:val="000000" w:themeColor="text1"/>
                <w:sz w:val="24"/>
                <w:highlight w:val="none"/>
                <w14:textFill>
                  <w14:solidFill>
                    <w14:schemeClr w14:val="tx1"/>
                  </w14:solidFill>
                </w14:textFill>
              </w:rPr>
              <m:t>R</m:t>
            </m:r>
            <m:ctrlPr>
              <w:rPr>
                <w:rFonts w:ascii="Cambria Math" w:hAnsi="Cambria Math" w:cs="宋体"/>
                <w:i/>
                <w:strike w:val="0"/>
                <w:dstrike w:val="0"/>
                <w:color w:val="000000" w:themeColor="text1"/>
                <w:sz w:val="24"/>
                <w:highlight w:val="none"/>
                <w14:textFill>
                  <w14:solidFill>
                    <w14:schemeClr w14:val="tx1"/>
                  </w14:solidFill>
                </w14:textFill>
              </w:rPr>
            </m:ctrlPr>
          </m:e>
          <m:sub>
            <m:r>
              <m:rPr/>
              <w:rPr>
                <w:rFonts w:hint="default" w:ascii="Cambria Math" w:hAnsi="Cambria Math" w:cs="宋体"/>
                <w:strike w:val="0"/>
                <w:dstrike w:val="0"/>
                <w:color w:val="000000" w:themeColor="text1"/>
                <w:sz w:val="24"/>
                <w:highlight w:val="none"/>
                <w:lang w:val="en-US" w:eastAsia="zh-CN"/>
                <w14:textFill>
                  <w14:solidFill>
                    <w14:schemeClr w14:val="tx1"/>
                  </w14:solidFill>
                </w14:textFill>
              </w:rPr>
              <m:t>E</m:t>
            </m:r>
            <m:ctrlPr>
              <w:rPr>
                <w:rFonts w:ascii="Cambria Math" w:hAnsi="Cambria Math" w:cs="宋体"/>
                <w:i/>
                <w:strike w:val="0"/>
                <w:dstrike w:val="0"/>
                <w:color w:val="000000" w:themeColor="text1"/>
                <w:sz w:val="24"/>
                <w:highlight w:val="none"/>
                <w14:textFill>
                  <w14:solidFill>
                    <w14:schemeClr w14:val="tx1"/>
                  </w14:solidFill>
                </w14:textFill>
              </w:rPr>
            </m:ctrlPr>
          </m:sub>
        </m:sSub>
      </m:oMath>
      <w:r>
        <w:rPr>
          <w:rFonts w:hint="eastAsia" w:ascii="宋体" w:hAnsi="宋体" w:cs="宋体"/>
          <w:strike w:val="0"/>
          <w:dstrike w:val="0"/>
          <w:color w:val="000000" w:themeColor="text1"/>
          <w:sz w:val="24"/>
          <w:highlight w:val="none"/>
          <w14:textFill>
            <w14:solidFill>
              <w14:schemeClr w14:val="tx1"/>
            </w14:solidFill>
          </w14:textFill>
        </w:rPr>
        <w:t>——</w:t>
      </w:r>
      <w:r>
        <w:rPr>
          <w:rFonts w:hint="eastAsia" w:ascii="宋体" w:hAnsi="宋体" w:cs="宋体"/>
          <w:strike w:val="0"/>
          <w:dstrike w:val="0"/>
          <w:color w:val="000000" w:themeColor="text1"/>
          <w:sz w:val="24"/>
          <w:highlight w:val="none"/>
          <w:lang w:eastAsia="zh-CN"/>
          <w14:textFill>
            <w14:solidFill>
              <w14:schemeClr w14:val="tx1"/>
            </w14:solidFill>
          </w14:textFill>
        </w:rPr>
        <w:t>地震作用下承载力设计值</w:t>
      </w:r>
      <w:r>
        <w:rPr>
          <w:rFonts w:hint="eastAsia" w:ascii="宋体" w:hAnsi="宋体" w:cs="宋体"/>
          <w:strike w:val="0"/>
          <w:dstrike w:val="0"/>
          <w:color w:val="000000" w:themeColor="text1"/>
          <w:sz w:val="24"/>
          <w:highlight w:val="none"/>
          <w14:textFill>
            <w14:solidFill>
              <w14:schemeClr w14:val="tx1"/>
            </w14:solidFill>
          </w14:textFill>
        </w:rPr>
        <w:t>；</w:t>
      </w:r>
    </w:p>
    <w:p w14:paraId="2762C9D4">
      <w:pPr>
        <w:keepNext w:val="0"/>
        <w:keepLines w:val="0"/>
        <w:pageBreakBefore w:val="0"/>
        <w:widowControl w:val="0"/>
        <w:kinsoku/>
        <w:wordWrap/>
        <w:overflowPunct/>
        <w:topLinePunct w:val="0"/>
        <w:autoSpaceDE/>
        <w:autoSpaceDN/>
        <w:bidi w:val="0"/>
        <w:adjustRightInd/>
        <w:snapToGrid/>
        <w:spacing w:line="400" w:lineRule="exact"/>
        <w:ind w:firstLine="720" w:firstLineChars="300"/>
        <w:textAlignment w:val="auto"/>
        <w:rPr>
          <w:rFonts w:hint="default" w:eastAsia="宋体"/>
          <w:color w:val="000000" w:themeColor="text1"/>
          <w:sz w:val="24"/>
          <w:szCs w:val="24"/>
          <w:lang w:val="en-US" w:eastAsia="zh-CN"/>
          <w14:textFill>
            <w14:solidFill>
              <w14:schemeClr w14:val="tx1"/>
            </w14:solidFill>
          </w14:textFill>
        </w:rPr>
      </w:pPr>
      <m:oMath>
        <m:sSub>
          <m:sSubPr>
            <m:ctrlPr>
              <w:rPr>
                <w:rFonts w:ascii="Cambria Math" w:hAnsi="Cambria Math" w:cs="宋体"/>
                <w:i/>
                <w:strike w:val="0"/>
                <w:dstrike w:val="0"/>
                <w:color w:val="000000" w:themeColor="text1"/>
                <w:sz w:val="24"/>
                <w:highlight w:val="none"/>
                <w14:textFill>
                  <w14:solidFill>
                    <w14:schemeClr w14:val="tx1"/>
                  </w14:solidFill>
                </w14:textFill>
              </w:rPr>
            </m:ctrlPr>
          </m:sSubPr>
          <m:e>
            <m:r>
              <m:rPr/>
              <w:rPr>
                <w:rFonts w:ascii="Cambria Math" w:hAnsi="Cambria Math" w:cs="宋体"/>
                <w:strike w:val="0"/>
                <w:dstrike w:val="0"/>
                <w:color w:val="000000" w:themeColor="text1"/>
                <w:sz w:val="24"/>
                <w:highlight w:val="none"/>
                <w14:textFill>
                  <w14:solidFill>
                    <w14:schemeClr w14:val="tx1"/>
                  </w14:solidFill>
                </w14:textFill>
              </w:rPr>
              <m:t xml:space="preserve"> γ</m:t>
            </m:r>
            <m:ctrlPr>
              <w:rPr>
                <w:rFonts w:ascii="Cambria Math" w:hAnsi="Cambria Math" w:cs="宋体"/>
                <w:i/>
                <w:strike w:val="0"/>
                <w:dstrike w:val="0"/>
                <w:color w:val="000000" w:themeColor="text1"/>
                <w:sz w:val="24"/>
                <w:highlight w:val="none"/>
                <w14:textFill>
                  <w14:solidFill>
                    <w14:schemeClr w14:val="tx1"/>
                  </w14:solidFill>
                </w14:textFill>
              </w:rPr>
            </m:ctrlPr>
          </m:e>
          <m:sub>
            <m:r>
              <m:rPr/>
              <w:rPr>
                <w:rFonts w:hint="default" w:ascii="Cambria Math" w:hAnsi="Cambria Math" w:cs="宋体"/>
                <w:strike w:val="0"/>
                <w:dstrike w:val="0"/>
                <w:color w:val="000000" w:themeColor="text1"/>
                <w:sz w:val="24"/>
                <w:highlight w:val="none"/>
                <w:lang w:val="en-US" w:eastAsia="zh-CN"/>
                <w14:textFill>
                  <w14:solidFill>
                    <w14:schemeClr w14:val="tx1"/>
                  </w14:solidFill>
                </w14:textFill>
              </w:rPr>
              <m:t>RE</m:t>
            </m:r>
            <m:ctrlPr>
              <w:rPr>
                <w:rFonts w:ascii="Cambria Math" w:hAnsi="Cambria Math" w:cs="宋体"/>
                <w:i/>
                <w:strike w:val="0"/>
                <w:dstrike w:val="0"/>
                <w:color w:val="000000" w:themeColor="text1"/>
                <w:sz w:val="24"/>
                <w:highlight w:val="none"/>
                <w14:textFill>
                  <w14:solidFill>
                    <w14:schemeClr w14:val="tx1"/>
                  </w14:solidFill>
                </w14:textFill>
              </w:rPr>
            </m:ctrlPr>
          </m:sub>
        </m:sSub>
      </m:oMath>
      <w:r>
        <w:rPr>
          <w:rFonts w:hint="eastAsia" w:ascii="宋体" w:hAnsi="宋体" w:cs="宋体"/>
          <w:strike w:val="0"/>
          <w:dstrike w:val="0"/>
          <w:color w:val="000000" w:themeColor="text1"/>
          <w:sz w:val="24"/>
          <w:highlight w:val="none"/>
          <w14:textFill>
            <w14:solidFill>
              <w14:schemeClr w14:val="tx1"/>
            </w14:solidFill>
          </w14:textFill>
        </w:rPr>
        <w:t>——</w:t>
      </w:r>
      <w:r>
        <w:rPr>
          <w:rFonts w:hint="eastAsia" w:ascii="宋体" w:hAnsi="宋体" w:cs="宋体"/>
          <w:strike w:val="0"/>
          <w:dstrike w:val="0"/>
          <w:color w:val="000000" w:themeColor="text1"/>
          <w:sz w:val="24"/>
          <w:highlight w:val="none"/>
          <w:lang w:eastAsia="zh-CN"/>
          <w14:textFill>
            <w14:solidFill>
              <w14:schemeClr w14:val="tx1"/>
            </w14:solidFill>
          </w14:textFill>
        </w:rPr>
        <w:t>承载力抗震调整系数。</w:t>
      </w:r>
    </w:p>
    <w:p w14:paraId="6353C77E">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themeColor="text1"/>
          <w:sz w:val="24"/>
          <w:szCs w:val="24"/>
          <w14:textFill>
            <w14:solidFill>
              <w14:schemeClr w14:val="tx1"/>
            </w14:solidFill>
          </w14:textFill>
        </w:rPr>
      </w:pPr>
    </w:p>
    <w:p w14:paraId="55984D1C">
      <w:pPr>
        <w:keepNext w:val="0"/>
        <w:keepLines w:val="0"/>
        <w:pageBreakBefore w:val="0"/>
        <w:widowControl w:val="0"/>
        <w:kinsoku/>
        <w:wordWrap/>
        <w:overflowPunct/>
        <w:topLinePunct w:val="0"/>
        <w:autoSpaceDE/>
        <w:autoSpaceDN/>
        <w:bidi w:val="0"/>
        <w:adjustRightInd/>
        <w:snapToGrid/>
        <w:spacing w:line="360" w:lineRule="auto"/>
        <w:textAlignment w:val="auto"/>
        <w:rPr>
          <w:color w:val="000000" w:themeColor="text1"/>
          <w:sz w:val="24"/>
          <w:szCs w:val="24"/>
          <w14:textFill>
            <w14:solidFill>
              <w14:schemeClr w14:val="tx1"/>
            </w14:solidFill>
          </w14:textFill>
        </w:rPr>
      </w:pPr>
      <w:r>
        <w:rPr>
          <w:rFonts w:hint="eastAsia"/>
          <w:b/>
          <w:bCs/>
          <w:strike w:val="0"/>
          <w:dstrike w:val="0"/>
          <w:color w:val="000000" w:themeColor="text1"/>
          <w:sz w:val="24"/>
          <w:highlight w:val="none"/>
          <w14:textFill>
            <w14:solidFill>
              <w14:schemeClr w14:val="tx1"/>
            </w14:solidFill>
          </w14:textFill>
        </w:rPr>
        <w:t>5.3.1</w:t>
      </w:r>
      <w:r>
        <w:rPr>
          <w:rFonts w:hint="eastAsia"/>
          <w:b/>
          <w:bCs/>
          <w:strike w:val="0"/>
          <w:dstrike w:val="0"/>
          <w:color w:val="000000" w:themeColor="text1"/>
          <w:sz w:val="24"/>
          <w:highlight w:val="none"/>
          <w:lang w:val="en-US" w:eastAsia="zh-CN"/>
          <w14:textFill>
            <w14:solidFill>
              <w14:schemeClr w14:val="tx1"/>
            </w14:solidFill>
          </w14:textFill>
        </w:rPr>
        <w:t xml:space="preserve">0 </w:t>
      </w:r>
      <w:r>
        <w:rPr>
          <w:rFonts w:hint="eastAsia"/>
          <w:b w:val="0"/>
          <w:bCs w:val="0"/>
          <w:strike w:val="0"/>
          <w:dstrike w:val="0"/>
          <w:color w:val="000000" w:themeColor="text1"/>
          <w:sz w:val="24"/>
          <w:highlight w:val="none"/>
          <w:lang w:val="en-US" w:eastAsia="zh-CN"/>
          <w14:textFill>
            <w14:solidFill>
              <w14:schemeClr w14:val="tx1"/>
            </w14:solidFill>
          </w14:textFill>
        </w:rPr>
        <w:t>墙板及</w:t>
      </w:r>
      <w:r>
        <w:rPr>
          <w:rFonts w:hint="eastAsia"/>
          <w:color w:val="000000" w:themeColor="text1"/>
          <w:sz w:val="24"/>
          <w:szCs w:val="24"/>
          <w:lang w:eastAsia="zh-CN"/>
          <w14:textFill>
            <w14:solidFill>
              <w14:schemeClr w14:val="tx1"/>
            </w14:solidFill>
          </w14:textFill>
        </w:rPr>
        <w:t>连接</w:t>
      </w:r>
      <w:r>
        <w:rPr>
          <w:rFonts w:hint="eastAsia"/>
          <w:color w:val="000000" w:themeColor="text1"/>
          <w:sz w:val="24"/>
          <w:szCs w:val="24"/>
          <w14:textFill>
            <w14:solidFill>
              <w14:schemeClr w14:val="tx1"/>
            </w14:solidFill>
          </w14:textFill>
        </w:rPr>
        <w:t>设计时，结构重要性系数γ</w:t>
      </w:r>
      <w:r>
        <w:rPr>
          <w:rFonts w:hint="eastAsia"/>
          <w:color w:val="000000" w:themeColor="text1"/>
          <w:sz w:val="24"/>
          <w:szCs w:val="24"/>
          <w:vertAlign w:val="subscript"/>
          <w14:textFill>
            <w14:solidFill>
              <w14:schemeClr w14:val="tx1"/>
            </w14:solidFill>
          </w14:textFill>
        </w:rPr>
        <w:t>0</w:t>
      </w:r>
      <w:r>
        <w:rPr>
          <w:rFonts w:hint="eastAsia"/>
          <w:color w:val="000000" w:themeColor="text1"/>
          <w:sz w:val="24"/>
          <w:szCs w:val="24"/>
          <w14:textFill>
            <w14:solidFill>
              <w14:schemeClr w14:val="tx1"/>
            </w14:solidFill>
          </w14:textFill>
        </w:rPr>
        <w:t>不应小于1.0，</w:t>
      </w:r>
      <w:r>
        <w:rPr>
          <w:rFonts w:hint="eastAsia"/>
          <w:b w:val="0"/>
          <w:bCs w:val="0"/>
          <w:strike w:val="0"/>
          <w:dstrike w:val="0"/>
          <w:color w:val="000000" w:themeColor="text1"/>
          <w:sz w:val="24"/>
          <w:highlight w:val="none"/>
          <w:lang w:val="en-US" w:eastAsia="zh-CN"/>
          <w14:textFill>
            <w14:solidFill>
              <w14:schemeClr w14:val="tx1"/>
            </w14:solidFill>
          </w14:textFill>
        </w:rPr>
        <w:t>墙板及</w:t>
      </w:r>
      <w:r>
        <w:rPr>
          <w:rFonts w:hint="eastAsia"/>
          <w:color w:val="000000" w:themeColor="text1"/>
          <w:sz w:val="24"/>
          <w:szCs w:val="24"/>
          <w:lang w:eastAsia="zh-CN"/>
          <w14:textFill>
            <w14:solidFill>
              <w14:schemeClr w14:val="tx1"/>
            </w14:solidFill>
          </w14:textFill>
        </w:rPr>
        <w:t>连接的</w:t>
      </w:r>
      <w:r>
        <w:rPr>
          <w:rFonts w:hint="eastAsia"/>
          <w:color w:val="000000" w:themeColor="text1"/>
          <w:sz w:val="24"/>
          <w:szCs w:val="24"/>
          <w14:textFill>
            <w14:solidFill>
              <w14:schemeClr w14:val="tx1"/>
            </w14:solidFill>
          </w14:textFill>
        </w:rPr>
        <w:t>承载力抗震调整系数γ</w:t>
      </w:r>
      <w:r>
        <w:rPr>
          <w:rFonts w:hint="eastAsia"/>
          <w:color w:val="000000" w:themeColor="text1"/>
          <w:sz w:val="24"/>
          <w:szCs w:val="24"/>
          <w:vertAlign w:val="subscript"/>
          <w14:textFill>
            <w14:solidFill>
              <w14:schemeClr w14:val="tx1"/>
            </w14:solidFill>
          </w14:textFill>
        </w:rPr>
        <w:t>RE</w:t>
      </w:r>
      <w:r>
        <w:rPr>
          <w:rFonts w:hint="eastAsia"/>
          <w:color w:val="000000" w:themeColor="text1"/>
          <w:sz w:val="24"/>
          <w:szCs w:val="24"/>
          <w14:textFill>
            <w14:solidFill>
              <w14:schemeClr w14:val="tx1"/>
            </w14:solidFill>
          </w14:textFill>
        </w:rPr>
        <w:t>应取1.0。</w:t>
      </w:r>
      <w:r>
        <w:rPr>
          <w:rFonts w:hint="eastAsia"/>
          <w:b w:val="0"/>
          <w:bCs w:val="0"/>
          <w:strike w:val="0"/>
          <w:dstrike w:val="0"/>
          <w:color w:val="000000" w:themeColor="text1"/>
          <w:sz w:val="24"/>
          <w:highlight w:val="none"/>
          <w:lang w:val="en-US" w:eastAsia="zh-CN"/>
          <w14:textFill>
            <w14:solidFill>
              <w14:schemeClr w14:val="tx1"/>
            </w14:solidFill>
          </w14:textFill>
        </w:rPr>
        <w:t>墙板及</w:t>
      </w:r>
      <w:r>
        <w:rPr>
          <w:rFonts w:hint="eastAsia"/>
          <w:color w:val="000000" w:themeColor="text1"/>
          <w:sz w:val="24"/>
          <w:szCs w:val="24"/>
          <w:lang w:eastAsia="zh-CN"/>
          <w14:textFill>
            <w14:solidFill>
              <w14:schemeClr w14:val="tx1"/>
            </w14:solidFill>
          </w14:textFill>
        </w:rPr>
        <w:t>连接</w:t>
      </w:r>
      <w:r>
        <w:rPr>
          <w:rFonts w:hint="eastAsia"/>
          <w:color w:val="000000" w:themeColor="text1"/>
          <w:sz w:val="24"/>
          <w:szCs w:val="24"/>
          <w14:textFill>
            <w14:solidFill>
              <w14:schemeClr w14:val="tx1"/>
            </w14:solidFill>
          </w14:textFill>
        </w:rPr>
        <w:t>的承载力验算应采用荷载效应基本组合的设计值，变形验算应采用荷载效应标准组合的设计值。</w:t>
      </w:r>
    </w:p>
    <w:p w14:paraId="2CD4735E">
      <w:pPr>
        <w:pStyle w:val="2"/>
        <w:spacing w:after="0" w:line="360" w:lineRule="auto"/>
        <w:rPr>
          <w:rFonts w:ascii="宋体" w:hAnsi="宋体" w:cs="宋体"/>
          <w:strike w:val="0"/>
          <w:dstrike w:val="0"/>
          <w:sz w:val="24"/>
          <w:highlight w:val="none"/>
        </w:rPr>
      </w:pPr>
      <w:r>
        <w:rPr>
          <w:rFonts w:hint="eastAsia"/>
          <w:b/>
          <w:bCs/>
          <w:strike w:val="0"/>
          <w:dstrike w:val="0"/>
          <w:sz w:val="24"/>
          <w:highlight w:val="none"/>
        </w:rPr>
        <w:t>5.3.1</w:t>
      </w:r>
      <w:r>
        <w:rPr>
          <w:rFonts w:hint="eastAsia"/>
          <w:b/>
          <w:bCs/>
          <w:strike w:val="0"/>
          <w:dstrike w:val="0"/>
          <w:sz w:val="24"/>
          <w:highlight w:val="none"/>
          <w:lang w:val="en-US" w:eastAsia="zh-CN"/>
        </w:rPr>
        <w:t>1</w:t>
      </w:r>
      <w:r>
        <w:rPr>
          <w:rFonts w:hint="eastAsia" w:ascii="宋体" w:hAnsi="宋体" w:cs="宋体"/>
          <w:strike w:val="0"/>
          <w:dstrike w:val="0"/>
          <w:sz w:val="24"/>
          <w:highlight w:val="none"/>
        </w:rPr>
        <w:t xml:space="preserve"> 预制集成保温外墙板中，应明确锚固件与保温板反向拉拔承载力设计值、与保温板局部承载压力设计值、与混凝土的拉拔承载力设计值、尾盘与锚杆抗拉承载力设计值应分别按</w:t>
      </w:r>
      <w:r>
        <w:rPr>
          <w:rFonts w:hint="eastAsia" w:ascii="宋体" w:hAnsi="宋体" w:cs="宋体"/>
          <w:strike w:val="0"/>
          <w:dstrike w:val="0"/>
          <w:sz w:val="24"/>
          <w:highlight w:val="none"/>
          <w:lang w:eastAsia="zh-CN"/>
        </w:rPr>
        <w:t>下列公</w:t>
      </w:r>
      <w:r>
        <w:rPr>
          <w:rFonts w:hint="eastAsia" w:ascii="宋体" w:hAnsi="宋体" w:cs="宋体"/>
          <w:strike w:val="0"/>
          <w:dstrike w:val="0"/>
          <w:sz w:val="24"/>
          <w:highlight w:val="none"/>
        </w:rPr>
        <w:t>式</w:t>
      </w:r>
      <w:r>
        <w:rPr>
          <w:rFonts w:hint="eastAsia" w:ascii="宋体" w:hAnsi="宋体" w:cs="宋体"/>
          <w:strike w:val="0"/>
          <w:dstrike w:val="0"/>
          <w:sz w:val="24"/>
          <w:highlight w:val="none"/>
          <w:lang w:eastAsia="zh-CN"/>
        </w:rPr>
        <w:t>计算</w:t>
      </w:r>
      <w:r>
        <w:rPr>
          <w:rFonts w:hint="eastAsia" w:ascii="宋体" w:hAnsi="宋体" w:cs="宋体"/>
          <w:strike w:val="0"/>
          <w:dstrike w:val="0"/>
          <w:sz w:val="24"/>
          <w:highlight w:val="none"/>
        </w:rPr>
        <w:t>。</w:t>
      </w:r>
    </w:p>
    <w:p w14:paraId="0B50D9D6">
      <w:pPr>
        <w:spacing w:line="360" w:lineRule="auto"/>
        <w:jc w:val="right"/>
        <w:rPr>
          <w:rFonts w:ascii="宋体" w:hAnsi="宋体" w:cs="宋体"/>
          <w:strike w:val="0"/>
          <w:dstrike w:val="0"/>
          <w:sz w:val="24"/>
          <w:highlight w:val="none"/>
        </w:rPr>
      </w:pPr>
      <m:oMath>
        <m:sSub>
          <m:sSubPr>
            <m:ctrlPr>
              <w:rPr>
                <w:rFonts w:ascii="Cambria Math" w:hAnsi="Cambria Math" w:cs="宋体"/>
                <w:i/>
                <w:strike w:val="0"/>
                <w:dstrike w:val="0"/>
                <w:sz w:val="24"/>
                <w:highlight w:val="none"/>
              </w:rPr>
            </m:ctrlPr>
          </m:sSubPr>
          <m:e>
            <m:r>
              <m:rPr/>
              <w:rPr>
                <w:rFonts w:ascii="Cambria Math" w:hAnsi="Cambria Math" w:cs="宋体"/>
                <w:strike w:val="0"/>
                <w:dstrike w:val="0"/>
                <w:sz w:val="24"/>
                <w:highlight w:val="none"/>
              </w:rPr>
              <m:t>R</m:t>
            </m:r>
            <m:ctrlPr>
              <w:rPr>
                <w:rFonts w:ascii="Cambria Math" w:hAnsi="Cambria Math" w:cs="宋体"/>
                <w:i/>
                <w:strike w:val="0"/>
                <w:dstrike w:val="0"/>
                <w:sz w:val="24"/>
                <w:highlight w:val="none"/>
              </w:rPr>
            </m:ctrlPr>
          </m:e>
          <m:sub>
            <m:r>
              <m:rPr/>
              <w:rPr>
                <w:rFonts w:ascii="Cambria Math" w:hAnsi="Cambria Math" w:cs="宋体"/>
                <w:strike w:val="0"/>
                <w:dstrike w:val="0"/>
                <w:sz w:val="24"/>
                <w:highlight w:val="none"/>
              </w:rPr>
              <m:t>t</m:t>
            </m:r>
            <m:ctrlPr>
              <w:rPr>
                <w:rFonts w:ascii="Cambria Math" w:hAnsi="Cambria Math" w:cs="宋体"/>
                <w:i/>
                <w:strike w:val="0"/>
                <w:dstrike w:val="0"/>
                <w:sz w:val="24"/>
                <w:highlight w:val="none"/>
              </w:rPr>
            </m:ctrlPr>
          </m:sub>
        </m:sSub>
        <m:r>
          <m:rPr/>
          <w:rPr>
            <w:rFonts w:ascii="Cambria Math" w:hAnsi="Cambria Math" w:cs="宋体"/>
            <w:strike w:val="0"/>
            <w:dstrike w:val="0"/>
            <w:sz w:val="24"/>
            <w:highlight w:val="none"/>
          </w:rPr>
          <m:t>=</m:t>
        </m:r>
        <m:f>
          <m:fPr>
            <m:type m:val="lin"/>
            <m:ctrlPr>
              <w:rPr>
                <w:rFonts w:ascii="Cambria Math" w:hAnsi="Cambria Math" w:cs="宋体"/>
                <w:i/>
                <w:strike w:val="0"/>
                <w:dstrike w:val="0"/>
                <w:sz w:val="24"/>
                <w:highlight w:val="none"/>
              </w:rPr>
            </m:ctrlPr>
          </m:fPr>
          <m:num>
            <m:sSub>
              <m:sSubPr>
                <m:ctrlPr>
                  <w:rPr>
                    <w:rFonts w:ascii="Cambria Math" w:hAnsi="Cambria Math" w:cs="宋体"/>
                    <w:i/>
                    <w:strike w:val="0"/>
                    <w:dstrike w:val="0"/>
                    <w:sz w:val="24"/>
                    <w:highlight w:val="none"/>
                  </w:rPr>
                </m:ctrlPr>
              </m:sSubPr>
              <m:e>
                <m:r>
                  <m:rPr/>
                  <w:rPr>
                    <w:rFonts w:ascii="Cambria Math" w:hAnsi="Cambria Math" w:cs="宋体"/>
                    <w:strike w:val="0"/>
                    <w:dstrike w:val="0"/>
                    <w:sz w:val="24"/>
                    <w:highlight w:val="none"/>
                  </w:rPr>
                  <m:t>R</m:t>
                </m:r>
                <m:ctrlPr>
                  <w:rPr>
                    <w:rFonts w:ascii="Cambria Math" w:hAnsi="Cambria Math" w:cs="宋体"/>
                    <w:i/>
                    <w:strike w:val="0"/>
                    <w:dstrike w:val="0"/>
                    <w:sz w:val="24"/>
                    <w:highlight w:val="none"/>
                  </w:rPr>
                </m:ctrlPr>
              </m:e>
              <m:sub>
                <m:r>
                  <m:rPr/>
                  <w:rPr>
                    <w:rFonts w:ascii="Cambria Math" w:hAnsi="Cambria Math" w:cs="宋体"/>
                    <w:strike w:val="0"/>
                    <w:dstrike w:val="0"/>
                    <w:sz w:val="24"/>
                    <w:highlight w:val="none"/>
                  </w:rPr>
                  <m:t>tm</m:t>
                </m:r>
                <m:ctrlPr>
                  <w:rPr>
                    <w:rFonts w:ascii="Cambria Math" w:hAnsi="Cambria Math" w:cs="宋体"/>
                    <w:i/>
                    <w:strike w:val="0"/>
                    <w:dstrike w:val="0"/>
                    <w:sz w:val="24"/>
                    <w:highlight w:val="none"/>
                  </w:rPr>
                </m:ctrlPr>
              </m:sub>
            </m:sSub>
            <m:ctrlPr>
              <w:rPr>
                <w:rFonts w:ascii="Cambria Math" w:hAnsi="Cambria Math" w:cs="宋体"/>
                <w:i/>
                <w:strike w:val="0"/>
                <w:dstrike w:val="0"/>
                <w:sz w:val="24"/>
                <w:highlight w:val="none"/>
              </w:rPr>
            </m:ctrlPr>
          </m:num>
          <m:den>
            <m:sSub>
              <m:sSubPr>
                <m:ctrlPr>
                  <w:rPr>
                    <w:rFonts w:ascii="Cambria Math" w:hAnsi="Cambria Math" w:cs="宋体"/>
                    <w:i/>
                    <w:strike w:val="0"/>
                    <w:dstrike w:val="0"/>
                    <w:sz w:val="24"/>
                    <w:highlight w:val="none"/>
                  </w:rPr>
                </m:ctrlPr>
              </m:sSubPr>
              <m:e>
                <m:r>
                  <m:rPr/>
                  <w:rPr>
                    <w:rFonts w:ascii="Cambria Math" w:hAnsi="Cambria Math" w:cs="宋体"/>
                    <w:strike w:val="0"/>
                    <w:dstrike w:val="0"/>
                    <w:sz w:val="24"/>
                    <w:highlight w:val="none"/>
                  </w:rPr>
                  <m:t>γ</m:t>
                </m:r>
                <m:ctrlPr>
                  <w:rPr>
                    <w:rFonts w:ascii="Cambria Math" w:hAnsi="Cambria Math" w:cs="宋体"/>
                    <w:i/>
                    <w:strike w:val="0"/>
                    <w:dstrike w:val="0"/>
                    <w:sz w:val="24"/>
                    <w:highlight w:val="none"/>
                  </w:rPr>
                </m:ctrlPr>
              </m:e>
              <m:sub>
                <m:r>
                  <m:rPr/>
                  <w:rPr>
                    <w:rFonts w:ascii="Cambria Math" w:hAnsi="Cambria Math" w:cs="宋体"/>
                    <w:strike w:val="0"/>
                    <w:dstrike w:val="0"/>
                    <w:sz w:val="24"/>
                    <w:highlight w:val="none"/>
                  </w:rPr>
                  <m:t>t</m:t>
                </m:r>
                <m:ctrlPr>
                  <w:rPr>
                    <w:rFonts w:ascii="Cambria Math" w:hAnsi="Cambria Math" w:cs="宋体"/>
                    <w:i/>
                    <w:strike w:val="0"/>
                    <w:dstrike w:val="0"/>
                    <w:sz w:val="24"/>
                    <w:highlight w:val="none"/>
                  </w:rPr>
                </m:ctrlPr>
              </m:sub>
            </m:sSub>
            <m:ctrlPr>
              <w:rPr>
                <w:rFonts w:ascii="Cambria Math" w:hAnsi="Cambria Math" w:cs="宋体"/>
                <w:i/>
                <w:strike w:val="0"/>
                <w:dstrike w:val="0"/>
                <w:sz w:val="24"/>
                <w:highlight w:val="none"/>
              </w:rPr>
            </m:ctrlPr>
          </m:den>
        </m:f>
      </m:oMath>
      <w:r>
        <w:rPr>
          <w:rFonts w:hint="eastAsia" w:hAnsi="Cambria Math" w:cs="宋体"/>
          <w:strike w:val="0"/>
          <w:dstrike w:val="0"/>
          <w:sz w:val="24"/>
          <w:highlight w:val="none"/>
        </w:rPr>
        <w:t xml:space="preserve">                    (5.3.1</w:t>
      </w:r>
      <w:r>
        <w:rPr>
          <w:rFonts w:hint="eastAsia" w:hAnsi="Cambria Math" w:cs="宋体"/>
          <w:strike w:val="0"/>
          <w:dstrike w:val="0"/>
          <w:sz w:val="24"/>
          <w:highlight w:val="none"/>
          <w:lang w:val="en-US" w:eastAsia="zh-CN"/>
        </w:rPr>
        <w:t>1</w:t>
      </w:r>
      <w:r>
        <w:rPr>
          <w:rFonts w:hint="eastAsia" w:hAnsi="Cambria Math" w:cs="宋体"/>
          <w:strike w:val="0"/>
          <w:dstrike w:val="0"/>
          <w:sz w:val="24"/>
          <w:highlight w:val="none"/>
        </w:rPr>
        <w:t>-1)</w:t>
      </w:r>
    </w:p>
    <w:p w14:paraId="7A1D9F6E">
      <w:pPr>
        <w:spacing w:line="360" w:lineRule="auto"/>
        <w:jc w:val="right"/>
        <w:rPr>
          <w:rFonts w:ascii="宋体" w:hAnsi="宋体" w:cs="宋体"/>
          <w:strike w:val="0"/>
          <w:dstrike w:val="0"/>
          <w:sz w:val="24"/>
          <w:highlight w:val="none"/>
        </w:rPr>
      </w:pPr>
      <m:oMath>
        <m:sSub>
          <m:sSubPr>
            <m:ctrlPr>
              <w:rPr>
                <w:rFonts w:ascii="Cambria Math" w:hAnsi="Cambria Math" w:cs="宋体"/>
                <w:i/>
                <w:strike w:val="0"/>
                <w:dstrike w:val="0"/>
                <w:sz w:val="24"/>
                <w:highlight w:val="none"/>
              </w:rPr>
            </m:ctrlPr>
          </m:sSubPr>
          <m:e>
            <m:r>
              <m:rPr/>
              <w:rPr>
                <w:rFonts w:ascii="Cambria Math" w:hAnsi="Cambria Math" w:cs="宋体"/>
                <w:strike w:val="0"/>
                <w:dstrike w:val="0"/>
                <w:sz w:val="24"/>
                <w:highlight w:val="none"/>
              </w:rPr>
              <m:t>R</m:t>
            </m:r>
            <m:ctrlPr>
              <w:rPr>
                <w:rFonts w:ascii="Cambria Math" w:hAnsi="Cambria Math" w:cs="宋体"/>
                <w:i/>
                <w:strike w:val="0"/>
                <w:dstrike w:val="0"/>
                <w:sz w:val="24"/>
                <w:highlight w:val="none"/>
              </w:rPr>
            </m:ctrlPr>
          </m:e>
          <m:sub>
            <m:r>
              <m:rPr/>
              <w:rPr>
                <w:rFonts w:ascii="Cambria Math" w:hAnsi="Cambria Math" w:cs="宋体"/>
                <w:strike w:val="0"/>
                <w:dstrike w:val="0"/>
                <w:sz w:val="24"/>
                <w:highlight w:val="none"/>
              </w:rPr>
              <m:t>c</m:t>
            </m:r>
            <m:ctrlPr>
              <w:rPr>
                <w:rFonts w:ascii="Cambria Math" w:hAnsi="Cambria Math" w:cs="宋体"/>
                <w:i/>
                <w:strike w:val="0"/>
                <w:dstrike w:val="0"/>
                <w:sz w:val="24"/>
                <w:highlight w:val="none"/>
              </w:rPr>
            </m:ctrlPr>
          </m:sub>
        </m:sSub>
        <m:r>
          <m:rPr/>
          <w:rPr>
            <w:rFonts w:ascii="Cambria Math" w:hAnsi="Cambria Math" w:cs="宋体"/>
            <w:strike w:val="0"/>
            <w:dstrike w:val="0"/>
            <w:sz w:val="24"/>
            <w:highlight w:val="none"/>
          </w:rPr>
          <m:t>=</m:t>
        </m:r>
        <m:f>
          <m:fPr>
            <m:type m:val="lin"/>
            <m:ctrlPr>
              <w:rPr>
                <w:rFonts w:ascii="Cambria Math" w:hAnsi="Cambria Math" w:cs="宋体"/>
                <w:i/>
                <w:strike w:val="0"/>
                <w:dstrike w:val="0"/>
                <w:sz w:val="24"/>
                <w:highlight w:val="none"/>
              </w:rPr>
            </m:ctrlPr>
          </m:fPr>
          <m:num>
            <m:sSub>
              <m:sSubPr>
                <m:ctrlPr>
                  <w:rPr>
                    <w:rFonts w:ascii="Cambria Math" w:hAnsi="Cambria Math" w:cs="宋体"/>
                    <w:i/>
                    <w:strike w:val="0"/>
                    <w:dstrike w:val="0"/>
                    <w:sz w:val="24"/>
                    <w:highlight w:val="none"/>
                  </w:rPr>
                </m:ctrlPr>
              </m:sSubPr>
              <m:e>
                <m:r>
                  <m:rPr/>
                  <w:rPr>
                    <w:rFonts w:ascii="Cambria Math" w:hAnsi="Cambria Math" w:cs="宋体"/>
                    <w:strike w:val="0"/>
                    <w:dstrike w:val="0"/>
                    <w:sz w:val="24"/>
                    <w:highlight w:val="none"/>
                  </w:rPr>
                  <m:t>R</m:t>
                </m:r>
                <m:ctrlPr>
                  <w:rPr>
                    <w:rFonts w:ascii="Cambria Math" w:hAnsi="Cambria Math" w:cs="宋体"/>
                    <w:i/>
                    <w:strike w:val="0"/>
                    <w:dstrike w:val="0"/>
                    <w:sz w:val="24"/>
                    <w:highlight w:val="none"/>
                  </w:rPr>
                </m:ctrlPr>
              </m:e>
              <m:sub>
                <m:r>
                  <m:rPr/>
                  <w:rPr>
                    <w:rFonts w:ascii="Cambria Math" w:hAnsi="Cambria Math" w:cs="宋体"/>
                    <w:strike w:val="0"/>
                    <w:dstrike w:val="0"/>
                    <w:sz w:val="24"/>
                    <w:highlight w:val="none"/>
                  </w:rPr>
                  <m:t>cm</m:t>
                </m:r>
                <m:ctrlPr>
                  <w:rPr>
                    <w:rFonts w:ascii="Cambria Math" w:hAnsi="Cambria Math" w:cs="宋体"/>
                    <w:i/>
                    <w:strike w:val="0"/>
                    <w:dstrike w:val="0"/>
                    <w:sz w:val="24"/>
                    <w:highlight w:val="none"/>
                  </w:rPr>
                </m:ctrlPr>
              </m:sub>
            </m:sSub>
            <m:ctrlPr>
              <w:rPr>
                <w:rFonts w:ascii="Cambria Math" w:hAnsi="Cambria Math" w:cs="宋体"/>
                <w:i/>
                <w:strike w:val="0"/>
                <w:dstrike w:val="0"/>
                <w:sz w:val="24"/>
                <w:highlight w:val="none"/>
              </w:rPr>
            </m:ctrlPr>
          </m:num>
          <m:den>
            <m:sSub>
              <m:sSubPr>
                <m:ctrlPr>
                  <w:rPr>
                    <w:rFonts w:ascii="Cambria Math" w:hAnsi="Cambria Math" w:cs="宋体"/>
                    <w:i/>
                    <w:strike w:val="0"/>
                    <w:dstrike w:val="0"/>
                    <w:sz w:val="24"/>
                    <w:highlight w:val="none"/>
                  </w:rPr>
                </m:ctrlPr>
              </m:sSubPr>
              <m:e>
                <m:r>
                  <m:rPr/>
                  <w:rPr>
                    <w:rFonts w:ascii="Cambria Math" w:hAnsi="Cambria Math" w:cs="宋体"/>
                    <w:strike w:val="0"/>
                    <w:dstrike w:val="0"/>
                    <w:sz w:val="24"/>
                    <w:highlight w:val="none"/>
                  </w:rPr>
                  <m:t>γ</m:t>
                </m:r>
                <m:ctrlPr>
                  <w:rPr>
                    <w:rFonts w:ascii="Cambria Math" w:hAnsi="Cambria Math" w:cs="宋体"/>
                    <w:i/>
                    <w:strike w:val="0"/>
                    <w:dstrike w:val="0"/>
                    <w:sz w:val="24"/>
                    <w:highlight w:val="none"/>
                  </w:rPr>
                </m:ctrlPr>
              </m:e>
              <m:sub>
                <m:r>
                  <m:rPr/>
                  <w:rPr>
                    <w:rFonts w:ascii="Cambria Math" w:hAnsi="Cambria Math" w:cs="宋体"/>
                    <w:strike w:val="0"/>
                    <w:dstrike w:val="0"/>
                    <w:sz w:val="24"/>
                    <w:highlight w:val="none"/>
                  </w:rPr>
                  <m:t>c</m:t>
                </m:r>
                <m:ctrlPr>
                  <w:rPr>
                    <w:rFonts w:ascii="Cambria Math" w:hAnsi="Cambria Math" w:cs="宋体"/>
                    <w:i/>
                    <w:strike w:val="0"/>
                    <w:dstrike w:val="0"/>
                    <w:sz w:val="24"/>
                    <w:highlight w:val="none"/>
                  </w:rPr>
                </m:ctrlPr>
              </m:sub>
            </m:sSub>
            <m:ctrlPr>
              <w:rPr>
                <w:rFonts w:ascii="Cambria Math" w:hAnsi="Cambria Math" w:cs="宋体"/>
                <w:i/>
                <w:strike w:val="0"/>
                <w:dstrike w:val="0"/>
                <w:sz w:val="24"/>
                <w:highlight w:val="none"/>
              </w:rPr>
            </m:ctrlPr>
          </m:den>
        </m:f>
      </m:oMath>
      <w:r>
        <w:rPr>
          <w:rFonts w:hint="eastAsia" w:hAnsi="Cambria Math" w:cs="宋体"/>
          <w:strike w:val="0"/>
          <w:dstrike w:val="0"/>
          <w:sz w:val="24"/>
          <w:highlight w:val="none"/>
        </w:rPr>
        <w:t xml:space="preserve">                    (5.3.1</w:t>
      </w:r>
      <w:r>
        <w:rPr>
          <w:rFonts w:hint="eastAsia" w:hAnsi="Cambria Math" w:cs="宋体"/>
          <w:strike w:val="0"/>
          <w:dstrike w:val="0"/>
          <w:sz w:val="24"/>
          <w:highlight w:val="none"/>
          <w:lang w:val="en-US" w:eastAsia="zh-CN"/>
        </w:rPr>
        <w:t>1</w:t>
      </w:r>
      <w:r>
        <w:rPr>
          <w:rFonts w:hint="eastAsia" w:hAnsi="Cambria Math" w:cs="宋体"/>
          <w:strike w:val="0"/>
          <w:dstrike w:val="0"/>
          <w:sz w:val="24"/>
          <w:highlight w:val="none"/>
        </w:rPr>
        <w:t>-2)</w:t>
      </w:r>
    </w:p>
    <w:p w14:paraId="5A00A33A">
      <w:pPr>
        <w:spacing w:line="360" w:lineRule="auto"/>
        <w:jc w:val="right"/>
        <w:rPr>
          <w:rFonts w:ascii="宋体" w:hAnsi="宋体" w:cs="宋体"/>
          <w:strike w:val="0"/>
          <w:dstrike w:val="0"/>
          <w:sz w:val="24"/>
          <w:highlight w:val="none"/>
        </w:rPr>
      </w:pPr>
      <m:oMath>
        <m:sSub>
          <m:sSubPr>
            <m:ctrlPr>
              <w:rPr>
                <w:rFonts w:ascii="Cambria Math" w:hAnsi="Cambria Math" w:cs="宋体"/>
                <w:i/>
                <w:strike w:val="0"/>
                <w:dstrike w:val="0"/>
                <w:sz w:val="24"/>
                <w:highlight w:val="none"/>
              </w:rPr>
            </m:ctrlPr>
          </m:sSubPr>
          <m:e>
            <m:r>
              <m:rPr/>
              <w:rPr>
                <w:rFonts w:ascii="Cambria Math" w:hAnsi="Cambria Math" w:cs="宋体"/>
                <w:strike w:val="0"/>
                <w:dstrike w:val="0"/>
                <w:sz w:val="24"/>
                <w:highlight w:val="none"/>
              </w:rPr>
              <m:t>R</m:t>
            </m:r>
            <m:ctrlPr>
              <w:rPr>
                <w:rFonts w:ascii="Cambria Math" w:hAnsi="Cambria Math" w:cs="宋体"/>
                <w:i/>
                <w:strike w:val="0"/>
                <w:dstrike w:val="0"/>
                <w:sz w:val="24"/>
                <w:highlight w:val="none"/>
              </w:rPr>
            </m:ctrlPr>
          </m:e>
          <m:sub>
            <m:r>
              <m:rPr/>
              <w:rPr>
                <w:rFonts w:ascii="Cambria Math" w:hAnsi="Cambria Math" w:cs="宋体"/>
                <w:strike w:val="0"/>
                <w:dstrike w:val="0"/>
                <w:sz w:val="24"/>
                <w:highlight w:val="none"/>
              </w:rPr>
              <m:t>d</m:t>
            </m:r>
            <m:ctrlPr>
              <w:rPr>
                <w:rFonts w:ascii="Cambria Math" w:hAnsi="Cambria Math" w:cs="宋体"/>
                <w:i/>
                <w:strike w:val="0"/>
                <w:dstrike w:val="0"/>
                <w:sz w:val="24"/>
                <w:highlight w:val="none"/>
              </w:rPr>
            </m:ctrlPr>
          </m:sub>
        </m:sSub>
        <m:r>
          <m:rPr/>
          <w:rPr>
            <w:rFonts w:ascii="Cambria Math" w:hAnsi="Cambria Math" w:cs="宋体"/>
            <w:strike w:val="0"/>
            <w:dstrike w:val="0"/>
            <w:sz w:val="24"/>
            <w:highlight w:val="none"/>
          </w:rPr>
          <m:t>=</m:t>
        </m:r>
        <m:f>
          <m:fPr>
            <m:type m:val="lin"/>
            <m:ctrlPr>
              <w:rPr>
                <w:rFonts w:ascii="Cambria Math" w:hAnsi="Cambria Math" w:cs="宋体"/>
                <w:i/>
                <w:strike w:val="0"/>
                <w:dstrike w:val="0"/>
                <w:sz w:val="24"/>
                <w:highlight w:val="none"/>
              </w:rPr>
            </m:ctrlPr>
          </m:fPr>
          <m:num>
            <m:sSub>
              <m:sSubPr>
                <m:ctrlPr>
                  <w:rPr>
                    <w:rFonts w:ascii="Cambria Math" w:hAnsi="Cambria Math" w:cs="宋体"/>
                    <w:i/>
                    <w:strike w:val="0"/>
                    <w:dstrike w:val="0"/>
                    <w:sz w:val="24"/>
                    <w:highlight w:val="none"/>
                  </w:rPr>
                </m:ctrlPr>
              </m:sSubPr>
              <m:e>
                <m:r>
                  <m:rPr/>
                  <w:rPr>
                    <w:rFonts w:ascii="Cambria Math" w:hAnsi="Cambria Math" w:cs="宋体"/>
                    <w:strike w:val="0"/>
                    <w:dstrike w:val="0"/>
                    <w:sz w:val="24"/>
                    <w:highlight w:val="none"/>
                  </w:rPr>
                  <m:t>R</m:t>
                </m:r>
                <m:ctrlPr>
                  <w:rPr>
                    <w:rFonts w:ascii="Cambria Math" w:hAnsi="Cambria Math" w:cs="宋体"/>
                    <w:i/>
                    <w:strike w:val="0"/>
                    <w:dstrike w:val="0"/>
                    <w:sz w:val="24"/>
                    <w:highlight w:val="none"/>
                  </w:rPr>
                </m:ctrlPr>
              </m:e>
              <m:sub>
                <m:r>
                  <m:rPr/>
                  <w:rPr>
                    <w:rFonts w:ascii="Cambria Math" w:hAnsi="Cambria Math" w:cs="宋体"/>
                    <w:strike w:val="0"/>
                    <w:dstrike w:val="0"/>
                    <w:sz w:val="24"/>
                    <w:highlight w:val="none"/>
                  </w:rPr>
                  <m:t>dm</m:t>
                </m:r>
                <m:ctrlPr>
                  <w:rPr>
                    <w:rFonts w:ascii="Cambria Math" w:hAnsi="Cambria Math" w:cs="宋体"/>
                    <w:i/>
                    <w:strike w:val="0"/>
                    <w:dstrike w:val="0"/>
                    <w:sz w:val="24"/>
                    <w:highlight w:val="none"/>
                  </w:rPr>
                </m:ctrlPr>
              </m:sub>
            </m:sSub>
            <m:ctrlPr>
              <w:rPr>
                <w:rFonts w:ascii="Cambria Math" w:hAnsi="Cambria Math" w:cs="宋体"/>
                <w:i/>
                <w:strike w:val="0"/>
                <w:dstrike w:val="0"/>
                <w:sz w:val="24"/>
                <w:highlight w:val="none"/>
              </w:rPr>
            </m:ctrlPr>
          </m:num>
          <m:den>
            <m:sSub>
              <m:sSubPr>
                <m:ctrlPr>
                  <w:rPr>
                    <w:rFonts w:ascii="Cambria Math" w:hAnsi="Cambria Math" w:cs="宋体"/>
                    <w:i/>
                    <w:strike w:val="0"/>
                    <w:dstrike w:val="0"/>
                    <w:sz w:val="24"/>
                    <w:highlight w:val="none"/>
                  </w:rPr>
                </m:ctrlPr>
              </m:sSubPr>
              <m:e>
                <m:r>
                  <m:rPr/>
                  <w:rPr>
                    <w:rFonts w:ascii="Cambria Math" w:hAnsi="Cambria Math" w:cs="宋体"/>
                    <w:strike w:val="0"/>
                    <w:dstrike w:val="0"/>
                    <w:sz w:val="24"/>
                    <w:highlight w:val="none"/>
                  </w:rPr>
                  <m:t>γ</m:t>
                </m:r>
                <m:ctrlPr>
                  <w:rPr>
                    <w:rFonts w:ascii="Cambria Math" w:hAnsi="Cambria Math" w:cs="宋体"/>
                    <w:i/>
                    <w:strike w:val="0"/>
                    <w:dstrike w:val="0"/>
                    <w:sz w:val="24"/>
                    <w:highlight w:val="none"/>
                  </w:rPr>
                </m:ctrlPr>
              </m:e>
              <m:sub>
                <m:r>
                  <m:rPr/>
                  <w:rPr>
                    <w:rFonts w:ascii="Cambria Math" w:hAnsi="Cambria Math" w:cs="宋体"/>
                    <w:strike w:val="0"/>
                    <w:dstrike w:val="0"/>
                    <w:sz w:val="24"/>
                    <w:highlight w:val="none"/>
                  </w:rPr>
                  <m:t>d</m:t>
                </m:r>
                <m:ctrlPr>
                  <w:rPr>
                    <w:rFonts w:ascii="Cambria Math" w:hAnsi="Cambria Math" w:cs="宋体"/>
                    <w:i/>
                    <w:strike w:val="0"/>
                    <w:dstrike w:val="0"/>
                    <w:sz w:val="24"/>
                    <w:highlight w:val="none"/>
                  </w:rPr>
                </m:ctrlPr>
              </m:sub>
            </m:sSub>
            <m:ctrlPr>
              <w:rPr>
                <w:rFonts w:ascii="Cambria Math" w:hAnsi="Cambria Math" w:cs="宋体"/>
                <w:i/>
                <w:strike w:val="0"/>
                <w:dstrike w:val="0"/>
                <w:sz w:val="24"/>
                <w:highlight w:val="none"/>
              </w:rPr>
            </m:ctrlPr>
          </m:den>
        </m:f>
      </m:oMath>
      <w:r>
        <w:rPr>
          <w:rFonts w:hint="eastAsia" w:hAnsi="Cambria Math" w:cs="宋体"/>
          <w:strike w:val="0"/>
          <w:dstrike w:val="0"/>
          <w:sz w:val="24"/>
          <w:highlight w:val="none"/>
        </w:rPr>
        <w:t xml:space="preserve">                    (5.3.1</w:t>
      </w:r>
      <w:r>
        <w:rPr>
          <w:rFonts w:hint="eastAsia" w:hAnsi="Cambria Math" w:cs="宋体"/>
          <w:strike w:val="0"/>
          <w:dstrike w:val="0"/>
          <w:sz w:val="24"/>
          <w:highlight w:val="none"/>
          <w:lang w:val="en-US" w:eastAsia="zh-CN"/>
        </w:rPr>
        <w:t>1</w:t>
      </w:r>
      <w:r>
        <w:rPr>
          <w:rFonts w:hint="eastAsia" w:hAnsi="Cambria Math" w:cs="宋体"/>
          <w:strike w:val="0"/>
          <w:dstrike w:val="0"/>
          <w:sz w:val="24"/>
          <w:highlight w:val="none"/>
        </w:rPr>
        <w:t>-3)</w:t>
      </w:r>
    </w:p>
    <w:p w14:paraId="52C72E2B">
      <w:pPr>
        <w:spacing w:line="360" w:lineRule="auto"/>
        <w:jc w:val="right"/>
        <w:rPr>
          <w:rFonts w:ascii="宋体" w:hAnsi="宋体" w:cs="宋体"/>
          <w:strike w:val="0"/>
          <w:dstrike w:val="0"/>
          <w:sz w:val="24"/>
          <w:highlight w:val="none"/>
        </w:rPr>
      </w:pPr>
      <m:oMath>
        <m:sSub>
          <m:sSubPr>
            <m:ctrlPr>
              <w:rPr>
                <w:rFonts w:ascii="Cambria Math" w:hAnsi="Cambria Math" w:cs="宋体"/>
                <w:i/>
                <w:strike w:val="0"/>
                <w:dstrike w:val="0"/>
                <w:sz w:val="24"/>
                <w:highlight w:val="none"/>
              </w:rPr>
            </m:ctrlPr>
          </m:sSubPr>
          <m:e>
            <m:r>
              <m:rPr/>
              <w:rPr>
                <w:rFonts w:ascii="Cambria Math" w:hAnsi="Cambria Math" w:cs="宋体"/>
                <w:strike w:val="0"/>
                <w:dstrike w:val="0"/>
                <w:sz w:val="24"/>
                <w:highlight w:val="none"/>
              </w:rPr>
              <m:t>R</m:t>
            </m:r>
            <m:ctrlPr>
              <w:rPr>
                <w:rFonts w:ascii="Cambria Math" w:hAnsi="Cambria Math" w:cs="宋体"/>
                <w:i/>
                <w:strike w:val="0"/>
                <w:dstrike w:val="0"/>
                <w:sz w:val="24"/>
                <w:highlight w:val="none"/>
              </w:rPr>
            </m:ctrlPr>
          </m:e>
          <m:sub>
            <m:r>
              <m:rPr/>
              <w:rPr>
                <w:rFonts w:ascii="Cambria Math" w:hAnsi="Cambria Math" w:cs="宋体"/>
                <w:strike w:val="0"/>
                <w:dstrike w:val="0"/>
                <w:sz w:val="24"/>
                <w:highlight w:val="none"/>
              </w:rPr>
              <m:t>p</m:t>
            </m:r>
            <m:ctrlPr>
              <w:rPr>
                <w:rFonts w:ascii="Cambria Math" w:hAnsi="Cambria Math" w:cs="宋体"/>
                <w:i/>
                <w:strike w:val="0"/>
                <w:dstrike w:val="0"/>
                <w:sz w:val="24"/>
                <w:highlight w:val="none"/>
              </w:rPr>
            </m:ctrlPr>
          </m:sub>
        </m:sSub>
        <m:r>
          <m:rPr/>
          <w:rPr>
            <w:rFonts w:ascii="Cambria Math" w:hAnsi="Cambria Math" w:cs="宋体"/>
            <w:strike w:val="0"/>
            <w:dstrike w:val="0"/>
            <w:sz w:val="24"/>
            <w:highlight w:val="none"/>
          </w:rPr>
          <m:t>=</m:t>
        </m:r>
        <m:f>
          <m:fPr>
            <m:type m:val="lin"/>
            <m:ctrlPr>
              <w:rPr>
                <w:rFonts w:ascii="Cambria Math" w:hAnsi="Cambria Math" w:cs="宋体"/>
                <w:i/>
                <w:strike w:val="0"/>
                <w:dstrike w:val="0"/>
                <w:sz w:val="24"/>
                <w:highlight w:val="none"/>
              </w:rPr>
            </m:ctrlPr>
          </m:fPr>
          <m:num>
            <m:sSub>
              <m:sSubPr>
                <m:ctrlPr>
                  <w:rPr>
                    <w:rFonts w:ascii="Cambria Math" w:hAnsi="Cambria Math" w:cs="宋体"/>
                    <w:i/>
                    <w:strike w:val="0"/>
                    <w:dstrike w:val="0"/>
                    <w:sz w:val="24"/>
                    <w:highlight w:val="none"/>
                  </w:rPr>
                </m:ctrlPr>
              </m:sSubPr>
              <m:e>
                <m:r>
                  <m:rPr/>
                  <w:rPr>
                    <w:rFonts w:ascii="Cambria Math" w:hAnsi="Cambria Math" w:cs="宋体"/>
                    <w:strike w:val="0"/>
                    <w:dstrike w:val="0"/>
                    <w:sz w:val="24"/>
                    <w:highlight w:val="none"/>
                  </w:rPr>
                  <m:t>R</m:t>
                </m:r>
                <m:ctrlPr>
                  <w:rPr>
                    <w:rFonts w:ascii="Cambria Math" w:hAnsi="Cambria Math" w:cs="宋体"/>
                    <w:i/>
                    <w:strike w:val="0"/>
                    <w:dstrike w:val="0"/>
                    <w:sz w:val="24"/>
                    <w:highlight w:val="none"/>
                  </w:rPr>
                </m:ctrlPr>
              </m:e>
              <m:sub>
                <m:r>
                  <m:rPr/>
                  <w:rPr>
                    <w:rFonts w:ascii="Cambria Math" w:hAnsi="Cambria Math" w:cs="宋体"/>
                    <w:strike w:val="0"/>
                    <w:dstrike w:val="0"/>
                    <w:sz w:val="24"/>
                    <w:highlight w:val="none"/>
                  </w:rPr>
                  <m:t>pm</m:t>
                </m:r>
                <m:ctrlPr>
                  <w:rPr>
                    <w:rFonts w:ascii="Cambria Math" w:hAnsi="Cambria Math" w:cs="宋体"/>
                    <w:i/>
                    <w:strike w:val="0"/>
                    <w:dstrike w:val="0"/>
                    <w:sz w:val="24"/>
                    <w:highlight w:val="none"/>
                  </w:rPr>
                </m:ctrlPr>
              </m:sub>
            </m:sSub>
            <m:ctrlPr>
              <w:rPr>
                <w:rFonts w:ascii="Cambria Math" w:hAnsi="Cambria Math" w:cs="宋体"/>
                <w:i/>
                <w:strike w:val="0"/>
                <w:dstrike w:val="0"/>
                <w:sz w:val="24"/>
                <w:highlight w:val="none"/>
              </w:rPr>
            </m:ctrlPr>
          </m:num>
          <m:den>
            <m:sSub>
              <m:sSubPr>
                <m:ctrlPr>
                  <w:rPr>
                    <w:rFonts w:ascii="Cambria Math" w:hAnsi="Cambria Math" w:cs="宋体"/>
                    <w:i/>
                    <w:strike w:val="0"/>
                    <w:dstrike w:val="0"/>
                    <w:sz w:val="24"/>
                    <w:highlight w:val="none"/>
                  </w:rPr>
                </m:ctrlPr>
              </m:sSubPr>
              <m:e>
                <m:r>
                  <m:rPr/>
                  <w:rPr>
                    <w:rFonts w:ascii="Cambria Math" w:hAnsi="Cambria Math" w:cs="宋体"/>
                    <w:strike w:val="0"/>
                    <w:dstrike w:val="0"/>
                    <w:sz w:val="24"/>
                    <w:highlight w:val="none"/>
                  </w:rPr>
                  <m:t>γ</m:t>
                </m:r>
                <m:ctrlPr>
                  <w:rPr>
                    <w:rFonts w:ascii="Cambria Math" w:hAnsi="Cambria Math" w:cs="宋体"/>
                    <w:i/>
                    <w:strike w:val="0"/>
                    <w:dstrike w:val="0"/>
                    <w:sz w:val="24"/>
                    <w:highlight w:val="none"/>
                  </w:rPr>
                </m:ctrlPr>
              </m:e>
              <m:sub>
                <m:r>
                  <m:rPr/>
                  <w:rPr>
                    <w:rFonts w:ascii="Cambria Math" w:hAnsi="Cambria Math" w:cs="宋体"/>
                    <w:strike w:val="0"/>
                    <w:dstrike w:val="0"/>
                    <w:sz w:val="24"/>
                    <w:highlight w:val="none"/>
                  </w:rPr>
                  <m:t>p</m:t>
                </m:r>
                <m:ctrlPr>
                  <w:rPr>
                    <w:rFonts w:ascii="Cambria Math" w:hAnsi="Cambria Math" w:cs="宋体"/>
                    <w:i/>
                    <w:strike w:val="0"/>
                    <w:dstrike w:val="0"/>
                    <w:sz w:val="24"/>
                    <w:highlight w:val="none"/>
                  </w:rPr>
                </m:ctrlPr>
              </m:sub>
            </m:sSub>
            <m:ctrlPr>
              <w:rPr>
                <w:rFonts w:ascii="Cambria Math" w:hAnsi="Cambria Math" w:cs="宋体"/>
                <w:i/>
                <w:strike w:val="0"/>
                <w:dstrike w:val="0"/>
                <w:sz w:val="24"/>
                <w:highlight w:val="none"/>
              </w:rPr>
            </m:ctrlPr>
          </m:den>
        </m:f>
      </m:oMath>
      <w:r>
        <w:rPr>
          <w:rFonts w:hint="eastAsia" w:hAnsi="Cambria Math" w:cs="宋体"/>
          <w:strike w:val="0"/>
          <w:dstrike w:val="0"/>
          <w:sz w:val="24"/>
          <w:highlight w:val="none"/>
        </w:rPr>
        <w:t xml:space="preserve">                    (5.3.1</w:t>
      </w:r>
      <w:r>
        <w:rPr>
          <w:rFonts w:hint="eastAsia" w:hAnsi="Cambria Math" w:cs="宋体"/>
          <w:strike w:val="0"/>
          <w:dstrike w:val="0"/>
          <w:sz w:val="24"/>
          <w:highlight w:val="none"/>
          <w:lang w:val="en-US" w:eastAsia="zh-CN"/>
        </w:rPr>
        <w:t>1</w:t>
      </w:r>
      <w:r>
        <w:rPr>
          <w:rFonts w:hint="eastAsia" w:hAnsi="Cambria Math" w:cs="宋体"/>
          <w:strike w:val="0"/>
          <w:dstrike w:val="0"/>
          <w:sz w:val="24"/>
          <w:highlight w:val="none"/>
        </w:rPr>
        <w:t>-4)</w:t>
      </w:r>
    </w:p>
    <w:p w14:paraId="2DFA48C5">
      <w:pPr>
        <w:spacing w:line="360" w:lineRule="auto"/>
        <w:rPr>
          <w:rFonts w:ascii="宋体" w:hAnsi="宋体" w:cs="宋体"/>
          <w:strike w:val="0"/>
          <w:dstrike w:val="0"/>
          <w:sz w:val="24"/>
          <w:highlight w:val="none"/>
        </w:rPr>
      </w:pPr>
      <w:r>
        <w:rPr>
          <w:rFonts w:hint="eastAsia" w:ascii="宋体" w:hAnsi="宋体" w:cs="宋体"/>
          <w:strike w:val="0"/>
          <w:dstrike w:val="0"/>
          <w:sz w:val="24"/>
          <w:highlight w:val="none"/>
        </w:rPr>
        <w:t>式中：</w:t>
      </w:r>
      <m:oMath>
        <m:sSub>
          <m:sSubPr>
            <m:ctrlPr>
              <w:rPr>
                <w:rFonts w:ascii="Cambria Math" w:hAnsi="Cambria Math" w:cs="宋体"/>
                <w:i/>
                <w:strike w:val="0"/>
                <w:dstrike w:val="0"/>
                <w:sz w:val="24"/>
                <w:highlight w:val="none"/>
              </w:rPr>
            </m:ctrlPr>
          </m:sSubPr>
          <m:e>
            <m:r>
              <m:rPr/>
              <w:rPr>
                <w:rFonts w:ascii="Cambria Math" w:hAnsi="Cambria Math" w:cs="宋体"/>
                <w:strike w:val="0"/>
                <w:dstrike w:val="0"/>
                <w:sz w:val="24"/>
                <w:highlight w:val="none"/>
              </w:rPr>
              <m:t>R</m:t>
            </m:r>
            <m:ctrlPr>
              <w:rPr>
                <w:rFonts w:ascii="Cambria Math" w:hAnsi="Cambria Math" w:cs="宋体"/>
                <w:i/>
                <w:strike w:val="0"/>
                <w:dstrike w:val="0"/>
                <w:sz w:val="24"/>
                <w:highlight w:val="none"/>
              </w:rPr>
            </m:ctrlPr>
          </m:e>
          <m:sub>
            <m:r>
              <m:rPr/>
              <w:rPr>
                <w:rFonts w:ascii="Cambria Math" w:hAnsi="Cambria Math" w:cs="宋体"/>
                <w:strike w:val="0"/>
                <w:dstrike w:val="0"/>
                <w:sz w:val="24"/>
                <w:highlight w:val="none"/>
              </w:rPr>
              <m:t>t</m:t>
            </m:r>
            <m:ctrlPr>
              <w:rPr>
                <w:rFonts w:ascii="Cambria Math" w:hAnsi="Cambria Math" w:cs="宋体"/>
                <w:i/>
                <w:strike w:val="0"/>
                <w:dstrike w:val="0"/>
                <w:sz w:val="24"/>
                <w:highlight w:val="none"/>
              </w:rPr>
            </m:ctrlPr>
          </m:sub>
        </m:sSub>
      </m:oMath>
      <w:r>
        <w:rPr>
          <w:rFonts w:hint="eastAsia" w:ascii="宋体" w:hAnsi="宋体" w:cs="宋体"/>
          <w:strike w:val="0"/>
          <w:dstrike w:val="0"/>
          <w:sz w:val="24"/>
          <w:highlight w:val="none"/>
        </w:rPr>
        <w:t>，</w:t>
      </w:r>
      <m:oMath>
        <m:sSub>
          <m:sSubPr>
            <m:ctrlPr>
              <w:rPr>
                <w:rFonts w:ascii="Cambria Math" w:hAnsi="Cambria Math" w:cs="宋体"/>
                <w:i/>
                <w:strike w:val="0"/>
                <w:dstrike w:val="0"/>
                <w:sz w:val="24"/>
                <w:highlight w:val="none"/>
              </w:rPr>
            </m:ctrlPr>
          </m:sSubPr>
          <m:e>
            <m:r>
              <m:rPr/>
              <w:rPr>
                <w:rFonts w:ascii="Cambria Math" w:hAnsi="Cambria Math" w:cs="宋体"/>
                <w:strike w:val="0"/>
                <w:dstrike w:val="0"/>
                <w:sz w:val="24"/>
                <w:highlight w:val="none"/>
              </w:rPr>
              <m:t>R</m:t>
            </m:r>
            <m:ctrlPr>
              <w:rPr>
                <w:rFonts w:ascii="Cambria Math" w:hAnsi="Cambria Math" w:cs="宋体"/>
                <w:i/>
                <w:strike w:val="0"/>
                <w:dstrike w:val="0"/>
                <w:sz w:val="24"/>
                <w:highlight w:val="none"/>
              </w:rPr>
            </m:ctrlPr>
          </m:e>
          <m:sub>
            <m:r>
              <m:rPr/>
              <w:rPr>
                <w:rFonts w:ascii="Cambria Math" w:hAnsi="Cambria Math" w:cs="宋体"/>
                <w:strike w:val="0"/>
                <w:dstrike w:val="0"/>
                <w:sz w:val="24"/>
                <w:highlight w:val="none"/>
              </w:rPr>
              <m:t>tm</m:t>
            </m:r>
            <m:ctrlPr>
              <w:rPr>
                <w:rFonts w:ascii="Cambria Math" w:hAnsi="Cambria Math" w:cs="宋体"/>
                <w:i/>
                <w:strike w:val="0"/>
                <w:dstrike w:val="0"/>
                <w:sz w:val="24"/>
                <w:highlight w:val="none"/>
              </w:rPr>
            </m:ctrlPr>
          </m:sub>
        </m:sSub>
      </m:oMath>
      <w:r>
        <w:rPr>
          <w:rFonts w:hint="eastAsia" w:ascii="宋体" w:hAnsi="宋体" w:cs="宋体"/>
          <w:strike w:val="0"/>
          <w:dstrike w:val="0"/>
          <w:sz w:val="24"/>
          <w:highlight w:val="none"/>
        </w:rPr>
        <w:t>——锚固件与保温板反向拉拔承载力设计值、检验值；</w:t>
      </w:r>
    </w:p>
    <w:p w14:paraId="51286AA5">
      <w:pPr>
        <w:spacing w:line="360" w:lineRule="auto"/>
        <w:ind w:firstLine="720" w:firstLineChars="300"/>
        <w:rPr>
          <w:rFonts w:ascii="宋体" w:hAnsi="宋体" w:cs="宋体"/>
          <w:strike w:val="0"/>
          <w:dstrike w:val="0"/>
          <w:sz w:val="24"/>
          <w:highlight w:val="none"/>
        </w:rPr>
      </w:pPr>
      <m:oMath>
        <m:sSub>
          <m:sSubPr>
            <m:ctrlPr>
              <w:rPr>
                <w:rFonts w:ascii="Cambria Math" w:hAnsi="Cambria Math" w:cs="宋体"/>
                <w:i/>
                <w:strike w:val="0"/>
                <w:dstrike w:val="0"/>
                <w:sz w:val="24"/>
                <w:highlight w:val="none"/>
              </w:rPr>
            </m:ctrlPr>
          </m:sSubPr>
          <m:e>
            <m:r>
              <m:rPr/>
              <w:rPr>
                <w:rFonts w:ascii="Cambria Math" w:hAnsi="Cambria Math" w:cs="宋体"/>
                <w:strike w:val="0"/>
                <w:dstrike w:val="0"/>
                <w:sz w:val="24"/>
                <w:highlight w:val="none"/>
              </w:rPr>
              <m:t>R</m:t>
            </m:r>
            <m:ctrlPr>
              <w:rPr>
                <w:rFonts w:ascii="Cambria Math" w:hAnsi="Cambria Math" w:cs="宋体"/>
                <w:i/>
                <w:strike w:val="0"/>
                <w:dstrike w:val="0"/>
                <w:sz w:val="24"/>
                <w:highlight w:val="none"/>
              </w:rPr>
            </m:ctrlPr>
          </m:e>
          <m:sub>
            <m:r>
              <m:rPr/>
              <w:rPr>
                <w:rFonts w:ascii="Cambria Math" w:hAnsi="Cambria Math" w:cs="宋体"/>
                <w:strike w:val="0"/>
                <w:dstrike w:val="0"/>
                <w:sz w:val="24"/>
                <w:highlight w:val="none"/>
              </w:rPr>
              <m:t>c</m:t>
            </m:r>
            <m:ctrlPr>
              <w:rPr>
                <w:rFonts w:ascii="Cambria Math" w:hAnsi="Cambria Math" w:cs="宋体"/>
                <w:i/>
                <w:strike w:val="0"/>
                <w:dstrike w:val="0"/>
                <w:sz w:val="24"/>
                <w:highlight w:val="none"/>
              </w:rPr>
            </m:ctrlPr>
          </m:sub>
        </m:sSub>
      </m:oMath>
      <w:r>
        <w:rPr>
          <w:rFonts w:hint="eastAsia" w:ascii="宋体" w:hAnsi="宋体" w:cs="宋体"/>
          <w:strike w:val="0"/>
          <w:dstrike w:val="0"/>
          <w:sz w:val="24"/>
          <w:highlight w:val="none"/>
        </w:rPr>
        <w:t>，</w:t>
      </w:r>
      <m:oMath>
        <m:sSub>
          <m:sSubPr>
            <m:ctrlPr>
              <w:rPr>
                <w:rFonts w:ascii="Cambria Math" w:hAnsi="Cambria Math" w:cs="宋体"/>
                <w:i/>
                <w:strike w:val="0"/>
                <w:dstrike w:val="0"/>
                <w:sz w:val="24"/>
                <w:highlight w:val="none"/>
              </w:rPr>
            </m:ctrlPr>
          </m:sSubPr>
          <m:e>
            <m:r>
              <m:rPr/>
              <w:rPr>
                <w:rFonts w:ascii="Cambria Math" w:hAnsi="Cambria Math" w:cs="宋体"/>
                <w:strike w:val="0"/>
                <w:dstrike w:val="0"/>
                <w:sz w:val="24"/>
                <w:highlight w:val="none"/>
              </w:rPr>
              <m:t>R</m:t>
            </m:r>
            <m:ctrlPr>
              <w:rPr>
                <w:rFonts w:ascii="Cambria Math" w:hAnsi="Cambria Math" w:cs="宋体"/>
                <w:i/>
                <w:strike w:val="0"/>
                <w:dstrike w:val="0"/>
                <w:sz w:val="24"/>
                <w:highlight w:val="none"/>
              </w:rPr>
            </m:ctrlPr>
          </m:e>
          <m:sub>
            <m:r>
              <m:rPr/>
              <w:rPr>
                <w:rFonts w:ascii="Cambria Math" w:hAnsi="Cambria Math" w:cs="宋体"/>
                <w:strike w:val="0"/>
                <w:dstrike w:val="0"/>
                <w:sz w:val="24"/>
                <w:highlight w:val="none"/>
              </w:rPr>
              <m:t>cm</m:t>
            </m:r>
            <m:ctrlPr>
              <w:rPr>
                <w:rFonts w:ascii="Cambria Math" w:hAnsi="Cambria Math" w:cs="宋体"/>
                <w:i/>
                <w:strike w:val="0"/>
                <w:dstrike w:val="0"/>
                <w:sz w:val="24"/>
                <w:highlight w:val="none"/>
              </w:rPr>
            </m:ctrlPr>
          </m:sub>
        </m:sSub>
      </m:oMath>
      <w:r>
        <w:rPr>
          <w:rFonts w:hint="eastAsia" w:ascii="宋体" w:hAnsi="宋体" w:cs="宋体"/>
          <w:strike w:val="0"/>
          <w:dstrike w:val="0"/>
          <w:sz w:val="24"/>
          <w:highlight w:val="none"/>
        </w:rPr>
        <w:t>——锚固件与保温板局部承压承载力设计值、检验值；</w:t>
      </w:r>
    </w:p>
    <w:p w14:paraId="0130FB56">
      <w:pPr>
        <w:spacing w:line="360" w:lineRule="auto"/>
        <w:ind w:firstLine="720" w:firstLineChars="300"/>
        <w:rPr>
          <w:rFonts w:ascii="宋体" w:hAnsi="宋体" w:cs="宋体"/>
          <w:strike w:val="0"/>
          <w:dstrike w:val="0"/>
          <w:sz w:val="24"/>
          <w:highlight w:val="none"/>
        </w:rPr>
      </w:pPr>
      <m:oMath>
        <m:sSub>
          <m:sSubPr>
            <m:ctrlPr>
              <w:rPr>
                <w:rFonts w:ascii="Cambria Math" w:hAnsi="Cambria Math" w:cs="宋体"/>
                <w:i/>
                <w:strike w:val="0"/>
                <w:dstrike w:val="0"/>
                <w:sz w:val="24"/>
                <w:highlight w:val="none"/>
              </w:rPr>
            </m:ctrlPr>
          </m:sSubPr>
          <m:e>
            <m:r>
              <m:rPr/>
              <w:rPr>
                <w:rFonts w:ascii="Cambria Math" w:hAnsi="Cambria Math" w:cs="宋体"/>
                <w:strike w:val="0"/>
                <w:dstrike w:val="0"/>
                <w:sz w:val="24"/>
                <w:highlight w:val="none"/>
              </w:rPr>
              <m:t>R</m:t>
            </m:r>
            <m:ctrlPr>
              <w:rPr>
                <w:rFonts w:ascii="Cambria Math" w:hAnsi="Cambria Math" w:cs="宋体"/>
                <w:i/>
                <w:strike w:val="0"/>
                <w:dstrike w:val="0"/>
                <w:sz w:val="24"/>
                <w:highlight w:val="none"/>
              </w:rPr>
            </m:ctrlPr>
          </m:e>
          <m:sub>
            <m:r>
              <m:rPr/>
              <w:rPr>
                <w:rFonts w:ascii="Cambria Math" w:hAnsi="Cambria Math" w:cs="宋体"/>
                <w:strike w:val="0"/>
                <w:dstrike w:val="0"/>
                <w:sz w:val="24"/>
                <w:highlight w:val="none"/>
              </w:rPr>
              <m:t>d</m:t>
            </m:r>
            <m:ctrlPr>
              <w:rPr>
                <w:rFonts w:ascii="Cambria Math" w:hAnsi="Cambria Math" w:cs="宋体"/>
                <w:i/>
                <w:strike w:val="0"/>
                <w:dstrike w:val="0"/>
                <w:sz w:val="24"/>
                <w:highlight w:val="none"/>
              </w:rPr>
            </m:ctrlPr>
          </m:sub>
        </m:sSub>
      </m:oMath>
      <w:r>
        <w:rPr>
          <w:rFonts w:hint="eastAsia" w:ascii="宋体" w:hAnsi="宋体" w:cs="宋体"/>
          <w:strike w:val="0"/>
          <w:dstrike w:val="0"/>
          <w:sz w:val="24"/>
          <w:highlight w:val="none"/>
        </w:rPr>
        <w:t>，</w:t>
      </w:r>
      <m:oMath>
        <m:sSub>
          <m:sSubPr>
            <m:ctrlPr>
              <w:rPr>
                <w:rFonts w:ascii="Cambria Math" w:hAnsi="Cambria Math" w:cs="宋体"/>
                <w:i/>
                <w:strike w:val="0"/>
                <w:dstrike w:val="0"/>
                <w:sz w:val="24"/>
                <w:highlight w:val="none"/>
              </w:rPr>
            </m:ctrlPr>
          </m:sSubPr>
          <m:e>
            <m:r>
              <m:rPr/>
              <w:rPr>
                <w:rFonts w:ascii="Cambria Math" w:hAnsi="Cambria Math" w:cs="宋体"/>
                <w:strike w:val="0"/>
                <w:dstrike w:val="0"/>
                <w:sz w:val="24"/>
                <w:highlight w:val="none"/>
              </w:rPr>
              <m:t>R</m:t>
            </m:r>
            <m:ctrlPr>
              <w:rPr>
                <w:rFonts w:ascii="Cambria Math" w:hAnsi="Cambria Math" w:cs="宋体"/>
                <w:i/>
                <w:strike w:val="0"/>
                <w:dstrike w:val="0"/>
                <w:sz w:val="24"/>
                <w:highlight w:val="none"/>
              </w:rPr>
            </m:ctrlPr>
          </m:e>
          <m:sub>
            <m:r>
              <m:rPr/>
              <w:rPr>
                <w:rFonts w:ascii="Cambria Math" w:hAnsi="Cambria Math" w:cs="宋体"/>
                <w:strike w:val="0"/>
                <w:dstrike w:val="0"/>
                <w:sz w:val="24"/>
                <w:highlight w:val="none"/>
              </w:rPr>
              <m:t>dm</m:t>
            </m:r>
            <m:ctrlPr>
              <w:rPr>
                <w:rFonts w:ascii="Cambria Math" w:hAnsi="Cambria Math" w:cs="宋体"/>
                <w:i/>
                <w:strike w:val="0"/>
                <w:dstrike w:val="0"/>
                <w:sz w:val="24"/>
                <w:highlight w:val="none"/>
              </w:rPr>
            </m:ctrlPr>
          </m:sub>
        </m:sSub>
      </m:oMath>
      <w:r>
        <w:rPr>
          <w:rFonts w:hint="eastAsia" w:ascii="宋体" w:hAnsi="宋体" w:cs="宋体"/>
          <w:strike w:val="0"/>
          <w:dstrike w:val="0"/>
          <w:sz w:val="24"/>
          <w:highlight w:val="none"/>
        </w:rPr>
        <w:t>——锚固件与混凝土抗拔承载力设计值、检验值；</w:t>
      </w:r>
    </w:p>
    <w:p w14:paraId="3E17638A">
      <w:pPr>
        <w:spacing w:line="360" w:lineRule="auto"/>
        <w:ind w:firstLine="720" w:firstLineChars="300"/>
        <w:rPr>
          <w:rFonts w:ascii="宋体" w:hAnsi="宋体" w:cs="宋体"/>
          <w:strike w:val="0"/>
          <w:dstrike w:val="0"/>
          <w:sz w:val="24"/>
          <w:highlight w:val="none"/>
        </w:rPr>
      </w:pPr>
      <m:oMath>
        <m:sSub>
          <m:sSubPr>
            <m:ctrlPr>
              <w:rPr>
                <w:rFonts w:ascii="Cambria Math" w:hAnsi="Cambria Math" w:cs="宋体"/>
                <w:i/>
                <w:strike w:val="0"/>
                <w:dstrike w:val="0"/>
                <w:sz w:val="24"/>
                <w:highlight w:val="none"/>
              </w:rPr>
            </m:ctrlPr>
          </m:sSubPr>
          <m:e>
            <m:r>
              <m:rPr/>
              <w:rPr>
                <w:rFonts w:ascii="Cambria Math" w:hAnsi="Cambria Math" w:cs="宋体"/>
                <w:strike w:val="0"/>
                <w:dstrike w:val="0"/>
                <w:sz w:val="24"/>
                <w:highlight w:val="none"/>
              </w:rPr>
              <m:t>R</m:t>
            </m:r>
            <m:ctrlPr>
              <w:rPr>
                <w:rFonts w:ascii="Cambria Math" w:hAnsi="Cambria Math" w:cs="宋体"/>
                <w:i/>
                <w:strike w:val="0"/>
                <w:dstrike w:val="0"/>
                <w:sz w:val="24"/>
                <w:highlight w:val="none"/>
              </w:rPr>
            </m:ctrlPr>
          </m:e>
          <m:sub>
            <m:r>
              <m:rPr/>
              <w:rPr>
                <w:rFonts w:ascii="Cambria Math" w:hAnsi="Cambria Math" w:cs="宋体"/>
                <w:strike w:val="0"/>
                <w:dstrike w:val="0"/>
                <w:sz w:val="24"/>
                <w:highlight w:val="none"/>
              </w:rPr>
              <m:t>p</m:t>
            </m:r>
            <m:ctrlPr>
              <w:rPr>
                <w:rFonts w:ascii="Cambria Math" w:hAnsi="Cambria Math" w:cs="宋体"/>
                <w:i/>
                <w:strike w:val="0"/>
                <w:dstrike w:val="0"/>
                <w:sz w:val="24"/>
                <w:highlight w:val="none"/>
              </w:rPr>
            </m:ctrlPr>
          </m:sub>
        </m:sSub>
      </m:oMath>
      <w:r>
        <w:rPr>
          <w:rFonts w:hint="eastAsia" w:ascii="宋体" w:hAnsi="宋体" w:cs="宋体"/>
          <w:strike w:val="0"/>
          <w:dstrike w:val="0"/>
          <w:sz w:val="24"/>
          <w:highlight w:val="none"/>
        </w:rPr>
        <w:t>，</w:t>
      </w:r>
      <m:oMath>
        <m:sSub>
          <m:sSubPr>
            <m:ctrlPr>
              <w:rPr>
                <w:rFonts w:ascii="Cambria Math" w:hAnsi="Cambria Math" w:cs="宋体"/>
                <w:i/>
                <w:strike w:val="0"/>
                <w:dstrike w:val="0"/>
                <w:sz w:val="24"/>
                <w:highlight w:val="none"/>
              </w:rPr>
            </m:ctrlPr>
          </m:sSubPr>
          <m:e>
            <m:r>
              <m:rPr/>
              <w:rPr>
                <w:rFonts w:ascii="Cambria Math" w:hAnsi="Cambria Math" w:cs="宋体"/>
                <w:strike w:val="0"/>
                <w:dstrike w:val="0"/>
                <w:sz w:val="24"/>
                <w:highlight w:val="none"/>
              </w:rPr>
              <m:t>R</m:t>
            </m:r>
            <m:ctrlPr>
              <w:rPr>
                <w:rFonts w:ascii="Cambria Math" w:hAnsi="Cambria Math" w:cs="宋体"/>
                <w:i/>
                <w:strike w:val="0"/>
                <w:dstrike w:val="0"/>
                <w:sz w:val="24"/>
                <w:highlight w:val="none"/>
              </w:rPr>
            </m:ctrlPr>
          </m:e>
          <m:sub>
            <m:r>
              <m:rPr/>
              <w:rPr>
                <w:rFonts w:ascii="Cambria Math" w:hAnsi="Cambria Math" w:cs="宋体"/>
                <w:strike w:val="0"/>
                <w:dstrike w:val="0"/>
                <w:sz w:val="24"/>
                <w:highlight w:val="none"/>
              </w:rPr>
              <m:t>pm</m:t>
            </m:r>
            <m:ctrlPr>
              <w:rPr>
                <w:rFonts w:ascii="Cambria Math" w:hAnsi="Cambria Math" w:cs="宋体"/>
                <w:i/>
                <w:strike w:val="0"/>
                <w:dstrike w:val="0"/>
                <w:sz w:val="24"/>
                <w:highlight w:val="none"/>
              </w:rPr>
            </m:ctrlPr>
          </m:sub>
        </m:sSub>
      </m:oMath>
      <w:r>
        <w:rPr>
          <w:rFonts w:hint="eastAsia" w:ascii="宋体" w:hAnsi="宋体" w:cs="宋体"/>
          <w:strike w:val="0"/>
          <w:dstrike w:val="0"/>
          <w:sz w:val="24"/>
          <w:highlight w:val="none"/>
        </w:rPr>
        <w:t>——锚固件尾盘抗拉承载力设计值、检验值；</w:t>
      </w:r>
    </w:p>
    <w:p w14:paraId="47EBC608">
      <w:pPr>
        <w:spacing w:line="360" w:lineRule="auto"/>
        <w:ind w:firstLine="1440" w:firstLineChars="600"/>
        <w:rPr>
          <w:rFonts w:ascii="宋体" w:hAnsi="宋体" w:cs="宋体"/>
          <w:strike w:val="0"/>
          <w:dstrike w:val="0"/>
          <w:sz w:val="24"/>
          <w:highlight w:val="none"/>
        </w:rPr>
      </w:pPr>
      <m:oMath>
        <m:sSub>
          <m:sSubPr>
            <m:ctrlPr>
              <w:rPr>
                <w:rFonts w:ascii="Cambria Math" w:hAnsi="Cambria Math" w:cs="宋体"/>
                <w:i/>
                <w:strike w:val="0"/>
                <w:dstrike w:val="0"/>
                <w:sz w:val="24"/>
                <w:highlight w:val="none"/>
              </w:rPr>
            </m:ctrlPr>
          </m:sSubPr>
          <m:e>
            <m:r>
              <m:rPr/>
              <w:rPr>
                <w:rFonts w:ascii="Cambria Math" w:hAnsi="Cambria Math" w:cs="宋体"/>
                <w:strike w:val="0"/>
                <w:dstrike w:val="0"/>
                <w:sz w:val="24"/>
                <w:highlight w:val="none"/>
              </w:rPr>
              <m:t xml:space="preserve"> γ</m:t>
            </m:r>
            <m:ctrlPr>
              <w:rPr>
                <w:rFonts w:ascii="Cambria Math" w:hAnsi="Cambria Math" w:cs="宋体"/>
                <w:i/>
                <w:strike w:val="0"/>
                <w:dstrike w:val="0"/>
                <w:sz w:val="24"/>
                <w:highlight w:val="none"/>
              </w:rPr>
            </m:ctrlPr>
          </m:e>
          <m:sub>
            <m:r>
              <m:rPr/>
              <w:rPr>
                <w:rFonts w:ascii="Cambria Math" w:hAnsi="Cambria Math" w:cs="宋体"/>
                <w:strike w:val="0"/>
                <w:dstrike w:val="0"/>
                <w:sz w:val="24"/>
                <w:highlight w:val="none"/>
              </w:rPr>
              <m:t>t</m:t>
            </m:r>
            <m:ctrlPr>
              <w:rPr>
                <w:rFonts w:ascii="Cambria Math" w:hAnsi="Cambria Math" w:cs="宋体"/>
                <w:i/>
                <w:strike w:val="0"/>
                <w:dstrike w:val="0"/>
                <w:sz w:val="24"/>
                <w:highlight w:val="none"/>
              </w:rPr>
            </m:ctrlPr>
          </m:sub>
        </m:sSub>
      </m:oMath>
      <w:r>
        <w:rPr>
          <w:rFonts w:hint="eastAsia" w:ascii="宋体" w:hAnsi="宋体" w:cs="宋体"/>
          <w:strike w:val="0"/>
          <w:dstrike w:val="0"/>
          <w:sz w:val="24"/>
          <w:highlight w:val="none"/>
        </w:rPr>
        <w:t>——锚固件与保温板反向拉拔承载力分项系数，取2.5；</w:t>
      </w:r>
    </w:p>
    <w:p w14:paraId="27543552">
      <w:pPr>
        <w:spacing w:line="360" w:lineRule="auto"/>
        <w:ind w:firstLine="1440" w:firstLineChars="600"/>
        <w:rPr>
          <w:rFonts w:ascii="宋体" w:hAnsi="宋体" w:cs="宋体"/>
          <w:strike w:val="0"/>
          <w:dstrike w:val="0"/>
          <w:sz w:val="24"/>
          <w:highlight w:val="none"/>
        </w:rPr>
      </w:pPr>
      <m:oMath>
        <m:sSub>
          <m:sSubPr>
            <m:ctrlPr>
              <w:rPr>
                <w:rFonts w:ascii="Cambria Math" w:hAnsi="Cambria Math" w:cs="宋体"/>
                <w:i/>
                <w:strike w:val="0"/>
                <w:dstrike w:val="0"/>
                <w:sz w:val="24"/>
                <w:highlight w:val="none"/>
              </w:rPr>
            </m:ctrlPr>
          </m:sSubPr>
          <m:e>
            <m:r>
              <m:rPr/>
              <w:rPr>
                <w:rFonts w:ascii="Cambria Math" w:hAnsi="Cambria Math" w:cs="宋体"/>
                <w:strike w:val="0"/>
                <w:dstrike w:val="0"/>
                <w:sz w:val="24"/>
                <w:highlight w:val="none"/>
              </w:rPr>
              <m:t>γ</m:t>
            </m:r>
            <m:ctrlPr>
              <w:rPr>
                <w:rFonts w:ascii="Cambria Math" w:hAnsi="Cambria Math" w:cs="宋体"/>
                <w:i/>
                <w:strike w:val="0"/>
                <w:dstrike w:val="0"/>
                <w:sz w:val="24"/>
                <w:highlight w:val="none"/>
              </w:rPr>
            </m:ctrlPr>
          </m:e>
          <m:sub>
            <m:r>
              <m:rPr/>
              <w:rPr>
                <w:rFonts w:ascii="Cambria Math" w:hAnsi="Cambria Math" w:cs="宋体"/>
                <w:strike w:val="0"/>
                <w:dstrike w:val="0"/>
                <w:sz w:val="24"/>
                <w:highlight w:val="none"/>
              </w:rPr>
              <m:t>c</m:t>
            </m:r>
            <m:ctrlPr>
              <w:rPr>
                <w:rFonts w:ascii="Cambria Math" w:hAnsi="Cambria Math" w:cs="宋体"/>
                <w:i/>
                <w:strike w:val="0"/>
                <w:dstrike w:val="0"/>
                <w:sz w:val="24"/>
                <w:highlight w:val="none"/>
              </w:rPr>
            </m:ctrlPr>
          </m:sub>
        </m:sSub>
      </m:oMath>
      <w:r>
        <w:rPr>
          <w:rFonts w:hint="eastAsia" w:ascii="宋体" w:hAnsi="宋体" w:cs="宋体"/>
          <w:strike w:val="0"/>
          <w:dstrike w:val="0"/>
          <w:sz w:val="24"/>
          <w:highlight w:val="none"/>
        </w:rPr>
        <w:t>——锚固件与保温板局部承压承载力分项系数，取3.0；</w:t>
      </w:r>
    </w:p>
    <w:p w14:paraId="68BE63EB">
      <w:pPr>
        <w:spacing w:line="360" w:lineRule="auto"/>
        <w:ind w:firstLine="1440" w:firstLineChars="600"/>
        <w:rPr>
          <w:rFonts w:ascii="宋体" w:hAnsi="宋体" w:cs="宋体"/>
          <w:strike w:val="0"/>
          <w:dstrike w:val="0"/>
          <w:sz w:val="24"/>
          <w:highlight w:val="none"/>
        </w:rPr>
      </w:pPr>
      <m:oMath>
        <m:sSub>
          <m:sSubPr>
            <m:ctrlPr>
              <w:rPr>
                <w:rFonts w:ascii="Cambria Math" w:hAnsi="Cambria Math" w:cs="宋体"/>
                <w:i/>
                <w:strike w:val="0"/>
                <w:dstrike w:val="0"/>
                <w:sz w:val="24"/>
                <w:highlight w:val="none"/>
              </w:rPr>
            </m:ctrlPr>
          </m:sSubPr>
          <m:e>
            <m:r>
              <m:rPr/>
              <w:rPr>
                <w:rFonts w:ascii="Cambria Math" w:hAnsi="Cambria Math" w:cs="宋体"/>
                <w:strike w:val="0"/>
                <w:dstrike w:val="0"/>
                <w:sz w:val="24"/>
                <w:highlight w:val="none"/>
              </w:rPr>
              <m:t>γ</m:t>
            </m:r>
            <m:ctrlPr>
              <w:rPr>
                <w:rFonts w:ascii="Cambria Math" w:hAnsi="Cambria Math" w:cs="宋体"/>
                <w:i/>
                <w:strike w:val="0"/>
                <w:dstrike w:val="0"/>
                <w:sz w:val="24"/>
                <w:highlight w:val="none"/>
              </w:rPr>
            </m:ctrlPr>
          </m:e>
          <m:sub>
            <m:r>
              <m:rPr/>
              <w:rPr>
                <w:rFonts w:ascii="Cambria Math" w:hAnsi="Cambria Math" w:cs="宋体"/>
                <w:strike w:val="0"/>
                <w:dstrike w:val="0"/>
                <w:sz w:val="24"/>
                <w:highlight w:val="none"/>
              </w:rPr>
              <m:t>d</m:t>
            </m:r>
            <m:ctrlPr>
              <w:rPr>
                <w:rFonts w:ascii="Cambria Math" w:hAnsi="Cambria Math" w:cs="宋体"/>
                <w:i/>
                <w:strike w:val="0"/>
                <w:dstrike w:val="0"/>
                <w:sz w:val="24"/>
                <w:highlight w:val="none"/>
              </w:rPr>
            </m:ctrlPr>
          </m:sub>
        </m:sSub>
      </m:oMath>
      <w:r>
        <w:rPr>
          <w:rFonts w:hint="eastAsia" w:ascii="宋体" w:hAnsi="宋体" w:cs="宋体"/>
          <w:strike w:val="0"/>
          <w:dstrike w:val="0"/>
          <w:sz w:val="24"/>
          <w:highlight w:val="none"/>
        </w:rPr>
        <w:t>——锚固件与混凝土抗拔承载力分项系数，取2.5；</w:t>
      </w:r>
    </w:p>
    <w:p w14:paraId="7DAEE01C">
      <w:pPr>
        <w:spacing w:line="360" w:lineRule="auto"/>
        <w:ind w:firstLine="1440" w:firstLineChars="600"/>
        <w:rPr>
          <w:rFonts w:ascii="宋体" w:hAnsi="宋体" w:cs="宋体"/>
          <w:strike w:val="0"/>
          <w:dstrike w:val="0"/>
          <w:sz w:val="24"/>
          <w:highlight w:val="none"/>
        </w:rPr>
      </w:pPr>
      <m:oMath>
        <m:sSub>
          <m:sSubPr>
            <m:ctrlPr>
              <w:rPr>
                <w:rFonts w:ascii="Cambria Math" w:hAnsi="Cambria Math" w:cs="宋体"/>
                <w:i/>
                <w:strike w:val="0"/>
                <w:dstrike w:val="0"/>
                <w:sz w:val="24"/>
                <w:highlight w:val="none"/>
              </w:rPr>
            </m:ctrlPr>
          </m:sSubPr>
          <m:e>
            <m:r>
              <m:rPr/>
              <w:rPr>
                <w:rFonts w:ascii="Cambria Math" w:hAnsi="Cambria Math" w:cs="宋体"/>
                <w:strike w:val="0"/>
                <w:dstrike w:val="0"/>
                <w:sz w:val="24"/>
                <w:highlight w:val="none"/>
              </w:rPr>
              <m:t>γ</m:t>
            </m:r>
            <m:ctrlPr>
              <w:rPr>
                <w:rFonts w:ascii="Cambria Math" w:hAnsi="Cambria Math" w:cs="宋体"/>
                <w:i/>
                <w:strike w:val="0"/>
                <w:dstrike w:val="0"/>
                <w:sz w:val="24"/>
                <w:highlight w:val="none"/>
              </w:rPr>
            </m:ctrlPr>
          </m:e>
          <m:sub>
            <m:r>
              <m:rPr/>
              <w:rPr>
                <w:rFonts w:ascii="Cambria Math" w:hAnsi="Cambria Math" w:cs="宋体"/>
                <w:strike w:val="0"/>
                <w:dstrike w:val="0"/>
                <w:sz w:val="24"/>
                <w:highlight w:val="none"/>
              </w:rPr>
              <m:t>p</m:t>
            </m:r>
            <m:ctrlPr>
              <w:rPr>
                <w:rFonts w:ascii="Cambria Math" w:hAnsi="Cambria Math" w:cs="宋体"/>
                <w:i/>
                <w:strike w:val="0"/>
                <w:dstrike w:val="0"/>
                <w:sz w:val="24"/>
                <w:highlight w:val="none"/>
              </w:rPr>
            </m:ctrlPr>
          </m:sub>
        </m:sSub>
      </m:oMath>
      <w:r>
        <w:rPr>
          <w:rFonts w:hint="eastAsia" w:ascii="宋体" w:hAnsi="宋体" w:cs="宋体"/>
          <w:strike w:val="0"/>
          <w:dstrike w:val="0"/>
          <w:sz w:val="24"/>
          <w:highlight w:val="none"/>
        </w:rPr>
        <w:t>——锚固件尾盘抗拉承载力分项系数，取2.5。</w:t>
      </w:r>
    </w:p>
    <w:p w14:paraId="010D5CC9">
      <w:pPr>
        <w:spacing w:line="360" w:lineRule="auto"/>
        <w:ind w:firstLine="632" w:firstLineChars="300"/>
        <w:jc w:val="center"/>
        <w:rPr>
          <w:rFonts w:ascii="宋体" w:hAnsi="宋体" w:cs="宋体"/>
          <w:b/>
          <w:bCs/>
          <w:strike w:val="0"/>
          <w:dstrike w:val="0"/>
          <w:sz w:val="21"/>
          <w:szCs w:val="21"/>
          <w:highlight w:val="none"/>
        </w:rPr>
      </w:pPr>
      <w:r>
        <w:rPr>
          <w:rFonts w:hint="eastAsia" w:ascii="宋体" w:hAnsi="宋体" w:cs="宋体"/>
          <w:b/>
          <w:bCs/>
          <w:strike w:val="0"/>
          <w:dstrike w:val="0"/>
          <w:sz w:val="21"/>
          <w:szCs w:val="21"/>
          <w:highlight w:val="none"/>
        </w:rPr>
        <w:t>表5.3.1</w:t>
      </w:r>
      <w:r>
        <w:rPr>
          <w:rFonts w:hint="eastAsia" w:ascii="宋体" w:hAnsi="宋体" w:cs="宋体"/>
          <w:b/>
          <w:bCs/>
          <w:strike w:val="0"/>
          <w:dstrike w:val="0"/>
          <w:sz w:val="21"/>
          <w:szCs w:val="21"/>
          <w:highlight w:val="none"/>
          <w:lang w:val="en-US" w:eastAsia="zh-CN"/>
        </w:rPr>
        <w:t>1-1</w:t>
      </w:r>
      <w:r>
        <w:rPr>
          <w:rFonts w:hint="eastAsia" w:ascii="宋体" w:hAnsi="宋体" w:cs="宋体"/>
          <w:b/>
          <w:bCs/>
          <w:strike w:val="0"/>
          <w:dstrike w:val="0"/>
          <w:sz w:val="21"/>
          <w:szCs w:val="21"/>
          <w:highlight w:val="none"/>
        </w:rPr>
        <w:t xml:space="preserve">  </w:t>
      </w:r>
      <w:r>
        <w:rPr>
          <w:rFonts w:hint="eastAsia" w:ascii="宋体" w:hAnsi="宋体" w:cs="宋体"/>
          <w:b/>
          <w:bCs/>
          <w:strike w:val="0"/>
          <w:dstrike w:val="0"/>
          <w:sz w:val="21"/>
          <w:szCs w:val="21"/>
          <w:highlight w:val="none"/>
          <w:lang w:eastAsia="zh-CN"/>
        </w:rPr>
        <w:t>金属材质</w:t>
      </w:r>
      <w:r>
        <w:rPr>
          <w:rFonts w:hint="eastAsia" w:ascii="宋体" w:hAnsi="宋体" w:cs="宋体"/>
          <w:b/>
          <w:bCs/>
          <w:strike w:val="0"/>
          <w:dstrike w:val="0"/>
          <w:sz w:val="21"/>
          <w:szCs w:val="21"/>
          <w:highlight w:val="none"/>
        </w:rPr>
        <w:t>锚固件设计性能要求</w:t>
      </w:r>
    </w:p>
    <w:tbl>
      <w:tblPr>
        <w:tblStyle w:val="24"/>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3189"/>
        <w:gridCol w:w="1236"/>
        <w:gridCol w:w="982"/>
        <w:gridCol w:w="927"/>
        <w:gridCol w:w="2188"/>
      </w:tblGrid>
      <w:tr w14:paraId="732816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189" w:type="dxa"/>
            <w:tcBorders>
              <w:bottom w:val="single" w:color="auto" w:sz="12" w:space="0"/>
            </w:tcBorders>
          </w:tcPr>
          <w:p w14:paraId="7B9787F1">
            <w:pPr>
              <w:jc w:val="center"/>
              <w:rPr>
                <w:rFonts w:ascii="宋体" w:hAnsi="宋体" w:cs="宋体"/>
                <w:strike w:val="0"/>
                <w:dstrike w:val="0"/>
                <w:sz w:val="21"/>
                <w:szCs w:val="21"/>
                <w:highlight w:val="none"/>
              </w:rPr>
            </w:pPr>
            <w:r>
              <w:rPr>
                <w:rFonts w:hint="eastAsia" w:ascii="宋体" w:hAnsi="宋体" w:cs="宋体"/>
                <w:strike w:val="0"/>
                <w:dstrike w:val="0"/>
                <w:sz w:val="21"/>
                <w:szCs w:val="21"/>
                <w:highlight w:val="none"/>
              </w:rPr>
              <w:t>项目</w:t>
            </w:r>
          </w:p>
        </w:tc>
        <w:tc>
          <w:tcPr>
            <w:tcW w:w="3145" w:type="dxa"/>
            <w:gridSpan w:val="3"/>
            <w:tcBorders>
              <w:bottom w:val="single" w:color="auto" w:sz="12" w:space="0"/>
            </w:tcBorders>
          </w:tcPr>
          <w:p w14:paraId="1042A293">
            <w:pPr>
              <w:jc w:val="center"/>
              <w:rPr>
                <w:rFonts w:ascii="宋体" w:hAnsi="宋体" w:cs="宋体"/>
                <w:strike w:val="0"/>
                <w:dstrike w:val="0"/>
                <w:sz w:val="21"/>
                <w:szCs w:val="21"/>
                <w:highlight w:val="none"/>
              </w:rPr>
            </w:pPr>
            <w:r>
              <w:rPr>
                <w:rFonts w:hint="eastAsia" w:ascii="宋体" w:hAnsi="宋体" w:cs="宋体"/>
                <w:strike w:val="0"/>
                <w:dstrike w:val="0"/>
                <w:sz w:val="21"/>
                <w:szCs w:val="21"/>
                <w:highlight w:val="none"/>
              </w:rPr>
              <w:t>性能指标</w:t>
            </w:r>
          </w:p>
        </w:tc>
        <w:tc>
          <w:tcPr>
            <w:tcW w:w="2188" w:type="dxa"/>
            <w:tcBorders>
              <w:bottom w:val="single" w:color="auto" w:sz="12" w:space="0"/>
            </w:tcBorders>
          </w:tcPr>
          <w:p w14:paraId="7F3FE7F1">
            <w:pPr>
              <w:jc w:val="center"/>
              <w:rPr>
                <w:rFonts w:ascii="宋体" w:hAnsi="宋体" w:cs="宋体"/>
                <w:strike w:val="0"/>
                <w:dstrike w:val="0"/>
                <w:sz w:val="24"/>
                <w:highlight w:val="none"/>
              </w:rPr>
            </w:pPr>
            <w:r>
              <w:rPr>
                <w:rFonts w:hint="eastAsia" w:ascii="宋体" w:hAnsi="宋体" w:cs="宋体"/>
                <w:strike w:val="0"/>
                <w:dstrike w:val="0"/>
                <w:sz w:val="21"/>
                <w:szCs w:val="21"/>
                <w:highlight w:val="none"/>
              </w:rPr>
              <w:t>试验方法</w:t>
            </w:r>
          </w:p>
        </w:tc>
      </w:tr>
      <w:tr w14:paraId="2A08B6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189" w:type="dxa"/>
            <w:vMerge w:val="restart"/>
            <w:tcBorders>
              <w:top w:val="single" w:color="auto" w:sz="12" w:space="0"/>
            </w:tcBorders>
            <w:vAlign w:val="center"/>
          </w:tcPr>
          <w:p w14:paraId="5CC9D8C7">
            <w:pPr>
              <w:jc w:val="center"/>
              <w:rPr>
                <w:rFonts w:ascii="宋体" w:hAnsi="宋体" w:cs="宋体"/>
                <w:strike w:val="0"/>
                <w:dstrike w:val="0"/>
                <w:sz w:val="21"/>
                <w:szCs w:val="21"/>
                <w:highlight w:val="none"/>
              </w:rPr>
            </w:pPr>
            <w:r>
              <w:rPr>
                <w:rFonts w:hint="eastAsia" w:ascii="宋体" w:hAnsi="宋体" w:cs="宋体"/>
                <w:strike w:val="0"/>
                <w:dstrike w:val="0"/>
                <w:sz w:val="21"/>
                <w:szCs w:val="21"/>
                <w:highlight w:val="none"/>
              </w:rPr>
              <w:t>锚固件与保温板的反向拉拔力（kN）</w:t>
            </w:r>
          </w:p>
        </w:tc>
        <w:tc>
          <w:tcPr>
            <w:tcW w:w="1236" w:type="dxa"/>
            <w:vMerge w:val="restart"/>
            <w:tcBorders>
              <w:top w:val="single" w:color="auto" w:sz="12" w:space="0"/>
            </w:tcBorders>
            <w:vAlign w:val="center"/>
          </w:tcPr>
          <w:p w14:paraId="47413F9C">
            <w:pPr>
              <w:jc w:val="center"/>
              <w:rPr>
                <w:rFonts w:ascii="宋体" w:hAnsi="宋体" w:cs="宋体"/>
                <w:strike w:val="0"/>
                <w:dstrike w:val="0"/>
                <w:sz w:val="21"/>
                <w:szCs w:val="21"/>
                <w:highlight w:val="none"/>
              </w:rPr>
            </w:pPr>
            <w:r>
              <w:rPr>
                <w:rFonts w:hint="eastAsia" w:ascii="宋体" w:hAnsi="宋体" w:cs="宋体"/>
                <w:strike w:val="0"/>
                <w:dstrike w:val="0"/>
                <w:sz w:val="21"/>
                <w:szCs w:val="21"/>
                <w:highlight w:val="none"/>
              </w:rPr>
              <w:t>尾盘直径</w:t>
            </w:r>
          </w:p>
        </w:tc>
        <w:tc>
          <w:tcPr>
            <w:tcW w:w="982" w:type="dxa"/>
            <w:tcBorders>
              <w:top w:val="single" w:color="auto" w:sz="12" w:space="0"/>
            </w:tcBorders>
          </w:tcPr>
          <w:p w14:paraId="45691C0A">
            <w:pPr>
              <w:jc w:val="center"/>
              <w:rPr>
                <w:rFonts w:ascii="宋体" w:hAnsi="宋体" w:cs="宋体"/>
                <w:strike w:val="0"/>
                <w:dstrike w:val="0"/>
                <w:sz w:val="21"/>
                <w:szCs w:val="21"/>
                <w:highlight w:val="none"/>
              </w:rPr>
            </w:pPr>
            <w:r>
              <w:rPr>
                <w:rFonts w:hint="eastAsia" w:ascii="宋体" w:hAnsi="宋体" w:cs="宋体"/>
                <w:strike w:val="0"/>
                <w:dstrike w:val="0"/>
                <w:sz w:val="21"/>
                <w:szCs w:val="21"/>
                <w:highlight w:val="none"/>
              </w:rPr>
              <w:t>60mm</w:t>
            </w:r>
          </w:p>
        </w:tc>
        <w:tc>
          <w:tcPr>
            <w:tcW w:w="927" w:type="dxa"/>
            <w:tcBorders>
              <w:top w:val="single" w:color="auto" w:sz="12" w:space="0"/>
            </w:tcBorders>
          </w:tcPr>
          <w:p w14:paraId="2474E596">
            <w:pPr>
              <w:jc w:val="center"/>
              <w:rPr>
                <w:rFonts w:ascii="宋体" w:hAnsi="宋体" w:cs="宋体"/>
                <w:strike w:val="0"/>
                <w:dstrike w:val="0"/>
                <w:sz w:val="21"/>
                <w:szCs w:val="21"/>
                <w:highlight w:val="none"/>
              </w:rPr>
            </w:pPr>
            <w:r>
              <w:rPr>
                <w:rFonts w:hint="eastAsia" w:ascii="宋体" w:hAnsi="宋体" w:cs="宋体"/>
                <w:strike w:val="0"/>
                <w:dstrike w:val="0"/>
                <w:sz w:val="21"/>
                <w:szCs w:val="21"/>
                <w:highlight w:val="none"/>
              </w:rPr>
              <w:t>≥3.2</w:t>
            </w:r>
          </w:p>
        </w:tc>
        <w:tc>
          <w:tcPr>
            <w:tcW w:w="2188" w:type="dxa"/>
            <w:vMerge w:val="restart"/>
            <w:tcBorders>
              <w:top w:val="single" w:color="auto" w:sz="12" w:space="0"/>
            </w:tcBorders>
            <w:vAlign w:val="center"/>
          </w:tcPr>
          <w:p w14:paraId="79C31D80">
            <w:pPr>
              <w:jc w:val="left"/>
              <w:rPr>
                <w:rFonts w:ascii="宋体" w:hAnsi="宋体" w:cs="宋体"/>
                <w:strike w:val="0"/>
                <w:dstrike w:val="0"/>
                <w:sz w:val="24"/>
                <w:highlight w:val="none"/>
              </w:rPr>
            </w:pPr>
            <w:r>
              <w:rPr>
                <w:rFonts w:hint="eastAsia"/>
                <w:color w:val="auto"/>
                <w:sz w:val="21"/>
                <w:szCs w:val="21"/>
                <w:highlight w:val="none"/>
                <w:vertAlign w:val="baseline"/>
                <w:lang w:eastAsia="zh-CN"/>
              </w:rPr>
              <w:t>《外墙保温用锚栓》</w:t>
            </w:r>
            <w:r>
              <w:rPr>
                <w:rFonts w:hint="eastAsia"/>
                <w:color w:val="auto"/>
                <w:sz w:val="21"/>
                <w:szCs w:val="21"/>
                <w:highlight w:val="none"/>
                <w:vertAlign w:val="baseline"/>
                <w:lang w:val="en-US" w:eastAsia="zh-CN"/>
              </w:rPr>
              <w:t>JG/T 366</w:t>
            </w:r>
          </w:p>
        </w:tc>
      </w:tr>
      <w:tr w14:paraId="3F89BD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189" w:type="dxa"/>
            <w:vMerge w:val="continue"/>
            <w:vAlign w:val="center"/>
          </w:tcPr>
          <w:p w14:paraId="4800404A">
            <w:pPr>
              <w:jc w:val="center"/>
              <w:rPr>
                <w:rFonts w:ascii="宋体" w:hAnsi="宋体" w:cs="宋体"/>
                <w:strike w:val="0"/>
                <w:dstrike w:val="0"/>
                <w:sz w:val="21"/>
                <w:szCs w:val="21"/>
                <w:highlight w:val="none"/>
              </w:rPr>
            </w:pPr>
          </w:p>
        </w:tc>
        <w:tc>
          <w:tcPr>
            <w:tcW w:w="1236" w:type="dxa"/>
            <w:vMerge w:val="continue"/>
            <w:vAlign w:val="center"/>
          </w:tcPr>
          <w:p w14:paraId="4E8B1C63">
            <w:pPr>
              <w:jc w:val="center"/>
              <w:rPr>
                <w:rFonts w:ascii="宋体" w:hAnsi="宋体" w:cs="宋体"/>
                <w:strike w:val="0"/>
                <w:dstrike w:val="0"/>
                <w:sz w:val="21"/>
                <w:szCs w:val="21"/>
                <w:highlight w:val="none"/>
              </w:rPr>
            </w:pPr>
          </w:p>
        </w:tc>
        <w:tc>
          <w:tcPr>
            <w:tcW w:w="982" w:type="dxa"/>
          </w:tcPr>
          <w:p w14:paraId="330E42D3">
            <w:pPr>
              <w:jc w:val="center"/>
              <w:rPr>
                <w:rFonts w:ascii="宋体" w:hAnsi="宋体" w:cs="宋体"/>
                <w:strike w:val="0"/>
                <w:dstrike w:val="0"/>
                <w:sz w:val="21"/>
                <w:szCs w:val="21"/>
                <w:highlight w:val="none"/>
              </w:rPr>
            </w:pPr>
            <w:r>
              <w:rPr>
                <w:rFonts w:hint="eastAsia" w:ascii="宋体" w:hAnsi="宋体" w:cs="宋体"/>
                <w:strike w:val="0"/>
                <w:dstrike w:val="0"/>
                <w:sz w:val="21"/>
                <w:szCs w:val="21"/>
                <w:highlight w:val="none"/>
              </w:rPr>
              <w:t>80mm</w:t>
            </w:r>
          </w:p>
        </w:tc>
        <w:tc>
          <w:tcPr>
            <w:tcW w:w="927" w:type="dxa"/>
          </w:tcPr>
          <w:p w14:paraId="044E96C5">
            <w:pPr>
              <w:jc w:val="center"/>
              <w:rPr>
                <w:rFonts w:ascii="宋体" w:hAnsi="宋体" w:cs="宋体"/>
                <w:strike w:val="0"/>
                <w:dstrike w:val="0"/>
                <w:sz w:val="21"/>
                <w:szCs w:val="21"/>
                <w:highlight w:val="none"/>
              </w:rPr>
            </w:pPr>
            <w:r>
              <w:rPr>
                <w:rFonts w:hint="eastAsia" w:ascii="宋体" w:hAnsi="宋体" w:cs="宋体"/>
                <w:strike w:val="0"/>
                <w:dstrike w:val="0"/>
                <w:sz w:val="21"/>
                <w:szCs w:val="21"/>
                <w:highlight w:val="none"/>
              </w:rPr>
              <w:t>≥4.5</w:t>
            </w:r>
          </w:p>
        </w:tc>
        <w:tc>
          <w:tcPr>
            <w:tcW w:w="2188" w:type="dxa"/>
            <w:vMerge w:val="continue"/>
          </w:tcPr>
          <w:p w14:paraId="7D89105E">
            <w:pPr>
              <w:rPr>
                <w:rFonts w:ascii="宋体" w:hAnsi="宋体" w:cs="宋体"/>
                <w:strike w:val="0"/>
                <w:dstrike w:val="0"/>
                <w:sz w:val="24"/>
                <w:highlight w:val="none"/>
              </w:rPr>
            </w:pPr>
          </w:p>
        </w:tc>
      </w:tr>
      <w:tr w14:paraId="544973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189" w:type="dxa"/>
            <w:vMerge w:val="continue"/>
            <w:vAlign w:val="center"/>
          </w:tcPr>
          <w:p w14:paraId="7E8029B2">
            <w:pPr>
              <w:jc w:val="center"/>
              <w:rPr>
                <w:rFonts w:ascii="宋体" w:hAnsi="宋体" w:cs="宋体"/>
                <w:strike w:val="0"/>
                <w:dstrike w:val="0"/>
                <w:sz w:val="21"/>
                <w:szCs w:val="21"/>
                <w:highlight w:val="none"/>
              </w:rPr>
            </w:pPr>
          </w:p>
        </w:tc>
        <w:tc>
          <w:tcPr>
            <w:tcW w:w="1236" w:type="dxa"/>
            <w:vMerge w:val="continue"/>
            <w:vAlign w:val="center"/>
          </w:tcPr>
          <w:p w14:paraId="4DC5237D">
            <w:pPr>
              <w:jc w:val="center"/>
              <w:rPr>
                <w:rFonts w:ascii="宋体" w:hAnsi="宋体" w:cs="宋体"/>
                <w:strike w:val="0"/>
                <w:dstrike w:val="0"/>
                <w:sz w:val="21"/>
                <w:szCs w:val="21"/>
                <w:highlight w:val="none"/>
              </w:rPr>
            </w:pPr>
          </w:p>
        </w:tc>
        <w:tc>
          <w:tcPr>
            <w:tcW w:w="982" w:type="dxa"/>
          </w:tcPr>
          <w:p w14:paraId="53F40D61">
            <w:pPr>
              <w:jc w:val="center"/>
              <w:rPr>
                <w:rFonts w:ascii="宋体" w:hAnsi="宋体" w:cs="宋体"/>
                <w:strike w:val="0"/>
                <w:dstrike w:val="0"/>
                <w:sz w:val="21"/>
                <w:szCs w:val="21"/>
                <w:highlight w:val="none"/>
              </w:rPr>
            </w:pPr>
            <w:r>
              <w:rPr>
                <w:rFonts w:hint="eastAsia" w:ascii="宋体" w:hAnsi="宋体" w:cs="宋体"/>
                <w:strike w:val="0"/>
                <w:dstrike w:val="0"/>
                <w:sz w:val="21"/>
                <w:szCs w:val="21"/>
                <w:highlight w:val="none"/>
              </w:rPr>
              <w:t>100mm</w:t>
            </w:r>
          </w:p>
        </w:tc>
        <w:tc>
          <w:tcPr>
            <w:tcW w:w="927" w:type="dxa"/>
          </w:tcPr>
          <w:p w14:paraId="6692FE68">
            <w:pPr>
              <w:jc w:val="center"/>
              <w:rPr>
                <w:rFonts w:ascii="宋体" w:hAnsi="宋体" w:cs="宋体"/>
                <w:strike w:val="0"/>
                <w:dstrike w:val="0"/>
                <w:sz w:val="21"/>
                <w:szCs w:val="21"/>
                <w:highlight w:val="none"/>
              </w:rPr>
            </w:pPr>
            <w:r>
              <w:rPr>
                <w:rFonts w:hint="eastAsia" w:ascii="宋体" w:hAnsi="宋体" w:cs="宋体"/>
                <w:strike w:val="0"/>
                <w:dstrike w:val="0"/>
                <w:sz w:val="21"/>
                <w:szCs w:val="21"/>
                <w:highlight w:val="none"/>
              </w:rPr>
              <w:t>≥5.0</w:t>
            </w:r>
          </w:p>
        </w:tc>
        <w:tc>
          <w:tcPr>
            <w:tcW w:w="2188" w:type="dxa"/>
            <w:vMerge w:val="continue"/>
          </w:tcPr>
          <w:p w14:paraId="56DE46BB">
            <w:pPr>
              <w:rPr>
                <w:rFonts w:ascii="宋体" w:hAnsi="宋体" w:cs="宋体"/>
                <w:strike w:val="0"/>
                <w:dstrike w:val="0"/>
                <w:sz w:val="24"/>
                <w:highlight w:val="none"/>
              </w:rPr>
            </w:pPr>
          </w:p>
        </w:tc>
      </w:tr>
      <w:tr w14:paraId="045485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3189" w:type="dxa"/>
            <w:vMerge w:val="restart"/>
            <w:vAlign w:val="center"/>
          </w:tcPr>
          <w:p w14:paraId="16D67615">
            <w:pPr>
              <w:jc w:val="center"/>
              <w:rPr>
                <w:rFonts w:ascii="宋体" w:hAnsi="宋体" w:cs="宋体"/>
                <w:strike w:val="0"/>
                <w:dstrike w:val="0"/>
                <w:sz w:val="21"/>
                <w:szCs w:val="21"/>
                <w:highlight w:val="none"/>
              </w:rPr>
            </w:pPr>
            <w:r>
              <w:rPr>
                <w:rFonts w:hint="eastAsia" w:ascii="宋体" w:hAnsi="宋体" w:cs="宋体"/>
                <w:strike w:val="0"/>
                <w:dstrike w:val="0"/>
                <w:sz w:val="21"/>
                <w:szCs w:val="21"/>
                <w:highlight w:val="none"/>
              </w:rPr>
              <w:t>锚固件与保温板的局部承载压力（kN）</w:t>
            </w:r>
          </w:p>
        </w:tc>
        <w:tc>
          <w:tcPr>
            <w:tcW w:w="1236" w:type="dxa"/>
            <w:vMerge w:val="restart"/>
            <w:vAlign w:val="center"/>
          </w:tcPr>
          <w:p w14:paraId="19B0AD98">
            <w:pPr>
              <w:jc w:val="center"/>
              <w:rPr>
                <w:rFonts w:ascii="宋体" w:hAnsi="宋体" w:cs="宋体"/>
                <w:strike w:val="0"/>
                <w:dstrike w:val="0"/>
                <w:sz w:val="21"/>
                <w:szCs w:val="21"/>
                <w:highlight w:val="none"/>
              </w:rPr>
            </w:pPr>
            <w:r>
              <w:rPr>
                <w:rFonts w:hint="eastAsia" w:ascii="宋体" w:hAnsi="宋体" w:cs="宋体"/>
                <w:strike w:val="0"/>
                <w:dstrike w:val="0"/>
                <w:sz w:val="21"/>
                <w:szCs w:val="21"/>
                <w:highlight w:val="none"/>
              </w:rPr>
              <w:t>锚杆直径</w:t>
            </w:r>
          </w:p>
        </w:tc>
        <w:tc>
          <w:tcPr>
            <w:tcW w:w="982" w:type="dxa"/>
          </w:tcPr>
          <w:p w14:paraId="0A28E5FA">
            <w:pPr>
              <w:jc w:val="center"/>
              <w:rPr>
                <w:rFonts w:ascii="宋体" w:hAnsi="宋体" w:cs="宋体"/>
                <w:strike w:val="0"/>
                <w:dstrike w:val="0"/>
                <w:sz w:val="21"/>
                <w:szCs w:val="21"/>
                <w:highlight w:val="none"/>
              </w:rPr>
            </w:pPr>
            <w:r>
              <w:rPr>
                <w:rFonts w:hint="eastAsia" w:ascii="宋体" w:hAnsi="宋体" w:cs="宋体"/>
                <w:strike w:val="0"/>
                <w:dstrike w:val="0"/>
                <w:sz w:val="21"/>
                <w:szCs w:val="21"/>
                <w:highlight w:val="none"/>
              </w:rPr>
              <w:t>6mm</w:t>
            </w:r>
          </w:p>
        </w:tc>
        <w:tc>
          <w:tcPr>
            <w:tcW w:w="927" w:type="dxa"/>
          </w:tcPr>
          <w:p w14:paraId="53DC4555">
            <w:pPr>
              <w:jc w:val="center"/>
              <w:rPr>
                <w:rFonts w:ascii="宋体" w:hAnsi="宋体" w:cs="宋体"/>
                <w:strike w:val="0"/>
                <w:dstrike w:val="0"/>
                <w:sz w:val="21"/>
                <w:szCs w:val="21"/>
                <w:highlight w:val="none"/>
              </w:rPr>
            </w:pPr>
            <w:r>
              <w:rPr>
                <w:rFonts w:hint="eastAsia" w:ascii="宋体" w:hAnsi="宋体" w:cs="宋体"/>
                <w:strike w:val="0"/>
                <w:dstrike w:val="0"/>
                <w:sz w:val="21"/>
                <w:szCs w:val="21"/>
                <w:highlight w:val="none"/>
              </w:rPr>
              <w:t>≥2.2</w:t>
            </w:r>
          </w:p>
        </w:tc>
        <w:tc>
          <w:tcPr>
            <w:tcW w:w="2188" w:type="dxa"/>
            <w:vMerge w:val="continue"/>
          </w:tcPr>
          <w:p w14:paraId="10133E61">
            <w:pPr>
              <w:rPr>
                <w:rFonts w:hint="eastAsia" w:ascii="宋体" w:hAnsi="宋体" w:eastAsia="宋体" w:cs="宋体"/>
                <w:strike w:val="0"/>
                <w:dstrike w:val="0"/>
                <w:sz w:val="24"/>
                <w:highlight w:val="none"/>
                <w:lang w:val="en-US" w:eastAsia="zh-CN"/>
              </w:rPr>
            </w:pPr>
          </w:p>
        </w:tc>
      </w:tr>
      <w:tr w14:paraId="6A0E81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189" w:type="dxa"/>
            <w:vMerge w:val="continue"/>
            <w:vAlign w:val="center"/>
          </w:tcPr>
          <w:p w14:paraId="6A3FB344">
            <w:pPr>
              <w:jc w:val="center"/>
              <w:rPr>
                <w:rFonts w:ascii="宋体" w:hAnsi="宋体" w:cs="宋体"/>
                <w:strike w:val="0"/>
                <w:dstrike w:val="0"/>
                <w:sz w:val="21"/>
                <w:szCs w:val="21"/>
                <w:highlight w:val="none"/>
              </w:rPr>
            </w:pPr>
          </w:p>
        </w:tc>
        <w:tc>
          <w:tcPr>
            <w:tcW w:w="1236" w:type="dxa"/>
            <w:vMerge w:val="continue"/>
            <w:vAlign w:val="center"/>
          </w:tcPr>
          <w:p w14:paraId="00C17BE4">
            <w:pPr>
              <w:jc w:val="center"/>
              <w:rPr>
                <w:rFonts w:ascii="宋体" w:hAnsi="宋体" w:cs="宋体"/>
                <w:strike w:val="0"/>
                <w:dstrike w:val="0"/>
                <w:sz w:val="21"/>
                <w:szCs w:val="21"/>
                <w:highlight w:val="none"/>
              </w:rPr>
            </w:pPr>
          </w:p>
        </w:tc>
        <w:tc>
          <w:tcPr>
            <w:tcW w:w="982" w:type="dxa"/>
          </w:tcPr>
          <w:p w14:paraId="29B8D408">
            <w:pPr>
              <w:jc w:val="center"/>
              <w:rPr>
                <w:rFonts w:ascii="宋体" w:hAnsi="宋体" w:cs="宋体"/>
                <w:strike w:val="0"/>
                <w:dstrike w:val="0"/>
                <w:sz w:val="21"/>
                <w:szCs w:val="21"/>
                <w:highlight w:val="none"/>
              </w:rPr>
            </w:pPr>
            <w:r>
              <w:rPr>
                <w:rFonts w:hint="eastAsia" w:ascii="宋体" w:hAnsi="宋体" w:cs="宋体"/>
                <w:strike w:val="0"/>
                <w:dstrike w:val="0"/>
                <w:sz w:val="21"/>
                <w:szCs w:val="21"/>
                <w:highlight w:val="none"/>
              </w:rPr>
              <w:t>8mm</w:t>
            </w:r>
          </w:p>
        </w:tc>
        <w:tc>
          <w:tcPr>
            <w:tcW w:w="927" w:type="dxa"/>
          </w:tcPr>
          <w:p w14:paraId="5E68E407">
            <w:pPr>
              <w:jc w:val="center"/>
              <w:rPr>
                <w:rFonts w:ascii="宋体" w:hAnsi="宋体" w:cs="宋体"/>
                <w:strike w:val="0"/>
                <w:dstrike w:val="0"/>
                <w:sz w:val="21"/>
                <w:szCs w:val="21"/>
                <w:highlight w:val="none"/>
              </w:rPr>
            </w:pPr>
            <w:r>
              <w:rPr>
                <w:rFonts w:hint="eastAsia" w:ascii="宋体" w:hAnsi="宋体" w:cs="宋体"/>
                <w:strike w:val="0"/>
                <w:dstrike w:val="0"/>
                <w:sz w:val="21"/>
                <w:szCs w:val="21"/>
                <w:highlight w:val="none"/>
              </w:rPr>
              <w:t>≥2.8</w:t>
            </w:r>
          </w:p>
        </w:tc>
        <w:tc>
          <w:tcPr>
            <w:tcW w:w="2188" w:type="dxa"/>
            <w:vMerge w:val="continue"/>
          </w:tcPr>
          <w:p w14:paraId="3671E790">
            <w:pPr>
              <w:rPr>
                <w:rFonts w:ascii="宋体" w:hAnsi="宋体" w:cs="宋体"/>
                <w:strike w:val="0"/>
                <w:dstrike w:val="0"/>
                <w:sz w:val="24"/>
                <w:highlight w:val="none"/>
              </w:rPr>
            </w:pPr>
          </w:p>
        </w:tc>
      </w:tr>
      <w:tr w14:paraId="4EACEC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189" w:type="dxa"/>
            <w:vMerge w:val="continue"/>
            <w:vAlign w:val="center"/>
          </w:tcPr>
          <w:p w14:paraId="74947ED9">
            <w:pPr>
              <w:jc w:val="center"/>
              <w:rPr>
                <w:rFonts w:ascii="宋体" w:hAnsi="宋体" w:cs="宋体"/>
                <w:strike w:val="0"/>
                <w:dstrike w:val="0"/>
                <w:sz w:val="21"/>
                <w:szCs w:val="21"/>
                <w:highlight w:val="none"/>
              </w:rPr>
            </w:pPr>
          </w:p>
        </w:tc>
        <w:tc>
          <w:tcPr>
            <w:tcW w:w="1236" w:type="dxa"/>
            <w:vMerge w:val="continue"/>
            <w:vAlign w:val="center"/>
          </w:tcPr>
          <w:p w14:paraId="5EB9AB03">
            <w:pPr>
              <w:jc w:val="center"/>
              <w:rPr>
                <w:rFonts w:ascii="宋体" w:hAnsi="宋体" w:cs="宋体"/>
                <w:strike w:val="0"/>
                <w:dstrike w:val="0"/>
                <w:sz w:val="21"/>
                <w:szCs w:val="21"/>
                <w:highlight w:val="none"/>
              </w:rPr>
            </w:pPr>
          </w:p>
        </w:tc>
        <w:tc>
          <w:tcPr>
            <w:tcW w:w="982" w:type="dxa"/>
          </w:tcPr>
          <w:p w14:paraId="4C444D5A">
            <w:pPr>
              <w:jc w:val="center"/>
              <w:rPr>
                <w:rFonts w:ascii="宋体" w:hAnsi="宋体" w:cs="宋体"/>
                <w:strike w:val="0"/>
                <w:dstrike w:val="0"/>
                <w:sz w:val="21"/>
                <w:szCs w:val="21"/>
                <w:highlight w:val="none"/>
              </w:rPr>
            </w:pPr>
            <w:r>
              <w:rPr>
                <w:rFonts w:hint="eastAsia" w:ascii="宋体" w:hAnsi="宋体" w:cs="宋体"/>
                <w:strike w:val="0"/>
                <w:dstrike w:val="0"/>
                <w:sz w:val="21"/>
                <w:szCs w:val="21"/>
                <w:highlight w:val="none"/>
              </w:rPr>
              <w:t>10mm</w:t>
            </w:r>
          </w:p>
        </w:tc>
        <w:tc>
          <w:tcPr>
            <w:tcW w:w="927" w:type="dxa"/>
          </w:tcPr>
          <w:p w14:paraId="73B98D2C">
            <w:pPr>
              <w:jc w:val="center"/>
              <w:rPr>
                <w:rFonts w:ascii="宋体" w:hAnsi="宋体" w:cs="宋体"/>
                <w:strike w:val="0"/>
                <w:dstrike w:val="0"/>
                <w:sz w:val="21"/>
                <w:szCs w:val="21"/>
                <w:highlight w:val="none"/>
              </w:rPr>
            </w:pPr>
            <w:r>
              <w:rPr>
                <w:rFonts w:hint="eastAsia" w:ascii="宋体" w:hAnsi="宋体" w:cs="宋体"/>
                <w:strike w:val="0"/>
                <w:dstrike w:val="0"/>
                <w:sz w:val="21"/>
                <w:szCs w:val="21"/>
                <w:highlight w:val="none"/>
              </w:rPr>
              <w:t>≥3.2</w:t>
            </w:r>
          </w:p>
        </w:tc>
        <w:tc>
          <w:tcPr>
            <w:tcW w:w="2188" w:type="dxa"/>
            <w:vMerge w:val="continue"/>
          </w:tcPr>
          <w:p w14:paraId="50DDC2A4">
            <w:pPr>
              <w:rPr>
                <w:rFonts w:ascii="宋体" w:hAnsi="宋体" w:cs="宋体"/>
                <w:strike w:val="0"/>
                <w:dstrike w:val="0"/>
                <w:sz w:val="24"/>
                <w:highlight w:val="none"/>
              </w:rPr>
            </w:pPr>
          </w:p>
        </w:tc>
      </w:tr>
      <w:tr w14:paraId="2E5D01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189" w:type="dxa"/>
            <w:vMerge w:val="continue"/>
            <w:vAlign w:val="center"/>
          </w:tcPr>
          <w:p w14:paraId="6B83F950">
            <w:pPr>
              <w:jc w:val="center"/>
              <w:rPr>
                <w:rFonts w:ascii="宋体" w:hAnsi="宋体" w:cs="宋体"/>
                <w:strike w:val="0"/>
                <w:dstrike w:val="0"/>
                <w:sz w:val="21"/>
                <w:szCs w:val="21"/>
                <w:highlight w:val="none"/>
              </w:rPr>
            </w:pPr>
          </w:p>
        </w:tc>
        <w:tc>
          <w:tcPr>
            <w:tcW w:w="1236" w:type="dxa"/>
            <w:vAlign w:val="center"/>
          </w:tcPr>
          <w:p w14:paraId="4D4C8A0C">
            <w:pPr>
              <w:jc w:val="center"/>
              <w:rPr>
                <w:rFonts w:ascii="宋体" w:hAnsi="宋体" w:cs="宋体"/>
                <w:strike w:val="0"/>
                <w:dstrike w:val="0"/>
                <w:sz w:val="21"/>
                <w:szCs w:val="21"/>
                <w:highlight w:val="none"/>
              </w:rPr>
            </w:pPr>
            <w:r>
              <w:rPr>
                <w:rFonts w:hint="eastAsia" w:ascii="宋体" w:hAnsi="宋体" w:cs="宋体"/>
                <w:strike w:val="0"/>
                <w:dstrike w:val="0"/>
                <w:sz w:val="21"/>
                <w:szCs w:val="21"/>
                <w:highlight w:val="none"/>
              </w:rPr>
              <w:t>套杆直径</w:t>
            </w:r>
          </w:p>
        </w:tc>
        <w:tc>
          <w:tcPr>
            <w:tcW w:w="982" w:type="dxa"/>
          </w:tcPr>
          <w:p w14:paraId="58DD5AB1">
            <w:pPr>
              <w:jc w:val="center"/>
              <w:rPr>
                <w:rFonts w:ascii="宋体" w:hAnsi="宋体" w:cs="宋体"/>
                <w:strike w:val="0"/>
                <w:dstrike w:val="0"/>
                <w:sz w:val="21"/>
                <w:szCs w:val="21"/>
                <w:highlight w:val="none"/>
              </w:rPr>
            </w:pPr>
            <w:r>
              <w:rPr>
                <w:rFonts w:hint="eastAsia" w:ascii="宋体" w:hAnsi="宋体" w:cs="宋体"/>
                <w:strike w:val="0"/>
                <w:dstrike w:val="0"/>
                <w:sz w:val="21"/>
                <w:szCs w:val="21"/>
                <w:highlight w:val="none"/>
              </w:rPr>
              <w:t>20mm</w:t>
            </w:r>
          </w:p>
        </w:tc>
        <w:tc>
          <w:tcPr>
            <w:tcW w:w="927" w:type="dxa"/>
          </w:tcPr>
          <w:p w14:paraId="0F7511BA">
            <w:pPr>
              <w:jc w:val="center"/>
              <w:rPr>
                <w:rFonts w:ascii="宋体" w:hAnsi="宋体" w:cs="宋体"/>
                <w:strike w:val="0"/>
                <w:dstrike w:val="0"/>
                <w:sz w:val="21"/>
                <w:szCs w:val="21"/>
                <w:highlight w:val="none"/>
              </w:rPr>
            </w:pPr>
            <w:r>
              <w:rPr>
                <w:rFonts w:hint="eastAsia" w:ascii="宋体" w:hAnsi="宋体" w:cs="宋体"/>
                <w:strike w:val="0"/>
                <w:dstrike w:val="0"/>
                <w:sz w:val="21"/>
                <w:szCs w:val="21"/>
                <w:highlight w:val="none"/>
              </w:rPr>
              <w:t>≥5.0</w:t>
            </w:r>
          </w:p>
        </w:tc>
        <w:tc>
          <w:tcPr>
            <w:tcW w:w="2188" w:type="dxa"/>
            <w:vMerge w:val="continue"/>
          </w:tcPr>
          <w:p w14:paraId="7CE34404">
            <w:pPr>
              <w:rPr>
                <w:rFonts w:ascii="宋体" w:hAnsi="宋体" w:cs="宋体"/>
                <w:strike w:val="0"/>
                <w:dstrike w:val="0"/>
                <w:sz w:val="24"/>
                <w:highlight w:val="none"/>
              </w:rPr>
            </w:pPr>
          </w:p>
        </w:tc>
      </w:tr>
      <w:tr w14:paraId="14BC92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189" w:type="dxa"/>
            <w:vMerge w:val="restart"/>
            <w:vAlign w:val="center"/>
          </w:tcPr>
          <w:p w14:paraId="5B4C286A">
            <w:pPr>
              <w:jc w:val="center"/>
              <w:rPr>
                <w:rFonts w:ascii="宋体" w:hAnsi="宋体" w:cs="宋体"/>
                <w:strike w:val="0"/>
                <w:dstrike w:val="0"/>
                <w:sz w:val="21"/>
                <w:szCs w:val="21"/>
                <w:highlight w:val="none"/>
              </w:rPr>
            </w:pPr>
            <w:r>
              <w:rPr>
                <w:rFonts w:hint="eastAsia" w:ascii="宋体" w:hAnsi="宋体" w:cs="宋体"/>
                <w:strike w:val="0"/>
                <w:dstrike w:val="0"/>
                <w:sz w:val="21"/>
                <w:szCs w:val="21"/>
                <w:highlight w:val="none"/>
              </w:rPr>
              <w:t>锚固件与混凝土的抗拔承载力（kN）</w:t>
            </w:r>
          </w:p>
        </w:tc>
        <w:tc>
          <w:tcPr>
            <w:tcW w:w="1236" w:type="dxa"/>
            <w:vMerge w:val="restart"/>
            <w:vAlign w:val="center"/>
          </w:tcPr>
          <w:p w14:paraId="2E04C54A">
            <w:pPr>
              <w:jc w:val="center"/>
              <w:rPr>
                <w:rFonts w:ascii="宋体" w:hAnsi="宋体" w:cs="宋体"/>
                <w:strike w:val="0"/>
                <w:dstrike w:val="0"/>
                <w:sz w:val="21"/>
                <w:szCs w:val="21"/>
                <w:highlight w:val="none"/>
              </w:rPr>
            </w:pPr>
            <w:r>
              <w:rPr>
                <w:rFonts w:hint="eastAsia" w:ascii="宋体" w:hAnsi="宋体" w:cs="宋体"/>
                <w:strike w:val="0"/>
                <w:dstrike w:val="0"/>
                <w:sz w:val="21"/>
                <w:szCs w:val="21"/>
                <w:highlight w:val="none"/>
              </w:rPr>
              <w:t>锚杆直径</w:t>
            </w:r>
          </w:p>
        </w:tc>
        <w:tc>
          <w:tcPr>
            <w:tcW w:w="982" w:type="dxa"/>
          </w:tcPr>
          <w:p w14:paraId="6A883F87">
            <w:pPr>
              <w:jc w:val="center"/>
              <w:rPr>
                <w:rFonts w:ascii="宋体" w:hAnsi="宋体" w:cs="宋体"/>
                <w:strike w:val="0"/>
                <w:dstrike w:val="0"/>
                <w:sz w:val="21"/>
                <w:szCs w:val="21"/>
                <w:highlight w:val="none"/>
              </w:rPr>
            </w:pPr>
            <w:r>
              <w:rPr>
                <w:rFonts w:hint="eastAsia" w:ascii="宋体" w:hAnsi="宋体" w:cs="宋体"/>
                <w:strike w:val="0"/>
                <w:dstrike w:val="0"/>
                <w:sz w:val="21"/>
                <w:szCs w:val="21"/>
                <w:highlight w:val="none"/>
              </w:rPr>
              <w:t>6mm</w:t>
            </w:r>
          </w:p>
        </w:tc>
        <w:tc>
          <w:tcPr>
            <w:tcW w:w="927" w:type="dxa"/>
          </w:tcPr>
          <w:p w14:paraId="03135241">
            <w:pPr>
              <w:jc w:val="center"/>
              <w:rPr>
                <w:rFonts w:ascii="宋体" w:hAnsi="宋体" w:cs="宋体"/>
                <w:strike w:val="0"/>
                <w:dstrike w:val="0"/>
                <w:sz w:val="21"/>
                <w:szCs w:val="21"/>
                <w:highlight w:val="none"/>
              </w:rPr>
            </w:pPr>
            <w:r>
              <w:rPr>
                <w:rFonts w:hint="eastAsia" w:ascii="宋体" w:hAnsi="宋体" w:cs="宋体"/>
                <w:strike w:val="0"/>
                <w:dstrike w:val="0"/>
                <w:sz w:val="21"/>
                <w:szCs w:val="21"/>
                <w:highlight w:val="none"/>
              </w:rPr>
              <w:t>≥9.0</w:t>
            </w:r>
          </w:p>
        </w:tc>
        <w:tc>
          <w:tcPr>
            <w:tcW w:w="2188" w:type="dxa"/>
            <w:vMerge w:val="continue"/>
          </w:tcPr>
          <w:p w14:paraId="5BEED400">
            <w:pPr>
              <w:rPr>
                <w:rFonts w:hint="eastAsia" w:ascii="宋体" w:hAnsi="宋体" w:eastAsia="宋体" w:cs="宋体"/>
                <w:strike w:val="0"/>
                <w:dstrike w:val="0"/>
                <w:sz w:val="24"/>
                <w:highlight w:val="none"/>
                <w:lang w:val="en-US" w:eastAsia="zh-CN"/>
              </w:rPr>
            </w:pPr>
          </w:p>
        </w:tc>
      </w:tr>
      <w:tr w14:paraId="53255B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189" w:type="dxa"/>
            <w:vMerge w:val="continue"/>
            <w:vAlign w:val="center"/>
          </w:tcPr>
          <w:p w14:paraId="67C6AAF9">
            <w:pPr>
              <w:jc w:val="center"/>
              <w:rPr>
                <w:rFonts w:ascii="宋体" w:hAnsi="宋体" w:cs="宋体"/>
                <w:strike w:val="0"/>
                <w:dstrike w:val="0"/>
                <w:sz w:val="21"/>
                <w:szCs w:val="21"/>
                <w:highlight w:val="none"/>
              </w:rPr>
            </w:pPr>
          </w:p>
        </w:tc>
        <w:tc>
          <w:tcPr>
            <w:tcW w:w="1236" w:type="dxa"/>
            <w:vMerge w:val="continue"/>
          </w:tcPr>
          <w:p w14:paraId="47A6B9C0">
            <w:pPr>
              <w:rPr>
                <w:rFonts w:ascii="宋体" w:hAnsi="宋体" w:cs="宋体"/>
                <w:strike w:val="0"/>
                <w:dstrike w:val="0"/>
                <w:sz w:val="21"/>
                <w:szCs w:val="21"/>
                <w:highlight w:val="none"/>
              </w:rPr>
            </w:pPr>
          </w:p>
        </w:tc>
        <w:tc>
          <w:tcPr>
            <w:tcW w:w="982" w:type="dxa"/>
          </w:tcPr>
          <w:p w14:paraId="6B40F0F7">
            <w:pPr>
              <w:jc w:val="center"/>
              <w:rPr>
                <w:rFonts w:ascii="宋体" w:hAnsi="宋体" w:cs="宋体"/>
                <w:strike w:val="0"/>
                <w:dstrike w:val="0"/>
                <w:sz w:val="21"/>
                <w:szCs w:val="21"/>
                <w:highlight w:val="none"/>
              </w:rPr>
            </w:pPr>
            <w:r>
              <w:rPr>
                <w:rFonts w:hint="eastAsia" w:ascii="宋体" w:hAnsi="宋体" w:cs="宋体"/>
                <w:strike w:val="0"/>
                <w:dstrike w:val="0"/>
                <w:sz w:val="21"/>
                <w:szCs w:val="21"/>
                <w:highlight w:val="none"/>
              </w:rPr>
              <w:t>8mm</w:t>
            </w:r>
          </w:p>
        </w:tc>
        <w:tc>
          <w:tcPr>
            <w:tcW w:w="927" w:type="dxa"/>
          </w:tcPr>
          <w:p w14:paraId="1BA3AF2E">
            <w:pPr>
              <w:jc w:val="center"/>
              <w:rPr>
                <w:rFonts w:ascii="宋体" w:hAnsi="宋体" w:cs="宋体"/>
                <w:strike w:val="0"/>
                <w:dstrike w:val="0"/>
                <w:sz w:val="21"/>
                <w:szCs w:val="21"/>
                <w:highlight w:val="none"/>
              </w:rPr>
            </w:pPr>
            <w:r>
              <w:rPr>
                <w:rFonts w:hint="eastAsia" w:ascii="宋体" w:hAnsi="宋体" w:cs="宋体"/>
                <w:strike w:val="0"/>
                <w:dstrike w:val="0"/>
                <w:sz w:val="21"/>
                <w:szCs w:val="21"/>
                <w:highlight w:val="none"/>
              </w:rPr>
              <w:t>≥12.0</w:t>
            </w:r>
          </w:p>
        </w:tc>
        <w:tc>
          <w:tcPr>
            <w:tcW w:w="2188" w:type="dxa"/>
            <w:vMerge w:val="continue"/>
          </w:tcPr>
          <w:p w14:paraId="01713583">
            <w:pPr>
              <w:rPr>
                <w:rFonts w:ascii="宋体" w:hAnsi="宋体" w:cs="宋体"/>
                <w:strike w:val="0"/>
                <w:dstrike w:val="0"/>
                <w:sz w:val="24"/>
                <w:highlight w:val="none"/>
              </w:rPr>
            </w:pPr>
          </w:p>
        </w:tc>
      </w:tr>
      <w:tr w14:paraId="5480C1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189" w:type="dxa"/>
            <w:vMerge w:val="continue"/>
            <w:vAlign w:val="center"/>
          </w:tcPr>
          <w:p w14:paraId="5FB3D983">
            <w:pPr>
              <w:jc w:val="center"/>
              <w:rPr>
                <w:rFonts w:ascii="宋体" w:hAnsi="宋体" w:cs="宋体"/>
                <w:strike w:val="0"/>
                <w:dstrike w:val="0"/>
                <w:sz w:val="21"/>
                <w:szCs w:val="21"/>
                <w:highlight w:val="none"/>
              </w:rPr>
            </w:pPr>
          </w:p>
        </w:tc>
        <w:tc>
          <w:tcPr>
            <w:tcW w:w="1236" w:type="dxa"/>
            <w:vMerge w:val="continue"/>
          </w:tcPr>
          <w:p w14:paraId="38FF7BD1">
            <w:pPr>
              <w:rPr>
                <w:rFonts w:ascii="宋体" w:hAnsi="宋体" w:cs="宋体"/>
                <w:strike w:val="0"/>
                <w:dstrike w:val="0"/>
                <w:sz w:val="21"/>
                <w:szCs w:val="21"/>
                <w:highlight w:val="none"/>
              </w:rPr>
            </w:pPr>
          </w:p>
        </w:tc>
        <w:tc>
          <w:tcPr>
            <w:tcW w:w="982" w:type="dxa"/>
          </w:tcPr>
          <w:p w14:paraId="1AAC0057">
            <w:pPr>
              <w:jc w:val="center"/>
              <w:rPr>
                <w:rFonts w:ascii="宋体" w:hAnsi="宋体" w:cs="宋体"/>
                <w:strike w:val="0"/>
                <w:dstrike w:val="0"/>
                <w:sz w:val="21"/>
                <w:szCs w:val="21"/>
                <w:highlight w:val="none"/>
              </w:rPr>
            </w:pPr>
            <w:r>
              <w:rPr>
                <w:rFonts w:hint="eastAsia" w:ascii="宋体" w:hAnsi="宋体" w:cs="宋体"/>
                <w:strike w:val="0"/>
                <w:dstrike w:val="0"/>
                <w:sz w:val="21"/>
                <w:szCs w:val="21"/>
                <w:highlight w:val="none"/>
              </w:rPr>
              <w:t>10mm</w:t>
            </w:r>
          </w:p>
        </w:tc>
        <w:tc>
          <w:tcPr>
            <w:tcW w:w="927" w:type="dxa"/>
          </w:tcPr>
          <w:p w14:paraId="5B02D8A6">
            <w:pPr>
              <w:jc w:val="center"/>
              <w:rPr>
                <w:rFonts w:ascii="宋体" w:hAnsi="宋体" w:cs="宋体"/>
                <w:strike w:val="0"/>
                <w:dstrike w:val="0"/>
                <w:sz w:val="21"/>
                <w:szCs w:val="21"/>
                <w:highlight w:val="none"/>
              </w:rPr>
            </w:pPr>
            <w:r>
              <w:rPr>
                <w:rFonts w:hint="eastAsia" w:ascii="宋体" w:hAnsi="宋体" w:cs="宋体"/>
                <w:strike w:val="0"/>
                <w:dstrike w:val="0"/>
                <w:sz w:val="21"/>
                <w:szCs w:val="21"/>
                <w:highlight w:val="none"/>
              </w:rPr>
              <w:t>≥15.0</w:t>
            </w:r>
          </w:p>
        </w:tc>
        <w:tc>
          <w:tcPr>
            <w:tcW w:w="2188" w:type="dxa"/>
            <w:vMerge w:val="continue"/>
          </w:tcPr>
          <w:p w14:paraId="570968BF">
            <w:pPr>
              <w:rPr>
                <w:rFonts w:ascii="宋体" w:hAnsi="宋体" w:cs="宋体"/>
                <w:strike w:val="0"/>
                <w:dstrike w:val="0"/>
                <w:sz w:val="24"/>
                <w:highlight w:val="none"/>
              </w:rPr>
            </w:pPr>
          </w:p>
        </w:tc>
      </w:tr>
      <w:tr w14:paraId="3DD3C0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189" w:type="dxa"/>
            <w:vMerge w:val="restart"/>
            <w:vAlign w:val="center"/>
          </w:tcPr>
          <w:p w14:paraId="668010D8">
            <w:pPr>
              <w:pStyle w:val="2"/>
              <w:jc w:val="center"/>
              <w:rPr>
                <w:rFonts w:hint="eastAsia"/>
                <w:strike w:val="0"/>
                <w:dstrike w:val="0"/>
                <w:sz w:val="21"/>
                <w:szCs w:val="21"/>
                <w:highlight w:val="none"/>
              </w:rPr>
            </w:pPr>
            <w:r>
              <w:rPr>
                <w:rFonts w:hint="eastAsia"/>
                <w:strike w:val="0"/>
                <w:dstrike w:val="0"/>
                <w:sz w:val="21"/>
                <w:szCs w:val="21"/>
                <w:highlight w:val="none"/>
              </w:rPr>
              <w:t>尾盘抗拉承载力</w:t>
            </w:r>
          </w:p>
          <w:p w14:paraId="32B877A9">
            <w:pPr>
              <w:pStyle w:val="2"/>
              <w:jc w:val="center"/>
              <w:rPr>
                <w:rFonts w:ascii="宋体" w:hAnsi="宋体" w:cs="宋体"/>
                <w:strike w:val="0"/>
                <w:dstrike w:val="0"/>
                <w:sz w:val="21"/>
                <w:szCs w:val="21"/>
                <w:highlight w:val="none"/>
              </w:rPr>
            </w:pPr>
            <w:r>
              <w:rPr>
                <w:rFonts w:hint="eastAsia"/>
                <w:strike w:val="0"/>
                <w:dstrike w:val="0"/>
                <w:sz w:val="21"/>
                <w:szCs w:val="21"/>
                <w:highlight w:val="none"/>
              </w:rPr>
              <w:t>（kN）</w:t>
            </w:r>
          </w:p>
        </w:tc>
        <w:tc>
          <w:tcPr>
            <w:tcW w:w="1236" w:type="dxa"/>
            <w:vMerge w:val="restart"/>
            <w:vAlign w:val="center"/>
          </w:tcPr>
          <w:p w14:paraId="3CE0000B">
            <w:pPr>
              <w:pStyle w:val="2"/>
              <w:jc w:val="center"/>
              <w:rPr>
                <w:strike w:val="0"/>
                <w:dstrike w:val="0"/>
                <w:sz w:val="21"/>
                <w:szCs w:val="21"/>
                <w:highlight w:val="none"/>
              </w:rPr>
            </w:pPr>
            <w:r>
              <w:rPr>
                <w:rFonts w:hint="eastAsia"/>
                <w:strike w:val="0"/>
                <w:dstrike w:val="0"/>
                <w:sz w:val="21"/>
                <w:szCs w:val="21"/>
                <w:highlight w:val="none"/>
              </w:rPr>
              <w:t>锚杆</w:t>
            </w:r>
          </w:p>
          <w:p w14:paraId="77407963">
            <w:pPr>
              <w:pStyle w:val="2"/>
              <w:jc w:val="center"/>
              <w:rPr>
                <w:strike w:val="0"/>
                <w:dstrike w:val="0"/>
                <w:sz w:val="21"/>
                <w:szCs w:val="21"/>
                <w:highlight w:val="none"/>
              </w:rPr>
            </w:pPr>
            <w:r>
              <w:rPr>
                <w:rFonts w:hint="eastAsia"/>
                <w:strike w:val="0"/>
                <w:dstrike w:val="0"/>
                <w:sz w:val="21"/>
                <w:szCs w:val="21"/>
                <w:highlight w:val="none"/>
              </w:rPr>
              <w:t>直径</w:t>
            </w:r>
          </w:p>
        </w:tc>
        <w:tc>
          <w:tcPr>
            <w:tcW w:w="982" w:type="dxa"/>
            <w:vAlign w:val="center"/>
          </w:tcPr>
          <w:p w14:paraId="26444B6D">
            <w:pPr>
              <w:jc w:val="center"/>
              <w:rPr>
                <w:rFonts w:ascii="宋体" w:hAnsi="宋体" w:cs="宋体"/>
                <w:strike w:val="0"/>
                <w:dstrike w:val="0"/>
                <w:sz w:val="21"/>
                <w:szCs w:val="21"/>
                <w:highlight w:val="none"/>
              </w:rPr>
            </w:pPr>
            <w:r>
              <w:rPr>
                <w:rFonts w:hint="eastAsia" w:ascii="宋体" w:hAnsi="宋体" w:cs="宋体"/>
                <w:strike w:val="0"/>
                <w:dstrike w:val="0"/>
                <w:sz w:val="21"/>
                <w:szCs w:val="21"/>
                <w:highlight w:val="none"/>
              </w:rPr>
              <w:t>6mm</w:t>
            </w:r>
          </w:p>
        </w:tc>
        <w:tc>
          <w:tcPr>
            <w:tcW w:w="927" w:type="dxa"/>
            <w:vAlign w:val="center"/>
          </w:tcPr>
          <w:p w14:paraId="2F4C6ACD">
            <w:pPr>
              <w:jc w:val="center"/>
              <w:rPr>
                <w:rFonts w:ascii="宋体" w:hAnsi="宋体" w:cs="宋体"/>
                <w:strike w:val="0"/>
                <w:dstrike w:val="0"/>
                <w:sz w:val="21"/>
                <w:szCs w:val="21"/>
                <w:highlight w:val="none"/>
              </w:rPr>
            </w:pPr>
            <w:r>
              <w:rPr>
                <w:rFonts w:hint="eastAsia" w:ascii="宋体" w:hAnsi="宋体" w:cs="宋体"/>
                <w:strike w:val="0"/>
                <w:dstrike w:val="0"/>
                <w:sz w:val="21"/>
                <w:szCs w:val="21"/>
                <w:highlight w:val="none"/>
              </w:rPr>
              <w:t>≥5.0</w:t>
            </w:r>
          </w:p>
        </w:tc>
        <w:tc>
          <w:tcPr>
            <w:tcW w:w="2188" w:type="dxa"/>
            <w:vMerge w:val="continue"/>
          </w:tcPr>
          <w:p w14:paraId="0A8FA155">
            <w:pPr>
              <w:rPr>
                <w:rFonts w:hint="eastAsia" w:ascii="宋体" w:hAnsi="宋体" w:eastAsia="宋体" w:cs="宋体"/>
                <w:strike w:val="0"/>
                <w:dstrike w:val="0"/>
                <w:sz w:val="24"/>
                <w:highlight w:val="none"/>
                <w:lang w:val="en-US" w:eastAsia="zh-CN"/>
              </w:rPr>
            </w:pPr>
          </w:p>
        </w:tc>
      </w:tr>
      <w:tr w14:paraId="30D368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189" w:type="dxa"/>
            <w:vMerge w:val="continue"/>
          </w:tcPr>
          <w:p w14:paraId="21F4D991">
            <w:pPr>
              <w:rPr>
                <w:rFonts w:ascii="宋体" w:hAnsi="宋体" w:cs="宋体"/>
                <w:strike w:val="0"/>
                <w:dstrike w:val="0"/>
                <w:sz w:val="21"/>
                <w:szCs w:val="21"/>
                <w:highlight w:val="none"/>
              </w:rPr>
            </w:pPr>
          </w:p>
        </w:tc>
        <w:tc>
          <w:tcPr>
            <w:tcW w:w="1236" w:type="dxa"/>
            <w:vMerge w:val="continue"/>
          </w:tcPr>
          <w:p w14:paraId="707A8F6D">
            <w:pPr>
              <w:rPr>
                <w:rFonts w:ascii="宋体" w:hAnsi="宋体" w:cs="宋体"/>
                <w:strike w:val="0"/>
                <w:dstrike w:val="0"/>
                <w:sz w:val="21"/>
                <w:szCs w:val="21"/>
                <w:highlight w:val="none"/>
              </w:rPr>
            </w:pPr>
          </w:p>
        </w:tc>
        <w:tc>
          <w:tcPr>
            <w:tcW w:w="982" w:type="dxa"/>
            <w:vAlign w:val="center"/>
          </w:tcPr>
          <w:p w14:paraId="38C07CFE">
            <w:pPr>
              <w:jc w:val="center"/>
              <w:rPr>
                <w:rFonts w:ascii="宋体" w:hAnsi="宋体" w:cs="宋体"/>
                <w:strike w:val="0"/>
                <w:dstrike w:val="0"/>
                <w:sz w:val="21"/>
                <w:szCs w:val="21"/>
                <w:highlight w:val="none"/>
              </w:rPr>
            </w:pPr>
            <w:r>
              <w:rPr>
                <w:rFonts w:hint="eastAsia" w:ascii="宋体" w:hAnsi="宋体" w:cs="宋体"/>
                <w:strike w:val="0"/>
                <w:dstrike w:val="0"/>
                <w:sz w:val="21"/>
                <w:szCs w:val="21"/>
                <w:highlight w:val="none"/>
              </w:rPr>
              <w:t>8mm</w:t>
            </w:r>
          </w:p>
        </w:tc>
        <w:tc>
          <w:tcPr>
            <w:tcW w:w="927" w:type="dxa"/>
            <w:vAlign w:val="center"/>
          </w:tcPr>
          <w:p w14:paraId="289C2DFC">
            <w:pPr>
              <w:jc w:val="center"/>
              <w:rPr>
                <w:rFonts w:ascii="宋体" w:hAnsi="宋体" w:cs="宋体"/>
                <w:strike w:val="0"/>
                <w:dstrike w:val="0"/>
                <w:sz w:val="21"/>
                <w:szCs w:val="21"/>
                <w:highlight w:val="none"/>
              </w:rPr>
            </w:pPr>
            <w:r>
              <w:rPr>
                <w:rFonts w:hint="eastAsia" w:ascii="宋体" w:hAnsi="宋体" w:cs="宋体"/>
                <w:strike w:val="0"/>
                <w:dstrike w:val="0"/>
                <w:sz w:val="21"/>
                <w:szCs w:val="21"/>
                <w:highlight w:val="none"/>
              </w:rPr>
              <w:t>≥6.5</w:t>
            </w:r>
          </w:p>
        </w:tc>
        <w:tc>
          <w:tcPr>
            <w:tcW w:w="2188" w:type="dxa"/>
            <w:vMerge w:val="continue"/>
          </w:tcPr>
          <w:p w14:paraId="4583BCB9">
            <w:pPr>
              <w:rPr>
                <w:rFonts w:ascii="宋体" w:hAnsi="宋体" w:cs="宋体"/>
                <w:strike w:val="0"/>
                <w:dstrike w:val="0"/>
                <w:sz w:val="24"/>
                <w:highlight w:val="none"/>
              </w:rPr>
            </w:pPr>
          </w:p>
        </w:tc>
      </w:tr>
      <w:tr w14:paraId="6CB370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189" w:type="dxa"/>
            <w:vMerge w:val="continue"/>
          </w:tcPr>
          <w:p w14:paraId="48E10378">
            <w:pPr>
              <w:rPr>
                <w:rFonts w:ascii="宋体" w:hAnsi="宋体" w:cs="宋体"/>
                <w:strike w:val="0"/>
                <w:dstrike w:val="0"/>
                <w:sz w:val="21"/>
                <w:szCs w:val="21"/>
                <w:highlight w:val="none"/>
              </w:rPr>
            </w:pPr>
          </w:p>
        </w:tc>
        <w:tc>
          <w:tcPr>
            <w:tcW w:w="1236" w:type="dxa"/>
            <w:vMerge w:val="continue"/>
          </w:tcPr>
          <w:p w14:paraId="720F1AB1">
            <w:pPr>
              <w:rPr>
                <w:rFonts w:ascii="宋体" w:hAnsi="宋体" w:cs="宋体"/>
                <w:strike w:val="0"/>
                <w:dstrike w:val="0"/>
                <w:sz w:val="21"/>
                <w:szCs w:val="21"/>
                <w:highlight w:val="none"/>
              </w:rPr>
            </w:pPr>
          </w:p>
        </w:tc>
        <w:tc>
          <w:tcPr>
            <w:tcW w:w="982" w:type="dxa"/>
            <w:vAlign w:val="center"/>
          </w:tcPr>
          <w:p w14:paraId="63E1CC0C">
            <w:pPr>
              <w:jc w:val="center"/>
              <w:rPr>
                <w:rFonts w:ascii="宋体" w:hAnsi="宋体" w:cs="宋体"/>
                <w:strike w:val="0"/>
                <w:dstrike w:val="0"/>
                <w:sz w:val="21"/>
                <w:szCs w:val="21"/>
                <w:highlight w:val="none"/>
              </w:rPr>
            </w:pPr>
            <w:r>
              <w:rPr>
                <w:rFonts w:hint="eastAsia" w:ascii="宋体" w:hAnsi="宋体" w:cs="宋体"/>
                <w:strike w:val="0"/>
                <w:dstrike w:val="0"/>
                <w:sz w:val="21"/>
                <w:szCs w:val="21"/>
                <w:highlight w:val="none"/>
              </w:rPr>
              <w:t>10mm</w:t>
            </w:r>
          </w:p>
        </w:tc>
        <w:tc>
          <w:tcPr>
            <w:tcW w:w="927" w:type="dxa"/>
            <w:vAlign w:val="center"/>
          </w:tcPr>
          <w:p w14:paraId="2032F31B">
            <w:pPr>
              <w:jc w:val="center"/>
              <w:rPr>
                <w:rFonts w:ascii="宋体" w:hAnsi="宋体" w:cs="宋体"/>
                <w:strike w:val="0"/>
                <w:dstrike w:val="0"/>
                <w:sz w:val="21"/>
                <w:szCs w:val="21"/>
                <w:highlight w:val="none"/>
              </w:rPr>
            </w:pPr>
            <w:r>
              <w:rPr>
                <w:rFonts w:hint="eastAsia" w:ascii="宋体" w:hAnsi="宋体" w:cs="宋体"/>
                <w:strike w:val="0"/>
                <w:dstrike w:val="0"/>
                <w:sz w:val="21"/>
                <w:szCs w:val="21"/>
                <w:highlight w:val="none"/>
              </w:rPr>
              <w:t>≥7.5</w:t>
            </w:r>
          </w:p>
        </w:tc>
        <w:tc>
          <w:tcPr>
            <w:tcW w:w="2188" w:type="dxa"/>
            <w:vMerge w:val="continue"/>
          </w:tcPr>
          <w:p w14:paraId="1518BAB1">
            <w:pPr>
              <w:rPr>
                <w:rFonts w:ascii="宋体" w:hAnsi="宋体" w:cs="宋体"/>
                <w:strike w:val="0"/>
                <w:dstrike w:val="0"/>
                <w:sz w:val="24"/>
                <w:highlight w:val="none"/>
              </w:rPr>
            </w:pPr>
          </w:p>
        </w:tc>
      </w:tr>
    </w:tbl>
    <w:p w14:paraId="4E3D3676">
      <w:pPr>
        <w:jc w:val="center"/>
        <w:rPr>
          <w:rFonts w:hint="eastAsia" w:ascii="宋体" w:hAnsi="宋体" w:cs="宋体"/>
          <w:strike w:val="0"/>
          <w:dstrike w:val="0"/>
          <w:sz w:val="24"/>
          <w:highlight w:val="none"/>
        </w:rPr>
      </w:pPr>
    </w:p>
    <w:p w14:paraId="6D17624A">
      <w:pPr>
        <w:jc w:val="center"/>
        <w:rPr>
          <w:rFonts w:ascii="宋体" w:hAnsi="宋体" w:cs="宋体"/>
          <w:b/>
          <w:bCs/>
          <w:strike w:val="0"/>
          <w:dstrike w:val="0"/>
          <w:sz w:val="21"/>
          <w:szCs w:val="21"/>
          <w:highlight w:val="none"/>
        </w:rPr>
      </w:pPr>
      <w:r>
        <w:rPr>
          <w:rFonts w:hint="eastAsia" w:ascii="宋体" w:hAnsi="宋体" w:cs="宋体"/>
          <w:b/>
          <w:bCs/>
          <w:strike w:val="0"/>
          <w:dstrike w:val="0"/>
          <w:sz w:val="21"/>
          <w:szCs w:val="21"/>
          <w:highlight w:val="none"/>
        </w:rPr>
        <w:t>表5.3.1</w:t>
      </w:r>
      <w:r>
        <w:rPr>
          <w:rFonts w:hint="eastAsia" w:ascii="宋体" w:hAnsi="宋体" w:cs="宋体"/>
          <w:b/>
          <w:bCs/>
          <w:strike w:val="0"/>
          <w:dstrike w:val="0"/>
          <w:sz w:val="21"/>
          <w:szCs w:val="21"/>
          <w:highlight w:val="none"/>
          <w:lang w:val="en-US" w:eastAsia="zh-CN"/>
        </w:rPr>
        <w:t>1-2</w:t>
      </w:r>
      <w:r>
        <w:rPr>
          <w:rFonts w:hint="eastAsia" w:ascii="宋体" w:hAnsi="宋体" w:cs="宋体"/>
          <w:b/>
          <w:bCs/>
          <w:strike w:val="0"/>
          <w:dstrike w:val="0"/>
          <w:sz w:val="21"/>
          <w:szCs w:val="21"/>
          <w:highlight w:val="none"/>
        </w:rPr>
        <w:t xml:space="preserve">  </w:t>
      </w:r>
      <w:r>
        <w:rPr>
          <w:rFonts w:hint="eastAsia" w:ascii="宋体" w:hAnsi="宋体" w:cs="宋体"/>
          <w:b/>
          <w:bCs/>
          <w:strike w:val="0"/>
          <w:dstrike w:val="0"/>
          <w:sz w:val="21"/>
          <w:szCs w:val="21"/>
          <w:highlight w:val="none"/>
          <w:lang w:val="en-US" w:eastAsia="zh-CN"/>
        </w:rPr>
        <w:t>FRP材质</w:t>
      </w:r>
      <w:r>
        <w:rPr>
          <w:rFonts w:hint="eastAsia" w:ascii="宋体" w:hAnsi="宋体" w:cs="宋体"/>
          <w:b/>
          <w:bCs/>
          <w:strike w:val="0"/>
          <w:dstrike w:val="0"/>
          <w:sz w:val="21"/>
          <w:szCs w:val="21"/>
          <w:highlight w:val="none"/>
        </w:rPr>
        <w:t>锚固件设计性能要求</w:t>
      </w:r>
    </w:p>
    <w:tbl>
      <w:tblPr>
        <w:tblStyle w:val="24"/>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511"/>
        <w:gridCol w:w="1881"/>
        <w:gridCol w:w="2127"/>
      </w:tblGrid>
      <w:tr w14:paraId="28F590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647" w:type="pct"/>
            <w:tcBorders>
              <w:bottom w:val="single" w:color="auto" w:sz="12" w:space="0"/>
            </w:tcBorders>
          </w:tcPr>
          <w:p w14:paraId="67721429">
            <w:pPr>
              <w:jc w:val="center"/>
              <w:rPr>
                <w:rFonts w:hint="eastAsia" w:ascii="宋体" w:hAnsi="宋体" w:eastAsia="宋体" w:cs="宋体"/>
                <w:strike w:val="0"/>
                <w:dstrike w:val="0"/>
                <w:sz w:val="21"/>
                <w:szCs w:val="21"/>
                <w:highlight w:val="none"/>
                <w:vertAlign w:val="baseline"/>
                <w:lang w:eastAsia="zh-CN"/>
              </w:rPr>
            </w:pPr>
            <w:r>
              <w:rPr>
                <w:rFonts w:hint="eastAsia" w:ascii="宋体" w:hAnsi="宋体" w:cs="宋体"/>
                <w:strike w:val="0"/>
                <w:dstrike w:val="0"/>
                <w:sz w:val="21"/>
                <w:szCs w:val="21"/>
                <w:highlight w:val="none"/>
                <w:vertAlign w:val="baseline"/>
                <w:lang w:eastAsia="zh-CN"/>
              </w:rPr>
              <w:t>项目</w:t>
            </w:r>
          </w:p>
        </w:tc>
        <w:tc>
          <w:tcPr>
            <w:tcW w:w="1104" w:type="pct"/>
            <w:tcBorders>
              <w:bottom w:val="single" w:color="auto" w:sz="12" w:space="0"/>
            </w:tcBorders>
          </w:tcPr>
          <w:p w14:paraId="42E9A0A4">
            <w:pPr>
              <w:jc w:val="center"/>
              <w:rPr>
                <w:rFonts w:hint="eastAsia" w:ascii="宋体" w:hAnsi="宋体" w:eastAsia="宋体" w:cs="宋体"/>
                <w:strike w:val="0"/>
                <w:dstrike w:val="0"/>
                <w:sz w:val="21"/>
                <w:szCs w:val="21"/>
                <w:highlight w:val="none"/>
                <w:vertAlign w:val="baseline"/>
                <w:lang w:eastAsia="zh-CN"/>
              </w:rPr>
            </w:pPr>
            <w:r>
              <w:rPr>
                <w:rFonts w:hint="eastAsia" w:ascii="宋体" w:hAnsi="宋体" w:cs="宋体"/>
                <w:strike w:val="0"/>
                <w:dstrike w:val="0"/>
                <w:sz w:val="21"/>
                <w:szCs w:val="21"/>
                <w:highlight w:val="none"/>
                <w:vertAlign w:val="baseline"/>
                <w:lang w:eastAsia="zh-CN"/>
              </w:rPr>
              <w:t>性能指标</w:t>
            </w:r>
          </w:p>
        </w:tc>
        <w:tc>
          <w:tcPr>
            <w:tcW w:w="1248" w:type="pct"/>
            <w:tcBorders>
              <w:bottom w:val="single" w:color="auto" w:sz="12" w:space="0"/>
            </w:tcBorders>
          </w:tcPr>
          <w:p w14:paraId="04DFD1EC">
            <w:pPr>
              <w:jc w:val="center"/>
              <w:rPr>
                <w:rFonts w:hint="eastAsia" w:ascii="宋体" w:hAnsi="宋体" w:eastAsia="宋体" w:cs="宋体"/>
                <w:strike w:val="0"/>
                <w:dstrike w:val="0"/>
                <w:sz w:val="21"/>
                <w:szCs w:val="21"/>
                <w:highlight w:val="none"/>
                <w:vertAlign w:val="baseline"/>
                <w:lang w:eastAsia="zh-CN"/>
              </w:rPr>
            </w:pPr>
            <w:r>
              <w:rPr>
                <w:rFonts w:hint="eastAsia" w:ascii="宋体" w:hAnsi="宋体" w:cs="宋体"/>
                <w:strike w:val="0"/>
                <w:dstrike w:val="0"/>
                <w:sz w:val="21"/>
                <w:szCs w:val="21"/>
                <w:highlight w:val="none"/>
                <w:vertAlign w:val="baseline"/>
                <w:lang w:eastAsia="zh-CN"/>
              </w:rPr>
              <w:t>试验方法</w:t>
            </w:r>
          </w:p>
        </w:tc>
      </w:tr>
      <w:tr w14:paraId="43CEDF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647" w:type="pct"/>
            <w:tcBorders>
              <w:top w:val="single" w:color="auto" w:sz="12" w:space="0"/>
            </w:tcBorders>
          </w:tcPr>
          <w:p w14:paraId="60B8E036">
            <w:pPr>
              <w:jc w:val="center"/>
              <w:rPr>
                <w:rFonts w:ascii="宋体" w:hAnsi="宋体" w:cs="宋体"/>
                <w:strike w:val="0"/>
                <w:dstrike w:val="0"/>
                <w:sz w:val="21"/>
                <w:szCs w:val="21"/>
                <w:highlight w:val="none"/>
                <w:vertAlign w:val="baseline"/>
              </w:rPr>
            </w:pPr>
            <w:r>
              <w:rPr>
                <w:rFonts w:hint="eastAsia" w:ascii="宋体" w:hAnsi="宋体" w:cs="宋体"/>
                <w:strike w:val="0"/>
                <w:dstrike w:val="0"/>
                <w:sz w:val="21"/>
                <w:szCs w:val="21"/>
                <w:highlight w:val="none"/>
              </w:rPr>
              <w:t>锚固件与保温板的局部承载压力（kN）</w:t>
            </w:r>
          </w:p>
        </w:tc>
        <w:tc>
          <w:tcPr>
            <w:tcW w:w="1104" w:type="pct"/>
            <w:tcBorders>
              <w:top w:val="single" w:color="auto" w:sz="12" w:space="0"/>
            </w:tcBorders>
            <w:vAlign w:val="center"/>
          </w:tcPr>
          <w:p w14:paraId="7703299E">
            <w:pPr>
              <w:jc w:val="center"/>
              <w:rPr>
                <w:rFonts w:ascii="宋体" w:hAnsi="宋体" w:cs="宋体"/>
                <w:strike w:val="0"/>
                <w:dstrike w:val="0"/>
                <w:sz w:val="21"/>
                <w:szCs w:val="21"/>
                <w:highlight w:val="none"/>
                <w:vertAlign w:val="baseline"/>
              </w:rPr>
            </w:pPr>
            <w:r>
              <w:rPr>
                <w:rFonts w:hint="eastAsia" w:ascii="宋体" w:hAnsi="宋体" w:cs="宋体"/>
                <w:strike w:val="0"/>
                <w:dstrike w:val="0"/>
                <w:sz w:val="21"/>
                <w:szCs w:val="21"/>
                <w:highlight w:val="none"/>
                <w:lang w:val="en-US" w:eastAsia="zh-CN"/>
              </w:rPr>
              <w:t>1</w:t>
            </w:r>
          </w:p>
        </w:tc>
        <w:tc>
          <w:tcPr>
            <w:tcW w:w="1248" w:type="pct"/>
            <w:vMerge w:val="restart"/>
            <w:tcBorders>
              <w:top w:val="single" w:color="auto" w:sz="12" w:space="0"/>
            </w:tcBorders>
            <w:vAlign w:val="center"/>
          </w:tcPr>
          <w:p w14:paraId="2B62B38A">
            <w:pPr>
              <w:jc w:val="left"/>
              <w:rPr>
                <w:rFonts w:ascii="宋体" w:hAnsi="宋体" w:cs="宋体"/>
                <w:strike w:val="0"/>
                <w:dstrike w:val="0"/>
                <w:sz w:val="21"/>
                <w:szCs w:val="21"/>
                <w:highlight w:val="none"/>
                <w:vertAlign w:val="baseline"/>
              </w:rPr>
            </w:pPr>
            <w:r>
              <w:rPr>
                <w:rFonts w:hint="eastAsia"/>
                <w:color w:val="auto"/>
                <w:sz w:val="21"/>
                <w:szCs w:val="21"/>
                <w:highlight w:val="none"/>
                <w:vertAlign w:val="baseline"/>
                <w:lang w:eastAsia="zh-CN"/>
              </w:rPr>
              <w:t>《外墙保温用锚栓》</w:t>
            </w:r>
            <w:r>
              <w:rPr>
                <w:rFonts w:hint="eastAsia"/>
                <w:color w:val="auto"/>
                <w:sz w:val="21"/>
                <w:szCs w:val="21"/>
                <w:highlight w:val="none"/>
                <w:vertAlign w:val="baseline"/>
                <w:lang w:val="en-US" w:eastAsia="zh-CN"/>
              </w:rPr>
              <w:t>JG/T 366</w:t>
            </w:r>
          </w:p>
        </w:tc>
      </w:tr>
      <w:tr w14:paraId="064996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647" w:type="pct"/>
          </w:tcPr>
          <w:p w14:paraId="4392C378">
            <w:pPr>
              <w:jc w:val="center"/>
              <w:rPr>
                <w:rFonts w:ascii="宋体" w:hAnsi="宋体" w:cs="宋体"/>
                <w:strike w:val="0"/>
                <w:dstrike w:val="0"/>
                <w:sz w:val="21"/>
                <w:szCs w:val="21"/>
                <w:highlight w:val="none"/>
                <w:vertAlign w:val="baseline"/>
              </w:rPr>
            </w:pPr>
            <w:r>
              <w:rPr>
                <w:rFonts w:hint="eastAsia" w:ascii="宋体" w:hAnsi="宋体" w:cs="宋体"/>
                <w:strike w:val="0"/>
                <w:dstrike w:val="0"/>
                <w:sz w:val="21"/>
                <w:szCs w:val="21"/>
                <w:highlight w:val="none"/>
              </w:rPr>
              <w:t>锚固件与混凝土的抗拔承载力（kN）</w:t>
            </w:r>
          </w:p>
        </w:tc>
        <w:tc>
          <w:tcPr>
            <w:tcW w:w="1104" w:type="pct"/>
            <w:vAlign w:val="center"/>
          </w:tcPr>
          <w:p w14:paraId="5963B6DB">
            <w:pPr>
              <w:jc w:val="center"/>
              <w:rPr>
                <w:rFonts w:ascii="宋体" w:hAnsi="宋体" w:cs="宋体"/>
                <w:strike w:val="0"/>
                <w:dstrike w:val="0"/>
                <w:sz w:val="21"/>
                <w:szCs w:val="21"/>
                <w:highlight w:val="none"/>
                <w:vertAlign w:val="baseline"/>
              </w:rPr>
            </w:pPr>
            <w:r>
              <w:rPr>
                <w:rFonts w:hint="eastAsia" w:ascii="宋体" w:hAnsi="宋体" w:cs="宋体"/>
                <w:strike w:val="0"/>
                <w:dstrike w:val="0"/>
                <w:sz w:val="21"/>
                <w:szCs w:val="21"/>
                <w:highlight w:val="none"/>
                <w:lang w:val="en-US" w:eastAsia="zh-CN"/>
              </w:rPr>
              <w:t>6</w:t>
            </w:r>
          </w:p>
        </w:tc>
        <w:tc>
          <w:tcPr>
            <w:tcW w:w="1248" w:type="pct"/>
            <w:vMerge w:val="continue"/>
            <w:vAlign w:val="center"/>
          </w:tcPr>
          <w:p w14:paraId="33194E23">
            <w:pPr>
              <w:jc w:val="center"/>
              <w:rPr>
                <w:rFonts w:ascii="宋体" w:hAnsi="宋体" w:cs="宋体"/>
                <w:strike w:val="0"/>
                <w:dstrike w:val="0"/>
                <w:sz w:val="24"/>
                <w:highlight w:val="none"/>
                <w:vertAlign w:val="baseline"/>
              </w:rPr>
            </w:pPr>
          </w:p>
        </w:tc>
      </w:tr>
      <w:tr w14:paraId="433491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647" w:type="pct"/>
          </w:tcPr>
          <w:p w14:paraId="22AB9CA0">
            <w:pPr>
              <w:jc w:val="center"/>
              <w:rPr>
                <w:rFonts w:ascii="宋体" w:hAnsi="宋体" w:cs="宋体"/>
                <w:strike w:val="0"/>
                <w:dstrike w:val="0"/>
                <w:sz w:val="21"/>
                <w:szCs w:val="21"/>
                <w:highlight w:val="none"/>
                <w:vertAlign w:val="baseline"/>
              </w:rPr>
            </w:pPr>
            <w:r>
              <w:rPr>
                <w:rFonts w:hint="eastAsia"/>
                <w:strike w:val="0"/>
                <w:dstrike w:val="0"/>
                <w:sz w:val="21"/>
                <w:szCs w:val="21"/>
                <w:highlight w:val="none"/>
              </w:rPr>
              <w:t>尾盘抗拉承载力（</w:t>
            </w:r>
            <w:r>
              <w:rPr>
                <w:rFonts w:hint="eastAsia" w:ascii="宋体" w:hAnsi="宋体" w:eastAsia="宋体" w:cs="宋体"/>
                <w:strike w:val="0"/>
                <w:dstrike w:val="0"/>
                <w:sz w:val="21"/>
                <w:szCs w:val="21"/>
                <w:highlight w:val="none"/>
              </w:rPr>
              <w:t>kN</w:t>
            </w:r>
            <w:r>
              <w:rPr>
                <w:rFonts w:hint="eastAsia"/>
                <w:strike w:val="0"/>
                <w:dstrike w:val="0"/>
                <w:sz w:val="21"/>
                <w:szCs w:val="21"/>
                <w:highlight w:val="none"/>
              </w:rPr>
              <w:t>）</w:t>
            </w:r>
          </w:p>
        </w:tc>
        <w:tc>
          <w:tcPr>
            <w:tcW w:w="1104" w:type="pct"/>
            <w:vAlign w:val="center"/>
          </w:tcPr>
          <w:p w14:paraId="2B78A99E">
            <w:pPr>
              <w:jc w:val="center"/>
              <w:rPr>
                <w:rFonts w:ascii="宋体" w:hAnsi="宋体" w:cs="宋体"/>
                <w:strike w:val="0"/>
                <w:dstrike w:val="0"/>
                <w:sz w:val="21"/>
                <w:szCs w:val="21"/>
                <w:highlight w:val="none"/>
                <w:vertAlign w:val="baseline"/>
              </w:rPr>
            </w:pPr>
            <w:r>
              <w:rPr>
                <w:rFonts w:hint="eastAsia" w:ascii="宋体" w:hAnsi="宋体" w:cs="宋体"/>
                <w:strike w:val="0"/>
                <w:dstrike w:val="0"/>
                <w:sz w:val="21"/>
                <w:szCs w:val="21"/>
                <w:highlight w:val="none"/>
                <w:lang w:val="en-US" w:eastAsia="zh-CN"/>
              </w:rPr>
              <w:t>2</w:t>
            </w:r>
          </w:p>
        </w:tc>
        <w:tc>
          <w:tcPr>
            <w:tcW w:w="1248" w:type="pct"/>
            <w:vMerge w:val="continue"/>
            <w:vAlign w:val="center"/>
          </w:tcPr>
          <w:p w14:paraId="393C429C">
            <w:pPr>
              <w:jc w:val="center"/>
              <w:rPr>
                <w:rFonts w:ascii="宋体" w:hAnsi="宋体" w:cs="宋体"/>
                <w:strike w:val="0"/>
                <w:dstrike w:val="0"/>
                <w:sz w:val="24"/>
                <w:highlight w:val="none"/>
                <w:vertAlign w:val="baseline"/>
              </w:rPr>
            </w:pPr>
          </w:p>
        </w:tc>
      </w:tr>
    </w:tbl>
    <w:p w14:paraId="173BC6B2">
      <w:pPr>
        <w:rPr>
          <w:rFonts w:ascii="宋体" w:hAnsi="宋体" w:cs="宋体"/>
          <w:strike w:val="0"/>
          <w:dstrike w:val="0"/>
          <w:sz w:val="24"/>
          <w:highlight w:val="none"/>
        </w:rPr>
      </w:pPr>
    </w:p>
    <w:p w14:paraId="7683A4A6">
      <w:pPr>
        <w:pStyle w:val="2"/>
        <w:spacing w:after="0" w:line="360" w:lineRule="auto"/>
        <w:rPr>
          <w:rFonts w:ascii="宋体" w:hAnsi="宋体" w:cs="宋体"/>
          <w:strike w:val="0"/>
          <w:dstrike w:val="0"/>
          <w:color w:val="2414F4"/>
          <w:sz w:val="24"/>
          <w:highlight w:val="none"/>
          <w:u w:val="single"/>
        </w:rPr>
      </w:pPr>
      <w:r>
        <w:rPr>
          <w:rFonts w:hint="eastAsia" w:ascii="宋体" w:hAnsi="宋体" w:cs="宋体"/>
          <w:strike w:val="0"/>
          <w:dstrike w:val="0"/>
          <w:color w:val="2414F4"/>
          <w:sz w:val="24"/>
          <w:highlight w:val="none"/>
          <w:u w:val="single"/>
        </w:rPr>
        <w:t>【条文说明】锚固件的抗拔主要包括三个方面的内容：一是锚杆锚固在混凝土基层墙体中的抗拔承载力，与锚固深度有关，根据已有试验结果，锚杆在混凝土基层墙体中的锚固深度满足本标准要求时，其抗拔承载力比锚固件与保温板的反向抗拔承载力和尾盘与锚杆抗拉承载力大很多，因此一般不需要验算。二是锚固件本身的抗拉承载力，这与锚杆直径和尾盘与锚杆的连接等有关，其中尾盘与锚杆的连接是相对薄弱部位，因此应进行验算。三是锚固件与保温板的反向拉拔承载力，它与保温板的材料性质、厚度，以及锚固件尾盘的厚度、直径等因素有关，这往往是系统中起控制作用的薄弱环节，因此需要进行验算。</w:t>
      </w:r>
    </w:p>
    <w:p w14:paraId="67168626">
      <w:pPr>
        <w:spacing w:line="360" w:lineRule="auto"/>
        <w:ind w:firstLine="480" w:firstLineChars="200"/>
        <w:rPr>
          <w:strike w:val="0"/>
          <w:dstrike w:val="0"/>
          <w:sz w:val="24"/>
          <w:highlight w:val="none"/>
        </w:rPr>
      </w:pPr>
      <w:r>
        <w:rPr>
          <w:rFonts w:hint="eastAsia" w:ascii="宋体" w:hAnsi="宋体" w:cs="宋体"/>
          <w:strike w:val="0"/>
          <w:dstrike w:val="0"/>
          <w:color w:val="2414F4"/>
          <w:sz w:val="24"/>
          <w:highlight w:val="none"/>
          <w:u w:val="single"/>
        </w:rPr>
        <w:t>由于锚固件采用的是不锈钢金属材料，金属锚固件的抗剪承载力一般要大于保温板的局部承载压力，因此一般情况下可只验算保温板的局部承压力。</w:t>
      </w:r>
    </w:p>
    <w:p w14:paraId="46E35EAF">
      <w:pPr>
        <w:spacing w:line="360" w:lineRule="auto"/>
        <w:rPr>
          <w:rFonts w:hint="eastAsia" w:ascii="宋体" w:hAnsi="宋体" w:eastAsia="宋体" w:cs="宋体"/>
          <w:strike w:val="0"/>
          <w:dstrike w:val="0"/>
          <w:kern w:val="2"/>
          <w:sz w:val="24"/>
          <w:szCs w:val="24"/>
          <w:highlight w:val="none"/>
          <w:lang w:val="en-US" w:eastAsia="zh-CN" w:bidi="ar-SA"/>
        </w:rPr>
      </w:pPr>
      <w:r>
        <w:rPr>
          <w:rFonts w:hint="eastAsia"/>
          <w:b/>
          <w:bCs/>
          <w:strike w:val="0"/>
          <w:dstrike w:val="0"/>
          <w:sz w:val="24"/>
          <w:highlight w:val="none"/>
        </w:rPr>
        <w:t>5.3.1</w:t>
      </w:r>
      <w:r>
        <w:rPr>
          <w:rFonts w:hint="eastAsia"/>
          <w:b/>
          <w:bCs/>
          <w:strike w:val="0"/>
          <w:dstrike w:val="0"/>
          <w:sz w:val="24"/>
          <w:highlight w:val="none"/>
          <w:lang w:val="en-US" w:eastAsia="zh-CN"/>
        </w:rPr>
        <w:t xml:space="preserve">2  </w:t>
      </w:r>
      <w:r>
        <w:rPr>
          <w:rFonts w:hint="eastAsia"/>
          <w:b w:val="0"/>
          <w:bCs w:val="0"/>
          <w:strike w:val="0"/>
          <w:dstrike w:val="0"/>
          <w:color w:val="000000" w:themeColor="text1"/>
          <w:sz w:val="24"/>
          <w:highlight w:val="none"/>
          <w:lang w:val="en-US" w:eastAsia="zh-CN"/>
          <w14:textFill>
            <w14:solidFill>
              <w14:schemeClr w14:val="tx1"/>
            </w14:solidFill>
          </w14:textFill>
        </w:rPr>
        <w:t>墙板及</w:t>
      </w:r>
      <w:r>
        <w:rPr>
          <w:rFonts w:hint="eastAsia"/>
          <w:color w:val="000000" w:themeColor="text1"/>
          <w:sz w:val="24"/>
          <w:szCs w:val="24"/>
          <w:lang w:eastAsia="zh-CN"/>
          <w14:textFill>
            <w14:solidFill>
              <w14:schemeClr w14:val="tx1"/>
            </w14:solidFill>
          </w14:textFill>
        </w:rPr>
        <w:t>连接的</w:t>
      </w:r>
      <w:r>
        <w:rPr>
          <w:rFonts w:hint="eastAsia" w:ascii="宋体" w:hAnsi="宋体" w:eastAsia="宋体" w:cs="宋体"/>
          <w:strike w:val="0"/>
          <w:dstrike w:val="0"/>
          <w:kern w:val="2"/>
          <w:sz w:val="24"/>
          <w:szCs w:val="24"/>
          <w:highlight w:val="none"/>
          <w:lang w:val="en-US" w:eastAsia="zh-CN" w:bidi="ar-SA"/>
        </w:rPr>
        <w:t>承载力计算时，荷载效应基本组合设计值应</w:t>
      </w:r>
      <w:r>
        <w:rPr>
          <w:rFonts w:hint="eastAsia" w:ascii="宋体" w:hAnsi="宋体" w:cs="宋体"/>
          <w:strike w:val="0"/>
          <w:dstrike w:val="0"/>
          <w:kern w:val="2"/>
          <w:sz w:val="24"/>
          <w:szCs w:val="24"/>
          <w:highlight w:val="none"/>
          <w:lang w:val="en-US" w:eastAsia="zh-CN" w:bidi="ar-SA"/>
        </w:rPr>
        <w:t>按下列</w:t>
      </w:r>
      <w:r>
        <w:rPr>
          <w:rFonts w:hint="eastAsia" w:ascii="宋体" w:hAnsi="宋体" w:eastAsia="宋体" w:cs="宋体"/>
          <w:strike w:val="0"/>
          <w:dstrike w:val="0"/>
          <w:kern w:val="2"/>
          <w:sz w:val="24"/>
          <w:szCs w:val="24"/>
          <w:highlight w:val="none"/>
          <w:lang w:val="en-US" w:eastAsia="zh-CN" w:bidi="ar-SA"/>
        </w:rPr>
        <w:t>公式</w:t>
      </w:r>
      <w:r>
        <w:rPr>
          <w:rFonts w:hint="eastAsia" w:ascii="宋体" w:hAnsi="宋体" w:cs="宋体"/>
          <w:strike w:val="0"/>
          <w:dstrike w:val="0"/>
          <w:kern w:val="2"/>
          <w:sz w:val="24"/>
          <w:szCs w:val="24"/>
          <w:highlight w:val="none"/>
          <w:lang w:val="en-US" w:eastAsia="zh-CN" w:bidi="ar-SA"/>
        </w:rPr>
        <w:t>计算</w:t>
      </w:r>
      <w:r>
        <w:rPr>
          <w:rFonts w:hint="eastAsia" w:ascii="宋体" w:hAnsi="宋体" w:eastAsia="宋体" w:cs="宋体"/>
          <w:strike w:val="0"/>
          <w:dstrike w:val="0"/>
          <w:kern w:val="2"/>
          <w:sz w:val="24"/>
          <w:szCs w:val="24"/>
          <w:highlight w:val="none"/>
          <w:lang w:val="en-US" w:eastAsia="zh-CN" w:bidi="ar-SA"/>
        </w:rPr>
        <w:t>。</w:t>
      </w:r>
    </w:p>
    <w:p w14:paraId="25DFDA63">
      <w:pPr>
        <w:ind w:firstLine="482" w:firstLineChars="200"/>
        <w:rPr>
          <w:rFonts w:hint="eastAsia"/>
          <w:sz w:val="24"/>
          <w:szCs w:val="32"/>
          <w:lang w:val="en-US" w:eastAsia="zh-CN"/>
        </w:rPr>
      </w:pPr>
      <w:bookmarkStart w:id="63" w:name="_Toc28271"/>
      <w:r>
        <w:rPr>
          <w:rFonts w:hint="eastAsia"/>
          <w:b/>
          <w:bCs/>
          <w:sz w:val="24"/>
          <w:szCs w:val="32"/>
          <w:lang w:val="en-US" w:eastAsia="zh-CN"/>
        </w:rPr>
        <w:t>1</w:t>
      </w:r>
      <w:r>
        <w:rPr>
          <w:rFonts w:hint="eastAsia"/>
          <w:sz w:val="24"/>
          <w:szCs w:val="32"/>
          <w:lang w:val="en-US" w:eastAsia="zh-CN"/>
        </w:rPr>
        <w:t xml:space="preserve">  持久设计状况</w:t>
      </w:r>
      <w:bookmarkEnd w:id="63"/>
    </w:p>
    <w:p w14:paraId="43D5C452">
      <w:pPr>
        <w:pStyle w:val="63"/>
        <w:spacing w:before="0" w:after="0" w:line="360" w:lineRule="auto"/>
        <w:ind w:firstLine="0" w:firstLineChars="0"/>
        <w:jc w:val="right"/>
        <w:rPr>
          <w:rFonts w:cs="Times New Roman"/>
          <w:bCs/>
        </w:rPr>
      </w:pPr>
      <w:r>
        <w:rPr>
          <w:rFonts w:cs="Times New Roman"/>
          <w:bCs/>
        </w:rPr>
        <w:t xml:space="preserve">                          </w:t>
      </w:r>
      <m:oMath>
        <m:r>
          <m:rPr>
            <m:sty m:val="p"/>
          </m:rPr>
          <w:rPr>
            <w:rFonts w:ascii="Cambria Math" w:hAnsi="Cambria Math" w:cs="Times New Roman"/>
            <w:sz w:val="24"/>
            <w:szCs w:val="32"/>
          </w:rPr>
          <m:t>S=</m:t>
        </m:r>
        <m:sSub>
          <m:sSubPr>
            <m:ctrlPr>
              <w:rPr>
                <w:rFonts w:ascii="Cambria Math" w:hAnsi="Cambria Math" w:cs="Times New Roman"/>
                <w:bCs/>
                <w:sz w:val="24"/>
                <w:szCs w:val="32"/>
              </w:rPr>
            </m:ctrlPr>
          </m:sSubPr>
          <m:e>
            <m:r>
              <m:rPr>
                <m:sty m:val="p"/>
              </m:rPr>
              <w:rPr>
                <w:rFonts w:ascii="Cambria Math" w:hAnsi="Cambria Math" w:cs="Times New Roman"/>
                <w:sz w:val="24"/>
                <w:szCs w:val="32"/>
              </w:rPr>
              <m:t>γ</m:t>
            </m:r>
            <m:ctrlPr>
              <w:rPr>
                <w:rFonts w:ascii="Cambria Math" w:hAnsi="Cambria Math" w:cs="Times New Roman"/>
                <w:bCs/>
                <w:sz w:val="24"/>
                <w:szCs w:val="32"/>
              </w:rPr>
            </m:ctrlPr>
          </m:e>
          <m:sub>
            <m:r>
              <m:rPr>
                <m:sty m:val="p"/>
              </m:rPr>
              <w:rPr>
                <w:rFonts w:ascii="Cambria Math" w:hAnsi="Cambria Math" w:cs="Times New Roman"/>
                <w:sz w:val="24"/>
                <w:szCs w:val="32"/>
              </w:rPr>
              <m:t>G</m:t>
            </m:r>
            <m:ctrlPr>
              <w:rPr>
                <w:rFonts w:ascii="Cambria Math" w:hAnsi="Cambria Math" w:cs="Times New Roman"/>
                <w:bCs/>
                <w:sz w:val="24"/>
                <w:szCs w:val="32"/>
              </w:rPr>
            </m:ctrlPr>
          </m:sub>
        </m:sSub>
        <m:sSub>
          <m:sSubPr>
            <m:ctrlPr>
              <w:rPr>
                <w:rFonts w:ascii="Cambria Math" w:hAnsi="Cambria Math" w:cs="Times New Roman"/>
                <w:bCs/>
                <w:sz w:val="24"/>
                <w:szCs w:val="32"/>
              </w:rPr>
            </m:ctrlPr>
          </m:sSubPr>
          <m:e>
            <m:r>
              <m:rPr>
                <m:sty m:val="p"/>
              </m:rPr>
              <w:rPr>
                <w:rFonts w:ascii="Cambria Math" w:hAnsi="Cambria Math" w:cs="Times New Roman"/>
                <w:sz w:val="24"/>
                <w:szCs w:val="32"/>
              </w:rPr>
              <m:t>S</m:t>
            </m:r>
            <m:ctrlPr>
              <w:rPr>
                <w:rFonts w:ascii="Cambria Math" w:hAnsi="Cambria Math" w:cs="Times New Roman"/>
                <w:bCs/>
                <w:sz w:val="24"/>
                <w:szCs w:val="32"/>
              </w:rPr>
            </m:ctrlPr>
          </m:e>
          <m:sub>
            <m:r>
              <m:rPr>
                <m:sty m:val="p"/>
              </m:rPr>
              <w:rPr>
                <w:rFonts w:ascii="Cambria Math" w:hAnsi="Cambria Math" w:cs="Times New Roman"/>
                <w:sz w:val="24"/>
                <w:szCs w:val="32"/>
              </w:rPr>
              <m:t>Gk</m:t>
            </m:r>
            <m:ctrlPr>
              <w:rPr>
                <w:rFonts w:ascii="Cambria Math" w:hAnsi="Cambria Math" w:cs="Times New Roman"/>
                <w:bCs/>
                <w:sz w:val="24"/>
                <w:szCs w:val="32"/>
              </w:rPr>
            </m:ctrlPr>
          </m:sub>
        </m:sSub>
        <m:r>
          <m:rPr>
            <m:sty m:val="p"/>
          </m:rPr>
          <w:rPr>
            <w:rFonts w:ascii="Cambria Math" w:hAnsi="Cambria Math" w:cs="Times New Roman"/>
            <w:sz w:val="24"/>
            <w:szCs w:val="32"/>
          </w:rPr>
          <m:t>+</m:t>
        </m:r>
        <m:sSub>
          <m:sSubPr>
            <m:ctrlPr>
              <w:rPr>
                <w:rFonts w:ascii="Cambria Math" w:hAnsi="Cambria Math" w:cs="Times New Roman"/>
                <w:bCs/>
                <w:sz w:val="24"/>
                <w:szCs w:val="32"/>
              </w:rPr>
            </m:ctrlPr>
          </m:sSubPr>
          <m:e>
            <m:r>
              <m:rPr>
                <m:sty m:val="p"/>
              </m:rPr>
              <w:rPr>
                <w:rFonts w:ascii="Cambria Math" w:hAnsi="Cambria Math" w:cs="Times New Roman"/>
                <w:sz w:val="24"/>
                <w:szCs w:val="32"/>
              </w:rPr>
              <m:t>γ</m:t>
            </m:r>
            <m:ctrlPr>
              <w:rPr>
                <w:rFonts w:ascii="Cambria Math" w:hAnsi="Cambria Math" w:cs="Times New Roman"/>
                <w:bCs/>
                <w:sz w:val="24"/>
                <w:szCs w:val="32"/>
              </w:rPr>
            </m:ctrlPr>
          </m:e>
          <m:sub>
            <m:r>
              <m:rPr>
                <m:sty m:val="p"/>
              </m:rPr>
              <w:rPr>
                <w:rFonts w:ascii="Cambria Math" w:hAnsi="Cambria Math" w:cs="Times New Roman"/>
                <w:sz w:val="24"/>
                <w:szCs w:val="32"/>
              </w:rPr>
              <m:t>W</m:t>
            </m:r>
            <m:ctrlPr>
              <w:rPr>
                <w:rFonts w:ascii="Cambria Math" w:hAnsi="Cambria Math" w:cs="Times New Roman"/>
                <w:bCs/>
                <w:sz w:val="24"/>
                <w:szCs w:val="32"/>
              </w:rPr>
            </m:ctrlPr>
          </m:sub>
        </m:sSub>
        <m:sSub>
          <m:sSubPr>
            <m:ctrlPr>
              <w:rPr>
                <w:rFonts w:ascii="Cambria Math" w:hAnsi="Cambria Math" w:cs="Times New Roman"/>
                <w:bCs/>
                <w:sz w:val="24"/>
                <w:szCs w:val="32"/>
              </w:rPr>
            </m:ctrlPr>
          </m:sSubPr>
          <m:e>
            <m:r>
              <m:rPr>
                <m:sty m:val="p"/>
              </m:rPr>
              <w:rPr>
                <w:rFonts w:ascii="Cambria Math" w:hAnsi="Cambria Math" w:cs="Times New Roman"/>
                <w:sz w:val="24"/>
                <w:szCs w:val="32"/>
              </w:rPr>
              <m:t>S</m:t>
            </m:r>
            <m:ctrlPr>
              <w:rPr>
                <w:rFonts w:ascii="Cambria Math" w:hAnsi="Cambria Math" w:cs="Times New Roman"/>
                <w:bCs/>
                <w:sz w:val="24"/>
                <w:szCs w:val="32"/>
              </w:rPr>
            </m:ctrlPr>
          </m:e>
          <m:sub>
            <m:r>
              <m:rPr>
                <m:sty m:val="p"/>
              </m:rPr>
              <w:rPr>
                <w:rFonts w:ascii="Cambria Math" w:hAnsi="Cambria Math" w:cs="Times New Roman"/>
                <w:sz w:val="24"/>
                <w:szCs w:val="32"/>
              </w:rPr>
              <m:t>Wk</m:t>
            </m:r>
            <m:ctrlPr>
              <w:rPr>
                <w:rFonts w:ascii="Cambria Math" w:hAnsi="Cambria Math" w:cs="Times New Roman"/>
                <w:bCs/>
                <w:sz w:val="24"/>
                <w:szCs w:val="32"/>
              </w:rPr>
            </m:ctrlPr>
          </m:sub>
        </m:sSub>
      </m:oMath>
      <w:r>
        <w:rPr>
          <w:rFonts w:cs="Times New Roman"/>
          <w:bCs/>
        </w:rPr>
        <w:t xml:space="preserve">                  </w:t>
      </w:r>
      <w:r>
        <w:rPr>
          <w:rFonts w:hint="eastAsia" w:ascii="宋体" w:hAnsi="宋体" w:eastAsia="宋体" w:cs="宋体"/>
          <w:strike w:val="0"/>
          <w:dstrike w:val="0"/>
          <w:kern w:val="2"/>
          <w:sz w:val="24"/>
          <w:szCs w:val="24"/>
          <w:highlight w:val="none"/>
          <w:lang w:val="en-US" w:eastAsia="zh-CN" w:bidi="ar-SA"/>
        </w:rPr>
        <w:t xml:space="preserve"> (5.</w:t>
      </w:r>
      <w:r>
        <w:rPr>
          <w:rFonts w:hint="eastAsia" w:ascii="宋体" w:hAnsi="宋体" w:cs="宋体"/>
          <w:strike w:val="0"/>
          <w:dstrike w:val="0"/>
          <w:kern w:val="2"/>
          <w:sz w:val="24"/>
          <w:szCs w:val="24"/>
          <w:highlight w:val="none"/>
          <w:lang w:val="en-US" w:eastAsia="zh-CN" w:bidi="ar-SA"/>
        </w:rPr>
        <w:t>3</w:t>
      </w:r>
      <w:r>
        <w:rPr>
          <w:rFonts w:hint="eastAsia" w:ascii="宋体" w:hAnsi="宋体" w:eastAsia="宋体" w:cs="宋体"/>
          <w:strike w:val="0"/>
          <w:dstrike w:val="0"/>
          <w:kern w:val="2"/>
          <w:sz w:val="24"/>
          <w:szCs w:val="24"/>
          <w:highlight w:val="none"/>
          <w:lang w:val="en-US" w:eastAsia="zh-CN" w:bidi="ar-SA"/>
        </w:rPr>
        <w:t>.</w:t>
      </w:r>
      <w:r>
        <w:rPr>
          <w:rFonts w:hint="eastAsia" w:ascii="宋体" w:hAnsi="宋体" w:cs="宋体"/>
          <w:strike w:val="0"/>
          <w:dstrike w:val="0"/>
          <w:kern w:val="2"/>
          <w:sz w:val="24"/>
          <w:szCs w:val="24"/>
          <w:highlight w:val="none"/>
          <w:lang w:val="en-US" w:eastAsia="zh-CN" w:bidi="ar-SA"/>
        </w:rPr>
        <w:t>12</w:t>
      </w:r>
      <w:r>
        <w:rPr>
          <w:rFonts w:hint="eastAsia" w:ascii="宋体" w:hAnsi="宋体" w:eastAsia="宋体" w:cs="宋体"/>
          <w:strike w:val="0"/>
          <w:dstrike w:val="0"/>
          <w:kern w:val="2"/>
          <w:sz w:val="24"/>
          <w:szCs w:val="24"/>
          <w:highlight w:val="none"/>
          <w:lang w:val="en-US" w:eastAsia="zh-CN" w:bidi="ar-SA"/>
        </w:rPr>
        <w:t>-1)</w:t>
      </w:r>
    </w:p>
    <w:p w14:paraId="3D9796CE">
      <w:pPr>
        <w:ind w:firstLine="482" w:firstLineChars="200"/>
        <w:rPr>
          <w:rFonts w:hint="eastAsia"/>
          <w:sz w:val="24"/>
          <w:szCs w:val="32"/>
          <w:lang w:val="en-US" w:eastAsia="zh-CN"/>
        </w:rPr>
      </w:pPr>
      <w:bookmarkStart w:id="64" w:name="_Toc20316"/>
      <w:r>
        <w:rPr>
          <w:rFonts w:hint="eastAsia"/>
          <w:b/>
          <w:bCs/>
          <w:sz w:val="24"/>
          <w:szCs w:val="32"/>
          <w:lang w:val="en-US" w:eastAsia="zh-CN"/>
        </w:rPr>
        <w:t>2</w:t>
      </w:r>
      <w:r>
        <w:rPr>
          <w:rFonts w:hint="eastAsia"/>
          <w:sz w:val="24"/>
          <w:szCs w:val="32"/>
          <w:lang w:val="en-US" w:eastAsia="zh-CN"/>
        </w:rPr>
        <w:t xml:space="preserve">  地震设计状况</w:t>
      </w:r>
      <w:bookmarkEnd w:id="64"/>
    </w:p>
    <w:p w14:paraId="60943F3F">
      <w:pPr>
        <w:pStyle w:val="63"/>
        <w:spacing w:before="0" w:after="0" w:line="360" w:lineRule="auto"/>
        <w:ind w:firstLine="720" w:firstLineChars="300"/>
        <w:jc w:val="both"/>
        <w:rPr>
          <w:rFonts w:hint="eastAsia" w:ascii="宋体" w:hAnsi="宋体" w:eastAsia="宋体" w:cs="宋体"/>
          <w:strike w:val="0"/>
          <w:dstrike w:val="0"/>
          <w:kern w:val="2"/>
          <w:sz w:val="24"/>
          <w:szCs w:val="24"/>
          <w:highlight w:val="none"/>
          <w:lang w:val="en-US" w:eastAsia="zh-CN" w:bidi="ar-SA"/>
        </w:rPr>
      </w:pPr>
      <w:r>
        <w:rPr>
          <w:rFonts w:hint="eastAsia" w:ascii="宋体" w:hAnsi="宋体" w:eastAsia="宋体" w:cs="宋体"/>
          <w:strike w:val="0"/>
          <w:dstrike w:val="0"/>
          <w:kern w:val="2"/>
          <w:sz w:val="24"/>
          <w:szCs w:val="24"/>
          <w:highlight w:val="none"/>
          <w:lang w:val="en-US" w:eastAsia="zh-CN" w:bidi="ar-SA"/>
        </w:rPr>
        <w:t>在水平地震作用下：</w:t>
      </w:r>
    </w:p>
    <w:p w14:paraId="0129998F">
      <w:pPr>
        <w:pStyle w:val="63"/>
        <w:spacing w:before="0" w:after="0" w:line="360" w:lineRule="auto"/>
        <w:ind w:firstLine="0" w:firstLineChars="0"/>
        <w:jc w:val="right"/>
        <w:rPr>
          <w:rFonts w:cs="Times New Roman"/>
          <w:bCs/>
        </w:rPr>
      </w:pPr>
      <w:r>
        <w:rPr>
          <w:rFonts w:cs="Times New Roman"/>
          <w:bCs/>
        </w:rPr>
        <w:t xml:space="preserve">                    </w:t>
      </w:r>
      <m:oMath>
        <m:r>
          <m:rPr>
            <m:sty m:val="p"/>
          </m:rPr>
          <w:rPr>
            <w:rFonts w:ascii="Cambria Math" w:hAnsi="Cambria Math" w:cs="Times New Roman"/>
            <w:sz w:val="24"/>
            <w:szCs w:val="32"/>
          </w:rPr>
          <m:t>S=</m:t>
        </m:r>
        <m:sSub>
          <m:sSubPr>
            <m:ctrlPr>
              <w:rPr>
                <w:rFonts w:ascii="Cambria Math" w:hAnsi="Cambria Math" w:cs="Times New Roman"/>
                <w:bCs/>
                <w:sz w:val="24"/>
                <w:szCs w:val="32"/>
              </w:rPr>
            </m:ctrlPr>
          </m:sSubPr>
          <m:e>
            <m:r>
              <m:rPr>
                <m:sty m:val="p"/>
              </m:rPr>
              <w:rPr>
                <w:rFonts w:ascii="Cambria Math" w:hAnsi="Cambria Math" w:cs="Times New Roman"/>
                <w:sz w:val="24"/>
                <w:szCs w:val="32"/>
              </w:rPr>
              <m:t>γ</m:t>
            </m:r>
            <m:ctrlPr>
              <w:rPr>
                <w:rFonts w:ascii="Cambria Math" w:hAnsi="Cambria Math" w:cs="Times New Roman"/>
                <w:bCs/>
                <w:sz w:val="24"/>
                <w:szCs w:val="32"/>
              </w:rPr>
            </m:ctrlPr>
          </m:e>
          <m:sub>
            <m:r>
              <m:rPr>
                <m:sty m:val="p"/>
              </m:rPr>
              <w:rPr>
                <w:rFonts w:ascii="Cambria Math" w:hAnsi="Cambria Math" w:cs="Times New Roman"/>
                <w:sz w:val="24"/>
                <w:szCs w:val="32"/>
              </w:rPr>
              <m:t>G</m:t>
            </m:r>
            <m:ctrlPr>
              <w:rPr>
                <w:rFonts w:ascii="Cambria Math" w:hAnsi="Cambria Math" w:cs="Times New Roman"/>
                <w:bCs/>
                <w:sz w:val="24"/>
                <w:szCs w:val="32"/>
              </w:rPr>
            </m:ctrlPr>
          </m:sub>
        </m:sSub>
        <m:sSub>
          <m:sSubPr>
            <m:ctrlPr>
              <w:rPr>
                <w:rFonts w:ascii="Cambria Math" w:hAnsi="Cambria Math" w:cs="Times New Roman"/>
                <w:bCs/>
                <w:sz w:val="24"/>
                <w:szCs w:val="32"/>
              </w:rPr>
            </m:ctrlPr>
          </m:sSubPr>
          <m:e>
            <m:r>
              <m:rPr>
                <m:sty m:val="p"/>
              </m:rPr>
              <w:rPr>
                <w:rFonts w:ascii="Cambria Math" w:hAnsi="Cambria Math" w:cs="Times New Roman"/>
                <w:sz w:val="24"/>
                <w:szCs w:val="32"/>
              </w:rPr>
              <m:t>S</m:t>
            </m:r>
            <m:ctrlPr>
              <w:rPr>
                <w:rFonts w:ascii="Cambria Math" w:hAnsi="Cambria Math" w:cs="Times New Roman"/>
                <w:bCs/>
                <w:sz w:val="24"/>
                <w:szCs w:val="32"/>
              </w:rPr>
            </m:ctrlPr>
          </m:e>
          <m:sub>
            <m:r>
              <m:rPr>
                <m:sty m:val="p"/>
              </m:rPr>
              <w:rPr>
                <w:rFonts w:ascii="Cambria Math" w:hAnsi="Cambria Math" w:cs="Times New Roman"/>
                <w:sz w:val="24"/>
                <w:szCs w:val="32"/>
              </w:rPr>
              <m:t>Gk</m:t>
            </m:r>
            <m:ctrlPr>
              <w:rPr>
                <w:rFonts w:ascii="Cambria Math" w:hAnsi="Cambria Math" w:cs="Times New Roman"/>
                <w:bCs/>
                <w:sz w:val="24"/>
                <w:szCs w:val="32"/>
              </w:rPr>
            </m:ctrlPr>
          </m:sub>
        </m:sSub>
        <m:r>
          <m:rPr>
            <m:sty m:val="p"/>
          </m:rPr>
          <w:rPr>
            <w:rFonts w:ascii="Cambria Math" w:hAnsi="Cambria Math" w:cs="Times New Roman"/>
            <w:sz w:val="24"/>
            <w:szCs w:val="32"/>
          </w:rPr>
          <m:t>+</m:t>
        </m:r>
        <m:sSub>
          <m:sSubPr>
            <m:ctrlPr>
              <w:rPr>
                <w:rFonts w:ascii="Cambria Math" w:hAnsi="Cambria Math" w:cs="Times New Roman"/>
                <w:bCs/>
                <w:sz w:val="24"/>
                <w:szCs w:val="32"/>
              </w:rPr>
            </m:ctrlPr>
          </m:sSubPr>
          <m:e>
            <m:r>
              <m:rPr>
                <m:sty m:val="p"/>
              </m:rPr>
              <w:rPr>
                <w:rFonts w:ascii="Cambria Math" w:hAnsi="Cambria Math" w:cs="Times New Roman"/>
                <w:sz w:val="24"/>
                <w:szCs w:val="32"/>
              </w:rPr>
              <m:t>γ</m:t>
            </m:r>
            <m:ctrlPr>
              <w:rPr>
                <w:rFonts w:ascii="Cambria Math" w:hAnsi="Cambria Math" w:cs="Times New Roman"/>
                <w:bCs/>
                <w:sz w:val="24"/>
                <w:szCs w:val="32"/>
              </w:rPr>
            </m:ctrlPr>
          </m:e>
          <m:sub>
            <m:r>
              <m:rPr>
                <m:sty m:val="p"/>
              </m:rPr>
              <w:rPr>
                <w:rFonts w:ascii="Cambria Math" w:hAnsi="Cambria Math" w:cs="Times New Roman"/>
                <w:sz w:val="24"/>
                <w:szCs w:val="32"/>
              </w:rPr>
              <m:t>Eh</m:t>
            </m:r>
            <m:ctrlPr>
              <w:rPr>
                <w:rFonts w:ascii="Cambria Math" w:hAnsi="Cambria Math" w:cs="Times New Roman"/>
                <w:bCs/>
                <w:sz w:val="24"/>
                <w:szCs w:val="32"/>
              </w:rPr>
            </m:ctrlPr>
          </m:sub>
        </m:sSub>
        <m:sSub>
          <m:sSubPr>
            <m:ctrlPr>
              <w:rPr>
                <w:rFonts w:ascii="Cambria Math" w:hAnsi="Cambria Math" w:cs="Times New Roman"/>
                <w:bCs/>
                <w:sz w:val="24"/>
                <w:szCs w:val="32"/>
              </w:rPr>
            </m:ctrlPr>
          </m:sSubPr>
          <m:e>
            <m:r>
              <m:rPr>
                <m:sty m:val="p"/>
              </m:rPr>
              <w:rPr>
                <w:rFonts w:ascii="Cambria Math" w:hAnsi="Cambria Math" w:cs="Times New Roman"/>
                <w:sz w:val="24"/>
                <w:szCs w:val="32"/>
              </w:rPr>
              <m:t>S</m:t>
            </m:r>
            <m:ctrlPr>
              <w:rPr>
                <w:rFonts w:ascii="Cambria Math" w:hAnsi="Cambria Math" w:cs="Times New Roman"/>
                <w:bCs/>
                <w:sz w:val="24"/>
                <w:szCs w:val="32"/>
              </w:rPr>
            </m:ctrlPr>
          </m:e>
          <m:sub>
            <m:r>
              <m:rPr>
                <m:sty m:val="p"/>
              </m:rPr>
              <w:rPr>
                <w:rFonts w:ascii="Cambria Math" w:hAnsi="Cambria Math" w:cs="Times New Roman"/>
                <w:sz w:val="24"/>
                <w:szCs w:val="32"/>
              </w:rPr>
              <m:t>Ehk</m:t>
            </m:r>
            <m:ctrlPr>
              <w:rPr>
                <w:rFonts w:ascii="Cambria Math" w:hAnsi="Cambria Math" w:cs="Times New Roman"/>
                <w:bCs/>
                <w:sz w:val="24"/>
                <w:szCs w:val="32"/>
              </w:rPr>
            </m:ctrlPr>
          </m:sub>
        </m:sSub>
        <m:r>
          <m:rPr>
            <m:sty m:val="p"/>
          </m:rPr>
          <w:rPr>
            <w:rFonts w:ascii="Cambria Math" w:hAnsi="Cambria Math" w:cs="Times New Roman"/>
            <w:sz w:val="24"/>
            <w:szCs w:val="32"/>
          </w:rPr>
          <m:t>+</m:t>
        </m:r>
        <m:sSub>
          <m:sSubPr>
            <m:ctrlPr>
              <w:rPr>
                <w:rFonts w:ascii="Cambria Math" w:hAnsi="Cambria Math" w:cs="Times New Roman"/>
                <w:bCs/>
                <w:sz w:val="24"/>
                <w:szCs w:val="32"/>
              </w:rPr>
            </m:ctrlPr>
          </m:sSubPr>
          <m:e>
            <m:r>
              <m:rPr>
                <m:sty m:val="p"/>
              </m:rPr>
              <w:rPr>
                <w:rFonts w:ascii="Cambria Math" w:hAnsi="Cambria Math" w:cs="Times New Roman"/>
                <w:sz w:val="24"/>
                <w:szCs w:val="32"/>
              </w:rPr>
              <m:t>ψ</m:t>
            </m:r>
            <m:ctrlPr>
              <w:rPr>
                <w:rFonts w:ascii="Cambria Math" w:hAnsi="Cambria Math" w:cs="Times New Roman"/>
                <w:bCs/>
                <w:sz w:val="24"/>
                <w:szCs w:val="32"/>
              </w:rPr>
            </m:ctrlPr>
          </m:e>
          <m:sub>
            <m:r>
              <m:rPr>
                <m:sty m:val="p"/>
              </m:rPr>
              <w:rPr>
                <w:rFonts w:ascii="Cambria Math" w:hAnsi="Cambria Math" w:cs="Times New Roman"/>
                <w:sz w:val="24"/>
                <w:szCs w:val="32"/>
              </w:rPr>
              <m:t>W</m:t>
            </m:r>
            <m:ctrlPr>
              <w:rPr>
                <w:rFonts w:ascii="Cambria Math" w:hAnsi="Cambria Math" w:cs="Times New Roman"/>
                <w:bCs/>
                <w:sz w:val="24"/>
                <w:szCs w:val="32"/>
              </w:rPr>
            </m:ctrlPr>
          </m:sub>
        </m:sSub>
        <m:sSub>
          <m:sSubPr>
            <m:ctrlPr>
              <w:rPr>
                <w:rFonts w:ascii="Cambria Math" w:hAnsi="Cambria Math" w:cs="Times New Roman"/>
                <w:bCs/>
                <w:sz w:val="24"/>
                <w:szCs w:val="32"/>
              </w:rPr>
            </m:ctrlPr>
          </m:sSubPr>
          <m:e>
            <m:r>
              <m:rPr>
                <m:sty m:val="p"/>
              </m:rPr>
              <w:rPr>
                <w:rFonts w:ascii="Cambria Math" w:hAnsi="Cambria Math" w:cs="Times New Roman"/>
                <w:sz w:val="24"/>
                <w:szCs w:val="32"/>
              </w:rPr>
              <m:t>γ</m:t>
            </m:r>
            <m:ctrlPr>
              <w:rPr>
                <w:rFonts w:ascii="Cambria Math" w:hAnsi="Cambria Math" w:cs="Times New Roman"/>
                <w:bCs/>
                <w:sz w:val="24"/>
                <w:szCs w:val="32"/>
              </w:rPr>
            </m:ctrlPr>
          </m:e>
          <m:sub>
            <m:r>
              <m:rPr>
                <m:sty m:val="p"/>
              </m:rPr>
              <w:rPr>
                <w:rFonts w:ascii="Cambria Math" w:hAnsi="Cambria Math" w:cs="Times New Roman"/>
                <w:sz w:val="24"/>
                <w:szCs w:val="32"/>
              </w:rPr>
              <m:t>W</m:t>
            </m:r>
            <m:ctrlPr>
              <w:rPr>
                <w:rFonts w:ascii="Cambria Math" w:hAnsi="Cambria Math" w:cs="Times New Roman"/>
                <w:bCs/>
                <w:sz w:val="24"/>
                <w:szCs w:val="32"/>
              </w:rPr>
            </m:ctrlPr>
          </m:sub>
        </m:sSub>
        <m:sSub>
          <m:sSubPr>
            <m:ctrlPr>
              <w:rPr>
                <w:rFonts w:ascii="Cambria Math" w:hAnsi="Cambria Math" w:cs="Times New Roman"/>
                <w:bCs/>
                <w:sz w:val="24"/>
                <w:szCs w:val="32"/>
              </w:rPr>
            </m:ctrlPr>
          </m:sSubPr>
          <m:e>
            <m:r>
              <m:rPr>
                <m:sty m:val="p"/>
              </m:rPr>
              <w:rPr>
                <w:rFonts w:ascii="Cambria Math" w:hAnsi="Cambria Math" w:cs="Times New Roman"/>
                <w:sz w:val="24"/>
                <w:szCs w:val="32"/>
              </w:rPr>
              <m:t>S</m:t>
            </m:r>
            <m:ctrlPr>
              <w:rPr>
                <w:rFonts w:ascii="Cambria Math" w:hAnsi="Cambria Math" w:cs="Times New Roman"/>
                <w:bCs/>
                <w:sz w:val="24"/>
                <w:szCs w:val="32"/>
              </w:rPr>
            </m:ctrlPr>
          </m:e>
          <m:sub>
            <m:r>
              <m:rPr>
                <m:sty m:val="p"/>
              </m:rPr>
              <w:rPr>
                <w:rFonts w:ascii="Cambria Math" w:hAnsi="Cambria Math" w:cs="Times New Roman"/>
                <w:sz w:val="24"/>
                <w:szCs w:val="32"/>
              </w:rPr>
              <m:t>Wk</m:t>
            </m:r>
            <m:ctrlPr>
              <w:rPr>
                <w:rFonts w:ascii="Cambria Math" w:hAnsi="Cambria Math" w:cs="Times New Roman"/>
                <w:bCs/>
                <w:sz w:val="24"/>
                <w:szCs w:val="32"/>
              </w:rPr>
            </m:ctrlPr>
          </m:sub>
        </m:sSub>
      </m:oMath>
      <w:r>
        <w:rPr>
          <w:rFonts w:cs="Times New Roman"/>
          <w:bCs/>
        </w:rPr>
        <w:t xml:space="preserve">             </w:t>
      </w:r>
      <w:r>
        <w:rPr>
          <w:rFonts w:hint="eastAsia" w:ascii="宋体" w:hAnsi="宋体" w:eastAsia="宋体" w:cs="宋体"/>
          <w:strike w:val="0"/>
          <w:dstrike w:val="0"/>
          <w:kern w:val="2"/>
          <w:sz w:val="24"/>
          <w:szCs w:val="24"/>
          <w:highlight w:val="none"/>
          <w:lang w:val="en-US" w:eastAsia="zh-CN" w:bidi="ar-SA"/>
        </w:rPr>
        <w:t>(5.</w:t>
      </w:r>
      <w:r>
        <w:rPr>
          <w:rFonts w:hint="eastAsia" w:ascii="宋体" w:hAnsi="宋体" w:cs="宋体"/>
          <w:strike w:val="0"/>
          <w:dstrike w:val="0"/>
          <w:kern w:val="2"/>
          <w:sz w:val="24"/>
          <w:szCs w:val="24"/>
          <w:highlight w:val="none"/>
          <w:lang w:val="en-US" w:eastAsia="zh-CN" w:bidi="ar-SA"/>
        </w:rPr>
        <w:t>3</w:t>
      </w:r>
      <w:r>
        <w:rPr>
          <w:rFonts w:hint="eastAsia" w:ascii="宋体" w:hAnsi="宋体" w:eastAsia="宋体" w:cs="宋体"/>
          <w:strike w:val="0"/>
          <w:dstrike w:val="0"/>
          <w:kern w:val="2"/>
          <w:sz w:val="24"/>
          <w:szCs w:val="24"/>
          <w:highlight w:val="none"/>
          <w:lang w:val="en-US" w:eastAsia="zh-CN" w:bidi="ar-SA"/>
        </w:rPr>
        <w:t>.</w:t>
      </w:r>
      <w:r>
        <w:rPr>
          <w:rFonts w:hint="eastAsia" w:ascii="宋体" w:hAnsi="宋体" w:cs="宋体"/>
          <w:strike w:val="0"/>
          <w:dstrike w:val="0"/>
          <w:kern w:val="2"/>
          <w:sz w:val="24"/>
          <w:szCs w:val="24"/>
          <w:highlight w:val="none"/>
          <w:lang w:val="en-US" w:eastAsia="zh-CN" w:bidi="ar-SA"/>
        </w:rPr>
        <w:t>12</w:t>
      </w:r>
      <w:r>
        <w:rPr>
          <w:rFonts w:hint="eastAsia" w:ascii="宋体" w:hAnsi="宋体" w:eastAsia="宋体" w:cs="宋体"/>
          <w:strike w:val="0"/>
          <w:dstrike w:val="0"/>
          <w:kern w:val="2"/>
          <w:sz w:val="24"/>
          <w:szCs w:val="24"/>
          <w:highlight w:val="none"/>
          <w:lang w:val="en-US" w:eastAsia="zh-CN" w:bidi="ar-SA"/>
        </w:rPr>
        <w:t>-2)</w:t>
      </w:r>
    </w:p>
    <w:p w14:paraId="728FF4DB">
      <w:pPr>
        <w:pStyle w:val="63"/>
        <w:spacing w:before="0" w:after="0" w:line="360" w:lineRule="auto"/>
        <w:ind w:firstLine="720" w:firstLineChars="300"/>
        <w:jc w:val="both"/>
        <w:rPr>
          <w:rFonts w:hint="eastAsia" w:ascii="宋体" w:hAnsi="宋体" w:eastAsia="宋体" w:cs="宋体"/>
          <w:strike w:val="0"/>
          <w:dstrike w:val="0"/>
          <w:kern w:val="2"/>
          <w:sz w:val="24"/>
          <w:szCs w:val="24"/>
          <w:highlight w:val="none"/>
          <w:lang w:val="en-US" w:eastAsia="zh-CN" w:bidi="ar-SA"/>
        </w:rPr>
      </w:pPr>
      <w:r>
        <w:rPr>
          <w:rFonts w:hint="eastAsia" w:ascii="宋体" w:hAnsi="宋体" w:eastAsia="宋体" w:cs="宋体"/>
          <w:strike w:val="0"/>
          <w:dstrike w:val="0"/>
          <w:kern w:val="2"/>
          <w:sz w:val="24"/>
          <w:szCs w:val="24"/>
          <w:highlight w:val="none"/>
          <w:lang w:val="en-US" w:eastAsia="zh-CN" w:bidi="ar-SA"/>
        </w:rPr>
        <w:t>在竖向地震作用下：</w:t>
      </w:r>
    </w:p>
    <w:p w14:paraId="5CAB6A68">
      <w:pPr>
        <w:pStyle w:val="63"/>
        <w:spacing w:before="0" w:after="0" w:line="360" w:lineRule="auto"/>
        <w:ind w:firstLine="0" w:firstLineChars="0"/>
        <w:jc w:val="right"/>
        <w:rPr>
          <w:rFonts w:cs="Times New Roman"/>
          <w:bCs/>
        </w:rPr>
      </w:pPr>
      <w:r>
        <w:rPr>
          <w:rFonts w:cs="Times New Roman"/>
          <w:bCs/>
        </w:rPr>
        <w:t xml:space="preserve">                         </w:t>
      </w:r>
      <m:oMath>
        <m:r>
          <m:rPr>
            <m:sty m:val="p"/>
          </m:rPr>
          <w:rPr>
            <w:rFonts w:ascii="Cambria Math" w:hAnsi="Cambria Math" w:cs="Times New Roman"/>
            <w:sz w:val="24"/>
            <w:szCs w:val="32"/>
          </w:rPr>
          <m:t>S=</m:t>
        </m:r>
        <m:sSub>
          <m:sSubPr>
            <m:ctrlPr>
              <w:rPr>
                <w:rFonts w:ascii="Cambria Math" w:hAnsi="Cambria Math" w:cs="Times New Roman"/>
                <w:bCs/>
                <w:sz w:val="24"/>
                <w:szCs w:val="32"/>
              </w:rPr>
            </m:ctrlPr>
          </m:sSubPr>
          <m:e>
            <m:r>
              <m:rPr>
                <m:sty m:val="p"/>
              </m:rPr>
              <w:rPr>
                <w:rFonts w:ascii="Cambria Math" w:hAnsi="Cambria Math" w:cs="Times New Roman"/>
                <w:sz w:val="24"/>
                <w:szCs w:val="32"/>
              </w:rPr>
              <m:t>γ</m:t>
            </m:r>
            <m:ctrlPr>
              <w:rPr>
                <w:rFonts w:ascii="Cambria Math" w:hAnsi="Cambria Math" w:cs="Times New Roman"/>
                <w:bCs/>
                <w:sz w:val="24"/>
                <w:szCs w:val="32"/>
              </w:rPr>
            </m:ctrlPr>
          </m:e>
          <m:sub>
            <m:r>
              <m:rPr>
                <m:sty m:val="p"/>
              </m:rPr>
              <w:rPr>
                <w:rFonts w:ascii="Cambria Math" w:hAnsi="Cambria Math" w:cs="Times New Roman"/>
                <w:sz w:val="24"/>
                <w:szCs w:val="32"/>
              </w:rPr>
              <m:t>G</m:t>
            </m:r>
            <m:ctrlPr>
              <w:rPr>
                <w:rFonts w:ascii="Cambria Math" w:hAnsi="Cambria Math" w:cs="Times New Roman"/>
                <w:bCs/>
                <w:sz w:val="24"/>
                <w:szCs w:val="32"/>
              </w:rPr>
            </m:ctrlPr>
          </m:sub>
        </m:sSub>
        <m:sSub>
          <m:sSubPr>
            <m:ctrlPr>
              <w:rPr>
                <w:rFonts w:ascii="Cambria Math" w:hAnsi="Cambria Math" w:cs="Times New Roman"/>
                <w:bCs/>
                <w:sz w:val="24"/>
                <w:szCs w:val="32"/>
              </w:rPr>
            </m:ctrlPr>
          </m:sSubPr>
          <m:e>
            <m:r>
              <m:rPr>
                <m:sty m:val="p"/>
              </m:rPr>
              <w:rPr>
                <w:rFonts w:ascii="Cambria Math" w:hAnsi="Cambria Math" w:cs="Times New Roman"/>
                <w:sz w:val="24"/>
                <w:szCs w:val="32"/>
              </w:rPr>
              <m:t>S</m:t>
            </m:r>
            <m:ctrlPr>
              <w:rPr>
                <w:rFonts w:ascii="Cambria Math" w:hAnsi="Cambria Math" w:cs="Times New Roman"/>
                <w:bCs/>
                <w:sz w:val="24"/>
                <w:szCs w:val="32"/>
              </w:rPr>
            </m:ctrlPr>
          </m:e>
          <m:sub>
            <m:r>
              <m:rPr>
                <m:sty m:val="p"/>
              </m:rPr>
              <w:rPr>
                <w:rFonts w:ascii="Cambria Math" w:hAnsi="Cambria Math" w:cs="Times New Roman"/>
                <w:sz w:val="24"/>
                <w:szCs w:val="32"/>
              </w:rPr>
              <m:t>Gk</m:t>
            </m:r>
            <m:ctrlPr>
              <w:rPr>
                <w:rFonts w:ascii="Cambria Math" w:hAnsi="Cambria Math" w:cs="Times New Roman"/>
                <w:bCs/>
                <w:sz w:val="24"/>
                <w:szCs w:val="32"/>
              </w:rPr>
            </m:ctrlPr>
          </m:sub>
        </m:sSub>
        <m:r>
          <m:rPr>
            <m:sty m:val="p"/>
          </m:rPr>
          <w:rPr>
            <w:rFonts w:ascii="Cambria Math" w:hAnsi="Cambria Math" w:cs="Times New Roman"/>
            <w:sz w:val="24"/>
            <w:szCs w:val="32"/>
          </w:rPr>
          <m:t>+</m:t>
        </m:r>
        <m:sSub>
          <m:sSubPr>
            <m:ctrlPr>
              <w:rPr>
                <w:rFonts w:ascii="Cambria Math" w:hAnsi="Cambria Math" w:cs="Times New Roman"/>
                <w:bCs/>
                <w:sz w:val="24"/>
                <w:szCs w:val="32"/>
              </w:rPr>
            </m:ctrlPr>
          </m:sSubPr>
          <m:e>
            <m:r>
              <m:rPr>
                <m:sty m:val="p"/>
              </m:rPr>
              <w:rPr>
                <w:rFonts w:ascii="Cambria Math" w:hAnsi="Cambria Math" w:cs="Times New Roman"/>
                <w:sz w:val="24"/>
                <w:szCs w:val="32"/>
              </w:rPr>
              <m:t>γ</m:t>
            </m:r>
            <m:ctrlPr>
              <w:rPr>
                <w:rFonts w:ascii="Cambria Math" w:hAnsi="Cambria Math" w:cs="Times New Roman"/>
                <w:bCs/>
                <w:sz w:val="24"/>
                <w:szCs w:val="32"/>
              </w:rPr>
            </m:ctrlPr>
          </m:e>
          <m:sub>
            <m:r>
              <m:rPr>
                <m:sty m:val="p"/>
              </m:rPr>
              <w:rPr>
                <w:rFonts w:ascii="Cambria Math" w:hAnsi="Cambria Math" w:cs="Times New Roman"/>
                <w:sz w:val="24"/>
                <w:szCs w:val="32"/>
              </w:rPr>
              <m:t>Ev</m:t>
            </m:r>
            <m:ctrlPr>
              <w:rPr>
                <w:rFonts w:ascii="Cambria Math" w:hAnsi="Cambria Math" w:cs="Times New Roman"/>
                <w:bCs/>
                <w:sz w:val="24"/>
                <w:szCs w:val="32"/>
              </w:rPr>
            </m:ctrlPr>
          </m:sub>
        </m:sSub>
        <m:sSub>
          <m:sSubPr>
            <m:ctrlPr>
              <w:rPr>
                <w:rFonts w:ascii="Cambria Math" w:hAnsi="Cambria Math" w:cs="Times New Roman"/>
                <w:bCs/>
                <w:sz w:val="24"/>
                <w:szCs w:val="32"/>
              </w:rPr>
            </m:ctrlPr>
          </m:sSubPr>
          <m:e>
            <m:r>
              <m:rPr>
                <m:sty m:val="p"/>
              </m:rPr>
              <w:rPr>
                <w:rFonts w:ascii="Cambria Math" w:hAnsi="Cambria Math" w:cs="Times New Roman"/>
                <w:sz w:val="24"/>
                <w:szCs w:val="32"/>
              </w:rPr>
              <m:t>S</m:t>
            </m:r>
            <m:ctrlPr>
              <w:rPr>
                <w:rFonts w:ascii="Cambria Math" w:hAnsi="Cambria Math" w:cs="Times New Roman"/>
                <w:bCs/>
                <w:sz w:val="24"/>
                <w:szCs w:val="32"/>
              </w:rPr>
            </m:ctrlPr>
          </m:e>
          <m:sub>
            <m:r>
              <m:rPr>
                <m:sty m:val="p"/>
              </m:rPr>
              <w:rPr>
                <w:rFonts w:ascii="Cambria Math" w:hAnsi="Cambria Math" w:cs="Times New Roman"/>
                <w:sz w:val="24"/>
                <w:szCs w:val="32"/>
              </w:rPr>
              <m:t>Evk</m:t>
            </m:r>
            <m:ctrlPr>
              <w:rPr>
                <w:rFonts w:ascii="Cambria Math" w:hAnsi="Cambria Math" w:cs="Times New Roman"/>
                <w:bCs/>
                <w:sz w:val="24"/>
                <w:szCs w:val="32"/>
              </w:rPr>
            </m:ctrlPr>
          </m:sub>
        </m:sSub>
      </m:oMath>
      <w:r>
        <w:rPr>
          <w:rFonts w:cs="Times New Roman"/>
          <w:bCs/>
        </w:rPr>
        <w:t xml:space="preserve">                  </w:t>
      </w:r>
      <w:r>
        <w:rPr>
          <w:rFonts w:hint="eastAsia" w:ascii="宋体" w:hAnsi="宋体" w:eastAsia="宋体" w:cs="宋体"/>
          <w:strike w:val="0"/>
          <w:dstrike w:val="0"/>
          <w:kern w:val="2"/>
          <w:sz w:val="24"/>
          <w:szCs w:val="24"/>
          <w:highlight w:val="none"/>
          <w:lang w:val="en-US" w:eastAsia="zh-CN" w:bidi="ar-SA"/>
        </w:rPr>
        <w:t xml:space="preserve"> (5.</w:t>
      </w:r>
      <w:r>
        <w:rPr>
          <w:rFonts w:hint="eastAsia" w:ascii="宋体" w:hAnsi="宋体" w:cs="宋体"/>
          <w:strike w:val="0"/>
          <w:dstrike w:val="0"/>
          <w:kern w:val="2"/>
          <w:sz w:val="24"/>
          <w:szCs w:val="24"/>
          <w:highlight w:val="none"/>
          <w:lang w:val="en-US" w:eastAsia="zh-CN" w:bidi="ar-SA"/>
        </w:rPr>
        <w:t>3</w:t>
      </w:r>
      <w:r>
        <w:rPr>
          <w:rFonts w:hint="eastAsia" w:ascii="宋体" w:hAnsi="宋体" w:eastAsia="宋体" w:cs="宋体"/>
          <w:strike w:val="0"/>
          <w:dstrike w:val="0"/>
          <w:kern w:val="2"/>
          <w:sz w:val="24"/>
          <w:szCs w:val="24"/>
          <w:highlight w:val="none"/>
          <w:lang w:val="en-US" w:eastAsia="zh-CN" w:bidi="ar-SA"/>
        </w:rPr>
        <w:t>.</w:t>
      </w:r>
      <w:r>
        <w:rPr>
          <w:rFonts w:hint="eastAsia" w:ascii="宋体" w:hAnsi="宋体" w:cs="宋体"/>
          <w:strike w:val="0"/>
          <w:dstrike w:val="0"/>
          <w:kern w:val="2"/>
          <w:sz w:val="24"/>
          <w:szCs w:val="24"/>
          <w:highlight w:val="none"/>
          <w:lang w:val="en-US" w:eastAsia="zh-CN" w:bidi="ar-SA"/>
        </w:rPr>
        <w:t>12</w:t>
      </w:r>
      <w:r>
        <w:rPr>
          <w:rFonts w:hint="eastAsia" w:ascii="宋体" w:hAnsi="宋体" w:eastAsia="宋体" w:cs="宋体"/>
          <w:strike w:val="0"/>
          <w:dstrike w:val="0"/>
          <w:kern w:val="2"/>
          <w:sz w:val="24"/>
          <w:szCs w:val="24"/>
          <w:highlight w:val="none"/>
          <w:lang w:val="en-US" w:eastAsia="zh-CN" w:bidi="ar-SA"/>
        </w:rPr>
        <w:t>-3)</w:t>
      </w:r>
    </w:p>
    <w:p w14:paraId="55751FB9">
      <w:pPr>
        <w:pStyle w:val="63"/>
        <w:spacing w:before="0" w:after="0" w:line="360" w:lineRule="auto"/>
        <w:ind w:firstLine="0" w:firstLineChars="0"/>
        <w:jc w:val="both"/>
        <w:rPr>
          <w:rFonts w:cs="Times New Roman"/>
          <w:bCs/>
        </w:rPr>
      </w:pPr>
      <w:r>
        <w:rPr>
          <w:rFonts w:hint="eastAsia" w:ascii="宋体" w:hAnsi="宋体" w:eastAsia="宋体" w:cs="宋体"/>
          <w:strike w:val="0"/>
          <w:dstrike w:val="0"/>
          <w:kern w:val="2"/>
          <w:sz w:val="24"/>
          <w:szCs w:val="24"/>
          <w:highlight w:val="none"/>
          <w:lang w:val="en-US" w:eastAsia="zh-CN" w:bidi="ar-SA"/>
        </w:rPr>
        <w:t>式中：</w:t>
      </w:r>
      <m:oMath>
        <m:sSub>
          <m:sSubPr>
            <m:ctrlPr>
              <w:rPr>
                <w:rFonts w:ascii="Cambria Math" w:hAnsi="Cambria Math" w:cs="Times New Roman"/>
                <w:bCs/>
                <w:sz w:val="24"/>
                <w:szCs w:val="32"/>
              </w:rPr>
            </m:ctrlPr>
          </m:sSubPr>
          <m:e>
            <m:r>
              <m:rPr>
                <m:sty m:val="p"/>
              </m:rPr>
              <w:rPr>
                <w:rFonts w:ascii="Cambria Math" w:hAnsi="Cambria Math" w:cs="Times New Roman"/>
                <w:sz w:val="24"/>
                <w:szCs w:val="32"/>
              </w:rPr>
              <m:t>S</m:t>
            </m:r>
            <m:ctrlPr>
              <w:rPr>
                <w:rFonts w:ascii="Cambria Math" w:hAnsi="Cambria Math" w:cs="Times New Roman"/>
                <w:bCs/>
                <w:sz w:val="24"/>
                <w:szCs w:val="32"/>
              </w:rPr>
            </m:ctrlPr>
          </m:e>
          <m:sub>
            <m:r>
              <m:rPr>
                <m:sty m:val="p"/>
              </m:rPr>
              <w:rPr>
                <w:rFonts w:ascii="Cambria Math" w:hAnsi="Cambria Math" w:cs="Times New Roman"/>
                <w:sz w:val="24"/>
                <w:szCs w:val="32"/>
              </w:rPr>
              <m:t>Gk</m:t>
            </m:r>
            <m:ctrlPr>
              <w:rPr>
                <w:rFonts w:ascii="Cambria Math" w:hAnsi="Cambria Math" w:cs="Times New Roman"/>
                <w:bCs/>
                <w:sz w:val="24"/>
                <w:szCs w:val="32"/>
              </w:rPr>
            </m:ctrlPr>
          </m:sub>
        </m:sSub>
      </m:oMath>
      <w:r>
        <w:rPr>
          <w:rFonts w:cs="Times New Roman"/>
          <w:bCs/>
        </w:rPr>
        <w:t>——</w:t>
      </w:r>
      <w:r>
        <w:rPr>
          <w:rFonts w:hint="eastAsia" w:ascii="宋体" w:hAnsi="宋体" w:eastAsia="宋体" w:cs="宋体"/>
          <w:strike w:val="0"/>
          <w:dstrike w:val="0"/>
          <w:kern w:val="2"/>
          <w:sz w:val="24"/>
          <w:szCs w:val="24"/>
          <w:highlight w:val="none"/>
          <w:lang w:val="en-US" w:eastAsia="zh-CN" w:bidi="ar-SA"/>
        </w:rPr>
        <w:t>永久荷载的效应标准值</w:t>
      </w:r>
      <w:r>
        <w:rPr>
          <w:rFonts w:hint="eastAsia" w:ascii="宋体" w:hAnsi="宋体" w:cs="宋体"/>
          <w:strike w:val="0"/>
          <w:dstrike w:val="0"/>
          <w:kern w:val="2"/>
          <w:sz w:val="24"/>
          <w:szCs w:val="24"/>
          <w:highlight w:val="none"/>
          <w:lang w:val="en-US" w:eastAsia="zh-CN" w:bidi="ar-SA"/>
        </w:rPr>
        <w:t>；</w:t>
      </w:r>
    </w:p>
    <w:p w14:paraId="466CF31A">
      <w:pPr>
        <w:pStyle w:val="63"/>
        <w:spacing w:before="0" w:after="0" w:line="360" w:lineRule="auto"/>
        <w:ind w:firstLine="720" w:firstLineChars="300"/>
        <w:jc w:val="both"/>
        <w:rPr>
          <w:rFonts w:cs="Times New Roman"/>
          <w:bCs/>
        </w:rPr>
      </w:pPr>
      <m:oMath>
        <m:sSub>
          <m:sSubPr>
            <m:ctrlPr>
              <w:rPr>
                <w:rFonts w:ascii="Cambria Math" w:hAnsi="Cambria Math" w:cs="Times New Roman"/>
                <w:bCs/>
                <w:sz w:val="24"/>
                <w:szCs w:val="32"/>
              </w:rPr>
            </m:ctrlPr>
          </m:sSubPr>
          <m:e>
            <m:r>
              <m:rPr>
                <m:sty m:val="p"/>
              </m:rPr>
              <w:rPr>
                <w:rFonts w:ascii="Cambria Math" w:hAnsi="Cambria Math" w:cs="Times New Roman"/>
                <w:sz w:val="24"/>
                <w:szCs w:val="32"/>
              </w:rPr>
              <m:t>S</m:t>
            </m:r>
            <m:ctrlPr>
              <w:rPr>
                <w:rFonts w:ascii="Cambria Math" w:hAnsi="Cambria Math" w:cs="Times New Roman"/>
                <w:bCs/>
                <w:sz w:val="24"/>
                <w:szCs w:val="32"/>
              </w:rPr>
            </m:ctrlPr>
          </m:e>
          <m:sub>
            <m:r>
              <m:rPr>
                <m:sty m:val="p"/>
              </m:rPr>
              <w:rPr>
                <w:rFonts w:ascii="Cambria Math" w:hAnsi="Cambria Math" w:cs="Times New Roman"/>
                <w:sz w:val="24"/>
                <w:szCs w:val="32"/>
              </w:rPr>
              <m:t>Wk</m:t>
            </m:r>
            <m:ctrlPr>
              <w:rPr>
                <w:rFonts w:ascii="Cambria Math" w:hAnsi="Cambria Math" w:cs="Times New Roman"/>
                <w:bCs/>
                <w:sz w:val="24"/>
                <w:szCs w:val="32"/>
              </w:rPr>
            </m:ctrlPr>
          </m:sub>
        </m:sSub>
      </m:oMath>
      <w:r>
        <w:rPr>
          <w:rFonts w:cs="Times New Roman"/>
          <w:bCs/>
        </w:rPr>
        <w:t>——</w:t>
      </w:r>
      <w:r>
        <w:rPr>
          <w:rFonts w:hint="eastAsia" w:ascii="宋体" w:hAnsi="宋体" w:eastAsia="宋体" w:cs="宋体"/>
          <w:strike w:val="0"/>
          <w:dstrike w:val="0"/>
          <w:kern w:val="2"/>
          <w:sz w:val="24"/>
          <w:szCs w:val="24"/>
          <w:highlight w:val="none"/>
          <w:lang w:val="en-US" w:eastAsia="zh-CN" w:bidi="ar-SA"/>
        </w:rPr>
        <w:t>风荷载的效应标准值</w:t>
      </w:r>
      <w:r>
        <w:rPr>
          <w:rFonts w:hint="eastAsia" w:ascii="宋体" w:hAnsi="宋体" w:cs="宋体"/>
          <w:strike w:val="0"/>
          <w:dstrike w:val="0"/>
          <w:kern w:val="2"/>
          <w:sz w:val="24"/>
          <w:szCs w:val="24"/>
          <w:highlight w:val="none"/>
          <w:lang w:val="en-US" w:eastAsia="zh-CN" w:bidi="ar-SA"/>
        </w:rPr>
        <w:t>；</w:t>
      </w:r>
    </w:p>
    <w:p w14:paraId="1EDFA7D9">
      <w:pPr>
        <w:pStyle w:val="63"/>
        <w:spacing w:before="0" w:after="0" w:line="360" w:lineRule="auto"/>
        <w:ind w:firstLine="480"/>
        <w:jc w:val="both"/>
        <w:rPr>
          <w:rFonts w:cs="Times New Roman"/>
          <w:bCs/>
        </w:rPr>
      </w:pPr>
      <w:r>
        <w:rPr>
          <w:rFonts w:cs="Times New Roman"/>
          <w:bCs/>
        </w:rPr>
        <w:t xml:space="preserve">  </w:t>
      </w:r>
      <w:r>
        <w:rPr>
          <w:rFonts w:hint="eastAsia" w:cs="Times New Roman"/>
          <w:bCs/>
          <w:lang w:val="en-US" w:eastAsia="zh-CN"/>
        </w:rPr>
        <w:t xml:space="preserve"> </w:t>
      </w:r>
      <m:oMath>
        <m:sSub>
          <m:sSubPr>
            <m:ctrlPr>
              <w:rPr>
                <w:rFonts w:ascii="Cambria Math" w:hAnsi="Cambria Math" w:cs="Times New Roman"/>
                <w:bCs/>
                <w:sz w:val="24"/>
                <w:szCs w:val="32"/>
              </w:rPr>
            </m:ctrlPr>
          </m:sSubPr>
          <m:e>
            <m:r>
              <m:rPr>
                <m:sty m:val="p"/>
              </m:rPr>
              <w:rPr>
                <w:rFonts w:ascii="Cambria Math" w:hAnsi="Cambria Math" w:cs="Times New Roman"/>
                <w:sz w:val="24"/>
                <w:szCs w:val="32"/>
              </w:rPr>
              <m:t>S</m:t>
            </m:r>
            <m:ctrlPr>
              <w:rPr>
                <w:rFonts w:ascii="Cambria Math" w:hAnsi="Cambria Math" w:cs="Times New Roman"/>
                <w:bCs/>
                <w:sz w:val="24"/>
                <w:szCs w:val="32"/>
              </w:rPr>
            </m:ctrlPr>
          </m:e>
          <m:sub>
            <m:r>
              <m:rPr>
                <m:sty m:val="p"/>
              </m:rPr>
              <w:rPr>
                <w:rFonts w:ascii="Cambria Math" w:hAnsi="Cambria Math" w:cs="Times New Roman"/>
                <w:sz w:val="24"/>
                <w:szCs w:val="32"/>
              </w:rPr>
              <m:t>Ehk</m:t>
            </m:r>
            <m:ctrlPr>
              <w:rPr>
                <w:rFonts w:ascii="Cambria Math" w:hAnsi="Cambria Math" w:cs="Times New Roman"/>
                <w:bCs/>
                <w:sz w:val="24"/>
                <w:szCs w:val="32"/>
              </w:rPr>
            </m:ctrlPr>
          </m:sub>
        </m:sSub>
      </m:oMath>
      <w:r>
        <w:rPr>
          <w:rFonts w:cs="Times New Roman"/>
          <w:bCs/>
        </w:rPr>
        <w:t>——</w:t>
      </w:r>
      <w:r>
        <w:rPr>
          <w:rFonts w:hint="eastAsia" w:ascii="宋体" w:hAnsi="宋体" w:eastAsia="宋体" w:cs="宋体"/>
          <w:strike w:val="0"/>
          <w:dstrike w:val="0"/>
          <w:kern w:val="2"/>
          <w:sz w:val="24"/>
          <w:szCs w:val="24"/>
          <w:highlight w:val="none"/>
          <w:lang w:val="en-US" w:eastAsia="zh-CN" w:bidi="ar-SA"/>
        </w:rPr>
        <w:t>水平地震作用组合的效应标准值</w:t>
      </w:r>
      <w:r>
        <w:rPr>
          <w:rFonts w:hint="eastAsia" w:ascii="宋体" w:hAnsi="宋体" w:cs="宋体"/>
          <w:strike w:val="0"/>
          <w:dstrike w:val="0"/>
          <w:kern w:val="2"/>
          <w:sz w:val="24"/>
          <w:szCs w:val="24"/>
          <w:highlight w:val="none"/>
          <w:lang w:val="en-US" w:eastAsia="zh-CN" w:bidi="ar-SA"/>
        </w:rPr>
        <w:t>；</w:t>
      </w:r>
    </w:p>
    <w:p w14:paraId="71D9F8E2">
      <w:pPr>
        <w:pStyle w:val="63"/>
        <w:spacing w:before="0" w:after="0" w:line="360" w:lineRule="auto"/>
        <w:ind w:firstLine="720" w:firstLineChars="300"/>
        <w:jc w:val="both"/>
        <w:rPr>
          <w:rFonts w:cs="Times New Roman"/>
          <w:bCs/>
        </w:rPr>
      </w:pPr>
      <m:oMath>
        <m:sSub>
          <m:sSubPr>
            <m:ctrlPr>
              <w:rPr>
                <w:rFonts w:ascii="Cambria Math" w:hAnsi="Cambria Math" w:cs="Times New Roman"/>
                <w:bCs/>
                <w:sz w:val="24"/>
                <w:szCs w:val="32"/>
              </w:rPr>
            </m:ctrlPr>
          </m:sSubPr>
          <m:e>
            <m:r>
              <m:rPr>
                <m:sty m:val="p"/>
              </m:rPr>
              <w:rPr>
                <w:rFonts w:ascii="Cambria Math" w:hAnsi="Cambria Math" w:cs="Times New Roman"/>
                <w:sz w:val="24"/>
                <w:szCs w:val="32"/>
              </w:rPr>
              <m:t>S</m:t>
            </m:r>
            <m:ctrlPr>
              <w:rPr>
                <w:rFonts w:ascii="Cambria Math" w:hAnsi="Cambria Math" w:cs="Times New Roman"/>
                <w:bCs/>
                <w:sz w:val="24"/>
                <w:szCs w:val="32"/>
              </w:rPr>
            </m:ctrlPr>
          </m:e>
          <m:sub>
            <m:r>
              <m:rPr>
                <m:sty m:val="p"/>
              </m:rPr>
              <w:rPr>
                <w:rFonts w:ascii="Cambria Math" w:hAnsi="Cambria Math" w:cs="Times New Roman"/>
                <w:sz w:val="24"/>
                <w:szCs w:val="32"/>
              </w:rPr>
              <m:t>Evk</m:t>
            </m:r>
            <m:ctrlPr>
              <w:rPr>
                <w:rFonts w:ascii="Cambria Math" w:hAnsi="Cambria Math" w:cs="Times New Roman"/>
                <w:bCs/>
                <w:sz w:val="24"/>
                <w:szCs w:val="32"/>
              </w:rPr>
            </m:ctrlPr>
          </m:sub>
        </m:sSub>
      </m:oMath>
      <w:r>
        <w:rPr>
          <w:rFonts w:cs="Times New Roman"/>
          <w:bCs/>
        </w:rPr>
        <w:t>——</w:t>
      </w:r>
      <w:r>
        <w:rPr>
          <w:rFonts w:hint="eastAsia" w:ascii="宋体" w:hAnsi="宋体" w:eastAsia="宋体" w:cs="宋体"/>
          <w:strike w:val="0"/>
          <w:dstrike w:val="0"/>
          <w:kern w:val="2"/>
          <w:sz w:val="24"/>
          <w:szCs w:val="24"/>
          <w:highlight w:val="none"/>
          <w:lang w:val="en-US" w:eastAsia="zh-CN" w:bidi="ar-SA"/>
        </w:rPr>
        <w:t>竖向地震作用组合的效应标准值</w:t>
      </w:r>
      <w:r>
        <w:rPr>
          <w:rFonts w:hint="eastAsia" w:ascii="宋体" w:hAnsi="宋体" w:cs="宋体"/>
          <w:strike w:val="0"/>
          <w:dstrike w:val="0"/>
          <w:kern w:val="2"/>
          <w:sz w:val="24"/>
          <w:szCs w:val="24"/>
          <w:highlight w:val="none"/>
          <w:lang w:val="en-US" w:eastAsia="zh-CN" w:bidi="ar-SA"/>
        </w:rPr>
        <w:t>；</w:t>
      </w:r>
    </w:p>
    <w:p w14:paraId="35D6247A">
      <w:pPr>
        <w:pStyle w:val="63"/>
        <w:spacing w:before="0" w:after="0" w:line="360" w:lineRule="auto"/>
        <w:ind w:firstLine="720" w:firstLineChars="300"/>
        <w:jc w:val="both"/>
        <w:rPr>
          <w:rFonts w:cs="Times New Roman"/>
          <w:bCs/>
        </w:rPr>
      </w:pPr>
      <m:oMath>
        <m:sSub>
          <m:sSubPr>
            <m:ctrlPr>
              <w:rPr>
                <w:rFonts w:ascii="Cambria Math" w:hAnsi="Cambria Math" w:cs="Times New Roman"/>
                <w:bCs/>
                <w:sz w:val="24"/>
                <w:szCs w:val="32"/>
              </w:rPr>
            </m:ctrlPr>
          </m:sSubPr>
          <m:e>
            <m:r>
              <m:rPr>
                <m:sty m:val="p"/>
              </m:rPr>
              <w:rPr>
                <w:rFonts w:ascii="Cambria Math" w:hAnsi="Cambria Math" w:cs="Times New Roman"/>
                <w:sz w:val="24"/>
                <w:szCs w:val="32"/>
              </w:rPr>
              <m:t>γ</m:t>
            </m:r>
            <m:ctrlPr>
              <w:rPr>
                <w:rFonts w:ascii="Cambria Math" w:hAnsi="Cambria Math" w:cs="Times New Roman"/>
                <w:bCs/>
                <w:sz w:val="24"/>
                <w:szCs w:val="32"/>
              </w:rPr>
            </m:ctrlPr>
          </m:e>
          <m:sub>
            <m:r>
              <m:rPr>
                <m:sty m:val="p"/>
              </m:rPr>
              <w:rPr>
                <w:rFonts w:ascii="Cambria Math" w:hAnsi="Cambria Math" w:cs="Times New Roman"/>
                <w:sz w:val="24"/>
                <w:szCs w:val="32"/>
              </w:rPr>
              <m:t>G</m:t>
            </m:r>
            <m:ctrlPr>
              <w:rPr>
                <w:rFonts w:ascii="Cambria Math" w:hAnsi="Cambria Math" w:cs="Times New Roman"/>
                <w:bCs/>
                <w:sz w:val="24"/>
                <w:szCs w:val="32"/>
              </w:rPr>
            </m:ctrlPr>
          </m:sub>
        </m:sSub>
      </m:oMath>
      <w:r>
        <w:rPr>
          <w:rFonts w:cs="Times New Roman"/>
          <w:bCs/>
        </w:rPr>
        <w:t>——</w:t>
      </w:r>
      <w:r>
        <w:rPr>
          <w:rFonts w:hint="eastAsia" w:ascii="宋体" w:hAnsi="宋体" w:eastAsia="宋体" w:cs="宋体"/>
          <w:strike w:val="0"/>
          <w:dstrike w:val="0"/>
          <w:kern w:val="2"/>
          <w:sz w:val="24"/>
          <w:szCs w:val="24"/>
          <w:highlight w:val="none"/>
          <w:lang w:val="en-US" w:eastAsia="zh-CN" w:bidi="ar-SA"/>
        </w:rPr>
        <w:t>永久荷载分项系数，按5.</w:t>
      </w:r>
      <w:r>
        <w:rPr>
          <w:rFonts w:hint="eastAsia" w:ascii="宋体" w:hAnsi="宋体" w:cs="宋体"/>
          <w:strike w:val="0"/>
          <w:dstrike w:val="0"/>
          <w:kern w:val="2"/>
          <w:sz w:val="24"/>
          <w:szCs w:val="24"/>
          <w:highlight w:val="none"/>
          <w:lang w:val="en-US" w:eastAsia="zh-CN" w:bidi="ar-SA"/>
        </w:rPr>
        <w:t>3</w:t>
      </w:r>
      <w:r>
        <w:rPr>
          <w:rFonts w:hint="eastAsia" w:ascii="宋体" w:hAnsi="宋体" w:eastAsia="宋体" w:cs="宋体"/>
          <w:strike w:val="0"/>
          <w:dstrike w:val="0"/>
          <w:kern w:val="2"/>
          <w:sz w:val="24"/>
          <w:szCs w:val="24"/>
          <w:highlight w:val="none"/>
          <w:lang w:val="en-US" w:eastAsia="zh-CN" w:bidi="ar-SA"/>
        </w:rPr>
        <w:t>.</w:t>
      </w:r>
      <w:r>
        <w:rPr>
          <w:rFonts w:hint="eastAsia" w:ascii="宋体" w:hAnsi="宋体" w:cs="宋体"/>
          <w:strike w:val="0"/>
          <w:dstrike w:val="0"/>
          <w:kern w:val="2"/>
          <w:sz w:val="24"/>
          <w:szCs w:val="24"/>
          <w:highlight w:val="none"/>
          <w:lang w:val="en-US" w:eastAsia="zh-CN" w:bidi="ar-SA"/>
        </w:rPr>
        <w:t>13</w:t>
      </w:r>
      <w:r>
        <w:rPr>
          <w:rFonts w:hint="eastAsia" w:ascii="宋体" w:hAnsi="宋体" w:eastAsia="宋体" w:cs="宋体"/>
          <w:strike w:val="0"/>
          <w:dstrike w:val="0"/>
          <w:kern w:val="2"/>
          <w:sz w:val="24"/>
          <w:szCs w:val="24"/>
          <w:highlight w:val="none"/>
          <w:lang w:val="en-US" w:eastAsia="zh-CN" w:bidi="ar-SA"/>
        </w:rPr>
        <w:t>条</w:t>
      </w:r>
      <w:r>
        <w:rPr>
          <w:rFonts w:hint="eastAsia" w:ascii="宋体" w:hAnsi="宋体" w:cs="宋体"/>
          <w:strike w:val="0"/>
          <w:dstrike w:val="0"/>
          <w:kern w:val="2"/>
          <w:sz w:val="24"/>
          <w:szCs w:val="24"/>
          <w:highlight w:val="none"/>
          <w:lang w:val="en-US" w:eastAsia="zh-CN" w:bidi="ar-SA"/>
        </w:rPr>
        <w:t>的</w:t>
      </w:r>
      <w:r>
        <w:rPr>
          <w:rFonts w:hint="eastAsia" w:ascii="宋体" w:hAnsi="宋体" w:eastAsia="宋体" w:cs="宋体"/>
          <w:strike w:val="0"/>
          <w:dstrike w:val="0"/>
          <w:kern w:val="2"/>
          <w:sz w:val="24"/>
          <w:szCs w:val="24"/>
          <w:highlight w:val="none"/>
          <w:lang w:val="en-US" w:eastAsia="zh-CN" w:bidi="ar-SA"/>
        </w:rPr>
        <w:t>规定取值</w:t>
      </w:r>
      <w:r>
        <w:rPr>
          <w:rFonts w:hint="eastAsia" w:ascii="宋体" w:hAnsi="宋体" w:cs="宋体"/>
          <w:strike w:val="0"/>
          <w:dstrike w:val="0"/>
          <w:kern w:val="2"/>
          <w:sz w:val="24"/>
          <w:szCs w:val="24"/>
          <w:highlight w:val="none"/>
          <w:lang w:val="en-US" w:eastAsia="zh-CN" w:bidi="ar-SA"/>
        </w:rPr>
        <w:t>；</w:t>
      </w:r>
    </w:p>
    <w:p w14:paraId="79EC76F2">
      <w:pPr>
        <w:pStyle w:val="63"/>
        <w:spacing w:before="0" w:after="0" w:line="360" w:lineRule="auto"/>
        <w:ind w:left="1438" w:leftChars="342" w:hanging="720" w:hangingChars="300"/>
        <w:jc w:val="both"/>
        <w:rPr>
          <w:rFonts w:cs="Times New Roman"/>
          <w:bCs/>
        </w:rPr>
      </w:pPr>
      <m:oMath>
        <m:sSub>
          <m:sSubPr>
            <m:ctrlPr>
              <w:rPr>
                <w:rFonts w:ascii="Cambria Math" w:hAnsi="Cambria Math" w:cs="Times New Roman"/>
                <w:bCs/>
                <w:sz w:val="24"/>
                <w:szCs w:val="32"/>
              </w:rPr>
            </m:ctrlPr>
          </m:sSubPr>
          <m:e>
            <m:r>
              <m:rPr>
                <m:sty m:val="p"/>
              </m:rPr>
              <w:rPr>
                <w:rFonts w:ascii="Cambria Math" w:hAnsi="Cambria Math" w:cs="Times New Roman"/>
                <w:sz w:val="24"/>
                <w:szCs w:val="32"/>
              </w:rPr>
              <m:t>γ</m:t>
            </m:r>
            <m:ctrlPr>
              <w:rPr>
                <w:rFonts w:ascii="Cambria Math" w:hAnsi="Cambria Math" w:cs="Times New Roman"/>
                <w:bCs/>
                <w:sz w:val="24"/>
                <w:szCs w:val="32"/>
              </w:rPr>
            </m:ctrlPr>
          </m:e>
          <m:sub>
            <m:r>
              <m:rPr>
                <m:sty m:val="p"/>
              </m:rPr>
              <w:rPr>
                <w:rFonts w:ascii="Cambria Math" w:hAnsi="Cambria Math" w:cs="Times New Roman"/>
                <w:sz w:val="24"/>
                <w:szCs w:val="32"/>
              </w:rPr>
              <m:t>W</m:t>
            </m:r>
            <m:ctrlPr>
              <w:rPr>
                <w:rFonts w:ascii="Cambria Math" w:hAnsi="Cambria Math" w:cs="Times New Roman"/>
                <w:bCs/>
                <w:sz w:val="24"/>
                <w:szCs w:val="32"/>
              </w:rPr>
            </m:ctrlPr>
          </m:sub>
        </m:sSub>
      </m:oMath>
      <w:r>
        <w:rPr>
          <w:rFonts w:cs="Times New Roman"/>
          <w:bCs/>
        </w:rPr>
        <w:t>——</w:t>
      </w:r>
      <w:r>
        <w:rPr>
          <w:rFonts w:hint="eastAsia" w:ascii="宋体" w:hAnsi="宋体" w:eastAsia="宋体" w:cs="宋体"/>
          <w:strike w:val="0"/>
          <w:dstrike w:val="0"/>
          <w:kern w:val="2"/>
          <w:sz w:val="24"/>
          <w:szCs w:val="24"/>
          <w:highlight w:val="none"/>
          <w:lang w:val="en-US" w:eastAsia="zh-CN" w:bidi="ar-SA"/>
        </w:rPr>
        <w:t>风荷载分项系数，在持久设计工况下取1.5，在地震设计工况下取</w:t>
      </w:r>
      <w:r>
        <w:rPr>
          <w:rFonts w:hint="eastAsia" w:ascii="宋体" w:hAnsi="宋体" w:cs="宋体"/>
          <w:strike w:val="0"/>
          <w:dstrike w:val="0"/>
          <w:kern w:val="2"/>
          <w:sz w:val="24"/>
          <w:szCs w:val="24"/>
          <w:highlight w:val="none"/>
          <w:lang w:val="en-US" w:eastAsia="zh-CN" w:bidi="ar-SA"/>
        </w:rPr>
        <w:t>1</w:t>
      </w:r>
      <w:r>
        <w:rPr>
          <w:rFonts w:hint="eastAsia" w:ascii="宋体" w:hAnsi="宋体" w:eastAsia="宋体" w:cs="宋体"/>
          <w:strike w:val="0"/>
          <w:dstrike w:val="0"/>
          <w:kern w:val="2"/>
          <w:sz w:val="24"/>
          <w:szCs w:val="24"/>
          <w:highlight w:val="none"/>
          <w:lang w:val="en-US" w:eastAsia="zh-CN" w:bidi="ar-SA"/>
        </w:rPr>
        <w:t>.4</w:t>
      </w:r>
      <w:r>
        <w:rPr>
          <w:rFonts w:hint="eastAsia" w:ascii="宋体" w:hAnsi="宋体" w:cs="宋体"/>
          <w:strike w:val="0"/>
          <w:dstrike w:val="0"/>
          <w:kern w:val="2"/>
          <w:sz w:val="24"/>
          <w:szCs w:val="24"/>
          <w:highlight w:val="none"/>
          <w:lang w:val="en-US" w:eastAsia="zh-CN" w:bidi="ar-SA"/>
        </w:rPr>
        <w:t>；</w:t>
      </w:r>
    </w:p>
    <w:p w14:paraId="2B69803C">
      <w:pPr>
        <w:pStyle w:val="63"/>
        <w:spacing w:before="0" w:after="0" w:line="360" w:lineRule="auto"/>
        <w:ind w:firstLine="247" w:firstLineChars="118"/>
        <w:jc w:val="both"/>
        <w:rPr>
          <w:rFonts w:cs="Times New Roman"/>
          <w:bCs/>
        </w:rPr>
      </w:pPr>
      <w:r>
        <w:rPr>
          <w:rFonts w:cs="Times New Roman"/>
          <w:bCs/>
        </w:rPr>
        <w:t xml:space="preserve">   </w:t>
      </w:r>
      <w:r>
        <w:rPr>
          <w:rFonts w:hint="eastAsia" w:cs="Times New Roman"/>
          <w:bCs/>
          <w:lang w:val="en-US" w:eastAsia="zh-CN"/>
        </w:rPr>
        <w:t xml:space="preserve">  </w:t>
      </w:r>
      <m:oMath>
        <m:sSub>
          <m:sSubPr>
            <m:ctrlPr>
              <w:rPr>
                <w:rFonts w:ascii="Cambria Math" w:hAnsi="Cambria Math" w:cs="Times New Roman"/>
                <w:bCs/>
                <w:sz w:val="24"/>
                <w:szCs w:val="32"/>
              </w:rPr>
            </m:ctrlPr>
          </m:sSubPr>
          <m:e>
            <m:r>
              <m:rPr>
                <m:sty m:val="p"/>
              </m:rPr>
              <w:rPr>
                <w:rFonts w:ascii="Cambria Math" w:hAnsi="Cambria Math" w:cs="Times New Roman"/>
                <w:sz w:val="24"/>
                <w:szCs w:val="32"/>
              </w:rPr>
              <m:t>ψ</m:t>
            </m:r>
            <m:ctrlPr>
              <w:rPr>
                <w:rFonts w:ascii="Cambria Math" w:hAnsi="Cambria Math" w:cs="Times New Roman"/>
                <w:bCs/>
                <w:sz w:val="24"/>
                <w:szCs w:val="32"/>
              </w:rPr>
            </m:ctrlPr>
          </m:e>
          <m:sub>
            <m:r>
              <m:rPr>
                <m:sty m:val="p"/>
              </m:rPr>
              <w:rPr>
                <w:rFonts w:ascii="Cambria Math" w:hAnsi="Cambria Math" w:cs="Times New Roman"/>
                <w:sz w:val="24"/>
                <w:szCs w:val="32"/>
              </w:rPr>
              <m:t>W</m:t>
            </m:r>
            <m:ctrlPr>
              <w:rPr>
                <w:rFonts w:ascii="Cambria Math" w:hAnsi="Cambria Math" w:cs="Times New Roman"/>
                <w:bCs/>
                <w:sz w:val="24"/>
                <w:szCs w:val="32"/>
              </w:rPr>
            </m:ctrlPr>
          </m:sub>
        </m:sSub>
      </m:oMath>
      <w:r>
        <w:rPr>
          <w:rFonts w:cs="Times New Roman"/>
          <w:bCs/>
        </w:rPr>
        <w:t>——</w:t>
      </w:r>
      <w:r>
        <w:rPr>
          <w:rFonts w:hint="eastAsia" w:ascii="宋体" w:hAnsi="宋体" w:eastAsia="宋体" w:cs="宋体"/>
          <w:strike w:val="0"/>
          <w:dstrike w:val="0"/>
          <w:kern w:val="2"/>
          <w:sz w:val="24"/>
          <w:szCs w:val="24"/>
          <w:highlight w:val="none"/>
          <w:lang w:val="en-US" w:eastAsia="zh-CN" w:bidi="ar-SA"/>
        </w:rPr>
        <w:t>风荷载组合系数，地震设计状况下取0.2</w:t>
      </w:r>
      <w:r>
        <w:rPr>
          <w:rFonts w:hint="eastAsia" w:ascii="宋体" w:hAnsi="宋体" w:cs="宋体"/>
          <w:strike w:val="0"/>
          <w:dstrike w:val="0"/>
          <w:kern w:val="2"/>
          <w:sz w:val="24"/>
          <w:szCs w:val="24"/>
          <w:highlight w:val="none"/>
          <w:lang w:val="en-US" w:eastAsia="zh-CN" w:bidi="ar-SA"/>
        </w:rPr>
        <w:t>；</w:t>
      </w:r>
    </w:p>
    <w:p w14:paraId="01A9191B">
      <w:pPr>
        <w:pStyle w:val="63"/>
        <w:spacing w:before="0" w:after="0" w:line="360" w:lineRule="auto"/>
        <w:ind w:firstLine="960" w:firstLineChars="400"/>
        <w:jc w:val="both"/>
        <w:rPr>
          <w:rFonts w:hint="eastAsia" w:ascii="宋体" w:hAnsi="宋体" w:eastAsia="宋体" w:cs="宋体"/>
          <w:strike w:val="0"/>
          <w:dstrike w:val="0"/>
          <w:kern w:val="2"/>
          <w:sz w:val="24"/>
          <w:szCs w:val="24"/>
          <w:highlight w:val="none"/>
          <w:lang w:val="en-US" w:eastAsia="zh-CN" w:bidi="ar-SA"/>
        </w:rPr>
      </w:pPr>
      <w:r>
        <w:rPr>
          <w:rFonts w:cs="Times New Roman"/>
          <w:bCs/>
          <w:i/>
          <w:iCs/>
          <w:sz w:val="24"/>
          <w:szCs w:val="32"/>
        </w:rPr>
        <w:t>γ</w:t>
      </w:r>
      <w:r>
        <w:rPr>
          <w:rFonts w:cs="Times New Roman"/>
          <w:bCs/>
          <w:sz w:val="24"/>
          <w:szCs w:val="32"/>
          <w:vertAlign w:val="subscript"/>
        </w:rPr>
        <w:t>Eh</w:t>
      </w:r>
      <w:r>
        <w:rPr>
          <w:rFonts w:cs="Times New Roman"/>
          <w:bCs/>
        </w:rPr>
        <w:t>——</w:t>
      </w:r>
      <w:r>
        <w:rPr>
          <w:rFonts w:hint="eastAsia" w:ascii="宋体" w:hAnsi="宋体" w:eastAsia="宋体" w:cs="宋体"/>
          <w:strike w:val="0"/>
          <w:dstrike w:val="0"/>
          <w:kern w:val="2"/>
          <w:sz w:val="24"/>
          <w:szCs w:val="24"/>
          <w:highlight w:val="none"/>
          <w:lang w:val="en-US" w:eastAsia="zh-CN" w:bidi="ar-SA"/>
        </w:rPr>
        <w:t>水平地震作用分项系数，按表5.</w:t>
      </w:r>
      <w:r>
        <w:rPr>
          <w:rFonts w:hint="eastAsia" w:ascii="宋体" w:hAnsi="宋体" w:cs="宋体"/>
          <w:strike w:val="0"/>
          <w:dstrike w:val="0"/>
          <w:kern w:val="2"/>
          <w:sz w:val="24"/>
          <w:szCs w:val="24"/>
          <w:highlight w:val="none"/>
          <w:lang w:val="en-US" w:eastAsia="zh-CN" w:bidi="ar-SA"/>
        </w:rPr>
        <w:t>3</w:t>
      </w:r>
      <w:r>
        <w:rPr>
          <w:rFonts w:hint="eastAsia" w:ascii="宋体" w:hAnsi="宋体" w:eastAsia="宋体" w:cs="宋体"/>
          <w:strike w:val="0"/>
          <w:dstrike w:val="0"/>
          <w:kern w:val="2"/>
          <w:sz w:val="24"/>
          <w:szCs w:val="24"/>
          <w:highlight w:val="none"/>
          <w:lang w:val="en-US" w:eastAsia="zh-CN" w:bidi="ar-SA"/>
        </w:rPr>
        <w:t>.</w:t>
      </w:r>
      <w:r>
        <w:rPr>
          <w:rFonts w:hint="eastAsia" w:ascii="宋体" w:hAnsi="宋体" w:cs="宋体"/>
          <w:strike w:val="0"/>
          <w:dstrike w:val="0"/>
          <w:kern w:val="2"/>
          <w:sz w:val="24"/>
          <w:szCs w:val="24"/>
          <w:highlight w:val="none"/>
          <w:lang w:val="en-US" w:eastAsia="zh-CN" w:bidi="ar-SA"/>
        </w:rPr>
        <w:t>12的规定</w:t>
      </w:r>
      <w:r>
        <w:rPr>
          <w:rFonts w:hint="eastAsia" w:ascii="宋体" w:hAnsi="宋体" w:eastAsia="宋体" w:cs="宋体"/>
          <w:strike w:val="0"/>
          <w:dstrike w:val="0"/>
          <w:kern w:val="2"/>
          <w:sz w:val="24"/>
          <w:szCs w:val="24"/>
          <w:highlight w:val="none"/>
          <w:lang w:val="en-US" w:eastAsia="zh-CN" w:bidi="ar-SA"/>
        </w:rPr>
        <w:t>取值</w:t>
      </w:r>
      <w:r>
        <w:rPr>
          <w:rFonts w:hint="eastAsia" w:ascii="宋体" w:hAnsi="宋体" w:cs="宋体"/>
          <w:strike w:val="0"/>
          <w:dstrike w:val="0"/>
          <w:kern w:val="2"/>
          <w:sz w:val="24"/>
          <w:szCs w:val="24"/>
          <w:highlight w:val="none"/>
          <w:lang w:val="en-US" w:eastAsia="zh-CN" w:bidi="ar-SA"/>
        </w:rPr>
        <w:t>；</w:t>
      </w:r>
    </w:p>
    <w:p w14:paraId="314779D8">
      <w:pPr>
        <w:pStyle w:val="63"/>
        <w:spacing w:before="0" w:after="0" w:line="360" w:lineRule="auto"/>
        <w:ind w:left="1918" w:leftChars="456" w:hanging="960" w:hangingChars="400"/>
        <w:jc w:val="both"/>
        <w:rPr>
          <w:rFonts w:cs="Times New Roman"/>
          <w:bCs/>
        </w:rPr>
      </w:pPr>
      <w:r>
        <w:rPr>
          <w:rFonts w:cs="Times New Roman"/>
          <w:bCs/>
          <w:i/>
          <w:iCs/>
          <w:sz w:val="24"/>
          <w:szCs w:val="32"/>
        </w:rPr>
        <w:t>γ</w:t>
      </w:r>
      <w:r>
        <w:rPr>
          <w:rFonts w:cs="Times New Roman"/>
          <w:bCs/>
          <w:sz w:val="24"/>
          <w:szCs w:val="32"/>
          <w:vertAlign w:val="subscript"/>
        </w:rPr>
        <w:t>Ev</w:t>
      </w:r>
      <w:r>
        <w:rPr>
          <w:rFonts w:cs="Times New Roman"/>
          <w:bCs/>
        </w:rPr>
        <w:t>——</w:t>
      </w:r>
      <w:r>
        <w:rPr>
          <w:rFonts w:hint="eastAsia" w:ascii="宋体" w:hAnsi="宋体" w:eastAsia="宋体" w:cs="宋体"/>
          <w:strike w:val="0"/>
          <w:dstrike w:val="0"/>
          <w:kern w:val="2"/>
          <w:sz w:val="24"/>
          <w:szCs w:val="24"/>
          <w:highlight w:val="none"/>
          <w:lang w:val="en-US" w:eastAsia="zh-CN" w:bidi="ar-SA"/>
        </w:rPr>
        <w:t>竖向地震作用分项系数，按表5.</w:t>
      </w:r>
      <w:r>
        <w:rPr>
          <w:rFonts w:hint="eastAsia" w:ascii="宋体" w:hAnsi="宋体" w:cs="宋体"/>
          <w:strike w:val="0"/>
          <w:dstrike w:val="0"/>
          <w:kern w:val="2"/>
          <w:sz w:val="24"/>
          <w:szCs w:val="24"/>
          <w:highlight w:val="none"/>
          <w:lang w:val="en-US" w:eastAsia="zh-CN" w:bidi="ar-SA"/>
        </w:rPr>
        <w:t>3</w:t>
      </w:r>
      <w:r>
        <w:rPr>
          <w:rFonts w:hint="eastAsia" w:ascii="宋体" w:hAnsi="宋体" w:eastAsia="宋体" w:cs="宋体"/>
          <w:strike w:val="0"/>
          <w:dstrike w:val="0"/>
          <w:kern w:val="2"/>
          <w:sz w:val="24"/>
          <w:szCs w:val="24"/>
          <w:highlight w:val="none"/>
          <w:lang w:val="en-US" w:eastAsia="zh-CN" w:bidi="ar-SA"/>
        </w:rPr>
        <w:t>.</w:t>
      </w:r>
      <w:r>
        <w:rPr>
          <w:rFonts w:hint="eastAsia" w:ascii="宋体" w:hAnsi="宋体" w:cs="宋体"/>
          <w:strike w:val="0"/>
          <w:dstrike w:val="0"/>
          <w:kern w:val="2"/>
          <w:sz w:val="24"/>
          <w:szCs w:val="24"/>
          <w:highlight w:val="none"/>
          <w:lang w:val="en-US" w:eastAsia="zh-CN" w:bidi="ar-SA"/>
        </w:rPr>
        <w:t>12的规定</w:t>
      </w:r>
      <w:r>
        <w:rPr>
          <w:rFonts w:hint="eastAsia" w:ascii="宋体" w:hAnsi="宋体" w:eastAsia="宋体" w:cs="宋体"/>
          <w:strike w:val="0"/>
          <w:dstrike w:val="0"/>
          <w:kern w:val="2"/>
          <w:sz w:val="24"/>
          <w:szCs w:val="24"/>
          <w:highlight w:val="none"/>
          <w:lang w:val="en-US" w:eastAsia="zh-CN" w:bidi="ar-SA"/>
        </w:rPr>
        <w:t>取值。</w:t>
      </w:r>
    </w:p>
    <w:p w14:paraId="1B9AC63F">
      <w:pPr>
        <w:pStyle w:val="61"/>
        <w:spacing w:before="156"/>
        <w:rPr>
          <w:b/>
          <w:bCs/>
          <w:sz w:val="21"/>
          <w:szCs w:val="21"/>
        </w:rPr>
      </w:pPr>
      <w:r>
        <w:rPr>
          <w:b/>
          <w:bCs/>
          <w:sz w:val="21"/>
          <w:szCs w:val="21"/>
        </w:rPr>
        <w:t>表</w:t>
      </w:r>
      <w:r>
        <w:rPr>
          <w:rFonts w:hint="eastAsia"/>
          <w:b/>
          <w:bCs/>
          <w:sz w:val="21"/>
          <w:szCs w:val="21"/>
          <w:lang w:val="en-US" w:eastAsia="zh-CN"/>
        </w:rPr>
        <w:t>5.3</w:t>
      </w:r>
      <w:r>
        <w:rPr>
          <w:b/>
          <w:bCs/>
          <w:sz w:val="21"/>
          <w:szCs w:val="21"/>
        </w:rPr>
        <w:t>.</w:t>
      </w:r>
      <w:r>
        <w:rPr>
          <w:rFonts w:hint="eastAsia"/>
          <w:b/>
          <w:bCs/>
          <w:sz w:val="21"/>
          <w:szCs w:val="21"/>
          <w:lang w:val="en-US" w:eastAsia="zh-CN"/>
        </w:rPr>
        <w:t>12</w:t>
      </w:r>
      <w:r>
        <w:rPr>
          <w:b/>
          <w:bCs/>
          <w:sz w:val="21"/>
          <w:szCs w:val="21"/>
        </w:rPr>
        <w:t xml:space="preserve"> 地震作用分项系数</w:t>
      </w:r>
    </w:p>
    <w:tbl>
      <w:tblPr>
        <w:tblStyle w:val="62"/>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5383"/>
        <w:gridCol w:w="1384"/>
        <w:gridCol w:w="1752"/>
      </w:tblGrid>
      <w:tr w14:paraId="7738ED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159" w:type="pct"/>
            <w:tcBorders>
              <w:bottom w:val="single" w:color="auto" w:sz="12" w:space="0"/>
            </w:tcBorders>
          </w:tcPr>
          <w:p w14:paraId="70E4FD6B">
            <w:pPr>
              <w:pStyle w:val="60"/>
              <w:rPr>
                <w:sz w:val="21"/>
                <w:szCs w:val="21"/>
              </w:rPr>
            </w:pPr>
            <w:r>
              <w:rPr>
                <w:sz w:val="21"/>
                <w:szCs w:val="21"/>
              </w:rPr>
              <w:t>地震作用</w:t>
            </w:r>
          </w:p>
        </w:tc>
        <w:tc>
          <w:tcPr>
            <w:tcW w:w="812" w:type="pct"/>
            <w:tcBorders>
              <w:bottom w:val="single" w:color="auto" w:sz="12" w:space="0"/>
            </w:tcBorders>
          </w:tcPr>
          <w:p w14:paraId="056F57CC">
            <w:pPr>
              <w:pStyle w:val="60"/>
              <w:rPr>
                <w:sz w:val="21"/>
                <w:szCs w:val="21"/>
              </w:rPr>
            </w:pPr>
            <m:oMathPara>
              <m:oMath>
                <m:sSub>
                  <m:sSubPr>
                    <m:ctrlPr>
                      <w:rPr>
                        <w:rFonts w:ascii="Cambria Math" w:hAnsi="Cambria Math"/>
                        <w:sz w:val="21"/>
                        <w:szCs w:val="21"/>
                      </w:rPr>
                    </m:ctrlPr>
                  </m:sSubPr>
                  <m:e>
                    <m:r>
                      <m:rPr>
                        <m:sty m:val="p"/>
                      </m:rPr>
                      <w:rPr>
                        <w:rFonts w:ascii="Cambria Math" w:hAnsi="Cambria Math"/>
                        <w:sz w:val="21"/>
                        <w:szCs w:val="21"/>
                      </w:rPr>
                      <m:t>γ</m:t>
                    </m:r>
                    <m:ctrlPr>
                      <w:rPr>
                        <w:rFonts w:ascii="Cambria Math" w:hAnsi="Cambria Math"/>
                        <w:sz w:val="21"/>
                        <w:szCs w:val="21"/>
                      </w:rPr>
                    </m:ctrlPr>
                  </m:e>
                  <m:sub>
                    <m:r>
                      <m:rPr>
                        <m:sty m:val="p"/>
                      </m:rPr>
                      <w:rPr>
                        <w:rFonts w:ascii="Cambria Math" w:hAnsi="Cambria Math"/>
                        <w:sz w:val="21"/>
                        <w:szCs w:val="21"/>
                      </w:rPr>
                      <m:t>Eh</m:t>
                    </m:r>
                    <m:ctrlPr>
                      <w:rPr>
                        <w:rFonts w:ascii="Cambria Math" w:hAnsi="Cambria Math"/>
                        <w:sz w:val="21"/>
                        <w:szCs w:val="21"/>
                      </w:rPr>
                    </m:ctrlPr>
                  </m:sub>
                </m:sSub>
              </m:oMath>
            </m:oMathPara>
          </w:p>
        </w:tc>
        <w:tc>
          <w:tcPr>
            <w:tcW w:w="1028" w:type="pct"/>
            <w:tcBorders>
              <w:bottom w:val="single" w:color="auto" w:sz="12" w:space="0"/>
            </w:tcBorders>
          </w:tcPr>
          <w:p w14:paraId="2A05B951">
            <w:pPr>
              <w:pStyle w:val="60"/>
              <w:rPr>
                <w:sz w:val="21"/>
                <w:szCs w:val="21"/>
              </w:rPr>
            </w:pPr>
            <m:oMathPara>
              <m:oMath>
                <m:sSub>
                  <m:sSubPr>
                    <m:ctrlPr>
                      <w:rPr>
                        <w:rFonts w:ascii="Cambria Math" w:hAnsi="Cambria Math"/>
                        <w:sz w:val="21"/>
                        <w:szCs w:val="21"/>
                      </w:rPr>
                    </m:ctrlPr>
                  </m:sSubPr>
                  <m:e>
                    <m:r>
                      <m:rPr>
                        <m:sty m:val="p"/>
                      </m:rPr>
                      <w:rPr>
                        <w:rFonts w:ascii="Cambria Math" w:hAnsi="Cambria Math"/>
                        <w:sz w:val="21"/>
                        <w:szCs w:val="21"/>
                      </w:rPr>
                      <m:t>γ</m:t>
                    </m:r>
                    <m:ctrlPr>
                      <w:rPr>
                        <w:rFonts w:ascii="Cambria Math" w:hAnsi="Cambria Math"/>
                        <w:sz w:val="21"/>
                        <w:szCs w:val="21"/>
                      </w:rPr>
                    </m:ctrlPr>
                  </m:e>
                  <m:sub>
                    <m:r>
                      <m:rPr>
                        <m:sty m:val="p"/>
                      </m:rPr>
                      <w:rPr>
                        <w:rFonts w:ascii="Cambria Math" w:hAnsi="Cambria Math"/>
                        <w:sz w:val="21"/>
                        <w:szCs w:val="21"/>
                      </w:rPr>
                      <m:t>Ev</m:t>
                    </m:r>
                    <m:ctrlPr>
                      <w:rPr>
                        <w:rFonts w:ascii="Cambria Math" w:hAnsi="Cambria Math"/>
                        <w:sz w:val="21"/>
                        <w:szCs w:val="21"/>
                      </w:rPr>
                    </m:ctrlPr>
                  </m:sub>
                </m:sSub>
              </m:oMath>
            </m:oMathPara>
          </w:p>
        </w:tc>
      </w:tr>
      <w:tr w14:paraId="0EBAC6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159" w:type="pct"/>
            <w:tcBorders>
              <w:top w:val="single" w:color="auto" w:sz="12" w:space="0"/>
            </w:tcBorders>
          </w:tcPr>
          <w:p w14:paraId="564D2542">
            <w:pPr>
              <w:pStyle w:val="60"/>
              <w:rPr>
                <w:sz w:val="21"/>
                <w:szCs w:val="21"/>
              </w:rPr>
            </w:pPr>
            <w:r>
              <w:rPr>
                <w:sz w:val="21"/>
                <w:szCs w:val="21"/>
              </w:rPr>
              <w:t>仅计算水平地震作用</w:t>
            </w:r>
          </w:p>
        </w:tc>
        <w:tc>
          <w:tcPr>
            <w:tcW w:w="812" w:type="pct"/>
            <w:tcBorders>
              <w:top w:val="single" w:color="auto" w:sz="12" w:space="0"/>
            </w:tcBorders>
          </w:tcPr>
          <w:p w14:paraId="5730297C">
            <w:pPr>
              <w:pStyle w:val="60"/>
              <w:rPr>
                <w:rFonts w:hint="eastAsia" w:eastAsia="宋体"/>
                <w:sz w:val="21"/>
                <w:szCs w:val="21"/>
                <w:lang w:eastAsia="zh-CN"/>
              </w:rPr>
            </w:pPr>
            <w:r>
              <w:rPr>
                <w:sz w:val="21"/>
                <w:szCs w:val="21"/>
              </w:rPr>
              <w:t>1.</w:t>
            </w:r>
            <w:r>
              <w:rPr>
                <w:rFonts w:hint="eastAsia"/>
                <w:sz w:val="21"/>
                <w:szCs w:val="21"/>
                <w:lang w:val="en-US" w:eastAsia="zh-CN"/>
              </w:rPr>
              <w:t>4</w:t>
            </w:r>
          </w:p>
        </w:tc>
        <w:tc>
          <w:tcPr>
            <w:tcW w:w="1028" w:type="pct"/>
            <w:tcBorders>
              <w:top w:val="single" w:color="auto" w:sz="12" w:space="0"/>
            </w:tcBorders>
          </w:tcPr>
          <w:p w14:paraId="45BF78C9">
            <w:pPr>
              <w:pStyle w:val="60"/>
              <w:rPr>
                <w:sz w:val="21"/>
                <w:szCs w:val="21"/>
              </w:rPr>
            </w:pPr>
            <w:r>
              <w:rPr>
                <w:sz w:val="21"/>
                <w:szCs w:val="21"/>
              </w:rPr>
              <w:t>0.0</w:t>
            </w:r>
          </w:p>
        </w:tc>
      </w:tr>
      <w:tr w14:paraId="1A4838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159" w:type="pct"/>
          </w:tcPr>
          <w:p w14:paraId="25356FB4">
            <w:pPr>
              <w:pStyle w:val="60"/>
              <w:rPr>
                <w:sz w:val="21"/>
                <w:szCs w:val="21"/>
              </w:rPr>
            </w:pPr>
            <w:r>
              <w:rPr>
                <w:sz w:val="21"/>
                <w:szCs w:val="21"/>
              </w:rPr>
              <w:t>仅计算竖向地震作用</w:t>
            </w:r>
          </w:p>
        </w:tc>
        <w:tc>
          <w:tcPr>
            <w:tcW w:w="812" w:type="pct"/>
          </w:tcPr>
          <w:p w14:paraId="29381934">
            <w:pPr>
              <w:pStyle w:val="60"/>
              <w:rPr>
                <w:sz w:val="21"/>
                <w:szCs w:val="21"/>
              </w:rPr>
            </w:pPr>
            <w:r>
              <w:rPr>
                <w:sz w:val="21"/>
                <w:szCs w:val="21"/>
              </w:rPr>
              <w:t>0.0</w:t>
            </w:r>
          </w:p>
        </w:tc>
        <w:tc>
          <w:tcPr>
            <w:tcW w:w="1028" w:type="pct"/>
          </w:tcPr>
          <w:p w14:paraId="6B8B6598">
            <w:pPr>
              <w:pStyle w:val="60"/>
              <w:rPr>
                <w:rFonts w:hint="eastAsia" w:eastAsia="宋体"/>
                <w:sz w:val="21"/>
                <w:szCs w:val="21"/>
                <w:lang w:eastAsia="zh-CN"/>
              </w:rPr>
            </w:pPr>
            <w:r>
              <w:rPr>
                <w:sz w:val="21"/>
                <w:szCs w:val="21"/>
              </w:rPr>
              <w:t>1.</w:t>
            </w:r>
            <w:r>
              <w:rPr>
                <w:rFonts w:hint="eastAsia"/>
                <w:sz w:val="21"/>
                <w:szCs w:val="21"/>
                <w:lang w:val="en-US" w:eastAsia="zh-CN"/>
              </w:rPr>
              <w:t>4</w:t>
            </w:r>
          </w:p>
        </w:tc>
      </w:tr>
      <w:tr w14:paraId="015A1D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159" w:type="pct"/>
          </w:tcPr>
          <w:p w14:paraId="41E0B647">
            <w:pPr>
              <w:pStyle w:val="60"/>
              <w:rPr>
                <w:sz w:val="21"/>
                <w:szCs w:val="21"/>
              </w:rPr>
            </w:pPr>
            <w:r>
              <w:rPr>
                <w:sz w:val="21"/>
                <w:szCs w:val="21"/>
              </w:rPr>
              <w:t>同时计算水平与竖向地震作用（水平地震为主）</w:t>
            </w:r>
          </w:p>
        </w:tc>
        <w:tc>
          <w:tcPr>
            <w:tcW w:w="812" w:type="pct"/>
          </w:tcPr>
          <w:p w14:paraId="7F7C163E">
            <w:pPr>
              <w:pStyle w:val="60"/>
              <w:rPr>
                <w:rFonts w:hint="eastAsia" w:eastAsia="宋体"/>
                <w:sz w:val="21"/>
                <w:szCs w:val="21"/>
                <w:lang w:eastAsia="zh-CN"/>
              </w:rPr>
            </w:pPr>
            <w:r>
              <w:rPr>
                <w:sz w:val="21"/>
                <w:szCs w:val="21"/>
              </w:rPr>
              <w:t>1.</w:t>
            </w:r>
            <w:r>
              <w:rPr>
                <w:rFonts w:hint="eastAsia"/>
                <w:sz w:val="21"/>
                <w:szCs w:val="21"/>
                <w:lang w:val="en-US" w:eastAsia="zh-CN"/>
              </w:rPr>
              <w:t>4</w:t>
            </w:r>
          </w:p>
        </w:tc>
        <w:tc>
          <w:tcPr>
            <w:tcW w:w="1028" w:type="pct"/>
          </w:tcPr>
          <w:p w14:paraId="2C74305E">
            <w:pPr>
              <w:pStyle w:val="60"/>
              <w:rPr>
                <w:sz w:val="21"/>
                <w:szCs w:val="21"/>
              </w:rPr>
            </w:pPr>
            <w:r>
              <w:rPr>
                <w:sz w:val="21"/>
                <w:szCs w:val="21"/>
              </w:rPr>
              <w:t>0.5</w:t>
            </w:r>
          </w:p>
        </w:tc>
      </w:tr>
      <w:tr w14:paraId="19FE23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159" w:type="pct"/>
          </w:tcPr>
          <w:p w14:paraId="4F48DBCD">
            <w:pPr>
              <w:pStyle w:val="60"/>
              <w:rPr>
                <w:sz w:val="21"/>
                <w:szCs w:val="21"/>
              </w:rPr>
            </w:pPr>
            <w:r>
              <w:rPr>
                <w:sz w:val="21"/>
                <w:szCs w:val="21"/>
              </w:rPr>
              <w:t>同时计算水平与竖向地震作用（竖向地震为主）</w:t>
            </w:r>
          </w:p>
        </w:tc>
        <w:tc>
          <w:tcPr>
            <w:tcW w:w="812" w:type="pct"/>
          </w:tcPr>
          <w:p w14:paraId="4216CA9C">
            <w:pPr>
              <w:pStyle w:val="60"/>
              <w:rPr>
                <w:sz w:val="21"/>
                <w:szCs w:val="21"/>
              </w:rPr>
            </w:pPr>
            <w:r>
              <w:rPr>
                <w:sz w:val="21"/>
                <w:szCs w:val="21"/>
              </w:rPr>
              <w:t>0.5</w:t>
            </w:r>
          </w:p>
        </w:tc>
        <w:tc>
          <w:tcPr>
            <w:tcW w:w="1028" w:type="pct"/>
          </w:tcPr>
          <w:p w14:paraId="1A9D99DD">
            <w:pPr>
              <w:pStyle w:val="60"/>
              <w:rPr>
                <w:rFonts w:hint="eastAsia" w:eastAsia="宋体"/>
                <w:sz w:val="21"/>
                <w:szCs w:val="21"/>
                <w:lang w:eastAsia="zh-CN"/>
              </w:rPr>
            </w:pPr>
            <w:r>
              <w:rPr>
                <w:sz w:val="21"/>
                <w:szCs w:val="21"/>
              </w:rPr>
              <w:t>1.</w:t>
            </w:r>
            <w:r>
              <w:rPr>
                <w:rFonts w:hint="eastAsia"/>
                <w:sz w:val="21"/>
                <w:szCs w:val="21"/>
                <w:lang w:val="en-US" w:eastAsia="zh-CN"/>
              </w:rPr>
              <w:t>4</w:t>
            </w:r>
          </w:p>
        </w:tc>
      </w:tr>
    </w:tbl>
    <w:p w14:paraId="01720BD0">
      <w:pPr>
        <w:rPr>
          <w:rFonts w:ascii="宋体" w:hAnsi="宋体" w:cs="宋体"/>
          <w:sz w:val="24"/>
        </w:rPr>
      </w:pPr>
    </w:p>
    <w:p w14:paraId="5D7B1E78">
      <w:pPr>
        <w:keepNext w:val="0"/>
        <w:keepLines w:val="0"/>
        <w:pageBreakBefore w:val="0"/>
        <w:kinsoku/>
        <w:wordWrap/>
        <w:overflowPunct/>
        <w:topLinePunct w:val="0"/>
        <w:autoSpaceDE/>
        <w:autoSpaceDN/>
        <w:bidi w:val="0"/>
        <w:spacing w:line="360" w:lineRule="auto"/>
        <w:textAlignment w:val="auto"/>
        <w:rPr>
          <w:color w:val="000000" w:themeColor="text1"/>
          <w:sz w:val="24"/>
          <w:szCs w:val="32"/>
          <w14:textFill>
            <w14:solidFill>
              <w14:schemeClr w14:val="tx1"/>
            </w14:solidFill>
          </w14:textFill>
        </w:rPr>
      </w:pPr>
      <w:r>
        <w:rPr>
          <w:rFonts w:hint="eastAsia"/>
          <w:b/>
          <w:bCs/>
          <w:strike w:val="0"/>
          <w:dstrike w:val="0"/>
          <w:color w:val="000000" w:themeColor="text1"/>
          <w:sz w:val="24"/>
          <w:highlight w:val="none"/>
          <w14:textFill>
            <w14:solidFill>
              <w14:schemeClr w14:val="tx1"/>
            </w14:solidFill>
          </w14:textFill>
        </w:rPr>
        <w:t>5.3.1</w:t>
      </w:r>
      <w:r>
        <w:rPr>
          <w:rFonts w:hint="eastAsia"/>
          <w:b/>
          <w:bCs/>
          <w:strike w:val="0"/>
          <w:dstrike w:val="0"/>
          <w:color w:val="000000" w:themeColor="text1"/>
          <w:sz w:val="24"/>
          <w:highlight w:val="none"/>
          <w:lang w:val="en-US" w:eastAsia="zh-CN"/>
          <w14:textFill>
            <w14:solidFill>
              <w14:schemeClr w14:val="tx1"/>
            </w14:solidFill>
          </w14:textFill>
        </w:rPr>
        <w:t xml:space="preserve">3  </w:t>
      </w:r>
      <w:r>
        <w:rPr>
          <w:color w:val="000000" w:themeColor="text1"/>
          <w:sz w:val="24"/>
          <w:szCs w:val="32"/>
          <w14:textFill>
            <w14:solidFill>
              <w14:schemeClr w14:val="tx1"/>
            </w14:solidFill>
          </w14:textFill>
        </w:rPr>
        <w:t>持久设计状况、地震设计状况下进行连接节点的承载力设计时，永久荷载分项系数</w:t>
      </w:r>
      <m:oMath>
        <m:sSub>
          <m:sSubPr>
            <m:ctrlPr>
              <w:rPr>
                <w:rFonts w:ascii="Cambria Math" w:hAnsi="Cambria Math"/>
                <w:color w:val="000000" w:themeColor="text1"/>
                <w:sz w:val="24"/>
                <w:szCs w:val="32"/>
                <w14:textFill>
                  <w14:solidFill>
                    <w14:schemeClr w14:val="tx1"/>
                  </w14:solidFill>
                </w14:textFill>
              </w:rPr>
            </m:ctrlPr>
          </m:sSubPr>
          <m:e>
            <m:r>
              <m:rPr/>
              <w:rPr>
                <w:rFonts w:ascii="Cambria Math" w:hAnsi="Cambria Math"/>
                <w:color w:val="000000" w:themeColor="text1"/>
                <w:sz w:val="24"/>
                <w:szCs w:val="32"/>
                <w14:textFill>
                  <w14:solidFill>
                    <w14:schemeClr w14:val="tx1"/>
                  </w14:solidFill>
                </w14:textFill>
              </w:rPr>
              <m:t>γ</m:t>
            </m:r>
            <m:ctrlPr>
              <w:rPr>
                <w:rFonts w:ascii="Cambria Math" w:hAnsi="Cambria Math"/>
                <w:color w:val="000000" w:themeColor="text1"/>
                <w:sz w:val="24"/>
                <w:szCs w:val="32"/>
                <w14:textFill>
                  <w14:solidFill>
                    <w14:schemeClr w14:val="tx1"/>
                  </w14:solidFill>
                </w14:textFill>
              </w:rPr>
            </m:ctrlPr>
          </m:e>
          <m:sub>
            <m:r>
              <m:rPr/>
              <w:rPr>
                <w:rFonts w:ascii="Cambria Math" w:hAnsi="Cambria Math"/>
                <w:color w:val="000000" w:themeColor="text1"/>
                <w:sz w:val="24"/>
                <w:szCs w:val="32"/>
                <w14:textFill>
                  <w14:solidFill>
                    <w14:schemeClr w14:val="tx1"/>
                  </w14:solidFill>
                </w14:textFill>
              </w:rPr>
              <m:t>G</m:t>
            </m:r>
            <m:ctrlPr>
              <w:rPr>
                <w:rFonts w:ascii="Cambria Math" w:hAnsi="Cambria Math"/>
                <w:color w:val="000000" w:themeColor="text1"/>
                <w:sz w:val="24"/>
                <w:szCs w:val="32"/>
                <w14:textFill>
                  <w14:solidFill>
                    <w14:schemeClr w14:val="tx1"/>
                  </w14:solidFill>
                </w14:textFill>
              </w:rPr>
            </m:ctrlPr>
          </m:sub>
        </m:sSub>
      </m:oMath>
      <w:r>
        <w:rPr>
          <w:color w:val="000000" w:themeColor="text1"/>
          <w:sz w:val="24"/>
          <w:szCs w:val="32"/>
          <w14:textFill>
            <w14:solidFill>
              <w14:schemeClr w14:val="tx1"/>
            </w14:solidFill>
          </w14:textFill>
        </w:rPr>
        <w:t>应按下列规定取值</w:t>
      </w:r>
      <w:r>
        <w:rPr>
          <w:rFonts w:hint="eastAsia"/>
          <w:color w:val="000000" w:themeColor="text1"/>
          <w:sz w:val="24"/>
          <w:szCs w:val="32"/>
          <w14:textFill>
            <w14:solidFill>
              <w14:schemeClr w14:val="tx1"/>
            </w14:solidFill>
          </w14:textFill>
        </w:rPr>
        <w:t>。</w:t>
      </w:r>
    </w:p>
    <w:p w14:paraId="28F6696E">
      <w:pPr>
        <w:pStyle w:val="63"/>
        <w:keepNext w:val="0"/>
        <w:keepLines w:val="0"/>
        <w:pageBreakBefore w:val="0"/>
        <w:kinsoku/>
        <w:wordWrap/>
        <w:overflowPunct/>
        <w:topLinePunct w:val="0"/>
        <w:autoSpaceDE/>
        <w:autoSpaceDN/>
        <w:bidi w:val="0"/>
        <w:spacing w:before="0" w:after="0" w:line="360" w:lineRule="auto"/>
        <w:ind w:firstLine="482"/>
        <w:jc w:val="both"/>
        <w:textAlignment w:val="auto"/>
        <w:rPr>
          <w:rFonts w:hint="eastAsia" w:eastAsia="宋体" w:cs="Times New Roman"/>
          <w:color w:val="000000" w:themeColor="text1"/>
          <w:sz w:val="24"/>
          <w:szCs w:val="32"/>
          <w:lang w:eastAsia="zh-CN"/>
          <w14:textFill>
            <w14:solidFill>
              <w14:schemeClr w14:val="tx1"/>
            </w14:solidFill>
          </w14:textFill>
        </w:rPr>
      </w:pPr>
      <w:r>
        <w:rPr>
          <w:rFonts w:cs="Times New Roman"/>
          <w:b/>
          <w:color w:val="000000" w:themeColor="text1"/>
          <w:sz w:val="24"/>
          <w:szCs w:val="32"/>
          <w14:textFill>
            <w14:solidFill>
              <w14:schemeClr w14:val="tx1"/>
            </w14:solidFill>
          </w14:textFill>
        </w:rPr>
        <w:t>1</w:t>
      </w:r>
      <w:r>
        <w:rPr>
          <w:rFonts w:cs="Times New Roman"/>
          <w:color w:val="000000" w:themeColor="text1"/>
          <w:sz w:val="24"/>
          <w:szCs w:val="32"/>
          <w14:textFill>
            <w14:solidFill>
              <w14:schemeClr w14:val="tx1"/>
            </w14:solidFill>
          </w14:textFill>
        </w:rPr>
        <w:t xml:space="preserve"> </w:t>
      </w:r>
      <w:r>
        <w:rPr>
          <w:rFonts w:hint="eastAsia" w:cs="Times New Roman"/>
          <w:color w:val="000000" w:themeColor="text1"/>
          <w:sz w:val="24"/>
          <w:szCs w:val="32"/>
          <w:lang w:eastAsia="zh-CN"/>
          <w14:textFill>
            <w14:solidFill>
              <w14:schemeClr w14:val="tx1"/>
            </w14:solidFill>
          </w14:textFill>
        </w:rPr>
        <w:t>墙板</w:t>
      </w:r>
      <w:r>
        <w:rPr>
          <w:rFonts w:cs="Times New Roman"/>
          <w:color w:val="000000" w:themeColor="text1"/>
          <w:sz w:val="24"/>
          <w:szCs w:val="32"/>
          <w14:textFill>
            <w14:solidFill>
              <w14:schemeClr w14:val="tx1"/>
            </w14:solidFill>
          </w14:textFill>
        </w:rPr>
        <w:t>平面外承载力设计时，</w:t>
      </w:r>
      <m:oMath>
        <m:sSub>
          <m:sSubPr>
            <m:ctrlPr>
              <w:rPr>
                <w:rFonts w:ascii="Cambria Math" w:hAnsi="Cambria Math" w:cs="Times New Roman"/>
                <w:color w:val="000000" w:themeColor="text1"/>
                <w:sz w:val="24"/>
                <w:szCs w:val="32"/>
                <w14:textFill>
                  <w14:solidFill>
                    <w14:schemeClr w14:val="tx1"/>
                  </w14:solidFill>
                </w14:textFill>
              </w:rPr>
            </m:ctrlPr>
          </m:sSubPr>
          <m:e>
            <m:r>
              <m:rPr/>
              <w:rPr>
                <w:rFonts w:ascii="Cambria Math" w:hAnsi="Cambria Math" w:cs="Times New Roman"/>
                <w:color w:val="000000" w:themeColor="text1"/>
                <w:sz w:val="24"/>
                <w:szCs w:val="32"/>
                <w14:textFill>
                  <w14:solidFill>
                    <w14:schemeClr w14:val="tx1"/>
                  </w14:solidFill>
                </w14:textFill>
              </w:rPr>
              <m:t>γ</m:t>
            </m:r>
            <m:ctrlPr>
              <w:rPr>
                <w:rFonts w:ascii="Cambria Math" w:hAnsi="Cambria Math" w:cs="Times New Roman"/>
                <w:color w:val="000000" w:themeColor="text1"/>
                <w:sz w:val="24"/>
                <w:szCs w:val="32"/>
                <w14:textFill>
                  <w14:solidFill>
                    <w14:schemeClr w14:val="tx1"/>
                  </w14:solidFill>
                </w14:textFill>
              </w:rPr>
            </m:ctrlPr>
          </m:e>
          <m:sub>
            <m:r>
              <m:rPr/>
              <w:rPr>
                <w:rFonts w:ascii="Cambria Math" w:hAnsi="Cambria Math" w:cs="Times New Roman"/>
                <w:color w:val="000000" w:themeColor="text1"/>
                <w:sz w:val="24"/>
                <w:szCs w:val="32"/>
                <w14:textFill>
                  <w14:solidFill>
                    <w14:schemeClr w14:val="tx1"/>
                  </w14:solidFill>
                </w14:textFill>
              </w:rPr>
              <m:t>G</m:t>
            </m:r>
            <m:ctrlPr>
              <w:rPr>
                <w:rFonts w:ascii="Cambria Math" w:hAnsi="Cambria Math" w:cs="Times New Roman"/>
                <w:color w:val="000000" w:themeColor="text1"/>
                <w:sz w:val="24"/>
                <w:szCs w:val="32"/>
                <w14:textFill>
                  <w14:solidFill>
                    <w14:schemeClr w14:val="tx1"/>
                  </w14:solidFill>
                </w14:textFill>
              </w:rPr>
            </m:ctrlPr>
          </m:sub>
        </m:sSub>
      </m:oMath>
      <w:r>
        <w:rPr>
          <w:rFonts w:cs="Times New Roman"/>
          <w:color w:val="000000" w:themeColor="text1"/>
          <w:sz w:val="24"/>
          <w:szCs w:val="32"/>
          <w14:textFill>
            <w14:solidFill>
              <w14:schemeClr w14:val="tx1"/>
            </w14:solidFill>
          </w14:textFill>
        </w:rPr>
        <w:t>取0；平面内承载力设计时，持久设计状况下</w:t>
      </w:r>
      <m:oMath>
        <m:sSub>
          <m:sSubPr>
            <m:ctrlPr>
              <w:rPr>
                <w:rFonts w:ascii="Cambria Math" w:hAnsi="Cambria Math" w:cs="Times New Roman"/>
                <w:color w:val="000000" w:themeColor="text1"/>
                <w:sz w:val="24"/>
                <w:szCs w:val="32"/>
                <w14:textFill>
                  <w14:solidFill>
                    <w14:schemeClr w14:val="tx1"/>
                  </w14:solidFill>
                </w14:textFill>
              </w:rPr>
            </m:ctrlPr>
          </m:sSubPr>
          <m:e>
            <m:r>
              <m:rPr/>
              <w:rPr>
                <w:rFonts w:ascii="Cambria Math" w:hAnsi="Cambria Math" w:cs="Times New Roman"/>
                <w:color w:val="000000" w:themeColor="text1"/>
                <w:sz w:val="24"/>
                <w:szCs w:val="32"/>
                <w14:textFill>
                  <w14:solidFill>
                    <w14:schemeClr w14:val="tx1"/>
                  </w14:solidFill>
                </w14:textFill>
              </w:rPr>
              <m:t>γ</m:t>
            </m:r>
            <m:ctrlPr>
              <w:rPr>
                <w:rFonts w:ascii="Cambria Math" w:hAnsi="Cambria Math" w:cs="Times New Roman"/>
                <w:color w:val="000000" w:themeColor="text1"/>
                <w:sz w:val="24"/>
                <w:szCs w:val="32"/>
                <w14:textFill>
                  <w14:solidFill>
                    <w14:schemeClr w14:val="tx1"/>
                  </w14:solidFill>
                </w14:textFill>
              </w:rPr>
            </m:ctrlPr>
          </m:e>
          <m:sub>
            <m:r>
              <m:rPr/>
              <w:rPr>
                <w:rFonts w:ascii="Cambria Math" w:hAnsi="Cambria Math" w:cs="Times New Roman"/>
                <w:color w:val="000000" w:themeColor="text1"/>
                <w:sz w:val="24"/>
                <w:szCs w:val="32"/>
                <w14:textFill>
                  <w14:solidFill>
                    <w14:schemeClr w14:val="tx1"/>
                  </w14:solidFill>
                </w14:textFill>
              </w:rPr>
              <m:t>G</m:t>
            </m:r>
            <m:ctrlPr>
              <w:rPr>
                <w:rFonts w:ascii="Cambria Math" w:hAnsi="Cambria Math" w:cs="Times New Roman"/>
                <w:color w:val="000000" w:themeColor="text1"/>
                <w:sz w:val="24"/>
                <w:szCs w:val="32"/>
                <w14:textFill>
                  <w14:solidFill>
                    <w14:schemeClr w14:val="tx1"/>
                  </w14:solidFill>
                </w14:textFill>
              </w:rPr>
            </m:ctrlPr>
          </m:sub>
        </m:sSub>
      </m:oMath>
      <w:r>
        <w:rPr>
          <w:rFonts w:cs="Times New Roman"/>
          <w:color w:val="000000" w:themeColor="text1"/>
          <w:sz w:val="24"/>
          <w:szCs w:val="32"/>
          <w14:textFill>
            <w14:solidFill>
              <w14:schemeClr w14:val="tx1"/>
            </w14:solidFill>
          </w14:textFill>
        </w:rPr>
        <w:t>取1.3，地震设计状况下</w:t>
      </w:r>
      <m:oMath>
        <m:sSub>
          <m:sSubPr>
            <m:ctrlPr>
              <w:rPr>
                <w:rFonts w:ascii="Cambria Math" w:hAnsi="Cambria Math" w:cs="Times New Roman"/>
                <w:color w:val="000000" w:themeColor="text1"/>
                <w:sz w:val="24"/>
                <w:szCs w:val="32"/>
                <w14:textFill>
                  <w14:solidFill>
                    <w14:schemeClr w14:val="tx1"/>
                  </w14:solidFill>
                </w14:textFill>
              </w:rPr>
            </m:ctrlPr>
          </m:sSubPr>
          <m:e>
            <m:r>
              <m:rPr/>
              <w:rPr>
                <w:rFonts w:ascii="Cambria Math" w:hAnsi="Cambria Math" w:cs="Times New Roman"/>
                <w:color w:val="000000" w:themeColor="text1"/>
                <w:sz w:val="24"/>
                <w:szCs w:val="32"/>
                <w14:textFill>
                  <w14:solidFill>
                    <w14:schemeClr w14:val="tx1"/>
                  </w14:solidFill>
                </w14:textFill>
              </w:rPr>
              <m:t>γ</m:t>
            </m:r>
            <m:ctrlPr>
              <w:rPr>
                <w:rFonts w:ascii="Cambria Math" w:hAnsi="Cambria Math" w:cs="Times New Roman"/>
                <w:color w:val="000000" w:themeColor="text1"/>
                <w:sz w:val="24"/>
                <w:szCs w:val="32"/>
                <w14:textFill>
                  <w14:solidFill>
                    <w14:schemeClr w14:val="tx1"/>
                  </w14:solidFill>
                </w14:textFill>
              </w:rPr>
            </m:ctrlPr>
          </m:e>
          <m:sub>
            <m:r>
              <m:rPr/>
              <w:rPr>
                <w:rFonts w:ascii="Cambria Math" w:hAnsi="Cambria Math" w:cs="Times New Roman"/>
                <w:color w:val="000000" w:themeColor="text1"/>
                <w:sz w:val="24"/>
                <w:szCs w:val="32"/>
                <w14:textFill>
                  <w14:solidFill>
                    <w14:schemeClr w14:val="tx1"/>
                  </w14:solidFill>
                </w14:textFill>
              </w:rPr>
              <m:t>G</m:t>
            </m:r>
            <m:ctrlPr>
              <w:rPr>
                <w:rFonts w:ascii="Cambria Math" w:hAnsi="Cambria Math" w:cs="Times New Roman"/>
                <w:color w:val="000000" w:themeColor="text1"/>
                <w:sz w:val="24"/>
                <w:szCs w:val="32"/>
                <w14:textFill>
                  <w14:solidFill>
                    <w14:schemeClr w14:val="tx1"/>
                  </w14:solidFill>
                </w14:textFill>
              </w:rPr>
            </m:ctrlPr>
          </m:sub>
        </m:sSub>
      </m:oMath>
      <w:r>
        <w:rPr>
          <w:rFonts w:cs="Times New Roman"/>
          <w:color w:val="000000" w:themeColor="text1"/>
          <w:sz w:val="24"/>
          <w:szCs w:val="32"/>
          <w14:textFill>
            <w14:solidFill>
              <w14:schemeClr w14:val="tx1"/>
            </w14:solidFill>
          </w14:textFill>
        </w:rPr>
        <w:t>取1.2</w:t>
      </w:r>
      <w:r>
        <w:rPr>
          <w:rFonts w:hint="eastAsia" w:cs="Times New Roman"/>
          <w:color w:val="000000" w:themeColor="text1"/>
          <w:sz w:val="24"/>
          <w:szCs w:val="32"/>
          <w:lang w:eastAsia="zh-CN"/>
          <w14:textFill>
            <w14:solidFill>
              <w14:schemeClr w14:val="tx1"/>
            </w14:solidFill>
          </w14:textFill>
        </w:rPr>
        <w:t>；</w:t>
      </w:r>
    </w:p>
    <w:p w14:paraId="4DC588F2">
      <w:pPr>
        <w:pStyle w:val="63"/>
        <w:keepNext w:val="0"/>
        <w:keepLines w:val="0"/>
        <w:pageBreakBefore w:val="0"/>
        <w:kinsoku/>
        <w:wordWrap/>
        <w:overflowPunct/>
        <w:topLinePunct w:val="0"/>
        <w:autoSpaceDE/>
        <w:autoSpaceDN/>
        <w:bidi w:val="0"/>
        <w:spacing w:before="0" w:after="0" w:line="360" w:lineRule="auto"/>
        <w:ind w:firstLine="482"/>
        <w:jc w:val="both"/>
        <w:textAlignment w:val="auto"/>
        <w:rPr>
          <w:rFonts w:cs="Times New Roman"/>
          <w:color w:val="000000" w:themeColor="text1"/>
          <w:sz w:val="24"/>
          <w:szCs w:val="32"/>
          <w14:textFill>
            <w14:solidFill>
              <w14:schemeClr w14:val="tx1"/>
            </w14:solidFill>
          </w14:textFill>
        </w:rPr>
      </w:pPr>
      <w:r>
        <w:rPr>
          <w:rFonts w:cs="Times New Roman"/>
          <w:b/>
          <w:color w:val="000000" w:themeColor="text1"/>
          <w:sz w:val="24"/>
          <w:szCs w:val="32"/>
          <w14:textFill>
            <w14:solidFill>
              <w14:schemeClr w14:val="tx1"/>
            </w14:solidFill>
          </w14:textFill>
        </w:rPr>
        <w:t xml:space="preserve">2 </w:t>
      </w:r>
      <w:r>
        <w:rPr>
          <w:rFonts w:cs="Times New Roman"/>
          <w:color w:val="000000" w:themeColor="text1"/>
          <w:sz w:val="24"/>
          <w:szCs w:val="32"/>
          <w14:textFill>
            <w14:solidFill>
              <w14:schemeClr w14:val="tx1"/>
            </w14:solidFill>
          </w14:textFill>
        </w:rPr>
        <w:t>连接节点承载力设计时，在持久设计状况下</w:t>
      </w:r>
      <m:oMath>
        <m:sSub>
          <m:sSubPr>
            <m:ctrlPr>
              <w:rPr>
                <w:rFonts w:ascii="Cambria Math" w:hAnsi="Cambria Math" w:cs="Times New Roman"/>
                <w:color w:val="000000" w:themeColor="text1"/>
                <w:sz w:val="24"/>
                <w:szCs w:val="32"/>
                <w14:textFill>
                  <w14:solidFill>
                    <w14:schemeClr w14:val="tx1"/>
                  </w14:solidFill>
                </w14:textFill>
              </w:rPr>
            </m:ctrlPr>
          </m:sSubPr>
          <m:e>
            <m:r>
              <m:rPr/>
              <w:rPr>
                <w:rFonts w:ascii="Cambria Math" w:hAnsi="Cambria Math" w:cs="Times New Roman"/>
                <w:color w:val="000000" w:themeColor="text1"/>
                <w:sz w:val="24"/>
                <w:szCs w:val="32"/>
                <w14:textFill>
                  <w14:solidFill>
                    <w14:schemeClr w14:val="tx1"/>
                  </w14:solidFill>
                </w14:textFill>
              </w:rPr>
              <m:t>γ</m:t>
            </m:r>
            <m:ctrlPr>
              <w:rPr>
                <w:rFonts w:ascii="Cambria Math" w:hAnsi="Cambria Math" w:cs="Times New Roman"/>
                <w:color w:val="000000" w:themeColor="text1"/>
                <w:sz w:val="24"/>
                <w:szCs w:val="32"/>
                <w14:textFill>
                  <w14:solidFill>
                    <w14:schemeClr w14:val="tx1"/>
                  </w14:solidFill>
                </w14:textFill>
              </w:rPr>
            </m:ctrlPr>
          </m:e>
          <m:sub>
            <m:r>
              <m:rPr/>
              <w:rPr>
                <w:rFonts w:ascii="Cambria Math" w:hAnsi="Cambria Math" w:cs="Times New Roman"/>
                <w:color w:val="000000" w:themeColor="text1"/>
                <w:sz w:val="24"/>
                <w:szCs w:val="32"/>
                <w14:textFill>
                  <w14:solidFill>
                    <w14:schemeClr w14:val="tx1"/>
                  </w14:solidFill>
                </w14:textFill>
              </w:rPr>
              <m:t>G</m:t>
            </m:r>
            <m:ctrlPr>
              <w:rPr>
                <w:rFonts w:ascii="Cambria Math" w:hAnsi="Cambria Math" w:cs="Times New Roman"/>
                <w:color w:val="000000" w:themeColor="text1"/>
                <w:sz w:val="24"/>
                <w:szCs w:val="32"/>
                <w14:textFill>
                  <w14:solidFill>
                    <w14:schemeClr w14:val="tx1"/>
                  </w14:solidFill>
                </w14:textFill>
              </w:rPr>
            </m:ctrlPr>
          </m:sub>
        </m:sSub>
      </m:oMath>
      <w:r>
        <w:rPr>
          <w:rFonts w:cs="Times New Roman"/>
          <w:color w:val="000000" w:themeColor="text1"/>
          <w:sz w:val="24"/>
          <w:szCs w:val="32"/>
          <w14:textFill>
            <w14:solidFill>
              <w14:schemeClr w14:val="tx1"/>
            </w14:solidFill>
          </w14:textFill>
        </w:rPr>
        <w:t>取1.3</w:t>
      </w:r>
      <w:r>
        <w:rPr>
          <w:rFonts w:hint="eastAsia" w:cs="Times New Roman"/>
          <w:color w:val="000000" w:themeColor="text1"/>
          <w:sz w:val="24"/>
          <w:szCs w:val="32"/>
          <w14:textFill>
            <w14:solidFill>
              <w14:schemeClr w14:val="tx1"/>
            </w14:solidFill>
          </w14:textFill>
        </w:rPr>
        <w:t>，</w:t>
      </w:r>
      <w:r>
        <w:rPr>
          <w:rFonts w:cs="Times New Roman"/>
          <w:color w:val="000000" w:themeColor="text1"/>
          <w:sz w:val="24"/>
          <w:szCs w:val="32"/>
          <w14:textFill>
            <w14:solidFill>
              <w14:schemeClr w14:val="tx1"/>
            </w14:solidFill>
          </w14:textFill>
        </w:rPr>
        <w:t>在地震设计状况下</w:t>
      </w:r>
      <m:oMath>
        <m:sSub>
          <m:sSubPr>
            <m:ctrlPr>
              <w:rPr>
                <w:rFonts w:ascii="Cambria Math" w:hAnsi="Cambria Math" w:cs="Times New Roman"/>
                <w:color w:val="000000" w:themeColor="text1"/>
                <w:sz w:val="24"/>
                <w:szCs w:val="32"/>
                <w14:textFill>
                  <w14:solidFill>
                    <w14:schemeClr w14:val="tx1"/>
                  </w14:solidFill>
                </w14:textFill>
              </w:rPr>
            </m:ctrlPr>
          </m:sSubPr>
          <m:e>
            <m:r>
              <m:rPr/>
              <w:rPr>
                <w:rFonts w:ascii="Cambria Math" w:hAnsi="Cambria Math" w:cs="Times New Roman"/>
                <w:color w:val="000000" w:themeColor="text1"/>
                <w:sz w:val="24"/>
                <w:szCs w:val="32"/>
                <w14:textFill>
                  <w14:solidFill>
                    <w14:schemeClr w14:val="tx1"/>
                  </w14:solidFill>
                </w14:textFill>
              </w:rPr>
              <m:t>γ</m:t>
            </m:r>
            <m:ctrlPr>
              <w:rPr>
                <w:rFonts w:ascii="Cambria Math" w:hAnsi="Cambria Math" w:cs="Times New Roman"/>
                <w:color w:val="000000" w:themeColor="text1"/>
                <w:sz w:val="24"/>
                <w:szCs w:val="32"/>
                <w14:textFill>
                  <w14:solidFill>
                    <w14:schemeClr w14:val="tx1"/>
                  </w14:solidFill>
                </w14:textFill>
              </w:rPr>
            </m:ctrlPr>
          </m:e>
          <m:sub>
            <m:r>
              <m:rPr/>
              <w:rPr>
                <w:rFonts w:ascii="Cambria Math" w:hAnsi="Cambria Math" w:cs="Times New Roman"/>
                <w:color w:val="000000" w:themeColor="text1"/>
                <w:sz w:val="24"/>
                <w:szCs w:val="32"/>
                <w14:textFill>
                  <w14:solidFill>
                    <w14:schemeClr w14:val="tx1"/>
                  </w14:solidFill>
                </w14:textFill>
              </w:rPr>
              <m:t>G</m:t>
            </m:r>
            <m:ctrlPr>
              <w:rPr>
                <w:rFonts w:ascii="Cambria Math" w:hAnsi="Cambria Math" w:cs="Times New Roman"/>
                <w:color w:val="000000" w:themeColor="text1"/>
                <w:sz w:val="24"/>
                <w:szCs w:val="32"/>
                <w14:textFill>
                  <w14:solidFill>
                    <w14:schemeClr w14:val="tx1"/>
                  </w14:solidFill>
                </w14:textFill>
              </w:rPr>
            </m:ctrlPr>
          </m:sub>
        </m:sSub>
      </m:oMath>
      <w:r>
        <w:rPr>
          <w:rFonts w:cs="Times New Roman"/>
          <w:color w:val="000000" w:themeColor="text1"/>
          <w:sz w:val="24"/>
          <w:szCs w:val="32"/>
          <w14:textFill>
            <w14:solidFill>
              <w14:schemeClr w14:val="tx1"/>
            </w14:solidFill>
          </w14:textFill>
        </w:rPr>
        <w:t>取1.2；当永久荷载效应对连接节点承载力有利时，</w:t>
      </w:r>
      <m:oMath>
        <m:sSub>
          <m:sSubPr>
            <m:ctrlPr>
              <w:rPr>
                <w:rFonts w:ascii="Cambria Math" w:hAnsi="Cambria Math" w:cs="Times New Roman"/>
                <w:color w:val="000000" w:themeColor="text1"/>
                <w:sz w:val="24"/>
                <w:szCs w:val="32"/>
                <w14:textFill>
                  <w14:solidFill>
                    <w14:schemeClr w14:val="tx1"/>
                  </w14:solidFill>
                </w14:textFill>
              </w:rPr>
            </m:ctrlPr>
          </m:sSubPr>
          <m:e>
            <m:r>
              <m:rPr/>
              <w:rPr>
                <w:rFonts w:ascii="Cambria Math" w:hAnsi="Cambria Math" w:cs="Times New Roman"/>
                <w:color w:val="000000" w:themeColor="text1"/>
                <w:sz w:val="24"/>
                <w:szCs w:val="32"/>
                <w14:textFill>
                  <w14:solidFill>
                    <w14:schemeClr w14:val="tx1"/>
                  </w14:solidFill>
                </w14:textFill>
              </w:rPr>
              <m:t>γ</m:t>
            </m:r>
            <m:ctrlPr>
              <w:rPr>
                <w:rFonts w:ascii="Cambria Math" w:hAnsi="Cambria Math" w:cs="Times New Roman"/>
                <w:color w:val="000000" w:themeColor="text1"/>
                <w:sz w:val="24"/>
                <w:szCs w:val="32"/>
                <w14:textFill>
                  <w14:solidFill>
                    <w14:schemeClr w14:val="tx1"/>
                  </w14:solidFill>
                </w14:textFill>
              </w:rPr>
            </m:ctrlPr>
          </m:e>
          <m:sub>
            <m:r>
              <m:rPr/>
              <w:rPr>
                <w:rFonts w:ascii="Cambria Math" w:hAnsi="Cambria Math" w:cs="Times New Roman"/>
                <w:color w:val="000000" w:themeColor="text1"/>
                <w:sz w:val="24"/>
                <w:szCs w:val="32"/>
                <w14:textFill>
                  <w14:solidFill>
                    <w14:schemeClr w14:val="tx1"/>
                  </w14:solidFill>
                </w14:textFill>
              </w:rPr>
              <m:t>G</m:t>
            </m:r>
            <m:ctrlPr>
              <w:rPr>
                <w:rFonts w:ascii="Cambria Math" w:hAnsi="Cambria Math" w:cs="Times New Roman"/>
                <w:color w:val="000000" w:themeColor="text1"/>
                <w:sz w:val="24"/>
                <w:szCs w:val="32"/>
                <w14:textFill>
                  <w14:solidFill>
                    <w14:schemeClr w14:val="tx1"/>
                  </w14:solidFill>
                </w14:textFill>
              </w:rPr>
            </m:ctrlPr>
          </m:sub>
        </m:sSub>
      </m:oMath>
      <w:r>
        <w:rPr>
          <w:rFonts w:cs="Times New Roman"/>
          <w:color w:val="000000" w:themeColor="text1"/>
          <w:sz w:val="24"/>
          <w:szCs w:val="32"/>
          <w14:textFill>
            <w14:solidFill>
              <w14:schemeClr w14:val="tx1"/>
            </w14:solidFill>
          </w14:textFill>
        </w:rPr>
        <w:t>取1.0。</w:t>
      </w:r>
    </w:p>
    <w:p w14:paraId="474BB947">
      <w:pPr>
        <w:spacing w:line="360" w:lineRule="auto"/>
        <w:rPr>
          <w:color w:val="000000" w:themeColor="text1"/>
          <w:sz w:val="24"/>
          <w:szCs w:val="32"/>
          <w14:textFill>
            <w14:solidFill>
              <w14:schemeClr w14:val="tx1"/>
            </w14:solidFill>
          </w14:textFill>
        </w:rPr>
      </w:pPr>
      <w:r>
        <w:rPr>
          <w:rFonts w:hint="eastAsia"/>
          <w:b/>
          <w:color w:val="000000" w:themeColor="text1"/>
          <w:sz w:val="24"/>
          <w:szCs w:val="32"/>
          <w14:textFill>
            <w14:solidFill>
              <w14:schemeClr w14:val="tx1"/>
            </w14:solidFill>
          </w14:textFill>
        </w:rPr>
        <w:t>5</w:t>
      </w:r>
      <w:r>
        <w:rPr>
          <w:b/>
          <w:color w:val="000000" w:themeColor="text1"/>
          <w:sz w:val="24"/>
          <w:szCs w:val="32"/>
          <w14:textFill>
            <w14:solidFill>
              <w14:schemeClr w14:val="tx1"/>
            </w14:solidFill>
          </w14:textFill>
        </w:rPr>
        <w:t>.</w:t>
      </w:r>
      <w:r>
        <w:rPr>
          <w:rFonts w:hint="eastAsia"/>
          <w:b/>
          <w:color w:val="000000" w:themeColor="text1"/>
          <w:sz w:val="24"/>
          <w:szCs w:val="32"/>
          <w:lang w:val="en-US" w:eastAsia="zh-CN"/>
          <w14:textFill>
            <w14:solidFill>
              <w14:schemeClr w14:val="tx1"/>
            </w14:solidFill>
          </w14:textFill>
        </w:rPr>
        <w:t>3</w:t>
      </w:r>
      <w:r>
        <w:rPr>
          <w:b/>
          <w:color w:val="000000" w:themeColor="text1"/>
          <w:sz w:val="24"/>
          <w:szCs w:val="32"/>
          <w14:textFill>
            <w14:solidFill>
              <w14:schemeClr w14:val="tx1"/>
            </w14:solidFill>
          </w14:textFill>
        </w:rPr>
        <w:t>.</w:t>
      </w:r>
      <w:r>
        <w:rPr>
          <w:rFonts w:hint="eastAsia"/>
          <w:b/>
          <w:color w:val="000000" w:themeColor="text1"/>
          <w:sz w:val="24"/>
          <w:szCs w:val="32"/>
          <w:lang w:val="en-US" w:eastAsia="zh-CN"/>
          <w14:textFill>
            <w14:solidFill>
              <w14:schemeClr w14:val="tx1"/>
            </w14:solidFill>
          </w14:textFill>
        </w:rPr>
        <w:t>14</w:t>
      </w:r>
      <w:r>
        <w:rPr>
          <w:color w:val="000000" w:themeColor="text1"/>
          <w:sz w:val="24"/>
          <w:szCs w:val="32"/>
          <w14:textFill>
            <w14:solidFill>
              <w14:schemeClr w14:val="tx1"/>
            </w14:solidFill>
          </w14:textFill>
        </w:rPr>
        <w:t xml:space="preserve">  计算水平地震作用标准值时，可采用等效测力法，并</w:t>
      </w:r>
      <w:r>
        <w:rPr>
          <w:rFonts w:hint="eastAsia"/>
          <w:color w:val="000000" w:themeColor="text1"/>
          <w:sz w:val="24"/>
          <w:szCs w:val="32"/>
          <w14:textFill>
            <w14:solidFill>
              <w14:schemeClr w14:val="tx1"/>
            </w14:solidFill>
          </w14:textFill>
        </w:rPr>
        <w:t>应</w:t>
      </w:r>
      <w:r>
        <w:rPr>
          <w:color w:val="000000" w:themeColor="text1"/>
          <w:sz w:val="24"/>
          <w:szCs w:val="32"/>
          <w14:textFill>
            <w14:solidFill>
              <w14:schemeClr w14:val="tx1"/>
            </w14:solidFill>
          </w14:textFill>
        </w:rPr>
        <w:t>按</w:t>
      </w:r>
      <w:r>
        <w:rPr>
          <w:rFonts w:hint="eastAsia"/>
          <w:color w:val="000000" w:themeColor="text1"/>
          <w:sz w:val="24"/>
          <w:szCs w:val="32"/>
          <w:lang w:eastAsia="zh-CN"/>
          <w14:textFill>
            <w14:solidFill>
              <w14:schemeClr w14:val="tx1"/>
            </w14:solidFill>
          </w14:textFill>
        </w:rPr>
        <w:t>下式</w:t>
      </w:r>
      <w:r>
        <w:rPr>
          <w:color w:val="000000" w:themeColor="text1"/>
          <w:sz w:val="24"/>
          <w:szCs w:val="32"/>
          <w14:textFill>
            <w14:solidFill>
              <w14:schemeClr w14:val="tx1"/>
            </w14:solidFill>
          </w14:textFill>
        </w:rPr>
        <w:t>计算</w:t>
      </w:r>
      <w:r>
        <w:rPr>
          <w:rFonts w:hint="eastAsia"/>
          <w:color w:val="000000" w:themeColor="text1"/>
          <w:sz w:val="24"/>
          <w:szCs w:val="32"/>
          <w14:textFill>
            <w14:solidFill>
              <w14:schemeClr w14:val="tx1"/>
            </w14:solidFill>
          </w14:textFill>
        </w:rPr>
        <w:t>。</w:t>
      </w:r>
    </w:p>
    <w:p w14:paraId="221C2576">
      <w:pPr>
        <w:spacing w:line="360" w:lineRule="auto"/>
        <w:rPr>
          <w:rFonts w:cs="Times New Roman"/>
          <w:color w:val="000000" w:themeColor="text1"/>
          <w:sz w:val="24"/>
          <w:szCs w:val="32"/>
          <w14:textFill>
            <w14:solidFill>
              <w14:schemeClr w14:val="tx1"/>
            </w14:solidFill>
          </w14:textFill>
        </w:rPr>
      </w:pPr>
      <w:r>
        <w:rPr>
          <w:rFonts w:cs="Times New Roman"/>
          <w:color w:val="000000" w:themeColor="text1"/>
          <w:sz w:val="24"/>
          <w:szCs w:val="32"/>
          <w14:textFill>
            <w14:solidFill>
              <w14:schemeClr w14:val="tx1"/>
            </w14:solidFill>
          </w14:textFill>
        </w:rPr>
        <w:t xml:space="preserve">                        </w:t>
      </w:r>
      <m:oMath>
        <m:sSub>
          <m:sSubPr>
            <m:ctrlPr>
              <w:rPr>
                <w:rFonts w:ascii="Cambria Math" w:hAnsi="Cambria Math" w:cs="Times New Roman"/>
                <w:i/>
                <w:color w:val="000000" w:themeColor="text1"/>
                <w:sz w:val="24"/>
                <w:szCs w:val="32"/>
                <w14:textFill>
                  <w14:solidFill>
                    <w14:schemeClr w14:val="tx1"/>
                  </w14:solidFill>
                </w14:textFill>
              </w:rPr>
            </m:ctrlPr>
          </m:sSubPr>
          <m:e>
            <m:r>
              <m:rPr/>
              <w:rPr>
                <w:rFonts w:ascii="Cambria Math" w:hAnsi="Cambria Math" w:cs="Times New Roman"/>
                <w:color w:val="000000" w:themeColor="text1"/>
                <w:sz w:val="24"/>
                <w:szCs w:val="32"/>
                <w14:textFill>
                  <w14:solidFill>
                    <w14:schemeClr w14:val="tx1"/>
                  </w14:solidFill>
                </w14:textFill>
              </w:rPr>
              <m:t>F</m:t>
            </m:r>
            <m:ctrlPr>
              <w:rPr>
                <w:rFonts w:ascii="Cambria Math" w:hAnsi="Cambria Math" w:cs="Times New Roman"/>
                <w:i/>
                <w:color w:val="000000" w:themeColor="text1"/>
                <w:sz w:val="24"/>
                <w:szCs w:val="32"/>
                <w14:textFill>
                  <w14:solidFill>
                    <w14:schemeClr w14:val="tx1"/>
                  </w14:solidFill>
                </w14:textFill>
              </w:rPr>
            </m:ctrlPr>
          </m:e>
          <m:sub>
            <m:r>
              <m:rPr/>
              <w:rPr>
                <w:rFonts w:ascii="Cambria Math" w:hAnsi="Cambria Math" w:cs="Times New Roman"/>
                <w:color w:val="000000" w:themeColor="text1"/>
                <w:sz w:val="24"/>
                <w:szCs w:val="32"/>
                <w14:textFill>
                  <w14:solidFill>
                    <w14:schemeClr w14:val="tx1"/>
                  </w14:solidFill>
                </w14:textFill>
              </w:rPr>
              <m:t>Eℎk</m:t>
            </m:r>
            <m:ctrlPr>
              <w:rPr>
                <w:rFonts w:ascii="Cambria Math" w:hAnsi="Cambria Math" w:cs="Times New Roman"/>
                <w:i/>
                <w:color w:val="000000" w:themeColor="text1"/>
                <w:sz w:val="24"/>
                <w:szCs w:val="32"/>
                <w14:textFill>
                  <w14:solidFill>
                    <w14:schemeClr w14:val="tx1"/>
                  </w14:solidFill>
                </w14:textFill>
              </w:rPr>
            </m:ctrlPr>
          </m:sub>
        </m:sSub>
        <m:r>
          <m:rPr/>
          <w:rPr>
            <w:rFonts w:ascii="Cambria Math" w:hAnsi="Cambria Math" w:cs="Times New Roman"/>
            <w:color w:val="000000" w:themeColor="text1"/>
            <w:sz w:val="24"/>
            <w:szCs w:val="32"/>
            <w14:textFill>
              <w14:solidFill>
                <w14:schemeClr w14:val="tx1"/>
              </w14:solidFill>
            </w14:textFill>
          </w:rPr>
          <m:t>=</m:t>
        </m:r>
        <m:sSub>
          <m:sSubPr>
            <m:ctrlPr>
              <w:rPr>
                <w:rFonts w:ascii="Cambria Math" w:hAnsi="Cambria Math" w:cs="Times New Roman"/>
                <w:i/>
                <w:color w:val="000000" w:themeColor="text1"/>
                <w:sz w:val="24"/>
                <w:szCs w:val="32"/>
                <w14:textFill>
                  <w14:solidFill>
                    <w14:schemeClr w14:val="tx1"/>
                  </w14:solidFill>
                </w14:textFill>
              </w:rPr>
            </m:ctrlPr>
          </m:sSubPr>
          <m:e>
            <m:r>
              <m:rPr/>
              <w:rPr>
                <w:rFonts w:ascii="Cambria Math" w:hAnsi="Cambria Math" w:cs="Times New Roman"/>
                <w:color w:val="000000" w:themeColor="text1"/>
                <w:sz w:val="24"/>
                <w:szCs w:val="32"/>
                <w14:textFill>
                  <w14:solidFill>
                    <w14:schemeClr w14:val="tx1"/>
                  </w14:solidFill>
                </w14:textFill>
              </w:rPr>
              <m:t>β</m:t>
            </m:r>
            <m:ctrlPr>
              <w:rPr>
                <w:rFonts w:ascii="Cambria Math" w:hAnsi="Cambria Math" w:cs="Times New Roman"/>
                <w:i/>
                <w:color w:val="000000" w:themeColor="text1"/>
                <w:sz w:val="24"/>
                <w:szCs w:val="32"/>
                <w14:textFill>
                  <w14:solidFill>
                    <w14:schemeClr w14:val="tx1"/>
                  </w14:solidFill>
                </w14:textFill>
              </w:rPr>
            </m:ctrlPr>
          </m:e>
          <m:sub>
            <m:r>
              <m:rPr/>
              <w:rPr>
                <w:rFonts w:ascii="Cambria Math" w:hAnsi="Cambria Math" w:cs="Times New Roman"/>
                <w:color w:val="000000" w:themeColor="text1"/>
                <w:sz w:val="24"/>
                <w:szCs w:val="32"/>
                <w14:textFill>
                  <w14:solidFill>
                    <w14:schemeClr w14:val="tx1"/>
                  </w14:solidFill>
                </w14:textFill>
              </w:rPr>
              <m:t>E</m:t>
            </m:r>
            <m:ctrlPr>
              <w:rPr>
                <w:rFonts w:ascii="Cambria Math" w:hAnsi="Cambria Math" w:cs="Times New Roman"/>
                <w:i/>
                <w:color w:val="000000" w:themeColor="text1"/>
                <w:sz w:val="24"/>
                <w:szCs w:val="32"/>
                <w14:textFill>
                  <w14:solidFill>
                    <w14:schemeClr w14:val="tx1"/>
                  </w14:solidFill>
                </w14:textFill>
              </w:rPr>
            </m:ctrlPr>
          </m:sub>
        </m:sSub>
        <m:sSub>
          <m:sSubPr>
            <m:ctrlPr>
              <w:rPr>
                <w:rFonts w:ascii="Cambria Math" w:hAnsi="Cambria Math" w:cs="Times New Roman"/>
                <w:i/>
                <w:color w:val="000000" w:themeColor="text1"/>
                <w:sz w:val="24"/>
                <w:szCs w:val="32"/>
                <w14:textFill>
                  <w14:solidFill>
                    <w14:schemeClr w14:val="tx1"/>
                  </w14:solidFill>
                </w14:textFill>
              </w:rPr>
            </m:ctrlPr>
          </m:sSubPr>
          <m:e>
            <m:r>
              <m:rPr/>
              <w:rPr>
                <w:rFonts w:ascii="Cambria Math" w:hAnsi="Cambria Math" w:cs="Times New Roman"/>
                <w:color w:val="000000" w:themeColor="text1"/>
                <w:sz w:val="24"/>
                <w:szCs w:val="32"/>
                <w14:textFill>
                  <w14:solidFill>
                    <w14:schemeClr w14:val="tx1"/>
                  </w14:solidFill>
                </w14:textFill>
              </w:rPr>
              <m:t>α</m:t>
            </m:r>
            <m:ctrlPr>
              <w:rPr>
                <w:rFonts w:ascii="Cambria Math" w:hAnsi="Cambria Math" w:cs="Times New Roman"/>
                <w:i/>
                <w:color w:val="000000" w:themeColor="text1"/>
                <w:sz w:val="24"/>
                <w:szCs w:val="32"/>
                <w14:textFill>
                  <w14:solidFill>
                    <w14:schemeClr w14:val="tx1"/>
                  </w14:solidFill>
                </w14:textFill>
              </w:rPr>
            </m:ctrlPr>
          </m:e>
          <m:sub>
            <m:r>
              <m:rPr/>
              <w:rPr>
                <w:rFonts w:ascii="Cambria Math" w:hAnsi="Cambria Math" w:cs="Times New Roman"/>
                <w:color w:val="000000" w:themeColor="text1"/>
                <w:sz w:val="24"/>
                <w:szCs w:val="32"/>
                <w14:textFill>
                  <w14:solidFill>
                    <w14:schemeClr w14:val="tx1"/>
                  </w14:solidFill>
                </w14:textFill>
              </w:rPr>
              <m:t>max</m:t>
            </m:r>
            <m:ctrlPr>
              <w:rPr>
                <w:rFonts w:ascii="Cambria Math" w:hAnsi="Cambria Math" w:cs="Times New Roman"/>
                <w:i/>
                <w:color w:val="000000" w:themeColor="text1"/>
                <w:sz w:val="24"/>
                <w:szCs w:val="32"/>
                <w14:textFill>
                  <w14:solidFill>
                    <w14:schemeClr w14:val="tx1"/>
                  </w14:solidFill>
                </w14:textFill>
              </w:rPr>
            </m:ctrlPr>
          </m:sub>
        </m:sSub>
        <m:sSub>
          <m:sSubPr>
            <m:ctrlPr>
              <w:rPr>
                <w:rFonts w:ascii="Cambria Math" w:hAnsi="Cambria Math" w:cs="Times New Roman"/>
                <w:i/>
                <w:color w:val="000000" w:themeColor="text1"/>
                <w:sz w:val="24"/>
                <w:szCs w:val="32"/>
                <w14:textFill>
                  <w14:solidFill>
                    <w14:schemeClr w14:val="tx1"/>
                  </w14:solidFill>
                </w14:textFill>
              </w:rPr>
            </m:ctrlPr>
          </m:sSubPr>
          <m:e>
            <m:r>
              <m:rPr/>
              <w:rPr>
                <w:rFonts w:ascii="Cambria Math" w:hAnsi="Cambria Math" w:cs="Times New Roman"/>
                <w:color w:val="000000" w:themeColor="text1"/>
                <w:sz w:val="24"/>
                <w:szCs w:val="32"/>
                <w14:textFill>
                  <w14:solidFill>
                    <w14:schemeClr w14:val="tx1"/>
                  </w14:solidFill>
                </w14:textFill>
              </w:rPr>
              <m:t>G</m:t>
            </m:r>
            <m:ctrlPr>
              <w:rPr>
                <w:rFonts w:ascii="Cambria Math" w:hAnsi="Cambria Math" w:cs="Times New Roman"/>
                <w:i/>
                <w:color w:val="000000" w:themeColor="text1"/>
                <w:sz w:val="24"/>
                <w:szCs w:val="32"/>
                <w14:textFill>
                  <w14:solidFill>
                    <w14:schemeClr w14:val="tx1"/>
                  </w14:solidFill>
                </w14:textFill>
              </w:rPr>
            </m:ctrlPr>
          </m:e>
          <m:sub>
            <m:r>
              <m:rPr/>
              <w:rPr>
                <w:rFonts w:ascii="Cambria Math" w:hAnsi="Cambria Math" w:cs="Times New Roman"/>
                <w:color w:val="000000" w:themeColor="text1"/>
                <w:sz w:val="24"/>
                <w:szCs w:val="32"/>
                <w14:textFill>
                  <w14:solidFill>
                    <w14:schemeClr w14:val="tx1"/>
                  </w14:solidFill>
                </w14:textFill>
              </w:rPr>
              <m:t>k</m:t>
            </m:r>
            <m:ctrlPr>
              <w:rPr>
                <w:rFonts w:ascii="Cambria Math" w:hAnsi="Cambria Math" w:cs="Times New Roman"/>
                <w:i/>
                <w:color w:val="000000" w:themeColor="text1"/>
                <w:sz w:val="24"/>
                <w:szCs w:val="32"/>
                <w14:textFill>
                  <w14:solidFill>
                    <w14:schemeClr w14:val="tx1"/>
                  </w14:solidFill>
                </w14:textFill>
              </w:rPr>
            </m:ctrlPr>
          </m:sub>
        </m:sSub>
      </m:oMath>
      <w:r>
        <w:rPr>
          <w:rFonts w:cs="Times New Roman"/>
          <w:color w:val="000000" w:themeColor="text1"/>
          <w:sz w:val="24"/>
          <w:szCs w:val="32"/>
          <w14:textFill>
            <w14:solidFill>
              <w14:schemeClr w14:val="tx1"/>
            </w14:solidFill>
          </w14:textFill>
        </w:rPr>
        <w:t xml:space="preserve">                        (5.</w:t>
      </w:r>
      <w:r>
        <w:rPr>
          <w:rFonts w:hint="eastAsia" w:cs="Times New Roman"/>
          <w:color w:val="000000" w:themeColor="text1"/>
          <w:sz w:val="24"/>
          <w:szCs w:val="32"/>
          <w:lang w:val="en-US" w:eastAsia="zh-CN"/>
          <w14:textFill>
            <w14:solidFill>
              <w14:schemeClr w14:val="tx1"/>
            </w14:solidFill>
          </w14:textFill>
        </w:rPr>
        <w:t>3</w:t>
      </w:r>
      <w:r>
        <w:rPr>
          <w:rFonts w:cs="Times New Roman"/>
          <w:color w:val="000000" w:themeColor="text1"/>
          <w:sz w:val="24"/>
          <w:szCs w:val="32"/>
          <w14:textFill>
            <w14:solidFill>
              <w14:schemeClr w14:val="tx1"/>
            </w14:solidFill>
          </w14:textFill>
        </w:rPr>
        <w:t>.</w:t>
      </w:r>
      <w:r>
        <w:rPr>
          <w:rFonts w:hint="eastAsia" w:cs="Times New Roman"/>
          <w:color w:val="000000" w:themeColor="text1"/>
          <w:sz w:val="24"/>
          <w:szCs w:val="32"/>
          <w:lang w:val="en-US" w:eastAsia="zh-CN"/>
          <w14:textFill>
            <w14:solidFill>
              <w14:schemeClr w14:val="tx1"/>
            </w14:solidFill>
          </w14:textFill>
        </w:rPr>
        <w:t>14</w:t>
      </w:r>
      <w:r>
        <w:rPr>
          <w:rFonts w:cs="Times New Roman"/>
          <w:color w:val="000000" w:themeColor="text1"/>
          <w:sz w:val="24"/>
          <w:szCs w:val="32"/>
          <w14:textFill>
            <w14:solidFill>
              <w14:schemeClr w14:val="tx1"/>
            </w14:solidFill>
          </w14:textFill>
        </w:rPr>
        <w:t>)</w:t>
      </w:r>
    </w:p>
    <w:p w14:paraId="6FAD05AF">
      <w:pPr>
        <w:spacing w:line="360" w:lineRule="auto"/>
        <w:ind w:left="1680" w:hanging="1680" w:hangingChars="700"/>
        <w:rPr>
          <w:rFonts w:hint="eastAsia" w:eastAsia="宋体" w:cs="Times New Roman"/>
          <w:color w:val="000000" w:themeColor="text1"/>
          <w:sz w:val="24"/>
          <w:szCs w:val="32"/>
          <w:lang w:eastAsia="zh-CN"/>
          <w14:textFill>
            <w14:solidFill>
              <w14:schemeClr w14:val="tx1"/>
            </w14:solidFill>
          </w14:textFill>
        </w:rPr>
      </w:pPr>
      <w:r>
        <w:rPr>
          <w:rFonts w:cs="Times New Roman"/>
          <w:color w:val="000000" w:themeColor="text1"/>
          <w:sz w:val="24"/>
          <w:szCs w:val="32"/>
          <w14:textFill>
            <w14:solidFill>
              <w14:schemeClr w14:val="tx1"/>
            </w14:solidFill>
          </w14:textFill>
        </w:rPr>
        <w:t>式中：</w:t>
      </w:r>
      <m:oMath>
        <m:sSub>
          <m:sSubPr>
            <m:ctrlPr>
              <w:rPr>
                <w:rFonts w:ascii="Cambria Math" w:hAnsi="Cambria Math" w:cs="Times New Roman"/>
                <w:i/>
                <w:color w:val="000000" w:themeColor="text1"/>
                <w:sz w:val="24"/>
                <w:szCs w:val="32"/>
                <w14:textFill>
                  <w14:solidFill>
                    <w14:schemeClr w14:val="tx1"/>
                  </w14:solidFill>
                </w14:textFill>
              </w:rPr>
            </m:ctrlPr>
          </m:sSubPr>
          <m:e>
            <m:r>
              <m:rPr/>
              <w:rPr>
                <w:rFonts w:ascii="Cambria Math" w:hAnsi="Cambria Math" w:cs="Times New Roman"/>
                <w:color w:val="000000" w:themeColor="text1"/>
                <w:sz w:val="24"/>
                <w:szCs w:val="32"/>
                <w14:textFill>
                  <w14:solidFill>
                    <w14:schemeClr w14:val="tx1"/>
                  </w14:solidFill>
                </w14:textFill>
              </w:rPr>
              <m:t>F</m:t>
            </m:r>
            <m:ctrlPr>
              <w:rPr>
                <w:rFonts w:ascii="Cambria Math" w:hAnsi="Cambria Math" w:cs="Times New Roman"/>
                <w:i/>
                <w:color w:val="000000" w:themeColor="text1"/>
                <w:sz w:val="24"/>
                <w:szCs w:val="32"/>
                <w14:textFill>
                  <w14:solidFill>
                    <w14:schemeClr w14:val="tx1"/>
                  </w14:solidFill>
                </w14:textFill>
              </w:rPr>
            </m:ctrlPr>
          </m:e>
          <m:sub>
            <m:r>
              <m:rPr/>
              <w:rPr>
                <w:rFonts w:ascii="Cambria Math" w:hAnsi="Cambria Math" w:cs="Times New Roman"/>
                <w:color w:val="000000" w:themeColor="text1"/>
                <w:sz w:val="24"/>
                <w:szCs w:val="32"/>
                <w14:textFill>
                  <w14:solidFill>
                    <w14:schemeClr w14:val="tx1"/>
                  </w14:solidFill>
                </w14:textFill>
              </w:rPr>
              <m:t>Eℎk</m:t>
            </m:r>
            <m:ctrlPr>
              <w:rPr>
                <w:rFonts w:ascii="Cambria Math" w:hAnsi="Cambria Math" w:cs="Times New Roman"/>
                <w:i/>
                <w:color w:val="000000" w:themeColor="text1"/>
                <w:sz w:val="24"/>
                <w:szCs w:val="32"/>
                <w14:textFill>
                  <w14:solidFill>
                    <w14:schemeClr w14:val="tx1"/>
                  </w14:solidFill>
                </w14:textFill>
              </w:rPr>
            </m:ctrlPr>
          </m:sub>
        </m:sSub>
      </m:oMath>
      <w:r>
        <w:rPr>
          <w:rFonts w:cs="Times New Roman"/>
          <w:color w:val="000000" w:themeColor="text1"/>
          <w:sz w:val="24"/>
          <w:szCs w:val="32"/>
          <w14:textFill>
            <w14:solidFill>
              <w14:schemeClr w14:val="tx1"/>
            </w14:solidFill>
          </w14:textFill>
        </w:rPr>
        <w:t>——施加</w:t>
      </w:r>
      <w:r>
        <w:rPr>
          <w:rFonts w:hint="eastAsia" w:cs="Times New Roman"/>
          <w:color w:val="000000" w:themeColor="text1"/>
          <w:sz w:val="24"/>
          <w:szCs w:val="32"/>
          <w14:textFill>
            <w14:solidFill>
              <w14:schemeClr w14:val="tx1"/>
            </w14:solidFill>
          </w14:textFill>
        </w:rPr>
        <w:t>于外墙保温层和抹面层</w:t>
      </w:r>
      <w:r>
        <w:rPr>
          <w:rFonts w:cs="Times New Roman"/>
          <w:color w:val="000000" w:themeColor="text1"/>
          <w:sz w:val="24"/>
          <w:szCs w:val="32"/>
          <w14:textFill>
            <w14:solidFill>
              <w14:schemeClr w14:val="tx1"/>
            </w14:solidFill>
          </w14:textFill>
        </w:rPr>
        <w:t>重心处的水平地震作用标准值。当验算连接节点承载力时，连接节点地震作用效应标准值应乘以2.0的增大系数</w:t>
      </w:r>
      <w:r>
        <w:rPr>
          <w:rFonts w:hint="eastAsia" w:cs="Times New Roman"/>
          <w:color w:val="000000" w:themeColor="text1"/>
          <w:sz w:val="24"/>
          <w:szCs w:val="32"/>
          <w:lang w:eastAsia="zh-CN"/>
          <w14:textFill>
            <w14:solidFill>
              <w14:schemeClr w14:val="tx1"/>
            </w14:solidFill>
          </w14:textFill>
        </w:rPr>
        <w:t>；</w:t>
      </w:r>
    </w:p>
    <w:p w14:paraId="774C58A6">
      <w:pPr>
        <w:snapToGrid w:val="0"/>
        <w:spacing w:line="360" w:lineRule="auto"/>
        <w:ind w:firstLine="664" w:firstLineChars="277"/>
        <w:rPr>
          <w:rFonts w:hint="eastAsia" w:eastAsia="宋体" w:cs="Times New Roman"/>
          <w:color w:val="000000" w:themeColor="text1"/>
          <w:sz w:val="24"/>
          <w:szCs w:val="32"/>
          <w:lang w:eastAsia="zh-CN"/>
          <w14:textFill>
            <w14:solidFill>
              <w14:schemeClr w14:val="tx1"/>
            </w14:solidFill>
          </w14:textFill>
        </w:rPr>
      </w:pPr>
      <m:oMath>
        <m:sSub>
          <m:sSubPr>
            <m:ctrlPr>
              <w:rPr>
                <w:rFonts w:ascii="Cambria Math" w:hAnsi="Cambria Math" w:cs="Times New Roman"/>
                <w:i/>
                <w:color w:val="000000" w:themeColor="text1"/>
                <w:sz w:val="24"/>
                <w:szCs w:val="32"/>
                <w14:textFill>
                  <w14:solidFill>
                    <w14:schemeClr w14:val="tx1"/>
                  </w14:solidFill>
                </w14:textFill>
              </w:rPr>
            </m:ctrlPr>
          </m:sSubPr>
          <m:e>
            <m:r>
              <m:rPr/>
              <w:rPr>
                <w:rFonts w:ascii="Cambria Math" w:hAnsi="Cambria Math" w:cs="Times New Roman"/>
                <w:color w:val="000000" w:themeColor="text1"/>
                <w:sz w:val="24"/>
                <w:szCs w:val="32"/>
                <w14:textFill>
                  <w14:solidFill>
                    <w14:schemeClr w14:val="tx1"/>
                  </w14:solidFill>
                </w14:textFill>
              </w:rPr>
              <m:t>β</m:t>
            </m:r>
            <m:ctrlPr>
              <w:rPr>
                <w:rFonts w:ascii="Cambria Math" w:hAnsi="Cambria Math" w:cs="Times New Roman"/>
                <w:i/>
                <w:color w:val="000000" w:themeColor="text1"/>
                <w:sz w:val="24"/>
                <w:szCs w:val="32"/>
                <w14:textFill>
                  <w14:solidFill>
                    <w14:schemeClr w14:val="tx1"/>
                  </w14:solidFill>
                </w14:textFill>
              </w:rPr>
            </m:ctrlPr>
          </m:e>
          <m:sub>
            <m:r>
              <m:rPr/>
              <w:rPr>
                <w:rFonts w:ascii="Cambria Math" w:hAnsi="Cambria Math" w:cs="Times New Roman"/>
                <w:color w:val="000000" w:themeColor="text1"/>
                <w:sz w:val="24"/>
                <w:szCs w:val="32"/>
                <w14:textFill>
                  <w14:solidFill>
                    <w14:schemeClr w14:val="tx1"/>
                  </w14:solidFill>
                </w14:textFill>
              </w:rPr>
              <m:t>E</m:t>
            </m:r>
            <m:ctrlPr>
              <w:rPr>
                <w:rFonts w:ascii="Cambria Math" w:hAnsi="Cambria Math" w:cs="Times New Roman"/>
                <w:i/>
                <w:color w:val="000000" w:themeColor="text1"/>
                <w:sz w:val="24"/>
                <w:szCs w:val="32"/>
                <w14:textFill>
                  <w14:solidFill>
                    <w14:schemeClr w14:val="tx1"/>
                  </w14:solidFill>
                </w14:textFill>
              </w:rPr>
            </m:ctrlPr>
          </m:sub>
        </m:sSub>
      </m:oMath>
      <w:r>
        <w:rPr>
          <w:rFonts w:cs="Times New Roman"/>
          <w:color w:val="000000" w:themeColor="text1"/>
          <w:sz w:val="24"/>
          <w:szCs w:val="32"/>
          <w14:textFill>
            <w14:solidFill>
              <w14:schemeClr w14:val="tx1"/>
            </w14:solidFill>
          </w14:textFill>
        </w:rPr>
        <w:t>——动力放大系数，可取5.0</w:t>
      </w:r>
      <w:r>
        <w:rPr>
          <w:rFonts w:hint="eastAsia" w:cs="Times New Roman"/>
          <w:color w:val="000000" w:themeColor="text1"/>
          <w:sz w:val="24"/>
          <w:szCs w:val="32"/>
          <w:lang w:eastAsia="zh-CN"/>
          <w14:textFill>
            <w14:solidFill>
              <w14:schemeClr w14:val="tx1"/>
            </w14:solidFill>
          </w14:textFill>
        </w:rPr>
        <w:t>；</w:t>
      </w:r>
    </w:p>
    <w:p w14:paraId="729421CD">
      <w:pPr>
        <w:snapToGrid w:val="0"/>
        <w:spacing w:line="360" w:lineRule="auto"/>
        <w:ind w:firstLine="664" w:firstLineChars="277"/>
        <w:rPr>
          <w:rFonts w:hint="eastAsia" w:eastAsia="宋体" w:cs="Times New Roman"/>
          <w:color w:val="000000" w:themeColor="text1"/>
          <w:sz w:val="24"/>
          <w:szCs w:val="32"/>
          <w:lang w:eastAsia="zh-CN"/>
          <w14:textFill>
            <w14:solidFill>
              <w14:schemeClr w14:val="tx1"/>
            </w14:solidFill>
          </w14:textFill>
        </w:rPr>
      </w:pPr>
      <m:oMath>
        <m:sSub>
          <m:sSubPr>
            <m:ctrlPr>
              <w:rPr>
                <w:rFonts w:ascii="Cambria Math" w:hAnsi="Cambria Math" w:cs="Times New Roman"/>
                <w:i/>
                <w:color w:val="000000" w:themeColor="text1"/>
                <w:sz w:val="24"/>
                <w:szCs w:val="32"/>
                <w14:textFill>
                  <w14:solidFill>
                    <w14:schemeClr w14:val="tx1"/>
                  </w14:solidFill>
                </w14:textFill>
              </w:rPr>
            </m:ctrlPr>
          </m:sSubPr>
          <m:e>
            <m:r>
              <m:rPr/>
              <w:rPr>
                <w:rFonts w:ascii="Cambria Math" w:hAnsi="Cambria Math" w:cs="Times New Roman"/>
                <w:color w:val="000000" w:themeColor="text1"/>
                <w:sz w:val="24"/>
                <w:szCs w:val="32"/>
                <w14:textFill>
                  <w14:solidFill>
                    <w14:schemeClr w14:val="tx1"/>
                  </w14:solidFill>
                </w14:textFill>
              </w:rPr>
              <m:t>α</m:t>
            </m:r>
            <m:ctrlPr>
              <w:rPr>
                <w:rFonts w:ascii="Cambria Math" w:hAnsi="Cambria Math" w:cs="Times New Roman"/>
                <w:i/>
                <w:color w:val="000000" w:themeColor="text1"/>
                <w:sz w:val="24"/>
                <w:szCs w:val="32"/>
                <w14:textFill>
                  <w14:solidFill>
                    <w14:schemeClr w14:val="tx1"/>
                  </w14:solidFill>
                </w14:textFill>
              </w:rPr>
            </m:ctrlPr>
          </m:e>
          <m:sub>
            <m:r>
              <m:rPr/>
              <w:rPr>
                <w:rFonts w:ascii="Cambria Math" w:hAnsi="Cambria Math" w:cs="Times New Roman"/>
                <w:color w:val="000000" w:themeColor="text1"/>
                <w:sz w:val="24"/>
                <w:szCs w:val="32"/>
                <w14:textFill>
                  <w14:solidFill>
                    <w14:schemeClr w14:val="tx1"/>
                  </w14:solidFill>
                </w14:textFill>
              </w:rPr>
              <m:t>max</m:t>
            </m:r>
            <m:ctrlPr>
              <w:rPr>
                <w:rFonts w:ascii="Cambria Math" w:hAnsi="Cambria Math" w:cs="Times New Roman"/>
                <w:i/>
                <w:color w:val="000000" w:themeColor="text1"/>
                <w:sz w:val="24"/>
                <w:szCs w:val="32"/>
                <w14:textFill>
                  <w14:solidFill>
                    <w14:schemeClr w14:val="tx1"/>
                  </w14:solidFill>
                </w14:textFill>
              </w:rPr>
            </m:ctrlPr>
          </m:sub>
        </m:sSub>
      </m:oMath>
      <w:r>
        <w:rPr>
          <w:rFonts w:cs="Times New Roman"/>
          <w:color w:val="000000" w:themeColor="text1"/>
          <w:sz w:val="24"/>
          <w:szCs w:val="32"/>
          <w14:textFill>
            <w14:solidFill>
              <w14:schemeClr w14:val="tx1"/>
            </w14:solidFill>
          </w14:textFill>
        </w:rPr>
        <w:t>——水平地震影响系数最大值，可取0.08</w:t>
      </w:r>
      <w:r>
        <w:rPr>
          <w:rFonts w:hint="eastAsia" w:cs="Times New Roman"/>
          <w:color w:val="000000" w:themeColor="text1"/>
          <w:sz w:val="24"/>
          <w:szCs w:val="32"/>
          <w:lang w:eastAsia="zh-CN"/>
          <w14:textFill>
            <w14:solidFill>
              <w14:schemeClr w14:val="tx1"/>
            </w14:solidFill>
          </w14:textFill>
        </w:rPr>
        <w:t>；</w:t>
      </w:r>
    </w:p>
    <w:p w14:paraId="392F4CDA">
      <w:pPr>
        <w:snapToGrid w:val="0"/>
        <w:spacing w:line="360" w:lineRule="auto"/>
        <w:ind w:firstLine="664" w:firstLineChars="277"/>
        <w:rPr>
          <w:rFonts w:cs="Times New Roman"/>
          <w:color w:val="000000" w:themeColor="text1"/>
          <w:sz w:val="24"/>
          <w:szCs w:val="32"/>
          <w14:textFill>
            <w14:solidFill>
              <w14:schemeClr w14:val="tx1"/>
            </w14:solidFill>
          </w14:textFill>
        </w:rPr>
      </w:pPr>
      <m:oMath>
        <m:sSub>
          <m:sSubPr>
            <m:ctrlPr>
              <w:rPr>
                <w:rFonts w:ascii="Cambria Math" w:hAnsi="Cambria Math" w:cs="Times New Roman"/>
                <w:i/>
                <w:color w:val="000000" w:themeColor="text1"/>
                <w:sz w:val="24"/>
                <w:szCs w:val="32"/>
                <w14:textFill>
                  <w14:solidFill>
                    <w14:schemeClr w14:val="tx1"/>
                  </w14:solidFill>
                </w14:textFill>
              </w:rPr>
            </m:ctrlPr>
          </m:sSubPr>
          <m:e>
            <m:r>
              <m:rPr/>
              <w:rPr>
                <w:rFonts w:ascii="Cambria Math" w:hAnsi="Cambria Math" w:cs="Times New Roman"/>
                <w:color w:val="000000" w:themeColor="text1"/>
                <w:sz w:val="24"/>
                <w:szCs w:val="32"/>
                <w14:textFill>
                  <w14:solidFill>
                    <w14:schemeClr w14:val="tx1"/>
                  </w14:solidFill>
                </w14:textFill>
              </w:rPr>
              <m:t>G</m:t>
            </m:r>
            <m:ctrlPr>
              <w:rPr>
                <w:rFonts w:ascii="Cambria Math" w:hAnsi="Cambria Math" w:cs="Times New Roman"/>
                <w:i/>
                <w:color w:val="000000" w:themeColor="text1"/>
                <w:sz w:val="24"/>
                <w:szCs w:val="32"/>
                <w14:textFill>
                  <w14:solidFill>
                    <w14:schemeClr w14:val="tx1"/>
                  </w14:solidFill>
                </w14:textFill>
              </w:rPr>
            </m:ctrlPr>
          </m:e>
          <m:sub>
            <m:r>
              <m:rPr/>
              <w:rPr>
                <w:rFonts w:ascii="Cambria Math" w:hAnsi="Cambria Math" w:cs="Times New Roman"/>
                <w:color w:val="000000" w:themeColor="text1"/>
                <w:sz w:val="24"/>
                <w:szCs w:val="32"/>
                <w14:textFill>
                  <w14:solidFill>
                    <w14:schemeClr w14:val="tx1"/>
                  </w14:solidFill>
                </w14:textFill>
              </w:rPr>
              <m:t>k</m:t>
            </m:r>
            <m:ctrlPr>
              <w:rPr>
                <w:rFonts w:ascii="Cambria Math" w:hAnsi="Cambria Math" w:cs="Times New Roman"/>
                <w:i/>
                <w:color w:val="000000" w:themeColor="text1"/>
                <w:sz w:val="24"/>
                <w:szCs w:val="32"/>
                <w14:textFill>
                  <w14:solidFill>
                    <w14:schemeClr w14:val="tx1"/>
                  </w14:solidFill>
                </w14:textFill>
              </w:rPr>
            </m:ctrlPr>
          </m:sub>
        </m:sSub>
      </m:oMath>
      <w:r>
        <w:rPr>
          <w:rFonts w:cs="Times New Roman"/>
          <w:color w:val="000000" w:themeColor="text1"/>
          <w:sz w:val="24"/>
          <w:szCs w:val="32"/>
          <w14:textFill>
            <w14:solidFill>
              <w14:schemeClr w14:val="tx1"/>
            </w14:solidFill>
          </w14:textFill>
        </w:rPr>
        <w:t>——</w:t>
      </w:r>
      <w:r>
        <w:rPr>
          <w:rFonts w:hint="eastAsia" w:cs="Times New Roman"/>
          <w:color w:val="000000" w:themeColor="text1"/>
          <w:sz w:val="24"/>
          <w:szCs w:val="32"/>
          <w14:textFill>
            <w14:solidFill>
              <w14:schemeClr w14:val="tx1"/>
            </w14:solidFill>
          </w14:textFill>
        </w:rPr>
        <w:t>外墙保温层和抹面层</w:t>
      </w:r>
      <w:r>
        <w:rPr>
          <w:rFonts w:cs="Times New Roman"/>
          <w:color w:val="000000" w:themeColor="text1"/>
          <w:sz w:val="24"/>
          <w:szCs w:val="32"/>
          <w14:textFill>
            <w14:solidFill>
              <w14:schemeClr w14:val="tx1"/>
            </w14:solidFill>
          </w14:textFill>
        </w:rPr>
        <w:t>的重力荷载标准值。</w:t>
      </w:r>
    </w:p>
    <w:p w14:paraId="0A88B7E5">
      <w:pPr>
        <w:spacing w:line="360" w:lineRule="auto"/>
        <w:rPr>
          <w:color w:val="000000" w:themeColor="text1"/>
          <w:sz w:val="24"/>
          <w:szCs w:val="32"/>
          <w14:textFill>
            <w14:solidFill>
              <w14:schemeClr w14:val="tx1"/>
            </w14:solidFill>
          </w14:textFill>
        </w:rPr>
      </w:pPr>
      <w:r>
        <w:rPr>
          <w:rFonts w:hint="eastAsia"/>
          <w:b/>
          <w:color w:val="000000" w:themeColor="text1"/>
          <w:sz w:val="24"/>
          <w:szCs w:val="32"/>
          <w14:textFill>
            <w14:solidFill>
              <w14:schemeClr w14:val="tx1"/>
            </w14:solidFill>
          </w14:textFill>
        </w:rPr>
        <w:t>5</w:t>
      </w:r>
      <w:r>
        <w:rPr>
          <w:b/>
          <w:color w:val="000000" w:themeColor="text1"/>
          <w:sz w:val="24"/>
          <w:szCs w:val="32"/>
          <w14:textFill>
            <w14:solidFill>
              <w14:schemeClr w14:val="tx1"/>
            </w14:solidFill>
          </w14:textFill>
        </w:rPr>
        <w:t>.</w:t>
      </w:r>
      <w:r>
        <w:rPr>
          <w:rFonts w:hint="eastAsia"/>
          <w:b/>
          <w:color w:val="000000" w:themeColor="text1"/>
          <w:sz w:val="24"/>
          <w:szCs w:val="32"/>
          <w:lang w:val="en-US" w:eastAsia="zh-CN"/>
          <w14:textFill>
            <w14:solidFill>
              <w14:schemeClr w14:val="tx1"/>
            </w14:solidFill>
          </w14:textFill>
        </w:rPr>
        <w:t>3</w:t>
      </w:r>
      <w:r>
        <w:rPr>
          <w:b/>
          <w:color w:val="000000" w:themeColor="text1"/>
          <w:sz w:val="24"/>
          <w:szCs w:val="32"/>
          <w14:textFill>
            <w14:solidFill>
              <w14:schemeClr w14:val="tx1"/>
            </w14:solidFill>
          </w14:textFill>
        </w:rPr>
        <w:t>.</w:t>
      </w:r>
      <w:r>
        <w:rPr>
          <w:rFonts w:hint="eastAsia"/>
          <w:b/>
          <w:color w:val="000000" w:themeColor="text1"/>
          <w:sz w:val="24"/>
          <w:szCs w:val="32"/>
          <w:lang w:val="en-US" w:eastAsia="zh-CN"/>
          <w14:textFill>
            <w14:solidFill>
              <w14:schemeClr w14:val="tx1"/>
            </w14:solidFill>
          </w14:textFill>
        </w:rPr>
        <w:t>15</w:t>
      </w:r>
      <w:r>
        <w:rPr>
          <w:color w:val="000000" w:themeColor="text1"/>
          <w:sz w:val="24"/>
          <w:szCs w:val="32"/>
          <w14:textFill>
            <w14:solidFill>
              <w14:schemeClr w14:val="tx1"/>
            </w14:solidFill>
          </w14:textFill>
        </w:rPr>
        <w:t xml:space="preserve">  计算薄抹灰面层的重力荷载标准值时</w:t>
      </w:r>
      <w:r>
        <w:rPr>
          <w:rFonts w:hint="eastAsia"/>
          <w:color w:val="000000" w:themeColor="text1"/>
          <w:sz w:val="24"/>
          <w:szCs w:val="32"/>
          <w14:textFill>
            <w14:solidFill>
              <w14:schemeClr w14:val="tx1"/>
            </w14:solidFill>
          </w14:textFill>
        </w:rPr>
        <w:t>，应考虑施工影响，施工影响系数可取1</w:t>
      </w:r>
      <w:r>
        <w:rPr>
          <w:color w:val="000000" w:themeColor="text1"/>
          <w:sz w:val="24"/>
          <w:szCs w:val="32"/>
          <w14:textFill>
            <w14:solidFill>
              <w14:schemeClr w14:val="tx1"/>
            </w14:solidFill>
          </w14:textFill>
        </w:rPr>
        <w:t>.6</w:t>
      </w:r>
      <w:r>
        <w:rPr>
          <w:rFonts w:hint="eastAsia"/>
          <w:color w:val="000000" w:themeColor="text1"/>
          <w:sz w:val="24"/>
          <w:szCs w:val="32"/>
          <w14:textFill>
            <w14:solidFill>
              <w14:schemeClr w14:val="tx1"/>
            </w14:solidFill>
          </w14:textFill>
        </w:rPr>
        <w:t>。</w:t>
      </w:r>
    </w:p>
    <w:p w14:paraId="7C4417C8">
      <w:pPr>
        <w:pStyle w:val="63"/>
        <w:tabs>
          <w:tab w:val="left" w:pos="227"/>
          <w:tab w:val="left" w:pos="284"/>
          <w:tab w:val="left" w:pos="709"/>
        </w:tabs>
        <w:spacing w:before="0" w:after="0" w:line="360" w:lineRule="auto"/>
        <w:ind w:firstLine="0" w:firstLineChars="0"/>
        <w:jc w:val="both"/>
        <w:rPr>
          <w:rFonts w:cstheme="minorBidi"/>
          <w:color w:val="0066FF"/>
          <w:kern w:val="2"/>
          <w:sz w:val="24"/>
          <w:szCs w:val="32"/>
          <w:u w:val="single"/>
        </w:rPr>
      </w:pPr>
      <w:r>
        <w:rPr>
          <w:rFonts w:hint="eastAsia" w:cstheme="minorBidi"/>
          <w:b/>
          <w:color w:val="0066FF"/>
          <w:kern w:val="2"/>
          <w:sz w:val="24"/>
          <w:szCs w:val="32"/>
          <w:u w:val="single"/>
        </w:rPr>
        <w:t>【条文说明】</w:t>
      </w:r>
      <w:r>
        <w:rPr>
          <w:rFonts w:hint="eastAsia" w:cstheme="minorBidi"/>
          <w:color w:val="0066FF"/>
          <w:kern w:val="2"/>
          <w:sz w:val="24"/>
          <w:szCs w:val="32"/>
          <w:u w:val="single"/>
        </w:rPr>
        <w:t>考虑施工过程中因施工偏差经常出现的薄抹灰面层增厚、不均匀等情况，通过设置施工影响系数放大薄抹灰面层的重力荷载标准值。</w:t>
      </w:r>
    </w:p>
    <w:p w14:paraId="6EABEE90">
      <w:pPr>
        <w:spacing w:line="360" w:lineRule="auto"/>
        <w:rPr>
          <w:color w:val="000000" w:themeColor="text1"/>
          <w:sz w:val="24"/>
          <w:szCs w:val="24"/>
          <w14:textFill>
            <w14:solidFill>
              <w14:schemeClr w14:val="tx1"/>
            </w14:solidFill>
          </w14:textFill>
        </w:rPr>
      </w:pPr>
      <w:r>
        <w:rPr>
          <w:b/>
          <w:color w:val="000000" w:themeColor="text1"/>
          <w:sz w:val="24"/>
          <w:szCs w:val="32"/>
          <w14:textFill>
            <w14:solidFill>
              <w14:schemeClr w14:val="tx1"/>
            </w14:solidFill>
          </w14:textFill>
        </w:rPr>
        <w:t>5.</w:t>
      </w:r>
      <w:r>
        <w:rPr>
          <w:rFonts w:hint="eastAsia"/>
          <w:b/>
          <w:color w:val="000000" w:themeColor="text1"/>
          <w:sz w:val="24"/>
          <w:szCs w:val="32"/>
          <w:lang w:val="en-US" w:eastAsia="zh-CN"/>
          <w14:textFill>
            <w14:solidFill>
              <w14:schemeClr w14:val="tx1"/>
            </w14:solidFill>
          </w14:textFill>
        </w:rPr>
        <w:t>3</w:t>
      </w:r>
      <w:r>
        <w:rPr>
          <w:b/>
          <w:color w:val="000000" w:themeColor="text1"/>
          <w:sz w:val="24"/>
          <w:szCs w:val="32"/>
          <w14:textFill>
            <w14:solidFill>
              <w14:schemeClr w14:val="tx1"/>
            </w14:solidFill>
          </w14:textFill>
        </w:rPr>
        <w:t>.</w:t>
      </w:r>
      <w:r>
        <w:rPr>
          <w:rFonts w:hint="eastAsia"/>
          <w:b/>
          <w:color w:val="000000" w:themeColor="text1"/>
          <w:sz w:val="24"/>
          <w:szCs w:val="32"/>
          <w:lang w:val="en-US" w:eastAsia="zh-CN"/>
          <w14:textFill>
            <w14:solidFill>
              <w14:schemeClr w14:val="tx1"/>
            </w14:solidFill>
          </w14:textFill>
        </w:rPr>
        <w:t>16</w:t>
      </w:r>
      <w:r>
        <w:rPr>
          <w:color w:val="000000" w:themeColor="text1"/>
          <w:sz w:val="24"/>
          <w:szCs w:val="32"/>
          <w14:textFill>
            <w14:solidFill>
              <w14:schemeClr w14:val="tx1"/>
            </w14:solidFill>
          </w14:textFill>
        </w:rPr>
        <w:t xml:space="preserve"> </w:t>
      </w:r>
      <w:r>
        <w:rPr>
          <w:color w:val="000000" w:themeColor="text1"/>
          <w:sz w:val="24"/>
          <w:szCs w:val="24"/>
          <w14:textFill>
            <w14:solidFill>
              <w14:schemeClr w14:val="tx1"/>
            </w14:solidFill>
          </w14:textFill>
        </w:rPr>
        <w:t xml:space="preserve"> 竖向地震作用标准值可取水平地震作用标准值的0.65倍。</w:t>
      </w:r>
    </w:p>
    <w:p w14:paraId="3069209D">
      <w:pPr>
        <w:bidi w:val="0"/>
        <w:rPr>
          <w:sz w:val="24"/>
          <w:szCs w:val="24"/>
        </w:rPr>
      </w:pPr>
      <w:bookmarkStart w:id="65" w:name="_Toc26234"/>
      <w:r>
        <w:rPr>
          <w:rFonts w:hint="eastAsia"/>
          <w:b/>
          <w:color w:val="000000" w:themeColor="text1"/>
          <w:sz w:val="24"/>
          <w:szCs w:val="24"/>
          <w14:textFill>
            <w14:solidFill>
              <w14:schemeClr w14:val="tx1"/>
            </w14:solidFill>
          </w14:textFill>
        </w:rPr>
        <w:t>5.3.1</w:t>
      </w:r>
      <w:r>
        <w:rPr>
          <w:rFonts w:hint="eastAsia"/>
          <w:b/>
          <w:color w:val="000000" w:themeColor="text1"/>
          <w:sz w:val="24"/>
          <w:szCs w:val="24"/>
          <w:lang w:val="en-US" w:eastAsia="zh-CN"/>
          <w14:textFill>
            <w14:solidFill>
              <w14:schemeClr w14:val="tx1"/>
            </w14:solidFill>
          </w14:textFill>
        </w:rPr>
        <w:t>7</w:t>
      </w:r>
      <w:r>
        <w:rPr>
          <w:rFonts w:hint="eastAsia"/>
          <w:b/>
          <w:color w:val="000000" w:themeColor="text1"/>
          <w:sz w:val="24"/>
          <w:szCs w:val="24"/>
          <w14:textFill>
            <w14:solidFill>
              <w14:schemeClr w14:val="tx1"/>
            </w14:solidFill>
          </w14:textFill>
        </w:rPr>
        <w:t xml:space="preserve"> </w:t>
      </w:r>
      <w:r>
        <w:rPr>
          <w:rFonts w:hint="eastAsia"/>
          <w:sz w:val="24"/>
          <w:szCs w:val="24"/>
        </w:rPr>
        <w:t xml:space="preserve"> </w:t>
      </w:r>
      <w:r>
        <w:rPr>
          <w:rFonts w:hint="eastAsia"/>
          <w:color w:val="000000" w:themeColor="text1"/>
          <w:sz w:val="24"/>
          <w:szCs w:val="24"/>
          <w14:textFill>
            <w14:solidFill>
              <w14:schemeClr w14:val="tx1"/>
            </w14:solidFill>
          </w14:textFill>
        </w:rPr>
        <w:t>锚固件应符合下列规定：</w:t>
      </w:r>
      <w:bookmarkEnd w:id="65"/>
    </w:p>
    <w:p w14:paraId="2CAFABF1">
      <w:pPr>
        <w:spacing w:line="360" w:lineRule="auto"/>
        <w:ind w:firstLine="480"/>
        <w:rPr>
          <w:rFonts w:ascii="宋体" w:hAnsi="宋体" w:cs="宋体"/>
          <w:sz w:val="24"/>
          <w:szCs w:val="24"/>
        </w:rPr>
      </w:pPr>
      <w:r>
        <w:rPr>
          <w:rFonts w:hint="eastAsia"/>
          <w:b/>
          <w:bCs/>
          <w:sz w:val="24"/>
          <w:szCs w:val="24"/>
        </w:rPr>
        <w:t>1</w:t>
      </w:r>
      <w:r>
        <w:rPr>
          <w:rFonts w:hint="eastAsia" w:ascii="宋体" w:hAnsi="宋体" w:cs="宋体"/>
          <w:sz w:val="24"/>
          <w:szCs w:val="24"/>
        </w:rPr>
        <w:t xml:space="preserve">  锚固件的其他配套部件材料应满足主体结构设计工作年限和耐久性要求；</w:t>
      </w:r>
    </w:p>
    <w:p w14:paraId="7701073A">
      <w:pPr>
        <w:bidi w:val="0"/>
        <w:ind w:firstLine="480" w:firstLineChars="200"/>
        <w:rPr>
          <w:rFonts w:hint="eastAsia" w:ascii="宋体" w:hAnsi="宋体" w:eastAsia="宋体" w:cs="宋体"/>
          <w:sz w:val="24"/>
          <w:szCs w:val="24"/>
          <w:lang w:eastAsia="zh-CN"/>
        </w:rPr>
      </w:pPr>
      <w:bookmarkStart w:id="66" w:name="_Toc18331"/>
      <w:r>
        <w:rPr>
          <w:rFonts w:hint="default" w:ascii="Times New Roman" w:hAnsi="Times New Roman" w:eastAsia="宋体" w:cs="Times New Roman"/>
          <w:sz w:val="24"/>
          <w:szCs w:val="24"/>
        </w:rPr>
        <w:t xml:space="preserve">2 </w:t>
      </w:r>
      <w:r>
        <w:rPr>
          <w:rFonts w:hint="eastAsia" w:ascii="宋体" w:hAnsi="宋体" w:eastAsia="宋体" w:cs="宋体"/>
          <w:sz w:val="24"/>
          <w:szCs w:val="24"/>
        </w:rPr>
        <w:t xml:space="preserve"> 锚固件锚盘直径不应小于60mm</w:t>
      </w:r>
      <w:r>
        <w:rPr>
          <w:rFonts w:hint="eastAsia" w:ascii="宋体" w:hAnsi="宋体" w:eastAsia="宋体" w:cs="宋体"/>
          <w:sz w:val="24"/>
          <w:szCs w:val="24"/>
          <w:lang w:eastAsia="zh-CN"/>
        </w:rPr>
        <w:t>；</w:t>
      </w:r>
      <w:bookmarkEnd w:id="66"/>
    </w:p>
    <w:p w14:paraId="6ED3FCB6">
      <w:pPr>
        <w:spacing w:line="360" w:lineRule="auto"/>
        <w:ind w:firstLine="480"/>
        <w:rPr>
          <w:rFonts w:hint="eastAsia" w:ascii="宋体" w:hAnsi="宋体" w:cs="宋体"/>
          <w:sz w:val="24"/>
          <w:lang w:eastAsia="zh-CN"/>
        </w:rPr>
      </w:pPr>
      <w:r>
        <w:rPr>
          <w:rFonts w:hint="eastAsia"/>
          <w:b/>
          <w:bCs/>
          <w:sz w:val="24"/>
          <w:szCs w:val="24"/>
        </w:rPr>
        <w:t>3</w:t>
      </w:r>
      <w:r>
        <w:rPr>
          <w:rFonts w:hint="eastAsia" w:ascii="宋体" w:hAnsi="宋体" w:cs="宋体"/>
          <w:sz w:val="24"/>
          <w:szCs w:val="24"/>
        </w:rPr>
        <w:t xml:space="preserve">  建筑高度大于60m时，保温板侧立</w:t>
      </w:r>
      <w:r>
        <w:rPr>
          <w:rFonts w:hint="eastAsia" w:ascii="宋体" w:hAnsi="宋体" w:cs="宋体"/>
          <w:sz w:val="24"/>
        </w:rPr>
        <w:t>布置和板底布置时，锚固件锚杆直径不应小于8mm。</w:t>
      </w:r>
    </w:p>
    <w:p w14:paraId="6328B79E">
      <w:pPr>
        <w:pStyle w:val="2"/>
        <w:spacing w:after="0" w:line="360" w:lineRule="auto"/>
        <w:rPr>
          <w:rFonts w:ascii="宋体" w:hAnsi="宋体" w:cs="宋体"/>
          <w:sz w:val="24"/>
          <w:highlight w:val="none"/>
        </w:rPr>
      </w:pPr>
      <w:r>
        <w:rPr>
          <w:rFonts w:hint="eastAsia"/>
          <w:b/>
          <w:bCs/>
          <w:sz w:val="24"/>
          <w:highlight w:val="none"/>
        </w:rPr>
        <w:t>5.3.1</w:t>
      </w:r>
      <w:r>
        <w:rPr>
          <w:rFonts w:hint="eastAsia"/>
          <w:b/>
          <w:bCs/>
          <w:sz w:val="24"/>
          <w:highlight w:val="none"/>
          <w:lang w:val="en-US" w:eastAsia="zh-CN"/>
        </w:rPr>
        <w:t>8</w:t>
      </w:r>
      <w:r>
        <w:rPr>
          <w:rFonts w:hint="eastAsia" w:ascii="宋体" w:hAnsi="宋体" w:cs="宋体"/>
          <w:sz w:val="24"/>
          <w:highlight w:val="none"/>
        </w:rPr>
        <w:t xml:space="preserve">  预制集成保温外墙板中的锚固件宜采用矩形布置或梅花形布置</w:t>
      </w:r>
      <w:r>
        <w:rPr>
          <w:rFonts w:hint="eastAsia" w:ascii="宋体" w:hAnsi="宋体" w:cs="宋体"/>
          <w:sz w:val="24"/>
          <w:highlight w:val="none"/>
          <w:lang w:eastAsia="zh-CN"/>
        </w:rPr>
        <w:t>，</w:t>
      </w:r>
      <w:r>
        <w:rPr>
          <w:rFonts w:hint="eastAsia" w:ascii="宋体" w:hAnsi="宋体" w:cs="宋体"/>
          <w:sz w:val="24"/>
          <w:highlight w:val="none"/>
        </w:rPr>
        <w:t>且锚固件距保温板边缘宜为120mm</w:t>
      </w:r>
      <w:r>
        <w:rPr>
          <w:sz w:val="24"/>
          <w:highlight w:val="none"/>
        </w:rPr>
        <w:t>~</w:t>
      </w:r>
      <w:r>
        <w:rPr>
          <w:rFonts w:hint="eastAsia" w:ascii="宋体" w:hAnsi="宋体" w:cs="宋体"/>
          <w:sz w:val="24"/>
          <w:highlight w:val="none"/>
        </w:rPr>
        <w:t>250mm。间距宜为500mm</w:t>
      </w:r>
      <w:r>
        <w:rPr>
          <w:sz w:val="24"/>
          <w:highlight w:val="none"/>
        </w:rPr>
        <w:t>~</w:t>
      </w:r>
      <w:r>
        <w:rPr>
          <w:rFonts w:hint="eastAsia" w:ascii="宋体" w:hAnsi="宋体" w:cs="宋体"/>
          <w:sz w:val="24"/>
          <w:highlight w:val="none"/>
        </w:rPr>
        <w:t>750mm，保温板厚度小于100mm且建筑高度低于24m时可按高值取用，其余情况宜按低值取用。当有可靠依据时，也可采用其他边距和间距。</w:t>
      </w:r>
    </w:p>
    <w:p w14:paraId="7BD20BD9">
      <w:pPr>
        <w:bidi w:val="0"/>
        <w:spacing w:line="360" w:lineRule="auto"/>
        <w:rPr>
          <w:rFonts w:hint="eastAsia" w:ascii="宋体" w:hAnsi="宋体" w:eastAsia="宋体" w:cs="宋体"/>
          <w:sz w:val="24"/>
          <w:szCs w:val="24"/>
        </w:rPr>
      </w:pPr>
      <w:bookmarkStart w:id="67" w:name="_Toc29754"/>
      <w:r>
        <w:rPr>
          <w:rFonts w:hint="eastAsia"/>
          <w:b/>
          <w:bCs/>
          <w:sz w:val="24"/>
          <w:szCs w:val="24"/>
        </w:rPr>
        <w:t>5.3.</w:t>
      </w:r>
      <w:r>
        <w:rPr>
          <w:rFonts w:hint="eastAsia"/>
          <w:b/>
          <w:bCs/>
          <w:sz w:val="24"/>
          <w:szCs w:val="24"/>
          <w:lang w:val="en-US" w:eastAsia="zh-CN"/>
        </w:rPr>
        <w:t>19</w:t>
      </w:r>
      <w:r>
        <w:rPr>
          <w:rFonts w:hint="eastAsia"/>
          <w:sz w:val="24"/>
          <w:szCs w:val="24"/>
        </w:rPr>
        <w:t xml:space="preserve">  </w:t>
      </w:r>
      <w:r>
        <w:rPr>
          <w:rFonts w:hint="eastAsia" w:ascii="宋体" w:hAnsi="宋体" w:eastAsia="宋体" w:cs="宋体"/>
          <w:sz w:val="24"/>
          <w:szCs w:val="24"/>
        </w:rPr>
        <w:t>锚固件布置应满足设计要求，并且符合下列规定：</w:t>
      </w:r>
      <w:bookmarkEnd w:id="67"/>
    </w:p>
    <w:p w14:paraId="1639C6BE">
      <w:pPr>
        <w:bidi w:val="0"/>
        <w:spacing w:line="360" w:lineRule="auto"/>
        <w:ind w:firstLine="482" w:firstLineChars="200"/>
        <w:rPr>
          <w:rFonts w:hint="eastAsia" w:ascii="宋体" w:hAnsi="宋体" w:eastAsia="宋体" w:cs="宋体"/>
          <w:sz w:val="24"/>
          <w:szCs w:val="24"/>
        </w:rPr>
      </w:pPr>
      <w:bookmarkStart w:id="68" w:name="_Toc29704"/>
      <w:r>
        <w:rPr>
          <w:rFonts w:hint="default" w:ascii="Times New Roman" w:hAnsi="Times New Roman" w:eastAsia="宋体" w:cs="Times New Roman"/>
          <w:b/>
          <w:bCs/>
          <w:sz w:val="24"/>
          <w:szCs w:val="24"/>
        </w:rPr>
        <w:t>1</w:t>
      </w:r>
      <w:r>
        <w:rPr>
          <w:rFonts w:hint="eastAsia" w:ascii="宋体" w:hAnsi="宋体" w:eastAsia="宋体" w:cs="宋体"/>
          <w:sz w:val="24"/>
          <w:szCs w:val="24"/>
        </w:rPr>
        <w:t xml:space="preserve">  应以每块保温板为单元，根据板块大小和尺寸进行布置；</w:t>
      </w:r>
      <w:bookmarkEnd w:id="68"/>
    </w:p>
    <w:p w14:paraId="4BA4B4D4">
      <w:pPr>
        <w:pStyle w:val="2"/>
        <w:spacing w:after="0" w:line="360" w:lineRule="auto"/>
        <w:ind w:firstLine="480"/>
        <w:rPr>
          <w:rFonts w:ascii="宋体" w:hAnsi="宋体" w:cs="宋体"/>
          <w:sz w:val="24"/>
          <w:highlight w:val="none"/>
        </w:rPr>
      </w:pPr>
      <w:r>
        <w:rPr>
          <w:rFonts w:hint="eastAsia"/>
          <w:b/>
          <w:bCs/>
          <w:sz w:val="24"/>
          <w:highlight w:val="none"/>
        </w:rPr>
        <w:t>2</w:t>
      </w:r>
      <w:r>
        <w:rPr>
          <w:rFonts w:hint="eastAsia" w:ascii="宋体" w:hAnsi="宋体" w:cs="宋体"/>
          <w:sz w:val="24"/>
          <w:highlight w:val="none"/>
        </w:rPr>
        <w:t xml:space="preserve">  保温板侧立布置和板底布置时，</w:t>
      </w:r>
      <w:r>
        <w:rPr>
          <w:rFonts w:hint="eastAsia" w:ascii="宋体" w:hAnsi="宋体" w:cs="宋体"/>
          <w:sz w:val="24"/>
          <w:highlight w:val="none"/>
          <w:lang w:eastAsia="zh-CN"/>
        </w:rPr>
        <w:t>每平方米的</w:t>
      </w:r>
      <w:r>
        <w:rPr>
          <w:rFonts w:hint="eastAsia" w:ascii="宋体" w:hAnsi="宋体" w:cs="宋体"/>
          <w:sz w:val="24"/>
          <w:highlight w:val="none"/>
        </w:rPr>
        <w:t>锚固件不应小于4个；板面布置时</w:t>
      </w:r>
      <w:r>
        <w:rPr>
          <w:rFonts w:hint="eastAsia" w:ascii="宋体" w:hAnsi="宋体" w:cs="宋体"/>
          <w:sz w:val="24"/>
          <w:highlight w:val="none"/>
          <w:lang w:eastAsia="zh-CN"/>
        </w:rPr>
        <w:t>每平方米的</w:t>
      </w:r>
      <w:r>
        <w:rPr>
          <w:rFonts w:hint="eastAsia" w:ascii="宋体" w:hAnsi="宋体" w:cs="宋体"/>
          <w:sz w:val="24"/>
          <w:highlight w:val="none"/>
        </w:rPr>
        <w:t>锚固件不应少于3个</w:t>
      </w:r>
      <w:r>
        <w:rPr>
          <w:rFonts w:hint="eastAsia" w:ascii="宋体" w:hAnsi="宋体" w:cs="宋体"/>
          <w:sz w:val="24"/>
          <w:highlight w:val="none"/>
          <w:lang w:eastAsia="zh-CN"/>
        </w:rPr>
        <w:t>，当面积</w:t>
      </w:r>
      <w:r>
        <w:rPr>
          <w:rFonts w:hint="eastAsia" w:ascii="宋体" w:hAnsi="宋体" w:cs="宋体"/>
          <w:sz w:val="24"/>
          <w:highlight w:val="none"/>
        </w:rPr>
        <w:t>小于1.0</w:t>
      </w:r>
      <w:r>
        <w:rPr>
          <w:rFonts w:hint="eastAsia" w:ascii="宋体" w:hAnsi="宋体" w:cs="宋体"/>
          <w:sz w:val="24"/>
          <w:highlight w:val="none"/>
          <w:lang w:eastAsia="zh-CN"/>
        </w:rPr>
        <w:t>平方米</w:t>
      </w:r>
      <w:r>
        <w:rPr>
          <w:rFonts w:hint="eastAsia" w:ascii="宋体" w:hAnsi="宋体" w:cs="宋体"/>
          <w:sz w:val="24"/>
          <w:highlight w:val="none"/>
        </w:rPr>
        <w:t>时锚固件不应少于2个；</w:t>
      </w:r>
    </w:p>
    <w:p w14:paraId="749234AE">
      <w:pPr>
        <w:spacing w:line="360" w:lineRule="auto"/>
        <w:ind w:firstLine="480"/>
        <w:rPr>
          <w:rFonts w:ascii="宋体" w:hAnsi="宋体" w:cs="宋体"/>
          <w:sz w:val="24"/>
          <w:highlight w:val="none"/>
        </w:rPr>
      </w:pPr>
      <w:r>
        <w:rPr>
          <w:rFonts w:hint="eastAsia"/>
          <w:b/>
          <w:bCs/>
          <w:sz w:val="24"/>
          <w:highlight w:val="none"/>
        </w:rPr>
        <w:t>3</w:t>
      </w:r>
      <w:r>
        <w:rPr>
          <w:rFonts w:hint="eastAsia" w:ascii="宋体" w:hAnsi="宋体" w:cs="宋体"/>
          <w:sz w:val="24"/>
          <w:highlight w:val="none"/>
        </w:rPr>
        <w:t xml:space="preserve">  预制集成保温外墙墙板边缘独立保温板</w:t>
      </w:r>
      <w:r>
        <w:rPr>
          <w:rFonts w:hint="eastAsia" w:ascii="宋体" w:hAnsi="宋体" w:cs="宋体"/>
          <w:sz w:val="24"/>
          <w:highlight w:val="none"/>
          <w:lang w:eastAsia="zh-CN"/>
        </w:rPr>
        <w:t>面积</w:t>
      </w:r>
      <w:r>
        <w:rPr>
          <w:rFonts w:hint="eastAsia" w:ascii="宋体" w:hAnsi="宋体" w:cs="宋体"/>
          <w:sz w:val="24"/>
          <w:highlight w:val="none"/>
        </w:rPr>
        <w:t>小于等于0.3</w:t>
      </w:r>
      <w:r>
        <w:rPr>
          <w:rFonts w:hint="eastAsia" w:ascii="宋体" w:hAnsi="宋体" w:cs="宋体"/>
          <w:sz w:val="24"/>
          <w:highlight w:val="none"/>
          <w:lang w:eastAsia="zh-CN"/>
        </w:rPr>
        <w:t>平方米</w:t>
      </w:r>
      <w:r>
        <w:rPr>
          <w:rFonts w:hint="eastAsia" w:ascii="宋体" w:hAnsi="宋体" w:cs="宋体"/>
          <w:sz w:val="24"/>
          <w:highlight w:val="none"/>
        </w:rPr>
        <w:t>时，锚固件不应少于1个</w:t>
      </w:r>
      <w:r>
        <w:rPr>
          <w:rFonts w:hint="eastAsia" w:ascii="宋体" w:hAnsi="宋体" w:cs="宋体"/>
          <w:sz w:val="24"/>
          <w:highlight w:val="none"/>
          <w:lang w:eastAsia="zh-CN"/>
        </w:rPr>
        <w:t>；当保温板面积</w:t>
      </w:r>
      <w:r>
        <w:rPr>
          <w:rFonts w:hint="eastAsia" w:ascii="宋体" w:hAnsi="宋体" w:cs="宋体"/>
          <w:sz w:val="24"/>
          <w:highlight w:val="none"/>
        </w:rPr>
        <w:t>大于0.3</w:t>
      </w:r>
      <w:r>
        <w:rPr>
          <w:rFonts w:hint="eastAsia" w:ascii="宋体" w:hAnsi="宋体" w:cs="宋体"/>
          <w:sz w:val="24"/>
          <w:highlight w:val="none"/>
          <w:lang w:eastAsia="zh-CN"/>
        </w:rPr>
        <w:t>平方米而</w:t>
      </w:r>
      <w:r>
        <w:rPr>
          <w:rFonts w:hint="eastAsia" w:ascii="宋体" w:hAnsi="宋体" w:cs="宋体"/>
          <w:sz w:val="24"/>
          <w:highlight w:val="none"/>
        </w:rPr>
        <w:t>小于1.0</w:t>
      </w:r>
      <w:r>
        <w:rPr>
          <w:rFonts w:hint="eastAsia" w:ascii="宋体" w:hAnsi="宋体" w:cs="宋体"/>
          <w:sz w:val="24"/>
          <w:highlight w:val="none"/>
          <w:lang w:eastAsia="zh-CN"/>
        </w:rPr>
        <w:t>平方米</w:t>
      </w:r>
      <w:r>
        <w:rPr>
          <w:rFonts w:hint="eastAsia" w:ascii="宋体" w:hAnsi="宋体" w:cs="宋体"/>
          <w:sz w:val="24"/>
          <w:highlight w:val="none"/>
        </w:rPr>
        <w:t>时</w:t>
      </w:r>
      <w:r>
        <w:rPr>
          <w:rFonts w:hint="eastAsia" w:ascii="宋体" w:hAnsi="宋体" w:cs="宋体"/>
          <w:sz w:val="24"/>
          <w:highlight w:val="none"/>
          <w:lang w:eastAsia="zh-CN"/>
        </w:rPr>
        <w:t>，</w:t>
      </w:r>
      <w:r>
        <w:rPr>
          <w:rFonts w:hint="eastAsia" w:ascii="宋体" w:hAnsi="宋体" w:cs="宋体"/>
          <w:sz w:val="24"/>
          <w:highlight w:val="none"/>
        </w:rPr>
        <w:t>锚固件不应少于2个。</w:t>
      </w:r>
    </w:p>
    <w:p w14:paraId="4D351A3E">
      <w:pPr>
        <w:spacing w:line="360" w:lineRule="auto"/>
        <w:rPr>
          <w:rFonts w:ascii="宋体" w:hAnsi="宋体" w:cs="宋体"/>
          <w:sz w:val="24"/>
        </w:rPr>
      </w:pPr>
      <w:r>
        <w:rPr>
          <w:rFonts w:hint="eastAsia"/>
          <w:b/>
          <w:bCs/>
          <w:sz w:val="24"/>
        </w:rPr>
        <w:t>5.3.</w:t>
      </w:r>
      <w:r>
        <w:rPr>
          <w:rFonts w:hint="eastAsia"/>
          <w:b/>
          <w:bCs/>
          <w:sz w:val="24"/>
          <w:lang w:val="en-US" w:eastAsia="zh-CN"/>
        </w:rPr>
        <w:t>20</w:t>
      </w:r>
      <w:r>
        <w:rPr>
          <w:rFonts w:hint="eastAsia" w:ascii="宋体" w:hAnsi="宋体" w:cs="宋体"/>
          <w:sz w:val="24"/>
        </w:rPr>
        <w:t xml:space="preserve">  锚固件在基层墙体中的有效锚固长度不应小于7倍锚杆直径，</w:t>
      </w:r>
      <w:r>
        <w:rPr>
          <w:rFonts w:hint="eastAsia" w:ascii="宋体" w:hAnsi="宋体" w:cs="宋体"/>
          <w:sz w:val="24"/>
          <w:lang w:eastAsia="zh-CN"/>
        </w:rPr>
        <w:t>且</w:t>
      </w:r>
      <w:r>
        <w:rPr>
          <w:rFonts w:hint="eastAsia" w:ascii="宋体" w:hAnsi="宋体" w:cs="宋体"/>
          <w:sz w:val="24"/>
        </w:rPr>
        <w:t>不应小于50mm。</w:t>
      </w:r>
    </w:p>
    <w:p w14:paraId="4457893F">
      <w:pPr>
        <w:bidi w:val="0"/>
        <w:rPr>
          <w:rFonts w:ascii="宋体" w:hAnsi="宋体" w:cs="宋体"/>
          <w:sz w:val="24"/>
        </w:rPr>
      </w:pPr>
      <w:bookmarkStart w:id="69" w:name="_Toc17038"/>
      <w:r>
        <w:rPr>
          <w:rFonts w:hint="eastAsia"/>
          <w:b/>
          <w:bCs/>
          <w:sz w:val="24"/>
        </w:rPr>
        <w:t>5.3.</w:t>
      </w:r>
      <w:r>
        <w:rPr>
          <w:rFonts w:hint="eastAsia"/>
          <w:b/>
          <w:bCs/>
          <w:sz w:val="24"/>
          <w:lang w:val="en-US" w:eastAsia="zh-CN"/>
        </w:rPr>
        <w:t>21</w:t>
      </w:r>
      <w:r>
        <w:rPr>
          <w:rFonts w:hint="eastAsia" w:ascii="宋体" w:hAnsi="宋体" w:cs="宋体"/>
          <w:sz w:val="24"/>
        </w:rPr>
        <w:t xml:space="preserve">  金属与石材幕墙及其连接应满足抗风和抗震要求。</w:t>
      </w:r>
      <w:bookmarkEnd w:id="69"/>
    </w:p>
    <w:p w14:paraId="0FBC1B74">
      <w:pPr>
        <w:spacing w:line="360" w:lineRule="auto"/>
        <w:rPr>
          <w:rFonts w:ascii="宋体" w:hAnsi="宋体" w:cs="宋体"/>
          <w:color w:val="000000" w:themeColor="text1"/>
          <w:sz w:val="24"/>
          <w14:textFill>
            <w14:solidFill>
              <w14:schemeClr w14:val="tx1"/>
            </w14:solidFill>
          </w14:textFill>
        </w:rPr>
      </w:pPr>
      <w:r>
        <w:rPr>
          <w:rFonts w:hint="eastAsia"/>
          <w:b/>
          <w:bCs/>
          <w:sz w:val="24"/>
        </w:rPr>
        <w:t>5.3.</w:t>
      </w:r>
      <w:r>
        <w:rPr>
          <w:rFonts w:hint="eastAsia"/>
          <w:b/>
          <w:bCs/>
          <w:sz w:val="24"/>
          <w:lang w:val="en-US" w:eastAsia="zh-CN"/>
        </w:rPr>
        <w:t>22</w:t>
      </w:r>
      <w:r>
        <w:rPr>
          <w:rFonts w:hint="eastAsia" w:ascii="宋体" w:hAnsi="宋体" w:cs="宋体"/>
          <w:sz w:val="24"/>
        </w:rPr>
        <w:t xml:space="preserve">  金属与石材幕墙立柱与预制集成保温外墙宜通过预埋件连接，预埋件应在预制集成保温外墙体生产时埋入</w:t>
      </w:r>
      <w:r>
        <w:rPr>
          <w:rFonts w:hint="eastAsia" w:ascii="宋体" w:hAnsi="宋体" w:cs="宋体"/>
          <w:sz w:val="24"/>
          <w:lang w:eastAsia="zh-CN"/>
        </w:rPr>
        <w:t>基层墙体内</w:t>
      </w:r>
      <w:r>
        <w:rPr>
          <w:rFonts w:hint="eastAsia" w:ascii="宋体" w:hAnsi="宋体" w:cs="宋体"/>
          <w:sz w:val="24"/>
        </w:rPr>
        <w:t>，预埋件的位置应准确</w:t>
      </w:r>
      <w:r>
        <w:rPr>
          <w:rFonts w:hint="eastAsia" w:ascii="宋体" w:hAnsi="宋体" w:cs="宋体"/>
          <w:sz w:val="24"/>
          <w:lang w:eastAsia="zh-CN"/>
        </w:rPr>
        <w:t>且</w:t>
      </w:r>
      <w:r>
        <w:rPr>
          <w:rFonts w:hint="eastAsia" w:ascii="宋体" w:hAnsi="宋体" w:cs="宋体"/>
          <w:color w:val="000000" w:themeColor="text1"/>
          <w:sz w:val="24"/>
          <w:lang w:eastAsia="zh-CN"/>
          <w14:textFill>
            <w14:solidFill>
              <w14:schemeClr w14:val="tx1"/>
            </w14:solidFill>
          </w14:textFill>
        </w:rPr>
        <w:t>满足锚固要求</w:t>
      </w:r>
      <w:r>
        <w:rPr>
          <w:rFonts w:hint="eastAsia" w:ascii="宋体" w:hAnsi="宋体" w:cs="宋体"/>
          <w:color w:val="000000" w:themeColor="text1"/>
          <w:sz w:val="24"/>
          <w14:textFill>
            <w14:solidFill>
              <w14:schemeClr w14:val="tx1"/>
            </w14:solidFill>
          </w14:textFill>
        </w:rPr>
        <w:t>。</w:t>
      </w:r>
    </w:p>
    <w:p w14:paraId="40419F1A">
      <w:pPr>
        <w:spacing w:line="360" w:lineRule="auto"/>
        <w:rPr>
          <w:rFonts w:ascii="宋体" w:hAnsi="宋体" w:cs="宋体"/>
          <w:sz w:val="24"/>
        </w:rPr>
      </w:pPr>
      <w:r>
        <w:rPr>
          <w:rFonts w:hint="eastAsia"/>
          <w:b/>
          <w:bCs/>
          <w:sz w:val="24"/>
        </w:rPr>
        <w:t>5.3.</w:t>
      </w:r>
      <w:r>
        <w:rPr>
          <w:rFonts w:hint="eastAsia"/>
          <w:b/>
          <w:bCs/>
          <w:sz w:val="24"/>
          <w:lang w:val="en-US" w:eastAsia="zh-CN"/>
        </w:rPr>
        <w:t>23</w:t>
      </w:r>
      <w:r>
        <w:rPr>
          <w:rFonts w:hint="eastAsia" w:ascii="宋体" w:hAnsi="宋体" w:cs="宋体"/>
          <w:sz w:val="24"/>
        </w:rPr>
        <w:t xml:space="preserve"> 金属与石材幕墙用预埋件应按现行行业标准《金属与石材幕墙工程技术规范》JGJ 133的规定进行设计。</w:t>
      </w:r>
    </w:p>
    <w:p w14:paraId="4D7218A1">
      <w:pPr>
        <w:spacing w:line="360" w:lineRule="auto"/>
        <w:rPr>
          <w:rFonts w:ascii="宋体" w:hAnsi="宋体" w:cs="宋体"/>
          <w:sz w:val="24"/>
        </w:rPr>
      </w:pPr>
      <w:r>
        <w:rPr>
          <w:rFonts w:hint="eastAsia"/>
          <w:b/>
          <w:bCs/>
          <w:sz w:val="24"/>
        </w:rPr>
        <w:t>5.3.</w:t>
      </w:r>
      <w:r>
        <w:rPr>
          <w:rFonts w:hint="eastAsia"/>
          <w:b/>
          <w:bCs/>
          <w:sz w:val="24"/>
          <w:lang w:val="en-US" w:eastAsia="zh-CN"/>
        </w:rPr>
        <w:t>24</w:t>
      </w:r>
      <w:r>
        <w:rPr>
          <w:rFonts w:hint="eastAsia" w:ascii="宋体" w:hAnsi="宋体" w:cs="宋体"/>
          <w:sz w:val="24"/>
        </w:rPr>
        <w:t xml:space="preserve">  陶瓷薄板幕墙的连接设计应符合现行行业标准《玻璃幕墙工程技术规范》JGJ 102的有关规定。</w:t>
      </w:r>
    </w:p>
    <w:p w14:paraId="430D5351">
      <w:pPr>
        <w:pStyle w:val="3"/>
        <w:jc w:val="center"/>
        <w:rPr>
          <w:bCs w:val="0"/>
          <w:sz w:val="28"/>
          <w:szCs w:val="24"/>
        </w:rPr>
      </w:pPr>
      <w:r>
        <w:rPr>
          <w:b w:val="0"/>
          <w:szCs w:val="28"/>
        </w:rPr>
        <w:br w:type="page"/>
      </w:r>
      <w:bookmarkStart w:id="70" w:name="_Toc28680"/>
      <w:bookmarkStart w:id="71" w:name="_Toc4191"/>
      <w:bookmarkStart w:id="72" w:name="_Toc11474"/>
      <w:r>
        <w:rPr>
          <w:rFonts w:hint="eastAsia"/>
          <w:bCs w:val="0"/>
          <w:sz w:val="28"/>
          <w:szCs w:val="24"/>
        </w:rPr>
        <w:t>6</w:t>
      </w:r>
      <w:bookmarkEnd w:id="70"/>
      <w:r>
        <w:rPr>
          <w:rFonts w:hint="eastAsia"/>
          <w:bCs w:val="0"/>
          <w:sz w:val="28"/>
          <w:szCs w:val="24"/>
          <w:lang w:val="en-US" w:eastAsia="zh-CN"/>
        </w:rPr>
        <w:t xml:space="preserve"> </w:t>
      </w:r>
      <w:r>
        <w:rPr>
          <w:rFonts w:hint="eastAsia"/>
          <w:bCs w:val="0"/>
          <w:sz w:val="28"/>
          <w:szCs w:val="24"/>
        </w:rPr>
        <w:t>生产和运输</w:t>
      </w:r>
      <w:bookmarkEnd w:id="71"/>
      <w:bookmarkEnd w:id="72"/>
    </w:p>
    <w:p w14:paraId="2AADAAB2">
      <w:pPr>
        <w:pStyle w:val="4"/>
      </w:pPr>
      <w:bookmarkStart w:id="73" w:name="_Toc19186"/>
      <w:bookmarkStart w:id="74" w:name="_Toc20787"/>
      <w:bookmarkStart w:id="75" w:name="_Toc308"/>
      <w:r>
        <w:rPr>
          <w:rFonts w:hint="eastAsia"/>
        </w:rPr>
        <w:t>6</w:t>
      </w:r>
      <w:r>
        <w:t>.1</w:t>
      </w:r>
      <w:r>
        <w:rPr>
          <w:rFonts w:hint="eastAsia"/>
          <w:lang w:val="en-US" w:eastAsia="zh-CN"/>
        </w:rPr>
        <w:t xml:space="preserve"> </w:t>
      </w:r>
      <w:r>
        <w:t>一般规定</w:t>
      </w:r>
      <w:bookmarkEnd w:id="73"/>
      <w:bookmarkEnd w:id="74"/>
      <w:bookmarkEnd w:id="75"/>
    </w:p>
    <w:p w14:paraId="4F4B5658">
      <w:pPr>
        <w:spacing w:line="360" w:lineRule="auto"/>
        <w:rPr>
          <w:rFonts w:ascii="宋体" w:hAnsi="宋体" w:cs="宋体"/>
          <w:sz w:val="24"/>
          <w:szCs w:val="24"/>
        </w:rPr>
      </w:pPr>
      <w:r>
        <w:rPr>
          <w:rFonts w:hint="eastAsia"/>
          <w:b/>
          <w:bCs/>
          <w:sz w:val="24"/>
          <w:szCs w:val="24"/>
        </w:rPr>
        <w:t>6</w:t>
      </w:r>
      <w:r>
        <w:rPr>
          <w:b/>
          <w:bCs/>
          <w:sz w:val="24"/>
          <w:szCs w:val="24"/>
        </w:rPr>
        <w:t>.1.1</w:t>
      </w:r>
      <w:r>
        <w:rPr>
          <w:rFonts w:hint="eastAsia" w:ascii="宋体" w:hAnsi="宋体" w:cs="宋体"/>
          <w:sz w:val="24"/>
          <w:szCs w:val="24"/>
        </w:rPr>
        <w:t xml:space="preserve">  预制集成保温外</w:t>
      </w:r>
      <w:r>
        <w:rPr>
          <w:rFonts w:hint="eastAsia" w:ascii="宋体" w:hAnsi="宋体" w:cs="宋体"/>
          <w:color w:val="000000"/>
          <w:sz w:val="24"/>
          <w:szCs w:val="24"/>
        </w:rPr>
        <w:t>墙板</w:t>
      </w:r>
      <w:r>
        <w:rPr>
          <w:rFonts w:hint="eastAsia" w:ascii="宋体" w:hAnsi="宋体" w:cs="宋体"/>
          <w:sz w:val="24"/>
          <w:szCs w:val="24"/>
        </w:rPr>
        <w:t>构件的制作应符合现行国家标准《装配式混凝土建筑用预制部品通用技术条件》GB/T 40399的有关规定。</w:t>
      </w:r>
    </w:p>
    <w:p w14:paraId="0F09539C">
      <w:pPr>
        <w:pStyle w:val="2"/>
        <w:spacing w:after="0" w:line="360" w:lineRule="auto"/>
        <w:rPr>
          <w:rFonts w:ascii="宋体" w:hAnsi="宋体" w:cs="宋体"/>
          <w:color w:val="000000" w:themeColor="text1"/>
          <w:sz w:val="24"/>
          <w:szCs w:val="24"/>
          <w14:textFill>
            <w14:solidFill>
              <w14:schemeClr w14:val="tx1"/>
            </w14:solidFill>
          </w14:textFill>
        </w:rPr>
      </w:pPr>
      <w:r>
        <w:rPr>
          <w:rFonts w:hint="eastAsia"/>
          <w:b/>
          <w:bCs/>
          <w:sz w:val="24"/>
          <w:szCs w:val="24"/>
        </w:rPr>
        <w:t>6.1.2</w:t>
      </w:r>
      <w:r>
        <w:rPr>
          <w:rFonts w:hint="eastAsia" w:ascii="宋体" w:hAnsi="宋体" w:cs="宋体"/>
          <w:sz w:val="24"/>
          <w:szCs w:val="24"/>
        </w:rPr>
        <w:t xml:space="preserve">  预制集成保温外墙板构件应按构件加工图进行制作</w:t>
      </w:r>
      <w:r>
        <w:rPr>
          <w:rFonts w:hint="eastAsia" w:ascii="宋体" w:hAnsi="宋体" w:cs="宋体"/>
          <w:sz w:val="24"/>
          <w:szCs w:val="24"/>
          <w:lang w:eastAsia="zh-CN"/>
        </w:rPr>
        <w:t>，</w:t>
      </w:r>
      <w:r>
        <w:rPr>
          <w:rFonts w:hint="eastAsia" w:ascii="宋体" w:hAnsi="宋体" w:cs="宋体"/>
          <w:color w:val="000000" w:themeColor="text1"/>
          <w:sz w:val="24"/>
          <w:szCs w:val="24"/>
          <w:lang w:eastAsia="zh-CN"/>
          <w14:textFill>
            <w14:solidFill>
              <w14:schemeClr w14:val="tx1"/>
            </w14:solidFill>
          </w14:textFill>
        </w:rPr>
        <w:t>预制构件验收合格后应统一进行标识，标识应满足唯一性和可追溯性</w:t>
      </w:r>
      <w:r>
        <w:rPr>
          <w:rFonts w:hint="eastAsia" w:ascii="宋体" w:hAnsi="宋体" w:cs="宋体"/>
          <w:color w:val="000000" w:themeColor="text1"/>
          <w:sz w:val="24"/>
          <w:szCs w:val="24"/>
          <w14:textFill>
            <w14:solidFill>
              <w14:schemeClr w14:val="tx1"/>
            </w14:solidFill>
          </w14:textFill>
        </w:rPr>
        <w:t>。</w:t>
      </w:r>
    </w:p>
    <w:p w14:paraId="5D552A10">
      <w:pPr>
        <w:spacing w:line="360" w:lineRule="auto"/>
        <w:rPr>
          <w:rFonts w:ascii="宋体" w:hAnsi="宋体" w:cs="宋体"/>
          <w:sz w:val="24"/>
          <w:szCs w:val="24"/>
        </w:rPr>
      </w:pPr>
      <w:r>
        <w:rPr>
          <w:rFonts w:hint="eastAsia"/>
          <w:b/>
          <w:bCs/>
          <w:sz w:val="24"/>
          <w:szCs w:val="24"/>
        </w:rPr>
        <w:t>6.1.3</w:t>
      </w:r>
      <w:r>
        <w:rPr>
          <w:rFonts w:hint="eastAsia" w:ascii="宋体" w:hAnsi="宋体" w:cs="宋体"/>
          <w:sz w:val="24"/>
          <w:szCs w:val="24"/>
        </w:rPr>
        <w:t xml:space="preserve">  预制集成保温外墙板构件生产制作单位应具备相应的生产工艺设备，并有完善的质量管理体系和必要的试验检测手段。</w:t>
      </w:r>
    </w:p>
    <w:p w14:paraId="47FE3BAC">
      <w:pPr>
        <w:spacing w:line="360" w:lineRule="auto"/>
        <w:rPr>
          <w:rFonts w:ascii="宋体" w:hAnsi="宋体" w:cs="宋体"/>
          <w:sz w:val="24"/>
          <w:szCs w:val="24"/>
        </w:rPr>
      </w:pPr>
      <w:r>
        <w:rPr>
          <w:rFonts w:hint="eastAsia"/>
          <w:b/>
          <w:bCs/>
          <w:sz w:val="24"/>
          <w:szCs w:val="24"/>
        </w:rPr>
        <w:t>6.1.4</w:t>
      </w:r>
      <w:r>
        <w:rPr>
          <w:rFonts w:hint="eastAsia" w:ascii="宋体" w:hAnsi="宋体" w:cs="宋体"/>
          <w:sz w:val="24"/>
          <w:szCs w:val="24"/>
        </w:rPr>
        <w:t xml:space="preserve">  预制集成保温外墙板构件宜建立样板构件制作与验收制度。</w:t>
      </w:r>
    </w:p>
    <w:p w14:paraId="47BAB3D1">
      <w:pPr>
        <w:pStyle w:val="2"/>
        <w:spacing w:after="0" w:line="360" w:lineRule="auto"/>
        <w:rPr>
          <w:rFonts w:ascii="宋体" w:hAnsi="宋体" w:cs="宋体"/>
          <w:sz w:val="24"/>
          <w:szCs w:val="24"/>
        </w:rPr>
      </w:pPr>
      <w:r>
        <w:rPr>
          <w:rFonts w:hint="eastAsia"/>
          <w:b/>
          <w:bCs/>
          <w:sz w:val="24"/>
          <w:szCs w:val="24"/>
        </w:rPr>
        <w:t>6.1.5</w:t>
      </w:r>
      <w:r>
        <w:rPr>
          <w:rFonts w:hint="eastAsia" w:ascii="宋体" w:hAnsi="宋体" w:cs="宋体"/>
          <w:sz w:val="24"/>
          <w:szCs w:val="24"/>
        </w:rPr>
        <w:t xml:space="preserve">  预制集成保温外墙板构件建筑信息模型数据</w:t>
      </w:r>
      <w:r>
        <w:rPr>
          <w:rFonts w:hint="eastAsia" w:ascii="宋体" w:hAnsi="宋体" w:cs="宋体"/>
          <w:strike w:val="0"/>
          <w:dstrike w:val="0"/>
          <w:color w:val="000000" w:themeColor="text1"/>
          <w:sz w:val="24"/>
          <w:szCs w:val="24"/>
          <w:lang w:eastAsia="zh-CN"/>
          <w14:textFill>
            <w14:solidFill>
              <w14:schemeClr w14:val="tx1"/>
            </w14:solidFill>
          </w14:textFill>
        </w:rPr>
        <w:t>宜</w:t>
      </w:r>
      <w:r>
        <w:rPr>
          <w:rFonts w:hint="eastAsia" w:ascii="宋体" w:hAnsi="宋体" w:cs="宋体"/>
          <w:sz w:val="24"/>
          <w:szCs w:val="24"/>
        </w:rPr>
        <w:t>能输送给生产设备，为自动化生产提供数据支撑。</w:t>
      </w:r>
    </w:p>
    <w:p w14:paraId="0113ADFC">
      <w:pPr>
        <w:pStyle w:val="2"/>
        <w:spacing w:after="0" w:line="360" w:lineRule="auto"/>
        <w:rPr>
          <w:rFonts w:ascii="宋体" w:hAnsi="宋体" w:cs="宋体"/>
          <w:color w:val="2414F4"/>
          <w:sz w:val="24"/>
          <w:szCs w:val="24"/>
          <w:u w:val="single"/>
        </w:rPr>
      </w:pPr>
      <w:r>
        <w:rPr>
          <w:rFonts w:hint="eastAsia" w:ascii="宋体" w:hAnsi="宋体" w:cs="宋体"/>
          <w:color w:val="2414F4"/>
          <w:sz w:val="24"/>
          <w:szCs w:val="24"/>
          <w:u w:val="single"/>
        </w:rPr>
        <w:t>【条文说明】为实现预制构件在工厂的自动化生产,模型导出的数据应能够被生产设备识别，驱动自动化生产,提高生产效率。</w:t>
      </w:r>
    </w:p>
    <w:p w14:paraId="4DC33628">
      <w:pPr>
        <w:pStyle w:val="2"/>
        <w:spacing w:after="0" w:line="360" w:lineRule="auto"/>
        <w:rPr>
          <w:sz w:val="24"/>
          <w:szCs w:val="24"/>
        </w:rPr>
      </w:pPr>
      <w:r>
        <w:rPr>
          <w:rFonts w:hint="eastAsia"/>
          <w:b/>
          <w:bCs/>
          <w:sz w:val="24"/>
          <w:szCs w:val="24"/>
        </w:rPr>
        <w:t>6.1.6</w:t>
      </w:r>
      <w:r>
        <w:rPr>
          <w:rFonts w:hint="eastAsia" w:ascii="宋体" w:hAnsi="宋体" w:cs="宋体"/>
          <w:sz w:val="24"/>
          <w:szCs w:val="24"/>
        </w:rPr>
        <w:t xml:space="preserve">  预制集成保温外墙板构件生产过程中，钢筋网片的生产与组装、模具的组装、混凝土浇筑、构件养护等工序宜采用自动化智能设备完成。</w:t>
      </w:r>
      <w:r>
        <w:rPr>
          <w:b/>
          <w:sz w:val="24"/>
          <w:szCs w:val="24"/>
        </w:rPr>
        <w:t xml:space="preserve"> </w:t>
      </w:r>
    </w:p>
    <w:p w14:paraId="7CF11F88">
      <w:pPr>
        <w:pStyle w:val="4"/>
      </w:pPr>
      <w:bookmarkStart w:id="76" w:name="_Toc14937"/>
      <w:bookmarkStart w:id="77" w:name="_Toc109135657"/>
      <w:bookmarkStart w:id="78" w:name="_Toc19601"/>
      <w:bookmarkStart w:id="79" w:name="_Toc14974"/>
      <w:r>
        <w:rPr>
          <w:rFonts w:hint="eastAsia"/>
        </w:rPr>
        <w:t>6</w:t>
      </w:r>
      <w:r>
        <w:t>.2</w:t>
      </w:r>
      <w:bookmarkEnd w:id="76"/>
      <w:bookmarkEnd w:id="77"/>
      <w:r>
        <w:rPr>
          <w:rFonts w:hint="eastAsia"/>
          <w:lang w:val="en-US" w:eastAsia="zh-CN"/>
        </w:rPr>
        <w:t xml:space="preserve"> </w:t>
      </w:r>
      <w:r>
        <w:rPr>
          <w:rFonts w:hint="eastAsia"/>
        </w:rPr>
        <w:t>生产</w:t>
      </w:r>
      <w:bookmarkEnd w:id="78"/>
      <w:bookmarkEnd w:id="79"/>
    </w:p>
    <w:p w14:paraId="28043735">
      <w:pPr>
        <w:pStyle w:val="2"/>
        <w:spacing w:after="0" w:line="360" w:lineRule="auto"/>
        <w:rPr>
          <w:rFonts w:ascii="宋体" w:hAnsi="宋体" w:cs="宋体"/>
          <w:sz w:val="24"/>
        </w:rPr>
      </w:pPr>
      <w:bookmarkStart w:id="80" w:name="_Toc109135658"/>
      <w:bookmarkStart w:id="81" w:name="_Toc10203"/>
      <w:r>
        <w:rPr>
          <w:rFonts w:hint="eastAsia"/>
          <w:b/>
          <w:bCs/>
          <w:sz w:val="24"/>
        </w:rPr>
        <w:t>6</w:t>
      </w:r>
      <w:r>
        <w:rPr>
          <w:b/>
          <w:bCs/>
          <w:sz w:val="24"/>
        </w:rPr>
        <w:t>.2.1</w:t>
      </w:r>
      <w:r>
        <w:rPr>
          <w:rFonts w:hint="eastAsia" w:ascii="宋体" w:hAnsi="宋体" w:cs="宋体"/>
          <w:sz w:val="24"/>
        </w:rPr>
        <w:t xml:space="preserve">  原材料及配件应进行进场检验，并且检验批划分应符合现行国家标准《装配式混凝土建筑技术标准》GB/T 51231的有关规定。</w:t>
      </w:r>
    </w:p>
    <w:p w14:paraId="679B08FA">
      <w:pPr>
        <w:pStyle w:val="2"/>
        <w:spacing w:after="0" w:line="360" w:lineRule="auto"/>
        <w:rPr>
          <w:rFonts w:ascii="宋体" w:hAnsi="宋体" w:cs="宋体"/>
          <w:sz w:val="24"/>
        </w:rPr>
      </w:pPr>
      <w:r>
        <w:rPr>
          <w:rFonts w:hint="eastAsia"/>
          <w:b/>
          <w:bCs/>
          <w:sz w:val="24"/>
        </w:rPr>
        <w:t>6.2.2</w:t>
      </w:r>
      <w:r>
        <w:rPr>
          <w:rFonts w:hint="eastAsia" w:ascii="宋体" w:hAnsi="宋体" w:cs="宋体"/>
          <w:sz w:val="24"/>
        </w:rPr>
        <w:t xml:space="preserve">  预制集成保温外墙板构件模具尺寸的允许偏差和</w:t>
      </w:r>
      <w:r>
        <w:rPr>
          <w:rFonts w:hint="eastAsia" w:ascii="宋体" w:hAnsi="宋体" w:cs="宋体"/>
          <w:color w:val="000000" w:themeColor="text1"/>
          <w:sz w:val="24"/>
          <w14:textFill>
            <w14:solidFill>
              <w14:schemeClr w14:val="tx1"/>
            </w14:solidFill>
          </w14:textFill>
        </w:rPr>
        <w:t>检验</w:t>
      </w:r>
      <w:r>
        <w:rPr>
          <w:rFonts w:hint="eastAsia" w:ascii="宋体" w:hAnsi="宋体" w:cs="宋体"/>
          <w:sz w:val="24"/>
        </w:rPr>
        <w:t>方法应符合《装配式混凝土结构技术规程》JGJ 1的有关规定。</w:t>
      </w:r>
    </w:p>
    <w:p w14:paraId="06F73E4D">
      <w:pPr>
        <w:pStyle w:val="54"/>
        <w:spacing w:line="360" w:lineRule="auto"/>
        <w:ind w:firstLine="0" w:firstLineChars="0"/>
        <w:rPr>
          <w:rFonts w:ascii="宋体" w:hAnsi="宋体" w:cs="宋体"/>
          <w:sz w:val="24"/>
          <w:szCs w:val="24"/>
        </w:rPr>
      </w:pPr>
      <w:r>
        <w:rPr>
          <w:rFonts w:hint="eastAsia" w:ascii="Times New Roman" w:hAnsi="Times New Roman"/>
          <w:b/>
          <w:bCs/>
          <w:sz w:val="24"/>
          <w:szCs w:val="24"/>
        </w:rPr>
        <w:t>6.2.3</w:t>
      </w:r>
      <w:r>
        <w:rPr>
          <w:rFonts w:hint="eastAsia" w:ascii="宋体" w:hAnsi="宋体" w:cs="宋体"/>
          <w:sz w:val="24"/>
          <w:szCs w:val="24"/>
        </w:rPr>
        <w:t xml:space="preserve">  预制集成保温外墙板构件制作前，</w:t>
      </w:r>
      <w:r>
        <w:rPr>
          <w:rFonts w:hint="eastAsia" w:ascii="宋体" w:hAnsi="宋体" w:cs="宋体"/>
          <w:sz w:val="24"/>
          <w:szCs w:val="24"/>
          <w:lang w:eastAsia="zh-CN"/>
        </w:rPr>
        <w:t>应</w:t>
      </w:r>
      <w:r>
        <w:rPr>
          <w:rFonts w:hint="eastAsia" w:ascii="宋体" w:hAnsi="宋体" w:cs="宋体"/>
          <w:sz w:val="24"/>
          <w:szCs w:val="24"/>
        </w:rPr>
        <w:t>根据设计图纸</w:t>
      </w:r>
      <w:r>
        <w:rPr>
          <w:rFonts w:hint="eastAsia" w:ascii="宋体" w:hAnsi="宋体" w:cs="宋体"/>
          <w:sz w:val="24"/>
          <w:szCs w:val="24"/>
          <w:lang w:eastAsia="zh-CN"/>
        </w:rPr>
        <w:t>排布</w:t>
      </w:r>
      <w:r>
        <w:rPr>
          <w:rFonts w:hint="eastAsia" w:ascii="宋体" w:hAnsi="宋体" w:cs="宋体"/>
          <w:sz w:val="24"/>
          <w:szCs w:val="24"/>
        </w:rPr>
        <w:t>保温板</w:t>
      </w:r>
      <w:r>
        <w:rPr>
          <w:rFonts w:hint="eastAsia" w:ascii="宋体" w:hAnsi="宋体" w:cs="宋体"/>
          <w:sz w:val="24"/>
          <w:szCs w:val="24"/>
          <w:lang w:eastAsia="zh-CN"/>
        </w:rPr>
        <w:t>、布置</w:t>
      </w:r>
      <w:r>
        <w:rPr>
          <w:rFonts w:hint="eastAsia" w:ascii="宋体" w:hAnsi="宋体" w:cs="宋体"/>
          <w:sz w:val="24"/>
          <w:szCs w:val="24"/>
        </w:rPr>
        <w:t>锚固件。</w:t>
      </w:r>
    </w:p>
    <w:p w14:paraId="76ADA75A">
      <w:pPr>
        <w:pStyle w:val="2"/>
        <w:spacing w:after="0" w:line="360" w:lineRule="auto"/>
        <w:rPr>
          <w:rFonts w:ascii="宋体" w:hAnsi="宋体" w:cs="宋体"/>
          <w:sz w:val="24"/>
        </w:rPr>
      </w:pPr>
      <w:r>
        <w:rPr>
          <w:rFonts w:hint="eastAsia"/>
          <w:b/>
          <w:bCs/>
          <w:sz w:val="24"/>
        </w:rPr>
        <w:t>6.2.4</w:t>
      </w:r>
      <w:r>
        <w:rPr>
          <w:rFonts w:hint="eastAsia" w:ascii="宋体" w:hAnsi="宋体" w:cs="宋体"/>
          <w:sz w:val="24"/>
        </w:rPr>
        <w:t xml:space="preserve">  预制集成保温的预制构件应按设计图纸和施工要求，确认保温板、锚固件满足要求后，方可铺装保温板和安放锚固件。锚固件的安装应按设计和产品说明书要求进行。保温板铺装应紧密排列。当保温板拼缝大于3mm时，应采取措施避免混凝土进入保温板缝隙。</w:t>
      </w:r>
    </w:p>
    <w:p w14:paraId="250B1132">
      <w:pPr>
        <w:spacing w:line="360" w:lineRule="auto"/>
        <w:rPr>
          <w:rFonts w:ascii="宋体" w:hAnsi="宋体" w:cs="宋体"/>
          <w:sz w:val="24"/>
        </w:rPr>
      </w:pPr>
      <w:r>
        <w:rPr>
          <w:rFonts w:hint="eastAsia"/>
          <w:b/>
          <w:bCs/>
          <w:sz w:val="24"/>
        </w:rPr>
        <w:t>6.2.5</w:t>
      </w:r>
      <w:r>
        <w:rPr>
          <w:rFonts w:hint="eastAsia" w:ascii="宋体" w:hAnsi="宋体" w:cs="宋体"/>
          <w:sz w:val="24"/>
        </w:rPr>
        <w:t xml:space="preserve">  混凝土浇筑成型前应进行隐蔽工程验收。隐蔽工程应符合下列规定：</w:t>
      </w:r>
    </w:p>
    <w:p w14:paraId="50D64125">
      <w:pPr>
        <w:pStyle w:val="2"/>
        <w:spacing w:after="0" w:line="360" w:lineRule="auto"/>
        <w:ind w:firstLine="482" w:firstLineChars="200"/>
        <w:rPr>
          <w:rFonts w:ascii="宋体" w:hAnsi="宋体" w:cs="宋体"/>
          <w:sz w:val="24"/>
        </w:rPr>
      </w:pPr>
      <w:r>
        <w:rPr>
          <w:rFonts w:hint="eastAsia"/>
          <w:b/>
          <w:bCs/>
          <w:sz w:val="24"/>
        </w:rPr>
        <w:t>1</w:t>
      </w:r>
      <w:r>
        <w:rPr>
          <w:rFonts w:hint="eastAsia" w:ascii="宋体" w:hAnsi="宋体" w:cs="宋体"/>
          <w:sz w:val="24"/>
        </w:rPr>
        <w:t xml:space="preserve"> 保温板规格、位置、拼缝符合设计及加工制作图要求；</w:t>
      </w:r>
    </w:p>
    <w:p w14:paraId="46344E7E">
      <w:pPr>
        <w:spacing w:line="360" w:lineRule="auto"/>
        <w:ind w:firstLine="480"/>
        <w:rPr>
          <w:rFonts w:ascii="宋体" w:hAnsi="宋体" w:cs="宋体"/>
          <w:sz w:val="24"/>
        </w:rPr>
      </w:pPr>
      <w:r>
        <w:rPr>
          <w:rFonts w:hint="eastAsia"/>
          <w:b/>
          <w:bCs/>
          <w:sz w:val="24"/>
        </w:rPr>
        <w:t>2</w:t>
      </w:r>
      <w:r>
        <w:rPr>
          <w:rFonts w:hint="eastAsia" w:ascii="宋体" w:hAnsi="宋体" w:cs="宋体"/>
          <w:sz w:val="24"/>
        </w:rPr>
        <w:t xml:space="preserve"> 锚固件品种、规格、数量、位置必须符合设计及加工制作要求；</w:t>
      </w:r>
    </w:p>
    <w:p w14:paraId="323A097F">
      <w:pPr>
        <w:pStyle w:val="2"/>
        <w:spacing w:after="0" w:line="360" w:lineRule="auto"/>
        <w:ind w:firstLine="480"/>
        <w:rPr>
          <w:rFonts w:ascii="宋体" w:hAnsi="宋体" w:cs="宋体"/>
          <w:sz w:val="24"/>
        </w:rPr>
      </w:pPr>
      <w:r>
        <w:rPr>
          <w:rFonts w:hint="eastAsia"/>
          <w:b/>
          <w:bCs/>
          <w:sz w:val="24"/>
        </w:rPr>
        <w:t>3</w:t>
      </w:r>
      <w:r>
        <w:rPr>
          <w:rFonts w:hint="eastAsia" w:ascii="宋体" w:hAnsi="宋体" w:cs="宋体"/>
          <w:sz w:val="24"/>
        </w:rPr>
        <w:t xml:space="preserve"> 预埋件、预留插筋、预留孔洞、键槽、粗糙面等必须符合设计及加工图制作要求；</w:t>
      </w:r>
    </w:p>
    <w:p w14:paraId="1636DB38">
      <w:pPr>
        <w:spacing w:line="360" w:lineRule="auto"/>
        <w:ind w:firstLine="480"/>
        <w:rPr>
          <w:rFonts w:hint="eastAsia"/>
          <w:color w:val="000000" w:themeColor="text1"/>
          <w:sz w:val="24"/>
          <w:szCs w:val="32"/>
          <w:lang w:val="en-US" w:eastAsia="zh-CN"/>
          <w14:textFill>
            <w14:solidFill>
              <w14:schemeClr w14:val="tx1"/>
            </w14:solidFill>
          </w14:textFill>
        </w:rPr>
      </w:pPr>
      <w:r>
        <w:rPr>
          <w:rFonts w:hint="eastAsia"/>
          <w:b/>
          <w:bCs/>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 xml:space="preserve"> </w:t>
      </w:r>
      <w:r>
        <w:rPr>
          <w:rFonts w:hint="eastAsia"/>
          <w:color w:val="000000" w:themeColor="text1"/>
          <w:sz w:val="24"/>
          <w:szCs w:val="32"/>
          <w:lang w:val="en-US" w:eastAsia="zh-CN"/>
          <w14:textFill>
            <w14:solidFill>
              <w14:schemeClr w14:val="tx1"/>
            </w14:solidFill>
          </w14:textFill>
        </w:rPr>
        <w:t>含钢筋焊接网的规格和搭接符合设计及加工图要求；</w:t>
      </w:r>
    </w:p>
    <w:p w14:paraId="47BCC5E5">
      <w:pPr>
        <w:spacing w:line="360" w:lineRule="auto"/>
        <w:ind w:firstLine="480"/>
        <w:rPr>
          <w:rFonts w:ascii="宋体" w:hAnsi="宋体" w:cs="宋体"/>
          <w:sz w:val="24"/>
        </w:rPr>
      </w:pPr>
      <w:r>
        <w:rPr>
          <w:rFonts w:hint="default" w:ascii="Times New Roman" w:hAnsi="Times New Roman" w:cs="Times New Roman"/>
          <w:b/>
          <w:bCs/>
          <w:sz w:val="24"/>
          <w:lang w:val="en-US" w:eastAsia="zh-CN"/>
        </w:rPr>
        <w:t>5</w:t>
      </w:r>
      <w:r>
        <w:rPr>
          <w:rFonts w:hint="eastAsia" w:ascii="宋体" w:hAnsi="宋体" w:cs="宋体"/>
          <w:sz w:val="24"/>
          <w:lang w:val="en-US" w:eastAsia="zh-CN"/>
        </w:rPr>
        <w:t xml:space="preserve"> </w:t>
      </w:r>
      <w:r>
        <w:rPr>
          <w:rFonts w:hint="eastAsia" w:ascii="宋体" w:hAnsi="宋体" w:cs="宋体"/>
          <w:sz w:val="24"/>
        </w:rPr>
        <w:t>其他隐蔽工程检查项目应符合有关标规定和设计要求。</w:t>
      </w:r>
    </w:p>
    <w:p w14:paraId="3BFB6ECC">
      <w:pPr>
        <w:pStyle w:val="2"/>
        <w:spacing w:after="0" w:line="360" w:lineRule="auto"/>
        <w:rPr>
          <w:rFonts w:ascii="宋体" w:hAnsi="宋体" w:cs="宋体"/>
          <w:sz w:val="24"/>
        </w:rPr>
      </w:pPr>
      <w:r>
        <w:rPr>
          <w:rFonts w:hint="eastAsia"/>
          <w:b/>
          <w:bCs/>
          <w:sz w:val="24"/>
        </w:rPr>
        <w:t>6.2.6</w:t>
      </w:r>
      <w:r>
        <w:rPr>
          <w:rFonts w:hint="eastAsia" w:ascii="宋体" w:hAnsi="宋体" w:cs="宋体"/>
          <w:sz w:val="24"/>
        </w:rPr>
        <w:t xml:space="preserve">  上层钢筋宜采用垫块或垫块与吊挂结合方式确保钢筋保护层满足设计要求。钢筋保护层的垫块应避开锚固件的安装部位。</w:t>
      </w:r>
    </w:p>
    <w:p w14:paraId="27DCB6A3">
      <w:pPr>
        <w:spacing w:line="360" w:lineRule="auto"/>
        <w:rPr>
          <w:rFonts w:ascii="宋体" w:hAnsi="宋体" w:cs="宋体"/>
          <w:color w:val="000000" w:themeColor="text1"/>
          <w:sz w:val="24"/>
          <w14:textFill>
            <w14:solidFill>
              <w14:schemeClr w14:val="tx1"/>
            </w14:solidFill>
          </w14:textFill>
        </w:rPr>
      </w:pPr>
      <w:r>
        <w:rPr>
          <w:rFonts w:hint="eastAsia"/>
          <w:b/>
          <w:bCs/>
          <w:sz w:val="24"/>
        </w:rPr>
        <w:t>6.2.7</w:t>
      </w:r>
      <w:r>
        <w:rPr>
          <w:rFonts w:hint="eastAsia" w:ascii="宋体" w:hAnsi="宋体" w:cs="宋体"/>
          <w:sz w:val="24"/>
        </w:rPr>
        <w:t xml:space="preserve">  预制集成保温外墙板构件浇筑混凝土时应避免振动器触及保温板和</w:t>
      </w:r>
      <w:r>
        <w:rPr>
          <w:rFonts w:hint="eastAsia" w:ascii="宋体" w:hAnsi="宋体" w:cs="宋体"/>
          <w:color w:val="000000" w:themeColor="text1"/>
          <w:sz w:val="24"/>
          <w:lang w:eastAsia="zh-CN"/>
          <w14:textFill>
            <w14:solidFill>
              <w14:schemeClr w14:val="tx1"/>
            </w14:solidFill>
          </w14:textFill>
        </w:rPr>
        <w:t>锚固</w:t>
      </w:r>
      <w:r>
        <w:rPr>
          <w:rFonts w:hint="eastAsia" w:ascii="宋体" w:hAnsi="宋体" w:cs="宋体"/>
          <w:color w:val="000000" w:themeColor="text1"/>
          <w:sz w:val="24"/>
          <w14:textFill>
            <w14:solidFill>
              <w14:schemeClr w14:val="tx1"/>
            </w14:solidFill>
          </w14:textFill>
        </w:rPr>
        <w:t>件。</w:t>
      </w:r>
    </w:p>
    <w:p w14:paraId="16B5400B">
      <w:pPr>
        <w:pStyle w:val="2"/>
        <w:spacing w:after="0" w:line="360" w:lineRule="auto"/>
        <w:rPr>
          <w:rFonts w:ascii="宋体" w:hAnsi="宋体" w:cs="宋体"/>
          <w:sz w:val="24"/>
        </w:rPr>
      </w:pPr>
      <w:r>
        <w:rPr>
          <w:rFonts w:hint="eastAsia"/>
          <w:b/>
          <w:bCs/>
          <w:sz w:val="24"/>
        </w:rPr>
        <w:t xml:space="preserve">6.2.8  </w:t>
      </w:r>
      <w:r>
        <w:rPr>
          <w:rFonts w:hint="eastAsia" w:ascii="宋体" w:hAnsi="宋体" w:cs="宋体"/>
          <w:sz w:val="24"/>
        </w:rPr>
        <w:t>钢筋焊接网</w:t>
      </w:r>
      <w:r>
        <w:rPr>
          <w:rFonts w:hint="eastAsia" w:ascii="宋体" w:hAnsi="宋体" w:cs="宋体"/>
          <w:color w:val="000000" w:themeColor="text1"/>
          <w:sz w:val="24"/>
          <w14:textFill>
            <w14:solidFill>
              <w14:schemeClr w14:val="tx1"/>
            </w14:solidFill>
          </w14:textFill>
        </w:rPr>
        <w:t>应</w:t>
      </w:r>
      <w:r>
        <w:rPr>
          <w:rFonts w:hint="eastAsia" w:ascii="宋体" w:hAnsi="宋体" w:cs="宋体"/>
          <w:sz w:val="24"/>
        </w:rPr>
        <w:t>采用工厂自动化机械焊接方法进行制作。</w:t>
      </w:r>
    </w:p>
    <w:p w14:paraId="4634173F">
      <w:pPr>
        <w:pStyle w:val="2"/>
        <w:spacing w:after="0" w:line="360" w:lineRule="auto"/>
        <w:rPr>
          <w:rFonts w:ascii="宋体" w:hAnsi="宋体" w:cs="宋体"/>
          <w:color w:val="2414F4"/>
          <w:sz w:val="24"/>
        </w:rPr>
      </w:pPr>
      <w:r>
        <w:rPr>
          <w:rFonts w:hint="eastAsia" w:ascii="宋体" w:hAnsi="宋体" w:cs="宋体"/>
          <w:color w:val="2414F4"/>
          <w:sz w:val="24"/>
          <w:u w:val="single"/>
        </w:rPr>
        <w:t>【条文说明】钢筋焊接网采用工厂自动化机械焊接方式进行制作，可以有效提升生产效率、节约人工；同时机械化焊接方式可实现高精度、高效率生产，且可有效避免人为因素对产品质量稳定性的影响。</w:t>
      </w:r>
    </w:p>
    <w:p w14:paraId="4C11ECF2">
      <w:pPr>
        <w:spacing w:line="360" w:lineRule="auto"/>
        <w:rPr>
          <w:rFonts w:hint="eastAsia" w:ascii="宋体" w:hAnsi="宋体" w:cs="宋体"/>
          <w:sz w:val="24"/>
        </w:rPr>
      </w:pPr>
      <w:r>
        <w:rPr>
          <w:rFonts w:hint="eastAsia"/>
          <w:b/>
          <w:bCs/>
          <w:sz w:val="24"/>
        </w:rPr>
        <w:t>6.2.9</w:t>
      </w:r>
      <w:r>
        <w:rPr>
          <w:rFonts w:hint="eastAsia" w:ascii="宋体" w:hAnsi="宋体" w:cs="宋体"/>
          <w:sz w:val="24"/>
        </w:rPr>
        <w:t xml:space="preserve">  预制集成保温外</w:t>
      </w:r>
      <w:r>
        <w:rPr>
          <w:rFonts w:hint="eastAsia" w:ascii="宋体" w:hAnsi="宋体" w:cs="宋体"/>
          <w:color w:val="000000"/>
          <w:sz w:val="24"/>
        </w:rPr>
        <w:t>墙板</w:t>
      </w:r>
      <w:r>
        <w:rPr>
          <w:rFonts w:hint="eastAsia" w:ascii="宋体" w:hAnsi="宋体" w:cs="宋体"/>
          <w:sz w:val="24"/>
        </w:rPr>
        <w:t>构件的检验应符合现行国家标准《装配式混凝土建筑技术标准》GB/T 51231的有关规定。</w:t>
      </w:r>
    </w:p>
    <w:p w14:paraId="6958E13F">
      <w:pPr>
        <w:spacing w:line="360" w:lineRule="auto"/>
        <w:rPr>
          <w:rFonts w:hint="eastAsia" w:ascii="宋体" w:hAnsi="宋体" w:eastAsia="宋体" w:cs="宋体"/>
          <w:color w:val="000000" w:themeColor="text1"/>
          <w:sz w:val="24"/>
          <w:lang w:eastAsia="zh-CN"/>
          <w14:textFill>
            <w14:solidFill>
              <w14:schemeClr w14:val="tx1"/>
            </w14:solidFill>
          </w14:textFill>
        </w:rPr>
      </w:pPr>
      <w:r>
        <w:rPr>
          <w:rFonts w:hint="eastAsia"/>
          <w:b/>
          <w:bCs/>
          <w:color w:val="000000" w:themeColor="text1"/>
          <w:sz w:val="24"/>
          <w14:textFill>
            <w14:solidFill>
              <w14:schemeClr w14:val="tx1"/>
            </w14:solidFill>
          </w14:textFill>
        </w:rPr>
        <w:t>6.2.</w:t>
      </w:r>
      <w:r>
        <w:rPr>
          <w:rFonts w:hint="eastAsia"/>
          <w:b/>
          <w:bCs/>
          <w:color w:val="000000" w:themeColor="text1"/>
          <w:sz w:val="24"/>
          <w:lang w:val="en-US" w:eastAsia="zh-CN"/>
          <w14:textFill>
            <w14:solidFill>
              <w14:schemeClr w14:val="tx1"/>
            </w14:solidFill>
          </w14:textFill>
        </w:rPr>
        <w:t>10</w:t>
      </w:r>
      <w:r>
        <w:rPr>
          <w:rFonts w:hint="eastAsia" w:ascii="宋体" w:hAnsi="宋体" w:cs="宋体"/>
          <w:color w:val="000000" w:themeColor="text1"/>
          <w:sz w:val="24"/>
          <w14:textFill>
            <w14:solidFill>
              <w14:schemeClr w14:val="tx1"/>
            </w14:solidFill>
          </w14:textFill>
        </w:rPr>
        <w:t xml:space="preserve">  预制集成保温外墙板</w:t>
      </w:r>
      <w:r>
        <w:rPr>
          <w:rFonts w:hint="eastAsia" w:ascii="宋体" w:hAnsi="宋体" w:cs="宋体"/>
          <w:color w:val="000000" w:themeColor="text1"/>
          <w:sz w:val="24"/>
          <w:lang w:eastAsia="zh-CN"/>
          <w14:textFill>
            <w14:solidFill>
              <w14:schemeClr w14:val="tx1"/>
            </w14:solidFill>
          </w14:textFill>
        </w:rPr>
        <w:t>养护后的混凝土强度符合设计要求时，方可进行拆模、起吊。脱模时，应严格按照顺序拆除模具，仔细检查确认预制构件与模具之间的连接部分完全拆除后方可进行起吊，构件起吊应平稳。</w:t>
      </w:r>
    </w:p>
    <w:p w14:paraId="20A7FFFC">
      <w:pPr>
        <w:spacing w:line="360" w:lineRule="auto"/>
        <w:rPr>
          <w:rFonts w:hint="eastAsia" w:ascii="宋体" w:hAnsi="宋体" w:eastAsia="宋体" w:cs="宋体"/>
          <w:color w:val="000000" w:themeColor="text1"/>
          <w:sz w:val="24"/>
          <w:lang w:eastAsia="zh-CN"/>
          <w14:textFill>
            <w14:solidFill>
              <w14:schemeClr w14:val="tx1"/>
            </w14:solidFill>
          </w14:textFill>
        </w:rPr>
      </w:pPr>
      <w:r>
        <w:rPr>
          <w:rFonts w:hint="eastAsia"/>
          <w:b/>
          <w:bCs/>
          <w:color w:val="000000" w:themeColor="text1"/>
          <w:sz w:val="24"/>
          <w14:textFill>
            <w14:solidFill>
              <w14:schemeClr w14:val="tx1"/>
            </w14:solidFill>
          </w14:textFill>
        </w:rPr>
        <w:t>6.2.</w:t>
      </w:r>
      <w:r>
        <w:rPr>
          <w:rFonts w:hint="eastAsia"/>
          <w:b/>
          <w:bCs/>
          <w:color w:val="000000" w:themeColor="text1"/>
          <w:sz w:val="24"/>
          <w:lang w:val="en-US" w:eastAsia="zh-CN"/>
          <w14:textFill>
            <w14:solidFill>
              <w14:schemeClr w14:val="tx1"/>
            </w14:solidFill>
          </w14:textFill>
        </w:rPr>
        <w:t>11</w:t>
      </w:r>
      <w:r>
        <w:rPr>
          <w:rFonts w:hint="eastAsia" w:ascii="宋体" w:hAnsi="宋体" w:cs="宋体"/>
          <w:color w:val="000000" w:themeColor="text1"/>
          <w:sz w:val="24"/>
          <w14:textFill>
            <w14:solidFill>
              <w14:schemeClr w14:val="tx1"/>
            </w14:solidFill>
          </w14:textFill>
        </w:rPr>
        <w:t xml:space="preserve">  预制集成保温外墙板</w:t>
      </w:r>
      <w:r>
        <w:rPr>
          <w:rFonts w:hint="eastAsia" w:ascii="宋体" w:hAnsi="宋体" w:cs="宋体"/>
          <w:color w:val="000000" w:themeColor="text1"/>
          <w:sz w:val="24"/>
          <w:lang w:eastAsia="zh-CN"/>
          <w14:textFill>
            <w14:solidFill>
              <w14:schemeClr w14:val="tx1"/>
            </w14:solidFill>
          </w14:textFill>
        </w:rPr>
        <w:t>的吊点设置应符合设计和构件加工图的要求。异型预制构件应设置临时固定工具，且吊点和吊具应进行专门设计。</w:t>
      </w:r>
    </w:p>
    <w:p w14:paraId="1B9F983D">
      <w:pPr>
        <w:spacing w:line="360" w:lineRule="auto"/>
        <w:rPr>
          <w:rFonts w:hint="eastAsia" w:ascii="宋体" w:hAnsi="宋体" w:cs="宋体"/>
          <w:color w:val="000000" w:themeColor="text1"/>
          <w:sz w:val="24"/>
          <w:lang w:eastAsia="zh-CN"/>
          <w14:textFill>
            <w14:solidFill>
              <w14:schemeClr w14:val="tx1"/>
            </w14:solidFill>
          </w14:textFill>
        </w:rPr>
      </w:pPr>
      <w:r>
        <w:rPr>
          <w:rFonts w:hint="eastAsia"/>
          <w:b/>
          <w:bCs/>
          <w:color w:val="000000" w:themeColor="text1"/>
          <w:sz w:val="24"/>
          <w14:textFill>
            <w14:solidFill>
              <w14:schemeClr w14:val="tx1"/>
            </w14:solidFill>
          </w14:textFill>
        </w:rPr>
        <w:t>6.2.</w:t>
      </w:r>
      <w:r>
        <w:rPr>
          <w:rFonts w:hint="eastAsia"/>
          <w:b/>
          <w:bCs/>
          <w:color w:val="000000" w:themeColor="text1"/>
          <w:sz w:val="24"/>
          <w:lang w:val="en-US" w:eastAsia="zh-CN"/>
          <w14:textFill>
            <w14:solidFill>
              <w14:schemeClr w14:val="tx1"/>
            </w14:solidFill>
          </w14:textFill>
        </w:rPr>
        <w:t>12</w:t>
      </w:r>
      <w:r>
        <w:rPr>
          <w:rFonts w:hint="eastAsia" w:ascii="宋体" w:hAnsi="宋体" w:cs="宋体"/>
          <w:color w:val="000000" w:themeColor="text1"/>
          <w:sz w:val="24"/>
          <w14:textFill>
            <w14:solidFill>
              <w14:schemeClr w14:val="tx1"/>
            </w14:solidFill>
          </w14:textFill>
        </w:rPr>
        <w:t xml:space="preserve">  预制集成保温外墙板</w:t>
      </w:r>
      <w:r>
        <w:rPr>
          <w:rFonts w:hint="eastAsia" w:ascii="宋体" w:hAnsi="宋体" w:cs="宋体"/>
          <w:color w:val="000000" w:themeColor="text1"/>
          <w:sz w:val="24"/>
          <w:lang w:eastAsia="zh-CN"/>
          <w14:textFill>
            <w14:solidFill>
              <w14:schemeClr w14:val="tx1"/>
            </w14:solidFill>
          </w14:textFill>
        </w:rPr>
        <w:t>脱模后，应进行外观质量检查，对出现的缺陷应进行修补，重新验收合格后方可入库出厂。</w:t>
      </w:r>
    </w:p>
    <w:p w14:paraId="66B28028">
      <w:pPr>
        <w:spacing w:line="360" w:lineRule="auto"/>
        <w:rPr>
          <w:rFonts w:hint="default" w:ascii="宋体" w:hAnsi="宋体" w:eastAsia="宋体" w:cs="宋体"/>
          <w:color w:val="000000" w:themeColor="text1"/>
          <w:sz w:val="24"/>
          <w:lang w:val="en-US" w:eastAsia="zh-CN"/>
          <w14:textFill>
            <w14:solidFill>
              <w14:schemeClr w14:val="tx1"/>
            </w14:solidFill>
          </w14:textFill>
        </w:rPr>
      </w:pPr>
      <w:r>
        <w:rPr>
          <w:rFonts w:hint="eastAsia"/>
          <w:b/>
          <w:bCs/>
          <w:color w:val="000000" w:themeColor="text1"/>
          <w:sz w:val="24"/>
          <w14:textFill>
            <w14:solidFill>
              <w14:schemeClr w14:val="tx1"/>
            </w14:solidFill>
          </w14:textFill>
        </w:rPr>
        <w:t>6.2.</w:t>
      </w:r>
      <w:r>
        <w:rPr>
          <w:rFonts w:hint="eastAsia"/>
          <w:b/>
          <w:bCs/>
          <w:color w:val="000000" w:themeColor="text1"/>
          <w:sz w:val="24"/>
          <w:lang w:val="en-US" w:eastAsia="zh-CN"/>
          <w14:textFill>
            <w14:solidFill>
              <w14:schemeClr w14:val="tx1"/>
            </w14:solidFill>
          </w14:textFill>
        </w:rPr>
        <w:t>13</w:t>
      </w:r>
      <w:r>
        <w:rPr>
          <w:rFonts w:hint="eastAsia" w:ascii="宋体" w:hAnsi="宋体" w:cs="宋体"/>
          <w:color w:val="000000" w:themeColor="text1"/>
          <w:sz w:val="24"/>
          <w14:textFill>
            <w14:solidFill>
              <w14:schemeClr w14:val="tx1"/>
            </w14:solidFill>
          </w14:textFill>
        </w:rPr>
        <w:t xml:space="preserve">  预制集成保温外墙板</w:t>
      </w:r>
      <w:r>
        <w:rPr>
          <w:rFonts w:hint="eastAsia" w:ascii="宋体" w:hAnsi="宋体" w:cs="宋体"/>
          <w:color w:val="000000" w:themeColor="text1"/>
          <w:sz w:val="24"/>
          <w:lang w:eastAsia="zh-CN"/>
          <w14:textFill>
            <w14:solidFill>
              <w14:schemeClr w14:val="tx1"/>
            </w14:solidFill>
          </w14:textFill>
        </w:rPr>
        <w:t>中混凝土部分的缺陷修补应符合现行国家标准《装配式混凝土建筑用预制部品通用技术条件》</w:t>
      </w:r>
      <w:r>
        <w:rPr>
          <w:rFonts w:hint="eastAsia" w:ascii="宋体" w:hAnsi="宋体" w:cs="宋体"/>
          <w:color w:val="000000" w:themeColor="text1"/>
          <w:sz w:val="24"/>
          <w:lang w:val="en-US" w:eastAsia="zh-CN"/>
          <w14:textFill>
            <w14:solidFill>
              <w14:schemeClr w14:val="tx1"/>
            </w14:solidFill>
          </w14:textFill>
        </w:rPr>
        <w:t>GB/T 40399的相关规定。</w:t>
      </w:r>
    </w:p>
    <w:p w14:paraId="4A38595F">
      <w:pPr>
        <w:spacing w:line="360" w:lineRule="auto"/>
        <w:rPr>
          <w:rFonts w:hint="eastAsia" w:ascii="宋体" w:hAnsi="宋体" w:cs="宋体"/>
          <w:color w:val="000000" w:themeColor="text1"/>
          <w:sz w:val="24"/>
          <w:lang w:eastAsia="zh-CN"/>
          <w14:textFill>
            <w14:solidFill>
              <w14:schemeClr w14:val="tx1"/>
            </w14:solidFill>
          </w14:textFill>
        </w:rPr>
      </w:pPr>
      <w:r>
        <w:rPr>
          <w:rFonts w:hint="eastAsia"/>
          <w:b/>
          <w:bCs/>
          <w:color w:val="000000" w:themeColor="text1"/>
          <w:sz w:val="24"/>
          <w14:textFill>
            <w14:solidFill>
              <w14:schemeClr w14:val="tx1"/>
            </w14:solidFill>
          </w14:textFill>
        </w:rPr>
        <w:t>6.2.</w:t>
      </w:r>
      <w:r>
        <w:rPr>
          <w:rFonts w:hint="eastAsia"/>
          <w:b/>
          <w:bCs/>
          <w:color w:val="000000" w:themeColor="text1"/>
          <w:sz w:val="24"/>
          <w:lang w:val="en-US" w:eastAsia="zh-CN"/>
          <w14:textFill>
            <w14:solidFill>
              <w14:schemeClr w14:val="tx1"/>
            </w14:solidFill>
          </w14:textFill>
        </w:rPr>
        <w:t>14</w:t>
      </w:r>
      <w:r>
        <w:rPr>
          <w:rFonts w:hint="eastAsia" w:ascii="宋体" w:hAnsi="宋体" w:cs="宋体"/>
          <w:color w:val="000000" w:themeColor="text1"/>
          <w:sz w:val="24"/>
          <w14:textFill>
            <w14:solidFill>
              <w14:schemeClr w14:val="tx1"/>
            </w14:solidFill>
          </w14:textFill>
        </w:rPr>
        <w:t xml:space="preserve">  预制集成保温外墙板</w:t>
      </w:r>
      <w:r>
        <w:rPr>
          <w:rFonts w:hint="eastAsia" w:ascii="宋体" w:hAnsi="宋体" w:cs="宋体"/>
          <w:color w:val="000000" w:themeColor="text1"/>
          <w:sz w:val="24"/>
          <w:lang w:eastAsia="zh-CN"/>
          <w14:textFill>
            <w14:solidFill>
              <w14:schemeClr w14:val="tx1"/>
            </w14:solidFill>
          </w14:textFill>
        </w:rPr>
        <w:t>中保温板部分缺陷的修补应满足下列要求：</w:t>
      </w:r>
    </w:p>
    <w:p w14:paraId="15E07639">
      <w:pPr>
        <w:spacing w:line="360" w:lineRule="auto"/>
        <w:ind w:firstLine="480"/>
        <w:rPr>
          <w:rFonts w:hint="eastAsia" w:ascii="宋体" w:hAnsi="宋体" w:cs="宋体"/>
          <w:color w:val="000000" w:themeColor="text1"/>
          <w:sz w:val="24"/>
          <w:lang w:val="en-US" w:eastAsia="zh-CN"/>
          <w14:textFill>
            <w14:solidFill>
              <w14:schemeClr w14:val="tx1"/>
            </w14:solidFill>
          </w14:textFill>
        </w:rPr>
      </w:pPr>
      <w:r>
        <w:rPr>
          <w:rFonts w:hint="default" w:ascii="Times New Roman" w:hAnsi="Times New Roman" w:cs="Times New Roman"/>
          <w:b/>
          <w:bCs/>
          <w:color w:val="000000" w:themeColor="text1"/>
          <w:sz w:val="24"/>
          <w:lang w:val="en-US" w:eastAsia="zh-CN"/>
          <w14:textFill>
            <w14:solidFill>
              <w14:schemeClr w14:val="tx1"/>
            </w14:solidFill>
          </w14:textFill>
        </w:rPr>
        <w:t>1</w:t>
      </w:r>
      <w:r>
        <w:rPr>
          <w:rFonts w:hint="eastAsia" w:ascii="宋体" w:hAnsi="宋体" w:cs="宋体"/>
          <w:color w:val="000000" w:themeColor="text1"/>
          <w:sz w:val="24"/>
          <w:lang w:val="en-US" w:eastAsia="zh-CN"/>
          <w14:textFill>
            <w14:solidFill>
              <w14:schemeClr w14:val="tx1"/>
            </w14:solidFill>
          </w14:textFill>
        </w:rPr>
        <w:t xml:space="preserve">  缺陷总面积小于等于墙板保温面积15%且深度小于等于10%时，宜采用轻质砂浆进行修补；</w:t>
      </w:r>
    </w:p>
    <w:p w14:paraId="5648EC42">
      <w:pPr>
        <w:spacing w:line="360" w:lineRule="auto"/>
        <w:ind w:firstLine="480"/>
        <w:rPr>
          <w:rFonts w:hint="default" w:ascii="宋体" w:hAnsi="宋体" w:cs="宋体"/>
          <w:color w:val="000000" w:themeColor="text1"/>
          <w:sz w:val="24"/>
          <w:lang w:val="en-US" w:eastAsia="zh-CN"/>
          <w14:textFill>
            <w14:solidFill>
              <w14:schemeClr w14:val="tx1"/>
            </w14:solidFill>
          </w14:textFill>
        </w:rPr>
      </w:pPr>
      <w:r>
        <w:rPr>
          <w:rFonts w:hint="default" w:ascii="Times New Roman" w:hAnsi="Times New Roman" w:cs="Times New Roman"/>
          <w:b/>
          <w:bCs/>
          <w:color w:val="000000" w:themeColor="text1"/>
          <w:sz w:val="24"/>
          <w:lang w:val="en-US" w:eastAsia="zh-CN"/>
          <w14:textFill>
            <w14:solidFill>
              <w14:schemeClr w14:val="tx1"/>
            </w14:solidFill>
          </w14:textFill>
        </w:rPr>
        <w:t>2</w:t>
      </w:r>
      <w:r>
        <w:rPr>
          <w:rFonts w:hint="eastAsia" w:ascii="宋体" w:hAnsi="宋体" w:cs="宋体"/>
          <w:color w:val="000000" w:themeColor="text1"/>
          <w:sz w:val="24"/>
          <w:lang w:val="en-US" w:eastAsia="zh-CN"/>
          <w14:textFill>
            <w14:solidFill>
              <w14:schemeClr w14:val="tx1"/>
            </w14:solidFill>
          </w14:textFill>
        </w:rPr>
        <w:t xml:space="preserve">  超过上述范围的缺陷，应采用粘结加锚固结合的方式换帖保温板进行修补，原保温板开洞四周应用锚固件进行补强。</w:t>
      </w:r>
    </w:p>
    <w:p w14:paraId="0E2BE1D7">
      <w:pPr>
        <w:pStyle w:val="4"/>
      </w:pPr>
      <w:bookmarkStart w:id="82" w:name="_Toc13893"/>
      <w:bookmarkStart w:id="83" w:name="_Toc10969"/>
      <w:r>
        <w:rPr>
          <w:rFonts w:hint="eastAsia"/>
        </w:rPr>
        <w:t>6</w:t>
      </w:r>
      <w:r>
        <w:t>.</w:t>
      </w:r>
      <w:r>
        <w:rPr>
          <w:rFonts w:hint="eastAsia"/>
        </w:rPr>
        <w:t>3</w:t>
      </w:r>
      <w:r>
        <w:rPr>
          <w:rFonts w:hint="eastAsia"/>
          <w:lang w:val="en-US" w:eastAsia="zh-CN"/>
        </w:rPr>
        <w:t xml:space="preserve"> </w:t>
      </w:r>
      <w:r>
        <w:rPr>
          <w:rFonts w:hint="eastAsia"/>
        </w:rPr>
        <w:t>出厂检验</w:t>
      </w:r>
      <w:bookmarkEnd w:id="82"/>
      <w:bookmarkEnd w:id="83"/>
    </w:p>
    <w:p w14:paraId="3A4C6254">
      <w:pPr>
        <w:spacing w:line="360" w:lineRule="auto"/>
        <w:rPr>
          <w:rFonts w:ascii="宋体" w:hAnsi="宋体" w:cs="宋体"/>
          <w:color w:val="000000"/>
          <w:sz w:val="24"/>
        </w:rPr>
      </w:pPr>
      <w:r>
        <w:rPr>
          <w:rFonts w:hint="eastAsia"/>
          <w:b/>
          <w:bCs/>
          <w:sz w:val="24"/>
        </w:rPr>
        <w:t>6.3.1</w:t>
      </w:r>
      <w:r>
        <w:rPr>
          <w:rFonts w:hint="eastAsia" w:ascii="宋体" w:hAnsi="宋体" w:cs="宋体"/>
          <w:sz w:val="24"/>
        </w:rPr>
        <w:t xml:space="preserve">  </w:t>
      </w:r>
      <w:r>
        <w:rPr>
          <w:rFonts w:hint="eastAsia" w:ascii="宋体" w:hAnsi="宋体" w:cs="宋体"/>
          <w:color w:val="000000"/>
          <w:sz w:val="24"/>
        </w:rPr>
        <w:t>预制集成保温外墙板出厂前应进行外观和性能检验。</w:t>
      </w:r>
    </w:p>
    <w:p w14:paraId="26A6051F">
      <w:pPr>
        <w:spacing w:line="360" w:lineRule="auto"/>
        <w:rPr>
          <w:rFonts w:ascii="宋体" w:hAnsi="宋体" w:cs="宋体"/>
          <w:color w:val="000000"/>
          <w:sz w:val="24"/>
        </w:rPr>
      </w:pPr>
      <w:r>
        <w:rPr>
          <w:rFonts w:hint="eastAsia"/>
          <w:b/>
          <w:bCs/>
          <w:sz w:val="24"/>
        </w:rPr>
        <w:t>6.3.2</w:t>
      </w:r>
      <w:r>
        <w:rPr>
          <w:rFonts w:hint="eastAsia" w:ascii="宋体" w:hAnsi="宋体" w:cs="宋体"/>
          <w:sz w:val="24"/>
        </w:rPr>
        <w:t xml:space="preserve">  </w:t>
      </w:r>
      <w:r>
        <w:rPr>
          <w:rFonts w:hint="eastAsia" w:ascii="宋体" w:hAnsi="宋体" w:cs="宋体"/>
          <w:color w:val="000000"/>
          <w:sz w:val="24"/>
        </w:rPr>
        <w:t>预制集成保温外墙板外观质量应符合设计要求。</w:t>
      </w:r>
    </w:p>
    <w:p w14:paraId="08E49C51">
      <w:pPr>
        <w:spacing w:line="360" w:lineRule="auto"/>
        <w:ind w:firstLine="420"/>
        <w:jc w:val="left"/>
        <w:rPr>
          <w:rFonts w:ascii="宋体" w:hAnsi="宋体"/>
          <w:sz w:val="24"/>
        </w:rPr>
      </w:pPr>
      <w:r>
        <w:rPr>
          <w:rFonts w:ascii="宋体" w:hAnsi="宋体"/>
          <w:sz w:val="24"/>
        </w:rPr>
        <w:t>检查数量：全数检查。</w:t>
      </w:r>
    </w:p>
    <w:p w14:paraId="4541499C">
      <w:pPr>
        <w:spacing w:line="360" w:lineRule="auto"/>
        <w:ind w:firstLine="420"/>
        <w:jc w:val="left"/>
        <w:rPr>
          <w:rFonts w:ascii="宋体" w:hAnsi="宋体"/>
          <w:sz w:val="24"/>
        </w:rPr>
      </w:pPr>
      <w:r>
        <w:rPr>
          <w:rFonts w:ascii="宋体" w:hAnsi="宋体"/>
          <w:sz w:val="24"/>
        </w:rPr>
        <w:t>检验方法：观察和量测。</w:t>
      </w:r>
    </w:p>
    <w:p w14:paraId="4812AD09">
      <w:pPr>
        <w:spacing w:line="360" w:lineRule="auto"/>
        <w:rPr>
          <w:rFonts w:ascii="宋体" w:hAnsi="宋体" w:cs="宋体"/>
          <w:color w:val="000000"/>
          <w:sz w:val="24"/>
        </w:rPr>
      </w:pPr>
      <w:r>
        <w:rPr>
          <w:rFonts w:hint="eastAsia"/>
          <w:b/>
          <w:bCs/>
          <w:sz w:val="24"/>
        </w:rPr>
        <w:t>6.3.3</w:t>
      </w:r>
      <w:r>
        <w:rPr>
          <w:rFonts w:hint="eastAsia" w:ascii="宋体" w:hAnsi="宋体" w:cs="宋体"/>
          <w:sz w:val="24"/>
        </w:rPr>
        <w:t xml:space="preserve">  </w:t>
      </w:r>
      <w:r>
        <w:rPr>
          <w:rFonts w:hint="eastAsia" w:ascii="宋体" w:hAnsi="宋体" w:cs="宋体"/>
          <w:color w:val="000000"/>
          <w:sz w:val="24"/>
        </w:rPr>
        <w:t>预制集成保温外墙板的尺寸允许偏差，预埋件、预留插筋、预留孔（洞）、键槽、灌浆套筒及连接钢筋、粗糙面和键槽的位置应符合现行国家标准《混凝土结构工程施工质量验收规范》GB 50204的规定。</w:t>
      </w:r>
    </w:p>
    <w:p w14:paraId="5210B0D2">
      <w:pPr>
        <w:spacing w:line="360" w:lineRule="auto"/>
        <w:ind w:firstLine="480" w:firstLineChars="200"/>
        <w:rPr>
          <w:rFonts w:ascii="宋体" w:hAnsi="宋体" w:cs="宋体"/>
          <w:color w:val="000000"/>
          <w:sz w:val="24"/>
        </w:rPr>
      </w:pPr>
      <w:r>
        <w:rPr>
          <w:rFonts w:hint="eastAsia" w:ascii="宋体" w:hAnsi="宋体" w:cs="宋体"/>
          <w:color w:val="000000"/>
          <w:sz w:val="24"/>
        </w:rPr>
        <w:t>检查数量：全数检查。</w:t>
      </w:r>
    </w:p>
    <w:p w14:paraId="75FFBE21">
      <w:pPr>
        <w:spacing w:line="360" w:lineRule="auto"/>
        <w:ind w:firstLine="480" w:firstLineChars="200"/>
        <w:rPr>
          <w:rFonts w:ascii="宋体" w:hAnsi="宋体" w:cs="宋体"/>
          <w:color w:val="000000"/>
          <w:sz w:val="24"/>
        </w:rPr>
      </w:pPr>
      <w:r>
        <w:rPr>
          <w:rFonts w:hint="eastAsia" w:ascii="宋体" w:hAnsi="宋体" w:cs="宋体"/>
          <w:color w:val="000000"/>
          <w:sz w:val="24"/>
        </w:rPr>
        <w:t>检验方法：观察和量测。</w:t>
      </w:r>
    </w:p>
    <w:p w14:paraId="4DB31880">
      <w:pPr>
        <w:spacing w:line="360" w:lineRule="auto"/>
        <w:rPr>
          <w:rFonts w:ascii="宋体" w:hAnsi="宋体" w:cs="宋体"/>
          <w:color w:val="000000"/>
          <w:sz w:val="24"/>
        </w:rPr>
      </w:pPr>
      <w:r>
        <w:rPr>
          <w:rFonts w:hint="eastAsia"/>
          <w:b/>
          <w:bCs/>
          <w:sz w:val="24"/>
        </w:rPr>
        <w:t>6.3.4</w:t>
      </w:r>
      <w:r>
        <w:rPr>
          <w:rFonts w:hint="eastAsia" w:ascii="宋体" w:hAnsi="宋体" w:cs="宋体"/>
          <w:sz w:val="24"/>
        </w:rPr>
        <w:t xml:space="preserve">  </w:t>
      </w:r>
      <w:r>
        <w:rPr>
          <w:rFonts w:hint="eastAsia" w:ascii="宋体" w:hAnsi="宋体" w:cs="宋体"/>
          <w:color w:val="000000"/>
          <w:sz w:val="24"/>
        </w:rPr>
        <w:t>预制集成保温外墙板采用的保温板类别、厚度、位置及性能应满足设计要求。</w:t>
      </w:r>
    </w:p>
    <w:p w14:paraId="1AC65AF9">
      <w:pPr>
        <w:spacing w:line="360" w:lineRule="auto"/>
        <w:ind w:firstLine="480" w:firstLineChars="200"/>
        <w:rPr>
          <w:rFonts w:ascii="宋体" w:hAnsi="宋体" w:cs="宋体"/>
          <w:color w:val="000000"/>
          <w:sz w:val="24"/>
        </w:rPr>
      </w:pPr>
      <w:r>
        <w:rPr>
          <w:rFonts w:hint="eastAsia" w:ascii="宋体" w:hAnsi="宋体" w:cs="宋体"/>
          <w:color w:val="000000"/>
          <w:sz w:val="24"/>
        </w:rPr>
        <w:t>检查数量：按批检查，同厂家、同品种、同规格保温板材每5000m</w:t>
      </w:r>
      <w:r>
        <w:rPr>
          <w:rFonts w:hint="eastAsia" w:ascii="宋体" w:hAnsi="宋体" w:cs="宋体"/>
          <w:color w:val="000000"/>
          <w:sz w:val="24"/>
          <w:vertAlign w:val="superscript"/>
        </w:rPr>
        <w:t>2</w:t>
      </w:r>
      <w:r>
        <w:rPr>
          <w:rFonts w:hint="eastAsia" w:ascii="宋体" w:hAnsi="宋体" w:cs="宋体"/>
          <w:color w:val="000000"/>
          <w:sz w:val="24"/>
        </w:rPr>
        <w:t>为一个检验批。</w:t>
      </w:r>
    </w:p>
    <w:p w14:paraId="3C824EC0">
      <w:pPr>
        <w:spacing w:line="360" w:lineRule="auto"/>
        <w:ind w:firstLine="480" w:firstLineChars="200"/>
        <w:rPr>
          <w:rFonts w:ascii="宋体" w:hAnsi="宋体" w:cs="宋体"/>
          <w:color w:val="000000"/>
          <w:sz w:val="24"/>
        </w:rPr>
      </w:pPr>
      <w:r>
        <w:rPr>
          <w:rFonts w:hint="eastAsia" w:ascii="宋体" w:hAnsi="宋体" w:cs="宋体"/>
          <w:color w:val="000000"/>
          <w:sz w:val="24"/>
        </w:rPr>
        <w:t>检验方法：观察、量测，检查保温材料质量证明文件及检验报告。</w:t>
      </w:r>
    </w:p>
    <w:p w14:paraId="478C2696">
      <w:pPr>
        <w:spacing w:line="360" w:lineRule="auto"/>
        <w:rPr>
          <w:rFonts w:ascii="宋体" w:hAnsi="宋体" w:cs="宋体"/>
          <w:color w:val="000000"/>
          <w:sz w:val="24"/>
        </w:rPr>
      </w:pPr>
      <w:r>
        <w:rPr>
          <w:rFonts w:hint="eastAsia"/>
          <w:b/>
          <w:bCs/>
          <w:sz w:val="24"/>
        </w:rPr>
        <w:t>6.3.5</w:t>
      </w:r>
      <w:r>
        <w:rPr>
          <w:rFonts w:hint="eastAsia" w:ascii="宋体" w:hAnsi="宋体" w:cs="宋体"/>
          <w:sz w:val="24"/>
        </w:rPr>
        <w:t xml:space="preserve">  </w:t>
      </w:r>
      <w:r>
        <w:rPr>
          <w:rFonts w:hint="eastAsia" w:ascii="宋体" w:hAnsi="宋体" w:cs="宋体"/>
          <w:color w:val="000000"/>
          <w:sz w:val="24"/>
        </w:rPr>
        <w:t>预制集成保温外墙板的保温板与混凝土的拉伸粘结强度应满足设计要求，且不应低于本标准表5.2.2的要求。</w:t>
      </w:r>
    </w:p>
    <w:p w14:paraId="01E7E6C3">
      <w:pPr>
        <w:spacing w:line="360" w:lineRule="auto"/>
        <w:ind w:firstLine="480"/>
        <w:rPr>
          <w:rFonts w:ascii="宋体" w:hAnsi="宋体" w:cs="宋体"/>
          <w:color w:val="000000"/>
          <w:sz w:val="24"/>
        </w:rPr>
      </w:pPr>
      <w:r>
        <w:rPr>
          <w:rFonts w:hint="eastAsia" w:ascii="宋体" w:hAnsi="宋体" w:cs="宋体"/>
          <w:color w:val="000000"/>
          <w:sz w:val="24"/>
        </w:rPr>
        <w:t>检查数量：按批检查，每1000件同类构件为一个检验批。</w:t>
      </w:r>
    </w:p>
    <w:p w14:paraId="2E39C8C4">
      <w:pPr>
        <w:spacing w:line="360" w:lineRule="auto"/>
        <w:ind w:firstLine="480"/>
        <w:rPr>
          <w:rFonts w:ascii="宋体" w:hAnsi="宋体" w:cs="宋体"/>
          <w:color w:val="000000"/>
          <w:sz w:val="24"/>
        </w:rPr>
      </w:pPr>
      <w:r>
        <w:rPr>
          <w:rFonts w:hint="eastAsia" w:ascii="宋体" w:hAnsi="宋体" w:cs="宋体"/>
          <w:color w:val="000000"/>
          <w:sz w:val="24"/>
        </w:rPr>
        <w:t>检查方法：在预制集成保温墙板上进行试样切割，随机均布5个试样位置，断缝应切割至混凝土层，深度应一致。</w:t>
      </w:r>
    </w:p>
    <w:p w14:paraId="46626620">
      <w:pPr>
        <w:spacing w:line="360" w:lineRule="auto"/>
        <w:rPr>
          <w:rFonts w:ascii="宋体" w:hAnsi="宋体" w:cs="宋体"/>
          <w:color w:val="000000"/>
          <w:sz w:val="24"/>
        </w:rPr>
      </w:pPr>
      <w:r>
        <w:rPr>
          <w:rFonts w:hint="eastAsia"/>
          <w:b/>
          <w:bCs/>
          <w:sz w:val="24"/>
        </w:rPr>
        <w:t>6.3.6</w:t>
      </w:r>
      <w:r>
        <w:rPr>
          <w:rFonts w:hint="eastAsia" w:ascii="宋体" w:hAnsi="宋体" w:cs="宋体"/>
          <w:sz w:val="24"/>
        </w:rPr>
        <w:t xml:space="preserve">  </w:t>
      </w:r>
      <w:r>
        <w:rPr>
          <w:rFonts w:hint="eastAsia" w:ascii="宋体" w:hAnsi="宋体" w:cs="宋体"/>
          <w:color w:val="000000"/>
          <w:sz w:val="24"/>
        </w:rPr>
        <w:t>预制集成保温外墙板应有二维码或芯片，二维码内容包括墙板型号、生产日期、生产单位、质量验收标志等信息。芯片宜包含构件基本信息，构件施工质量验收注意事项，构件运维注意事项等。</w:t>
      </w:r>
    </w:p>
    <w:p w14:paraId="6F41CFD9">
      <w:pPr>
        <w:pStyle w:val="4"/>
      </w:pPr>
      <w:bookmarkStart w:id="84" w:name="_Toc16649"/>
      <w:bookmarkStart w:id="85" w:name="_Toc11038"/>
      <w:r>
        <w:rPr>
          <w:rFonts w:hint="eastAsia"/>
        </w:rPr>
        <w:t>6</w:t>
      </w:r>
      <w:r>
        <w:t>.</w:t>
      </w:r>
      <w:r>
        <w:rPr>
          <w:rFonts w:hint="eastAsia"/>
        </w:rPr>
        <w:t>4</w:t>
      </w:r>
      <w:bookmarkEnd w:id="80"/>
      <w:bookmarkEnd w:id="81"/>
      <w:r>
        <w:rPr>
          <w:rFonts w:hint="eastAsia"/>
          <w:lang w:val="en-US" w:eastAsia="zh-CN"/>
        </w:rPr>
        <w:t xml:space="preserve"> </w:t>
      </w:r>
      <w:r>
        <w:rPr>
          <w:rFonts w:hint="eastAsia"/>
        </w:rPr>
        <w:t>运输</w:t>
      </w:r>
      <w:bookmarkEnd w:id="84"/>
      <w:bookmarkEnd w:id="85"/>
    </w:p>
    <w:p w14:paraId="60440FB8">
      <w:pPr>
        <w:pStyle w:val="2"/>
        <w:spacing w:after="0" w:line="360" w:lineRule="auto"/>
        <w:rPr>
          <w:rFonts w:ascii="宋体" w:hAnsi="宋体" w:cs="宋体"/>
          <w:sz w:val="24"/>
        </w:rPr>
      </w:pPr>
      <w:r>
        <w:rPr>
          <w:rFonts w:hint="eastAsia"/>
          <w:b/>
          <w:bCs/>
          <w:sz w:val="24"/>
        </w:rPr>
        <w:t>6.4.1</w:t>
      </w:r>
      <w:r>
        <w:rPr>
          <w:rFonts w:hint="eastAsia" w:ascii="宋体" w:hAnsi="宋体" w:cs="宋体"/>
          <w:sz w:val="24"/>
        </w:rPr>
        <w:t xml:space="preserve">  预制</w:t>
      </w:r>
      <w:r>
        <w:rPr>
          <w:rFonts w:hint="eastAsia" w:ascii="宋体" w:hAnsi="宋体" w:cs="宋体"/>
          <w:color w:val="000000"/>
          <w:sz w:val="24"/>
        </w:rPr>
        <w:t>集成保温外墙板</w:t>
      </w:r>
      <w:r>
        <w:rPr>
          <w:rFonts w:hint="eastAsia" w:ascii="宋体" w:hAnsi="宋体" w:cs="宋体"/>
          <w:sz w:val="24"/>
        </w:rPr>
        <w:t>的存放和运输应满足现行国家标准《装配式混凝土建筑技术标准》GB/T 51231、现行行业标准《装配式混凝土结构技术规程》JGJ 1的有关规定。</w:t>
      </w:r>
    </w:p>
    <w:p w14:paraId="73E25826">
      <w:pPr>
        <w:pStyle w:val="2"/>
        <w:spacing w:after="0" w:line="360" w:lineRule="auto"/>
        <w:rPr>
          <w:rFonts w:ascii="宋体" w:hAnsi="宋体" w:cs="宋体"/>
          <w:sz w:val="24"/>
        </w:rPr>
      </w:pPr>
      <w:r>
        <w:rPr>
          <w:rFonts w:hint="eastAsia"/>
          <w:b/>
          <w:bCs/>
          <w:sz w:val="24"/>
        </w:rPr>
        <w:t>6.4.2</w:t>
      </w:r>
      <w:r>
        <w:rPr>
          <w:rFonts w:hint="eastAsia" w:ascii="宋体" w:hAnsi="宋体" w:cs="宋体"/>
          <w:sz w:val="24"/>
        </w:rPr>
        <w:t xml:space="preserve">  预制</w:t>
      </w:r>
      <w:r>
        <w:rPr>
          <w:rFonts w:hint="eastAsia" w:ascii="宋体" w:hAnsi="宋体" w:cs="宋体"/>
          <w:color w:val="000000"/>
          <w:sz w:val="24"/>
        </w:rPr>
        <w:t>集成保温外墙板</w:t>
      </w:r>
      <w:r>
        <w:rPr>
          <w:rFonts w:hint="eastAsia" w:ascii="宋体" w:hAnsi="宋体" w:cs="宋体"/>
          <w:sz w:val="24"/>
        </w:rPr>
        <w:t>宜采用插放架或靠放架直立存放。存放时应合理设置垫块位置，确保预制集成保温外墙板的受力部位在混凝土墙板上。</w:t>
      </w:r>
    </w:p>
    <w:p w14:paraId="126BC0AF">
      <w:pPr>
        <w:pStyle w:val="2"/>
        <w:spacing w:after="0" w:line="360" w:lineRule="auto"/>
        <w:rPr>
          <w:rFonts w:ascii="宋体" w:hAnsi="宋体" w:cs="宋体"/>
          <w:sz w:val="24"/>
        </w:rPr>
      </w:pPr>
      <w:r>
        <w:rPr>
          <w:rFonts w:hint="eastAsia"/>
          <w:b/>
          <w:bCs/>
          <w:sz w:val="24"/>
        </w:rPr>
        <w:t>6.4.3</w:t>
      </w:r>
      <w:r>
        <w:rPr>
          <w:rFonts w:hint="eastAsia" w:ascii="宋体" w:hAnsi="宋体" w:cs="宋体"/>
          <w:sz w:val="24"/>
        </w:rPr>
        <w:t xml:space="preserve">  门窗洞口等薄弱部位应采取防止变形开裂的临时加固措施。插放架或靠放架通过计算确定并应具有足够的强度、刚度和稳定性，支垫应稳固，并宜采取直立运输方式。</w:t>
      </w:r>
    </w:p>
    <w:p w14:paraId="125D4175">
      <w:pPr>
        <w:spacing w:line="360" w:lineRule="auto"/>
        <w:rPr>
          <w:rFonts w:ascii="宋体" w:hAnsi="宋体" w:cs="宋体"/>
          <w:sz w:val="24"/>
        </w:rPr>
      </w:pPr>
      <w:r>
        <w:rPr>
          <w:rFonts w:hint="eastAsia"/>
          <w:b/>
          <w:bCs/>
          <w:sz w:val="24"/>
        </w:rPr>
        <w:t>6.4.4</w:t>
      </w:r>
      <w:r>
        <w:rPr>
          <w:rFonts w:hint="eastAsia" w:ascii="宋体" w:hAnsi="宋体" w:cs="宋体"/>
          <w:sz w:val="24"/>
        </w:rPr>
        <w:t xml:space="preserve">  预制集成保温外墙板</w:t>
      </w:r>
      <w:r>
        <w:rPr>
          <w:rFonts w:hint="eastAsia" w:ascii="宋体" w:hAnsi="宋体" w:cs="宋体"/>
          <w:color w:val="000000"/>
          <w:sz w:val="24"/>
        </w:rPr>
        <w:t>构件</w:t>
      </w:r>
      <w:r>
        <w:rPr>
          <w:rFonts w:hint="eastAsia" w:ascii="宋体" w:hAnsi="宋体" w:cs="宋体"/>
          <w:sz w:val="24"/>
        </w:rPr>
        <w:t>成品保护应符合现行国家标准《装配式建筑技术标准》GB/T 51231的有关规定。</w:t>
      </w:r>
    </w:p>
    <w:p w14:paraId="788CD385">
      <w:pPr>
        <w:pStyle w:val="2"/>
        <w:spacing w:after="0" w:line="360" w:lineRule="auto"/>
        <w:rPr>
          <w:rFonts w:ascii="宋体" w:hAnsi="宋体" w:cs="宋体"/>
          <w:color w:val="2414F4"/>
          <w:sz w:val="24"/>
          <w:u w:val="single"/>
        </w:rPr>
      </w:pPr>
      <w:r>
        <w:rPr>
          <w:rFonts w:hint="eastAsia" w:ascii="宋体" w:hAnsi="宋体" w:cs="宋体"/>
          <w:color w:val="2414F4"/>
          <w:sz w:val="24"/>
          <w:u w:val="single"/>
        </w:rPr>
        <w:t>【条文说明】现行国家标准《装配式混凝土建筑技术标准》GB/T 51231对构件防开裂、金属外露件防腐等作出了明确规定，叠合结构构件的成品保护也应该符合这些规定。</w:t>
      </w:r>
    </w:p>
    <w:p w14:paraId="13554B49">
      <w:pPr>
        <w:pStyle w:val="2"/>
        <w:spacing w:after="0" w:line="360" w:lineRule="auto"/>
        <w:rPr>
          <w:rFonts w:ascii="宋体" w:hAnsi="宋体" w:cs="宋体"/>
          <w:sz w:val="24"/>
        </w:rPr>
      </w:pPr>
      <w:r>
        <w:rPr>
          <w:rFonts w:hint="eastAsia"/>
          <w:b/>
          <w:bCs/>
          <w:sz w:val="24"/>
        </w:rPr>
        <w:t>6.4.5</w:t>
      </w:r>
      <w:r>
        <w:rPr>
          <w:rFonts w:hint="eastAsia" w:ascii="宋体" w:hAnsi="宋体" w:cs="宋体"/>
          <w:sz w:val="24"/>
        </w:rPr>
        <w:t xml:space="preserve">  </w:t>
      </w:r>
      <w:r>
        <w:rPr>
          <w:rFonts w:hint="eastAsia" w:ascii="宋体" w:hAnsi="宋体" w:cs="宋体"/>
          <w:color w:val="000000" w:themeColor="text1"/>
          <w:sz w:val="24"/>
          <w14:textFill>
            <w14:solidFill>
              <w14:schemeClr w14:val="tx1"/>
            </w14:solidFill>
          </w14:textFill>
        </w:rPr>
        <w:t>预制集成保温外墙板在存放和运输过程中宜采取遮挡防雨措施。</w:t>
      </w:r>
    </w:p>
    <w:p w14:paraId="64AF72BC">
      <w:pPr>
        <w:pStyle w:val="2"/>
        <w:spacing w:after="0" w:line="360" w:lineRule="auto"/>
        <w:rPr>
          <w:rFonts w:ascii="宋体" w:hAnsi="宋体" w:cs="宋体"/>
          <w:sz w:val="24"/>
        </w:rPr>
      </w:pPr>
      <w:r>
        <w:rPr>
          <w:rFonts w:hint="eastAsia"/>
          <w:b/>
          <w:bCs/>
          <w:sz w:val="24"/>
        </w:rPr>
        <w:t>6.4.6</w:t>
      </w:r>
      <w:r>
        <w:rPr>
          <w:rFonts w:hint="eastAsia" w:ascii="宋体" w:hAnsi="宋体" w:cs="宋体"/>
          <w:sz w:val="24"/>
        </w:rPr>
        <w:t xml:space="preserve">  预制集成保温外墙板存放宜实行分区管理和信息化台账管理。</w:t>
      </w:r>
    </w:p>
    <w:p w14:paraId="2A4E20C1"/>
    <w:p w14:paraId="4ED040F2">
      <w:pPr>
        <w:pStyle w:val="2"/>
      </w:pPr>
    </w:p>
    <w:p w14:paraId="5DC84F9F"/>
    <w:p w14:paraId="7E044FD0"/>
    <w:p w14:paraId="060629A6"/>
    <w:p w14:paraId="1CD035CD"/>
    <w:p w14:paraId="13801D49"/>
    <w:p w14:paraId="3EF00300"/>
    <w:p w14:paraId="5DACFB9E"/>
    <w:p w14:paraId="16CB9682"/>
    <w:p w14:paraId="721A538E"/>
    <w:p w14:paraId="42A2DB6C"/>
    <w:p w14:paraId="06DCAE15"/>
    <w:p w14:paraId="1089DB46">
      <w:pPr>
        <w:pStyle w:val="3"/>
        <w:jc w:val="center"/>
        <w:rPr>
          <w:bCs w:val="0"/>
          <w:sz w:val="28"/>
          <w:szCs w:val="24"/>
        </w:rPr>
      </w:pPr>
      <w:bookmarkStart w:id="86" w:name="_Toc17619"/>
      <w:bookmarkStart w:id="87" w:name="_Toc32182"/>
      <w:r>
        <w:rPr>
          <w:rFonts w:hint="eastAsia"/>
          <w:bCs w:val="0"/>
          <w:sz w:val="28"/>
          <w:szCs w:val="24"/>
        </w:rPr>
        <w:t>7</w:t>
      </w:r>
      <w:r>
        <w:rPr>
          <w:rFonts w:hint="eastAsia"/>
          <w:bCs w:val="0"/>
          <w:sz w:val="28"/>
          <w:szCs w:val="24"/>
          <w:lang w:val="en-US" w:eastAsia="zh-CN"/>
        </w:rPr>
        <w:t xml:space="preserve"> </w:t>
      </w:r>
      <w:r>
        <w:rPr>
          <w:rFonts w:hint="eastAsia"/>
          <w:bCs w:val="0"/>
          <w:sz w:val="28"/>
          <w:szCs w:val="24"/>
        </w:rPr>
        <w:t>施工和验收</w:t>
      </w:r>
      <w:bookmarkEnd w:id="86"/>
      <w:bookmarkEnd w:id="87"/>
    </w:p>
    <w:p w14:paraId="643CB08A">
      <w:pPr>
        <w:pStyle w:val="4"/>
      </w:pPr>
      <w:bookmarkStart w:id="88" w:name="_Toc6680"/>
      <w:bookmarkStart w:id="89" w:name="_Toc30068"/>
      <w:r>
        <w:rPr>
          <w:rFonts w:hint="eastAsia"/>
        </w:rPr>
        <w:t>7</w:t>
      </w:r>
      <w:r>
        <w:t>.1</w:t>
      </w:r>
      <w:r>
        <w:rPr>
          <w:rFonts w:hint="eastAsia"/>
          <w:lang w:val="en-US" w:eastAsia="zh-CN"/>
        </w:rPr>
        <w:t xml:space="preserve"> </w:t>
      </w:r>
      <w:r>
        <w:t>一般规定</w:t>
      </w:r>
      <w:bookmarkEnd w:id="88"/>
      <w:bookmarkEnd w:id="89"/>
    </w:p>
    <w:p w14:paraId="0A456503">
      <w:pPr>
        <w:pStyle w:val="2"/>
        <w:spacing w:after="0" w:line="360" w:lineRule="auto"/>
      </w:pPr>
      <w:r>
        <w:rPr>
          <w:rFonts w:hint="eastAsia"/>
          <w:b/>
          <w:bCs/>
          <w:sz w:val="24"/>
        </w:rPr>
        <w:t>7.1.1</w:t>
      </w:r>
      <w:r>
        <w:rPr>
          <w:rFonts w:hint="eastAsia" w:ascii="宋体" w:hAnsi="宋体" w:cs="宋体"/>
          <w:sz w:val="24"/>
        </w:rPr>
        <w:t xml:space="preserve">  预制集成保温外墙板安装施工前应制定专项施工方案，</w:t>
      </w:r>
      <w:r>
        <w:rPr>
          <w:rFonts w:hint="eastAsia" w:ascii="宋体" w:hAnsi="宋体" w:cs="宋体"/>
          <w:color w:val="000000" w:themeColor="text1"/>
          <w:sz w:val="24"/>
          <w14:textFill>
            <w14:solidFill>
              <w14:schemeClr w14:val="tx1"/>
            </w14:solidFill>
          </w14:textFill>
        </w:rPr>
        <w:t>专项施工方案应包括墙板起吊安装的安全性验算、临时支撑形式及安全性验算、墙板保护方案、墙板安装顺序、连接节点、防水措施、安装质量管理及安全防护措施等</w:t>
      </w:r>
      <w:r>
        <w:rPr>
          <w:rFonts w:hint="eastAsia" w:ascii="宋体" w:hAnsi="宋体" w:cs="宋体"/>
          <w:sz w:val="24"/>
        </w:rPr>
        <w:t>。</w:t>
      </w:r>
    </w:p>
    <w:p w14:paraId="3FE92A13">
      <w:pPr>
        <w:pStyle w:val="2"/>
        <w:spacing w:after="0" w:line="360" w:lineRule="auto"/>
        <w:rPr>
          <w:rFonts w:ascii="宋体" w:hAnsi="宋体" w:cs="宋体"/>
          <w:sz w:val="24"/>
        </w:rPr>
      </w:pPr>
      <w:r>
        <w:rPr>
          <w:rFonts w:hint="eastAsia"/>
          <w:b/>
          <w:bCs/>
          <w:sz w:val="24"/>
        </w:rPr>
        <w:t>7.1.2</w:t>
      </w:r>
      <w:r>
        <w:rPr>
          <w:rFonts w:hint="eastAsia" w:ascii="宋体" w:hAnsi="宋体" w:cs="宋体"/>
          <w:sz w:val="24"/>
        </w:rPr>
        <w:t xml:space="preserve">  </w:t>
      </w:r>
      <w:r>
        <w:rPr>
          <w:rFonts w:hint="eastAsia" w:ascii="宋体" w:hAnsi="宋体" w:cs="宋体"/>
          <w:color w:val="000000" w:themeColor="text1"/>
          <w:sz w:val="24"/>
          <w14:textFill>
            <w14:solidFill>
              <w14:schemeClr w14:val="tx1"/>
            </w14:solidFill>
          </w14:textFill>
        </w:rPr>
        <w:t>施工单位应根据预制集成保温外墙板的特点配置人员。施工作业人员应具备岗位需要的基础知识和技能，施工单位应对管理人员、施工作业人员进行专项质量安全技术交底。</w:t>
      </w:r>
    </w:p>
    <w:p w14:paraId="07E261B4">
      <w:pPr>
        <w:pStyle w:val="2"/>
        <w:spacing w:after="0" w:line="360" w:lineRule="auto"/>
        <w:rPr>
          <w:rFonts w:ascii="宋体" w:hAnsi="宋体" w:cs="宋体"/>
          <w:sz w:val="24"/>
        </w:rPr>
      </w:pPr>
      <w:r>
        <w:rPr>
          <w:rFonts w:hint="eastAsia"/>
          <w:b/>
          <w:bCs/>
          <w:sz w:val="24"/>
        </w:rPr>
        <w:t>7.1.3</w:t>
      </w:r>
      <w:r>
        <w:rPr>
          <w:rFonts w:hint="eastAsia" w:ascii="宋体" w:hAnsi="宋体" w:cs="宋体"/>
          <w:sz w:val="24"/>
        </w:rPr>
        <w:t xml:space="preserve">  现场施工过程中，应对预制集成保温外墙板原有的门窗框、预埋件等产品进行保护，施工中不应拆除或损坏。</w:t>
      </w:r>
    </w:p>
    <w:p w14:paraId="646A0EAF">
      <w:pPr>
        <w:pStyle w:val="2"/>
        <w:spacing w:after="0" w:line="360" w:lineRule="auto"/>
        <w:rPr>
          <w:rFonts w:ascii="宋体" w:hAnsi="宋体" w:cs="宋体"/>
          <w:sz w:val="24"/>
        </w:rPr>
      </w:pPr>
      <w:r>
        <w:rPr>
          <w:rFonts w:hint="eastAsia"/>
          <w:b/>
          <w:bCs/>
          <w:sz w:val="24"/>
        </w:rPr>
        <w:t>7.1.4</w:t>
      </w:r>
      <w:r>
        <w:rPr>
          <w:rFonts w:hint="eastAsia" w:ascii="宋体" w:hAnsi="宋体" w:cs="宋体"/>
          <w:sz w:val="24"/>
        </w:rPr>
        <w:t xml:space="preserve">  </w:t>
      </w:r>
      <w:r>
        <w:rPr>
          <w:rFonts w:hint="eastAsia" w:ascii="宋体" w:hAnsi="宋体" w:cs="宋体"/>
          <w:color w:val="000000" w:themeColor="text1"/>
          <w:sz w:val="24"/>
          <w14:textFill>
            <w14:solidFill>
              <w14:schemeClr w14:val="tx1"/>
            </w14:solidFill>
          </w14:textFill>
        </w:rPr>
        <w:t>在</w:t>
      </w:r>
      <w:r>
        <w:rPr>
          <w:rFonts w:hint="eastAsia" w:ascii="宋体" w:hAnsi="宋体" w:cs="宋体"/>
          <w:sz w:val="24"/>
        </w:rPr>
        <w:t>预制集成保温外墙</w:t>
      </w:r>
      <w:r>
        <w:rPr>
          <w:rFonts w:hint="eastAsia" w:ascii="宋体" w:hAnsi="宋体" w:cs="宋体"/>
          <w:color w:val="000000" w:themeColor="text1"/>
          <w:sz w:val="24"/>
          <w14:textFill>
            <w14:solidFill>
              <w14:schemeClr w14:val="tx1"/>
            </w14:solidFill>
          </w14:textFill>
        </w:rPr>
        <w:t>构件存放、搬动、吊装时，不得碰撞、损坏和污染构件；对型材和保温板的表面应采取保护措施。</w:t>
      </w:r>
    </w:p>
    <w:p w14:paraId="7AC6313A">
      <w:pPr>
        <w:pStyle w:val="2"/>
        <w:spacing w:after="0" w:line="360" w:lineRule="auto"/>
        <w:rPr>
          <w:rFonts w:ascii="宋体" w:hAnsi="宋体" w:cs="宋体"/>
          <w:color w:val="2414F4"/>
          <w:sz w:val="24"/>
          <w:u w:val="single"/>
        </w:rPr>
      </w:pPr>
      <w:r>
        <w:rPr>
          <w:rFonts w:hint="eastAsia" w:ascii="宋体" w:hAnsi="宋体" w:cs="宋体"/>
          <w:color w:val="2414F4"/>
          <w:sz w:val="24"/>
          <w:u w:val="single"/>
        </w:rPr>
        <w:t>【条文说明】安装过程的成品容易被损害和污染，应引起重视，并采取保护措施。</w:t>
      </w:r>
    </w:p>
    <w:p w14:paraId="34FCE305">
      <w:pPr>
        <w:pStyle w:val="54"/>
        <w:spacing w:line="360" w:lineRule="auto"/>
        <w:ind w:firstLine="0" w:firstLineChars="0"/>
        <w:rPr>
          <w:rFonts w:ascii="宋体" w:hAnsi="宋体" w:cs="宋体"/>
          <w:sz w:val="24"/>
          <w:szCs w:val="24"/>
        </w:rPr>
      </w:pPr>
      <w:r>
        <w:rPr>
          <w:rFonts w:hint="eastAsia" w:ascii="Times New Roman" w:hAnsi="Times New Roman"/>
          <w:b/>
          <w:bCs/>
          <w:sz w:val="24"/>
          <w:szCs w:val="24"/>
        </w:rPr>
        <w:t>7.1.5</w:t>
      </w:r>
      <w:r>
        <w:rPr>
          <w:rFonts w:hint="eastAsia" w:ascii="宋体" w:hAnsi="宋体" w:cs="宋体"/>
          <w:sz w:val="24"/>
          <w:szCs w:val="24"/>
        </w:rPr>
        <w:t xml:space="preserve">  预制集成保温外墙板安装前，宜进行虚拟建造模拟，宜选择有代表性的单元进行试安装，并应根据试安装结果及时调整施工工艺。</w:t>
      </w:r>
    </w:p>
    <w:p w14:paraId="61E652FC">
      <w:pPr>
        <w:pStyle w:val="2"/>
        <w:spacing w:after="0" w:line="360" w:lineRule="auto"/>
        <w:rPr>
          <w:rFonts w:ascii="宋体" w:hAnsi="宋体" w:cs="宋体"/>
          <w:color w:val="2414F4"/>
          <w:sz w:val="24"/>
          <w:u w:val="single"/>
        </w:rPr>
      </w:pPr>
      <w:r>
        <w:rPr>
          <w:rFonts w:hint="eastAsia" w:ascii="宋体" w:hAnsi="宋体" w:cs="宋体"/>
          <w:color w:val="2414F4"/>
          <w:sz w:val="24"/>
          <w:u w:val="single"/>
        </w:rPr>
        <w:t>【条文说明】墙体的试安装队没有经验的施工单位非常必要，不但可以验证设计和施工方案存在的缺陷，还可以培训人员，调试设备，完善方案。</w:t>
      </w:r>
    </w:p>
    <w:p w14:paraId="7D27F42F">
      <w:pPr>
        <w:pStyle w:val="2"/>
        <w:spacing w:after="0" w:line="360" w:lineRule="auto"/>
        <w:rPr>
          <w:rFonts w:hint="eastAsia" w:ascii="宋体" w:hAnsi="宋体" w:cs="宋体"/>
          <w:sz w:val="24"/>
        </w:rPr>
      </w:pPr>
      <w:r>
        <w:rPr>
          <w:rFonts w:hint="eastAsia"/>
          <w:b/>
          <w:bCs/>
          <w:sz w:val="24"/>
        </w:rPr>
        <w:t>7.1.6</w:t>
      </w:r>
      <w:r>
        <w:rPr>
          <w:rFonts w:hint="eastAsia" w:ascii="宋体" w:hAnsi="宋体" w:cs="宋体"/>
          <w:sz w:val="24"/>
        </w:rPr>
        <w:t xml:space="preserve"> </w:t>
      </w:r>
      <w:r>
        <w:rPr>
          <w:rFonts w:hint="eastAsia" w:ascii="宋体" w:hAnsi="宋体" w:cs="宋体"/>
          <w:color w:val="FF0000"/>
          <w:sz w:val="24"/>
        </w:rPr>
        <w:t xml:space="preserve"> </w:t>
      </w:r>
      <w:r>
        <w:rPr>
          <w:rFonts w:hint="eastAsia" w:ascii="宋体" w:hAnsi="宋体" w:cs="宋体"/>
          <w:sz w:val="24"/>
        </w:rPr>
        <w:t>预制集成保温外墙板施工过程中应按照现行行业标准《建筑施工安全检查标准》JGJ 59、《建筑工程施工现场环境与卫生标准》JGJ 146安全、职业健康和环境保护的有关规定执行。</w:t>
      </w:r>
    </w:p>
    <w:p w14:paraId="0567AD50">
      <w:pPr>
        <w:spacing w:line="360" w:lineRule="auto"/>
        <w:rPr>
          <w:rFonts w:hint="default" w:eastAsia="宋体"/>
          <w:lang w:val="en-US" w:eastAsia="zh-CN"/>
        </w:rPr>
      </w:pPr>
      <w:r>
        <w:rPr>
          <w:rFonts w:hint="eastAsia"/>
          <w:b/>
          <w:bCs/>
          <w:sz w:val="24"/>
        </w:rPr>
        <w:t>7.1.</w:t>
      </w:r>
      <w:r>
        <w:rPr>
          <w:rFonts w:hint="eastAsia"/>
          <w:b/>
          <w:bCs/>
          <w:sz w:val="24"/>
          <w:lang w:val="en-US" w:eastAsia="zh-CN"/>
        </w:rPr>
        <w:t>7</w:t>
      </w:r>
      <w:r>
        <w:rPr>
          <w:rFonts w:hint="eastAsia" w:ascii="宋体" w:hAnsi="宋体" w:cs="宋体"/>
          <w:sz w:val="24"/>
        </w:rPr>
        <w:t xml:space="preserve"> </w:t>
      </w:r>
      <w:r>
        <w:rPr>
          <w:rFonts w:hint="eastAsia" w:ascii="宋体" w:hAnsi="宋体" w:cs="宋体"/>
          <w:color w:val="FF0000"/>
          <w:sz w:val="24"/>
        </w:rPr>
        <w:t xml:space="preserve"> </w:t>
      </w:r>
      <w:r>
        <w:rPr>
          <w:rFonts w:hint="eastAsia" w:ascii="宋体" w:hAnsi="宋体" w:cs="宋体"/>
          <w:color w:val="000000" w:themeColor="text1"/>
          <w:sz w:val="24"/>
          <w14:textFill>
            <w14:solidFill>
              <w14:schemeClr w14:val="tx1"/>
            </w14:solidFill>
          </w14:textFill>
        </w:rPr>
        <w:t>预制集成保温外墙板施工</w:t>
      </w:r>
      <w:r>
        <w:rPr>
          <w:rFonts w:hint="eastAsia" w:ascii="宋体" w:hAnsi="宋体" w:cs="宋体"/>
          <w:color w:val="000000" w:themeColor="text1"/>
          <w:sz w:val="24"/>
          <w:lang w:eastAsia="zh-CN"/>
          <w14:textFill>
            <w14:solidFill>
              <w14:schemeClr w14:val="tx1"/>
            </w14:solidFill>
          </w14:textFill>
        </w:rPr>
        <w:t>期间的环境空气温度不应低于</w:t>
      </w:r>
      <w:r>
        <w:rPr>
          <w:rFonts w:hint="eastAsia" w:ascii="宋体" w:hAnsi="宋体" w:cs="宋体"/>
          <w:color w:val="000000" w:themeColor="text1"/>
          <w:sz w:val="24"/>
          <w:lang w:val="en-US" w:eastAsia="zh-CN"/>
          <w14:textFill>
            <w14:solidFill>
              <w14:schemeClr w14:val="tx1"/>
            </w14:solidFill>
          </w14:textFill>
        </w:rPr>
        <w:t>5℃。5级以上大风天气和雨天不应施工。</w:t>
      </w:r>
    </w:p>
    <w:p w14:paraId="7FA9A9AA">
      <w:pPr>
        <w:pStyle w:val="4"/>
      </w:pPr>
      <w:bookmarkStart w:id="90" w:name="_Toc30428"/>
      <w:bookmarkStart w:id="91" w:name="_Toc7500"/>
      <w:r>
        <w:rPr>
          <w:rFonts w:hint="eastAsia"/>
        </w:rPr>
        <w:t>7</w:t>
      </w:r>
      <w:r>
        <w:t>.2</w:t>
      </w:r>
      <w:r>
        <w:rPr>
          <w:rFonts w:hint="eastAsia"/>
          <w:lang w:val="en-US" w:eastAsia="zh-CN"/>
        </w:rPr>
        <w:t xml:space="preserve"> </w:t>
      </w:r>
      <w:r>
        <w:rPr>
          <w:rFonts w:hint="eastAsia"/>
        </w:rPr>
        <w:t>施工</w:t>
      </w:r>
      <w:bookmarkEnd w:id="90"/>
      <w:bookmarkEnd w:id="91"/>
    </w:p>
    <w:p w14:paraId="376BF75C">
      <w:pPr>
        <w:spacing w:line="360" w:lineRule="auto"/>
        <w:rPr>
          <w:sz w:val="24"/>
          <w:szCs w:val="24"/>
        </w:rPr>
      </w:pPr>
      <w:r>
        <w:rPr>
          <w:rFonts w:hint="eastAsia"/>
          <w:b/>
          <w:bCs/>
          <w:sz w:val="24"/>
          <w:szCs w:val="24"/>
        </w:rPr>
        <w:t>7.2.1</w:t>
      </w:r>
      <w:r>
        <w:rPr>
          <w:rFonts w:hint="eastAsia" w:ascii="宋体" w:hAnsi="宋体" w:cs="宋体"/>
          <w:sz w:val="24"/>
          <w:szCs w:val="24"/>
        </w:rPr>
        <w:t xml:space="preserve"> 预制集成保温外墙板施工前，已完成结构的混凝土强度、外观质量、尺寸偏差及预留钢筋等应满足现行国家标准《混凝土结构工程施工规范》GB 50666、现行行业标准《装配式混凝土结构技术规程》JGJ 1的相关规定。</w:t>
      </w:r>
    </w:p>
    <w:p w14:paraId="4D8491C6">
      <w:pPr>
        <w:pStyle w:val="53"/>
        <w:spacing w:line="360" w:lineRule="auto"/>
        <w:jc w:val="both"/>
        <w:rPr>
          <w:rFonts w:ascii="宋体" w:hAnsi="宋体" w:cs="宋体"/>
          <w:color w:val="auto"/>
          <w:sz w:val="24"/>
          <w:szCs w:val="24"/>
        </w:rPr>
      </w:pPr>
      <w:r>
        <w:rPr>
          <w:rFonts w:hint="eastAsia"/>
          <w:b/>
          <w:color w:val="auto"/>
          <w:sz w:val="24"/>
          <w:szCs w:val="24"/>
        </w:rPr>
        <w:t>7.</w:t>
      </w:r>
      <w:r>
        <w:rPr>
          <w:b/>
          <w:color w:val="auto"/>
          <w:sz w:val="24"/>
          <w:szCs w:val="24"/>
        </w:rPr>
        <w:t>2.</w:t>
      </w:r>
      <w:r>
        <w:rPr>
          <w:rFonts w:hint="eastAsia"/>
          <w:b/>
          <w:color w:val="auto"/>
          <w:sz w:val="24"/>
          <w:szCs w:val="24"/>
        </w:rPr>
        <w:t xml:space="preserve">2 </w:t>
      </w:r>
      <w:r>
        <w:rPr>
          <w:rFonts w:hint="eastAsia" w:ascii="宋体" w:hAnsi="宋体"/>
          <w:b/>
          <w:sz w:val="24"/>
          <w:szCs w:val="24"/>
        </w:rPr>
        <w:t xml:space="preserve"> </w:t>
      </w:r>
      <w:r>
        <w:rPr>
          <w:rFonts w:hint="eastAsia" w:ascii="宋体" w:hAnsi="宋体" w:cs="宋体"/>
          <w:bCs/>
          <w:sz w:val="24"/>
          <w:szCs w:val="24"/>
        </w:rPr>
        <w:t>预制</w:t>
      </w:r>
      <w:r>
        <w:rPr>
          <w:rFonts w:hint="eastAsia" w:ascii="宋体" w:hAnsi="宋体" w:cs="宋体"/>
          <w:sz w:val="24"/>
          <w:szCs w:val="24"/>
        </w:rPr>
        <w:t>集成保温外墙板</w:t>
      </w:r>
      <w:r>
        <w:rPr>
          <w:rFonts w:hint="eastAsia" w:ascii="宋体" w:hAnsi="宋体" w:cs="宋体"/>
          <w:bCs/>
          <w:sz w:val="24"/>
          <w:szCs w:val="24"/>
        </w:rPr>
        <w:t>施工前，所使用的构配件应完成进场检验</w:t>
      </w:r>
      <w:r>
        <w:rPr>
          <w:rFonts w:hint="eastAsia" w:ascii="宋体" w:hAnsi="宋体" w:cs="宋体"/>
          <w:sz w:val="24"/>
          <w:szCs w:val="24"/>
        </w:rPr>
        <w:t>。</w:t>
      </w:r>
    </w:p>
    <w:p w14:paraId="7595B36A">
      <w:pPr>
        <w:pStyle w:val="53"/>
        <w:spacing w:line="360" w:lineRule="auto"/>
        <w:jc w:val="both"/>
        <w:rPr>
          <w:rFonts w:ascii="宋体" w:hAnsi="宋体" w:cs="宋体"/>
          <w:color w:val="auto"/>
          <w:sz w:val="24"/>
          <w:szCs w:val="24"/>
        </w:rPr>
      </w:pPr>
      <w:r>
        <w:rPr>
          <w:rFonts w:hint="eastAsia"/>
          <w:b/>
          <w:sz w:val="24"/>
          <w:szCs w:val="24"/>
        </w:rPr>
        <w:t>7.</w:t>
      </w:r>
      <w:r>
        <w:rPr>
          <w:b/>
          <w:sz w:val="24"/>
          <w:szCs w:val="24"/>
        </w:rPr>
        <w:t>2.</w:t>
      </w:r>
      <w:r>
        <w:rPr>
          <w:rFonts w:hint="eastAsia"/>
          <w:b/>
          <w:sz w:val="24"/>
          <w:szCs w:val="24"/>
        </w:rPr>
        <w:t>3</w:t>
      </w:r>
      <w:r>
        <w:rPr>
          <w:b/>
          <w:sz w:val="24"/>
          <w:szCs w:val="24"/>
        </w:rPr>
        <w:t xml:space="preserve"> </w:t>
      </w:r>
      <w:r>
        <w:rPr>
          <w:rFonts w:hint="eastAsia" w:ascii="宋体" w:hAnsi="宋体" w:cs="宋体"/>
          <w:b/>
          <w:sz w:val="24"/>
          <w:szCs w:val="24"/>
        </w:rPr>
        <w:t xml:space="preserve"> </w:t>
      </w:r>
      <w:r>
        <w:rPr>
          <w:rFonts w:hint="eastAsia" w:ascii="宋体" w:hAnsi="宋体" w:cs="宋体"/>
          <w:bCs/>
          <w:sz w:val="24"/>
          <w:szCs w:val="24"/>
        </w:rPr>
        <w:t>预制</w:t>
      </w:r>
      <w:r>
        <w:rPr>
          <w:rFonts w:hint="eastAsia" w:ascii="宋体" w:hAnsi="宋体" w:cs="宋体"/>
          <w:sz w:val="24"/>
          <w:szCs w:val="24"/>
        </w:rPr>
        <w:t>集成保温外墙板</w:t>
      </w:r>
      <w:r>
        <w:rPr>
          <w:rFonts w:hint="eastAsia" w:ascii="宋体" w:hAnsi="宋体"/>
          <w:bCs/>
          <w:sz w:val="24"/>
          <w:szCs w:val="24"/>
        </w:rPr>
        <w:t>上预留的拉模孔、脚手眼等施工措施的位置尺寸应得到设计单位确认。</w:t>
      </w:r>
    </w:p>
    <w:p w14:paraId="295C8269">
      <w:pPr>
        <w:pStyle w:val="2"/>
        <w:spacing w:after="0" w:line="360" w:lineRule="auto"/>
        <w:rPr>
          <w:rFonts w:ascii="宋体" w:hAnsi="宋体" w:cs="宋体"/>
          <w:sz w:val="24"/>
          <w:szCs w:val="24"/>
        </w:rPr>
      </w:pPr>
      <w:r>
        <w:rPr>
          <w:rFonts w:hint="eastAsia"/>
          <w:b/>
          <w:bCs/>
          <w:sz w:val="24"/>
          <w:szCs w:val="24"/>
        </w:rPr>
        <w:t>7.2.4</w:t>
      </w:r>
      <w:r>
        <w:rPr>
          <w:rFonts w:hint="eastAsia" w:ascii="宋体" w:hAnsi="宋体" w:cs="宋体"/>
          <w:sz w:val="24"/>
          <w:szCs w:val="24"/>
        </w:rPr>
        <w:t xml:space="preserve">  预制集成保温外墙板施工安装符合下列规定：</w:t>
      </w:r>
    </w:p>
    <w:p w14:paraId="2B6FBBE0">
      <w:pPr>
        <w:spacing w:line="360" w:lineRule="auto"/>
        <w:ind w:firstLine="482" w:firstLineChars="200"/>
        <w:rPr>
          <w:rFonts w:ascii="宋体" w:hAnsi="宋体" w:cs="宋体"/>
          <w:sz w:val="24"/>
          <w:szCs w:val="24"/>
        </w:rPr>
      </w:pPr>
      <w:r>
        <w:rPr>
          <w:rFonts w:hint="eastAsia"/>
          <w:b/>
          <w:bCs/>
          <w:sz w:val="24"/>
          <w:szCs w:val="24"/>
        </w:rPr>
        <w:t>1</w:t>
      </w:r>
      <w:r>
        <w:rPr>
          <w:rFonts w:hint="eastAsia" w:ascii="宋体" w:hAnsi="宋体" w:cs="宋体"/>
          <w:sz w:val="24"/>
          <w:szCs w:val="24"/>
        </w:rPr>
        <w:t xml:space="preserve"> 安装前，应检查并清理安装基层的疏松结合面；</w:t>
      </w:r>
    </w:p>
    <w:p w14:paraId="170A8DF5">
      <w:pPr>
        <w:pStyle w:val="2"/>
        <w:spacing w:after="0" w:line="360" w:lineRule="auto"/>
        <w:ind w:firstLine="482" w:firstLineChars="200"/>
        <w:rPr>
          <w:rFonts w:ascii="宋体" w:hAnsi="宋体" w:cs="宋体"/>
          <w:sz w:val="24"/>
          <w:szCs w:val="24"/>
        </w:rPr>
      </w:pPr>
      <w:r>
        <w:rPr>
          <w:rFonts w:hint="eastAsia"/>
          <w:b/>
          <w:bCs/>
          <w:sz w:val="24"/>
          <w:szCs w:val="24"/>
        </w:rPr>
        <w:t>2</w:t>
      </w:r>
      <w:r>
        <w:rPr>
          <w:rFonts w:hint="eastAsia" w:ascii="宋体" w:hAnsi="宋体" w:cs="宋体"/>
          <w:sz w:val="24"/>
          <w:szCs w:val="24"/>
        </w:rPr>
        <w:t xml:space="preserve"> 预制集成保温外墙板底部应设置可调整接缝厚度的垫块；</w:t>
      </w:r>
    </w:p>
    <w:p w14:paraId="78058CCF">
      <w:pPr>
        <w:spacing w:line="360" w:lineRule="auto"/>
        <w:ind w:firstLine="482" w:firstLineChars="200"/>
        <w:rPr>
          <w:rFonts w:ascii="宋体" w:hAnsi="宋体" w:cs="宋体"/>
          <w:sz w:val="24"/>
          <w:szCs w:val="24"/>
        </w:rPr>
      </w:pPr>
      <w:r>
        <w:rPr>
          <w:rFonts w:hint="eastAsia"/>
          <w:b/>
          <w:bCs/>
          <w:sz w:val="24"/>
          <w:szCs w:val="24"/>
        </w:rPr>
        <w:t>3</w:t>
      </w:r>
      <w:r>
        <w:rPr>
          <w:rFonts w:hint="eastAsia" w:ascii="宋体" w:hAnsi="宋体" w:cs="宋体"/>
          <w:sz w:val="24"/>
          <w:szCs w:val="24"/>
        </w:rPr>
        <w:t xml:space="preserve"> 按照构件深化设计时确定的吊点进行起吊安装，吊装过程中应保证各吊点受力合理，构件不变形；</w:t>
      </w:r>
    </w:p>
    <w:p w14:paraId="3FAC002D">
      <w:pPr>
        <w:pStyle w:val="2"/>
        <w:spacing w:after="0" w:line="360" w:lineRule="auto"/>
        <w:ind w:firstLine="482" w:firstLineChars="200"/>
        <w:rPr>
          <w:rFonts w:ascii="宋体" w:hAnsi="宋体" w:cs="宋体"/>
          <w:sz w:val="24"/>
          <w:szCs w:val="24"/>
        </w:rPr>
      </w:pPr>
      <w:r>
        <w:rPr>
          <w:rFonts w:hint="eastAsia"/>
          <w:b/>
          <w:bCs/>
          <w:sz w:val="24"/>
          <w:szCs w:val="24"/>
        </w:rPr>
        <w:t>4</w:t>
      </w:r>
      <w:r>
        <w:rPr>
          <w:rFonts w:hint="eastAsia" w:ascii="宋体" w:hAnsi="宋体" w:cs="宋体"/>
          <w:sz w:val="24"/>
          <w:szCs w:val="24"/>
        </w:rPr>
        <w:t xml:space="preserve"> 预制集成保温外墙板安装就位后应设置不少于2道可调节长度的斜支撑，斜支撑两端应分别与墙体构件可靠连接，长斜支撑距离板底的距离宜为构件高度的2/3，短斜支撑距离板底的距离宜为构件高度的1/5。 </w:t>
      </w:r>
    </w:p>
    <w:p w14:paraId="58ED2388">
      <w:pPr>
        <w:spacing w:line="360" w:lineRule="auto"/>
        <w:rPr>
          <w:rFonts w:ascii="宋体" w:hAnsi="宋体" w:cs="宋体"/>
          <w:sz w:val="24"/>
          <w:szCs w:val="24"/>
        </w:rPr>
      </w:pPr>
      <w:r>
        <w:rPr>
          <w:rFonts w:hint="eastAsia"/>
          <w:b/>
          <w:bCs/>
          <w:sz w:val="24"/>
          <w:szCs w:val="24"/>
        </w:rPr>
        <w:t>7.2.5</w:t>
      </w:r>
      <w:r>
        <w:rPr>
          <w:rFonts w:hint="eastAsia" w:ascii="宋体" w:hAnsi="宋体" w:cs="宋体"/>
          <w:sz w:val="24"/>
          <w:szCs w:val="24"/>
        </w:rPr>
        <w:t xml:space="preserve">  预制集成保温外墙板施工时宜利用智能装备，自动完成或辅助人工完成作业。</w:t>
      </w:r>
    </w:p>
    <w:p w14:paraId="77601245">
      <w:pPr>
        <w:spacing w:line="360" w:lineRule="auto"/>
        <w:rPr>
          <w:rFonts w:ascii="宋体" w:hAnsi="宋体" w:cs="宋体"/>
          <w:sz w:val="24"/>
          <w:szCs w:val="24"/>
        </w:rPr>
      </w:pPr>
      <w:r>
        <w:rPr>
          <w:rFonts w:hint="eastAsia"/>
          <w:b/>
          <w:bCs/>
          <w:sz w:val="24"/>
          <w:szCs w:val="24"/>
        </w:rPr>
        <w:t>7.2.6</w:t>
      </w:r>
      <w:r>
        <w:rPr>
          <w:rFonts w:hint="eastAsia" w:ascii="宋体" w:hAnsi="宋体" w:cs="宋体"/>
          <w:sz w:val="24"/>
          <w:szCs w:val="24"/>
        </w:rPr>
        <w:t xml:space="preserve">  预制集成保温外墙板门窗洞口部位安装的临时加固支撑，在构件安装期间不应拆除，宜与本层预制墙斜支撑一并拆除。</w:t>
      </w:r>
    </w:p>
    <w:p w14:paraId="0C1DF169">
      <w:pPr>
        <w:spacing w:line="360" w:lineRule="auto"/>
        <w:rPr>
          <w:sz w:val="24"/>
          <w:szCs w:val="24"/>
        </w:rPr>
      </w:pPr>
      <w:r>
        <w:rPr>
          <w:rFonts w:hint="eastAsia"/>
          <w:b/>
          <w:bCs/>
          <w:sz w:val="24"/>
          <w:szCs w:val="24"/>
        </w:rPr>
        <w:t>7.2.7</w:t>
      </w:r>
      <w:r>
        <w:rPr>
          <w:rFonts w:hint="eastAsia" w:ascii="宋体" w:hAnsi="宋体" w:cs="宋体"/>
          <w:sz w:val="24"/>
          <w:szCs w:val="24"/>
        </w:rPr>
        <w:t xml:space="preserve">  在预制集成保温外墙板施工过程中，应每隔三层校核外立面平整度与垂直度，根据校核结果及时纠正累计偏差。</w:t>
      </w:r>
    </w:p>
    <w:p w14:paraId="164A27E8">
      <w:pPr>
        <w:pStyle w:val="53"/>
        <w:spacing w:line="360" w:lineRule="auto"/>
        <w:jc w:val="both"/>
        <w:rPr>
          <w:rFonts w:ascii="宋体" w:hAnsi="宋体" w:cs="宋体"/>
          <w:color w:val="2414F4"/>
          <w:kern w:val="2"/>
          <w:sz w:val="24"/>
          <w:szCs w:val="24"/>
          <w:u w:val="single"/>
        </w:rPr>
      </w:pPr>
      <w:r>
        <w:rPr>
          <w:rFonts w:hint="eastAsia" w:ascii="宋体" w:hAnsi="宋体" w:cs="宋体"/>
          <w:color w:val="2414F4"/>
          <w:kern w:val="2"/>
          <w:sz w:val="24"/>
          <w:szCs w:val="24"/>
          <w:u w:val="single"/>
        </w:rPr>
        <w:t>【条文说明】预制</w:t>
      </w:r>
      <w:r>
        <w:rPr>
          <w:rFonts w:hint="eastAsia" w:ascii="宋体" w:hAnsi="宋体" w:cs="宋体"/>
          <w:color w:val="0000FF"/>
          <w:sz w:val="24"/>
          <w:szCs w:val="24"/>
          <w:u w:val="single"/>
        </w:rPr>
        <w:t>集成保温外墙板</w:t>
      </w:r>
      <w:r>
        <w:rPr>
          <w:rFonts w:hint="eastAsia" w:ascii="宋体" w:hAnsi="宋体" w:cs="宋体"/>
          <w:color w:val="2414F4"/>
          <w:kern w:val="2"/>
          <w:sz w:val="24"/>
          <w:szCs w:val="24"/>
          <w:u w:val="single"/>
        </w:rPr>
        <w:t>的防护层厚度较薄，对建筑外立面基层的平整度与垂直度提出了很高要求。保温基层的平整度与垂直度受保温板厚度、结合部位施工精度等因素影响较多，在实际施工过程中，除利用内部轴线控制外，应同时在外立面建立校核纠偏机制。</w:t>
      </w:r>
    </w:p>
    <w:p w14:paraId="718401D5">
      <w:pPr>
        <w:spacing w:line="360" w:lineRule="auto"/>
        <w:rPr>
          <w:sz w:val="24"/>
          <w:szCs w:val="24"/>
        </w:rPr>
      </w:pPr>
      <w:r>
        <w:rPr>
          <w:rFonts w:hint="eastAsia"/>
          <w:b/>
          <w:bCs/>
          <w:sz w:val="24"/>
          <w:szCs w:val="24"/>
        </w:rPr>
        <w:t>7.2.8</w:t>
      </w:r>
      <w:r>
        <w:rPr>
          <w:rFonts w:hint="eastAsia"/>
          <w:b/>
          <w:sz w:val="24"/>
          <w:szCs w:val="24"/>
        </w:rPr>
        <w:t xml:space="preserve">  </w:t>
      </w:r>
      <w:r>
        <w:rPr>
          <w:rFonts w:hint="eastAsia" w:ascii="宋体" w:hAnsi="宋体" w:cs="宋体"/>
          <w:sz w:val="24"/>
          <w:szCs w:val="24"/>
        </w:rPr>
        <w:t>预制集成保温外墙板底部水平接缝封堵应符合灌浆的侧压力及防水设计要求，当采用柔性材料时应避免在灌浆压力作用下发生漏浆。</w:t>
      </w:r>
    </w:p>
    <w:p w14:paraId="2D607269">
      <w:pPr>
        <w:spacing w:line="360" w:lineRule="auto"/>
        <w:rPr>
          <w:sz w:val="24"/>
          <w:szCs w:val="24"/>
        </w:rPr>
      </w:pPr>
      <w:r>
        <w:rPr>
          <w:rFonts w:hint="eastAsia" w:ascii="宋体" w:hAnsi="宋体" w:cs="宋体"/>
          <w:color w:val="2414F4"/>
          <w:sz w:val="24"/>
          <w:szCs w:val="24"/>
          <w:u w:val="single"/>
        </w:rPr>
        <w:t>【条文说明】当预制</w:t>
      </w:r>
      <w:r>
        <w:rPr>
          <w:rFonts w:hint="eastAsia" w:ascii="宋体" w:hAnsi="宋体" w:cs="宋体"/>
          <w:color w:val="0000FF"/>
          <w:sz w:val="24"/>
          <w:szCs w:val="24"/>
          <w:u w:val="single"/>
        </w:rPr>
        <w:t>集成保温外墙板</w:t>
      </w:r>
      <w:r>
        <w:rPr>
          <w:rFonts w:hint="eastAsia" w:ascii="宋体" w:hAnsi="宋体" w:cs="宋体"/>
          <w:color w:val="2414F4"/>
          <w:sz w:val="24"/>
          <w:szCs w:val="24"/>
          <w:u w:val="single"/>
        </w:rPr>
        <w:t>底口保温板与混凝土齐平时，墙板吊装前应重点检查水平接缝外侧的封堵效果。如漏浆进入保温层拼缝形成冷热桥，影响防水质量。</w:t>
      </w:r>
    </w:p>
    <w:p w14:paraId="1B836E50">
      <w:pPr>
        <w:pStyle w:val="2"/>
        <w:spacing w:after="0" w:line="360" w:lineRule="auto"/>
        <w:rPr>
          <w:b/>
          <w:bCs/>
          <w:sz w:val="24"/>
        </w:rPr>
      </w:pPr>
      <w:r>
        <w:rPr>
          <w:rFonts w:hint="eastAsia"/>
          <w:b/>
          <w:bCs/>
          <w:sz w:val="24"/>
        </w:rPr>
        <w:t>7.2.</w:t>
      </w:r>
      <w:r>
        <w:rPr>
          <w:rFonts w:hint="eastAsia"/>
          <w:b/>
          <w:bCs/>
          <w:sz w:val="24"/>
          <w:lang w:val="en-US" w:eastAsia="zh-CN"/>
        </w:rPr>
        <w:t>9</w:t>
      </w:r>
      <w:r>
        <w:rPr>
          <w:rFonts w:hint="eastAsia" w:ascii="宋体" w:hAnsi="宋体" w:cs="宋体"/>
          <w:sz w:val="24"/>
        </w:rPr>
        <w:t xml:space="preserve">  </w:t>
      </w:r>
      <w:r>
        <w:rPr>
          <w:rFonts w:hint="eastAsia" w:ascii="宋体" w:hAnsi="宋体" w:cs="宋体"/>
          <w:sz w:val="24"/>
          <w:lang w:eastAsia="zh-CN"/>
        </w:rPr>
        <w:t>现浇段采用</w:t>
      </w:r>
      <w:r>
        <w:rPr>
          <w:rFonts w:hint="eastAsia" w:ascii="宋体" w:hAnsi="宋体" w:cs="宋体"/>
          <w:sz w:val="24"/>
        </w:rPr>
        <w:t>免拆模保温板</w:t>
      </w:r>
      <w:r>
        <w:rPr>
          <w:rFonts w:hint="eastAsia" w:ascii="宋体" w:hAnsi="宋体" w:cs="宋体"/>
          <w:sz w:val="24"/>
          <w:lang w:eastAsia="zh-CN"/>
        </w:rPr>
        <w:t>时，</w:t>
      </w:r>
      <w:r>
        <w:rPr>
          <w:rFonts w:hint="eastAsia" w:ascii="宋体" w:hAnsi="宋体" w:cs="宋体"/>
          <w:sz w:val="24"/>
        </w:rPr>
        <w:t>应放线确定锚固件的位置，后安装锚固件，且锚固件尾盘应压入保温板内。</w:t>
      </w:r>
    </w:p>
    <w:p w14:paraId="196DC1AD">
      <w:pPr>
        <w:pStyle w:val="2"/>
        <w:spacing w:after="0" w:line="360" w:lineRule="auto"/>
        <w:rPr>
          <w:rFonts w:ascii="宋体" w:hAnsi="宋体" w:cs="宋体"/>
          <w:sz w:val="24"/>
        </w:rPr>
      </w:pPr>
      <w:r>
        <w:rPr>
          <w:rFonts w:hint="eastAsia"/>
          <w:b/>
          <w:bCs/>
          <w:sz w:val="24"/>
        </w:rPr>
        <w:t>7.2.1</w:t>
      </w:r>
      <w:r>
        <w:rPr>
          <w:rFonts w:hint="eastAsia"/>
          <w:b/>
          <w:bCs/>
          <w:sz w:val="24"/>
          <w:lang w:val="en-US" w:eastAsia="zh-CN"/>
        </w:rPr>
        <w:t>0</w:t>
      </w:r>
      <w:r>
        <w:rPr>
          <w:rFonts w:hint="eastAsia" w:ascii="宋体" w:hAnsi="宋体" w:cs="宋体"/>
          <w:sz w:val="24"/>
        </w:rPr>
        <w:t xml:space="preserve">  预制集成保温外墙板与现浇结合部位处的免拆模背楞</w:t>
      </w:r>
      <w:r>
        <w:rPr>
          <w:rFonts w:hint="eastAsia" w:ascii="宋体" w:hAnsi="宋体" w:cs="宋体"/>
          <w:color w:val="000000" w:themeColor="text1"/>
          <w:sz w:val="24"/>
          <w:lang w:eastAsia="zh-CN"/>
          <w14:textFill>
            <w14:solidFill>
              <w14:schemeClr w14:val="tx1"/>
            </w14:solidFill>
          </w14:textFill>
        </w:rPr>
        <w:t>宜采用</w:t>
      </w:r>
      <w:r>
        <w:rPr>
          <w:rFonts w:hint="eastAsia" w:ascii="宋体" w:hAnsi="宋体" w:cs="宋体"/>
          <w:color w:val="000000" w:themeColor="text1"/>
          <w:sz w:val="24"/>
          <w14:textFill>
            <w14:solidFill>
              <w14:schemeClr w14:val="tx1"/>
            </w14:solidFill>
          </w14:textFill>
        </w:rPr>
        <w:t>钢质或钢包木</w:t>
      </w:r>
      <w:r>
        <w:rPr>
          <w:rFonts w:hint="eastAsia" w:ascii="宋体" w:hAnsi="宋体" w:cs="宋体"/>
          <w:color w:val="000000" w:themeColor="text1"/>
          <w:sz w:val="24"/>
          <w:lang w:eastAsia="zh-CN"/>
          <w14:textFill>
            <w14:solidFill>
              <w14:schemeClr w14:val="tx1"/>
            </w14:solidFill>
          </w14:textFill>
        </w:rPr>
        <w:t>背楞</w:t>
      </w:r>
      <w:r>
        <w:rPr>
          <w:rFonts w:hint="eastAsia" w:ascii="宋体" w:hAnsi="宋体" w:cs="宋体"/>
          <w:sz w:val="24"/>
        </w:rPr>
        <w:t>，不宜采用木质背楞</w:t>
      </w:r>
      <w:r>
        <w:rPr>
          <w:rFonts w:hint="eastAsia" w:ascii="宋体" w:hAnsi="宋体" w:cs="宋体"/>
          <w:bCs/>
          <w:color w:val="000000"/>
          <w:sz w:val="24"/>
        </w:rPr>
        <w:t>。</w:t>
      </w:r>
    </w:p>
    <w:p w14:paraId="3FFCC34B">
      <w:pPr>
        <w:pStyle w:val="2"/>
        <w:spacing w:after="0" w:line="360" w:lineRule="auto"/>
        <w:rPr>
          <w:rFonts w:ascii="宋体" w:hAnsi="宋体" w:cs="宋体"/>
          <w:sz w:val="24"/>
        </w:rPr>
      </w:pPr>
      <w:r>
        <w:rPr>
          <w:rFonts w:hint="eastAsia"/>
          <w:b/>
          <w:bCs/>
          <w:sz w:val="24"/>
        </w:rPr>
        <w:t>7.2.1</w:t>
      </w:r>
      <w:r>
        <w:rPr>
          <w:rFonts w:hint="eastAsia"/>
          <w:b/>
          <w:bCs/>
          <w:sz w:val="24"/>
          <w:lang w:val="en-US" w:eastAsia="zh-CN"/>
        </w:rPr>
        <w:t>1</w:t>
      </w:r>
      <w:r>
        <w:rPr>
          <w:rFonts w:hint="eastAsia" w:ascii="宋体" w:hAnsi="宋体" w:cs="宋体"/>
          <w:sz w:val="24"/>
        </w:rPr>
        <w:t xml:space="preserve">  预制集成保温外墙板与现浇结合部位支模时，免拆模底部应有限位措施防止免拆模保温板移动</w:t>
      </w:r>
      <w:r>
        <w:rPr>
          <w:rFonts w:hint="eastAsia" w:ascii="宋体" w:hAnsi="宋体" w:cs="宋体"/>
          <w:bCs/>
          <w:color w:val="000000"/>
          <w:sz w:val="24"/>
        </w:rPr>
        <w:t>。</w:t>
      </w:r>
    </w:p>
    <w:p w14:paraId="1C16F312">
      <w:pPr>
        <w:pStyle w:val="2"/>
        <w:spacing w:after="0" w:line="360" w:lineRule="auto"/>
        <w:rPr>
          <w:rFonts w:ascii="宋体" w:hAnsi="宋体" w:cs="宋体"/>
          <w:sz w:val="24"/>
        </w:rPr>
      </w:pPr>
      <w:r>
        <w:rPr>
          <w:rFonts w:hint="eastAsia"/>
          <w:b/>
          <w:bCs/>
          <w:sz w:val="24"/>
        </w:rPr>
        <w:t>7.2.1</w:t>
      </w:r>
      <w:r>
        <w:rPr>
          <w:rFonts w:hint="eastAsia"/>
          <w:b/>
          <w:bCs/>
          <w:sz w:val="24"/>
          <w:lang w:val="en-US" w:eastAsia="zh-CN"/>
        </w:rPr>
        <w:t>2</w:t>
      </w:r>
      <w:r>
        <w:rPr>
          <w:rFonts w:hint="eastAsia" w:ascii="宋体" w:hAnsi="宋体" w:cs="宋体"/>
          <w:sz w:val="24"/>
        </w:rPr>
        <w:t xml:space="preserve">  预制集成保温外墙板与现浇结合部位支模时，现浇部位保温板与相邻预制构件采取错缝防水处理。保温板间、预制集成保温外墙板底口等拼缝应采取防漏浆措施。</w:t>
      </w:r>
      <w:r>
        <w:rPr>
          <w:rFonts w:hint="eastAsia" w:ascii="宋体" w:hAnsi="宋体" w:cs="宋体"/>
          <w:bCs/>
          <w:color w:val="000000"/>
          <w:sz w:val="24"/>
        </w:rPr>
        <w:t>混凝土浇筑前，结合面应充分湿润且不得有明积水。</w:t>
      </w:r>
    </w:p>
    <w:p w14:paraId="1CDE6CA8">
      <w:pPr>
        <w:pStyle w:val="2"/>
        <w:spacing w:after="0" w:line="360" w:lineRule="auto"/>
        <w:rPr>
          <w:rFonts w:ascii="宋体" w:hAnsi="宋体" w:cs="宋体"/>
          <w:sz w:val="24"/>
        </w:rPr>
      </w:pPr>
      <w:r>
        <w:rPr>
          <w:rFonts w:hint="eastAsia"/>
          <w:b/>
          <w:bCs/>
          <w:sz w:val="24"/>
        </w:rPr>
        <w:t>7.2.1</w:t>
      </w:r>
      <w:r>
        <w:rPr>
          <w:rFonts w:hint="eastAsia"/>
          <w:b/>
          <w:bCs/>
          <w:sz w:val="24"/>
          <w:lang w:val="en-US" w:eastAsia="zh-CN"/>
        </w:rPr>
        <w:t>3</w:t>
      </w:r>
      <w:r>
        <w:rPr>
          <w:rFonts w:hint="eastAsia" w:ascii="宋体" w:hAnsi="宋体" w:cs="宋体"/>
          <w:sz w:val="24"/>
        </w:rPr>
        <w:t xml:space="preserve">  浇筑混凝土时，振捣棒不应碰撞免拆模保温板上的锚固件</w:t>
      </w:r>
      <w:r>
        <w:rPr>
          <w:rFonts w:hint="eastAsia" w:ascii="宋体" w:hAnsi="宋体" w:cs="宋体"/>
          <w:bCs/>
          <w:color w:val="000000"/>
          <w:sz w:val="24"/>
        </w:rPr>
        <w:t>。</w:t>
      </w:r>
    </w:p>
    <w:p w14:paraId="70FAABB4">
      <w:pPr>
        <w:pStyle w:val="2"/>
        <w:spacing w:after="0" w:line="360" w:lineRule="auto"/>
        <w:rPr>
          <w:rFonts w:ascii="宋体" w:hAnsi="宋体" w:cs="宋体"/>
          <w:sz w:val="24"/>
        </w:rPr>
      </w:pPr>
      <w:r>
        <w:rPr>
          <w:rFonts w:hint="eastAsia"/>
          <w:b/>
          <w:bCs/>
          <w:sz w:val="24"/>
        </w:rPr>
        <w:t>7.2.1</w:t>
      </w:r>
      <w:r>
        <w:rPr>
          <w:rFonts w:hint="eastAsia"/>
          <w:b/>
          <w:bCs/>
          <w:sz w:val="24"/>
          <w:lang w:val="en-US" w:eastAsia="zh-CN"/>
        </w:rPr>
        <w:t>4</w:t>
      </w:r>
      <w:r>
        <w:rPr>
          <w:rFonts w:hint="eastAsia" w:ascii="宋体" w:hAnsi="宋体" w:cs="宋体"/>
          <w:sz w:val="24"/>
        </w:rPr>
        <w:t xml:space="preserve">  拉模孔、脚手眼等施工预留孔洞中应采用憎水性岩棉、聚氨酯等保温材料填实；外墙面一侧采用耐候性密封胶封堵，封堵深度不应小于10mm；内墙面一侧应采用防水砂浆封堵，封堵深度不应小于50mm。</w:t>
      </w:r>
    </w:p>
    <w:p w14:paraId="79D8EC3B">
      <w:pPr>
        <w:spacing w:line="360" w:lineRule="auto"/>
        <w:rPr>
          <w:rFonts w:ascii="宋体" w:hAnsi="宋体" w:cs="宋体"/>
          <w:sz w:val="24"/>
        </w:rPr>
      </w:pPr>
      <w:r>
        <w:rPr>
          <w:rFonts w:hint="eastAsia"/>
          <w:b/>
          <w:bCs/>
          <w:sz w:val="24"/>
        </w:rPr>
        <w:t>7.2.1</w:t>
      </w:r>
      <w:r>
        <w:rPr>
          <w:rFonts w:hint="eastAsia"/>
          <w:b/>
          <w:bCs/>
          <w:sz w:val="24"/>
          <w:lang w:val="en-US" w:eastAsia="zh-CN"/>
        </w:rPr>
        <w:t>5</w:t>
      </w:r>
      <w:r>
        <w:rPr>
          <w:rFonts w:hint="eastAsia" w:ascii="宋体" w:hAnsi="宋体" w:cs="宋体"/>
          <w:sz w:val="24"/>
        </w:rPr>
        <w:t xml:space="preserve">  抹面层施工应在基层墙体质量验收合格后进行。基层应平整、无污染、无杂物，凸起、起鼓和疏松部位应剔除，破损部位已完成修复，接缝防水、孔洞封堵等防水隐蔽工程应验收</w:t>
      </w:r>
      <w:r>
        <w:rPr>
          <w:rFonts w:hint="eastAsia" w:ascii="宋体" w:hAnsi="宋体" w:cs="宋体"/>
          <w:color w:val="000000" w:themeColor="text1"/>
          <w:sz w:val="24"/>
          <w14:textFill>
            <w14:solidFill>
              <w14:schemeClr w14:val="tx1"/>
            </w14:solidFill>
          </w14:textFill>
        </w:rPr>
        <w:t>完成</w:t>
      </w:r>
      <w:r>
        <w:rPr>
          <w:rFonts w:hint="eastAsia" w:ascii="宋体" w:hAnsi="宋体" w:cs="宋体"/>
          <w:sz w:val="24"/>
        </w:rPr>
        <w:t>。</w:t>
      </w:r>
    </w:p>
    <w:p w14:paraId="6E131F14">
      <w:pPr>
        <w:pStyle w:val="2"/>
        <w:spacing w:after="0" w:line="360" w:lineRule="auto"/>
        <w:rPr>
          <w:rFonts w:ascii="宋体" w:hAnsi="宋体" w:cs="宋体"/>
          <w:sz w:val="24"/>
        </w:rPr>
      </w:pPr>
      <w:r>
        <w:rPr>
          <w:rFonts w:hint="eastAsia"/>
          <w:b/>
          <w:bCs/>
          <w:sz w:val="24"/>
        </w:rPr>
        <w:t>7.2.1</w:t>
      </w:r>
      <w:r>
        <w:rPr>
          <w:rFonts w:hint="eastAsia"/>
          <w:b/>
          <w:bCs/>
          <w:sz w:val="24"/>
          <w:lang w:val="en-US" w:eastAsia="zh-CN"/>
        </w:rPr>
        <w:t>6</w:t>
      </w:r>
      <w:r>
        <w:rPr>
          <w:rFonts w:hint="eastAsia" w:ascii="宋体" w:hAnsi="宋体" w:cs="宋体"/>
          <w:sz w:val="24"/>
        </w:rPr>
        <w:t xml:space="preserve">  抹面层施工应符合现行国家标准《建筑装饰装修工程施工质量验收规范》GB 50210的相关规定。</w:t>
      </w:r>
    </w:p>
    <w:p w14:paraId="2DCD1A3F">
      <w:pPr>
        <w:spacing w:line="360" w:lineRule="auto"/>
        <w:rPr>
          <w:rFonts w:ascii="宋体" w:hAnsi="宋体" w:cs="宋体"/>
          <w:color w:val="000000" w:themeColor="text1"/>
          <w:sz w:val="24"/>
          <w14:textFill>
            <w14:solidFill>
              <w14:schemeClr w14:val="tx1"/>
            </w14:solidFill>
          </w14:textFill>
        </w:rPr>
      </w:pPr>
      <w:r>
        <w:rPr>
          <w:rFonts w:hint="eastAsia"/>
          <w:b/>
          <w:bCs/>
          <w:sz w:val="24"/>
        </w:rPr>
        <w:t>7.2.1</w:t>
      </w:r>
      <w:r>
        <w:rPr>
          <w:rFonts w:hint="eastAsia"/>
          <w:b/>
          <w:bCs/>
          <w:sz w:val="24"/>
          <w:lang w:val="en-US" w:eastAsia="zh-CN"/>
        </w:rPr>
        <w:t>7</w:t>
      </w:r>
      <w:r>
        <w:rPr>
          <w:rFonts w:hint="eastAsia" w:ascii="宋体" w:hAnsi="宋体" w:cs="宋体"/>
          <w:sz w:val="24"/>
        </w:rPr>
        <w:t xml:space="preserve">  抹面层应至少分2道施工，每道抹面层厚度应控制在3mm</w:t>
      </w:r>
      <w:r>
        <w:rPr>
          <w:sz w:val="24"/>
        </w:rPr>
        <w:t>~</w:t>
      </w:r>
      <w:r>
        <w:rPr>
          <w:rFonts w:hint="eastAsia" w:ascii="宋体" w:hAnsi="宋体" w:cs="宋体"/>
          <w:sz w:val="24"/>
        </w:rPr>
        <w:t>5mm，抹平层平均厚度应不大于8mm，施工允许误差应为-3mm</w:t>
      </w:r>
      <w:r>
        <w:rPr>
          <w:rFonts w:hint="eastAsia" w:ascii="宋体" w:hAnsi="宋体" w:cs="宋体"/>
          <w:sz w:val="24"/>
          <w:lang w:val="en-US" w:eastAsia="zh-CN"/>
        </w:rPr>
        <w:t xml:space="preserve"> </w:t>
      </w:r>
      <w:r>
        <w:rPr>
          <w:rFonts w:hint="default" w:ascii="Times New Roman" w:hAnsi="Times New Roman" w:cs="Times New Roman"/>
          <w:sz w:val="24"/>
          <w:lang w:val="en-US" w:eastAsia="zh-CN"/>
        </w:rPr>
        <w:t>~</w:t>
      </w:r>
      <w:r>
        <w:rPr>
          <w:rFonts w:hint="eastAsia" w:ascii="Times New Roman" w:hAnsi="Times New Roman" w:cs="Times New Roman"/>
          <w:sz w:val="24"/>
          <w:lang w:val="en-US" w:eastAsia="zh-CN"/>
        </w:rPr>
        <w:t xml:space="preserve"> </w:t>
      </w:r>
      <w:r>
        <w:rPr>
          <w:rFonts w:hint="eastAsia" w:ascii="宋体" w:hAnsi="宋体" w:cs="宋体"/>
          <w:sz w:val="24"/>
        </w:rPr>
        <w:t>+5mm。首道面层施工可作为耐候性保护措施在结构施工阶段提前穿插。</w:t>
      </w:r>
      <w:r>
        <w:rPr>
          <w:rFonts w:hint="eastAsia" w:ascii="宋体" w:hAnsi="宋体" w:cs="宋体"/>
          <w:color w:val="000000" w:themeColor="text1"/>
          <w:sz w:val="24"/>
          <w14:textFill>
            <w14:solidFill>
              <w14:schemeClr w14:val="tx1"/>
            </w14:solidFill>
          </w14:textFill>
        </w:rPr>
        <w:t>抹面层施工前，应根据材料系统供应商的相关要求涂刷界面剂。</w:t>
      </w:r>
    </w:p>
    <w:p w14:paraId="5BFD376A">
      <w:pPr>
        <w:spacing w:line="360" w:lineRule="auto"/>
        <w:rPr>
          <w:rFonts w:ascii="宋体" w:hAnsi="宋体" w:cs="宋体"/>
          <w:color w:val="2414F4"/>
          <w:sz w:val="24"/>
          <w:u w:val="single"/>
        </w:rPr>
      </w:pPr>
      <w:r>
        <w:rPr>
          <w:rFonts w:hint="eastAsia" w:ascii="宋体" w:hAnsi="宋体" w:cs="宋体"/>
          <w:color w:val="2414F4"/>
          <w:sz w:val="24"/>
          <w:u w:val="single"/>
        </w:rPr>
        <w:t>【条文说明】接缝处找平砂浆厚度过厚时，应在找平层内增加双层网格布和锚固件进行加强。防止找平层过厚脱落。</w:t>
      </w:r>
      <w:r>
        <w:rPr>
          <w:rFonts w:hint="eastAsia" w:ascii="宋体" w:hAnsi="宋体" w:cs="宋体"/>
          <w:color w:val="2414F4"/>
          <w:sz w:val="24"/>
          <w:highlight w:val="none"/>
          <w:u w:val="single"/>
        </w:rPr>
        <w:t>当保温板与抹面胶浆的拉伸粘结强度由于施工周期等各种因素受到影响时，宜采用界面剂处理，以增强二者之间的粘结强度。使用界面剂后，不应降低而应增强保温板与抹面胶浆的粘结，并达到设计强度</w:t>
      </w:r>
    </w:p>
    <w:p w14:paraId="16026492">
      <w:pPr>
        <w:pStyle w:val="4"/>
      </w:pPr>
      <w:bookmarkStart w:id="92" w:name="_Toc23513"/>
      <w:bookmarkStart w:id="93" w:name="_Toc21289"/>
      <w:r>
        <w:rPr>
          <w:rFonts w:hint="eastAsia"/>
        </w:rPr>
        <w:t>7</w:t>
      </w:r>
      <w:r>
        <w:t>.</w:t>
      </w:r>
      <w:r>
        <w:rPr>
          <w:rFonts w:hint="eastAsia"/>
        </w:rPr>
        <w:t>3</w:t>
      </w:r>
      <w:r>
        <w:rPr>
          <w:rFonts w:hint="eastAsia"/>
          <w:lang w:val="en-US" w:eastAsia="zh-CN"/>
        </w:rPr>
        <w:t xml:space="preserve"> </w:t>
      </w:r>
      <w:r>
        <w:rPr>
          <w:rFonts w:hint="eastAsia"/>
        </w:rPr>
        <w:t>验收</w:t>
      </w:r>
      <w:bookmarkEnd w:id="92"/>
      <w:bookmarkEnd w:id="93"/>
    </w:p>
    <w:p w14:paraId="78BCABFB">
      <w:pPr>
        <w:pStyle w:val="2"/>
        <w:spacing w:after="0" w:line="360" w:lineRule="auto"/>
        <w:rPr>
          <w:rFonts w:ascii="宋体" w:hAnsi="宋体" w:cs="宋体"/>
          <w:sz w:val="24"/>
        </w:rPr>
      </w:pPr>
      <w:r>
        <w:rPr>
          <w:rFonts w:hint="eastAsia"/>
          <w:b/>
          <w:bCs/>
          <w:sz w:val="24"/>
        </w:rPr>
        <w:t>7.3.1</w:t>
      </w:r>
      <w:r>
        <w:rPr>
          <w:rFonts w:hint="eastAsia" w:ascii="宋体" w:hAnsi="宋体" w:cs="宋体"/>
          <w:sz w:val="24"/>
        </w:rPr>
        <w:t xml:space="preserve">  预制集成保温外墙板应按现行国家标准《建筑工程施工质量验收统一标准》GB 50300和《建筑节能工程施工质量验收标准》GB 50411的有关规定进行施工质量验收。</w:t>
      </w:r>
    </w:p>
    <w:p w14:paraId="57FC1B41">
      <w:pPr>
        <w:pStyle w:val="2"/>
        <w:spacing w:after="0" w:line="360" w:lineRule="auto"/>
        <w:rPr>
          <w:rFonts w:ascii="宋体" w:hAnsi="宋体" w:cs="宋体"/>
          <w:sz w:val="24"/>
        </w:rPr>
      </w:pPr>
      <w:r>
        <w:rPr>
          <w:rFonts w:hint="eastAsia"/>
          <w:b/>
          <w:bCs/>
          <w:sz w:val="24"/>
        </w:rPr>
        <w:t>7.3.2</w:t>
      </w:r>
      <w:r>
        <w:rPr>
          <w:rFonts w:hint="eastAsia" w:ascii="宋体" w:hAnsi="宋体" w:cs="宋体"/>
          <w:sz w:val="24"/>
        </w:rPr>
        <w:t xml:space="preserve">  检验批的划分、检查数量和隐蔽工程验收应符合现行国家标准《建筑节能工程施工质量验收标准》GB 50411的有关规定。</w:t>
      </w:r>
    </w:p>
    <w:p w14:paraId="6F890757">
      <w:pPr>
        <w:spacing w:line="360" w:lineRule="auto"/>
        <w:rPr>
          <w:rFonts w:ascii="宋体" w:hAnsi="宋体" w:cs="宋体"/>
          <w:sz w:val="24"/>
        </w:rPr>
      </w:pPr>
      <w:r>
        <w:rPr>
          <w:rFonts w:hint="eastAsia"/>
          <w:b/>
          <w:bCs/>
          <w:sz w:val="24"/>
        </w:rPr>
        <w:t>7.3.</w:t>
      </w:r>
      <w:r>
        <w:rPr>
          <w:rFonts w:hint="eastAsia"/>
          <w:b/>
          <w:bCs/>
          <w:sz w:val="24"/>
          <w:lang w:val="en-US" w:eastAsia="zh-CN"/>
        </w:rPr>
        <w:t>3</w:t>
      </w:r>
      <w:r>
        <w:rPr>
          <w:rFonts w:hint="eastAsia" w:ascii="宋体" w:hAnsi="宋体" w:cs="宋体"/>
          <w:sz w:val="24"/>
        </w:rPr>
        <w:t xml:space="preserve">  预制集成保温外墙板的质量验收尚应符合现行国家标准《混凝土结构工程施工质量验收规范》GB 50204的有关规定。 </w:t>
      </w:r>
    </w:p>
    <w:p w14:paraId="0869EF02">
      <w:pPr>
        <w:spacing w:line="360" w:lineRule="auto"/>
      </w:pPr>
      <w:r>
        <w:rPr>
          <w:rFonts w:hint="eastAsia"/>
          <w:b/>
          <w:bCs/>
          <w:sz w:val="24"/>
        </w:rPr>
        <w:t>7.3.</w:t>
      </w:r>
      <w:r>
        <w:rPr>
          <w:rFonts w:hint="eastAsia"/>
          <w:b/>
          <w:bCs/>
          <w:sz w:val="24"/>
          <w:lang w:val="en-US" w:eastAsia="zh-CN"/>
        </w:rPr>
        <w:t>4</w:t>
      </w:r>
      <w:r>
        <w:rPr>
          <w:rFonts w:hint="eastAsia" w:ascii="宋体" w:hAnsi="宋体" w:cs="宋体"/>
          <w:sz w:val="24"/>
        </w:rPr>
        <w:t xml:space="preserve">  预制集成保温外墙板施工验收应建立首层验收制度。 </w:t>
      </w:r>
    </w:p>
    <w:p w14:paraId="37D5875E">
      <w:pPr>
        <w:pStyle w:val="2"/>
        <w:spacing w:after="0" w:line="360" w:lineRule="auto"/>
        <w:jc w:val="center"/>
        <w:rPr>
          <w:rFonts w:ascii="仿宋" w:hAnsi="仿宋" w:eastAsia="仿宋" w:cs="仿宋"/>
          <w:sz w:val="28"/>
          <w:szCs w:val="28"/>
        </w:rPr>
      </w:pPr>
      <w:r>
        <w:rPr>
          <w:rFonts w:hint="eastAsia" w:ascii="仿宋" w:hAnsi="仿宋" w:eastAsia="仿宋" w:cs="仿宋"/>
          <w:sz w:val="28"/>
          <w:szCs w:val="28"/>
        </w:rPr>
        <w:t>I  主控项目</w:t>
      </w:r>
    </w:p>
    <w:p w14:paraId="643E3369">
      <w:pPr>
        <w:pStyle w:val="2"/>
        <w:spacing w:after="0" w:line="360" w:lineRule="auto"/>
        <w:rPr>
          <w:rFonts w:ascii="宋体" w:hAnsi="宋体" w:cs="宋体"/>
          <w:sz w:val="24"/>
        </w:rPr>
      </w:pPr>
      <w:r>
        <w:rPr>
          <w:rFonts w:hint="eastAsia"/>
          <w:b/>
          <w:bCs/>
          <w:sz w:val="24"/>
        </w:rPr>
        <w:t>7.3.</w:t>
      </w:r>
      <w:r>
        <w:rPr>
          <w:rFonts w:hint="eastAsia"/>
          <w:b/>
          <w:bCs/>
          <w:sz w:val="24"/>
          <w:lang w:val="en-US" w:eastAsia="zh-CN"/>
        </w:rPr>
        <w:t>5</w:t>
      </w:r>
      <w:r>
        <w:rPr>
          <w:rFonts w:hint="eastAsia" w:ascii="宋体" w:hAnsi="宋体" w:cs="宋体"/>
          <w:sz w:val="24"/>
        </w:rPr>
        <w:t xml:space="preserve">  预制集成保温外墙板进场时应检查出厂合格证和质量证明文件。</w:t>
      </w:r>
    </w:p>
    <w:p w14:paraId="6750E268">
      <w:pPr>
        <w:bidi w:val="0"/>
        <w:spacing w:line="360" w:lineRule="auto"/>
        <w:ind w:firstLine="482" w:firstLineChars="200"/>
        <w:rPr>
          <w:sz w:val="24"/>
          <w:szCs w:val="32"/>
        </w:rPr>
      </w:pPr>
      <w:bookmarkStart w:id="94" w:name="_Toc5161"/>
      <w:r>
        <w:rPr>
          <w:rFonts w:hint="eastAsia"/>
          <w:b/>
          <w:bCs/>
          <w:sz w:val="24"/>
          <w:szCs w:val="32"/>
        </w:rPr>
        <w:t>1</w:t>
      </w:r>
      <w:r>
        <w:rPr>
          <w:rFonts w:hint="eastAsia"/>
          <w:sz w:val="24"/>
          <w:szCs w:val="32"/>
        </w:rPr>
        <w:t xml:space="preserve"> 出厂合格证应包含下列内容：</w:t>
      </w:r>
      <w:bookmarkEnd w:id="94"/>
    </w:p>
    <w:p w14:paraId="039040A4">
      <w:pPr>
        <w:pStyle w:val="2"/>
        <w:spacing w:after="0" w:line="360" w:lineRule="auto"/>
        <w:ind w:firstLine="723" w:firstLineChars="300"/>
        <w:rPr>
          <w:rFonts w:ascii="宋体" w:hAnsi="宋体" w:cs="宋体"/>
          <w:sz w:val="24"/>
        </w:rPr>
      </w:pPr>
      <w:r>
        <w:rPr>
          <w:b/>
          <w:bCs/>
          <w:sz w:val="24"/>
        </w:rPr>
        <w:t>1）</w:t>
      </w:r>
      <w:r>
        <w:rPr>
          <w:rFonts w:hint="eastAsia" w:ascii="宋体" w:hAnsi="宋体" w:cs="宋体"/>
          <w:sz w:val="24"/>
        </w:rPr>
        <w:t>出厂合格证编号和预制外墙板编号；</w:t>
      </w:r>
    </w:p>
    <w:p w14:paraId="3B92BF84">
      <w:pPr>
        <w:pStyle w:val="2"/>
        <w:spacing w:after="0" w:line="360" w:lineRule="auto"/>
        <w:ind w:firstLine="723" w:firstLineChars="300"/>
        <w:rPr>
          <w:rFonts w:ascii="宋体" w:hAnsi="宋体" w:cs="宋体"/>
          <w:sz w:val="24"/>
        </w:rPr>
      </w:pPr>
      <w:r>
        <w:rPr>
          <w:rFonts w:hint="eastAsia"/>
          <w:b/>
          <w:bCs/>
          <w:sz w:val="24"/>
        </w:rPr>
        <w:t>2）</w:t>
      </w:r>
      <w:r>
        <w:rPr>
          <w:rFonts w:hint="eastAsia" w:ascii="宋体" w:hAnsi="宋体" w:cs="宋体"/>
          <w:sz w:val="24"/>
        </w:rPr>
        <w:t>预制集成保温外墙板数量；</w:t>
      </w:r>
    </w:p>
    <w:p w14:paraId="39863EC2">
      <w:pPr>
        <w:pStyle w:val="2"/>
        <w:spacing w:after="0" w:line="360" w:lineRule="auto"/>
        <w:ind w:firstLine="723" w:firstLineChars="300"/>
        <w:rPr>
          <w:rFonts w:ascii="宋体" w:hAnsi="宋体" w:cs="宋体"/>
          <w:sz w:val="24"/>
        </w:rPr>
      </w:pPr>
      <w:r>
        <w:rPr>
          <w:rFonts w:hint="eastAsia"/>
          <w:b/>
          <w:bCs/>
          <w:sz w:val="24"/>
        </w:rPr>
        <w:t>3）</w:t>
      </w:r>
      <w:r>
        <w:rPr>
          <w:rFonts w:hint="eastAsia" w:ascii="宋体" w:hAnsi="宋体" w:cs="宋体"/>
          <w:sz w:val="24"/>
        </w:rPr>
        <w:t>预制集成保温外墙板型号；</w:t>
      </w:r>
    </w:p>
    <w:p w14:paraId="46CDA258">
      <w:pPr>
        <w:pStyle w:val="2"/>
        <w:spacing w:after="0" w:line="360" w:lineRule="auto"/>
        <w:ind w:left="718" w:leftChars="342" w:firstLine="0" w:firstLineChars="0"/>
        <w:rPr>
          <w:rFonts w:ascii="宋体" w:hAnsi="宋体" w:cs="宋体"/>
          <w:sz w:val="24"/>
        </w:rPr>
      </w:pPr>
      <w:r>
        <w:rPr>
          <w:rFonts w:hint="eastAsia"/>
          <w:b/>
          <w:bCs/>
          <w:sz w:val="24"/>
        </w:rPr>
        <w:t>4）</w:t>
      </w:r>
      <w:r>
        <w:rPr>
          <w:rFonts w:hint="eastAsia" w:ascii="宋体" w:hAnsi="宋体" w:cs="宋体"/>
          <w:sz w:val="24"/>
        </w:rPr>
        <w:t>预制集成保温外墙板质量情况，包括外观质量、尺寸允许偏差和混凝土抗压强度；</w:t>
      </w:r>
    </w:p>
    <w:p w14:paraId="64EC27A9">
      <w:pPr>
        <w:pStyle w:val="2"/>
        <w:spacing w:after="0" w:line="360" w:lineRule="auto"/>
        <w:ind w:firstLine="723" w:firstLineChars="300"/>
        <w:rPr>
          <w:rFonts w:ascii="宋体" w:hAnsi="宋体" w:cs="宋体"/>
          <w:sz w:val="24"/>
        </w:rPr>
      </w:pPr>
      <w:r>
        <w:rPr>
          <w:rFonts w:hint="eastAsia"/>
          <w:b/>
          <w:bCs/>
          <w:sz w:val="24"/>
        </w:rPr>
        <w:t>5）</w:t>
      </w:r>
      <w:r>
        <w:rPr>
          <w:rFonts w:hint="eastAsia" w:ascii="宋体" w:hAnsi="宋体" w:cs="宋体"/>
          <w:sz w:val="24"/>
        </w:rPr>
        <w:t>生产单位名称、生产日期、出厂日期；</w:t>
      </w:r>
    </w:p>
    <w:p w14:paraId="0006F815">
      <w:pPr>
        <w:pStyle w:val="2"/>
        <w:spacing w:after="0" w:line="360" w:lineRule="auto"/>
        <w:ind w:firstLine="723" w:firstLineChars="300"/>
        <w:rPr>
          <w:rFonts w:ascii="宋体" w:hAnsi="宋体" w:cs="宋体"/>
          <w:sz w:val="24"/>
        </w:rPr>
      </w:pPr>
      <w:r>
        <w:rPr>
          <w:rFonts w:hint="eastAsia"/>
          <w:b/>
          <w:bCs/>
          <w:sz w:val="24"/>
        </w:rPr>
        <w:t>6）</w:t>
      </w:r>
      <w:r>
        <w:rPr>
          <w:rFonts w:hint="eastAsia" w:ascii="宋体" w:hAnsi="宋体" w:cs="宋体"/>
          <w:sz w:val="24"/>
        </w:rPr>
        <w:t>检验员签名或盖章，可用检验员代号表示。</w:t>
      </w:r>
    </w:p>
    <w:p w14:paraId="626BAC79">
      <w:pPr>
        <w:pStyle w:val="2"/>
        <w:spacing w:after="0" w:line="360" w:lineRule="auto"/>
        <w:ind w:firstLine="482" w:firstLineChars="200"/>
        <w:rPr>
          <w:sz w:val="24"/>
        </w:rPr>
      </w:pPr>
      <w:r>
        <w:rPr>
          <w:rFonts w:hint="eastAsia"/>
          <w:b/>
          <w:bCs/>
          <w:sz w:val="24"/>
        </w:rPr>
        <w:t>2</w:t>
      </w:r>
      <w:r>
        <w:rPr>
          <w:rFonts w:hint="eastAsia" w:ascii="宋体" w:hAnsi="宋体" w:cs="宋体"/>
          <w:sz w:val="24"/>
        </w:rPr>
        <w:t xml:space="preserve"> 质量证明文件应包括保温板型式检验报告、保温板与混凝土粘结强度报告、锚固件型式检验报告。</w:t>
      </w:r>
    </w:p>
    <w:p w14:paraId="576CF316">
      <w:pPr>
        <w:pStyle w:val="2"/>
        <w:spacing w:after="0" w:line="360" w:lineRule="auto"/>
        <w:rPr>
          <w:rFonts w:ascii="宋体" w:hAnsi="宋体" w:cs="宋体"/>
          <w:sz w:val="24"/>
        </w:rPr>
      </w:pPr>
      <w:r>
        <w:rPr>
          <w:rFonts w:hint="eastAsia"/>
          <w:b/>
          <w:bCs/>
          <w:sz w:val="24"/>
        </w:rPr>
        <w:t>7.3.</w:t>
      </w:r>
      <w:r>
        <w:rPr>
          <w:rFonts w:hint="eastAsia"/>
          <w:b/>
          <w:bCs/>
          <w:sz w:val="24"/>
          <w:lang w:val="en-US" w:eastAsia="zh-CN"/>
        </w:rPr>
        <w:t>6</w:t>
      </w:r>
      <w:r>
        <w:rPr>
          <w:rFonts w:hint="eastAsia" w:ascii="宋体" w:hAnsi="宋体" w:cs="宋体"/>
          <w:sz w:val="24"/>
        </w:rPr>
        <w:t xml:space="preserve">  预制集成保温外墙板进场时应对保温板厚度进行检测。</w:t>
      </w:r>
    </w:p>
    <w:p w14:paraId="2CBF9A65">
      <w:pPr>
        <w:spacing w:line="360" w:lineRule="auto"/>
        <w:ind w:firstLine="480" w:firstLineChars="200"/>
        <w:rPr>
          <w:rFonts w:ascii="宋体" w:hAnsi="宋体" w:cs="宋体"/>
          <w:sz w:val="24"/>
        </w:rPr>
      </w:pPr>
      <w:r>
        <w:rPr>
          <w:rFonts w:hint="eastAsia" w:ascii="宋体" w:hAnsi="宋体" w:cs="宋体"/>
          <w:sz w:val="24"/>
        </w:rPr>
        <w:t>检查数量：</w:t>
      </w:r>
      <w:r>
        <w:rPr>
          <w:rFonts w:hint="eastAsia"/>
          <w:sz w:val="24"/>
        </w:rPr>
        <w:t>不超过1000块为一批，每批抽取墙板数量的1%且不少于3块进行检验。抽取时宜从设计荷载最大、受力最不利或生产数量最多的预制构件中抽取。</w:t>
      </w:r>
    </w:p>
    <w:p w14:paraId="750C61CB">
      <w:pPr>
        <w:ind w:firstLine="480"/>
        <w:rPr>
          <w:sz w:val="24"/>
        </w:rPr>
      </w:pPr>
      <w:r>
        <w:rPr>
          <w:rFonts w:hint="eastAsia" w:ascii="宋体" w:hAnsi="宋体" w:cs="宋体"/>
          <w:sz w:val="24"/>
        </w:rPr>
        <w:t>检查方法：</w:t>
      </w:r>
      <w:r>
        <w:rPr>
          <w:rFonts w:hint="eastAsia"/>
          <w:sz w:val="24"/>
        </w:rPr>
        <w:t>采用钢针插入或侧边尺量检查。</w:t>
      </w:r>
    </w:p>
    <w:p w14:paraId="6654ED67">
      <w:pPr>
        <w:bidi w:val="0"/>
        <w:spacing w:line="360" w:lineRule="auto"/>
        <w:rPr>
          <w:sz w:val="24"/>
          <w:szCs w:val="32"/>
        </w:rPr>
      </w:pPr>
      <w:bookmarkStart w:id="95" w:name="_Toc27139"/>
      <w:r>
        <w:rPr>
          <w:rFonts w:hint="eastAsia"/>
          <w:b/>
          <w:bCs/>
          <w:sz w:val="24"/>
          <w:szCs w:val="32"/>
        </w:rPr>
        <w:t>7.3.</w:t>
      </w:r>
      <w:r>
        <w:rPr>
          <w:rFonts w:hint="eastAsia"/>
          <w:b/>
          <w:bCs/>
          <w:sz w:val="24"/>
          <w:szCs w:val="32"/>
          <w:lang w:val="en-US" w:eastAsia="zh-CN"/>
        </w:rPr>
        <w:t>7</w:t>
      </w:r>
      <w:r>
        <w:rPr>
          <w:rFonts w:hint="eastAsia"/>
          <w:sz w:val="24"/>
          <w:szCs w:val="32"/>
          <w:lang w:val="en-US" w:eastAsia="zh-CN"/>
        </w:rPr>
        <w:t xml:space="preserve">  </w:t>
      </w:r>
      <w:r>
        <w:rPr>
          <w:rFonts w:hint="eastAsia"/>
          <w:sz w:val="24"/>
          <w:szCs w:val="32"/>
        </w:rPr>
        <w:t>预制集成保温外墙板的传热系数应满足设计要求。</w:t>
      </w:r>
      <w:bookmarkEnd w:id="95"/>
    </w:p>
    <w:p w14:paraId="71A9747E">
      <w:pPr>
        <w:spacing w:line="360" w:lineRule="auto"/>
        <w:ind w:firstLine="480" w:firstLineChars="200"/>
        <w:rPr>
          <w:rFonts w:ascii="宋体" w:hAnsi="宋体" w:cs="宋体"/>
          <w:sz w:val="24"/>
        </w:rPr>
      </w:pPr>
      <w:r>
        <w:rPr>
          <w:rFonts w:hint="eastAsia" w:ascii="宋体" w:hAnsi="宋体" w:cs="宋体"/>
          <w:sz w:val="24"/>
        </w:rPr>
        <w:t>检查数量：同一类型预制外墙板为一检验批，每批检验数量为1块。</w:t>
      </w:r>
    </w:p>
    <w:p w14:paraId="1B13C6DD">
      <w:pPr>
        <w:spacing w:line="360" w:lineRule="auto"/>
        <w:ind w:firstLine="480" w:firstLineChars="200"/>
        <w:rPr>
          <w:rFonts w:ascii="宋体" w:hAnsi="宋体" w:cs="宋体"/>
          <w:sz w:val="24"/>
        </w:rPr>
      </w:pPr>
      <w:r>
        <w:rPr>
          <w:rFonts w:hint="eastAsia" w:ascii="宋体" w:hAnsi="宋体" w:cs="宋体"/>
          <w:sz w:val="24"/>
        </w:rPr>
        <w:t>检查方法：</w:t>
      </w:r>
      <w:r>
        <w:rPr>
          <w:rFonts w:hint="eastAsia" w:ascii="宋体" w:hAnsi="宋体" w:cs="宋体"/>
          <w:color w:val="000000" w:themeColor="text1"/>
          <w:sz w:val="24"/>
          <w14:textFill>
            <w14:solidFill>
              <w14:schemeClr w14:val="tx1"/>
            </w14:solidFill>
          </w14:textFill>
        </w:rPr>
        <w:t>检查</w:t>
      </w:r>
      <w:r>
        <w:rPr>
          <w:rFonts w:hint="eastAsia" w:ascii="宋体" w:hAnsi="宋体" w:cs="宋体"/>
          <w:color w:val="000000" w:themeColor="text1"/>
          <w:sz w:val="24"/>
          <w:lang w:eastAsia="zh-CN"/>
          <w14:textFill>
            <w14:solidFill>
              <w14:schemeClr w14:val="tx1"/>
            </w14:solidFill>
          </w14:textFill>
        </w:rPr>
        <w:t>性能</w:t>
      </w:r>
      <w:r>
        <w:rPr>
          <w:rFonts w:hint="eastAsia" w:ascii="宋体" w:hAnsi="宋体" w:cs="宋体"/>
          <w:color w:val="000000" w:themeColor="text1"/>
          <w:sz w:val="24"/>
          <w14:textFill>
            <w14:solidFill>
              <w14:schemeClr w14:val="tx1"/>
            </w14:solidFill>
          </w14:textFill>
        </w:rPr>
        <w:t>检验报告</w:t>
      </w:r>
      <w:r>
        <w:rPr>
          <w:rFonts w:hint="eastAsia" w:ascii="宋体" w:hAnsi="宋体" w:cs="宋体"/>
          <w:sz w:val="24"/>
        </w:rPr>
        <w:t>。</w:t>
      </w:r>
    </w:p>
    <w:p w14:paraId="2C314A3E">
      <w:pPr>
        <w:pStyle w:val="2"/>
        <w:spacing w:after="0" w:line="360" w:lineRule="auto"/>
        <w:rPr>
          <w:rFonts w:ascii="宋体" w:hAnsi="宋体" w:cs="宋体"/>
          <w:sz w:val="24"/>
        </w:rPr>
      </w:pPr>
      <w:r>
        <w:rPr>
          <w:rFonts w:hint="eastAsia"/>
          <w:b/>
          <w:bCs/>
          <w:sz w:val="24"/>
        </w:rPr>
        <w:t>7.3.</w:t>
      </w:r>
      <w:r>
        <w:rPr>
          <w:rFonts w:hint="eastAsia"/>
          <w:b/>
          <w:bCs/>
          <w:sz w:val="24"/>
          <w:lang w:val="en-US" w:eastAsia="zh-CN"/>
        </w:rPr>
        <w:t>8</w:t>
      </w:r>
      <w:r>
        <w:rPr>
          <w:rFonts w:hint="eastAsia"/>
          <w:b/>
          <w:bCs/>
          <w:sz w:val="24"/>
        </w:rPr>
        <w:t xml:space="preserve"> </w:t>
      </w:r>
      <w:r>
        <w:rPr>
          <w:rFonts w:hint="eastAsia"/>
          <w:b/>
          <w:bCs/>
          <w:sz w:val="24"/>
          <w:lang w:val="en-US" w:eastAsia="zh-CN"/>
        </w:rPr>
        <w:t xml:space="preserve"> </w:t>
      </w:r>
      <w:r>
        <w:rPr>
          <w:rFonts w:hint="eastAsia" w:ascii="宋体" w:hAnsi="宋体" w:cs="宋体"/>
          <w:sz w:val="24"/>
        </w:rPr>
        <w:t>预制集成保温外墙板的锚固件数量、位置等应符合设计要求。</w:t>
      </w:r>
    </w:p>
    <w:p w14:paraId="2349E86C">
      <w:pPr>
        <w:spacing w:line="360" w:lineRule="auto"/>
        <w:ind w:firstLine="480" w:firstLineChars="200"/>
        <w:rPr>
          <w:rFonts w:ascii="宋体" w:hAnsi="宋体" w:cs="宋体"/>
          <w:sz w:val="24"/>
        </w:rPr>
      </w:pPr>
      <w:r>
        <w:rPr>
          <w:rFonts w:hint="eastAsia" w:ascii="宋体" w:hAnsi="宋体" w:cs="宋体"/>
          <w:sz w:val="24"/>
        </w:rPr>
        <w:t>检查数量：全数检查。</w:t>
      </w:r>
    </w:p>
    <w:p w14:paraId="0C3A865D">
      <w:pPr>
        <w:ind w:firstLine="480" w:firstLineChars="200"/>
        <w:rPr>
          <w:rFonts w:ascii="宋体" w:hAnsi="宋体" w:cs="宋体"/>
          <w:sz w:val="24"/>
        </w:rPr>
      </w:pPr>
      <w:r>
        <w:rPr>
          <w:rFonts w:hint="eastAsia" w:ascii="宋体" w:hAnsi="宋体" w:cs="宋体"/>
          <w:sz w:val="24"/>
        </w:rPr>
        <w:t>检查方法：观察，尺量。</w:t>
      </w:r>
    </w:p>
    <w:p w14:paraId="17C8EF9F">
      <w:pPr>
        <w:spacing w:line="360" w:lineRule="auto"/>
        <w:rPr>
          <w:rFonts w:ascii="宋体" w:hAnsi="宋体" w:cs="宋体"/>
          <w:sz w:val="24"/>
        </w:rPr>
      </w:pPr>
      <w:r>
        <w:rPr>
          <w:rFonts w:hint="eastAsia"/>
          <w:b/>
          <w:bCs/>
          <w:sz w:val="24"/>
        </w:rPr>
        <w:t>7.3.</w:t>
      </w:r>
      <w:r>
        <w:rPr>
          <w:rFonts w:hint="eastAsia"/>
          <w:b/>
          <w:bCs/>
          <w:sz w:val="24"/>
          <w:lang w:val="en-US" w:eastAsia="zh-CN"/>
        </w:rPr>
        <w:t xml:space="preserve">9  </w:t>
      </w:r>
      <w:r>
        <w:rPr>
          <w:rFonts w:hint="eastAsia" w:ascii="宋体" w:hAnsi="宋体" w:cs="宋体"/>
          <w:sz w:val="24"/>
        </w:rPr>
        <w:t>预制集成保温外墙系统使用的抗裂砂浆、耐碱网布、水泥基防水抗裂处理材料等进场时应对其下列性能进行复验，复验应为见证取样送检：</w:t>
      </w:r>
    </w:p>
    <w:p w14:paraId="1EBBA403">
      <w:pPr>
        <w:bidi w:val="0"/>
        <w:spacing w:line="360" w:lineRule="auto"/>
        <w:ind w:firstLine="482" w:firstLineChars="200"/>
        <w:rPr>
          <w:sz w:val="24"/>
          <w:szCs w:val="32"/>
        </w:rPr>
      </w:pPr>
      <w:bookmarkStart w:id="96" w:name="_Toc7171"/>
      <w:r>
        <w:rPr>
          <w:rFonts w:hint="eastAsia"/>
          <w:b/>
          <w:bCs/>
          <w:sz w:val="24"/>
          <w:szCs w:val="32"/>
        </w:rPr>
        <w:t>1</w:t>
      </w:r>
      <w:r>
        <w:rPr>
          <w:rFonts w:hint="eastAsia"/>
          <w:sz w:val="24"/>
          <w:szCs w:val="32"/>
        </w:rPr>
        <w:t xml:space="preserve"> 抗裂砂浆</w:t>
      </w:r>
      <w:r>
        <w:rPr>
          <w:rFonts w:hint="eastAsia"/>
          <w:sz w:val="24"/>
          <w:szCs w:val="32"/>
          <w:lang w:eastAsia="zh-CN"/>
        </w:rPr>
        <w:t>与保温板</w:t>
      </w:r>
      <w:r>
        <w:rPr>
          <w:rFonts w:hint="eastAsia"/>
          <w:sz w:val="24"/>
          <w:szCs w:val="32"/>
        </w:rPr>
        <w:t>的拉伸粘结强度；</w:t>
      </w:r>
      <w:bookmarkEnd w:id="96"/>
    </w:p>
    <w:p w14:paraId="315A4BD2">
      <w:pPr>
        <w:spacing w:line="360" w:lineRule="auto"/>
        <w:ind w:firstLine="482" w:firstLineChars="200"/>
        <w:rPr>
          <w:rFonts w:ascii="宋体" w:hAnsi="宋体" w:cs="宋体"/>
          <w:sz w:val="24"/>
        </w:rPr>
      </w:pPr>
      <w:r>
        <w:rPr>
          <w:rFonts w:hint="eastAsia" w:ascii="宋体" w:hAnsi="宋体" w:cs="宋体"/>
          <w:b/>
          <w:bCs/>
          <w:sz w:val="24"/>
        </w:rPr>
        <w:t>2</w:t>
      </w:r>
      <w:r>
        <w:rPr>
          <w:rFonts w:hint="eastAsia" w:ascii="宋体" w:hAnsi="宋体" w:cs="宋体"/>
          <w:sz w:val="24"/>
        </w:rPr>
        <w:t xml:space="preserve"> 耐碱网布的单位面积质量、耐碱断裂强力、耐碱断裂强力保留率；</w:t>
      </w:r>
    </w:p>
    <w:p w14:paraId="2E2852DA">
      <w:pPr>
        <w:spacing w:line="360" w:lineRule="auto"/>
        <w:ind w:firstLine="482" w:firstLineChars="200"/>
        <w:rPr>
          <w:rFonts w:ascii="宋体" w:hAnsi="宋体" w:cs="宋体"/>
          <w:sz w:val="24"/>
        </w:rPr>
      </w:pPr>
      <w:r>
        <w:rPr>
          <w:rFonts w:hint="eastAsia" w:ascii="宋体" w:hAnsi="宋体" w:cs="宋体"/>
          <w:b/>
          <w:bCs/>
          <w:sz w:val="24"/>
        </w:rPr>
        <w:t>3</w:t>
      </w:r>
      <w:r>
        <w:rPr>
          <w:rFonts w:hint="eastAsia" w:ascii="宋体" w:hAnsi="宋体" w:cs="宋体"/>
          <w:sz w:val="24"/>
        </w:rPr>
        <w:t xml:space="preserve"> 防水抗裂</w:t>
      </w:r>
      <w:r>
        <w:rPr>
          <w:rFonts w:hint="eastAsia" w:ascii="宋体" w:hAnsi="宋体" w:cs="宋体"/>
          <w:sz w:val="24"/>
          <w:lang w:eastAsia="zh-CN"/>
        </w:rPr>
        <w:t>砂浆</w:t>
      </w:r>
      <w:r>
        <w:rPr>
          <w:rFonts w:hint="eastAsia" w:ascii="宋体" w:hAnsi="宋体" w:cs="宋体"/>
          <w:sz w:val="24"/>
        </w:rPr>
        <w:t>的24h表面吸水量、拉伸粘结强度、拉伸强度、断裂伸长率。</w:t>
      </w:r>
    </w:p>
    <w:p w14:paraId="10E95C38">
      <w:pPr>
        <w:spacing w:line="360" w:lineRule="auto"/>
        <w:ind w:firstLine="480" w:firstLineChars="200"/>
        <w:rPr>
          <w:rFonts w:ascii="宋体" w:hAnsi="宋体" w:cs="宋体"/>
          <w:sz w:val="24"/>
        </w:rPr>
      </w:pPr>
      <w:r>
        <w:rPr>
          <w:rFonts w:hint="eastAsia" w:ascii="宋体" w:hAnsi="宋体" w:cs="宋体"/>
          <w:sz w:val="24"/>
        </w:rPr>
        <w:t>检查数量：同一厂家同一品种的产品，当单位工程建筑面积在20000m</w:t>
      </w:r>
      <w:r>
        <w:rPr>
          <w:rFonts w:hint="eastAsia" w:ascii="宋体" w:hAnsi="宋体" w:cs="宋体"/>
          <w:sz w:val="24"/>
          <w:vertAlign w:val="superscript"/>
        </w:rPr>
        <w:t>2</w:t>
      </w:r>
      <w:r>
        <w:rPr>
          <w:rFonts w:hint="eastAsia" w:ascii="宋体" w:hAnsi="宋体" w:cs="宋体"/>
          <w:sz w:val="24"/>
        </w:rPr>
        <w:t>以下时各抽查不少于3次，当单位工程建筑面积在20000m</w:t>
      </w:r>
      <w:r>
        <w:rPr>
          <w:rFonts w:hint="eastAsia" w:ascii="宋体" w:hAnsi="宋体" w:cs="宋体"/>
          <w:sz w:val="24"/>
          <w:vertAlign w:val="superscript"/>
        </w:rPr>
        <w:t>2</w:t>
      </w:r>
      <w:r>
        <w:rPr>
          <w:rFonts w:hint="eastAsia" w:ascii="宋体" w:hAnsi="宋体" w:cs="宋体"/>
          <w:sz w:val="24"/>
        </w:rPr>
        <w:t>以上时各抽查不少于6次。</w:t>
      </w:r>
    </w:p>
    <w:p w14:paraId="2E9EC759">
      <w:pPr>
        <w:spacing w:line="360" w:lineRule="auto"/>
        <w:ind w:firstLine="480" w:firstLineChars="200"/>
        <w:rPr>
          <w:rFonts w:ascii="宋体" w:hAnsi="宋体" w:cs="宋体"/>
          <w:sz w:val="24"/>
        </w:rPr>
      </w:pPr>
      <w:r>
        <w:rPr>
          <w:rFonts w:hint="eastAsia" w:ascii="宋体" w:hAnsi="宋体" w:cs="宋体"/>
          <w:sz w:val="24"/>
        </w:rPr>
        <w:t>检验方法：核查质量证明文件；随机抽样送检，核查复验报告。</w:t>
      </w:r>
    </w:p>
    <w:p w14:paraId="7E8641F7">
      <w:pPr>
        <w:spacing w:line="360" w:lineRule="auto"/>
        <w:rPr>
          <w:rFonts w:ascii="宋体" w:hAnsi="宋体" w:cs="宋体"/>
          <w:sz w:val="24"/>
        </w:rPr>
      </w:pPr>
      <w:r>
        <w:rPr>
          <w:rFonts w:hint="eastAsia"/>
          <w:b/>
          <w:bCs/>
          <w:sz w:val="24"/>
        </w:rPr>
        <w:t>7.3.1</w:t>
      </w:r>
      <w:r>
        <w:rPr>
          <w:rFonts w:hint="eastAsia"/>
          <w:b/>
          <w:bCs/>
          <w:sz w:val="24"/>
          <w:lang w:val="en-US" w:eastAsia="zh-CN"/>
        </w:rPr>
        <w:t>0</w:t>
      </w: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预制集成保温外墙板临时固定措施应符合设计、专项施工方案要求及国家现行有关标准的规定。</w:t>
      </w:r>
    </w:p>
    <w:p w14:paraId="04EC673C">
      <w:pPr>
        <w:spacing w:line="360" w:lineRule="auto"/>
        <w:ind w:firstLine="480" w:firstLineChars="200"/>
        <w:rPr>
          <w:rFonts w:ascii="宋体" w:hAnsi="宋体" w:cs="宋体"/>
          <w:sz w:val="24"/>
        </w:rPr>
      </w:pPr>
      <w:r>
        <w:rPr>
          <w:rFonts w:hint="eastAsia" w:ascii="宋体" w:hAnsi="宋体" w:cs="宋体"/>
          <w:sz w:val="24"/>
        </w:rPr>
        <w:t>检查数量:全数检查。</w:t>
      </w:r>
    </w:p>
    <w:p w14:paraId="6BD460DB">
      <w:pPr>
        <w:spacing w:line="360" w:lineRule="auto"/>
        <w:ind w:firstLine="480" w:firstLineChars="200"/>
        <w:rPr>
          <w:rFonts w:ascii="宋体" w:hAnsi="宋体" w:cs="宋体"/>
          <w:sz w:val="24"/>
        </w:rPr>
      </w:pPr>
      <w:r>
        <w:rPr>
          <w:rFonts w:hint="eastAsia" w:ascii="宋体" w:hAnsi="宋体" w:cs="宋体"/>
          <w:sz w:val="24"/>
        </w:rPr>
        <w:t>检验方法：观察,检查施工方案、施工记录或设计文件。</w:t>
      </w:r>
    </w:p>
    <w:p w14:paraId="517108AC">
      <w:pPr>
        <w:spacing w:line="360" w:lineRule="auto"/>
        <w:rPr>
          <w:rFonts w:ascii="宋体" w:hAnsi="宋体" w:cs="宋体"/>
          <w:sz w:val="24"/>
        </w:rPr>
      </w:pPr>
      <w:r>
        <w:rPr>
          <w:rFonts w:hint="eastAsia"/>
          <w:b/>
          <w:bCs/>
          <w:sz w:val="24"/>
        </w:rPr>
        <w:t>7.3.1</w:t>
      </w:r>
      <w:r>
        <w:rPr>
          <w:rFonts w:hint="eastAsia"/>
          <w:b/>
          <w:bCs/>
          <w:sz w:val="24"/>
          <w:lang w:val="en-US" w:eastAsia="zh-CN"/>
        </w:rPr>
        <w:t>1</w:t>
      </w:r>
      <w:r>
        <w:rPr>
          <w:rFonts w:hint="eastAsia"/>
          <w:b/>
          <w:bCs/>
          <w:sz w:val="24"/>
        </w:rPr>
        <w:t xml:space="preserve"> </w:t>
      </w:r>
      <w:r>
        <w:rPr>
          <w:rFonts w:hint="eastAsia"/>
          <w:b/>
          <w:bCs/>
          <w:sz w:val="24"/>
          <w:lang w:val="en-US" w:eastAsia="zh-CN"/>
        </w:rPr>
        <w:t xml:space="preserve"> </w:t>
      </w:r>
      <w:r>
        <w:rPr>
          <w:rFonts w:hint="eastAsia" w:ascii="宋体" w:hAnsi="宋体" w:cs="宋体"/>
          <w:sz w:val="24"/>
        </w:rPr>
        <w:t>预制集成保温外墙板竖向拼接处采用后浇混凝土连接时，后浇混凝土的强度应符合设计要求。</w:t>
      </w:r>
    </w:p>
    <w:p w14:paraId="49135D90">
      <w:pPr>
        <w:spacing w:line="360" w:lineRule="auto"/>
        <w:ind w:firstLine="480" w:firstLineChars="200"/>
        <w:rPr>
          <w:rFonts w:ascii="宋体" w:hAnsi="宋体" w:cs="宋体"/>
          <w:sz w:val="24"/>
        </w:rPr>
      </w:pPr>
      <w:r>
        <w:rPr>
          <w:rFonts w:hint="eastAsia" w:ascii="宋体" w:hAnsi="宋体" w:cs="宋体"/>
          <w:sz w:val="24"/>
        </w:rPr>
        <w:t>检查数量：按批检验，检验批应符合现行国家标准《混凝土结构工程施工质量验收规范》GB 50204的有关要求。</w:t>
      </w:r>
    </w:p>
    <w:p w14:paraId="686AE399">
      <w:pPr>
        <w:spacing w:line="360" w:lineRule="auto"/>
        <w:ind w:firstLine="480" w:firstLineChars="200"/>
        <w:rPr>
          <w:rFonts w:ascii="宋体" w:hAnsi="宋体" w:cs="宋体"/>
          <w:sz w:val="24"/>
        </w:rPr>
      </w:pPr>
      <w:r>
        <w:rPr>
          <w:rFonts w:hint="eastAsia" w:ascii="宋体" w:hAnsi="宋体" w:cs="宋体"/>
          <w:sz w:val="24"/>
        </w:rPr>
        <w:t>检验方法：检查混凝士强度复验报告。</w:t>
      </w:r>
    </w:p>
    <w:p w14:paraId="2C36AD60">
      <w:pPr>
        <w:pStyle w:val="2"/>
        <w:spacing w:after="0" w:line="360" w:lineRule="auto"/>
        <w:rPr>
          <w:rFonts w:ascii="宋体" w:hAnsi="宋体" w:cs="宋体"/>
          <w:sz w:val="24"/>
        </w:rPr>
      </w:pPr>
      <w:r>
        <w:rPr>
          <w:rFonts w:hint="eastAsia"/>
          <w:b/>
          <w:bCs/>
          <w:sz w:val="24"/>
        </w:rPr>
        <w:t>7.3.1</w:t>
      </w:r>
      <w:r>
        <w:rPr>
          <w:rFonts w:hint="eastAsia"/>
          <w:b/>
          <w:bCs/>
          <w:sz w:val="24"/>
          <w:lang w:val="en-US" w:eastAsia="zh-CN"/>
        </w:rPr>
        <w:t xml:space="preserve">2 </w:t>
      </w:r>
      <w:r>
        <w:rPr>
          <w:rFonts w:hint="eastAsia" w:ascii="宋体" w:hAnsi="宋体" w:cs="宋体"/>
          <w:sz w:val="24"/>
        </w:rPr>
        <w:t xml:space="preserve"> 预制集成保温外墙板安装后的外观质量不应有严重缺陷，且不得有影响结构性能和使用功能的尺寸偏差。</w:t>
      </w:r>
    </w:p>
    <w:p w14:paraId="005ED6F0">
      <w:pPr>
        <w:pStyle w:val="2"/>
        <w:spacing w:after="0" w:line="360" w:lineRule="auto"/>
        <w:ind w:firstLine="480" w:firstLineChars="200"/>
        <w:rPr>
          <w:rFonts w:ascii="宋体" w:hAnsi="宋体" w:cs="宋体"/>
          <w:sz w:val="24"/>
        </w:rPr>
      </w:pPr>
      <w:r>
        <w:rPr>
          <w:rFonts w:hint="eastAsia" w:ascii="宋体" w:hAnsi="宋体" w:cs="宋体"/>
          <w:sz w:val="24"/>
        </w:rPr>
        <w:t>检查数量：全数检查。</w:t>
      </w:r>
    </w:p>
    <w:p w14:paraId="1EA284C1">
      <w:pPr>
        <w:pStyle w:val="2"/>
        <w:spacing w:after="0" w:line="360" w:lineRule="auto"/>
        <w:ind w:firstLine="480" w:firstLineChars="200"/>
        <w:rPr>
          <w:rFonts w:ascii="宋体" w:hAnsi="宋体" w:cs="宋体"/>
          <w:sz w:val="24"/>
        </w:rPr>
      </w:pPr>
      <w:r>
        <w:rPr>
          <w:rFonts w:hint="eastAsia" w:ascii="宋体" w:hAnsi="宋体" w:cs="宋体"/>
          <w:sz w:val="24"/>
        </w:rPr>
        <w:t>检验方法：观察、测量；检查处理记录。</w:t>
      </w:r>
    </w:p>
    <w:p w14:paraId="25A44CA7">
      <w:pPr>
        <w:spacing w:line="360" w:lineRule="auto"/>
        <w:rPr>
          <w:rFonts w:ascii="宋体" w:hAnsi="宋体" w:cs="宋体"/>
          <w:sz w:val="24"/>
        </w:rPr>
      </w:pPr>
      <w:r>
        <w:rPr>
          <w:rFonts w:hint="eastAsia"/>
          <w:b/>
          <w:bCs/>
          <w:sz w:val="24"/>
        </w:rPr>
        <w:t>7.3.1</w:t>
      </w:r>
      <w:r>
        <w:rPr>
          <w:rFonts w:hint="eastAsia"/>
          <w:b/>
          <w:bCs/>
          <w:sz w:val="24"/>
          <w:lang w:val="en-US" w:eastAsia="zh-CN"/>
        </w:rPr>
        <w:t xml:space="preserve">3  </w:t>
      </w:r>
      <w:r>
        <w:rPr>
          <w:rFonts w:hint="eastAsia" w:ascii="宋体" w:hAnsi="宋体" w:cs="宋体"/>
          <w:sz w:val="24"/>
        </w:rPr>
        <w:t>预制集成保温外墙板间的接缝处理、构造节点及嵌缝做法应符合设计要求。</w:t>
      </w:r>
    </w:p>
    <w:p w14:paraId="50DA7B14">
      <w:pPr>
        <w:pStyle w:val="2"/>
        <w:spacing w:after="0" w:line="360" w:lineRule="auto"/>
        <w:ind w:firstLine="480"/>
        <w:rPr>
          <w:rFonts w:ascii="宋体" w:hAnsi="宋体" w:cs="宋体"/>
          <w:sz w:val="24"/>
        </w:rPr>
      </w:pPr>
      <w:r>
        <w:rPr>
          <w:rFonts w:hint="eastAsia" w:ascii="宋体" w:hAnsi="宋体" w:cs="宋体"/>
          <w:sz w:val="24"/>
        </w:rPr>
        <w:t>检查数量：全数检查。</w:t>
      </w:r>
    </w:p>
    <w:p w14:paraId="6F8353C5">
      <w:pPr>
        <w:spacing w:line="360" w:lineRule="auto"/>
        <w:ind w:firstLine="480"/>
        <w:rPr>
          <w:rFonts w:ascii="宋体" w:hAnsi="宋体" w:cs="宋体"/>
          <w:sz w:val="24"/>
        </w:rPr>
      </w:pPr>
      <w:r>
        <w:rPr>
          <w:rFonts w:hint="eastAsia" w:ascii="宋体" w:hAnsi="宋体" w:cs="宋体"/>
          <w:sz w:val="24"/>
        </w:rPr>
        <w:t>检验方法：观察，检查施工质量检验记录。</w:t>
      </w:r>
    </w:p>
    <w:p w14:paraId="7DC23B2E">
      <w:pPr>
        <w:pStyle w:val="2"/>
        <w:spacing w:after="0" w:line="360" w:lineRule="auto"/>
        <w:rPr>
          <w:rFonts w:ascii="宋体" w:hAnsi="宋体" w:cs="宋体"/>
          <w:sz w:val="24"/>
        </w:rPr>
      </w:pPr>
      <w:r>
        <w:rPr>
          <w:rFonts w:hint="eastAsia"/>
          <w:b/>
          <w:bCs/>
          <w:sz w:val="24"/>
        </w:rPr>
        <w:t>7.3.1</w:t>
      </w:r>
      <w:r>
        <w:rPr>
          <w:rFonts w:hint="eastAsia"/>
          <w:b/>
          <w:bCs/>
          <w:sz w:val="24"/>
          <w:lang w:val="en-US" w:eastAsia="zh-CN"/>
        </w:rPr>
        <w:t>4</w:t>
      </w:r>
      <w:r>
        <w:rPr>
          <w:rFonts w:hint="eastAsia"/>
          <w:b/>
          <w:bCs/>
          <w:sz w:val="24"/>
        </w:rPr>
        <w:t xml:space="preserve"> </w:t>
      </w:r>
      <w:r>
        <w:rPr>
          <w:rFonts w:hint="eastAsia"/>
          <w:b/>
          <w:bCs/>
          <w:sz w:val="24"/>
          <w:lang w:val="en-US" w:eastAsia="zh-CN"/>
        </w:rPr>
        <w:t xml:space="preserve"> </w:t>
      </w:r>
      <w:r>
        <w:rPr>
          <w:rFonts w:hint="eastAsia" w:ascii="宋体" w:hAnsi="宋体" w:cs="宋体"/>
          <w:sz w:val="24"/>
        </w:rPr>
        <w:t>施工产生的墙体缺陷，如穿墙套管、脚手眼、孔洞等，应按照施工方案采取隔断热桥措施。</w:t>
      </w:r>
    </w:p>
    <w:p w14:paraId="0D5D0E2C">
      <w:pPr>
        <w:spacing w:line="360" w:lineRule="auto"/>
        <w:ind w:firstLine="480"/>
        <w:rPr>
          <w:rFonts w:ascii="宋体" w:hAnsi="宋体" w:cs="宋体"/>
          <w:sz w:val="24"/>
        </w:rPr>
      </w:pPr>
      <w:r>
        <w:rPr>
          <w:rFonts w:hint="eastAsia" w:ascii="宋体" w:hAnsi="宋体" w:cs="宋体"/>
          <w:sz w:val="24"/>
        </w:rPr>
        <w:t>检查数量：全数检验。</w:t>
      </w:r>
    </w:p>
    <w:p w14:paraId="7E768513">
      <w:pPr>
        <w:pStyle w:val="2"/>
        <w:spacing w:after="0" w:line="360" w:lineRule="auto"/>
        <w:ind w:firstLine="480"/>
        <w:rPr>
          <w:rFonts w:ascii="宋体" w:hAnsi="宋体" w:cs="宋体"/>
          <w:sz w:val="24"/>
        </w:rPr>
      </w:pPr>
      <w:r>
        <w:rPr>
          <w:rFonts w:hint="eastAsia" w:ascii="宋体" w:hAnsi="宋体" w:cs="宋体"/>
          <w:sz w:val="24"/>
        </w:rPr>
        <w:t>检验方法：对照施工方案检查。</w:t>
      </w:r>
    </w:p>
    <w:p w14:paraId="34CDE9DD">
      <w:pPr>
        <w:spacing w:line="360" w:lineRule="auto"/>
        <w:rPr>
          <w:rFonts w:ascii="宋体" w:hAnsi="宋体" w:cs="宋体"/>
          <w:sz w:val="24"/>
          <w:highlight w:val="none"/>
        </w:rPr>
      </w:pPr>
      <w:r>
        <w:rPr>
          <w:rFonts w:hint="eastAsia"/>
          <w:b/>
          <w:bCs/>
          <w:sz w:val="24"/>
          <w:highlight w:val="none"/>
        </w:rPr>
        <w:t>7.3.1</w:t>
      </w:r>
      <w:r>
        <w:rPr>
          <w:rFonts w:hint="eastAsia"/>
          <w:b/>
          <w:bCs/>
          <w:sz w:val="24"/>
          <w:highlight w:val="none"/>
          <w:lang w:val="en-US" w:eastAsia="zh-CN"/>
        </w:rPr>
        <w:t>5</w:t>
      </w:r>
      <w:r>
        <w:rPr>
          <w:rFonts w:hint="eastAsia" w:ascii="宋体" w:hAnsi="宋体" w:cs="宋体"/>
          <w:sz w:val="24"/>
          <w:highlight w:val="none"/>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预制集成外保温墙板的抹面层施工完成后，应对抹面层与保温层之间的粘结强度进行检验，</w:t>
      </w:r>
      <w:r>
        <w:rPr>
          <w:rFonts w:hint="eastAsia" w:ascii="宋体" w:hAnsi="宋体" w:cs="宋体"/>
          <w:color w:val="000000" w:themeColor="text1"/>
          <w:sz w:val="24"/>
          <w:highlight w:val="none"/>
          <w14:textFill>
            <w14:solidFill>
              <w14:schemeClr w14:val="tx1"/>
            </w14:solidFill>
          </w14:textFill>
        </w:rPr>
        <w:t>抹面层与保温板之间的粘结强度不应小于0.1MPa</w:t>
      </w:r>
      <w:r>
        <w:rPr>
          <w:rFonts w:hint="eastAsia" w:ascii="宋体" w:hAnsi="宋体" w:cs="宋体"/>
          <w:sz w:val="24"/>
          <w:highlight w:val="none"/>
        </w:rPr>
        <w:t>。</w:t>
      </w:r>
    </w:p>
    <w:p w14:paraId="5BF4CBAF">
      <w:pPr>
        <w:pStyle w:val="2"/>
        <w:spacing w:after="0" w:line="400" w:lineRule="exact"/>
        <w:ind w:firstLine="482"/>
        <w:rPr>
          <w:rFonts w:ascii="宋体" w:hAnsi="宋体" w:cs="宋体"/>
          <w:sz w:val="24"/>
          <w:highlight w:val="none"/>
        </w:rPr>
      </w:pPr>
      <w:r>
        <w:rPr>
          <w:rFonts w:hint="eastAsia" w:ascii="宋体" w:hAnsi="宋体" w:cs="宋体"/>
          <w:sz w:val="24"/>
          <w:highlight w:val="none"/>
        </w:rPr>
        <w:t>检查数量：每个检验批抽查不应少于1组。</w:t>
      </w:r>
    </w:p>
    <w:p w14:paraId="1F339E81">
      <w:pPr>
        <w:spacing w:line="400" w:lineRule="exact"/>
        <w:ind w:firstLine="482"/>
        <w:rPr>
          <w:rFonts w:ascii="宋体" w:hAnsi="宋体" w:cs="宋体"/>
          <w:sz w:val="24"/>
          <w:highlight w:val="none"/>
        </w:rPr>
      </w:pPr>
      <w:r>
        <w:rPr>
          <w:rFonts w:hint="eastAsia" w:ascii="宋体" w:hAnsi="宋体" w:cs="宋体"/>
          <w:sz w:val="24"/>
          <w:highlight w:val="none"/>
        </w:rPr>
        <w:t>检验方法：拉伸粘结强度试验。</w:t>
      </w:r>
    </w:p>
    <w:p w14:paraId="7230435A">
      <w:pPr>
        <w:spacing w:line="360" w:lineRule="auto"/>
        <w:jc w:val="center"/>
        <w:rPr>
          <w:rFonts w:ascii="仿宋" w:hAnsi="仿宋" w:eastAsia="仿宋" w:cs="仿宋"/>
          <w:sz w:val="28"/>
          <w:szCs w:val="28"/>
        </w:rPr>
      </w:pPr>
      <w:r>
        <w:rPr>
          <w:rFonts w:hint="eastAsia" w:ascii="仿宋" w:hAnsi="仿宋" w:eastAsia="仿宋" w:cs="仿宋"/>
          <w:sz w:val="28"/>
          <w:szCs w:val="28"/>
        </w:rPr>
        <w:t>II 一般项目</w:t>
      </w:r>
    </w:p>
    <w:p w14:paraId="0E0F3B8F">
      <w:pPr>
        <w:pStyle w:val="2"/>
        <w:spacing w:after="0" w:line="360" w:lineRule="auto"/>
        <w:rPr>
          <w:rFonts w:ascii="宋体" w:hAnsi="宋体" w:cs="宋体"/>
          <w:sz w:val="24"/>
        </w:rPr>
      </w:pPr>
      <w:r>
        <w:rPr>
          <w:rFonts w:hint="eastAsia"/>
          <w:b/>
          <w:bCs/>
          <w:sz w:val="24"/>
        </w:rPr>
        <w:t>7.3.1</w:t>
      </w:r>
      <w:r>
        <w:rPr>
          <w:rFonts w:hint="eastAsia"/>
          <w:b/>
          <w:bCs/>
          <w:sz w:val="24"/>
          <w:lang w:val="en-US" w:eastAsia="zh-CN"/>
        </w:rPr>
        <w:t>6</w:t>
      </w:r>
      <w:r>
        <w:rPr>
          <w:rFonts w:hint="eastAsia"/>
          <w:b/>
          <w:bCs/>
          <w:sz w:val="24"/>
        </w:rPr>
        <w:t xml:space="preserve"> </w:t>
      </w:r>
      <w:r>
        <w:rPr>
          <w:rFonts w:hint="eastAsia" w:ascii="宋体" w:hAnsi="宋体" w:cs="宋体"/>
          <w:sz w:val="24"/>
        </w:rPr>
        <w:t xml:space="preserve"> 预制集成保温外墙板的外观质量应符合现行标准《混凝土结构工程施工质量验收规范》GB 50204的有关规定。</w:t>
      </w:r>
    </w:p>
    <w:p w14:paraId="3F07EF3E">
      <w:pPr>
        <w:pStyle w:val="2"/>
        <w:spacing w:after="0" w:line="360" w:lineRule="auto"/>
        <w:ind w:firstLine="480" w:firstLineChars="200"/>
        <w:rPr>
          <w:rFonts w:ascii="宋体" w:hAnsi="宋体" w:cs="宋体"/>
          <w:sz w:val="24"/>
        </w:rPr>
      </w:pPr>
      <w:r>
        <w:rPr>
          <w:rFonts w:hint="eastAsia" w:ascii="宋体" w:hAnsi="宋体" w:cs="宋体"/>
          <w:sz w:val="24"/>
        </w:rPr>
        <w:t xml:space="preserve"> 检查数量：全数检查。</w:t>
      </w:r>
    </w:p>
    <w:p w14:paraId="6B3190F8">
      <w:pPr>
        <w:pStyle w:val="2"/>
        <w:spacing w:after="0" w:line="360" w:lineRule="auto"/>
        <w:rPr>
          <w:rFonts w:ascii="宋体" w:hAnsi="宋体" w:cs="宋体"/>
          <w:sz w:val="24"/>
        </w:rPr>
      </w:pPr>
      <w:r>
        <w:rPr>
          <w:rFonts w:hint="eastAsia" w:ascii="宋体" w:hAnsi="宋体" w:cs="宋体"/>
          <w:sz w:val="24"/>
        </w:rPr>
        <w:t xml:space="preserve">     检验方法：观察、尺量；检查处理记录。</w:t>
      </w:r>
    </w:p>
    <w:p w14:paraId="4974FC9B">
      <w:pPr>
        <w:spacing w:line="360" w:lineRule="auto"/>
        <w:rPr>
          <w:rFonts w:ascii="宋体" w:hAnsi="宋体" w:cs="宋体"/>
          <w:sz w:val="24"/>
        </w:rPr>
      </w:pPr>
      <w:r>
        <w:rPr>
          <w:rFonts w:hint="eastAsia"/>
          <w:b/>
          <w:bCs/>
          <w:sz w:val="24"/>
        </w:rPr>
        <w:t>7.3.1</w:t>
      </w:r>
      <w:r>
        <w:rPr>
          <w:rFonts w:hint="eastAsia"/>
          <w:b/>
          <w:bCs/>
          <w:sz w:val="24"/>
          <w:lang w:val="en-US" w:eastAsia="zh-CN"/>
        </w:rPr>
        <w:t>7</w:t>
      </w:r>
      <w:r>
        <w:rPr>
          <w:rFonts w:hint="eastAsia"/>
          <w:b/>
          <w:bCs/>
          <w:sz w:val="24"/>
        </w:rPr>
        <w:t xml:space="preserve"> </w:t>
      </w:r>
      <w:r>
        <w:rPr>
          <w:rFonts w:hint="eastAsia" w:ascii="宋体" w:hAnsi="宋体" w:cs="宋体"/>
          <w:sz w:val="24"/>
        </w:rPr>
        <w:t xml:space="preserve"> 预制集成保温外墙板进场时应有出厂标识，出厂标识应包括工程名称、产品名称、型号、编号、生产日期、生产单位和合格章。</w:t>
      </w:r>
    </w:p>
    <w:p w14:paraId="5637A0B8">
      <w:pPr>
        <w:spacing w:line="360" w:lineRule="auto"/>
        <w:ind w:firstLine="480" w:firstLineChars="200"/>
        <w:rPr>
          <w:rFonts w:ascii="宋体" w:hAnsi="宋体" w:cs="宋体"/>
          <w:sz w:val="24"/>
        </w:rPr>
      </w:pPr>
      <w:r>
        <w:rPr>
          <w:rFonts w:hint="eastAsia" w:ascii="宋体" w:hAnsi="宋体" w:cs="宋体"/>
          <w:sz w:val="24"/>
        </w:rPr>
        <w:t>检查数量：全数量检查。</w:t>
      </w:r>
    </w:p>
    <w:p w14:paraId="1443F373">
      <w:pPr>
        <w:spacing w:line="360" w:lineRule="auto"/>
        <w:ind w:firstLine="480" w:firstLineChars="200"/>
        <w:rPr>
          <w:rFonts w:ascii="宋体" w:hAnsi="宋体" w:cs="宋体"/>
          <w:sz w:val="24"/>
        </w:rPr>
      </w:pPr>
      <w:r>
        <w:rPr>
          <w:rFonts w:hint="eastAsia" w:ascii="宋体" w:hAnsi="宋体" w:cs="宋体"/>
          <w:sz w:val="24"/>
        </w:rPr>
        <w:t>检验方法：观察。</w:t>
      </w:r>
    </w:p>
    <w:p w14:paraId="38495480">
      <w:pPr>
        <w:spacing w:line="360" w:lineRule="auto"/>
        <w:rPr>
          <w:rFonts w:ascii="宋体" w:hAnsi="宋体" w:cs="宋体"/>
          <w:sz w:val="24"/>
        </w:rPr>
      </w:pPr>
      <w:r>
        <w:rPr>
          <w:rFonts w:hint="eastAsia"/>
          <w:b/>
          <w:bCs/>
          <w:sz w:val="24"/>
        </w:rPr>
        <w:t>7.3.1</w:t>
      </w:r>
      <w:r>
        <w:rPr>
          <w:rFonts w:hint="eastAsia"/>
          <w:b/>
          <w:bCs/>
          <w:sz w:val="24"/>
          <w:lang w:val="en-US" w:eastAsia="zh-CN"/>
        </w:rPr>
        <w:t>8</w:t>
      </w:r>
      <w:r>
        <w:rPr>
          <w:rFonts w:hint="eastAsia" w:ascii="宋体" w:hAnsi="宋体" w:cs="宋体"/>
          <w:sz w:val="24"/>
        </w:rPr>
        <w:t xml:space="preserve">  预制集成保温外墙板外观质量不应有一般缺陷，对出现的一般缺陷应要求墙板生产单位按技术处理方案进行处理，并重新检查验收。</w:t>
      </w:r>
    </w:p>
    <w:p w14:paraId="24B76FAE">
      <w:pPr>
        <w:spacing w:line="360" w:lineRule="auto"/>
        <w:ind w:firstLine="480" w:firstLineChars="200"/>
        <w:rPr>
          <w:rFonts w:ascii="宋体" w:hAnsi="宋体" w:cs="宋体"/>
          <w:sz w:val="24"/>
        </w:rPr>
      </w:pPr>
      <w:r>
        <w:rPr>
          <w:rFonts w:hint="eastAsia" w:ascii="宋体" w:hAnsi="宋体" w:cs="宋体"/>
          <w:sz w:val="24"/>
        </w:rPr>
        <w:t>检查数量：全数检查。</w:t>
      </w:r>
    </w:p>
    <w:p w14:paraId="0A643AAA">
      <w:pPr>
        <w:spacing w:line="360" w:lineRule="auto"/>
        <w:ind w:firstLine="480" w:firstLineChars="200"/>
        <w:rPr>
          <w:rFonts w:ascii="宋体" w:hAnsi="宋体" w:cs="宋体"/>
          <w:sz w:val="24"/>
        </w:rPr>
      </w:pPr>
      <w:r>
        <w:rPr>
          <w:rFonts w:hint="eastAsia" w:ascii="宋体" w:hAnsi="宋体" w:cs="宋体"/>
          <w:sz w:val="24"/>
        </w:rPr>
        <w:t>检验方法：观察，检查技术处理方案和处理记录。</w:t>
      </w:r>
    </w:p>
    <w:p w14:paraId="5AC50C61">
      <w:pPr>
        <w:pStyle w:val="2"/>
        <w:spacing w:after="0" w:line="360" w:lineRule="auto"/>
        <w:rPr>
          <w:rFonts w:ascii="宋体" w:hAnsi="宋体" w:cs="宋体"/>
          <w:sz w:val="24"/>
        </w:rPr>
      </w:pPr>
      <w:r>
        <w:rPr>
          <w:rFonts w:hint="eastAsia"/>
          <w:b/>
          <w:bCs/>
          <w:sz w:val="24"/>
        </w:rPr>
        <w:t>7.3.</w:t>
      </w:r>
      <w:r>
        <w:rPr>
          <w:rFonts w:hint="eastAsia"/>
          <w:b/>
          <w:bCs/>
          <w:sz w:val="24"/>
          <w:lang w:val="en-US" w:eastAsia="zh-CN"/>
        </w:rPr>
        <w:t>19</w:t>
      </w:r>
      <w:r>
        <w:rPr>
          <w:rFonts w:hint="eastAsia" w:ascii="宋体" w:hAnsi="宋体" w:cs="宋体"/>
          <w:sz w:val="24"/>
        </w:rPr>
        <w:t xml:space="preserve">  预制集成保温外墙板的尺寸偏差和预埋件、预留孔洞、饰面等项目的检验。各检测项目应符合现行国家和行业标准的规定。</w:t>
      </w:r>
    </w:p>
    <w:p w14:paraId="6E14CFD5">
      <w:pPr>
        <w:pStyle w:val="2"/>
        <w:spacing w:after="0" w:line="360" w:lineRule="auto"/>
        <w:ind w:firstLine="480" w:firstLineChars="200"/>
        <w:rPr>
          <w:rFonts w:ascii="宋体" w:hAnsi="宋体" w:cs="宋体"/>
          <w:sz w:val="24"/>
        </w:rPr>
      </w:pPr>
      <w:r>
        <w:rPr>
          <w:rFonts w:hint="eastAsia" w:ascii="宋体" w:hAnsi="宋体" w:cs="宋体"/>
          <w:sz w:val="24"/>
        </w:rPr>
        <w:t>检查数量：全数检查。</w:t>
      </w:r>
    </w:p>
    <w:p w14:paraId="0A10FA08">
      <w:pPr>
        <w:pStyle w:val="2"/>
        <w:spacing w:after="0" w:line="360" w:lineRule="auto"/>
        <w:ind w:firstLine="480" w:firstLineChars="200"/>
        <w:rPr>
          <w:rFonts w:ascii="宋体" w:hAnsi="宋体" w:cs="宋体"/>
          <w:sz w:val="24"/>
        </w:rPr>
      </w:pPr>
      <w:r>
        <w:rPr>
          <w:rFonts w:hint="eastAsia" w:ascii="宋体" w:hAnsi="宋体" w:cs="宋体"/>
          <w:sz w:val="24"/>
        </w:rPr>
        <w:t>检验方法：尺量，检查处理记录。</w:t>
      </w:r>
    </w:p>
    <w:p w14:paraId="713FF5C0">
      <w:pPr>
        <w:spacing w:line="360" w:lineRule="auto"/>
        <w:rPr>
          <w:rFonts w:ascii="宋体" w:hAnsi="宋体" w:cs="宋体"/>
          <w:sz w:val="24"/>
        </w:rPr>
      </w:pPr>
      <w:r>
        <w:rPr>
          <w:rFonts w:hint="eastAsia"/>
          <w:b/>
          <w:bCs/>
          <w:sz w:val="24"/>
        </w:rPr>
        <w:t>7.3.2</w:t>
      </w:r>
      <w:r>
        <w:rPr>
          <w:rFonts w:hint="eastAsia"/>
          <w:b/>
          <w:bCs/>
          <w:sz w:val="24"/>
          <w:lang w:val="en-US" w:eastAsia="zh-CN"/>
        </w:rPr>
        <w:t>0</w:t>
      </w:r>
      <w:r>
        <w:rPr>
          <w:rFonts w:hint="eastAsia" w:ascii="宋体" w:hAnsi="宋体" w:cs="宋体"/>
          <w:sz w:val="24"/>
        </w:rPr>
        <w:t xml:space="preserve">  预制集成保温外墙板上的预埋件、预留插筋、预留孔洞、预埋管线等规格型号、数量应符合设计要求。</w:t>
      </w:r>
    </w:p>
    <w:p w14:paraId="259BF31E">
      <w:pPr>
        <w:spacing w:line="360" w:lineRule="auto"/>
        <w:ind w:firstLine="480" w:firstLineChars="200"/>
        <w:rPr>
          <w:rFonts w:ascii="宋体" w:hAnsi="宋体" w:cs="宋体"/>
          <w:sz w:val="24"/>
        </w:rPr>
      </w:pPr>
      <w:r>
        <w:rPr>
          <w:rFonts w:hint="eastAsia" w:ascii="宋体" w:hAnsi="宋体" w:cs="宋体"/>
          <w:sz w:val="24"/>
        </w:rPr>
        <w:t>检查数量：按批检查。</w:t>
      </w:r>
    </w:p>
    <w:p w14:paraId="165A971B">
      <w:pPr>
        <w:spacing w:line="360" w:lineRule="auto"/>
        <w:ind w:firstLine="480" w:firstLineChars="200"/>
        <w:rPr>
          <w:rFonts w:ascii="宋体" w:hAnsi="宋体" w:cs="宋体"/>
          <w:sz w:val="24"/>
        </w:rPr>
      </w:pPr>
      <w:r>
        <w:rPr>
          <w:rFonts w:hint="eastAsia" w:ascii="宋体" w:hAnsi="宋体" w:cs="宋体"/>
          <w:sz w:val="24"/>
        </w:rPr>
        <w:t>检验方法：观察、尺量；检查出厂合格证。</w:t>
      </w:r>
    </w:p>
    <w:p w14:paraId="47749F2C">
      <w:pPr>
        <w:spacing w:line="360" w:lineRule="auto"/>
        <w:rPr>
          <w:rFonts w:ascii="宋体" w:hAnsi="宋体" w:cs="宋体"/>
          <w:sz w:val="24"/>
        </w:rPr>
      </w:pPr>
      <w:r>
        <w:rPr>
          <w:rFonts w:hint="eastAsia"/>
          <w:b/>
          <w:bCs/>
          <w:sz w:val="24"/>
        </w:rPr>
        <w:t>7.3.2</w:t>
      </w:r>
      <w:r>
        <w:rPr>
          <w:rFonts w:hint="eastAsia"/>
          <w:b/>
          <w:bCs/>
          <w:sz w:val="24"/>
          <w:lang w:val="en-US" w:eastAsia="zh-CN"/>
        </w:rPr>
        <w:t>1</w:t>
      </w:r>
      <w:r>
        <w:rPr>
          <w:rFonts w:hint="eastAsia" w:ascii="宋体" w:hAnsi="宋体" w:cs="宋体"/>
          <w:sz w:val="24"/>
        </w:rPr>
        <w:t xml:space="preserve">  预制集成保温外墙板的安装尺寸偏差及检验方法应符合设计要求；当设计无要求时，应符合现行国家标准《装配式混凝土建筑技术标准》GB/T 51231及相关标准的规定。</w:t>
      </w:r>
    </w:p>
    <w:p w14:paraId="03B07F7C">
      <w:pPr>
        <w:spacing w:line="360" w:lineRule="auto"/>
        <w:ind w:firstLine="480" w:firstLineChars="200"/>
        <w:rPr>
          <w:rFonts w:ascii="宋体" w:hAnsi="宋体" w:cs="宋体"/>
          <w:sz w:val="24"/>
        </w:rPr>
      </w:pPr>
      <w:r>
        <w:rPr>
          <w:rFonts w:hint="eastAsia" w:ascii="宋体" w:hAnsi="宋体" w:cs="宋体"/>
          <w:sz w:val="24"/>
        </w:rPr>
        <w:t>检查数量：按楼层、结构缝或施工段划分检验批。同检验批内，应按有代表性的自然间抽查10%，且不少于3间。</w:t>
      </w:r>
    </w:p>
    <w:p w14:paraId="56265F2F">
      <w:pPr>
        <w:spacing w:line="360" w:lineRule="auto"/>
        <w:rPr>
          <w:rFonts w:ascii="宋体" w:hAnsi="宋体" w:cs="宋体"/>
          <w:sz w:val="24"/>
        </w:rPr>
      </w:pPr>
      <w:r>
        <w:rPr>
          <w:rFonts w:hint="eastAsia"/>
          <w:b/>
          <w:bCs/>
          <w:sz w:val="24"/>
        </w:rPr>
        <w:t>7.3.2</w:t>
      </w:r>
      <w:r>
        <w:rPr>
          <w:rFonts w:hint="eastAsia"/>
          <w:b/>
          <w:bCs/>
          <w:sz w:val="24"/>
          <w:lang w:val="en-US" w:eastAsia="zh-CN"/>
        </w:rPr>
        <w:t>2</w:t>
      </w:r>
      <w:r>
        <w:rPr>
          <w:rFonts w:hint="eastAsia" w:ascii="宋体" w:hAnsi="宋体" w:cs="宋体"/>
          <w:sz w:val="24"/>
        </w:rPr>
        <w:t xml:space="preserve">  预制集成保温外墙板应按现行行业标准《建筑防水工程现场检验技术规范》JGJ/T 299的有关规定进行淋水试验，接缝处不得出现渗漏水。</w:t>
      </w:r>
    </w:p>
    <w:p w14:paraId="26320931">
      <w:pPr>
        <w:spacing w:line="360" w:lineRule="auto"/>
        <w:rPr>
          <w:rFonts w:ascii="宋体" w:hAnsi="宋体" w:cs="宋体"/>
          <w:sz w:val="24"/>
        </w:rPr>
      </w:pPr>
      <w:r>
        <w:rPr>
          <w:rFonts w:hint="eastAsia" w:ascii="宋体" w:hAnsi="宋体" w:cs="宋体"/>
          <w:sz w:val="24"/>
        </w:rPr>
        <w:t xml:space="preserve">    检验数量：按批检验。</w:t>
      </w:r>
    </w:p>
    <w:p w14:paraId="45533CAC">
      <w:pPr>
        <w:spacing w:line="360" w:lineRule="auto"/>
        <w:rPr>
          <w:rFonts w:ascii="宋体" w:hAnsi="宋体" w:cs="宋体"/>
          <w:sz w:val="24"/>
        </w:rPr>
      </w:pPr>
      <w:r>
        <w:rPr>
          <w:rFonts w:hint="eastAsia" w:ascii="宋体" w:hAnsi="宋体" w:cs="宋体"/>
          <w:sz w:val="24"/>
        </w:rPr>
        <w:t xml:space="preserve">    检验方法：检查现场淋水试验报告。</w:t>
      </w:r>
    </w:p>
    <w:p w14:paraId="55264B80">
      <w:pPr>
        <w:pStyle w:val="2"/>
        <w:spacing w:after="0" w:line="360" w:lineRule="auto"/>
        <w:rPr>
          <w:rFonts w:ascii="宋体" w:hAnsi="宋体" w:cs="宋体"/>
          <w:color w:val="2414F4"/>
          <w:sz w:val="24"/>
          <w:u w:val="single"/>
        </w:rPr>
      </w:pPr>
      <w:r>
        <w:rPr>
          <w:rFonts w:hint="eastAsia" w:ascii="宋体" w:hAnsi="宋体" w:cs="宋体"/>
          <w:color w:val="2414F4"/>
          <w:sz w:val="24"/>
          <w:u w:val="single"/>
        </w:rPr>
        <w:t>【条文说明】现行国家标准《装配式建筑技术标准》GB/T 51231规定：预制混凝土外墙接缝的防水性能应按批检验。每1000m</w:t>
      </w:r>
      <w:r>
        <w:rPr>
          <w:rFonts w:hint="eastAsia" w:ascii="宋体" w:hAnsi="宋体" w:cs="宋体"/>
          <w:color w:val="2414F4"/>
          <w:sz w:val="24"/>
          <w:u w:val="single"/>
          <w:vertAlign w:val="superscript"/>
        </w:rPr>
        <w:t>2</w:t>
      </w:r>
      <w:r>
        <w:rPr>
          <w:rFonts w:hint="eastAsia" w:ascii="宋体" w:hAnsi="宋体" w:cs="宋体"/>
          <w:color w:val="2414F4"/>
          <w:sz w:val="24"/>
          <w:u w:val="single"/>
        </w:rPr>
        <w:t>外墙（含窗）面积应划分为一个检验批，不足1000m</w:t>
      </w:r>
      <w:r>
        <w:rPr>
          <w:rFonts w:hint="eastAsia" w:ascii="宋体" w:hAnsi="宋体" w:cs="宋体"/>
          <w:color w:val="2414F4"/>
          <w:sz w:val="24"/>
          <w:u w:val="single"/>
          <w:vertAlign w:val="superscript"/>
        </w:rPr>
        <w:t>2</w:t>
      </w:r>
      <w:r>
        <w:rPr>
          <w:rFonts w:hint="eastAsia" w:ascii="宋体" w:hAnsi="宋体" w:cs="宋体"/>
          <w:color w:val="2414F4"/>
          <w:sz w:val="24"/>
          <w:u w:val="single"/>
        </w:rPr>
        <w:t>时也应划分为一个检验批；每个检验批应至少抽查一处，抽查部位应为相邻两层4块墙板形成的水平和竖向十字接缝区域，面积不得少于10m2。</w:t>
      </w:r>
    </w:p>
    <w:p w14:paraId="5F631AAD">
      <w:pPr>
        <w:pStyle w:val="2"/>
        <w:spacing w:after="0" w:line="360" w:lineRule="auto"/>
        <w:ind w:firstLine="480" w:firstLineChars="200"/>
        <w:rPr>
          <w:rFonts w:ascii="宋体" w:hAnsi="宋体" w:cs="宋体"/>
          <w:color w:val="2414F4"/>
          <w:sz w:val="24"/>
          <w:u w:val="single"/>
        </w:rPr>
      </w:pPr>
      <w:r>
        <w:rPr>
          <w:rFonts w:hint="eastAsia" w:ascii="宋体" w:hAnsi="宋体" w:cs="宋体"/>
          <w:color w:val="2414F4"/>
          <w:sz w:val="24"/>
          <w:u w:val="single"/>
        </w:rPr>
        <w:t>淋水检验应符合现行行业标准《建筑防水工程现场检测技术规范》JGJ/T 299的规定。现场淋水试验应满足下列要求：淋水流量不应小于3L/ (m</w:t>
      </w:r>
      <w:r>
        <w:rPr>
          <w:rFonts w:hint="eastAsia" w:ascii="宋体" w:hAnsi="宋体" w:cs="宋体"/>
          <w:color w:val="2414F4"/>
          <w:sz w:val="24"/>
          <w:u w:val="single"/>
          <w:vertAlign w:val="superscript"/>
        </w:rPr>
        <w:t>2</w:t>
      </w:r>
      <w:r>
        <w:rPr>
          <w:rFonts w:hint="eastAsia" w:ascii="宋体" w:hAnsi="宋体" w:cs="宋体"/>
          <w:color w:val="2414F4"/>
          <w:sz w:val="24"/>
          <w:u w:val="single"/>
        </w:rPr>
        <w:t>·min)， 持续淋水试验时间不应小于24h，或者淋水流量不应小于5L/ (m</w:t>
      </w:r>
      <w:r>
        <w:rPr>
          <w:rFonts w:hint="eastAsia" w:ascii="宋体" w:hAnsi="宋体" w:cs="宋体"/>
          <w:color w:val="2414F4"/>
          <w:sz w:val="24"/>
          <w:u w:val="single"/>
          <w:vertAlign w:val="superscript"/>
        </w:rPr>
        <w:t>2</w:t>
      </w:r>
      <w:r>
        <w:rPr>
          <w:rFonts w:hint="eastAsia" w:ascii="宋体" w:hAnsi="宋体" w:cs="宋体"/>
          <w:color w:val="2414F4"/>
          <w:sz w:val="24"/>
          <w:u w:val="single"/>
        </w:rPr>
        <w:t>·min) ，持续淋水时间不应少于2h，某处淋水试验结束后，若背水面存在渗漏现象，应对该检验批的全部外墙板接缝进行淋水试验，并对所有渗漏点进行整改处理，并在整改完成后重新对渗漏的部位进行淋水试验，直至不再出现渗漏点为止。</w:t>
      </w:r>
    </w:p>
    <w:p w14:paraId="2C605BE7"/>
    <w:p w14:paraId="3871AB7F"/>
    <w:p w14:paraId="37944222"/>
    <w:p w14:paraId="3DBE1BF6"/>
    <w:p w14:paraId="08BAC95A"/>
    <w:p w14:paraId="0EDBEA5E"/>
    <w:p w14:paraId="171DDF7D"/>
    <w:p w14:paraId="1AC573DA"/>
    <w:p w14:paraId="3D777FC7"/>
    <w:p w14:paraId="0E5EB984"/>
    <w:p w14:paraId="1EDDF0EB"/>
    <w:p w14:paraId="196B2FD7"/>
    <w:p w14:paraId="085EA9F4"/>
    <w:p w14:paraId="0754A15E"/>
    <w:p w14:paraId="7FF987DA"/>
    <w:p w14:paraId="570E2489"/>
    <w:p w14:paraId="0A33D500"/>
    <w:p w14:paraId="5F9AB41A"/>
    <w:p w14:paraId="27475A00"/>
    <w:p w14:paraId="22DE76E7"/>
    <w:p w14:paraId="35529298">
      <w:pPr>
        <w:pStyle w:val="3"/>
        <w:jc w:val="center"/>
        <w:rPr>
          <w:bCs w:val="0"/>
          <w:sz w:val="28"/>
          <w:szCs w:val="24"/>
        </w:rPr>
      </w:pPr>
      <w:bookmarkStart w:id="97" w:name="_Toc7048"/>
      <w:bookmarkStart w:id="98" w:name="_Toc3427"/>
      <w:r>
        <w:rPr>
          <w:rFonts w:hint="eastAsia"/>
          <w:bCs w:val="0"/>
          <w:sz w:val="28"/>
          <w:szCs w:val="24"/>
        </w:rPr>
        <w:t>8</w:t>
      </w:r>
      <w:r>
        <w:rPr>
          <w:rFonts w:hint="eastAsia"/>
          <w:bCs w:val="0"/>
          <w:sz w:val="28"/>
          <w:szCs w:val="24"/>
          <w:lang w:val="en-US" w:eastAsia="zh-CN"/>
        </w:rPr>
        <w:t xml:space="preserve"> </w:t>
      </w:r>
      <w:r>
        <w:rPr>
          <w:rFonts w:hint="eastAsia"/>
          <w:bCs w:val="0"/>
          <w:sz w:val="28"/>
          <w:szCs w:val="24"/>
        </w:rPr>
        <w:t>运维</w:t>
      </w:r>
      <w:bookmarkEnd w:id="97"/>
      <w:bookmarkEnd w:id="98"/>
    </w:p>
    <w:p w14:paraId="45AD52DD">
      <w:pPr>
        <w:pStyle w:val="4"/>
      </w:pPr>
      <w:bookmarkStart w:id="99" w:name="_Toc24381"/>
      <w:bookmarkStart w:id="100" w:name="_Toc3034"/>
      <w:r>
        <w:rPr>
          <w:rFonts w:hint="eastAsia"/>
        </w:rPr>
        <w:t>8</w:t>
      </w:r>
      <w:r>
        <w:t>.1</w:t>
      </w:r>
      <w:r>
        <w:rPr>
          <w:rFonts w:hint="eastAsia"/>
          <w:lang w:val="en-US" w:eastAsia="zh-CN"/>
        </w:rPr>
        <w:t xml:space="preserve"> </w:t>
      </w:r>
      <w:r>
        <w:t>一般规定</w:t>
      </w:r>
      <w:bookmarkEnd w:id="99"/>
      <w:bookmarkEnd w:id="100"/>
    </w:p>
    <w:p w14:paraId="17FA3720">
      <w:pPr>
        <w:pStyle w:val="2"/>
        <w:spacing w:line="360" w:lineRule="auto"/>
        <w:rPr>
          <w:rFonts w:ascii="宋体" w:hAnsi="宋体" w:cs="宋体"/>
          <w:sz w:val="24"/>
        </w:rPr>
      </w:pPr>
      <w:r>
        <w:rPr>
          <w:rFonts w:hint="eastAsia"/>
          <w:b/>
          <w:bCs/>
          <w:sz w:val="24"/>
        </w:rPr>
        <w:t>8.1.1</w:t>
      </w:r>
      <w:r>
        <w:rPr>
          <w:rFonts w:hint="eastAsia" w:ascii="宋体" w:hAnsi="宋体" w:cs="宋体"/>
          <w:sz w:val="24"/>
        </w:rPr>
        <w:t xml:space="preserve">  在建筑物正常使用期间，每隔5年宜对预制集成保温外墙体进行一次检查，其检查应包括下列内容：</w:t>
      </w:r>
    </w:p>
    <w:p w14:paraId="59FEF18A">
      <w:pPr>
        <w:spacing w:line="360" w:lineRule="auto"/>
        <w:ind w:firstLine="482" w:firstLineChars="200"/>
        <w:rPr>
          <w:rFonts w:ascii="宋体" w:hAnsi="宋体" w:cs="宋体"/>
          <w:sz w:val="24"/>
        </w:rPr>
      </w:pPr>
      <w:r>
        <w:rPr>
          <w:rFonts w:hint="eastAsia"/>
          <w:b/>
          <w:bCs/>
          <w:sz w:val="24"/>
        </w:rPr>
        <w:t>1</w:t>
      </w:r>
      <w:r>
        <w:rPr>
          <w:rFonts w:hint="eastAsia" w:ascii="宋体" w:hAnsi="宋体" w:cs="宋体"/>
          <w:sz w:val="24"/>
        </w:rPr>
        <w:t xml:space="preserve">  检查预制集成保温外墙体有无变形、错位、松动，发现异常情况，应及时查明原因并及时维修处理；</w:t>
      </w:r>
    </w:p>
    <w:p w14:paraId="74286FCB">
      <w:pPr>
        <w:spacing w:line="360" w:lineRule="auto"/>
        <w:ind w:firstLine="482" w:firstLineChars="200"/>
        <w:rPr>
          <w:rFonts w:ascii="宋体" w:hAnsi="宋体" w:cs="宋体"/>
          <w:sz w:val="24"/>
        </w:rPr>
      </w:pPr>
      <w:r>
        <w:rPr>
          <w:rFonts w:hint="eastAsia"/>
          <w:b/>
          <w:bCs/>
          <w:sz w:val="24"/>
        </w:rPr>
        <w:t>2</w:t>
      </w:r>
      <w:r>
        <w:rPr>
          <w:rFonts w:hint="eastAsia" w:ascii="宋体" w:hAnsi="宋体" w:cs="宋体"/>
          <w:sz w:val="24"/>
        </w:rPr>
        <w:t xml:space="preserve">  检查预制集成保温外墙体的主要承力构件、连接构件等的损坏情况，连接可靠性，锈蚀程度等，发现问题应及时维修；</w:t>
      </w:r>
    </w:p>
    <w:p w14:paraId="43BA8F52">
      <w:pPr>
        <w:spacing w:line="360" w:lineRule="auto"/>
        <w:ind w:firstLine="482" w:firstLineChars="200"/>
        <w:rPr>
          <w:rFonts w:ascii="宋体" w:hAnsi="宋体" w:cs="宋体"/>
          <w:sz w:val="24"/>
        </w:rPr>
      </w:pPr>
      <w:r>
        <w:rPr>
          <w:rFonts w:hint="eastAsia"/>
          <w:b/>
          <w:bCs/>
          <w:sz w:val="24"/>
        </w:rPr>
        <w:t>3</w:t>
      </w:r>
      <w:r>
        <w:rPr>
          <w:rFonts w:hint="eastAsia" w:ascii="宋体" w:hAnsi="宋体" w:cs="宋体"/>
          <w:sz w:val="24"/>
        </w:rPr>
        <w:t xml:space="preserve">  检查保温层有起鼓、脱落等损坏情况，发现保温层有起鼓脱落破坏时，应及时进行修补与更换；</w:t>
      </w:r>
    </w:p>
    <w:p w14:paraId="7D455D53">
      <w:pPr>
        <w:spacing w:line="360" w:lineRule="auto"/>
        <w:ind w:firstLine="482" w:firstLineChars="200"/>
        <w:rPr>
          <w:rFonts w:ascii="宋体" w:hAnsi="宋体" w:cs="宋体"/>
          <w:sz w:val="24"/>
        </w:rPr>
      </w:pPr>
      <w:r>
        <w:rPr>
          <w:rFonts w:hint="eastAsia"/>
          <w:b/>
          <w:bCs/>
          <w:sz w:val="24"/>
        </w:rPr>
        <w:t>4</w:t>
      </w:r>
      <w:r>
        <w:rPr>
          <w:rFonts w:hint="eastAsia" w:ascii="宋体" w:hAnsi="宋体" w:cs="宋体"/>
          <w:sz w:val="24"/>
        </w:rPr>
        <w:t xml:space="preserve">  水平竖向缝有无开裂渗漏情况，发现有开裂、渗漏情况时应及时进行修补。</w:t>
      </w:r>
    </w:p>
    <w:p w14:paraId="571D529A">
      <w:pPr>
        <w:spacing w:line="360" w:lineRule="auto"/>
        <w:rPr>
          <w:rFonts w:ascii="宋体" w:hAnsi="宋体" w:cs="宋体"/>
          <w:sz w:val="24"/>
        </w:rPr>
      </w:pPr>
      <w:r>
        <w:rPr>
          <w:rFonts w:hint="eastAsia"/>
          <w:b/>
          <w:bCs/>
          <w:sz w:val="24"/>
        </w:rPr>
        <w:t>8.1.2</w:t>
      </w:r>
      <w:r>
        <w:rPr>
          <w:rFonts w:hint="eastAsia" w:ascii="宋体" w:hAnsi="宋体" w:cs="宋体"/>
          <w:sz w:val="24"/>
        </w:rPr>
        <w:t xml:space="preserve">  现场检查与现场检测宜按国家现行相关标准的规定执行。</w:t>
      </w:r>
    </w:p>
    <w:p w14:paraId="1E212EAA">
      <w:pPr>
        <w:pStyle w:val="2"/>
        <w:spacing w:after="0" w:line="360" w:lineRule="auto"/>
        <w:rPr>
          <w:rFonts w:ascii="宋体" w:hAnsi="宋体" w:cs="宋体"/>
          <w:color w:val="2414F4"/>
          <w:sz w:val="24"/>
          <w:u w:val="single"/>
        </w:rPr>
      </w:pPr>
      <w:r>
        <w:rPr>
          <w:rFonts w:hint="eastAsia" w:ascii="宋体" w:hAnsi="宋体" w:cs="宋体"/>
          <w:color w:val="2414F4"/>
          <w:sz w:val="24"/>
          <w:u w:val="single"/>
        </w:rPr>
        <w:t>【条文说明】现场检查与现场检测方法宜按现行国家标准中的相关规定执行，当国家标准中无相关规定时，可以选择地方标准推荐的相关试验方法。其中，外墙外保温系统构造检查宜按现行国家标准《建筑节能工程施工质量验收规范》GB 50411中的相关规定执行，外墙外保温系统热工缺陷检测宜按现行行业标准《居住建筑节能检测标准》JGJ/T 132中的相关规定执行。外墙渗漏修缮宜按现行行业标准《房屋渗漏修缮技术规程》JGJ/T 53中的相关规定执行。</w:t>
      </w:r>
    </w:p>
    <w:p w14:paraId="505E9208">
      <w:pPr>
        <w:pStyle w:val="2"/>
        <w:spacing w:after="0" w:line="360" w:lineRule="auto"/>
        <w:rPr>
          <w:rFonts w:ascii="宋体" w:hAnsi="宋体" w:cs="宋体"/>
          <w:sz w:val="24"/>
        </w:rPr>
      </w:pPr>
      <w:r>
        <w:rPr>
          <w:rFonts w:hint="eastAsia"/>
          <w:b/>
          <w:bCs/>
          <w:sz w:val="24"/>
        </w:rPr>
        <w:t>8.1.3</w:t>
      </w:r>
      <w:r>
        <w:rPr>
          <w:rFonts w:hint="eastAsia" w:ascii="宋体" w:hAnsi="宋体" w:cs="宋体"/>
          <w:sz w:val="24"/>
        </w:rPr>
        <w:t xml:space="preserve">  预制集成保温外墙体修缮施工前，应根据勘察和收集的资料，进行原因分析，制定修缮方案。</w:t>
      </w:r>
    </w:p>
    <w:p w14:paraId="43038034">
      <w:pPr>
        <w:spacing w:line="360" w:lineRule="auto"/>
        <w:rPr>
          <w:rFonts w:ascii="宋体" w:hAnsi="宋体" w:cs="宋体"/>
          <w:sz w:val="24"/>
        </w:rPr>
      </w:pPr>
      <w:r>
        <w:rPr>
          <w:rFonts w:hint="eastAsia"/>
          <w:b/>
          <w:bCs/>
          <w:sz w:val="24"/>
        </w:rPr>
        <w:t>8.1.4</w:t>
      </w:r>
      <w:r>
        <w:rPr>
          <w:rFonts w:hint="eastAsia" w:ascii="宋体" w:hAnsi="宋体" w:cs="宋体"/>
          <w:sz w:val="24"/>
        </w:rPr>
        <w:t xml:space="preserve">  对于因房屋结构损坏造成的外墙渗漏，应先加固修补结构，再进行渗漏修缮。</w:t>
      </w:r>
    </w:p>
    <w:p w14:paraId="228AB9FD">
      <w:pPr>
        <w:pStyle w:val="2"/>
        <w:spacing w:after="0" w:line="360" w:lineRule="auto"/>
        <w:rPr>
          <w:rFonts w:ascii="宋体" w:hAnsi="宋体" w:cs="宋体"/>
          <w:color w:val="2414F4"/>
          <w:sz w:val="24"/>
          <w:u w:val="single"/>
        </w:rPr>
      </w:pPr>
      <w:r>
        <w:rPr>
          <w:rFonts w:hint="eastAsia" w:ascii="宋体" w:hAnsi="宋体" w:cs="宋体"/>
          <w:color w:val="2414F4"/>
          <w:sz w:val="24"/>
          <w:u w:val="single"/>
        </w:rPr>
        <w:t>【条文说明】外墙渗漏修缮应首先检查渗漏对外墙结构产生的不利影响，不安全结构构件应先行按加固方案修缮合格后再进行渗漏修缮。目的是为了保证房屋的基本安全、确保渗漏修缮的质量。</w:t>
      </w:r>
    </w:p>
    <w:p w14:paraId="49127564">
      <w:pPr>
        <w:pStyle w:val="2"/>
        <w:spacing w:after="0" w:line="360" w:lineRule="auto"/>
        <w:rPr>
          <w:rFonts w:ascii="宋体" w:hAnsi="宋体" w:cs="宋体"/>
          <w:sz w:val="24"/>
        </w:rPr>
      </w:pPr>
      <w:r>
        <w:rPr>
          <w:rFonts w:hint="eastAsia"/>
          <w:b/>
          <w:bCs/>
          <w:sz w:val="24"/>
        </w:rPr>
        <w:t>8.1.5</w:t>
      </w:r>
      <w:r>
        <w:rPr>
          <w:rFonts w:hint="eastAsia" w:ascii="宋体" w:hAnsi="宋体" w:cs="宋体"/>
          <w:sz w:val="24"/>
        </w:rPr>
        <w:t xml:space="preserve">  预制集成保温外墙体渗漏修缮时需遵循“防排结合、以排为主、预防渗漏”的原则。 </w:t>
      </w:r>
    </w:p>
    <w:p w14:paraId="00333B7A">
      <w:pPr>
        <w:pStyle w:val="2"/>
        <w:spacing w:after="0" w:line="360" w:lineRule="auto"/>
        <w:rPr>
          <w:rFonts w:ascii="宋体" w:hAnsi="宋体" w:cs="宋体"/>
          <w:sz w:val="24"/>
        </w:rPr>
      </w:pPr>
      <w:r>
        <w:rPr>
          <w:rFonts w:hint="eastAsia"/>
          <w:b/>
          <w:bCs/>
          <w:sz w:val="24"/>
        </w:rPr>
        <w:t>8.1.6</w:t>
      </w:r>
      <w:r>
        <w:rPr>
          <w:rFonts w:hint="eastAsia" w:ascii="宋体" w:hAnsi="宋体" w:cs="宋体"/>
          <w:sz w:val="24"/>
        </w:rPr>
        <w:t xml:space="preserve">  预制集成保温外墙体修缮宜按现行行业标准《民用建筑修缮工程施工标准》JGJ/T 112中的相关规定执行。</w:t>
      </w:r>
    </w:p>
    <w:p w14:paraId="6846CC1C">
      <w:pPr>
        <w:pStyle w:val="2"/>
        <w:spacing w:after="0" w:line="360" w:lineRule="auto"/>
        <w:rPr>
          <w:rFonts w:ascii="宋体" w:hAnsi="宋体" w:cs="宋体"/>
          <w:sz w:val="24"/>
        </w:rPr>
      </w:pPr>
      <w:r>
        <w:rPr>
          <w:rFonts w:hint="eastAsia"/>
          <w:b/>
          <w:bCs/>
          <w:sz w:val="24"/>
        </w:rPr>
        <w:t>8.1.7</w:t>
      </w:r>
      <w:r>
        <w:rPr>
          <w:rFonts w:hint="eastAsia" w:ascii="宋体" w:hAnsi="宋体" w:cs="宋体"/>
          <w:sz w:val="24"/>
        </w:rPr>
        <w:t xml:space="preserve">  预制集成保温外墙体系统质量鉴定评估应由独立第三方具备专业资质的检测、检验机构进行。</w:t>
      </w:r>
    </w:p>
    <w:p w14:paraId="0CAF1D02">
      <w:pPr>
        <w:pStyle w:val="2"/>
        <w:spacing w:after="0" w:line="360" w:lineRule="auto"/>
        <w:rPr>
          <w:rFonts w:ascii="宋体" w:hAnsi="宋体" w:cs="宋体"/>
          <w:color w:val="2414F4"/>
          <w:sz w:val="24"/>
          <w:u w:val="single"/>
          <w:lang w:val="zh-CN"/>
        </w:rPr>
      </w:pPr>
      <w:r>
        <w:rPr>
          <w:rFonts w:hint="eastAsia" w:ascii="宋体" w:hAnsi="宋体" w:cs="宋体"/>
          <w:color w:val="2414F4"/>
          <w:sz w:val="24"/>
          <w:u w:val="single"/>
        </w:rPr>
        <w:t xml:space="preserve">【条文说明】 </w:t>
      </w:r>
      <w:r>
        <w:rPr>
          <w:rFonts w:hint="eastAsia" w:ascii="宋体" w:hAnsi="宋体" w:cs="宋体"/>
          <w:color w:val="2414F4"/>
          <w:sz w:val="24"/>
          <w:u w:val="single"/>
          <w:lang w:val="zh-CN"/>
        </w:rPr>
        <w:t>外围护系统质量鉴定评估时，应对项目建设基本情况、外围护系统质量情况等进行初步调查，并在此基础上制定现场检查与现场检测的技术方案。检验机构依据技术方案，进行现场检查与现场检测，对检验、检测结果进行评估分析，并编制质量鉴定报告。</w:t>
      </w:r>
    </w:p>
    <w:p w14:paraId="4E1F55C6">
      <w:pPr>
        <w:pStyle w:val="4"/>
      </w:pPr>
      <w:bookmarkStart w:id="101" w:name="_Toc8179"/>
      <w:bookmarkStart w:id="102" w:name="_Toc24137"/>
      <w:r>
        <w:rPr>
          <w:rFonts w:hint="eastAsia"/>
        </w:rPr>
        <w:t>8</w:t>
      </w:r>
      <w:r>
        <w:t>.2</w:t>
      </w:r>
      <w:r>
        <w:rPr>
          <w:rFonts w:hint="eastAsia"/>
          <w:lang w:val="en-US" w:eastAsia="zh-CN"/>
        </w:rPr>
        <w:t xml:space="preserve"> </w:t>
      </w:r>
      <w:r>
        <w:rPr>
          <w:rFonts w:hint="eastAsia"/>
        </w:rPr>
        <w:t>检查</w:t>
      </w:r>
      <w:bookmarkEnd w:id="101"/>
      <w:bookmarkEnd w:id="102"/>
    </w:p>
    <w:p w14:paraId="2E9314BB">
      <w:pPr>
        <w:pStyle w:val="2"/>
        <w:spacing w:after="0" w:line="360" w:lineRule="auto"/>
        <w:rPr>
          <w:rFonts w:ascii="宋体" w:hAnsi="宋体" w:cs="宋体"/>
          <w:sz w:val="24"/>
        </w:rPr>
      </w:pPr>
      <w:r>
        <w:rPr>
          <w:rFonts w:hint="eastAsia"/>
          <w:b/>
          <w:bCs/>
          <w:sz w:val="24"/>
        </w:rPr>
        <w:t xml:space="preserve">8.2.1  </w:t>
      </w:r>
      <w:r>
        <w:rPr>
          <w:rFonts w:hint="eastAsia" w:ascii="宋体" w:hAnsi="宋体" w:cs="宋体"/>
          <w:sz w:val="24"/>
        </w:rPr>
        <w:t>预制集成外保温墙体的日常检查应包括下列主要内容：</w:t>
      </w:r>
    </w:p>
    <w:p w14:paraId="7BAC0076">
      <w:pPr>
        <w:pStyle w:val="2"/>
        <w:spacing w:after="0" w:line="360" w:lineRule="auto"/>
        <w:ind w:firstLine="482" w:firstLineChars="200"/>
        <w:rPr>
          <w:rFonts w:ascii="宋体" w:hAnsi="宋体" w:cs="宋体"/>
          <w:sz w:val="24"/>
        </w:rPr>
      </w:pPr>
      <w:r>
        <w:rPr>
          <w:rFonts w:hint="eastAsia"/>
          <w:b/>
          <w:bCs/>
          <w:sz w:val="24"/>
        </w:rPr>
        <w:t>1</w:t>
      </w:r>
      <w:r>
        <w:rPr>
          <w:rFonts w:hint="eastAsia" w:ascii="宋体" w:hAnsi="宋体" w:cs="宋体"/>
          <w:sz w:val="24"/>
        </w:rPr>
        <w:t xml:space="preserve">  外墙饰面的开裂、渗漏、空鼓和脱落等损伤状况；</w:t>
      </w:r>
    </w:p>
    <w:p w14:paraId="50E8B9AA">
      <w:pPr>
        <w:spacing w:line="360" w:lineRule="auto"/>
        <w:ind w:firstLine="482" w:firstLineChars="200"/>
        <w:rPr>
          <w:sz w:val="24"/>
        </w:rPr>
      </w:pPr>
      <w:r>
        <w:rPr>
          <w:rFonts w:hint="eastAsia"/>
          <w:b/>
          <w:bCs/>
          <w:sz w:val="24"/>
        </w:rPr>
        <w:t>2</w:t>
      </w:r>
      <w:r>
        <w:rPr>
          <w:rFonts w:hint="eastAsia" w:ascii="宋体" w:hAnsi="宋体" w:cs="宋体"/>
          <w:sz w:val="24"/>
        </w:rPr>
        <w:t xml:space="preserve">  保温层的空鼓和脱落等损伤情况；</w:t>
      </w:r>
    </w:p>
    <w:p w14:paraId="52BCCA8F">
      <w:pPr>
        <w:pStyle w:val="2"/>
        <w:spacing w:after="0" w:line="360" w:lineRule="auto"/>
        <w:ind w:firstLine="482" w:firstLineChars="200"/>
        <w:rPr>
          <w:rFonts w:ascii="宋体" w:hAnsi="宋体" w:cs="宋体"/>
          <w:sz w:val="24"/>
        </w:rPr>
      </w:pPr>
      <w:r>
        <w:rPr>
          <w:rFonts w:hint="eastAsia"/>
          <w:b/>
          <w:bCs/>
          <w:sz w:val="24"/>
        </w:rPr>
        <w:t>3</w:t>
      </w:r>
      <w:r>
        <w:rPr>
          <w:rFonts w:hint="eastAsia" w:ascii="宋体" w:hAnsi="宋体" w:cs="宋体"/>
          <w:sz w:val="24"/>
        </w:rPr>
        <w:t xml:space="preserve">  外墙门窗的密封性、破损状况以及与主体结构连接的缺陷、变形、损伤情况；</w:t>
      </w:r>
    </w:p>
    <w:p w14:paraId="40BAB4DD">
      <w:pPr>
        <w:spacing w:line="360" w:lineRule="auto"/>
        <w:ind w:firstLine="480"/>
        <w:outlineLvl w:val="9"/>
        <w:rPr>
          <w:sz w:val="24"/>
        </w:rPr>
      </w:pPr>
      <w:bookmarkStart w:id="103" w:name="_Toc24429"/>
      <w:r>
        <w:rPr>
          <w:rFonts w:hint="eastAsia"/>
          <w:b/>
          <w:bCs/>
          <w:sz w:val="24"/>
        </w:rPr>
        <w:t>4</w:t>
      </w:r>
      <w:r>
        <w:rPr>
          <w:rFonts w:hint="eastAsia" w:ascii="宋体" w:hAnsi="宋体" w:cs="宋体"/>
          <w:sz w:val="24"/>
        </w:rPr>
        <w:t xml:space="preserve">  预制外墙连接节点部位的渗漏情况。</w:t>
      </w:r>
      <w:bookmarkEnd w:id="103"/>
      <w:r>
        <w:rPr>
          <w:rFonts w:hint="eastAsia" w:ascii="宋体" w:hAnsi="宋体" w:cs="宋体"/>
          <w:sz w:val="24"/>
        </w:rPr>
        <w:t xml:space="preserve"> </w:t>
      </w:r>
    </w:p>
    <w:p w14:paraId="78CF6062">
      <w:pPr>
        <w:pStyle w:val="2"/>
        <w:spacing w:after="0" w:line="360" w:lineRule="auto"/>
        <w:outlineLvl w:val="9"/>
        <w:rPr>
          <w:rFonts w:ascii="宋体" w:hAnsi="宋体" w:cs="宋体"/>
          <w:sz w:val="24"/>
        </w:rPr>
      </w:pPr>
      <w:bookmarkStart w:id="104" w:name="_Toc27868"/>
      <w:r>
        <w:rPr>
          <w:rFonts w:hint="eastAsia"/>
          <w:b/>
          <w:bCs/>
          <w:sz w:val="24"/>
        </w:rPr>
        <w:t>8.2.2</w:t>
      </w:r>
      <w:r>
        <w:rPr>
          <w:rFonts w:hint="eastAsia" w:ascii="宋体" w:hAnsi="宋体" w:cs="宋体"/>
          <w:sz w:val="24"/>
        </w:rPr>
        <w:t xml:space="preserve"> 预制集成外保温墙体的特定检查应包括下列主要内容：</w:t>
      </w:r>
      <w:bookmarkEnd w:id="104"/>
    </w:p>
    <w:p w14:paraId="3DA81BB4">
      <w:pPr>
        <w:pStyle w:val="2"/>
        <w:spacing w:after="0" w:line="360" w:lineRule="auto"/>
        <w:ind w:firstLine="482" w:firstLineChars="200"/>
        <w:rPr>
          <w:rFonts w:ascii="宋体" w:hAnsi="宋体" w:cs="宋体"/>
          <w:sz w:val="24"/>
        </w:rPr>
      </w:pPr>
      <w:r>
        <w:rPr>
          <w:rFonts w:hint="eastAsia"/>
          <w:b/>
          <w:bCs/>
          <w:sz w:val="24"/>
        </w:rPr>
        <w:t>1</w:t>
      </w:r>
      <w:r>
        <w:rPr>
          <w:rFonts w:hint="eastAsia" w:ascii="宋体" w:hAnsi="宋体" w:cs="宋体"/>
          <w:sz w:val="24"/>
        </w:rPr>
        <w:t xml:space="preserve">  临近雨季时，防水和排水状况；</w:t>
      </w:r>
    </w:p>
    <w:p w14:paraId="4B15F764">
      <w:pPr>
        <w:pStyle w:val="2"/>
        <w:spacing w:after="0" w:line="360" w:lineRule="auto"/>
        <w:ind w:firstLine="482" w:firstLineChars="200"/>
        <w:rPr>
          <w:rFonts w:ascii="宋体" w:hAnsi="宋体" w:cs="宋体"/>
          <w:sz w:val="24"/>
        </w:rPr>
      </w:pPr>
      <w:r>
        <w:rPr>
          <w:rFonts w:hint="eastAsia"/>
          <w:b/>
          <w:bCs/>
          <w:sz w:val="24"/>
        </w:rPr>
        <w:t>2</w:t>
      </w:r>
      <w:r>
        <w:rPr>
          <w:rFonts w:hint="eastAsia" w:ascii="宋体" w:hAnsi="宋体" w:cs="宋体"/>
          <w:sz w:val="24"/>
        </w:rPr>
        <w:t xml:space="preserve">  临近供暖季时，外门窗、幕墙的密封性；</w:t>
      </w:r>
    </w:p>
    <w:p w14:paraId="712C5A3B">
      <w:pPr>
        <w:pStyle w:val="2"/>
        <w:spacing w:after="0" w:line="360" w:lineRule="auto"/>
        <w:ind w:firstLine="482" w:firstLineChars="200"/>
        <w:rPr>
          <w:rFonts w:ascii="宋体" w:hAnsi="宋体" w:cs="宋体"/>
          <w:sz w:val="24"/>
        </w:rPr>
      </w:pPr>
      <w:r>
        <w:rPr>
          <w:rFonts w:hint="eastAsia"/>
          <w:b/>
          <w:bCs/>
          <w:sz w:val="24"/>
        </w:rPr>
        <w:t>3</w:t>
      </w:r>
      <w:r>
        <w:rPr>
          <w:rFonts w:hint="eastAsia" w:ascii="宋体" w:hAnsi="宋体" w:cs="宋体"/>
          <w:sz w:val="24"/>
        </w:rPr>
        <w:t xml:space="preserve">  在台风、暴雨和大风等前后，外墙外保温层、装饰部分、外墙门窗等的损坏及其连接的缺陷、变形、损伤状况。</w:t>
      </w:r>
    </w:p>
    <w:p w14:paraId="14ED62D4">
      <w:pPr>
        <w:spacing w:line="360" w:lineRule="auto"/>
        <w:rPr>
          <w:rFonts w:ascii="宋体" w:hAnsi="宋体" w:cs="宋体"/>
          <w:color w:val="000000" w:themeColor="text1"/>
          <w:sz w:val="24"/>
          <w14:textFill>
            <w14:solidFill>
              <w14:schemeClr w14:val="tx1"/>
            </w14:solidFill>
          </w14:textFill>
        </w:rPr>
      </w:pPr>
      <w:r>
        <w:rPr>
          <w:rFonts w:hint="eastAsia"/>
          <w:b/>
          <w:bCs/>
          <w:sz w:val="24"/>
        </w:rPr>
        <w:t>8.2.3</w:t>
      </w:r>
      <w:r>
        <w:rPr>
          <w:rFonts w:hint="eastAsia" w:ascii="宋体" w:hAnsi="宋体" w:cs="宋体"/>
          <w:sz w:val="24"/>
        </w:rPr>
        <w:t xml:space="preserve"> 现场检查包括</w:t>
      </w:r>
      <w:r>
        <w:rPr>
          <w:rFonts w:hint="eastAsia" w:ascii="宋体" w:hAnsi="宋体" w:cs="宋体"/>
          <w:color w:val="000000" w:themeColor="text1"/>
          <w:sz w:val="24"/>
          <w14:textFill>
            <w14:solidFill>
              <w14:schemeClr w14:val="tx1"/>
            </w14:solidFill>
          </w14:textFill>
        </w:rPr>
        <w:t>预制集成外保温墙体外观质量、系统构造和缺陷，应符合下列规定：</w:t>
      </w:r>
    </w:p>
    <w:p w14:paraId="29570A34">
      <w:pPr>
        <w:spacing w:line="360" w:lineRule="auto"/>
        <w:ind w:firstLine="482" w:firstLineChars="200"/>
        <w:rPr>
          <w:rFonts w:ascii="宋体" w:hAnsi="宋体" w:cs="宋体"/>
          <w:sz w:val="24"/>
        </w:rPr>
      </w:pPr>
      <w:r>
        <w:rPr>
          <w:rFonts w:hint="eastAsia"/>
          <w:b/>
          <w:bCs/>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 xml:space="preserve">  预制集成外保温墙体</w:t>
      </w:r>
      <w:r>
        <w:rPr>
          <w:rFonts w:hint="eastAsia" w:ascii="宋体" w:hAnsi="宋体" w:cs="宋体"/>
          <w:sz w:val="24"/>
        </w:rPr>
        <w:t>外观质量宜采用无人机搭载高清摄像仪或红外热成像仪检查外墙面的裂缝、空鼓、渗水、脱落等质量缺陷；</w:t>
      </w:r>
    </w:p>
    <w:p w14:paraId="01DB17AE">
      <w:pPr>
        <w:spacing w:line="360" w:lineRule="auto"/>
        <w:ind w:firstLine="482" w:firstLineChars="200"/>
        <w:rPr>
          <w:rFonts w:ascii="宋体" w:hAnsi="宋体" w:cs="宋体"/>
          <w:sz w:val="24"/>
        </w:rPr>
      </w:pPr>
      <w:r>
        <w:rPr>
          <w:rFonts w:hint="eastAsia"/>
          <w:b/>
          <w:bCs/>
          <w:sz w:val="24"/>
        </w:rPr>
        <w:t>2</w:t>
      </w:r>
      <w:r>
        <w:rPr>
          <w:rFonts w:hint="eastAsia" w:ascii="宋体" w:hAnsi="宋体" w:cs="宋体"/>
          <w:sz w:val="24"/>
        </w:rPr>
        <w:t xml:space="preserve">  预制集成</w:t>
      </w:r>
      <w:r>
        <w:rPr>
          <w:rFonts w:hint="eastAsia" w:ascii="宋体" w:hAnsi="宋体" w:cs="宋体"/>
          <w:color w:val="000000" w:themeColor="text1"/>
          <w:sz w:val="24"/>
          <w14:textFill>
            <w14:solidFill>
              <w14:schemeClr w14:val="tx1"/>
            </w14:solidFill>
          </w14:textFill>
        </w:rPr>
        <w:t>外保温</w:t>
      </w:r>
      <w:r>
        <w:rPr>
          <w:rFonts w:hint="eastAsia" w:ascii="宋体" w:hAnsi="宋体" w:cs="宋体"/>
          <w:sz w:val="24"/>
        </w:rPr>
        <w:t>墙体系统构造、缺陷检查宜采用红外热成像仪、探地雷达、相控阵超声等技术；</w:t>
      </w:r>
    </w:p>
    <w:p w14:paraId="311A080B">
      <w:pPr>
        <w:spacing w:line="360" w:lineRule="auto"/>
        <w:ind w:firstLine="482" w:firstLineChars="200"/>
        <w:outlineLvl w:val="9"/>
        <w:rPr>
          <w:rFonts w:ascii="宋体" w:hAnsi="宋体" w:cs="宋体"/>
          <w:sz w:val="24"/>
        </w:rPr>
      </w:pPr>
      <w:bookmarkStart w:id="105" w:name="_Toc25446"/>
      <w:r>
        <w:rPr>
          <w:rFonts w:hint="eastAsia"/>
          <w:b/>
          <w:bCs/>
          <w:sz w:val="24"/>
        </w:rPr>
        <w:t>3</w:t>
      </w:r>
      <w:r>
        <w:rPr>
          <w:rFonts w:hint="eastAsia" w:ascii="宋体" w:hAnsi="宋体" w:cs="宋体"/>
          <w:sz w:val="24"/>
        </w:rPr>
        <w:t xml:space="preserve">  必要时应进行局部破坏取样分析；</w:t>
      </w:r>
      <w:bookmarkEnd w:id="105"/>
    </w:p>
    <w:p w14:paraId="0AB50B67">
      <w:pPr>
        <w:spacing w:line="360" w:lineRule="auto"/>
        <w:ind w:firstLine="482" w:firstLineChars="200"/>
        <w:rPr>
          <w:rFonts w:ascii="宋体" w:hAnsi="宋体" w:cs="宋体"/>
          <w:sz w:val="24"/>
        </w:rPr>
      </w:pPr>
      <w:r>
        <w:rPr>
          <w:rFonts w:hint="eastAsia"/>
          <w:b/>
          <w:bCs/>
          <w:sz w:val="24"/>
        </w:rPr>
        <w:t>4</w:t>
      </w:r>
      <w:r>
        <w:rPr>
          <w:rFonts w:hint="eastAsia" w:ascii="宋体" w:hAnsi="宋体" w:cs="宋体"/>
          <w:sz w:val="24"/>
        </w:rPr>
        <w:t xml:space="preserve">  系统缺陷检查时,应记录缺陷部位、类型、面积和程度,可采用文字、照片、视频等方法。</w:t>
      </w:r>
    </w:p>
    <w:p w14:paraId="063B03F0">
      <w:pPr>
        <w:spacing w:line="360" w:lineRule="auto"/>
        <w:outlineLvl w:val="9"/>
        <w:rPr>
          <w:rFonts w:ascii="宋体" w:hAnsi="宋体" w:cs="宋体"/>
          <w:sz w:val="24"/>
        </w:rPr>
      </w:pPr>
      <w:bookmarkStart w:id="106" w:name="_Toc23542"/>
      <w:r>
        <w:rPr>
          <w:rFonts w:hint="eastAsia"/>
          <w:b/>
          <w:bCs/>
          <w:sz w:val="24"/>
        </w:rPr>
        <w:t xml:space="preserve">8.2.4 </w:t>
      </w:r>
      <w:r>
        <w:rPr>
          <w:rFonts w:hint="eastAsia" w:ascii="宋体" w:hAnsi="宋体" w:cs="宋体"/>
          <w:sz w:val="24"/>
        </w:rPr>
        <w:t>预制集成保温外墙板的检测应符合下列规定：</w:t>
      </w:r>
      <w:bookmarkEnd w:id="106"/>
    </w:p>
    <w:p w14:paraId="3B6F8E4F">
      <w:pPr>
        <w:spacing w:line="360" w:lineRule="auto"/>
        <w:ind w:firstLine="482" w:firstLineChars="200"/>
        <w:rPr>
          <w:rFonts w:ascii="宋体" w:hAnsi="宋体" w:cs="宋体"/>
          <w:sz w:val="24"/>
        </w:rPr>
      </w:pPr>
      <w:r>
        <w:rPr>
          <w:rFonts w:hint="eastAsia"/>
          <w:b/>
          <w:bCs/>
          <w:sz w:val="24"/>
        </w:rPr>
        <w:t>1</w:t>
      </w:r>
      <w:r>
        <w:rPr>
          <w:rFonts w:hint="eastAsia" w:ascii="宋体" w:hAnsi="宋体" w:cs="宋体"/>
          <w:sz w:val="24"/>
        </w:rPr>
        <w:t xml:space="preserve">  预制集成保温外墙体根据需要可进行系统缺陷、系统粘结强度、材料性能等检测；</w:t>
      </w:r>
    </w:p>
    <w:p w14:paraId="65B9400C">
      <w:pPr>
        <w:spacing w:line="360" w:lineRule="auto"/>
        <w:ind w:firstLine="482" w:firstLineChars="200"/>
        <w:rPr>
          <w:rFonts w:ascii="宋体" w:hAnsi="宋体" w:cs="宋体"/>
          <w:sz w:val="24"/>
        </w:rPr>
      </w:pPr>
      <w:r>
        <w:rPr>
          <w:rFonts w:hint="eastAsia"/>
          <w:b/>
          <w:bCs/>
          <w:sz w:val="24"/>
        </w:rPr>
        <w:t>2</w:t>
      </w:r>
      <w:r>
        <w:rPr>
          <w:rFonts w:hint="eastAsia" w:ascii="宋体" w:hAnsi="宋体" w:cs="宋体"/>
          <w:sz w:val="24"/>
        </w:rPr>
        <w:t xml:space="preserve">  预制集成保温外墙体系统缺陷、空鼓面积现场检测时,采用红外热成像应按现行国家标准《红外热像法检测建设工程现场通用技术要求》GB/T29183的规定进行；   </w:t>
      </w:r>
    </w:p>
    <w:p w14:paraId="30CABCB0">
      <w:pPr>
        <w:spacing w:line="360" w:lineRule="auto"/>
        <w:ind w:firstLine="482" w:firstLineChars="200"/>
        <w:rPr>
          <w:rFonts w:ascii="宋体" w:hAnsi="宋体" w:cs="宋体"/>
          <w:sz w:val="24"/>
        </w:rPr>
      </w:pPr>
      <w:r>
        <w:rPr>
          <w:rFonts w:hint="eastAsia"/>
          <w:b/>
          <w:bCs/>
          <w:sz w:val="24"/>
        </w:rPr>
        <w:t>3</w:t>
      </w:r>
      <w:r>
        <w:rPr>
          <w:rFonts w:hint="eastAsia" w:ascii="宋体" w:hAnsi="宋体" w:cs="宋体"/>
          <w:sz w:val="24"/>
        </w:rPr>
        <w:t xml:space="preserve">  预制集成保温外墙体各层材料之间的粘结强度现场检测,应按行业标准《外墙外保温工程技术标准》JGJ144-2019附录C的规定进行；</w:t>
      </w:r>
    </w:p>
    <w:p w14:paraId="73F74094">
      <w:pPr>
        <w:spacing w:line="360" w:lineRule="auto"/>
        <w:ind w:firstLine="482" w:firstLineChars="200"/>
        <w:rPr>
          <w:rFonts w:ascii="宋体" w:hAnsi="宋体" w:cs="宋体"/>
          <w:sz w:val="24"/>
        </w:rPr>
      </w:pPr>
      <w:r>
        <w:rPr>
          <w:rFonts w:hint="eastAsia"/>
          <w:b/>
          <w:bCs/>
          <w:sz w:val="24"/>
        </w:rPr>
        <w:t>4</w:t>
      </w:r>
      <w:r>
        <w:rPr>
          <w:rFonts w:hint="eastAsia" w:ascii="宋体" w:hAnsi="宋体" w:cs="宋体"/>
          <w:sz w:val="24"/>
        </w:rPr>
        <w:t xml:space="preserve">  采用接触式检测或有损检测时,建筑每个立面的检测数量不少于1组，每组不少于3处。</w:t>
      </w:r>
    </w:p>
    <w:p w14:paraId="450420CD">
      <w:pPr>
        <w:pStyle w:val="2"/>
        <w:spacing w:after="0" w:line="360" w:lineRule="auto"/>
        <w:rPr>
          <w:rFonts w:ascii="宋体" w:hAnsi="宋体" w:cs="宋体"/>
          <w:color w:val="2414F4"/>
          <w:sz w:val="24"/>
          <w:u w:val="single"/>
        </w:rPr>
      </w:pPr>
      <w:r>
        <w:rPr>
          <w:rFonts w:hint="eastAsia" w:ascii="宋体" w:hAnsi="宋体" w:cs="宋体"/>
          <w:color w:val="2414F4"/>
          <w:sz w:val="24"/>
          <w:u w:val="single"/>
        </w:rPr>
        <w:t>【条文说明】</w:t>
      </w:r>
      <w:r>
        <w:rPr>
          <w:rFonts w:hint="eastAsia" w:ascii="宋体" w:hAnsi="宋体" w:cs="宋体"/>
          <w:color w:val="040CBC"/>
          <w:sz w:val="24"/>
          <w:u w:val="single"/>
        </w:rPr>
        <w:t>预制集成外保温墙体</w:t>
      </w:r>
      <w:r>
        <w:rPr>
          <w:rFonts w:hint="eastAsia" w:ascii="宋体" w:hAnsi="宋体" w:cs="宋体"/>
          <w:color w:val="2414F4"/>
          <w:sz w:val="24"/>
          <w:u w:val="single"/>
        </w:rPr>
        <w:t>的空鼓面积比的计算可按现行行业标准《建筑外墙外保温系统修缮标准》JGJ376的规定方法进行。</w:t>
      </w:r>
    </w:p>
    <w:p w14:paraId="5E199F09">
      <w:pPr>
        <w:pStyle w:val="4"/>
      </w:pPr>
      <w:bookmarkStart w:id="107" w:name="_Toc29614"/>
      <w:bookmarkStart w:id="108" w:name="_Toc24780"/>
      <w:r>
        <w:rPr>
          <w:rFonts w:hint="eastAsia"/>
        </w:rPr>
        <w:t>8</w:t>
      </w:r>
      <w:r>
        <w:t>.3</w:t>
      </w:r>
      <w:r>
        <w:rPr>
          <w:rFonts w:hint="eastAsia"/>
          <w:lang w:val="en-US" w:eastAsia="zh-CN"/>
        </w:rPr>
        <w:t xml:space="preserve"> </w:t>
      </w:r>
      <w:r>
        <w:rPr>
          <w:rFonts w:hint="eastAsia"/>
        </w:rPr>
        <w:t>修缮</w:t>
      </w:r>
      <w:bookmarkEnd w:id="107"/>
      <w:bookmarkEnd w:id="108"/>
    </w:p>
    <w:p w14:paraId="2E73D927">
      <w:pPr>
        <w:spacing w:line="360" w:lineRule="auto"/>
        <w:rPr>
          <w:rFonts w:ascii="宋体" w:hAnsi="宋体" w:cs="宋体"/>
          <w:sz w:val="24"/>
        </w:rPr>
      </w:pPr>
      <w:r>
        <w:rPr>
          <w:rFonts w:hint="eastAsia"/>
          <w:b/>
          <w:sz w:val="24"/>
          <w:szCs w:val="32"/>
        </w:rPr>
        <w:t>8</w:t>
      </w:r>
      <w:r>
        <w:rPr>
          <w:b/>
          <w:sz w:val="24"/>
          <w:szCs w:val="32"/>
        </w:rPr>
        <w:t>.3.1</w:t>
      </w:r>
      <w:r>
        <w:rPr>
          <w:rFonts w:hint="eastAsia"/>
          <w:b/>
          <w:sz w:val="24"/>
          <w:szCs w:val="32"/>
        </w:rPr>
        <w:t xml:space="preserve">  </w:t>
      </w:r>
      <w:r>
        <w:rPr>
          <w:rFonts w:hint="eastAsia" w:ascii="宋体" w:hAnsi="宋体" w:cs="宋体"/>
          <w:sz w:val="24"/>
        </w:rPr>
        <w:t>修缮施工前，应对外墙构造、装饰层做法及渗漏水的部位、原因等进行复查，根据实际情况和查勘设计实施修补。</w:t>
      </w:r>
    </w:p>
    <w:p w14:paraId="2361050B">
      <w:pPr>
        <w:spacing w:line="360" w:lineRule="auto"/>
        <w:outlineLvl w:val="9"/>
        <w:rPr>
          <w:rFonts w:ascii="宋体" w:hAnsi="宋体" w:cs="宋体"/>
          <w:sz w:val="24"/>
        </w:rPr>
      </w:pPr>
      <w:bookmarkStart w:id="109" w:name="_Toc9851"/>
      <w:r>
        <w:rPr>
          <w:rFonts w:hint="eastAsia"/>
          <w:b/>
          <w:bCs/>
          <w:sz w:val="24"/>
        </w:rPr>
        <w:t>8.3.2</w:t>
      </w:r>
      <w:r>
        <w:rPr>
          <w:rFonts w:hint="eastAsia" w:ascii="宋体" w:hAnsi="宋体" w:cs="宋体"/>
          <w:sz w:val="24"/>
        </w:rPr>
        <w:t xml:space="preserve">  预制集成保温外墙体修缮，应符合下列规定：</w:t>
      </w:r>
      <w:bookmarkEnd w:id="109"/>
    </w:p>
    <w:p w14:paraId="1FE348A4">
      <w:pPr>
        <w:spacing w:line="360" w:lineRule="auto"/>
        <w:ind w:firstLine="482" w:firstLineChars="200"/>
        <w:rPr>
          <w:rFonts w:ascii="宋体" w:hAnsi="宋体" w:cs="宋体"/>
          <w:sz w:val="24"/>
        </w:rPr>
      </w:pPr>
      <w:r>
        <w:rPr>
          <w:rFonts w:hint="eastAsia"/>
          <w:b/>
          <w:bCs/>
          <w:sz w:val="24"/>
        </w:rPr>
        <w:t>1</w:t>
      </w:r>
      <w:r>
        <w:rPr>
          <w:rFonts w:hint="eastAsia" w:ascii="宋体" w:hAnsi="宋体" w:cs="宋体"/>
          <w:sz w:val="24"/>
        </w:rPr>
        <w:t xml:space="preserve">  预制外墙外保温系统存在裂缝、渗水、空鼓、脱落等问题时，应及时进行修缮；</w:t>
      </w:r>
    </w:p>
    <w:p w14:paraId="18E7F4D6">
      <w:pPr>
        <w:spacing w:line="360" w:lineRule="auto"/>
        <w:ind w:firstLine="482" w:firstLineChars="200"/>
        <w:outlineLvl w:val="9"/>
        <w:rPr>
          <w:rFonts w:ascii="宋体" w:hAnsi="宋体" w:cs="宋体"/>
          <w:sz w:val="24"/>
        </w:rPr>
      </w:pPr>
      <w:bookmarkStart w:id="110" w:name="_Toc26028"/>
      <w:r>
        <w:rPr>
          <w:rFonts w:hint="eastAsia"/>
          <w:b/>
          <w:bCs/>
          <w:sz w:val="24"/>
        </w:rPr>
        <w:t>2</w:t>
      </w:r>
      <w:r>
        <w:rPr>
          <w:rFonts w:hint="eastAsia" w:ascii="宋体" w:hAnsi="宋体" w:cs="宋体"/>
          <w:sz w:val="24"/>
        </w:rPr>
        <w:t xml:space="preserve">  修缮时应制定施工防火专项方案；</w:t>
      </w:r>
      <w:bookmarkEnd w:id="110"/>
    </w:p>
    <w:p w14:paraId="57B76A58">
      <w:pPr>
        <w:spacing w:line="360" w:lineRule="auto"/>
        <w:ind w:firstLine="482" w:firstLineChars="200"/>
        <w:rPr>
          <w:rFonts w:ascii="宋体" w:hAnsi="宋体" w:cs="宋体"/>
          <w:sz w:val="24"/>
        </w:rPr>
      </w:pPr>
      <w:r>
        <w:rPr>
          <w:rFonts w:hint="eastAsia"/>
          <w:b/>
          <w:bCs/>
          <w:sz w:val="24"/>
        </w:rPr>
        <w:t>3</w:t>
      </w:r>
      <w:r>
        <w:rPr>
          <w:rFonts w:hint="eastAsia" w:ascii="宋体" w:hAnsi="宋体" w:cs="宋体"/>
          <w:sz w:val="24"/>
        </w:rPr>
        <w:t xml:space="preserve">  修缮前应对修缮区域内的外墙悬挂物进行安全检查，当外墙悬挂件强度不足或与墙体连接不牢固时，应采取加固措施或拆除、更换。</w:t>
      </w:r>
    </w:p>
    <w:p w14:paraId="4677405C">
      <w:pPr>
        <w:pStyle w:val="2"/>
        <w:spacing w:after="0" w:line="360" w:lineRule="auto"/>
        <w:outlineLvl w:val="9"/>
        <w:rPr>
          <w:rFonts w:ascii="宋体" w:hAnsi="宋体" w:cs="宋体"/>
          <w:sz w:val="24"/>
        </w:rPr>
      </w:pPr>
      <w:bookmarkStart w:id="111" w:name="_Toc4351"/>
      <w:r>
        <w:rPr>
          <w:rFonts w:hint="eastAsia"/>
          <w:b/>
          <w:bCs/>
          <w:sz w:val="24"/>
        </w:rPr>
        <w:t>8.3.3</w:t>
      </w:r>
      <w:r>
        <w:rPr>
          <w:rFonts w:hint="eastAsia" w:ascii="宋体" w:hAnsi="宋体" w:cs="宋体"/>
          <w:sz w:val="24"/>
        </w:rPr>
        <w:t xml:space="preserve">  预制集成保温外墙体饰面修缮，应符合下列规定：</w:t>
      </w:r>
      <w:bookmarkEnd w:id="111"/>
    </w:p>
    <w:p w14:paraId="21FFE4E4">
      <w:pPr>
        <w:pStyle w:val="2"/>
        <w:spacing w:after="0" w:line="360" w:lineRule="auto"/>
        <w:ind w:firstLine="482" w:firstLineChars="200"/>
        <w:rPr>
          <w:rFonts w:ascii="宋体" w:hAnsi="宋体" w:cs="宋体"/>
          <w:sz w:val="24"/>
        </w:rPr>
      </w:pPr>
      <w:r>
        <w:rPr>
          <w:rFonts w:hint="eastAsia"/>
          <w:b/>
          <w:bCs/>
          <w:sz w:val="24"/>
        </w:rPr>
        <w:t>1</w:t>
      </w:r>
      <w:r>
        <w:rPr>
          <w:rFonts w:hint="eastAsia" w:ascii="宋体" w:hAnsi="宋体" w:cs="宋体"/>
          <w:sz w:val="24"/>
        </w:rPr>
        <w:t xml:space="preserve">  抹灰、涂装类外墙面修缮，应按基层、面层、涂层的表里关系顺序，由里及表进行修缮；新旧抹灰之间、面层与基层之间应粘结牢固；</w:t>
      </w:r>
    </w:p>
    <w:p w14:paraId="50D4521D">
      <w:pPr>
        <w:spacing w:line="360" w:lineRule="auto"/>
        <w:ind w:firstLine="482" w:firstLineChars="200"/>
        <w:rPr>
          <w:rFonts w:ascii="宋体" w:hAnsi="宋体" w:cs="宋体"/>
          <w:sz w:val="24"/>
        </w:rPr>
      </w:pPr>
      <w:r>
        <w:rPr>
          <w:b/>
          <w:bCs/>
          <w:sz w:val="24"/>
        </w:rPr>
        <w:t>2</w:t>
      </w:r>
      <w:r>
        <w:rPr>
          <w:rFonts w:hint="eastAsia" w:ascii="宋体" w:hAnsi="宋体" w:cs="宋体"/>
          <w:sz w:val="24"/>
        </w:rPr>
        <w:t xml:space="preserve">  饰面类外墙面饰面层及砂浆层出现松动、起壳、开裂，应局部凿除后重铺，如有坠落危险应先行及时抢修。</w:t>
      </w:r>
    </w:p>
    <w:p w14:paraId="3C5F8337">
      <w:pPr>
        <w:pStyle w:val="2"/>
        <w:spacing w:after="0" w:line="360" w:lineRule="auto"/>
        <w:rPr>
          <w:rFonts w:ascii="宋体" w:hAnsi="宋体" w:cs="宋体"/>
          <w:sz w:val="24"/>
        </w:rPr>
      </w:pPr>
      <w:r>
        <w:rPr>
          <w:rFonts w:hint="eastAsia"/>
          <w:b/>
          <w:bCs/>
          <w:sz w:val="24"/>
        </w:rPr>
        <w:t>8.3.4</w:t>
      </w:r>
      <w:r>
        <w:rPr>
          <w:rFonts w:hint="eastAsia" w:ascii="宋体" w:hAnsi="宋体" w:cs="宋体"/>
          <w:sz w:val="24"/>
        </w:rPr>
        <w:t xml:space="preserve">  预制集成保温外墙体的修复部位应与未修复部位的节能性能保持一致，局部修复部位的保温层厚度应与原保温层厚度一致。</w:t>
      </w:r>
    </w:p>
    <w:p w14:paraId="1B750EEC">
      <w:pPr>
        <w:pStyle w:val="2"/>
        <w:spacing w:after="0" w:line="360" w:lineRule="auto"/>
        <w:rPr>
          <w:rFonts w:ascii="宋体" w:hAnsi="宋体" w:cs="宋体"/>
          <w:sz w:val="24"/>
        </w:rPr>
      </w:pPr>
      <w:r>
        <w:rPr>
          <w:rFonts w:hint="eastAsia"/>
          <w:b/>
          <w:bCs/>
          <w:sz w:val="24"/>
        </w:rPr>
        <w:t>8.3.5</w:t>
      </w:r>
      <w:r>
        <w:rPr>
          <w:rFonts w:hint="eastAsia" w:ascii="宋体" w:hAnsi="宋体" w:cs="宋体"/>
          <w:sz w:val="24"/>
        </w:rPr>
        <w:t xml:space="preserve">  为了加强预制集成保温外墙体系统单元墙体修缮后的粘结强度，修复部位应采用不锈钢锚栓进行锚固。</w:t>
      </w:r>
    </w:p>
    <w:p w14:paraId="4DD7BFDD">
      <w:pPr>
        <w:pStyle w:val="2"/>
        <w:spacing w:after="0" w:line="360" w:lineRule="auto"/>
        <w:rPr>
          <w:rFonts w:ascii="宋体" w:hAnsi="宋体" w:cs="宋体"/>
          <w:sz w:val="24"/>
        </w:rPr>
      </w:pPr>
      <w:r>
        <w:rPr>
          <w:rFonts w:hint="eastAsia"/>
          <w:b/>
          <w:bCs/>
          <w:sz w:val="24"/>
        </w:rPr>
        <w:t>8.3.6</w:t>
      </w:r>
      <w:r>
        <w:rPr>
          <w:rFonts w:hint="eastAsia" w:ascii="宋体" w:hAnsi="宋体" w:cs="宋体"/>
          <w:sz w:val="24"/>
        </w:rPr>
        <w:t xml:space="preserve">  其他修复材料与系统应符合现行行业标准《民用建筑修缮工程勘察与设计标准》JGJ/T 117的有关规定。</w:t>
      </w:r>
    </w:p>
    <w:p w14:paraId="66CD38EC">
      <w:pPr>
        <w:spacing w:line="360" w:lineRule="auto"/>
        <w:rPr>
          <w:rFonts w:ascii="宋体" w:hAnsi="宋体" w:cs="宋体"/>
          <w:sz w:val="24"/>
        </w:rPr>
      </w:pPr>
      <w:r>
        <w:rPr>
          <w:rFonts w:hint="eastAsia"/>
          <w:b/>
          <w:bCs/>
          <w:sz w:val="24"/>
        </w:rPr>
        <w:t>8.3.7</w:t>
      </w:r>
      <w:r>
        <w:rPr>
          <w:rFonts w:hint="eastAsia" w:ascii="宋体" w:hAnsi="宋体" w:cs="宋体"/>
          <w:sz w:val="24"/>
        </w:rPr>
        <w:t xml:space="preserve">  预制集成保温外墙体其他部位的渗漏修缮施工，应按现行行业标准《房屋渗漏修缮技术规程》JGJ/T 53的规定执行。</w:t>
      </w:r>
    </w:p>
    <w:p w14:paraId="3AB2AF22">
      <w:pPr>
        <w:pStyle w:val="4"/>
      </w:pPr>
      <w:bookmarkStart w:id="112" w:name="_Toc17729"/>
      <w:bookmarkStart w:id="113" w:name="_Toc511"/>
      <w:r>
        <w:rPr>
          <w:rFonts w:hint="eastAsia"/>
        </w:rPr>
        <w:t>8</w:t>
      </w:r>
      <w:r>
        <w:t>.</w:t>
      </w:r>
      <w:r>
        <w:rPr>
          <w:rFonts w:hint="eastAsia"/>
        </w:rPr>
        <w:t>4</w:t>
      </w:r>
      <w:r>
        <w:rPr>
          <w:rFonts w:hint="eastAsia"/>
          <w:lang w:val="en-US" w:eastAsia="zh-CN"/>
        </w:rPr>
        <w:t xml:space="preserve"> </w:t>
      </w:r>
      <w:r>
        <w:rPr>
          <w:rFonts w:hint="eastAsia"/>
        </w:rPr>
        <w:t>信息化管理和运维</w:t>
      </w:r>
      <w:bookmarkEnd w:id="112"/>
      <w:bookmarkEnd w:id="113"/>
    </w:p>
    <w:p w14:paraId="0A06FC2C">
      <w:pPr>
        <w:spacing w:line="360" w:lineRule="auto"/>
        <w:outlineLvl w:val="9"/>
        <w:rPr>
          <w:rFonts w:ascii="宋体" w:hAnsi="宋体" w:cs="宋体"/>
          <w:sz w:val="24"/>
        </w:rPr>
      </w:pPr>
      <w:bookmarkStart w:id="114" w:name="_Toc29437"/>
      <w:r>
        <w:rPr>
          <w:rFonts w:hint="eastAsia"/>
          <w:b/>
          <w:sz w:val="24"/>
          <w:szCs w:val="32"/>
        </w:rPr>
        <w:t>8</w:t>
      </w:r>
      <w:r>
        <w:rPr>
          <w:b/>
          <w:sz w:val="24"/>
          <w:szCs w:val="32"/>
        </w:rPr>
        <w:t>.</w:t>
      </w:r>
      <w:r>
        <w:rPr>
          <w:rFonts w:hint="eastAsia"/>
          <w:b/>
          <w:sz w:val="24"/>
          <w:szCs w:val="32"/>
        </w:rPr>
        <w:t>4</w:t>
      </w:r>
      <w:r>
        <w:rPr>
          <w:b/>
          <w:sz w:val="24"/>
          <w:szCs w:val="32"/>
        </w:rPr>
        <w:t>.1</w:t>
      </w:r>
      <w:r>
        <w:rPr>
          <w:rFonts w:hint="eastAsia"/>
          <w:b/>
          <w:sz w:val="24"/>
          <w:szCs w:val="32"/>
        </w:rPr>
        <w:t xml:space="preserve">  </w:t>
      </w:r>
      <w:r>
        <w:rPr>
          <w:rFonts w:hint="eastAsia"/>
          <w:bCs/>
          <w:sz w:val="24"/>
        </w:rPr>
        <w:t>数字化运维管理平台</w:t>
      </w:r>
      <w:r>
        <w:rPr>
          <w:rFonts w:hint="eastAsia" w:ascii="宋体" w:hAnsi="宋体" w:cs="宋体"/>
          <w:sz w:val="24"/>
        </w:rPr>
        <w:t>应预留预制构件基础数据接口。</w:t>
      </w:r>
      <w:bookmarkEnd w:id="114"/>
    </w:p>
    <w:p w14:paraId="1CE4D32A">
      <w:pPr>
        <w:spacing w:line="360" w:lineRule="auto"/>
        <w:rPr>
          <w:rFonts w:ascii="宋体" w:hAnsi="宋体" w:cs="宋体"/>
          <w:sz w:val="24"/>
        </w:rPr>
      </w:pPr>
      <w:r>
        <w:rPr>
          <w:rFonts w:hint="eastAsia"/>
          <w:b/>
          <w:sz w:val="24"/>
        </w:rPr>
        <w:t>8</w:t>
      </w:r>
      <w:r>
        <w:rPr>
          <w:b/>
          <w:sz w:val="24"/>
        </w:rPr>
        <w:t>.</w:t>
      </w:r>
      <w:r>
        <w:rPr>
          <w:rFonts w:hint="eastAsia"/>
          <w:b/>
          <w:sz w:val="24"/>
        </w:rPr>
        <w:t>4</w:t>
      </w:r>
      <w:r>
        <w:rPr>
          <w:b/>
          <w:sz w:val="24"/>
        </w:rPr>
        <w:t>.</w:t>
      </w:r>
      <w:r>
        <w:rPr>
          <w:rFonts w:hint="eastAsia"/>
          <w:b/>
          <w:sz w:val="24"/>
        </w:rPr>
        <w:t xml:space="preserve">2  </w:t>
      </w:r>
      <w:r>
        <w:rPr>
          <w:rFonts w:hint="eastAsia"/>
          <w:bCs/>
          <w:sz w:val="24"/>
        </w:rPr>
        <w:t>数字化运维管理平台应对设备设施、空间环境的实施运维数据进行监管及反馈，数据记录应包括运行记录、维护记录、报警记录、调试记录、分析报表、统计台账等</w:t>
      </w:r>
      <w:r>
        <w:rPr>
          <w:rFonts w:hint="eastAsia" w:ascii="宋体" w:hAnsi="宋体" w:cs="宋体"/>
          <w:bCs/>
          <w:sz w:val="24"/>
        </w:rPr>
        <w:t>。</w:t>
      </w:r>
    </w:p>
    <w:p w14:paraId="0E854708">
      <w:pPr>
        <w:spacing w:line="360" w:lineRule="auto"/>
        <w:rPr>
          <w:rFonts w:ascii="宋体" w:hAnsi="宋体" w:cs="宋体"/>
          <w:sz w:val="24"/>
        </w:rPr>
      </w:pPr>
      <w:r>
        <w:rPr>
          <w:rFonts w:hint="eastAsia"/>
          <w:b/>
          <w:sz w:val="24"/>
        </w:rPr>
        <w:t>8</w:t>
      </w:r>
      <w:r>
        <w:rPr>
          <w:b/>
          <w:sz w:val="24"/>
        </w:rPr>
        <w:t>.</w:t>
      </w:r>
      <w:r>
        <w:rPr>
          <w:rFonts w:hint="eastAsia"/>
          <w:b/>
          <w:sz w:val="24"/>
        </w:rPr>
        <w:t>4</w:t>
      </w:r>
      <w:r>
        <w:rPr>
          <w:b/>
          <w:sz w:val="24"/>
        </w:rPr>
        <w:t>.</w:t>
      </w:r>
      <w:r>
        <w:rPr>
          <w:rFonts w:hint="eastAsia"/>
          <w:b/>
          <w:sz w:val="24"/>
        </w:rPr>
        <w:t xml:space="preserve">3  </w:t>
      </w:r>
      <w:r>
        <w:rPr>
          <w:rFonts w:hint="eastAsia"/>
          <w:bCs/>
          <w:sz w:val="24"/>
        </w:rPr>
        <w:t>数字采集装置和各子系统的时钟与数字化运维管理平台时钟同步</w:t>
      </w:r>
      <w:r>
        <w:rPr>
          <w:rFonts w:hint="eastAsia" w:ascii="宋体" w:hAnsi="宋体" w:cs="宋体"/>
          <w:sz w:val="24"/>
        </w:rPr>
        <w:t>。</w:t>
      </w:r>
    </w:p>
    <w:p w14:paraId="6992FDD1">
      <w:pPr>
        <w:pStyle w:val="2"/>
        <w:spacing w:after="0" w:line="360" w:lineRule="auto"/>
        <w:rPr>
          <w:sz w:val="24"/>
        </w:rPr>
      </w:pPr>
      <w:r>
        <w:rPr>
          <w:rFonts w:hint="eastAsia"/>
          <w:b/>
          <w:sz w:val="24"/>
        </w:rPr>
        <w:t>8</w:t>
      </w:r>
      <w:r>
        <w:rPr>
          <w:b/>
          <w:sz w:val="24"/>
        </w:rPr>
        <w:t>.</w:t>
      </w:r>
      <w:r>
        <w:rPr>
          <w:rFonts w:hint="eastAsia"/>
          <w:b/>
          <w:sz w:val="24"/>
        </w:rPr>
        <w:t>4</w:t>
      </w:r>
      <w:r>
        <w:rPr>
          <w:b/>
          <w:sz w:val="24"/>
        </w:rPr>
        <w:t>.</w:t>
      </w:r>
      <w:r>
        <w:rPr>
          <w:rFonts w:hint="eastAsia"/>
          <w:b/>
          <w:sz w:val="24"/>
        </w:rPr>
        <w:t xml:space="preserve">4  </w:t>
      </w:r>
      <w:r>
        <w:rPr>
          <w:rFonts w:hint="eastAsia"/>
          <w:bCs/>
          <w:sz w:val="24"/>
        </w:rPr>
        <w:t>数字化管理平台应有内</w:t>
      </w:r>
      <w:r>
        <w:rPr>
          <w:rFonts w:hint="eastAsia"/>
          <w:sz w:val="24"/>
        </w:rPr>
        <w:t>定期提醒功能，时间更新与材料寿命相结合，构造与检查注意事项相结合，定期提醒。</w:t>
      </w:r>
    </w:p>
    <w:p w14:paraId="67E9B7AD">
      <w:pPr>
        <w:pStyle w:val="2"/>
        <w:spacing w:after="0" w:line="360" w:lineRule="auto"/>
        <w:rPr>
          <w:bCs/>
          <w:sz w:val="24"/>
        </w:rPr>
      </w:pPr>
      <w:r>
        <w:rPr>
          <w:rFonts w:hint="eastAsia"/>
          <w:b/>
          <w:sz w:val="24"/>
        </w:rPr>
        <w:t>8</w:t>
      </w:r>
      <w:r>
        <w:rPr>
          <w:b/>
          <w:sz w:val="24"/>
        </w:rPr>
        <w:t>.</w:t>
      </w:r>
      <w:r>
        <w:rPr>
          <w:rFonts w:hint="eastAsia"/>
          <w:b/>
          <w:sz w:val="24"/>
        </w:rPr>
        <w:t>4</w:t>
      </w:r>
      <w:r>
        <w:rPr>
          <w:b/>
          <w:sz w:val="24"/>
        </w:rPr>
        <w:t>.</w:t>
      </w:r>
      <w:r>
        <w:rPr>
          <w:rFonts w:hint="eastAsia"/>
          <w:b/>
          <w:sz w:val="24"/>
        </w:rPr>
        <w:t xml:space="preserve">5  </w:t>
      </w:r>
      <w:r>
        <w:rPr>
          <w:rFonts w:hint="eastAsia"/>
          <w:bCs/>
          <w:sz w:val="24"/>
        </w:rPr>
        <w:t>数字化管理平台应与天气预报系统同步，当发生极端天气时，应发出预警，对可能发生渗漏或脱落等部位进行提醒。</w:t>
      </w:r>
    </w:p>
    <w:p w14:paraId="6727FDD1">
      <w:pPr>
        <w:numPr>
          <w:ilvl w:val="2"/>
          <w:numId w:val="0"/>
        </w:numPr>
        <w:tabs>
          <w:tab w:val="left" w:pos="735"/>
        </w:tabs>
        <w:adjustRightInd w:val="0"/>
        <w:snapToGrid w:val="0"/>
        <w:spacing w:line="360" w:lineRule="auto"/>
        <w:rPr>
          <w:rFonts w:ascii="宋体" w:hAnsi="宋体" w:cs="宋体"/>
          <w:sz w:val="24"/>
        </w:rPr>
      </w:pPr>
      <w:r>
        <w:rPr>
          <w:rFonts w:hint="eastAsia"/>
          <w:b/>
          <w:sz w:val="24"/>
        </w:rPr>
        <w:t>8</w:t>
      </w:r>
      <w:r>
        <w:rPr>
          <w:b/>
          <w:sz w:val="24"/>
        </w:rPr>
        <w:t>.</w:t>
      </w:r>
      <w:r>
        <w:rPr>
          <w:rFonts w:hint="eastAsia"/>
          <w:b/>
          <w:sz w:val="24"/>
        </w:rPr>
        <w:t>4</w:t>
      </w:r>
      <w:r>
        <w:rPr>
          <w:b/>
          <w:sz w:val="24"/>
        </w:rPr>
        <w:t>.</w:t>
      </w:r>
      <w:r>
        <w:rPr>
          <w:rFonts w:hint="eastAsia"/>
          <w:b/>
          <w:sz w:val="24"/>
        </w:rPr>
        <w:t xml:space="preserve">6  </w:t>
      </w:r>
      <w:r>
        <w:rPr>
          <w:rFonts w:hint="eastAsia" w:ascii="宋体" w:hAnsi="宋体" w:cs="宋体"/>
          <w:sz w:val="24"/>
        </w:rPr>
        <w:t>数字化运维管理平台应能与预制构件设计阶段交付的信息化模型有效对接，</w:t>
      </w:r>
      <w:r>
        <w:rPr>
          <w:rFonts w:hint="eastAsia"/>
          <w:bCs/>
          <w:sz w:val="24"/>
        </w:rPr>
        <w:t>在信息转换和传递过程中，模型应保证完整性，不应发生信息丢失或失真</w:t>
      </w:r>
      <w:r>
        <w:rPr>
          <w:rFonts w:hint="eastAsia" w:ascii="宋体" w:hAnsi="宋体" w:cs="宋体"/>
          <w:sz w:val="24"/>
        </w:rPr>
        <w:t>。</w:t>
      </w:r>
    </w:p>
    <w:p w14:paraId="00A633F2">
      <w:pPr>
        <w:pStyle w:val="2"/>
        <w:spacing w:after="0" w:line="360" w:lineRule="auto"/>
        <w:rPr>
          <w:bCs/>
          <w:sz w:val="24"/>
        </w:rPr>
      </w:pPr>
      <w:r>
        <w:rPr>
          <w:rFonts w:hint="eastAsia"/>
          <w:b/>
          <w:sz w:val="24"/>
        </w:rPr>
        <w:t>8</w:t>
      </w:r>
      <w:r>
        <w:rPr>
          <w:b/>
          <w:sz w:val="24"/>
        </w:rPr>
        <w:t>.</w:t>
      </w:r>
      <w:r>
        <w:rPr>
          <w:rFonts w:hint="eastAsia"/>
          <w:b/>
          <w:sz w:val="24"/>
        </w:rPr>
        <w:t>4</w:t>
      </w:r>
      <w:r>
        <w:rPr>
          <w:b/>
          <w:sz w:val="24"/>
        </w:rPr>
        <w:t>.</w:t>
      </w:r>
      <w:r>
        <w:rPr>
          <w:rFonts w:hint="eastAsia"/>
          <w:b/>
          <w:sz w:val="24"/>
        </w:rPr>
        <w:t xml:space="preserve">7  </w:t>
      </w:r>
      <w:r>
        <w:rPr>
          <w:rFonts w:hint="eastAsia"/>
          <w:bCs/>
          <w:sz w:val="24"/>
        </w:rPr>
        <w:t>数字化管理平台内应含有预制集成保温外墙的</w:t>
      </w:r>
      <w:r>
        <w:rPr>
          <w:rFonts w:hint="eastAsia"/>
          <w:sz w:val="24"/>
        </w:rPr>
        <w:t>组成构造、材料寿命、维护时间、维护方法</w:t>
      </w:r>
      <w:r>
        <w:rPr>
          <w:rFonts w:hint="eastAsia"/>
          <w:bCs/>
          <w:sz w:val="24"/>
        </w:rPr>
        <w:t>等信息模块。维护方法内应包含菜单式解决方案。</w:t>
      </w:r>
    </w:p>
    <w:p w14:paraId="0AF6D3EF">
      <w:pPr>
        <w:pStyle w:val="2"/>
        <w:spacing w:after="0" w:line="360" w:lineRule="auto"/>
        <w:rPr>
          <w:bCs/>
          <w:sz w:val="24"/>
        </w:rPr>
      </w:pPr>
      <w:r>
        <w:rPr>
          <w:rFonts w:hint="eastAsia"/>
          <w:b/>
          <w:sz w:val="24"/>
        </w:rPr>
        <w:t>8</w:t>
      </w:r>
      <w:r>
        <w:rPr>
          <w:b/>
          <w:sz w:val="24"/>
        </w:rPr>
        <w:t>.</w:t>
      </w:r>
      <w:r>
        <w:rPr>
          <w:rFonts w:hint="eastAsia"/>
          <w:b/>
          <w:sz w:val="24"/>
        </w:rPr>
        <w:t>4</w:t>
      </w:r>
      <w:r>
        <w:rPr>
          <w:b/>
          <w:sz w:val="24"/>
        </w:rPr>
        <w:t>.</w:t>
      </w:r>
      <w:r>
        <w:rPr>
          <w:rFonts w:hint="eastAsia"/>
          <w:b/>
          <w:sz w:val="24"/>
        </w:rPr>
        <w:t xml:space="preserve">8  </w:t>
      </w:r>
      <w:r>
        <w:rPr>
          <w:rFonts w:hint="eastAsia"/>
          <w:bCs/>
          <w:sz w:val="24"/>
        </w:rPr>
        <w:t>数字化管理平台内应建立材料寿命数据库，当到达材料的使用寿命时，应发出警示信息，及时进行修复或更换。</w:t>
      </w:r>
    </w:p>
    <w:p w14:paraId="731E44A7">
      <w:pPr>
        <w:pStyle w:val="2"/>
        <w:spacing w:after="0" w:line="360" w:lineRule="auto"/>
        <w:rPr>
          <w:bCs/>
          <w:sz w:val="24"/>
        </w:rPr>
      </w:pPr>
    </w:p>
    <w:p w14:paraId="4AE89EA1"/>
    <w:p w14:paraId="299725ED">
      <w:pPr>
        <w:rPr>
          <w:bCs/>
          <w:sz w:val="24"/>
        </w:rPr>
      </w:pPr>
    </w:p>
    <w:p w14:paraId="484B43DD">
      <w:pPr>
        <w:rPr>
          <w:bCs/>
          <w:sz w:val="24"/>
        </w:rPr>
      </w:pPr>
    </w:p>
    <w:p w14:paraId="41D9954C">
      <w:pPr>
        <w:spacing w:line="360" w:lineRule="auto"/>
        <w:rPr>
          <w:sz w:val="24"/>
        </w:rPr>
      </w:pPr>
      <w:bookmarkStart w:id="115" w:name="_Toc75245347"/>
      <w:bookmarkStart w:id="116" w:name="_Toc72792712"/>
      <w:bookmarkStart w:id="117" w:name="_Toc75247064"/>
    </w:p>
    <w:p w14:paraId="12273229">
      <w:pPr>
        <w:pStyle w:val="3"/>
        <w:jc w:val="center"/>
      </w:pPr>
      <w:r>
        <w:br w:type="page"/>
      </w:r>
      <w:bookmarkStart w:id="118" w:name="_Toc27935"/>
      <w:bookmarkStart w:id="119" w:name="_Toc689"/>
      <w:r>
        <w:rPr>
          <w:sz w:val="32"/>
          <w:szCs w:val="32"/>
        </w:rPr>
        <w:t>本标准用词说明</w:t>
      </w:r>
      <w:bookmarkEnd w:id="115"/>
      <w:bookmarkEnd w:id="116"/>
      <w:bookmarkEnd w:id="117"/>
      <w:bookmarkEnd w:id="118"/>
      <w:bookmarkEnd w:id="119"/>
    </w:p>
    <w:p w14:paraId="44ABDA86">
      <w:pPr>
        <w:spacing w:line="360" w:lineRule="auto"/>
        <w:ind w:firstLine="480" w:firstLineChars="200"/>
        <w:rPr>
          <w:sz w:val="24"/>
          <w:szCs w:val="21"/>
        </w:rPr>
      </w:pPr>
      <w:r>
        <w:rPr>
          <w:sz w:val="24"/>
          <w:szCs w:val="21"/>
        </w:rPr>
        <w:t>1 为便于在执行本标准条文时区别对待，对要求严格程度不同的用词说明如下：</w:t>
      </w:r>
    </w:p>
    <w:p w14:paraId="629E8E49">
      <w:pPr>
        <w:spacing w:line="360" w:lineRule="auto"/>
        <w:ind w:firstLine="480" w:firstLineChars="200"/>
        <w:rPr>
          <w:sz w:val="24"/>
          <w:szCs w:val="21"/>
        </w:rPr>
      </w:pPr>
      <w:r>
        <w:rPr>
          <w:sz w:val="24"/>
          <w:szCs w:val="21"/>
        </w:rPr>
        <w:t>1）表示很严格，非这样做不可的用词：</w:t>
      </w:r>
    </w:p>
    <w:p w14:paraId="0F6B95CF">
      <w:pPr>
        <w:spacing w:line="360" w:lineRule="auto"/>
        <w:ind w:firstLine="480" w:firstLineChars="200"/>
        <w:rPr>
          <w:sz w:val="24"/>
          <w:szCs w:val="21"/>
        </w:rPr>
      </w:pPr>
      <w:r>
        <w:rPr>
          <w:sz w:val="24"/>
          <w:szCs w:val="21"/>
        </w:rPr>
        <w:t>      正面词采用“必须”，反面词采用“严禁”；</w:t>
      </w:r>
    </w:p>
    <w:p w14:paraId="6EFC5B55">
      <w:pPr>
        <w:spacing w:line="360" w:lineRule="auto"/>
        <w:ind w:firstLine="480" w:firstLineChars="200"/>
        <w:rPr>
          <w:sz w:val="24"/>
          <w:szCs w:val="21"/>
        </w:rPr>
      </w:pPr>
      <w:r>
        <w:rPr>
          <w:sz w:val="24"/>
          <w:szCs w:val="21"/>
        </w:rPr>
        <w:t>2）表示严格，在正常情况下均应这样做的用词：</w:t>
      </w:r>
    </w:p>
    <w:p w14:paraId="38A31BD9">
      <w:pPr>
        <w:spacing w:line="360" w:lineRule="auto"/>
        <w:ind w:firstLine="480" w:firstLineChars="200"/>
        <w:rPr>
          <w:sz w:val="24"/>
          <w:szCs w:val="21"/>
        </w:rPr>
      </w:pPr>
      <w:r>
        <w:rPr>
          <w:sz w:val="24"/>
          <w:szCs w:val="21"/>
        </w:rPr>
        <w:t>      正面词采用“应”，反面词采用“不应”或“不得”；</w:t>
      </w:r>
    </w:p>
    <w:p w14:paraId="585C2A6D">
      <w:pPr>
        <w:spacing w:line="360" w:lineRule="auto"/>
        <w:ind w:firstLine="480" w:firstLineChars="200"/>
        <w:rPr>
          <w:sz w:val="24"/>
          <w:szCs w:val="21"/>
        </w:rPr>
      </w:pPr>
      <w:r>
        <w:rPr>
          <w:sz w:val="24"/>
          <w:szCs w:val="21"/>
        </w:rPr>
        <w:t>3）表示允许稍有选择，在条件许可时首先应这样做的用词：</w:t>
      </w:r>
    </w:p>
    <w:p w14:paraId="6D2A17FB">
      <w:pPr>
        <w:spacing w:line="360" w:lineRule="auto"/>
        <w:ind w:firstLine="480" w:firstLineChars="200"/>
        <w:rPr>
          <w:sz w:val="24"/>
          <w:szCs w:val="21"/>
        </w:rPr>
      </w:pPr>
      <w:r>
        <w:rPr>
          <w:sz w:val="24"/>
          <w:szCs w:val="21"/>
        </w:rPr>
        <w:t>       正面词采用“宜”，反面词采用“不宜”；</w:t>
      </w:r>
    </w:p>
    <w:p w14:paraId="6003B850">
      <w:pPr>
        <w:spacing w:line="360" w:lineRule="auto"/>
        <w:ind w:firstLine="480" w:firstLineChars="200"/>
        <w:rPr>
          <w:sz w:val="24"/>
          <w:szCs w:val="21"/>
        </w:rPr>
      </w:pPr>
      <w:r>
        <w:rPr>
          <w:sz w:val="24"/>
          <w:szCs w:val="21"/>
        </w:rPr>
        <w:t>       表示有选择，在一定条件下可以这样做的用词，采用“可”。</w:t>
      </w:r>
    </w:p>
    <w:p w14:paraId="30B52266">
      <w:pPr>
        <w:spacing w:line="360" w:lineRule="auto"/>
        <w:ind w:firstLine="480" w:firstLineChars="200"/>
        <w:rPr>
          <w:sz w:val="24"/>
          <w:szCs w:val="21"/>
        </w:rPr>
      </w:pPr>
      <w:r>
        <w:rPr>
          <w:sz w:val="24"/>
          <w:szCs w:val="21"/>
        </w:rPr>
        <w:t>2 标准中指明应按其他有关标准执行的写法为：“应符合……的规定”或“应按……执行”。</w:t>
      </w:r>
    </w:p>
    <w:p w14:paraId="73F0E09B">
      <w:pPr>
        <w:widowControl/>
        <w:jc w:val="left"/>
        <w:rPr>
          <w:b/>
          <w:bCs/>
          <w:sz w:val="32"/>
          <w:szCs w:val="32"/>
        </w:rPr>
      </w:pPr>
    </w:p>
    <w:p w14:paraId="2CA59A08">
      <w:pPr>
        <w:pStyle w:val="21"/>
        <w:outlineLvl w:val="9"/>
        <w:rPr>
          <w:rFonts w:ascii="Times New Roman" w:hAnsi="Times New Roman"/>
        </w:rPr>
        <w:sectPr>
          <w:headerReference r:id="rId5" w:type="default"/>
          <w:footerReference r:id="rId6" w:type="default"/>
          <w:pgSz w:w="11906" w:h="16838"/>
          <w:pgMar w:top="1440" w:right="1800" w:bottom="1440" w:left="1800" w:header="851" w:footer="992" w:gutter="0"/>
          <w:pgNumType w:start="1"/>
          <w:cols w:space="720" w:num="1"/>
          <w:docGrid w:type="lines" w:linePitch="312" w:charSpace="0"/>
        </w:sectPr>
      </w:pPr>
      <w:bookmarkStart w:id="120" w:name="_Toc72792713"/>
      <w:bookmarkStart w:id="121" w:name="_Toc75245348"/>
      <w:bookmarkStart w:id="122" w:name="_Toc75247065"/>
    </w:p>
    <w:p w14:paraId="594527A8">
      <w:pPr>
        <w:pStyle w:val="21"/>
        <w:rPr>
          <w:rFonts w:ascii="Times New Roman" w:hAnsi="Times New Roman"/>
        </w:rPr>
      </w:pPr>
      <w:bookmarkStart w:id="123" w:name="_Toc24467"/>
      <w:bookmarkStart w:id="124" w:name="_Toc9415"/>
      <w:r>
        <w:rPr>
          <w:rFonts w:ascii="Times New Roman" w:hAnsi="Times New Roman"/>
        </w:rPr>
        <w:t>引用标准名录</w:t>
      </w:r>
      <w:bookmarkEnd w:id="120"/>
      <w:bookmarkEnd w:id="121"/>
      <w:bookmarkEnd w:id="122"/>
      <w:bookmarkEnd w:id="123"/>
      <w:bookmarkEnd w:id="124"/>
    </w:p>
    <w:p w14:paraId="7FBC2209">
      <w:pPr>
        <w:pStyle w:val="54"/>
        <w:numPr>
          <w:ilvl w:val="0"/>
          <w:numId w:val="2"/>
        </w:numPr>
        <w:spacing w:line="360" w:lineRule="auto"/>
        <w:ind w:firstLineChars="0"/>
        <w:rPr>
          <w:rFonts w:ascii="Times New Roman" w:hAnsi="Times New Roman"/>
          <w:sz w:val="24"/>
        </w:rPr>
      </w:pPr>
      <w:r>
        <w:rPr>
          <w:rFonts w:hint="eastAsia" w:ascii="宋体" w:hAnsi="宋体" w:cs="宋体"/>
          <w:sz w:val="24"/>
        </w:rPr>
        <w:t>《建筑结构荷载规范》GB 50009</w:t>
      </w:r>
    </w:p>
    <w:p w14:paraId="7B3549F9">
      <w:pPr>
        <w:pStyle w:val="54"/>
        <w:numPr>
          <w:ilvl w:val="0"/>
          <w:numId w:val="2"/>
        </w:numPr>
        <w:spacing w:line="360" w:lineRule="auto"/>
        <w:ind w:firstLineChars="0"/>
        <w:rPr>
          <w:rFonts w:ascii="Times New Roman" w:hAnsi="Times New Roman"/>
          <w:sz w:val="24"/>
        </w:rPr>
      </w:pPr>
      <w:r>
        <w:rPr>
          <w:rFonts w:hint="eastAsia" w:ascii="宋体" w:hAnsi="宋体" w:cs="宋体"/>
          <w:sz w:val="24"/>
        </w:rPr>
        <w:t>《混凝土结构设计规范》GB 50010</w:t>
      </w:r>
    </w:p>
    <w:p w14:paraId="66C83AA3">
      <w:pPr>
        <w:pStyle w:val="54"/>
        <w:numPr>
          <w:ilvl w:val="0"/>
          <w:numId w:val="2"/>
        </w:numPr>
        <w:spacing w:line="360" w:lineRule="auto"/>
        <w:ind w:firstLineChars="0"/>
        <w:rPr>
          <w:rFonts w:ascii="Times New Roman" w:hAnsi="Times New Roman"/>
          <w:sz w:val="24"/>
        </w:rPr>
      </w:pPr>
      <w:r>
        <w:rPr>
          <w:rFonts w:hint="eastAsia" w:ascii="宋体" w:hAnsi="宋体" w:cs="宋体"/>
          <w:sz w:val="24"/>
        </w:rPr>
        <w:t>《钢结构设计标准》GB 50017</w:t>
      </w:r>
    </w:p>
    <w:p w14:paraId="0E010D87">
      <w:pPr>
        <w:pStyle w:val="54"/>
        <w:numPr>
          <w:ilvl w:val="0"/>
          <w:numId w:val="2"/>
        </w:numPr>
        <w:spacing w:line="360" w:lineRule="auto"/>
        <w:ind w:firstLineChars="0"/>
        <w:rPr>
          <w:rFonts w:ascii="Times New Roman" w:hAnsi="Times New Roman"/>
          <w:sz w:val="24"/>
        </w:rPr>
      </w:pPr>
      <w:r>
        <w:rPr>
          <w:rFonts w:ascii="Times New Roman" w:hAnsi="Times New Roman"/>
          <w:sz w:val="24"/>
        </w:rPr>
        <w:t>《民用建筑热工设计规范》</w:t>
      </w:r>
      <w:r>
        <w:rPr>
          <w:rFonts w:hint="eastAsia" w:ascii="宋体" w:hAnsi="宋体" w:eastAsia="宋体" w:cs="宋体"/>
          <w:sz w:val="24"/>
        </w:rPr>
        <w:t>GB 50176</w:t>
      </w:r>
    </w:p>
    <w:p w14:paraId="3869B035">
      <w:pPr>
        <w:pStyle w:val="54"/>
        <w:numPr>
          <w:ilvl w:val="0"/>
          <w:numId w:val="2"/>
        </w:numPr>
        <w:spacing w:line="360" w:lineRule="auto"/>
        <w:ind w:firstLineChars="0"/>
        <w:rPr>
          <w:rFonts w:ascii="Times New Roman" w:hAnsi="Times New Roman"/>
          <w:sz w:val="24"/>
        </w:rPr>
      </w:pPr>
      <w:r>
        <w:rPr>
          <w:rFonts w:hint="eastAsia" w:ascii="宋体" w:hAnsi="宋体" w:cs="宋体"/>
          <w:color w:val="000000"/>
          <w:sz w:val="24"/>
        </w:rPr>
        <w:t>《混凝土结构工程施工质量验收规范》GB 50204</w:t>
      </w:r>
    </w:p>
    <w:p w14:paraId="04EE40D2">
      <w:pPr>
        <w:pStyle w:val="54"/>
        <w:numPr>
          <w:ilvl w:val="0"/>
          <w:numId w:val="2"/>
        </w:numPr>
        <w:spacing w:line="360" w:lineRule="auto"/>
        <w:ind w:firstLineChars="0"/>
        <w:rPr>
          <w:rFonts w:ascii="Times New Roman" w:hAnsi="Times New Roman"/>
          <w:sz w:val="24"/>
        </w:rPr>
      </w:pPr>
      <w:r>
        <w:rPr>
          <w:rFonts w:ascii="Times New Roman" w:hAnsi="Times New Roman"/>
          <w:sz w:val="24"/>
        </w:rPr>
        <w:t>《建筑工程施工质量验收统一标准》</w:t>
      </w:r>
      <w:r>
        <w:rPr>
          <w:rFonts w:hint="eastAsia" w:ascii="宋体" w:hAnsi="宋体" w:eastAsia="宋体" w:cs="宋体"/>
          <w:sz w:val="24"/>
        </w:rPr>
        <w:t>GB 50300</w:t>
      </w:r>
    </w:p>
    <w:p w14:paraId="4ECE31EF">
      <w:pPr>
        <w:pStyle w:val="54"/>
        <w:numPr>
          <w:ilvl w:val="0"/>
          <w:numId w:val="2"/>
        </w:numPr>
        <w:spacing w:line="360" w:lineRule="auto"/>
        <w:ind w:firstLineChars="0"/>
        <w:rPr>
          <w:rFonts w:ascii="Times New Roman" w:hAnsi="Times New Roman"/>
          <w:sz w:val="24"/>
        </w:rPr>
      </w:pPr>
      <w:r>
        <w:rPr>
          <w:rFonts w:hint="eastAsia" w:ascii="宋体" w:hAnsi="宋体" w:cs="宋体"/>
          <w:sz w:val="24"/>
        </w:rPr>
        <w:t>《建筑节能工程施工质量验收标准》GB 50411</w:t>
      </w:r>
    </w:p>
    <w:p w14:paraId="25A6379E">
      <w:pPr>
        <w:pStyle w:val="54"/>
        <w:numPr>
          <w:ilvl w:val="0"/>
          <w:numId w:val="2"/>
        </w:numPr>
        <w:spacing w:line="360" w:lineRule="auto"/>
        <w:ind w:firstLineChars="0"/>
        <w:rPr>
          <w:rFonts w:ascii="Times New Roman" w:hAnsi="Times New Roman"/>
          <w:sz w:val="24"/>
        </w:rPr>
      </w:pPr>
      <w:r>
        <w:rPr>
          <w:rFonts w:hint="eastAsia" w:ascii="宋体" w:hAnsi="宋体" w:cs="宋体"/>
          <w:sz w:val="24"/>
        </w:rPr>
        <w:t>《钢结构焊接规范》GB 50661</w:t>
      </w:r>
    </w:p>
    <w:p w14:paraId="66B696F4">
      <w:pPr>
        <w:pStyle w:val="54"/>
        <w:numPr>
          <w:ilvl w:val="0"/>
          <w:numId w:val="2"/>
        </w:numPr>
        <w:spacing w:line="360" w:lineRule="auto"/>
        <w:ind w:firstLineChars="0"/>
        <w:rPr>
          <w:rFonts w:ascii="Times New Roman" w:hAnsi="Times New Roman"/>
          <w:sz w:val="24"/>
        </w:rPr>
      </w:pPr>
      <w:r>
        <w:rPr>
          <w:rFonts w:ascii="Times New Roman" w:hAnsi="Times New Roman"/>
          <w:sz w:val="24"/>
        </w:rPr>
        <w:t>《可再生能源建筑应用工程评价标准》</w:t>
      </w:r>
      <w:r>
        <w:rPr>
          <w:rFonts w:hint="eastAsia" w:ascii="宋体" w:hAnsi="宋体" w:eastAsia="宋体" w:cs="宋体"/>
          <w:sz w:val="24"/>
        </w:rPr>
        <w:t>GB 50801</w:t>
      </w:r>
    </w:p>
    <w:p w14:paraId="7DDD7EB8">
      <w:pPr>
        <w:pStyle w:val="54"/>
        <w:numPr>
          <w:ilvl w:val="0"/>
          <w:numId w:val="2"/>
        </w:numPr>
        <w:spacing w:line="360" w:lineRule="auto"/>
        <w:ind w:firstLineChars="0"/>
        <w:rPr>
          <w:rFonts w:ascii="Times New Roman" w:hAnsi="Times New Roman"/>
          <w:sz w:val="24"/>
        </w:rPr>
      </w:pPr>
      <w:r>
        <w:rPr>
          <w:rFonts w:hint="eastAsia" w:ascii="宋体" w:hAnsi="宋体" w:cs="宋体"/>
          <w:sz w:val="24"/>
        </w:rPr>
        <w:t>《工程结构通用规范》GB 55001</w:t>
      </w:r>
    </w:p>
    <w:p w14:paraId="4ED28742">
      <w:pPr>
        <w:pStyle w:val="54"/>
        <w:numPr>
          <w:ilvl w:val="0"/>
          <w:numId w:val="2"/>
        </w:numPr>
        <w:spacing w:line="360" w:lineRule="auto"/>
        <w:ind w:firstLineChars="0"/>
        <w:rPr>
          <w:rFonts w:ascii="Times New Roman" w:hAnsi="Times New Roman"/>
          <w:sz w:val="24"/>
        </w:rPr>
      </w:pPr>
      <w:r>
        <w:rPr>
          <w:rFonts w:hint="eastAsia" w:ascii="宋体" w:hAnsi="宋体" w:cs="宋体"/>
          <w:sz w:val="24"/>
        </w:rPr>
        <w:t>《建筑与市政工程抗震通用规范》GB 55002</w:t>
      </w:r>
    </w:p>
    <w:p w14:paraId="6DFB895D">
      <w:pPr>
        <w:pStyle w:val="54"/>
        <w:numPr>
          <w:ilvl w:val="0"/>
          <w:numId w:val="2"/>
        </w:numPr>
        <w:spacing w:line="360" w:lineRule="auto"/>
        <w:ind w:firstLineChars="0"/>
        <w:rPr>
          <w:rFonts w:ascii="Times New Roman" w:hAnsi="Times New Roman"/>
          <w:sz w:val="24"/>
        </w:rPr>
      </w:pPr>
      <w:r>
        <w:rPr>
          <w:rFonts w:ascii="Times New Roman" w:hAnsi="Times New Roman"/>
          <w:sz w:val="24"/>
        </w:rPr>
        <w:t>《建筑节能与可再生能源利用通用规范》</w:t>
      </w:r>
      <w:r>
        <w:rPr>
          <w:rFonts w:hint="eastAsia" w:ascii="宋体" w:hAnsi="宋体" w:eastAsia="宋体" w:cs="宋体"/>
          <w:sz w:val="24"/>
        </w:rPr>
        <w:t>GB 55015</w:t>
      </w:r>
    </w:p>
    <w:p w14:paraId="2E78EFD8">
      <w:pPr>
        <w:pStyle w:val="54"/>
        <w:numPr>
          <w:ilvl w:val="0"/>
          <w:numId w:val="2"/>
        </w:numPr>
        <w:spacing w:line="360" w:lineRule="auto"/>
        <w:ind w:firstLineChars="0"/>
        <w:rPr>
          <w:rFonts w:ascii="Times New Roman" w:hAnsi="Times New Roman"/>
          <w:sz w:val="24"/>
        </w:rPr>
      </w:pPr>
      <w:r>
        <w:rPr>
          <w:rFonts w:ascii="Times New Roman" w:hAnsi="Times New Roman"/>
          <w:sz w:val="24"/>
        </w:rPr>
        <w:t>《既有建筑维护与改造通用规范》</w:t>
      </w:r>
      <w:r>
        <w:rPr>
          <w:rFonts w:hint="eastAsia" w:ascii="宋体" w:hAnsi="宋体" w:eastAsia="宋体" w:cs="宋体"/>
          <w:sz w:val="24"/>
        </w:rPr>
        <w:t>GB 55022</w:t>
      </w:r>
    </w:p>
    <w:p w14:paraId="14661AA3">
      <w:pPr>
        <w:pStyle w:val="54"/>
        <w:numPr>
          <w:ilvl w:val="0"/>
          <w:numId w:val="2"/>
        </w:numPr>
        <w:spacing w:line="360" w:lineRule="auto"/>
        <w:ind w:firstLineChars="0"/>
        <w:rPr>
          <w:rFonts w:ascii="Times New Roman" w:hAnsi="Times New Roman"/>
          <w:color w:val="auto"/>
          <w:sz w:val="24"/>
        </w:rPr>
      </w:pPr>
      <w:r>
        <w:rPr>
          <w:rFonts w:hint="eastAsia" w:ascii="宋体" w:hAnsi="宋体" w:cs="宋体"/>
          <w:color w:val="auto"/>
          <w:sz w:val="24"/>
        </w:rPr>
        <w:t>《建筑与市政工程防水通用规范》GB 55030</w:t>
      </w:r>
    </w:p>
    <w:p w14:paraId="345701B5">
      <w:pPr>
        <w:pStyle w:val="54"/>
        <w:numPr>
          <w:ilvl w:val="0"/>
          <w:numId w:val="2"/>
        </w:numPr>
        <w:spacing w:line="360" w:lineRule="auto"/>
        <w:ind w:firstLineChars="0"/>
        <w:rPr>
          <w:rFonts w:ascii="Times New Roman" w:hAnsi="Times New Roman"/>
          <w:color w:val="auto"/>
          <w:sz w:val="24"/>
        </w:rPr>
      </w:pPr>
      <w:r>
        <w:rPr>
          <w:rFonts w:ascii="宋体" w:hAnsi="宋体" w:cs="宋体"/>
          <w:color w:val="auto"/>
          <w:sz w:val="24"/>
        </w:rPr>
        <w:t>《建筑模数协调标准》GB/T 50002</w:t>
      </w:r>
    </w:p>
    <w:p w14:paraId="35F30353">
      <w:pPr>
        <w:pStyle w:val="54"/>
        <w:numPr>
          <w:ilvl w:val="0"/>
          <w:numId w:val="2"/>
        </w:numPr>
        <w:spacing w:line="360" w:lineRule="auto"/>
        <w:ind w:firstLineChars="0"/>
        <w:rPr>
          <w:rFonts w:ascii="Times New Roman" w:hAnsi="Times New Roman"/>
          <w:color w:val="auto"/>
          <w:sz w:val="24"/>
        </w:rPr>
      </w:pPr>
      <w:r>
        <w:rPr>
          <w:rFonts w:hint="eastAsia" w:ascii="宋体" w:hAnsi="宋体" w:cs="宋体"/>
          <w:color w:val="auto"/>
          <w:sz w:val="24"/>
          <w:lang w:eastAsia="zh-CN"/>
        </w:rPr>
        <w:t>《装配式混凝土建筑技术标准》GB/T 51231</w:t>
      </w:r>
    </w:p>
    <w:p w14:paraId="3C1FC057">
      <w:pPr>
        <w:pStyle w:val="54"/>
        <w:numPr>
          <w:ilvl w:val="0"/>
          <w:numId w:val="2"/>
        </w:numPr>
        <w:spacing w:line="360" w:lineRule="auto"/>
        <w:ind w:firstLineChars="0"/>
        <w:rPr>
          <w:rFonts w:ascii="Times New Roman" w:hAnsi="Times New Roman"/>
          <w:color w:val="auto"/>
          <w:sz w:val="24"/>
        </w:rPr>
      </w:pPr>
      <w:r>
        <w:rPr>
          <w:rFonts w:hint="eastAsia" w:ascii="宋体" w:hAnsi="宋体" w:cs="宋体"/>
          <w:color w:val="auto"/>
          <w:sz w:val="24"/>
        </w:rPr>
        <w:t>《建筑用外墙涂料中有害物质限量》GB 24408</w:t>
      </w:r>
    </w:p>
    <w:p w14:paraId="11B6F05F">
      <w:pPr>
        <w:pStyle w:val="54"/>
        <w:numPr>
          <w:ilvl w:val="0"/>
          <w:numId w:val="2"/>
        </w:numPr>
        <w:spacing w:line="360" w:lineRule="auto"/>
        <w:ind w:firstLineChars="0"/>
        <w:rPr>
          <w:rFonts w:ascii="Times New Roman" w:hAnsi="Times New Roman"/>
          <w:color w:val="auto"/>
          <w:sz w:val="24"/>
        </w:rPr>
      </w:pPr>
      <w:r>
        <w:rPr>
          <w:rFonts w:hint="eastAsia" w:ascii="宋体" w:hAnsi="宋体" w:cs="宋体"/>
          <w:color w:val="auto"/>
          <w:sz w:val="24"/>
          <w:lang w:eastAsia="zh-CN"/>
        </w:rPr>
        <w:t>《</w:t>
      </w:r>
      <w:r>
        <w:rPr>
          <w:rFonts w:hint="eastAsia" w:ascii="宋体" w:hAnsi="宋体" w:cs="宋体"/>
          <w:color w:val="auto"/>
          <w:sz w:val="24"/>
        </w:rPr>
        <w:t>镀锌电焊网》GB/T 33281</w:t>
      </w:r>
    </w:p>
    <w:p w14:paraId="254EF737">
      <w:pPr>
        <w:pStyle w:val="54"/>
        <w:numPr>
          <w:ilvl w:val="0"/>
          <w:numId w:val="2"/>
        </w:numPr>
        <w:spacing w:line="360" w:lineRule="auto"/>
        <w:ind w:firstLineChars="0"/>
        <w:rPr>
          <w:rFonts w:ascii="Times New Roman" w:hAnsi="Times New Roman"/>
          <w:color w:val="auto"/>
          <w:sz w:val="24"/>
        </w:rPr>
      </w:pPr>
      <w:r>
        <w:rPr>
          <w:rFonts w:hint="eastAsia" w:ascii="宋体" w:hAnsi="宋体" w:cs="宋体"/>
          <w:color w:val="auto"/>
          <w:sz w:val="24"/>
        </w:rPr>
        <w:t>《钢筋混凝土用钢 第3部分 钢筋焊接网》GB/T 1499.3</w:t>
      </w:r>
    </w:p>
    <w:p w14:paraId="70A02C06">
      <w:pPr>
        <w:numPr>
          <w:ilvl w:val="0"/>
          <w:numId w:val="2"/>
        </w:numPr>
        <w:bidi w:val="0"/>
        <w:spacing w:line="360" w:lineRule="auto"/>
        <w:rPr>
          <w:rFonts w:hint="eastAsia" w:ascii="宋体" w:hAnsi="宋体" w:eastAsia="宋体" w:cs="宋体"/>
          <w:sz w:val="24"/>
          <w:szCs w:val="24"/>
        </w:rPr>
      </w:pPr>
      <w:bookmarkStart w:id="125" w:name="_Toc24802"/>
      <w:r>
        <w:rPr>
          <w:rFonts w:hint="eastAsia" w:ascii="宋体" w:hAnsi="宋体" w:eastAsia="宋体" w:cs="宋体"/>
          <w:sz w:val="24"/>
          <w:szCs w:val="24"/>
        </w:rPr>
        <w:t>《不锈钢和耐热钢牌号及化学成分》GB/T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20878</w:t>
      </w:r>
      <w:bookmarkEnd w:id="125"/>
    </w:p>
    <w:p w14:paraId="34D9B1EA">
      <w:pPr>
        <w:pStyle w:val="54"/>
        <w:numPr>
          <w:ilvl w:val="0"/>
          <w:numId w:val="2"/>
        </w:numPr>
        <w:spacing w:line="360" w:lineRule="auto"/>
        <w:ind w:firstLineChars="0"/>
        <w:rPr>
          <w:rFonts w:ascii="Times New Roman" w:hAnsi="Times New Roman"/>
          <w:color w:val="auto"/>
          <w:sz w:val="24"/>
        </w:rPr>
      </w:pPr>
      <w:r>
        <w:rPr>
          <w:rFonts w:hint="eastAsia" w:ascii="宋体" w:hAnsi="宋体" w:cs="宋体"/>
          <w:color w:val="auto"/>
          <w:sz w:val="24"/>
        </w:rPr>
        <w:t>《装配式混凝土建筑用预制部品通用技术条件》GB/T 40399</w:t>
      </w:r>
    </w:p>
    <w:p w14:paraId="20AF9F8B">
      <w:pPr>
        <w:pStyle w:val="54"/>
        <w:numPr>
          <w:ilvl w:val="0"/>
          <w:numId w:val="2"/>
        </w:numPr>
        <w:spacing w:line="360" w:lineRule="auto"/>
        <w:ind w:firstLineChars="0"/>
        <w:rPr>
          <w:rFonts w:ascii="Times New Roman" w:hAnsi="Times New Roman"/>
          <w:color w:val="auto"/>
          <w:sz w:val="24"/>
          <w:szCs w:val="24"/>
        </w:rPr>
      </w:pPr>
      <w:r>
        <w:rPr>
          <w:rFonts w:hint="eastAsia"/>
          <w:color w:val="auto"/>
          <w:sz w:val="24"/>
          <w:szCs w:val="24"/>
          <w:highlight w:val="none"/>
          <w:vertAlign w:val="baseline"/>
          <w:lang w:eastAsia="zh-CN"/>
        </w:rPr>
        <w:t>《外墙保温用锚栓》</w:t>
      </w:r>
      <w:r>
        <w:rPr>
          <w:rFonts w:hint="eastAsia" w:ascii="宋体" w:hAnsi="宋体" w:eastAsia="宋体" w:cs="宋体"/>
          <w:color w:val="auto"/>
          <w:sz w:val="24"/>
          <w:szCs w:val="24"/>
          <w:highlight w:val="none"/>
          <w:vertAlign w:val="baseline"/>
          <w:lang w:val="en-US" w:eastAsia="zh-CN"/>
        </w:rPr>
        <w:t>JG/T 366</w:t>
      </w:r>
    </w:p>
    <w:p w14:paraId="54C31A84">
      <w:pPr>
        <w:pStyle w:val="54"/>
        <w:numPr>
          <w:ilvl w:val="0"/>
          <w:numId w:val="2"/>
        </w:numPr>
        <w:spacing w:line="360" w:lineRule="auto"/>
        <w:ind w:firstLineChars="0"/>
        <w:rPr>
          <w:rFonts w:ascii="Times New Roman" w:hAnsi="Times New Roman"/>
          <w:color w:val="auto"/>
          <w:sz w:val="24"/>
        </w:rPr>
      </w:pPr>
      <w:r>
        <w:rPr>
          <w:rFonts w:hint="eastAsia" w:ascii="宋体" w:hAnsi="宋体" w:cs="宋体"/>
          <w:color w:val="auto"/>
          <w:sz w:val="24"/>
        </w:rPr>
        <w:t>《混凝土建筑接缝用密封胶》JC/T 881</w:t>
      </w:r>
    </w:p>
    <w:p w14:paraId="1E587220">
      <w:pPr>
        <w:pStyle w:val="54"/>
        <w:numPr>
          <w:ilvl w:val="0"/>
          <w:numId w:val="2"/>
        </w:numPr>
        <w:spacing w:line="360" w:lineRule="auto"/>
        <w:ind w:firstLineChars="0"/>
        <w:rPr>
          <w:rFonts w:ascii="Times New Roman" w:hAnsi="Times New Roman"/>
          <w:color w:val="auto"/>
          <w:sz w:val="24"/>
        </w:rPr>
      </w:pPr>
      <w:r>
        <w:rPr>
          <w:rFonts w:hint="eastAsia" w:ascii="宋体" w:hAnsi="宋体" w:cs="宋体"/>
          <w:color w:val="auto"/>
          <w:sz w:val="24"/>
        </w:rPr>
        <w:t>《建筑外墙涂料通用技术要求》JG/T 512</w:t>
      </w:r>
    </w:p>
    <w:p w14:paraId="7DE2E001">
      <w:pPr>
        <w:pStyle w:val="54"/>
        <w:numPr>
          <w:ilvl w:val="0"/>
          <w:numId w:val="2"/>
        </w:numPr>
        <w:spacing w:line="360" w:lineRule="auto"/>
        <w:ind w:firstLineChars="0"/>
        <w:rPr>
          <w:rFonts w:ascii="Times New Roman" w:hAnsi="Times New Roman"/>
          <w:color w:val="auto"/>
          <w:sz w:val="24"/>
        </w:rPr>
      </w:pPr>
      <w:r>
        <w:rPr>
          <w:rFonts w:hint="eastAsia" w:ascii="宋体" w:hAnsi="宋体" w:cs="宋体"/>
          <w:color w:val="auto"/>
          <w:sz w:val="24"/>
        </w:rPr>
        <w:t>《装配式混凝土结构技术规程》JGJ 1</w:t>
      </w:r>
    </w:p>
    <w:p w14:paraId="29F5611C">
      <w:pPr>
        <w:pStyle w:val="54"/>
        <w:numPr>
          <w:ilvl w:val="0"/>
          <w:numId w:val="2"/>
        </w:numPr>
        <w:spacing w:line="360" w:lineRule="auto"/>
        <w:ind w:firstLineChars="0"/>
        <w:rPr>
          <w:rFonts w:ascii="Times New Roman" w:hAnsi="Times New Roman"/>
          <w:color w:val="auto"/>
          <w:sz w:val="24"/>
        </w:rPr>
      </w:pPr>
      <w:r>
        <w:rPr>
          <w:rFonts w:hint="eastAsia" w:ascii="宋体" w:hAnsi="宋体" w:cs="宋体"/>
          <w:color w:val="auto"/>
          <w:sz w:val="24"/>
        </w:rPr>
        <w:t>《钢筋焊接及验收规程》JGJ 18</w:t>
      </w:r>
    </w:p>
    <w:p w14:paraId="04659ED6">
      <w:pPr>
        <w:pStyle w:val="54"/>
        <w:numPr>
          <w:ilvl w:val="0"/>
          <w:numId w:val="2"/>
        </w:numPr>
        <w:spacing w:line="360" w:lineRule="auto"/>
        <w:ind w:firstLineChars="0"/>
        <w:rPr>
          <w:rFonts w:ascii="Times New Roman" w:hAnsi="Times New Roman"/>
          <w:color w:val="auto"/>
          <w:sz w:val="24"/>
        </w:rPr>
      </w:pPr>
      <w:r>
        <w:rPr>
          <w:rFonts w:hint="eastAsia" w:ascii="宋体" w:hAnsi="宋体" w:cs="宋体"/>
          <w:color w:val="auto"/>
          <w:sz w:val="24"/>
        </w:rPr>
        <w:t>《建筑施工安全检查标准》JGJ 59</w:t>
      </w:r>
    </w:p>
    <w:p w14:paraId="05536B82">
      <w:pPr>
        <w:pStyle w:val="54"/>
        <w:numPr>
          <w:ilvl w:val="0"/>
          <w:numId w:val="2"/>
        </w:numPr>
        <w:spacing w:line="360" w:lineRule="auto"/>
        <w:ind w:firstLineChars="0"/>
        <w:rPr>
          <w:rFonts w:ascii="Times New Roman" w:hAnsi="Times New Roman"/>
          <w:color w:val="auto"/>
          <w:sz w:val="24"/>
        </w:rPr>
      </w:pPr>
      <w:r>
        <w:rPr>
          <w:rFonts w:hint="eastAsia" w:ascii="宋体" w:hAnsi="宋体" w:cs="宋体"/>
          <w:color w:val="auto"/>
          <w:sz w:val="24"/>
        </w:rPr>
        <w:t>《钢筋焊接网混凝土结构技术规程》JGJ 114</w:t>
      </w:r>
    </w:p>
    <w:p w14:paraId="2086773D">
      <w:pPr>
        <w:pStyle w:val="54"/>
        <w:numPr>
          <w:ilvl w:val="0"/>
          <w:numId w:val="2"/>
        </w:numPr>
        <w:spacing w:line="360" w:lineRule="auto"/>
        <w:ind w:firstLineChars="0"/>
        <w:rPr>
          <w:rFonts w:ascii="Times New Roman" w:hAnsi="Times New Roman"/>
          <w:color w:val="auto"/>
          <w:sz w:val="24"/>
        </w:rPr>
      </w:pPr>
      <w:r>
        <w:rPr>
          <w:rFonts w:hint="eastAsia" w:ascii="宋体" w:hAnsi="宋体" w:cs="宋体"/>
          <w:color w:val="auto"/>
          <w:sz w:val="24"/>
          <w:highlight w:val="none"/>
        </w:rPr>
        <w:t>《金属与石材幕墙工程技术规范》JGJ 133</w:t>
      </w:r>
    </w:p>
    <w:p w14:paraId="48AFFA05">
      <w:pPr>
        <w:pStyle w:val="54"/>
        <w:numPr>
          <w:ilvl w:val="0"/>
          <w:numId w:val="2"/>
        </w:numPr>
        <w:spacing w:line="360" w:lineRule="auto"/>
        <w:ind w:firstLineChars="0"/>
        <w:rPr>
          <w:rFonts w:ascii="Times New Roman" w:hAnsi="Times New Roman"/>
          <w:color w:val="auto"/>
          <w:sz w:val="24"/>
        </w:rPr>
      </w:pPr>
      <w:r>
        <w:rPr>
          <w:rFonts w:ascii="Times New Roman" w:hAnsi="Times New Roman"/>
          <w:color w:val="auto"/>
          <w:sz w:val="24"/>
        </w:rPr>
        <w:t>《夏热冬冷地区居住建筑节能设计标准》</w:t>
      </w:r>
      <w:r>
        <w:rPr>
          <w:rFonts w:hint="eastAsia" w:ascii="宋体" w:hAnsi="宋体" w:eastAsia="宋体" w:cs="宋体"/>
          <w:color w:val="auto"/>
          <w:sz w:val="24"/>
        </w:rPr>
        <w:t>JGJ 134</w:t>
      </w:r>
    </w:p>
    <w:p w14:paraId="2B764E94">
      <w:pPr>
        <w:pStyle w:val="54"/>
        <w:numPr>
          <w:ilvl w:val="0"/>
          <w:numId w:val="2"/>
        </w:numPr>
        <w:spacing w:line="360" w:lineRule="auto"/>
        <w:ind w:firstLineChars="0"/>
        <w:rPr>
          <w:rFonts w:ascii="Times New Roman" w:hAnsi="Times New Roman"/>
          <w:color w:val="auto"/>
          <w:sz w:val="24"/>
        </w:rPr>
      </w:pPr>
      <w:r>
        <w:rPr>
          <w:rFonts w:ascii="Times New Roman" w:hAnsi="Times New Roman"/>
          <w:color w:val="auto"/>
          <w:sz w:val="24"/>
        </w:rPr>
        <w:t>《外墙外保温工程技术规程》</w:t>
      </w:r>
      <w:r>
        <w:rPr>
          <w:rFonts w:hint="eastAsia" w:ascii="宋体" w:hAnsi="宋体" w:eastAsia="宋体" w:cs="宋体"/>
          <w:color w:val="auto"/>
          <w:sz w:val="24"/>
        </w:rPr>
        <w:t>JGJ 144</w:t>
      </w:r>
    </w:p>
    <w:p w14:paraId="08E18980">
      <w:pPr>
        <w:pStyle w:val="54"/>
        <w:numPr>
          <w:ilvl w:val="0"/>
          <w:numId w:val="2"/>
        </w:numPr>
        <w:spacing w:line="360" w:lineRule="auto"/>
        <w:ind w:firstLineChars="0"/>
        <w:rPr>
          <w:rFonts w:ascii="Times New Roman" w:hAnsi="Times New Roman"/>
          <w:color w:val="auto"/>
          <w:sz w:val="24"/>
        </w:rPr>
      </w:pPr>
      <w:r>
        <w:rPr>
          <w:rFonts w:hint="eastAsia" w:ascii="宋体" w:hAnsi="宋体" w:cs="宋体"/>
          <w:color w:val="auto"/>
          <w:sz w:val="24"/>
        </w:rPr>
        <w:t>《建筑工程施工现场环境与卫生标准》JGJ 146</w:t>
      </w:r>
    </w:p>
    <w:p w14:paraId="72168DD4">
      <w:pPr>
        <w:pStyle w:val="54"/>
        <w:numPr>
          <w:ilvl w:val="0"/>
          <w:numId w:val="2"/>
        </w:numPr>
        <w:spacing w:line="360" w:lineRule="auto"/>
        <w:ind w:firstLineChars="0"/>
        <w:rPr>
          <w:rFonts w:ascii="Times New Roman" w:hAnsi="Times New Roman"/>
          <w:color w:val="auto"/>
          <w:sz w:val="24"/>
        </w:rPr>
      </w:pPr>
      <w:r>
        <w:rPr>
          <w:rFonts w:hint="eastAsia" w:ascii="宋体" w:hAnsi="宋体" w:cs="宋体"/>
          <w:color w:val="auto"/>
          <w:sz w:val="24"/>
        </w:rPr>
        <w:t>《钢筋锚固板应用技术规程》JGJ 256</w:t>
      </w:r>
    </w:p>
    <w:p w14:paraId="21F26327">
      <w:pPr>
        <w:pStyle w:val="54"/>
        <w:numPr>
          <w:ilvl w:val="0"/>
          <w:numId w:val="2"/>
        </w:numPr>
        <w:spacing w:line="360" w:lineRule="auto"/>
        <w:ind w:firstLineChars="0"/>
        <w:rPr>
          <w:rFonts w:ascii="Times New Roman" w:hAnsi="Times New Roman"/>
          <w:color w:val="auto"/>
          <w:sz w:val="24"/>
        </w:rPr>
      </w:pPr>
      <w:r>
        <w:rPr>
          <w:rFonts w:hint="eastAsia" w:ascii="宋体" w:hAnsi="宋体" w:cs="宋体"/>
          <w:color w:val="auto"/>
          <w:sz w:val="24"/>
          <w:lang w:eastAsia="zh-CN"/>
        </w:rPr>
        <w:t>《混凝土结构成型钢筋应用技术规程》</w:t>
      </w:r>
      <w:r>
        <w:rPr>
          <w:rFonts w:hint="eastAsia" w:ascii="宋体" w:hAnsi="宋体" w:cs="宋体"/>
          <w:color w:val="auto"/>
          <w:sz w:val="24"/>
          <w:lang w:val="en-US" w:eastAsia="zh-CN"/>
        </w:rPr>
        <w:t>JGJ 366</w:t>
      </w:r>
    </w:p>
    <w:p w14:paraId="0EEC551C">
      <w:pPr>
        <w:pStyle w:val="54"/>
        <w:numPr>
          <w:ilvl w:val="0"/>
          <w:numId w:val="2"/>
        </w:numPr>
        <w:spacing w:line="360" w:lineRule="auto"/>
        <w:ind w:firstLineChars="0"/>
        <w:rPr>
          <w:rFonts w:ascii="Times New Roman" w:hAnsi="Times New Roman"/>
          <w:sz w:val="24"/>
        </w:rPr>
      </w:pPr>
      <w:r>
        <w:rPr>
          <w:rFonts w:ascii="Times New Roman" w:hAnsi="Times New Roman"/>
          <w:sz w:val="24"/>
        </w:rPr>
        <w:t>《建筑外墙外保温系统修缮标准》</w:t>
      </w:r>
      <w:r>
        <w:rPr>
          <w:rFonts w:hint="eastAsia" w:ascii="宋体" w:hAnsi="宋体" w:eastAsia="宋体" w:cs="宋体"/>
          <w:sz w:val="24"/>
        </w:rPr>
        <w:t>JGJ 376</w:t>
      </w:r>
    </w:p>
    <w:p w14:paraId="10272902">
      <w:pPr>
        <w:pStyle w:val="54"/>
        <w:numPr>
          <w:ilvl w:val="0"/>
          <w:numId w:val="2"/>
        </w:numPr>
        <w:spacing w:line="360" w:lineRule="auto"/>
        <w:ind w:firstLineChars="0"/>
        <w:rPr>
          <w:rFonts w:ascii="Times New Roman" w:hAnsi="Times New Roman"/>
          <w:sz w:val="24"/>
        </w:rPr>
      </w:pPr>
      <w:r>
        <w:rPr>
          <w:rFonts w:hint="eastAsia" w:ascii="宋体" w:hAnsi="宋体" w:cs="宋体"/>
          <w:sz w:val="24"/>
        </w:rPr>
        <w:t>《房屋渗漏修缮技术规程》JGJ/T 53</w:t>
      </w:r>
    </w:p>
    <w:p w14:paraId="48954C86">
      <w:pPr>
        <w:pStyle w:val="54"/>
        <w:numPr>
          <w:ilvl w:val="0"/>
          <w:numId w:val="2"/>
        </w:numPr>
        <w:spacing w:line="360" w:lineRule="auto"/>
        <w:ind w:firstLineChars="0"/>
        <w:rPr>
          <w:rFonts w:ascii="Times New Roman" w:hAnsi="Times New Roman"/>
          <w:sz w:val="24"/>
        </w:rPr>
      </w:pPr>
      <w:r>
        <w:rPr>
          <w:rFonts w:hint="eastAsia" w:ascii="宋体" w:hAnsi="宋体" w:cs="宋体"/>
          <w:sz w:val="24"/>
        </w:rPr>
        <w:t>《民用建筑修缮工程施工标准》JGJ/T 112</w:t>
      </w:r>
    </w:p>
    <w:p w14:paraId="14DBBD7C">
      <w:pPr>
        <w:pStyle w:val="54"/>
        <w:numPr>
          <w:ilvl w:val="0"/>
          <w:numId w:val="2"/>
        </w:numPr>
        <w:spacing w:line="360" w:lineRule="auto"/>
        <w:ind w:firstLineChars="0"/>
        <w:rPr>
          <w:rFonts w:ascii="Times New Roman" w:hAnsi="Times New Roman"/>
          <w:sz w:val="24"/>
        </w:rPr>
      </w:pPr>
      <w:r>
        <w:rPr>
          <w:rFonts w:hint="eastAsia" w:ascii="宋体" w:hAnsi="宋体" w:cs="宋体"/>
          <w:sz w:val="24"/>
        </w:rPr>
        <w:t>《民用建筑修缮工程勘察与设计标准》JGJ/T 117</w:t>
      </w:r>
    </w:p>
    <w:p w14:paraId="7E386907">
      <w:pPr>
        <w:pStyle w:val="54"/>
        <w:numPr>
          <w:ilvl w:val="0"/>
          <w:numId w:val="2"/>
        </w:numPr>
        <w:spacing w:line="360" w:lineRule="auto"/>
        <w:ind w:firstLineChars="0"/>
        <w:rPr>
          <w:rFonts w:ascii="Times New Roman" w:hAnsi="Times New Roman"/>
          <w:sz w:val="24"/>
        </w:rPr>
      </w:pPr>
      <w:r>
        <w:rPr>
          <w:rFonts w:hint="eastAsia" w:ascii="宋体" w:hAnsi="宋体" w:cs="宋体"/>
          <w:sz w:val="24"/>
        </w:rPr>
        <w:t>《建筑陶瓷薄板应用技术规程》JGJ/T 172</w:t>
      </w:r>
    </w:p>
    <w:p w14:paraId="712072AC">
      <w:pPr>
        <w:pStyle w:val="54"/>
        <w:numPr>
          <w:ilvl w:val="0"/>
          <w:numId w:val="2"/>
        </w:numPr>
        <w:spacing w:line="360" w:lineRule="auto"/>
        <w:ind w:firstLineChars="0"/>
        <w:rPr>
          <w:rFonts w:ascii="Times New Roman" w:hAnsi="Times New Roman"/>
          <w:sz w:val="24"/>
        </w:rPr>
      </w:pPr>
      <w:r>
        <w:rPr>
          <w:rFonts w:hint="eastAsia" w:ascii="宋体" w:hAnsi="宋体" w:cs="宋体"/>
          <w:sz w:val="24"/>
        </w:rPr>
        <w:t>《建筑防水工程现场检验技术规范》JGJ/T 299</w:t>
      </w:r>
    </w:p>
    <w:p w14:paraId="7519D17C">
      <w:pPr>
        <w:pStyle w:val="54"/>
        <w:numPr>
          <w:ilvl w:val="0"/>
          <w:numId w:val="2"/>
        </w:numPr>
        <w:spacing w:line="360" w:lineRule="auto"/>
        <w:ind w:firstLineChars="0"/>
        <w:rPr>
          <w:rFonts w:ascii="Times New Roman" w:hAnsi="Times New Roman"/>
          <w:sz w:val="24"/>
        </w:rPr>
      </w:pPr>
      <w:r>
        <w:rPr>
          <w:rFonts w:hint="eastAsia" w:ascii="宋体" w:hAnsi="宋体" w:cs="宋体"/>
          <w:sz w:val="24"/>
        </w:rPr>
        <w:t>《建筑反射隔热涂料应用技术规程》JGJ/T 359</w:t>
      </w:r>
    </w:p>
    <w:p w14:paraId="2FAA938F">
      <w:pPr>
        <w:pStyle w:val="54"/>
        <w:numPr>
          <w:ilvl w:val="0"/>
          <w:numId w:val="0"/>
        </w:numPr>
        <w:spacing w:line="360" w:lineRule="auto"/>
        <w:ind w:leftChars="0"/>
        <w:rPr>
          <w:rFonts w:ascii="Times New Roman" w:hAnsi="Times New Roman"/>
          <w:sz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BFBFCK+TimesNewRoman">
    <w:altName w:val="宋体"/>
    <w:panose1 w:val="00000000000000000000"/>
    <w:charset w:val="86"/>
    <w:family w:val="roma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DAC301">
    <w:pPr>
      <w:pStyle w:val="1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878A6">
    <w:pPr>
      <w:pStyle w:val="14"/>
      <w:framePr w:wrap="around" w:vAnchor="text" w:hAnchor="margin" w:xAlign="right" w:y="1"/>
      <w:rPr>
        <w:rStyle w:val="27"/>
      </w:rPr>
    </w:pPr>
    <w:r>
      <w:rPr>
        <w:rStyle w:val="27"/>
      </w:rPr>
      <w:fldChar w:fldCharType="begin"/>
    </w:r>
    <w:r>
      <w:rPr>
        <w:rStyle w:val="27"/>
      </w:rPr>
      <w:instrText xml:space="preserve">PAGE  </w:instrText>
    </w:r>
    <w:r>
      <w:rPr>
        <w:rStyle w:val="27"/>
      </w:rPr>
      <w:fldChar w:fldCharType="separate"/>
    </w:r>
    <w:r>
      <w:rPr>
        <w:rStyle w:val="27"/>
      </w:rPr>
      <w:t>1</w:t>
    </w:r>
    <w:r>
      <w:rPr>
        <w:rStyle w:val="27"/>
      </w:rPr>
      <w:fldChar w:fldCharType="end"/>
    </w:r>
  </w:p>
  <w:p w14:paraId="5520FE34">
    <w:pPr>
      <w:pStyle w:val="1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4C0225">
    <w:pPr>
      <w:pStyle w:val="14"/>
      <w:ind w:right="360"/>
      <w:rPr>
        <w:sz w:val="21"/>
        <w:szCs w:val="21"/>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26365"/>
              <wp:effectExtent l="0" t="0" r="0" b="0"/>
              <wp:wrapNone/>
              <wp:docPr id="2" name="文本框 1"/>
              <wp:cNvGraphicFramePr/>
              <a:graphic xmlns:a="http://schemas.openxmlformats.org/drawingml/2006/main">
                <a:graphicData uri="http://schemas.microsoft.com/office/word/2010/wordprocessingShape">
                  <wps:wsp>
                    <wps:cNvSpPr txBox="1"/>
                    <wps:spPr>
                      <a:xfrm>
                        <a:off x="0" y="0"/>
                        <a:ext cx="114935" cy="126365"/>
                      </a:xfrm>
                      <a:prstGeom prst="rect">
                        <a:avLst/>
                      </a:prstGeom>
                      <a:noFill/>
                      <a:ln>
                        <a:noFill/>
                      </a:ln>
                    </wps:spPr>
                    <wps:txbx>
                      <w:txbxContent>
                        <w:p w14:paraId="67757CAE">
                          <w:pPr>
                            <w:pStyle w:val="14"/>
                          </w:pPr>
                          <w:r>
                            <w:rPr>
                              <w:rStyle w:val="27"/>
                            </w:rPr>
                            <w:fldChar w:fldCharType="begin"/>
                          </w:r>
                          <w:r>
                            <w:rPr>
                              <w:rStyle w:val="27"/>
                            </w:rPr>
                            <w:instrText xml:space="preserve">PAGE  </w:instrText>
                          </w:r>
                          <w:r>
                            <w:rPr>
                              <w:rStyle w:val="27"/>
                            </w:rPr>
                            <w:fldChar w:fldCharType="separate"/>
                          </w:r>
                          <w:r>
                            <w:rPr>
                              <w:rStyle w:val="27"/>
                            </w:rPr>
                            <w:t>1</w:t>
                          </w:r>
                          <w:r>
                            <w:rPr>
                              <w:rStyle w:val="27"/>
                            </w:rPr>
                            <w:fldChar w:fldCharType="end"/>
                          </w:r>
                        </w:p>
                      </w:txbxContent>
                    </wps:txbx>
                    <wps:bodyPr wrap="none" lIns="0" tIns="0" rIns="0" bIns="0">
                      <a:spAutoFit/>
                    </wps:bodyPr>
                  </wps:wsp>
                </a:graphicData>
              </a:graphic>
            </wp:anchor>
          </w:drawing>
        </mc:Choice>
        <mc:Fallback>
          <w:pict>
            <v:shape id="文本框 1" o:spid="_x0000_s1026" o:spt="202" type="#_x0000_t202" style="position:absolute;left:0pt;margin-top:0pt;height:9.95pt;width:9.05pt;mso-position-horizontal:center;mso-position-horizontal-relative:margin;mso-wrap-style:none;z-index:251659264;mso-width-relative:page;mso-height-relative:page;" filled="f" stroked="f" coordsize="21600,21600" o:gfxdata="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CnKFe0AAAAAMBAAAPAAAAAAAAAAEAIAAAACIAAABkcnMvZG93bnJldi54bWxQ&#10;SwECFAAUAAAACACHTuJA8JOnacYBAACLAwAADgAAAAAAAAABACAAAAAfAQAAZHJzL2Uyb0RvYy54&#10;bWxQSwUGAAAAAAYABgBZAQAAVwUAAAAA&#10;">
              <v:fill on="f" focussize="0,0"/>
              <v:stroke on="f"/>
              <v:imagedata o:title=""/>
              <o:lock v:ext="edit" aspectratio="f"/>
              <v:textbox inset="0mm,0mm,0mm,0mm" style="mso-fit-shape-to-text:t;">
                <w:txbxContent>
                  <w:p w14:paraId="67757CAE">
                    <w:pPr>
                      <w:pStyle w:val="14"/>
                    </w:pPr>
                    <w:r>
                      <w:rPr>
                        <w:rStyle w:val="27"/>
                      </w:rPr>
                      <w:fldChar w:fldCharType="begin"/>
                    </w:r>
                    <w:r>
                      <w:rPr>
                        <w:rStyle w:val="27"/>
                      </w:rPr>
                      <w:instrText xml:space="preserve">PAGE  </w:instrText>
                    </w:r>
                    <w:r>
                      <w:rPr>
                        <w:rStyle w:val="27"/>
                      </w:rPr>
                      <w:fldChar w:fldCharType="separate"/>
                    </w:r>
                    <w:r>
                      <w:rPr>
                        <w:rStyle w:val="27"/>
                      </w:rPr>
                      <w:t>1</w:t>
                    </w:r>
                    <w:r>
                      <w:rPr>
                        <w:rStyle w:val="27"/>
                      </w:rPr>
                      <w:fldChar w:fldCharType="end"/>
                    </w:r>
                  </w:p>
                </w:txbxContent>
              </v:textbox>
            </v:shape>
          </w:pict>
        </mc:Fallback>
      </mc:AlternateContent>
    </w:r>
    <w:r>
      <w:rPr>
        <w:rFonts w:hint="eastAsia"/>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6AAA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876927"/>
    <w:multiLevelType w:val="multilevel"/>
    <w:tmpl w:val="37876927"/>
    <w:lvl w:ilvl="0" w:tentative="0">
      <w:start w:val="1"/>
      <w:numFmt w:val="none"/>
      <w:pStyle w:val="39"/>
      <w:suff w:val="nothing"/>
      <w:lvlText w:val="%1"/>
      <w:lvlJc w:val="left"/>
      <w:pPr>
        <w:ind w:left="0" w:firstLine="0"/>
      </w:pPr>
      <w:rPr>
        <w:rFonts w:hint="default" w:ascii="Times New Roman" w:hAnsi="Times New Roman" w:cs="Times New Roman"/>
        <w:b/>
        <w:bCs/>
        <w:i w:val="0"/>
        <w:iCs w:val="0"/>
        <w:sz w:val="21"/>
        <w:szCs w:val="21"/>
      </w:rPr>
    </w:lvl>
    <w:lvl w:ilvl="1" w:tentative="0">
      <w:start w:val="2"/>
      <w:numFmt w:val="decimal"/>
      <w:pStyle w:val="40"/>
      <w:suff w:val="nothing"/>
      <w:lvlText w:val="%1%2　"/>
      <w:lvlJc w:val="center"/>
      <w:pPr>
        <w:ind w:left="0" w:firstLine="288"/>
      </w:pPr>
      <w:rPr>
        <w:rFonts w:hint="eastAsia" w:ascii="黑体" w:hAnsi="Times New Roman" w:eastAsia="黑体"/>
        <w:b w:val="0"/>
        <w:bCs w:val="0"/>
        <w:i w:val="0"/>
        <w:iCs w:val="0"/>
        <w:sz w:val="21"/>
        <w:szCs w:val="21"/>
      </w:rPr>
    </w:lvl>
    <w:lvl w:ilvl="2" w:tentative="0">
      <w:start w:val="1"/>
      <w:numFmt w:val="decimal"/>
      <w:pStyle w:val="41"/>
      <w:isLgl/>
      <w:suff w:val="nothing"/>
      <w:lvlText w:val="%1%2.%3　"/>
      <w:lvlJc w:val="center"/>
      <w:pPr>
        <w:ind w:left="57" w:firstLine="0"/>
      </w:pPr>
      <w:rPr>
        <w:rFonts w:hint="eastAsia" w:ascii="黑体" w:hAnsi="Times New Roman" w:eastAsia="黑体"/>
        <w:b w:val="0"/>
        <w:bCs w:val="0"/>
        <w:i w:val="0"/>
        <w:iCs w:val="0"/>
        <w:sz w:val="21"/>
        <w:szCs w:val="21"/>
      </w:rPr>
    </w:lvl>
    <w:lvl w:ilvl="3" w:tentative="0">
      <w:start w:val="1"/>
      <w:numFmt w:val="decimal"/>
      <w:isLgl/>
      <w:suff w:val="nothing"/>
      <w:lvlText w:val="%1%2.%3.%4　"/>
      <w:lvlJc w:val="left"/>
      <w:pPr>
        <w:ind w:left="0" w:firstLine="0"/>
      </w:pPr>
      <w:rPr>
        <w:rFonts w:hint="eastAsia" w:ascii="黑体" w:hAnsi="Times New Roman" w:eastAsia="黑体"/>
        <w:b w:val="0"/>
        <w:bCs w:val="0"/>
        <w:i w:val="0"/>
        <w:iCs w:val="0"/>
        <w:sz w:val="21"/>
        <w:szCs w:val="21"/>
      </w:rPr>
    </w:lvl>
    <w:lvl w:ilvl="4" w:tentative="0">
      <w:start w:val="1"/>
      <w:numFmt w:val="decimal"/>
      <w:pStyle w:val="44"/>
      <w:isLgl/>
      <w:suff w:val="nothing"/>
      <w:lvlText w:val="%1%2.%3.%4.%5　"/>
      <w:lvlJc w:val="left"/>
      <w:pPr>
        <w:ind w:left="0" w:firstLine="0"/>
      </w:pPr>
      <w:rPr>
        <w:rFonts w:hint="eastAsia" w:ascii="黑体" w:hAnsi="Times New Roman" w:eastAsia="黑体"/>
        <w:b w:val="0"/>
        <w:bCs w:val="0"/>
        <w:i w:val="0"/>
        <w:iCs w:val="0"/>
        <w:sz w:val="21"/>
        <w:szCs w:val="21"/>
      </w:rPr>
    </w:lvl>
    <w:lvl w:ilvl="5" w:tentative="0">
      <w:start w:val="1"/>
      <w:numFmt w:val="decimal"/>
      <w:suff w:val="nothing"/>
      <w:lvlText w:val="%1%2.%3.%4.%5.%6　"/>
      <w:lvlJc w:val="left"/>
      <w:pPr>
        <w:ind w:left="0" w:firstLine="0"/>
      </w:pPr>
      <w:rPr>
        <w:rFonts w:hint="eastAsia" w:ascii="黑体" w:hAnsi="Times New Roman" w:eastAsia="黑体"/>
        <w:b w:val="0"/>
        <w:bCs w:val="0"/>
        <w:i w:val="0"/>
        <w:iCs w:val="0"/>
        <w:sz w:val="21"/>
        <w:szCs w:val="21"/>
      </w:rPr>
    </w:lvl>
    <w:lvl w:ilvl="6" w:tentative="0">
      <w:start w:val="1"/>
      <w:numFmt w:val="decimal"/>
      <w:pStyle w:val="15"/>
      <w:suff w:val="nothing"/>
      <w:lvlText w:val="%1%2.%3.%4.%5.%6.%7　"/>
      <w:lvlJc w:val="left"/>
      <w:pPr>
        <w:ind w:left="0" w:firstLine="0"/>
      </w:pPr>
      <w:rPr>
        <w:rFonts w:hint="eastAsia" w:ascii="黑体" w:hAnsi="Times New Roman" w:eastAsia="黑体"/>
        <w:b w:val="0"/>
        <w:bCs w:val="0"/>
        <w:i w:val="0"/>
        <w:iCs w:val="0"/>
        <w:sz w:val="21"/>
        <w:szCs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3A9F2AD2"/>
    <w:multiLevelType w:val="multilevel"/>
    <w:tmpl w:val="3A9F2AD2"/>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3NzY2OTE4Y2ViOTllZTUyNWRkMDdjMDkyNzExNjcifQ=="/>
  </w:docVars>
  <w:rsids>
    <w:rsidRoot w:val="003676E1"/>
    <w:rsid w:val="00000105"/>
    <w:rsid w:val="00000F71"/>
    <w:rsid w:val="000012A2"/>
    <w:rsid w:val="000017EB"/>
    <w:rsid w:val="00002349"/>
    <w:rsid w:val="0000312E"/>
    <w:rsid w:val="000035CB"/>
    <w:rsid w:val="0000387C"/>
    <w:rsid w:val="000038A4"/>
    <w:rsid w:val="00003F97"/>
    <w:rsid w:val="000041F0"/>
    <w:rsid w:val="000055C0"/>
    <w:rsid w:val="000062AF"/>
    <w:rsid w:val="00006470"/>
    <w:rsid w:val="00006484"/>
    <w:rsid w:val="00006C15"/>
    <w:rsid w:val="00006F68"/>
    <w:rsid w:val="00007509"/>
    <w:rsid w:val="000077CA"/>
    <w:rsid w:val="00007BB6"/>
    <w:rsid w:val="00007C3E"/>
    <w:rsid w:val="00010627"/>
    <w:rsid w:val="0001067F"/>
    <w:rsid w:val="000107B3"/>
    <w:rsid w:val="00010C04"/>
    <w:rsid w:val="00010C76"/>
    <w:rsid w:val="00011565"/>
    <w:rsid w:val="0001179E"/>
    <w:rsid w:val="00011883"/>
    <w:rsid w:val="00012480"/>
    <w:rsid w:val="00012C27"/>
    <w:rsid w:val="00013058"/>
    <w:rsid w:val="0001325F"/>
    <w:rsid w:val="00013EDB"/>
    <w:rsid w:val="000149CC"/>
    <w:rsid w:val="000154AC"/>
    <w:rsid w:val="00015F47"/>
    <w:rsid w:val="00016030"/>
    <w:rsid w:val="00017029"/>
    <w:rsid w:val="000209BD"/>
    <w:rsid w:val="00021837"/>
    <w:rsid w:val="00021E3A"/>
    <w:rsid w:val="00021E96"/>
    <w:rsid w:val="000222C0"/>
    <w:rsid w:val="0002251B"/>
    <w:rsid w:val="000244AC"/>
    <w:rsid w:val="00024789"/>
    <w:rsid w:val="00024827"/>
    <w:rsid w:val="00025760"/>
    <w:rsid w:val="00025E38"/>
    <w:rsid w:val="00026030"/>
    <w:rsid w:val="0002625A"/>
    <w:rsid w:val="000271C8"/>
    <w:rsid w:val="00030CC0"/>
    <w:rsid w:val="00030EB8"/>
    <w:rsid w:val="000311A9"/>
    <w:rsid w:val="00031484"/>
    <w:rsid w:val="00031635"/>
    <w:rsid w:val="00031918"/>
    <w:rsid w:val="00031E44"/>
    <w:rsid w:val="00032377"/>
    <w:rsid w:val="000326E9"/>
    <w:rsid w:val="00033078"/>
    <w:rsid w:val="000330E0"/>
    <w:rsid w:val="000331EB"/>
    <w:rsid w:val="00033352"/>
    <w:rsid w:val="000344A5"/>
    <w:rsid w:val="0003683B"/>
    <w:rsid w:val="0003685E"/>
    <w:rsid w:val="00036945"/>
    <w:rsid w:val="000369BF"/>
    <w:rsid w:val="00036C9E"/>
    <w:rsid w:val="00036CF4"/>
    <w:rsid w:val="00037118"/>
    <w:rsid w:val="0003712D"/>
    <w:rsid w:val="000376D1"/>
    <w:rsid w:val="000379D5"/>
    <w:rsid w:val="00037F9F"/>
    <w:rsid w:val="000403AD"/>
    <w:rsid w:val="00040ADF"/>
    <w:rsid w:val="000414BE"/>
    <w:rsid w:val="00041775"/>
    <w:rsid w:val="00042482"/>
    <w:rsid w:val="00042606"/>
    <w:rsid w:val="00042C6E"/>
    <w:rsid w:val="0004333C"/>
    <w:rsid w:val="000436E8"/>
    <w:rsid w:val="00043A4E"/>
    <w:rsid w:val="00043A69"/>
    <w:rsid w:val="00043C72"/>
    <w:rsid w:val="00045CA0"/>
    <w:rsid w:val="000460D6"/>
    <w:rsid w:val="00046366"/>
    <w:rsid w:val="00046D15"/>
    <w:rsid w:val="000479BE"/>
    <w:rsid w:val="00047A05"/>
    <w:rsid w:val="00047A7F"/>
    <w:rsid w:val="0005002B"/>
    <w:rsid w:val="000501A4"/>
    <w:rsid w:val="000514EE"/>
    <w:rsid w:val="0005199B"/>
    <w:rsid w:val="00051C86"/>
    <w:rsid w:val="00053366"/>
    <w:rsid w:val="00053FFB"/>
    <w:rsid w:val="00054680"/>
    <w:rsid w:val="000546A2"/>
    <w:rsid w:val="0005485A"/>
    <w:rsid w:val="00054AF3"/>
    <w:rsid w:val="00055058"/>
    <w:rsid w:val="000552AA"/>
    <w:rsid w:val="000556DF"/>
    <w:rsid w:val="000557E0"/>
    <w:rsid w:val="000560FC"/>
    <w:rsid w:val="000564E8"/>
    <w:rsid w:val="0005677B"/>
    <w:rsid w:val="00057C95"/>
    <w:rsid w:val="0006092D"/>
    <w:rsid w:val="0006139D"/>
    <w:rsid w:val="0006149D"/>
    <w:rsid w:val="00061821"/>
    <w:rsid w:val="0006186E"/>
    <w:rsid w:val="00061ADA"/>
    <w:rsid w:val="0006321A"/>
    <w:rsid w:val="00063C2F"/>
    <w:rsid w:val="00064128"/>
    <w:rsid w:val="00064B28"/>
    <w:rsid w:val="00064B5C"/>
    <w:rsid w:val="00064C02"/>
    <w:rsid w:val="00065115"/>
    <w:rsid w:val="00066739"/>
    <w:rsid w:val="000669B3"/>
    <w:rsid w:val="00066CDD"/>
    <w:rsid w:val="0006768B"/>
    <w:rsid w:val="00067743"/>
    <w:rsid w:val="00070243"/>
    <w:rsid w:val="00070747"/>
    <w:rsid w:val="00070EEA"/>
    <w:rsid w:val="00071BB9"/>
    <w:rsid w:val="00071BC5"/>
    <w:rsid w:val="00071E5A"/>
    <w:rsid w:val="0007228B"/>
    <w:rsid w:val="000723CB"/>
    <w:rsid w:val="000728D3"/>
    <w:rsid w:val="00073022"/>
    <w:rsid w:val="000730E6"/>
    <w:rsid w:val="000736F8"/>
    <w:rsid w:val="0007391F"/>
    <w:rsid w:val="00073B57"/>
    <w:rsid w:val="00073CB8"/>
    <w:rsid w:val="00074406"/>
    <w:rsid w:val="0007560A"/>
    <w:rsid w:val="00075E60"/>
    <w:rsid w:val="000762FC"/>
    <w:rsid w:val="00076FB6"/>
    <w:rsid w:val="00077653"/>
    <w:rsid w:val="00081FBE"/>
    <w:rsid w:val="00083324"/>
    <w:rsid w:val="00083546"/>
    <w:rsid w:val="00083FAE"/>
    <w:rsid w:val="000845C6"/>
    <w:rsid w:val="00085675"/>
    <w:rsid w:val="0008686F"/>
    <w:rsid w:val="00086FDB"/>
    <w:rsid w:val="0008745F"/>
    <w:rsid w:val="000900F2"/>
    <w:rsid w:val="00090F41"/>
    <w:rsid w:val="000911EA"/>
    <w:rsid w:val="00092A20"/>
    <w:rsid w:val="00093D34"/>
    <w:rsid w:val="0009474B"/>
    <w:rsid w:val="00095C95"/>
    <w:rsid w:val="00096994"/>
    <w:rsid w:val="00096B4E"/>
    <w:rsid w:val="000973B0"/>
    <w:rsid w:val="000978BF"/>
    <w:rsid w:val="000A06DD"/>
    <w:rsid w:val="000A0728"/>
    <w:rsid w:val="000A143B"/>
    <w:rsid w:val="000A1EB4"/>
    <w:rsid w:val="000A3939"/>
    <w:rsid w:val="000A4193"/>
    <w:rsid w:val="000A4A8D"/>
    <w:rsid w:val="000A7881"/>
    <w:rsid w:val="000A7EBB"/>
    <w:rsid w:val="000A7EE9"/>
    <w:rsid w:val="000B01A6"/>
    <w:rsid w:val="000B0DA5"/>
    <w:rsid w:val="000B23AC"/>
    <w:rsid w:val="000B2AD7"/>
    <w:rsid w:val="000B310B"/>
    <w:rsid w:val="000B4330"/>
    <w:rsid w:val="000B4824"/>
    <w:rsid w:val="000B5111"/>
    <w:rsid w:val="000B5B7F"/>
    <w:rsid w:val="000B60FC"/>
    <w:rsid w:val="000B7848"/>
    <w:rsid w:val="000B7E67"/>
    <w:rsid w:val="000C0910"/>
    <w:rsid w:val="000C11CA"/>
    <w:rsid w:val="000C1639"/>
    <w:rsid w:val="000C1A84"/>
    <w:rsid w:val="000C488E"/>
    <w:rsid w:val="000C48A9"/>
    <w:rsid w:val="000C4F95"/>
    <w:rsid w:val="000C50F4"/>
    <w:rsid w:val="000C5611"/>
    <w:rsid w:val="000C61BE"/>
    <w:rsid w:val="000C63FF"/>
    <w:rsid w:val="000C6A99"/>
    <w:rsid w:val="000C6E55"/>
    <w:rsid w:val="000C761E"/>
    <w:rsid w:val="000C7E5F"/>
    <w:rsid w:val="000C7E73"/>
    <w:rsid w:val="000D0870"/>
    <w:rsid w:val="000D297B"/>
    <w:rsid w:val="000D3B64"/>
    <w:rsid w:val="000D3D58"/>
    <w:rsid w:val="000D4075"/>
    <w:rsid w:val="000D428E"/>
    <w:rsid w:val="000D5036"/>
    <w:rsid w:val="000D509F"/>
    <w:rsid w:val="000D56B7"/>
    <w:rsid w:val="000D59D3"/>
    <w:rsid w:val="000D5AEA"/>
    <w:rsid w:val="000D637F"/>
    <w:rsid w:val="000D6BB9"/>
    <w:rsid w:val="000D6BBE"/>
    <w:rsid w:val="000D71B3"/>
    <w:rsid w:val="000D7A4F"/>
    <w:rsid w:val="000E02B5"/>
    <w:rsid w:val="000E06F0"/>
    <w:rsid w:val="000E0AAD"/>
    <w:rsid w:val="000E18CD"/>
    <w:rsid w:val="000E2BD8"/>
    <w:rsid w:val="000E2D26"/>
    <w:rsid w:val="000E30B3"/>
    <w:rsid w:val="000E3BE4"/>
    <w:rsid w:val="000E3C32"/>
    <w:rsid w:val="000E3CAA"/>
    <w:rsid w:val="000E417B"/>
    <w:rsid w:val="000E4BF5"/>
    <w:rsid w:val="000E4E32"/>
    <w:rsid w:val="000E57B8"/>
    <w:rsid w:val="000E5CA3"/>
    <w:rsid w:val="000E7659"/>
    <w:rsid w:val="000F18A7"/>
    <w:rsid w:val="000F1EC3"/>
    <w:rsid w:val="000F2401"/>
    <w:rsid w:val="000F2A23"/>
    <w:rsid w:val="000F30A1"/>
    <w:rsid w:val="000F33CD"/>
    <w:rsid w:val="000F3E05"/>
    <w:rsid w:val="000F4014"/>
    <w:rsid w:val="000F42C3"/>
    <w:rsid w:val="000F4432"/>
    <w:rsid w:val="000F44AA"/>
    <w:rsid w:val="000F45D2"/>
    <w:rsid w:val="000F4720"/>
    <w:rsid w:val="000F472D"/>
    <w:rsid w:val="000F5237"/>
    <w:rsid w:val="000F586C"/>
    <w:rsid w:val="000F5DD2"/>
    <w:rsid w:val="000F60F9"/>
    <w:rsid w:val="000F686D"/>
    <w:rsid w:val="0010096F"/>
    <w:rsid w:val="00100A8C"/>
    <w:rsid w:val="001015C6"/>
    <w:rsid w:val="001016DD"/>
    <w:rsid w:val="001019C3"/>
    <w:rsid w:val="00101A71"/>
    <w:rsid w:val="0010211A"/>
    <w:rsid w:val="00102505"/>
    <w:rsid w:val="001029DD"/>
    <w:rsid w:val="00102D47"/>
    <w:rsid w:val="00102FA4"/>
    <w:rsid w:val="00103C9C"/>
    <w:rsid w:val="00103D76"/>
    <w:rsid w:val="00103EB0"/>
    <w:rsid w:val="00104A42"/>
    <w:rsid w:val="00104EC7"/>
    <w:rsid w:val="00105019"/>
    <w:rsid w:val="001050EE"/>
    <w:rsid w:val="00107634"/>
    <w:rsid w:val="00107F6C"/>
    <w:rsid w:val="00110971"/>
    <w:rsid w:val="001116E0"/>
    <w:rsid w:val="00111828"/>
    <w:rsid w:val="00111D25"/>
    <w:rsid w:val="00111D39"/>
    <w:rsid w:val="00112702"/>
    <w:rsid w:val="001128AB"/>
    <w:rsid w:val="00112A13"/>
    <w:rsid w:val="00112C03"/>
    <w:rsid w:val="00113C8E"/>
    <w:rsid w:val="00114B23"/>
    <w:rsid w:val="00114D0C"/>
    <w:rsid w:val="00114D78"/>
    <w:rsid w:val="00114F18"/>
    <w:rsid w:val="001153F7"/>
    <w:rsid w:val="00115C4C"/>
    <w:rsid w:val="00115D1B"/>
    <w:rsid w:val="00115E61"/>
    <w:rsid w:val="00115F72"/>
    <w:rsid w:val="0011613D"/>
    <w:rsid w:val="0011733F"/>
    <w:rsid w:val="00117827"/>
    <w:rsid w:val="00117AD8"/>
    <w:rsid w:val="0012005B"/>
    <w:rsid w:val="001207FD"/>
    <w:rsid w:val="001209ED"/>
    <w:rsid w:val="00120E9D"/>
    <w:rsid w:val="00120FC3"/>
    <w:rsid w:val="00121487"/>
    <w:rsid w:val="0012159C"/>
    <w:rsid w:val="00121D93"/>
    <w:rsid w:val="00122EDD"/>
    <w:rsid w:val="001235C8"/>
    <w:rsid w:val="00123713"/>
    <w:rsid w:val="001247D1"/>
    <w:rsid w:val="001249D0"/>
    <w:rsid w:val="00124D4F"/>
    <w:rsid w:val="00124DA8"/>
    <w:rsid w:val="00124EAF"/>
    <w:rsid w:val="0012653A"/>
    <w:rsid w:val="0012668B"/>
    <w:rsid w:val="00126F0E"/>
    <w:rsid w:val="00127410"/>
    <w:rsid w:val="001275E7"/>
    <w:rsid w:val="0013058B"/>
    <w:rsid w:val="00130990"/>
    <w:rsid w:val="00130A30"/>
    <w:rsid w:val="001313EB"/>
    <w:rsid w:val="00132A6D"/>
    <w:rsid w:val="00132D69"/>
    <w:rsid w:val="00132EC8"/>
    <w:rsid w:val="0013308C"/>
    <w:rsid w:val="00133399"/>
    <w:rsid w:val="00133BCE"/>
    <w:rsid w:val="00134414"/>
    <w:rsid w:val="0013489C"/>
    <w:rsid w:val="00136055"/>
    <w:rsid w:val="00136DC6"/>
    <w:rsid w:val="0014011A"/>
    <w:rsid w:val="001401B6"/>
    <w:rsid w:val="0014057F"/>
    <w:rsid w:val="0014063A"/>
    <w:rsid w:val="00142601"/>
    <w:rsid w:val="00143AA4"/>
    <w:rsid w:val="0014408C"/>
    <w:rsid w:val="001446C6"/>
    <w:rsid w:val="0014482B"/>
    <w:rsid w:val="00144A52"/>
    <w:rsid w:val="001473C4"/>
    <w:rsid w:val="00150327"/>
    <w:rsid w:val="00151529"/>
    <w:rsid w:val="00152686"/>
    <w:rsid w:val="00152D1A"/>
    <w:rsid w:val="00154231"/>
    <w:rsid w:val="00154745"/>
    <w:rsid w:val="001561BE"/>
    <w:rsid w:val="0015689F"/>
    <w:rsid w:val="00156D6F"/>
    <w:rsid w:val="00157608"/>
    <w:rsid w:val="00161025"/>
    <w:rsid w:val="00161767"/>
    <w:rsid w:val="00161DC4"/>
    <w:rsid w:val="00163840"/>
    <w:rsid w:val="00163A91"/>
    <w:rsid w:val="00163D37"/>
    <w:rsid w:val="00163E6A"/>
    <w:rsid w:val="00164B6D"/>
    <w:rsid w:val="00164B8A"/>
    <w:rsid w:val="0016514E"/>
    <w:rsid w:val="0016554C"/>
    <w:rsid w:val="00165DF6"/>
    <w:rsid w:val="00166CFB"/>
    <w:rsid w:val="00166F3B"/>
    <w:rsid w:val="00167322"/>
    <w:rsid w:val="001678C6"/>
    <w:rsid w:val="001705B4"/>
    <w:rsid w:val="00170A1E"/>
    <w:rsid w:val="00171F17"/>
    <w:rsid w:val="00172C44"/>
    <w:rsid w:val="00172EE9"/>
    <w:rsid w:val="00173957"/>
    <w:rsid w:val="00173E7C"/>
    <w:rsid w:val="001741BC"/>
    <w:rsid w:val="00174F85"/>
    <w:rsid w:val="001757F7"/>
    <w:rsid w:val="001762CB"/>
    <w:rsid w:val="0017674C"/>
    <w:rsid w:val="00176A63"/>
    <w:rsid w:val="00176E23"/>
    <w:rsid w:val="00176FC7"/>
    <w:rsid w:val="001776BA"/>
    <w:rsid w:val="00177BF3"/>
    <w:rsid w:val="00180061"/>
    <w:rsid w:val="00181489"/>
    <w:rsid w:val="00181FCC"/>
    <w:rsid w:val="00181FCE"/>
    <w:rsid w:val="0018244F"/>
    <w:rsid w:val="001825BD"/>
    <w:rsid w:val="00182F47"/>
    <w:rsid w:val="001834B5"/>
    <w:rsid w:val="00183620"/>
    <w:rsid w:val="00183DA8"/>
    <w:rsid w:val="00183EC2"/>
    <w:rsid w:val="0018460F"/>
    <w:rsid w:val="00185614"/>
    <w:rsid w:val="00185773"/>
    <w:rsid w:val="00185C09"/>
    <w:rsid w:val="00187F34"/>
    <w:rsid w:val="00190173"/>
    <w:rsid w:val="00191277"/>
    <w:rsid w:val="00191358"/>
    <w:rsid w:val="00191E5E"/>
    <w:rsid w:val="00191F30"/>
    <w:rsid w:val="00192060"/>
    <w:rsid w:val="001920D2"/>
    <w:rsid w:val="001937D5"/>
    <w:rsid w:val="001938EF"/>
    <w:rsid w:val="00194952"/>
    <w:rsid w:val="00195153"/>
    <w:rsid w:val="00195866"/>
    <w:rsid w:val="00195B9D"/>
    <w:rsid w:val="00195F24"/>
    <w:rsid w:val="00197146"/>
    <w:rsid w:val="00197CF3"/>
    <w:rsid w:val="001A04B7"/>
    <w:rsid w:val="001A115C"/>
    <w:rsid w:val="001A2D30"/>
    <w:rsid w:val="001A2EB5"/>
    <w:rsid w:val="001A3305"/>
    <w:rsid w:val="001A353F"/>
    <w:rsid w:val="001A360B"/>
    <w:rsid w:val="001A388F"/>
    <w:rsid w:val="001A45C7"/>
    <w:rsid w:val="001A49A5"/>
    <w:rsid w:val="001A5BCA"/>
    <w:rsid w:val="001A5CEC"/>
    <w:rsid w:val="001A6D53"/>
    <w:rsid w:val="001A79EE"/>
    <w:rsid w:val="001B0379"/>
    <w:rsid w:val="001B05F9"/>
    <w:rsid w:val="001B0A95"/>
    <w:rsid w:val="001B1047"/>
    <w:rsid w:val="001B1A6C"/>
    <w:rsid w:val="001B1F39"/>
    <w:rsid w:val="001B303A"/>
    <w:rsid w:val="001B3922"/>
    <w:rsid w:val="001B3A4F"/>
    <w:rsid w:val="001B4171"/>
    <w:rsid w:val="001B4659"/>
    <w:rsid w:val="001B48AD"/>
    <w:rsid w:val="001B57C3"/>
    <w:rsid w:val="001B593F"/>
    <w:rsid w:val="001B5C66"/>
    <w:rsid w:val="001B5C98"/>
    <w:rsid w:val="001B6882"/>
    <w:rsid w:val="001B68F9"/>
    <w:rsid w:val="001B6AD8"/>
    <w:rsid w:val="001B7241"/>
    <w:rsid w:val="001B74D8"/>
    <w:rsid w:val="001B75AA"/>
    <w:rsid w:val="001B775E"/>
    <w:rsid w:val="001C09C8"/>
    <w:rsid w:val="001C0B89"/>
    <w:rsid w:val="001C1CE1"/>
    <w:rsid w:val="001C2065"/>
    <w:rsid w:val="001C21AC"/>
    <w:rsid w:val="001C431E"/>
    <w:rsid w:val="001C453F"/>
    <w:rsid w:val="001C50AA"/>
    <w:rsid w:val="001C537B"/>
    <w:rsid w:val="001C6311"/>
    <w:rsid w:val="001C7BC1"/>
    <w:rsid w:val="001D0616"/>
    <w:rsid w:val="001D0B8D"/>
    <w:rsid w:val="001D2064"/>
    <w:rsid w:val="001D246E"/>
    <w:rsid w:val="001D295E"/>
    <w:rsid w:val="001D2DE0"/>
    <w:rsid w:val="001D316D"/>
    <w:rsid w:val="001D361B"/>
    <w:rsid w:val="001D39F6"/>
    <w:rsid w:val="001D3A48"/>
    <w:rsid w:val="001D4C3E"/>
    <w:rsid w:val="001D6151"/>
    <w:rsid w:val="001D6A79"/>
    <w:rsid w:val="001D6D84"/>
    <w:rsid w:val="001D7BDD"/>
    <w:rsid w:val="001E06C5"/>
    <w:rsid w:val="001E0972"/>
    <w:rsid w:val="001E2CCA"/>
    <w:rsid w:val="001E2F1A"/>
    <w:rsid w:val="001E384F"/>
    <w:rsid w:val="001E39AA"/>
    <w:rsid w:val="001E4959"/>
    <w:rsid w:val="001E4BB8"/>
    <w:rsid w:val="001E55BA"/>
    <w:rsid w:val="001E5783"/>
    <w:rsid w:val="001E5800"/>
    <w:rsid w:val="001E5A87"/>
    <w:rsid w:val="001E6580"/>
    <w:rsid w:val="001E669E"/>
    <w:rsid w:val="001E69D4"/>
    <w:rsid w:val="001E7313"/>
    <w:rsid w:val="001E79EF"/>
    <w:rsid w:val="001F0E74"/>
    <w:rsid w:val="001F146E"/>
    <w:rsid w:val="001F17EC"/>
    <w:rsid w:val="001F1891"/>
    <w:rsid w:val="001F18B7"/>
    <w:rsid w:val="001F19B8"/>
    <w:rsid w:val="001F226D"/>
    <w:rsid w:val="001F2533"/>
    <w:rsid w:val="001F25C8"/>
    <w:rsid w:val="001F2712"/>
    <w:rsid w:val="001F3300"/>
    <w:rsid w:val="001F40C4"/>
    <w:rsid w:val="001F44B8"/>
    <w:rsid w:val="001F44E4"/>
    <w:rsid w:val="001F5544"/>
    <w:rsid w:val="001F5567"/>
    <w:rsid w:val="001F5568"/>
    <w:rsid w:val="001F6344"/>
    <w:rsid w:val="001F6451"/>
    <w:rsid w:val="001F66B8"/>
    <w:rsid w:val="001F6C24"/>
    <w:rsid w:val="001F7519"/>
    <w:rsid w:val="001F7878"/>
    <w:rsid w:val="001F79CD"/>
    <w:rsid w:val="0020014E"/>
    <w:rsid w:val="00200503"/>
    <w:rsid w:val="00201380"/>
    <w:rsid w:val="00202067"/>
    <w:rsid w:val="00202085"/>
    <w:rsid w:val="00202178"/>
    <w:rsid w:val="00202674"/>
    <w:rsid w:val="00202706"/>
    <w:rsid w:val="00202D93"/>
    <w:rsid w:val="00203DA9"/>
    <w:rsid w:val="00204232"/>
    <w:rsid w:val="002057D8"/>
    <w:rsid w:val="002070BF"/>
    <w:rsid w:val="002073ED"/>
    <w:rsid w:val="00207481"/>
    <w:rsid w:val="00210989"/>
    <w:rsid w:val="002124F5"/>
    <w:rsid w:val="00212A01"/>
    <w:rsid w:val="00212EE8"/>
    <w:rsid w:val="0021323B"/>
    <w:rsid w:val="00214010"/>
    <w:rsid w:val="002141D9"/>
    <w:rsid w:val="00214BC2"/>
    <w:rsid w:val="00215302"/>
    <w:rsid w:val="00215CB2"/>
    <w:rsid w:val="002164F3"/>
    <w:rsid w:val="00216F72"/>
    <w:rsid w:val="002175C5"/>
    <w:rsid w:val="00217AFF"/>
    <w:rsid w:val="00220737"/>
    <w:rsid w:val="00220DB1"/>
    <w:rsid w:val="002220E9"/>
    <w:rsid w:val="00222649"/>
    <w:rsid w:val="00222689"/>
    <w:rsid w:val="00223672"/>
    <w:rsid w:val="0022447E"/>
    <w:rsid w:val="002246F7"/>
    <w:rsid w:val="00224D38"/>
    <w:rsid w:val="00225C8B"/>
    <w:rsid w:val="002260FF"/>
    <w:rsid w:val="002261CB"/>
    <w:rsid w:val="0022628D"/>
    <w:rsid w:val="002272D5"/>
    <w:rsid w:val="00227AF5"/>
    <w:rsid w:val="00227DDD"/>
    <w:rsid w:val="00231236"/>
    <w:rsid w:val="0023139D"/>
    <w:rsid w:val="00231B30"/>
    <w:rsid w:val="00231BB7"/>
    <w:rsid w:val="002326DF"/>
    <w:rsid w:val="00232894"/>
    <w:rsid w:val="002334F0"/>
    <w:rsid w:val="00233940"/>
    <w:rsid w:val="00234130"/>
    <w:rsid w:val="0023483C"/>
    <w:rsid w:val="00235A77"/>
    <w:rsid w:val="00235B14"/>
    <w:rsid w:val="00236097"/>
    <w:rsid w:val="002360D5"/>
    <w:rsid w:val="002366F2"/>
    <w:rsid w:val="00236909"/>
    <w:rsid w:val="00236AD0"/>
    <w:rsid w:val="00236B79"/>
    <w:rsid w:val="00236BC7"/>
    <w:rsid w:val="00237FCC"/>
    <w:rsid w:val="00240F35"/>
    <w:rsid w:val="002413ED"/>
    <w:rsid w:val="0024149C"/>
    <w:rsid w:val="002414B3"/>
    <w:rsid w:val="00241CA4"/>
    <w:rsid w:val="00241ECB"/>
    <w:rsid w:val="00241FBD"/>
    <w:rsid w:val="0024265B"/>
    <w:rsid w:val="00242BBC"/>
    <w:rsid w:val="002436BA"/>
    <w:rsid w:val="0024433B"/>
    <w:rsid w:val="00244C09"/>
    <w:rsid w:val="00244CA2"/>
    <w:rsid w:val="0024524B"/>
    <w:rsid w:val="002467DF"/>
    <w:rsid w:val="00246C9F"/>
    <w:rsid w:val="002473BD"/>
    <w:rsid w:val="00247470"/>
    <w:rsid w:val="00247725"/>
    <w:rsid w:val="002479FC"/>
    <w:rsid w:val="00247E6E"/>
    <w:rsid w:val="0025042E"/>
    <w:rsid w:val="00250431"/>
    <w:rsid w:val="002504E0"/>
    <w:rsid w:val="002506C9"/>
    <w:rsid w:val="00250812"/>
    <w:rsid w:val="00250BEC"/>
    <w:rsid w:val="002510C8"/>
    <w:rsid w:val="0025167D"/>
    <w:rsid w:val="00251A71"/>
    <w:rsid w:val="00252143"/>
    <w:rsid w:val="002535A1"/>
    <w:rsid w:val="002550C7"/>
    <w:rsid w:val="002554E6"/>
    <w:rsid w:val="00255DD2"/>
    <w:rsid w:val="00256204"/>
    <w:rsid w:val="00256344"/>
    <w:rsid w:val="00256BEE"/>
    <w:rsid w:val="00257DB4"/>
    <w:rsid w:val="002602D9"/>
    <w:rsid w:val="002603A0"/>
    <w:rsid w:val="00261BE6"/>
    <w:rsid w:val="00262419"/>
    <w:rsid w:val="00262F47"/>
    <w:rsid w:val="002633AB"/>
    <w:rsid w:val="00264971"/>
    <w:rsid w:val="00264E0B"/>
    <w:rsid w:val="00264EC5"/>
    <w:rsid w:val="0026544F"/>
    <w:rsid w:val="002655E4"/>
    <w:rsid w:val="00265840"/>
    <w:rsid w:val="0026603B"/>
    <w:rsid w:val="0026616C"/>
    <w:rsid w:val="00266A4F"/>
    <w:rsid w:val="00266E77"/>
    <w:rsid w:val="00266EBD"/>
    <w:rsid w:val="0026768D"/>
    <w:rsid w:val="002678A0"/>
    <w:rsid w:val="002707D4"/>
    <w:rsid w:val="00271492"/>
    <w:rsid w:val="00272477"/>
    <w:rsid w:val="00272750"/>
    <w:rsid w:val="00272C0C"/>
    <w:rsid w:val="002733C8"/>
    <w:rsid w:val="00273C3F"/>
    <w:rsid w:val="00274396"/>
    <w:rsid w:val="00274B4E"/>
    <w:rsid w:val="00274FC7"/>
    <w:rsid w:val="002757C5"/>
    <w:rsid w:val="002766B1"/>
    <w:rsid w:val="00277B8E"/>
    <w:rsid w:val="00277BB3"/>
    <w:rsid w:val="00277E77"/>
    <w:rsid w:val="00280940"/>
    <w:rsid w:val="00280B2A"/>
    <w:rsid w:val="00280BBC"/>
    <w:rsid w:val="0028106C"/>
    <w:rsid w:val="00281C9E"/>
    <w:rsid w:val="00281CE9"/>
    <w:rsid w:val="00281D69"/>
    <w:rsid w:val="002820B8"/>
    <w:rsid w:val="00282B99"/>
    <w:rsid w:val="0028340B"/>
    <w:rsid w:val="0028349A"/>
    <w:rsid w:val="0028474C"/>
    <w:rsid w:val="00285C23"/>
    <w:rsid w:val="00285FA4"/>
    <w:rsid w:val="002876EA"/>
    <w:rsid w:val="00290917"/>
    <w:rsid w:val="00290A93"/>
    <w:rsid w:val="0029116B"/>
    <w:rsid w:val="00291C0C"/>
    <w:rsid w:val="00292252"/>
    <w:rsid w:val="002927D2"/>
    <w:rsid w:val="00292D11"/>
    <w:rsid w:val="002936E0"/>
    <w:rsid w:val="00293EC1"/>
    <w:rsid w:val="002950F4"/>
    <w:rsid w:val="00295208"/>
    <w:rsid w:val="0029563A"/>
    <w:rsid w:val="00295D9C"/>
    <w:rsid w:val="002973F3"/>
    <w:rsid w:val="0029763D"/>
    <w:rsid w:val="00297949"/>
    <w:rsid w:val="00297F94"/>
    <w:rsid w:val="002A1F97"/>
    <w:rsid w:val="002A1FC0"/>
    <w:rsid w:val="002A2085"/>
    <w:rsid w:val="002A35BF"/>
    <w:rsid w:val="002A39ED"/>
    <w:rsid w:val="002A3C37"/>
    <w:rsid w:val="002A3E16"/>
    <w:rsid w:val="002A3E96"/>
    <w:rsid w:val="002A4424"/>
    <w:rsid w:val="002A4511"/>
    <w:rsid w:val="002A4A06"/>
    <w:rsid w:val="002A6176"/>
    <w:rsid w:val="002A62BD"/>
    <w:rsid w:val="002A7131"/>
    <w:rsid w:val="002A718F"/>
    <w:rsid w:val="002A74EF"/>
    <w:rsid w:val="002A79C2"/>
    <w:rsid w:val="002A7D67"/>
    <w:rsid w:val="002B0544"/>
    <w:rsid w:val="002B1283"/>
    <w:rsid w:val="002B142C"/>
    <w:rsid w:val="002B1AD4"/>
    <w:rsid w:val="002B1CC0"/>
    <w:rsid w:val="002B1F5B"/>
    <w:rsid w:val="002B3BB4"/>
    <w:rsid w:val="002B3BBA"/>
    <w:rsid w:val="002B3CD6"/>
    <w:rsid w:val="002B40D5"/>
    <w:rsid w:val="002B4920"/>
    <w:rsid w:val="002B52BE"/>
    <w:rsid w:val="002B581F"/>
    <w:rsid w:val="002B628D"/>
    <w:rsid w:val="002B6325"/>
    <w:rsid w:val="002B65FC"/>
    <w:rsid w:val="002B6DF7"/>
    <w:rsid w:val="002B6E96"/>
    <w:rsid w:val="002B77F4"/>
    <w:rsid w:val="002C01ED"/>
    <w:rsid w:val="002C107B"/>
    <w:rsid w:val="002C188E"/>
    <w:rsid w:val="002C19AB"/>
    <w:rsid w:val="002C2096"/>
    <w:rsid w:val="002C2508"/>
    <w:rsid w:val="002C282C"/>
    <w:rsid w:val="002C28CB"/>
    <w:rsid w:val="002C3091"/>
    <w:rsid w:val="002C31CD"/>
    <w:rsid w:val="002C3383"/>
    <w:rsid w:val="002C3643"/>
    <w:rsid w:val="002C495A"/>
    <w:rsid w:val="002C5094"/>
    <w:rsid w:val="002C5850"/>
    <w:rsid w:val="002C58B9"/>
    <w:rsid w:val="002C61B0"/>
    <w:rsid w:val="002C64E2"/>
    <w:rsid w:val="002C68D8"/>
    <w:rsid w:val="002C7776"/>
    <w:rsid w:val="002C7907"/>
    <w:rsid w:val="002D000D"/>
    <w:rsid w:val="002D0327"/>
    <w:rsid w:val="002D0E01"/>
    <w:rsid w:val="002D12DB"/>
    <w:rsid w:val="002D2AE6"/>
    <w:rsid w:val="002D3869"/>
    <w:rsid w:val="002D3A8C"/>
    <w:rsid w:val="002D4B3A"/>
    <w:rsid w:val="002D4BF9"/>
    <w:rsid w:val="002D4EFC"/>
    <w:rsid w:val="002D6104"/>
    <w:rsid w:val="002D6462"/>
    <w:rsid w:val="002D674C"/>
    <w:rsid w:val="002D72B7"/>
    <w:rsid w:val="002D743D"/>
    <w:rsid w:val="002D79EF"/>
    <w:rsid w:val="002E0165"/>
    <w:rsid w:val="002E01FE"/>
    <w:rsid w:val="002E02A7"/>
    <w:rsid w:val="002E1231"/>
    <w:rsid w:val="002E13EF"/>
    <w:rsid w:val="002E30FA"/>
    <w:rsid w:val="002E33DE"/>
    <w:rsid w:val="002E39BA"/>
    <w:rsid w:val="002E3AFD"/>
    <w:rsid w:val="002E42A7"/>
    <w:rsid w:val="002E46B9"/>
    <w:rsid w:val="002E5A26"/>
    <w:rsid w:val="002E6B68"/>
    <w:rsid w:val="002E7258"/>
    <w:rsid w:val="002F02AD"/>
    <w:rsid w:val="002F1168"/>
    <w:rsid w:val="002F3042"/>
    <w:rsid w:val="002F39D9"/>
    <w:rsid w:val="002F3A71"/>
    <w:rsid w:val="002F4D5B"/>
    <w:rsid w:val="002F4E94"/>
    <w:rsid w:val="002F5497"/>
    <w:rsid w:val="002F60A0"/>
    <w:rsid w:val="002F6D2F"/>
    <w:rsid w:val="002F7986"/>
    <w:rsid w:val="0030014F"/>
    <w:rsid w:val="00300BA1"/>
    <w:rsid w:val="00301906"/>
    <w:rsid w:val="00302034"/>
    <w:rsid w:val="00302948"/>
    <w:rsid w:val="003030AA"/>
    <w:rsid w:val="00303C37"/>
    <w:rsid w:val="00303FB2"/>
    <w:rsid w:val="00304031"/>
    <w:rsid w:val="00304422"/>
    <w:rsid w:val="003055C4"/>
    <w:rsid w:val="003057F4"/>
    <w:rsid w:val="0030592B"/>
    <w:rsid w:val="00306441"/>
    <w:rsid w:val="003070B7"/>
    <w:rsid w:val="00307D98"/>
    <w:rsid w:val="0031041E"/>
    <w:rsid w:val="00311285"/>
    <w:rsid w:val="003113FF"/>
    <w:rsid w:val="00311509"/>
    <w:rsid w:val="00311AE3"/>
    <w:rsid w:val="00312BA7"/>
    <w:rsid w:val="003130F4"/>
    <w:rsid w:val="00313477"/>
    <w:rsid w:val="00313A95"/>
    <w:rsid w:val="00313C4A"/>
    <w:rsid w:val="00314513"/>
    <w:rsid w:val="0031525D"/>
    <w:rsid w:val="00315EF5"/>
    <w:rsid w:val="003177C5"/>
    <w:rsid w:val="00317AC5"/>
    <w:rsid w:val="003203A1"/>
    <w:rsid w:val="00320A77"/>
    <w:rsid w:val="00320CBB"/>
    <w:rsid w:val="00321A9F"/>
    <w:rsid w:val="0032236D"/>
    <w:rsid w:val="0032256C"/>
    <w:rsid w:val="00323771"/>
    <w:rsid w:val="00324498"/>
    <w:rsid w:val="00324768"/>
    <w:rsid w:val="00324CED"/>
    <w:rsid w:val="00324F1E"/>
    <w:rsid w:val="00326430"/>
    <w:rsid w:val="00326F82"/>
    <w:rsid w:val="003276F4"/>
    <w:rsid w:val="0033004D"/>
    <w:rsid w:val="003318E9"/>
    <w:rsid w:val="00331C5E"/>
    <w:rsid w:val="003331F7"/>
    <w:rsid w:val="003344FA"/>
    <w:rsid w:val="003347AD"/>
    <w:rsid w:val="003350EB"/>
    <w:rsid w:val="00335EDE"/>
    <w:rsid w:val="00335F8C"/>
    <w:rsid w:val="003365F7"/>
    <w:rsid w:val="00336C06"/>
    <w:rsid w:val="00336D46"/>
    <w:rsid w:val="00336E38"/>
    <w:rsid w:val="00336EA1"/>
    <w:rsid w:val="00337E9B"/>
    <w:rsid w:val="00340D54"/>
    <w:rsid w:val="0034100D"/>
    <w:rsid w:val="003414D9"/>
    <w:rsid w:val="003418D0"/>
    <w:rsid w:val="003426F7"/>
    <w:rsid w:val="00342725"/>
    <w:rsid w:val="00342FFA"/>
    <w:rsid w:val="00343034"/>
    <w:rsid w:val="0034455E"/>
    <w:rsid w:val="00344D22"/>
    <w:rsid w:val="0034501C"/>
    <w:rsid w:val="00345D68"/>
    <w:rsid w:val="0034722E"/>
    <w:rsid w:val="00347D3E"/>
    <w:rsid w:val="003509B2"/>
    <w:rsid w:val="003515FB"/>
    <w:rsid w:val="00351DFD"/>
    <w:rsid w:val="003520CC"/>
    <w:rsid w:val="0035264D"/>
    <w:rsid w:val="003527D1"/>
    <w:rsid w:val="00352829"/>
    <w:rsid w:val="00353F8E"/>
    <w:rsid w:val="0035408B"/>
    <w:rsid w:val="003543A3"/>
    <w:rsid w:val="00354F18"/>
    <w:rsid w:val="00354F53"/>
    <w:rsid w:val="00355342"/>
    <w:rsid w:val="00355ED4"/>
    <w:rsid w:val="003566E0"/>
    <w:rsid w:val="003568BB"/>
    <w:rsid w:val="00357022"/>
    <w:rsid w:val="00360BE6"/>
    <w:rsid w:val="00360EAB"/>
    <w:rsid w:val="00361686"/>
    <w:rsid w:val="00361B2F"/>
    <w:rsid w:val="00361DA6"/>
    <w:rsid w:val="0036209C"/>
    <w:rsid w:val="003630E0"/>
    <w:rsid w:val="00363150"/>
    <w:rsid w:val="0036396F"/>
    <w:rsid w:val="00364296"/>
    <w:rsid w:val="00364DF7"/>
    <w:rsid w:val="00365008"/>
    <w:rsid w:val="0036578C"/>
    <w:rsid w:val="003664CD"/>
    <w:rsid w:val="003676E1"/>
    <w:rsid w:val="003710EC"/>
    <w:rsid w:val="00372775"/>
    <w:rsid w:val="00372A0B"/>
    <w:rsid w:val="00372BD7"/>
    <w:rsid w:val="00372D68"/>
    <w:rsid w:val="003730AA"/>
    <w:rsid w:val="0037366D"/>
    <w:rsid w:val="00373913"/>
    <w:rsid w:val="00373A17"/>
    <w:rsid w:val="00373C4A"/>
    <w:rsid w:val="00373F9D"/>
    <w:rsid w:val="00375510"/>
    <w:rsid w:val="0037559B"/>
    <w:rsid w:val="00375B38"/>
    <w:rsid w:val="00375FEF"/>
    <w:rsid w:val="00376270"/>
    <w:rsid w:val="00380065"/>
    <w:rsid w:val="00380115"/>
    <w:rsid w:val="00380180"/>
    <w:rsid w:val="00380355"/>
    <w:rsid w:val="003804BB"/>
    <w:rsid w:val="00380BEE"/>
    <w:rsid w:val="00381552"/>
    <w:rsid w:val="00381C5B"/>
    <w:rsid w:val="003827D3"/>
    <w:rsid w:val="003827DB"/>
    <w:rsid w:val="0038367C"/>
    <w:rsid w:val="00384B25"/>
    <w:rsid w:val="00385882"/>
    <w:rsid w:val="00386A3C"/>
    <w:rsid w:val="00387486"/>
    <w:rsid w:val="00387566"/>
    <w:rsid w:val="00387603"/>
    <w:rsid w:val="003904D9"/>
    <w:rsid w:val="00390DA1"/>
    <w:rsid w:val="003910A1"/>
    <w:rsid w:val="00391A55"/>
    <w:rsid w:val="00391BBB"/>
    <w:rsid w:val="00391D5F"/>
    <w:rsid w:val="003924F6"/>
    <w:rsid w:val="00392A69"/>
    <w:rsid w:val="00393AF2"/>
    <w:rsid w:val="003940BC"/>
    <w:rsid w:val="0039435F"/>
    <w:rsid w:val="003946ED"/>
    <w:rsid w:val="00396D14"/>
    <w:rsid w:val="00397192"/>
    <w:rsid w:val="00397569"/>
    <w:rsid w:val="00397E50"/>
    <w:rsid w:val="003A04A1"/>
    <w:rsid w:val="003A070F"/>
    <w:rsid w:val="003A08AF"/>
    <w:rsid w:val="003A08FB"/>
    <w:rsid w:val="003A0AC1"/>
    <w:rsid w:val="003A111D"/>
    <w:rsid w:val="003A17A4"/>
    <w:rsid w:val="003A1B28"/>
    <w:rsid w:val="003A1C81"/>
    <w:rsid w:val="003A306E"/>
    <w:rsid w:val="003A35F2"/>
    <w:rsid w:val="003A361C"/>
    <w:rsid w:val="003A3F94"/>
    <w:rsid w:val="003A453C"/>
    <w:rsid w:val="003A46DA"/>
    <w:rsid w:val="003A4D1C"/>
    <w:rsid w:val="003A5D4C"/>
    <w:rsid w:val="003A5E4C"/>
    <w:rsid w:val="003A60CD"/>
    <w:rsid w:val="003A7149"/>
    <w:rsid w:val="003A73AC"/>
    <w:rsid w:val="003A7531"/>
    <w:rsid w:val="003A788F"/>
    <w:rsid w:val="003A7D24"/>
    <w:rsid w:val="003B0649"/>
    <w:rsid w:val="003B0AAE"/>
    <w:rsid w:val="003B11D1"/>
    <w:rsid w:val="003B2A65"/>
    <w:rsid w:val="003B2FFB"/>
    <w:rsid w:val="003B321F"/>
    <w:rsid w:val="003B4CFE"/>
    <w:rsid w:val="003B4EEB"/>
    <w:rsid w:val="003B58CC"/>
    <w:rsid w:val="003B5C43"/>
    <w:rsid w:val="003B6E69"/>
    <w:rsid w:val="003B785B"/>
    <w:rsid w:val="003B7A02"/>
    <w:rsid w:val="003C033E"/>
    <w:rsid w:val="003C06E7"/>
    <w:rsid w:val="003C0BBD"/>
    <w:rsid w:val="003C12D1"/>
    <w:rsid w:val="003C20DC"/>
    <w:rsid w:val="003C22F2"/>
    <w:rsid w:val="003C2788"/>
    <w:rsid w:val="003C2DF8"/>
    <w:rsid w:val="003C2F56"/>
    <w:rsid w:val="003C3C0F"/>
    <w:rsid w:val="003C3DDE"/>
    <w:rsid w:val="003C4995"/>
    <w:rsid w:val="003C5438"/>
    <w:rsid w:val="003C584F"/>
    <w:rsid w:val="003C59FF"/>
    <w:rsid w:val="003C5D51"/>
    <w:rsid w:val="003C5FC5"/>
    <w:rsid w:val="003C61F1"/>
    <w:rsid w:val="003C667F"/>
    <w:rsid w:val="003C7280"/>
    <w:rsid w:val="003C72D3"/>
    <w:rsid w:val="003C759B"/>
    <w:rsid w:val="003C7709"/>
    <w:rsid w:val="003C7E59"/>
    <w:rsid w:val="003D0083"/>
    <w:rsid w:val="003D116D"/>
    <w:rsid w:val="003D1FB2"/>
    <w:rsid w:val="003D3177"/>
    <w:rsid w:val="003D38DF"/>
    <w:rsid w:val="003D4B00"/>
    <w:rsid w:val="003D4DB9"/>
    <w:rsid w:val="003D4DFC"/>
    <w:rsid w:val="003D558A"/>
    <w:rsid w:val="003D64F6"/>
    <w:rsid w:val="003D656E"/>
    <w:rsid w:val="003D7B55"/>
    <w:rsid w:val="003E0BB9"/>
    <w:rsid w:val="003E0D71"/>
    <w:rsid w:val="003E1ACF"/>
    <w:rsid w:val="003E1BF5"/>
    <w:rsid w:val="003E228E"/>
    <w:rsid w:val="003E2BB4"/>
    <w:rsid w:val="003E322F"/>
    <w:rsid w:val="003E3231"/>
    <w:rsid w:val="003E3698"/>
    <w:rsid w:val="003E37DB"/>
    <w:rsid w:val="003E37EB"/>
    <w:rsid w:val="003E3E17"/>
    <w:rsid w:val="003E44F2"/>
    <w:rsid w:val="003E489B"/>
    <w:rsid w:val="003E4E3B"/>
    <w:rsid w:val="003E5280"/>
    <w:rsid w:val="003E54E9"/>
    <w:rsid w:val="003E5EDC"/>
    <w:rsid w:val="003E6030"/>
    <w:rsid w:val="003E7A2A"/>
    <w:rsid w:val="003E7BF7"/>
    <w:rsid w:val="003E7DF0"/>
    <w:rsid w:val="003F039C"/>
    <w:rsid w:val="003F03A8"/>
    <w:rsid w:val="003F0428"/>
    <w:rsid w:val="003F15DF"/>
    <w:rsid w:val="003F3E97"/>
    <w:rsid w:val="003F4715"/>
    <w:rsid w:val="003F4876"/>
    <w:rsid w:val="003F4E9B"/>
    <w:rsid w:val="003F53E6"/>
    <w:rsid w:val="003F5B30"/>
    <w:rsid w:val="003F6024"/>
    <w:rsid w:val="003F65DC"/>
    <w:rsid w:val="003F6E6F"/>
    <w:rsid w:val="003F6F7C"/>
    <w:rsid w:val="003F6FC7"/>
    <w:rsid w:val="003F7754"/>
    <w:rsid w:val="00400CAC"/>
    <w:rsid w:val="00401373"/>
    <w:rsid w:val="004014E1"/>
    <w:rsid w:val="00401785"/>
    <w:rsid w:val="00401B71"/>
    <w:rsid w:val="004020C2"/>
    <w:rsid w:val="0040277E"/>
    <w:rsid w:val="004027FF"/>
    <w:rsid w:val="00402ACD"/>
    <w:rsid w:val="00402CF2"/>
    <w:rsid w:val="0040359C"/>
    <w:rsid w:val="00403649"/>
    <w:rsid w:val="00403BEA"/>
    <w:rsid w:val="00404A6B"/>
    <w:rsid w:val="0040527B"/>
    <w:rsid w:val="004056A5"/>
    <w:rsid w:val="00405E7D"/>
    <w:rsid w:val="004065E9"/>
    <w:rsid w:val="00406836"/>
    <w:rsid w:val="00406909"/>
    <w:rsid w:val="0040753D"/>
    <w:rsid w:val="00407B26"/>
    <w:rsid w:val="00407BED"/>
    <w:rsid w:val="00407CE1"/>
    <w:rsid w:val="00407F10"/>
    <w:rsid w:val="00411104"/>
    <w:rsid w:val="004113A5"/>
    <w:rsid w:val="00411FDF"/>
    <w:rsid w:val="004126BF"/>
    <w:rsid w:val="00412DDE"/>
    <w:rsid w:val="004131E8"/>
    <w:rsid w:val="00414491"/>
    <w:rsid w:val="0041453C"/>
    <w:rsid w:val="00415315"/>
    <w:rsid w:val="004158CB"/>
    <w:rsid w:val="00415D94"/>
    <w:rsid w:val="0041623E"/>
    <w:rsid w:val="00416597"/>
    <w:rsid w:val="00416C8E"/>
    <w:rsid w:val="00416EA4"/>
    <w:rsid w:val="00420607"/>
    <w:rsid w:val="0042078C"/>
    <w:rsid w:val="00420ACD"/>
    <w:rsid w:val="00420B25"/>
    <w:rsid w:val="00421585"/>
    <w:rsid w:val="0042169A"/>
    <w:rsid w:val="00423B31"/>
    <w:rsid w:val="00423D12"/>
    <w:rsid w:val="00423D57"/>
    <w:rsid w:val="004247A0"/>
    <w:rsid w:val="004251D1"/>
    <w:rsid w:val="004252F2"/>
    <w:rsid w:val="004254F4"/>
    <w:rsid w:val="004304A3"/>
    <w:rsid w:val="004306C2"/>
    <w:rsid w:val="00430B17"/>
    <w:rsid w:val="00432122"/>
    <w:rsid w:val="00432D33"/>
    <w:rsid w:val="00433345"/>
    <w:rsid w:val="004349B8"/>
    <w:rsid w:val="00434D8B"/>
    <w:rsid w:val="004350FB"/>
    <w:rsid w:val="00435185"/>
    <w:rsid w:val="004354E8"/>
    <w:rsid w:val="00437314"/>
    <w:rsid w:val="00437434"/>
    <w:rsid w:val="0043757F"/>
    <w:rsid w:val="004376C5"/>
    <w:rsid w:val="00440B8E"/>
    <w:rsid w:val="0044113F"/>
    <w:rsid w:val="00441235"/>
    <w:rsid w:val="00441372"/>
    <w:rsid w:val="0044153C"/>
    <w:rsid w:val="004416A4"/>
    <w:rsid w:val="00441BEF"/>
    <w:rsid w:val="00441D07"/>
    <w:rsid w:val="004420E4"/>
    <w:rsid w:val="0044221F"/>
    <w:rsid w:val="00442D22"/>
    <w:rsid w:val="00442D71"/>
    <w:rsid w:val="00443069"/>
    <w:rsid w:val="00444E9A"/>
    <w:rsid w:val="00445319"/>
    <w:rsid w:val="004462FA"/>
    <w:rsid w:val="004465E3"/>
    <w:rsid w:val="00447073"/>
    <w:rsid w:val="004471E2"/>
    <w:rsid w:val="004472B6"/>
    <w:rsid w:val="004501EA"/>
    <w:rsid w:val="00452157"/>
    <w:rsid w:val="004522C3"/>
    <w:rsid w:val="00452337"/>
    <w:rsid w:val="00452665"/>
    <w:rsid w:val="004534BB"/>
    <w:rsid w:val="00453594"/>
    <w:rsid w:val="004543BB"/>
    <w:rsid w:val="00454C08"/>
    <w:rsid w:val="00455269"/>
    <w:rsid w:val="004569DA"/>
    <w:rsid w:val="00456F73"/>
    <w:rsid w:val="004575F5"/>
    <w:rsid w:val="00457645"/>
    <w:rsid w:val="0045778A"/>
    <w:rsid w:val="00457886"/>
    <w:rsid w:val="00457E92"/>
    <w:rsid w:val="004617A8"/>
    <w:rsid w:val="00461EE3"/>
    <w:rsid w:val="004624DA"/>
    <w:rsid w:val="004630CE"/>
    <w:rsid w:val="00463ECB"/>
    <w:rsid w:val="004640A9"/>
    <w:rsid w:val="0046462C"/>
    <w:rsid w:val="0046485D"/>
    <w:rsid w:val="00465F8C"/>
    <w:rsid w:val="00466EB5"/>
    <w:rsid w:val="00467D49"/>
    <w:rsid w:val="00470FCB"/>
    <w:rsid w:val="00471928"/>
    <w:rsid w:val="00471E8D"/>
    <w:rsid w:val="0047200E"/>
    <w:rsid w:val="00472FCA"/>
    <w:rsid w:val="0047323C"/>
    <w:rsid w:val="0047502C"/>
    <w:rsid w:val="00475919"/>
    <w:rsid w:val="00475B92"/>
    <w:rsid w:val="00476D51"/>
    <w:rsid w:val="00476DF4"/>
    <w:rsid w:val="004773DC"/>
    <w:rsid w:val="00480367"/>
    <w:rsid w:val="00480C1A"/>
    <w:rsid w:val="00480F34"/>
    <w:rsid w:val="00481477"/>
    <w:rsid w:val="00481AFB"/>
    <w:rsid w:val="00481CD7"/>
    <w:rsid w:val="00482862"/>
    <w:rsid w:val="004830B4"/>
    <w:rsid w:val="0048337B"/>
    <w:rsid w:val="0048399C"/>
    <w:rsid w:val="00483A35"/>
    <w:rsid w:val="00483CFA"/>
    <w:rsid w:val="004844F9"/>
    <w:rsid w:val="00484F53"/>
    <w:rsid w:val="00485728"/>
    <w:rsid w:val="00485B80"/>
    <w:rsid w:val="00485F9A"/>
    <w:rsid w:val="004865DF"/>
    <w:rsid w:val="00486B95"/>
    <w:rsid w:val="00487C07"/>
    <w:rsid w:val="0049190E"/>
    <w:rsid w:val="00491B17"/>
    <w:rsid w:val="0049259A"/>
    <w:rsid w:val="00492E01"/>
    <w:rsid w:val="00492F97"/>
    <w:rsid w:val="004930C2"/>
    <w:rsid w:val="00493458"/>
    <w:rsid w:val="00493A1A"/>
    <w:rsid w:val="00494438"/>
    <w:rsid w:val="00494F5D"/>
    <w:rsid w:val="00495678"/>
    <w:rsid w:val="00495840"/>
    <w:rsid w:val="00495966"/>
    <w:rsid w:val="00497038"/>
    <w:rsid w:val="00497C27"/>
    <w:rsid w:val="004A0128"/>
    <w:rsid w:val="004A1701"/>
    <w:rsid w:val="004A267C"/>
    <w:rsid w:val="004A2DF0"/>
    <w:rsid w:val="004A312D"/>
    <w:rsid w:val="004A3E34"/>
    <w:rsid w:val="004A4839"/>
    <w:rsid w:val="004A6609"/>
    <w:rsid w:val="004A6A6A"/>
    <w:rsid w:val="004A6F74"/>
    <w:rsid w:val="004A6FA9"/>
    <w:rsid w:val="004B06E1"/>
    <w:rsid w:val="004B0721"/>
    <w:rsid w:val="004B0A5A"/>
    <w:rsid w:val="004B24EF"/>
    <w:rsid w:val="004B3168"/>
    <w:rsid w:val="004B4D2C"/>
    <w:rsid w:val="004B56F9"/>
    <w:rsid w:val="004B5D2D"/>
    <w:rsid w:val="004B7CE2"/>
    <w:rsid w:val="004C1C2C"/>
    <w:rsid w:val="004C220A"/>
    <w:rsid w:val="004C344E"/>
    <w:rsid w:val="004C5F62"/>
    <w:rsid w:val="004C6763"/>
    <w:rsid w:val="004C6A45"/>
    <w:rsid w:val="004C6A5D"/>
    <w:rsid w:val="004C7252"/>
    <w:rsid w:val="004C742E"/>
    <w:rsid w:val="004C7D17"/>
    <w:rsid w:val="004D0BD4"/>
    <w:rsid w:val="004D0F38"/>
    <w:rsid w:val="004D136B"/>
    <w:rsid w:val="004D14E0"/>
    <w:rsid w:val="004D15AA"/>
    <w:rsid w:val="004D2090"/>
    <w:rsid w:val="004D31AC"/>
    <w:rsid w:val="004D3270"/>
    <w:rsid w:val="004D3DC8"/>
    <w:rsid w:val="004D4967"/>
    <w:rsid w:val="004D53E4"/>
    <w:rsid w:val="004D5698"/>
    <w:rsid w:val="004D58A7"/>
    <w:rsid w:val="004D615B"/>
    <w:rsid w:val="004D6ABC"/>
    <w:rsid w:val="004D7906"/>
    <w:rsid w:val="004E089F"/>
    <w:rsid w:val="004E0C4B"/>
    <w:rsid w:val="004E16FB"/>
    <w:rsid w:val="004E1E69"/>
    <w:rsid w:val="004E2D90"/>
    <w:rsid w:val="004E34D3"/>
    <w:rsid w:val="004E3B79"/>
    <w:rsid w:val="004E3CA7"/>
    <w:rsid w:val="004E3F83"/>
    <w:rsid w:val="004E4E85"/>
    <w:rsid w:val="004E4FF5"/>
    <w:rsid w:val="004E536F"/>
    <w:rsid w:val="004E5978"/>
    <w:rsid w:val="004E6D2E"/>
    <w:rsid w:val="004E7876"/>
    <w:rsid w:val="004F14FB"/>
    <w:rsid w:val="004F195A"/>
    <w:rsid w:val="004F2617"/>
    <w:rsid w:val="004F2B51"/>
    <w:rsid w:val="004F2C6F"/>
    <w:rsid w:val="004F2EB9"/>
    <w:rsid w:val="004F33BF"/>
    <w:rsid w:val="004F34CE"/>
    <w:rsid w:val="004F3CFE"/>
    <w:rsid w:val="004F496D"/>
    <w:rsid w:val="004F4FD0"/>
    <w:rsid w:val="004F5104"/>
    <w:rsid w:val="004F6186"/>
    <w:rsid w:val="004F6407"/>
    <w:rsid w:val="004F712E"/>
    <w:rsid w:val="004F782C"/>
    <w:rsid w:val="0050065E"/>
    <w:rsid w:val="00500DE8"/>
    <w:rsid w:val="00502604"/>
    <w:rsid w:val="0050304B"/>
    <w:rsid w:val="005039F6"/>
    <w:rsid w:val="00503B19"/>
    <w:rsid w:val="005044CD"/>
    <w:rsid w:val="00504A77"/>
    <w:rsid w:val="00504ECC"/>
    <w:rsid w:val="0050516D"/>
    <w:rsid w:val="00505284"/>
    <w:rsid w:val="00505821"/>
    <w:rsid w:val="0050595C"/>
    <w:rsid w:val="0050595D"/>
    <w:rsid w:val="00506809"/>
    <w:rsid w:val="00506AC5"/>
    <w:rsid w:val="00506B12"/>
    <w:rsid w:val="00507438"/>
    <w:rsid w:val="00507AA0"/>
    <w:rsid w:val="00507AA1"/>
    <w:rsid w:val="005127AA"/>
    <w:rsid w:val="00512FC9"/>
    <w:rsid w:val="005137B6"/>
    <w:rsid w:val="00514FFA"/>
    <w:rsid w:val="0051506D"/>
    <w:rsid w:val="00515267"/>
    <w:rsid w:val="00515A35"/>
    <w:rsid w:val="00515E2B"/>
    <w:rsid w:val="00515F06"/>
    <w:rsid w:val="00516813"/>
    <w:rsid w:val="0051701A"/>
    <w:rsid w:val="005173CE"/>
    <w:rsid w:val="00517ABB"/>
    <w:rsid w:val="00517AF3"/>
    <w:rsid w:val="005202EF"/>
    <w:rsid w:val="00520812"/>
    <w:rsid w:val="00520CA3"/>
    <w:rsid w:val="00520DD7"/>
    <w:rsid w:val="005215CC"/>
    <w:rsid w:val="0052221F"/>
    <w:rsid w:val="00522346"/>
    <w:rsid w:val="00522AFB"/>
    <w:rsid w:val="00522C90"/>
    <w:rsid w:val="00522DAC"/>
    <w:rsid w:val="005230C8"/>
    <w:rsid w:val="00523604"/>
    <w:rsid w:val="00523629"/>
    <w:rsid w:val="00523904"/>
    <w:rsid w:val="00523BD1"/>
    <w:rsid w:val="00523EA8"/>
    <w:rsid w:val="0052405C"/>
    <w:rsid w:val="00524CB2"/>
    <w:rsid w:val="00524EDE"/>
    <w:rsid w:val="00525228"/>
    <w:rsid w:val="005256B1"/>
    <w:rsid w:val="005258B6"/>
    <w:rsid w:val="0052607B"/>
    <w:rsid w:val="0052608C"/>
    <w:rsid w:val="00526181"/>
    <w:rsid w:val="005267D3"/>
    <w:rsid w:val="005279FA"/>
    <w:rsid w:val="00530381"/>
    <w:rsid w:val="0053055E"/>
    <w:rsid w:val="0053221F"/>
    <w:rsid w:val="00533476"/>
    <w:rsid w:val="005335E7"/>
    <w:rsid w:val="0053372C"/>
    <w:rsid w:val="005344C7"/>
    <w:rsid w:val="00534C9E"/>
    <w:rsid w:val="00535555"/>
    <w:rsid w:val="005357E3"/>
    <w:rsid w:val="005357F2"/>
    <w:rsid w:val="00535A56"/>
    <w:rsid w:val="00535CB0"/>
    <w:rsid w:val="0053791C"/>
    <w:rsid w:val="0053794A"/>
    <w:rsid w:val="00540141"/>
    <w:rsid w:val="00540BDC"/>
    <w:rsid w:val="005410B8"/>
    <w:rsid w:val="00541819"/>
    <w:rsid w:val="0054240E"/>
    <w:rsid w:val="00542699"/>
    <w:rsid w:val="00542D71"/>
    <w:rsid w:val="00542FBE"/>
    <w:rsid w:val="005434CE"/>
    <w:rsid w:val="0054399A"/>
    <w:rsid w:val="0054472E"/>
    <w:rsid w:val="00545ABF"/>
    <w:rsid w:val="00545BC4"/>
    <w:rsid w:val="00545D7D"/>
    <w:rsid w:val="00545E96"/>
    <w:rsid w:val="00545FF6"/>
    <w:rsid w:val="0054621A"/>
    <w:rsid w:val="00546E96"/>
    <w:rsid w:val="00546F85"/>
    <w:rsid w:val="00547DC0"/>
    <w:rsid w:val="005508FE"/>
    <w:rsid w:val="005514B0"/>
    <w:rsid w:val="00551A99"/>
    <w:rsid w:val="00552EAB"/>
    <w:rsid w:val="00553800"/>
    <w:rsid w:val="00553C27"/>
    <w:rsid w:val="005547CC"/>
    <w:rsid w:val="005548E0"/>
    <w:rsid w:val="00554C1A"/>
    <w:rsid w:val="0055507D"/>
    <w:rsid w:val="00555448"/>
    <w:rsid w:val="005563CA"/>
    <w:rsid w:val="005608B1"/>
    <w:rsid w:val="00560D70"/>
    <w:rsid w:val="00561A1F"/>
    <w:rsid w:val="005622C2"/>
    <w:rsid w:val="005623EF"/>
    <w:rsid w:val="00562663"/>
    <w:rsid w:val="005636F8"/>
    <w:rsid w:val="00563C25"/>
    <w:rsid w:val="00564C72"/>
    <w:rsid w:val="00565195"/>
    <w:rsid w:val="005651C3"/>
    <w:rsid w:val="005657B1"/>
    <w:rsid w:val="00565B79"/>
    <w:rsid w:val="00565C40"/>
    <w:rsid w:val="00566075"/>
    <w:rsid w:val="005661CF"/>
    <w:rsid w:val="00566495"/>
    <w:rsid w:val="0056666F"/>
    <w:rsid w:val="0056679F"/>
    <w:rsid w:val="00567853"/>
    <w:rsid w:val="005704FE"/>
    <w:rsid w:val="00571387"/>
    <w:rsid w:val="0057221D"/>
    <w:rsid w:val="005726AB"/>
    <w:rsid w:val="0057278B"/>
    <w:rsid w:val="00572AD6"/>
    <w:rsid w:val="00572B73"/>
    <w:rsid w:val="00573379"/>
    <w:rsid w:val="00573525"/>
    <w:rsid w:val="00573FE5"/>
    <w:rsid w:val="00574628"/>
    <w:rsid w:val="00574950"/>
    <w:rsid w:val="0057595D"/>
    <w:rsid w:val="005759FE"/>
    <w:rsid w:val="00575B1A"/>
    <w:rsid w:val="00575CA3"/>
    <w:rsid w:val="00577EFB"/>
    <w:rsid w:val="00580734"/>
    <w:rsid w:val="00580AD2"/>
    <w:rsid w:val="005815BB"/>
    <w:rsid w:val="005817FE"/>
    <w:rsid w:val="005819EE"/>
    <w:rsid w:val="00581E55"/>
    <w:rsid w:val="0058217E"/>
    <w:rsid w:val="00582565"/>
    <w:rsid w:val="0058283E"/>
    <w:rsid w:val="00582CC9"/>
    <w:rsid w:val="005833E7"/>
    <w:rsid w:val="00583C04"/>
    <w:rsid w:val="005847B7"/>
    <w:rsid w:val="0058521F"/>
    <w:rsid w:val="00585B8C"/>
    <w:rsid w:val="00585D6C"/>
    <w:rsid w:val="00585DCB"/>
    <w:rsid w:val="005861BA"/>
    <w:rsid w:val="005861D0"/>
    <w:rsid w:val="00586885"/>
    <w:rsid w:val="00586CE2"/>
    <w:rsid w:val="0058708A"/>
    <w:rsid w:val="0058780B"/>
    <w:rsid w:val="005878C0"/>
    <w:rsid w:val="005879BB"/>
    <w:rsid w:val="00587DF4"/>
    <w:rsid w:val="0059002A"/>
    <w:rsid w:val="005907D7"/>
    <w:rsid w:val="005908F4"/>
    <w:rsid w:val="00590ED3"/>
    <w:rsid w:val="00591118"/>
    <w:rsid w:val="00591DDB"/>
    <w:rsid w:val="0059212B"/>
    <w:rsid w:val="005921BF"/>
    <w:rsid w:val="005922F3"/>
    <w:rsid w:val="00592A53"/>
    <w:rsid w:val="0059410D"/>
    <w:rsid w:val="00594A7E"/>
    <w:rsid w:val="00594D76"/>
    <w:rsid w:val="00595555"/>
    <w:rsid w:val="005959AD"/>
    <w:rsid w:val="00595A45"/>
    <w:rsid w:val="00595DAC"/>
    <w:rsid w:val="005975C3"/>
    <w:rsid w:val="00597B74"/>
    <w:rsid w:val="00597BBF"/>
    <w:rsid w:val="00597F28"/>
    <w:rsid w:val="005A08B6"/>
    <w:rsid w:val="005A1703"/>
    <w:rsid w:val="005A1EAE"/>
    <w:rsid w:val="005A432A"/>
    <w:rsid w:val="005A5299"/>
    <w:rsid w:val="005A5CDB"/>
    <w:rsid w:val="005A637F"/>
    <w:rsid w:val="005A664C"/>
    <w:rsid w:val="005A7259"/>
    <w:rsid w:val="005A73C1"/>
    <w:rsid w:val="005A7643"/>
    <w:rsid w:val="005A77A7"/>
    <w:rsid w:val="005A77C4"/>
    <w:rsid w:val="005A7AA9"/>
    <w:rsid w:val="005A7BE8"/>
    <w:rsid w:val="005A7E30"/>
    <w:rsid w:val="005B06D3"/>
    <w:rsid w:val="005B0899"/>
    <w:rsid w:val="005B0E80"/>
    <w:rsid w:val="005B15FB"/>
    <w:rsid w:val="005B259A"/>
    <w:rsid w:val="005B26F5"/>
    <w:rsid w:val="005B28BC"/>
    <w:rsid w:val="005B342A"/>
    <w:rsid w:val="005B4318"/>
    <w:rsid w:val="005B4A83"/>
    <w:rsid w:val="005B4CE8"/>
    <w:rsid w:val="005B4F56"/>
    <w:rsid w:val="005B52A5"/>
    <w:rsid w:val="005B55E4"/>
    <w:rsid w:val="005B5BE2"/>
    <w:rsid w:val="005B5E6F"/>
    <w:rsid w:val="005B5EFB"/>
    <w:rsid w:val="005B64EF"/>
    <w:rsid w:val="005B6577"/>
    <w:rsid w:val="005B7203"/>
    <w:rsid w:val="005B75D7"/>
    <w:rsid w:val="005C02C7"/>
    <w:rsid w:val="005C0CF5"/>
    <w:rsid w:val="005C0E76"/>
    <w:rsid w:val="005C1BA2"/>
    <w:rsid w:val="005C1CF1"/>
    <w:rsid w:val="005C1E29"/>
    <w:rsid w:val="005C20D5"/>
    <w:rsid w:val="005C2DE4"/>
    <w:rsid w:val="005C3904"/>
    <w:rsid w:val="005C3C22"/>
    <w:rsid w:val="005C3CF7"/>
    <w:rsid w:val="005C4656"/>
    <w:rsid w:val="005C4A00"/>
    <w:rsid w:val="005C4E8A"/>
    <w:rsid w:val="005C5F66"/>
    <w:rsid w:val="005C609E"/>
    <w:rsid w:val="005C7148"/>
    <w:rsid w:val="005C7DFF"/>
    <w:rsid w:val="005D0372"/>
    <w:rsid w:val="005D1383"/>
    <w:rsid w:val="005D1769"/>
    <w:rsid w:val="005D2A2E"/>
    <w:rsid w:val="005D2EA1"/>
    <w:rsid w:val="005D3C07"/>
    <w:rsid w:val="005D41F7"/>
    <w:rsid w:val="005D43A5"/>
    <w:rsid w:val="005D48DA"/>
    <w:rsid w:val="005D532E"/>
    <w:rsid w:val="005D6EE5"/>
    <w:rsid w:val="005D7FE5"/>
    <w:rsid w:val="005E018F"/>
    <w:rsid w:val="005E041B"/>
    <w:rsid w:val="005E0760"/>
    <w:rsid w:val="005E0DA5"/>
    <w:rsid w:val="005E158A"/>
    <w:rsid w:val="005E1C09"/>
    <w:rsid w:val="005E30F4"/>
    <w:rsid w:val="005E312F"/>
    <w:rsid w:val="005E3900"/>
    <w:rsid w:val="005E3A33"/>
    <w:rsid w:val="005E3CC9"/>
    <w:rsid w:val="005E40D4"/>
    <w:rsid w:val="005E40FE"/>
    <w:rsid w:val="005E5753"/>
    <w:rsid w:val="005E5B14"/>
    <w:rsid w:val="005E5E9B"/>
    <w:rsid w:val="005E756F"/>
    <w:rsid w:val="005E7643"/>
    <w:rsid w:val="005E7FB2"/>
    <w:rsid w:val="005F121A"/>
    <w:rsid w:val="005F174E"/>
    <w:rsid w:val="005F197A"/>
    <w:rsid w:val="005F1B57"/>
    <w:rsid w:val="005F250C"/>
    <w:rsid w:val="005F4685"/>
    <w:rsid w:val="005F6F38"/>
    <w:rsid w:val="005F744C"/>
    <w:rsid w:val="005F7485"/>
    <w:rsid w:val="005F7525"/>
    <w:rsid w:val="006000A6"/>
    <w:rsid w:val="0060013D"/>
    <w:rsid w:val="00600369"/>
    <w:rsid w:val="0060195B"/>
    <w:rsid w:val="00602098"/>
    <w:rsid w:val="00602677"/>
    <w:rsid w:val="00602721"/>
    <w:rsid w:val="006044D3"/>
    <w:rsid w:val="006048E5"/>
    <w:rsid w:val="00604A7E"/>
    <w:rsid w:val="00605305"/>
    <w:rsid w:val="00607351"/>
    <w:rsid w:val="00607893"/>
    <w:rsid w:val="00607968"/>
    <w:rsid w:val="00610131"/>
    <w:rsid w:val="006104A8"/>
    <w:rsid w:val="00610ADD"/>
    <w:rsid w:val="00611D83"/>
    <w:rsid w:val="00611F6E"/>
    <w:rsid w:val="006120C6"/>
    <w:rsid w:val="006143C3"/>
    <w:rsid w:val="00615204"/>
    <w:rsid w:val="0061529D"/>
    <w:rsid w:val="00615E7B"/>
    <w:rsid w:val="0061687C"/>
    <w:rsid w:val="00617223"/>
    <w:rsid w:val="00617CCB"/>
    <w:rsid w:val="00617DD4"/>
    <w:rsid w:val="00617DE2"/>
    <w:rsid w:val="0062046B"/>
    <w:rsid w:val="00621774"/>
    <w:rsid w:val="006221B2"/>
    <w:rsid w:val="006223B4"/>
    <w:rsid w:val="006223C3"/>
    <w:rsid w:val="00622F4A"/>
    <w:rsid w:val="0062377B"/>
    <w:rsid w:val="006239C7"/>
    <w:rsid w:val="00623C00"/>
    <w:rsid w:val="00624994"/>
    <w:rsid w:val="00625F70"/>
    <w:rsid w:val="006265C7"/>
    <w:rsid w:val="00626826"/>
    <w:rsid w:val="006272A8"/>
    <w:rsid w:val="006272BC"/>
    <w:rsid w:val="00627F08"/>
    <w:rsid w:val="00627FE0"/>
    <w:rsid w:val="006300DE"/>
    <w:rsid w:val="006302A8"/>
    <w:rsid w:val="00631223"/>
    <w:rsid w:val="006312E0"/>
    <w:rsid w:val="006313E9"/>
    <w:rsid w:val="00632E1E"/>
    <w:rsid w:val="00632E8A"/>
    <w:rsid w:val="0063303E"/>
    <w:rsid w:val="006336FD"/>
    <w:rsid w:val="00634415"/>
    <w:rsid w:val="00634553"/>
    <w:rsid w:val="00635FDB"/>
    <w:rsid w:val="0063691C"/>
    <w:rsid w:val="00636CE3"/>
    <w:rsid w:val="00636D68"/>
    <w:rsid w:val="0063723B"/>
    <w:rsid w:val="006373CC"/>
    <w:rsid w:val="00637557"/>
    <w:rsid w:val="006379C1"/>
    <w:rsid w:val="00640474"/>
    <w:rsid w:val="006424AA"/>
    <w:rsid w:val="006426C0"/>
    <w:rsid w:val="0064310B"/>
    <w:rsid w:val="006435D1"/>
    <w:rsid w:val="0064412D"/>
    <w:rsid w:val="0064422C"/>
    <w:rsid w:val="00644412"/>
    <w:rsid w:val="006444DD"/>
    <w:rsid w:val="00644A50"/>
    <w:rsid w:val="00645513"/>
    <w:rsid w:val="0064565A"/>
    <w:rsid w:val="006457A1"/>
    <w:rsid w:val="00645E5A"/>
    <w:rsid w:val="00645F5B"/>
    <w:rsid w:val="0064640A"/>
    <w:rsid w:val="006510E4"/>
    <w:rsid w:val="00653766"/>
    <w:rsid w:val="006537FD"/>
    <w:rsid w:val="00653A99"/>
    <w:rsid w:val="006547F9"/>
    <w:rsid w:val="00654898"/>
    <w:rsid w:val="00655FEC"/>
    <w:rsid w:val="00656B94"/>
    <w:rsid w:val="00656F89"/>
    <w:rsid w:val="00657048"/>
    <w:rsid w:val="006570D9"/>
    <w:rsid w:val="00657A85"/>
    <w:rsid w:val="00657C5E"/>
    <w:rsid w:val="006605A0"/>
    <w:rsid w:val="0066086E"/>
    <w:rsid w:val="00661150"/>
    <w:rsid w:val="0066152A"/>
    <w:rsid w:val="00661DB2"/>
    <w:rsid w:val="00661F6F"/>
    <w:rsid w:val="0066244E"/>
    <w:rsid w:val="0066296D"/>
    <w:rsid w:val="00662D68"/>
    <w:rsid w:val="006634B9"/>
    <w:rsid w:val="006636DE"/>
    <w:rsid w:val="00664C7A"/>
    <w:rsid w:val="00664CCC"/>
    <w:rsid w:val="00664DB3"/>
    <w:rsid w:val="00667C97"/>
    <w:rsid w:val="00667D95"/>
    <w:rsid w:val="00670AF4"/>
    <w:rsid w:val="00672D0D"/>
    <w:rsid w:val="00673C6A"/>
    <w:rsid w:val="006745B1"/>
    <w:rsid w:val="006747E5"/>
    <w:rsid w:val="00674ADE"/>
    <w:rsid w:val="00676CF7"/>
    <w:rsid w:val="00677F2B"/>
    <w:rsid w:val="00680067"/>
    <w:rsid w:val="006803B7"/>
    <w:rsid w:val="006810EE"/>
    <w:rsid w:val="00681504"/>
    <w:rsid w:val="00681976"/>
    <w:rsid w:val="00682075"/>
    <w:rsid w:val="00683251"/>
    <w:rsid w:val="006840BA"/>
    <w:rsid w:val="0068421F"/>
    <w:rsid w:val="00684692"/>
    <w:rsid w:val="00684F29"/>
    <w:rsid w:val="0068584D"/>
    <w:rsid w:val="00685962"/>
    <w:rsid w:val="00686603"/>
    <w:rsid w:val="00686B6B"/>
    <w:rsid w:val="006874AD"/>
    <w:rsid w:val="006904F5"/>
    <w:rsid w:val="00690728"/>
    <w:rsid w:val="00691E7B"/>
    <w:rsid w:val="00693636"/>
    <w:rsid w:val="006939BC"/>
    <w:rsid w:val="00693CAA"/>
    <w:rsid w:val="00693FD4"/>
    <w:rsid w:val="006960C3"/>
    <w:rsid w:val="0069649F"/>
    <w:rsid w:val="00697339"/>
    <w:rsid w:val="006A075D"/>
    <w:rsid w:val="006A14AB"/>
    <w:rsid w:val="006A20C8"/>
    <w:rsid w:val="006A236D"/>
    <w:rsid w:val="006A28C3"/>
    <w:rsid w:val="006A3257"/>
    <w:rsid w:val="006A4F33"/>
    <w:rsid w:val="006A51F3"/>
    <w:rsid w:val="006A5652"/>
    <w:rsid w:val="006A57F4"/>
    <w:rsid w:val="006A591A"/>
    <w:rsid w:val="006A66A7"/>
    <w:rsid w:val="006A6E8D"/>
    <w:rsid w:val="006A7583"/>
    <w:rsid w:val="006A779E"/>
    <w:rsid w:val="006A7B16"/>
    <w:rsid w:val="006B05B0"/>
    <w:rsid w:val="006B0A4A"/>
    <w:rsid w:val="006B18E3"/>
    <w:rsid w:val="006B4573"/>
    <w:rsid w:val="006B488B"/>
    <w:rsid w:val="006B4B7F"/>
    <w:rsid w:val="006B4EA2"/>
    <w:rsid w:val="006B5574"/>
    <w:rsid w:val="006B5ACE"/>
    <w:rsid w:val="006B5C70"/>
    <w:rsid w:val="006B6969"/>
    <w:rsid w:val="006B6D48"/>
    <w:rsid w:val="006B6F25"/>
    <w:rsid w:val="006B7035"/>
    <w:rsid w:val="006B7C72"/>
    <w:rsid w:val="006C16CF"/>
    <w:rsid w:val="006C2A87"/>
    <w:rsid w:val="006C36BB"/>
    <w:rsid w:val="006C40D8"/>
    <w:rsid w:val="006C46BD"/>
    <w:rsid w:val="006C5E87"/>
    <w:rsid w:val="006C5FA6"/>
    <w:rsid w:val="006C62F8"/>
    <w:rsid w:val="006C738F"/>
    <w:rsid w:val="006D0780"/>
    <w:rsid w:val="006D0AC3"/>
    <w:rsid w:val="006D1531"/>
    <w:rsid w:val="006D1693"/>
    <w:rsid w:val="006D1FD9"/>
    <w:rsid w:val="006D200D"/>
    <w:rsid w:val="006D222C"/>
    <w:rsid w:val="006D272B"/>
    <w:rsid w:val="006D2757"/>
    <w:rsid w:val="006D2F43"/>
    <w:rsid w:val="006D2FF9"/>
    <w:rsid w:val="006D30D4"/>
    <w:rsid w:val="006D3F11"/>
    <w:rsid w:val="006D3F76"/>
    <w:rsid w:val="006D4E5B"/>
    <w:rsid w:val="006D550D"/>
    <w:rsid w:val="006D671A"/>
    <w:rsid w:val="006D7989"/>
    <w:rsid w:val="006D79EC"/>
    <w:rsid w:val="006E0A17"/>
    <w:rsid w:val="006E12B6"/>
    <w:rsid w:val="006E1747"/>
    <w:rsid w:val="006E2215"/>
    <w:rsid w:val="006E31B5"/>
    <w:rsid w:val="006E3AA9"/>
    <w:rsid w:val="006E4239"/>
    <w:rsid w:val="006E525E"/>
    <w:rsid w:val="006E6834"/>
    <w:rsid w:val="006E68FD"/>
    <w:rsid w:val="006E6C66"/>
    <w:rsid w:val="006E77E8"/>
    <w:rsid w:val="006E7D44"/>
    <w:rsid w:val="006F062D"/>
    <w:rsid w:val="006F0FA9"/>
    <w:rsid w:val="006F1261"/>
    <w:rsid w:val="006F1848"/>
    <w:rsid w:val="006F1B0A"/>
    <w:rsid w:val="006F2C2C"/>
    <w:rsid w:val="006F4ADC"/>
    <w:rsid w:val="006F5101"/>
    <w:rsid w:val="006F5A70"/>
    <w:rsid w:val="006F6FB2"/>
    <w:rsid w:val="006F751D"/>
    <w:rsid w:val="006F7B30"/>
    <w:rsid w:val="006F7DF1"/>
    <w:rsid w:val="00700324"/>
    <w:rsid w:val="00700628"/>
    <w:rsid w:val="00700714"/>
    <w:rsid w:val="00700759"/>
    <w:rsid w:val="00700F69"/>
    <w:rsid w:val="00701325"/>
    <w:rsid w:val="00701AD1"/>
    <w:rsid w:val="00701D56"/>
    <w:rsid w:val="00701F11"/>
    <w:rsid w:val="0070295B"/>
    <w:rsid w:val="00703C75"/>
    <w:rsid w:val="007040C3"/>
    <w:rsid w:val="007046FE"/>
    <w:rsid w:val="00704922"/>
    <w:rsid w:val="00704D5F"/>
    <w:rsid w:val="007061D2"/>
    <w:rsid w:val="00706244"/>
    <w:rsid w:val="007062C8"/>
    <w:rsid w:val="007065A6"/>
    <w:rsid w:val="00706CC9"/>
    <w:rsid w:val="007071B1"/>
    <w:rsid w:val="00707E1C"/>
    <w:rsid w:val="00707FBE"/>
    <w:rsid w:val="007105AF"/>
    <w:rsid w:val="00710619"/>
    <w:rsid w:val="0071095C"/>
    <w:rsid w:val="00710ADE"/>
    <w:rsid w:val="0071133D"/>
    <w:rsid w:val="00711E35"/>
    <w:rsid w:val="00711E80"/>
    <w:rsid w:val="00712325"/>
    <w:rsid w:val="007124BA"/>
    <w:rsid w:val="00713456"/>
    <w:rsid w:val="0071393B"/>
    <w:rsid w:val="00715F76"/>
    <w:rsid w:val="00717410"/>
    <w:rsid w:val="0071789B"/>
    <w:rsid w:val="00720002"/>
    <w:rsid w:val="0072017B"/>
    <w:rsid w:val="00720255"/>
    <w:rsid w:val="0072095D"/>
    <w:rsid w:val="00720DE6"/>
    <w:rsid w:val="00720E18"/>
    <w:rsid w:val="00720F99"/>
    <w:rsid w:val="00721968"/>
    <w:rsid w:val="00721C7B"/>
    <w:rsid w:val="00721D31"/>
    <w:rsid w:val="00721DF7"/>
    <w:rsid w:val="0072307E"/>
    <w:rsid w:val="007242B5"/>
    <w:rsid w:val="00724FA1"/>
    <w:rsid w:val="00725488"/>
    <w:rsid w:val="007256CE"/>
    <w:rsid w:val="00725C17"/>
    <w:rsid w:val="007275CE"/>
    <w:rsid w:val="00730736"/>
    <w:rsid w:val="00730809"/>
    <w:rsid w:val="00730DDA"/>
    <w:rsid w:val="00731BCC"/>
    <w:rsid w:val="007320AB"/>
    <w:rsid w:val="00733293"/>
    <w:rsid w:val="007339FF"/>
    <w:rsid w:val="0073447F"/>
    <w:rsid w:val="00734540"/>
    <w:rsid w:val="007349CF"/>
    <w:rsid w:val="00735496"/>
    <w:rsid w:val="00735640"/>
    <w:rsid w:val="0073590D"/>
    <w:rsid w:val="00735F54"/>
    <w:rsid w:val="007361D7"/>
    <w:rsid w:val="00736A86"/>
    <w:rsid w:val="0073700D"/>
    <w:rsid w:val="00737239"/>
    <w:rsid w:val="00737250"/>
    <w:rsid w:val="00737D6A"/>
    <w:rsid w:val="00741635"/>
    <w:rsid w:val="007421E9"/>
    <w:rsid w:val="00742C98"/>
    <w:rsid w:val="007430EA"/>
    <w:rsid w:val="00743679"/>
    <w:rsid w:val="00743F2B"/>
    <w:rsid w:val="007446B7"/>
    <w:rsid w:val="00745320"/>
    <w:rsid w:val="0074552B"/>
    <w:rsid w:val="00746F1E"/>
    <w:rsid w:val="00750345"/>
    <w:rsid w:val="00750BCF"/>
    <w:rsid w:val="00750F9F"/>
    <w:rsid w:val="00750FF6"/>
    <w:rsid w:val="00751ADF"/>
    <w:rsid w:val="00751D35"/>
    <w:rsid w:val="00752FDE"/>
    <w:rsid w:val="00754088"/>
    <w:rsid w:val="00754724"/>
    <w:rsid w:val="007555BD"/>
    <w:rsid w:val="00755DBD"/>
    <w:rsid w:val="007560FF"/>
    <w:rsid w:val="0075677B"/>
    <w:rsid w:val="0075778C"/>
    <w:rsid w:val="0075793A"/>
    <w:rsid w:val="00757C77"/>
    <w:rsid w:val="00760055"/>
    <w:rsid w:val="007624D8"/>
    <w:rsid w:val="007626A0"/>
    <w:rsid w:val="007626A2"/>
    <w:rsid w:val="0076286B"/>
    <w:rsid w:val="007628A1"/>
    <w:rsid w:val="0076363D"/>
    <w:rsid w:val="007645CF"/>
    <w:rsid w:val="007646C6"/>
    <w:rsid w:val="00764DAC"/>
    <w:rsid w:val="00765496"/>
    <w:rsid w:val="007661A8"/>
    <w:rsid w:val="0076647B"/>
    <w:rsid w:val="0076647E"/>
    <w:rsid w:val="00766B03"/>
    <w:rsid w:val="007673D5"/>
    <w:rsid w:val="00767AAD"/>
    <w:rsid w:val="00767DB9"/>
    <w:rsid w:val="007704CD"/>
    <w:rsid w:val="00770A17"/>
    <w:rsid w:val="007710DE"/>
    <w:rsid w:val="00771177"/>
    <w:rsid w:val="0077263C"/>
    <w:rsid w:val="00772D73"/>
    <w:rsid w:val="00772FC8"/>
    <w:rsid w:val="00773C56"/>
    <w:rsid w:val="00773D06"/>
    <w:rsid w:val="0077492B"/>
    <w:rsid w:val="00774D0A"/>
    <w:rsid w:val="00776196"/>
    <w:rsid w:val="00777212"/>
    <w:rsid w:val="00780E32"/>
    <w:rsid w:val="007827EC"/>
    <w:rsid w:val="00782C6F"/>
    <w:rsid w:val="00782E1D"/>
    <w:rsid w:val="00783CA7"/>
    <w:rsid w:val="0078420A"/>
    <w:rsid w:val="00786947"/>
    <w:rsid w:val="007873C8"/>
    <w:rsid w:val="00787863"/>
    <w:rsid w:val="00787B68"/>
    <w:rsid w:val="00790165"/>
    <w:rsid w:val="00790D5A"/>
    <w:rsid w:val="0079139E"/>
    <w:rsid w:val="007914BE"/>
    <w:rsid w:val="00792129"/>
    <w:rsid w:val="007923AB"/>
    <w:rsid w:val="00792407"/>
    <w:rsid w:val="00792988"/>
    <w:rsid w:val="00792E0C"/>
    <w:rsid w:val="007939AD"/>
    <w:rsid w:val="00794307"/>
    <w:rsid w:val="00795374"/>
    <w:rsid w:val="007953F2"/>
    <w:rsid w:val="007958A6"/>
    <w:rsid w:val="00795915"/>
    <w:rsid w:val="007968B5"/>
    <w:rsid w:val="00796986"/>
    <w:rsid w:val="00797D8E"/>
    <w:rsid w:val="007A0ACF"/>
    <w:rsid w:val="007A0B07"/>
    <w:rsid w:val="007A11E7"/>
    <w:rsid w:val="007A1D1F"/>
    <w:rsid w:val="007A3064"/>
    <w:rsid w:val="007A32E1"/>
    <w:rsid w:val="007A42C4"/>
    <w:rsid w:val="007A5644"/>
    <w:rsid w:val="007A6449"/>
    <w:rsid w:val="007A6ABD"/>
    <w:rsid w:val="007A6B76"/>
    <w:rsid w:val="007A6BF0"/>
    <w:rsid w:val="007A6C1F"/>
    <w:rsid w:val="007A6C32"/>
    <w:rsid w:val="007A6E23"/>
    <w:rsid w:val="007A6F1C"/>
    <w:rsid w:val="007B01F4"/>
    <w:rsid w:val="007B0550"/>
    <w:rsid w:val="007B0AD1"/>
    <w:rsid w:val="007B0DBF"/>
    <w:rsid w:val="007B104E"/>
    <w:rsid w:val="007B1412"/>
    <w:rsid w:val="007B1443"/>
    <w:rsid w:val="007B27A3"/>
    <w:rsid w:val="007B2D98"/>
    <w:rsid w:val="007B34ED"/>
    <w:rsid w:val="007B353B"/>
    <w:rsid w:val="007B3646"/>
    <w:rsid w:val="007B37FA"/>
    <w:rsid w:val="007B4D21"/>
    <w:rsid w:val="007B4F10"/>
    <w:rsid w:val="007B5266"/>
    <w:rsid w:val="007B58E3"/>
    <w:rsid w:val="007B5CBA"/>
    <w:rsid w:val="007B673B"/>
    <w:rsid w:val="007B6DEA"/>
    <w:rsid w:val="007B6E89"/>
    <w:rsid w:val="007B7052"/>
    <w:rsid w:val="007B7189"/>
    <w:rsid w:val="007C0D54"/>
    <w:rsid w:val="007C2071"/>
    <w:rsid w:val="007C2982"/>
    <w:rsid w:val="007C2A3D"/>
    <w:rsid w:val="007C2E70"/>
    <w:rsid w:val="007C3274"/>
    <w:rsid w:val="007C4592"/>
    <w:rsid w:val="007C4595"/>
    <w:rsid w:val="007C4758"/>
    <w:rsid w:val="007C4A6B"/>
    <w:rsid w:val="007C57FE"/>
    <w:rsid w:val="007C64FD"/>
    <w:rsid w:val="007C6E4C"/>
    <w:rsid w:val="007D0384"/>
    <w:rsid w:val="007D0F62"/>
    <w:rsid w:val="007D10D2"/>
    <w:rsid w:val="007D1364"/>
    <w:rsid w:val="007D1AB9"/>
    <w:rsid w:val="007D320D"/>
    <w:rsid w:val="007D43CB"/>
    <w:rsid w:val="007D4C8F"/>
    <w:rsid w:val="007D4E8D"/>
    <w:rsid w:val="007D51D0"/>
    <w:rsid w:val="007D5404"/>
    <w:rsid w:val="007D5454"/>
    <w:rsid w:val="007D5A39"/>
    <w:rsid w:val="007D5D75"/>
    <w:rsid w:val="007D6026"/>
    <w:rsid w:val="007D66C3"/>
    <w:rsid w:val="007D7553"/>
    <w:rsid w:val="007D7A17"/>
    <w:rsid w:val="007D7D9C"/>
    <w:rsid w:val="007D7E1A"/>
    <w:rsid w:val="007E0C4B"/>
    <w:rsid w:val="007E0F92"/>
    <w:rsid w:val="007E11F2"/>
    <w:rsid w:val="007E19DA"/>
    <w:rsid w:val="007E1CFA"/>
    <w:rsid w:val="007E1EF6"/>
    <w:rsid w:val="007E2260"/>
    <w:rsid w:val="007E2E0E"/>
    <w:rsid w:val="007E3B1B"/>
    <w:rsid w:val="007E3EBC"/>
    <w:rsid w:val="007E50C4"/>
    <w:rsid w:val="007E6386"/>
    <w:rsid w:val="007E6C93"/>
    <w:rsid w:val="007E7D4D"/>
    <w:rsid w:val="007F044A"/>
    <w:rsid w:val="007F0503"/>
    <w:rsid w:val="007F0A9B"/>
    <w:rsid w:val="007F0B6F"/>
    <w:rsid w:val="007F1B62"/>
    <w:rsid w:val="007F2103"/>
    <w:rsid w:val="007F31B2"/>
    <w:rsid w:val="007F37C8"/>
    <w:rsid w:val="007F3CB4"/>
    <w:rsid w:val="007F4396"/>
    <w:rsid w:val="007F470F"/>
    <w:rsid w:val="007F495C"/>
    <w:rsid w:val="007F4D86"/>
    <w:rsid w:val="007F5334"/>
    <w:rsid w:val="007F55BB"/>
    <w:rsid w:val="007F5CE0"/>
    <w:rsid w:val="007F60AF"/>
    <w:rsid w:val="007F60B2"/>
    <w:rsid w:val="007F6E2A"/>
    <w:rsid w:val="007F73DA"/>
    <w:rsid w:val="00800959"/>
    <w:rsid w:val="00800E2D"/>
    <w:rsid w:val="00800F90"/>
    <w:rsid w:val="008011AD"/>
    <w:rsid w:val="00801B81"/>
    <w:rsid w:val="00801C2E"/>
    <w:rsid w:val="00801FBA"/>
    <w:rsid w:val="008031DF"/>
    <w:rsid w:val="0080359E"/>
    <w:rsid w:val="00803A8A"/>
    <w:rsid w:val="00804527"/>
    <w:rsid w:val="00804AC7"/>
    <w:rsid w:val="00804BF2"/>
    <w:rsid w:val="00805700"/>
    <w:rsid w:val="00805E96"/>
    <w:rsid w:val="008064BE"/>
    <w:rsid w:val="008065C2"/>
    <w:rsid w:val="00806670"/>
    <w:rsid w:val="00806A2A"/>
    <w:rsid w:val="00807055"/>
    <w:rsid w:val="00807095"/>
    <w:rsid w:val="00807953"/>
    <w:rsid w:val="008107A5"/>
    <w:rsid w:val="00810BAD"/>
    <w:rsid w:val="00810CFD"/>
    <w:rsid w:val="008110EF"/>
    <w:rsid w:val="00811344"/>
    <w:rsid w:val="00811BCF"/>
    <w:rsid w:val="00812386"/>
    <w:rsid w:val="00812CEB"/>
    <w:rsid w:val="00813A71"/>
    <w:rsid w:val="0081426D"/>
    <w:rsid w:val="00815000"/>
    <w:rsid w:val="00817D02"/>
    <w:rsid w:val="00820036"/>
    <w:rsid w:val="0082008B"/>
    <w:rsid w:val="00821160"/>
    <w:rsid w:val="0082214B"/>
    <w:rsid w:val="00822567"/>
    <w:rsid w:val="00822D90"/>
    <w:rsid w:val="0082373B"/>
    <w:rsid w:val="00824150"/>
    <w:rsid w:val="00824C11"/>
    <w:rsid w:val="00825845"/>
    <w:rsid w:val="00825A04"/>
    <w:rsid w:val="00825B87"/>
    <w:rsid w:val="00826145"/>
    <w:rsid w:val="00826AD2"/>
    <w:rsid w:val="0082736D"/>
    <w:rsid w:val="008273E2"/>
    <w:rsid w:val="00830914"/>
    <w:rsid w:val="00831AB3"/>
    <w:rsid w:val="00833496"/>
    <w:rsid w:val="00833559"/>
    <w:rsid w:val="0083365B"/>
    <w:rsid w:val="00833677"/>
    <w:rsid w:val="0083388D"/>
    <w:rsid w:val="0083435D"/>
    <w:rsid w:val="008358E4"/>
    <w:rsid w:val="00835A82"/>
    <w:rsid w:val="00835AFB"/>
    <w:rsid w:val="00835D54"/>
    <w:rsid w:val="00836050"/>
    <w:rsid w:val="00836BE9"/>
    <w:rsid w:val="008379DB"/>
    <w:rsid w:val="00837F19"/>
    <w:rsid w:val="008400F1"/>
    <w:rsid w:val="0084011D"/>
    <w:rsid w:val="00840488"/>
    <w:rsid w:val="00840546"/>
    <w:rsid w:val="00840603"/>
    <w:rsid w:val="00841089"/>
    <w:rsid w:val="00841298"/>
    <w:rsid w:val="00842656"/>
    <w:rsid w:val="00843376"/>
    <w:rsid w:val="00843DE3"/>
    <w:rsid w:val="0084462A"/>
    <w:rsid w:val="00844FA4"/>
    <w:rsid w:val="0084570A"/>
    <w:rsid w:val="00846BF5"/>
    <w:rsid w:val="00847489"/>
    <w:rsid w:val="008475F3"/>
    <w:rsid w:val="00850325"/>
    <w:rsid w:val="00851ECC"/>
    <w:rsid w:val="00852068"/>
    <w:rsid w:val="00852FB5"/>
    <w:rsid w:val="0085374E"/>
    <w:rsid w:val="00853855"/>
    <w:rsid w:val="0085413E"/>
    <w:rsid w:val="008552A5"/>
    <w:rsid w:val="00855A1B"/>
    <w:rsid w:val="0085649D"/>
    <w:rsid w:val="00856E8C"/>
    <w:rsid w:val="008574EF"/>
    <w:rsid w:val="008578F7"/>
    <w:rsid w:val="00857C68"/>
    <w:rsid w:val="008608C6"/>
    <w:rsid w:val="00860903"/>
    <w:rsid w:val="008613DA"/>
    <w:rsid w:val="00862B96"/>
    <w:rsid w:val="00862D24"/>
    <w:rsid w:val="00862F5F"/>
    <w:rsid w:val="00863C3E"/>
    <w:rsid w:val="00863EEC"/>
    <w:rsid w:val="008654B7"/>
    <w:rsid w:val="00865666"/>
    <w:rsid w:val="00866EA7"/>
    <w:rsid w:val="00866F03"/>
    <w:rsid w:val="008676A2"/>
    <w:rsid w:val="008677BB"/>
    <w:rsid w:val="008679FF"/>
    <w:rsid w:val="00867E26"/>
    <w:rsid w:val="008705F2"/>
    <w:rsid w:val="00870624"/>
    <w:rsid w:val="00870A96"/>
    <w:rsid w:val="00870F9E"/>
    <w:rsid w:val="008715B0"/>
    <w:rsid w:val="008717B8"/>
    <w:rsid w:val="00871C10"/>
    <w:rsid w:val="00872607"/>
    <w:rsid w:val="00873036"/>
    <w:rsid w:val="00873047"/>
    <w:rsid w:val="00873439"/>
    <w:rsid w:val="00873688"/>
    <w:rsid w:val="0087429F"/>
    <w:rsid w:val="00875116"/>
    <w:rsid w:val="008751EF"/>
    <w:rsid w:val="00875DE6"/>
    <w:rsid w:val="00877607"/>
    <w:rsid w:val="00877D81"/>
    <w:rsid w:val="00880B53"/>
    <w:rsid w:val="00880FD4"/>
    <w:rsid w:val="008812EB"/>
    <w:rsid w:val="008813AE"/>
    <w:rsid w:val="0088188E"/>
    <w:rsid w:val="00881A32"/>
    <w:rsid w:val="00881BB9"/>
    <w:rsid w:val="00882C0C"/>
    <w:rsid w:val="00882CC1"/>
    <w:rsid w:val="00882F61"/>
    <w:rsid w:val="008845D4"/>
    <w:rsid w:val="00884DC7"/>
    <w:rsid w:val="0088514B"/>
    <w:rsid w:val="0088645E"/>
    <w:rsid w:val="0088657F"/>
    <w:rsid w:val="00886973"/>
    <w:rsid w:val="00886F10"/>
    <w:rsid w:val="008878FB"/>
    <w:rsid w:val="008910AB"/>
    <w:rsid w:val="00891876"/>
    <w:rsid w:val="00891AA7"/>
    <w:rsid w:val="0089351B"/>
    <w:rsid w:val="00894272"/>
    <w:rsid w:val="00895FC1"/>
    <w:rsid w:val="00897467"/>
    <w:rsid w:val="00897E8B"/>
    <w:rsid w:val="00897EF3"/>
    <w:rsid w:val="008A0836"/>
    <w:rsid w:val="008A09EC"/>
    <w:rsid w:val="008A15F4"/>
    <w:rsid w:val="008A1A2F"/>
    <w:rsid w:val="008A1CEE"/>
    <w:rsid w:val="008A22EA"/>
    <w:rsid w:val="008A252E"/>
    <w:rsid w:val="008A2E5D"/>
    <w:rsid w:val="008A356F"/>
    <w:rsid w:val="008A4400"/>
    <w:rsid w:val="008A532D"/>
    <w:rsid w:val="008A5563"/>
    <w:rsid w:val="008A5F40"/>
    <w:rsid w:val="008A61B6"/>
    <w:rsid w:val="008A63BA"/>
    <w:rsid w:val="008A6F94"/>
    <w:rsid w:val="008A76A2"/>
    <w:rsid w:val="008A7AE2"/>
    <w:rsid w:val="008B0CB9"/>
    <w:rsid w:val="008B0FE2"/>
    <w:rsid w:val="008B106E"/>
    <w:rsid w:val="008B17D7"/>
    <w:rsid w:val="008B407B"/>
    <w:rsid w:val="008B556B"/>
    <w:rsid w:val="008B576A"/>
    <w:rsid w:val="008B5795"/>
    <w:rsid w:val="008B619B"/>
    <w:rsid w:val="008B7D70"/>
    <w:rsid w:val="008B7F02"/>
    <w:rsid w:val="008C014A"/>
    <w:rsid w:val="008C0469"/>
    <w:rsid w:val="008C0C6A"/>
    <w:rsid w:val="008C131D"/>
    <w:rsid w:val="008C2C88"/>
    <w:rsid w:val="008C402E"/>
    <w:rsid w:val="008C40D0"/>
    <w:rsid w:val="008C42E2"/>
    <w:rsid w:val="008C6821"/>
    <w:rsid w:val="008C6988"/>
    <w:rsid w:val="008C6B30"/>
    <w:rsid w:val="008D01E4"/>
    <w:rsid w:val="008D107F"/>
    <w:rsid w:val="008D13C1"/>
    <w:rsid w:val="008D1E5B"/>
    <w:rsid w:val="008D1EA1"/>
    <w:rsid w:val="008D2A16"/>
    <w:rsid w:val="008D3032"/>
    <w:rsid w:val="008D3326"/>
    <w:rsid w:val="008D383C"/>
    <w:rsid w:val="008D409B"/>
    <w:rsid w:val="008D4136"/>
    <w:rsid w:val="008D463C"/>
    <w:rsid w:val="008D4A19"/>
    <w:rsid w:val="008D4D25"/>
    <w:rsid w:val="008D51AD"/>
    <w:rsid w:val="008D52AE"/>
    <w:rsid w:val="008D53F6"/>
    <w:rsid w:val="008D5695"/>
    <w:rsid w:val="008D6C21"/>
    <w:rsid w:val="008D6EEB"/>
    <w:rsid w:val="008D6F88"/>
    <w:rsid w:val="008D6FE9"/>
    <w:rsid w:val="008D7742"/>
    <w:rsid w:val="008D7EF6"/>
    <w:rsid w:val="008E054B"/>
    <w:rsid w:val="008E0C6F"/>
    <w:rsid w:val="008E3466"/>
    <w:rsid w:val="008E3751"/>
    <w:rsid w:val="008E4443"/>
    <w:rsid w:val="008E6AB7"/>
    <w:rsid w:val="008E6E62"/>
    <w:rsid w:val="008E6F0B"/>
    <w:rsid w:val="008E7411"/>
    <w:rsid w:val="008F0856"/>
    <w:rsid w:val="008F0B0C"/>
    <w:rsid w:val="008F0B1E"/>
    <w:rsid w:val="008F0D9C"/>
    <w:rsid w:val="008F0E6B"/>
    <w:rsid w:val="008F1495"/>
    <w:rsid w:val="008F1877"/>
    <w:rsid w:val="008F1980"/>
    <w:rsid w:val="008F1B0C"/>
    <w:rsid w:val="008F3315"/>
    <w:rsid w:val="008F411B"/>
    <w:rsid w:val="008F41E1"/>
    <w:rsid w:val="008F4EC1"/>
    <w:rsid w:val="008F7473"/>
    <w:rsid w:val="008F7ADB"/>
    <w:rsid w:val="00900C26"/>
    <w:rsid w:val="00901387"/>
    <w:rsid w:val="009014A1"/>
    <w:rsid w:val="00901FD8"/>
    <w:rsid w:val="009025DB"/>
    <w:rsid w:val="009029CF"/>
    <w:rsid w:val="00902D9B"/>
    <w:rsid w:val="0090314B"/>
    <w:rsid w:val="0090428F"/>
    <w:rsid w:val="0090512D"/>
    <w:rsid w:val="00905294"/>
    <w:rsid w:val="0090575F"/>
    <w:rsid w:val="009064B5"/>
    <w:rsid w:val="009065B7"/>
    <w:rsid w:val="009065DD"/>
    <w:rsid w:val="00910116"/>
    <w:rsid w:val="0091073D"/>
    <w:rsid w:val="009109BD"/>
    <w:rsid w:val="009110E9"/>
    <w:rsid w:val="00911408"/>
    <w:rsid w:val="0091173C"/>
    <w:rsid w:val="00911AD3"/>
    <w:rsid w:val="0091207A"/>
    <w:rsid w:val="009122DE"/>
    <w:rsid w:val="00912B5C"/>
    <w:rsid w:val="00912F7C"/>
    <w:rsid w:val="00913689"/>
    <w:rsid w:val="0091468A"/>
    <w:rsid w:val="00914F7A"/>
    <w:rsid w:val="00915448"/>
    <w:rsid w:val="00915E56"/>
    <w:rsid w:val="0091679D"/>
    <w:rsid w:val="00916890"/>
    <w:rsid w:val="00917813"/>
    <w:rsid w:val="00917A40"/>
    <w:rsid w:val="00917DB4"/>
    <w:rsid w:val="0092110A"/>
    <w:rsid w:val="00921264"/>
    <w:rsid w:val="00921CAF"/>
    <w:rsid w:val="009222C2"/>
    <w:rsid w:val="009222DE"/>
    <w:rsid w:val="0092232F"/>
    <w:rsid w:val="0092233F"/>
    <w:rsid w:val="00922B69"/>
    <w:rsid w:val="009239EF"/>
    <w:rsid w:val="00923AE3"/>
    <w:rsid w:val="00924E50"/>
    <w:rsid w:val="009258B5"/>
    <w:rsid w:val="009258E4"/>
    <w:rsid w:val="009259BD"/>
    <w:rsid w:val="00925DF7"/>
    <w:rsid w:val="009260FB"/>
    <w:rsid w:val="009264FE"/>
    <w:rsid w:val="00926807"/>
    <w:rsid w:val="009268A8"/>
    <w:rsid w:val="00926B6E"/>
    <w:rsid w:val="00926BB3"/>
    <w:rsid w:val="00930764"/>
    <w:rsid w:val="00930B56"/>
    <w:rsid w:val="00932A03"/>
    <w:rsid w:val="009330B9"/>
    <w:rsid w:val="009338E7"/>
    <w:rsid w:val="009358E2"/>
    <w:rsid w:val="00935D34"/>
    <w:rsid w:val="0093632B"/>
    <w:rsid w:val="00936C40"/>
    <w:rsid w:val="00936D2A"/>
    <w:rsid w:val="00937AD1"/>
    <w:rsid w:val="00937B14"/>
    <w:rsid w:val="00937CCC"/>
    <w:rsid w:val="00940156"/>
    <w:rsid w:val="00940B81"/>
    <w:rsid w:val="0094261A"/>
    <w:rsid w:val="00942754"/>
    <w:rsid w:val="00942F0A"/>
    <w:rsid w:val="009435FF"/>
    <w:rsid w:val="00944836"/>
    <w:rsid w:val="00945116"/>
    <w:rsid w:val="00945D7F"/>
    <w:rsid w:val="009461A1"/>
    <w:rsid w:val="00946BA5"/>
    <w:rsid w:val="009479EF"/>
    <w:rsid w:val="00947DC4"/>
    <w:rsid w:val="009516D9"/>
    <w:rsid w:val="009523C4"/>
    <w:rsid w:val="0095382C"/>
    <w:rsid w:val="009548DE"/>
    <w:rsid w:val="009551A9"/>
    <w:rsid w:val="00955838"/>
    <w:rsid w:val="00955F96"/>
    <w:rsid w:val="0095628E"/>
    <w:rsid w:val="009569F9"/>
    <w:rsid w:val="009570FF"/>
    <w:rsid w:val="00957A66"/>
    <w:rsid w:val="00960B8D"/>
    <w:rsid w:val="009611DB"/>
    <w:rsid w:val="00961422"/>
    <w:rsid w:val="009615B9"/>
    <w:rsid w:val="009618F5"/>
    <w:rsid w:val="00961FE8"/>
    <w:rsid w:val="009626A2"/>
    <w:rsid w:val="00962A87"/>
    <w:rsid w:val="00962B9D"/>
    <w:rsid w:val="00963264"/>
    <w:rsid w:val="0096492E"/>
    <w:rsid w:val="00964C76"/>
    <w:rsid w:val="009651E0"/>
    <w:rsid w:val="009661D7"/>
    <w:rsid w:val="00967174"/>
    <w:rsid w:val="00970AB2"/>
    <w:rsid w:val="00970DA0"/>
    <w:rsid w:val="00970E24"/>
    <w:rsid w:val="00971AAC"/>
    <w:rsid w:val="00971F6D"/>
    <w:rsid w:val="009721F0"/>
    <w:rsid w:val="00973A4C"/>
    <w:rsid w:val="00975041"/>
    <w:rsid w:val="00975876"/>
    <w:rsid w:val="009764AC"/>
    <w:rsid w:val="009765DC"/>
    <w:rsid w:val="009771FC"/>
    <w:rsid w:val="00977BBA"/>
    <w:rsid w:val="009807E3"/>
    <w:rsid w:val="00981A2D"/>
    <w:rsid w:val="00981C0E"/>
    <w:rsid w:val="009829CA"/>
    <w:rsid w:val="00982C8B"/>
    <w:rsid w:val="00982DB7"/>
    <w:rsid w:val="00983FCC"/>
    <w:rsid w:val="0098471D"/>
    <w:rsid w:val="009848A7"/>
    <w:rsid w:val="00984CA2"/>
    <w:rsid w:val="00984FC4"/>
    <w:rsid w:val="0098539E"/>
    <w:rsid w:val="0098550F"/>
    <w:rsid w:val="009860E2"/>
    <w:rsid w:val="00986714"/>
    <w:rsid w:val="00986D45"/>
    <w:rsid w:val="00987146"/>
    <w:rsid w:val="00987324"/>
    <w:rsid w:val="00987445"/>
    <w:rsid w:val="00987E9E"/>
    <w:rsid w:val="009901EF"/>
    <w:rsid w:val="0099112B"/>
    <w:rsid w:val="009911A6"/>
    <w:rsid w:val="009918E7"/>
    <w:rsid w:val="00991A29"/>
    <w:rsid w:val="00991C2F"/>
    <w:rsid w:val="009921E1"/>
    <w:rsid w:val="009924C3"/>
    <w:rsid w:val="00992C33"/>
    <w:rsid w:val="00993FDD"/>
    <w:rsid w:val="009943B2"/>
    <w:rsid w:val="00994E23"/>
    <w:rsid w:val="00994FE4"/>
    <w:rsid w:val="0099528B"/>
    <w:rsid w:val="00995658"/>
    <w:rsid w:val="009956F4"/>
    <w:rsid w:val="009958A6"/>
    <w:rsid w:val="00995C05"/>
    <w:rsid w:val="00995CC8"/>
    <w:rsid w:val="0099712D"/>
    <w:rsid w:val="009976EB"/>
    <w:rsid w:val="00997F0F"/>
    <w:rsid w:val="009A0957"/>
    <w:rsid w:val="009A0FAC"/>
    <w:rsid w:val="009A1038"/>
    <w:rsid w:val="009A10A7"/>
    <w:rsid w:val="009A20A3"/>
    <w:rsid w:val="009A3287"/>
    <w:rsid w:val="009A342D"/>
    <w:rsid w:val="009A44B1"/>
    <w:rsid w:val="009A48EA"/>
    <w:rsid w:val="009A55C3"/>
    <w:rsid w:val="009A62DC"/>
    <w:rsid w:val="009A64CA"/>
    <w:rsid w:val="009A7958"/>
    <w:rsid w:val="009A7C91"/>
    <w:rsid w:val="009B091B"/>
    <w:rsid w:val="009B0C77"/>
    <w:rsid w:val="009B1513"/>
    <w:rsid w:val="009B1548"/>
    <w:rsid w:val="009B1EBA"/>
    <w:rsid w:val="009B2DC2"/>
    <w:rsid w:val="009B3561"/>
    <w:rsid w:val="009B36E1"/>
    <w:rsid w:val="009B3D6B"/>
    <w:rsid w:val="009B3E44"/>
    <w:rsid w:val="009B40BE"/>
    <w:rsid w:val="009B42F1"/>
    <w:rsid w:val="009B538A"/>
    <w:rsid w:val="009B599B"/>
    <w:rsid w:val="009B5BEA"/>
    <w:rsid w:val="009B6155"/>
    <w:rsid w:val="009B7A73"/>
    <w:rsid w:val="009B7D2D"/>
    <w:rsid w:val="009C082D"/>
    <w:rsid w:val="009C0B8C"/>
    <w:rsid w:val="009C18E8"/>
    <w:rsid w:val="009C1B9E"/>
    <w:rsid w:val="009C1FED"/>
    <w:rsid w:val="009C2070"/>
    <w:rsid w:val="009C349E"/>
    <w:rsid w:val="009C3545"/>
    <w:rsid w:val="009C39B9"/>
    <w:rsid w:val="009C3B5C"/>
    <w:rsid w:val="009C4742"/>
    <w:rsid w:val="009C5C37"/>
    <w:rsid w:val="009C616E"/>
    <w:rsid w:val="009C6B3F"/>
    <w:rsid w:val="009C71FC"/>
    <w:rsid w:val="009C7235"/>
    <w:rsid w:val="009C7297"/>
    <w:rsid w:val="009C767D"/>
    <w:rsid w:val="009C7CC2"/>
    <w:rsid w:val="009D0B55"/>
    <w:rsid w:val="009D12CB"/>
    <w:rsid w:val="009D138B"/>
    <w:rsid w:val="009D3F2D"/>
    <w:rsid w:val="009D4645"/>
    <w:rsid w:val="009D49B3"/>
    <w:rsid w:val="009D55BF"/>
    <w:rsid w:val="009D5DFC"/>
    <w:rsid w:val="009D6062"/>
    <w:rsid w:val="009D63A7"/>
    <w:rsid w:val="009D6841"/>
    <w:rsid w:val="009D7A10"/>
    <w:rsid w:val="009E005C"/>
    <w:rsid w:val="009E08C3"/>
    <w:rsid w:val="009E0F5A"/>
    <w:rsid w:val="009E19D8"/>
    <w:rsid w:val="009E1B74"/>
    <w:rsid w:val="009E1C55"/>
    <w:rsid w:val="009E2119"/>
    <w:rsid w:val="009E3CDB"/>
    <w:rsid w:val="009E3DD0"/>
    <w:rsid w:val="009E4047"/>
    <w:rsid w:val="009E5802"/>
    <w:rsid w:val="009E5981"/>
    <w:rsid w:val="009E5BA6"/>
    <w:rsid w:val="009E6293"/>
    <w:rsid w:val="009E6EF4"/>
    <w:rsid w:val="009F0DC3"/>
    <w:rsid w:val="009F14BB"/>
    <w:rsid w:val="009F248F"/>
    <w:rsid w:val="009F3490"/>
    <w:rsid w:val="009F3B71"/>
    <w:rsid w:val="009F3F46"/>
    <w:rsid w:val="009F41B1"/>
    <w:rsid w:val="009F42FC"/>
    <w:rsid w:val="009F4707"/>
    <w:rsid w:val="009F49AA"/>
    <w:rsid w:val="009F4C8D"/>
    <w:rsid w:val="009F4F7B"/>
    <w:rsid w:val="009F5D92"/>
    <w:rsid w:val="009F6EEF"/>
    <w:rsid w:val="009F7A88"/>
    <w:rsid w:val="009F7BD7"/>
    <w:rsid w:val="009F7F7F"/>
    <w:rsid w:val="00A0007E"/>
    <w:rsid w:val="00A0138F"/>
    <w:rsid w:val="00A014AF"/>
    <w:rsid w:val="00A01584"/>
    <w:rsid w:val="00A01D84"/>
    <w:rsid w:val="00A01E32"/>
    <w:rsid w:val="00A026F4"/>
    <w:rsid w:val="00A02823"/>
    <w:rsid w:val="00A02E0F"/>
    <w:rsid w:val="00A03DE5"/>
    <w:rsid w:val="00A03E8A"/>
    <w:rsid w:val="00A04408"/>
    <w:rsid w:val="00A05969"/>
    <w:rsid w:val="00A060F2"/>
    <w:rsid w:val="00A0650C"/>
    <w:rsid w:val="00A06AFC"/>
    <w:rsid w:val="00A0732F"/>
    <w:rsid w:val="00A07814"/>
    <w:rsid w:val="00A07D35"/>
    <w:rsid w:val="00A07EE5"/>
    <w:rsid w:val="00A101F1"/>
    <w:rsid w:val="00A10463"/>
    <w:rsid w:val="00A104EC"/>
    <w:rsid w:val="00A10649"/>
    <w:rsid w:val="00A110BB"/>
    <w:rsid w:val="00A1220E"/>
    <w:rsid w:val="00A1247D"/>
    <w:rsid w:val="00A12925"/>
    <w:rsid w:val="00A13D1F"/>
    <w:rsid w:val="00A16037"/>
    <w:rsid w:val="00A16193"/>
    <w:rsid w:val="00A174A8"/>
    <w:rsid w:val="00A176CC"/>
    <w:rsid w:val="00A17816"/>
    <w:rsid w:val="00A17AF3"/>
    <w:rsid w:val="00A17C2A"/>
    <w:rsid w:val="00A17D4F"/>
    <w:rsid w:val="00A22033"/>
    <w:rsid w:val="00A223C1"/>
    <w:rsid w:val="00A239BB"/>
    <w:rsid w:val="00A23E3B"/>
    <w:rsid w:val="00A23EBD"/>
    <w:rsid w:val="00A240A7"/>
    <w:rsid w:val="00A24237"/>
    <w:rsid w:val="00A24B2C"/>
    <w:rsid w:val="00A24D00"/>
    <w:rsid w:val="00A2517C"/>
    <w:rsid w:val="00A25A9B"/>
    <w:rsid w:val="00A25B90"/>
    <w:rsid w:val="00A26693"/>
    <w:rsid w:val="00A272D9"/>
    <w:rsid w:val="00A27373"/>
    <w:rsid w:val="00A2781C"/>
    <w:rsid w:val="00A27901"/>
    <w:rsid w:val="00A3152E"/>
    <w:rsid w:val="00A31845"/>
    <w:rsid w:val="00A32230"/>
    <w:rsid w:val="00A32483"/>
    <w:rsid w:val="00A331F5"/>
    <w:rsid w:val="00A33AA9"/>
    <w:rsid w:val="00A33FAD"/>
    <w:rsid w:val="00A343B2"/>
    <w:rsid w:val="00A34405"/>
    <w:rsid w:val="00A344B4"/>
    <w:rsid w:val="00A34736"/>
    <w:rsid w:val="00A350A0"/>
    <w:rsid w:val="00A35555"/>
    <w:rsid w:val="00A35623"/>
    <w:rsid w:val="00A3594F"/>
    <w:rsid w:val="00A35BF6"/>
    <w:rsid w:val="00A35D19"/>
    <w:rsid w:val="00A35D37"/>
    <w:rsid w:val="00A36084"/>
    <w:rsid w:val="00A36269"/>
    <w:rsid w:val="00A369BB"/>
    <w:rsid w:val="00A36D86"/>
    <w:rsid w:val="00A37372"/>
    <w:rsid w:val="00A37D65"/>
    <w:rsid w:val="00A408E6"/>
    <w:rsid w:val="00A40AEA"/>
    <w:rsid w:val="00A415E7"/>
    <w:rsid w:val="00A41A06"/>
    <w:rsid w:val="00A4229F"/>
    <w:rsid w:val="00A422AF"/>
    <w:rsid w:val="00A42400"/>
    <w:rsid w:val="00A42840"/>
    <w:rsid w:val="00A42CEE"/>
    <w:rsid w:val="00A4301C"/>
    <w:rsid w:val="00A4308C"/>
    <w:rsid w:val="00A438C2"/>
    <w:rsid w:val="00A442AA"/>
    <w:rsid w:val="00A44378"/>
    <w:rsid w:val="00A447D3"/>
    <w:rsid w:val="00A451F7"/>
    <w:rsid w:val="00A4554A"/>
    <w:rsid w:val="00A457E4"/>
    <w:rsid w:val="00A45C52"/>
    <w:rsid w:val="00A46144"/>
    <w:rsid w:val="00A46AD0"/>
    <w:rsid w:val="00A4725B"/>
    <w:rsid w:val="00A47376"/>
    <w:rsid w:val="00A519FA"/>
    <w:rsid w:val="00A51D49"/>
    <w:rsid w:val="00A51F62"/>
    <w:rsid w:val="00A5262E"/>
    <w:rsid w:val="00A52BF9"/>
    <w:rsid w:val="00A53C3A"/>
    <w:rsid w:val="00A53FFE"/>
    <w:rsid w:val="00A54616"/>
    <w:rsid w:val="00A54679"/>
    <w:rsid w:val="00A549B6"/>
    <w:rsid w:val="00A54B5C"/>
    <w:rsid w:val="00A55D7E"/>
    <w:rsid w:val="00A572A8"/>
    <w:rsid w:val="00A57410"/>
    <w:rsid w:val="00A57E35"/>
    <w:rsid w:val="00A604DC"/>
    <w:rsid w:val="00A60878"/>
    <w:rsid w:val="00A60D43"/>
    <w:rsid w:val="00A6150A"/>
    <w:rsid w:val="00A626A9"/>
    <w:rsid w:val="00A627DC"/>
    <w:rsid w:val="00A62D7E"/>
    <w:rsid w:val="00A62E5E"/>
    <w:rsid w:val="00A63A09"/>
    <w:rsid w:val="00A63CD3"/>
    <w:rsid w:val="00A64973"/>
    <w:rsid w:val="00A64F98"/>
    <w:rsid w:val="00A64FC6"/>
    <w:rsid w:val="00A657AD"/>
    <w:rsid w:val="00A66CFB"/>
    <w:rsid w:val="00A671AA"/>
    <w:rsid w:val="00A671C1"/>
    <w:rsid w:val="00A67F8E"/>
    <w:rsid w:val="00A67FE8"/>
    <w:rsid w:val="00A701A4"/>
    <w:rsid w:val="00A7042A"/>
    <w:rsid w:val="00A70E36"/>
    <w:rsid w:val="00A71FA7"/>
    <w:rsid w:val="00A71FF0"/>
    <w:rsid w:val="00A725A8"/>
    <w:rsid w:val="00A72982"/>
    <w:rsid w:val="00A72EE5"/>
    <w:rsid w:val="00A73060"/>
    <w:rsid w:val="00A731B8"/>
    <w:rsid w:val="00A73419"/>
    <w:rsid w:val="00A739DD"/>
    <w:rsid w:val="00A73D50"/>
    <w:rsid w:val="00A74505"/>
    <w:rsid w:val="00A75256"/>
    <w:rsid w:val="00A7543F"/>
    <w:rsid w:val="00A75FC3"/>
    <w:rsid w:val="00A76238"/>
    <w:rsid w:val="00A765F3"/>
    <w:rsid w:val="00A76EB0"/>
    <w:rsid w:val="00A77BA1"/>
    <w:rsid w:val="00A77BF1"/>
    <w:rsid w:val="00A77E13"/>
    <w:rsid w:val="00A815F0"/>
    <w:rsid w:val="00A822E1"/>
    <w:rsid w:val="00A82D89"/>
    <w:rsid w:val="00A82F9A"/>
    <w:rsid w:val="00A83031"/>
    <w:rsid w:val="00A83D66"/>
    <w:rsid w:val="00A84862"/>
    <w:rsid w:val="00A85114"/>
    <w:rsid w:val="00A856A6"/>
    <w:rsid w:val="00A85EA3"/>
    <w:rsid w:val="00A85ED0"/>
    <w:rsid w:val="00A85FD8"/>
    <w:rsid w:val="00A862F6"/>
    <w:rsid w:val="00A86AD9"/>
    <w:rsid w:val="00A879D1"/>
    <w:rsid w:val="00A87A87"/>
    <w:rsid w:val="00A90B51"/>
    <w:rsid w:val="00A91C6A"/>
    <w:rsid w:val="00A92135"/>
    <w:rsid w:val="00A92EF8"/>
    <w:rsid w:val="00A93D0B"/>
    <w:rsid w:val="00A93FE1"/>
    <w:rsid w:val="00A949FF"/>
    <w:rsid w:val="00A95BD0"/>
    <w:rsid w:val="00A961D8"/>
    <w:rsid w:val="00A973AF"/>
    <w:rsid w:val="00A9755D"/>
    <w:rsid w:val="00A97D44"/>
    <w:rsid w:val="00AA03A7"/>
    <w:rsid w:val="00AA04E4"/>
    <w:rsid w:val="00AA0931"/>
    <w:rsid w:val="00AA166B"/>
    <w:rsid w:val="00AA1A65"/>
    <w:rsid w:val="00AA2BCF"/>
    <w:rsid w:val="00AA2D02"/>
    <w:rsid w:val="00AA3178"/>
    <w:rsid w:val="00AA3477"/>
    <w:rsid w:val="00AA350D"/>
    <w:rsid w:val="00AA3F2A"/>
    <w:rsid w:val="00AA43F0"/>
    <w:rsid w:val="00AA4414"/>
    <w:rsid w:val="00AA4E8D"/>
    <w:rsid w:val="00AA4F5A"/>
    <w:rsid w:val="00AA5B6C"/>
    <w:rsid w:val="00AA5F79"/>
    <w:rsid w:val="00AA633E"/>
    <w:rsid w:val="00AA6BF7"/>
    <w:rsid w:val="00AA7845"/>
    <w:rsid w:val="00AA79B2"/>
    <w:rsid w:val="00AA7C4B"/>
    <w:rsid w:val="00AB0490"/>
    <w:rsid w:val="00AB08FF"/>
    <w:rsid w:val="00AB1A59"/>
    <w:rsid w:val="00AB2EE1"/>
    <w:rsid w:val="00AB320C"/>
    <w:rsid w:val="00AB38C6"/>
    <w:rsid w:val="00AB4420"/>
    <w:rsid w:val="00AB47B7"/>
    <w:rsid w:val="00AB4944"/>
    <w:rsid w:val="00AB4DF4"/>
    <w:rsid w:val="00AB5F37"/>
    <w:rsid w:val="00AB65DB"/>
    <w:rsid w:val="00AB6616"/>
    <w:rsid w:val="00AB6D46"/>
    <w:rsid w:val="00AB6F40"/>
    <w:rsid w:val="00AB71AD"/>
    <w:rsid w:val="00AB737C"/>
    <w:rsid w:val="00AB7585"/>
    <w:rsid w:val="00AB7985"/>
    <w:rsid w:val="00AB7D32"/>
    <w:rsid w:val="00AC0203"/>
    <w:rsid w:val="00AC0607"/>
    <w:rsid w:val="00AC06A5"/>
    <w:rsid w:val="00AC1340"/>
    <w:rsid w:val="00AC1E49"/>
    <w:rsid w:val="00AC1EEC"/>
    <w:rsid w:val="00AC3F5A"/>
    <w:rsid w:val="00AC418D"/>
    <w:rsid w:val="00AC422C"/>
    <w:rsid w:val="00AC45BB"/>
    <w:rsid w:val="00AC4B21"/>
    <w:rsid w:val="00AC6037"/>
    <w:rsid w:val="00AC6522"/>
    <w:rsid w:val="00AC6893"/>
    <w:rsid w:val="00AC68D2"/>
    <w:rsid w:val="00AC6B15"/>
    <w:rsid w:val="00AC6BC8"/>
    <w:rsid w:val="00AC6EAD"/>
    <w:rsid w:val="00AC724F"/>
    <w:rsid w:val="00AC7AE2"/>
    <w:rsid w:val="00AD00CB"/>
    <w:rsid w:val="00AD0222"/>
    <w:rsid w:val="00AD22C0"/>
    <w:rsid w:val="00AD29E2"/>
    <w:rsid w:val="00AD2D97"/>
    <w:rsid w:val="00AD3302"/>
    <w:rsid w:val="00AD5B4B"/>
    <w:rsid w:val="00AD5C02"/>
    <w:rsid w:val="00AD5E78"/>
    <w:rsid w:val="00AD634A"/>
    <w:rsid w:val="00AD64E8"/>
    <w:rsid w:val="00AD72FA"/>
    <w:rsid w:val="00AD757E"/>
    <w:rsid w:val="00AD7DE1"/>
    <w:rsid w:val="00AE1DE5"/>
    <w:rsid w:val="00AE280D"/>
    <w:rsid w:val="00AE2904"/>
    <w:rsid w:val="00AE295A"/>
    <w:rsid w:val="00AE2A35"/>
    <w:rsid w:val="00AE2E97"/>
    <w:rsid w:val="00AE33CA"/>
    <w:rsid w:val="00AE3A46"/>
    <w:rsid w:val="00AE3BB3"/>
    <w:rsid w:val="00AE3CA2"/>
    <w:rsid w:val="00AE4249"/>
    <w:rsid w:val="00AE4722"/>
    <w:rsid w:val="00AE53DB"/>
    <w:rsid w:val="00AE568E"/>
    <w:rsid w:val="00AE59DF"/>
    <w:rsid w:val="00AE5D13"/>
    <w:rsid w:val="00AE5E1F"/>
    <w:rsid w:val="00AE628D"/>
    <w:rsid w:val="00AE691C"/>
    <w:rsid w:val="00AE706B"/>
    <w:rsid w:val="00AF052D"/>
    <w:rsid w:val="00AF1F94"/>
    <w:rsid w:val="00AF2980"/>
    <w:rsid w:val="00AF29C1"/>
    <w:rsid w:val="00AF2B3C"/>
    <w:rsid w:val="00AF2D96"/>
    <w:rsid w:val="00AF2DD6"/>
    <w:rsid w:val="00AF3154"/>
    <w:rsid w:val="00AF341A"/>
    <w:rsid w:val="00AF3C07"/>
    <w:rsid w:val="00AF50A5"/>
    <w:rsid w:val="00AF6695"/>
    <w:rsid w:val="00AF6727"/>
    <w:rsid w:val="00AF6D82"/>
    <w:rsid w:val="00AF742A"/>
    <w:rsid w:val="00B01848"/>
    <w:rsid w:val="00B01C95"/>
    <w:rsid w:val="00B01DB2"/>
    <w:rsid w:val="00B02079"/>
    <w:rsid w:val="00B0241A"/>
    <w:rsid w:val="00B02879"/>
    <w:rsid w:val="00B03C5F"/>
    <w:rsid w:val="00B03F32"/>
    <w:rsid w:val="00B049AB"/>
    <w:rsid w:val="00B04A0B"/>
    <w:rsid w:val="00B05293"/>
    <w:rsid w:val="00B057B0"/>
    <w:rsid w:val="00B06CF5"/>
    <w:rsid w:val="00B07101"/>
    <w:rsid w:val="00B07628"/>
    <w:rsid w:val="00B10113"/>
    <w:rsid w:val="00B1154F"/>
    <w:rsid w:val="00B11D51"/>
    <w:rsid w:val="00B11D66"/>
    <w:rsid w:val="00B1221B"/>
    <w:rsid w:val="00B126CC"/>
    <w:rsid w:val="00B12A93"/>
    <w:rsid w:val="00B132BB"/>
    <w:rsid w:val="00B13975"/>
    <w:rsid w:val="00B13A9D"/>
    <w:rsid w:val="00B13CF5"/>
    <w:rsid w:val="00B13D65"/>
    <w:rsid w:val="00B14B38"/>
    <w:rsid w:val="00B14F7A"/>
    <w:rsid w:val="00B15444"/>
    <w:rsid w:val="00B15E24"/>
    <w:rsid w:val="00B15E5E"/>
    <w:rsid w:val="00B1606E"/>
    <w:rsid w:val="00B160E6"/>
    <w:rsid w:val="00B161E8"/>
    <w:rsid w:val="00B171FE"/>
    <w:rsid w:val="00B20CDC"/>
    <w:rsid w:val="00B20FA9"/>
    <w:rsid w:val="00B2123F"/>
    <w:rsid w:val="00B21B99"/>
    <w:rsid w:val="00B22118"/>
    <w:rsid w:val="00B22D00"/>
    <w:rsid w:val="00B23177"/>
    <w:rsid w:val="00B23803"/>
    <w:rsid w:val="00B23E78"/>
    <w:rsid w:val="00B24A2C"/>
    <w:rsid w:val="00B24BA3"/>
    <w:rsid w:val="00B25A09"/>
    <w:rsid w:val="00B25C81"/>
    <w:rsid w:val="00B264A8"/>
    <w:rsid w:val="00B27041"/>
    <w:rsid w:val="00B270B8"/>
    <w:rsid w:val="00B306B1"/>
    <w:rsid w:val="00B313DB"/>
    <w:rsid w:val="00B3157D"/>
    <w:rsid w:val="00B31799"/>
    <w:rsid w:val="00B32934"/>
    <w:rsid w:val="00B32A82"/>
    <w:rsid w:val="00B33C27"/>
    <w:rsid w:val="00B34275"/>
    <w:rsid w:val="00B350C3"/>
    <w:rsid w:val="00B352EA"/>
    <w:rsid w:val="00B35BFF"/>
    <w:rsid w:val="00B35C25"/>
    <w:rsid w:val="00B365D4"/>
    <w:rsid w:val="00B36E40"/>
    <w:rsid w:val="00B372C8"/>
    <w:rsid w:val="00B37B7D"/>
    <w:rsid w:val="00B417F2"/>
    <w:rsid w:val="00B42090"/>
    <w:rsid w:val="00B4230E"/>
    <w:rsid w:val="00B427C0"/>
    <w:rsid w:val="00B427EA"/>
    <w:rsid w:val="00B43861"/>
    <w:rsid w:val="00B43D2E"/>
    <w:rsid w:val="00B440C1"/>
    <w:rsid w:val="00B442AD"/>
    <w:rsid w:val="00B44AA6"/>
    <w:rsid w:val="00B46126"/>
    <w:rsid w:val="00B4627B"/>
    <w:rsid w:val="00B466A1"/>
    <w:rsid w:val="00B47371"/>
    <w:rsid w:val="00B504D6"/>
    <w:rsid w:val="00B51B2A"/>
    <w:rsid w:val="00B52320"/>
    <w:rsid w:val="00B52468"/>
    <w:rsid w:val="00B52880"/>
    <w:rsid w:val="00B536D7"/>
    <w:rsid w:val="00B537C6"/>
    <w:rsid w:val="00B538D0"/>
    <w:rsid w:val="00B54511"/>
    <w:rsid w:val="00B547CE"/>
    <w:rsid w:val="00B54991"/>
    <w:rsid w:val="00B55A50"/>
    <w:rsid w:val="00B57153"/>
    <w:rsid w:val="00B57534"/>
    <w:rsid w:val="00B575D9"/>
    <w:rsid w:val="00B60359"/>
    <w:rsid w:val="00B60B40"/>
    <w:rsid w:val="00B61AB7"/>
    <w:rsid w:val="00B62F20"/>
    <w:rsid w:val="00B62FBD"/>
    <w:rsid w:val="00B639EC"/>
    <w:rsid w:val="00B63F95"/>
    <w:rsid w:val="00B641E0"/>
    <w:rsid w:val="00B642E2"/>
    <w:rsid w:val="00B652D3"/>
    <w:rsid w:val="00B65A5C"/>
    <w:rsid w:val="00B65EF9"/>
    <w:rsid w:val="00B66367"/>
    <w:rsid w:val="00B663AD"/>
    <w:rsid w:val="00B66731"/>
    <w:rsid w:val="00B668D7"/>
    <w:rsid w:val="00B66F08"/>
    <w:rsid w:val="00B67908"/>
    <w:rsid w:val="00B713F7"/>
    <w:rsid w:val="00B7145D"/>
    <w:rsid w:val="00B716E2"/>
    <w:rsid w:val="00B719D0"/>
    <w:rsid w:val="00B71A85"/>
    <w:rsid w:val="00B71D9E"/>
    <w:rsid w:val="00B727E2"/>
    <w:rsid w:val="00B72E15"/>
    <w:rsid w:val="00B73DCC"/>
    <w:rsid w:val="00B74010"/>
    <w:rsid w:val="00B747FB"/>
    <w:rsid w:val="00B752D7"/>
    <w:rsid w:val="00B75611"/>
    <w:rsid w:val="00B75C71"/>
    <w:rsid w:val="00B7618E"/>
    <w:rsid w:val="00B767C1"/>
    <w:rsid w:val="00B76E6E"/>
    <w:rsid w:val="00B77493"/>
    <w:rsid w:val="00B77F2C"/>
    <w:rsid w:val="00B8133D"/>
    <w:rsid w:val="00B81998"/>
    <w:rsid w:val="00B81BED"/>
    <w:rsid w:val="00B8344A"/>
    <w:rsid w:val="00B83F6D"/>
    <w:rsid w:val="00B8440C"/>
    <w:rsid w:val="00B850E3"/>
    <w:rsid w:val="00B85D26"/>
    <w:rsid w:val="00B85EA2"/>
    <w:rsid w:val="00B86D7E"/>
    <w:rsid w:val="00B871A4"/>
    <w:rsid w:val="00B876E4"/>
    <w:rsid w:val="00B87769"/>
    <w:rsid w:val="00B9018D"/>
    <w:rsid w:val="00B91189"/>
    <w:rsid w:val="00B91394"/>
    <w:rsid w:val="00B917BB"/>
    <w:rsid w:val="00B92556"/>
    <w:rsid w:val="00B92570"/>
    <w:rsid w:val="00B939AA"/>
    <w:rsid w:val="00B94746"/>
    <w:rsid w:val="00B953D6"/>
    <w:rsid w:val="00B956A9"/>
    <w:rsid w:val="00B95BB2"/>
    <w:rsid w:val="00B97A71"/>
    <w:rsid w:val="00BA01A4"/>
    <w:rsid w:val="00BA071A"/>
    <w:rsid w:val="00BA09C4"/>
    <w:rsid w:val="00BA1475"/>
    <w:rsid w:val="00BA14B9"/>
    <w:rsid w:val="00BA2296"/>
    <w:rsid w:val="00BA23E8"/>
    <w:rsid w:val="00BA2610"/>
    <w:rsid w:val="00BA2A11"/>
    <w:rsid w:val="00BA3736"/>
    <w:rsid w:val="00BA530D"/>
    <w:rsid w:val="00BA6654"/>
    <w:rsid w:val="00BA6E0F"/>
    <w:rsid w:val="00BA72EE"/>
    <w:rsid w:val="00BA74EA"/>
    <w:rsid w:val="00BA752C"/>
    <w:rsid w:val="00BB0080"/>
    <w:rsid w:val="00BB019C"/>
    <w:rsid w:val="00BB0209"/>
    <w:rsid w:val="00BB1C97"/>
    <w:rsid w:val="00BB23BD"/>
    <w:rsid w:val="00BB3DA7"/>
    <w:rsid w:val="00BB56FA"/>
    <w:rsid w:val="00BB74A5"/>
    <w:rsid w:val="00BB7BE9"/>
    <w:rsid w:val="00BB7CAF"/>
    <w:rsid w:val="00BC0116"/>
    <w:rsid w:val="00BC03B7"/>
    <w:rsid w:val="00BC0DFF"/>
    <w:rsid w:val="00BC0F35"/>
    <w:rsid w:val="00BC145D"/>
    <w:rsid w:val="00BC33AC"/>
    <w:rsid w:val="00BC39F1"/>
    <w:rsid w:val="00BC3C72"/>
    <w:rsid w:val="00BC49E8"/>
    <w:rsid w:val="00BC5F02"/>
    <w:rsid w:val="00BC643C"/>
    <w:rsid w:val="00BD00D0"/>
    <w:rsid w:val="00BD021B"/>
    <w:rsid w:val="00BD026F"/>
    <w:rsid w:val="00BD05AB"/>
    <w:rsid w:val="00BD0CAA"/>
    <w:rsid w:val="00BD1267"/>
    <w:rsid w:val="00BD1383"/>
    <w:rsid w:val="00BD1394"/>
    <w:rsid w:val="00BD1DF0"/>
    <w:rsid w:val="00BD2147"/>
    <w:rsid w:val="00BD2684"/>
    <w:rsid w:val="00BD2E93"/>
    <w:rsid w:val="00BD36C5"/>
    <w:rsid w:val="00BD42FF"/>
    <w:rsid w:val="00BD4851"/>
    <w:rsid w:val="00BD4BCB"/>
    <w:rsid w:val="00BD60CA"/>
    <w:rsid w:val="00BD697D"/>
    <w:rsid w:val="00BD6B40"/>
    <w:rsid w:val="00BD7A6E"/>
    <w:rsid w:val="00BE027E"/>
    <w:rsid w:val="00BE051A"/>
    <w:rsid w:val="00BE153C"/>
    <w:rsid w:val="00BE21DB"/>
    <w:rsid w:val="00BE23F2"/>
    <w:rsid w:val="00BE293A"/>
    <w:rsid w:val="00BE2A4F"/>
    <w:rsid w:val="00BE3761"/>
    <w:rsid w:val="00BE38C5"/>
    <w:rsid w:val="00BE3F05"/>
    <w:rsid w:val="00BE4416"/>
    <w:rsid w:val="00BE470B"/>
    <w:rsid w:val="00BE4714"/>
    <w:rsid w:val="00BE576C"/>
    <w:rsid w:val="00BE5C6C"/>
    <w:rsid w:val="00BE660A"/>
    <w:rsid w:val="00BE6C4F"/>
    <w:rsid w:val="00BE77A9"/>
    <w:rsid w:val="00BF0AD0"/>
    <w:rsid w:val="00BF18C5"/>
    <w:rsid w:val="00BF1ADA"/>
    <w:rsid w:val="00BF1C99"/>
    <w:rsid w:val="00BF2058"/>
    <w:rsid w:val="00BF29DA"/>
    <w:rsid w:val="00BF3E1A"/>
    <w:rsid w:val="00BF4498"/>
    <w:rsid w:val="00BF46ED"/>
    <w:rsid w:val="00BF49C3"/>
    <w:rsid w:val="00BF5145"/>
    <w:rsid w:val="00BF57CD"/>
    <w:rsid w:val="00BF6879"/>
    <w:rsid w:val="00BF77CB"/>
    <w:rsid w:val="00BF77CC"/>
    <w:rsid w:val="00BF7883"/>
    <w:rsid w:val="00BF7F10"/>
    <w:rsid w:val="00C0084B"/>
    <w:rsid w:val="00C01982"/>
    <w:rsid w:val="00C01E81"/>
    <w:rsid w:val="00C02366"/>
    <w:rsid w:val="00C024B6"/>
    <w:rsid w:val="00C0261A"/>
    <w:rsid w:val="00C0427C"/>
    <w:rsid w:val="00C04896"/>
    <w:rsid w:val="00C05253"/>
    <w:rsid w:val="00C05E4B"/>
    <w:rsid w:val="00C060A3"/>
    <w:rsid w:val="00C06370"/>
    <w:rsid w:val="00C0652D"/>
    <w:rsid w:val="00C06DBA"/>
    <w:rsid w:val="00C071FB"/>
    <w:rsid w:val="00C0738A"/>
    <w:rsid w:val="00C07680"/>
    <w:rsid w:val="00C07688"/>
    <w:rsid w:val="00C105D0"/>
    <w:rsid w:val="00C10745"/>
    <w:rsid w:val="00C1162B"/>
    <w:rsid w:val="00C11A1C"/>
    <w:rsid w:val="00C12995"/>
    <w:rsid w:val="00C135F9"/>
    <w:rsid w:val="00C13E33"/>
    <w:rsid w:val="00C147E6"/>
    <w:rsid w:val="00C14A95"/>
    <w:rsid w:val="00C1553B"/>
    <w:rsid w:val="00C1554D"/>
    <w:rsid w:val="00C15BF2"/>
    <w:rsid w:val="00C15F85"/>
    <w:rsid w:val="00C1613B"/>
    <w:rsid w:val="00C1672A"/>
    <w:rsid w:val="00C1737A"/>
    <w:rsid w:val="00C179BF"/>
    <w:rsid w:val="00C211C7"/>
    <w:rsid w:val="00C215B6"/>
    <w:rsid w:val="00C22455"/>
    <w:rsid w:val="00C22581"/>
    <w:rsid w:val="00C230B0"/>
    <w:rsid w:val="00C23129"/>
    <w:rsid w:val="00C23260"/>
    <w:rsid w:val="00C258B1"/>
    <w:rsid w:val="00C25A39"/>
    <w:rsid w:val="00C25E08"/>
    <w:rsid w:val="00C26025"/>
    <w:rsid w:val="00C26198"/>
    <w:rsid w:val="00C2638A"/>
    <w:rsid w:val="00C26B75"/>
    <w:rsid w:val="00C270EC"/>
    <w:rsid w:val="00C27AFB"/>
    <w:rsid w:val="00C30565"/>
    <w:rsid w:val="00C3128B"/>
    <w:rsid w:val="00C31CA4"/>
    <w:rsid w:val="00C31FE0"/>
    <w:rsid w:val="00C32270"/>
    <w:rsid w:val="00C32476"/>
    <w:rsid w:val="00C3347C"/>
    <w:rsid w:val="00C3365B"/>
    <w:rsid w:val="00C34C71"/>
    <w:rsid w:val="00C36048"/>
    <w:rsid w:val="00C37499"/>
    <w:rsid w:val="00C37657"/>
    <w:rsid w:val="00C37B8F"/>
    <w:rsid w:val="00C40495"/>
    <w:rsid w:val="00C40E93"/>
    <w:rsid w:val="00C4142D"/>
    <w:rsid w:val="00C41468"/>
    <w:rsid w:val="00C41E3A"/>
    <w:rsid w:val="00C41FE9"/>
    <w:rsid w:val="00C42C17"/>
    <w:rsid w:val="00C42C3B"/>
    <w:rsid w:val="00C42F9C"/>
    <w:rsid w:val="00C43042"/>
    <w:rsid w:val="00C4349B"/>
    <w:rsid w:val="00C436A3"/>
    <w:rsid w:val="00C442A9"/>
    <w:rsid w:val="00C44392"/>
    <w:rsid w:val="00C4470E"/>
    <w:rsid w:val="00C449E3"/>
    <w:rsid w:val="00C44DDC"/>
    <w:rsid w:val="00C45B7E"/>
    <w:rsid w:val="00C45F84"/>
    <w:rsid w:val="00C46197"/>
    <w:rsid w:val="00C4626F"/>
    <w:rsid w:val="00C477AB"/>
    <w:rsid w:val="00C50724"/>
    <w:rsid w:val="00C50D68"/>
    <w:rsid w:val="00C50D9A"/>
    <w:rsid w:val="00C5172E"/>
    <w:rsid w:val="00C5186A"/>
    <w:rsid w:val="00C51CF3"/>
    <w:rsid w:val="00C51E01"/>
    <w:rsid w:val="00C520F8"/>
    <w:rsid w:val="00C52794"/>
    <w:rsid w:val="00C52966"/>
    <w:rsid w:val="00C52F45"/>
    <w:rsid w:val="00C541F5"/>
    <w:rsid w:val="00C54862"/>
    <w:rsid w:val="00C5503A"/>
    <w:rsid w:val="00C553AB"/>
    <w:rsid w:val="00C55D20"/>
    <w:rsid w:val="00C56EFE"/>
    <w:rsid w:val="00C57131"/>
    <w:rsid w:val="00C57DF6"/>
    <w:rsid w:val="00C602CF"/>
    <w:rsid w:val="00C605DF"/>
    <w:rsid w:val="00C61200"/>
    <w:rsid w:val="00C6149C"/>
    <w:rsid w:val="00C624EF"/>
    <w:rsid w:val="00C63127"/>
    <w:rsid w:val="00C636F4"/>
    <w:rsid w:val="00C63C6D"/>
    <w:rsid w:val="00C63D8B"/>
    <w:rsid w:val="00C63FDD"/>
    <w:rsid w:val="00C64347"/>
    <w:rsid w:val="00C65C16"/>
    <w:rsid w:val="00C65E9C"/>
    <w:rsid w:val="00C66093"/>
    <w:rsid w:val="00C66476"/>
    <w:rsid w:val="00C669BB"/>
    <w:rsid w:val="00C66EFF"/>
    <w:rsid w:val="00C6785D"/>
    <w:rsid w:val="00C6787F"/>
    <w:rsid w:val="00C70AB8"/>
    <w:rsid w:val="00C71680"/>
    <w:rsid w:val="00C72F3C"/>
    <w:rsid w:val="00C734AE"/>
    <w:rsid w:val="00C738C4"/>
    <w:rsid w:val="00C73AA2"/>
    <w:rsid w:val="00C741E5"/>
    <w:rsid w:val="00C745F9"/>
    <w:rsid w:val="00C7500D"/>
    <w:rsid w:val="00C75323"/>
    <w:rsid w:val="00C75880"/>
    <w:rsid w:val="00C7698A"/>
    <w:rsid w:val="00C76F9B"/>
    <w:rsid w:val="00C76FBF"/>
    <w:rsid w:val="00C812ED"/>
    <w:rsid w:val="00C81832"/>
    <w:rsid w:val="00C822C3"/>
    <w:rsid w:val="00C823C5"/>
    <w:rsid w:val="00C824EA"/>
    <w:rsid w:val="00C828AE"/>
    <w:rsid w:val="00C82B7C"/>
    <w:rsid w:val="00C8308F"/>
    <w:rsid w:val="00C8335E"/>
    <w:rsid w:val="00C838A8"/>
    <w:rsid w:val="00C8449D"/>
    <w:rsid w:val="00C84645"/>
    <w:rsid w:val="00C84749"/>
    <w:rsid w:val="00C85410"/>
    <w:rsid w:val="00C85429"/>
    <w:rsid w:val="00C866B8"/>
    <w:rsid w:val="00C86A2D"/>
    <w:rsid w:val="00C86D8C"/>
    <w:rsid w:val="00C86E05"/>
    <w:rsid w:val="00C87AAF"/>
    <w:rsid w:val="00C90253"/>
    <w:rsid w:val="00C905C0"/>
    <w:rsid w:val="00C91063"/>
    <w:rsid w:val="00C91125"/>
    <w:rsid w:val="00C91219"/>
    <w:rsid w:val="00C9150E"/>
    <w:rsid w:val="00C91B8B"/>
    <w:rsid w:val="00C93B0E"/>
    <w:rsid w:val="00C93C4C"/>
    <w:rsid w:val="00C94340"/>
    <w:rsid w:val="00C9525E"/>
    <w:rsid w:val="00C95734"/>
    <w:rsid w:val="00C97B24"/>
    <w:rsid w:val="00C97B71"/>
    <w:rsid w:val="00CA0842"/>
    <w:rsid w:val="00CA0890"/>
    <w:rsid w:val="00CA119A"/>
    <w:rsid w:val="00CA158C"/>
    <w:rsid w:val="00CA2EAF"/>
    <w:rsid w:val="00CA322C"/>
    <w:rsid w:val="00CA3250"/>
    <w:rsid w:val="00CA38B8"/>
    <w:rsid w:val="00CA3BDD"/>
    <w:rsid w:val="00CA3CBA"/>
    <w:rsid w:val="00CA404C"/>
    <w:rsid w:val="00CA44F7"/>
    <w:rsid w:val="00CA46E0"/>
    <w:rsid w:val="00CA4A2D"/>
    <w:rsid w:val="00CA57BC"/>
    <w:rsid w:val="00CA5AAA"/>
    <w:rsid w:val="00CA5E8C"/>
    <w:rsid w:val="00CA7D90"/>
    <w:rsid w:val="00CB1DF7"/>
    <w:rsid w:val="00CB1F13"/>
    <w:rsid w:val="00CB23E8"/>
    <w:rsid w:val="00CB2FFD"/>
    <w:rsid w:val="00CB3324"/>
    <w:rsid w:val="00CB3E41"/>
    <w:rsid w:val="00CB3E69"/>
    <w:rsid w:val="00CB3FE1"/>
    <w:rsid w:val="00CB469D"/>
    <w:rsid w:val="00CB71BF"/>
    <w:rsid w:val="00CB744C"/>
    <w:rsid w:val="00CC036F"/>
    <w:rsid w:val="00CC0769"/>
    <w:rsid w:val="00CC1603"/>
    <w:rsid w:val="00CC18CC"/>
    <w:rsid w:val="00CC1F42"/>
    <w:rsid w:val="00CC2127"/>
    <w:rsid w:val="00CC289C"/>
    <w:rsid w:val="00CC2FC7"/>
    <w:rsid w:val="00CC3003"/>
    <w:rsid w:val="00CC48EC"/>
    <w:rsid w:val="00CC5557"/>
    <w:rsid w:val="00CC5CFF"/>
    <w:rsid w:val="00CC6CF1"/>
    <w:rsid w:val="00CC7EAF"/>
    <w:rsid w:val="00CC7F05"/>
    <w:rsid w:val="00CD001C"/>
    <w:rsid w:val="00CD00F6"/>
    <w:rsid w:val="00CD0751"/>
    <w:rsid w:val="00CD0F31"/>
    <w:rsid w:val="00CD1F2C"/>
    <w:rsid w:val="00CD21CC"/>
    <w:rsid w:val="00CD3FF3"/>
    <w:rsid w:val="00CD416E"/>
    <w:rsid w:val="00CD47FA"/>
    <w:rsid w:val="00CD5A6F"/>
    <w:rsid w:val="00CD66BB"/>
    <w:rsid w:val="00CD68E8"/>
    <w:rsid w:val="00CD72DA"/>
    <w:rsid w:val="00CD78F4"/>
    <w:rsid w:val="00CE0154"/>
    <w:rsid w:val="00CE0B0E"/>
    <w:rsid w:val="00CE25E9"/>
    <w:rsid w:val="00CE2CB3"/>
    <w:rsid w:val="00CE33E9"/>
    <w:rsid w:val="00CE3408"/>
    <w:rsid w:val="00CE3F5C"/>
    <w:rsid w:val="00CE42C8"/>
    <w:rsid w:val="00CE50D7"/>
    <w:rsid w:val="00CE560F"/>
    <w:rsid w:val="00CE57C9"/>
    <w:rsid w:val="00CE588D"/>
    <w:rsid w:val="00CE592B"/>
    <w:rsid w:val="00CE5D63"/>
    <w:rsid w:val="00CE5E41"/>
    <w:rsid w:val="00CE5FB1"/>
    <w:rsid w:val="00CE655B"/>
    <w:rsid w:val="00CE713F"/>
    <w:rsid w:val="00CE729D"/>
    <w:rsid w:val="00CE72FD"/>
    <w:rsid w:val="00CE76E7"/>
    <w:rsid w:val="00CE78E2"/>
    <w:rsid w:val="00CF05D3"/>
    <w:rsid w:val="00CF0804"/>
    <w:rsid w:val="00CF1224"/>
    <w:rsid w:val="00CF20D3"/>
    <w:rsid w:val="00CF3DC9"/>
    <w:rsid w:val="00CF4492"/>
    <w:rsid w:val="00CF44A5"/>
    <w:rsid w:val="00CF560E"/>
    <w:rsid w:val="00CF58C8"/>
    <w:rsid w:val="00CF5D22"/>
    <w:rsid w:val="00CF6E00"/>
    <w:rsid w:val="00CF756C"/>
    <w:rsid w:val="00CF7896"/>
    <w:rsid w:val="00CF7F0A"/>
    <w:rsid w:val="00D0017A"/>
    <w:rsid w:val="00D002C8"/>
    <w:rsid w:val="00D00568"/>
    <w:rsid w:val="00D0099B"/>
    <w:rsid w:val="00D00B92"/>
    <w:rsid w:val="00D0127D"/>
    <w:rsid w:val="00D01A2D"/>
    <w:rsid w:val="00D02722"/>
    <w:rsid w:val="00D04EE1"/>
    <w:rsid w:val="00D053C7"/>
    <w:rsid w:val="00D057B8"/>
    <w:rsid w:val="00D05B89"/>
    <w:rsid w:val="00D05E8B"/>
    <w:rsid w:val="00D05F35"/>
    <w:rsid w:val="00D06D94"/>
    <w:rsid w:val="00D07154"/>
    <w:rsid w:val="00D106C3"/>
    <w:rsid w:val="00D10A8F"/>
    <w:rsid w:val="00D12198"/>
    <w:rsid w:val="00D12EB7"/>
    <w:rsid w:val="00D130FD"/>
    <w:rsid w:val="00D13CEB"/>
    <w:rsid w:val="00D13D05"/>
    <w:rsid w:val="00D13DA4"/>
    <w:rsid w:val="00D13E61"/>
    <w:rsid w:val="00D14227"/>
    <w:rsid w:val="00D148CC"/>
    <w:rsid w:val="00D159C1"/>
    <w:rsid w:val="00D16262"/>
    <w:rsid w:val="00D1726A"/>
    <w:rsid w:val="00D1784B"/>
    <w:rsid w:val="00D17A5F"/>
    <w:rsid w:val="00D203FD"/>
    <w:rsid w:val="00D204D3"/>
    <w:rsid w:val="00D205B4"/>
    <w:rsid w:val="00D2076D"/>
    <w:rsid w:val="00D20B4B"/>
    <w:rsid w:val="00D21267"/>
    <w:rsid w:val="00D224B2"/>
    <w:rsid w:val="00D22BC8"/>
    <w:rsid w:val="00D22E6F"/>
    <w:rsid w:val="00D234B4"/>
    <w:rsid w:val="00D23E47"/>
    <w:rsid w:val="00D244AD"/>
    <w:rsid w:val="00D248C0"/>
    <w:rsid w:val="00D26144"/>
    <w:rsid w:val="00D2754A"/>
    <w:rsid w:val="00D303F3"/>
    <w:rsid w:val="00D31890"/>
    <w:rsid w:val="00D32172"/>
    <w:rsid w:val="00D32367"/>
    <w:rsid w:val="00D32847"/>
    <w:rsid w:val="00D33FFC"/>
    <w:rsid w:val="00D34065"/>
    <w:rsid w:val="00D346C3"/>
    <w:rsid w:val="00D3484F"/>
    <w:rsid w:val="00D34877"/>
    <w:rsid w:val="00D353C4"/>
    <w:rsid w:val="00D35F28"/>
    <w:rsid w:val="00D35F50"/>
    <w:rsid w:val="00D4194F"/>
    <w:rsid w:val="00D4217F"/>
    <w:rsid w:val="00D42A13"/>
    <w:rsid w:val="00D42D7A"/>
    <w:rsid w:val="00D4550C"/>
    <w:rsid w:val="00D46838"/>
    <w:rsid w:val="00D4716E"/>
    <w:rsid w:val="00D47C4C"/>
    <w:rsid w:val="00D47E52"/>
    <w:rsid w:val="00D50F4B"/>
    <w:rsid w:val="00D520E4"/>
    <w:rsid w:val="00D524ED"/>
    <w:rsid w:val="00D54810"/>
    <w:rsid w:val="00D54847"/>
    <w:rsid w:val="00D54999"/>
    <w:rsid w:val="00D54F3B"/>
    <w:rsid w:val="00D557AE"/>
    <w:rsid w:val="00D55D38"/>
    <w:rsid w:val="00D55EFD"/>
    <w:rsid w:val="00D560D4"/>
    <w:rsid w:val="00D5796D"/>
    <w:rsid w:val="00D6059D"/>
    <w:rsid w:val="00D60BEE"/>
    <w:rsid w:val="00D60D3C"/>
    <w:rsid w:val="00D60D57"/>
    <w:rsid w:val="00D612BB"/>
    <w:rsid w:val="00D61B0A"/>
    <w:rsid w:val="00D63775"/>
    <w:rsid w:val="00D63C54"/>
    <w:rsid w:val="00D63E44"/>
    <w:rsid w:val="00D63F2E"/>
    <w:rsid w:val="00D64120"/>
    <w:rsid w:val="00D64F4D"/>
    <w:rsid w:val="00D6666A"/>
    <w:rsid w:val="00D66E35"/>
    <w:rsid w:val="00D67450"/>
    <w:rsid w:val="00D67991"/>
    <w:rsid w:val="00D67B3C"/>
    <w:rsid w:val="00D70042"/>
    <w:rsid w:val="00D710AD"/>
    <w:rsid w:val="00D719D6"/>
    <w:rsid w:val="00D71C31"/>
    <w:rsid w:val="00D71E1E"/>
    <w:rsid w:val="00D725DD"/>
    <w:rsid w:val="00D735F8"/>
    <w:rsid w:val="00D73B2C"/>
    <w:rsid w:val="00D74706"/>
    <w:rsid w:val="00D74C65"/>
    <w:rsid w:val="00D75830"/>
    <w:rsid w:val="00D76183"/>
    <w:rsid w:val="00D76B77"/>
    <w:rsid w:val="00D76BD6"/>
    <w:rsid w:val="00D77318"/>
    <w:rsid w:val="00D7784C"/>
    <w:rsid w:val="00D80786"/>
    <w:rsid w:val="00D81434"/>
    <w:rsid w:val="00D814BA"/>
    <w:rsid w:val="00D81EB2"/>
    <w:rsid w:val="00D824AF"/>
    <w:rsid w:val="00D82537"/>
    <w:rsid w:val="00D833CF"/>
    <w:rsid w:val="00D83C4E"/>
    <w:rsid w:val="00D842D0"/>
    <w:rsid w:val="00D84C44"/>
    <w:rsid w:val="00D84E7D"/>
    <w:rsid w:val="00D84FF7"/>
    <w:rsid w:val="00D86246"/>
    <w:rsid w:val="00D86ADE"/>
    <w:rsid w:val="00D872D8"/>
    <w:rsid w:val="00D87806"/>
    <w:rsid w:val="00D87963"/>
    <w:rsid w:val="00D87AB4"/>
    <w:rsid w:val="00D87F96"/>
    <w:rsid w:val="00D9067E"/>
    <w:rsid w:val="00D90D5E"/>
    <w:rsid w:val="00D9244E"/>
    <w:rsid w:val="00D92B09"/>
    <w:rsid w:val="00D93474"/>
    <w:rsid w:val="00D935F5"/>
    <w:rsid w:val="00D9476D"/>
    <w:rsid w:val="00D9568E"/>
    <w:rsid w:val="00D95B6A"/>
    <w:rsid w:val="00D97274"/>
    <w:rsid w:val="00D973CC"/>
    <w:rsid w:val="00D97C0D"/>
    <w:rsid w:val="00DA1E17"/>
    <w:rsid w:val="00DA1FFA"/>
    <w:rsid w:val="00DA20F6"/>
    <w:rsid w:val="00DA21F6"/>
    <w:rsid w:val="00DA2707"/>
    <w:rsid w:val="00DA272C"/>
    <w:rsid w:val="00DA2BD5"/>
    <w:rsid w:val="00DA3CA3"/>
    <w:rsid w:val="00DA468A"/>
    <w:rsid w:val="00DA4C69"/>
    <w:rsid w:val="00DA51FF"/>
    <w:rsid w:val="00DA5AD0"/>
    <w:rsid w:val="00DA5C82"/>
    <w:rsid w:val="00DA5D0C"/>
    <w:rsid w:val="00DA6137"/>
    <w:rsid w:val="00DA694B"/>
    <w:rsid w:val="00DA6C37"/>
    <w:rsid w:val="00DA71AF"/>
    <w:rsid w:val="00DA7A13"/>
    <w:rsid w:val="00DB06A9"/>
    <w:rsid w:val="00DB0D8B"/>
    <w:rsid w:val="00DB0F8C"/>
    <w:rsid w:val="00DB19F6"/>
    <w:rsid w:val="00DB1D3F"/>
    <w:rsid w:val="00DB1DAF"/>
    <w:rsid w:val="00DB1E18"/>
    <w:rsid w:val="00DB36BE"/>
    <w:rsid w:val="00DB3749"/>
    <w:rsid w:val="00DB48E9"/>
    <w:rsid w:val="00DB4AC7"/>
    <w:rsid w:val="00DB5664"/>
    <w:rsid w:val="00DB592A"/>
    <w:rsid w:val="00DB5FEB"/>
    <w:rsid w:val="00DB69D1"/>
    <w:rsid w:val="00DB6EE6"/>
    <w:rsid w:val="00DB73FC"/>
    <w:rsid w:val="00DB74EC"/>
    <w:rsid w:val="00DB750B"/>
    <w:rsid w:val="00DB7630"/>
    <w:rsid w:val="00DB79CC"/>
    <w:rsid w:val="00DB7F9D"/>
    <w:rsid w:val="00DB7FA3"/>
    <w:rsid w:val="00DC0133"/>
    <w:rsid w:val="00DC07A8"/>
    <w:rsid w:val="00DC1444"/>
    <w:rsid w:val="00DC1B1F"/>
    <w:rsid w:val="00DC232A"/>
    <w:rsid w:val="00DC2382"/>
    <w:rsid w:val="00DC23F1"/>
    <w:rsid w:val="00DC25F9"/>
    <w:rsid w:val="00DC2D72"/>
    <w:rsid w:val="00DC3D53"/>
    <w:rsid w:val="00DC4659"/>
    <w:rsid w:val="00DC4B53"/>
    <w:rsid w:val="00DC59AE"/>
    <w:rsid w:val="00DC5E1C"/>
    <w:rsid w:val="00DC7A60"/>
    <w:rsid w:val="00DD04F4"/>
    <w:rsid w:val="00DD11D0"/>
    <w:rsid w:val="00DD1424"/>
    <w:rsid w:val="00DD2021"/>
    <w:rsid w:val="00DD22D6"/>
    <w:rsid w:val="00DD39C2"/>
    <w:rsid w:val="00DD3FEE"/>
    <w:rsid w:val="00DD4497"/>
    <w:rsid w:val="00DD4BCA"/>
    <w:rsid w:val="00DD5122"/>
    <w:rsid w:val="00DD5340"/>
    <w:rsid w:val="00DD56A7"/>
    <w:rsid w:val="00DD5ABD"/>
    <w:rsid w:val="00DD734D"/>
    <w:rsid w:val="00DD7D0B"/>
    <w:rsid w:val="00DE01C2"/>
    <w:rsid w:val="00DE01CC"/>
    <w:rsid w:val="00DE0694"/>
    <w:rsid w:val="00DE1474"/>
    <w:rsid w:val="00DE315D"/>
    <w:rsid w:val="00DE4139"/>
    <w:rsid w:val="00DE46FD"/>
    <w:rsid w:val="00DE4818"/>
    <w:rsid w:val="00DE560B"/>
    <w:rsid w:val="00DE581D"/>
    <w:rsid w:val="00DE66F9"/>
    <w:rsid w:val="00DE6D2D"/>
    <w:rsid w:val="00DE6FCA"/>
    <w:rsid w:val="00DE75F7"/>
    <w:rsid w:val="00DE79FE"/>
    <w:rsid w:val="00DF0846"/>
    <w:rsid w:val="00DF1050"/>
    <w:rsid w:val="00DF1E02"/>
    <w:rsid w:val="00DF239E"/>
    <w:rsid w:val="00DF2676"/>
    <w:rsid w:val="00DF2701"/>
    <w:rsid w:val="00DF278C"/>
    <w:rsid w:val="00DF2967"/>
    <w:rsid w:val="00DF48B2"/>
    <w:rsid w:val="00DF4A10"/>
    <w:rsid w:val="00DF5F73"/>
    <w:rsid w:val="00DF6387"/>
    <w:rsid w:val="00DF6838"/>
    <w:rsid w:val="00DF6A96"/>
    <w:rsid w:val="00DF6EC9"/>
    <w:rsid w:val="00DF7094"/>
    <w:rsid w:val="00DF7181"/>
    <w:rsid w:val="00DF7918"/>
    <w:rsid w:val="00DF791E"/>
    <w:rsid w:val="00E007F9"/>
    <w:rsid w:val="00E00EE8"/>
    <w:rsid w:val="00E01202"/>
    <w:rsid w:val="00E01DB5"/>
    <w:rsid w:val="00E026F3"/>
    <w:rsid w:val="00E02828"/>
    <w:rsid w:val="00E02F35"/>
    <w:rsid w:val="00E03082"/>
    <w:rsid w:val="00E03D6D"/>
    <w:rsid w:val="00E03EB2"/>
    <w:rsid w:val="00E048FF"/>
    <w:rsid w:val="00E0534E"/>
    <w:rsid w:val="00E0537A"/>
    <w:rsid w:val="00E05760"/>
    <w:rsid w:val="00E068BE"/>
    <w:rsid w:val="00E06E96"/>
    <w:rsid w:val="00E07312"/>
    <w:rsid w:val="00E07352"/>
    <w:rsid w:val="00E079B8"/>
    <w:rsid w:val="00E1063F"/>
    <w:rsid w:val="00E1088A"/>
    <w:rsid w:val="00E10B39"/>
    <w:rsid w:val="00E10F4D"/>
    <w:rsid w:val="00E116D0"/>
    <w:rsid w:val="00E11D0D"/>
    <w:rsid w:val="00E11E91"/>
    <w:rsid w:val="00E12AC3"/>
    <w:rsid w:val="00E13D08"/>
    <w:rsid w:val="00E1536C"/>
    <w:rsid w:val="00E153C9"/>
    <w:rsid w:val="00E158A2"/>
    <w:rsid w:val="00E15902"/>
    <w:rsid w:val="00E15CBD"/>
    <w:rsid w:val="00E164B9"/>
    <w:rsid w:val="00E1752B"/>
    <w:rsid w:val="00E2007E"/>
    <w:rsid w:val="00E202FE"/>
    <w:rsid w:val="00E209A6"/>
    <w:rsid w:val="00E21467"/>
    <w:rsid w:val="00E21618"/>
    <w:rsid w:val="00E21721"/>
    <w:rsid w:val="00E22059"/>
    <w:rsid w:val="00E237FE"/>
    <w:rsid w:val="00E23B68"/>
    <w:rsid w:val="00E24890"/>
    <w:rsid w:val="00E2497C"/>
    <w:rsid w:val="00E25508"/>
    <w:rsid w:val="00E25B8B"/>
    <w:rsid w:val="00E25E04"/>
    <w:rsid w:val="00E25ECA"/>
    <w:rsid w:val="00E260E3"/>
    <w:rsid w:val="00E26751"/>
    <w:rsid w:val="00E27362"/>
    <w:rsid w:val="00E30CAE"/>
    <w:rsid w:val="00E310B7"/>
    <w:rsid w:val="00E32D6C"/>
    <w:rsid w:val="00E33ABF"/>
    <w:rsid w:val="00E33F79"/>
    <w:rsid w:val="00E33F83"/>
    <w:rsid w:val="00E3418F"/>
    <w:rsid w:val="00E349EA"/>
    <w:rsid w:val="00E34C97"/>
    <w:rsid w:val="00E34CE3"/>
    <w:rsid w:val="00E35832"/>
    <w:rsid w:val="00E36A4F"/>
    <w:rsid w:val="00E36D33"/>
    <w:rsid w:val="00E3783C"/>
    <w:rsid w:val="00E379F5"/>
    <w:rsid w:val="00E37A42"/>
    <w:rsid w:val="00E40746"/>
    <w:rsid w:val="00E4091B"/>
    <w:rsid w:val="00E41373"/>
    <w:rsid w:val="00E41B86"/>
    <w:rsid w:val="00E423D2"/>
    <w:rsid w:val="00E452D4"/>
    <w:rsid w:val="00E46676"/>
    <w:rsid w:val="00E50047"/>
    <w:rsid w:val="00E500BA"/>
    <w:rsid w:val="00E500C1"/>
    <w:rsid w:val="00E50961"/>
    <w:rsid w:val="00E50C6A"/>
    <w:rsid w:val="00E50EFD"/>
    <w:rsid w:val="00E51039"/>
    <w:rsid w:val="00E51281"/>
    <w:rsid w:val="00E51315"/>
    <w:rsid w:val="00E51E3D"/>
    <w:rsid w:val="00E52814"/>
    <w:rsid w:val="00E5340E"/>
    <w:rsid w:val="00E534A6"/>
    <w:rsid w:val="00E54CC8"/>
    <w:rsid w:val="00E5544A"/>
    <w:rsid w:val="00E55473"/>
    <w:rsid w:val="00E56010"/>
    <w:rsid w:val="00E56548"/>
    <w:rsid w:val="00E57007"/>
    <w:rsid w:val="00E57423"/>
    <w:rsid w:val="00E574C0"/>
    <w:rsid w:val="00E57CBD"/>
    <w:rsid w:val="00E57D57"/>
    <w:rsid w:val="00E57D5C"/>
    <w:rsid w:val="00E6076A"/>
    <w:rsid w:val="00E60CB9"/>
    <w:rsid w:val="00E61B47"/>
    <w:rsid w:val="00E61E32"/>
    <w:rsid w:val="00E62540"/>
    <w:rsid w:val="00E625D0"/>
    <w:rsid w:val="00E6295A"/>
    <w:rsid w:val="00E6325F"/>
    <w:rsid w:val="00E63B71"/>
    <w:rsid w:val="00E63EE8"/>
    <w:rsid w:val="00E63EEE"/>
    <w:rsid w:val="00E649DE"/>
    <w:rsid w:val="00E64B28"/>
    <w:rsid w:val="00E64F35"/>
    <w:rsid w:val="00E650A5"/>
    <w:rsid w:val="00E66524"/>
    <w:rsid w:val="00E66988"/>
    <w:rsid w:val="00E67573"/>
    <w:rsid w:val="00E67C06"/>
    <w:rsid w:val="00E67D5F"/>
    <w:rsid w:val="00E67F64"/>
    <w:rsid w:val="00E70395"/>
    <w:rsid w:val="00E70CBE"/>
    <w:rsid w:val="00E70FEF"/>
    <w:rsid w:val="00E71508"/>
    <w:rsid w:val="00E718E9"/>
    <w:rsid w:val="00E71A29"/>
    <w:rsid w:val="00E71C42"/>
    <w:rsid w:val="00E72978"/>
    <w:rsid w:val="00E74011"/>
    <w:rsid w:val="00E749CD"/>
    <w:rsid w:val="00E76CD1"/>
    <w:rsid w:val="00E77E91"/>
    <w:rsid w:val="00E77E9A"/>
    <w:rsid w:val="00E803F2"/>
    <w:rsid w:val="00E81223"/>
    <w:rsid w:val="00E82529"/>
    <w:rsid w:val="00E8267F"/>
    <w:rsid w:val="00E83046"/>
    <w:rsid w:val="00E830E7"/>
    <w:rsid w:val="00E831FC"/>
    <w:rsid w:val="00E8392C"/>
    <w:rsid w:val="00E84109"/>
    <w:rsid w:val="00E847DD"/>
    <w:rsid w:val="00E84987"/>
    <w:rsid w:val="00E855FA"/>
    <w:rsid w:val="00E85941"/>
    <w:rsid w:val="00E85F53"/>
    <w:rsid w:val="00E863C4"/>
    <w:rsid w:val="00E86619"/>
    <w:rsid w:val="00E8668B"/>
    <w:rsid w:val="00E868F5"/>
    <w:rsid w:val="00E8735E"/>
    <w:rsid w:val="00E9138C"/>
    <w:rsid w:val="00E91F82"/>
    <w:rsid w:val="00E921B7"/>
    <w:rsid w:val="00E94AD8"/>
    <w:rsid w:val="00E94EED"/>
    <w:rsid w:val="00E96466"/>
    <w:rsid w:val="00E967D2"/>
    <w:rsid w:val="00E96FC1"/>
    <w:rsid w:val="00E977DA"/>
    <w:rsid w:val="00E979ED"/>
    <w:rsid w:val="00E97AFF"/>
    <w:rsid w:val="00EA05E2"/>
    <w:rsid w:val="00EA0A8A"/>
    <w:rsid w:val="00EA39AF"/>
    <w:rsid w:val="00EA3A5D"/>
    <w:rsid w:val="00EA5669"/>
    <w:rsid w:val="00EA6C0C"/>
    <w:rsid w:val="00EA6D62"/>
    <w:rsid w:val="00EA6E54"/>
    <w:rsid w:val="00EA705F"/>
    <w:rsid w:val="00EB0294"/>
    <w:rsid w:val="00EB089A"/>
    <w:rsid w:val="00EB13BF"/>
    <w:rsid w:val="00EB1B83"/>
    <w:rsid w:val="00EB20DE"/>
    <w:rsid w:val="00EB2562"/>
    <w:rsid w:val="00EB2D57"/>
    <w:rsid w:val="00EB2E0B"/>
    <w:rsid w:val="00EB3AE7"/>
    <w:rsid w:val="00EB3EAB"/>
    <w:rsid w:val="00EB44A0"/>
    <w:rsid w:val="00EB4953"/>
    <w:rsid w:val="00EB5205"/>
    <w:rsid w:val="00EB5D99"/>
    <w:rsid w:val="00EB629A"/>
    <w:rsid w:val="00EB69C2"/>
    <w:rsid w:val="00EB6BB6"/>
    <w:rsid w:val="00EB76DA"/>
    <w:rsid w:val="00EC0F30"/>
    <w:rsid w:val="00EC1375"/>
    <w:rsid w:val="00EC1607"/>
    <w:rsid w:val="00EC179C"/>
    <w:rsid w:val="00EC3FB3"/>
    <w:rsid w:val="00EC4A2B"/>
    <w:rsid w:val="00EC50E2"/>
    <w:rsid w:val="00EC510B"/>
    <w:rsid w:val="00EC5E59"/>
    <w:rsid w:val="00EC66B4"/>
    <w:rsid w:val="00ED04E3"/>
    <w:rsid w:val="00ED08CA"/>
    <w:rsid w:val="00ED0EF4"/>
    <w:rsid w:val="00ED0FE6"/>
    <w:rsid w:val="00ED128F"/>
    <w:rsid w:val="00ED1A39"/>
    <w:rsid w:val="00ED1F0E"/>
    <w:rsid w:val="00ED29F6"/>
    <w:rsid w:val="00ED2BE3"/>
    <w:rsid w:val="00ED3213"/>
    <w:rsid w:val="00ED33F2"/>
    <w:rsid w:val="00ED40C7"/>
    <w:rsid w:val="00ED49CF"/>
    <w:rsid w:val="00ED5556"/>
    <w:rsid w:val="00ED5A8A"/>
    <w:rsid w:val="00ED5F62"/>
    <w:rsid w:val="00ED66B7"/>
    <w:rsid w:val="00ED6F48"/>
    <w:rsid w:val="00ED714C"/>
    <w:rsid w:val="00EE02D8"/>
    <w:rsid w:val="00EE0438"/>
    <w:rsid w:val="00EE10E1"/>
    <w:rsid w:val="00EE1274"/>
    <w:rsid w:val="00EE19D1"/>
    <w:rsid w:val="00EE23AD"/>
    <w:rsid w:val="00EE25D8"/>
    <w:rsid w:val="00EE2E69"/>
    <w:rsid w:val="00EE3148"/>
    <w:rsid w:val="00EE3B24"/>
    <w:rsid w:val="00EE40B4"/>
    <w:rsid w:val="00EE4B4A"/>
    <w:rsid w:val="00EE5335"/>
    <w:rsid w:val="00EE587B"/>
    <w:rsid w:val="00EE595E"/>
    <w:rsid w:val="00EE5CDA"/>
    <w:rsid w:val="00EE6435"/>
    <w:rsid w:val="00EE7184"/>
    <w:rsid w:val="00EE74AC"/>
    <w:rsid w:val="00EF040D"/>
    <w:rsid w:val="00EF0B83"/>
    <w:rsid w:val="00EF0C66"/>
    <w:rsid w:val="00EF1E84"/>
    <w:rsid w:val="00EF2578"/>
    <w:rsid w:val="00EF2E64"/>
    <w:rsid w:val="00EF2FED"/>
    <w:rsid w:val="00EF3BDC"/>
    <w:rsid w:val="00EF3E81"/>
    <w:rsid w:val="00EF3F93"/>
    <w:rsid w:val="00EF587E"/>
    <w:rsid w:val="00EF695E"/>
    <w:rsid w:val="00EF7025"/>
    <w:rsid w:val="00EF7580"/>
    <w:rsid w:val="00EF7682"/>
    <w:rsid w:val="00F00BBC"/>
    <w:rsid w:val="00F018A5"/>
    <w:rsid w:val="00F02484"/>
    <w:rsid w:val="00F0269D"/>
    <w:rsid w:val="00F029FE"/>
    <w:rsid w:val="00F02B60"/>
    <w:rsid w:val="00F04E75"/>
    <w:rsid w:val="00F054B0"/>
    <w:rsid w:val="00F0560C"/>
    <w:rsid w:val="00F0610C"/>
    <w:rsid w:val="00F06180"/>
    <w:rsid w:val="00F06F66"/>
    <w:rsid w:val="00F070D1"/>
    <w:rsid w:val="00F072FF"/>
    <w:rsid w:val="00F07A07"/>
    <w:rsid w:val="00F107E3"/>
    <w:rsid w:val="00F10970"/>
    <w:rsid w:val="00F10A87"/>
    <w:rsid w:val="00F10BA1"/>
    <w:rsid w:val="00F11558"/>
    <w:rsid w:val="00F127D5"/>
    <w:rsid w:val="00F12E9B"/>
    <w:rsid w:val="00F139E2"/>
    <w:rsid w:val="00F13FD6"/>
    <w:rsid w:val="00F14F73"/>
    <w:rsid w:val="00F15AE5"/>
    <w:rsid w:val="00F16D42"/>
    <w:rsid w:val="00F16DFA"/>
    <w:rsid w:val="00F16F70"/>
    <w:rsid w:val="00F17469"/>
    <w:rsid w:val="00F17F0C"/>
    <w:rsid w:val="00F17F68"/>
    <w:rsid w:val="00F201F3"/>
    <w:rsid w:val="00F21185"/>
    <w:rsid w:val="00F221DF"/>
    <w:rsid w:val="00F228CB"/>
    <w:rsid w:val="00F22AC6"/>
    <w:rsid w:val="00F22DF3"/>
    <w:rsid w:val="00F234BF"/>
    <w:rsid w:val="00F23825"/>
    <w:rsid w:val="00F23D3E"/>
    <w:rsid w:val="00F24208"/>
    <w:rsid w:val="00F24267"/>
    <w:rsid w:val="00F24732"/>
    <w:rsid w:val="00F25281"/>
    <w:rsid w:val="00F25624"/>
    <w:rsid w:val="00F2585B"/>
    <w:rsid w:val="00F25E6B"/>
    <w:rsid w:val="00F25F06"/>
    <w:rsid w:val="00F26B8A"/>
    <w:rsid w:val="00F26F4B"/>
    <w:rsid w:val="00F27480"/>
    <w:rsid w:val="00F274A0"/>
    <w:rsid w:val="00F2755A"/>
    <w:rsid w:val="00F308A2"/>
    <w:rsid w:val="00F30F9E"/>
    <w:rsid w:val="00F314C3"/>
    <w:rsid w:val="00F31754"/>
    <w:rsid w:val="00F319B5"/>
    <w:rsid w:val="00F31D6A"/>
    <w:rsid w:val="00F32BAA"/>
    <w:rsid w:val="00F33070"/>
    <w:rsid w:val="00F33665"/>
    <w:rsid w:val="00F34CD8"/>
    <w:rsid w:val="00F355DF"/>
    <w:rsid w:val="00F3590D"/>
    <w:rsid w:val="00F35C37"/>
    <w:rsid w:val="00F35DB9"/>
    <w:rsid w:val="00F37084"/>
    <w:rsid w:val="00F40920"/>
    <w:rsid w:val="00F41188"/>
    <w:rsid w:val="00F42433"/>
    <w:rsid w:val="00F42490"/>
    <w:rsid w:val="00F42518"/>
    <w:rsid w:val="00F439CB"/>
    <w:rsid w:val="00F43FED"/>
    <w:rsid w:val="00F44BFA"/>
    <w:rsid w:val="00F453DE"/>
    <w:rsid w:val="00F45A1A"/>
    <w:rsid w:val="00F467B5"/>
    <w:rsid w:val="00F467F1"/>
    <w:rsid w:val="00F46CFB"/>
    <w:rsid w:val="00F46F89"/>
    <w:rsid w:val="00F4796B"/>
    <w:rsid w:val="00F50377"/>
    <w:rsid w:val="00F506EC"/>
    <w:rsid w:val="00F50D6D"/>
    <w:rsid w:val="00F5127D"/>
    <w:rsid w:val="00F51A39"/>
    <w:rsid w:val="00F51EC5"/>
    <w:rsid w:val="00F52C4D"/>
    <w:rsid w:val="00F52EB6"/>
    <w:rsid w:val="00F53B9C"/>
    <w:rsid w:val="00F53FC4"/>
    <w:rsid w:val="00F544B4"/>
    <w:rsid w:val="00F54578"/>
    <w:rsid w:val="00F54D80"/>
    <w:rsid w:val="00F55A93"/>
    <w:rsid w:val="00F55F79"/>
    <w:rsid w:val="00F56105"/>
    <w:rsid w:val="00F5694B"/>
    <w:rsid w:val="00F571CE"/>
    <w:rsid w:val="00F57A16"/>
    <w:rsid w:val="00F6052E"/>
    <w:rsid w:val="00F615BA"/>
    <w:rsid w:val="00F61720"/>
    <w:rsid w:val="00F61E9A"/>
    <w:rsid w:val="00F6239A"/>
    <w:rsid w:val="00F63DA4"/>
    <w:rsid w:val="00F63F75"/>
    <w:rsid w:val="00F64209"/>
    <w:rsid w:val="00F64867"/>
    <w:rsid w:val="00F64F88"/>
    <w:rsid w:val="00F65043"/>
    <w:rsid w:val="00F651A8"/>
    <w:rsid w:val="00F65309"/>
    <w:rsid w:val="00F663A9"/>
    <w:rsid w:val="00F668BD"/>
    <w:rsid w:val="00F70394"/>
    <w:rsid w:val="00F7062D"/>
    <w:rsid w:val="00F716D9"/>
    <w:rsid w:val="00F71C7D"/>
    <w:rsid w:val="00F723A7"/>
    <w:rsid w:val="00F73089"/>
    <w:rsid w:val="00F74348"/>
    <w:rsid w:val="00F74BFC"/>
    <w:rsid w:val="00F75A50"/>
    <w:rsid w:val="00F760AD"/>
    <w:rsid w:val="00F771EF"/>
    <w:rsid w:val="00F7736D"/>
    <w:rsid w:val="00F77DBB"/>
    <w:rsid w:val="00F77ED7"/>
    <w:rsid w:val="00F77EE8"/>
    <w:rsid w:val="00F77F72"/>
    <w:rsid w:val="00F8104E"/>
    <w:rsid w:val="00F81C8F"/>
    <w:rsid w:val="00F82263"/>
    <w:rsid w:val="00F82981"/>
    <w:rsid w:val="00F82C1A"/>
    <w:rsid w:val="00F83CB5"/>
    <w:rsid w:val="00F846BA"/>
    <w:rsid w:val="00F84826"/>
    <w:rsid w:val="00F8504B"/>
    <w:rsid w:val="00F85254"/>
    <w:rsid w:val="00F8570D"/>
    <w:rsid w:val="00F857DE"/>
    <w:rsid w:val="00F85830"/>
    <w:rsid w:val="00F85955"/>
    <w:rsid w:val="00F85E49"/>
    <w:rsid w:val="00F86024"/>
    <w:rsid w:val="00F86665"/>
    <w:rsid w:val="00F8722F"/>
    <w:rsid w:val="00F87E99"/>
    <w:rsid w:val="00F902C2"/>
    <w:rsid w:val="00F90BAD"/>
    <w:rsid w:val="00F91F97"/>
    <w:rsid w:val="00F9281B"/>
    <w:rsid w:val="00F92CC5"/>
    <w:rsid w:val="00F92EAE"/>
    <w:rsid w:val="00F934D4"/>
    <w:rsid w:val="00F93517"/>
    <w:rsid w:val="00F94532"/>
    <w:rsid w:val="00F94948"/>
    <w:rsid w:val="00F959CF"/>
    <w:rsid w:val="00F95A69"/>
    <w:rsid w:val="00F95AA2"/>
    <w:rsid w:val="00F964E6"/>
    <w:rsid w:val="00F96A1E"/>
    <w:rsid w:val="00F96D7E"/>
    <w:rsid w:val="00FA1496"/>
    <w:rsid w:val="00FA16F6"/>
    <w:rsid w:val="00FA1B02"/>
    <w:rsid w:val="00FA2931"/>
    <w:rsid w:val="00FA29EB"/>
    <w:rsid w:val="00FA2A5F"/>
    <w:rsid w:val="00FA357F"/>
    <w:rsid w:val="00FA430F"/>
    <w:rsid w:val="00FA49B3"/>
    <w:rsid w:val="00FA5111"/>
    <w:rsid w:val="00FA56F2"/>
    <w:rsid w:val="00FA5AEA"/>
    <w:rsid w:val="00FA5E5B"/>
    <w:rsid w:val="00FA7767"/>
    <w:rsid w:val="00FA7D01"/>
    <w:rsid w:val="00FA7DBF"/>
    <w:rsid w:val="00FB0611"/>
    <w:rsid w:val="00FB07AD"/>
    <w:rsid w:val="00FB156A"/>
    <w:rsid w:val="00FB162D"/>
    <w:rsid w:val="00FB2071"/>
    <w:rsid w:val="00FB207A"/>
    <w:rsid w:val="00FB272D"/>
    <w:rsid w:val="00FB3589"/>
    <w:rsid w:val="00FB375C"/>
    <w:rsid w:val="00FB3978"/>
    <w:rsid w:val="00FB3C0F"/>
    <w:rsid w:val="00FB4431"/>
    <w:rsid w:val="00FB6305"/>
    <w:rsid w:val="00FC01CA"/>
    <w:rsid w:val="00FC0918"/>
    <w:rsid w:val="00FC0A48"/>
    <w:rsid w:val="00FC0B6B"/>
    <w:rsid w:val="00FC0C40"/>
    <w:rsid w:val="00FC163D"/>
    <w:rsid w:val="00FC2515"/>
    <w:rsid w:val="00FC2672"/>
    <w:rsid w:val="00FC3FDF"/>
    <w:rsid w:val="00FC5D83"/>
    <w:rsid w:val="00FC64AF"/>
    <w:rsid w:val="00FC65D0"/>
    <w:rsid w:val="00FC65E0"/>
    <w:rsid w:val="00FC667B"/>
    <w:rsid w:val="00FC7F67"/>
    <w:rsid w:val="00FD1A98"/>
    <w:rsid w:val="00FD462B"/>
    <w:rsid w:val="00FD4F82"/>
    <w:rsid w:val="00FD544A"/>
    <w:rsid w:val="00FD590D"/>
    <w:rsid w:val="00FD59F9"/>
    <w:rsid w:val="00FD5DDE"/>
    <w:rsid w:val="00FD7403"/>
    <w:rsid w:val="00FD7F71"/>
    <w:rsid w:val="00FE09CB"/>
    <w:rsid w:val="00FE0ADB"/>
    <w:rsid w:val="00FE0B43"/>
    <w:rsid w:val="00FE0BB0"/>
    <w:rsid w:val="00FE135F"/>
    <w:rsid w:val="00FE2D70"/>
    <w:rsid w:val="00FE3023"/>
    <w:rsid w:val="00FE48A0"/>
    <w:rsid w:val="00FE5646"/>
    <w:rsid w:val="00FE5860"/>
    <w:rsid w:val="00FE5D9C"/>
    <w:rsid w:val="00FE7139"/>
    <w:rsid w:val="00FE757C"/>
    <w:rsid w:val="00FF0E34"/>
    <w:rsid w:val="00FF1140"/>
    <w:rsid w:val="00FF1155"/>
    <w:rsid w:val="00FF257C"/>
    <w:rsid w:val="00FF2A17"/>
    <w:rsid w:val="00FF2D6F"/>
    <w:rsid w:val="00FF31B0"/>
    <w:rsid w:val="00FF3DF0"/>
    <w:rsid w:val="00FF4B07"/>
    <w:rsid w:val="00FF61E6"/>
    <w:rsid w:val="00FF64F2"/>
    <w:rsid w:val="00FF6F38"/>
    <w:rsid w:val="00FF7078"/>
    <w:rsid w:val="00FF71C6"/>
    <w:rsid w:val="00FF77B2"/>
    <w:rsid w:val="01074F82"/>
    <w:rsid w:val="014B2074"/>
    <w:rsid w:val="017B5688"/>
    <w:rsid w:val="01857A26"/>
    <w:rsid w:val="01922E60"/>
    <w:rsid w:val="01C7267B"/>
    <w:rsid w:val="01D019CE"/>
    <w:rsid w:val="020974AF"/>
    <w:rsid w:val="021F1E09"/>
    <w:rsid w:val="024B5A70"/>
    <w:rsid w:val="0259629C"/>
    <w:rsid w:val="025F3DF0"/>
    <w:rsid w:val="026B1E34"/>
    <w:rsid w:val="029543F2"/>
    <w:rsid w:val="02A60F33"/>
    <w:rsid w:val="02B07348"/>
    <w:rsid w:val="02E6386D"/>
    <w:rsid w:val="03152FC7"/>
    <w:rsid w:val="0343578B"/>
    <w:rsid w:val="034A75B7"/>
    <w:rsid w:val="03926CF2"/>
    <w:rsid w:val="03EF5EB9"/>
    <w:rsid w:val="04A37B2B"/>
    <w:rsid w:val="04BC365E"/>
    <w:rsid w:val="04D37589"/>
    <w:rsid w:val="04E27F79"/>
    <w:rsid w:val="04E962A7"/>
    <w:rsid w:val="04F512AE"/>
    <w:rsid w:val="050613C0"/>
    <w:rsid w:val="050B17DB"/>
    <w:rsid w:val="055F2BCB"/>
    <w:rsid w:val="056A63E5"/>
    <w:rsid w:val="05940AC6"/>
    <w:rsid w:val="05A851EC"/>
    <w:rsid w:val="05C81225"/>
    <w:rsid w:val="05FE1DC7"/>
    <w:rsid w:val="06463C8C"/>
    <w:rsid w:val="067508F8"/>
    <w:rsid w:val="06814489"/>
    <w:rsid w:val="068E3768"/>
    <w:rsid w:val="06AC7907"/>
    <w:rsid w:val="07066402"/>
    <w:rsid w:val="071C50C9"/>
    <w:rsid w:val="075F387F"/>
    <w:rsid w:val="079C0F27"/>
    <w:rsid w:val="07A479CE"/>
    <w:rsid w:val="07A54B0B"/>
    <w:rsid w:val="07B34EF2"/>
    <w:rsid w:val="0802440D"/>
    <w:rsid w:val="080C703A"/>
    <w:rsid w:val="083D5445"/>
    <w:rsid w:val="0869587F"/>
    <w:rsid w:val="089332B7"/>
    <w:rsid w:val="0895702F"/>
    <w:rsid w:val="089E6380"/>
    <w:rsid w:val="08B60D54"/>
    <w:rsid w:val="08C0034F"/>
    <w:rsid w:val="08C72F61"/>
    <w:rsid w:val="090C2266"/>
    <w:rsid w:val="090E0B8B"/>
    <w:rsid w:val="091C088E"/>
    <w:rsid w:val="09244794"/>
    <w:rsid w:val="095B77FF"/>
    <w:rsid w:val="096802A0"/>
    <w:rsid w:val="09D07890"/>
    <w:rsid w:val="0A3144E0"/>
    <w:rsid w:val="0A387FCF"/>
    <w:rsid w:val="0A474359"/>
    <w:rsid w:val="0A4E5205"/>
    <w:rsid w:val="0A651EE2"/>
    <w:rsid w:val="0A766000"/>
    <w:rsid w:val="0A8911A4"/>
    <w:rsid w:val="0A8C6210"/>
    <w:rsid w:val="0A9C3C41"/>
    <w:rsid w:val="0AB94EE2"/>
    <w:rsid w:val="0AC7549A"/>
    <w:rsid w:val="0B135A0E"/>
    <w:rsid w:val="0B284CCD"/>
    <w:rsid w:val="0B4765DB"/>
    <w:rsid w:val="0B747AB2"/>
    <w:rsid w:val="0B81389B"/>
    <w:rsid w:val="0BAC5C69"/>
    <w:rsid w:val="0BB15622"/>
    <w:rsid w:val="0BBA6DAD"/>
    <w:rsid w:val="0BC470A8"/>
    <w:rsid w:val="0BED7182"/>
    <w:rsid w:val="0BF02CEA"/>
    <w:rsid w:val="0C1B20EA"/>
    <w:rsid w:val="0C3035F6"/>
    <w:rsid w:val="0C437A8C"/>
    <w:rsid w:val="0C9B6F29"/>
    <w:rsid w:val="0C9E5680"/>
    <w:rsid w:val="0CB90CB7"/>
    <w:rsid w:val="0CE75980"/>
    <w:rsid w:val="0D40003B"/>
    <w:rsid w:val="0D42110F"/>
    <w:rsid w:val="0D790C88"/>
    <w:rsid w:val="0D8E6743"/>
    <w:rsid w:val="0DDA072B"/>
    <w:rsid w:val="0E2315D2"/>
    <w:rsid w:val="0E275835"/>
    <w:rsid w:val="0E325057"/>
    <w:rsid w:val="0E37795C"/>
    <w:rsid w:val="0E704BBE"/>
    <w:rsid w:val="0EAE1EBD"/>
    <w:rsid w:val="0F33356F"/>
    <w:rsid w:val="0F5A4B2F"/>
    <w:rsid w:val="0F781459"/>
    <w:rsid w:val="0F8C6E6C"/>
    <w:rsid w:val="0FAC3346"/>
    <w:rsid w:val="0FC700B3"/>
    <w:rsid w:val="0FD2532C"/>
    <w:rsid w:val="100143F8"/>
    <w:rsid w:val="10082A63"/>
    <w:rsid w:val="10204855"/>
    <w:rsid w:val="106F3A7D"/>
    <w:rsid w:val="107B2FAF"/>
    <w:rsid w:val="10B14C22"/>
    <w:rsid w:val="10D50B8C"/>
    <w:rsid w:val="10E96499"/>
    <w:rsid w:val="110C7C74"/>
    <w:rsid w:val="1129570C"/>
    <w:rsid w:val="112A22DF"/>
    <w:rsid w:val="113D64B6"/>
    <w:rsid w:val="118A5945"/>
    <w:rsid w:val="11935E90"/>
    <w:rsid w:val="119848A8"/>
    <w:rsid w:val="119C142F"/>
    <w:rsid w:val="11B14D7C"/>
    <w:rsid w:val="11D96D1D"/>
    <w:rsid w:val="11E13F2F"/>
    <w:rsid w:val="11F53491"/>
    <w:rsid w:val="121F61E4"/>
    <w:rsid w:val="122A6625"/>
    <w:rsid w:val="122D0DAF"/>
    <w:rsid w:val="127E1060"/>
    <w:rsid w:val="12994553"/>
    <w:rsid w:val="129D771A"/>
    <w:rsid w:val="130F7127"/>
    <w:rsid w:val="13662ECC"/>
    <w:rsid w:val="13685340"/>
    <w:rsid w:val="136A10B9"/>
    <w:rsid w:val="13817594"/>
    <w:rsid w:val="13933FAE"/>
    <w:rsid w:val="139916D7"/>
    <w:rsid w:val="13BB2AB1"/>
    <w:rsid w:val="13D446BC"/>
    <w:rsid w:val="13DF06C2"/>
    <w:rsid w:val="13F67B64"/>
    <w:rsid w:val="14496BF5"/>
    <w:rsid w:val="144B713C"/>
    <w:rsid w:val="14681A9C"/>
    <w:rsid w:val="14757DAD"/>
    <w:rsid w:val="14776777"/>
    <w:rsid w:val="149A59CD"/>
    <w:rsid w:val="14B752B8"/>
    <w:rsid w:val="14CB7C9E"/>
    <w:rsid w:val="14D04A8C"/>
    <w:rsid w:val="14E40A82"/>
    <w:rsid w:val="14F7697C"/>
    <w:rsid w:val="1529148F"/>
    <w:rsid w:val="153100E0"/>
    <w:rsid w:val="1559367F"/>
    <w:rsid w:val="15745C82"/>
    <w:rsid w:val="157649D1"/>
    <w:rsid w:val="15A22D8C"/>
    <w:rsid w:val="15B34F99"/>
    <w:rsid w:val="15CA5E3E"/>
    <w:rsid w:val="15E433A4"/>
    <w:rsid w:val="16157A01"/>
    <w:rsid w:val="164A2C2D"/>
    <w:rsid w:val="165A3D1F"/>
    <w:rsid w:val="16612C47"/>
    <w:rsid w:val="16AB3022"/>
    <w:rsid w:val="16C71EE4"/>
    <w:rsid w:val="16E55626"/>
    <w:rsid w:val="16F5513D"/>
    <w:rsid w:val="171033E2"/>
    <w:rsid w:val="172A128B"/>
    <w:rsid w:val="17341847"/>
    <w:rsid w:val="174E2EB7"/>
    <w:rsid w:val="17514A69"/>
    <w:rsid w:val="1785791F"/>
    <w:rsid w:val="18316649"/>
    <w:rsid w:val="185D7669"/>
    <w:rsid w:val="18684231"/>
    <w:rsid w:val="187F08DA"/>
    <w:rsid w:val="18B118AD"/>
    <w:rsid w:val="18FA5B52"/>
    <w:rsid w:val="190B07B0"/>
    <w:rsid w:val="19244957"/>
    <w:rsid w:val="192856A8"/>
    <w:rsid w:val="193C34F7"/>
    <w:rsid w:val="195D0BDE"/>
    <w:rsid w:val="19762F09"/>
    <w:rsid w:val="19864814"/>
    <w:rsid w:val="19C33C6F"/>
    <w:rsid w:val="19EC0A79"/>
    <w:rsid w:val="1A5F5BD1"/>
    <w:rsid w:val="1A98149A"/>
    <w:rsid w:val="1A98475D"/>
    <w:rsid w:val="1A9D1638"/>
    <w:rsid w:val="1AA43102"/>
    <w:rsid w:val="1AA718BD"/>
    <w:rsid w:val="1AB93DBF"/>
    <w:rsid w:val="1ACB68E1"/>
    <w:rsid w:val="1ADD4BA6"/>
    <w:rsid w:val="1AF51BB0"/>
    <w:rsid w:val="1AFA59FC"/>
    <w:rsid w:val="1B195DB5"/>
    <w:rsid w:val="1B1A0FED"/>
    <w:rsid w:val="1B436239"/>
    <w:rsid w:val="1B46240B"/>
    <w:rsid w:val="1B5D5DCC"/>
    <w:rsid w:val="1B735C51"/>
    <w:rsid w:val="1B7B0307"/>
    <w:rsid w:val="1BAB4271"/>
    <w:rsid w:val="1BB34306"/>
    <w:rsid w:val="1BB81D40"/>
    <w:rsid w:val="1BD619E1"/>
    <w:rsid w:val="1BE85D46"/>
    <w:rsid w:val="1BFF08B2"/>
    <w:rsid w:val="1C3303E2"/>
    <w:rsid w:val="1C422BD3"/>
    <w:rsid w:val="1C673206"/>
    <w:rsid w:val="1C8059D9"/>
    <w:rsid w:val="1CC956BB"/>
    <w:rsid w:val="1CF81683"/>
    <w:rsid w:val="1D1D4E8C"/>
    <w:rsid w:val="1D4171CC"/>
    <w:rsid w:val="1D6628F1"/>
    <w:rsid w:val="1D81597C"/>
    <w:rsid w:val="1D833E29"/>
    <w:rsid w:val="1DBF29DB"/>
    <w:rsid w:val="1DC4780F"/>
    <w:rsid w:val="1DC615E1"/>
    <w:rsid w:val="1DE01290"/>
    <w:rsid w:val="1DE8098C"/>
    <w:rsid w:val="1E076D44"/>
    <w:rsid w:val="1E0D2F79"/>
    <w:rsid w:val="1E316E84"/>
    <w:rsid w:val="1E330014"/>
    <w:rsid w:val="1E336318"/>
    <w:rsid w:val="1E636E30"/>
    <w:rsid w:val="1E8C7A03"/>
    <w:rsid w:val="1E9223A7"/>
    <w:rsid w:val="1E962DC4"/>
    <w:rsid w:val="1E9D4B00"/>
    <w:rsid w:val="1EB9030D"/>
    <w:rsid w:val="1EBD058D"/>
    <w:rsid w:val="1ED03A72"/>
    <w:rsid w:val="1EF218B4"/>
    <w:rsid w:val="1EFC79EE"/>
    <w:rsid w:val="1F1F0865"/>
    <w:rsid w:val="1F2B0B23"/>
    <w:rsid w:val="1F431F23"/>
    <w:rsid w:val="1F6D7A74"/>
    <w:rsid w:val="1F87735E"/>
    <w:rsid w:val="1F9379C3"/>
    <w:rsid w:val="1F98165F"/>
    <w:rsid w:val="1F9E2816"/>
    <w:rsid w:val="2034454A"/>
    <w:rsid w:val="204F1D62"/>
    <w:rsid w:val="205D25BE"/>
    <w:rsid w:val="206E6ECD"/>
    <w:rsid w:val="207A20B0"/>
    <w:rsid w:val="2082088B"/>
    <w:rsid w:val="20B636BC"/>
    <w:rsid w:val="21140468"/>
    <w:rsid w:val="21237107"/>
    <w:rsid w:val="212A3CDD"/>
    <w:rsid w:val="21337594"/>
    <w:rsid w:val="21AF3E8B"/>
    <w:rsid w:val="21B172CA"/>
    <w:rsid w:val="21B41F35"/>
    <w:rsid w:val="21E12E8E"/>
    <w:rsid w:val="22032E04"/>
    <w:rsid w:val="220566F7"/>
    <w:rsid w:val="220D1DA6"/>
    <w:rsid w:val="221F7512"/>
    <w:rsid w:val="222075E8"/>
    <w:rsid w:val="22507F3D"/>
    <w:rsid w:val="2259482F"/>
    <w:rsid w:val="22631AF5"/>
    <w:rsid w:val="227102D0"/>
    <w:rsid w:val="22740080"/>
    <w:rsid w:val="22794E74"/>
    <w:rsid w:val="22F94492"/>
    <w:rsid w:val="233E66AD"/>
    <w:rsid w:val="234224BB"/>
    <w:rsid w:val="235558E1"/>
    <w:rsid w:val="235D7079"/>
    <w:rsid w:val="23C06BC8"/>
    <w:rsid w:val="23DF29DF"/>
    <w:rsid w:val="245214D1"/>
    <w:rsid w:val="24525685"/>
    <w:rsid w:val="24625F8C"/>
    <w:rsid w:val="247A660A"/>
    <w:rsid w:val="24A42772"/>
    <w:rsid w:val="24C47801"/>
    <w:rsid w:val="24C8737A"/>
    <w:rsid w:val="24EA02AB"/>
    <w:rsid w:val="24F258FE"/>
    <w:rsid w:val="250F7D12"/>
    <w:rsid w:val="25171EA5"/>
    <w:rsid w:val="25445C0D"/>
    <w:rsid w:val="258A3632"/>
    <w:rsid w:val="258F706F"/>
    <w:rsid w:val="25943D36"/>
    <w:rsid w:val="25A22934"/>
    <w:rsid w:val="2609220A"/>
    <w:rsid w:val="262059E2"/>
    <w:rsid w:val="265431E7"/>
    <w:rsid w:val="266647E8"/>
    <w:rsid w:val="266902C8"/>
    <w:rsid w:val="267060E3"/>
    <w:rsid w:val="267918E7"/>
    <w:rsid w:val="26A83F7A"/>
    <w:rsid w:val="26DE5BEE"/>
    <w:rsid w:val="26E15B99"/>
    <w:rsid w:val="26EA00EF"/>
    <w:rsid w:val="27165388"/>
    <w:rsid w:val="27277064"/>
    <w:rsid w:val="274A4A5D"/>
    <w:rsid w:val="2765480A"/>
    <w:rsid w:val="276E51C4"/>
    <w:rsid w:val="27985D9D"/>
    <w:rsid w:val="27DA18F7"/>
    <w:rsid w:val="27E3759F"/>
    <w:rsid w:val="284B0782"/>
    <w:rsid w:val="287805F9"/>
    <w:rsid w:val="28B704A4"/>
    <w:rsid w:val="28BA6D6F"/>
    <w:rsid w:val="28BD343A"/>
    <w:rsid w:val="290A5EF2"/>
    <w:rsid w:val="29212852"/>
    <w:rsid w:val="29830523"/>
    <w:rsid w:val="29D65F34"/>
    <w:rsid w:val="29EA1A5E"/>
    <w:rsid w:val="2A006F73"/>
    <w:rsid w:val="2A1C3C42"/>
    <w:rsid w:val="2AA5659A"/>
    <w:rsid w:val="2B25092E"/>
    <w:rsid w:val="2B285689"/>
    <w:rsid w:val="2B2E24E3"/>
    <w:rsid w:val="2B774C09"/>
    <w:rsid w:val="2B9A31CD"/>
    <w:rsid w:val="2BC95E02"/>
    <w:rsid w:val="2BCE4483"/>
    <w:rsid w:val="2BDB7282"/>
    <w:rsid w:val="2C1445DD"/>
    <w:rsid w:val="2C164DCF"/>
    <w:rsid w:val="2C484235"/>
    <w:rsid w:val="2CC134E2"/>
    <w:rsid w:val="2CE47C71"/>
    <w:rsid w:val="2D076091"/>
    <w:rsid w:val="2D2C4E0A"/>
    <w:rsid w:val="2D2F0F51"/>
    <w:rsid w:val="2D6B4704"/>
    <w:rsid w:val="2D9B2143"/>
    <w:rsid w:val="2DD8361D"/>
    <w:rsid w:val="2E0078FB"/>
    <w:rsid w:val="2E3F1670"/>
    <w:rsid w:val="2E7C61BE"/>
    <w:rsid w:val="2EAE35EA"/>
    <w:rsid w:val="2ED928C8"/>
    <w:rsid w:val="2EE82FA8"/>
    <w:rsid w:val="2EFE4A94"/>
    <w:rsid w:val="2F3A0524"/>
    <w:rsid w:val="2F4405B8"/>
    <w:rsid w:val="2FA568C1"/>
    <w:rsid w:val="2FBE2088"/>
    <w:rsid w:val="2FD07D28"/>
    <w:rsid w:val="2FE80560"/>
    <w:rsid w:val="302D2778"/>
    <w:rsid w:val="303B2BAF"/>
    <w:rsid w:val="30436FA6"/>
    <w:rsid w:val="304C3BC8"/>
    <w:rsid w:val="30501E56"/>
    <w:rsid w:val="30744ECD"/>
    <w:rsid w:val="309252D4"/>
    <w:rsid w:val="309B06AC"/>
    <w:rsid w:val="30A2022F"/>
    <w:rsid w:val="30A752A2"/>
    <w:rsid w:val="3102047D"/>
    <w:rsid w:val="31170416"/>
    <w:rsid w:val="31305298"/>
    <w:rsid w:val="31542221"/>
    <w:rsid w:val="318B683A"/>
    <w:rsid w:val="318D1206"/>
    <w:rsid w:val="31A66843"/>
    <w:rsid w:val="31AF27A1"/>
    <w:rsid w:val="31DF0DE0"/>
    <w:rsid w:val="323456D8"/>
    <w:rsid w:val="32462E1B"/>
    <w:rsid w:val="32A20285"/>
    <w:rsid w:val="32A5321F"/>
    <w:rsid w:val="32BC183E"/>
    <w:rsid w:val="32F36685"/>
    <w:rsid w:val="32FD71FA"/>
    <w:rsid w:val="331D184C"/>
    <w:rsid w:val="33527747"/>
    <w:rsid w:val="33A53571"/>
    <w:rsid w:val="33BD4F71"/>
    <w:rsid w:val="33CC2374"/>
    <w:rsid w:val="33D978D8"/>
    <w:rsid w:val="33E40F0C"/>
    <w:rsid w:val="3400694E"/>
    <w:rsid w:val="341844E1"/>
    <w:rsid w:val="344572AC"/>
    <w:rsid w:val="34917D90"/>
    <w:rsid w:val="34AB35B3"/>
    <w:rsid w:val="34B54432"/>
    <w:rsid w:val="34EA56CD"/>
    <w:rsid w:val="34EC597A"/>
    <w:rsid w:val="34FB5BBD"/>
    <w:rsid w:val="35335B08"/>
    <w:rsid w:val="35410B72"/>
    <w:rsid w:val="36220E96"/>
    <w:rsid w:val="362E5042"/>
    <w:rsid w:val="364F5EED"/>
    <w:rsid w:val="369C6605"/>
    <w:rsid w:val="36C57C87"/>
    <w:rsid w:val="36CB5A52"/>
    <w:rsid w:val="36D668E1"/>
    <w:rsid w:val="37001D49"/>
    <w:rsid w:val="37184DDE"/>
    <w:rsid w:val="372D3142"/>
    <w:rsid w:val="375973DD"/>
    <w:rsid w:val="376163AC"/>
    <w:rsid w:val="377834F5"/>
    <w:rsid w:val="37D61598"/>
    <w:rsid w:val="38203288"/>
    <w:rsid w:val="383E473E"/>
    <w:rsid w:val="38795776"/>
    <w:rsid w:val="38AA1B3D"/>
    <w:rsid w:val="38D96578"/>
    <w:rsid w:val="38E2244B"/>
    <w:rsid w:val="38F6371E"/>
    <w:rsid w:val="38F70E70"/>
    <w:rsid w:val="392A2075"/>
    <w:rsid w:val="39363813"/>
    <w:rsid w:val="396F1077"/>
    <w:rsid w:val="398E35A1"/>
    <w:rsid w:val="399C171C"/>
    <w:rsid w:val="3A101CB7"/>
    <w:rsid w:val="3A357F4F"/>
    <w:rsid w:val="3A4E37EB"/>
    <w:rsid w:val="3A940645"/>
    <w:rsid w:val="3A9623D0"/>
    <w:rsid w:val="3ABE79AB"/>
    <w:rsid w:val="3B3A2373"/>
    <w:rsid w:val="3B871A77"/>
    <w:rsid w:val="3BAD3D18"/>
    <w:rsid w:val="3BBD59D8"/>
    <w:rsid w:val="3BCC035E"/>
    <w:rsid w:val="3BD17677"/>
    <w:rsid w:val="3BF32EF9"/>
    <w:rsid w:val="3C042745"/>
    <w:rsid w:val="3C2704CB"/>
    <w:rsid w:val="3C3851DA"/>
    <w:rsid w:val="3C403671"/>
    <w:rsid w:val="3C536E8F"/>
    <w:rsid w:val="3C6433D2"/>
    <w:rsid w:val="3C771FCD"/>
    <w:rsid w:val="3C872586"/>
    <w:rsid w:val="3C937273"/>
    <w:rsid w:val="3CA47E6E"/>
    <w:rsid w:val="3CD41AFC"/>
    <w:rsid w:val="3D037D04"/>
    <w:rsid w:val="3D073351"/>
    <w:rsid w:val="3D1A6127"/>
    <w:rsid w:val="3D263EFE"/>
    <w:rsid w:val="3D5567B2"/>
    <w:rsid w:val="3D900BE5"/>
    <w:rsid w:val="3E135412"/>
    <w:rsid w:val="3E357A07"/>
    <w:rsid w:val="3E4B0E25"/>
    <w:rsid w:val="3E4D66A9"/>
    <w:rsid w:val="3E6954C4"/>
    <w:rsid w:val="3E94330A"/>
    <w:rsid w:val="3EF14B6E"/>
    <w:rsid w:val="3EFF1D56"/>
    <w:rsid w:val="3F3E6DD2"/>
    <w:rsid w:val="3F652674"/>
    <w:rsid w:val="3F6C393F"/>
    <w:rsid w:val="3FDA4A0A"/>
    <w:rsid w:val="400022D9"/>
    <w:rsid w:val="400224F5"/>
    <w:rsid w:val="402F7567"/>
    <w:rsid w:val="404623E2"/>
    <w:rsid w:val="409F33F1"/>
    <w:rsid w:val="40B2438B"/>
    <w:rsid w:val="40C16C32"/>
    <w:rsid w:val="41285F8B"/>
    <w:rsid w:val="41393CF5"/>
    <w:rsid w:val="41395AA3"/>
    <w:rsid w:val="419313C4"/>
    <w:rsid w:val="41996DBF"/>
    <w:rsid w:val="41C26E3A"/>
    <w:rsid w:val="41F84455"/>
    <w:rsid w:val="41FE653A"/>
    <w:rsid w:val="42021EDB"/>
    <w:rsid w:val="42172407"/>
    <w:rsid w:val="423B193A"/>
    <w:rsid w:val="423C33F2"/>
    <w:rsid w:val="42945317"/>
    <w:rsid w:val="429733D0"/>
    <w:rsid w:val="429A6B0D"/>
    <w:rsid w:val="430E07B8"/>
    <w:rsid w:val="43444099"/>
    <w:rsid w:val="43543CB1"/>
    <w:rsid w:val="43960DCD"/>
    <w:rsid w:val="43A871C2"/>
    <w:rsid w:val="43CA3830"/>
    <w:rsid w:val="43D70883"/>
    <w:rsid w:val="440C749E"/>
    <w:rsid w:val="44390021"/>
    <w:rsid w:val="44A92F3F"/>
    <w:rsid w:val="44B60D8A"/>
    <w:rsid w:val="44DA759D"/>
    <w:rsid w:val="44DE52DF"/>
    <w:rsid w:val="44E9555D"/>
    <w:rsid w:val="44EC3498"/>
    <w:rsid w:val="44EF6587"/>
    <w:rsid w:val="44FE772F"/>
    <w:rsid w:val="453273D9"/>
    <w:rsid w:val="4553526A"/>
    <w:rsid w:val="45736293"/>
    <w:rsid w:val="459A12C1"/>
    <w:rsid w:val="45A51959"/>
    <w:rsid w:val="45D73ADC"/>
    <w:rsid w:val="45FD3F69"/>
    <w:rsid w:val="4651285C"/>
    <w:rsid w:val="46971BE9"/>
    <w:rsid w:val="469E0229"/>
    <w:rsid w:val="46AF5A05"/>
    <w:rsid w:val="46DB2FAE"/>
    <w:rsid w:val="47143E2B"/>
    <w:rsid w:val="47560DD1"/>
    <w:rsid w:val="475841FA"/>
    <w:rsid w:val="476B6BD2"/>
    <w:rsid w:val="47986AF6"/>
    <w:rsid w:val="479C7531"/>
    <w:rsid w:val="47D04464"/>
    <w:rsid w:val="47DB5B06"/>
    <w:rsid w:val="47DE3DDF"/>
    <w:rsid w:val="480C7FDD"/>
    <w:rsid w:val="480D5C31"/>
    <w:rsid w:val="483E5F5C"/>
    <w:rsid w:val="489C08F8"/>
    <w:rsid w:val="48BF0798"/>
    <w:rsid w:val="4908205C"/>
    <w:rsid w:val="494411F0"/>
    <w:rsid w:val="49535D0F"/>
    <w:rsid w:val="497A4F7C"/>
    <w:rsid w:val="49DA42F1"/>
    <w:rsid w:val="49E50EBD"/>
    <w:rsid w:val="49F33D04"/>
    <w:rsid w:val="49FE5718"/>
    <w:rsid w:val="4A160FCB"/>
    <w:rsid w:val="4A5909B0"/>
    <w:rsid w:val="4A5F521E"/>
    <w:rsid w:val="4A6215FA"/>
    <w:rsid w:val="4A981A8C"/>
    <w:rsid w:val="4AA771A6"/>
    <w:rsid w:val="4AD056CA"/>
    <w:rsid w:val="4AD827D0"/>
    <w:rsid w:val="4B245AE1"/>
    <w:rsid w:val="4B3D0885"/>
    <w:rsid w:val="4B531E57"/>
    <w:rsid w:val="4B617C03"/>
    <w:rsid w:val="4B6D56BA"/>
    <w:rsid w:val="4B8A1D1C"/>
    <w:rsid w:val="4BA31A6D"/>
    <w:rsid w:val="4BB64D44"/>
    <w:rsid w:val="4BD56C31"/>
    <w:rsid w:val="4BEA1840"/>
    <w:rsid w:val="4C153214"/>
    <w:rsid w:val="4C650A1F"/>
    <w:rsid w:val="4C9E28B8"/>
    <w:rsid w:val="4CE221F5"/>
    <w:rsid w:val="4D24415A"/>
    <w:rsid w:val="4D3E590F"/>
    <w:rsid w:val="4D8B491D"/>
    <w:rsid w:val="4D8C6EA4"/>
    <w:rsid w:val="4D8F2FFA"/>
    <w:rsid w:val="4DA26F03"/>
    <w:rsid w:val="4DEB6377"/>
    <w:rsid w:val="4DF960D7"/>
    <w:rsid w:val="4DF96CE5"/>
    <w:rsid w:val="4E080856"/>
    <w:rsid w:val="4E0F76D1"/>
    <w:rsid w:val="4E202460"/>
    <w:rsid w:val="4E2F78C6"/>
    <w:rsid w:val="4E3732D9"/>
    <w:rsid w:val="4E995B4B"/>
    <w:rsid w:val="4EE03A01"/>
    <w:rsid w:val="4EEA2AD2"/>
    <w:rsid w:val="4F2524CD"/>
    <w:rsid w:val="4F6208BA"/>
    <w:rsid w:val="4F622668"/>
    <w:rsid w:val="4F814B37"/>
    <w:rsid w:val="4F863D92"/>
    <w:rsid w:val="4FD7756F"/>
    <w:rsid w:val="4FDE59D6"/>
    <w:rsid w:val="500C3E41"/>
    <w:rsid w:val="501D79A8"/>
    <w:rsid w:val="50202421"/>
    <w:rsid w:val="50297400"/>
    <w:rsid w:val="503E1327"/>
    <w:rsid w:val="50717F91"/>
    <w:rsid w:val="507B6177"/>
    <w:rsid w:val="50AF7F64"/>
    <w:rsid w:val="50B671D7"/>
    <w:rsid w:val="50B96C00"/>
    <w:rsid w:val="5127608E"/>
    <w:rsid w:val="51856AE2"/>
    <w:rsid w:val="51BE24D8"/>
    <w:rsid w:val="51C55131"/>
    <w:rsid w:val="51EB103B"/>
    <w:rsid w:val="51EC262D"/>
    <w:rsid w:val="52132340"/>
    <w:rsid w:val="522A1AE5"/>
    <w:rsid w:val="52720E14"/>
    <w:rsid w:val="527D2EC6"/>
    <w:rsid w:val="52E635B0"/>
    <w:rsid w:val="53072039"/>
    <w:rsid w:val="534A72D7"/>
    <w:rsid w:val="536015B5"/>
    <w:rsid w:val="53B33FCE"/>
    <w:rsid w:val="53B41AAF"/>
    <w:rsid w:val="54244390"/>
    <w:rsid w:val="544B4013"/>
    <w:rsid w:val="545215C9"/>
    <w:rsid w:val="545A72F4"/>
    <w:rsid w:val="546B6DC2"/>
    <w:rsid w:val="54BF17D0"/>
    <w:rsid w:val="54C5681D"/>
    <w:rsid w:val="55133946"/>
    <w:rsid w:val="553414E8"/>
    <w:rsid w:val="55346855"/>
    <w:rsid w:val="553516BD"/>
    <w:rsid w:val="5571456A"/>
    <w:rsid w:val="559020F0"/>
    <w:rsid w:val="55931A27"/>
    <w:rsid w:val="55FA184D"/>
    <w:rsid w:val="56026953"/>
    <w:rsid w:val="560721BC"/>
    <w:rsid w:val="56290384"/>
    <w:rsid w:val="563F3703"/>
    <w:rsid w:val="566A48F5"/>
    <w:rsid w:val="56AE1430"/>
    <w:rsid w:val="57117A69"/>
    <w:rsid w:val="57276214"/>
    <w:rsid w:val="57325016"/>
    <w:rsid w:val="57423A08"/>
    <w:rsid w:val="57483E91"/>
    <w:rsid w:val="57684EDC"/>
    <w:rsid w:val="57793690"/>
    <w:rsid w:val="57B3277B"/>
    <w:rsid w:val="57BB0B01"/>
    <w:rsid w:val="57D0394D"/>
    <w:rsid w:val="57D93DF3"/>
    <w:rsid w:val="57E83927"/>
    <w:rsid w:val="57EE3633"/>
    <w:rsid w:val="57F76C2B"/>
    <w:rsid w:val="584F56C3"/>
    <w:rsid w:val="587665C2"/>
    <w:rsid w:val="58953BEB"/>
    <w:rsid w:val="589A7428"/>
    <w:rsid w:val="58CE18B4"/>
    <w:rsid w:val="58DF7CC8"/>
    <w:rsid w:val="59665626"/>
    <w:rsid w:val="59905F29"/>
    <w:rsid w:val="59934492"/>
    <w:rsid w:val="59E7033A"/>
    <w:rsid w:val="59EA29D4"/>
    <w:rsid w:val="59EE791A"/>
    <w:rsid w:val="5A1F6067"/>
    <w:rsid w:val="5A3612C1"/>
    <w:rsid w:val="5A3F0176"/>
    <w:rsid w:val="5A6000EC"/>
    <w:rsid w:val="5A775D70"/>
    <w:rsid w:val="5A9473B6"/>
    <w:rsid w:val="5ABF328C"/>
    <w:rsid w:val="5ABF76F5"/>
    <w:rsid w:val="5AC11425"/>
    <w:rsid w:val="5B1651F0"/>
    <w:rsid w:val="5B20717D"/>
    <w:rsid w:val="5B323837"/>
    <w:rsid w:val="5B666CFD"/>
    <w:rsid w:val="5B69680C"/>
    <w:rsid w:val="5B767BC7"/>
    <w:rsid w:val="5B8559B3"/>
    <w:rsid w:val="5B946D9C"/>
    <w:rsid w:val="5BA95D59"/>
    <w:rsid w:val="5BD963A8"/>
    <w:rsid w:val="5BF83648"/>
    <w:rsid w:val="5C0F5926"/>
    <w:rsid w:val="5C734529"/>
    <w:rsid w:val="5C9F4EFC"/>
    <w:rsid w:val="5CAC5CE3"/>
    <w:rsid w:val="5D0E4DBE"/>
    <w:rsid w:val="5D186B7D"/>
    <w:rsid w:val="5D536F43"/>
    <w:rsid w:val="5D995DEF"/>
    <w:rsid w:val="5DEA03F9"/>
    <w:rsid w:val="5E1001E7"/>
    <w:rsid w:val="5E4045AF"/>
    <w:rsid w:val="5E7C0259"/>
    <w:rsid w:val="5E84188B"/>
    <w:rsid w:val="5E980273"/>
    <w:rsid w:val="5EFA0B0F"/>
    <w:rsid w:val="5F166891"/>
    <w:rsid w:val="5F1A1DB3"/>
    <w:rsid w:val="5F1E41AA"/>
    <w:rsid w:val="5F27742B"/>
    <w:rsid w:val="5F282893"/>
    <w:rsid w:val="5F467B8C"/>
    <w:rsid w:val="5F5024DD"/>
    <w:rsid w:val="5F5A6CFA"/>
    <w:rsid w:val="5F5F2585"/>
    <w:rsid w:val="5F722296"/>
    <w:rsid w:val="5F743484"/>
    <w:rsid w:val="5F881C77"/>
    <w:rsid w:val="5F983E60"/>
    <w:rsid w:val="5F9F145C"/>
    <w:rsid w:val="5FB6247D"/>
    <w:rsid w:val="5FFD41E3"/>
    <w:rsid w:val="604476EE"/>
    <w:rsid w:val="605024FC"/>
    <w:rsid w:val="608F21FF"/>
    <w:rsid w:val="61506E99"/>
    <w:rsid w:val="61514778"/>
    <w:rsid w:val="6162299C"/>
    <w:rsid w:val="618D7A19"/>
    <w:rsid w:val="61A86F21"/>
    <w:rsid w:val="61B6501A"/>
    <w:rsid w:val="61C07C4D"/>
    <w:rsid w:val="61E90EA0"/>
    <w:rsid w:val="6203697E"/>
    <w:rsid w:val="620D6DAC"/>
    <w:rsid w:val="6223212B"/>
    <w:rsid w:val="629A1FCB"/>
    <w:rsid w:val="62A212A2"/>
    <w:rsid w:val="62C01679"/>
    <w:rsid w:val="62E96ED1"/>
    <w:rsid w:val="63096CAD"/>
    <w:rsid w:val="635F7193"/>
    <w:rsid w:val="637864A7"/>
    <w:rsid w:val="63A84B48"/>
    <w:rsid w:val="63D336DD"/>
    <w:rsid w:val="63E23AAC"/>
    <w:rsid w:val="63EE6575"/>
    <w:rsid w:val="646F2960"/>
    <w:rsid w:val="647B15E9"/>
    <w:rsid w:val="649C7F73"/>
    <w:rsid w:val="64AF3018"/>
    <w:rsid w:val="64B13A1E"/>
    <w:rsid w:val="6564751E"/>
    <w:rsid w:val="65754B3B"/>
    <w:rsid w:val="65A90B99"/>
    <w:rsid w:val="65B2434A"/>
    <w:rsid w:val="65E17ED4"/>
    <w:rsid w:val="661172EC"/>
    <w:rsid w:val="66155E14"/>
    <w:rsid w:val="661A06AB"/>
    <w:rsid w:val="661A1A97"/>
    <w:rsid w:val="66426E62"/>
    <w:rsid w:val="66A870A3"/>
    <w:rsid w:val="66CA3897"/>
    <w:rsid w:val="66E63E21"/>
    <w:rsid w:val="66EA0C55"/>
    <w:rsid w:val="675B5EC3"/>
    <w:rsid w:val="67652268"/>
    <w:rsid w:val="67680FC0"/>
    <w:rsid w:val="677D1231"/>
    <w:rsid w:val="677F2107"/>
    <w:rsid w:val="67CC0B6F"/>
    <w:rsid w:val="67D71516"/>
    <w:rsid w:val="67F77A02"/>
    <w:rsid w:val="68172D06"/>
    <w:rsid w:val="689548EB"/>
    <w:rsid w:val="68D71CA2"/>
    <w:rsid w:val="692E3608"/>
    <w:rsid w:val="69537D65"/>
    <w:rsid w:val="69605006"/>
    <w:rsid w:val="69694C28"/>
    <w:rsid w:val="69B03055"/>
    <w:rsid w:val="69DE1F22"/>
    <w:rsid w:val="69FB12B4"/>
    <w:rsid w:val="6A065A1C"/>
    <w:rsid w:val="6A1011E7"/>
    <w:rsid w:val="6A331379"/>
    <w:rsid w:val="6A550000"/>
    <w:rsid w:val="6A682DD1"/>
    <w:rsid w:val="6A971939"/>
    <w:rsid w:val="6AAE66AD"/>
    <w:rsid w:val="6AEB57B0"/>
    <w:rsid w:val="6B0B5A91"/>
    <w:rsid w:val="6B2001EE"/>
    <w:rsid w:val="6B490FAE"/>
    <w:rsid w:val="6B7842F2"/>
    <w:rsid w:val="6BA2373A"/>
    <w:rsid w:val="6BB44862"/>
    <w:rsid w:val="6BC13960"/>
    <w:rsid w:val="6C2B5723"/>
    <w:rsid w:val="6C305B70"/>
    <w:rsid w:val="6C463C6B"/>
    <w:rsid w:val="6C501D6F"/>
    <w:rsid w:val="6C7812C6"/>
    <w:rsid w:val="6C957D56"/>
    <w:rsid w:val="6CD31686"/>
    <w:rsid w:val="6CE266AE"/>
    <w:rsid w:val="6D01750D"/>
    <w:rsid w:val="6DAB1951"/>
    <w:rsid w:val="6DD8367B"/>
    <w:rsid w:val="6E1B7E27"/>
    <w:rsid w:val="6E1F7C4B"/>
    <w:rsid w:val="6E3000AA"/>
    <w:rsid w:val="6E423939"/>
    <w:rsid w:val="6E593364"/>
    <w:rsid w:val="6E7066F8"/>
    <w:rsid w:val="6E9A79E9"/>
    <w:rsid w:val="6E9F2613"/>
    <w:rsid w:val="6EE906BC"/>
    <w:rsid w:val="6F0350B8"/>
    <w:rsid w:val="6F2C028A"/>
    <w:rsid w:val="6F63625D"/>
    <w:rsid w:val="6FAE1DA5"/>
    <w:rsid w:val="6FC47811"/>
    <w:rsid w:val="6FC764B6"/>
    <w:rsid w:val="6FCF3D03"/>
    <w:rsid w:val="6FE16EE1"/>
    <w:rsid w:val="6FF968B9"/>
    <w:rsid w:val="701C055F"/>
    <w:rsid w:val="704749F3"/>
    <w:rsid w:val="70DB7FCB"/>
    <w:rsid w:val="70E63F0A"/>
    <w:rsid w:val="70EB2A0F"/>
    <w:rsid w:val="70F047CA"/>
    <w:rsid w:val="7114053A"/>
    <w:rsid w:val="71297A32"/>
    <w:rsid w:val="717A769A"/>
    <w:rsid w:val="717C6248"/>
    <w:rsid w:val="718F158B"/>
    <w:rsid w:val="71F17830"/>
    <w:rsid w:val="721D26F3"/>
    <w:rsid w:val="722F68CA"/>
    <w:rsid w:val="72402885"/>
    <w:rsid w:val="7270534E"/>
    <w:rsid w:val="729E6354"/>
    <w:rsid w:val="72A5278C"/>
    <w:rsid w:val="72B478C5"/>
    <w:rsid w:val="72BD64CD"/>
    <w:rsid w:val="72E41463"/>
    <w:rsid w:val="732022C1"/>
    <w:rsid w:val="733C304D"/>
    <w:rsid w:val="73407DE7"/>
    <w:rsid w:val="73452E97"/>
    <w:rsid w:val="734B14E2"/>
    <w:rsid w:val="73607237"/>
    <w:rsid w:val="73901B69"/>
    <w:rsid w:val="739F3E9C"/>
    <w:rsid w:val="73E95EDB"/>
    <w:rsid w:val="73F35C51"/>
    <w:rsid w:val="74BD3785"/>
    <w:rsid w:val="7518507E"/>
    <w:rsid w:val="753F0BD2"/>
    <w:rsid w:val="756351DC"/>
    <w:rsid w:val="756A2962"/>
    <w:rsid w:val="756E398C"/>
    <w:rsid w:val="75765B5E"/>
    <w:rsid w:val="75824D9D"/>
    <w:rsid w:val="75896087"/>
    <w:rsid w:val="758C147B"/>
    <w:rsid w:val="75A650F5"/>
    <w:rsid w:val="75A96506"/>
    <w:rsid w:val="75E05839"/>
    <w:rsid w:val="761C6574"/>
    <w:rsid w:val="76C05D43"/>
    <w:rsid w:val="770A5210"/>
    <w:rsid w:val="772A352D"/>
    <w:rsid w:val="772E2DE9"/>
    <w:rsid w:val="778D031B"/>
    <w:rsid w:val="77B27D81"/>
    <w:rsid w:val="77DD35F0"/>
    <w:rsid w:val="77FB7051"/>
    <w:rsid w:val="780E7319"/>
    <w:rsid w:val="782D288C"/>
    <w:rsid w:val="783A6F81"/>
    <w:rsid w:val="78992CEF"/>
    <w:rsid w:val="78A50577"/>
    <w:rsid w:val="78A73E42"/>
    <w:rsid w:val="78D631FC"/>
    <w:rsid w:val="790243F1"/>
    <w:rsid w:val="795426E2"/>
    <w:rsid w:val="79623C1B"/>
    <w:rsid w:val="79664DC5"/>
    <w:rsid w:val="797D616D"/>
    <w:rsid w:val="797E44D4"/>
    <w:rsid w:val="79AC21E9"/>
    <w:rsid w:val="7A100D8F"/>
    <w:rsid w:val="7A20503D"/>
    <w:rsid w:val="7A3370D3"/>
    <w:rsid w:val="7A3C7DD6"/>
    <w:rsid w:val="7A653600"/>
    <w:rsid w:val="7A6F1F5A"/>
    <w:rsid w:val="7A837E53"/>
    <w:rsid w:val="7A9A506D"/>
    <w:rsid w:val="7A9B23D9"/>
    <w:rsid w:val="7AB503B5"/>
    <w:rsid w:val="7ACF0C4A"/>
    <w:rsid w:val="7AD65B35"/>
    <w:rsid w:val="7AFB559C"/>
    <w:rsid w:val="7B0321EC"/>
    <w:rsid w:val="7B0F36B8"/>
    <w:rsid w:val="7B311DB3"/>
    <w:rsid w:val="7B332F87"/>
    <w:rsid w:val="7B3D5BB4"/>
    <w:rsid w:val="7B451F55"/>
    <w:rsid w:val="7BA4033E"/>
    <w:rsid w:val="7BB35E76"/>
    <w:rsid w:val="7BBD6CF5"/>
    <w:rsid w:val="7BCF76DB"/>
    <w:rsid w:val="7C305DBA"/>
    <w:rsid w:val="7C4F40B3"/>
    <w:rsid w:val="7C8D4483"/>
    <w:rsid w:val="7CA763EF"/>
    <w:rsid w:val="7CE7227B"/>
    <w:rsid w:val="7D0431DB"/>
    <w:rsid w:val="7D8720AA"/>
    <w:rsid w:val="7D960C66"/>
    <w:rsid w:val="7D996324"/>
    <w:rsid w:val="7DA4082D"/>
    <w:rsid w:val="7DEF2C7F"/>
    <w:rsid w:val="7E3D783E"/>
    <w:rsid w:val="7E5C27F5"/>
    <w:rsid w:val="7E736937"/>
    <w:rsid w:val="7E83789A"/>
    <w:rsid w:val="7E943E14"/>
    <w:rsid w:val="7E9E4DEE"/>
    <w:rsid w:val="7EA111FA"/>
    <w:rsid w:val="7EF42333"/>
    <w:rsid w:val="7EFF27FC"/>
    <w:rsid w:val="7F2171D9"/>
    <w:rsid w:val="7F22482A"/>
    <w:rsid w:val="7F385010"/>
    <w:rsid w:val="7F3B4503"/>
    <w:rsid w:val="7F403EC5"/>
    <w:rsid w:val="7F5C482C"/>
    <w:rsid w:val="7F6741A2"/>
    <w:rsid w:val="7F926976"/>
    <w:rsid w:val="7FBF4F7F"/>
    <w:rsid w:val="7FFD1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1"/>
    <w:autoRedefine/>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32"/>
    <w:autoRedefine/>
    <w:qFormat/>
    <w:uiPriority w:val="0"/>
    <w:pPr>
      <w:keepNext/>
      <w:keepLines/>
      <w:spacing w:before="260" w:after="260" w:line="416" w:lineRule="auto"/>
      <w:jc w:val="center"/>
      <w:outlineLvl w:val="1"/>
    </w:pPr>
    <w:rPr>
      <w:b/>
      <w:sz w:val="24"/>
    </w:rPr>
  </w:style>
  <w:style w:type="paragraph" w:styleId="5">
    <w:name w:val="heading 3"/>
    <w:basedOn w:val="1"/>
    <w:next w:val="1"/>
    <w:autoRedefine/>
    <w:qFormat/>
    <w:uiPriority w:val="0"/>
    <w:pPr>
      <w:keepNext/>
      <w:keepLines/>
      <w:spacing w:before="260" w:after="260" w:line="416" w:lineRule="auto"/>
      <w:outlineLvl w:val="2"/>
    </w:pPr>
    <w:rPr>
      <w:b/>
      <w:bCs/>
      <w:sz w:val="32"/>
      <w:szCs w:val="32"/>
    </w:rPr>
  </w:style>
  <w:style w:type="character" w:default="1" w:styleId="25">
    <w:name w:val="Default Paragraph Font"/>
    <w:autoRedefine/>
    <w:semiHidden/>
    <w:unhideWhenUsed/>
    <w:qFormat/>
    <w:uiPriority w:val="1"/>
  </w:style>
  <w:style w:type="table" w:default="1" w:styleId="23">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unhideWhenUsed/>
    <w:qFormat/>
    <w:uiPriority w:val="99"/>
    <w:pPr>
      <w:spacing w:after="120"/>
    </w:pPr>
  </w:style>
  <w:style w:type="paragraph" w:styleId="6">
    <w:name w:val="Document Map"/>
    <w:basedOn w:val="1"/>
    <w:link w:val="33"/>
    <w:autoRedefine/>
    <w:qFormat/>
    <w:uiPriority w:val="0"/>
    <w:rPr>
      <w:rFonts w:ascii="宋体"/>
      <w:sz w:val="18"/>
      <w:szCs w:val="18"/>
    </w:rPr>
  </w:style>
  <w:style w:type="paragraph" w:styleId="7">
    <w:name w:val="annotation text"/>
    <w:basedOn w:val="1"/>
    <w:link w:val="34"/>
    <w:autoRedefine/>
    <w:semiHidden/>
    <w:qFormat/>
    <w:uiPriority w:val="0"/>
    <w:pPr>
      <w:jc w:val="left"/>
    </w:pPr>
  </w:style>
  <w:style w:type="paragraph" w:styleId="8">
    <w:name w:val="Body Text Indent"/>
    <w:basedOn w:val="1"/>
    <w:autoRedefine/>
    <w:qFormat/>
    <w:uiPriority w:val="0"/>
    <w:pPr>
      <w:spacing w:after="120"/>
      <w:ind w:left="420" w:leftChars="200"/>
    </w:pPr>
  </w:style>
  <w:style w:type="paragraph" w:styleId="9">
    <w:name w:val="List 2"/>
    <w:basedOn w:val="1"/>
    <w:autoRedefine/>
    <w:qFormat/>
    <w:uiPriority w:val="0"/>
    <w:pPr>
      <w:ind w:left="840" w:hanging="420"/>
    </w:pPr>
    <w:rPr>
      <w:szCs w:val="20"/>
    </w:rPr>
  </w:style>
  <w:style w:type="paragraph" w:styleId="10">
    <w:name w:val="Plain Text"/>
    <w:basedOn w:val="1"/>
    <w:link w:val="35"/>
    <w:autoRedefine/>
    <w:qFormat/>
    <w:uiPriority w:val="0"/>
    <w:rPr>
      <w:rFonts w:ascii="宋体" w:hAnsi="Courier New"/>
      <w:szCs w:val="21"/>
    </w:rPr>
  </w:style>
  <w:style w:type="paragraph" w:styleId="11">
    <w:name w:val="Date"/>
    <w:basedOn w:val="1"/>
    <w:next w:val="1"/>
    <w:autoRedefine/>
    <w:qFormat/>
    <w:uiPriority w:val="0"/>
    <w:pPr>
      <w:ind w:left="100" w:leftChars="2500"/>
    </w:pPr>
  </w:style>
  <w:style w:type="paragraph" w:styleId="12">
    <w:name w:val="Body Text Indent 2"/>
    <w:basedOn w:val="1"/>
    <w:autoRedefine/>
    <w:qFormat/>
    <w:uiPriority w:val="0"/>
    <w:pPr>
      <w:spacing w:after="120" w:afterLines="50"/>
      <w:ind w:firstLine="480" w:firstLineChars="200"/>
    </w:pPr>
    <w:rPr>
      <w:rFonts w:ascii="楷体" w:hAnsi="宋体" w:eastAsia="楷体"/>
      <w:sz w:val="24"/>
    </w:rPr>
  </w:style>
  <w:style w:type="paragraph" w:styleId="13">
    <w:name w:val="Balloon Text"/>
    <w:basedOn w:val="1"/>
    <w:autoRedefine/>
    <w:semiHidden/>
    <w:qFormat/>
    <w:uiPriority w:val="0"/>
    <w:rPr>
      <w:sz w:val="18"/>
      <w:szCs w:val="18"/>
    </w:rPr>
  </w:style>
  <w:style w:type="paragraph" w:styleId="14">
    <w:name w:val="footer"/>
    <w:basedOn w:val="1"/>
    <w:autoRedefine/>
    <w:qFormat/>
    <w:uiPriority w:val="0"/>
    <w:pPr>
      <w:tabs>
        <w:tab w:val="center" w:pos="4153"/>
        <w:tab w:val="right" w:pos="8306"/>
      </w:tabs>
      <w:snapToGrid w:val="0"/>
      <w:jc w:val="left"/>
    </w:pPr>
    <w:rPr>
      <w:sz w:val="18"/>
      <w:szCs w:val="18"/>
    </w:rPr>
  </w:style>
  <w:style w:type="paragraph" w:styleId="15">
    <w:name w:val="header"/>
    <w:basedOn w:val="1"/>
    <w:autoRedefine/>
    <w:qFormat/>
    <w:uiPriority w:val="0"/>
    <w:pPr>
      <w:numPr>
        <w:ilvl w:val="6"/>
        <w:numId w:val="1"/>
      </w:numPr>
      <w:pBdr>
        <w:bottom w:val="single" w:color="auto" w:sz="6" w:space="1"/>
      </w:pBdr>
      <w:tabs>
        <w:tab w:val="center" w:pos="4153"/>
        <w:tab w:val="right" w:pos="8306"/>
      </w:tabs>
      <w:snapToGrid w:val="0"/>
      <w:jc w:val="center"/>
    </w:pPr>
    <w:rPr>
      <w:sz w:val="18"/>
      <w:szCs w:val="18"/>
    </w:rPr>
  </w:style>
  <w:style w:type="paragraph" w:styleId="16">
    <w:name w:val="toc 1"/>
    <w:basedOn w:val="1"/>
    <w:next w:val="1"/>
    <w:autoRedefine/>
    <w:qFormat/>
    <w:uiPriority w:val="39"/>
    <w:pPr>
      <w:tabs>
        <w:tab w:val="right" w:leader="dot" w:pos="8302"/>
      </w:tabs>
      <w:jc w:val="center"/>
    </w:pPr>
    <w:rPr>
      <w:b/>
      <w:bCs/>
      <w:sz w:val="28"/>
      <w:szCs w:val="28"/>
    </w:rPr>
  </w:style>
  <w:style w:type="paragraph" w:styleId="17">
    <w:name w:val="Subtitle"/>
    <w:basedOn w:val="1"/>
    <w:next w:val="1"/>
    <w:link w:val="36"/>
    <w:autoRedefine/>
    <w:qFormat/>
    <w:uiPriority w:val="0"/>
    <w:pPr>
      <w:spacing w:before="240" w:after="60" w:line="312" w:lineRule="auto"/>
      <w:jc w:val="center"/>
      <w:outlineLvl w:val="1"/>
    </w:pPr>
    <w:rPr>
      <w:rFonts w:ascii="Cambria" w:hAnsi="Cambria"/>
      <w:b/>
      <w:bCs/>
      <w:kern w:val="28"/>
      <w:sz w:val="32"/>
      <w:szCs w:val="32"/>
    </w:rPr>
  </w:style>
  <w:style w:type="paragraph" w:styleId="18">
    <w:name w:val="Body Text Indent 3"/>
    <w:basedOn w:val="1"/>
    <w:autoRedefine/>
    <w:qFormat/>
    <w:uiPriority w:val="0"/>
    <w:pPr>
      <w:spacing w:after="120"/>
      <w:ind w:left="420" w:leftChars="200"/>
    </w:pPr>
    <w:rPr>
      <w:sz w:val="16"/>
      <w:szCs w:val="16"/>
    </w:rPr>
  </w:style>
  <w:style w:type="paragraph" w:styleId="19">
    <w:name w:val="toc 2"/>
    <w:basedOn w:val="1"/>
    <w:next w:val="1"/>
    <w:autoRedefine/>
    <w:qFormat/>
    <w:uiPriority w:val="39"/>
    <w:pPr>
      <w:ind w:left="420" w:leftChars="200"/>
    </w:pPr>
  </w:style>
  <w:style w:type="paragraph" w:styleId="20">
    <w:name w:val="Normal (Web)"/>
    <w:basedOn w:val="1"/>
    <w:autoRedefine/>
    <w:qFormat/>
    <w:uiPriority w:val="99"/>
    <w:pPr>
      <w:widowControl/>
      <w:spacing w:before="100" w:beforeAutospacing="1" w:after="100" w:afterAutospacing="1"/>
      <w:jc w:val="left"/>
    </w:pPr>
    <w:rPr>
      <w:rFonts w:ascii="宋体" w:hAnsi="宋体" w:cs="宋体"/>
      <w:kern w:val="0"/>
      <w:sz w:val="24"/>
    </w:rPr>
  </w:style>
  <w:style w:type="paragraph" w:styleId="21">
    <w:name w:val="Title"/>
    <w:basedOn w:val="1"/>
    <w:next w:val="1"/>
    <w:link w:val="37"/>
    <w:autoRedefine/>
    <w:qFormat/>
    <w:uiPriority w:val="10"/>
    <w:pPr>
      <w:spacing w:before="240" w:after="60" w:line="360" w:lineRule="auto"/>
      <w:jc w:val="center"/>
      <w:outlineLvl w:val="0"/>
    </w:pPr>
    <w:rPr>
      <w:rFonts w:ascii="Cambria" w:hAnsi="Cambria"/>
      <w:b/>
      <w:bCs/>
      <w:sz w:val="32"/>
      <w:szCs w:val="32"/>
    </w:rPr>
  </w:style>
  <w:style w:type="paragraph" w:styleId="22">
    <w:name w:val="annotation subject"/>
    <w:basedOn w:val="7"/>
    <w:next w:val="7"/>
    <w:autoRedefine/>
    <w:semiHidden/>
    <w:qFormat/>
    <w:uiPriority w:val="0"/>
    <w:rPr>
      <w:b/>
      <w:bCs/>
    </w:rPr>
  </w:style>
  <w:style w:type="table" w:styleId="24">
    <w:name w:val="Table Grid"/>
    <w:basedOn w:val="2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autoRedefine/>
    <w:qFormat/>
    <w:uiPriority w:val="22"/>
    <w:rPr>
      <w:b/>
      <w:bCs/>
    </w:rPr>
  </w:style>
  <w:style w:type="character" w:styleId="27">
    <w:name w:val="page number"/>
    <w:autoRedefine/>
    <w:qFormat/>
    <w:uiPriority w:val="0"/>
  </w:style>
  <w:style w:type="character" w:styleId="28">
    <w:name w:val="FollowedHyperlink"/>
    <w:autoRedefine/>
    <w:qFormat/>
    <w:uiPriority w:val="0"/>
    <w:rPr>
      <w:color w:val="800080"/>
      <w:u w:val="single"/>
    </w:rPr>
  </w:style>
  <w:style w:type="character" w:styleId="29">
    <w:name w:val="Hyperlink"/>
    <w:autoRedefine/>
    <w:qFormat/>
    <w:uiPriority w:val="99"/>
    <w:rPr>
      <w:color w:val="0000FF"/>
      <w:u w:val="single"/>
    </w:rPr>
  </w:style>
  <w:style w:type="character" w:styleId="30">
    <w:name w:val="annotation reference"/>
    <w:autoRedefine/>
    <w:semiHidden/>
    <w:qFormat/>
    <w:uiPriority w:val="0"/>
    <w:rPr>
      <w:sz w:val="21"/>
      <w:szCs w:val="21"/>
    </w:rPr>
  </w:style>
  <w:style w:type="character" w:customStyle="1" w:styleId="31">
    <w:name w:val="标题 1 字符"/>
    <w:link w:val="3"/>
    <w:autoRedefine/>
    <w:qFormat/>
    <w:uiPriority w:val="0"/>
    <w:rPr>
      <w:b/>
      <w:bCs/>
      <w:kern w:val="44"/>
      <w:sz w:val="44"/>
      <w:szCs w:val="44"/>
    </w:rPr>
  </w:style>
  <w:style w:type="character" w:customStyle="1" w:styleId="32">
    <w:name w:val="标题 2 字符"/>
    <w:link w:val="4"/>
    <w:autoRedefine/>
    <w:qFormat/>
    <w:uiPriority w:val="0"/>
    <w:rPr>
      <w:b/>
      <w:kern w:val="2"/>
      <w:sz w:val="24"/>
      <w:szCs w:val="24"/>
    </w:rPr>
  </w:style>
  <w:style w:type="character" w:customStyle="1" w:styleId="33">
    <w:name w:val="文档结构图 字符"/>
    <w:link w:val="6"/>
    <w:autoRedefine/>
    <w:qFormat/>
    <w:uiPriority w:val="0"/>
    <w:rPr>
      <w:rFonts w:ascii="宋体"/>
      <w:kern w:val="2"/>
      <w:sz w:val="18"/>
      <w:szCs w:val="18"/>
    </w:rPr>
  </w:style>
  <w:style w:type="character" w:customStyle="1" w:styleId="34">
    <w:name w:val="批注文字 字符"/>
    <w:link w:val="7"/>
    <w:autoRedefine/>
    <w:qFormat/>
    <w:uiPriority w:val="0"/>
    <w:rPr>
      <w:rFonts w:eastAsia="宋体"/>
      <w:kern w:val="2"/>
      <w:sz w:val="21"/>
      <w:szCs w:val="24"/>
      <w:lang w:val="en-US" w:eastAsia="zh-CN" w:bidi="ar-SA"/>
    </w:rPr>
  </w:style>
  <w:style w:type="character" w:customStyle="1" w:styleId="35">
    <w:name w:val="纯文本 字符"/>
    <w:link w:val="10"/>
    <w:autoRedefine/>
    <w:qFormat/>
    <w:uiPriority w:val="0"/>
    <w:rPr>
      <w:rFonts w:ascii="宋体" w:hAnsi="Courier New" w:cs="Courier New"/>
      <w:kern w:val="2"/>
      <w:sz w:val="21"/>
      <w:szCs w:val="21"/>
    </w:rPr>
  </w:style>
  <w:style w:type="character" w:customStyle="1" w:styleId="36">
    <w:name w:val="副标题 字符"/>
    <w:link w:val="17"/>
    <w:autoRedefine/>
    <w:qFormat/>
    <w:uiPriority w:val="0"/>
    <w:rPr>
      <w:rFonts w:ascii="Cambria" w:hAnsi="Cambria" w:cs="Times New Roman"/>
      <w:b/>
      <w:bCs/>
      <w:kern w:val="28"/>
      <w:sz w:val="32"/>
      <w:szCs w:val="32"/>
    </w:rPr>
  </w:style>
  <w:style w:type="character" w:customStyle="1" w:styleId="37">
    <w:name w:val="标题 字符"/>
    <w:link w:val="21"/>
    <w:autoRedefine/>
    <w:qFormat/>
    <w:uiPriority w:val="10"/>
    <w:rPr>
      <w:rFonts w:ascii="Cambria" w:hAnsi="Cambria" w:cs="Times New Roman"/>
      <w:b/>
      <w:bCs/>
      <w:kern w:val="2"/>
      <w:sz w:val="32"/>
      <w:szCs w:val="32"/>
    </w:rPr>
  </w:style>
  <w:style w:type="paragraph" w:customStyle="1" w:styleId="38">
    <w:name w:val="Char"/>
    <w:basedOn w:val="1"/>
    <w:autoRedefine/>
    <w:qFormat/>
    <w:uiPriority w:val="0"/>
    <w:pPr>
      <w:tabs>
        <w:tab w:val="left" w:pos="4665"/>
        <w:tab w:val="left" w:pos="8970"/>
      </w:tabs>
      <w:ind w:firstLine="400"/>
    </w:pPr>
    <w:rPr>
      <w:rFonts w:ascii="Tahoma" w:hAnsi="Tahoma" w:cs="Tahoma"/>
      <w:sz w:val="24"/>
    </w:rPr>
  </w:style>
  <w:style w:type="paragraph" w:customStyle="1" w:styleId="39">
    <w:name w:val="前言、引言标题"/>
    <w:next w:val="1"/>
    <w:autoRedefine/>
    <w:qFormat/>
    <w:uiPriority w:val="0"/>
    <w:pPr>
      <w:numPr>
        <w:ilvl w:val="0"/>
        <w:numId w:val="1"/>
      </w:numPr>
      <w:shd w:val="clear" w:color="FFFFFF" w:fill="FFFFFF"/>
      <w:spacing w:before="640" w:after="560"/>
      <w:jc w:val="center"/>
      <w:outlineLvl w:val="0"/>
    </w:pPr>
    <w:rPr>
      <w:rFonts w:ascii="黑体" w:hAnsi="Times New Roman" w:eastAsia="黑体" w:cs="Times New Roman"/>
      <w:sz w:val="32"/>
      <w:szCs w:val="32"/>
      <w:lang w:val="en-US" w:eastAsia="zh-CN" w:bidi="ar-SA"/>
    </w:rPr>
  </w:style>
  <w:style w:type="paragraph" w:customStyle="1" w:styleId="40">
    <w:name w:val="章标题"/>
    <w:next w:val="1"/>
    <w:autoRedefine/>
    <w:qFormat/>
    <w:uiPriority w:val="0"/>
    <w:pPr>
      <w:numPr>
        <w:ilvl w:val="1"/>
        <w:numId w:val="1"/>
      </w:numPr>
      <w:spacing w:before="156" w:beforeLines="50" w:after="156" w:afterLines="50"/>
      <w:jc w:val="center"/>
      <w:outlineLvl w:val="1"/>
    </w:pPr>
    <w:rPr>
      <w:rFonts w:ascii="黑体" w:hAnsi="Times New Roman" w:eastAsia="黑体" w:cs="Times New Roman"/>
      <w:sz w:val="21"/>
      <w:szCs w:val="21"/>
      <w:lang w:val="en-US" w:eastAsia="zh-CN" w:bidi="ar-SA"/>
    </w:rPr>
  </w:style>
  <w:style w:type="paragraph" w:customStyle="1" w:styleId="41">
    <w:name w:val="一级条标题"/>
    <w:next w:val="1"/>
    <w:autoRedefine/>
    <w:qFormat/>
    <w:uiPriority w:val="0"/>
    <w:pPr>
      <w:numPr>
        <w:ilvl w:val="2"/>
        <w:numId w:val="1"/>
      </w:numPr>
      <w:outlineLvl w:val="2"/>
    </w:pPr>
    <w:rPr>
      <w:rFonts w:ascii="Times New Roman" w:hAnsi="Times New Roman" w:eastAsia="黑体" w:cs="Times New Roman"/>
      <w:sz w:val="21"/>
      <w:szCs w:val="21"/>
      <w:lang w:val="en-US" w:eastAsia="zh-CN" w:bidi="ar-SA"/>
    </w:rPr>
  </w:style>
  <w:style w:type="paragraph" w:customStyle="1" w:styleId="42">
    <w:name w:val="二级条标题"/>
    <w:basedOn w:val="41"/>
    <w:next w:val="1"/>
    <w:link w:val="43"/>
    <w:autoRedefine/>
    <w:qFormat/>
    <w:uiPriority w:val="0"/>
    <w:pPr>
      <w:numPr>
        <w:ilvl w:val="0"/>
        <w:numId w:val="0"/>
      </w:numPr>
      <w:spacing w:line="360" w:lineRule="auto"/>
      <w:ind w:left="11"/>
      <w:jc w:val="both"/>
      <w:outlineLvl w:val="3"/>
    </w:pPr>
    <w:rPr>
      <w:rFonts w:ascii="宋体" w:hAnsi="宋体" w:eastAsia="宋体"/>
      <w:sz w:val="24"/>
    </w:rPr>
  </w:style>
  <w:style w:type="character" w:customStyle="1" w:styleId="43">
    <w:name w:val="二级条标题 Char"/>
    <w:link w:val="42"/>
    <w:autoRedefine/>
    <w:qFormat/>
    <w:uiPriority w:val="0"/>
    <w:rPr>
      <w:rFonts w:ascii="宋体" w:hAnsi="宋体" w:eastAsia="宋体"/>
      <w:sz w:val="24"/>
      <w:szCs w:val="21"/>
    </w:rPr>
  </w:style>
  <w:style w:type="paragraph" w:customStyle="1" w:styleId="44">
    <w:name w:val="实施日期"/>
    <w:basedOn w:val="1"/>
    <w:autoRedefine/>
    <w:qFormat/>
    <w:uiPriority w:val="0"/>
    <w:pPr>
      <w:framePr w:w="4000" w:h="473" w:hRule="exact" w:vSpace="180" w:wrap="auto" w:vAnchor="margin" w:hAnchor="margin" w:xAlign="right" w:y="13511" w:anchorLock="1"/>
      <w:widowControl/>
      <w:numPr>
        <w:ilvl w:val="4"/>
        <w:numId w:val="1"/>
      </w:numPr>
      <w:jc w:val="right"/>
    </w:pPr>
    <w:rPr>
      <w:rFonts w:eastAsia="黑体"/>
      <w:kern w:val="0"/>
      <w:sz w:val="28"/>
      <w:szCs w:val="28"/>
    </w:rPr>
  </w:style>
  <w:style w:type="paragraph" w:customStyle="1" w:styleId="45">
    <w:name w:val="三级条标题"/>
    <w:basedOn w:val="42"/>
    <w:next w:val="1"/>
    <w:autoRedefine/>
    <w:qFormat/>
    <w:uiPriority w:val="0"/>
    <w:pPr>
      <w:ind w:left="0"/>
      <w:outlineLvl w:val="4"/>
    </w:pPr>
    <w:rPr>
      <w:rFonts w:ascii="黑体"/>
      <w:szCs w:val="20"/>
    </w:rPr>
  </w:style>
  <w:style w:type="paragraph" w:customStyle="1" w:styleId="46">
    <w:name w:val="普通 (Web)"/>
    <w:basedOn w:val="1"/>
    <w:next w:val="1"/>
    <w:autoRedefine/>
    <w:qFormat/>
    <w:uiPriority w:val="0"/>
    <w:pPr>
      <w:autoSpaceDE w:val="0"/>
      <w:autoSpaceDN w:val="0"/>
      <w:adjustRightInd w:val="0"/>
      <w:spacing w:before="100" w:after="100"/>
      <w:jc w:val="left"/>
    </w:pPr>
    <w:rPr>
      <w:rFonts w:ascii="BFBFCK+TimesNewRoman" w:eastAsia="BFBFCK+TimesNewRoman"/>
      <w:kern w:val="0"/>
      <w:sz w:val="24"/>
    </w:rPr>
  </w:style>
  <w:style w:type="paragraph" w:customStyle="1" w:styleId="47">
    <w:name w:val="Char Char"/>
    <w:basedOn w:val="1"/>
    <w:autoRedefine/>
    <w:qFormat/>
    <w:uiPriority w:val="0"/>
  </w:style>
  <w:style w:type="paragraph" w:customStyle="1" w:styleId="48">
    <w:name w:val="Char Char2"/>
    <w:basedOn w:val="1"/>
    <w:autoRedefine/>
    <w:qFormat/>
    <w:uiPriority w:val="0"/>
    <w:rPr>
      <w:szCs w:val="20"/>
    </w:rPr>
  </w:style>
  <w:style w:type="paragraph" w:customStyle="1" w:styleId="49">
    <w:name w:val="Char Char21"/>
    <w:basedOn w:val="1"/>
    <w:autoRedefine/>
    <w:qFormat/>
    <w:uiPriority w:val="0"/>
    <w:rPr>
      <w:szCs w:val="20"/>
    </w:rPr>
  </w:style>
  <w:style w:type="paragraph" w:customStyle="1" w:styleId="50">
    <w:name w:val="Char1"/>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51">
    <w:name w:val="WPSOffice手动目录 1"/>
    <w:autoRedefine/>
    <w:qFormat/>
    <w:uiPriority w:val="0"/>
    <w:rPr>
      <w:rFonts w:ascii="Times New Roman" w:hAnsi="Times New Roman" w:eastAsia="宋体" w:cs="Times New Roman"/>
      <w:lang w:val="en-US" w:eastAsia="zh-CN" w:bidi="ar-SA"/>
    </w:rPr>
  </w:style>
  <w:style w:type="paragraph" w:customStyle="1" w:styleId="52">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53">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styleId="54">
    <w:name w:val="List Paragraph"/>
    <w:basedOn w:val="1"/>
    <w:autoRedefine/>
    <w:qFormat/>
    <w:uiPriority w:val="34"/>
    <w:pPr>
      <w:ind w:firstLine="420" w:firstLineChars="200"/>
    </w:pPr>
    <w:rPr>
      <w:rFonts w:ascii="Calibri" w:hAnsi="Calibri"/>
      <w:szCs w:val="22"/>
    </w:rPr>
  </w:style>
  <w:style w:type="paragraph" w:customStyle="1" w:styleId="55">
    <w:name w:val="_Style 54"/>
    <w:autoRedefine/>
    <w:unhideWhenUsed/>
    <w:qFormat/>
    <w:uiPriority w:val="99"/>
    <w:rPr>
      <w:rFonts w:ascii="Times New Roman" w:hAnsi="Times New Roman" w:eastAsia="宋体" w:cs="Times New Roman"/>
      <w:kern w:val="2"/>
      <w:sz w:val="21"/>
      <w:szCs w:val="24"/>
      <w:lang w:val="en-US" w:eastAsia="zh-CN" w:bidi="ar-SA"/>
    </w:rPr>
  </w:style>
  <w:style w:type="character" w:customStyle="1" w:styleId="56">
    <w:name w:val="副标题 Char"/>
    <w:autoRedefine/>
    <w:qFormat/>
    <w:uiPriority w:val="0"/>
    <w:rPr>
      <w:rFonts w:ascii="Cambria" w:hAnsi="Cambria" w:cs="Times New Roman"/>
      <w:b/>
      <w:bCs/>
      <w:kern w:val="28"/>
      <w:sz w:val="32"/>
      <w:szCs w:val="32"/>
    </w:rPr>
  </w:style>
  <w:style w:type="character" w:customStyle="1" w:styleId="57">
    <w:name w:val="标题 2 Char1"/>
    <w:autoRedefine/>
    <w:qFormat/>
    <w:uiPriority w:val="0"/>
    <w:rPr>
      <w:rFonts w:ascii="Times New Roman" w:hAnsi="Times New Roman" w:eastAsia="宋体" w:cs="Times New Roman"/>
      <w:b/>
      <w:sz w:val="24"/>
      <w:szCs w:val="24"/>
    </w:rPr>
  </w:style>
  <w:style w:type="table" w:customStyle="1" w:styleId="58">
    <w:name w:val="网格型2"/>
    <w:basedOn w:val="23"/>
    <w:autoRedefine/>
    <w:qFormat/>
    <w:uiPriority w:val="59"/>
    <w:rPr>
      <w:rFonts w:ascii="Calibri" w:hAnsi="Calibri" w:eastAsia="Times New Rom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9">
    <w:name w:val="段"/>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60">
    <w:name w:val="表格内容"/>
    <w:basedOn w:val="61"/>
    <w:autoRedefine/>
    <w:qFormat/>
    <w:uiPriority w:val="0"/>
    <w:pPr>
      <w:spacing w:before="0" w:beforeLines="0"/>
    </w:pPr>
    <w:rPr>
      <w:b w:val="0"/>
      <w:color w:val="000000" w:themeColor="text1"/>
      <w14:textFill>
        <w14:solidFill>
          <w14:schemeClr w14:val="tx1"/>
        </w14:solidFill>
      </w14:textFill>
    </w:rPr>
  </w:style>
  <w:style w:type="paragraph" w:customStyle="1" w:styleId="61">
    <w:name w:val="表格标题"/>
    <w:basedOn w:val="1"/>
    <w:autoRedefine/>
    <w:qFormat/>
    <w:uiPriority w:val="0"/>
    <w:pPr>
      <w:spacing w:before="50" w:beforeLines="50"/>
      <w:jc w:val="center"/>
    </w:pPr>
    <w:rPr>
      <w:b/>
      <w:bCs/>
      <w:szCs w:val="21"/>
    </w:rPr>
  </w:style>
  <w:style w:type="table" w:customStyle="1" w:styleId="62">
    <w:name w:val="网格型3"/>
    <w:basedOn w:val="2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
    <w:name w:val="列出段落1"/>
    <w:basedOn w:val="1"/>
    <w:autoRedefine/>
    <w:qFormat/>
    <w:uiPriority w:val="34"/>
    <w:pPr>
      <w:widowControl/>
      <w:adjustRightInd w:val="0"/>
      <w:snapToGrid w:val="0"/>
      <w:spacing w:before="120" w:after="120" w:line="276" w:lineRule="auto"/>
      <w:ind w:firstLine="420" w:firstLineChars="200"/>
      <w:jc w:val="left"/>
    </w:pPr>
    <w:rPr>
      <w:rFonts w:cs="黑体"/>
      <w:kern w:val="0"/>
    </w:rPr>
  </w:style>
  <w:style w:type="paragraph" w:customStyle="1" w:styleId="64">
    <w:name w:val="标准标志"/>
    <w:unhideWhenUsed/>
    <w:qFormat/>
    <w:uiPriority w:val="0"/>
    <w:pPr>
      <w:framePr w:w="2546" w:h="1389" w:hRule="exact" w:hSpace="181" w:vSpace="181" w:wrap="around" w:vAnchor="margin" w:hAnchor="margin" w:x="6522" w:y="398" w:anchorLock="1"/>
      <w:shd w:val="solid" w:color="FFFFFF" w:fill="FFFFFF"/>
      <w:spacing w:line="240" w:lineRule="atLeast"/>
      <w:jc w:val="right"/>
    </w:pPr>
    <w:rPr>
      <w:rFonts w:ascii="Calibri" w:hAnsi="Calibri" w:eastAsia="宋体" w:cs="Times New Roman"/>
      <w:b/>
      <w:w w:val="170"/>
      <w:sz w:val="9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46</Pages>
  <Words>20514</Words>
  <Characters>24045</Characters>
  <Lines>175</Lines>
  <Paragraphs>49</Paragraphs>
  <TotalTime>0</TotalTime>
  <ScaleCrop>false</ScaleCrop>
  <LinksUpToDate>false</LinksUpToDate>
  <CharactersWithSpaces>25708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2023-03-30T13:38:00Z</dcterms:created>
  <dc:creator>linhy</dc:creator>
  <cp:lastModifiedBy>刘蓉蓉</cp:lastModifiedBy>
  <cp:lastPrinted>2023-04-26T23:35:00Z</cp:lastPrinted>
  <dcterms:modified xsi:type="dcterms:W3CDTF">2024-09-02T08:08:03Z</dcterms:modified>
  <dc:title>既有居住建筑节能改造技术规程</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1973D28384CA4514B0081B6B0EBF5CAA_13</vt:lpwstr>
  </property>
</Properties>
</file>