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29D7F">
      <w:pPr>
        <w:rPr>
          <w:b/>
          <w:sz w:val="36"/>
          <w:szCs w:val="36"/>
        </w:rPr>
      </w:pPr>
    </w:p>
    <w:p w14:paraId="0DE384DA">
      <w:pPr>
        <w:rPr>
          <w:b/>
          <w:sz w:val="36"/>
          <w:szCs w:val="36"/>
        </w:rPr>
      </w:pPr>
    </w:p>
    <w:p w14:paraId="601434BD">
      <w:pPr>
        <w:rPr>
          <w:b/>
          <w:sz w:val="36"/>
          <w:szCs w:val="36"/>
        </w:rPr>
      </w:pPr>
    </w:p>
    <w:p w14:paraId="7871BB1F">
      <w:pPr>
        <w:rPr>
          <w:b/>
          <w:sz w:val="52"/>
          <w:szCs w:val="52"/>
        </w:rPr>
      </w:pPr>
    </w:p>
    <w:p w14:paraId="4B9D3AFF">
      <w:pPr>
        <w:ind w:firstLine="200" w:firstLineChars="50"/>
        <w:jc w:val="center"/>
        <w:rPr>
          <w:b/>
          <w:sz w:val="40"/>
          <w:szCs w:val="40"/>
        </w:rPr>
      </w:pPr>
      <w:r>
        <w:rPr>
          <w:rFonts w:hint="eastAsia"/>
          <w:b/>
          <w:sz w:val="40"/>
          <w:szCs w:val="40"/>
        </w:rPr>
        <w:t>《</w:t>
      </w:r>
      <w:r>
        <w:rPr>
          <w:rFonts w:hint="eastAsia" w:ascii="宋体" w:hAnsi="Calibri" w:eastAsia="宋体" w:cs="Times New Roman"/>
          <w:b/>
          <w:sz w:val="40"/>
          <w:szCs w:val="40"/>
        </w:rPr>
        <w:t>夏热冬冷地区集成保温外墙板应用技术规范</w:t>
      </w:r>
      <w:r>
        <w:rPr>
          <w:rFonts w:hint="eastAsia"/>
          <w:b/>
          <w:sz w:val="40"/>
          <w:szCs w:val="40"/>
        </w:rPr>
        <w:t>》</w:t>
      </w:r>
    </w:p>
    <w:p w14:paraId="5AB50132">
      <w:pPr>
        <w:ind w:firstLine="220" w:firstLineChars="50"/>
        <w:jc w:val="center"/>
        <w:rPr>
          <w:b/>
          <w:sz w:val="44"/>
          <w:szCs w:val="44"/>
        </w:rPr>
      </w:pPr>
      <w:r>
        <w:rPr>
          <w:rFonts w:hint="eastAsia"/>
          <w:b/>
          <w:sz w:val="44"/>
          <w:szCs w:val="44"/>
        </w:rPr>
        <w:t>编制说明</w:t>
      </w:r>
    </w:p>
    <w:p w14:paraId="0BADDEE3">
      <w:pPr>
        <w:jc w:val="center"/>
        <w:rPr>
          <w:b/>
          <w:sz w:val="44"/>
          <w:szCs w:val="44"/>
        </w:rPr>
      </w:pPr>
    </w:p>
    <w:p w14:paraId="288B6F8C">
      <w:pPr>
        <w:jc w:val="center"/>
        <w:rPr>
          <w:b/>
          <w:sz w:val="44"/>
          <w:szCs w:val="44"/>
        </w:rPr>
      </w:pPr>
    </w:p>
    <w:p w14:paraId="7A032BDD">
      <w:pPr>
        <w:jc w:val="center"/>
        <w:rPr>
          <w:b/>
          <w:sz w:val="44"/>
          <w:szCs w:val="44"/>
        </w:rPr>
      </w:pPr>
    </w:p>
    <w:p w14:paraId="3FCCB9BB">
      <w:pPr>
        <w:jc w:val="center"/>
        <w:rPr>
          <w:b/>
          <w:sz w:val="44"/>
          <w:szCs w:val="44"/>
        </w:rPr>
      </w:pPr>
    </w:p>
    <w:p w14:paraId="5EB05BDE">
      <w:pPr>
        <w:jc w:val="center"/>
        <w:rPr>
          <w:b/>
          <w:sz w:val="44"/>
          <w:szCs w:val="44"/>
        </w:rPr>
      </w:pPr>
    </w:p>
    <w:p w14:paraId="7250277A">
      <w:pPr>
        <w:jc w:val="center"/>
        <w:rPr>
          <w:b/>
          <w:sz w:val="44"/>
          <w:szCs w:val="44"/>
        </w:rPr>
      </w:pPr>
    </w:p>
    <w:p w14:paraId="4F8D5F19">
      <w:pPr>
        <w:jc w:val="center"/>
        <w:rPr>
          <w:b/>
          <w:sz w:val="44"/>
          <w:szCs w:val="44"/>
        </w:rPr>
      </w:pPr>
    </w:p>
    <w:p w14:paraId="4C45BA6A">
      <w:pPr>
        <w:rPr>
          <w:b/>
          <w:sz w:val="44"/>
          <w:szCs w:val="44"/>
        </w:rPr>
      </w:pPr>
    </w:p>
    <w:p w14:paraId="1A38C308">
      <w:pPr>
        <w:rPr>
          <w:b/>
          <w:sz w:val="44"/>
          <w:szCs w:val="44"/>
        </w:rPr>
      </w:pPr>
    </w:p>
    <w:p w14:paraId="603B50A7">
      <w:pPr>
        <w:rPr>
          <w:b/>
          <w:sz w:val="44"/>
          <w:szCs w:val="44"/>
        </w:rPr>
      </w:pPr>
    </w:p>
    <w:p w14:paraId="79B25AD4">
      <w:pPr>
        <w:jc w:val="center"/>
        <w:rPr>
          <w:b/>
          <w:sz w:val="44"/>
          <w:szCs w:val="44"/>
        </w:rPr>
      </w:pPr>
    </w:p>
    <w:p w14:paraId="1198C882">
      <w:pPr>
        <w:jc w:val="center"/>
        <w:rPr>
          <w:b/>
          <w:sz w:val="44"/>
          <w:szCs w:val="44"/>
        </w:rPr>
      </w:pPr>
    </w:p>
    <w:p w14:paraId="00DB3BF6">
      <w:pPr>
        <w:jc w:val="center"/>
        <w:rPr>
          <w:b/>
          <w:sz w:val="44"/>
          <w:szCs w:val="44"/>
        </w:rPr>
      </w:pPr>
    </w:p>
    <w:p w14:paraId="508B9BE7">
      <w:pPr>
        <w:ind w:firstLine="3211" w:firstLineChars="892"/>
        <w:rPr>
          <w:b/>
          <w:sz w:val="36"/>
          <w:szCs w:val="36"/>
        </w:rPr>
      </w:pPr>
      <w:r>
        <w:rPr>
          <w:rFonts w:hint="eastAsia"/>
          <w:b/>
          <w:sz w:val="36"/>
          <w:szCs w:val="36"/>
        </w:rPr>
        <w:t>二零二四年</w:t>
      </w:r>
      <w:r>
        <w:rPr>
          <w:rFonts w:hint="eastAsia"/>
          <w:b/>
          <w:sz w:val="36"/>
          <w:szCs w:val="36"/>
          <w:lang w:val="en-US" w:eastAsia="zh-CN"/>
        </w:rPr>
        <w:t>八</w:t>
      </w:r>
      <w:r>
        <w:rPr>
          <w:rFonts w:hint="eastAsia"/>
          <w:b/>
          <w:sz w:val="36"/>
          <w:szCs w:val="36"/>
        </w:rPr>
        <w:t>月</w:t>
      </w:r>
    </w:p>
    <w:p w14:paraId="4BBE9223"/>
    <w:p w14:paraId="7FBB6FF7"/>
    <w:p w14:paraId="668F4E68">
      <w:pPr>
        <w:ind w:firstLine="1904" w:firstLineChars="595"/>
        <w:rPr>
          <w:b/>
          <w:sz w:val="32"/>
          <w:szCs w:val="32"/>
        </w:rPr>
      </w:pPr>
    </w:p>
    <w:p w14:paraId="27FAD039">
      <w:pPr>
        <w:ind w:firstLine="1904" w:firstLineChars="595"/>
        <w:rPr>
          <w:b/>
          <w:sz w:val="32"/>
          <w:szCs w:val="32"/>
        </w:rPr>
        <w:sectPr>
          <w:pgSz w:w="11906" w:h="16838"/>
          <w:pgMar w:top="1474" w:right="1276" w:bottom="1440" w:left="1418" w:header="851" w:footer="992" w:gutter="0"/>
          <w:cols w:space="425" w:num="1"/>
          <w:titlePg/>
          <w:docGrid w:type="linesAndChars" w:linePitch="312" w:charSpace="0"/>
        </w:sectPr>
      </w:pPr>
    </w:p>
    <w:p w14:paraId="41479599">
      <w:pPr>
        <w:ind w:firstLine="1904" w:firstLineChars="595"/>
        <w:rPr>
          <w:b/>
          <w:sz w:val="32"/>
          <w:szCs w:val="32"/>
        </w:rPr>
      </w:pPr>
    </w:p>
    <w:p w14:paraId="13A5BB47">
      <w:pPr>
        <w:jc w:val="center"/>
        <w:rPr>
          <w:b/>
          <w:sz w:val="32"/>
          <w:szCs w:val="32"/>
        </w:rPr>
      </w:pPr>
      <w:r>
        <w:rPr>
          <w:rFonts w:hint="eastAsia"/>
          <w:b/>
          <w:sz w:val="32"/>
          <w:szCs w:val="32"/>
        </w:rPr>
        <w:t>目录</w:t>
      </w:r>
    </w:p>
    <w:p w14:paraId="25FC7742">
      <w:pPr>
        <w:pStyle w:val="9"/>
        <w:tabs>
          <w:tab w:val="right" w:leader="dot" w:pos="9212"/>
        </w:tabs>
      </w:pPr>
      <w:r>
        <w:rPr>
          <w:b/>
          <w:sz w:val="32"/>
          <w:szCs w:val="32"/>
        </w:rPr>
        <w:fldChar w:fldCharType="begin"/>
      </w:r>
      <w:r>
        <w:rPr>
          <w:b/>
          <w:sz w:val="32"/>
          <w:szCs w:val="32"/>
        </w:rPr>
        <w:instrText xml:space="preserve"> TOC \o "1-3" \h \z \u </w:instrText>
      </w:r>
      <w:r>
        <w:rPr>
          <w:b/>
          <w:sz w:val="32"/>
          <w:szCs w:val="32"/>
        </w:rPr>
        <w:fldChar w:fldCharType="separate"/>
      </w:r>
      <w:r>
        <w:rPr>
          <w:szCs w:val="32"/>
        </w:rPr>
        <w:fldChar w:fldCharType="begin"/>
      </w:r>
      <w:r>
        <w:rPr>
          <w:szCs w:val="32"/>
        </w:rPr>
        <w:instrText xml:space="preserve"> HYPERLINK \l _Toc6510 </w:instrText>
      </w:r>
      <w:r>
        <w:rPr>
          <w:szCs w:val="32"/>
        </w:rPr>
        <w:fldChar w:fldCharType="separate"/>
      </w:r>
      <w:r>
        <w:rPr>
          <w:rFonts w:hint="eastAsia" w:ascii="黑体" w:hAnsi="Times New Roman" w:eastAsia="黑体"/>
          <w:i w:val="0"/>
          <w:szCs w:val="21"/>
        </w:rPr>
        <w:t xml:space="preserve">1 </w:t>
      </w:r>
      <w:r>
        <w:rPr>
          <w:rFonts w:hint="eastAsia"/>
          <w:szCs w:val="28"/>
        </w:rPr>
        <w:t>标准编制</w:t>
      </w:r>
      <w:r>
        <w:rPr>
          <w:rFonts w:hint="eastAsia"/>
          <w:bCs/>
          <w:szCs w:val="28"/>
        </w:rPr>
        <w:t>工作</w:t>
      </w:r>
      <w:r>
        <w:rPr>
          <w:rFonts w:hint="eastAsia"/>
          <w:szCs w:val="28"/>
        </w:rPr>
        <w:t>简况</w:t>
      </w:r>
      <w:r>
        <w:tab/>
      </w:r>
      <w:r>
        <w:fldChar w:fldCharType="begin"/>
      </w:r>
      <w:r>
        <w:instrText xml:space="preserve"> PAGEREF _Toc6510 \h </w:instrText>
      </w:r>
      <w:r>
        <w:fldChar w:fldCharType="separate"/>
      </w:r>
      <w:r>
        <w:t>1</w:t>
      </w:r>
      <w:r>
        <w:fldChar w:fldCharType="end"/>
      </w:r>
      <w:r>
        <w:rPr>
          <w:szCs w:val="32"/>
        </w:rPr>
        <w:fldChar w:fldCharType="end"/>
      </w:r>
    </w:p>
    <w:p w14:paraId="1CD3C135">
      <w:pPr>
        <w:pStyle w:val="4"/>
        <w:tabs>
          <w:tab w:val="right" w:leader="dot" w:pos="9212"/>
        </w:tabs>
      </w:pPr>
      <w:r>
        <w:rPr>
          <w:szCs w:val="32"/>
        </w:rPr>
        <w:fldChar w:fldCharType="begin"/>
      </w:r>
      <w:r>
        <w:rPr>
          <w:szCs w:val="32"/>
        </w:rPr>
        <w:instrText xml:space="preserve"> HYPERLINK \l _Toc1740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1.1 </w:t>
      </w:r>
      <w:r>
        <w:rPr>
          <w:rFonts w:hint="eastAsia"/>
          <w:szCs w:val="24"/>
        </w:rPr>
        <w:t>任务来源</w:t>
      </w:r>
      <w:r>
        <w:tab/>
      </w:r>
      <w:r>
        <w:fldChar w:fldCharType="begin"/>
      </w:r>
      <w:r>
        <w:instrText xml:space="preserve"> PAGEREF _Toc1740 \h </w:instrText>
      </w:r>
      <w:r>
        <w:fldChar w:fldCharType="separate"/>
      </w:r>
      <w:r>
        <w:t>1</w:t>
      </w:r>
      <w:r>
        <w:fldChar w:fldCharType="end"/>
      </w:r>
      <w:r>
        <w:rPr>
          <w:szCs w:val="32"/>
        </w:rPr>
        <w:fldChar w:fldCharType="end"/>
      </w:r>
    </w:p>
    <w:p w14:paraId="507F7B4B">
      <w:pPr>
        <w:pStyle w:val="4"/>
        <w:tabs>
          <w:tab w:val="right" w:leader="dot" w:pos="9212"/>
        </w:tabs>
      </w:pPr>
      <w:r>
        <w:rPr>
          <w:szCs w:val="32"/>
        </w:rPr>
        <w:fldChar w:fldCharType="begin"/>
      </w:r>
      <w:r>
        <w:rPr>
          <w:szCs w:val="32"/>
        </w:rPr>
        <w:instrText xml:space="preserve"> HYPERLINK \l _Toc21562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1.2 </w:t>
      </w:r>
      <w:r>
        <w:rPr>
          <w:rFonts w:hint="eastAsia"/>
          <w:szCs w:val="24"/>
        </w:rPr>
        <w:t>起草单位</w:t>
      </w:r>
      <w:r>
        <w:tab/>
      </w:r>
      <w:r>
        <w:fldChar w:fldCharType="begin"/>
      </w:r>
      <w:r>
        <w:instrText xml:space="preserve"> PAGEREF _Toc21562 \h </w:instrText>
      </w:r>
      <w:r>
        <w:fldChar w:fldCharType="separate"/>
      </w:r>
      <w:r>
        <w:t>1</w:t>
      </w:r>
      <w:r>
        <w:fldChar w:fldCharType="end"/>
      </w:r>
      <w:r>
        <w:rPr>
          <w:szCs w:val="32"/>
        </w:rPr>
        <w:fldChar w:fldCharType="end"/>
      </w:r>
    </w:p>
    <w:p w14:paraId="2FFD03C5">
      <w:pPr>
        <w:pStyle w:val="4"/>
        <w:tabs>
          <w:tab w:val="right" w:leader="dot" w:pos="9212"/>
        </w:tabs>
      </w:pPr>
      <w:r>
        <w:rPr>
          <w:szCs w:val="32"/>
        </w:rPr>
        <w:fldChar w:fldCharType="begin"/>
      </w:r>
      <w:r>
        <w:rPr>
          <w:szCs w:val="32"/>
        </w:rPr>
        <w:instrText xml:space="preserve"> HYPERLINK \l _Toc2569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1.3 </w:t>
      </w:r>
      <w:r>
        <w:rPr>
          <w:rFonts w:hint="eastAsia"/>
          <w:szCs w:val="24"/>
        </w:rPr>
        <w:t>标准编制背景及必要性</w:t>
      </w:r>
      <w:r>
        <w:tab/>
      </w:r>
      <w:r>
        <w:fldChar w:fldCharType="begin"/>
      </w:r>
      <w:r>
        <w:instrText xml:space="preserve"> PAGEREF _Toc2569 \h </w:instrText>
      </w:r>
      <w:r>
        <w:fldChar w:fldCharType="separate"/>
      </w:r>
      <w:r>
        <w:t>2</w:t>
      </w:r>
      <w:r>
        <w:fldChar w:fldCharType="end"/>
      </w:r>
      <w:r>
        <w:rPr>
          <w:szCs w:val="32"/>
        </w:rPr>
        <w:fldChar w:fldCharType="end"/>
      </w:r>
    </w:p>
    <w:p w14:paraId="5AD94CAA">
      <w:pPr>
        <w:pStyle w:val="4"/>
        <w:tabs>
          <w:tab w:val="right" w:leader="dot" w:pos="9212"/>
        </w:tabs>
      </w:pPr>
      <w:r>
        <w:rPr>
          <w:szCs w:val="32"/>
        </w:rPr>
        <w:fldChar w:fldCharType="begin"/>
      </w:r>
      <w:r>
        <w:rPr>
          <w:szCs w:val="32"/>
        </w:rPr>
        <w:instrText xml:space="preserve"> HYPERLINK \l _Toc12868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1.4 </w:t>
      </w:r>
      <w:r>
        <w:rPr>
          <w:rFonts w:hint="eastAsia"/>
          <w:szCs w:val="24"/>
        </w:rPr>
        <w:t>主要工作过程</w:t>
      </w:r>
      <w:r>
        <w:tab/>
      </w:r>
      <w:r>
        <w:fldChar w:fldCharType="begin"/>
      </w:r>
      <w:r>
        <w:instrText xml:space="preserve"> PAGEREF _Toc12868 \h </w:instrText>
      </w:r>
      <w:r>
        <w:fldChar w:fldCharType="separate"/>
      </w:r>
      <w:r>
        <w:t>3</w:t>
      </w:r>
      <w:r>
        <w:fldChar w:fldCharType="end"/>
      </w:r>
      <w:r>
        <w:rPr>
          <w:szCs w:val="32"/>
        </w:rPr>
        <w:fldChar w:fldCharType="end"/>
      </w:r>
    </w:p>
    <w:p w14:paraId="6311CD32">
      <w:pPr>
        <w:pStyle w:val="9"/>
        <w:tabs>
          <w:tab w:val="right" w:leader="dot" w:pos="9212"/>
        </w:tabs>
      </w:pPr>
      <w:r>
        <w:rPr>
          <w:szCs w:val="32"/>
        </w:rPr>
        <w:fldChar w:fldCharType="begin"/>
      </w:r>
      <w:r>
        <w:rPr>
          <w:szCs w:val="32"/>
        </w:rPr>
        <w:instrText xml:space="preserve"> HYPERLINK \l _Toc12493 </w:instrText>
      </w:r>
      <w:r>
        <w:rPr>
          <w:szCs w:val="32"/>
        </w:rPr>
        <w:fldChar w:fldCharType="separate"/>
      </w:r>
      <w:r>
        <w:rPr>
          <w:rFonts w:hint="eastAsia" w:ascii="黑体" w:hAnsi="Times New Roman" w:eastAsia="黑体"/>
          <w:i w:val="0"/>
          <w:szCs w:val="21"/>
        </w:rPr>
        <w:t xml:space="preserve">2 </w:t>
      </w:r>
      <w:r>
        <w:rPr>
          <w:rFonts w:hint="eastAsia"/>
          <w:szCs w:val="28"/>
        </w:rPr>
        <w:t>标准制定原则和依据</w:t>
      </w:r>
      <w:r>
        <w:tab/>
      </w:r>
      <w:r>
        <w:fldChar w:fldCharType="begin"/>
      </w:r>
      <w:r>
        <w:instrText xml:space="preserve"> PAGEREF _Toc12493 \h </w:instrText>
      </w:r>
      <w:r>
        <w:fldChar w:fldCharType="separate"/>
      </w:r>
      <w:r>
        <w:t>5</w:t>
      </w:r>
      <w:r>
        <w:fldChar w:fldCharType="end"/>
      </w:r>
      <w:r>
        <w:rPr>
          <w:szCs w:val="32"/>
        </w:rPr>
        <w:fldChar w:fldCharType="end"/>
      </w:r>
    </w:p>
    <w:p w14:paraId="708F0FC8">
      <w:pPr>
        <w:pStyle w:val="4"/>
        <w:tabs>
          <w:tab w:val="right" w:leader="dot" w:pos="9212"/>
        </w:tabs>
      </w:pPr>
      <w:r>
        <w:rPr>
          <w:szCs w:val="32"/>
        </w:rPr>
        <w:fldChar w:fldCharType="begin"/>
      </w:r>
      <w:r>
        <w:rPr>
          <w:szCs w:val="32"/>
        </w:rPr>
        <w:instrText xml:space="preserve"> HYPERLINK \l _Toc4851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2.1 </w:t>
      </w:r>
      <w:r>
        <w:rPr>
          <w:rFonts w:hint="eastAsia"/>
          <w:szCs w:val="24"/>
        </w:rPr>
        <w:t>标准制定原则</w:t>
      </w:r>
      <w:r>
        <w:tab/>
      </w:r>
      <w:r>
        <w:fldChar w:fldCharType="begin"/>
      </w:r>
      <w:r>
        <w:instrText xml:space="preserve"> PAGEREF _Toc4851 \h </w:instrText>
      </w:r>
      <w:r>
        <w:fldChar w:fldCharType="separate"/>
      </w:r>
      <w:r>
        <w:t>5</w:t>
      </w:r>
      <w:r>
        <w:fldChar w:fldCharType="end"/>
      </w:r>
      <w:r>
        <w:rPr>
          <w:szCs w:val="32"/>
        </w:rPr>
        <w:fldChar w:fldCharType="end"/>
      </w:r>
    </w:p>
    <w:p w14:paraId="7C0457E6">
      <w:pPr>
        <w:pStyle w:val="4"/>
        <w:tabs>
          <w:tab w:val="right" w:leader="dot" w:pos="9212"/>
        </w:tabs>
      </w:pPr>
      <w:r>
        <w:rPr>
          <w:szCs w:val="32"/>
        </w:rPr>
        <w:fldChar w:fldCharType="begin"/>
      </w:r>
      <w:r>
        <w:rPr>
          <w:szCs w:val="32"/>
        </w:rPr>
        <w:instrText xml:space="preserve"> HYPERLINK \l _Toc18669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2.2 </w:t>
      </w:r>
      <w:r>
        <w:rPr>
          <w:rFonts w:hint="eastAsia"/>
          <w:szCs w:val="24"/>
        </w:rPr>
        <w:t>标准制定依据</w:t>
      </w:r>
      <w:r>
        <w:tab/>
      </w:r>
      <w:r>
        <w:fldChar w:fldCharType="begin"/>
      </w:r>
      <w:r>
        <w:instrText xml:space="preserve"> PAGEREF _Toc18669 \h </w:instrText>
      </w:r>
      <w:r>
        <w:fldChar w:fldCharType="separate"/>
      </w:r>
      <w:r>
        <w:t>6</w:t>
      </w:r>
      <w:r>
        <w:fldChar w:fldCharType="end"/>
      </w:r>
      <w:r>
        <w:rPr>
          <w:szCs w:val="32"/>
        </w:rPr>
        <w:fldChar w:fldCharType="end"/>
      </w:r>
    </w:p>
    <w:p w14:paraId="42612FB7">
      <w:pPr>
        <w:pStyle w:val="9"/>
        <w:tabs>
          <w:tab w:val="right" w:leader="dot" w:pos="9212"/>
        </w:tabs>
      </w:pPr>
      <w:r>
        <w:rPr>
          <w:szCs w:val="32"/>
        </w:rPr>
        <w:fldChar w:fldCharType="begin"/>
      </w:r>
      <w:r>
        <w:rPr>
          <w:szCs w:val="32"/>
        </w:rPr>
        <w:instrText xml:space="preserve"> HYPERLINK \l _Toc28847 </w:instrText>
      </w:r>
      <w:r>
        <w:rPr>
          <w:szCs w:val="32"/>
        </w:rPr>
        <w:fldChar w:fldCharType="separate"/>
      </w:r>
      <w:r>
        <w:rPr>
          <w:rFonts w:hint="eastAsia" w:ascii="黑体" w:hAnsi="Times New Roman" w:eastAsia="黑体"/>
          <w:i w:val="0"/>
          <w:szCs w:val="21"/>
        </w:rPr>
        <w:t xml:space="preserve">3 </w:t>
      </w:r>
      <w:r>
        <w:rPr>
          <w:rFonts w:hint="eastAsia"/>
          <w:szCs w:val="28"/>
        </w:rPr>
        <w:t>标准主要内容和试验方法说明</w:t>
      </w:r>
      <w:r>
        <w:tab/>
      </w:r>
      <w:r>
        <w:fldChar w:fldCharType="begin"/>
      </w:r>
      <w:r>
        <w:instrText xml:space="preserve"> PAGEREF _Toc28847 \h </w:instrText>
      </w:r>
      <w:r>
        <w:fldChar w:fldCharType="separate"/>
      </w:r>
      <w:r>
        <w:t>8</w:t>
      </w:r>
      <w:r>
        <w:fldChar w:fldCharType="end"/>
      </w:r>
      <w:r>
        <w:rPr>
          <w:szCs w:val="32"/>
        </w:rPr>
        <w:fldChar w:fldCharType="end"/>
      </w:r>
    </w:p>
    <w:p w14:paraId="40217D0C">
      <w:pPr>
        <w:pStyle w:val="4"/>
        <w:tabs>
          <w:tab w:val="right" w:leader="dot" w:pos="9212"/>
        </w:tabs>
      </w:pPr>
      <w:r>
        <w:rPr>
          <w:szCs w:val="32"/>
        </w:rPr>
        <w:fldChar w:fldCharType="begin"/>
      </w:r>
      <w:r>
        <w:rPr>
          <w:szCs w:val="32"/>
        </w:rPr>
        <w:instrText xml:space="preserve"> HYPERLINK \l _Toc16267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3.1 </w:t>
      </w:r>
      <w:r>
        <w:rPr>
          <w:rFonts w:hint="eastAsia"/>
          <w:szCs w:val="24"/>
        </w:rPr>
        <w:t>标准适用范围</w:t>
      </w:r>
      <w:r>
        <w:tab/>
      </w:r>
      <w:r>
        <w:fldChar w:fldCharType="begin"/>
      </w:r>
      <w:r>
        <w:instrText xml:space="preserve"> PAGEREF _Toc16267 \h </w:instrText>
      </w:r>
      <w:r>
        <w:fldChar w:fldCharType="separate"/>
      </w:r>
      <w:r>
        <w:t>8</w:t>
      </w:r>
      <w:r>
        <w:fldChar w:fldCharType="end"/>
      </w:r>
      <w:r>
        <w:rPr>
          <w:szCs w:val="32"/>
        </w:rPr>
        <w:fldChar w:fldCharType="end"/>
      </w:r>
    </w:p>
    <w:p w14:paraId="52347EDD">
      <w:pPr>
        <w:pStyle w:val="4"/>
        <w:tabs>
          <w:tab w:val="right" w:leader="dot" w:pos="9212"/>
        </w:tabs>
      </w:pPr>
      <w:r>
        <w:rPr>
          <w:szCs w:val="32"/>
        </w:rPr>
        <w:fldChar w:fldCharType="begin"/>
      </w:r>
      <w:r>
        <w:rPr>
          <w:szCs w:val="32"/>
        </w:rPr>
        <w:instrText xml:space="preserve"> HYPERLINK \l _Toc22269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3.2 </w:t>
      </w:r>
      <w:r>
        <w:rPr>
          <w:rFonts w:hint="eastAsia"/>
          <w:szCs w:val="24"/>
        </w:rPr>
        <w:t>术语和定义</w:t>
      </w:r>
      <w:r>
        <w:tab/>
      </w:r>
      <w:r>
        <w:fldChar w:fldCharType="begin"/>
      </w:r>
      <w:r>
        <w:instrText xml:space="preserve"> PAGEREF _Toc22269 \h </w:instrText>
      </w:r>
      <w:r>
        <w:fldChar w:fldCharType="separate"/>
      </w:r>
      <w:r>
        <w:t>8</w:t>
      </w:r>
      <w:r>
        <w:fldChar w:fldCharType="end"/>
      </w:r>
      <w:r>
        <w:rPr>
          <w:szCs w:val="32"/>
        </w:rPr>
        <w:fldChar w:fldCharType="end"/>
      </w:r>
    </w:p>
    <w:p w14:paraId="7EBBB457">
      <w:pPr>
        <w:pStyle w:val="4"/>
        <w:tabs>
          <w:tab w:val="right" w:leader="dot" w:pos="9212"/>
        </w:tabs>
      </w:pPr>
      <w:r>
        <w:rPr>
          <w:szCs w:val="32"/>
        </w:rPr>
        <w:fldChar w:fldCharType="begin"/>
      </w:r>
      <w:r>
        <w:rPr>
          <w:szCs w:val="32"/>
        </w:rPr>
        <w:instrText xml:space="preserve"> HYPERLINK \l _Toc16706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3.3 </w:t>
      </w:r>
      <w:r>
        <w:rPr>
          <w:rFonts w:hint="eastAsia"/>
          <w:szCs w:val="24"/>
        </w:rPr>
        <w:t>系统组成构造</w:t>
      </w:r>
      <w:r>
        <w:tab/>
      </w:r>
      <w:r>
        <w:fldChar w:fldCharType="begin"/>
      </w:r>
      <w:r>
        <w:instrText xml:space="preserve"> PAGEREF _Toc16706 \h </w:instrText>
      </w:r>
      <w:r>
        <w:fldChar w:fldCharType="separate"/>
      </w:r>
      <w:r>
        <w:t>9</w:t>
      </w:r>
      <w:r>
        <w:fldChar w:fldCharType="end"/>
      </w:r>
      <w:r>
        <w:rPr>
          <w:szCs w:val="32"/>
        </w:rPr>
        <w:fldChar w:fldCharType="end"/>
      </w:r>
    </w:p>
    <w:p w14:paraId="7AE0A9C3">
      <w:pPr>
        <w:pStyle w:val="4"/>
        <w:tabs>
          <w:tab w:val="right" w:leader="dot" w:pos="9212"/>
        </w:tabs>
      </w:pPr>
      <w:r>
        <w:rPr>
          <w:szCs w:val="32"/>
        </w:rPr>
        <w:fldChar w:fldCharType="begin"/>
      </w:r>
      <w:r>
        <w:rPr>
          <w:szCs w:val="32"/>
        </w:rPr>
        <w:instrText xml:space="preserve"> HYPERLINK \l _Toc31381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3.4 </w:t>
      </w:r>
      <w:r>
        <w:rPr>
          <w:rFonts w:hint="eastAsia"/>
          <w:szCs w:val="24"/>
        </w:rPr>
        <w:t>预制集成保温外墙板性能指标确定</w:t>
      </w:r>
      <w:r>
        <w:tab/>
      </w:r>
      <w:r>
        <w:fldChar w:fldCharType="begin"/>
      </w:r>
      <w:r>
        <w:instrText xml:space="preserve"> PAGEREF _Toc31381 \h </w:instrText>
      </w:r>
      <w:r>
        <w:fldChar w:fldCharType="separate"/>
      </w:r>
      <w:r>
        <w:t>9</w:t>
      </w:r>
      <w:r>
        <w:fldChar w:fldCharType="end"/>
      </w:r>
      <w:r>
        <w:rPr>
          <w:szCs w:val="32"/>
        </w:rPr>
        <w:fldChar w:fldCharType="end"/>
      </w:r>
    </w:p>
    <w:p w14:paraId="183FD0F8">
      <w:pPr>
        <w:pStyle w:val="9"/>
        <w:tabs>
          <w:tab w:val="right" w:leader="dot" w:pos="9212"/>
        </w:tabs>
      </w:pPr>
      <w:r>
        <w:rPr>
          <w:szCs w:val="32"/>
        </w:rPr>
        <w:fldChar w:fldCharType="begin"/>
      </w:r>
      <w:r>
        <w:rPr>
          <w:szCs w:val="32"/>
        </w:rPr>
        <w:instrText xml:space="preserve"> HYPERLINK \l _Toc2147 </w:instrText>
      </w:r>
      <w:r>
        <w:rPr>
          <w:szCs w:val="32"/>
        </w:rPr>
        <w:fldChar w:fldCharType="separate"/>
      </w:r>
      <w:r>
        <w:rPr>
          <w:rFonts w:hint="eastAsia" w:ascii="黑体" w:hAnsi="Times New Roman" w:eastAsia="黑体"/>
          <w:i w:val="0"/>
          <w:szCs w:val="21"/>
        </w:rPr>
        <w:t xml:space="preserve">4 </w:t>
      </w:r>
      <w:r>
        <w:rPr>
          <w:rFonts w:hint="eastAsia"/>
          <w:szCs w:val="28"/>
          <w:highlight w:val="none"/>
        </w:rPr>
        <w:t>保温材料技术指标确定</w:t>
      </w:r>
      <w:r>
        <w:tab/>
      </w:r>
      <w:r>
        <w:fldChar w:fldCharType="begin"/>
      </w:r>
      <w:r>
        <w:instrText xml:space="preserve"> PAGEREF _Toc2147 \h </w:instrText>
      </w:r>
      <w:r>
        <w:fldChar w:fldCharType="separate"/>
      </w:r>
      <w:r>
        <w:t>11</w:t>
      </w:r>
      <w:r>
        <w:fldChar w:fldCharType="end"/>
      </w:r>
      <w:r>
        <w:rPr>
          <w:szCs w:val="32"/>
        </w:rPr>
        <w:fldChar w:fldCharType="end"/>
      </w:r>
    </w:p>
    <w:p w14:paraId="6B8616E1">
      <w:pPr>
        <w:pStyle w:val="4"/>
        <w:tabs>
          <w:tab w:val="right" w:leader="dot" w:pos="9212"/>
        </w:tabs>
      </w:pPr>
      <w:r>
        <w:rPr>
          <w:szCs w:val="32"/>
        </w:rPr>
        <w:fldChar w:fldCharType="begin"/>
      </w:r>
      <w:r>
        <w:rPr>
          <w:szCs w:val="32"/>
        </w:rPr>
        <w:instrText xml:space="preserve"> HYPERLINK \l _Toc2835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4.1 </w:t>
      </w:r>
      <w:r>
        <w:rPr>
          <w:rFonts w:hint="eastAsia"/>
          <w:szCs w:val="24"/>
        </w:rPr>
        <w:t>干密度</w:t>
      </w:r>
      <w:r>
        <w:tab/>
      </w:r>
      <w:r>
        <w:fldChar w:fldCharType="begin"/>
      </w:r>
      <w:r>
        <w:instrText xml:space="preserve"> PAGEREF _Toc2835 \h </w:instrText>
      </w:r>
      <w:r>
        <w:fldChar w:fldCharType="separate"/>
      </w:r>
      <w:r>
        <w:t>12</w:t>
      </w:r>
      <w:r>
        <w:fldChar w:fldCharType="end"/>
      </w:r>
      <w:r>
        <w:rPr>
          <w:szCs w:val="32"/>
        </w:rPr>
        <w:fldChar w:fldCharType="end"/>
      </w:r>
    </w:p>
    <w:p w14:paraId="74FA615D">
      <w:pPr>
        <w:pStyle w:val="4"/>
        <w:tabs>
          <w:tab w:val="right" w:leader="dot" w:pos="9212"/>
        </w:tabs>
      </w:pPr>
      <w:r>
        <w:rPr>
          <w:szCs w:val="32"/>
        </w:rPr>
        <w:fldChar w:fldCharType="begin"/>
      </w:r>
      <w:r>
        <w:rPr>
          <w:szCs w:val="32"/>
        </w:rPr>
        <w:instrText xml:space="preserve"> HYPERLINK \l _Toc12905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4.2 </w:t>
      </w:r>
      <w:r>
        <w:rPr>
          <w:rFonts w:hint="eastAsia"/>
          <w:szCs w:val="24"/>
        </w:rPr>
        <w:t>抗压强度</w:t>
      </w:r>
      <w:r>
        <w:tab/>
      </w:r>
      <w:r>
        <w:fldChar w:fldCharType="begin"/>
      </w:r>
      <w:r>
        <w:instrText xml:space="preserve"> PAGEREF _Toc12905 \h </w:instrText>
      </w:r>
      <w:r>
        <w:fldChar w:fldCharType="separate"/>
      </w:r>
      <w:r>
        <w:t>12</w:t>
      </w:r>
      <w:r>
        <w:fldChar w:fldCharType="end"/>
      </w:r>
      <w:r>
        <w:rPr>
          <w:szCs w:val="32"/>
        </w:rPr>
        <w:fldChar w:fldCharType="end"/>
      </w:r>
    </w:p>
    <w:p w14:paraId="0862238E">
      <w:pPr>
        <w:pStyle w:val="4"/>
        <w:tabs>
          <w:tab w:val="right" w:leader="dot" w:pos="9212"/>
        </w:tabs>
      </w:pPr>
      <w:r>
        <w:rPr>
          <w:szCs w:val="32"/>
        </w:rPr>
        <w:fldChar w:fldCharType="begin"/>
      </w:r>
      <w:r>
        <w:rPr>
          <w:szCs w:val="32"/>
        </w:rPr>
        <w:instrText xml:space="preserve"> HYPERLINK \l _Toc21287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4.3 </w:t>
      </w:r>
      <w:r>
        <w:rPr>
          <w:rFonts w:hint="eastAsia"/>
          <w:szCs w:val="24"/>
        </w:rPr>
        <w:t>体积吸水率</w:t>
      </w:r>
      <w:r>
        <w:tab/>
      </w:r>
      <w:r>
        <w:fldChar w:fldCharType="begin"/>
      </w:r>
      <w:r>
        <w:instrText xml:space="preserve"> PAGEREF _Toc21287 \h </w:instrText>
      </w:r>
      <w:r>
        <w:fldChar w:fldCharType="separate"/>
      </w:r>
      <w:r>
        <w:t>12</w:t>
      </w:r>
      <w:r>
        <w:fldChar w:fldCharType="end"/>
      </w:r>
      <w:r>
        <w:rPr>
          <w:szCs w:val="32"/>
        </w:rPr>
        <w:fldChar w:fldCharType="end"/>
      </w:r>
    </w:p>
    <w:p w14:paraId="77EA4308">
      <w:pPr>
        <w:pStyle w:val="4"/>
        <w:tabs>
          <w:tab w:val="right" w:leader="dot" w:pos="9212"/>
        </w:tabs>
      </w:pPr>
      <w:r>
        <w:rPr>
          <w:szCs w:val="32"/>
        </w:rPr>
        <w:fldChar w:fldCharType="begin"/>
      </w:r>
      <w:r>
        <w:rPr>
          <w:szCs w:val="32"/>
        </w:rPr>
        <w:instrText xml:space="preserve"> HYPERLINK \l _Toc32214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4.4 </w:t>
      </w:r>
      <w:r>
        <w:rPr>
          <w:rFonts w:hint="eastAsia"/>
          <w:szCs w:val="24"/>
        </w:rPr>
        <w:t>拉伸粘结强度（与混凝土）</w:t>
      </w:r>
      <w:r>
        <w:tab/>
      </w:r>
      <w:r>
        <w:fldChar w:fldCharType="begin"/>
      </w:r>
      <w:r>
        <w:instrText xml:space="preserve"> PAGEREF _Toc32214 \h </w:instrText>
      </w:r>
      <w:r>
        <w:fldChar w:fldCharType="separate"/>
      </w:r>
      <w:r>
        <w:t>13</w:t>
      </w:r>
      <w:r>
        <w:fldChar w:fldCharType="end"/>
      </w:r>
      <w:r>
        <w:rPr>
          <w:szCs w:val="32"/>
        </w:rPr>
        <w:fldChar w:fldCharType="end"/>
      </w:r>
    </w:p>
    <w:p w14:paraId="0B1BB5D7">
      <w:pPr>
        <w:pStyle w:val="4"/>
        <w:tabs>
          <w:tab w:val="right" w:leader="dot" w:pos="9212"/>
        </w:tabs>
      </w:pPr>
      <w:r>
        <w:rPr>
          <w:szCs w:val="32"/>
        </w:rPr>
        <w:fldChar w:fldCharType="begin"/>
      </w:r>
      <w:r>
        <w:rPr>
          <w:szCs w:val="32"/>
        </w:rPr>
        <w:instrText xml:space="preserve"> HYPERLINK \l _Toc9090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4.5 </w:t>
      </w:r>
      <w:r>
        <w:rPr>
          <w:rFonts w:hint="eastAsia"/>
          <w:szCs w:val="24"/>
        </w:rPr>
        <w:t>导热系数</w:t>
      </w:r>
      <w:r>
        <w:tab/>
      </w:r>
      <w:r>
        <w:fldChar w:fldCharType="begin"/>
      </w:r>
      <w:r>
        <w:instrText xml:space="preserve"> PAGEREF _Toc9090 \h </w:instrText>
      </w:r>
      <w:r>
        <w:fldChar w:fldCharType="separate"/>
      </w:r>
      <w:r>
        <w:t>13</w:t>
      </w:r>
      <w:r>
        <w:fldChar w:fldCharType="end"/>
      </w:r>
      <w:r>
        <w:rPr>
          <w:szCs w:val="32"/>
        </w:rPr>
        <w:fldChar w:fldCharType="end"/>
      </w:r>
    </w:p>
    <w:p w14:paraId="54951307">
      <w:pPr>
        <w:pStyle w:val="4"/>
        <w:tabs>
          <w:tab w:val="right" w:leader="dot" w:pos="9212"/>
        </w:tabs>
      </w:pPr>
      <w:r>
        <w:rPr>
          <w:szCs w:val="32"/>
        </w:rPr>
        <w:fldChar w:fldCharType="begin"/>
      </w:r>
      <w:r>
        <w:rPr>
          <w:szCs w:val="32"/>
        </w:rPr>
        <w:instrText xml:space="preserve"> HYPERLINK \l _Toc7177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4.6 </w:t>
      </w:r>
      <w:r>
        <w:rPr>
          <w:rFonts w:hint="eastAsia"/>
          <w:szCs w:val="24"/>
        </w:rPr>
        <w:t>软化系数</w:t>
      </w:r>
      <w:r>
        <w:tab/>
      </w:r>
      <w:r>
        <w:fldChar w:fldCharType="begin"/>
      </w:r>
      <w:r>
        <w:instrText xml:space="preserve"> PAGEREF _Toc7177 \h </w:instrText>
      </w:r>
      <w:r>
        <w:fldChar w:fldCharType="separate"/>
      </w:r>
      <w:r>
        <w:t>13</w:t>
      </w:r>
      <w:r>
        <w:fldChar w:fldCharType="end"/>
      </w:r>
      <w:r>
        <w:rPr>
          <w:szCs w:val="32"/>
        </w:rPr>
        <w:fldChar w:fldCharType="end"/>
      </w:r>
    </w:p>
    <w:p w14:paraId="6FB63D4A">
      <w:pPr>
        <w:pStyle w:val="4"/>
        <w:tabs>
          <w:tab w:val="right" w:leader="dot" w:pos="9212"/>
        </w:tabs>
      </w:pPr>
      <w:r>
        <w:rPr>
          <w:szCs w:val="32"/>
        </w:rPr>
        <w:fldChar w:fldCharType="begin"/>
      </w:r>
      <w:r>
        <w:rPr>
          <w:szCs w:val="32"/>
        </w:rPr>
        <w:instrText xml:space="preserve"> HYPERLINK \l _Toc9666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4.7 </w:t>
      </w:r>
      <w:r>
        <w:rPr>
          <w:rFonts w:hint="eastAsia"/>
          <w:szCs w:val="24"/>
        </w:rPr>
        <w:t>干燥收缩率</w:t>
      </w:r>
      <w:r>
        <w:tab/>
      </w:r>
      <w:r>
        <w:fldChar w:fldCharType="begin"/>
      </w:r>
      <w:r>
        <w:instrText xml:space="preserve"> PAGEREF _Toc9666 \h </w:instrText>
      </w:r>
      <w:r>
        <w:fldChar w:fldCharType="separate"/>
      </w:r>
      <w:r>
        <w:t>14</w:t>
      </w:r>
      <w:r>
        <w:fldChar w:fldCharType="end"/>
      </w:r>
      <w:r>
        <w:rPr>
          <w:szCs w:val="32"/>
        </w:rPr>
        <w:fldChar w:fldCharType="end"/>
      </w:r>
    </w:p>
    <w:p w14:paraId="677C77D3">
      <w:pPr>
        <w:pStyle w:val="4"/>
        <w:tabs>
          <w:tab w:val="right" w:leader="dot" w:pos="9212"/>
        </w:tabs>
      </w:pPr>
      <w:r>
        <w:rPr>
          <w:szCs w:val="32"/>
        </w:rPr>
        <w:fldChar w:fldCharType="begin"/>
      </w:r>
      <w:r>
        <w:rPr>
          <w:szCs w:val="32"/>
        </w:rPr>
        <w:instrText xml:space="preserve"> HYPERLINK \l _Toc24284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4.8 </w:t>
      </w:r>
      <w:r>
        <w:rPr>
          <w:rFonts w:hint="eastAsia"/>
          <w:szCs w:val="24"/>
        </w:rPr>
        <w:t>燃烧性能等级</w:t>
      </w:r>
      <w:r>
        <w:tab/>
      </w:r>
      <w:r>
        <w:fldChar w:fldCharType="begin"/>
      </w:r>
      <w:r>
        <w:instrText xml:space="preserve"> PAGEREF _Toc24284 \h </w:instrText>
      </w:r>
      <w:r>
        <w:fldChar w:fldCharType="separate"/>
      </w:r>
      <w:r>
        <w:t>14</w:t>
      </w:r>
      <w:r>
        <w:fldChar w:fldCharType="end"/>
      </w:r>
      <w:r>
        <w:rPr>
          <w:szCs w:val="32"/>
        </w:rPr>
        <w:fldChar w:fldCharType="end"/>
      </w:r>
    </w:p>
    <w:p w14:paraId="5BA4D5A2">
      <w:pPr>
        <w:pStyle w:val="4"/>
        <w:tabs>
          <w:tab w:val="right" w:leader="dot" w:pos="9212"/>
        </w:tabs>
      </w:pPr>
      <w:r>
        <w:rPr>
          <w:szCs w:val="32"/>
        </w:rPr>
        <w:fldChar w:fldCharType="begin"/>
      </w:r>
      <w:r>
        <w:rPr>
          <w:szCs w:val="32"/>
        </w:rPr>
        <w:instrText xml:space="preserve"> HYPERLINK \l _Toc24624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4.9 </w:t>
      </w:r>
      <w:r>
        <w:rPr>
          <w:rFonts w:hint="eastAsia"/>
          <w:szCs w:val="24"/>
        </w:rPr>
        <w:t>垂直于板面方向的抗拉强度</w:t>
      </w:r>
      <w:r>
        <w:tab/>
      </w:r>
      <w:r>
        <w:fldChar w:fldCharType="begin"/>
      </w:r>
      <w:r>
        <w:instrText xml:space="preserve"> PAGEREF _Toc24624 \h </w:instrText>
      </w:r>
      <w:r>
        <w:fldChar w:fldCharType="separate"/>
      </w:r>
      <w:r>
        <w:t>14</w:t>
      </w:r>
      <w:r>
        <w:fldChar w:fldCharType="end"/>
      </w:r>
      <w:r>
        <w:rPr>
          <w:szCs w:val="32"/>
        </w:rPr>
        <w:fldChar w:fldCharType="end"/>
      </w:r>
    </w:p>
    <w:p w14:paraId="7E26D8AF">
      <w:pPr>
        <w:pStyle w:val="9"/>
        <w:tabs>
          <w:tab w:val="right" w:leader="dot" w:pos="9212"/>
        </w:tabs>
      </w:pPr>
      <w:r>
        <w:rPr>
          <w:szCs w:val="32"/>
        </w:rPr>
        <w:fldChar w:fldCharType="begin"/>
      </w:r>
      <w:r>
        <w:rPr>
          <w:szCs w:val="32"/>
        </w:rPr>
        <w:instrText xml:space="preserve"> HYPERLINK \l _Toc2049 </w:instrText>
      </w:r>
      <w:r>
        <w:rPr>
          <w:szCs w:val="32"/>
        </w:rPr>
        <w:fldChar w:fldCharType="separate"/>
      </w:r>
      <w:r>
        <w:rPr>
          <w:rFonts w:hint="eastAsia" w:ascii="黑体" w:hAnsi="Times New Roman" w:eastAsia="黑体"/>
          <w:i w:val="0"/>
          <w:szCs w:val="21"/>
        </w:rPr>
        <w:t xml:space="preserve">5 </w:t>
      </w:r>
      <w:r>
        <w:rPr>
          <w:rFonts w:hint="eastAsia"/>
          <w:szCs w:val="28"/>
          <w:highlight w:val="none"/>
        </w:rPr>
        <w:t>标准主要试验项目验证情况分析</w:t>
      </w:r>
      <w:r>
        <w:tab/>
      </w:r>
      <w:r>
        <w:fldChar w:fldCharType="begin"/>
      </w:r>
      <w:r>
        <w:instrText xml:space="preserve"> PAGEREF _Toc2049 \h </w:instrText>
      </w:r>
      <w:r>
        <w:fldChar w:fldCharType="separate"/>
      </w:r>
      <w:r>
        <w:t>15</w:t>
      </w:r>
      <w:r>
        <w:fldChar w:fldCharType="end"/>
      </w:r>
      <w:r>
        <w:rPr>
          <w:szCs w:val="32"/>
        </w:rPr>
        <w:fldChar w:fldCharType="end"/>
      </w:r>
    </w:p>
    <w:p w14:paraId="572F1AFA">
      <w:pPr>
        <w:pStyle w:val="4"/>
        <w:tabs>
          <w:tab w:val="right" w:leader="dot" w:pos="9212"/>
        </w:tabs>
      </w:pPr>
      <w:r>
        <w:rPr>
          <w:szCs w:val="32"/>
        </w:rPr>
        <w:fldChar w:fldCharType="begin"/>
      </w:r>
      <w:r>
        <w:rPr>
          <w:szCs w:val="32"/>
        </w:rPr>
        <w:instrText xml:space="preserve"> HYPERLINK \l _Toc14355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5.1 </w:t>
      </w:r>
      <w:r>
        <w:rPr>
          <w:rFonts w:hint="eastAsia"/>
          <w:szCs w:val="24"/>
        </w:rPr>
        <w:t>试验</w:t>
      </w:r>
      <w:r>
        <w:rPr>
          <w:rFonts w:hint="eastAsia"/>
          <w:szCs w:val="24"/>
          <w:lang w:eastAsia="zh-CN"/>
        </w:rPr>
        <w:t>方法</w:t>
      </w:r>
      <w:r>
        <w:tab/>
      </w:r>
      <w:r>
        <w:fldChar w:fldCharType="begin"/>
      </w:r>
      <w:r>
        <w:instrText xml:space="preserve"> PAGEREF _Toc14355 \h </w:instrText>
      </w:r>
      <w:r>
        <w:fldChar w:fldCharType="separate"/>
      </w:r>
      <w:r>
        <w:t>15</w:t>
      </w:r>
      <w:r>
        <w:fldChar w:fldCharType="end"/>
      </w:r>
      <w:r>
        <w:rPr>
          <w:szCs w:val="32"/>
        </w:rPr>
        <w:fldChar w:fldCharType="end"/>
      </w:r>
    </w:p>
    <w:p w14:paraId="017514A2">
      <w:pPr>
        <w:pStyle w:val="4"/>
        <w:tabs>
          <w:tab w:val="right" w:leader="dot" w:pos="9212"/>
        </w:tabs>
      </w:pPr>
      <w:r>
        <w:rPr>
          <w:szCs w:val="32"/>
        </w:rPr>
        <w:fldChar w:fldCharType="begin"/>
      </w:r>
      <w:r>
        <w:rPr>
          <w:szCs w:val="32"/>
        </w:rPr>
        <w:instrText xml:space="preserve"> HYPERLINK \l _Toc28794 </w:instrText>
      </w:r>
      <w:r>
        <w:rPr>
          <w:szCs w:val="32"/>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5.2 </w:t>
      </w:r>
      <w:r>
        <w:rPr>
          <w:rFonts w:hint="eastAsia"/>
          <w:szCs w:val="24"/>
        </w:rPr>
        <w:t>试验结果</w:t>
      </w:r>
      <w:r>
        <w:tab/>
      </w:r>
      <w:r>
        <w:fldChar w:fldCharType="begin"/>
      </w:r>
      <w:r>
        <w:instrText xml:space="preserve"> PAGEREF _Toc28794 \h </w:instrText>
      </w:r>
      <w:r>
        <w:fldChar w:fldCharType="separate"/>
      </w:r>
      <w:r>
        <w:t>15</w:t>
      </w:r>
      <w:r>
        <w:fldChar w:fldCharType="end"/>
      </w:r>
      <w:r>
        <w:rPr>
          <w:szCs w:val="32"/>
        </w:rPr>
        <w:fldChar w:fldCharType="end"/>
      </w:r>
    </w:p>
    <w:p w14:paraId="45DD5BE5">
      <w:pPr>
        <w:pStyle w:val="9"/>
        <w:tabs>
          <w:tab w:val="right" w:leader="dot" w:pos="9212"/>
        </w:tabs>
      </w:pPr>
      <w:r>
        <w:rPr>
          <w:szCs w:val="32"/>
        </w:rPr>
        <w:fldChar w:fldCharType="begin"/>
      </w:r>
      <w:r>
        <w:rPr>
          <w:szCs w:val="32"/>
        </w:rPr>
        <w:instrText xml:space="preserve"> HYPERLINK \l _Toc28637 </w:instrText>
      </w:r>
      <w:r>
        <w:rPr>
          <w:szCs w:val="32"/>
        </w:rPr>
        <w:fldChar w:fldCharType="separate"/>
      </w:r>
      <w:r>
        <w:rPr>
          <w:rFonts w:hint="eastAsia" w:ascii="黑体" w:hAnsi="Times New Roman" w:eastAsia="黑体"/>
          <w:i w:val="0"/>
          <w:szCs w:val="21"/>
        </w:rPr>
        <w:t xml:space="preserve">6 </w:t>
      </w:r>
      <w:r>
        <w:rPr>
          <w:rFonts w:hint="eastAsia"/>
          <w:szCs w:val="28"/>
        </w:rPr>
        <w:t>标准中涉及专利情况说明</w:t>
      </w:r>
      <w:r>
        <w:tab/>
      </w:r>
      <w:r>
        <w:fldChar w:fldCharType="begin"/>
      </w:r>
      <w:r>
        <w:instrText xml:space="preserve"> PAGEREF _Toc28637 \h </w:instrText>
      </w:r>
      <w:r>
        <w:fldChar w:fldCharType="separate"/>
      </w:r>
      <w:r>
        <w:t>19</w:t>
      </w:r>
      <w:r>
        <w:fldChar w:fldCharType="end"/>
      </w:r>
      <w:r>
        <w:rPr>
          <w:szCs w:val="32"/>
        </w:rPr>
        <w:fldChar w:fldCharType="end"/>
      </w:r>
    </w:p>
    <w:p w14:paraId="14FBE2CE">
      <w:pPr>
        <w:pStyle w:val="9"/>
        <w:tabs>
          <w:tab w:val="right" w:leader="dot" w:pos="9212"/>
        </w:tabs>
      </w:pPr>
      <w:r>
        <w:rPr>
          <w:szCs w:val="32"/>
        </w:rPr>
        <w:fldChar w:fldCharType="begin"/>
      </w:r>
      <w:r>
        <w:rPr>
          <w:szCs w:val="32"/>
        </w:rPr>
        <w:instrText xml:space="preserve"> HYPERLINK \l _Toc12449 </w:instrText>
      </w:r>
      <w:r>
        <w:rPr>
          <w:szCs w:val="32"/>
        </w:rPr>
        <w:fldChar w:fldCharType="separate"/>
      </w:r>
      <w:r>
        <w:rPr>
          <w:rFonts w:hint="eastAsia" w:ascii="黑体" w:hAnsi="Times New Roman" w:eastAsia="黑体"/>
          <w:i w:val="0"/>
          <w:szCs w:val="21"/>
        </w:rPr>
        <w:t xml:space="preserve">7 </w:t>
      </w:r>
      <w:r>
        <w:rPr>
          <w:rFonts w:hint="eastAsia"/>
          <w:szCs w:val="28"/>
        </w:rPr>
        <w:t>产业化情况和预期达到的经济效果等情况</w:t>
      </w:r>
      <w:r>
        <w:tab/>
      </w:r>
      <w:r>
        <w:fldChar w:fldCharType="begin"/>
      </w:r>
      <w:r>
        <w:instrText xml:space="preserve"> PAGEREF _Toc12449 \h </w:instrText>
      </w:r>
      <w:r>
        <w:fldChar w:fldCharType="separate"/>
      </w:r>
      <w:r>
        <w:t>19</w:t>
      </w:r>
      <w:r>
        <w:fldChar w:fldCharType="end"/>
      </w:r>
      <w:r>
        <w:rPr>
          <w:szCs w:val="32"/>
        </w:rPr>
        <w:fldChar w:fldCharType="end"/>
      </w:r>
    </w:p>
    <w:p w14:paraId="756DD353">
      <w:pPr>
        <w:pStyle w:val="9"/>
        <w:tabs>
          <w:tab w:val="right" w:leader="dot" w:pos="9212"/>
        </w:tabs>
      </w:pPr>
      <w:r>
        <w:rPr>
          <w:szCs w:val="32"/>
        </w:rPr>
        <w:fldChar w:fldCharType="begin"/>
      </w:r>
      <w:r>
        <w:rPr>
          <w:szCs w:val="32"/>
        </w:rPr>
        <w:instrText xml:space="preserve"> HYPERLINK \l _Toc18303 </w:instrText>
      </w:r>
      <w:r>
        <w:rPr>
          <w:szCs w:val="32"/>
        </w:rPr>
        <w:fldChar w:fldCharType="separate"/>
      </w:r>
      <w:r>
        <w:rPr>
          <w:rFonts w:hint="eastAsia" w:ascii="黑体" w:hAnsi="Times New Roman" w:eastAsia="黑体"/>
          <w:i w:val="0"/>
          <w:szCs w:val="21"/>
        </w:rPr>
        <w:t xml:space="preserve">8 </w:t>
      </w:r>
      <w:r>
        <w:rPr>
          <w:rFonts w:hint="eastAsia"/>
          <w:szCs w:val="28"/>
        </w:rPr>
        <w:t>采用国际标准和国外先进标准情况</w:t>
      </w:r>
      <w:r>
        <w:tab/>
      </w:r>
      <w:r>
        <w:fldChar w:fldCharType="begin"/>
      </w:r>
      <w:r>
        <w:instrText xml:space="preserve"> PAGEREF _Toc18303 \h </w:instrText>
      </w:r>
      <w:r>
        <w:fldChar w:fldCharType="separate"/>
      </w:r>
      <w:r>
        <w:t>19</w:t>
      </w:r>
      <w:r>
        <w:fldChar w:fldCharType="end"/>
      </w:r>
      <w:r>
        <w:rPr>
          <w:szCs w:val="32"/>
        </w:rPr>
        <w:fldChar w:fldCharType="end"/>
      </w:r>
    </w:p>
    <w:p w14:paraId="03092C4C">
      <w:pPr>
        <w:pStyle w:val="9"/>
        <w:tabs>
          <w:tab w:val="right" w:leader="dot" w:pos="9212"/>
        </w:tabs>
      </w:pPr>
      <w:r>
        <w:rPr>
          <w:szCs w:val="32"/>
        </w:rPr>
        <w:fldChar w:fldCharType="begin"/>
      </w:r>
      <w:r>
        <w:rPr>
          <w:szCs w:val="32"/>
        </w:rPr>
        <w:instrText xml:space="preserve"> HYPERLINK \l _Toc30102 </w:instrText>
      </w:r>
      <w:r>
        <w:rPr>
          <w:szCs w:val="32"/>
        </w:rPr>
        <w:fldChar w:fldCharType="separate"/>
      </w:r>
      <w:r>
        <w:rPr>
          <w:rFonts w:hint="eastAsia" w:ascii="黑体" w:hAnsi="Times New Roman" w:eastAsia="黑体"/>
          <w:i w:val="0"/>
          <w:szCs w:val="21"/>
        </w:rPr>
        <w:t xml:space="preserve">9 </w:t>
      </w:r>
      <w:r>
        <w:rPr>
          <w:rFonts w:hint="eastAsia"/>
          <w:szCs w:val="28"/>
        </w:rPr>
        <w:t>与现行相关法律、法规、规章及相关标准的协调性</w:t>
      </w:r>
      <w:r>
        <w:tab/>
      </w:r>
      <w:r>
        <w:fldChar w:fldCharType="begin"/>
      </w:r>
      <w:r>
        <w:instrText xml:space="preserve"> PAGEREF _Toc30102 \h </w:instrText>
      </w:r>
      <w:r>
        <w:fldChar w:fldCharType="separate"/>
      </w:r>
      <w:r>
        <w:t>19</w:t>
      </w:r>
      <w:r>
        <w:fldChar w:fldCharType="end"/>
      </w:r>
      <w:r>
        <w:rPr>
          <w:szCs w:val="32"/>
        </w:rPr>
        <w:fldChar w:fldCharType="end"/>
      </w:r>
    </w:p>
    <w:p w14:paraId="048F07F7">
      <w:pPr>
        <w:pStyle w:val="9"/>
        <w:tabs>
          <w:tab w:val="right" w:leader="dot" w:pos="9212"/>
        </w:tabs>
      </w:pPr>
      <w:r>
        <w:rPr>
          <w:szCs w:val="32"/>
        </w:rPr>
        <w:fldChar w:fldCharType="begin"/>
      </w:r>
      <w:r>
        <w:rPr>
          <w:szCs w:val="32"/>
        </w:rPr>
        <w:instrText xml:space="preserve"> HYPERLINK \l _Toc22697 </w:instrText>
      </w:r>
      <w:r>
        <w:rPr>
          <w:szCs w:val="32"/>
        </w:rPr>
        <w:fldChar w:fldCharType="separate"/>
      </w:r>
      <w:r>
        <w:rPr>
          <w:rFonts w:hint="eastAsia" w:ascii="黑体" w:hAnsi="Times New Roman" w:eastAsia="黑体"/>
          <w:i w:val="0"/>
          <w:szCs w:val="21"/>
        </w:rPr>
        <w:t xml:space="preserve">10 </w:t>
      </w:r>
      <w:r>
        <w:rPr>
          <w:rFonts w:hint="eastAsia"/>
          <w:szCs w:val="28"/>
        </w:rPr>
        <w:t>重大分歧意见的处理经过和依据</w:t>
      </w:r>
      <w:r>
        <w:tab/>
      </w:r>
      <w:r>
        <w:fldChar w:fldCharType="begin"/>
      </w:r>
      <w:r>
        <w:instrText xml:space="preserve"> PAGEREF _Toc22697 \h </w:instrText>
      </w:r>
      <w:r>
        <w:fldChar w:fldCharType="separate"/>
      </w:r>
      <w:r>
        <w:t>19</w:t>
      </w:r>
      <w:r>
        <w:fldChar w:fldCharType="end"/>
      </w:r>
      <w:r>
        <w:rPr>
          <w:szCs w:val="32"/>
        </w:rPr>
        <w:fldChar w:fldCharType="end"/>
      </w:r>
    </w:p>
    <w:p w14:paraId="5A87BAFC">
      <w:pPr>
        <w:pStyle w:val="9"/>
        <w:tabs>
          <w:tab w:val="right" w:leader="dot" w:pos="9212"/>
        </w:tabs>
      </w:pPr>
      <w:r>
        <w:rPr>
          <w:szCs w:val="32"/>
        </w:rPr>
        <w:fldChar w:fldCharType="begin"/>
      </w:r>
      <w:r>
        <w:rPr>
          <w:szCs w:val="32"/>
        </w:rPr>
        <w:instrText xml:space="preserve"> HYPERLINK \l _Toc22297 </w:instrText>
      </w:r>
      <w:r>
        <w:rPr>
          <w:szCs w:val="32"/>
        </w:rPr>
        <w:fldChar w:fldCharType="separate"/>
      </w:r>
      <w:r>
        <w:rPr>
          <w:rFonts w:hint="eastAsia" w:ascii="黑体" w:hAnsi="Times New Roman" w:eastAsia="黑体"/>
          <w:i w:val="0"/>
          <w:szCs w:val="21"/>
        </w:rPr>
        <w:t xml:space="preserve">11 </w:t>
      </w:r>
      <w:r>
        <w:rPr>
          <w:rFonts w:hint="eastAsia"/>
          <w:szCs w:val="28"/>
        </w:rPr>
        <w:t>标准性质的建议说明</w:t>
      </w:r>
      <w:r>
        <w:tab/>
      </w:r>
      <w:r>
        <w:fldChar w:fldCharType="begin"/>
      </w:r>
      <w:r>
        <w:instrText xml:space="preserve"> PAGEREF _Toc22297 \h </w:instrText>
      </w:r>
      <w:r>
        <w:fldChar w:fldCharType="separate"/>
      </w:r>
      <w:r>
        <w:t>20</w:t>
      </w:r>
      <w:r>
        <w:fldChar w:fldCharType="end"/>
      </w:r>
      <w:r>
        <w:rPr>
          <w:szCs w:val="32"/>
        </w:rPr>
        <w:fldChar w:fldCharType="end"/>
      </w:r>
    </w:p>
    <w:p w14:paraId="4F557BAC">
      <w:pPr>
        <w:pStyle w:val="9"/>
        <w:tabs>
          <w:tab w:val="right" w:leader="dot" w:pos="9212"/>
        </w:tabs>
      </w:pPr>
      <w:r>
        <w:rPr>
          <w:szCs w:val="32"/>
        </w:rPr>
        <w:fldChar w:fldCharType="begin"/>
      </w:r>
      <w:r>
        <w:rPr>
          <w:szCs w:val="32"/>
        </w:rPr>
        <w:instrText xml:space="preserve"> HYPERLINK \l _Toc21954 </w:instrText>
      </w:r>
      <w:r>
        <w:rPr>
          <w:szCs w:val="32"/>
        </w:rPr>
        <w:fldChar w:fldCharType="separate"/>
      </w:r>
      <w:r>
        <w:rPr>
          <w:rFonts w:hint="eastAsia" w:ascii="黑体" w:hAnsi="Times New Roman" w:eastAsia="黑体"/>
          <w:i w:val="0"/>
          <w:szCs w:val="21"/>
        </w:rPr>
        <w:t xml:space="preserve">12 </w:t>
      </w:r>
      <w:r>
        <w:rPr>
          <w:rFonts w:hint="eastAsia"/>
          <w:szCs w:val="28"/>
        </w:rPr>
        <w:t>贯彻标准的要求和措施建议</w:t>
      </w:r>
      <w:r>
        <w:tab/>
      </w:r>
      <w:r>
        <w:fldChar w:fldCharType="begin"/>
      </w:r>
      <w:r>
        <w:instrText xml:space="preserve"> PAGEREF _Toc21954 \h </w:instrText>
      </w:r>
      <w:r>
        <w:fldChar w:fldCharType="separate"/>
      </w:r>
      <w:r>
        <w:t>20</w:t>
      </w:r>
      <w:r>
        <w:fldChar w:fldCharType="end"/>
      </w:r>
      <w:r>
        <w:rPr>
          <w:szCs w:val="32"/>
        </w:rPr>
        <w:fldChar w:fldCharType="end"/>
      </w:r>
    </w:p>
    <w:p w14:paraId="03AF9ED9">
      <w:pPr>
        <w:pStyle w:val="9"/>
        <w:tabs>
          <w:tab w:val="right" w:leader="dot" w:pos="9212"/>
        </w:tabs>
      </w:pPr>
      <w:r>
        <w:rPr>
          <w:szCs w:val="32"/>
        </w:rPr>
        <w:fldChar w:fldCharType="begin"/>
      </w:r>
      <w:r>
        <w:rPr>
          <w:szCs w:val="32"/>
        </w:rPr>
        <w:instrText xml:space="preserve"> HYPERLINK \l _Toc22795 </w:instrText>
      </w:r>
      <w:r>
        <w:rPr>
          <w:szCs w:val="32"/>
        </w:rPr>
        <w:fldChar w:fldCharType="separate"/>
      </w:r>
      <w:r>
        <w:rPr>
          <w:rFonts w:hint="eastAsia" w:ascii="黑体" w:hAnsi="Times New Roman" w:eastAsia="黑体"/>
          <w:i w:val="0"/>
          <w:szCs w:val="21"/>
        </w:rPr>
        <w:t xml:space="preserve">13 </w:t>
      </w:r>
      <w:r>
        <w:rPr>
          <w:rFonts w:hint="eastAsia"/>
          <w:szCs w:val="28"/>
        </w:rPr>
        <w:t>废止现行相关标准的建议</w:t>
      </w:r>
      <w:r>
        <w:tab/>
      </w:r>
      <w:r>
        <w:fldChar w:fldCharType="begin"/>
      </w:r>
      <w:r>
        <w:instrText xml:space="preserve"> PAGEREF _Toc22795 \h </w:instrText>
      </w:r>
      <w:r>
        <w:fldChar w:fldCharType="separate"/>
      </w:r>
      <w:r>
        <w:t>20</w:t>
      </w:r>
      <w:r>
        <w:fldChar w:fldCharType="end"/>
      </w:r>
      <w:r>
        <w:rPr>
          <w:szCs w:val="32"/>
        </w:rPr>
        <w:fldChar w:fldCharType="end"/>
      </w:r>
    </w:p>
    <w:p w14:paraId="513ADDC0">
      <w:pPr>
        <w:pStyle w:val="9"/>
        <w:tabs>
          <w:tab w:val="right" w:leader="dot" w:pos="9212"/>
        </w:tabs>
      </w:pPr>
      <w:r>
        <w:rPr>
          <w:szCs w:val="32"/>
        </w:rPr>
        <w:fldChar w:fldCharType="begin"/>
      </w:r>
      <w:r>
        <w:rPr>
          <w:szCs w:val="32"/>
        </w:rPr>
        <w:instrText xml:space="preserve"> HYPERLINK \l _Toc18902 </w:instrText>
      </w:r>
      <w:r>
        <w:rPr>
          <w:szCs w:val="32"/>
        </w:rPr>
        <w:fldChar w:fldCharType="separate"/>
      </w:r>
      <w:r>
        <w:rPr>
          <w:rFonts w:hint="eastAsia" w:ascii="黑体" w:hAnsi="Times New Roman" w:eastAsia="黑体"/>
          <w:i w:val="0"/>
          <w:szCs w:val="21"/>
        </w:rPr>
        <w:t xml:space="preserve">14 </w:t>
      </w:r>
      <w:r>
        <w:rPr>
          <w:rFonts w:hint="eastAsia"/>
          <w:szCs w:val="28"/>
        </w:rPr>
        <w:t>其它应予说明的事项</w:t>
      </w:r>
      <w:r>
        <w:tab/>
      </w:r>
      <w:r>
        <w:fldChar w:fldCharType="begin"/>
      </w:r>
      <w:r>
        <w:instrText xml:space="preserve"> PAGEREF _Toc18902 \h </w:instrText>
      </w:r>
      <w:r>
        <w:fldChar w:fldCharType="separate"/>
      </w:r>
      <w:r>
        <w:t>20</w:t>
      </w:r>
      <w:r>
        <w:fldChar w:fldCharType="end"/>
      </w:r>
      <w:r>
        <w:rPr>
          <w:szCs w:val="32"/>
        </w:rPr>
        <w:fldChar w:fldCharType="end"/>
      </w:r>
    </w:p>
    <w:p w14:paraId="773AD046">
      <w:pPr>
        <w:pStyle w:val="9"/>
        <w:tabs>
          <w:tab w:val="right" w:leader="dot" w:pos="9212"/>
        </w:tabs>
        <w:rPr>
          <w:rFonts w:hint="eastAsia" w:eastAsiaTheme="minorEastAsia"/>
          <w:lang w:val="en-US" w:eastAsia="zh-CN"/>
        </w:rPr>
      </w:pPr>
      <w:r>
        <w:rPr>
          <w:szCs w:val="32"/>
        </w:rPr>
        <w:fldChar w:fldCharType="end"/>
      </w:r>
      <w:r>
        <w:rPr>
          <w:rFonts w:hint="eastAsia"/>
          <w:szCs w:val="32"/>
        </w:rPr>
        <w:t>附件1：《夏热冬冷地区集成保温外墙板应用技术规范》与相关标准技术指标对比</w:t>
      </w:r>
    </w:p>
    <w:p w14:paraId="6A956623">
      <w:pPr>
        <w:pStyle w:val="9"/>
        <w:tabs>
          <w:tab w:val="right" w:leader="dot" w:pos="9212"/>
        </w:tabs>
        <w:rPr>
          <w:rFonts w:hint="eastAsia" w:eastAsiaTheme="minorEastAsia"/>
          <w:szCs w:val="32"/>
          <w:lang w:val="en-US" w:eastAsia="zh-CN"/>
        </w:rPr>
      </w:pPr>
      <w:r>
        <w:rPr>
          <w:rFonts w:hint="eastAsia"/>
          <w:szCs w:val="32"/>
        </w:rPr>
        <w:t>附件</w:t>
      </w:r>
      <w:r>
        <w:rPr>
          <w:rFonts w:hint="eastAsia"/>
          <w:szCs w:val="32"/>
          <w:lang w:val="en-US" w:eastAsia="zh-CN"/>
        </w:rPr>
        <w:t>2</w:t>
      </w:r>
      <w:r>
        <w:rPr>
          <w:rFonts w:hint="eastAsia"/>
          <w:szCs w:val="32"/>
        </w:rPr>
        <w:t>：《夏热冬冷地区集成保温外墙板应用技术规范》验证试验数据汇总</w:t>
      </w:r>
    </w:p>
    <w:p w14:paraId="7699D6B5">
      <w:pPr>
        <w:ind w:firstLine="1904" w:firstLineChars="595"/>
        <w:rPr>
          <w:b/>
          <w:sz w:val="32"/>
          <w:szCs w:val="32"/>
        </w:rPr>
      </w:pPr>
    </w:p>
    <w:p w14:paraId="7045783F">
      <w:pPr>
        <w:jc w:val="center"/>
        <w:rPr>
          <w:rFonts w:hint="eastAsia"/>
          <w:b/>
          <w:sz w:val="32"/>
          <w:szCs w:val="32"/>
        </w:rPr>
        <w:sectPr>
          <w:footerReference r:id="rId4" w:type="first"/>
          <w:footerReference r:id="rId3" w:type="default"/>
          <w:pgSz w:w="11906" w:h="16838"/>
          <w:pgMar w:top="1474" w:right="1276" w:bottom="1440" w:left="1418" w:header="851" w:footer="992" w:gutter="0"/>
          <w:pgNumType w:start="1"/>
          <w:cols w:space="425" w:num="1"/>
          <w:docGrid w:type="linesAndChars" w:linePitch="312" w:charSpace="0"/>
        </w:sectPr>
      </w:pPr>
    </w:p>
    <w:p w14:paraId="0DE7BF3A">
      <w:pPr>
        <w:jc w:val="center"/>
        <w:rPr>
          <w:b/>
          <w:sz w:val="32"/>
          <w:szCs w:val="32"/>
        </w:rPr>
      </w:pPr>
      <w:r>
        <w:rPr>
          <w:rFonts w:hint="eastAsia"/>
          <w:b/>
          <w:sz w:val="32"/>
          <w:szCs w:val="32"/>
        </w:rPr>
        <w:t>《夏热冬冷地区集成保温外墙板应用技术规范》</w:t>
      </w:r>
    </w:p>
    <w:p w14:paraId="11861A0B">
      <w:pPr>
        <w:jc w:val="center"/>
        <w:rPr>
          <w:b/>
          <w:sz w:val="32"/>
          <w:szCs w:val="32"/>
        </w:rPr>
      </w:pPr>
      <w:r>
        <w:rPr>
          <w:rFonts w:hint="eastAsia"/>
          <w:b/>
          <w:sz w:val="32"/>
          <w:szCs w:val="32"/>
        </w:rPr>
        <w:t>工业和信息化部行业标准编制说明</w:t>
      </w:r>
    </w:p>
    <w:p w14:paraId="1C6E775E">
      <w:pPr>
        <w:pStyle w:val="20"/>
        <w:spacing w:before="312" w:after="312"/>
        <w:ind w:left="0"/>
        <w:rPr>
          <w:sz w:val="28"/>
          <w:szCs w:val="28"/>
        </w:rPr>
      </w:pPr>
      <w:bookmarkStart w:id="0" w:name="_Toc6510"/>
      <w:r>
        <w:rPr>
          <w:rFonts w:hint="eastAsia"/>
          <w:sz w:val="28"/>
          <w:szCs w:val="28"/>
        </w:rPr>
        <w:t>标准编制</w:t>
      </w:r>
      <w:r>
        <w:rPr>
          <w:rFonts w:hint="eastAsia"/>
          <w:bCs/>
          <w:sz w:val="28"/>
          <w:szCs w:val="28"/>
        </w:rPr>
        <w:t>工作</w:t>
      </w:r>
      <w:r>
        <w:rPr>
          <w:rFonts w:hint="eastAsia"/>
          <w:sz w:val="28"/>
          <w:szCs w:val="28"/>
        </w:rPr>
        <w:t>简况</w:t>
      </w:r>
      <w:bookmarkEnd w:id="0"/>
    </w:p>
    <w:p w14:paraId="76CE96ED">
      <w:pPr>
        <w:pStyle w:val="19"/>
        <w:spacing w:before="156" w:after="156" w:line="500" w:lineRule="exact"/>
        <w:rPr>
          <w:sz w:val="24"/>
          <w:szCs w:val="24"/>
        </w:rPr>
      </w:pPr>
      <w:bookmarkStart w:id="1" w:name="_Toc1740"/>
      <w:r>
        <w:rPr>
          <w:rFonts w:hint="eastAsia"/>
          <w:sz w:val="24"/>
          <w:szCs w:val="24"/>
        </w:rPr>
        <w:t>任务来源</w:t>
      </w:r>
      <w:bookmarkEnd w:id="1"/>
    </w:p>
    <w:p w14:paraId="703DF33C">
      <w:pPr>
        <w:spacing w:line="500" w:lineRule="exact"/>
        <w:ind w:firstLine="480" w:firstLineChars="200"/>
        <w:rPr>
          <w:rFonts w:cs="Times New Roman" w:asciiTheme="majorEastAsia" w:hAnsiTheme="majorEastAsia" w:eastAsiaTheme="majorEastAsia"/>
          <w:bCs/>
          <w:sz w:val="24"/>
          <w:szCs w:val="24"/>
        </w:rPr>
      </w:pPr>
      <w:r>
        <w:rPr>
          <w:rFonts w:hint="eastAsia" w:cs="Times New Roman" w:asciiTheme="majorEastAsia" w:hAnsiTheme="majorEastAsia" w:eastAsiaTheme="majorEastAsia"/>
          <w:bCs/>
          <w:sz w:val="24"/>
          <w:szCs w:val="24"/>
        </w:rPr>
        <w:t>依据工业和信息化部文件《工业和信息化部办公厅关于印发2023年第一批行业标准制修订和外文版项目计划的通知》（工信厅科〔2023〕18号），批准《夏热冬冷地区集成保温外墙板应用技术</w:t>
      </w:r>
      <w:r>
        <w:rPr>
          <w:rFonts w:hint="eastAsia" w:cs="Times New Roman" w:asciiTheme="majorEastAsia" w:hAnsiTheme="majorEastAsia" w:eastAsiaTheme="majorEastAsia"/>
          <w:bCs/>
          <w:sz w:val="24"/>
          <w:szCs w:val="24"/>
          <w:lang w:val="en-US" w:eastAsia="zh-CN"/>
        </w:rPr>
        <w:t>规范</w:t>
      </w:r>
      <w:r>
        <w:rPr>
          <w:rFonts w:hint="eastAsia" w:cs="Times New Roman" w:asciiTheme="majorEastAsia" w:hAnsiTheme="majorEastAsia" w:eastAsiaTheme="majorEastAsia"/>
          <w:bCs/>
          <w:sz w:val="24"/>
          <w:szCs w:val="24"/>
        </w:rPr>
        <w:t>》行业标准（计划号：2023-0431T-JC）立项。</w:t>
      </w:r>
    </w:p>
    <w:p w14:paraId="6E18C0A8">
      <w:pPr>
        <w:pStyle w:val="19"/>
        <w:snapToGrid w:val="0"/>
        <w:spacing w:before="156" w:after="156" w:line="500" w:lineRule="exact"/>
        <w:rPr>
          <w:sz w:val="24"/>
          <w:szCs w:val="24"/>
        </w:rPr>
      </w:pPr>
      <w:bookmarkStart w:id="2" w:name="_Toc21562"/>
      <w:r>
        <w:rPr>
          <w:rFonts w:hint="eastAsia"/>
          <w:sz w:val="24"/>
          <w:szCs w:val="24"/>
        </w:rPr>
        <w:t>起草单位</w:t>
      </w:r>
      <w:bookmarkEnd w:id="2"/>
      <w:r>
        <w:rPr>
          <w:rFonts w:hint="eastAsia"/>
          <w:sz w:val="24"/>
          <w:szCs w:val="24"/>
        </w:rPr>
        <w:t xml:space="preserve"> </w:t>
      </w:r>
    </w:p>
    <w:p w14:paraId="6DA36FDA">
      <w:pPr>
        <w:snapToGrid w:val="0"/>
        <w:spacing w:line="500" w:lineRule="exact"/>
        <w:ind w:firstLine="480" w:firstLineChars="200"/>
        <w:rPr>
          <w:rFonts w:ascii="宋体" w:hAnsi="宋体" w:cs="宋体"/>
          <w:sz w:val="24"/>
          <w:szCs w:val="24"/>
        </w:rPr>
      </w:pPr>
      <w:r>
        <w:rPr>
          <w:rFonts w:hint="eastAsia" w:asciiTheme="majorEastAsia" w:hAnsiTheme="majorEastAsia" w:eastAsiaTheme="majorEastAsia"/>
          <w:kern w:val="0"/>
          <w:sz w:val="24"/>
          <w:szCs w:val="24"/>
        </w:rPr>
        <w:t>本标准由上海中森建筑与工程设计顾问有限公司、建筑材料工业技术情报研究所、上海圣奎塑业有限公司、中建新疆建工集团第一建筑工程有限公司</w:t>
      </w:r>
      <w:r>
        <w:rPr>
          <w:rFonts w:hint="eastAsia" w:asciiTheme="majorEastAsia" w:hAnsiTheme="majorEastAsia" w:eastAsiaTheme="majorEastAsia"/>
          <w:kern w:val="0"/>
          <w:sz w:val="24"/>
          <w:szCs w:val="24"/>
          <w:lang w:eastAsia="zh-CN"/>
        </w:rPr>
        <w:t>、中建新城建设工程有限公司、中建科工集团有限公司、浙江意诚检测有限公司、中建新疆建工（集团）有限公司、沈阳宝力德科技有限公司、上海建工一建集团有限公司、渝建建筑工业科技集团有限公司、云南建投第三建设有限公司、陕西省建筑科学研究院有限公司、中建中新建设工程有限公司、中国二十二冶集团有限公司装配式建筑分公司、中铁城建集团建筑科技有限公司、中建三局集团（江苏）有限公司、核工业华东建设工程集团有限公司、重庆市建筑科学研究院有限公司、深圳大学、沪誉建筑科技（上海）有限公司、成都建工工业化建筑有限公司、广东海龙建筑科技有限公司、中国建筑第四工程局有限公司、中铁二十四局集团上海建设投资有限公司、浙江广天构件集团股份有限公司、中建三局集团有限公司、北京住总第一开发建设有限公司、河北途驿科居节能科技有限公司</w:t>
      </w:r>
      <w:r>
        <w:rPr>
          <w:rFonts w:hint="eastAsia" w:asciiTheme="majorEastAsia" w:hAnsiTheme="majorEastAsia" w:eastAsiaTheme="majorEastAsia"/>
          <w:kern w:val="0"/>
          <w:sz w:val="24"/>
          <w:szCs w:val="24"/>
          <w:lang w:val="en-US" w:eastAsia="zh-CN"/>
        </w:rPr>
        <w:t>等</w:t>
      </w:r>
      <w:r>
        <w:rPr>
          <w:rFonts w:hint="eastAsia" w:ascii="宋体" w:hAnsi="宋体" w:cs="宋体" w:eastAsiaTheme="majorEastAsia"/>
          <w:sz w:val="24"/>
          <w:szCs w:val="24"/>
        </w:rPr>
        <w:t>共同起草</w:t>
      </w:r>
      <w:r>
        <w:rPr>
          <w:rFonts w:hint="eastAsia" w:ascii="宋体" w:hAnsi="宋体" w:cs="宋体"/>
          <w:sz w:val="24"/>
          <w:szCs w:val="24"/>
        </w:rPr>
        <w:t>，成立《</w:t>
      </w:r>
      <w:r>
        <w:rPr>
          <w:rFonts w:hint="eastAsia" w:cs="Times New Roman" w:asciiTheme="majorEastAsia" w:hAnsiTheme="majorEastAsia" w:eastAsiaTheme="majorEastAsia"/>
          <w:bCs/>
          <w:sz w:val="24"/>
          <w:szCs w:val="24"/>
        </w:rPr>
        <w:t>夏热冬冷地区集成保温外墙板应用技术规程</w:t>
      </w:r>
      <w:r>
        <w:rPr>
          <w:rFonts w:hint="eastAsia" w:ascii="宋体" w:hAnsi="宋体" w:cs="宋体"/>
          <w:sz w:val="24"/>
          <w:szCs w:val="24"/>
        </w:rPr>
        <w:t>》标准的编制组。其中</w:t>
      </w:r>
      <w:r>
        <w:rPr>
          <w:rFonts w:hint="eastAsia" w:asciiTheme="majorEastAsia" w:hAnsiTheme="majorEastAsia" w:eastAsiaTheme="majorEastAsia"/>
          <w:kern w:val="0"/>
          <w:sz w:val="24"/>
          <w:szCs w:val="24"/>
        </w:rPr>
        <w:t>建筑材料工业技术情报研究所</w:t>
      </w:r>
      <w:r>
        <w:rPr>
          <w:rFonts w:hint="eastAsia" w:asciiTheme="majorEastAsia" w:hAnsiTheme="majorEastAsia" w:eastAsiaTheme="majorEastAsia"/>
          <w:kern w:val="0"/>
          <w:sz w:val="24"/>
          <w:szCs w:val="24"/>
          <w:lang w:val="en-US" w:eastAsia="zh-CN"/>
        </w:rPr>
        <w:t>负责标准编制过程的全面协调，把握标准工作的整体进度及方向、资料收集、</w:t>
      </w:r>
      <w:r>
        <w:rPr>
          <w:rFonts w:hint="eastAsia" w:asciiTheme="majorEastAsia" w:hAnsiTheme="majorEastAsia" w:eastAsiaTheme="majorEastAsia"/>
          <w:kern w:val="0"/>
          <w:sz w:val="24"/>
          <w:szCs w:val="24"/>
        </w:rPr>
        <w:t>会议组织、标准申报</w:t>
      </w:r>
      <w:r>
        <w:rPr>
          <w:rFonts w:hint="eastAsia" w:asciiTheme="majorEastAsia" w:hAnsiTheme="majorEastAsia" w:eastAsiaTheme="majorEastAsia"/>
          <w:kern w:val="0"/>
          <w:sz w:val="24"/>
          <w:szCs w:val="24"/>
          <w:lang w:val="en-US" w:eastAsia="zh-CN"/>
        </w:rPr>
        <w:t>等工作；</w:t>
      </w:r>
      <w:r>
        <w:rPr>
          <w:rFonts w:hint="eastAsia" w:asciiTheme="majorEastAsia" w:hAnsiTheme="majorEastAsia" w:eastAsiaTheme="majorEastAsia"/>
          <w:kern w:val="0"/>
          <w:sz w:val="24"/>
          <w:szCs w:val="24"/>
        </w:rPr>
        <w:t>上海中森建筑与工程设计顾问有限公司、上海圣奎塑业有限公司</w:t>
      </w:r>
      <w:r>
        <w:rPr>
          <w:rFonts w:hint="eastAsia" w:asciiTheme="majorEastAsia" w:hAnsiTheme="majorEastAsia" w:eastAsiaTheme="majorEastAsia"/>
          <w:kern w:val="0"/>
          <w:sz w:val="24"/>
          <w:szCs w:val="24"/>
          <w:lang w:val="en-US" w:eastAsia="zh-CN"/>
        </w:rPr>
        <w:t>负责</w:t>
      </w:r>
      <w:r>
        <w:rPr>
          <w:rFonts w:hint="eastAsia" w:asciiTheme="majorEastAsia" w:hAnsiTheme="majorEastAsia" w:eastAsiaTheme="majorEastAsia"/>
          <w:kern w:val="0"/>
          <w:sz w:val="24"/>
          <w:szCs w:val="24"/>
        </w:rPr>
        <w:t>标准编制</w:t>
      </w:r>
      <w:r>
        <w:rPr>
          <w:rFonts w:hint="eastAsia" w:asciiTheme="majorEastAsia" w:hAnsiTheme="majorEastAsia" w:eastAsiaTheme="majorEastAsia"/>
          <w:kern w:val="0"/>
          <w:sz w:val="24"/>
          <w:szCs w:val="24"/>
          <w:lang w:eastAsia="zh-CN"/>
        </w:rPr>
        <w:t>、</w:t>
      </w:r>
      <w:r>
        <w:rPr>
          <w:rFonts w:hint="eastAsia" w:asciiTheme="majorEastAsia" w:hAnsiTheme="majorEastAsia" w:eastAsiaTheme="majorEastAsia"/>
          <w:kern w:val="0"/>
          <w:sz w:val="24"/>
          <w:szCs w:val="24"/>
          <w:lang w:val="en-US" w:eastAsia="zh-CN"/>
        </w:rPr>
        <w:t>行业数据、资料、案例的收集、验证和整理</w:t>
      </w:r>
      <w:r>
        <w:rPr>
          <w:rFonts w:hint="eastAsia" w:asciiTheme="majorEastAsia" w:hAnsiTheme="majorEastAsia" w:eastAsiaTheme="majorEastAsia"/>
          <w:kern w:val="0"/>
          <w:sz w:val="24"/>
          <w:szCs w:val="24"/>
        </w:rPr>
        <w:t>等工作，</w:t>
      </w:r>
      <w:r>
        <w:rPr>
          <w:rFonts w:hint="eastAsia" w:asciiTheme="majorEastAsia" w:hAnsiTheme="majorEastAsia" w:eastAsiaTheme="majorEastAsia"/>
          <w:kern w:val="0"/>
          <w:sz w:val="24"/>
          <w:szCs w:val="24"/>
          <w:lang w:val="en-US" w:eastAsia="zh-CN"/>
        </w:rPr>
        <w:t>其余单位</w:t>
      </w:r>
      <w:r>
        <w:rPr>
          <w:rFonts w:hint="eastAsia" w:asciiTheme="majorEastAsia" w:hAnsiTheme="majorEastAsia" w:eastAsiaTheme="majorEastAsia"/>
          <w:kern w:val="0"/>
          <w:sz w:val="24"/>
          <w:szCs w:val="24"/>
        </w:rPr>
        <w:t>提供了材料应用案例，协助进行行业调研。</w:t>
      </w:r>
    </w:p>
    <w:p w14:paraId="1CD4BDAC">
      <w:pPr>
        <w:pStyle w:val="19"/>
        <w:spacing w:before="156" w:after="156" w:line="500" w:lineRule="exact"/>
        <w:rPr>
          <w:sz w:val="24"/>
          <w:szCs w:val="24"/>
        </w:rPr>
      </w:pPr>
      <w:bookmarkStart w:id="3" w:name="_Toc39166854"/>
      <w:bookmarkEnd w:id="3"/>
      <w:bookmarkStart w:id="4" w:name="_Toc39166792"/>
      <w:bookmarkEnd w:id="4"/>
      <w:bookmarkStart w:id="5" w:name="_Toc39166793"/>
      <w:bookmarkEnd w:id="5"/>
      <w:bookmarkStart w:id="6" w:name="_Toc39166794"/>
      <w:bookmarkEnd w:id="6"/>
      <w:bookmarkStart w:id="7" w:name="_Toc39166853"/>
      <w:bookmarkEnd w:id="7"/>
      <w:bookmarkStart w:id="8" w:name="_Toc39166851"/>
      <w:bookmarkEnd w:id="8"/>
      <w:bookmarkStart w:id="9" w:name="_Toc39166852"/>
      <w:bookmarkEnd w:id="9"/>
      <w:bookmarkStart w:id="10" w:name="_Toc39166795"/>
      <w:bookmarkEnd w:id="10"/>
      <w:bookmarkStart w:id="11" w:name="_Toc2569"/>
      <w:r>
        <w:rPr>
          <w:rFonts w:hint="eastAsia"/>
          <w:sz w:val="24"/>
          <w:szCs w:val="24"/>
        </w:rPr>
        <w:t>标准编制背景及必要性</w:t>
      </w:r>
      <w:bookmarkEnd w:id="11"/>
    </w:p>
    <w:p w14:paraId="2966FC8F">
      <w:pPr>
        <w:pStyle w:val="17"/>
        <w:spacing w:line="500" w:lineRule="exact"/>
        <w:ind w:left="105" w:leftChars="50" w:right="105" w:rightChars="50" w:firstLine="0" w:firstLineChars="0"/>
        <w:rPr>
          <w:rFonts w:ascii="黑体" w:hAnsi="黑体" w:eastAsia="黑体"/>
          <w:sz w:val="24"/>
          <w:szCs w:val="24"/>
        </w:rPr>
      </w:pPr>
      <w:r>
        <w:rPr>
          <w:rFonts w:hint="eastAsia" w:ascii="黑体" w:hAnsi="黑体" w:eastAsia="黑体"/>
          <w:sz w:val="24"/>
          <w:szCs w:val="24"/>
        </w:rPr>
        <w:t>1.3.1 编制背景</w:t>
      </w:r>
    </w:p>
    <w:p w14:paraId="0BB6AB25">
      <w:pPr>
        <w:autoSpaceDE w:val="0"/>
        <w:autoSpaceDN w:val="0"/>
        <w:adjustRightInd w:val="0"/>
        <w:spacing w:line="500" w:lineRule="exact"/>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装配式建筑是以标准化设计、工业化生产、装配化施工、一体化装修为主要特征的建筑，可实现安全耐久、施工快捷、低碳环保等建设目标，大幅减少建筑垃圾和建筑污水，降低建筑噪声，提高施工质量。</w:t>
      </w:r>
    </w:p>
    <w:p w14:paraId="57A95ABE">
      <w:pPr>
        <w:autoSpaceDE w:val="0"/>
        <w:autoSpaceDN w:val="0"/>
        <w:adjustRightInd w:val="0"/>
        <w:spacing w:line="500" w:lineRule="exact"/>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传统外保温现场湿作业，产生大量建筑垃圾，污染环境，而且有大量的脱落事件发生，造成不良社会影响。内保温存在冷热桥，易结露发霉，影响得房率，后期业主改造易破坏室内的内保温系统。夹心保温存在生产工艺要求高，保温不连续，易出现冷热桥，墙体厚度大，小业主实际使用面积少。集成保温外墙产品适应性强，满足建筑立面风格多样的需求，保温隔热性能良好，保温板与墙体之间受力简单，不宜脱落，工厂一体化生产。施工无现场湿作业，减少建筑垃圾，实现节能减排、绿色环保，符合建筑工业化及绿色建筑发展方向。</w:t>
      </w:r>
    </w:p>
    <w:p w14:paraId="513B8CCB">
      <w:pPr>
        <w:autoSpaceDE w:val="0"/>
        <w:autoSpaceDN w:val="0"/>
        <w:adjustRightInd w:val="0"/>
        <w:spacing w:line="500" w:lineRule="exact"/>
        <w:ind w:firstLine="480" w:firstLineChars="2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预制集成保温外墙可以促进建筑产业化进程的发展，进一步的促进建筑产业由粗放型向集约型转变，提高劳动生产率，加快建造的速度，提高住宅质量和性能，同时还可以减少资源能源浪费，促进行业的内良性竞争，实现社会的可持续发展。</w:t>
      </w:r>
    </w:p>
    <w:p w14:paraId="131E097E">
      <w:pPr>
        <w:pStyle w:val="17"/>
        <w:spacing w:line="500" w:lineRule="exact"/>
        <w:ind w:right="105" w:rightChars="50" w:firstLine="0" w:firstLineChars="0"/>
        <w:rPr>
          <w:rFonts w:ascii="黑体" w:hAnsi="黑体" w:eastAsia="黑体"/>
          <w:sz w:val="24"/>
          <w:szCs w:val="24"/>
        </w:rPr>
      </w:pPr>
      <w:r>
        <w:rPr>
          <w:rFonts w:hint="eastAsia" w:ascii="黑体" w:hAnsi="黑体" w:eastAsia="黑体"/>
          <w:sz w:val="24"/>
          <w:szCs w:val="24"/>
        </w:rPr>
        <w:t>1.3.2 标准编制的必要性</w:t>
      </w:r>
    </w:p>
    <w:p w14:paraId="72B035A9">
      <w:pPr>
        <w:autoSpaceDE w:val="0"/>
        <w:autoSpaceDN w:val="0"/>
        <w:adjustRightInd w:val="0"/>
        <w:spacing w:line="500" w:lineRule="exact"/>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我国集成保温外墙产品和技术已经成熟，由于集成保温外墙具有轻质高强、A级防火、一次生产成型、成本低廉等优秀特性，收到下游工程建设领域的青睐，目前已在民用建筑、工业领域广泛应用。目前，集成保温外墙相关生产企业达20余家，年产量超过100万立方米。据研究分析，建筑上应用了集成保温外墙技术相比常规外墙技术，在建筑节能、隔声、美观等方面都有显著优势。虽然集成保温墙面产品和生产技术已经成熟，但在应用中经常受我国地区差异性影响而无法完全发挥实际效果，预制装配式技术应用比例高、节能要求不断提升，采用常规保温施工安装技术会造成安全隐患，严重的会引起系统脱落及火灾事故，因此也阻碍了该产品的推广应用。</w:t>
      </w:r>
    </w:p>
    <w:p w14:paraId="78E4CB51">
      <w:pPr>
        <w:autoSpaceDE w:val="0"/>
        <w:autoSpaceDN w:val="0"/>
        <w:adjustRightInd w:val="0"/>
        <w:spacing w:line="500" w:lineRule="exact"/>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近几年，集成保温外墙领域骨干企业专门开展了技术攻关，成功推动了产品在该地区的杨浦区江浦社区R—09地块、自贸区临港新片区PDCI-0302单元06-02地块、普陀区石泉社区W060402单元B3-2地块等重点工程中成熟应用，经过项目验证，集成保温外墙能够很好的匹配该地区节能要求，且相关从业人员对于集成保温外墙的安全性、设计方法、试验指标等方面拥有较多实施经验；北方地区对保温厚度及以此带来的保温材料安全性要求更高，适合北方更高要求的集成保温外墙技术目前仍处于攻关完善优化阶段。</w:t>
      </w:r>
    </w:p>
    <w:p w14:paraId="4088F8A4">
      <w:pPr>
        <w:autoSpaceDE w:val="0"/>
        <w:autoSpaceDN w:val="0"/>
        <w:adjustRightInd w:val="0"/>
        <w:spacing w:line="500" w:lineRule="exact"/>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2021年发布的《中共中央国务院关于完整准确全面贯彻新发展理念做好碳达峰碳中和工作的意见》中指出“大力发展节能低碳建筑，持续提高新建建筑节能标准，加快推进超低能耗、近零能耗、低碳建筑规模化发展。”本标准基于集成保温外墙，选用新型绿色低碳保温材料使得集成保温外墙满足超低能耗、近零能耗、低碳建筑等要求，随着国家节能环保和低碳绿色进程加快，集成保温外墙体系与现有保温体系相比，技术和成本优势明显，未来将继续得到长足发展和广泛应用，有必要开展标准编制工作。</w:t>
      </w:r>
    </w:p>
    <w:p w14:paraId="1B71548E">
      <w:pPr>
        <w:autoSpaceDE w:val="0"/>
        <w:autoSpaceDN w:val="0"/>
        <w:adjustRightInd w:val="0"/>
        <w:spacing w:line="500" w:lineRule="exact"/>
        <w:ind w:firstLine="480" w:firstLineChars="200"/>
        <w:jc w:val="left"/>
      </w:pPr>
      <w:r>
        <w:rPr>
          <w:rFonts w:hint="eastAsia" w:asciiTheme="majorEastAsia" w:hAnsiTheme="majorEastAsia" w:eastAsiaTheme="majorEastAsia"/>
          <w:sz w:val="24"/>
          <w:szCs w:val="24"/>
        </w:rPr>
        <w:t>目前在夏热冬冷，对集成保温外墙产品的需求量十分急迫，实施项目数量快速增加，应广大应用单位要求，急需编制本标准来规范集成保温外墙这类技术在材料制备、设计、生产、施工、验收等环节中的要求和规定。</w:t>
      </w:r>
    </w:p>
    <w:p w14:paraId="2A4E12AD">
      <w:pPr>
        <w:pStyle w:val="19"/>
        <w:spacing w:before="156" w:after="156" w:line="500" w:lineRule="exact"/>
        <w:rPr>
          <w:sz w:val="24"/>
          <w:szCs w:val="24"/>
        </w:rPr>
      </w:pPr>
      <w:bookmarkStart w:id="12" w:name="_Toc12868"/>
      <w:r>
        <w:rPr>
          <w:rFonts w:hint="eastAsia"/>
          <w:sz w:val="24"/>
          <w:szCs w:val="24"/>
        </w:rPr>
        <w:t>主要工作过程</w:t>
      </w:r>
      <w:bookmarkEnd w:id="12"/>
    </w:p>
    <w:p w14:paraId="3130D488">
      <w:pPr>
        <w:spacing w:line="500" w:lineRule="exact"/>
        <w:rPr>
          <w:rFonts w:asciiTheme="majorEastAsia" w:hAnsiTheme="majorEastAsia" w:eastAsiaTheme="majorEastAsia"/>
          <w:b/>
          <w:sz w:val="24"/>
          <w:szCs w:val="24"/>
        </w:rPr>
      </w:pPr>
      <w:r>
        <w:rPr>
          <w:rFonts w:hint="eastAsia" w:asciiTheme="majorEastAsia" w:hAnsiTheme="majorEastAsia" w:eastAsiaTheme="majorEastAsia"/>
          <w:b/>
          <w:sz w:val="24"/>
          <w:szCs w:val="24"/>
        </w:rPr>
        <w:t>1.4.1 标准大纲讨论会</w:t>
      </w:r>
    </w:p>
    <w:p w14:paraId="713B5261">
      <w:pPr>
        <w:spacing w:line="50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2024年1月15日，</w:t>
      </w:r>
      <w:r>
        <w:rPr>
          <w:rFonts w:hint="eastAsia" w:asciiTheme="majorEastAsia" w:hAnsiTheme="majorEastAsia" w:eastAsiaTheme="majorEastAsia"/>
          <w:kern w:val="0"/>
          <w:sz w:val="24"/>
          <w:szCs w:val="24"/>
        </w:rPr>
        <w:t>上海中森建筑与工程设计顾问有限公司、建筑材料工业技术情报研究所、上海圣奎塑业有限公司标准编制</w:t>
      </w:r>
      <w:r>
        <w:rPr>
          <w:rFonts w:hint="eastAsia" w:asciiTheme="majorEastAsia" w:hAnsiTheme="majorEastAsia" w:eastAsiaTheme="majorEastAsia"/>
          <w:sz w:val="24"/>
          <w:szCs w:val="24"/>
        </w:rPr>
        <w:t>等人员组成标准编制筹备组，以线上视频会议形式召开了《</w:t>
      </w:r>
      <w:r>
        <w:rPr>
          <w:rFonts w:hint="eastAsia" w:cs="Times New Roman" w:asciiTheme="majorEastAsia" w:hAnsiTheme="majorEastAsia" w:eastAsiaTheme="majorEastAsia"/>
          <w:bCs/>
          <w:sz w:val="24"/>
          <w:szCs w:val="24"/>
        </w:rPr>
        <w:t>夏热冬冷地区集成保温外墙板应用技术规程</w:t>
      </w:r>
      <w:r>
        <w:rPr>
          <w:rFonts w:hint="eastAsia" w:ascii="宋体" w:hAnsi="宋体" w:cs="宋体"/>
          <w:sz w:val="24"/>
          <w:szCs w:val="24"/>
        </w:rPr>
        <w:t>》大纲</w:t>
      </w:r>
      <w:r>
        <w:rPr>
          <w:rFonts w:hint="eastAsia" w:asciiTheme="majorEastAsia" w:hAnsiTheme="majorEastAsia" w:eastAsiaTheme="majorEastAsia"/>
          <w:sz w:val="24"/>
          <w:szCs w:val="24"/>
        </w:rPr>
        <w:t>讨论会</w:t>
      </w:r>
      <w:r>
        <w:rPr>
          <w:rFonts w:asciiTheme="majorEastAsia" w:hAnsiTheme="majorEastAsia" w:eastAsiaTheme="majorEastAsia"/>
          <w:sz w:val="24"/>
          <w:szCs w:val="24"/>
        </w:rPr>
        <w:t>，</w:t>
      </w:r>
      <w:r>
        <w:rPr>
          <w:rFonts w:hint="eastAsia" w:asciiTheme="majorEastAsia" w:hAnsiTheme="majorEastAsia" w:eastAsiaTheme="majorEastAsia"/>
          <w:sz w:val="24"/>
          <w:szCs w:val="24"/>
        </w:rPr>
        <w:t>就前期资料准备</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rPr>
        <w:t>编制大纲等问题进行讨论，并确定</w:t>
      </w:r>
      <w:r>
        <w:rPr>
          <w:rFonts w:hint="eastAsia" w:asciiTheme="majorEastAsia" w:hAnsiTheme="majorEastAsia" w:eastAsiaTheme="majorEastAsia"/>
          <w:sz w:val="24"/>
          <w:szCs w:val="24"/>
          <w:lang w:val="en-US" w:eastAsia="zh-CN"/>
        </w:rPr>
        <w:t>了</w:t>
      </w:r>
      <w:r>
        <w:rPr>
          <w:rFonts w:hint="eastAsia" w:asciiTheme="majorEastAsia" w:hAnsiTheme="majorEastAsia" w:eastAsiaTheme="majorEastAsia"/>
          <w:sz w:val="24"/>
          <w:szCs w:val="24"/>
        </w:rPr>
        <w:t>工作进度计划</w:t>
      </w:r>
      <w:r>
        <w:rPr>
          <w:rFonts w:hint="eastAsia" w:asciiTheme="majorEastAsia" w:hAnsiTheme="majorEastAsia" w:eastAsiaTheme="majorEastAsia"/>
          <w:sz w:val="24"/>
          <w:szCs w:val="24"/>
          <w:lang w:val="en-US" w:eastAsia="zh-CN"/>
        </w:rPr>
        <w:t>草案</w:t>
      </w:r>
      <w:r>
        <w:rPr>
          <w:rFonts w:hint="eastAsia" w:asciiTheme="majorEastAsia" w:hAnsiTheme="majorEastAsia" w:eastAsiaTheme="majorEastAsia"/>
          <w:sz w:val="24"/>
          <w:szCs w:val="24"/>
        </w:rPr>
        <w:t>。</w:t>
      </w:r>
    </w:p>
    <w:p w14:paraId="34A3F2A2">
      <w:pPr>
        <w:spacing w:line="500" w:lineRule="exac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 xml:space="preserve">1.4.2 </w:t>
      </w:r>
      <w:r>
        <w:rPr>
          <w:rFonts w:hint="eastAsia" w:cs="Times New Roman" w:asciiTheme="majorEastAsia" w:hAnsiTheme="majorEastAsia" w:eastAsiaTheme="majorEastAsia"/>
          <w:b/>
          <w:bCs/>
          <w:sz w:val="24"/>
          <w:szCs w:val="24"/>
        </w:rPr>
        <w:t>标准编制启动会</w:t>
      </w:r>
      <w:r>
        <w:rPr>
          <w:rFonts w:hint="eastAsia" w:cs="Times New Roman" w:asciiTheme="majorEastAsia" w:hAnsiTheme="majorEastAsia" w:eastAsiaTheme="majorEastAsia"/>
          <w:b/>
          <w:bCs/>
          <w:sz w:val="24"/>
          <w:szCs w:val="24"/>
          <w:lang w:val="en-US" w:eastAsia="zh-CN"/>
        </w:rPr>
        <w:t>暨第一次工作会</w:t>
      </w:r>
    </w:p>
    <w:p w14:paraId="4625FB53">
      <w:pPr>
        <w:spacing w:line="5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2024年3月19日，线下与线上同步召开启动会暨第一次工作</w:t>
      </w:r>
      <w:r>
        <w:rPr>
          <w:rFonts w:hint="eastAsia" w:asciiTheme="majorEastAsia" w:hAnsiTheme="majorEastAsia" w:eastAsiaTheme="majorEastAsia"/>
          <w:sz w:val="24"/>
          <w:szCs w:val="24"/>
          <w:lang w:val="en-US" w:eastAsia="zh-CN"/>
        </w:rPr>
        <w:t>会，上海中森建筑与工程设计顾问有限公司、建筑材料工业技术情报研究所、上海圣奎塑业有限公司等25家参编单位和相关单位的代表或团队参加了会议</w:t>
      </w:r>
      <w:r>
        <w:rPr>
          <w:rFonts w:hint="eastAsia" w:asciiTheme="majorEastAsia" w:hAnsiTheme="majorEastAsia" w:eastAsiaTheme="majorEastAsia"/>
          <w:sz w:val="24"/>
          <w:szCs w:val="24"/>
        </w:rPr>
        <w:t>。</w:t>
      </w:r>
    </w:p>
    <w:p w14:paraId="45F7C526">
      <w:pPr>
        <w:spacing w:line="500" w:lineRule="exact"/>
        <w:ind w:firstLine="480" w:firstLineChars="200"/>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会上，上海中森装配院李新华院长就标准立项背景做了介绍，上海圣奎季良总工分享了多年的科研成果和在上海及部分地区的应用实践，上海中森</w:t>
      </w:r>
      <w:r>
        <w:rPr>
          <w:rFonts w:hint="eastAsia" w:asciiTheme="majorEastAsia" w:hAnsiTheme="majorEastAsia" w:eastAsiaTheme="majorEastAsia"/>
          <w:sz w:val="24"/>
          <w:szCs w:val="24"/>
          <w:lang w:val="en-US" w:eastAsia="zh-CN"/>
        </w:rPr>
        <w:t>装配院的王伟工程师对编制工作大纲及标准草案（讨论稿）做介绍，就现阶段工作进展和研究基础进行汇报。参会的</w:t>
      </w:r>
      <w:r>
        <w:rPr>
          <w:rFonts w:hint="eastAsia" w:asciiTheme="majorEastAsia" w:hAnsiTheme="majorEastAsia" w:eastAsiaTheme="majorEastAsia"/>
          <w:sz w:val="24"/>
          <w:szCs w:val="24"/>
        </w:rPr>
        <w:t>各位专家对草案中内容的合理性、完整性、符合性进行了讨论</w:t>
      </w:r>
      <w:r>
        <w:rPr>
          <w:rFonts w:hint="eastAsia" w:asciiTheme="majorEastAsia" w:hAnsiTheme="majorEastAsia" w:eastAsiaTheme="majorEastAsia"/>
          <w:sz w:val="24"/>
          <w:szCs w:val="24"/>
          <w:lang w:eastAsia="zh-CN"/>
        </w:rPr>
        <w:t>。</w:t>
      </w:r>
    </w:p>
    <w:p w14:paraId="2221F887">
      <w:pPr>
        <w:spacing w:line="5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本次会议</w:t>
      </w:r>
      <w:r>
        <w:rPr>
          <w:rFonts w:hint="eastAsia" w:asciiTheme="majorEastAsia" w:hAnsiTheme="majorEastAsia" w:eastAsiaTheme="majorEastAsia"/>
          <w:sz w:val="24"/>
          <w:szCs w:val="24"/>
          <w:lang w:val="en-US" w:eastAsia="zh-CN"/>
        </w:rPr>
        <w:t>正式宣告</w:t>
      </w:r>
      <w:r>
        <w:rPr>
          <w:rFonts w:hint="eastAsia" w:asciiTheme="majorEastAsia" w:hAnsiTheme="majorEastAsia" w:eastAsiaTheme="majorEastAsia"/>
          <w:sz w:val="24"/>
          <w:szCs w:val="24"/>
        </w:rPr>
        <w:t>标准编制</w:t>
      </w:r>
      <w:r>
        <w:rPr>
          <w:rFonts w:hint="eastAsia" w:asciiTheme="majorEastAsia" w:hAnsiTheme="majorEastAsia" w:eastAsiaTheme="majorEastAsia"/>
          <w:sz w:val="24"/>
          <w:szCs w:val="24"/>
          <w:lang w:val="en-US" w:eastAsia="zh-CN"/>
        </w:rPr>
        <w:t>组</w:t>
      </w:r>
      <w:r>
        <w:rPr>
          <w:rFonts w:hint="eastAsia" w:asciiTheme="majorEastAsia" w:hAnsiTheme="majorEastAsia" w:eastAsiaTheme="majorEastAsia"/>
          <w:sz w:val="24"/>
          <w:szCs w:val="24"/>
        </w:rPr>
        <w:t>的</w:t>
      </w:r>
      <w:r>
        <w:rPr>
          <w:rFonts w:hint="eastAsia" w:asciiTheme="majorEastAsia" w:hAnsiTheme="majorEastAsia" w:eastAsiaTheme="majorEastAsia"/>
          <w:sz w:val="24"/>
          <w:szCs w:val="24"/>
          <w:lang w:val="en-US" w:eastAsia="zh-CN"/>
        </w:rPr>
        <w:t>成立</w:t>
      </w:r>
      <w:r>
        <w:rPr>
          <w:rFonts w:hint="eastAsia" w:asciiTheme="majorEastAsia" w:hAnsiTheme="majorEastAsia" w:eastAsiaTheme="majorEastAsia"/>
          <w:sz w:val="24"/>
          <w:szCs w:val="24"/>
        </w:rPr>
        <w:t>，确定</w:t>
      </w:r>
      <w:r>
        <w:rPr>
          <w:rFonts w:hint="eastAsia" w:asciiTheme="majorEastAsia" w:hAnsiTheme="majorEastAsia" w:eastAsiaTheme="majorEastAsia"/>
          <w:sz w:val="24"/>
          <w:szCs w:val="24"/>
          <w:lang w:val="en-US" w:eastAsia="zh-CN"/>
        </w:rPr>
        <w:t>编写</w:t>
      </w:r>
      <w:r>
        <w:rPr>
          <w:rFonts w:hint="eastAsia" w:asciiTheme="majorEastAsia" w:hAnsiTheme="majorEastAsia" w:eastAsiaTheme="majorEastAsia"/>
          <w:sz w:val="24"/>
          <w:szCs w:val="24"/>
        </w:rPr>
        <w:t>分工等事宜</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lang w:val="en-US" w:eastAsia="zh-CN"/>
        </w:rPr>
        <w:t>并确定</w:t>
      </w:r>
      <w:r>
        <w:rPr>
          <w:rFonts w:hint="eastAsia" w:asciiTheme="majorEastAsia" w:hAnsiTheme="majorEastAsia" w:eastAsiaTheme="majorEastAsia"/>
          <w:sz w:val="24"/>
          <w:szCs w:val="24"/>
        </w:rPr>
        <w:t>了工作进度计划。编制组成员对《</w:t>
      </w:r>
      <w:r>
        <w:rPr>
          <w:rFonts w:hint="eastAsia" w:cs="Times New Roman" w:asciiTheme="majorEastAsia" w:hAnsiTheme="majorEastAsia" w:eastAsiaTheme="majorEastAsia"/>
          <w:bCs/>
          <w:sz w:val="24"/>
          <w:szCs w:val="24"/>
        </w:rPr>
        <w:t>夏热冬冷地区集成保温外墙板应用技术规程</w:t>
      </w:r>
      <w:r>
        <w:rPr>
          <w:rFonts w:hint="eastAsia" w:asciiTheme="majorEastAsia" w:hAnsiTheme="majorEastAsia" w:eastAsiaTheme="majorEastAsia"/>
          <w:sz w:val="24"/>
          <w:szCs w:val="24"/>
        </w:rPr>
        <w:t>（草案稿）》的条款逐条进行了讨论，</w:t>
      </w:r>
      <w:r>
        <w:rPr>
          <w:rFonts w:hint="eastAsia" w:asciiTheme="majorEastAsia" w:hAnsiTheme="majorEastAsia" w:eastAsiaTheme="majorEastAsia"/>
          <w:sz w:val="24"/>
          <w:szCs w:val="24"/>
          <w:lang w:val="en-US" w:eastAsia="zh-CN"/>
        </w:rPr>
        <w:t>会后将</w:t>
      </w:r>
      <w:r>
        <w:rPr>
          <w:rFonts w:hint="eastAsia" w:asciiTheme="majorEastAsia" w:hAnsiTheme="majorEastAsia" w:eastAsiaTheme="majorEastAsia"/>
          <w:sz w:val="24"/>
          <w:szCs w:val="24"/>
        </w:rPr>
        <w:t>按照相关要求对标准草案进行修改。</w:t>
      </w:r>
    </w:p>
    <w:p w14:paraId="6562C6A0">
      <w:pPr>
        <w:spacing w:line="500" w:lineRule="exact"/>
        <w:ind w:firstLine="480" w:firstLineChars="200"/>
        <w:rPr>
          <w:rFonts w:hint="eastAsia" w:asciiTheme="majorEastAsia" w:hAnsiTheme="majorEastAsia" w:eastAsiaTheme="majorEastAsia"/>
          <w:color w:val="auto"/>
          <w:sz w:val="24"/>
          <w:szCs w:val="24"/>
          <w:lang w:eastAsia="zh-CN"/>
        </w:rPr>
      </w:pPr>
      <w:r>
        <w:rPr>
          <w:rFonts w:hint="eastAsia" w:asciiTheme="majorEastAsia" w:hAnsiTheme="majorEastAsia" w:eastAsiaTheme="majorEastAsia"/>
          <w:color w:val="auto"/>
          <w:sz w:val="24"/>
          <w:szCs w:val="24"/>
          <w:lang w:eastAsia="zh-CN"/>
        </w:rPr>
        <w:t>主要讨论内容如下：</w:t>
      </w:r>
    </w:p>
    <w:p w14:paraId="77690585">
      <w:pPr>
        <w:numPr>
          <w:ilvl w:val="0"/>
          <w:numId w:val="6"/>
        </w:numPr>
        <w:spacing w:line="500" w:lineRule="exact"/>
        <w:ind w:firstLine="480" w:firstLineChars="200"/>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lang w:val="en-US" w:eastAsia="zh-CN"/>
        </w:rPr>
        <w:t>本</w:t>
      </w:r>
      <w:r>
        <w:rPr>
          <w:rFonts w:hint="eastAsia" w:asciiTheme="majorEastAsia" w:hAnsiTheme="majorEastAsia" w:eastAsiaTheme="majorEastAsia"/>
          <w:color w:val="auto"/>
          <w:sz w:val="24"/>
          <w:szCs w:val="24"/>
        </w:rPr>
        <w:t>标准名称为集成保温外墙板，夹心保温、轻钢龙骨等</w:t>
      </w:r>
      <w:r>
        <w:rPr>
          <w:rFonts w:hint="eastAsia" w:asciiTheme="majorEastAsia" w:hAnsiTheme="majorEastAsia" w:eastAsiaTheme="majorEastAsia"/>
          <w:color w:val="auto"/>
          <w:sz w:val="24"/>
          <w:szCs w:val="24"/>
          <w:lang w:eastAsia="zh-CN"/>
        </w:rPr>
        <w:t>墙板也为集成保温外墙板</w:t>
      </w:r>
      <w:r>
        <w:rPr>
          <w:rFonts w:hint="eastAsia" w:asciiTheme="majorEastAsia" w:hAnsiTheme="majorEastAsia" w:eastAsiaTheme="majorEastAsia"/>
          <w:color w:val="auto"/>
          <w:sz w:val="24"/>
          <w:szCs w:val="24"/>
        </w:rPr>
        <w:t>，包含范围较广</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本标准侧重</w:t>
      </w:r>
      <w:r>
        <w:rPr>
          <w:rFonts w:hint="eastAsia" w:asciiTheme="majorEastAsia" w:hAnsiTheme="majorEastAsia" w:eastAsiaTheme="majorEastAsia"/>
          <w:color w:val="auto"/>
          <w:sz w:val="24"/>
          <w:szCs w:val="24"/>
        </w:rPr>
        <w:t>集成外保温墙板，聚焦集成外保温墙板和免拆模技术。</w:t>
      </w:r>
    </w:p>
    <w:p w14:paraId="31B74252">
      <w:pPr>
        <w:numPr>
          <w:ilvl w:val="0"/>
          <w:numId w:val="6"/>
        </w:numPr>
        <w:spacing w:line="500" w:lineRule="exact"/>
        <w:ind w:left="0" w:leftChars="0" w:firstLine="480" w:firstLineChars="200"/>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本标准为工信部的行业标准，聚焦工业化、智能建造，针对工业化产品，突出信息化和智能化技术在设计、生产、施工和运维过程的应用。</w:t>
      </w:r>
    </w:p>
    <w:p w14:paraId="15E7466F">
      <w:pPr>
        <w:numPr>
          <w:ilvl w:val="0"/>
          <w:numId w:val="0"/>
        </w:num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3</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饰面层材料除了传统的涂料，补充铝板、面砖、石材等饰面材料，丰富外饰面的选择。</w:t>
      </w:r>
    </w:p>
    <w:p w14:paraId="01E7A66D">
      <w:pPr>
        <w:numPr>
          <w:ilvl w:val="0"/>
          <w:numId w:val="0"/>
        </w:num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4</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锚固件（连接件）材质，上海市反打保温</w:t>
      </w:r>
      <w:r>
        <w:rPr>
          <w:rFonts w:hint="eastAsia" w:asciiTheme="majorEastAsia" w:hAnsiTheme="majorEastAsia" w:eastAsiaTheme="majorEastAsia"/>
          <w:color w:val="auto"/>
          <w:sz w:val="24"/>
          <w:szCs w:val="24"/>
          <w:lang w:eastAsia="zh-CN"/>
        </w:rPr>
        <w:t>系统的锚固件为</w:t>
      </w:r>
      <w:r>
        <w:rPr>
          <w:rFonts w:hint="eastAsia" w:asciiTheme="majorEastAsia" w:hAnsiTheme="majorEastAsia" w:eastAsiaTheme="majorEastAsia"/>
          <w:color w:val="auto"/>
          <w:sz w:val="24"/>
          <w:szCs w:val="24"/>
        </w:rPr>
        <w:t>不锈钢锚</w:t>
      </w:r>
      <w:r>
        <w:rPr>
          <w:rFonts w:hint="eastAsia" w:asciiTheme="majorEastAsia" w:hAnsiTheme="majorEastAsia" w:eastAsiaTheme="majorEastAsia"/>
          <w:color w:val="auto"/>
          <w:sz w:val="24"/>
          <w:szCs w:val="24"/>
          <w:lang w:eastAsia="zh-CN"/>
        </w:rPr>
        <w:t>材质，全国范围内执行有困难，补充纤维增强塑料材质的锚固件</w:t>
      </w:r>
      <w:r>
        <w:rPr>
          <w:rFonts w:hint="eastAsia" w:asciiTheme="majorEastAsia" w:hAnsiTheme="majorEastAsia" w:eastAsiaTheme="majorEastAsia"/>
          <w:color w:val="auto"/>
          <w:sz w:val="24"/>
          <w:szCs w:val="24"/>
        </w:rPr>
        <w:t>。</w:t>
      </w:r>
    </w:p>
    <w:p w14:paraId="682293A5">
      <w:pPr>
        <w:numPr>
          <w:ilvl w:val="0"/>
          <w:numId w:val="0"/>
        </w:num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5</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新增信息化运维章节，检查、修缮和全过程信息化管理和运维。</w:t>
      </w:r>
    </w:p>
    <w:p w14:paraId="4052942C">
      <w:pPr>
        <w:spacing w:line="500" w:lineRule="exact"/>
        <w:rPr>
          <w:rFonts w:cs="Times New Roman" w:asciiTheme="majorEastAsia" w:hAnsiTheme="majorEastAsia" w:eastAsiaTheme="majorEastAsia"/>
          <w:b/>
          <w:bCs/>
          <w:sz w:val="24"/>
          <w:szCs w:val="24"/>
        </w:rPr>
      </w:pPr>
      <w:r>
        <w:rPr>
          <w:rFonts w:hint="eastAsia" w:cs="Times New Roman" w:asciiTheme="majorEastAsia" w:hAnsiTheme="majorEastAsia" w:eastAsiaTheme="majorEastAsia"/>
          <w:b/>
          <w:bCs/>
          <w:sz w:val="24"/>
          <w:szCs w:val="24"/>
        </w:rPr>
        <w:t>1.4.3 编制组内部讨论</w:t>
      </w:r>
    </w:p>
    <w:p w14:paraId="16736E8B">
      <w:pPr>
        <w:spacing w:line="500" w:lineRule="exact"/>
        <w:ind w:firstLine="480" w:firstLineChars="200"/>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2024年</w:t>
      </w:r>
      <w:r>
        <w:rPr>
          <w:rFonts w:hint="eastAsia" w:asciiTheme="majorEastAsia" w:hAnsiTheme="majorEastAsia" w:eastAsiaTheme="majorEastAsia"/>
          <w:sz w:val="24"/>
          <w:szCs w:val="24"/>
          <w:lang w:val="en-US" w:eastAsia="zh-CN"/>
        </w:rPr>
        <w:t>4-5月，标准编制组内部集中定向征集对草案稿的逐条条款的意见建议、产品数据（检测报告、测试报告等）和工程实践案例。</w:t>
      </w:r>
    </w:p>
    <w:p w14:paraId="11F31FD0">
      <w:pPr>
        <w:spacing w:line="5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20</w:t>
      </w:r>
      <w:r>
        <w:rPr>
          <w:rFonts w:hint="eastAsia" w:asciiTheme="majorEastAsia" w:hAnsiTheme="majorEastAsia" w:eastAsiaTheme="majorEastAsia"/>
          <w:sz w:val="24"/>
          <w:szCs w:val="24"/>
          <w:lang w:val="en-US" w:eastAsia="zh-CN"/>
        </w:rPr>
        <w:t>24</w:t>
      </w:r>
      <w:r>
        <w:rPr>
          <w:rFonts w:hint="eastAsia" w:asciiTheme="majorEastAsia" w:hAnsiTheme="majorEastAsia" w:eastAsiaTheme="majorEastAsia"/>
          <w:sz w:val="24"/>
          <w:szCs w:val="24"/>
        </w:rPr>
        <w:t>年</w:t>
      </w:r>
      <w:r>
        <w:rPr>
          <w:rFonts w:hint="eastAsia" w:asciiTheme="majorEastAsia" w:hAnsiTheme="majorEastAsia" w:eastAsiaTheme="majorEastAsia"/>
          <w:sz w:val="24"/>
          <w:szCs w:val="24"/>
          <w:lang w:val="en-US" w:eastAsia="zh-CN"/>
        </w:rPr>
        <w:t>6-8月</w:t>
      </w:r>
      <w:r>
        <w:rPr>
          <w:rFonts w:hint="eastAsia" w:asciiTheme="majorEastAsia" w:hAnsiTheme="majorEastAsia" w:eastAsiaTheme="majorEastAsia"/>
          <w:sz w:val="24"/>
          <w:szCs w:val="24"/>
        </w:rPr>
        <w:t>，《</w:t>
      </w:r>
      <w:r>
        <w:rPr>
          <w:rFonts w:hint="eastAsia" w:cs="Times New Roman" w:asciiTheme="majorEastAsia" w:hAnsiTheme="majorEastAsia" w:eastAsiaTheme="majorEastAsia"/>
          <w:bCs/>
          <w:sz w:val="24"/>
          <w:szCs w:val="24"/>
        </w:rPr>
        <w:t>夏热冬冷地区集成保温外墙板应用技术规程</w:t>
      </w:r>
      <w:r>
        <w:rPr>
          <w:rFonts w:hint="eastAsia" w:asciiTheme="majorEastAsia" w:hAnsiTheme="majorEastAsia" w:eastAsiaTheme="majorEastAsia"/>
          <w:sz w:val="24"/>
          <w:szCs w:val="24"/>
        </w:rPr>
        <w:t>（征求意见稿）》完成，标准编制组内部进行审阅</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rPr>
        <w:t>编制组对各成员提出的修改意见进行汇总整理，并对征求意见稿进行修改。</w:t>
      </w:r>
    </w:p>
    <w:p w14:paraId="64D417FB">
      <w:pPr>
        <w:spacing w:line="500" w:lineRule="exact"/>
        <w:ind w:firstLine="480" w:firstLineChars="200"/>
        <w:rPr>
          <w:rFonts w:hint="eastAsia" w:asciiTheme="majorEastAsia" w:hAnsiTheme="majorEastAsia" w:eastAsiaTheme="majorEastAsia"/>
          <w:color w:val="auto"/>
          <w:sz w:val="24"/>
          <w:szCs w:val="24"/>
          <w:lang w:eastAsia="zh-CN"/>
        </w:rPr>
      </w:pPr>
      <w:r>
        <w:rPr>
          <w:rFonts w:hint="eastAsia" w:asciiTheme="majorEastAsia" w:hAnsiTheme="majorEastAsia" w:eastAsiaTheme="majorEastAsia"/>
          <w:color w:val="auto"/>
          <w:sz w:val="24"/>
          <w:szCs w:val="24"/>
          <w:lang w:eastAsia="zh-CN"/>
        </w:rPr>
        <w:t>主要修改补充内容如下：</w:t>
      </w:r>
    </w:p>
    <w:p w14:paraId="34BA7068">
      <w:p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1</w:t>
      </w:r>
      <w:r>
        <w:rPr>
          <w:rFonts w:hint="eastAsia" w:asciiTheme="majorEastAsia" w:hAnsiTheme="majorEastAsia" w:eastAsiaTheme="majorEastAsia"/>
          <w:color w:val="auto"/>
          <w:sz w:val="24"/>
          <w:szCs w:val="24"/>
          <w:lang w:eastAsia="zh-CN"/>
        </w:rPr>
        <w:t>）第</w:t>
      </w:r>
      <w:r>
        <w:rPr>
          <w:rFonts w:hint="eastAsia" w:asciiTheme="majorEastAsia" w:hAnsiTheme="majorEastAsia" w:eastAsiaTheme="majorEastAsia"/>
          <w:color w:val="auto"/>
          <w:sz w:val="24"/>
          <w:szCs w:val="24"/>
          <w:lang w:val="en-US" w:eastAsia="zh-CN"/>
        </w:rPr>
        <w:t>2章</w:t>
      </w:r>
      <w:r>
        <w:rPr>
          <w:rFonts w:hint="eastAsia" w:asciiTheme="majorEastAsia" w:hAnsiTheme="majorEastAsia" w:eastAsiaTheme="majorEastAsia"/>
          <w:color w:val="auto"/>
          <w:sz w:val="24"/>
          <w:szCs w:val="24"/>
          <w:lang w:eastAsia="zh-CN"/>
        </w:rPr>
        <w:t>术语：</w:t>
      </w:r>
      <w:r>
        <w:rPr>
          <w:rFonts w:hint="eastAsia" w:asciiTheme="majorEastAsia" w:hAnsiTheme="majorEastAsia" w:eastAsiaTheme="majorEastAsia"/>
          <w:color w:val="auto"/>
          <w:sz w:val="24"/>
          <w:szCs w:val="24"/>
          <w:lang w:val="en-US" w:eastAsia="zh-CN"/>
        </w:rPr>
        <w:t>2.1.3对保温材料的定义做修改“具有增强构造的单一材质的保温材料，在预制集成保温外墙系统中起到保温隔热作用。”增加聚合物找平砂浆的术语：由水泥、可再分散乳胶粉、填料和其他功能性添加剂组成的干混砂浆，用于保温系统面层找平的干混砂浆。锚固件的术语中不限定材质，修改为连接保温板与混凝土的固定件。</w:t>
      </w:r>
    </w:p>
    <w:p w14:paraId="64F5C541">
      <w:pPr>
        <w:spacing w:line="500" w:lineRule="exact"/>
        <w:ind w:firstLine="480" w:firstLineChars="200"/>
        <w:rPr>
          <w:rFonts w:hint="default"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（2）第3章基本规定：统一拉结件和锚固件的说法，全本标准中统一为锚固件。</w:t>
      </w:r>
    </w:p>
    <w:p w14:paraId="74613D53">
      <w:pPr>
        <w:spacing w:line="500" w:lineRule="exact"/>
        <w:ind w:firstLine="480" w:firstLineChars="200"/>
        <w:rPr>
          <w:rFonts w:hint="default"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3）第4章材料：补充表4.2.2-1中温板的尺寸进行规定“长度2400和3000，宽度600和1200，厚度30~150”。对钢丝网丝径和网孔不做要求。4.3节中，要求锚固件材质改为经防腐处理的金属或FRP。行业标准需考虑全国范围内技术可行性、落地性和经济性，需要在满足安全的前提下，一定程度放宽要求。</w:t>
      </w:r>
    </w:p>
    <w:p w14:paraId="74D5B74F">
      <w:p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（5）第5章设计：示意图中补充锚固件杆身设置倒刺，有效固定保温板，防止锚固件在保温板中位移或脱出。5.3节中，补充墙板及连接的承载力在持久设计状况和地震设计状况下的计算公式。</w:t>
      </w:r>
    </w:p>
    <w:p w14:paraId="61594F7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auto"/>
          <w:sz w:val="24"/>
          <w:szCs w:val="24"/>
          <w:lang w:eastAsia="zh-CN"/>
        </w:rPr>
      </w:pPr>
      <w:r>
        <w:rPr>
          <w:rFonts w:hint="eastAsia"/>
          <w:color w:val="auto"/>
          <w:sz w:val="24"/>
          <w:szCs w:val="24"/>
          <w:lang w:val="en-US" w:eastAsia="zh-CN"/>
        </w:rPr>
        <w:t xml:space="preserve">1 </w:t>
      </w:r>
      <w:r>
        <w:rPr>
          <w:rFonts w:hint="eastAsia"/>
          <w:color w:val="auto"/>
          <w:sz w:val="24"/>
          <w:szCs w:val="24"/>
          <w:lang w:eastAsia="zh-CN"/>
        </w:rPr>
        <w:t>持久设计状况</w:t>
      </w:r>
    </w:p>
    <w:p w14:paraId="083B89BF">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eastAsia="宋体"/>
          <w:color w:val="auto"/>
          <w:sz w:val="24"/>
          <w:szCs w:val="24"/>
          <w:lang w:val="en-US" w:eastAsia="zh-CN"/>
        </w:rPr>
      </w:pPr>
      <m:oMath>
        <m:sSub>
          <m:sSubPr>
            <m:ctrlPr>
              <w:rPr>
                <w:rFonts w:ascii="Cambria Math" w:hAnsi="Cambria Math"/>
                <w:i/>
                <w:color w:val="auto"/>
                <w:sz w:val="24"/>
                <w:szCs w:val="24"/>
              </w:rPr>
            </m:ctrlPr>
          </m:sSubPr>
          <m:e>
            <m:r>
              <m:rPr/>
              <w:rPr>
                <w:rFonts w:ascii="Cambria Math" w:hAnsi="Cambria Math"/>
                <w:color w:val="auto"/>
                <w:sz w:val="24"/>
                <w:szCs w:val="24"/>
              </w:rPr>
              <m:t>γ</m:t>
            </m:r>
            <m:ctrlPr>
              <w:rPr>
                <w:rFonts w:ascii="Cambria Math" w:hAnsi="Cambria Math"/>
                <w:i/>
                <w:color w:val="auto"/>
                <w:sz w:val="24"/>
                <w:szCs w:val="24"/>
              </w:rPr>
            </m:ctrlPr>
          </m:e>
          <m:sub>
            <m:r>
              <m:rPr/>
              <w:rPr>
                <w:rFonts w:hint="default" w:ascii="Cambria Math" w:hAnsi="Cambria Math"/>
                <w:color w:val="auto"/>
                <w:sz w:val="24"/>
                <w:szCs w:val="24"/>
                <w:lang w:val="en-US" w:eastAsia="zh-CN"/>
              </w:rPr>
              <m:t>0</m:t>
            </m:r>
            <m:ctrlPr>
              <w:rPr>
                <w:rFonts w:ascii="Cambria Math" w:hAnsi="Cambria Math"/>
                <w:i/>
                <w:color w:val="auto"/>
                <w:sz w:val="24"/>
                <w:szCs w:val="24"/>
              </w:rPr>
            </m:ctrlPr>
          </m:sub>
        </m:sSub>
        <m:r>
          <m:rPr/>
          <w:rPr>
            <w:rFonts w:hint="default" w:ascii="Cambria Math" w:hAnsi="Cambria Math"/>
            <w:color w:val="auto"/>
            <w:sz w:val="24"/>
            <w:szCs w:val="24"/>
            <w:lang w:val="en-US" w:eastAsia="zh-CN"/>
          </w:rPr>
          <m:t>S</m:t>
        </m:r>
        <m:r>
          <m:rPr/>
          <w:rPr>
            <w:rFonts w:hint="default" w:ascii="Cambria Math" w:hAnsi="Cambria Math" w:cs="Cambria Math"/>
            <w:color w:val="auto"/>
            <w:sz w:val="24"/>
            <w:szCs w:val="24"/>
            <w:lang w:val="en-US" w:eastAsia="zh-CN"/>
          </w:rPr>
          <m:t>≤R</m:t>
        </m:r>
      </m:oMath>
      <w:r>
        <w:rPr>
          <w:rFonts w:hint="eastAsia" w:hAnsi="Cambria Math" w:cs="Cambria Math"/>
          <w:i w:val="0"/>
          <w:color w:val="auto"/>
          <w:sz w:val="24"/>
          <w:szCs w:val="24"/>
          <w:lang w:val="en-US" w:eastAsia="zh-CN"/>
        </w:rPr>
        <w:t xml:space="preserve">                   (5.3.9-1)</w:t>
      </w:r>
    </w:p>
    <w:p w14:paraId="46D3F5E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auto"/>
          <w:sz w:val="24"/>
          <w:szCs w:val="24"/>
          <w:lang w:eastAsia="zh-CN"/>
        </w:rPr>
      </w:pPr>
      <w:r>
        <w:rPr>
          <w:rFonts w:hint="eastAsia"/>
          <w:color w:val="auto"/>
          <w:sz w:val="24"/>
          <w:szCs w:val="24"/>
          <w:lang w:val="en-US" w:eastAsia="zh-CN"/>
        </w:rPr>
        <w:t xml:space="preserve">2 </w:t>
      </w:r>
      <w:r>
        <w:rPr>
          <w:rFonts w:hint="eastAsia"/>
          <w:color w:val="auto"/>
          <w:sz w:val="24"/>
          <w:szCs w:val="24"/>
          <w:lang w:eastAsia="zh-CN"/>
        </w:rPr>
        <w:t>地震设计状况</w:t>
      </w:r>
    </w:p>
    <w:p w14:paraId="61EE795F">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color w:val="auto"/>
          <w:sz w:val="24"/>
          <w:szCs w:val="24"/>
          <w:lang w:val="en-US"/>
        </w:rPr>
      </w:pPr>
      <m:oMath>
        <m:r>
          <m:rPr>
            <m:sty m:val="p"/>
          </m:rPr>
          <w:rPr>
            <w:rFonts w:hint="default" w:ascii="Cambria Math" w:hAnsi="Cambria Math" w:cs="Times New Roman"/>
            <w:color w:val="auto"/>
            <w:kern w:val="2"/>
            <w:sz w:val="24"/>
            <w:szCs w:val="24"/>
            <w:lang w:val="en-US" w:eastAsia="zh-CN" w:bidi="ar-SA"/>
          </w:rPr>
          <m:t>S</m:t>
        </m:r>
        <m:r>
          <m:rPr>
            <m:sty m:val="p"/>
          </m:rPr>
          <w:rPr>
            <w:rFonts w:hint="default" w:ascii="Cambria Math" w:hAnsi="Cambria Math" w:cs="Cambria Math"/>
            <w:color w:val="auto"/>
            <w:kern w:val="2"/>
            <w:sz w:val="24"/>
            <w:szCs w:val="24"/>
            <w:lang w:val="en-US" w:eastAsia="zh-CN" w:bidi="ar-SA"/>
          </w:rPr>
          <m:t>≤</m:t>
        </m:r>
        <m:f>
          <m:fPr>
            <m:type m:val="lin"/>
            <m:ctrlPr>
              <w:rPr>
                <w:rFonts w:hint="default" w:ascii="Cambria Math" w:hAnsi="Cambria Math" w:cs="Cambria Math"/>
                <w:color w:val="auto"/>
                <w:kern w:val="2"/>
                <w:sz w:val="24"/>
                <w:szCs w:val="24"/>
                <w:lang w:val="en-US" w:eastAsia="zh-CN" w:bidi="ar-SA"/>
              </w:rPr>
            </m:ctrlPr>
          </m:fPr>
          <m:num>
            <m:sSub>
              <m:sSubPr>
                <m:ctrlPr>
                  <w:rPr>
                    <w:rFonts w:hint="default" w:ascii="Cambria Math" w:hAnsi="Cambria Math" w:cs="Cambria Math"/>
                    <w:color w:val="auto"/>
                    <w:kern w:val="2"/>
                    <w:sz w:val="24"/>
                    <w:szCs w:val="24"/>
                    <w:lang w:val="en-US" w:eastAsia="zh-CN" w:bidi="ar-SA"/>
                  </w:rPr>
                </m:ctrlPr>
              </m:sSubPr>
              <m:e>
                <m:r>
                  <m:rPr>
                    <m:sty m:val="p"/>
                  </m:rPr>
                  <w:rPr>
                    <w:rFonts w:hint="default" w:ascii="Cambria Math" w:hAnsi="Cambria Math" w:cs="Cambria Math"/>
                    <w:color w:val="auto"/>
                    <w:kern w:val="2"/>
                    <w:sz w:val="24"/>
                    <w:szCs w:val="24"/>
                    <w:lang w:val="en-US" w:eastAsia="zh-CN" w:bidi="ar-SA"/>
                  </w:rPr>
                  <m:t>R</m:t>
                </m:r>
                <m:ctrlPr>
                  <w:rPr>
                    <w:rFonts w:hint="default" w:ascii="Cambria Math" w:hAnsi="Cambria Math" w:cs="Cambria Math"/>
                    <w:color w:val="auto"/>
                    <w:kern w:val="2"/>
                    <w:sz w:val="24"/>
                    <w:szCs w:val="24"/>
                    <w:lang w:val="en-US" w:eastAsia="zh-CN" w:bidi="ar-SA"/>
                  </w:rPr>
                </m:ctrlPr>
              </m:e>
              <m:sub>
                <m:r>
                  <m:rPr>
                    <m:sty m:val="p"/>
                  </m:rPr>
                  <w:rPr>
                    <w:rFonts w:hint="default" w:ascii="Cambria Math" w:hAnsi="Cambria Math" w:cs="Cambria Math"/>
                    <w:color w:val="auto"/>
                    <w:kern w:val="2"/>
                    <w:sz w:val="24"/>
                    <w:szCs w:val="24"/>
                    <w:lang w:val="en-US" w:eastAsia="zh-CN" w:bidi="ar-SA"/>
                  </w:rPr>
                  <m:t>E</m:t>
                </m:r>
                <m:ctrlPr>
                  <w:rPr>
                    <w:rFonts w:hint="default" w:ascii="Cambria Math" w:hAnsi="Cambria Math" w:cs="Cambria Math"/>
                    <w:color w:val="auto"/>
                    <w:kern w:val="2"/>
                    <w:sz w:val="24"/>
                    <w:szCs w:val="24"/>
                    <w:lang w:val="en-US" w:eastAsia="zh-CN" w:bidi="ar-SA"/>
                  </w:rPr>
                </m:ctrlPr>
              </m:sub>
            </m:sSub>
            <m:ctrlPr>
              <w:rPr>
                <w:rFonts w:hint="default" w:ascii="Cambria Math" w:hAnsi="Cambria Math" w:cs="Cambria Math"/>
                <w:color w:val="auto"/>
                <w:kern w:val="2"/>
                <w:sz w:val="24"/>
                <w:szCs w:val="24"/>
                <w:lang w:val="en-US" w:eastAsia="zh-CN" w:bidi="ar-SA"/>
              </w:rPr>
            </m:ctrlPr>
          </m:num>
          <m:den>
            <m:sSub>
              <m:sSubPr>
                <m:ctrlPr>
                  <w:rPr>
                    <w:rFonts w:hint="default" w:ascii="Cambria Math" w:hAnsi="Cambria Math" w:cs="Cambria Math"/>
                    <w:color w:val="auto"/>
                    <w:kern w:val="2"/>
                    <w:sz w:val="24"/>
                    <w:szCs w:val="24"/>
                    <w:lang w:val="en-US" w:eastAsia="zh-CN" w:bidi="ar-SA"/>
                  </w:rPr>
                </m:ctrlPr>
              </m:sSubPr>
              <m:e>
                <m:r>
                  <m:rPr>
                    <m:sty m:val="p"/>
                  </m:rPr>
                  <w:rPr>
                    <w:rFonts w:ascii="Cambria Math" w:hAnsi="Cambria Math" w:cs="Cambria Math"/>
                    <w:color w:val="auto"/>
                    <w:kern w:val="2"/>
                    <w:sz w:val="24"/>
                    <w:szCs w:val="24"/>
                    <w:lang w:val="en-US" w:bidi="ar-SA"/>
                  </w:rPr>
                  <m:t>γ</m:t>
                </m:r>
                <m:ctrlPr>
                  <w:rPr>
                    <w:rFonts w:hint="default" w:ascii="Cambria Math" w:hAnsi="Cambria Math" w:cs="Cambria Math"/>
                    <w:color w:val="auto"/>
                    <w:kern w:val="2"/>
                    <w:sz w:val="24"/>
                    <w:szCs w:val="24"/>
                    <w:lang w:val="en-US" w:eastAsia="zh-CN" w:bidi="ar-SA"/>
                  </w:rPr>
                </m:ctrlPr>
              </m:e>
              <m:sub>
                <m:r>
                  <m:rPr>
                    <m:sty m:val="p"/>
                  </m:rPr>
                  <w:rPr>
                    <w:rFonts w:hint="default" w:ascii="Cambria Math" w:hAnsi="Cambria Math" w:cs="Cambria Math"/>
                    <w:color w:val="auto"/>
                    <w:kern w:val="2"/>
                    <w:sz w:val="24"/>
                    <w:szCs w:val="24"/>
                    <w:lang w:val="en-US" w:eastAsia="zh-CN" w:bidi="ar-SA"/>
                  </w:rPr>
                  <m:t>RE</m:t>
                </m:r>
                <m:ctrlPr>
                  <w:rPr>
                    <w:rFonts w:hint="default" w:ascii="Cambria Math" w:hAnsi="Cambria Math" w:cs="Cambria Math"/>
                    <w:color w:val="auto"/>
                    <w:kern w:val="2"/>
                    <w:sz w:val="24"/>
                    <w:szCs w:val="24"/>
                    <w:lang w:val="en-US" w:eastAsia="zh-CN" w:bidi="ar-SA"/>
                  </w:rPr>
                </m:ctrlPr>
              </m:sub>
            </m:sSub>
            <m:ctrlPr>
              <w:rPr>
                <w:rFonts w:hint="default" w:ascii="Cambria Math" w:hAnsi="Cambria Math" w:cs="Cambria Math"/>
                <w:color w:val="auto"/>
                <w:kern w:val="2"/>
                <w:sz w:val="24"/>
                <w:szCs w:val="24"/>
                <w:lang w:val="en-US" w:eastAsia="zh-CN" w:bidi="ar-SA"/>
              </w:rPr>
            </m:ctrlPr>
          </m:den>
        </m:f>
      </m:oMath>
      <w:r>
        <w:rPr>
          <w:rFonts w:hint="eastAsia" w:hAnsi="Cambria Math" w:cs="Cambria Math"/>
          <w:i w:val="0"/>
          <w:color w:val="auto"/>
          <w:kern w:val="2"/>
          <w:sz w:val="24"/>
          <w:szCs w:val="24"/>
          <w:lang w:val="en-US" w:eastAsia="zh-CN" w:bidi="ar-SA"/>
        </w:rPr>
        <w:t xml:space="preserve">                 (5.3.9-2)</w:t>
      </w:r>
    </w:p>
    <w:p w14:paraId="48AF9BCE">
      <w:p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补充荷载效应基本组合设计值的计算公式。</w:t>
      </w:r>
    </w:p>
    <w:p w14:paraId="538912FB">
      <w:pPr>
        <w:ind w:firstLine="480" w:firstLineChars="200"/>
        <w:rPr>
          <w:rFonts w:hint="eastAsia"/>
          <w:color w:val="auto"/>
          <w:sz w:val="24"/>
          <w:szCs w:val="32"/>
          <w:lang w:val="en-US" w:eastAsia="zh-CN"/>
        </w:rPr>
      </w:pPr>
      <w:bookmarkStart w:id="13" w:name="_Toc28271"/>
      <w:r>
        <w:rPr>
          <w:rFonts w:hint="eastAsia"/>
          <w:b/>
          <w:bCs/>
          <w:color w:val="auto"/>
          <w:sz w:val="24"/>
          <w:szCs w:val="32"/>
          <w:lang w:val="en-US" w:eastAsia="zh-CN"/>
        </w:rPr>
        <w:t>1</w:t>
      </w:r>
      <w:r>
        <w:rPr>
          <w:rFonts w:hint="eastAsia"/>
          <w:color w:val="auto"/>
          <w:sz w:val="24"/>
          <w:szCs w:val="32"/>
          <w:lang w:val="en-US" w:eastAsia="zh-CN"/>
        </w:rPr>
        <w:t xml:space="preserve">  持久设计状况</w:t>
      </w:r>
      <w:bookmarkEnd w:id="13"/>
    </w:p>
    <w:p w14:paraId="3A16B93F">
      <w:pPr>
        <w:pStyle w:val="48"/>
        <w:spacing w:before="0" w:after="0" w:line="360" w:lineRule="auto"/>
        <w:ind w:firstLine="0" w:firstLineChars="0"/>
        <w:jc w:val="right"/>
        <w:rPr>
          <w:rFonts w:cs="Times New Roman"/>
          <w:bCs/>
          <w:color w:val="auto"/>
        </w:rPr>
      </w:pPr>
      <w:r>
        <w:rPr>
          <w:rFonts w:cs="Times New Roman"/>
          <w:bCs/>
          <w:color w:val="auto"/>
        </w:rPr>
        <w:t xml:space="preserve">                          </w:t>
      </w:r>
      <m:oMath>
        <m:r>
          <m:rPr>
            <m:sty m:val="p"/>
          </m:rPr>
          <w:rPr>
            <w:rFonts w:ascii="Cambria Math" w:hAnsi="Cambria Math" w:cs="Times New Roman"/>
            <w:color w:val="auto"/>
            <w:sz w:val="24"/>
            <w:szCs w:val="32"/>
          </w:rPr>
          <m:t>S=</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Gk</m:t>
            </m:r>
            <m:ctrlPr>
              <w:rPr>
                <w:rFonts w:ascii="Cambria Math" w:hAnsi="Cambria Math" w:cs="Times New Roman"/>
                <w:bCs/>
                <w:color w:val="auto"/>
                <w:sz w:val="24"/>
                <w:szCs w:val="32"/>
              </w:rPr>
            </m:ctrlPr>
          </m:sub>
        </m:sSub>
        <m:r>
          <m:rPr>
            <m:sty m:val="p"/>
          </m:rPr>
          <w:rPr>
            <w:rFonts w:ascii="Cambria Math" w:hAnsi="Cambria Math" w:cs="Times New Roman"/>
            <w:color w:val="auto"/>
            <w:sz w:val="24"/>
            <w:szCs w:val="32"/>
          </w:rPr>
          <m:t>+</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W</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Wk</m:t>
            </m:r>
            <m:ctrlPr>
              <w:rPr>
                <w:rFonts w:ascii="Cambria Math" w:hAnsi="Cambria Math" w:cs="Times New Roman"/>
                <w:bCs/>
                <w:color w:val="auto"/>
                <w:sz w:val="24"/>
                <w:szCs w:val="32"/>
              </w:rPr>
            </m:ctrlPr>
          </m:sub>
        </m:sSub>
      </m:oMath>
      <w:r>
        <w:rPr>
          <w:rFonts w:cs="Times New Roman"/>
          <w:bCs/>
          <w:color w:val="auto"/>
        </w:rPr>
        <w:t xml:space="preserve">                  </w:t>
      </w:r>
      <w:r>
        <w:rPr>
          <w:rFonts w:hint="eastAsia" w:ascii="宋体" w:hAnsi="宋体" w:eastAsia="宋体" w:cs="宋体"/>
          <w:strike w:val="0"/>
          <w:dstrike w:val="0"/>
          <w:color w:val="auto"/>
          <w:kern w:val="2"/>
          <w:sz w:val="24"/>
          <w:szCs w:val="24"/>
          <w:highlight w:val="none"/>
          <w:lang w:val="en-US" w:eastAsia="zh-CN" w:bidi="ar-SA"/>
        </w:rPr>
        <w:t xml:space="preserve"> (5.</w:t>
      </w:r>
      <w:r>
        <w:rPr>
          <w:rFonts w:hint="eastAsia" w:ascii="宋体" w:hAnsi="宋体" w:cs="宋体"/>
          <w:strike w:val="0"/>
          <w:dstrike w:val="0"/>
          <w:color w:val="auto"/>
          <w:kern w:val="2"/>
          <w:sz w:val="24"/>
          <w:szCs w:val="24"/>
          <w:highlight w:val="none"/>
          <w:lang w:val="en-US" w:eastAsia="zh-CN" w:bidi="ar-SA"/>
        </w:rPr>
        <w:t>3</w:t>
      </w:r>
      <w:r>
        <w:rPr>
          <w:rFonts w:hint="eastAsia" w:ascii="宋体" w:hAnsi="宋体" w:eastAsia="宋体" w:cs="宋体"/>
          <w:strike w:val="0"/>
          <w:dstrike w:val="0"/>
          <w:color w:val="auto"/>
          <w:kern w:val="2"/>
          <w:sz w:val="24"/>
          <w:szCs w:val="24"/>
          <w:highlight w:val="none"/>
          <w:lang w:val="en-US" w:eastAsia="zh-CN" w:bidi="ar-SA"/>
        </w:rPr>
        <w:t>.</w:t>
      </w:r>
      <w:r>
        <w:rPr>
          <w:rFonts w:hint="eastAsia" w:ascii="宋体" w:hAnsi="宋体" w:cs="宋体"/>
          <w:strike w:val="0"/>
          <w:dstrike w:val="0"/>
          <w:color w:val="auto"/>
          <w:kern w:val="2"/>
          <w:sz w:val="24"/>
          <w:szCs w:val="24"/>
          <w:highlight w:val="none"/>
          <w:lang w:val="en-US" w:eastAsia="zh-CN" w:bidi="ar-SA"/>
        </w:rPr>
        <w:t>12</w:t>
      </w:r>
      <w:r>
        <w:rPr>
          <w:rFonts w:hint="eastAsia" w:ascii="宋体" w:hAnsi="宋体" w:eastAsia="宋体" w:cs="宋体"/>
          <w:strike w:val="0"/>
          <w:dstrike w:val="0"/>
          <w:color w:val="auto"/>
          <w:kern w:val="2"/>
          <w:sz w:val="24"/>
          <w:szCs w:val="24"/>
          <w:highlight w:val="none"/>
          <w:lang w:val="en-US" w:eastAsia="zh-CN" w:bidi="ar-SA"/>
        </w:rPr>
        <w:t>-1)</w:t>
      </w:r>
    </w:p>
    <w:p w14:paraId="244FCDD9">
      <w:pPr>
        <w:ind w:firstLine="480" w:firstLineChars="200"/>
        <w:rPr>
          <w:rFonts w:hint="eastAsia"/>
          <w:color w:val="auto"/>
          <w:sz w:val="24"/>
          <w:szCs w:val="32"/>
          <w:lang w:val="en-US" w:eastAsia="zh-CN"/>
        </w:rPr>
      </w:pPr>
      <w:bookmarkStart w:id="14" w:name="_Toc20316"/>
      <w:r>
        <w:rPr>
          <w:rFonts w:hint="eastAsia"/>
          <w:b/>
          <w:bCs/>
          <w:color w:val="auto"/>
          <w:sz w:val="24"/>
          <w:szCs w:val="32"/>
          <w:lang w:val="en-US" w:eastAsia="zh-CN"/>
        </w:rPr>
        <w:t>2</w:t>
      </w:r>
      <w:r>
        <w:rPr>
          <w:rFonts w:hint="eastAsia"/>
          <w:color w:val="auto"/>
          <w:sz w:val="24"/>
          <w:szCs w:val="32"/>
          <w:lang w:val="en-US" w:eastAsia="zh-CN"/>
        </w:rPr>
        <w:t xml:space="preserve">  地震设计状况</w:t>
      </w:r>
      <w:bookmarkEnd w:id="14"/>
    </w:p>
    <w:p w14:paraId="7019D4CF">
      <w:pPr>
        <w:pStyle w:val="48"/>
        <w:spacing w:before="0" w:after="0" w:line="360" w:lineRule="auto"/>
        <w:ind w:firstLine="720" w:firstLineChars="300"/>
        <w:jc w:val="both"/>
        <w:rPr>
          <w:rFonts w:hint="eastAsia" w:ascii="宋体" w:hAnsi="宋体" w:eastAsia="宋体" w:cs="宋体"/>
          <w:strike w:val="0"/>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在水平地震作用下：</w:t>
      </w:r>
    </w:p>
    <w:p w14:paraId="69C60ECE">
      <w:pPr>
        <w:pStyle w:val="48"/>
        <w:spacing w:before="0" w:after="0" w:line="360" w:lineRule="auto"/>
        <w:ind w:firstLine="0" w:firstLineChars="0"/>
        <w:jc w:val="right"/>
        <w:rPr>
          <w:rFonts w:cs="Times New Roman"/>
          <w:bCs/>
          <w:color w:val="auto"/>
        </w:rPr>
      </w:pPr>
      <w:r>
        <w:rPr>
          <w:rFonts w:cs="Times New Roman"/>
          <w:bCs/>
          <w:color w:val="auto"/>
        </w:rPr>
        <w:t xml:space="preserve">                    </w:t>
      </w:r>
      <m:oMath>
        <m:r>
          <m:rPr>
            <m:sty m:val="p"/>
          </m:rPr>
          <w:rPr>
            <w:rFonts w:ascii="Cambria Math" w:hAnsi="Cambria Math" w:cs="Times New Roman"/>
            <w:color w:val="auto"/>
            <w:sz w:val="24"/>
            <w:szCs w:val="32"/>
          </w:rPr>
          <m:t>S=</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Gk</m:t>
            </m:r>
            <m:ctrlPr>
              <w:rPr>
                <w:rFonts w:ascii="Cambria Math" w:hAnsi="Cambria Math" w:cs="Times New Roman"/>
                <w:bCs/>
                <w:color w:val="auto"/>
                <w:sz w:val="24"/>
                <w:szCs w:val="32"/>
              </w:rPr>
            </m:ctrlPr>
          </m:sub>
        </m:sSub>
        <m:r>
          <m:rPr>
            <m:sty m:val="p"/>
          </m:rPr>
          <w:rPr>
            <w:rFonts w:ascii="Cambria Math" w:hAnsi="Cambria Math" w:cs="Times New Roman"/>
            <w:color w:val="auto"/>
            <w:sz w:val="24"/>
            <w:szCs w:val="32"/>
          </w:rPr>
          <m:t>+</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Eh</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Ehk</m:t>
            </m:r>
            <m:ctrlPr>
              <w:rPr>
                <w:rFonts w:ascii="Cambria Math" w:hAnsi="Cambria Math" w:cs="Times New Roman"/>
                <w:bCs/>
                <w:color w:val="auto"/>
                <w:sz w:val="24"/>
                <w:szCs w:val="32"/>
              </w:rPr>
            </m:ctrlPr>
          </m:sub>
        </m:sSub>
        <m:r>
          <m:rPr>
            <m:sty m:val="p"/>
          </m:rPr>
          <w:rPr>
            <w:rFonts w:ascii="Cambria Math" w:hAnsi="Cambria Math" w:cs="Times New Roman"/>
            <w:color w:val="auto"/>
            <w:sz w:val="24"/>
            <w:szCs w:val="32"/>
          </w:rPr>
          <m:t>+</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ψ</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W</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W</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Wk</m:t>
            </m:r>
            <m:ctrlPr>
              <w:rPr>
                <w:rFonts w:ascii="Cambria Math" w:hAnsi="Cambria Math" w:cs="Times New Roman"/>
                <w:bCs/>
                <w:color w:val="auto"/>
                <w:sz w:val="24"/>
                <w:szCs w:val="32"/>
              </w:rPr>
            </m:ctrlPr>
          </m:sub>
        </m:sSub>
      </m:oMath>
      <w:r>
        <w:rPr>
          <w:rFonts w:cs="Times New Roman"/>
          <w:bCs/>
          <w:color w:val="auto"/>
        </w:rPr>
        <w:t xml:space="preserve">             </w:t>
      </w:r>
      <w:r>
        <w:rPr>
          <w:rFonts w:hint="eastAsia" w:ascii="宋体" w:hAnsi="宋体" w:eastAsia="宋体" w:cs="宋体"/>
          <w:strike w:val="0"/>
          <w:dstrike w:val="0"/>
          <w:color w:val="auto"/>
          <w:kern w:val="2"/>
          <w:sz w:val="24"/>
          <w:szCs w:val="24"/>
          <w:highlight w:val="none"/>
          <w:lang w:val="en-US" w:eastAsia="zh-CN" w:bidi="ar-SA"/>
        </w:rPr>
        <w:t>(5.</w:t>
      </w:r>
      <w:r>
        <w:rPr>
          <w:rFonts w:hint="eastAsia" w:ascii="宋体" w:hAnsi="宋体" w:cs="宋体"/>
          <w:strike w:val="0"/>
          <w:dstrike w:val="0"/>
          <w:color w:val="auto"/>
          <w:kern w:val="2"/>
          <w:sz w:val="24"/>
          <w:szCs w:val="24"/>
          <w:highlight w:val="none"/>
          <w:lang w:val="en-US" w:eastAsia="zh-CN" w:bidi="ar-SA"/>
        </w:rPr>
        <w:t>3</w:t>
      </w:r>
      <w:r>
        <w:rPr>
          <w:rFonts w:hint="eastAsia" w:ascii="宋体" w:hAnsi="宋体" w:eastAsia="宋体" w:cs="宋体"/>
          <w:strike w:val="0"/>
          <w:dstrike w:val="0"/>
          <w:color w:val="auto"/>
          <w:kern w:val="2"/>
          <w:sz w:val="24"/>
          <w:szCs w:val="24"/>
          <w:highlight w:val="none"/>
          <w:lang w:val="en-US" w:eastAsia="zh-CN" w:bidi="ar-SA"/>
        </w:rPr>
        <w:t>.</w:t>
      </w:r>
      <w:r>
        <w:rPr>
          <w:rFonts w:hint="eastAsia" w:ascii="宋体" w:hAnsi="宋体" w:cs="宋体"/>
          <w:strike w:val="0"/>
          <w:dstrike w:val="0"/>
          <w:color w:val="auto"/>
          <w:kern w:val="2"/>
          <w:sz w:val="24"/>
          <w:szCs w:val="24"/>
          <w:highlight w:val="none"/>
          <w:lang w:val="en-US" w:eastAsia="zh-CN" w:bidi="ar-SA"/>
        </w:rPr>
        <w:t>12</w:t>
      </w:r>
      <w:r>
        <w:rPr>
          <w:rFonts w:hint="eastAsia" w:ascii="宋体" w:hAnsi="宋体" w:eastAsia="宋体" w:cs="宋体"/>
          <w:strike w:val="0"/>
          <w:dstrike w:val="0"/>
          <w:color w:val="auto"/>
          <w:kern w:val="2"/>
          <w:sz w:val="24"/>
          <w:szCs w:val="24"/>
          <w:highlight w:val="none"/>
          <w:lang w:val="en-US" w:eastAsia="zh-CN" w:bidi="ar-SA"/>
        </w:rPr>
        <w:t>-2)</w:t>
      </w:r>
    </w:p>
    <w:p w14:paraId="0852C8D4">
      <w:pPr>
        <w:pStyle w:val="48"/>
        <w:spacing w:before="0" w:after="0" w:line="360" w:lineRule="auto"/>
        <w:ind w:firstLine="720" w:firstLineChars="300"/>
        <w:jc w:val="both"/>
        <w:rPr>
          <w:rFonts w:hint="eastAsia" w:ascii="宋体" w:hAnsi="宋体" w:eastAsia="宋体" w:cs="宋体"/>
          <w:strike w:val="0"/>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在竖向地震作用下：</w:t>
      </w:r>
    </w:p>
    <w:p w14:paraId="2CB9BA71">
      <w:pPr>
        <w:pStyle w:val="48"/>
        <w:spacing w:before="0" w:after="0" w:line="360" w:lineRule="auto"/>
        <w:ind w:firstLine="0" w:firstLineChars="0"/>
        <w:jc w:val="right"/>
        <w:rPr>
          <w:rFonts w:cs="Times New Roman"/>
          <w:bCs/>
          <w:color w:val="auto"/>
        </w:rPr>
      </w:pPr>
      <w:r>
        <w:rPr>
          <w:rFonts w:cs="Times New Roman"/>
          <w:bCs/>
          <w:color w:val="auto"/>
        </w:rPr>
        <w:t xml:space="preserve">                         </w:t>
      </w:r>
      <m:oMath>
        <m:r>
          <m:rPr>
            <m:sty m:val="p"/>
          </m:rPr>
          <w:rPr>
            <w:rFonts w:ascii="Cambria Math" w:hAnsi="Cambria Math" w:cs="Times New Roman"/>
            <w:color w:val="auto"/>
            <w:sz w:val="24"/>
            <w:szCs w:val="32"/>
          </w:rPr>
          <m:t>S=</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Gk</m:t>
            </m:r>
            <m:ctrlPr>
              <w:rPr>
                <w:rFonts w:ascii="Cambria Math" w:hAnsi="Cambria Math" w:cs="Times New Roman"/>
                <w:bCs/>
                <w:color w:val="auto"/>
                <w:sz w:val="24"/>
                <w:szCs w:val="32"/>
              </w:rPr>
            </m:ctrlPr>
          </m:sub>
        </m:sSub>
        <m:r>
          <m:rPr>
            <m:sty m:val="p"/>
          </m:rPr>
          <w:rPr>
            <w:rFonts w:ascii="Cambria Math" w:hAnsi="Cambria Math" w:cs="Times New Roman"/>
            <w:color w:val="auto"/>
            <w:sz w:val="24"/>
            <w:szCs w:val="32"/>
          </w:rPr>
          <m:t>+</m:t>
        </m:r>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γ</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Ev</m:t>
            </m:r>
            <m:ctrlPr>
              <w:rPr>
                <w:rFonts w:ascii="Cambria Math" w:hAnsi="Cambria Math" w:cs="Times New Roman"/>
                <w:bCs/>
                <w:color w:val="auto"/>
                <w:sz w:val="24"/>
                <w:szCs w:val="32"/>
              </w:rPr>
            </m:ctrlPr>
          </m:sub>
        </m:sSub>
        <m:sSub>
          <m:sSubPr>
            <m:ctrlPr>
              <w:rPr>
                <w:rFonts w:ascii="Cambria Math" w:hAnsi="Cambria Math" w:cs="Times New Roman"/>
                <w:bCs/>
                <w:color w:val="auto"/>
                <w:sz w:val="24"/>
                <w:szCs w:val="32"/>
              </w:rPr>
            </m:ctrlPr>
          </m:sSubPr>
          <m:e>
            <m:r>
              <m:rPr>
                <m:sty m:val="p"/>
              </m:rPr>
              <w:rPr>
                <w:rFonts w:ascii="Cambria Math" w:hAnsi="Cambria Math" w:cs="Times New Roman"/>
                <w:color w:val="auto"/>
                <w:sz w:val="24"/>
                <w:szCs w:val="32"/>
              </w:rPr>
              <m:t>S</m:t>
            </m:r>
            <m:ctrlPr>
              <w:rPr>
                <w:rFonts w:ascii="Cambria Math" w:hAnsi="Cambria Math" w:cs="Times New Roman"/>
                <w:bCs/>
                <w:color w:val="auto"/>
                <w:sz w:val="24"/>
                <w:szCs w:val="32"/>
              </w:rPr>
            </m:ctrlPr>
          </m:e>
          <m:sub>
            <m:r>
              <m:rPr>
                <m:sty m:val="p"/>
              </m:rPr>
              <w:rPr>
                <w:rFonts w:ascii="Cambria Math" w:hAnsi="Cambria Math" w:cs="Times New Roman"/>
                <w:color w:val="auto"/>
                <w:sz w:val="24"/>
                <w:szCs w:val="32"/>
              </w:rPr>
              <m:t>Evk</m:t>
            </m:r>
            <m:ctrlPr>
              <w:rPr>
                <w:rFonts w:ascii="Cambria Math" w:hAnsi="Cambria Math" w:cs="Times New Roman"/>
                <w:bCs/>
                <w:color w:val="auto"/>
                <w:sz w:val="24"/>
                <w:szCs w:val="32"/>
              </w:rPr>
            </m:ctrlPr>
          </m:sub>
        </m:sSub>
      </m:oMath>
      <w:r>
        <w:rPr>
          <w:rFonts w:cs="Times New Roman"/>
          <w:bCs/>
          <w:color w:val="auto"/>
        </w:rPr>
        <w:t xml:space="preserve">                  </w:t>
      </w:r>
      <w:r>
        <w:rPr>
          <w:rFonts w:hint="eastAsia" w:ascii="宋体" w:hAnsi="宋体" w:eastAsia="宋体" w:cs="宋体"/>
          <w:strike w:val="0"/>
          <w:dstrike w:val="0"/>
          <w:color w:val="auto"/>
          <w:kern w:val="2"/>
          <w:sz w:val="24"/>
          <w:szCs w:val="24"/>
          <w:highlight w:val="none"/>
          <w:lang w:val="en-US" w:eastAsia="zh-CN" w:bidi="ar-SA"/>
        </w:rPr>
        <w:t xml:space="preserve"> (5.</w:t>
      </w:r>
      <w:r>
        <w:rPr>
          <w:rFonts w:hint="eastAsia" w:ascii="宋体" w:hAnsi="宋体" w:cs="宋体"/>
          <w:strike w:val="0"/>
          <w:dstrike w:val="0"/>
          <w:color w:val="auto"/>
          <w:kern w:val="2"/>
          <w:sz w:val="24"/>
          <w:szCs w:val="24"/>
          <w:highlight w:val="none"/>
          <w:lang w:val="en-US" w:eastAsia="zh-CN" w:bidi="ar-SA"/>
        </w:rPr>
        <w:t>3</w:t>
      </w:r>
      <w:r>
        <w:rPr>
          <w:rFonts w:hint="eastAsia" w:ascii="宋体" w:hAnsi="宋体" w:eastAsia="宋体" w:cs="宋体"/>
          <w:strike w:val="0"/>
          <w:dstrike w:val="0"/>
          <w:color w:val="auto"/>
          <w:kern w:val="2"/>
          <w:sz w:val="24"/>
          <w:szCs w:val="24"/>
          <w:highlight w:val="none"/>
          <w:lang w:val="en-US" w:eastAsia="zh-CN" w:bidi="ar-SA"/>
        </w:rPr>
        <w:t>.</w:t>
      </w:r>
      <w:r>
        <w:rPr>
          <w:rFonts w:hint="eastAsia" w:ascii="宋体" w:hAnsi="宋体" w:cs="宋体"/>
          <w:strike w:val="0"/>
          <w:dstrike w:val="0"/>
          <w:color w:val="auto"/>
          <w:kern w:val="2"/>
          <w:sz w:val="24"/>
          <w:szCs w:val="24"/>
          <w:highlight w:val="none"/>
          <w:lang w:val="en-US" w:eastAsia="zh-CN" w:bidi="ar-SA"/>
        </w:rPr>
        <w:t>12</w:t>
      </w:r>
      <w:r>
        <w:rPr>
          <w:rFonts w:hint="eastAsia" w:ascii="宋体" w:hAnsi="宋体" w:eastAsia="宋体" w:cs="宋体"/>
          <w:strike w:val="0"/>
          <w:dstrike w:val="0"/>
          <w:color w:val="auto"/>
          <w:kern w:val="2"/>
          <w:sz w:val="24"/>
          <w:szCs w:val="24"/>
          <w:highlight w:val="none"/>
          <w:lang w:val="en-US" w:eastAsia="zh-CN" w:bidi="ar-SA"/>
        </w:rPr>
        <w:t>-3)</w:t>
      </w:r>
    </w:p>
    <w:p w14:paraId="5966E18B">
      <w:p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持久设计状况、地震设计状况下进行连接节点的承载力设计时，永久荷载分项系数的取值。</w:t>
      </w:r>
    </w:p>
    <w:p w14:paraId="0B31678E">
      <w:pPr>
        <w:spacing w:line="500" w:lineRule="exact"/>
        <w:ind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计算水平地震作用标准值时，可采用等效测力法。</w:t>
      </w:r>
    </w:p>
    <w:p w14:paraId="390CFEFC">
      <w:pPr>
        <w:spacing w:line="500" w:lineRule="exact"/>
        <w:ind w:firstLine="480" w:firstLineChars="200"/>
        <w:jc w:val="right"/>
        <w:rPr>
          <w:rFonts w:hint="eastAsia" w:asciiTheme="majorEastAsia" w:hAnsiTheme="majorEastAsia" w:eastAsiaTheme="majorEastAsia"/>
          <w:color w:val="auto"/>
          <w:sz w:val="24"/>
          <w:szCs w:val="24"/>
          <w:lang w:val="en-US" w:eastAsia="zh-CN"/>
        </w:rPr>
      </w:pPr>
      <w:r>
        <w:rPr>
          <w:rFonts w:cs="Times New Roman"/>
          <w:color w:val="auto"/>
          <w:sz w:val="24"/>
          <w:szCs w:val="32"/>
        </w:rPr>
        <w:t xml:space="preserve"> </w:t>
      </w:r>
      <m:oMath>
        <m:sSub>
          <m:sSubPr>
            <m:ctrlPr>
              <w:rPr>
                <w:rFonts w:ascii="Cambria Math" w:hAnsi="Cambria Math" w:cs="Times New Roman"/>
                <w:i/>
                <w:color w:val="auto"/>
                <w:sz w:val="24"/>
                <w:szCs w:val="32"/>
              </w:rPr>
            </m:ctrlPr>
          </m:sSubPr>
          <m:e>
            <m:r>
              <m:rPr/>
              <w:rPr>
                <w:rFonts w:ascii="Cambria Math" w:hAnsi="Cambria Math" w:cs="Times New Roman"/>
                <w:color w:val="auto"/>
                <w:sz w:val="24"/>
                <w:szCs w:val="32"/>
              </w:rPr>
              <m:t>F</m:t>
            </m:r>
            <m:ctrlPr>
              <w:rPr>
                <w:rFonts w:ascii="Cambria Math" w:hAnsi="Cambria Math" w:cs="Times New Roman"/>
                <w:i/>
                <w:color w:val="auto"/>
                <w:sz w:val="24"/>
                <w:szCs w:val="32"/>
              </w:rPr>
            </m:ctrlPr>
          </m:e>
          <m:sub>
            <m:r>
              <m:rPr/>
              <w:rPr>
                <w:rFonts w:ascii="Cambria Math" w:hAnsi="Cambria Math" w:cs="Times New Roman"/>
                <w:color w:val="auto"/>
                <w:sz w:val="24"/>
                <w:szCs w:val="32"/>
              </w:rPr>
              <m:t>Eℎk</m:t>
            </m:r>
            <m:ctrlPr>
              <w:rPr>
                <w:rFonts w:ascii="Cambria Math" w:hAnsi="Cambria Math" w:cs="Times New Roman"/>
                <w:i/>
                <w:color w:val="auto"/>
                <w:sz w:val="24"/>
                <w:szCs w:val="32"/>
              </w:rPr>
            </m:ctrlPr>
          </m:sub>
        </m:sSub>
        <m:r>
          <m:rPr/>
          <w:rPr>
            <w:rFonts w:ascii="Cambria Math" w:hAnsi="Cambria Math" w:cs="Times New Roman"/>
            <w:color w:val="auto"/>
            <w:sz w:val="24"/>
            <w:szCs w:val="32"/>
          </w:rPr>
          <m:t>=</m:t>
        </m:r>
        <m:sSub>
          <m:sSubPr>
            <m:ctrlPr>
              <w:rPr>
                <w:rFonts w:ascii="Cambria Math" w:hAnsi="Cambria Math" w:cs="Times New Roman"/>
                <w:i/>
                <w:color w:val="auto"/>
                <w:sz w:val="24"/>
                <w:szCs w:val="32"/>
              </w:rPr>
            </m:ctrlPr>
          </m:sSubPr>
          <m:e>
            <m:r>
              <m:rPr/>
              <w:rPr>
                <w:rFonts w:ascii="Cambria Math" w:hAnsi="Cambria Math" w:cs="Times New Roman"/>
                <w:color w:val="auto"/>
                <w:sz w:val="24"/>
                <w:szCs w:val="32"/>
              </w:rPr>
              <m:t>β</m:t>
            </m:r>
            <m:ctrlPr>
              <w:rPr>
                <w:rFonts w:ascii="Cambria Math" w:hAnsi="Cambria Math" w:cs="Times New Roman"/>
                <w:i/>
                <w:color w:val="auto"/>
                <w:sz w:val="24"/>
                <w:szCs w:val="32"/>
              </w:rPr>
            </m:ctrlPr>
          </m:e>
          <m:sub>
            <m:r>
              <m:rPr/>
              <w:rPr>
                <w:rFonts w:ascii="Cambria Math" w:hAnsi="Cambria Math" w:cs="Times New Roman"/>
                <w:color w:val="auto"/>
                <w:sz w:val="24"/>
                <w:szCs w:val="32"/>
              </w:rPr>
              <m:t>E</m:t>
            </m:r>
            <m:ctrlPr>
              <w:rPr>
                <w:rFonts w:ascii="Cambria Math" w:hAnsi="Cambria Math" w:cs="Times New Roman"/>
                <w:i/>
                <w:color w:val="auto"/>
                <w:sz w:val="24"/>
                <w:szCs w:val="32"/>
              </w:rPr>
            </m:ctrlPr>
          </m:sub>
        </m:sSub>
        <m:sSub>
          <m:sSubPr>
            <m:ctrlPr>
              <w:rPr>
                <w:rFonts w:ascii="Cambria Math" w:hAnsi="Cambria Math" w:cs="Times New Roman"/>
                <w:i/>
                <w:color w:val="auto"/>
                <w:sz w:val="24"/>
                <w:szCs w:val="32"/>
              </w:rPr>
            </m:ctrlPr>
          </m:sSubPr>
          <m:e>
            <m:r>
              <m:rPr/>
              <w:rPr>
                <w:rFonts w:ascii="Cambria Math" w:hAnsi="Cambria Math" w:cs="Times New Roman"/>
                <w:color w:val="auto"/>
                <w:sz w:val="24"/>
                <w:szCs w:val="32"/>
              </w:rPr>
              <m:t>α</m:t>
            </m:r>
            <m:ctrlPr>
              <w:rPr>
                <w:rFonts w:ascii="Cambria Math" w:hAnsi="Cambria Math" w:cs="Times New Roman"/>
                <w:i/>
                <w:color w:val="auto"/>
                <w:sz w:val="24"/>
                <w:szCs w:val="32"/>
              </w:rPr>
            </m:ctrlPr>
          </m:e>
          <m:sub>
            <m:r>
              <m:rPr/>
              <w:rPr>
                <w:rFonts w:ascii="Cambria Math" w:hAnsi="Cambria Math" w:cs="Times New Roman"/>
                <w:color w:val="auto"/>
                <w:sz w:val="24"/>
                <w:szCs w:val="32"/>
              </w:rPr>
              <m:t>max</m:t>
            </m:r>
            <m:ctrlPr>
              <w:rPr>
                <w:rFonts w:ascii="Cambria Math" w:hAnsi="Cambria Math" w:cs="Times New Roman"/>
                <w:i/>
                <w:color w:val="auto"/>
                <w:sz w:val="24"/>
                <w:szCs w:val="32"/>
              </w:rPr>
            </m:ctrlPr>
          </m:sub>
        </m:sSub>
        <m:sSub>
          <m:sSubPr>
            <m:ctrlPr>
              <w:rPr>
                <w:rFonts w:ascii="Cambria Math" w:hAnsi="Cambria Math" w:cs="Times New Roman"/>
                <w:i/>
                <w:color w:val="auto"/>
                <w:sz w:val="24"/>
                <w:szCs w:val="32"/>
              </w:rPr>
            </m:ctrlPr>
          </m:sSubPr>
          <m:e>
            <m:r>
              <m:rPr/>
              <w:rPr>
                <w:rFonts w:ascii="Cambria Math" w:hAnsi="Cambria Math" w:cs="Times New Roman"/>
                <w:color w:val="auto"/>
                <w:sz w:val="24"/>
                <w:szCs w:val="32"/>
              </w:rPr>
              <m:t>G</m:t>
            </m:r>
            <m:ctrlPr>
              <w:rPr>
                <w:rFonts w:ascii="Cambria Math" w:hAnsi="Cambria Math" w:cs="Times New Roman"/>
                <w:i/>
                <w:color w:val="auto"/>
                <w:sz w:val="24"/>
                <w:szCs w:val="32"/>
              </w:rPr>
            </m:ctrlPr>
          </m:e>
          <m:sub>
            <m:r>
              <m:rPr/>
              <w:rPr>
                <w:rFonts w:ascii="Cambria Math" w:hAnsi="Cambria Math" w:cs="Times New Roman"/>
                <w:color w:val="auto"/>
                <w:sz w:val="24"/>
                <w:szCs w:val="32"/>
              </w:rPr>
              <m:t>k</m:t>
            </m:r>
            <m:ctrlPr>
              <w:rPr>
                <w:rFonts w:ascii="Cambria Math" w:hAnsi="Cambria Math" w:cs="Times New Roman"/>
                <w:i/>
                <w:color w:val="auto"/>
                <w:sz w:val="24"/>
                <w:szCs w:val="32"/>
              </w:rPr>
            </m:ctrlPr>
          </m:sub>
        </m:sSub>
      </m:oMath>
      <w:r>
        <w:rPr>
          <w:rFonts w:cs="Times New Roman"/>
          <w:color w:val="auto"/>
          <w:sz w:val="24"/>
          <w:szCs w:val="32"/>
        </w:rPr>
        <w:t xml:space="preserve">                        (5.</w:t>
      </w:r>
      <w:r>
        <w:rPr>
          <w:rFonts w:hint="eastAsia" w:cs="Times New Roman"/>
          <w:color w:val="auto"/>
          <w:sz w:val="24"/>
          <w:szCs w:val="32"/>
          <w:lang w:val="en-US" w:eastAsia="zh-CN"/>
        </w:rPr>
        <w:t>3</w:t>
      </w:r>
      <w:r>
        <w:rPr>
          <w:rFonts w:cs="Times New Roman"/>
          <w:color w:val="auto"/>
          <w:sz w:val="24"/>
          <w:szCs w:val="32"/>
        </w:rPr>
        <w:t>.</w:t>
      </w:r>
      <w:r>
        <w:rPr>
          <w:rFonts w:hint="eastAsia" w:cs="Times New Roman"/>
          <w:color w:val="auto"/>
          <w:sz w:val="24"/>
          <w:szCs w:val="32"/>
          <w:lang w:val="en-US" w:eastAsia="zh-CN"/>
        </w:rPr>
        <w:t>14</w:t>
      </w:r>
      <w:r>
        <w:rPr>
          <w:rFonts w:cs="Times New Roman"/>
          <w:color w:val="auto"/>
          <w:sz w:val="24"/>
          <w:szCs w:val="32"/>
        </w:rPr>
        <w:t xml:space="preserve">) </w:t>
      </w:r>
    </w:p>
    <w:p w14:paraId="2A18FE06">
      <w:pPr>
        <w:spacing w:line="360" w:lineRule="auto"/>
        <w:ind w:firstLine="480" w:firstLineChars="200"/>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6</w:t>
      </w:r>
      <w:r>
        <w:rPr>
          <w:rFonts w:hint="eastAsia" w:asciiTheme="majorEastAsia" w:hAnsiTheme="majorEastAsia" w:eastAsiaTheme="majorEastAsia"/>
          <w:color w:val="auto"/>
          <w:sz w:val="24"/>
          <w:szCs w:val="24"/>
          <w:lang w:eastAsia="zh-CN"/>
        </w:rPr>
        <w:t>）第</w:t>
      </w:r>
      <w:r>
        <w:rPr>
          <w:rFonts w:hint="eastAsia" w:asciiTheme="majorEastAsia" w:hAnsiTheme="majorEastAsia" w:eastAsiaTheme="majorEastAsia"/>
          <w:color w:val="auto"/>
          <w:sz w:val="24"/>
          <w:szCs w:val="24"/>
          <w:lang w:val="en-US" w:eastAsia="zh-CN"/>
        </w:rPr>
        <w:t>7章施工中，7.2.11修改为“宜采用钢质或钢包木”，7.2.18 补充“</w:t>
      </w:r>
      <w:r>
        <w:rPr>
          <w:rFonts w:hint="eastAsia" w:ascii="宋体" w:hAnsi="宋体" w:cs="宋体"/>
          <w:color w:val="auto"/>
          <w:sz w:val="24"/>
        </w:rPr>
        <w:t>首道面层施工可作为耐候性保护措施在结构施工阶段提前穿插。抹面层施工前，应根据材料系统供应商的相关要求涂刷界面剂。</w:t>
      </w:r>
      <w:r>
        <w:rPr>
          <w:rFonts w:hint="eastAsia" w:asciiTheme="majorEastAsia" w:hAnsiTheme="majorEastAsia" w:eastAsiaTheme="majorEastAsia"/>
          <w:color w:val="auto"/>
          <w:sz w:val="24"/>
          <w:szCs w:val="24"/>
          <w:lang w:val="en-US" w:eastAsia="zh-CN"/>
        </w:rPr>
        <w:t>”</w:t>
      </w:r>
    </w:p>
    <w:p w14:paraId="055D1CEF">
      <w:pPr>
        <w:pStyle w:val="20"/>
        <w:spacing w:before="312" w:after="312"/>
        <w:ind w:left="0"/>
        <w:rPr>
          <w:sz w:val="28"/>
          <w:szCs w:val="28"/>
        </w:rPr>
      </w:pPr>
      <w:bookmarkStart w:id="15" w:name="_Toc12493"/>
      <w:r>
        <w:rPr>
          <w:rFonts w:hint="eastAsia"/>
          <w:sz w:val="28"/>
          <w:szCs w:val="28"/>
        </w:rPr>
        <w:t>标准制定原则和依据</w:t>
      </w:r>
      <w:bookmarkEnd w:id="15"/>
    </w:p>
    <w:p w14:paraId="19386346">
      <w:pPr>
        <w:pStyle w:val="19"/>
        <w:spacing w:before="156" w:after="156" w:line="500" w:lineRule="exact"/>
        <w:rPr>
          <w:sz w:val="24"/>
          <w:szCs w:val="24"/>
        </w:rPr>
      </w:pPr>
      <w:bookmarkStart w:id="16" w:name="_Toc4851"/>
      <w:r>
        <w:rPr>
          <w:rFonts w:hint="eastAsia"/>
          <w:sz w:val="24"/>
          <w:szCs w:val="24"/>
        </w:rPr>
        <w:t>标准制定原则</w:t>
      </w:r>
      <w:bookmarkEnd w:id="16"/>
    </w:p>
    <w:p w14:paraId="3BF07AE8">
      <w:pPr>
        <w:spacing w:line="360" w:lineRule="auto"/>
        <w:ind w:firstLine="600" w:firstLineChars="250"/>
        <w:rPr>
          <w:rFonts w:ascii="Times New Roman" w:hAnsi="Times New Roman"/>
          <w:sz w:val="24"/>
          <w:szCs w:val="24"/>
        </w:rPr>
      </w:pPr>
      <w:r>
        <w:rPr>
          <w:rFonts w:hint="eastAsia" w:ascii="Times New Roman" w:hAnsi="Times New Roman"/>
          <w:sz w:val="24"/>
          <w:szCs w:val="24"/>
        </w:rPr>
        <w:t>本标准的制定根据国家和行业的相关法律法规，充分体现标准的科学性、先进性和实用性原则。</w:t>
      </w:r>
    </w:p>
    <w:p w14:paraId="732585A6">
      <w:pPr>
        <w:pStyle w:val="19"/>
        <w:spacing w:before="156" w:after="156" w:line="500" w:lineRule="exact"/>
        <w:rPr>
          <w:sz w:val="24"/>
          <w:szCs w:val="24"/>
        </w:rPr>
      </w:pPr>
      <w:bookmarkStart w:id="17" w:name="_Toc18669"/>
      <w:r>
        <w:rPr>
          <w:rFonts w:hint="eastAsia"/>
          <w:sz w:val="24"/>
          <w:szCs w:val="24"/>
        </w:rPr>
        <w:t>标准制定依据</w:t>
      </w:r>
      <w:bookmarkEnd w:id="17"/>
    </w:p>
    <w:p w14:paraId="04E59B5C">
      <w:pPr>
        <w:spacing w:line="500" w:lineRule="exact"/>
        <w:ind w:firstLine="360" w:firstLineChars="150"/>
        <w:rPr>
          <w:rFonts w:asciiTheme="majorEastAsia" w:hAnsiTheme="majorEastAsia" w:eastAsiaTheme="majorEastAsia"/>
          <w:sz w:val="24"/>
          <w:szCs w:val="24"/>
        </w:rPr>
      </w:pPr>
      <w:r>
        <w:rPr>
          <w:rFonts w:hint="eastAsia" w:asciiTheme="majorEastAsia" w:hAnsiTheme="majorEastAsia" w:eastAsiaTheme="majorEastAsia"/>
          <w:sz w:val="24"/>
          <w:szCs w:val="24"/>
        </w:rPr>
        <w:t>本标准依据GB/T 1.1-2020《标准化工作导则  第1部分：标准的结构和编写规则》和《工程建设标准规定》进行编制。该标准的制定满足我国技术发展和生产需要，充分体现行业进步和发展趋势，符合国家产业政策，推动行业技术水平的提高。</w:t>
      </w:r>
    </w:p>
    <w:p w14:paraId="151EF934">
      <w:pPr>
        <w:spacing w:line="500" w:lineRule="exact"/>
        <w:ind w:firstLine="360" w:firstLineChars="150"/>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本标准</w:t>
      </w:r>
      <w:r>
        <w:rPr>
          <w:rFonts w:hint="eastAsia" w:asciiTheme="majorEastAsia" w:hAnsiTheme="majorEastAsia" w:eastAsiaTheme="majorEastAsia"/>
          <w:sz w:val="24"/>
          <w:szCs w:val="24"/>
          <w:lang w:val="en-US" w:eastAsia="zh-CN"/>
        </w:rPr>
        <w:t>由7章组成，其内容包括：1总则；2术语和符号；3基本规定；4材料；5设计；6生产和运输；7施工和验收；8运维。</w:t>
      </w:r>
    </w:p>
    <w:p w14:paraId="397DD38F">
      <w:pPr>
        <w:spacing w:line="500" w:lineRule="exact"/>
        <w:ind w:firstLine="360" w:firstLineChars="150"/>
        <w:rPr>
          <w:rFonts w:asciiTheme="majorEastAsia" w:hAnsiTheme="majorEastAsia" w:eastAsiaTheme="majorEastAsia"/>
          <w:sz w:val="24"/>
          <w:szCs w:val="24"/>
        </w:rPr>
      </w:pPr>
      <w:r>
        <w:rPr>
          <w:rFonts w:hint="eastAsia" w:asciiTheme="majorEastAsia" w:hAnsiTheme="majorEastAsia" w:eastAsiaTheme="majorEastAsia"/>
          <w:sz w:val="24"/>
          <w:szCs w:val="24"/>
        </w:rPr>
        <w:t>本标准适用于适用于新建、扩建和改建建筑的预制集成保温外墙板的设计、生产、施工、验收和运维。</w:t>
      </w:r>
    </w:p>
    <w:p w14:paraId="3FFBCC9F">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sz w:val="24"/>
          <w:szCs w:val="24"/>
        </w:rPr>
        <w:t>主要参考和引用标准</w:t>
      </w:r>
      <w:r>
        <w:rPr>
          <w:rFonts w:hint="eastAsia" w:asciiTheme="majorEastAsia" w:hAnsiTheme="majorEastAsia" w:eastAsiaTheme="majorEastAsia"/>
          <w:sz w:val="24"/>
          <w:szCs w:val="24"/>
          <w:lang w:eastAsia="zh-CN"/>
        </w:rPr>
        <w:t>共</w:t>
      </w:r>
      <w:r>
        <w:rPr>
          <w:rFonts w:hint="eastAsia" w:asciiTheme="majorEastAsia" w:hAnsiTheme="majorEastAsia" w:eastAsiaTheme="majorEastAsia"/>
          <w:sz w:val="24"/>
          <w:szCs w:val="24"/>
          <w:lang w:val="en-US" w:eastAsia="zh-CN"/>
        </w:rPr>
        <w:t>41项，其中国家标准21项，包括结构、抗震、改造、防水等5项通用规范，行业标准20项。</w:t>
      </w:r>
      <w:r>
        <w:rPr>
          <w:rFonts w:hint="eastAsia" w:asciiTheme="majorEastAsia" w:hAnsiTheme="majorEastAsia" w:eastAsiaTheme="majorEastAsia"/>
          <w:color w:val="auto"/>
          <w:sz w:val="24"/>
          <w:szCs w:val="24"/>
          <w:lang w:val="en-US" w:eastAsia="zh-CN"/>
        </w:rPr>
        <w:t>具体如下：</w:t>
      </w:r>
    </w:p>
    <w:p w14:paraId="57857F72">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宋体" w:hAnsi="宋体" w:cs="宋体"/>
          <w:color w:val="auto"/>
          <w:sz w:val="24"/>
          <w:lang w:eastAsia="zh-CN"/>
        </w:rPr>
        <w:t>第</w:t>
      </w:r>
      <w:r>
        <w:rPr>
          <w:rFonts w:hint="eastAsia" w:ascii="宋体" w:hAnsi="宋体" w:cs="宋体"/>
          <w:color w:val="auto"/>
          <w:sz w:val="24"/>
          <w:lang w:val="en-US" w:eastAsia="zh-CN"/>
        </w:rPr>
        <w:t xml:space="preserve">3章 </w:t>
      </w:r>
      <w:r>
        <w:rPr>
          <w:rFonts w:hint="eastAsia" w:ascii="宋体" w:hAnsi="宋体" w:cs="宋体"/>
          <w:color w:val="auto"/>
          <w:sz w:val="24"/>
          <w:lang w:eastAsia="zh-CN"/>
        </w:rPr>
        <w:t>基本规定：</w:t>
      </w:r>
      <w:r>
        <w:rPr>
          <w:rFonts w:hint="eastAsia" w:ascii="宋体" w:hAnsi="宋体" w:cs="宋体"/>
          <w:color w:val="auto"/>
          <w:sz w:val="24"/>
        </w:rPr>
        <w:t>预制</w:t>
      </w:r>
      <w:r>
        <w:rPr>
          <w:rFonts w:hint="eastAsia"/>
          <w:bCs/>
          <w:color w:val="auto"/>
          <w:sz w:val="24"/>
        </w:rPr>
        <w:t>集成保温外墙板</w:t>
      </w:r>
      <w:r>
        <w:rPr>
          <w:rFonts w:hint="eastAsia" w:ascii="宋体" w:hAnsi="宋体" w:cs="宋体"/>
          <w:color w:val="auto"/>
          <w:sz w:val="24"/>
        </w:rPr>
        <w:t>的设计使用年限应与主体结构相一致，防水</w:t>
      </w:r>
      <w:r>
        <w:rPr>
          <w:rFonts w:hint="eastAsia" w:ascii="宋体" w:hAnsi="宋体" w:cs="宋体"/>
          <w:color w:val="auto"/>
          <w:sz w:val="24"/>
          <w:lang w:eastAsia="zh-CN"/>
        </w:rPr>
        <w:t>材料</w:t>
      </w:r>
      <w:r>
        <w:rPr>
          <w:rFonts w:hint="eastAsia" w:ascii="宋体" w:hAnsi="宋体" w:cs="宋体"/>
          <w:color w:val="auto"/>
          <w:sz w:val="24"/>
        </w:rPr>
        <w:t>的耐久性应满足</w:t>
      </w:r>
      <w:r>
        <w:rPr>
          <w:rFonts w:hint="eastAsia" w:ascii="宋体" w:hAnsi="宋体" w:cs="宋体"/>
          <w:color w:val="auto"/>
          <w:sz w:val="24"/>
          <w:lang w:eastAsia="zh-CN"/>
        </w:rPr>
        <w:t>现行国家标准</w:t>
      </w:r>
      <w:r>
        <w:rPr>
          <w:rFonts w:hint="eastAsia" w:ascii="宋体" w:hAnsi="宋体" w:cs="宋体"/>
          <w:color w:val="auto"/>
          <w:sz w:val="24"/>
        </w:rPr>
        <w:t>《建筑与市政工程防水通用规范》GB 55030</w:t>
      </w:r>
      <w:r>
        <w:rPr>
          <w:rFonts w:hint="eastAsia" w:ascii="宋体" w:hAnsi="宋体" w:cs="宋体"/>
          <w:color w:val="auto"/>
          <w:sz w:val="24"/>
          <w:lang w:eastAsia="zh-CN"/>
        </w:rPr>
        <w:t>的要求。饰面材料的耐久性应满足现行国家标准《装配式混凝土建筑技术标准》GB/T 51231的要求。</w:t>
      </w:r>
    </w:p>
    <w:p w14:paraId="4E9AD107">
      <w:pPr>
        <w:pStyle w:val="38"/>
        <w:numPr>
          <w:ilvl w:val="0"/>
          <w:numId w:val="0"/>
        </w:numPr>
        <w:spacing w:line="360" w:lineRule="auto"/>
        <w:ind w:leftChars="0" w:firstLine="480" w:firstLineChars="200"/>
        <w:rPr>
          <w:rFonts w:hint="eastAsia" w:ascii="宋体" w:hAnsi="宋体" w:cs="宋体"/>
          <w:color w:val="auto"/>
          <w:sz w:val="24"/>
        </w:rPr>
      </w:pPr>
      <w:r>
        <w:rPr>
          <w:rFonts w:hint="eastAsia" w:ascii="宋体" w:hAnsi="宋体" w:cs="宋体"/>
          <w:color w:val="auto"/>
          <w:sz w:val="24"/>
          <w:lang w:eastAsia="zh-CN"/>
        </w:rPr>
        <w:t>第</w:t>
      </w:r>
      <w:r>
        <w:rPr>
          <w:rFonts w:hint="eastAsia" w:ascii="宋体" w:hAnsi="宋体" w:cs="宋体"/>
          <w:color w:val="auto"/>
          <w:sz w:val="24"/>
          <w:lang w:val="en-US" w:eastAsia="zh-CN"/>
        </w:rPr>
        <w:t>4章 材料：</w:t>
      </w:r>
      <w:r>
        <w:rPr>
          <w:rFonts w:hint="eastAsia" w:ascii="宋体" w:hAnsi="宋体" w:cs="宋体"/>
          <w:color w:val="auto"/>
          <w:sz w:val="24"/>
        </w:rPr>
        <w:t>混凝土、钢筋和钢材的力学性能指标和耐久性要求应符合现行国家标准《混凝土结构设计规范》GB 50010和《钢结构设计标准》GB 50017的有关规定</w:t>
      </w:r>
      <w:r>
        <w:rPr>
          <w:rFonts w:hint="eastAsia" w:ascii="宋体" w:hAnsi="宋体" w:cs="宋体"/>
          <w:color w:val="auto"/>
          <w:sz w:val="24"/>
          <w:lang w:eastAsia="zh-CN"/>
        </w:rPr>
        <w:t>。预制构件宜采用标准化的钢筋网，钢筋网宜采用自动化机械设备加工，并应符合现行国家标准《混凝土结构成型钢筋应用技术规程》</w:t>
      </w:r>
      <w:r>
        <w:rPr>
          <w:rFonts w:hint="eastAsia" w:ascii="宋体" w:hAnsi="宋体" w:cs="宋体"/>
          <w:color w:val="auto"/>
          <w:sz w:val="24"/>
          <w:lang w:val="en-US" w:eastAsia="zh-CN"/>
        </w:rPr>
        <w:t>JGJ 366的有关规定。</w:t>
      </w:r>
      <w:r>
        <w:rPr>
          <w:rFonts w:hint="eastAsia" w:ascii="宋体" w:hAnsi="宋体" w:cs="宋体"/>
          <w:color w:val="auto"/>
          <w:sz w:val="24"/>
        </w:rPr>
        <w:t>成品预埋件的性能应符合现行国家标准《混凝土结构设计规范》GB 50010和《钢结构设计标准》GB 50017的有关规定</w:t>
      </w:r>
      <w:r>
        <w:rPr>
          <w:rFonts w:hint="eastAsia" w:ascii="宋体" w:hAnsi="宋体" w:cs="宋体"/>
          <w:color w:val="auto"/>
          <w:sz w:val="24"/>
          <w:lang w:eastAsia="zh-CN"/>
        </w:rPr>
        <w:t>。</w:t>
      </w:r>
      <w:r>
        <w:rPr>
          <w:rFonts w:hint="eastAsia" w:ascii="宋体" w:hAnsi="宋体" w:cs="宋体"/>
          <w:color w:val="auto"/>
          <w:sz w:val="24"/>
        </w:rPr>
        <w:t>不锈钢钢材的牌号、化学成分应符合现行国家标准《不锈钢和耐热钢牌号及化学成分》GB/T20878的有关规定。</w:t>
      </w:r>
    </w:p>
    <w:p w14:paraId="37927C71">
      <w:pPr>
        <w:pStyle w:val="38"/>
        <w:numPr>
          <w:ilvl w:val="0"/>
          <w:numId w:val="0"/>
        </w:numPr>
        <w:spacing w:line="360" w:lineRule="auto"/>
        <w:ind w:leftChars="0"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保温板性能指标的试验方法参考《外墙外保温技术标准》JGJ 144、《无机硬质绝热制品试验方法》GB/T 5486。保温板尺寸的试验方法《模塑聚苯板薄抹灰外墙外保温系统材料》GB/T 29906。内置钢丝网参考《镀锌电焊网》GB/T 33281、《钢产品镀锌层质量试验方法》GB/T 1839。</w:t>
      </w:r>
    </w:p>
    <w:p w14:paraId="0D930303">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锚固件材料的力学性能指标的试验方法《纤维增强塑料拉伸性能试验方法》GB/T 1447、《纤维增强复合材料筋基本力学性能试验方法》GB/T 30022、《纤维增强塑料 短梁法测定层间剪切强度》JC/T 773、《金属材料拉伸试验》GB/T 228.1、《金属材料 弹性模量和泊松比试验方法》GB/T 22315。</w:t>
      </w:r>
    </w:p>
    <w:p w14:paraId="787F17DD">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外墙板接缝用密封胶应满足现行行业标准《混凝土建筑接缝用密封胶》JC/T 881的有关规定。</w:t>
      </w:r>
    </w:p>
    <w:p w14:paraId="1D3340FE">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饰面材料应符合相关标准《建筑用外墙涂料中有害物质限量》GB 24408、《建筑外墙涂料通用技术要求》JG/T 512、《建筑反射隔热涂料应用技术规程》JGJ/T 359、《外墙柔性腻子》GB/T 23455 、《金属与石材幕墙工程技术规范》JGJ 133、《建筑陶瓷薄板应用技术规程》JGJ/T 172。</w:t>
      </w:r>
    </w:p>
    <w:p w14:paraId="3CBB86B8">
      <w:pPr>
        <w:pStyle w:val="38"/>
        <w:numPr>
          <w:ilvl w:val="0"/>
          <w:numId w:val="0"/>
        </w:numPr>
        <w:spacing w:line="360" w:lineRule="auto"/>
        <w:ind w:leftChars="0" w:firstLine="480" w:firstLineChars="200"/>
        <w:rPr>
          <w:rFonts w:hint="default"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第5章 设计：</w:t>
      </w:r>
      <w:r>
        <w:rPr>
          <w:rFonts w:hint="eastAsia" w:ascii="宋体" w:hAnsi="宋体" w:cs="宋体"/>
          <w:color w:val="auto"/>
          <w:sz w:val="24"/>
          <w:szCs w:val="24"/>
        </w:rPr>
        <w:t>集成保温外墙板的结构设计应符合现行国家标准《工程结构通用规范》GB 55001和《建筑与市政工程抗震通用规范》GB 55002</w:t>
      </w:r>
      <w:r>
        <w:rPr>
          <w:rFonts w:hint="eastAsia" w:ascii="宋体" w:hAnsi="宋体" w:cs="宋体"/>
          <w:color w:val="auto"/>
          <w:sz w:val="24"/>
          <w:szCs w:val="24"/>
          <w:lang w:eastAsia="zh-CN"/>
        </w:rPr>
        <w:t>。</w:t>
      </w:r>
      <w:r>
        <w:rPr>
          <w:rFonts w:hint="eastAsia" w:ascii="宋体" w:hAnsi="宋体" w:cs="宋体"/>
          <w:color w:val="auto"/>
          <w:sz w:val="24"/>
          <w:szCs w:val="24"/>
        </w:rPr>
        <w:t>荷载取值应符合现行国家标准《建筑结构荷载规范》GB 50009的规定。集成保温外墙板</w:t>
      </w:r>
      <w:r>
        <w:rPr>
          <w:rFonts w:ascii="宋体" w:hAnsi="宋体" w:cs="宋体"/>
          <w:color w:val="auto"/>
          <w:sz w:val="24"/>
          <w:szCs w:val="24"/>
        </w:rPr>
        <w:t>的抗震等级、平面和竖向布置原则及承载力抗震调整系数应符合现行国家标准《装配式混凝土建筑技术标准》GB/T 51231和《装配式混凝土结构技术规程》JGJ 1的相关规定。</w:t>
      </w:r>
    </w:p>
    <w:p w14:paraId="2C4B3828">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集成保温外墙板的保温材料厚度应通过热工计算确定，计算方法应符合现行国家标准《民用建筑热工设计规范》GB 50176；预制集成保温外墙板的燃烧性能和耐火极限应符合现行国家标准《建筑设计防火规范》GB 50016。</w:t>
      </w:r>
    </w:p>
    <w:p w14:paraId="6A1520A4">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剪力墙板接缝的正截面承载力应符合现行国家标准《混凝土结构设计规范》GB 50010的规定，接缝的受剪承载力应符合现行行业标准《装配式混凝土结构技术规程》JGJ1的有关规定。</w:t>
      </w:r>
    </w:p>
    <w:p w14:paraId="0BAEE6A0">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剪力墙板中，竖向钢筋连接宜根据受力特点、施工工艺等要求选用套筒灌浆连接、机械连接、浆锚搭接连接、焊接连接、绑扎搭接连接等连接方式，并应符合现行国家标准《装配式混凝土建筑技术标准》GB/T 51231的有关规定。</w:t>
      </w:r>
    </w:p>
    <w:p w14:paraId="3658A49B">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节点连接件采用金属件时，金属件材料应符合现行国家标准《钢结构设计标准》GB 50017的有关规定；当节点连接件和预埋件采用耐候结构钢时，其材料性能还应符合现行国家标准《耐候结构钢》GB/T 4171的有关规定。</w:t>
      </w:r>
    </w:p>
    <w:p w14:paraId="5952797D">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 xml:space="preserve"> 连接用焊接材料、螺栓、锚栓应符合国家现行标准《钢结构设计标准》GB50017、《钢结构焊接规范》GB50661、《钢筋焊接及验收规程》JGJ18的有关规定。</w:t>
      </w:r>
    </w:p>
    <w:p w14:paraId="50A93639">
      <w:pPr>
        <w:pStyle w:val="38"/>
        <w:numPr>
          <w:ilvl w:val="0"/>
          <w:numId w:val="0"/>
        </w:numPr>
        <w:spacing w:line="360" w:lineRule="auto"/>
        <w:ind w:leftChars="0" w:firstLine="480" w:firstLineChars="200"/>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金属与石材幕墙用预埋件应按现行行业标准《金属与石材幕墙工程技术规范》JGJ 133的规定进行设计。陶瓷薄板幕墙的连接设计应符合现行行业标准《玻璃幕墙工程技术规范》JGJ 102的有关规定。</w:t>
      </w:r>
    </w:p>
    <w:p w14:paraId="46B352D8">
      <w:pPr>
        <w:pStyle w:val="38"/>
        <w:numPr>
          <w:ilvl w:val="0"/>
          <w:numId w:val="0"/>
        </w:numPr>
        <w:spacing w:line="360" w:lineRule="auto"/>
        <w:ind w:left="0" w:leftChars="0" w:firstLine="480" w:firstLineChars="200"/>
        <w:rPr>
          <w:rFonts w:hint="default" w:asciiTheme="majorEastAsia" w:hAnsiTheme="majorEastAsia" w:eastAsiaTheme="majorEastAsia"/>
          <w:color w:val="auto"/>
          <w:sz w:val="24"/>
          <w:szCs w:val="24"/>
          <w:lang w:val="en-US" w:eastAsia="zh-CN"/>
        </w:rPr>
      </w:pPr>
      <w:r>
        <w:rPr>
          <w:rFonts w:hint="default" w:cs="Times New Roman" w:asciiTheme="majorEastAsia" w:hAnsiTheme="majorEastAsia" w:eastAsiaTheme="majorEastAsia"/>
          <w:color w:val="auto"/>
          <w:kern w:val="2"/>
          <w:sz w:val="24"/>
          <w:szCs w:val="24"/>
          <w:lang w:val="en-US" w:eastAsia="zh-CN" w:bidi="ar-SA"/>
        </w:rPr>
        <w:t>第6章</w:t>
      </w:r>
      <w:r>
        <w:rPr>
          <w:rFonts w:hint="eastAsia" w:cs="Times New Roman" w:asciiTheme="majorEastAsia" w:hAnsiTheme="majorEastAsia" w:eastAsiaTheme="majorEastAsia"/>
          <w:color w:val="auto"/>
          <w:kern w:val="2"/>
          <w:sz w:val="24"/>
          <w:szCs w:val="24"/>
          <w:lang w:val="en-US" w:eastAsia="zh-CN" w:bidi="ar-SA"/>
        </w:rPr>
        <w:t xml:space="preserve"> </w:t>
      </w:r>
      <w:r>
        <w:rPr>
          <w:rFonts w:hint="eastAsia" w:asciiTheme="majorEastAsia" w:hAnsiTheme="majorEastAsia" w:eastAsiaTheme="majorEastAsia"/>
          <w:color w:val="auto"/>
          <w:sz w:val="24"/>
          <w:szCs w:val="24"/>
          <w:lang w:val="en-US" w:eastAsia="zh-CN"/>
        </w:rPr>
        <w:t>生产和运输：</w:t>
      </w:r>
      <w:r>
        <w:rPr>
          <w:rFonts w:hint="default" w:asciiTheme="majorEastAsia" w:hAnsiTheme="majorEastAsia" w:eastAsiaTheme="majorEastAsia"/>
          <w:color w:val="auto"/>
          <w:sz w:val="24"/>
          <w:szCs w:val="24"/>
          <w:lang w:val="en-US" w:eastAsia="zh-CN"/>
        </w:rPr>
        <w:t>预制集成保温外墙板构件的制作应符合现行国家标准《装配式混凝土建筑用预制部品通用技术条件》GB/T 40399</w:t>
      </w:r>
      <w:r>
        <w:rPr>
          <w:rFonts w:hint="eastAsia" w:asciiTheme="majorEastAsia" w:hAnsiTheme="majorEastAsia" w:eastAsiaTheme="majorEastAsia"/>
          <w:color w:val="auto"/>
          <w:sz w:val="24"/>
          <w:szCs w:val="24"/>
          <w:lang w:val="en-US" w:eastAsia="zh-CN"/>
        </w:rPr>
        <w:t>。原材料及配件进场检验批划分应符合现行国家标准《装配式混凝土建筑技术标准》GB/T 51231的有关规定。预制集成保温外墙板构件模具尺寸的允许偏差和检验方法应符合《装配式混凝土结构技术规程》JGJ 1的有关规定。</w:t>
      </w:r>
    </w:p>
    <w:p w14:paraId="6A86E675">
      <w:pPr>
        <w:pStyle w:val="38"/>
        <w:numPr>
          <w:ilvl w:val="0"/>
          <w:numId w:val="0"/>
        </w:numPr>
        <w:spacing w:line="360" w:lineRule="auto"/>
        <w:ind w:left="0" w:leftChars="0" w:firstLine="480" w:firstLineChars="200"/>
        <w:rPr>
          <w:rFonts w:hint="default" w:asciiTheme="majorEastAsia" w:hAnsiTheme="majorEastAsia" w:eastAsiaTheme="majorEastAsia"/>
          <w:color w:val="auto"/>
          <w:sz w:val="24"/>
          <w:szCs w:val="24"/>
          <w:lang w:val="en-US" w:eastAsia="zh-CN"/>
        </w:rPr>
      </w:pPr>
      <w:r>
        <w:rPr>
          <w:rFonts w:hint="eastAsia" w:cs="Times New Roman" w:asciiTheme="majorEastAsia" w:hAnsiTheme="majorEastAsia" w:eastAsiaTheme="majorEastAsia"/>
          <w:color w:val="auto"/>
          <w:kern w:val="2"/>
          <w:sz w:val="24"/>
          <w:szCs w:val="24"/>
          <w:lang w:val="en-US" w:eastAsia="zh-CN" w:bidi="ar-SA"/>
        </w:rPr>
        <w:t>第7章</w:t>
      </w:r>
      <w:r>
        <w:rPr>
          <w:rFonts w:hint="eastAsia" w:asciiTheme="majorEastAsia" w:hAnsiTheme="majorEastAsia" w:eastAsiaTheme="majorEastAsia"/>
          <w:color w:val="auto"/>
          <w:sz w:val="24"/>
          <w:szCs w:val="24"/>
          <w:lang w:val="en-US" w:eastAsia="zh-CN"/>
        </w:rPr>
        <w:t xml:space="preserve"> 施工和验收：预制集成保温外墙板施工过程中应按照现行行业标准《建筑施工安全检查标准》JGJ 59、《建筑工程施工现场环境与卫生标准》JGJ 146安全、职业健康和环境保护的有关规定执行。预制集成保温外墙板施工前，已完成结构的混凝土强度、外观质量、尺寸偏差及预留钢筋等应满足现行国家标准《混凝土结构工程施工规范》GB 50666、现行行业标准《装配式混凝土结构技术规程》JGJ 1的相关规定。</w:t>
      </w:r>
      <w:r>
        <w:rPr>
          <w:rFonts w:hint="default" w:asciiTheme="majorEastAsia" w:hAnsiTheme="majorEastAsia" w:eastAsiaTheme="majorEastAsia"/>
          <w:color w:val="auto"/>
          <w:sz w:val="24"/>
          <w:szCs w:val="24"/>
          <w:lang w:val="en-US" w:eastAsia="zh-CN"/>
        </w:rPr>
        <w:t>抹面层施工应符合现行国家标准《建筑装饰装修工程施工质量验收规范》GB 50210的相关规定。预制集成保温外墙板应按现行国家标准《建筑工程施工质量验收统一标准》GB 50300和《建筑节能工程施工质量验收标准》GB 50411的有关规定进行施工质量验收。预制集成保温外墙板应按现行行业标准《建筑防水工程现场检验技术规范》JGJ/T 299的有关规定进行淋水试验</w:t>
      </w:r>
      <w:r>
        <w:rPr>
          <w:rFonts w:hint="eastAsia" w:asciiTheme="majorEastAsia" w:hAnsiTheme="majorEastAsia" w:eastAsiaTheme="majorEastAsia"/>
          <w:color w:val="auto"/>
          <w:sz w:val="24"/>
          <w:szCs w:val="24"/>
          <w:lang w:val="en-US" w:eastAsia="zh-CN"/>
        </w:rPr>
        <w:t>。</w:t>
      </w:r>
    </w:p>
    <w:p w14:paraId="35A7CED2">
      <w:pPr>
        <w:pStyle w:val="38"/>
        <w:widowControl w:val="0"/>
        <w:numPr>
          <w:ilvl w:val="0"/>
          <w:numId w:val="0"/>
        </w:numPr>
        <w:spacing w:line="360" w:lineRule="auto"/>
        <w:jc w:val="both"/>
        <w:rPr>
          <w:rFonts w:hint="default"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 xml:space="preserve">    第8章 运维：预制集成保温外墙体修缮宜按现行行业标准《民用建筑修缮工程施工标准》JGJ/T 112中的相关规定执行。预制集成保温外墙体系统缺陷、空鼓面积现场检测时,采用红外热成像应按现行国家标准《红外热像法检测建设工程现场通用技术要求》GB/T29183。其他修复材料与系统应符合现行行业标准《民用建筑修缮工程勘察与设计标准》JGJ/T 117的有关规定。预制集成保温外墙体其他部位的渗漏修缮施工，应按现行行业标准《房屋渗漏修缮技术规程》JGJ/T 53。</w:t>
      </w:r>
    </w:p>
    <w:p w14:paraId="5E07E608">
      <w:pPr>
        <w:pStyle w:val="20"/>
        <w:spacing w:before="312" w:after="312"/>
        <w:ind w:left="0"/>
        <w:rPr>
          <w:sz w:val="28"/>
          <w:szCs w:val="28"/>
        </w:rPr>
      </w:pPr>
      <w:bookmarkStart w:id="18" w:name="_Toc39166806"/>
      <w:bookmarkEnd w:id="18"/>
      <w:bookmarkStart w:id="19" w:name="_Toc39166807"/>
      <w:bookmarkEnd w:id="19"/>
      <w:bookmarkStart w:id="20" w:name="_Toc38976165"/>
      <w:bookmarkEnd w:id="20"/>
      <w:bookmarkStart w:id="21" w:name="_Toc39166802"/>
      <w:bookmarkEnd w:id="21"/>
      <w:bookmarkStart w:id="22" w:name="_Toc38976167"/>
      <w:bookmarkEnd w:id="22"/>
      <w:bookmarkStart w:id="23" w:name="_Toc39166805"/>
      <w:bookmarkEnd w:id="23"/>
      <w:bookmarkStart w:id="24" w:name="_Toc39166860"/>
      <w:bookmarkEnd w:id="24"/>
      <w:bookmarkStart w:id="25" w:name="_Toc39166866"/>
      <w:bookmarkEnd w:id="25"/>
      <w:bookmarkStart w:id="26" w:name="_Toc39166804"/>
      <w:bookmarkEnd w:id="26"/>
      <w:bookmarkStart w:id="27" w:name="_Toc38976161"/>
      <w:bookmarkEnd w:id="27"/>
      <w:bookmarkStart w:id="28" w:name="_Toc39166803"/>
      <w:bookmarkEnd w:id="28"/>
      <w:bookmarkStart w:id="29" w:name="_Toc39166861"/>
      <w:bookmarkEnd w:id="29"/>
      <w:bookmarkStart w:id="30" w:name="_Toc39166863"/>
      <w:bookmarkEnd w:id="30"/>
      <w:bookmarkStart w:id="31" w:name="_Toc38976163"/>
      <w:bookmarkEnd w:id="31"/>
      <w:bookmarkStart w:id="32" w:name="_Toc39166864"/>
      <w:bookmarkEnd w:id="32"/>
      <w:bookmarkStart w:id="33" w:name="_Toc39166865"/>
      <w:bookmarkEnd w:id="33"/>
      <w:bookmarkStart w:id="34" w:name="_Toc39166862"/>
      <w:bookmarkEnd w:id="34"/>
      <w:bookmarkStart w:id="35" w:name="_Toc39166801"/>
      <w:bookmarkEnd w:id="35"/>
      <w:bookmarkStart w:id="36" w:name="_Toc38976164"/>
      <w:bookmarkEnd w:id="36"/>
      <w:bookmarkStart w:id="37" w:name="_Toc38976166"/>
      <w:bookmarkEnd w:id="37"/>
      <w:bookmarkStart w:id="38" w:name="_Toc38976162"/>
      <w:bookmarkEnd w:id="38"/>
      <w:bookmarkStart w:id="39" w:name="_Toc28847"/>
      <w:r>
        <w:rPr>
          <w:rFonts w:hint="eastAsia"/>
          <w:sz w:val="28"/>
          <w:szCs w:val="28"/>
        </w:rPr>
        <w:t>标准主要内容和试验方法说明</w:t>
      </w:r>
      <w:bookmarkEnd w:id="39"/>
    </w:p>
    <w:p w14:paraId="634A2661">
      <w:pPr>
        <w:pStyle w:val="19"/>
        <w:spacing w:before="156" w:after="156" w:line="500" w:lineRule="exact"/>
        <w:rPr>
          <w:sz w:val="24"/>
          <w:szCs w:val="24"/>
        </w:rPr>
      </w:pPr>
      <w:bookmarkStart w:id="40" w:name="_Toc16267"/>
      <w:r>
        <w:rPr>
          <w:rFonts w:hint="eastAsia"/>
          <w:sz w:val="24"/>
          <w:szCs w:val="24"/>
        </w:rPr>
        <w:t>标准适用范围</w:t>
      </w:r>
      <w:bookmarkEnd w:id="40"/>
    </w:p>
    <w:p w14:paraId="0170461E">
      <w:pPr>
        <w:spacing w:line="500" w:lineRule="exact"/>
        <w:ind w:firstLine="360" w:firstLineChars="150"/>
        <w:rPr>
          <w:rFonts w:asciiTheme="majorEastAsia" w:hAnsiTheme="majorEastAsia" w:eastAsiaTheme="majorEastAsia"/>
          <w:sz w:val="24"/>
          <w:szCs w:val="24"/>
        </w:rPr>
      </w:pPr>
      <w:bookmarkStart w:id="41" w:name="_Toc39166817"/>
      <w:bookmarkEnd w:id="41"/>
      <w:bookmarkStart w:id="42" w:name="_Toc38976181"/>
      <w:bookmarkEnd w:id="42"/>
      <w:bookmarkStart w:id="43" w:name="_Toc39166820"/>
      <w:bookmarkEnd w:id="43"/>
      <w:bookmarkStart w:id="44" w:name="_Toc39166814"/>
      <w:bookmarkEnd w:id="44"/>
      <w:bookmarkStart w:id="45" w:name="_Toc39166873"/>
      <w:bookmarkEnd w:id="45"/>
      <w:bookmarkStart w:id="46" w:name="_Toc39166880"/>
      <w:bookmarkEnd w:id="46"/>
      <w:bookmarkStart w:id="47" w:name="_Toc39166878"/>
      <w:bookmarkEnd w:id="47"/>
      <w:bookmarkStart w:id="48" w:name="_Toc39166824"/>
      <w:bookmarkEnd w:id="48"/>
      <w:bookmarkStart w:id="49" w:name="_Toc38976171"/>
      <w:bookmarkEnd w:id="49"/>
      <w:bookmarkStart w:id="50" w:name="_Toc39166875"/>
      <w:bookmarkEnd w:id="50"/>
      <w:bookmarkStart w:id="51" w:name="_Toc38976174"/>
      <w:bookmarkEnd w:id="51"/>
      <w:bookmarkStart w:id="52" w:name="_Toc39166877"/>
      <w:bookmarkEnd w:id="52"/>
      <w:bookmarkStart w:id="53" w:name="_Toc39166811"/>
      <w:bookmarkEnd w:id="53"/>
      <w:bookmarkStart w:id="54" w:name="_Toc39166869"/>
      <w:bookmarkEnd w:id="54"/>
      <w:bookmarkStart w:id="55" w:name="_Toc39166871"/>
      <w:bookmarkEnd w:id="55"/>
      <w:bookmarkStart w:id="56" w:name="_Toc39166823"/>
      <w:bookmarkEnd w:id="56"/>
      <w:bookmarkStart w:id="57" w:name="_Toc38976185"/>
      <w:bookmarkEnd w:id="57"/>
      <w:bookmarkStart w:id="58" w:name="_Toc39166821"/>
      <w:bookmarkEnd w:id="58"/>
      <w:bookmarkStart w:id="59" w:name="_Toc39166870"/>
      <w:bookmarkEnd w:id="59"/>
      <w:bookmarkStart w:id="60" w:name="_Toc38976176"/>
      <w:bookmarkEnd w:id="60"/>
      <w:bookmarkStart w:id="61" w:name="_Toc38976177"/>
      <w:bookmarkEnd w:id="61"/>
      <w:bookmarkStart w:id="62" w:name="_Toc39166818"/>
      <w:bookmarkEnd w:id="62"/>
      <w:bookmarkStart w:id="63" w:name="_Toc38976180"/>
      <w:bookmarkEnd w:id="63"/>
      <w:bookmarkStart w:id="64" w:name="_Toc39166819"/>
      <w:bookmarkEnd w:id="64"/>
      <w:bookmarkStart w:id="65" w:name="_Toc38976183"/>
      <w:bookmarkEnd w:id="65"/>
      <w:bookmarkStart w:id="66" w:name="_Toc39166822"/>
      <w:bookmarkEnd w:id="66"/>
      <w:bookmarkStart w:id="67" w:name="_Toc39166816"/>
      <w:bookmarkEnd w:id="67"/>
      <w:bookmarkStart w:id="68" w:name="_Toc39166881"/>
      <w:bookmarkEnd w:id="68"/>
      <w:bookmarkStart w:id="69" w:name="_Toc39166884"/>
      <w:bookmarkEnd w:id="69"/>
      <w:bookmarkStart w:id="70" w:name="_Toc38976175"/>
      <w:bookmarkEnd w:id="70"/>
      <w:bookmarkStart w:id="71" w:name="_Toc39166874"/>
      <w:bookmarkEnd w:id="71"/>
      <w:bookmarkStart w:id="72" w:name="_Toc38976173"/>
      <w:bookmarkEnd w:id="72"/>
      <w:bookmarkStart w:id="73" w:name="_Toc38976170"/>
      <w:bookmarkEnd w:id="73"/>
      <w:bookmarkStart w:id="74" w:name="_Toc38976178"/>
      <w:bookmarkEnd w:id="74"/>
      <w:bookmarkStart w:id="75" w:name="_Toc38976179"/>
      <w:bookmarkEnd w:id="75"/>
      <w:bookmarkStart w:id="76" w:name="_Toc39166883"/>
      <w:bookmarkEnd w:id="76"/>
      <w:bookmarkStart w:id="77" w:name="_Toc39166810"/>
      <w:bookmarkEnd w:id="77"/>
      <w:bookmarkStart w:id="78" w:name="_Toc39166813"/>
      <w:bookmarkEnd w:id="78"/>
      <w:bookmarkStart w:id="79" w:name="_Toc39166876"/>
      <w:bookmarkEnd w:id="79"/>
      <w:bookmarkStart w:id="80" w:name="_Toc39166815"/>
      <w:bookmarkEnd w:id="80"/>
      <w:bookmarkStart w:id="81" w:name="_Toc38976182"/>
      <w:bookmarkEnd w:id="81"/>
      <w:bookmarkStart w:id="82" w:name="_Toc38976172"/>
      <w:bookmarkEnd w:id="82"/>
      <w:bookmarkStart w:id="83" w:name="_Toc39166879"/>
      <w:bookmarkEnd w:id="83"/>
      <w:bookmarkStart w:id="84" w:name="_Toc39166825"/>
      <w:bookmarkEnd w:id="84"/>
      <w:bookmarkStart w:id="85" w:name="_Toc38976184"/>
      <w:bookmarkEnd w:id="85"/>
      <w:bookmarkStart w:id="86" w:name="_Toc39166872"/>
      <w:bookmarkEnd w:id="86"/>
      <w:bookmarkStart w:id="87" w:name="_Toc39166812"/>
      <w:bookmarkEnd w:id="87"/>
      <w:bookmarkStart w:id="88" w:name="_Toc39166882"/>
      <w:bookmarkEnd w:id="88"/>
      <w:r>
        <w:rPr>
          <w:rFonts w:hint="eastAsia" w:asciiTheme="majorEastAsia" w:hAnsiTheme="majorEastAsia" w:eastAsiaTheme="majorEastAsia"/>
          <w:sz w:val="24"/>
          <w:szCs w:val="24"/>
        </w:rPr>
        <w:t>本标准规定了预制集成保温外墙板的术语、基本规定、材料、设计、生产和运输、施工和验收、运维。</w:t>
      </w:r>
    </w:p>
    <w:p w14:paraId="209513E9">
      <w:pPr>
        <w:spacing w:line="500" w:lineRule="exact"/>
        <w:ind w:firstLine="360" w:firstLineChars="150"/>
        <w:rPr>
          <w:rFonts w:asciiTheme="majorEastAsia" w:hAnsiTheme="majorEastAsia" w:eastAsiaTheme="majorEastAsia"/>
          <w:sz w:val="24"/>
          <w:szCs w:val="24"/>
        </w:rPr>
      </w:pPr>
      <w:r>
        <w:rPr>
          <w:rFonts w:hint="eastAsia" w:asciiTheme="majorEastAsia" w:hAnsiTheme="majorEastAsia" w:eastAsiaTheme="majorEastAsia"/>
          <w:sz w:val="24"/>
          <w:szCs w:val="24"/>
        </w:rPr>
        <w:t>本标准适用于适用于新建、扩建和改建建筑的预制集成保温外墙板的设计、生产、施工、验收和运维。</w:t>
      </w:r>
    </w:p>
    <w:p w14:paraId="3C319972">
      <w:pPr>
        <w:pStyle w:val="19"/>
        <w:spacing w:before="156" w:after="156"/>
        <w:rPr>
          <w:sz w:val="24"/>
          <w:szCs w:val="24"/>
        </w:rPr>
      </w:pPr>
      <w:bookmarkStart w:id="89" w:name="_Toc22269"/>
      <w:r>
        <w:rPr>
          <w:rFonts w:hint="eastAsia"/>
          <w:sz w:val="24"/>
          <w:szCs w:val="24"/>
        </w:rPr>
        <w:t>术语和定义</w:t>
      </w:r>
      <w:bookmarkEnd w:id="89"/>
    </w:p>
    <w:p w14:paraId="200BEBA0">
      <w:pPr>
        <w:spacing w:line="50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术语和定义是对标准中有关名词的释义。本标准针对集成保温外墙板和预制集成保温外墙系统的技术特性给予明确定义。</w:t>
      </w:r>
    </w:p>
    <w:p w14:paraId="00BAE0C1">
      <w:pPr>
        <w:spacing w:line="360" w:lineRule="auto"/>
        <w:ind w:firstLine="480" w:firstLineChars="200"/>
        <w:rPr>
          <w:sz w:val="24"/>
        </w:rPr>
      </w:pPr>
      <w:r>
        <w:rPr>
          <w:rFonts w:hint="eastAsia"/>
          <w:sz w:val="24"/>
        </w:rPr>
        <w:t>预制集成保温外墙板 （prefabricated integrated thermal insulation external wall）由基层混凝土、保温板和锚固件在工厂一体化预制的集成保温外墙板。预制集成保温外墙系统（prefabricated integrated thermal insulation external system）由预制集成保温外墙板和防护层组成的一体化外墙保温系统。</w:t>
      </w:r>
    </w:p>
    <w:p w14:paraId="07236E99">
      <w:pPr>
        <w:pStyle w:val="19"/>
        <w:spacing w:before="156" w:after="156" w:line="500" w:lineRule="exact"/>
        <w:rPr>
          <w:sz w:val="24"/>
          <w:szCs w:val="24"/>
        </w:rPr>
      </w:pPr>
      <w:bookmarkStart w:id="90" w:name="_Toc16706"/>
      <w:r>
        <w:rPr>
          <w:rFonts w:hint="eastAsia"/>
          <w:sz w:val="24"/>
          <w:szCs w:val="24"/>
        </w:rPr>
        <w:t>系统组成构造</w:t>
      </w:r>
      <w:bookmarkEnd w:id="90"/>
    </w:p>
    <w:p w14:paraId="5DBB5BF2">
      <w:pPr>
        <w:spacing w:line="360" w:lineRule="auto"/>
        <w:ind w:firstLine="480" w:firstLineChars="200"/>
      </w:pPr>
      <w:r>
        <w:rPr>
          <w:rFonts w:hint="eastAsia" w:ascii="宋体" w:hAnsi="宋体" w:cs="宋体"/>
          <w:sz w:val="24"/>
        </w:rPr>
        <w:t>预制集成保温外墙</w:t>
      </w:r>
      <w:r>
        <w:rPr>
          <w:rFonts w:hint="eastAsia" w:ascii="宋体" w:hAnsi="宋体" w:cs="宋体"/>
          <w:sz w:val="24"/>
          <w:lang w:eastAsia="zh-CN"/>
        </w:rPr>
        <w:t>系统</w:t>
      </w:r>
      <w:r>
        <w:rPr>
          <w:rFonts w:hint="eastAsia" w:ascii="宋体" w:hAnsi="宋体" w:cs="宋体"/>
          <w:sz w:val="24"/>
        </w:rPr>
        <w:t>由基层混凝土层、保温层、锚固件、防护层组成，其基本构造符合表1的规定。</w:t>
      </w:r>
    </w:p>
    <w:p w14:paraId="64CF7B41">
      <w:pPr>
        <w:spacing w:line="400" w:lineRule="exact"/>
        <w:jc w:val="center"/>
        <w:rPr>
          <w:rFonts w:ascii="宋体" w:hAnsi="宋体" w:cs="宋体"/>
        </w:rPr>
      </w:pPr>
      <w:r>
        <w:rPr>
          <w:rFonts w:hint="eastAsia" w:ascii="宋体" w:hAnsi="宋体" w:cs="宋体"/>
        </w:rPr>
        <w:t>表</w:t>
      </w:r>
      <w:r>
        <w:rPr>
          <w:rFonts w:hint="eastAsia"/>
        </w:rPr>
        <w:t>1</w:t>
      </w:r>
      <w:r>
        <w:rPr>
          <w:rFonts w:hint="eastAsia" w:ascii="宋体" w:hAnsi="宋体" w:cs="宋体"/>
        </w:rPr>
        <w:t xml:space="preserve">  预制集成保温外墙</w:t>
      </w:r>
      <w:r>
        <w:rPr>
          <w:rFonts w:hint="eastAsia" w:ascii="宋体" w:hAnsi="宋体" w:cs="宋体"/>
          <w:lang w:eastAsia="zh-CN"/>
        </w:rPr>
        <w:t>系统</w:t>
      </w:r>
      <w:r>
        <w:rPr>
          <w:rFonts w:hint="eastAsia" w:ascii="宋体" w:hAnsi="宋体" w:cs="宋体"/>
        </w:rPr>
        <w:t>基本构造</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2351"/>
        <w:gridCol w:w="2415"/>
        <w:gridCol w:w="2148"/>
        <w:gridCol w:w="2514"/>
      </w:tblGrid>
      <w:tr w14:paraId="70BC8A1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5000" w:type="pct"/>
            <w:gridSpan w:val="4"/>
          </w:tcPr>
          <w:p w14:paraId="3B151E8D">
            <w:pPr>
              <w:spacing w:line="400" w:lineRule="exact"/>
              <w:jc w:val="center"/>
              <w:rPr>
                <w:rFonts w:ascii="宋体" w:hAnsi="宋体" w:cs="宋体"/>
                <w:sz w:val="24"/>
                <w:szCs w:val="24"/>
              </w:rPr>
            </w:pPr>
            <w:r>
              <w:rPr>
                <w:rFonts w:hint="eastAsia" w:ascii="宋体" w:hAnsi="宋体" w:cs="宋体"/>
                <w:sz w:val="24"/>
                <w:szCs w:val="24"/>
              </w:rPr>
              <w:t>基本构造</w:t>
            </w:r>
          </w:p>
        </w:tc>
      </w:tr>
      <w:tr w14:paraId="091DC64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1247" w:type="pct"/>
            <w:vAlign w:val="center"/>
          </w:tcPr>
          <w:p w14:paraId="399BE83A">
            <w:pPr>
              <w:jc w:val="center"/>
              <w:rPr>
                <w:rFonts w:ascii="宋体" w:hAnsi="宋体" w:cs="宋体"/>
                <w:sz w:val="24"/>
                <w:szCs w:val="24"/>
              </w:rPr>
            </w:pPr>
            <w:r>
              <w:rPr>
                <w:rFonts w:hint="eastAsia" w:ascii="宋体" w:hAnsi="宋体" w:cs="宋体"/>
                <w:sz w:val="24"/>
                <w:szCs w:val="24"/>
              </w:rPr>
              <w:t>①基层墙体</w:t>
            </w:r>
          </w:p>
        </w:tc>
        <w:tc>
          <w:tcPr>
            <w:tcW w:w="1281" w:type="pct"/>
            <w:vAlign w:val="center"/>
          </w:tcPr>
          <w:p w14:paraId="1217D34F">
            <w:pPr>
              <w:jc w:val="center"/>
              <w:rPr>
                <w:rFonts w:ascii="宋体" w:hAnsi="宋体" w:cs="宋体"/>
                <w:sz w:val="24"/>
                <w:szCs w:val="24"/>
              </w:rPr>
            </w:pPr>
            <w:r>
              <w:rPr>
                <w:rFonts w:hint="eastAsia" w:ascii="宋体" w:hAnsi="宋体" w:cs="宋体"/>
                <w:sz w:val="24"/>
                <w:szCs w:val="24"/>
              </w:rPr>
              <w:t>②保温层</w:t>
            </w:r>
          </w:p>
        </w:tc>
        <w:tc>
          <w:tcPr>
            <w:tcW w:w="1139" w:type="pct"/>
            <w:vAlign w:val="center"/>
          </w:tcPr>
          <w:p w14:paraId="2950DC3E">
            <w:pPr>
              <w:jc w:val="center"/>
              <w:rPr>
                <w:rFonts w:ascii="宋体" w:hAnsi="宋体" w:cs="宋体"/>
                <w:sz w:val="24"/>
                <w:szCs w:val="24"/>
              </w:rPr>
            </w:pPr>
            <w:r>
              <w:rPr>
                <w:rFonts w:hint="eastAsia" w:ascii="宋体" w:hAnsi="宋体" w:cs="宋体"/>
                <w:sz w:val="24"/>
                <w:szCs w:val="24"/>
              </w:rPr>
              <w:t>③锚固件</w:t>
            </w:r>
          </w:p>
        </w:tc>
        <w:tc>
          <w:tcPr>
            <w:tcW w:w="1330" w:type="pct"/>
            <w:vAlign w:val="center"/>
          </w:tcPr>
          <w:p w14:paraId="74A2D51B">
            <w:pPr>
              <w:jc w:val="center"/>
              <w:rPr>
                <w:rFonts w:ascii="宋体" w:hAnsi="宋体" w:cs="宋体"/>
                <w:sz w:val="24"/>
                <w:szCs w:val="24"/>
              </w:rPr>
            </w:pPr>
            <w:r>
              <w:rPr>
                <w:rFonts w:hint="eastAsia" w:ascii="宋体" w:hAnsi="宋体" w:cs="宋体"/>
                <w:sz w:val="24"/>
                <w:szCs w:val="24"/>
              </w:rPr>
              <w:t>④防护层</w:t>
            </w:r>
          </w:p>
        </w:tc>
      </w:tr>
      <w:tr w14:paraId="4B2D8A2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7" w:type="pct"/>
            <w:vAlign w:val="center"/>
          </w:tcPr>
          <w:p w14:paraId="490E98B3">
            <w:pPr>
              <w:spacing w:line="400" w:lineRule="exact"/>
              <w:jc w:val="center"/>
              <w:rPr>
                <w:rFonts w:ascii="宋体" w:hAnsi="宋体" w:cs="宋体"/>
                <w:sz w:val="24"/>
                <w:szCs w:val="24"/>
              </w:rPr>
            </w:pPr>
            <w:r>
              <w:rPr>
                <w:rFonts w:hint="eastAsia" w:ascii="宋体" w:hAnsi="宋体" w:cs="宋体"/>
                <w:sz w:val="24"/>
                <w:szCs w:val="24"/>
              </w:rPr>
              <w:t>钢筋混凝土</w:t>
            </w:r>
          </w:p>
        </w:tc>
        <w:tc>
          <w:tcPr>
            <w:tcW w:w="1281" w:type="pct"/>
            <w:vAlign w:val="center"/>
          </w:tcPr>
          <w:p w14:paraId="2344C692">
            <w:pPr>
              <w:spacing w:line="400" w:lineRule="exact"/>
              <w:jc w:val="center"/>
              <w:rPr>
                <w:rFonts w:ascii="宋体" w:hAnsi="宋体" w:cs="宋体"/>
                <w:sz w:val="24"/>
                <w:szCs w:val="24"/>
              </w:rPr>
            </w:pPr>
            <w:r>
              <w:rPr>
                <w:rFonts w:hint="eastAsia" w:ascii="宋体" w:hAnsi="宋体" w:cs="宋体"/>
                <w:sz w:val="24"/>
                <w:szCs w:val="24"/>
              </w:rPr>
              <w:t>A级保温材料</w:t>
            </w:r>
          </w:p>
        </w:tc>
        <w:tc>
          <w:tcPr>
            <w:tcW w:w="1139" w:type="pct"/>
            <w:vAlign w:val="center"/>
          </w:tcPr>
          <w:p w14:paraId="3CD9D3E6">
            <w:pPr>
              <w:spacing w:line="400" w:lineRule="exact"/>
              <w:jc w:val="center"/>
              <w:rPr>
                <w:rFonts w:ascii="宋体" w:hAnsi="宋体" w:cs="宋体"/>
                <w:sz w:val="24"/>
                <w:szCs w:val="24"/>
              </w:rPr>
            </w:pPr>
            <w:r>
              <w:rPr>
                <w:rFonts w:hint="eastAsia" w:ascii="宋体" w:hAnsi="宋体" w:cs="宋体"/>
                <w:sz w:val="24"/>
                <w:szCs w:val="24"/>
              </w:rPr>
              <w:t>锚固件</w:t>
            </w:r>
          </w:p>
        </w:tc>
        <w:tc>
          <w:tcPr>
            <w:tcW w:w="1330" w:type="pct"/>
            <w:vAlign w:val="center"/>
          </w:tcPr>
          <w:p w14:paraId="7D717136">
            <w:pPr>
              <w:spacing w:line="400" w:lineRule="exact"/>
              <w:jc w:val="center"/>
              <w:rPr>
                <w:rFonts w:ascii="宋体" w:hAnsi="宋体" w:cs="宋体"/>
                <w:sz w:val="24"/>
                <w:szCs w:val="24"/>
              </w:rPr>
            </w:pPr>
            <w:r>
              <w:rPr>
                <w:rFonts w:hint="eastAsia" w:ascii="宋体" w:hAnsi="宋体" w:cs="宋体"/>
                <w:sz w:val="24"/>
                <w:szCs w:val="24"/>
              </w:rPr>
              <w:t>抹面层+饰面层</w:t>
            </w:r>
          </w:p>
        </w:tc>
      </w:tr>
    </w:tbl>
    <w:p w14:paraId="5DC64F9D">
      <w:pPr>
        <w:spacing w:line="400" w:lineRule="exact"/>
        <w:rPr>
          <w:rFonts w:ascii="宋体" w:hAnsi="宋体" w:cs="宋体"/>
          <w:sz w:val="24"/>
        </w:rPr>
      </w:pPr>
    </w:p>
    <w:p w14:paraId="7BAF5EDE">
      <w:pPr>
        <w:jc w:val="center"/>
        <w:rPr>
          <w:rFonts w:ascii="宋体" w:hAnsi="宋体" w:cs="宋体"/>
          <w:sz w:val="24"/>
        </w:rPr>
      </w:pPr>
      <w:r>
        <w:drawing>
          <wp:inline distT="0" distB="0" distL="114300" distR="114300">
            <wp:extent cx="2313940" cy="1910715"/>
            <wp:effectExtent l="0" t="0" r="10160"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2313940" cy="1910715"/>
                    </a:xfrm>
                    <a:prstGeom prst="rect">
                      <a:avLst/>
                    </a:prstGeom>
                    <a:noFill/>
                    <a:ln>
                      <a:noFill/>
                    </a:ln>
                  </pic:spPr>
                </pic:pic>
              </a:graphicData>
            </a:graphic>
          </wp:inline>
        </w:drawing>
      </w:r>
    </w:p>
    <w:p w14:paraId="0A63AD7A">
      <w:pPr>
        <w:pStyle w:val="3"/>
        <w:jc w:val="center"/>
        <w:rPr>
          <w:rFonts w:ascii="宋体" w:hAnsi="宋体" w:cs="宋体"/>
          <w:sz w:val="24"/>
          <w:szCs w:val="32"/>
        </w:rPr>
      </w:pPr>
      <w:r>
        <w:rPr>
          <w:rFonts w:hint="eastAsia" w:ascii="宋体" w:hAnsi="宋体" w:cs="宋体"/>
          <w:sz w:val="24"/>
          <w:szCs w:val="32"/>
        </w:rPr>
        <w:t>图1 预制集成保温外墙</w:t>
      </w:r>
      <w:r>
        <w:rPr>
          <w:rFonts w:hint="eastAsia" w:ascii="宋体" w:hAnsi="宋体" w:cs="宋体"/>
          <w:sz w:val="24"/>
          <w:szCs w:val="32"/>
          <w:lang w:eastAsia="zh-CN"/>
        </w:rPr>
        <w:t>系统</w:t>
      </w:r>
      <w:r>
        <w:rPr>
          <w:rFonts w:hint="eastAsia" w:ascii="宋体" w:hAnsi="宋体" w:cs="宋体"/>
          <w:sz w:val="24"/>
          <w:szCs w:val="32"/>
        </w:rPr>
        <w:t>构造示意图</w:t>
      </w:r>
    </w:p>
    <w:p w14:paraId="322EFA24">
      <w:pPr>
        <w:spacing w:line="500" w:lineRule="exact"/>
        <w:ind w:firstLine="480" w:firstLineChars="200"/>
        <w:jc w:val="center"/>
        <w:rPr>
          <w:rFonts w:asciiTheme="majorEastAsia" w:hAnsiTheme="majorEastAsia" w:eastAsiaTheme="majorEastAsia"/>
          <w:sz w:val="24"/>
          <w:szCs w:val="24"/>
        </w:rPr>
      </w:pPr>
      <w:r>
        <w:rPr>
          <w:rFonts w:hint="eastAsia" w:ascii="宋体" w:hAnsi="宋体" w:cs="宋体"/>
          <w:sz w:val="24"/>
          <w:szCs w:val="32"/>
        </w:rPr>
        <w:t>1-基层混凝土墙体；2-保温层；3-锚固件；4-防护层</w:t>
      </w:r>
      <w:r>
        <w:rPr>
          <w:rFonts w:hint="eastAsia" w:asciiTheme="majorEastAsia" w:hAnsiTheme="majorEastAsia" w:eastAsiaTheme="majorEastAsia"/>
          <w:sz w:val="24"/>
          <w:szCs w:val="24"/>
        </w:rPr>
        <w:t>。</w:t>
      </w:r>
    </w:p>
    <w:p w14:paraId="1082479B">
      <w:pPr>
        <w:pStyle w:val="19"/>
        <w:spacing w:before="156" w:after="156" w:line="500" w:lineRule="exact"/>
        <w:rPr>
          <w:sz w:val="24"/>
          <w:szCs w:val="24"/>
        </w:rPr>
      </w:pPr>
      <w:bookmarkStart w:id="91" w:name="_Toc31381"/>
      <w:r>
        <w:rPr>
          <w:rFonts w:hint="eastAsia"/>
          <w:sz w:val="24"/>
          <w:szCs w:val="24"/>
        </w:rPr>
        <w:t>预制集成保温外墙板性能指标确定</w:t>
      </w:r>
      <w:bookmarkEnd w:id="91"/>
    </w:p>
    <w:p w14:paraId="730B7E3E">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标准制定过程中标准起草单位多次召开工作会议，与主要行业内专家、检测机构专家、生产厂商技术人员、企业标准负责人员多种讨论及验证实验结果，最终确定了本标准的各项技术指标要求。具体内容及说明如下：</w:t>
      </w:r>
    </w:p>
    <w:p w14:paraId="419FC58C">
      <w:pPr>
        <w:pStyle w:val="21"/>
        <w:spacing w:before="156" w:after="156"/>
        <w:rPr>
          <w:sz w:val="24"/>
          <w:szCs w:val="24"/>
        </w:rPr>
      </w:pPr>
      <w:r>
        <w:rPr>
          <w:rFonts w:hint="eastAsia"/>
          <w:sz w:val="24"/>
          <w:szCs w:val="24"/>
        </w:rPr>
        <w:t>一般要求</w:t>
      </w:r>
    </w:p>
    <w:p w14:paraId="4B48BFF8">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预制集成外墙板性能指标包括耐候性、耐冻融性、抗冲击性、吸水量等。</w:t>
      </w:r>
    </w:p>
    <w:p w14:paraId="6213D60F">
      <w:pPr>
        <w:spacing w:line="500" w:lineRule="exact"/>
        <w:ind w:firstLine="48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表2 </w:t>
      </w:r>
      <w:r>
        <w:rPr>
          <w:rFonts w:hint="eastAsia" w:ascii="宋体" w:hAnsi="宋体" w:cs="宋体"/>
          <w:sz w:val="24"/>
        </w:rPr>
        <w:t>预制集成保温外墙板性能要求</w:t>
      </w:r>
    </w:p>
    <w:tbl>
      <w:tblPr>
        <w:tblStyle w:val="11"/>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2746"/>
        <w:gridCol w:w="4508"/>
        <w:gridCol w:w="1371"/>
      </w:tblGrid>
      <w:tr w14:paraId="11975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vAlign w:val="center"/>
          </w:tcPr>
          <w:p w14:paraId="618C5CA3">
            <w:pPr>
              <w:pStyle w:val="46"/>
              <w:rPr>
                <w:sz w:val="24"/>
                <w:szCs w:val="24"/>
              </w:rPr>
            </w:pPr>
            <w:r>
              <w:rPr>
                <w:sz w:val="24"/>
                <w:szCs w:val="24"/>
              </w:rPr>
              <w:t>项目</w:t>
            </w:r>
          </w:p>
        </w:tc>
        <w:tc>
          <w:tcPr>
            <w:tcW w:w="2392" w:type="pct"/>
            <w:vAlign w:val="center"/>
          </w:tcPr>
          <w:p w14:paraId="4530C2DD">
            <w:pPr>
              <w:pStyle w:val="46"/>
              <w:rPr>
                <w:sz w:val="24"/>
                <w:szCs w:val="24"/>
              </w:rPr>
            </w:pPr>
            <w:r>
              <w:rPr>
                <w:sz w:val="24"/>
                <w:szCs w:val="24"/>
              </w:rPr>
              <w:t>性能指标</w:t>
            </w:r>
          </w:p>
        </w:tc>
        <w:tc>
          <w:tcPr>
            <w:tcW w:w="727" w:type="pct"/>
            <w:vAlign w:val="center"/>
          </w:tcPr>
          <w:p w14:paraId="64928D7F">
            <w:pPr>
              <w:pStyle w:val="46"/>
              <w:rPr>
                <w:sz w:val="24"/>
                <w:szCs w:val="24"/>
              </w:rPr>
            </w:pPr>
            <w:r>
              <w:rPr>
                <w:sz w:val="24"/>
                <w:szCs w:val="24"/>
              </w:rPr>
              <w:t>试验方法</w:t>
            </w:r>
          </w:p>
        </w:tc>
      </w:tr>
      <w:tr w14:paraId="41B068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Merge w:val="restart"/>
            <w:vAlign w:val="center"/>
          </w:tcPr>
          <w:p w14:paraId="45D0B977">
            <w:pPr>
              <w:pStyle w:val="46"/>
              <w:rPr>
                <w:sz w:val="24"/>
                <w:szCs w:val="24"/>
              </w:rPr>
            </w:pPr>
            <w:r>
              <w:rPr>
                <w:sz w:val="24"/>
                <w:szCs w:val="24"/>
              </w:rPr>
              <w:t>耐候性</w:t>
            </w:r>
          </w:p>
        </w:tc>
        <w:tc>
          <w:tcPr>
            <w:tcW w:w="1456" w:type="pct"/>
            <w:vAlign w:val="center"/>
          </w:tcPr>
          <w:p w14:paraId="3E8FCCE0">
            <w:pPr>
              <w:pStyle w:val="46"/>
              <w:rPr>
                <w:sz w:val="24"/>
                <w:szCs w:val="24"/>
              </w:rPr>
            </w:pPr>
            <w:r>
              <w:rPr>
                <w:sz w:val="24"/>
                <w:szCs w:val="24"/>
              </w:rPr>
              <w:t>外观</w:t>
            </w:r>
          </w:p>
        </w:tc>
        <w:tc>
          <w:tcPr>
            <w:tcW w:w="2392" w:type="pct"/>
            <w:vAlign w:val="center"/>
          </w:tcPr>
          <w:p w14:paraId="6DB17622">
            <w:pPr>
              <w:pStyle w:val="46"/>
              <w:rPr>
                <w:sz w:val="24"/>
                <w:szCs w:val="24"/>
              </w:rPr>
            </w:pPr>
            <w:r>
              <w:rPr>
                <w:sz w:val="24"/>
                <w:szCs w:val="24"/>
              </w:rPr>
              <w:t>不得出现空鼓、剥落或脱落、开裂等破坏，不得产生裂缝出现渗水。</w:t>
            </w:r>
          </w:p>
        </w:tc>
        <w:tc>
          <w:tcPr>
            <w:tcW w:w="727" w:type="pct"/>
            <w:vMerge w:val="restart"/>
            <w:vAlign w:val="center"/>
          </w:tcPr>
          <w:p w14:paraId="47A438D5">
            <w:pPr>
              <w:pStyle w:val="46"/>
              <w:rPr>
                <w:sz w:val="24"/>
                <w:szCs w:val="24"/>
              </w:rPr>
            </w:pPr>
            <w:r>
              <w:rPr>
                <w:sz w:val="24"/>
                <w:szCs w:val="24"/>
              </w:rPr>
              <w:t>JGJ 144</w:t>
            </w:r>
          </w:p>
        </w:tc>
      </w:tr>
      <w:tr w14:paraId="1AE907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Merge w:val="continue"/>
            <w:vAlign w:val="center"/>
          </w:tcPr>
          <w:p w14:paraId="7EF2B5DE">
            <w:pPr>
              <w:pStyle w:val="46"/>
              <w:rPr>
                <w:sz w:val="24"/>
                <w:szCs w:val="24"/>
              </w:rPr>
            </w:pPr>
          </w:p>
        </w:tc>
        <w:tc>
          <w:tcPr>
            <w:tcW w:w="1456" w:type="pct"/>
            <w:vAlign w:val="center"/>
          </w:tcPr>
          <w:p w14:paraId="59447AFD">
            <w:pPr>
              <w:pStyle w:val="46"/>
              <w:rPr>
                <w:sz w:val="24"/>
                <w:szCs w:val="24"/>
              </w:rPr>
            </w:pPr>
            <w:r>
              <w:rPr>
                <w:sz w:val="24"/>
                <w:szCs w:val="24"/>
              </w:rPr>
              <w:t>拉伸粘结强度，MPa</w:t>
            </w:r>
          </w:p>
        </w:tc>
        <w:tc>
          <w:tcPr>
            <w:tcW w:w="2392" w:type="pct"/>
            <w:vAlign w:val="center"/>
          </w:tcPr>
          <w:p w14:paraId="3251912E">
            <w:pPr>
              <w:pStyle w:val="46"/>
              <w:rPr>
                <w:sz w:val="24"/>
                <w:szCs w:val="24"/>
              </w:rPr>
            </w:pPr>
            <w:r>
              <w:rPr>
                <w:rFonts w:hint="eastAsia"/>
                <w:sz w:val="24"/>
                <w:szCs w:val="24"/>
              </w:rPr>
              <w:t>≥</w:t>
            </w:r>
            <w:r>
              <w:rPr>
                <w:sz w:val="24"/>
                <w:szCs w:val="24"/>
              </w:rPr>
              <w:t>0.20</w:t>
            </w:r>
            <w:r>
              <w:rPr>
                <w:rFonts w:hint="eastAsia"/>
                <w:sz w:val="24"/>
                <w:szCs w:val="24"/>
              </w:rPr>
              <w:t>，</w:t>
            </w:r>
          </w:p>
          <w:p w14:paraId="2F60CB31">
            <w:pPr>
              <w:pStyle w:val="46"/>
              <w:rPr>
                <w:sz w:val="24"/>
                <w:szCs w:val="24"/>
              </w:rPr>
            </w:pPr>
            <w:r>
              <w:rPr>
                <w:sz w:val="24"/>
                <w:szCs w:val="24"/>
              </w:rPr>
              <w:t>且破坏部位应位于保温层内</w:t>
            </w:r>
          </w:p>
        </w:tc>
        <w:tc>
          <w:tcPr>
            <w:tcW w:w="727" w:type="pct"/>
            <w:vMerge w:val="continue"/>
            <w:vAlign w:val="center"/>
          </w:tcPr>
          <w:p w14:paraId="2970958E">
            <w:pPr>
              <w:pStyle w:val="46"/>
              <w:rPr>
                <w:sz w:val="24"/>
                <w:szCs w:val="24"/>
              </w:rPr>
            </w:pPr>
          </w:p>
        </w:tc>
      </w:tr>
      <w:tr w14:paraId="1EB21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879" w:type="pct"/>
            <w:gridSpan w:val="2"/>
            <w:tcBorders>
              <w:top w:val="single" w:color="auto" w:sz="4" w:space="0"/>
              <w:bottom w:val="single" w:color="auto" w:sz="4" w:space="0"/>
              <w:right w:val="single" w:color="auto" w:sz="4" w:space="0"/>
            </w:tcBorders>
            <w:vAlign w:val="center"/>
          </w:tcPr>
          <w:p w14:paraId="1C08D155">
            <w:pPr>
              <w:pStyle w:val="46"/>
              <w:rPr>
                <w:sz w:val="24"/>
                <w:szCs w:val="24"/>
              </w:rPr>
            </w:pPr>
            <w:r>
              <w:rPr>
                <w:sz w:val="24"/>
                <w:szCs w:val="24"/>
              </w:rPr>
              <w:t>耐冻融性</w:t>
            </w:r>
          </w:p>
        </w:tc>
        <w:tc>
          <w:tcPr>
            <w:tcW w:w="2392" w:type="pct"/>
            <w:tcBorders>
              <w:top w:val="single" w:color="auto" w:sz="4" w:space="0"/>
              <w:left w:val="single" w:color="auto" w:sz="4" w:space="0"/>
              <w:bottom w:val="single" w:color="auto" w:sz="4" w:space="0"/>
              <w:right w:val="single" w:color="auto" w:sz="4" w:space="0"/>
            </w:tcBorders>
            <w:vAlign w:val="center"/>
          </w:tcPr>
          <w:p w14:paraId="001926CF">
            <w:pPr>
              <w:pStyle w:val="46"/>
              <w:rPr>
                <w:sz w:val="24"/>
                <w:szCs w:val="24"/>
              </w:rPr>
            </w:pPr>
            <w:r>
              <w:rPr>
                <w:sz w:val="24"/>
                <w:szCs w:val="24"/>
              </w:rPr>
              <w:t>60次循环后，系统应无空鼓、剥落，无可见裂缝。系统拉伸粘结强度≥0.20MPa，破坏部位应位于保温层内。</w:t>
            </w:r>
          </w:p>
        </w:tc>
        <w:tc>
          <w:tcPr>
            <w:tcW w:w="727" w:type="pct"/>
            <w:vMerge w:val="continue"/>
            <w:vAlign w:val="center"/>
          </w:tcPr>
          <w:p w14:paraId="4CD8618B">
            <w:pPr>
              <w:pStyle w:val="46"/>
              <w:rPr>
                <w:sz w:val="24"/>
                <w:szCs w:val="24"/>
              </w:rPr>
            </w:pPr>
          </w:p>
        </w:tc>
      </w:tr>
      <w:tr w14:paraId="019099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2" w:type="pct"/>
            <w:vMerge w:val="restart"/>
            <w:tcBorders>
              <w:top w:val="single" w:color="auto" w:sz="4" w:space="0"/>
              <w:bottom w:val="single" w:color="auto" w:sz="4" w:space="0"/>
              <w:right w:val="single" w:color="auto" w:sz="4" w:space="0"/>
            </w:tcBorders>
            <w:vAlign w:val="center"/>
          </w:tcPr>
          <w:p w14:paraId="2FEBCA64">
            <w:pPr>
              <w:pStyle w:val="46"/>
              <w:rPr>
                <w:sz w:val="24"/>
                <w:szCs w:val="24"/>
              </w:rPr>
            </w:pPr>
            <w:r>
              <w:rPr>
                <w:sz w:val="24"/>
                <w:szCs w:val="24"/>
              </w:rPr>
              <w:t>抗冲击性</w:t>
            </w:r>
          </w:p>
        </w:tc>
        <w:tc>
          <w:tcPr>
            <w:tcW w:w="1456" w:type="pct"/>
            <w:tcBorders>
              <w:top w:val="single" w:color="auto" w:sz="4" w:space="0"/>
              <w:left w:val="single" w:color="auto" w:sz="4" w:space="0"/>
              <w:bottom w:val="single" w:color="auto" w:sz="4" w:space="0"/>
              <w:right w:val="single" w:color="auto" w:sz="4" w:space="0"/>
            </w:tcBorders>
            <w:vAlign w:val="center"/>
          </w:tcPr>
          <w:p w14:paraId="137F4D51">
            <w:pPr>
              <w:pStyle w:val="46"/>
              <w:rPr>
                <w:sz w:val="24"/>
                <w:szCs w:val="24"/>
              </w:rPr>
            </w:pPr>
            <w:r>
              <w:rPr>
                <w:sz w:val="24"/>
                <w:szCs w:val="24"/>
              </w:rPr>
              <w:t>建筑物首层墙面及门窗口等易受碰撞部位</w:t>
            </w:r>
          </w:p>
        </w:tc>
        <w:tc>
          <w:tcPr>
            <w:tcW w:w="2392" w:type="pct"/>
            <w:tcBorders>
              <w:top w:val="single" w:color="auto" w:sz="4" w:space="0"/>
              <w:left w:val="single" w:color="auto" w:sz="4" w:space="0"/>
              <w:bottom w:val="single" w:color="auto" w:sz="4" w:space="0"/>
              <w:right w:val="single" w:color="auto" w:sz="4" w:space="0"/>
            </w:tcBorders>
            <w:vAlign w:val="center"/>
          </w:tcPr>
          <w:p w14:paraId="2E9DFCAE">
            <w:pPr>
              <w:pStyle w:val="46"/>
              <w:rPr>
                <w:sz w:val="24"/>
                <w:szCs w:val="24"/>
              </w:rPr>
            </w:pPr>
            <w:r>
              <w:rPr>
                <w:sz w:val="24"/>
                <w:szCs w:val="24"/>
              </w:rPr>
              <w:t>10J级</w:t>
            </w:r>
          </w:p>
        </w:tc>
        <w:tc>
          <w:tcPr>
            <w:tcW w:w="727" w:type="pct"/>
            <w:vMerge w:val="continue"/>
            <w:vAlign w:val="center"/>
          </w:tcPr>
          <w:p w14:paraId="494797B0">
            <w:pPr>
              <w:pStyle w:val="46"/>
              <w:rPr>
                <w:sz w:val="24"/>
                <w:szCs w:val="24"/>
              </w:rPr>
            </w:pPr>
          </w:p>
        </w:tc>
      </w:tr>
      <w:tr w14:paraId="076EAD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422" w:type="pct"/>
            <w:vMerge w:val="continue"/>
            <w:tcBorders>
              <w:top w:val="single" w:color="auto" w:sz="4" w:space="0"/>
              <w:bottom w:val="single" w:color="auto" w:sz="4" w:space="0"/>
              <w:right w:val="single" w:color="auto" w:sz="4" w:space="0"/>
            </w:tcBorders>
            <w:vAlign w:val="center"/>
          </w:tcPr>
          <w:p w14:paraId="1CEA9A35">
            <w:pPr>
              <w:pStyle w:val="46"/>
              <w:rPr>
                <w:sz w:val="24"/>
                <w:szCs w:val="24"/>
              </w:rPr>
            </w:pPr>
          </w:p>
        </w:tc>
        <w:tc>
          <w:tcPr>
            <w:tcW w:w="1456" w:type="pct"/>
            <w:tcBorders>
              <w:top w:val="single" w:color="auto" w:sz="4" w:space="0"/>
              <w:left w:val="single" w:color="auto" w:sz="4" w:space="0"/>
              <w:bottom w:val="single" w:color="auto" w:sz="4" w:space="0"/>
              <w:right w:val="single" w:color="auto" w:sz="4" w:space="0"/>
            </w:tcBorders>
            <w:vAlign w:val="center"/>
          </w:tcPr>
          <w:p w14:paraId="0C393FC6">
            <w:pPr>
              <w:pStyle w:val="46"/>
              <w:rPr>
                <w:sz w:val="24"/>
                <w:szCs w:val="24"/>
              </w:rPr>
            </w:pPr>
            <w:r>
              <w:rPr>
                <w:sz w:val="24"/>
                <w:szCs w:val="24"/>
              </w:rPr>
              <w:t>建筑物二层及以上墙面</w:t>
            </w:r>
          </w:p>
        </w:tc>
        <w:tc>
          <w:tcPr>
            <w:tcW w:w="2392" w:type="pct"/>
            <w:tcBorders>
              <w:top w:val="single" w:color="auto" w:sz="4" w:space="0"/>
              <w:left w:val="single" w:color="auto" w:sz="4" w:space="0"/>
              <w:bottom w:val="single" w:color="auto" w:sz="4" w:space="0"/>
              <w:right w:val="single" w:color="auto" w:sz="4" w:space="0"/>
            </w:tcBorders>
            <w:vAlign w:val="center"/>
          </w:tcPr>
          <w:p w14:paraId="4DBA867C">
            <w:pPr>
              <w:pStyle w:val="46"/>
              <w:rPr>
                <w:sz w:val="24"/>
                <w:szCs w:val="24"/>
              </w:rPr>
            </w:pPr>
            <w:r>
              <w:rPr>
                <w:sz w:val="24"/>
                <w:szCs w:val="24"/>
              </w:rPr>
              <w:t>3J级</w:t>
            </w:r>
          </w:p>
        </w:tc>
        <w:tc>
          <w:tcPr>
            <w:tcW w:w="727" w:type="pct"/>
            <w:vMerge w:val="continue"/>
            <w:vAlign w:val="center"/>
          </w:tcPr>
          <w:p w14:paraId="32F8CDFE">
            <w:pPr>
              <w:pStyle w:val="46"/>
              <w:rPr>
                <w:sz w:val="24"/>
                <w:szCs w:val="24"/>
              </w:rPr>
            </w:pPr>
          </w:p>
        </w:tc>
      </w:tr>
      <w:tr w14:paraId="420F64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top w:val="single" w:color="auto" w:sz="4" w:space="0"/>
              <w:bottom w:val="single" w:color="auto" w:sz="4" w:space="0"/>
              <w:right w:val="single" w:color="auto" w:sz="4" w:space="0"/>
            </w:tcBorders>
            <w:vAlign w:val="center"/>
          </w:tcPr>
          <w:p w14:paraId="454B7ECB">
            <w:pPr>
              <w:pStyle w:val="46"/>
              <w:rPr>
                <w:sz w:val="24"/>
                <w:szCs w:val="24"/>
              </w:rPr>
            </w:pPr>
            <w:r>
              <w:rPr>
                <w:sz w:val="24"/>
                <w:szCs w:val="24"/>
              </w:rPr>
              <w:t>吸水量（浸水24h），g/m²</w:t>
            </w:r>
          </w:p>
        </w:tc>
        <w:tc>
          <w:tcPr>
            <w:tcW w:w="2392" w:type="pct"/>
            <w:tcBorders>
              <w:top w:val="single" w:color="auto" w:sz="4" w:space="0"/>
              <w:left w:val="single" w:color="auto" w:sz="4" w:space="0"/>
              <w:bottom w:val="single" w:color="auto" w:sz="4" w:space="0"/>
              <w:right w:val="single" w:color="auto" w:sz="4" w:space="0"/>
            </w:tcBorders>
            <w:vAlign w:val="center"/>
          </w:tcPr>
          <w:p w14:paraId="385FEE05">
            <w:pPr>
              <w:pStyle w:val="46"/>
              <w:rPr>
                <w:sz w:val="24"/>
                <w:szCs w:val="24"/>
              </w:rPr>
            </w:pPr>
            <w:r>
              <w:rPr>
                <w:sz w:val="24"/>
                <w:szCs w:val="24"/>
              </w:rPr>
              <w:t>≤500</w:t>
            </w:r>
          </w:p>
        </w:tc>
        <w:tc>
          <w:tcPr>
            <w:tcW w:w="727" w:type="pct"/>
            <w:vMerge w:val="continue"/>
            <w:vAlign w:val="center"/>
          </w:tcPr>
          <w:p w14:paraId="08EE62B2">
            <w:pPr>
              <w:pStyle w:val="46"/>
              <w:rPr>
                <w:sz w:val="24"/>
                <w:szCs w:val="24"/>
              </w:rPr>
            </w:pPr>
          </w:p>
        </w:tc>
      </w:tr>
      <w:tr w14:paraId="659BE2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top w:val="single" w:color="auto" w:sz="4" w:space="0"/>
              <w:bottom w:val="single" w:color="auto" w:sz="4" w:space="0"/>
              <w:right w:val="single" w:color="auto" w:sz="4" w:space="0"/>
            </w:tcBorders>
            <w:vAlign w:val="center"/>
          </w:tcPr>
          <w:p w14:paraId="6D0939D4">
            <w:pPr>
              <w:pStyle w:val="46"/>
              <w:rPr>
                <w:sz w:val="24"/>
                <w:szCs w:val="24"/>
              </w:rPr>
            </w:pPr>
            <w:r>
              <w:rPr>
                <w:sz w:val="24"/>
                <w:szCs w:val="24"/>
              </w:rPr>
              <w:t>抹面层不透水性</w:t>
            </w:r>
          </w:p>
        </w:tc>
        <w:tc>
          <w:tcPr>
            <w:tcW w:w="2392" w:type="pct"/>
            <w:tcBorders>
              <w:top w:val="single" w:color="auto" w:sz="4" w:space="0"/>
              <w:left w:val="single" w:color="auto" w:sz="4" w:space="0"/>
              <w:bottom w:val="single" w:color="auto" w:sz="4" w:space="0"/>
              <w:right w:val="single" w:color="auto" w:sz="4" w:space="0"/>
            </w:tcBorders>
            <w:vAlign w:val="center"/>
          </w:tcPr>
          <w:p w14:paraId="17F0983F">
            <w:pPr>
              <w:pStyle w:val="46"/>
              <w:rPr>
                <w:sz w:val="24"/>
                <w:szCs w:val="24"/>
              </w:rPr>
            </w:pPr>
            <w:r>
              <w:rPr>
                <w:sz w:val="24"/>
                <w:szCs w:val="24"/>
              </w:rPr>
              <w:t>2h不透水</w:t>
            </w:r>
          </w:p>
        </w:tc>
        <w:tc>
          <w:tcPr>
            <w:tcW w:w="727" w:type="pct"/>
            <w:vMerge w:val="continue"/>
            <w:vAlign w:val="center"/>
          </w:tcPr>
          <w:p w14:paraId="49BE4741">
            <w:pPr>
              <w:pStyle w:val="46"/>
              <w:rPr>
                <w:sz w:val="24"/>
                <w:szCs w:val="24"/>
              </w:rPr>
            </w:pPr>
          </w:p>
        </w:tc>
      </w:tr>
      <w:tr w14:paraId="211970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9" w:type="pct"/>
            <w:gridSpan w:val="2"/>
            <w:tcBorders>
              <w:top w:val="single" w:color="auto" w:sz="4" w:space="0"/>
              <w:right w:val="single" w:color="auto" w:sz="4" w:space="0"/>
            </w:tcBorders>
            <w:vAlign w:val="center"/>
          </w:tcPr>
          <w:p w14:paraId="1B1DD867">
            <w:pPr>
              <w:pStyle w:val="46"/>
              <w:rPr>
                <w:sz w:val="24"/>
                <w:szCs w:val="24"/>
              </w:rPr>
            </w:pPr>
            <w:r>
              <w:rPr>
                <w:sz w:val="24"/>
                <w:szCs w:val="24"/>
              </w:rPr>
              <w:t>防护层水蒸气渗透阻</w:t>
            </w:r>
          </w:p>
        </w:tc>
        <w:tc>
          <w:tcPr>
            <w:tcW w:w="2392" w:type="pct"/>
            <w:tcBorders>
              <w:top w:val="single" w:color="auto" w:sz="4" w:space="0"/>
              <w:left w:val="single" w:color="auto" w:sz="4" w:space="0"/>
              <w:right w:val="single" w:color="auto" w:sz="4" w:space="0"/>
            </w:tcBorders>
            <w:vAlign w:val="center"/>
          </w:tcPr>
          <w:p w14:paraId="6038EE1A">
            <w:pPr>
              <w:pStyle w:val="46"/>
              <w:rPr>
                <w:sz w:val="24"/>
                <w:szCs w:val="24"/>
              </w:rPr>
            </w:pPr>
            <w:r>
              <w:rPr>
                <w:sz w:val="24"/>
                <w:szCs w:val="24"/>
              </w:rPr>
              <w:t>符合设计要求</w:t>
            </w:r>
          </w:p>
        </w:tc>
        <w:tc>
          <w:tcPr>
            <w:tcW w:w="727" w:type="pct"/>
            <w:vMerge w:val="continue"/>
            <w:vAlign w:val="center"/>
          </w:tcPr>
          <w:p w14:paraId="56B3EFCD">
            <w:pPr>
              <w:pStyle w:val="46"/>
              <w:rPr>
                <w:sz w:val="24"/>
                <w:szCs w:val="24"/>
              </w:rPr>
            </w:pPr>
          </w:p>
        </w:tc>
      </w:tr>
    </w:tbl>
    <w:p w14:paraId="0F93DC28">
      <w:pPr>
        <w:spacing w:line="500" w:lineRule="exact"/>
        <w:ind w:firstLine="480"/>
        <w:rPr>
          <w:rFonts w:asciiTheme="majorEastAsia" w:hAnsiTheme="majorEastAsia" w:eastAsiaTheme="majorEastAsia"/>
          <w:sz w:val="24"/>
          <w:szCs w:val="24"/>
        </w:rPr>
      </w:pPr>
    </w:p>
    <w:p w14:paraId="6BD9E873">
      <w:pPr>
        <w:pStyle w:val="21"/>
        <w:spacing w:before="156" w:after="156"/>
        <w:rPr>
          <w:sz w:val="24"/>
          <w:szCs w:val="24"/>
        </w:rPr>
      </w:pPr>
      <w:r>
        <w:rPr>
          <w:rFonts w:hint="eastAsia"/>
          <w:sz w:val="24"/>
          <w:szCs w:val="24"/>
        </w:rPr>
        <w:t>外墙板要求及试验方法</w:t>
      </w:r>
    </w:p>
    <w:p w14:paraId="3172B10D">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试验项目设置从两方面考虑：产品本身的特性，还有产品满足工程应用的性能。</w:t>
      </w:r>
    </w:p>
    <w:p w14:paraId="764662AC">
      <w:pPr>
        <w:spacing w:line="500" w:lineRule="exact"/>
        <w:ind w:firstLine="480"/>
        <w:rPr>
          <w:rFonts w:ascii="黑体" w:hAnsi="黑体" w:eastAsia="黑体"/>
          <w:sz w:val="24"/>
          <w:szCs w:val="24"/>
        </w:rPr>
      </w:pPr>
      <w:r>
        <w:rPr>
          <w:rFonts w:hint="eastAsia" w:ascii="黑体" w:hAnsi="黑体" w:eastAsia="黑体"/>
          <w:sz w:val="24"/>
          <w:szCs w:val="24"/>
        </w:rPr>
        <w:t>（1）外观</w:t>
      </w:r>
    </w:p>
    <w:p w14:paraId="4736BBE3">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裹覆保温板应裹覆均匀，无芯材裸露，表面清洁、干燥，板面平整无破损。</w:t>
      </w:r>
    </w:p>
    <w:p w14:paraId="4BBE25E9">
      <w:pPr>
        <w:spacing w:line="500" w:lineRule="exact"/>
        <w:ind w:firstLine="480"/>
        <w:rPr>
          <w:rFonts w:ascii="黑体" w:hAnsi="黑体" w:eastAsia="黑体"/>
          <w:sz w:val="24"/>
          <w:szCs w:val="24"/>
        </w:rPr>
      </w:pPr>
      <w:r>
        <w:rPr>
          <w:rFonts w:hint="eastAsia" w:ascii="黑体" w:hAnsi="黑体" w:eastAsia="黑体"/>
          <w:sz w:val="24"/>
          <w:szCs w:val="24"/>
        </w:rPr>
        <w:t>（2）尺寸允许偏差</w:t>
      </w:r>
    </w:p>
    <w:p w14:paraId="34BB60AE">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预制集成保温外墙板作为预制构件厂生产的成品，应该对其整体尺寸允许偏差进行控制，尺寸允许偏差应满足表1中的质量要求。</w:t>
      </w:r>
    </w:p>
    <w:p w14:paraId="6709665C">
      <w:pPr>
        <w:pStyle w:val="36"/>
        <w:spacing w:before="156" w:after="156"/>
      </w:pPr>
      <w:r>
        <w:rPr>
          <w:rFonts w:hint="eastAsia"/>
        </w:rPr>
        <w:t>表</w:t>
      </w:r>
      <w:r>
        <w:rPr>
          <w:rFonts w:hint="eastAsia"/>
          <w:lang w:val="en-US" w:eastAsia="zh-CN"/>
        </w:rPr>
        <w:t>3</w:t>
      </w:r>
      <w:r>
        <w:rPr>
          <w:rFonts w:hint="eastAsia"/>
        </w:rPr>
        <w:t xml:space="preserve"> 预制集成保温外墙板外形尺寸允许偏差（mm）</w:t>
      </w:r>
    </w:p>
    <w:tbl>
      <w:tblPr>
        <w:tblStyle w:val="11"/>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92"/>
        <w:gridCol w:w="2605"/>
        <w:gridCol w:w="2522"/>
        <w:gridCol w:w="2505"/>
      </w:tblGrid>
      <w:tr w14:paraId="0A1A9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46D7ABA6">
            <w:pPr>
              <w:pStyle w:val="46"/>
              <w:rPr>
                <w:sz w:val="24"/>
                <w:szCs w:val="24"/>
              </w:rPr>
            </w:pPr>
            <w:r>
              <w:rPr>
                <w:rFonts w:hint="eastAsia"/>
                <w:sz w:val="24"/>
                <w:szCs w:val="24"/>
              </w:rPr>
              <w:t>项目</w:t>
            </w:r>
          </w:p>
        </w:tc>
        <w:tc>
          <w:tcPr>
            <w:tcW w:w="1338" w:type="pct"/>
            <w:vAlign w:val="center"/>
          </w:tcPr>
          <w:p w14:paraId="1BF322B2">
            <w:pPr>
              <w:pStyle w:val="46"/>
              <w:rPr>
                <w:sz w:val="24"/>
                <w:szCs w:val="24"/>
              </w:rPr>
            </w:pPr>
            <w:r>
              <w:rPr>
                <w:rFonts w:hint="eastAsia"/>
                <w:sz w:val="24"/>
                <w:szCs w:val="24"/>
              </w:rPr>
              <w:t>允许偏差</w:t>
            </w:r>
          </w:p>
        </w:tc>
        <w:tc>
          <w:tcPr>
            <w:tcW w:w="1327" w:type="pct"/>
            <w:vAlign w:val="center"/>
          </w:tcPr>
          <w:p w14:paraId="20BFBDB2">
            <w:pPr>
              <w:pStyle w:val="46"/>
              <w:rPr>
                <w:sz w:val="24"/>
                <w:szCs w:val="24"/>
              </w:rPr>
            </w:pPr>
            <w:r>
              <w:rPr>
                <w:sz w:val="24"/>
                <w:szCs w:val="24"/>
              </w:rPr>
              <w:t>试验方法</w:t>
            </w:r>
          </w:p>
        </w:tc>
      </w:tr>
      <w:tr w14:paraId="55E9E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5129F937">
            <w:pPr>
              <w:pStyle w:val="46"/>
              <w:rPr>
                <w:sz w:val="24"/>
                <w:szCs w:val="24"/>
              </w:rPr>
            </w:pPr>
            <w:r>
              <w:rPr>
                <w:rFonts w:hint="eastAsia"/>
                <w:sz w:val="24"/>
                <w:szCs w:val="24"/>
              </w:rPr>
              <w:t>长度/宽度</w:t>
            </w:r>
          </w:p>
        </w:tc>
        <w:tc>
          <w:tcPr>
            <w:tcW w:w="1338" w:type="pct"/>
            <w:vAlign w:val="center"/>
          </w:tcPr>
          <w:p w14:paraId="39769AAD">
            <w:pPr>
              <w:pStyle w:val="46"/>
              <w:rPr>
                <w:sz w:val="24"/>
                <w:szCs w:val="24"/>
              </w:rPr>
            </w:pPr>
            <w:r>
              <w:rPr>
                <w:sz w:val="24"/>
                <w:szCs w:val="24"/>
              </w:rPr>
              <w:t>±4</w:t>
            </w:r>
          </w:p>
        </w:tc>
        <w:tc>
          <w:tcPr>
            <w:tcW w:w="1327" w:type="pct"/>
            <w:vMerge w:val="restart"/>
            <w:vAlign w:val="center"/>
          </w:tcPr>
          <w:p w14:paraId="35F97280">
            <w:pPr>
              <w:pStyle w:val="46"/>
              <w:rPr>
                <w:sz w:val="24"/>
                <w:szCs w:val="24"/>
              </w:rPr>
            </w:pPr>
            <w:r>
              <w:rPr>
                <w:sz w:val="24"/>
                <w:szCs w:val="24"/>
              </w:rPr>
              <w:t xml:space="preserve">GB/T </w:t>
            </w:r>
            <w:r>
              <w:rPr>
                <w:rFonts w:hint="eastAsia"/>
                <w:sz w:val="24"/>
                <w:szCs w:val="24"/>
              </w:rPr>
              <w:t>40399</w:t>
            </w:r>
          </w:p>
        </w:tc>
      </w:tr>
      <w:tr w14:paraId="3B181C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73E0E43D">
            <w:pPr>
              <w:pStyle w:val="46"/>
              <w:rPr>
                <w:sz w:val="24"/>
                <w:szCs w:val="24"/>
              </w:rPr>
            </w:pPr>
            <w:r>
              <w:rPr>
                <w:rFonts w:hint="eastAsia"/>
                <w:sz w:val="24"/>
                <w:szCs w:val="24"/>
              </w:rPr>
              <w:t>高度</w:t>
            </w:r>
          </w:p>
        </w:tc>
        <w:tc>
          <w:tcPr>
            <w:tcW w:w="1338" w:type="pct"/>
            <w:vAlign w:val="center"/>
          </w:tcPr>
          <w:p w14:paraId="084980DB">
            <w:pPr>
              <w:pStyle w:val="46"/>
              <w:rPr>
                <w:sz w:val="24"/>
                <w:szCs w:val="24"/>
              </w:rPr>
            </w:pPr>
            <w:r>
              <w:rPr>
                <w:sz w:val="24"/>
                <w:szCs w:val="24"/>
              </w:rPr>
              <w:t>±4</w:t>
            </w:r>
          </w:p>
        </w:tc>
        <w:tc>
          <w:tcPr>
            <w:tcW w:w="1327" w:type="pct"/>
            <w:vMerge w:val="continue"/>
          </w:tcPr>
          <w:p w14:paraId="06F2FB9D">
            <w:pPr>
              <w:pStyle w:val="46"/>
              <w:rPr>
                <w:sz w:val="24"/>
                <w:szCs w:val="24"/>
              </w:rPr>
            </w:pPr>
          </w:p>
        </w:tc>
      </w:tr>
      <w:tr w14:paraId="119B9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674B96C3">
            <w:pPr>
              <w:pStyle w:val="46"/>
              <w:rPr>
                <w:sz w:val="24"/>
                <w:szCs w:val="24"/>
              </w:rPr>
            </w:pPr>
            <w:r>
              <w:rPr>
                <w:rFonts w:hint="eastAsia"/>
                <w:sz w:val="24"/>
                <w:szCs w:val="24"/>
              </w:rPr>
              <w:t>厚度</w:t>
            </w:r>
          </w:p>
        </w:tc>
        <w:tc>
          <w:tcPr>
            <w:tcW w:w="1338" w:type="pct"/>
            <w:vAlign w:val="center"/>
          </w:tcPr>
          <w:p w14:paraId="78B98C39">
            <w:pPr>
              <w:pStyle w:val="46"/>
              <w:rPr>
                <w:sz w:val="24"/>
                <w:szCs w:val="24"/>
              </w:rPr>
            </w:pPr>
            <w:r>
              <w:rPr>
                <w:sz w:val="24"/>
                <w:szCs w:val="24"/>
              </w:rPr>
              <w:t>±3</w:t>
            </w:r>
          </w:p>
        </w:tc>
        <w:tc>
          <w:tcPr>
            <w:tcW w:w="1327" w:type="pct"/>
            <w:vMerge w:val="continue"/>
          </w:tcPr>
          <w:p w14:paraId="738377BD">
            <w:pPr>
              <w:pStyle w:val="46"/>
              <w:rPr>
                <w:sz w:val="24"/>
                <w:szCs w:val="24"/>
              </w:rPr>
            </w:pPr>
          </w:p>
        </w:tc>
      </w:tr>
      <w:tr w14:paraId="10583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1" w:type="pct"/>
            <w:vMerge w:val="restart"/>
            <w:vAlign w:val="center"/>
          </w:tcPr>
          <w:p w14:paraId="77530464">
            <w:pPr>
              <w:pStyle w:val="46"/>
              <w:rPr>
                <w:sz w:val="24"/>
                <w:szCs w:val="24"/>
              </w:rPr>
            </w:pPr>
            <w:r>
              <w:rPr>
                <w:sz w:val="24"/>
                <w:szCs w:val="24"/>
              </w:rPr>
              <w:t>表面平整度</w:t>
            </w:r>
          </w:p>
        </w:tc>
        <w:tc>
          <w:tcPr>
            <w:tcW w:w="1382" w:type="pct"/>
            <w:vAlign w:val="center"/>
          </w:tcPr>
          <w:p w14:paraId="546FEDD9">
            <w:pPr>
              <w:pStyle w:val="46"/>
              <w:rPr>
                <w:sz w:val="24"/>
                <w:szCs w:val="24"/>
              </w:rPr>
            </w:pPr>
            <w:r>
              <w:rPr>
                <w:rFonts w:hint="eastAsia"/>
                <w:sz w:val="24"/>
                <w:szCs w:val="24"/>
              </w:rPr>
              <w:t>混凝土部分</w:t>
            </w:r>
          </w:p>
        </w:tc>
        <w:tc>
          <w:tcPr>
            <w:tcW w:w="1338" w:type="pct"/>
            <w:vAlign w:val="center"/>
          </w:tcPr>
          <w:p w14:paraId="79E455F0">
            <w:pPr>
              <w:pStyle w:val="46"/>
              <w:rPr>
                <w:sz w:val="24"/>
                <w:szCs w:val="24"/>
              </w:rPr>
            </w:pPr>
            <w:r>
              <w:rPr>
                <w:sz w:val="24"/>
                <w:szCs w:val="24"/>
              </w:rPr>
              <w:t>≤4</w:t>
            </w:r>
          </w:p>
        </w:tc>
        <w:tc>
          <w:tcPr>
            <w:tcW w:w="1327" w:type="pct"/>
            <w:vMerge w:val="continue"/>
          </w:tcPr>
          <w:p w14:paraId="50F4F3F5">
            <w:pPr>
              <w:pStyle w:val="46"/>
              <w:rPr>
                <w:sz w:val="24"/>
                <w:szCs w:val="24"/>
              </w:rPr>
            </w:pPr>
          </w:p>
        </w:tc>
      </w:tr>
      <w:tr w14:paraId="0A0737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1" w:type="pct"/>
            <w:vMerge w:val="continue"/>
            <w:vAlign w:val="center"/>
          </w:tcPr>
          <w:p w14:paraId="131E0744">
            <w:pPr>
              <w:pStyle w:val="46"/>
              <w:rPr>
                <w:sz w:val="24"/>
                <w:szCs w:val="24"/>
              </w:rPr>
            </w:pPr>
          </w:p>
        </w:tc>
        <w:tc>
          <w:tcPr>
            <w:tcW w:w="1382" w:type="pct"/>
            <w:vAlign w:val="center"/>
          </w:tcPr>
          <w:p w14:paraId="5781A25A">
            <w:pPr>
              <w:pStyle w:val="46"/>
              <w:rPr>
                <w:sz w:val="24"/>
                <w:szCs w:val="24"/>
              </w:rPr>
            </w:pPr>
            <w:r>
              <w:rPr>
                <w:rFonts w:hint="eastAsia"/>
                <w:sz w:val="24"/>
                <w:szCs w:val="24"/>
              </w:rPr>
              <w:t>保温板部分</w:t>
            </w:r>
          </w:p>
        </w:tc>
        <w:tc>
          <w:tcPr>
            <w:tcW w:w="1338" w:type="pct"/>
            <w:vAlign w:val="center"/>
          </w:tcPr>
          <w:p w14:paraId="4FA89BC1">
            <w:pPr>
              <w:pStyle w:val="46"/>
              <w:rPr>
                <w:sz w:val="24"/>
                <w:szCs w:val="24"/>
              </w:rPr>
            </w:pPr>
            <w:r>
              <w:rPr>
                <w:sz w:val="24"/>
                <w:szCs w:val="24"/>
              </w:rPr>
              <w:t>≤</w:t>
            </w:r>
            <w:r>
              <w:rPr>
                <w:rFonts w:hint="eastAsia"/>
                <w:sz w:val="24"/>
                <w:szCs w:val="24"/>
              </w:rPr>
              <w:t>2</w:t>
            </w:r>
          </w:p>
        </w:tc>
        <w:tc>
          <w:tcPr>
            <w:tcW w:w="1327" w:type="pct"/>
            <w:vMerge w:val="continue"/>
          </w:tcPr>
          <w:p w14:paraId="4491EB97">
            <w:pPr>
              <w:pStyle w:val="46"/>
              <w:rPr>
                <w:sz w:val="24"/>
                <w:szCs w:val="24"/>
              </w:rPr>
            </w:pPr>
          </w:p>
        </w:tc>
      </w:tr>
      <w:tr w14:paraId="14E28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3409D975">
            <w:pPr>
              <w:pStyle w:val="46"/>
              <w:rPr>
                <w:sz w:val="24"/>
                <w:szCs w:val="24"/>
              </w:rPr>
            </w:pPr>
            <w:r>
              <w:rPr>
                <w:sz w:val="24"/>
                <w:szCs w:val="24"/>
              </w:rPr>
              <w:t>侧向弯曲</w:t>
            </w:r>
          </w:p>
        </w:tc>
        <w:tc>
          <w:tcPr>
            <w:tcW w:w="1338" w:type="pct"/>
            <w:vAlign w:val="center"/>
          </w:tcPr>
          <w:p w14:paraId="2852A0D3">
            <w:pPr>
              <w:pStyle w:val="46"/>
              <w:rPr>
                <w:sz w:val="24"/>
                <w:szCs w:val="24"/>
              </w:rPr>
            </w:pPr>
            <w:r>
              <w:rPr>
                <w:sz w:val="24"/>
                <w:szCs w:val="24"/>
              </w:rPr>
              <w:t>L/1000</w:t>
            </w:r>
            <w:r>
              <w:rPr>
                <w:rFonts w:hint="eastAsia"/>
                <w:sz w:val="24"/>
                <w:szCs w:val="24"/>
              </w:rPr>
              <w:t>且</w:t>
            </w:r>
            <w:r>
              <w:rPr>
                <w:sz w:val="24"/>
                <w:szCs w:val="24"/>
              </w:rPr>
              <w:t>≤10</w:t>
            </w:r>
          </w:p>
        </w:tc>
        <w:tc>
          <w:tcPr>
            <w:tcW w:w="1327" w:type="pct"/>
            <w:vMerge w:val="continue"/>
          </w:tcPr>
          <w:p w14:paraId="71B55DDC">
            <w:pPr>
              <w:pStyle w:val="46"/>
              <w:rPr>
                <w:sz w:val="24"/>
                <w:szCs w:val="24"/>
              </w:rPr>
            </w:pPr>
          </w:p>
        </w:tc>
      </w:tr>
      <w:tr w14:paraId="68C918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14C41D1E">
            <w:pPr>
              <w:pStyle w:val="46"/>
              <w:rPr>
                <w:sz w:val="24"/>
                <w:szCs w:val="24"/>
              </w:rPr>
            </w:pPr>
            <w:r>
              <w:rPr>
                <w:rFonts w:hint="eastAsia"/>
                <w:sz w:val="24"/>
                <w:szCs w:val="24"/>
              </w:rPr>
              <w:t>混凝土部分</w:t>
            </w:r>
            <w:r>
              <w:rPr>
                <w:sz w:val="24"/>
                <w:szCs w:val="24"/>
              </w:rPr>
              <w:t>翘曲</w:t>
            </w:r>
          </w:p>
        </w:tc>
        <w:tc>
          <w:tcPr>
            <w:tcW w:w="1338" w:type="pct"/>
            <w:vAlign w:val="center"/>
          </w:tcPr>
          <w:p w14:paraId="2E0A2AB1">
            <w:pPr>
              <w:pStyle w:val="46"/>
              <w:rPr>
                <w:sz w:val="24"/>
                <w:szCs w:val="24"/>
              </w:rPr>
            </w:pPr>
            <w:r>
              <w:rPr>
                <w:sz w:val="24"/>
                <w:szCs w:val="24"/>
              </w:rPr>
              <w:t>L/1000</w:t>
            </w:r>
            <w:r>
              <w:rPr>
                <w:rFonts w:hint="eastAsia"/>
                <w:sz w:val="24"/>
                <w:szCs w:val="24"/>
              </w:rPr>
              <w:t>且</w:t>
            </w:r>
            <w:r>
              <w:rPr>
                <w:sz w:val="24"/>
                <w:szCs w:val="24"/>
              </w:rPr>
              <w:t>≤10</w:t>
            </w:r>
          </w:p>
        </w:tc>
        <w:tc>
          <w:tcPr>
            <w:tcW w:w="1327" w:type="pct"/>
            <w:vMerge w:val="continue"/>
          </w:tcPr>
          <w:p w14:paraId="18D32562">
            <w:pPr>
              <w:pStyle w:val="46"/>
              <w:rPr>
                <w:sz w:val="24"/>
                <w:szCs w:val="24"/>
              </w:rPr>
            </w:pPr>
          </w:p>
        </w:tc>
      </w:tr>
      <w:tr w14:paraId="0345E7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33" w:type="pct"/>
            <w:gridSpan w:val="2"/>
            <w:vAlign w:val="center"/>
          </w:tcPr>
          <w:p w14:paraId="56AE517D">
            <w:pPr>
              <w:pStyle w:val="46"/>
              <w:rPr>
                <w:sz w:val="24"/>
                <w:szCs w:val="24"/>
              </w:rPr>
            </w:pPr>
            <w:r>
              <w:rPr>
                <w:sz w:val="24"/>
                <w:szCs w:val="24"/>
              </w:rPr>
              <w:t>对角线差</w:t>
            </w:r>
          </w:p>
        </w:tc>
        <w:tc>
          <w:tcPr>
            <w:tcW w:w="1338" w:type="pct"/>
            <w:vAlign w:val="center"/>
          </w:tcPr>
          <w:p w14:paraId="28BF51A1">
            <w:pPr>
              <w:pStyle w:val="46"/>
              <w:rPr>
                <w:sz w:val="24"/>
                <w:szCs w:val="24"/>
              </w:rPr>
            </w:pPr>
            <w:r>
              <w:rPr>
                <w:sz w:val="24"/>
                <w:szCs w:val="24"/>
              </w:rPr>
              <w:t>≤5</w:t>
            </w:r>
          </w:p>
        </w:tc>
        <w:tc>
          <w:tcPr>
            <w:tcW w:w="1327" w:type="pct"/>
            <w:vMerge w:val="continue"/>
          </w:tcPr>
          <w:p w14:paraId="65D18AE6">
            <w:pPr>
              <w:pStyle w:val="46"/>
              <w:rPr>
                <w:sz w:val="24"/>
                <w:szCs w:val="24"/>
              </w:rPr>
            </w:pPr>
          </w:p>
        </w:tc>
      </w:tr>
      <w:tr w14:paraId="3F703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1" w:type="pct"/>
            <w:vMerge w:val="restart"/>
            <w:vAlign w:val="center"/>
          </w:tcPr>
          <w:p w14:paraId="2A4090A9">
            <w:pPr>
              <w:pStyle w:val="46"/>
              <w:rPr>
                <w:sz w:val="24"/>
                <w:szCs w:val="24"/>
              </w:rPr>
            </w:pPr>
            <w:r>
              <w:rPr>
                <w:sz w:val="24"/>
                <w:szCs w:val="24"/>
              </w:rPr>
              <w:t>门窗洞口</w:t>
            </w:r>
          </w:p>
        </w:tc>
        <w:tc>
          <w:tcPr>
            <w:tcW w:w="1382" w:type="pct"/>
            <w:vAlign w:val="center"/>
          </w:tcPr>
          <w:p w14:paraId="55FEDBCB">
            <w:pPr>
              <w:pStyle w:val="46"/>
              <w:rPr>
                <w:sz w:val="24"/>
                <w:szCs w:val="24"/>
              </w:rPr>
            </w:pPr>
            <w:r>
              <w:rPr>
                <w:rFonts w:hint="eastAsia"/>
                <w:sz w:val="24"/>
                <w:szCs w:val="24"/>
              </w:rPr>
              <w:t>中心线</w:t>
            </w:r>
            <w:r>
              <w:rPr>
                <w:sz w:val="24"/>
                <w:szCs w:val="24"/>
              </w:rPr>
              <w:t>位置</w:t>
            </w:r>
          </w:p>
        </w:tc>
        <w:tc>
          <w:tcPr>
            <w:tcW w:w="1338" w:type="pct"/>
            <w:vAlign w:val="center"/>
          </w:tcPr>
          <w:p w14:paraId="6C84DA95">
            <w:pPr>
              <w:pStyle w:val="46"/>
              <w:rPr>
                <w:sz w:val="24"/>
                <w:szCs w:val="24"/>
              </w:rPr>
            </w:pPr>
            <w:r>
              <w:rPr>
                <w:sz w:val="24"/>
                <w:szCs w:val="24"/>
              </w:rPr>
              <w:t>≤3</w:t>
            </w:r>
          </w:p>
        </w:tc>
        <w:tc>
          <w:tcPr>
            <w:tcW w:w="1327" w:type="pct"/>
            <w:vMerge w:val="continue"/>
          </w:tcPr>
          <w:p w14:paraId="37934375">
            <w:pPr>
              <w:pStyle w:val="46"/>
              <w:rPr>
                <w:sz w:val="24"/>
                <w:szCs w:val="24"/>
              </w:rPr>
            </w:pPr>
          </w:p>
        </w:tc>
      </w:tr>
      <w:tr w14:paraId="77D14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1" w:type="pct"/>
            <w:vMerge w:val="continue"/>
            <w:vAlign w:val="center"/>
          </w:tcPr>
          <w:p w14:paraId="28B6276B">
            <w:pPr>
              <w:pStyle w:val="46"/>
              <w:rPr>
                <w:sz w:val="24"/>
                <w:szCs w:val="24"/>
              </w:rPr>
            </w:pPr>
          </w:p>
        </w:tc>
        <w:tc>
          <w:tcPr>
            <w:tcW w:w="1382" w:type="pct"/>
            <w:vAlign w:val="center"/>
          </w:tcPr>
          <w:p w14:paraId="71C271E7">
            <w:pPr>
              <w:pStyle w:val="46"/>
              <w:rPr>
                <w:sz w:val="24"/>
                <w:szCs w:val="24"/>
              </w:rPr>
            </w:pPr>
            <w:r>
              <w:rPr>
                <w:sz w:val="24"/>
                <w:szCs w:val="24"/>
              </w:rPr>
              <w:t>宽度、高度</w:t>
            </w:r>
          </w:p>
        </w:tc>
        <w:tc>
          <w:tcPr>
            <w:tcW w:w="1338" w:type="pct"/>
            <w:vAlign w:val="center"/>
          </w:tcPr>
          <w:p w14:paraId="19397287">
            <w:pPr>
              <w:pStyle w:val="46"/>
              <w:rPr>
                <w:sz w:val="24"/>
                <w:szCs w:val="24"/>
              </w:rPr>
            </w:pPr>
            <w:r>
              <w:rPr>
                <w:sz w:val="24"/>
                <w:szCs w:val="24"/>
              </w:rPr>
              <w:t>±4</w:t>
            </w:r>
          </w:p>
        </w:tc>
        <w:tc>
          <w:tcPr>
            <w:tcW w:w="1327" w:type="pct"/>
            <w:vMerge w:val="continue"/>
          </w:tcPr>
          <w:p w14:paraId="3BC6C09D">
            <w:pPr>
              <w:pStyle w:val="46"/>
              <w:rPr>
                <w:sz w:val="24"/>
                <w:szCs w:val="24"/>
              </w:rPr>
            </w:pPr>
          </w:p>
        </w:tc>
      </w:tr>
      <w:tr w14:paraId="3EB392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1" w:type="pct"/>
            <w:vMerge w:val="continue"/>
            <w:vAlign w:val="center"/>
          </w:tcPr>
          <w:p w14:paraId="6708C29C">
            <w:pPr>
              <w:pStyle w:val="46"/>
              <w:rPr>
                <w:sz w:val="24"/>
                <w:szCs w:val="24"/>
              </w:rPr>
            </w:pPr>
          </w:p>
        </w:tc>
        <w:tc>
          <w:tcPr>
            <w:tcW w:w="1382" w:type="pct"/>
            <w:vAlign w:val="center"/>
          </w:tcPr>
          <w:p w14:paraId="0374C559">
            <w:pPr>
              <w:pStyle w:val="46"/>
              <w:rPr>
                <w:sz w:val="24"/>
                <w:szCs w:val="24"/>
              </w:rPr>
            </w:pPr>
            <w:r>
              <w:rPr>
                <w:rFonts w:hint="eastAsia"/>
                <w:sz w:val="24"/>
                <w:szCs w:val="24"/>
              </w:rPr>
              <w:t>对角线</w:t>
            </w:r>
          </w:p>
        </w:tc>
        <w:tc>
          <w:tcPr>
            <w:tcW w:w="1338" w:type="pct"/>
            <w:vAlign w:val="center"/>
          </w:tcPr>
          <w:p w14:paraId="332B731D">
            <w:pPr>
              <w:pStyle w:val="46"/>
              <w:rPr>
                <w:sz w:val="24"/>
                <w:szCs w:val="24"/>
              </w:rPr>
            </w:pPr>
            <w:r>
              <w:rPr>
                <w:sz w:val="24"/>
                <w:szCs w:val="24"/>
              </w:rPr>
              <w:t>≤4</w:t>
            </w:r>
          </w:p>
        </w:tc>
        <w:tc>
          <w:tcPr>
            <w:tcW w:w="1327" w:type="pct"/>
            <w:vMerge w:val="continue"/>
          </w:tcPr>
          <w:p w14:paraId="6805FB67">
            <w:pPr>
              <w:pStyle w:val="46"/>
              <w:rPr>
                <w:sz w:val="24"/>
                <w:szCs w:val="24"/>
              </w:rPr>
            </w:pPr>
          </w:p>
        </w:tc>
      </w:tr>
      <w:tr w14:paraId="04FCE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vAlign w:val="center"/>
          </w:tcPr>
          <w:p w14:paraId="1F88F30B">
            <w:pPr>
              <w:pStyle w:val="46"/>
              <w:rPr>
                <w:sz w:val="24"/>
                <w:szCs w:val="24"/>
              </w:rPr>
            </w:pPr>
            <w:r>
              <w:rPr>
                <w:sz w:val="24"/>
                <w:szCs w:val="24"/>
              </w:rPr>
              <w:t>注</w:t>
            </w:r>
            <w:r>
              <w:rPr>
                <w:rFonts w:hint="eastAsia"/>
                <w:sz w:val="24"/>
                <w:szCs w:val="24"/>
              </w:rPr>
              <w:t>1</w:t>
            </w:r>
            <w:r>
              <w:rPr>
                <w:sz w:val="24"/>
                <w:szCs w:val="24"/>
              </w:rPr>
              <w:t>：</w:t>
            </w:r>
            <w:r>
              <w:rPr>
                <w:rFonts w:hint="eastAsia"/>
                <w:sz w:val="24"/>
                <w:szCs w:val="24"/>
              </w:rPr>
              <w:t>保温</w:t>
            </w:r>
            <w:r>
              <w:rPr>
                <w:sz w:val="24"/>
                <w:szCs w:val="24"/>
              </w:rPr>
              <w:t>板厚度</w:t>
            </w:r>
            <w:r>
              <w:rPr>
                <w:rFonts w:hint="eastAsia"/>
                <w:sz w:val="24"/>
                <w:szCs w:val="24"/>
              </w:rPr>
              <w:t>应无负偏差</w:t>
            </w:r>
            <w:r>
              <w:rPr>
                <w:sz w:val="24"/>
                <w:szCs w:val="24"/>
              </w:rPr>
              <w:t>；注</w:t>
            </w:r>
            <w:r>
              <w:rPr>
                <w:rFonts w:hint="eastAsia"/>
                <w:sz w:val="24"/>
                <w:szCs w:val="24"/>
              </w:rPr>
              <w:t>2：</w:t>
            </w:r>
            <w:r>
              <w:rPr>
                <w:sz w:val="24"/>
                <w:szCs w:val="24"/>
              </w:rPr>
              <w:t>L为预制</w:t>
            </w:r>
            <w:r>
              <w:rPr>
                <w:rFonts w:hint="eastAsia"/>
                <w:sz w:val="24"/>
                <w:szCs w:val="24"/>
              </w:rPr>
              <w:t>集成</w:t>
            </w:r>
            <w:r>
              <w:rPr>
                <w:sz w:val="24"/>
                <w:szCs w:val="24"/>
              </w:rPr>
              <w:t>保温</w:t>
            </w:r>
            <w:r>
              <w:rPr>
                <w:rFonts w:hint="eastAsia"/>
                <w:sz w:val="24"/>
                <w:szCs w:val="24"/>
              </w:rPr>
              <w:t>墙板最长边</w:t>
            </w:r>
            <w:r>
              <w:rPr>
                <w:sz w:val="24"/>
                <w:szCs w:val="24"/>
              </w:rPr>
              <w:t>长度</w:t>
            </w:r>
            <w:r>
              <w:rPr>
                <w:rFonts w:hint="eastAsia"/>
                <w:sz w:val="24"/>
                <w:szCs w:val="24"/>
              </w:rPr>
              <w:t>（mm）</w:t>
            </w:r>
          </w:p>
        </w:tc>
      </w:tr>
    </w:tbl>
    <w:p w14:paraId="421E27ED">
      <w:pPr>
        <w:pStyle w:val="17"/>
      </w:pPr>
    </w:p>
    <w:p w14:paraId="2B4D6B01">
      <w:pPr>
        <w:spacing w:line="500" w:lineRule="exact"/>
        <w:ind w:firstLine="480"/>
        <w:rPr>
          <w:rFonts w:ascii="黑体" w:hAnsi="黑体" w:eastAsia="黑体"/>
          <w:sz w:val="24"/>
          <w:szCs w:val="24"/>
        </w:rPr>
      </w:pPr>
      <w:r>
        <w:rPr>
          <w:rFonts w:hint="eastAsia" w:ascii="黑体" w:hAnsi="黑体" w:eastAsia="黑体"/>
          <w:sz w:val="24"/>
          <w:szCs w:val="24"/>
        </w:rPr>
        <w:t>（3）物理力学性能、燃烧性能</w:t>
      </w:r>
    </w:p>
    <w:p w14:paraId="1C6472B6">
      <w:pPr>
        <w:spacing w:line="500" w:lineRule="exact"/>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分别对保温板的性能指标进行了相关规定。</w:t>
      </w:r>
    </w:p>
    <w:p w14:paraId="21683A39">
      <w:pPr>
        <w:pStyle w:val="36"/>
        <w:spacing w:before="156" w:after="156"/>
      </w:pPr>
      <w:r>
        <w:rPr>
          <w:rFonts w:hint="eastAsia"/>
        </w:rPr>
        <w:t>表</w:t>
      </w:r>
      <w:r>
        <w:rPr>
          <w:rFonts w:hint="eastAsia"/>
          <w:lang w:val="en-US" w:eastAsia="zh-CN"/>
        </w:rPr>
        <w:t>4</w:t>
      </w:r>
      <w:r>
        <w:rPr>
          <w:rFonts w:hint="eastAsia"/>
        </w:rPr>
        <w:t>保温板性能要求</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775"/>
        <w:gridCol w:w="2824"/>
        <w:gridCol w:w="2825"/>
      </w:tblGrid>
      <w:tr w14:paraId="6E3612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5F196886">
            <w:pPr>
              <w:pStyle w:val="46"/>
              <w:rPr>
                <w:sz w:val="24"/>
                <w:szCs w:val="24"/>
              </w:rPr>
            </w:pPr>
            <w:r>
              <w:rPr>
                <w:sz w:val="24"/>
                <w:szCs w:val="24"/>
              </w:rPr>
              <w:t>项目</w:t>
            </w:r>
          </w:p>
        </w:tc>
        <w:tc>
          <w:tcPr>
            <w:tcW w:w="1510" w:type="pct"/>
            <w:shd w:val="clear" w:color="auto" w:fill="auto"/>
            <w:noWrap/>
            <w:vAlign w:val="center"/>
          </w:tcPr>
          <w:p w14:paraId="6B90A2E0">
            <w:pPr>
              <w:pStyle w:val="46"/>
              <w:rPr>
                <w:sz w:val="24"/>
                <w:szCs w:val="24"/>
              </w:rPr>
            </w:pPr>
            <w:r>
              <w:rPr>
                <w:sz w:val="24"/>
                <w:szCs w:val="24"/>
              </w:rPr>
              <w:t>性能指标</w:t>
            </w:r>
          </w:p>
        </w:tc>
        <w:tc>
          <w:tcPr>
            <w:tcW w:w="1510" w:type="pct"/>
            <w:shd w:val="clear" w:color="auto" w:fill="auto"/>
            <w:noWrap/>
            <w:vAlign w:val="center"/>
          </w:tcPr>
          <w:p w14:paraId="33F4AF20">
            <w:pPr>
              <w:pStyle w:val="46"/>
              <w:rPr>
                <w:sz w:val="24"/>
                <w:szCs w:val="24"/>
              </w:rPr>
            </w:pPr>
            <w:r>
              <w:rPr>
                <w:rFonts w:hint="eastAsia"/>
                <w:sz w:val="24"/>
                <w:szCs w:val="24"/>
              </w:rPr>
              <w:t>试验方法</w:t>
            </w:r>
          </w:p>
        </w:tc>
      </w:tr>
      <w:tr w14:paraId="59FEEB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47E75A48">
            <w:pPr>
              <w:pStyle w:val="46"/>
              <w:rPr>
                <w:sz w:val="24"/>
                <w:szCs w:val="24"/>
              </w:rPr>
            </w:pPr>
            <w:r>
              <w:rPr>
                <w:sz w:val="24"/>
                <w:szCs w:val="24"/>
              </w:rPr>
              <w:t>干密度，kg/m</w:t>
            </w:r>
            <w:r>
              <w:rPr>
                <w:sz w:val="24"/>
                <w:szCs w:val="24"/>
                <w:vertAlign w:val="superscript"/>
              </w:rPr>
              <w:t>3</w:t>
            </w:r>
          </w:p>
        </w:tc>
        <w:tc>
          <w:tcPr>
            <w:tcW w:w="1510" w:type="pct"/>
            <w:shd w:val="clear" w:color="auto" w:fill="auto"/>
            <w:noWrap/>
            <w:vAlign w:val="center"/>
          </w:tcPr>
          <w:p w14:paraId="27C320C2">
            <w:pPr>
              <w:pStyle w:val="46"/>
              <w:rPr>
                <w:sz w:val="24"/>
                <w:szCs w:val="24"/>
              </w:rPr>
            </w:pPr>
            <w:r>
              <w:rPr>
                <w:sz w:val="24"/>
                <w:szCs w:val="24"/>
              </w:rPr>
              <w:t>180~230</w:t>
            </w:r>
          </w:p>
        </w:tc>
        <w:tc>
          <w:tcPr>
            <w:tcW w:w="1510" w:type="pct"/>
            <w:vMerge w:val="restart"/>
            <w:shd w:val="clear" w:color="auto" w:fill="auto"/>
            <w:noWrap/>
            <w:vAlign w:val="center"/>
          </w:tcPr>
          <w:p w14:paraId="480D0C0D">
            <w:pPr>
              <w:pStyle w:val="46"/>
              <w:rPr>
                <w:sz w:val="24"/>
                <w:szCs w:val="24"/>
              </w:rPr>
            </w:pPr>
            <w:r>
              <w:rPr>
                <w:rFonts w:hint="eastAsia"/>
                <w:sz w:val="24"/>
                <w:szCs w:val="24"/>
              </w:rPr>
              <w:t>JGJ 144</w:t>
            </w:r>
          </w:p>
        </w:tc>
      </w:tr>
      <w:tr w14:paraId="4ECC40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397BB9AF">
            <w:pPr>
              <w:pStyle w:val="46"/>
              <w:rPr>
                <w:sz w:val="24"/>
                <w:szCs w:val="24"/>
              </w:rPr>
            </w:pPr>
            <w:r>
              <w:rPr>
                <w:sz w:val="24"/>
                <w:szCs w:val="24"/>
              </w:rPr>
              <w:t>抗压强度，MPa</w:t>
            </w:r>
          </w:p>
        </w:tc>
        <w:tc>
          <w:tcPr>
            <w:tcW w:w="1510" w:type="pct"/>
            <w:shd w:val="clear" w:color="auto" w:fill="auto"/>
            <w:noWrap/>
            <w:vAlign w:val="center"/>
          </w:tcPr>
          <w:p w14:paraId="59B46A35">
            <w:pPr>
              <w:pStyle w:val="46"/>
              <w:rPr>
                <w:sz w:val="24"/>
                <w:szCs w:val="24"/>
              </w:rPr>
            </w:pPr>
            <w:r>
              <w:rPr>
                <w:sz w:val="24"/>
                <w:szCs w:val="24"/>
              </w:rPr>
              <w:t>≥0.30</w:t>
            </w:r>
          </w:p>
        </w:tc>
        <w:tc>
          <w:tcPr>
            <w:tcW w:w="1510" w:type="pct"/>
            <w:vMerge w:val="continue"/>
            <w:shd w:val="clear" w:color="auto" w:fill="auto"/>
            <w:noWrap/>
            <w:vAlign w:val="center"/>
          </w:tcPr>
          <w:p w14:paraId="4C04239F">
            <w:pPr>
              <w:pStyle w:val="46"/>
              <w:rPr>
                <w:sz w:val="24"/>
                <w:szCs w:val="24"/>
              </w:rPr>
            </w:pPr>
          </w:p>
        </w:tc>
      </w:tr>
      <w:tr w14:paraId="60A18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978" w:type="pct"/>
            <w:shd w:val="clear" w:color="auto" w:fill="auto"/>
            <w:noWrap/>
            <w:vAlign w:val="center"/>
          </w:tcPr>
          <w:p w14:paraId="64A527DC">
            <w:pPr>
              <w:pStyle w:val="46"/>
              <w:rPr>
                <w:sz w:val="24"/>
                <w:szCs w:val="24"/>
              </w:rPr>
            </w:pPr>
            <w:r>
              <w:rPr>
                <w:sz w:val="24"/>
                <w:szCs w:val="24"/>
              </w:rPr>
              <w:t>垂直于板面方向的抗拉强度，MPa</w:t>
            </w:r>
          </w:p>
        </w:tc>
        <w:tc>
          <w:tcPr>
            <w:tcW w:w="1510" w:type="pct"/>
            <w:shd w:val="clear" w:color="auto" w:fill="auto"/>
            <w:noWrap/>
            <w:vAlign w:val="center"/>
          </w:tcPr>
          <w:p w14:paraId="3343CBCC">
            <w:pPr>
              <w:pStyle w:val="46"/>
              <w:rPr>
                <w:sz w:val="24"/>
                <w:szCs w:val="24"/>
              </w:rPr>
            </w:pPr>
            <w:r>
              <w:rPr>
                <w:sz w:val="24"/>
                <w:szCs w:val="24"/>
              </w:rPr>
              <w:t>≥0.20</w:t>
            </w:r>
          </w:p>
        </w:tc>
        <w:tc>
          <w:tcPr>
            <w:tcW w:w="1510" w:type="pct"/>
            <w:vMerge w:val="continue"/>
            <w:shd w:val="clear" w:color="auto" w:fill="auto"/>
            <w:noWrap/>
            <w:vAlign w:val="center"/>
          </w:tcPr>
          <w:p w14:paraId="29147B70">
            <w:pPr>
              <w:pStyle w:val="46"/>
              <w:rPr>
                <w:sz w:val="24"/>
                <w:szCs w:val="24"/>
              </w:rPr>
            </w:pPr>
          </w:p>
        </w:tc>
      </w:tr>
      <w:tr w14:paraId="054DAB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4F301CCC">
            <w:pPr>
              <w:pStyle w:val="46"/>
              <w:rPr>
                <w:sz w:val="24"/>
                <w:szCs w:val="24"/>
              </w:rPr>
            </w:pPr>
            <w:r>
              <w:rPr>
                <w:sz w:val="24"/>
                <w:szCs w:val="24"/>
              </w:rPr>
              <w:t>体积吸水率，%</w:t>
            </w:r>
          </w:p>
        </w:tc>
        <w:tc>
          <w:tcPr>
            <w:tcW w:w="1510" w:type="pct"/>
            <w:shd w:val="clear" w:color="auto" w:fill="auto"/>
            <w:noWrap/>
            <w:vAlign w:val="center"/>
          </w:tcPr>
          <w:p w14:paraId="69DED2ED">
            <w:pPr>
              <w:pStyle w:val="46"/>
              <w:rPr>
                <w:sz w:val="24"/>
                <w:szCs w:val="24"/>
              </w:rPr>
            </w:pPr>
            <w:r>
              <w:rPr>
                <w:sz w:val="24"/>
                <w:szCs w:val="24"/>
              </w:rPr>
              <w:t>≤10.0</w:t>
            </w:r>
          </w:p>
        </w:tc>
        <w:tc>
          <w:tcPr>
            <w:tcW w:w="1510" w:type="pct"/>
            <w:vMerge w:val="continue"/>
            <w:shd w:val="clear" w:color="auto" w:fill="auto"/>
            <w:noWrap/>
            <w:vAlign w:val="center"/>
          </w:tcPr>
          <w:p w14:paraId="73F2DE66">
            <w:pPr>
              <w:pStyle w:val="46"/>
              <w:rPr>
                <w:sz w:val="24"/>
                <w:szCs w:val="24"/>
              </w:rPr>
            </w:pPr>
          </w:p>
        </w:tc>
      </w:tr>
      <w:tr w14:paraId="597421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263B4D69">
            <w:pPr>
              <w:pStyle w:val="46"/>
              <w:rPr>
                <w:sz w:val="24"/>
                <w:szCs w:val="24"/>
              </w:rPr>
            </w:pPr>
            <w:r>
              <w:rPr>
                <w:sz w:val="24"/>
                <w:szCs w:val="24"/>
              </w:rPr>
              <w:t>拉伸粘结强度（与混凝土），MPa</w:t>
            </w:r>
          </w:p>
        </w:tc>
        <w:tc>
          <w:tcPr>
            <w:tcW w:w="1510" w:type="pct"/>
            <w:shd w:val="clear" w:color="auto" w:fill="auto"/>
            <w:noWrap/>
            <w:vAlign w:val="center"/>
          </w:tcPr>
          <w:p w14:paraId="40CF5A9B">
            <w:pPr>
              <w:pStyle w:val="46"/>
              <w:rPr>
                <w:sz w:val="24"/>
                <w:szCs w:val="24"/>
              </w:rPr>
            </w:pPr>
            <w:r>
              <w:rPr>
                <w:sz w:val="24"/>
                <w:szCs w:val="24"/>
              </w:rPr>
              <w:t>≥0.20，</w:t>
            </w:r>
          </w:p>
          <w:p w14:paraId="18CC936C">
            <w:pPr>
              <w:pStyle w:val="46"/>
              <w:rPr>
                <w:sz w:val="24"/>
                <w:szCs w:val="24"/>
              </w:rPr>
            </w:pPr>
            <w:r>
              <w:rPr>
                <w:sz w:val="24"/>
                <w:szCs w:val="24"/>
              </w:rPr>
              <w:t>且破坏面在保温层内</w:t>
            </w:r>
          </w:p>
        </w:tc>
        <w:tc>
          <w:tcPr>
            <w:tcW w:w="1510" w:type="pct"/>
            <w:vMerge w:val="continue"/>
            <w:shd w:val="clear" w:color="auto" w:fill="auto"/>
            <w:noWrap/>
            <w:vAlign w:val="center"/>
          </w:tcPr>
          <w:p w14:paraId="0E7D152A">
            <w:pPr>
              <w:pStyle w:val="46"/>
              <w:rPr>
                <w:sz w:val="24"/>
                <w:szCs w:val="24"/>
              </w:rPr>
            </w:pPr>
          </w:p>
        </w:tc>
      </w:tr>
      <w:tr w14:paraId="55326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78" w:type="pct"/>
            <w:shd w:val="clear" w:color="auto" w:fill="auto"/>
            <w:noWrap/>
            <w:vAlign w:val="center"/>
          </w:tcPr>
          <w:p w14:paraId="6B1FAA9A">
            <w:pPr>
              <w:pStyle w:val="46"/>
              <w:rPr>
                <w:sz w:val="24"/>
                <w:szCs w:val="24"/>
              </w:rPr>
            </w:pPr>
            <w:r>
              <w:rPr>
                <w:sz w:val="24"/>
                <w:szCs w:val="24"/>
              </w:rPr>
              <w:t>导热系数（25</w:t>
            </w:r>
            <w:r>
              <w:rPr>
                <w:rFonts w:hint="eastAsia"/>
                <w:sz w:val="24"/>
                <w:szCs w:val="24"/>
              </w:rPr>
              <w:t>℃</w:t>
            </w:r>
            <w:r>
              <w:rPr>
                <w:sz w:val="24"/>
                <w:szCs w:val="24"/>
              </w:rPr>
              <w:t>），W/（m·K）</w:t>
            </w:r>
          </w:p>
        </w:tc>
        <w:tc>
          <w:tcPr>
            <w:tcW w:w="1510" w:type="pct"/>
            <w:shd w:val="clear" w:color="auto" w:fill="auto"/>
            <w:noWrap/>
            <w:vAlign w:val="center"/>
          </w:tcPr>
          <w:p w14:paraId="10ECE8C6">
            <w:pPr>
              <w:pStyle w:val="46"/>
              <w:rPr>
                <w:sz w:val="24"/>
                <w:szCs w:val="24"/>
              </w:rPr>
            </w:pPr>
            <w:r>
              <w:rPr>
                <w:sz w:val="24"/>
                <w:szCs w:val="24"/>
              </w:rPr>
              <w:t>≤0.055</w:t>
            </w:r>
          </w:p>
        </w:tc>
        <w:tc>
          <w:tcPr>
            <w:tcW w:w="1510" w:type="pct"/>
            <w:vMerge w:val="continue"/>
            <w:shd w:val="clear" w:color="auto" w:fill="auto"/>
            <w:noWrap/>
            <w:vAlign w:val="center"/>
          </w:tcPr>
          <w:p w14:paraId="0E0101AB">
            <w:pPr>
              <w:pStyle w:val="46"/>
              <w:rPr>
                <w:sz w:val="24"/>
                <w:szCs w:val="24"/>
              </w:rPr>
            </w:pPr>
          </w:p>
        </w:tc>
      </w:tr>
      <w:tr w14:paraId="74742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78" w:type="pct"/>
            <w:shd w:val="clear" w:color="auto" w:fill="auto"/>
            <w:noWrap/>
            <w:vAlign w:val="center"/>
          </w:tcPr>
          <w:p w14:paraId="0D87A538">
            <w:pPr>
              <w:pStyle w:val="46"/>
              <w:rPr>
                <w:sz w:val="24"/>
                <w:szCs w:val="24"/>
              </w:rPr>
            </w:pPr>
            <w:r>
              <w:rPr>
                <w:sz w:val="24"/>
                <w:szCs w:val="24"/>
              </w:rPr>
              <w:t>软化系数</w:t>
            </w:r>
          </w:p>
        </w:tc>
        <w:tc>
          <w:tcPr>
            <w:tcW w:w="1510" w:type="pct"/>
            <w:shd w:val="clear" w:color="auto" w:fill="auto"/>
            <w:noWrap/>
            <w:vAlign w:val="center"/>
          </w:tcPr>
          <w:p w14:paraId="77724C87">
            <w:pPr>
              <w:pStyle w:val="46"/>
              <w:rPr>
                <w:sz w:val="24"/>
                <w:szCs w:val="24"/>
              </w:rPr>
            </w:pPr>
            <w:r>
              <w:rPr>
                <w:sz w:val="24"/>
                <w:szCs w:val="24"/>
              </w:rPr>
              <w:t>≥0.8</w:t>
            </w:r>
          </w:p>
        </w:tc>
        <w:tc>
          <w:tcPr>
            <w:tcW w:w="1510" w:type="pct"/>
            <w:vMerge w:val="continue"/>
            <w:shd w:val="clear" w:color="auto" w:fill="auto"/>
            <w:noWrap/>
            <w:vAlign w:val="center"/>
          </w:tcPr>
          <w:p w14:paraId="2BCD4AEC">
            <w:pPr>
              <w:pStyle w:val="46"/>
              <w:rPr>
                <w:sz w:val="24"/>
                <w:szCs w:val="24"/>
              </w:rPr>
            </w:pPr>
          </w:p>
        </w:tc>
      </w:tr>
      <w:tr w14:paraId="38C57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78" w:type="pct"/>
            <w:shd w:val="clear" w:color="auto" w:fill="auto"/>
            <w:noWrap/>
            <w:vAlign w:val="center"/>
          </w:tcPr>
          <w:p w14:paraId="6619413C">
            <w:pPr>
              <w:pStyle w:val="46"/>
              <w:rPr>
                <w:sz w:val="24"/>
                <w:szCs w:val="24"/>
              </w:rPr>
            </w:pPr>
            <w:r>
              <w:rPr>
                <w:sz w:val="24"/>
                <w:szCs w:val="24"/>
              </w:rPr>
              <w:t>干燥收缩率，%</w:t>
            </w:r>
          </w:p>
        </w:tc>
        <w:tc>
          <w:tcPr>
            <w:tcW w:w="1510" w:type="pct"/>
            <w:shd w:val="clear" w:color="auto" w:fill="auto"/>
            <w:noWrap/>
            <w:vAlign w:val="center"/>
          </w:tcPr>
          <w:p w14:paraId="2C9F4881">
            <w:pPr>
              <w:pStyle w:val="46"/>
              <w:rPr>
                <w:sz w:val="24"/>
                <w:szCs w:val="24"/>
              </w:rPr>
            </w:pPr>
            <w:r>
              <w:rPr>
                <w:sz w:val="24"/>
                <w:szCs w:val="24"/>
              </w:rPr>
              <w:t>≤0.3</w:t>
            </w:r>
          </w:p>
        </w:tc>
        <w:tc>
          <w:tcPr>
            <w:tcW w:w="1510" w:type="pct"/>
            <w:vMerge w:val="continue"/>
            <w:shd w:val="clear" w:color="auto" w:fill="auto"/>
            <w:noWrap/>
            <w:vAlign w:val="center"/>
          </w:tcPr>
          <w:p w14:paraId="1EC38315">
            <w:pPr>
              <w:pStyle w:val="46"/>
              <w:rPr>
                <w:sz w:val="24"/>
                <w:szCs w:val="24"/>
              </w:rPr>
            </w:pPr>
          </w:p>
        </w:tc>
      </w:tr>
      <w:tr w14:paraId="55085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78" w:type="pct"/>
            <w:shd w:val="clear" w:color="auto" w:fill="auto"/>
            <w:noWrap/>
            <w:vAlign w:val="center"/>
          </w:tcPr>
          <w:p w14:paraId="4D2F7B09">
            <w:pPr>
              <w:pStyle w:val="46"/>
              <w:rPr>
                <w:sz w:val="24"/>
                <w:szCs w:val="24"/>
              </w:rPr>
            </w:pPr>
            <w:r>
              <w:rPr>
                <w:sz w:val="24"/>
                <w:szCs w:val="24"/>
              </w:rPr>
              <w:t>燃烧性能等级</w:t>
            </w:r>
          </w:p>
        </w:tc>
        <w:tc>
          <w:tcPr>
            <w:tcW w:w="1510" w:type="pct"/>
            <w:shd w:val="clear" w:color="auto" w:fill="auto"/>
            <w:noWrap/>
            <w:vAlign w:val="center"/>
          </w:tcPr>
          <w:p w14:paraId="40A0BE00">
            <w:pPr>
              <w:pStyle w:val="46"/>
              <w:rPr>
                <w:sz w:val="24"/>
                <w:szCs w:val="24"/>
              </w:rPr>
            </w:pPr>
            <w:r>
              <w:rPr>
                <w:sz w:val="24"/>
                <w:szCs w:val="24"/>
              </w:rPr>
              <w:t>A</w:t>
            </w:r>
            <w:r>
              <w:rPr>
                <w:rFonts w:hint="eastAsia"/>
                <w:sz w:val="24"/>
                <w:szCs w:val="24"/>
              </w:rPr>
              <w:t>（A</w:t>
            </w:r>
            <w:r>
              <w:rPr>
                <w:sz w:val="24"/>
                <w:szCs w:val="24"/>
              </w:rPr>
              <w:t>2</w:t>
            </w:r>
            <w:r>
              <w:rPr>
                <w:rFonts w:hint="eastAsia"/>
                <w:sz w:val="24"/>
                <w:szCs w:val="24"/>
              </w:rPr>
              <w:t>）</w:t>
            </w:r>
            <w:r>
              <w:rPr>
                <w:sz w:val="24"/>
                <w:szCs w:val="24"/>
              </w:rPr>
              <w:t>级</w:t>
            </w:r>
          </w:p>
        </w:tc>
        <w:tc>
          <w:tcPr>
            <w:tcW w:w="1510" w:type="pct"/>
            <w:vMerge w:val="continue"/>
            <w:shd w:val="clear" w:color="auto" w:fill="auto"/>
            <w:noWrap/>
            <w:vAlign w:val="center"/>
          </w:tcPr>
          <w:p w14:paraId="0CDB9A9D">
            <w:pPr>
              <w:pStyle w:val="46"/>
              <w:rPr>
                <w:sz w:val="24"/>
                <w:szCs w:val="24"/>
              </w:rPr>
            </w:pPr>
          </w:p>
        </w:tc>
      </w:tr>
    </w:tbl>
    <w:p w14:paraId="763D62C1">
      <w:pPr>
        <w:pStyle w:val="17"/>
      </w:pPr>
    </w:p>
    <w:p w14:paraId="2733C51A">
      <w:pPr>
        <w:pStyle w:val="20"/>
        <w:spacing w:before="312" w:after="312"/>
        <w:ind w:left="0"/>
        <w:rPr>
          <w:sz w:val="28"/>
          <w:szCs w:val="28"/>
          <w:highlight w:val="none"/>
        </w:rPr>
      </w:pPr>
      <w:bookmarkStart w:id="92" w:name="_Toc2147"/>
      <w:r>
        <w:rPr>
          <w:rFonts w:hint="eastAsia"/>
          <w:sz w:val="28"/>
          <w:szCs w:val="28"/>
          <w:highlight w:val="none"/>
        </w:rPr>
        <w:t>保温材料技术指标确定</w:t>
      </w:r>
      <w:bookmarkEnd w:id="92"/>
    </w:p>
    <w:p w14:paraId="5A9FB4B5">
      <w:pPr>
        <w:spacing w:line="500" w:lineRule="exact"/>
        <w:ind w:firstLine="465"/>
        <w:rPr>
          <w:rFonts w:asciiTheme="majorEastAsia" w:hAnsiTheme="majorEastAsia" w:eastAsiaTheme="majorEastAsia"/>
          <w:sz w:val="24"/>
          <w:szCs w:val="24"/>
        </w:rPr>
      </w:pPr>
      <w:r>
        <w:rPr>
          <w:rFonts w:hint="eastAsia" w:asciiTheme="majorEastAsia" w:hAnsiTheme="majorEastAsia" w:eastAsiaTheme="majorEastAsia"/>
          <w:sz w:val="24"/>
          <w:szCs w:val="24"/>
        </w:rPr>
        <w:t>综合考虑消防、防脱落安全性、节能效果和生产工艺，预制集成保温外墙板所用保温材料为燃烧性能等级为A级的单一匀质材料，其干密度、抗压强度、</w:t>
      </w:r>
      <w:r>
        <w:rPr>
          <w:rFonts w:hint="eastAsia"/>
          <w:sz w:val="24"/>
          <w:szCs w:val="24"/>
        </w:rPr>
        <w:t>垂直于板面方向的抗拉强度、</w:t>
      </w:r>
      <w:r>
        <w:rPr>
          <w:rFonts w:hint="eastAsia" w:asciiTheme="majorEastAsia" w:hAnsiTheme="majorEastAsia" w:eastAsiaTheme="majorEastAsia"/>
          <w:sz w:val="24"/>
          <w:szCs w:val="24"/>
        </w:rPr>
        <w:t>体积吸水率、导热系数、软化系数、</w:t>
      </w:r>
      <w:r>
        <w:rPr>
          <w:rFonts w:hint="eastAsia"/>
          <w:sz w:val="24"/>
          <w:szCs w:val="24"/>
        </w:rPr>
        <w:t>干燥收缩率、燃烧性能等级、拉伸粘结强度</w:t>
      </w:r>
      <w:r>
        <w:rPr>
          <w:rFonts w:hint="eastAsia" w:asciiTheme="majorEastAsia" w:hAnsiTheme="majorEastAsia" w:eastAsiaTheme="majorEastAsia"/>
          <w:sz w:val="24"/>
          <w:szCs w:val="24"/>
        </w:rPr>
        <w:t>等技术指标，已通过一系列相关标准进行了大量验证试验。因此在保证标准项目设置的科学性、合理性、先进性的同时，编制工作组对预制集成保温外墙板所用保温材料涉及到的相关标准进行了全面整理，对涉及的试验方法和技术指标进行了比对分析，对已经经过充分理论和试验验证的项目，合理确定技术指标，以保证标准的科学性和先进性。选用的标准如下：</w:t>
      </w:r>
    </w:p>
    <w:p w14:paraId="5014BD38">
      <w:pPr>
        <w:pStyle w:val="38"/>
        <w:numPr>
          <w:ilvl w:val="0"/>
          <w:numId w:val="0"/>
        </w:numPr>
        <w:spacing w:line="50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lang w:eastAsia="zh-CN"/>
        </w:rPr>
        <w:t>（</w:t>
      </w:r>
      <w:r>
        <w:rPr>
          <w:rFonts w:hint="eastAsia" w:asciiTheme="majorEastAsia" w:hAnsiTheme="majorEastAsia" w:eastAsiaTheme="majorEastAsia"/>
          <w:sz w:val="24"/>
          <w:lang w:val="en-US" w:eastAsia="zh-CN"/>
        </w:rPr>
        <w:t>1</w:t>
      </w:r>
      <w:r>
        <w:rPr>
          <w:rFonts w:hint="eastAsia" w:asciiTheme="majorEastAsia" w:hAnsiTheme="majorEastAsia" w:eastAsiaTheme="majorEastAsia"/>
          <w:sz w:val="24"/>
          <w:lang w:eastAsia="zh-CN"/>
        </w:rPr>
        <w:t>）</w:t>
      </w:r>
      <w:r>
        <w:rPr>
          <w:rFonts w:hint="eastAsia" w:asciiTheme="majorEastAsia" w:hAnsiTheme="majorEastAsia" w:eastAsiaTheme="majorEastAsia"/>
          <w:sz w:val="24"/>
        </w:rPr>
        <w:t>JC</w:t>
      </w:r>
      <w:r>
        <w:rPr>
          <w:rFonts w:asciiTheme="majorEastAsia" w:hAnsiTheme="majorEastAsia" w:eastAsiaTheme="majorEastAsia"/>
          <w:sz w:val="24"/>
        </w:rPr>
        <w:t>/</w:t>
      </w:r>
      <w:r>
        <w:rPr>
          <w:rFonts w:hint="eastAsia" w:asciiTheme="majorEastAsia" w:hAnsiTheme="majorEastAsia" w:eastAsiaTheme="majorEastAsia"/>
          <w:sz w:val="24"/>
        </w:rPr>
        <w:t>T 60016-2022 建筑用免拆复合保温模板应用技术规程</w:t>
      </w:r>
    </w:p>
    <w:p w14:paraId="058A0E98">
      <w:pPr>
        <w:pStyle w:val="38"/>
        <w:numPr>
          <w:ilvl w:val="0"/>
          <w:numId w:val="0"/>
        </w:numPr>
        <w:spacing w:line="50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lang w:val="en-US" w:eastAsia="zh-CN"/>
        </w:rPr>
        <w:t xml:space="preserve">（2） </w:t>
      </w:r>
      <w:r>
        <w:rPr>
          <w:rFonts w:hint="eastAsia" w:asciiTheme="majorEastAsia" w:hAnsiTheme="majorEastAsia" w:eastAsiaTheme="majorEastAsia"/>
          <w:sz w:val="24"/>
        </w:rPr>
        <w:t>DG</w:t>
      </w:r>
      <w:r>
        <w:rPr>
          <w:rFonts w:asciiTheme="majorEastAsia" w:hAnsiTheme="majorEastAsia" w:eastAsiaTheme="majorEastAsia"/>
          <w:sz w:val="24"/>
        </w:rPr>
        <w:t>/</w:t>
      </w:r>
      <w:r>
        <w:rPr>
          <w:rFonts w:hint="eastAsia" w:asciiTheme="majorEastAsia" w:hAnsiTheme="majorEastAsia" w:eastAsiaTheme="majorEastAsia"/>
          <w:sz w:val="24"/>
        </w:rPr>
        <w:t>TJ 08-2433A-2023 外墙保温一体化系统应用技术标准（预制混凝土反打保温外墙）</w:t>
      </w:r>
    </w:p>
    <w:p w14:paraId="3F2897A2">
      <w:pPr>
        <w:pStyle w:val="38"/>
        <w:numPr>
          <w:ilvl w:val="0"/>
          <w:numId w:val="0"/>
        </w:numPr>
        <w:spacing w:line="50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lang w:eastAsia="zh-CN"/>
        </w:rPr>
        <w:t>（</w:t>
      </w:r>
      <w:r>
        <w:rPr>
          <w:rFonts w:hint="eastAsia" w:asciiTheme="majorEastAsia" w:hAnsiTheme="majorEastAsia" w:eastAsiaTheme="majorEastAsia"/>
          <w:sz w:val="24"/>
          <w:lang w:val="en-US" w:eastAsia="zh-CN"/>
        </w:rPr>
        <w:t>3</w:t>
      </w:r>
      <w:r>
        <w:rPr>
          <w:rFonts w:hint="eastAsia" w:asciiTheme="majorEastAsia" w:hAnsiTheme="majorEastAsia" w:eastAsiaTheme="majorEastAsia"/>
          <w:sz w:val="24"/>
          <w:lang w:eastAsia="zh-CN"/>
        </w:rPr>
        <w:t>）</w:t>
      </w:r>
      <w:r>
        <w:rPr>
          <w:rFonts w:hint="eastAsia" w:asciiTheme="majorEastAsia" w:hAnsiTheme="majorEastAsia" w:eastAsiaTheme="majorEastAsia"/>
          <w:sz w:val="24"/>
        </w:rPr>
        <w:t>DG</w:t>
      </w:r>
      <w:r>
        <w:rPr>
          <w:rFonts w:asciiTheme="majorEastAsia" w:hAnsiTheme="majorEastAsia" w:eastAsiaTheme="majorEastAsia"/>
          <w:sz w:val="24"/>
        </w:rPr>
        <w:t>/</w:t>
      </w:r>
      <w:r>
        <w:rPr>
          <w:rFonts w:hint="eastAsia" w:asciiTheme="majorEastAsia" w:hAnsiTheme="majorEastAsia" w:eastAsiaTheme="majorEastAsia"/>
          <w:sz w:val="24"/>
        </w:rPr>
        <w:t>TJ 08-2433B-2023 外墙保温一体化系统应用技术标准（现浇混凝土保温外墙）</w:t>
      </w:r>
    </w:p>
    <w:p w14:paraId="787C51AA">
      <w:pPr>
        <w:pStyle w:val="38"/>
        <w:numPr>
          <w:ilvl w:val="0"/>
          <w:numId w:val="0"/>
        </w:numPr>
        <w:spacing w:line="50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lang w:eastAsia="zh-CN"/>
        </w:rPr>
        <w:t>（</w:t>
      </w:r>
      <w:r>
        <w:rPr>
          <w:rFonts w:hint="eastAsia" w:asciiTheme="majorEastAsia" w:hAnsiTheme="majorEastAsia" w:eastAsiaTheme="majorEastAsia"/>
          <w:sz w:val="24"/>
          <w:lang w:val="en-US" w:eastAsia="zh-CN"/>
        </w:rPr>
        <w:t>4</w:t>
      </w:r>
      <w:r>
        <w:rPr>
          <w:rFonts w:hint="eastAsia" w:asciiTheme="majorEastAsia" w:hAnsiTheme="majorEastAsia" w:eastAsiaTheme="majorEastAsia"/>
          <w:sz w:val="24"/>
          <w:lang w:eastAsia="zh-CN"/>
        </w:rPr>
        <w:t>）</w:t>
      </w:r>
      <w:r>
        <w:rPr>
          <w:rFonts w:hint="eastAsia" w:asciiTheme="majorEastAsia" w:hAnsiTheme="majorEastAsia" w:eastAsiaTheme="majorEastAsia"/>
          <w:sz w:val="24"/>
        </w:rPr>
        <w:t>DB42</w:t>
      </w:r>
      <w:r>
        <w:rPr>
          <w:rFonts w:asciiTheme="majorEastAsia" w:hAnsiTheme="majorEastAsia" w:eastAsiaTheme="majorEastAsia"/>
          <w:sz w:val="24"/>
        </w:rPr>
        <w:t>/</w:t>
      </w:r>
      <w:r>
        <w:rPr>
          <w:rFonts w:hint="eastAsia" w:asciiTheme="majorEastAsia" w:hAnsiTheme="majorEastAsia" w:eastAsiaTheme="majorEastAsia"/>
          <w:sz w:val="24"/>
        </w:rPr>
        <w:t>T 2068-2023 外墙保温工程技术规范</w:t>
      </w:r>
    </w:p>
    <w:p w14:paraId="285B27CA">
      <w:pPr>
        <w:pStyle w:val="38"/>
        <w:numPr>
          <w:ilvl w:val="0"/>
          <w:numId w:val="0"/>
        </w:numPr>
        <w:spacing w:line="500" w:lineRule="exact"/>
        <w:ind w:leftChars="0" w:firstLine="480" w:firstLineChars="200"/>
        <w:rPr>
          <w:rFonts w:asciiTheme="majorEastAsia" w:hAnsiTheme="majorEastAsia" w:eastAsiaTheme="majorEastAsia"/>
          <w:sz w:val="24"/>
        </w:rPr>
      </w:pPr>
      <w:r>
        <w:rPr>
          <w:rFonts w:hint="eastAsia" w:asciiTheme="majorEastAsia" w:hAnsiTheme="majorEastAsia" w:eastAsiaTheme="majorEastAsia"/>
          <w:sz w:val="24"/>
          <w:lang w:eastAsia="zh-CN"/>
        </w:rPr>
        <w:t>（</w:t>
      </w:r>
      <w:r>
        <w:rPr>
          <w:rFonts w:hint="eastAsia" w:asciiTheme="majorEastAsia" w:hAnsiTheme="majorEastAsia" w:eastAsiaTheme="majorEastAsia"/>
          <w:sz w:val="24"/>
          <w:lang w:val="en-US" w:eastAsia="zh-CN"/>
        </w:rPr>
        <w:t>5</w:t>
      </w:r>
      <w:r>
        <w:rPr>
          <w:rFonts w:hint="eastAsia" w:asciiTheme="majorEastAsia" w:hAnsiTheme="majorEastAsia" w:eastAsiaTheme="majorEastAsia"/>
          <w:sz w:val="24"/>
          <w:lang w:eastAsia="zh-CN"/>
        </w:rPr>
        <w:t>）</w:t>
      </w:r>
      <w:r>
        <w:rPr>
          <w:rFonts w:hint="eastAsia" w:asciiTheme="majorEastAsia" w:hAnsiTheme="majorEastAsia" w:eastAsiaTheme="majorEastAsia"/>
          <w:sz w:val="24"/>
        </w:rPr>
        <w:t>DBJ33</w:t>
      </w:r>
      <w:r>
        <w:rPr>
          <w:rFonts w:asciiTheme="majorEastAsia" w:hAnsiTheme="majorEastAsia" w:eastAsiaTheme="majorEastAsia"/>
          <w:sz w:val="24"/>
        </w:rPr>
        <w:t>/</w:t>
      </w:r>
      <w:r>
        <w:rPr>
          <w:rFonts w:hint="eastAsia" w:asciiTheme="majorEastAsia" w:hAnsiTheme="majorEastAsia" w:eastAsiaTheme="majorEastAsia"/>
          <w:sz w:val="24"/>
        </w:rPr>
        <w:t>T 1301-2023 建筑用免拆复合保温模板应用技术规程</w:t>
      </w:r>
    </w:p>
    <w:p w14:paraId="1D384607">
      <w:pPr>
        <w:pStyle w:val="19"/>
        <w:spacing w:before="156" w:after="156" w:line="500" w:lineRule="exact"/>
        <w:rPr>
          <w:sz w:val="24"/>
          <w:szCs w:val="24"/>
        </w:rPr>
      </w:pPr>
      <w:bookmarkStart w:id="93" w:name="_Toc2835"/>
      <w:r>
        <w:rPr>
          <w:rFonts w:hint="eastAsia"/>
          <w:sz w:val="24"/>
          <w:szCs w:val="24"/>
        </w:rPr>
        <w:t>干密度</w:t>
      </w:r>
      <w:bookmarkEnd w:id="93"/>
    </w:p>
    <w:p w14:paraId="3836ACDD">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预制集成保温外墙板所用保温材料需要相对较大的干密度支撑其力学、节能综合性能，综合比较各标准要求，技术指标可统一设定为180-230</w:t>
      </w:r>
      <w:r>
        <w:rPr>
          <w:rFonts w:asciiTheme="majorEastAsia" w:hAnsiTheme="majorEastAsia" w:eastAsiaTheme="majorEastAsia"/>
          <w:sz w:val="24"/>
          <w:szCs w:val="24"/>
        </w:rPr>
        <w:t>kg/m</w:t>
      </w:r>
      <w:r>
        <w:rPr>
          <w:rFonts w:asciiTheme="majorEastAsia" w:hAnsiTheme="majorEastAsia" w:eastAsiaTheme="majorEastAsia"/>
          <w:sz w:val="24"/>
          <w:szCs w:val="24"/>
          <w:vertAlign w:val="superscript"/>
        </w:rPr>
        <w:t>3</w:t>
      </w:r>
      <w:r>
        <w:rPr>
          <w:rFonts w:hint="eastAsia" w:asciiTheme="majorEastAsia" w:hAnsiTheme="majorEastAsia" w:eastAsiaTheme="majorEastAsia"/>
          <w:sz w:val="24"/>
          <w:szCs w:val="24"/>
        </w:rPr>
        <w:t>。</w:t>
      </w:r>
    </w:p>
    <w:p w14:paraId="41635A0A">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表5 干密度指标比较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5768C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4F92BF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6416109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干密度，kg</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m</w:t>
            </w:r>
            <w:r>
              <w:rPr>
                <w:rFonts w:ascii="宋体" w:hAnsi="宋体" w:eastAsia="宋体" w:cs="宋体"/>
                <w:color w:val="000000"/>
                <w:kern w:val="0"/>
                <w:sz w:val="24"/>
                <w:szCs w:val="24"/>
              </w:rPr>
              <w:t>3</w:t>
            </w:r>
          </w:p>
        </w:tc>
      </w:tr>
      <w:tr w14:paraId="55827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ED989B0">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08F6CF1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面密度≤4</w:t>
            </w:r>
            <w:r>
              <w:rPr>
                <w:rFonts w:ascii="宋体" w:hAnsi="宋体" w:eastAsia="宋体" w:cs="宋体"/>
                <w:color w:val="000000"/>
                <w:kern w:val="0"/>
                <w:sz w:val="24"/>
                <w:szCs w:val="24"/>
              </w:rPr>
              <w:t>8</w:t>
            </w:r>
            <w:r>
              <w:rPr>
                <w:rFonts w:hint="eastAsia" w:ascii="宋体" w:hAnsi="宋体" w:eastAsia="宋体" w:cs="宋体"/>
                <w:color w:val="000000"/>
                <w:kern w:val="0"/>
                <w:sz w:val="24"/>
                <w:szCs w:val="24"/>
              </w:rPr>
              <w:t>kg</w:t>
            </w:r>
            <w:r>
              <w:rPr>
                <w:rFonts w:ascii="宋体" w:hAnsi="宋体" w:eastAsia="宋体" w:cs="宋体"/>
                <w:color w:val="000000"/>
                <w:kern w:val="0"/>
                <w:sz w:val="24"/>
                <w:szCs w:val="24"/>
              </w:rPr>
              <w:t>/m2</w:t>
            </w:r>
          </w:p>
        </w:tc>
      </w:tr>
      <w:tr w14:paraId="5560EF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FD7384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1A305367">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180</w:t>
            </w:r>
            <w:r>
              <w:rPr>
                <w:rFonts w:asciiTheme="majorEastAsia" w:hAnsiTheme="majorEastAsia" w:eastAsiaTheme="majorEastAsia"/>
                <w:sz w:val="24"/>
                <w:szCs w:val="24"/>
              </w:rPr>
              <w:t>~</w:t>
            </w:r>
            <w:r>
              <w:rPr>
                <w:rFonts w:hint="eastAsia" w:asciiTheme="majorEastAsia" w:hAnsiTheme="majorEastAsia" w:eastAsiaTheme="majorEastAsia"/>
                <w:sz w:val="24"/>
                <w:szCs w:val="24"/>
              </w:rPr>
              <w:t>230</w:t>
            </w:r>
          </w:p>
        </w:tc>
      </w:tr>
      <w:tr w14:paraId="36372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09CAB9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1EBA92A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80~220</w:t>
            </w:r>
          </w:p>
        </w:tc>
      </w:tr>
      <w:tr w14:paraId="03DC23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89C6717">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1086139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80~220</w:t>
            </w:r>
          </w:p>
        </w:tc>
      </w:tr>
    </w:tbl>
    <w:p w14:paraId="2E1D78D7">
      <w:pPr>
        <w:pStyle w:val="17"/>
        <w:ind w:firstLine="0" w:firstLineChars="0"/>
        <w:rPr>
          <w:rFonts w:asciiTheme="majorEastAsia" w:hAnsiTheme="majorEastAsia" w:eastAsiaTheme="majorEastAsia"/>
          <w:sz w:val="24"/>
          <w:szCs w:val="24"/>
        </w:rPr>
      </w:pPr>
    </w:p>
    <w:p w14:paraId="2464FA66">
      <w:pPr>
        <w:pStyle w:val="19"/>
        <w:spacing w:before="156" w:after="156" w:line="500" w:lineRule="exact"/>
        <w:rPr>
          <w:sz w:val="24"/>
          <w:szCs w:val="24"/>
        </w:rPr>
      </w:pPr>
      <w:bookmarkStart w:id="94" w:name="_Toc12905"/>
      <w:r>
        <w:rPr>
          <w:rFonts w:hint="eastAsia"/>
          <w:sz w:val="24"/>
          <w:szCs w:val="24"/>
        </w:rPr>
        <w:t>抗压强度</w:t>
      </w:r>
      <w:bookmarkEnd w:id="94"/>
    </w:p>
    <w:p w14:paraId="27E5C0A1">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预制集成保温外墙板所用保温材料在预制构件生产过程中作为混凝土底模面，需承担一定的混凝土压力，因此综合比较各标准要求，抗压强度技术指标可统一设定为≥0.30MPa。</w:t>
      </w:r>
    </w:p>
    <w:p w14:paraId="24B46086">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表6 抗压强度指标比较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2D9133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71C26AD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022AEDB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抗压强度，M</w:t>
            </w:r>
            <w:r>
              <w:rPr>
                <w:rFonts w:ascii="宋体" w:hAnsi="宋体" w:eastAsia="宋体" w:cs="宋体"/>
                <w:color w:val="000000"/>
                <w:kern w:val="0"/>
                <w:sz w:val="24"/>
                <w:szCs w:val="24"/>
              </w:rPr>
              <w:t>P</w:t>
            </w:r>
            <w:r>
              <w:rPr>
                <w:rFonts w:hint="eastAsia" w:ascii="宋体" w:hAnsi="宋体" w:eastAsia="宋体" w:cs="宋体"/>
                <w:color w:val="000000"/>
                <w:kern w:val="0"/>
                <w:sz w:val="24"/>
                <w:szCs w:val="24"/>
              </w:rPr>
              <w:t>a</w:t>
            </w:r>
          </w:p>
        </w:tc>
      </w:tr>
      <w:tr w14:paraId="28219D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8D4CBD3">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2727B76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无</w:t>
            </w:r>
          </w:p>
        </w:tc>
      </w:tr>
      <w:tr w14:paraId="148911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B4E29B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73625AA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.30</w:t>
            </w:r>
          </w:p>
        </w:tc>
      </w:tr>
      <w:tr w14:paraId="58F8A2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D7446D7">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0A464C6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.30</w:t>
            </w:r>
          </w:p>
        </w:tc>
      </w:tr>
      <w:tr w14:paraId="15B75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89FCE1D">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5E44408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.30</w:t>
            </w:r>
          </w:p>
        </w:tc>
      </w:tr>
    </w:tbl>
    <w:p w14:paraId="33C46C7E">
      <w:pPr>
        <w:pStyle w:val="19"/>
        <w:spacing w:before="156" w:after="156" w:line="500" w:lineRule="exact"/>
        <w:rPr>
          <w:sz w:val="24"/>
          <w:szCs w:val="24"/>
        </w:rPr>
      </w:pPr>
      <w:bookmarkStart w:id="95" w:name="_Toc21287"/>
      <w:r>
        <w:rPr>
          <w:rFonts w:hint="eastAsia"/>
          <w:sz w:val="24"/>
          <w:szCs w:val="24"/>
        </w:rPr>
        <w:t>体积吸水率</w:t>
      </w:r>
      <w:bookmarkEnd w:id="95"/>
    </w:p>
    <w:p w14:paraId="0221EB7F">
      <w:pPr>
        <w:spacing w:line="500" w:lineRule="exact"/>
        <w:ind w:firstLine="480"/>
        <w:rPr>
          <w:rFonts w:hint="eastAsia" w:asciiTheme="majorEastAsia" w:hAnsiTheme="majorEastAsia" w:eastAsiaTheme="majorEastAsia"/>
          <w:sz w:val="24"/>
          <w:szCs w:val="24"/>
        </w:rPr>
      </w:pPr>
      <w:r>
        <w:rPr>
          <w:rFonts w:asciiTheme="majorEastAsia" w:hAnsiTheme="majorEastAsia" w:eastAsiaTheme="majorEastAsia"/>
          <w:sz w:val="24"/>
          <w:szCs w:val="24"/>
        </w:rPr>
        <w:t>DG/TJ 08-2433A/B-2023</w:t>
      </w:r>
      <w:r>
        <w:rPr>
          <w:rFonts w:hint="eastAsia" w:asciiTheme="majorEastAsia" w:hAnsiTheme="majorEastAsia" w:eastAsiaTheme="majorEastAsia"/>
          <w:sz w:val="24"/>
          <w:szCs w:val="24"/>
        </w:rPr>
        <w:t>体积吸水率的测试要求为浸水4</w:t>
      </w:r>
      <w:r>
        <w:rPr>
          <w:rFonts w:asciiTheme="majorEastAsia" w:hAnsiTheme="majorEastAsia" w:eastAsiaTheme="majorEastAsia"/>
          <w:sz w:val="24"/>
          <w:szCs w:val="24"/>
        </w:rPr>
        <w:t>8</w:t>
      </w:r>
      <w:r>
        <w:rPr>
          <w:rFonts w:hint="eastAsia" w:asciiTheme="majorEastAsia" w:hAnsiTheme="majorEastAsia" w:eastAsiaTheme="majorEastAsia"/>
          <w:sz w:val="24"/>
          <w:szCs w:val="24"/>
        </w:rPr>
        <w:t>h，</w:t>
      </w:r>
      <w:r>
        <w:rPr>
          <w:rFonts w:asciiTheme="majorEastAsia" w:hAnsiTheme="majorEastAsia" w:eastAsiaTheme="majorEastAsia"/>
          <w:sz w:val="24"/>
          <w:szCs w:val="24"/>
        </w:rPr>
        <w:t>DB42/T 2068-2023</w:t>
      </w:r>
      <w:r>
        <w:rPr>
          <w:rFonts w:hint="eastAsia" w:asciiTheme="majorEastAsia" w:hAnsiTheme="majorEastAsia" w:eastAsiaTheme="majorEastAsia"/>
          <w:sz w:val="24"/>
          <w:szCs w:val="24"/>
        </w:rPr>
        <w:t>和</w:t>
      </w:r>
      <w:r>
        <w:rPr>
          <w:rFonts w:asciiTheme="majorEastAsia" w:hAnsiTheme="majorEastAsia" w:eastAsiaTheme="majorEastAsia"/>
          <w:sz w:val="24"/>
          <w:szCs w:val="24"/>
        </w:rPr>
        <w:t>DBJ33/T 1301-2023</w:t>
      </w:r>
      <w:r>
        <w:rPr>
          <w:rFonts w:hint="eastAsia" w:asciiTheme="majorEastAsia" w:hAnsiTheme="majorEastAsia" w:eastAsiaTheme="majorEastAsia"/>
          <w:sz w:val="24"/>
          <w:szCs w:val="24"/>
        </w:rPr>
        <w:t>体积吸水率的测试要求为浸水</w:t>
      </w:r>
      <w:r>
        <w:rPr>
          <w:rFonts w:asciiTheme="majorEastAsia" w:hAnsiTheme="majorEastAsia" w:eastAsiaTheme="majorEastAsia"/>
          <w:sz w:val="24"/>
          <w:szCs w:val="24"/>
        </w:rPr>
        <w:t>2</w:t>
      </w:r>
      <w:r>
        <w:rPr>
          <w:rFonts w:hint="eastAsia" w:asciiTheme="majorEastAsia" w:hAnsiTheme="majorEastAsia" w:eastAsiaTheme="majorEastAsia"/>
          <w:sz w:val="24"/>
          <w:szCs w:val="24"/>
        </w:rPr>
        <w:t>h。综合考虑保温材料耐水性，防止因吸水过多自重增加导致脱落，体积吸水率技术指标可统一设定为更严格的≤10%（浸水4</w:t>
      </w:r>
      <w:r>
        <w:rPr>
          <w:rFonts w:asciiTheme="majorEastAsia" w:hAnsiTheme="majorEastAsia" w:eastAsiaTheme="majorEastAsia"/>
          <w:sz w:val="24"/>
          <w:szCs w:val="24"/>
        </w:rPr>
        <w:t>8</w:t>
      </w:r>
      <w:r>
        <w:rPr>
          <w:rFonts w:hint="eastAsia" w:asciiTheme="majorEastAsia" w:hAnsiTheme="majorEastAsia" w:eastAsiaTheme="majorEastAsia"/>
          <w:sz w:val="24"/>
          <w:szCs w:val="24"/>
        </w:rPr>
        <w:t>h）。</w:t>
      </w:r>
    </w:p>
    <w:p w14:paraId="0BFA3703">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表7 体积吸水率指标比较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03CD7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271B1F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1D9112F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体积吸水率，</w:t>
            </w:r>
            <w:r>
              <w:rPr>
                <w:rFonts w:ascii="宋体" w:hAnsi="宋体" w:eastAsia="宋体" w:cs="宋体"/>
                <w:color w:val="000000"/>
                <w:kern w:val="0"/>
                <w:sz w:val="24"/>
                <w:szCs w:val="24"/>
              </w:rPr>
              <w:t>%</w:t>
            </w:r>
          </w:p>
        </w:tc>
      </w:tr>
      <w:tr w14:paraId="62AE8F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7C44282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162C5A0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无</w:t>
            </w:r>
          </w:p>
        </w:tc>
      </w:tr>
      <w:tr w14:paraId="74F83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3A961017">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14342ED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（浸水48h）</w:t>
            </w:r>
          </w:p>
        </w:tc>
      </w:tr>
      <w:tr w14:paraId="1E66C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0D6D2B9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109345D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≤6（浸水</w:t>
            </w: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h）</w:t>
            </w:r>
          </w:p>
        </w:tc>
      </w:tr>
      <w:tr w14:paraId="23F260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5281D2E6">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6227F9D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≤6（浸水</w:t>
            </w: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h）</w:t>
            </w:r>
          </w:p>
        </w:tc>
      </w:tr>
    </w:tbl>
    <w:p w14:paraId="4C0242F6">
      <w:pPr>
        <w:pStyle w:val="17"/>
        <w:ind w:firstLine="0" w:firstLineChars="0"/>
        <w:rPr>
          <w:rFonts w:asciiTheme="majorEastAsia" w:hAnsiTheme="majorEastAsia" w:eastAsiaTheme="majorEastAsia"/>
          <w:sz w:val="24"/>
          <w:szCs w:val="24"/>
        </w:rPr>
      </w:pPr>
    </w:p>
    <w:p w14:paraId="32FB8C24">
      <w:pPr>
        <w:pStyle w:val="19"/>
        <w:spacing w:before="156" w:after="156" w:line="500" w:lineRule="exact"/>
        <w:rPr>
          <w:sz w:val="24"/>
          <w:szCs w:val="24"/>
        </w:rPr>
      </w:pPr>
      <w:bookmarkStart w:id="96" w:name="_Toc32214"/>
      <w:r>
        <w:rPr>
          <w:rFonts w:hint="eastAsia"/>
          <w:sz w:val="24"/>
          <w:szCs w:val="24"/>
        </w:rPr>
        <w:t>拉伸粘结强度（与混凝土）</w:t>
      </w:r>
      <w:bookmarkEnd w:id="96"/>
    </w:p>
    <w:p w14:paraId="4C3926CD">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拉伸粘结强度（与混凝土）是确保预制集成保温外墙板整体安全的重要参数，且保温材料自身</w:t>
      </w:r>
      <w:r>
        <w:rPr>
          <w:rFonts w:hint="eastAsia"/>
          <w:sz w:val="24"/>
          <w:szCs w:val="24"/>
        </w:rPr>
        <w:t>垂直于板面方向的抗拉强度不应小于拉伸粘结强度，否则将无法实现破坏界面在保温层中。</w:t>
      </w:r>
      <w:r>
        <w:rPr>
          <w:rFonts w:hint="eastAsia" w:asciiTheme="majorEastAsia" w:hAnsiTheme="majorEastAsia" w:eastAsiaTheme="majorEastAsia"/>
          <w:sz w:val="24"/>
          <w:szCs w:val="24"/>
        </w:rPr>
        <w:t>现行行业标准《外墙外保温工程技术标准》J</w:t>
      </w:r>
      <w:r>
        <w:rPr>
          <w:rFonts w:asciiTheme="majorEastAsia" w:hAnsiTheme="majorEastAsia" w:eastAsiaTheme="majorEastAsia"/>
          <w:sz w:val="24"/>
          <w:szCs w:val="24"/>
        </w:rPr>
        <w:t>GJ 144-2019</w:t>
      </w:r>
      <w:r>
        <w:rPr>
          <w:rFonts w:hint="eastAsia" w:asciiTheme="majorEastAsia" w:hAnsiTheme="majorEastAsia" w:eastAsiaTheme="majorEastAsia"/>
          <w:sz w:val="24"/>
          <w:szCs w:val="24"/>
        </w:rPr>
        <w:t>因保温材料自身强度相对较低，设定</w:t>
      </w:r>
      <w:r>
        <w:rPr>
          <w:rFonts w:hint="eastAsia" w:asciiTheme="majorEastAsia" w:hAnsiTheme="majorEastAsia" w:eastAsiaTheme="majorEastAsia"/>
        </w:rPr>
        <w:t>≥</w:t>
      </w:r>
      <w:r>
        <w:rPr>
          <w:rFonts w:hint="eastAsia" w:asciiTheme="majorEastAsia" w:hAnsiTheme="majorEastAsia" w:eastAsiaTheme="majorEastAsia"/>
          <w:sz w:val="24"/>
          <w:szCs w:val="24"/>
        </w:rPr>
        <w:t>0</w:t>
      </w:r>
      <w:r>
        <w:rPr>
          <w:rFonts w:asciiTheme="majorEastAsia" w:hAnsiTheme="majorEastAsia" w:eastAsiaTheme="majorEastAsia"/>
          <w:sz w:val="24"/>
          <w:szCs w:val="24"/>
        </w:rPr>
        <w:t>.10MP</w:t>
      </w:r>
      <w:r>
        <w:rPr>
          <w:rFonts w:hint="eastAsia" w:asciiTheme="majorEastAsia" w:hAnsiTheme="majorEastAsia" w:eastAsiaTheme="majorEastAsia"/>
          <w:sz w:val="24"/>
          <w:szCs w:val="24"/>
        </w:rPr>
        <w:t>a要求。综合比较各标准要求，本系统技术指标可统一设定为更严格的≥0.2</w:t>
      </w:r>
      <w:r>
        <w:rPr>
          <w:rFonts w:asciiTheme="majorEastAsia" w:hAnsiTheme="majorEastAsia" w:eastAsiaTheme="majorEastAsia"/>
          <w:sz w:val="24"/>
          <w:szCs w:val="24"/>
        </w:rPr>
        <w:t>0MP</w:t>
      </w:r>
      <w:r>
        <w:rPr>
          <w:rFonts w:hint="eastAsia" w:asciiTheme="majorEastAsia" w:hAnsiTheme="majorEastAsia" w:eastAsiaTheme="majorEastAsia"/>
          <w:sz w:val="24"/>
          <w:szCs w:val="24"/>
        </w:rPr>
        <w:t>a。</w:t>
      </w:r>
    </w:p>
    <w:p w14:paraId="73D70280">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表8 拉伸粘结强度指标比较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078A49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0739D7A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62E743D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拉伸粘结强度（与混凝土），M</w:t>
            </w:r>
            <w:r>
              <w:rPr>
                <w:rFonts w:ascii="宋体" w:hAnsi="宋体" w:eastAsia="宋体" w:cs="宋体"/>
                <w:color w:val="000000"/>
                <w:kern w:val="0"/>
                <w:sz w:val="24"/>
                <w:szCs w:val="24"/>
              </w:rPr>
              <w:t>P</w:t>
            </w:r>
            <w:r>
              <w:rPr>
                <w:rFonts w:hint="eastAsia" w:ascii="宋体" w:hAnsi="宋体" w:eastAsia="宋体" w:cs="宋体"/>
                <w:color w:val="000000"/>
                <w:kern w:val="0"/>
                <w:sz w:val="24"/>
                <w:szCs w:val="24"/>
              </w:rPr>
              <w:t>a</w:t>
            </w:r>
          </w:p>
        </w:tc>
      </w:tr>
      <w:tr w14:paraId="7D5A37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53B22C0">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6EDD6742">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.10</w:t>
            </w:r>
          </w:p>
        </w:tc>
      </w:tr>
      <w:tr w14:paraId="0624C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3A59793">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58DACD72">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.20</w:t>
            </w:r>
          </w:p>
        </w:tc>
      </w:tr>
      <w:tr w14:paraId="545CF0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17F710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665560C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w:t>
            </w:r>
            <w:r>
              <w:rPr>
                <w:rFonts w:asciiTheme="majorEastAsia" w:hAnsiTheme="majorEastAsia" w:eastAsiaTheme="majorEastAsia"/>
                <w:sz w:val="24"/>
                <w:szCs w:val="24"/>
              </w:rPr>
              <w:t>0.15</w:t>
            </w:r>
          </w:p>
        </w:tc>
      </w:tr>
      <w:tr w14:paraId="03EC3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04DB0EF7">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0FE6C8C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.20</w:t>
            </w:r>
          </w:p>
        </w:tc>
      </w:tr>
    </w:tbl>
    <w:p w14:paraId="23DA8C3A">
      <w:pPr>
        <w:pStyle w:val="19"/>
        <w:spacing w:before="156" w:after="156" w:line="500" w:lineRule="exact"/>
        <w:rPr>
          <w:sz w:val="24"/>
          <w:szCs w:val="24"/>
        </w:rPr>
      </w:pPr>
      <w:bookmarkStart w:id="97" w:name="_Toc9090"/>
      <w:r>
        <w:rPr>
          <w:rFonts w:hint="eastAsia"/>
          <w:sz w:val="24"/>
          <w:szCs w:val="24"/>
        </w:rPr>
        <w:t>导热系数</w:t>
      </w:r>
      <w:bookmarkEnd w:id="97"/>
    </w:p>
    <w:p w14:paraId="4C5E5366">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综合比较各标准要求，导热系数技术指标可统一设定为≤0.055W/(m·K），更适合于夏热冬冷地区的各类节能要求。</w:t>
      </w:r>
    </w:p>
    <w:p w14:paraId="6DCE2FFA">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表9 导热系数指标比较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7B013F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4D2690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3108778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导热系数，W/(m·K）</w:t>
            </w:r>
          </w:p>
        </w:tc>
      </w:tr>
      <w:tr w14:paraId="78B824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348F76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7B91907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0.065</w:t>
            </w:r>
          </w:p>
        </w:tc>
      </w:tr>
      <w:tr w14:paraId="29C27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3B6B0B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68F0391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≤0.0</w:t>
            </w:r>
            <w:r>
              <w:rPr>
                <w:rFonts w:ascii="宋体" w:hAnsi="宋体" w:eastAsia="宋体" w:cs="宋体"/>
                <w:color w:val="000000"/>
                <w:kern w:val="0"/>
                <w:sz w:val="24"/>
                <w:szCs w:val="24"/>
              </w:rPr>
              <w:t>55</w:t>
            </w:r>
          </w:p>
        </w:tc>
      </w:tr>
      <w:tr w14:paraId="1F42C6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5FECB5F3">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447A8B3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≤0.0</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4</w:t>
            </w:r>
          </w:p>
        </w:tc>
      </w:tr>
      <w:tr w14:paraId="773211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F50D87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7D04759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≤0.0</w:t>
            </w:r>
            <w:r>
              <w:rPr>
                <w:rFonts w:ascii="宋体" w:hAnsi="宋体" w:eastAsia="宋体" w:cs="宋体"/>
                <w:color w:val="000000"/>
                <w:kern w:val="0"/>
                <w:sz w:val="24"/>
                <w:szCs w:val="24"/>
              </w:rPr>
              <w:t>54</w:t>
            </w:r>
          </w:p>
        </w:tc>
      </w:tr>
    </w:tbl>
    <w:p w14:paraId="4AE4B41C">
      <w:pPr>
        <w:pStyle w:val="19"/>
        <w:spacing w:before="156" w:after="156" w:line="500" w:lineRule="exact"/>
        <w:rPr>
          <w:sz w:val="24"/>
          <w:szCs w:val="24"/>
        </w:rPr>
      </w:pPr>
      <w:bookmarkStart w:id="98" w:name="_Toc7177"/>
      <w:r>
        <w:rPr>
          <w:rFonts w:hint="eastAsia"/>
          <w:sz w:val="24"/>
          <w:szCs w:val="24"/>
        </w:rPr>
        <w:t>软化系数</w:t>
      </w:r>
      <w:bookmarkEnd w:id="98"/>
    </w:p>
    <w:p w14:paraId="3DF5F39E">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预制集成保温外墙板所用保温材料是一种有机无机复合材料，软化系数是保证材料综合性能的重要指标之一。软化系数常以材料浸水后与完全干燥后的抗压强度比值来表征，比值越高表示材料耐水性越好。综合比较各标准要求，软化系数技术指标可统一设定为≥0.8。</w:t>
      </w:r>
    </w:p>
    <w:p w14:paraId="1A2BA40E">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表10 软化系数指标比较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171CF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3A91AC4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54650D6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软化系数</w:t>
            </w:r>
          </w:p>
        </w:tc>
      </w:tr>
      <w:tr w14:paraId="484D55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56C8E2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7C5092D4">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无</w:t>
            </w:r>
          </w:p>
        </w:tc>
      </w:tr>
      <w:tr w14:paraId="583F0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0E4AD812">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00D5280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.8</w:t>
            </w:r>
          </w:p>
        </w:tc>
      </w:tr>
      <w:tr w14:paraId="5AE86B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94D26F9">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679D811A">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.8</w:t>
            </w:r>
          </w:p>
        </w:tc>
      </w:tr>
      <w:tr w14:paraId="73CAC9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0621C5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397A485F">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.8</w:t>
            </w:r>
          </w:p>
        </w:tc>
      </w:tr>
    </w:tbl>
    <w:p w14:paraId="1126B31B">
      <w:pPr>
        <w:pStyle w:val="19"/>
        <w:spacing w:before="156" w:after="156" w:line="500" w:lineRule="exact"/>
        <w:rPr>
          <w:sz w:val="24"/>
          <w:szCs w:val="24"/>
        </w:rPr>
      </w:pPr>
      <w:bookmarkStart w:id="99" w:name="_Toc9666"/>
      <w:r>
        <w:rPr>
          <w:rFonts w:hint="eastAsia"/>
          <w:sz w:val="24"/>
          <w:szCs w:val="24"/>
        </w:rPr>
        <w:t>干燥收缩率</w:t>
      </w:r>
      <w:bookmarkEnd w:id="99"/>
    </w:p>
    <w:p w14:paraId="2428545C">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干燥收缩率是指保温板在干燥状态下的收缩率，是影响其质量和使用寿命的重要指标，需要在制造过程中进行精确控制。通过优化制造工艺和合理选择原材料等措施进行控制，可以有效降低保温板的干燥收缩率，提高其质量和使用寿命。综合比较各标准要求，干燥收缩率技术指标可统一设定为更严格的≤0.3</w:t>
      </w:r>
      <w:r>
        <w:rPr>
          <w:rFonts w:asciiTheme="majorEastAsia" w:hAnsiTheme="majorEastAsia" w:eastAsiaTheme="majorEastAsia"/>
          <w:sz w:val="24"/>
          <w:szCs w:val="24"/>
        </w:rPr>
        <w:t>%</w:t>
      </w:r>
      <w:r>
        <w:rPr>
          <w:rFonts w:hint="eastAsia" w:asciiTheme="majorEastAsia" w:hAnsiTheme="majorEastAsia" w:eastAsiaTheme="majorEastAsia"/>
          <w:sz w:val="24"/>
          <w:szCs w:val="24"/>
        </w:rPr>
        <w:t>。</w:t>
      </w:r>
    </w:p>
    <w:p w14:paraId="1F29BC6A">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表11 干燥收缩率指标比较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61BB5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7A0707F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1229FC0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干燥收缩率</w:t>
            </w:r>
          </w:p>
        </w:tc>
      </w:tr>
      <w:tr w14:paraId="5499DE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E8E58AB">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667FD0B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无</w:t>
            </w:r>
          </w:p>
        </w:tc>
      </w:tr>
      <w:tr w14:paraId="388A3E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DDADCA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31C6F3B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3%</w:t>
            </w:r>
          </w:p>
        </w:tc>
      </w:tr>
      <w:tr w14:paraId="6C12C2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C9268AF">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669CF5B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mm</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m（干燥收缩值）</w:t>
            </w:r>
          </w:p>
        </w:tc>
      </w:tr>
      <w:tr w14:paraId="269E5E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5BF013D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1A3E09C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w:t>
            </w:r>
          </w:p>
        </w:tc>
      </w:tr>
    </w:tbl>
    <w:p w14:paraId="4D5724E9">
      <w:pPr>
        <w:pStyle w:val="19"/>
        <w:spacing w:before="156" w:after="156" w:line="500" w:lineRule="exact"/>
        <w:rPr>
          <w:sz w:val="24"/>
          <w:szCs w:val="24"/>
        </w:rPr>
      </w:pPr>
      <w:bookmarkStart w:id="100" w:name="_Toc24284"/>
      <w:r>
        <w:rPr>
          <w:rFonts w:hint="eastAsia"/>
          <w:sz w:val="24"/>
          <w:szCs w:val="24"/>
        </w:rPr>
        <w:t>燃烧性能等级</w:t>
      </w:r>
      <w:bookmarkEnd w:id="100"/>
    </w:p>
    <w:p w14:paraId="433C33B9">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综合考虑消防安全和与预制集成保温外墙板的适配度，燃烧性能等级技术指标可统一设定为A级。</w:t>
      </w:r>
    </w:p>
    <w:p w14:paraId="4525A545">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eastAsia="zh-CN"/>
        </w:rPr>
        <w:t>表</w:t>
      </w:r>
      <w:r>
        <w:rPr>
          <w:rFonts w:hint="eastAsia" w:asciiTheme="majorEastAsia" w:hAnsiTheme="majorEastAsia" w:eastAsiaTheme="majorEastAsia"/>
          <w:sz w:val="24"/>
          <w:szCs w:val="24"/>
          <w:lang w:val="en-US" w:eastAsia="zh-CN"/>
        </w:rPr>
        <w:t>12 燃烧性能等级指标比较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00FA0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7FA324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5199B9E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燃烧性能等级</w:t>
            </w:r>
          </w:p>
        </w:tc>
      </w:tr>
      <w:tr w14:paraId="1230D5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77097803">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5CCB32F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w:t>
            </w:r>
            <w:r>
              <w:rPr>
                <w:rFonts w:ascii="宋体" w:hAnsi="宋体" w:eastAsia="宋体" w:cs="宋体"/>
                <w:color w:val="000000"/>
                <w:kern w:val="0"/>
                <w:sz w:val="24"/>
                <w:szCs w:val="24"/>
              </w:rPr>
              <w:t>1~A1</w:t>
            </w:r>
          </w:p>
        </w:tc>
      </w:tr>
      <w:tr w14:paraId="0F4F40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35E48C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12726785">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A</w:t>
            </w:r>
          </w:p>
        </w:tc>
      </w:tr>
      <w:tr w14:paraId="41713E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4B7608FE">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3772C6D6">
            <w:pPr>
              <w:widowControl/>
              <w:jc w:val="center"/>
              <w:rPr>
                <w:rFonts w:ascii="宋体" w:hAnsi="宋体" w:eastAsia="宋体" w:cs="宋体"/>
                <w:color w:val="000000"/>
                <w:kern w:val="0"/>
                <w:sz w:val="24"/>
                <w:szCs w:val="24"/>
              </w:rPr>
            </w:pPr>
            <w:r>
              <w:rPr>
                <w:rFonts w:asciiTheme="majorEastAsia" w:hAnsiTheme="majorEastAsia" w:eastAsiaTheme="majorEastAsia"/>
                <w:sz w:val="24"/>
                <w:szCs w:val="24"/>
              </w:rPr>
              <w:t>A</w:t>
            </w:r>
            <w:r>
              <w:rPr>
                <w:rFonts w:hint="eastAsia" w:asciiTheme="majorEastAsia" w:hAnsiTheme="majorEastAsia" w:eastAsiaTheme="majorEastAsia"/>
                <w:sz w:val="24"/>
                <w:szCs w:val="24"/>
              </w:rPr>
              <w:t>（A</w:t>
            </w:r>
            <w:r>
              <w:rPr>
                <w:rFonts w:asciiTheme="majorEastAsia" w:hAnsiTheme="majorEastAsia" w:eastAsiaTheme="majorEastAsia"/>
                <w:sz w:val="24"/>
                <w:szCs w:val="24"/>
              </w:rPr>
              <w:t>2</w:t>
            </w:r>
            <w:r>
              <w:rPr>
                <w:rFonts w:hint="eastAsia" w:asciiTheme="majorEastAsia" w:hAnsiTheme="majorEastAsia" w:eastAsiaTheme="majorEastAsia"/>
                <w:sz w:val="24"/>
                <w:szCs w:val="24"/>
              </w:rPr>
              <w:t>）</w:t>
            </w:r>
          </w:p>
        </w:tc>
      </w:tr>
      <w:tr w14:paraId="713A09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1046AF92">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4FFBE346">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A</w:t>
            </w:r>
            <w:r>
              <w:rPr>
                <w:rFonts w:asciiTheme="majorEastAsia" w:hAnsiTheme="majorEastAsia" w:eastAsiaTheme="majorEastAsia"/>
                <w:sz w:val="24"/>
                <w:szCs w:val="24"/>
              </w:rPr>
              <w:t>2</w:t>
            </w:r>
          </w:p>
        </w:tc>
      </w:tr>
    </w:tbl>
    <w:p w14:paraId="22908DEB">
      <w:pPr>
        <w:pStyle w:val="19"/>
        <w:spacing w:before="156" w:after="156" w:line="500" w:lineRule="exact"/>
        <w:rPr>
          <w:sz w:val="24"/>
          <w:szCs w:val="24"/>
        </w:rPr>
      </w:pPr>
      <w:bookmarkStart w:id="101" w:name="_Toc24624"/>
      <w:r>
        <w:rPr>
          <w:rFonts w:hint="eastAsia"/>
          <w:sz w:val="24"/>
          <w:szCs w:val="24"/>
        </w:rPr>
        <w:t>垂直于板面方向的抗拉强度</w:t>
      </w:r>
      <w:bookmarkEnd w:id="101"/>
    </w:p>
    <w:p w14:paraId="15574B81">
      <w:pPr>
        <w:spacing w:line="500" w:lineRule="exact"/>
        <w:ind w:firstLine="48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垂直于板面方向的抗拉强度技术指标要求需要与拉伸粘结强度（与混凝土）协调，可统一设定为更严格的≥0.</w:t>
      </w:r>
      <w:r>
        <w:rPr>
          <w:rFonts w:asciiTheme="majorEastAsia" w:hAnsiTheme="majorEastAsia" w:eastAsiaTheme="majorEastAsia"/>
          <w:sz w:val="24"/>
          <w:szCs w:val="24"/>
        </w:rPr>
        <w:t>20</w:t>
      </w:r>
      <w:r>
        <w:rPr>
          <w:rFonts w:hint="eastAsia" w:asciiTheme="majorEastAsia" w:hAnsiTheme="majorEastAsia" w:eastAsiaTheme="majorEastAsia"/>
          <w:sz w:val="24"/>
          <w:szCs w:val="24"/>
        </w:rPr>
        <w:t>MPa。</w:t>
      </w:r>
    </w:p>
    <w:p w14:paraId="2F672748">
      <w:pPr>
        <w:spacing w:line="500" w:lineRule="exact"/>
        <w:ind w:firstLine="480"/>
        <w:jc w:val="center"/>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表13 垂直于板面方向的抗拉强度指标比较</w:t>
      </w:r>
    </w:p>
    <w:tbl>
      <w:tblPr>
        <w:tblStyle w:val="10"/>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4834"/>
      </w:tblGrid>
      <w:tr w14:paraId="4D46E7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17A2FB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涉及相关标准</w:t>
            </w:r>
          </w:p>
        </w:tc>
        <w:tc>
          <w:tcPr>
            <w:tcW w:w="2563" w:type="pct"/>
            <w:vAlign w:val="center"/>
          </w:tcPr>
          <w:p w14:paraId="7297E99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垂直于板面方向的抗拉强度，M</w:t>
            </w:r>
            <w:r>
              <w:rPr>
                <w:rFonts w:ascii="宋体" w:hAnsi="宋体" w:eastAsia="宋体" w:cs="宋体"/>
                <w:color w:val="000000"/>
                <w:kern w:val="0"/>
                <w:sz w:val="24"/>
                <w:szCs w:val="24"/>
              </w:rPr>
              <w:t>P</w:t>
            </w:r>
            <w:r>
              <w:rPr>
                <w:rFonts w:hint="eastAsia" w:ascii="宋体" w:hAnsi="宋体" w:eastAsia="宋体" w:cs="宋体"/>
                <w:color w:val="000000"/>
                <w:kern w:val="0"/>
                <w:sz w:val="24"/>
                <w:szCs w:val="24"/>
              </w:rPr>
              <w:t>a</w:t>
            </w:r>
          </w:p>
        </w:tc>
      </w:tr>
      <w:tr w14:paraId="1AC39D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331C4B5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JC</w:t>
            </w:r>
            <w:r>
              <w:rPr>
                <w:rFonts w:asciiTheme="majorEastAsia" w:hAnsiTheme="majorEastAsia" w:eastAsiaTheme="majorEastAsia"/>
                <w:sz w:val="24"/>
                <w:szCs w:val="24"/>
              </w:rPr>
              <w:t>/</w:t>
            </w:r>
            <w:r>
              <w:rPr>
                <w:rFonts w:hint="eastAsia" w:asciiTheme="majorEastAsia" w:hAnsiTheme="majorEastAsia" w:eastAsiaTheme="majorEastAsia"/>
                <w:sz w:val="24"/>
                <w:szCs w:val="24"/>
              </w:rPr>
              <w:t>T 60016-2022</w:t>
            </w:r>
          </w:p>
        </w:tc>
        <w:tc>
          <w:tcPr>
            <w:tcW w:w="2563" w:type="pct"/>
            <w:vAlign w:val="center"/>
          </w:tcPr>
          <w:p w14:paraId="0B73DF3A">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.10</w:t>
            </w:r>
          </w:p>
        </w:tc>
      </w:tr>
      <w:tr w14:paraId="637AC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54EF5766">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DG</w:t>
            </w:r>
            <w:r>
              <w:rPr>
                <w:rFonts w:asciiTheme="majorEastAsia" w:hAnsiTheme="majorEastAsia" w:eastAsiaTheme="majorEastAsia"/>
                <w:sz w:val="24"/>
                <w:szCs w:val="24"/>
              </w:rPr>
              <w:t>/</w:t>
            </w:r>
            <w:r>
              <w:rPr>
                <w:rFonts w:hint="eastAsia" w:asciiTheme="majorEastAsia" w:hAnsiTheme="majorEastAsia" w:eastAsiaTheme="majorEastAsia"/>
                <w:sz w:val="24"/>
                <w:szCs w:val="24"/>
              </w:rPr>
              <w:t>TJ 08-2433A</w:t>
            </w:r>
            <w:r>
              <w:rPr>
                <w:rFonts w:asciiTheme="majorEastAsia" w:hAnsiTheme="majorEastAsia" w:eastAsiaTheme="majorEastAsia"/>
                <w:sz w:val="24"/>
                <w:szCs w:val="24"/>
              </w:rPr>
              <w:t>/B</w:t>
            </w:r>
            <w:r>
              <w:rPr>
                <w:rFonts w:hint="eastAsia" w:asciiTheme="majorEastAsia" w:hAnsiTheme="majorEastAsia" w:eastAsiaTheme="majorEastAsia"/>
                <w:sz w:val="24"/>
                <w:szCs w:val="24"/>
              </w:rPr>
              <w:t>-2023</w:t>
            </w:r>
          </w:p>
        </w:tc>
        <w:tc>
          <w:tcPr>
            <w:tcW w:w="2563" w:type="pct"/>
            <w:vAlign w:val="center"/>
          </w:tcPr>
          <w:p w14:paraId="318E2233">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.20</w:t>
            </w:r>
          </w:p>
        </w:tc>
      </w:tr>
      <w:tr w14:paraId="5526F1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621015C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DB42</w:t>
            </w:r>
            <w:r>
              <w:rPr>
                <w:rFonts w:asciiTheme="majorEastAsia" w:hAnsiTheme="majorEastAsia" w:eastAsiaTheme="majorEastAsia"/>
                <w:sz w:val="24"/>
                <w:szCs w:val="24"/>
              </w:rPr>
              <w:t>/</w:t>
            </w:r>
            <w:r>
              <w:rPr>
                <w:rFonts w:hint="eastAsia" w:asciiTheme="majorEastAsia" w:hAnsiTheme="majorEastAsia" w:eastAsiaTheme="majorEastAsia"/>
                <w:sz w:val="24"/>
                <w:szCs w:val="24"/>
              </w:rPr>
              <w:t>T 2068-2023</w:t>
            </w:r>
          </w:p>
        </w:tc>
        <w:tc>
          <w:tcPr>
            <w:tcW w:w="2563" w:type="pct"/>
            <w:vAlign w:val="center"/>
          </w:tcPr>
          <w:p w14:paraId="01451D9C">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w:t>
            </w:r>
            <w:r>
              <w:rPr>
                <w:rFonts w:asciiTheme="majorEastAsia" w:hAnsiTheme="majorEastAsia" w:eastAsiaTheme="majorEastAsia"/>
                <w:sz w:val="24"/>
                <w:szCs w:val="24"/>
              </w:rPr>
              <w:t>0.15</w:t>
            </w:r>
          </w:p>
        </w:tc>
      </w:tr>
      <w:tr w14:paraId="627F0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37" w:type="pct"/>
            <w:shd w:val="clear" w:color="auto" w:fill="auto"/>
            <w:vAlign w:val="center"/>
          </w:tcPr>
          <w:p w14:paraId="203D8828">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DBJ33</w:t>
            </w:r>
            <w:r>
              <w:rPr>
                <w:rFonts w:asciiTheme="majorEastAsia" w:hAnsiTheme="majorEastAsia" w:eastAsiaTheme="majorEastAsia"/>
                <w:sz w:val="24"/>
                <w:szCs w:val="24"/>
              </w:rPr>
              <w:t>/</w:t>
            </w:r>
            <w:r>
              <w:rPr>
                <w:rFonts w:hint="eastAsia" w:asciiTheme="majorEastAsia" w:hAnsiTheme="majorEastAsia" w:eastAsiaTheme="majorEastAsia"/>
                <w:sz w:val="24"/>
                <w:szCs w:val="24"/>
              </w:rPr>
              <w:t>T 1301-2023</w:t>
            </w:r>
          </w:p>
        </w:tc>
        <w:tc>
          <w:tcPr>
            <w:tcW w:w="2563" w:type="pct"/>
            <w:vAlign w:val="center"/>
          </w:tcPr>
          <w:p w14:paraId="5CEB0256">
            <w:pPr>
              <w:widowControl/>
              <w:jc w:val="center"/>
              <w:rPr>
                <w:rFonts w:ascii="宋体" w:hAnsi="宋体" w:eastAsia="宋体" w:cs="宋体"/>
                <w:color w:val="000000"/>
                <w:kern w:val="0"/>
                <w:sz w:val="24"/>
                <w:szCs w:val="24"/>
              </w:rPr>
            </w:pPr>
            <w:r>
              <w:rPr>
                <w:rFonts w:hint="eastAsia" w:asciiTheme="majorEastAsia" w:hAnsiTheme="majorEastAsia" w:eastAsiaTheme="majorEastAsia"/>
                <w:sz w:val="24"/>
                <w:szCs w:val="24"/>
              </w:rPr>
              <w:t>≥0</w:t>
            </w:r>
            <w:r>
              <w:rPr>
                <w:rFonts w:asciiTheme="majorEastAsia" w:hAnsiTheme="majorEastAsia" w:eastAsiaTheme="majorEastAsia"/>
                <w:sz w:val="24"/>
                <w:szCs w:val="24"/>
              </w:rPr>
              <w:t>.20</w:t>
            </w:r>
          </w:p>
        </w:tc>
      </w:tr>
    </w:tbl>
    <w:p w14:paraId="060D7657">
      <w:pPr>
        <w:pStyle w:val="20"/>
        <w:spacing w:before="312" w:after="312"/>
        <w:ind w:left="0"/>
        <w:rPr>
          <w:sz w:val="28"/>
          <w:szCs w:val="28"/>
          <w:highlight w:val="none"/>
        </w:rPr>
      </w:pPr>
      <w:bookmarkStart w:id="102" w:name="_Toc2049"/>
      <w:r>
        <w:rPr>
          <w:rFonts w:hint="eastAsia"/>
          <w:sz w:val="28"/>
          <w:szCs w:val="28"/>
          <w:highlight w:val="none"/>
        </w:rPr>
        <w:t>标准主要试验项目验证情况分析</w:t>
      </w:r>
      <w:bookmarkEnd w:id="102"/>
    </w:p>
    <w:p w14:paraId="2CFE73C6">
      <w:pPr>
        <w:pStyle w:val="19"/>
        <w:spacing w:before="156" w:after="156" w:line="500" w:lineRule="exact"/>
        <w:rPr>
          <w:sz w:val="24"/>
          <w:szCs w:val="24"/>
        </w:rPr>
      </w:pPr>
      <w:bookmarkStart w:id="103" w:name="_Toc36554041"/>
      <w:bookmarkStart w:id="104" w:name="_Toc14355"/>
      <w:r>
        <w:rPr>
          <w:rFonts w:hint="eastAsia"/>
          <w:sz w:val="24"/>
          <w:szCs w:val="24"/>
        </w:rPr>
        <w:t>试验</w:t>
      </w:r>
      <w:bookmarkEnd w:id="103"/>
      <w:r>
        <w:rPr>
          <w:rFonts w:hint="eastAsia"/>
          <w:sz w:val="24"/>
          <w:szCs w:val="24"/>
          <w:lang w:eastAsia="zh-CN"/>
        </w:rPr>
        <w:t>方法</w:t>
      </w:r>
      <w:bookmarkEnd w:id="104"/>
    </w:p>
    <w:p w14:paraId="0ED0ED40">
      <w:pPr>
        <w:spacing w:line="500" w:lineRule="exact"/>
        <w:ind w:firstLine="465"/>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编制组</w:t>
      </w:r>
      <w:bookmarkStart w:id="116" w:name="_GoBack"/>
      <w:bookmarkEnd w:id="116"/>
      <w:r>
        <w:rPr>
          <w:rFonts w:hint="eastAsia" w:asciiTheme="majorEastAsia" w:hAnsiTheme="majorEastAsia" w:eastAsiaTheme="majorEastAsia"/>
          <w:sz w:val="24"/>
          <w:szCs w:val="24"/>
        </w:rPr>
        <w:t>对文件中涉及到的参数全部进行了验证试验，</w:t>
      </w:r>
      <w:r>
        <w:rPr>
          <w:rFonts w:hint="eastAsia" w:asciiTheme="majorEastAsia" w:hAnsiTheme="majorEastAsia" w:eastAsiaTheme="majorEastAsia"/>
          <w:sz w:val="24"/>
          <w:szCs w:val="24"/>
          <w:lang w:val="en-US" w:eastAsia="zh-CN"/>
        </w:rPr>
        <w:t>包含</w:t>
      </w:r>
      <w:r>
        <w:rPr>
          <w:rFonts w:hint="eastAsia" w:asciiTheme="majorEastAsia" w:hAnsiTheme="majorEastAsia" w:eastAsiaTheme="majorEastAsia"/>
          <w:sz w:val="24"/>
          <w:szCs w:val="24"/>
        </w:rPr>
        <w:t>文件中涉及到的干密度、抗压强度、垂直于板面方向的抗拉强度、导热系数、体积吸水率、燃烧性能等级和干燥收缩率等指标，共10组大样品，大样品代号为SW-1~10。</w:t>
      </w:r>
    </w:p>
    <w:p w14:paraId="5A2A97BA">
      <w:pPr>
        <w:spacing w:line="500" w:lineRule="exact"/>
        <w:ind w:firstLine="465"/>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大样品尺寸为3.0m*1.2m，各个单项指标检测用的小试样均为从大样品上根据标准要求裁切而得，共70组小试样。</w:t>
      </w:r>
    </w:p>
    <w:p w14:paraId="59E4FE0D">
      <w:pPr>
        <w:spacing w:line="500" w:lineRule="exact"/>
        <w:ind w:firstLine="465"/>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小试样编号为大样品代号中插入单项试验项目的缩写，其中：</w:t>
      </w:r>
    </w:p>
    <w:p w14:paraId="089F47E9">
      <w:pPr>
        <w:numPr>
          <w:ilvl w:val="0"/>
          <w:numId w:val="7"/>
        </w:numPr>
        <w:spacing w:line="500" w:lineRule="exact"/>
        <w:ind w:firstLine="465"/>
        <w:rPr>
          <w:rFonts w:hint="eastAsia" w:asciiTheme="majorEastAsia" w:hAnsiTheme="majorEastAsia" w:eastAsiaTheme="majorEastAsia"/>
          <w:sz w:val="24"/>
          <w:szCs w:val="24"/>
        </w:rPr>
      </w:pPr>
      <w:r>
        <w:rPr>
          <w:rFonts w:hint="eastAsia" w:asciiTheme="majorEastAsia" w:hAnsiTheme="majorEastAsia" w:eastAsiaTheme="majorEastAsia"/>
          <w:sz w:val="24"/>
          <w:szCs w:val="24"/>
        </w:rPr>
        <w:t>试样编号 SW-MD-1~10进行了干密度验证试验；</w:t>
      </w:r>
    </w:p>
    <w:p w14:paraId="4E3F30B3">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SW-KY-1~10进行了抗压强度验证试验；</w:t>
      </w:r>
    </w:p>
    <w:p w14:paraId="56D93D44">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SW-KL-1~10进行了垂直于板面方向的抗拉强度和拉伸粘结强度（与混凝土）验证试验；</w:t>
      </w:r>
    </w:p>
    <w:p w14:paraId="05CE5AFB">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SW-DR-1~10进行了导热系数验证试验；</w:t>
      </w:r>
    </w:p>
    <w:p w14:paraId="22849D9A">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SW-XS-1~10进行了体积吸水率验证试验；</w:t>
      </w:r>
    </w:p>
    <w:p w14:paraId="68A3863C">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SW-RS-1~10进行了燃烧性能等级验证试验；</w:t>
      </w:r>
    </w:p>
    <w:p w14:paraId="6990B5D7">
      <w:pPr>
        <w:numPr>
          <w:ilvl w:val="0"/>
          <w:numId w:val="7"/>
        </w:numPr>
        <w:spacing w:line="500" w:lineRule="exact"/>
        <w:ind w:firstLine="465"/>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试样编号 SW-SS-1~10进行了干燥收缩率验证试验。</w:t>
      </w:r>
    </w:p>
    <w:p w14:paraId="4ADD7CCA">
      <w:pPr>
        <w:numPr>
          <w:ilvl w:val="0"/>
          <w:numId w:val="0"/>
        </w:numPr>
        <w:spacing w:line="5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验证试验的数据及分析情况</w:t>
      </w:r>
      <w:r>
        <w:rPr>
          <w:rFonts w:hint="eastAsia" w:asciiTheme="majorEastAsia" w:hAnsiTheme="majorEastAsia" w:eastAsiaTheme="majorEastAsia"/>
          <w:sz w:val="24"/>
          <w:szCs w:val="24"/>
          <w:lang w:val="en-US" w:eastAsia="zh-CN"/>
        </w:rPr>
        <w:t>见下</w:t>
      </w:r>
      <w:r>
        <w:rPr>
          <w:rFonts w:hint="eastAsia" w:asciiTheme="majorEastAsia" w:hAnsiTheme="majorEastAsia" w:eastAsiaTheme="majorEastAsia"/>
          <w:sz w:val="24"/>
          <w:szCs w:val="24"/>
        </w:rPr>
        <w:t>。</w:t>
      </w:r>
    </w:p>
    <w:p w14:paraId="65055775">
      <w:pPr>
        <w:pStyle w:val="19"/>
        <w:spacing w:before="156" w:after="156" w:line="500" w:lineRule="exact"/>
        <w:rPr>
          <w:sz w:val="24"/>
          <w:szCs w:val="24"/>
        </w:rPr>
      </w:pPr>
      <w:bookmarkStart w:id="105" w:name="_Toc28794"/>
      <w:bookmarkStart w:id="106" w:name="_Toc36554042"/>
      <w:r>
        <w:rPr>
          <w:rFonts w:hint="eastAsia"/>
          <w:sz w:val="24"/>
          <w:szCs w:val="24"/>
        </w:rPr>
        <w:t>试验结果</w:t>
      </w:r>
      <w:bookmarkEnd w:id="105"/>
      <w:bookmarkEnd w:id="106"/>
    </w:p>
    <w:p w14:paraId="7EDB2A15">
      <w:pPr>
        <w:pStyle w:val="21"/>
        <w:spacing w:before="156" w:after="156"/>
        <w:rPr>
          <w:sz w:val="24"/>
          <w:szCs w:val="24"/>
        </w:rPr>
      </w:pPr>
      <w:r>
        <w:rPr>
          <w:rFonts w:hint="eastAsia"/>
          <w:sz w:val="24"/>
          <w:szCs w:val="24"/>
        </w:rPr>
        <w:t>干密度</w:t>
      </w:r>
    </w:p>
    <w:p w14:paraId="5FD7071B">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本次验证试验样品10组，工艺稳定成熟，按</w:t>
      </w:r>
      <w:r>
        <w:rPr>
          <w:rFonts w:ascii="Times New Roman" w:hAnsi="Times New Roman" w:cs="Times New Roman" w:eastAsiaTheme="majorEastAsia"/>
          <w:sz w:val="24"/>
          <w:szCs w:val="24"/>
        </w:rPr>
        <w:t>GB/T 5486-2008</w:t>
      </w:r>
      <w:r>
        <w:rPr>
          <w:rFonts w:hint="eastAsia" w:ascii="Times New Roman" w:hAnsi="Times New Roman" w:cs="Times New Roman" w:eastAsiaTheme="majorEastAsia"/>
          <w:sz w:val="24"/>
          <w:szCs w:val="24"/>
        </w:rPr>
        <w:t>测试标准分别以</w:t>
      </w:r>
      <w:r>
        <w:rPr>
          <w:rFonts w:ascii="Times New Roman" w:hAnsi="Times New Roman" w:cs="Times New Roman" w:eastAsiaTheme="majorEastAsia"/>
          <w:sz w:val="24"/>
          <w:szCs w:val="24"/>
        </w:rPr>
        <w:t>65℃</w:t>
      </w:r>
      <w:r>
        <w:rPr>
          <w:rFonts w:hint="eastAsia" w:ascii="Times New Roman" w:hAnsi="Times New Roman" w:cs="Times New Roman" w:eastAsiaTheme="majorEastAsia"/>
          <w:sz w:val="24"/>
          <w:szCs w:val="24"/>
        </w:rPr>
        <w:t>和10</w:t>
      </w:r>
      <w:r>
        <w:rPr>
          <w:rFonts w:ascii="Times New Roman" w:hAnsi="Times New Roman" w:cs="Times New Roman" w:eastAsiaTheme="majorEastAsia"/>
          <w:sz w:val="24"/>
          <w:szCs w:val="24"/>
        </w:rPr>
        <w:t>5℃</w:t>
      </w:r>
      <w:r>
        <w:rPr>
          <w:rFonts w:hint="eastAsia" w:ascii="Times New Roman" w:hAnsi="Times New Roman" w:cs="Times New Roman" w:eastAsiaTheme="majorEastAsia"/>
          <w:sz w:val="24"/>
          <w:szCs w:val="24"/>
        </w:rPr>
        <w:t>两种温度烘干开展试验，验证试验结果合格率为 100%</w:t>
      </w:r>
      <w:r>
        <w:rPr>
          <w:rFonts w:ascii="Times New Roman" w:hAnsi="Times New Roman" w:cs="Times New Roman" w:eastAsiaTheme="majorEastAsia"/>
          <w:sz w:val="24"/>
          <w:szCs w:val="24"/>
        </w:rPr>
        <w:t>。</w:t>
      </w:r>
    </w:p>
    <w:p w14:paraId="1B018F8A">
      <w:pPr>
        <w:spacing w:line="360" w:lineRule="auto"/>
        <w:jc w:val="center"/>
        <w:rPr>
          <w:rFonts w:ascii="Times New Roman" w:hAnsi="Times New Roman" w:cs="Times New Roman"/>
          <w:sz w:val="24"/>
          <w:szCs w:val="24"/>
        </w:rPr>
      </w:pPr>
      <w:r>
        <w:rPr>
          <w:rFonts w:ascii="Times New Roman" w:hAnsi="Times New Roman" w:cs="Times New Roman"/>
          <w:sz w:val="24"/>
          <w:szCs w:val="24"/>
        </w:rPr>
        <w:t>表14 干密度试验结果</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776"/>
        <w:gridCol w:w="2282"/>
        <w:gridCol w:w="3370"/>
      </w:tblGrid>
      <w:tr w14:paraId="3DD33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noWrap/>
            <w:vAlign w:val="center"/>
          </w:tcPr>
          <w:p w14:paraId="7E1BD629">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试验方法</w:t>
            </w:r>
          </w:p>
        </w:tc>
        <w:tc>
          <w:tcPr>
            <w:tcW w:w="1210" w:type="pct"/>
            <w:noWrap/>
            <w:vAlign w:val="center"/>
          </w:tcPr>
          <w:p w14:paraId="701B53D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编号</w:t>
            </w:r>
          </w:p>
        </w:tc>
        <w:tc>
          <w:tcPr>
            <w:tcW w:w="1787" w:type="pct"/>
            <w:vAlign w:val="center"/>
          </w:tcPr>
          <w:p w14:paraId="27C68FE8">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干密度kg/m3</w:t>
            </w:r>
          </w:p>
        </w:tc>
      </w:tr>
      <w:tr w14:paraId="172CAF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restart"/>
            <w:vAlign w:val="center"/>
          </w:tcPr>
          <w:p w14:paraId="213C5611">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GB/T 5486-2008；65℃</w:t>
            </w:r>
          </w:p>
        </w:tc>
        <w:tc>
          <w:tcPr>
            <w:tcW w:w="1210" w:type="pct"/>
            <w:noWrap/>
            <w:vAlign w:val="center"/>
          </w:tcPr>
          <w:p w14:paraId="5108FD5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w:t>
            </w:r>
            <w:r>
              <w:rPr>
                <w:rFonts w:ascii="Times New Roman" w:hAnsi="Times New Roman" w:cs="Times New Roman" w:eastAsiaTheme="majorEastAsia"/>
                <w:sz w:val="24"/>
                <w:szCs w:val="24"/>
              </w:rPr>
              <w:t>1</w:t>
            </w:r>
          </w:p>
        </w:tc>
        <w:tc>
          <w:tcPr>
            <w:tcW w:w="1787" w:type="pct"/>
            <w:noWrap/>
            <w:vAlign w:val="center"/>
          </w:tcPr>
          <w:p w14:paraId="7C5F9EEF">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210</w:t>
            </w:r>
          </w:p>
        </w:tc>
      </w:tr>
      <w:tr w14:paraId="2E0ADF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58616E93">
            <w:pPr>
              <w:jc w:val="center"/>
              <w:rPr>
                <w:rFonts w:ascii="Times New Roman" w:hAnsi="Times New Roman" w:cs="Times New Roman" w:eastAsiaTheme="majorEastAsia"/>
                <w:sz w:val="24"/>
                <w:szCs w:val="24"/>
              </w:rPr>
            </w:pPr>
          </w:p>
        </w:tc>
        <w:tc>
          <w:tcPr>
            <w:tcW w:w="1210" w:type="pct"/>
            <w:noWrap/>
            <w:vAlign w:val="center"/>
          </w:tcPr>
          <w:p w14:paraId="712C3FF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w:t>
            </w:r>
            <w:r>
              <w:rPr>
                <w:rFonts w:ascii="Times New Roman" w:hAnsi="Times New Roman" w:cs="Times New Roman" w:eastAsiaTheme="majorEastAsia"/>
                <w:sz w:val="24"/>
                <w:szCs w:val="24"/>
              </w:rPr>
              <w:t>2</w:t>
            </w:r>
          </w:p>
        </w:tc>
        <w:tc>
          <w:tcPr>
            <w:tcW w:w="1787" w:type="pct"/>
            <w:noWrap/>
            <w:vAlign w:val="center"/>
          </w:tcPr>
          <w:p w14:paraId="089EB87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209</w:t>
            </w:r>
          </w:p>
        </w:tc>
      </w:tr>
      <w:tr w14:paraId="18F0F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4C300C4F">
            <w:pPr>
              <w:jc w:val="center"/>
              <w:rPr>
                <w:rFonts w:ascii="Times New Roman" w:hAnsi="Times New Roman" w:cs="Times New Roman" w:eastAsiaTheme="majorEastAsia"/>
                <w:sz w:val="24"/>
                <w:szCs w:val="24"/>
              </w:rPr>
            </w:pPr>
          </w:p>
        </w:tc>
        <w:tc>
          <w:tcPr>
            <w:tcW w:w="1210" w:type="pct"/>
            <w:noWrap/>
            <w:vAlign w:val="center"/>
          </w:tcPr>
          <w:p w14:paraId="089F2FD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w:t>
            </w:r>
            <w:r>
              <w:rPr>
                <w:rFonts w:ascii="Times New Roman" w:hAnsi="Times New Roman" w:cs="Times New Roman" w:eastAsiaTheme="majorEastAsia"/>
                <w:sz w:val="24"/>
                <w:szCs w:val="24"/>
              </w:rPr>
              <w:t>3</w:t>
            </w:r>
          </w:p>
        </w:tc>
        <w:tc>
          <w:tcPr>
            <w:tcW w:w="1787" w:type="pct"/>
            <w:noWrap/>
            <w:vAlign w:val="center"/>
          </w:tcPr>
          <w:p w14:paraId="30C6D680">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185</w:t>
            </w:r>
          </w:p>
        </w:tc>
      </w:tr>
      <w:tr w14:paraId="5784B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6D9AF10E">
            <w:pPr>
              <w:jc w:val="center"/>
              <w:rPr>
                <w:rFonts w:ascii="Times New Roman" w:hAnsi="Times New Roman" w:cs="Times New Roman" w:eastAsiaTheme="majorEastAsia"/>
                <w:sz w:val="24"/>
                <w:szCs w:val="24"/>
              </w:rPr>
            </w:pPr>
          </w:p>
        </w:tc>
        <w:tc>
          <w:tcPr>
            <w:tcW w:w="1210" w:type="pct"/>
            <w:noWrap/>
            <w:vAlign w:val="center"/>
          </w:tcPr>
          <w:p w14:paraId="272B5FB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w:t>
            </w:r>
            <w:r>
              <w:rPr>
                <w:rFonts w:ascii="Times New Roman" w:hAnsi="Times New Roman" w:cs="Times New Roman" w:eastAsiaTheme="majorEastAsia"/>
                <w:sz w:val="24"/>
                <w:szCs w:val="24"/>
              </w:rPr>
              <w:t>4</w:t>
            </w:r>
          </w:p>
        </w:tc>
        <w:tc>
          <w:tcPr>
            <w:tcW w:w="1787" w:type="pct"/>
            <w:noWrap/>
            <w:vAlign w:val="center"/>
          </w:tcPr>
          <w:p w14:paraId="39C46E5A">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212</w:t>
            </w:r>
          </w:p>
        </w:tc>
      </w:tr>
      <w:tr w14:paraId="07AD5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529B4546">
            <w:pPr>
              <w:jc w:val="center"/>
              <w:rPr>
                <w:rFonts w:ascii="Times New Roman" w:hAnsi="Times New Roman" w:cs="Times New Roman" w:eastAsiaTheme="majorEastAsia"/>
                <w:sz w:val="24"/>
                <w:szCs w:val="24"/>
              </w:rPr>
            </w:pPr>
          </w:p>
        </w:tc>
        <w:tc>
          <w:tcPr>
            <w:tcW w:w="1210" w:type="pct"/>
            <w:noWrap/>
            <w:vAlign w:val="center"/>
          </w:tcPr>
          <w:p w14:paraId="131C04F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w:t>
            </w:r>
            <w:r>
              <w:rPr>
                <w:rFonts w:ascii="Times New Roman" w:hAnsi="Times New Roman" w:cs="Times New Roman" w:eastAsiaTheme="majorEastAsia"/>
                <w:sz w:val="24"/>
                <w:szCs w:val="24"/>
              </w:rPr>
              <w:t>5</w:t>
            </w:r>
          </w:p>
        </w:tc>
        <w:tc>
          <w:tcPr>
            <w:tcW w:w="1787" w:type="pct"/>
            <w:noWrap/>
            <w:vAlign w:val="center"/>
          </w:tcPr>
          <w:p w14:paraId="01EA9B2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227</w:t>
            </w:r>
          </w:p>
        </w:tc>
      </w:tr>
      <w:tr w14:paraId="144ED1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restart"/>
            <w:vAlign w:val="center"/>
          </w:tcPr>
          <w:p w14:paraId="06C16A0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GB/T 5486-2008；105℃</w:t>
            </w:r>
          </w:p>
        </w:tc>
        <w:tc>
          <w:tcPr>
            <w:tcW w:w="1210" w:type="pct"/>
            <w:noWrap/>
            <w:vAlign w:val="center"/>
          </w:tcPr>
          <w:p w14:paraId="0AF0464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SW-MD-6</w:t>
            </w:r>
          </w:p>
        </w:tc>
        <w:tc>
          <w:tcPr>
            <w:tcW w:w="1787" w:type="pct"/>
            <w:noWrap/>
            <w:vAlign w:val="center"/>
          </w:tcPr>
          <w:p w14:paraId="21AE90A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198</w:t>
            </w:r>
          </w:p>
        </w:tc>
      </w:tr>
      <w:tr w14:paraId="6D2958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7E23F24F">
            <w:pPr>
              <w:jc w:val="center"/>
              <w:rPr>
                <w:rFonts w:ascii="Times New Roman" w:hAnsi="Times New Roman" w:cs="Times New Roman" w:eastAsiaTheme="majorEastAsia"/>
                <w:sz w:val="24"/>
                <w:szCs w:val="24"/>
              </w:rPr>
            </w:pPr>
          </w:p>
        </w:tc>
        <w:tc>
          <w:tcPr>
            <w:tcW w:w="1210" w:type="pct"/>
            <w:noWrap/>
            <w:vAlign w:val="center"/>
          </w:tcPr>
          <w:p w14:paraId="0C1A8E8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SW-MD-7</w:t>
            </w:r>
          </w:p>
        </w:tc>
        <w:tc>
          <w:tcPr>
            <w:tcW w:w="1787" w:type="pct"/>
            <w:noWrap/>
            <w:vAlign w:val="center"/>
          </w:tcPr>
          <w:p w14:paraId="7594D480">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202</w:t>
            </w:r>
          </w:p>
        </w:tc>
      </w:tr>
      <w:tr w14:paraId="16E1D1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6BC93961">
            <w:pPr>
              <w:jc w:val="center"/>
              <w:rPr>
                <w:rFonts w:ascii="Times New Roman" w:hAnsi="Times New Roman" w:cs="Times New Roman" w:eastAsiaTheme="majorEastAsia"/>
                <w:sz w:val="24"/>
                <w:szCs w:val="24"/>
              </w:rPr>
            </w:pPr>
          </w:p>
        </w:tc>
        <w:tc>
          <w:tcPr>
            <w:tcW w:w="1210" w:type="pct"/>
            <w:noWrap/>
            <w:vAlign w:val="center"/>
          </w:tcPr>
          <w:p w14:paraId="7AFA3FB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SW-MD-8</w:t>
            </w:r>
          </w:p>
        </w:tc>
        <w:tc>
          <w:tcPr>
            <w:tcW w:w="1787" w:type="pct"/>
            <w:noWrap/>
            <w:vAlign w:val="center"/>
          </w:tcPr>
          <w:p w14:paraId="0B9BDEB8">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180</w:t>
            </w:r>
          </w:p>
        </w:tc>
      </w:tr>
      <w:tr w14:paraId="54FA7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1A23B3DD">
            <w:pPr>
              <w:jc w:val="center"/>
              <w:rPr>
                <w:rFonts w:ascii="Times New Roman" w:hAnsi="Times New Roman" w:cs="Times New Roman" w:eastAsiaTheme="majorEastAsia"/>
                <w:sz w:val="24"/>
                <w:szCs w:val="24"/>
              </w:rPr>
            </w:pPr>
          </w:p>
        </w:tc>
        <w:tc>
          <w:tcPr>
            <w:tcW w:w="1210" w:type="pct"/>
            <w:noWrap/>
            <w:vAlign w:val="center"/>
          </w:tcPr>
          <w:p w14:paraId="4687D14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SW-MD-9</w:t>
            </w:r>
          </w:p>
        </w:tc>
        <w:tc>
          <w:tcPr>
            <w:tcW w:w="1787" w:type="pct"/>
            <w:noWrap/>
            <w:vAlign w:val="center"/>
          </w:tcPr>
          <w:p w14:paraId="1C273F96">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209</w:t>
            </w:r>
          </w:p>
        </w:tc>
      </w:tr>
      <w:tr w14:paraId="696B70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03" w:type="pct"/>
            <w:vMerge w:val="continue"/>
            <w:vAlign w:val="center"/>
          </w:tcPr>
          <w:p w14:paraId="24ED5538">
            <w:pPr>
              <w:jc w:val="center"/>
              <w:rPr>
                <w:rFonts w:ascii="Times New Roman" w:hAnsi="Times New Roman" w:cs="Times New Roman" w:eastAsiaTheme="majorEastAsia"/>
                <w:sz w:val="24"/>
                <w:szCs w:val="24"/>
              </w:rPr>
            </w:pPr>
          </w:p>
        </w:tc>
        <w:tc>
          <w:tcPr>
            <w:tcW w:w="1210" w:type="pct"/>
            <w:noWrap/>
            <w:vAlign w:val="center"/>
          </w:tcPr>
          <w:p w14:paraId="186117C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SW-MD-10</w:t>
            </w:r>
          </w:p>
        </w:tc>
        <w:tc>
          <w:tcPr>
            <w:tcW w:w="1787" w:type="pct"/>
            <w:noWrap/>
            <w:vAlign w:val="center"/>
          </w:tcPr>
          <w:p w14:paraId="1CCBFE68">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207</w:t>
            </w:r>
          </w:p>
        </w:tc>
      </w:tr>
    </w:tbl>
    <w:p w14:paraId="3B59C1C9">
      <w:pPr>
        <w:spacing w:line="500" w:lineRule="exact"/>
        <w:ind w:firstLine="480"/>
        <w:rPr>
          <w:rFonts w:asciiTheme="majorEastAsia" w:hAnsiTheme="majorEastAsia" w:eastAsiaTheme="majorEastAsia"/>
          <w:sz w:val="24"/>
          <w:szCs w:val="24"/>
        </w:rPr>
      </w:pPr>
    </w:p>
    <w:p w14:paraId="6DA12CB8">
      <w:pPr>
        <w:pStyle w:val="21"/>
        <w:spacing w:before="156" w:after="156"/>
        <w:rPr>
          <w:sz w:val="24"/>
          <w:szCs w:val="24"/>
        </w:rPr>
      </w:pPr>
      <w:r>
        <w:rPr>
          <w:rFonts w:hint="eastAsia"/>
          <w:sz w:val="24"/>
          <w:szCs w:val="24"/>
        </w:rPr>
        <w:t>抗压强度</w:t>
      </w:r>
    </w:p>
    <w:p w14:paraId="319D32EB">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本次验证试验样品 </w:t>
      </w:r>
      <w:r>
        <w:rPr>
          <w:rFonts w:ascii="Times New Roman" w:hAnsi="Times New Roman" w:cs="Times New Roman" w:eastAsiaTheme="majorEastAsia"/>
          <w:sz w:val="24"/>
          <w:szCs w:val="24"/>
        </w:rPr>
        <w:t>1</w:t>
      </w:r>
      <w:r>
        <w:rPr>
          <w:rFonts w:hint="eastAsia" w:ascii="Times New Roman" w:hAnsi="Times New Roman" w:cs="Times New Roman" w:eastAsiaTheme="majorEastAsia"/>
          <w:sz w:val="24"/>
          <w:szCs w:val="24"/>
        </w:rPr>
        <w:t>0组，工艺稳定成熟，按</w:t>
      </w:r>
      <w:r>
        <w:rPr>
          <w:rFonts w:ascii="Times New Roman" w:hAnsi="Times New Roman" w:cs="Times New Roman" w:eastAsiaTheme="majorEastAsia"/>
          <w:sz w:val="24"/>
          <w:szCs w:val="24"/>
        </w:rPr>
        <w:t>GB/T 5486-2008</w:t>
      </w:r>
      <w:r>
        <w:rPr>
          <w:rFonts w:hint="eastAsia" w:ascii="Times New Roman" w:hAnsi="Times New Roman" w:cs="Times New Roman" w:eastAsiaTheme="majorEastAsia"/>
          <w:sz w:val="24"/>
          <w:szCs w:val="24"/>
        </w:rPr>
        <w:t>测试标准开展试验，验证试验结果合格率为 100%。</w:t>
      </w:r>
    </w:p>
    <w:p w14:paraId="238DC9E5">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表15抗压强度试验结果</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1277"/>
        <w:gridCol w:w="2834"/>
        <w:gridCol w:w="2942"/>
      </w:tblGrid>
      <w:tr w14:paraId="66E0C0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937" w:type="pct"/>
            <w:gridSpan w:val="2"/>
            <w:noWrap/>
            <w:vAlign w:val="center"/>
          </w:tcPr>
          <w:p w14:paraId="5B6E107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试验方法</w:t>
            </w:r>
          </w:p>
        </w:tc>
        <w:tc>
          <w:tcPr>
            <w:tcW w:w="1503" w:type="pct"/>
            <w:noWrap/>
            <w:vAlign w:val="center"/>
          </w:tcPr>
          <w:p w14:paraId="05D88D8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编</w:t>
            </w:r>
            <w:r>
              <w:rPr>
                <w:rFonts w:ascii="Times New Roman" w:hAnsi="Times New Roman" w:cs="Times New Roman" w:eastAsiaTheme="majorEastAsia"/>
                <w:sz w:val="24"/>
                <w:szCs w:val="24"/>
              </w:rPr>
              <w:t>号</w:t>
            </w:r>
          </w:p>
        </w:tc>
        <w:tc>
          <w:tcPr>
            <w:tcW w:w="1560" w:type="pct"/>
            <w:noWrap/>
            <w:vAlign w:val="center"/>
          </w:tcPr>
          <w:p w14:paraId="313FEF7C">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抗压强度，MPa</w:t>
            </w:r>
          </w:p>
        </w:tc>
      </w:tr>
      <w:tr w14:paraId="37F324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restart"/>
            <w:vAlign w:val="center"/>
          </w:tcPr>
          <w:p w14:paraId="7294E859">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GB/T 5486-2008</w:t>
            </w:r>
          </w:p>
        </w:tc>
        <w:tc>
          <w:tcPr>
            <w:tcW w:w="677" w:type="pct"/>
            <w:vMerge w:val="restart"/>
            <w:vAlign w:val="center"/>
          </w:tcPr>
          <w:p w14:paraId="6EF1F2E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65℃</w:t>
            </w:r>
          </w:p>
        </w:tc>
        <w:tc>
          <w:tcPr>
            <w:tcW w:w="1503" w:type="pct"/>
            <w:noWrap/>
            <w:vAlign w:val="center"/>
          </w:tcPr>
          <w:p w14:paraId="1477603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w:t>
            </w:r>
            <w:r>
              <w:rPr>
                <w:rFonts w:ascii="Times New Roman" w:hAnsi="Times New Roman" w:cs="Times New Roman" w:eastAsiaTheme="majorEastAsia"/>
                <w:sz w:val="24"/>
                <w:szCs w:val="24"/>
              </w:rPr>
              <w:t>1</w:t>
            </w:r>
          </w:p>
        </w:tc>
        <w:tc>
          <w:tcPr>
            <w:tcW w:w="1560" w:type="pct"/>
            <w:noWrap/>
            <w:vAlign w:val="center"/>
          </w:tcPr>
          <w:p w14:paraId="65A819A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0.35</w:t>
            </w:r>
          </w:p>
        </w:tc>
      </w:tr>
      <w:tr w14:paraId="00880D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36206E48">
            <w:pPr>
              <w:jc w:val="center"/>
              <w:rPr>
                <w:rFonts w:ascii="Times New Roman" w:hAnsi="Times New Roman" w:cs="Times New Roman" w:eastAsiaTheme="majorEastAsia"/>
                <w:sz w:val="24"/>
                <w:szCs w:val="24"/>
              </w:rPr>
            </w:pPr>
          </w:p>
        </w:tc>
        <w:tc>
          <w:tcPr>
            <w:tcW w:w="677" w:type="pct"/>
            <w:vMerge w:val="continue"/>
            <w:vAlign w:val="center"/>
          </w:tcPr>
          <w:p w14:paraId="2028348B">
            <w:pPr>
              <w:jc w:val="center"/>
              <w:rPr>
                <w:rFonts w:ascii="Times New Roman" w:hAnsi="Times New Roman" w:cs="Times New Roman" w:eastAsiaTheme="majorEastAsia"/>
                <w:sz w:val="24"/>
                <w:szCs w:val="24"/>
              </w:rPr>
            </w:pPr>
          </w:p>
        </w:tc>
        <w:tc>
          <w:tcPr>
            <w:tcW w:w="1503" w:type="pct"/>
            <w:noWrap/>
            <w:vAlign w:val="center"/>
          </w:tcPr>
          <w:p w14:paraId="439846A7">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w:t>
            </w:r>
            <w:r>
              <w:rPr>
                <w:rFonts w:ascii="Times New Roman" w:hAnsi="Times New Roman" w:cs="Times New Roman" w:eastAsiaTheme="majorEastAsia"/>
                <w:sz w:val="24"/>
                <w:szCs w:val="24"/>
              </w:rPr>
              <w:t>2</w:t>
            </w:r>
          </w:p>
        </w:tc>
        <w:tc>
          <w:tcPr>
            <w:tcW w:w="1560" w:type="pct"/>
            <w:noWrap/>
            <w:vAlign w:val="center"/>
          </w:tcPr>
          <w:p w14:paraId="64D2671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0.41</w:t>
            </w:r>
          </w:p>
        </w:tc>
      </w:tr>
      <w:tr w14:paraId="4518D0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0024FAA4">
            <w:pPr>
              <w:jc w:val="center"/>
              <w:rPr>
                <w:rFonts w:ascii="Times New Roman" w:hAnsi="Times New Roman" w:cs="Times New Roman" w:eastAsiaTheme="majorEastAsia"/>
                <w:sz w:val="24"/>
                <w:szCs w:val="24"/>
              </w:rPr>
            </w:pPr>
          </w:p>
        </w:tc>
        <w:tc>
          <w:tcPr>
            <w:tcW w:w="677" w:type="pct"/>
            <w:vMerge w:val="continue"/>
            <w:vAlign w:val="center"/>
          </w:tcPr>
          <w:p w14:paraId="713F2B02">
            <w:pPr>
              <w:jc w:val="center"/>
              <w:rPr>
                <w:rFonts w:ascii="Times New Roman" w:hAnsi="Times New Roman" w:cs="Times New Roman" w:eastAsiaTheme="majorEastAsia"/>
                <w:sz w:val="24"/>
                <w:szCs w:val="24"/>
              </w:rPr>
            </w:pPr>
          </w:p>
        </w:tc>
        <w:tc>
          <w:tcPr>
            <w:tcW w:w="1503" w:type="pct"/>
            <w:noWrap/>
            <w:vAlign w:val="center"/>
          </w:tcPr>
          <w:p w14:paraId="41F4D6B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SW-KY-3</w:t>
            </w:r>
          </w:p>
        </w:tc>
        <w:tc>
          <w:tcPr>
            <w:tcW w:w="1560" w:type="pct"/>
            <w:noWrap/>
            <w:vAlign w:val="center"/>
          </w:tcPr>
          <w:p w14:paraId="00E9095C">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0.34</w:t>
            </w:r>
          </w:p>
        </w:tc>
      </w:tr>
      <w:tr w14:paraId="163BA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5F06EEBD">
            <w:pPr>
              <w:jc w:val="center"/>
              <w:rPr>
                <w:rFonts w:ascii="Times New Roman" w:hAnsi="Times New Roman" w:cs="Times New Roman" w:eastAsiaTheme="majorEastAsia"/>
                <w:sz w:val="24"/>
                <w:szCs w:val="24"/>
              </w:rPr>
            </w:pPr>
          </w:p>
        </w:tc>
        <w:tc>
          <w:tcPr>
            <w:tcW w:w="677" w:type="pct"/>
            <w:vMerge w:val="continue"/>
            <w:vAlign w:val="center"/>
          </w:tcPr>
          <w:p w14:paraId="171B5D18">
            <w:pPr>
              <w:jc w:val="center"/>
              <w:rPr>
                <w:rFonts w:ascii="Times New Roman" w:hAnsi="Times New Roman" w:cs="Times New Roman" w:eastAsiaTheme="majorEastAsia"/>
                <w:sz w:val="24"/>
                <w:szCs w:val="24"/>
              </w:rPr>
            </w:pPr>
          </w:p>
        </w:tc>
        <w:tc>
          <w:tcPr>
            <w:tcW w:w="1503" w:type="pct"/>
            <w:noWrap/>
            <w:vAlign w:val="center"/>
          </w:tcPr>
          <w:p w14:paraId="4CA9F9C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w:t>
            </w:r>
            <w:r>
              <w:rPr>
                <w:rFonts w:ascii="Times New Roman" w:hAnsi="Times New Roman" w:cs="Times New Roman" w:eastAsiaTheme="majorEastAsia"/>
                <w:sz w:val="24"/>
                <w:szCs w:val="24"/>
              </w:rPr>
              <w:t>4</w:t>
            </w:r>
          </w:p>
        </w:tc>
        <w:tc>
          <w:tcPr>
            <w:tcW w:w="1560" w:type="pct"/>
            <w:noWrap/>
            <w:vAlign w:val="center"/>
          </w:tcPr>
          <w:p w14:paraId="146B7CF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0.54</w:t>
            </w:r>
          </w:p>
        </w:tc>
      </w:tr>
      <w:tr w14:paraId="029422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4FB829E6">
            <w:pPr>
              <w:jc w:val="center"/>
              <w:rPr>
                <w:rFonts w:ascii="Times New Roman" w:hAnsi="Times New Roman" w:cs="Times New Roman" w:eastAsiaTheme="majorEastAsia"/>
                <w:sz w:val="24"/>
                <w:szCs w:val="24"/>
              </w:rPr>
            </w:pPr>
          </w:p>
        </w:tc>
        <w:tc>
          <w:tcPr>
            <w:tcW w:w="677" w:type="pct"/>
            <w:vMerge w:val="continue"/>
            <w:vAlign w:val="center"/>
          </w:tcPr>
          <w:p w14:paraId="2F89782D">
            <w:pPr>
              <w:jc w:val="center"/>
              <w:rPr>
                <w:rFonts w:ascii="Times New Roman" w:hAnsi="Times New Roman" w:cs="Times New Roman" w:eastAsiaTheme="majorEastAsia"/>
                <w:sz w:val="24"/>
                <w:szCs w:val="24"/>
              </w:rPr>
            </w:pPr>
          </w:p>
        </w:tc>
        <w:tc>
          <w:tcPr>
            <w:tcW w:w="1503" w:type="pct"/>
            <w:noWrap/>
            <w:vAlign w:val="center"/>
          </w:tcPr>
          <w:p w14:paraId="3E34434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SW-KY-5</w:t>
            </w:r>
          </w:p>
        </w:tc>
        <w:tc>
          <w:tcPr>
            <w:tcW w:w="1560" w:type="pct"/>
            <w:noWrap/>
            <w:vAlign w:val="center"/>
          </w:tcPr>
          <w:p w14:paraId="67B0FCC1">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0.42</w:t>
            </w:r>
          </w:p>
        </w:tc>
      </w:tr>
      <w:tr w14:paraId="753A4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380B7777">
            <w:pPr>
              <w:jc w:val="center"/>
              <w:rPr>
                <w:rFonts w:ascii="Times New Roman" w:hAnsi="Times New Roman" w:cs="Times New Roman" w:eastAsiaTheme="majorEastAsia"/>
                <w:sz w:val="24"/>
                <w:szCs w:val="24"/>
              </w:rPr>
            </w:pPr>
          </w:p>
        </w:tc>
        <w:tc>
          <w:tcPr>
            <w:tcW w:w="677" w:type="pct"/>
            <w:vMerge w:val="restart"/>
            <w:vAlign w:val="center"/>
          </w:tcPr>
          <w:p w14:paraId="1F39755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105℃</w:t>
            </w:r>
          </w:p>
        </w:tc>
        <w:tc>
          <w:tcPr>
            <w:tcW w:w="1503" w:type="pct"/>
            <w:noWrap/>
            <w:vAlign w:val="center"/>
          </w:tcPr>
          <w:p w14:paraId="0909C69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SW-KY-6</w:t>
            </w:r>
          </w:p>
        </w:tc>
        <w:tc>
          <w:tcPr>
            <w:tcW w:w="1560" w:type="pct"/>
            <w:noWrap/>
            <w:vAlign w:val="center"/>
          </w:tcPr>
          <w:p w14:paraId="39C4E87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0.39</w:t>
            </w:r>
          </w:p>
        </w:tc>
      </w:tr>
      <w:tr w14:paraId="6F2EE9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2B3CBBC2">
            <w:pPr>
              <w:jc w:val="center"/>
              <w:rPr>
                <w:rFonts w:ascii="Times New Roman" w:hAnsi="Times New Roman" w:cs="Times New Roman" w:eastAsiaTheme="majorEastAsia"/>
                <w:sz w:val="24"/>
                <w:szCs w:val="24"/>
              </w:rPr>
            </w:pPr>
          </w:p>
        </w:tc>
        <w:tc>
          <w:tcPr>
            <w:tcW w:w="677" w:type="pct"/>
            <w:vMerge w:val="continue"/>
            <w:vAlign w:val="center"/>
          </w:tcPr>
          <w:p w14:paraId="64EDF5CF">
            <w:pPr>
              <w:jc w:val="center"/>
              <w:rPr>
                <w:rFonts w:ascii="Times New Roman" w:hAnsi="Times New Roman" w:cs="Times New Roman" w:eastAsiaTheme="majorEastAsia"/>
                <w:sz w:val="24"/>
                <w:szCs w:val="24"/>
              </w:rPr>
            </w:pPr>
          </w:p>
        </w:tc>
        <w:tc>
          <w:tcPr>
            <w:tcW w:w="1503" w:type="pct"/>
            <w:noWrap/>
            <w:vAlign w:val="center"/>
          </w:tcPr>
          <w:p w14:paraId="1ECC560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SW-KY-7</w:t>
            </w:r>
          </w:p>
        </w:tc>
        <w:tc>
          <w:tcPr>
            <w:tcW w:w="1560" w:type="pct"/>
            <w:noWrap/>
            <w:vAlign w:val="center"/>
          </w:tcPr>
          <w:p w14:paraId="4C9E29B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0.43</w:t>
            </w:r>
          </w:p>
        </w:tc>
      </w:tr>
      <w:tr w14:paraId="29FFC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1DF681B4">
            <w:pPr>
              <w:jc w:val="center"/>
              <w:rPr>
                <w:rFonts w:ascii="Times New Roman" w:hAnsi="Times New Roman" w:cs="Times New Roman" w:eastAsiaTheme="majorEastAsia"/>
                <w:sz w:val="24"/>
                <w:szCs w:val="24"/>
              </w:rPr>
            </w:pPr>
          </w:p>
        </w:tc>
        <w:tc>
          <w:tcPr>
            <w:tcW w:w="677" w:type="pct"/>
            <w:vMerge w:val="continue"/>
            <w:vAlign w:val="center"/>
          </w:tcPr>
          <w:p w14:paraId="36CFB2BD">
            <w:pPr>
              <w:jc w:val="center"/>
              <w:rPr>
                <w:rFonts w:ascii="Times New Roman" w:hAnsi="Times New Roman" w:cs="Times New Roman" w:eastAsiaTheme="majorEastAsia"/>
                <w:sz w:val="24"/>
                <w:szCs w:val="24"/>
              </w:rPr>
            </w:pPr>
          </w:p>
        </w:tc>
        <w:tc>
          <w:tcPr>
            <w:tcW w:w="1503" w:type="pct"/>
            <w:noWrap/>
            <w:vAlign w:val="center"/>
          </w:tcPr>
          <w:p w14:paraId="39E772E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SW-KY-8</w:t>
            </w:r>
          </w:p>
        </w:tc>
        <w:tc>
          <w:tcPr>
            <w:tcW w:w="1560" w:type="pct"/>
            <w:noWrap/>
            <w:vAlign w:val="center"/>
          </w:tcPr>
          <w:p w14:paraId="1C19264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0.30</w:t>
            </w:r>
          </w:p>
        </w:tc>
      </w:tr>
      <w:tr w14:paraId="559012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564CA22F">
            <w:pPr>
              <w:jc w:val="center"/>
              <w:rPr>
                <w:rFonts w:ascii="Times New Roman" w:hAnsi="Times New Roman" w:cs="Times New Roman" w:eastAsiaTheme="majorEastAsia"/>
                <w:sz w:val="24"/>
                <w:szCs w:val="24"/>
              </w:rPr>
            </w:pPr>
          </w:p>
        </w:tc>
        <w:tc>
          <w:tcPr>
            <w:tcW w:w="677" w:type="pct"/>
            <w:vMerge w:val="continue"/>
            <w:vAlign w:val="center"/>
          </w:tcPr>
          <w:p w14:paraId="739C8B77">
            <w:pPr>
              <w:jc w:val="center"/>
              <w:rPr>
                <w:rFonts w:ascii="Times New Roman" w:hAnsi="Times New Roman" w:cs="Times New Roman" w:eastAsiaTheme="majorEastAsia"/>
                <w:sz w:val="24"/>
                <w:szCs w:val="24"/>
              </w:rPr>
            </w:pPr>
          </w:p>
        </w:tc>
        <w:tc>
          <w:tcPr>
            <w:tcW w:w="1503" w:type="pct"/>
            <w:noWrap/>
            <w:vAlign w:val="center"/>
          </w:tcPr>
          <w:p w14:paraId="28C5271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SW-KY-9</w:t>
            </w:r>
          </w:p>
        </w:tc>
        <w:tc>
          <w:tcPr>
            <w:tcW w:w="1560" w:type="pct"/>
            <w:noWrap/>
            <w:vAlign w:val="center"/>
          </w:tcPr>
          <w:p w14:paraId="504978A0">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0.32</w:t>
            </w:r>
          </w:p>
        </w:tc>
      </w:tr>
      <w:tr w14:paraId="761CE8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60" w:type="pct"/>
            <w:vMerge w:val="continue"/>
            <w:vAlign w:val="center"/>
          </w:tcPr>
          <w:p w14:paraId="7CB17BFC">
            <w:pPr>
              <w:jc w:val="center"/>
              <w:rPr>
                <w:rFonts w:ascii="Times New Roman" w:hAnsi="Times New Roman" w:cs="Times New Roman" w:eastAsiaTheme="majorEastAsia"/>
                <w:sz w:val="24"/>
                <w:szCs w:val="24"/>
              </w:rPr>
            </w:pPr>
          </w:p>
        </w:tc>
        <w:tc>
          <w:tcPr>
            <w:tcW w:w="677" w:type="pct"/>
            <w:vMerge w:val="continue"/>
            <w:vAlign w:val="center"/>
          </w:tcPr>
          <w:p w14:paraId="3881AB7B">
            <w:pPr>
              <w:jc w:val="center"/>
              <w:rPr>
                <w:rFonts w:ascii="Times New Roman" w:hAnsi="Times New Roman" w:cs="Times New Roman" w:eastAsiaTheme="majorEastAsia"/>
                <w:sz w:val="24"/>
                <w:szCs w:val="24"/>
              </w:rPr>
            </w:pPr>
          </w:p>
        </w:tc>
        <w:tc>
          <w:tcPr>
            <w:tcW w:w="1503" w:type="pct"/>
            <w:noWrap/>
            <w:vAlign w:val="center"/>
          </w:tcPr>
          <w:p w14:paraId="04EAB77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SW-KY-10</w:t>
            </w:r>
          </w:p>
        </w:tc>
        <w:tc>
          <w:tcPr>
            <w:tcW w:w="1560" w:type="pct"/>
            <w:noWrap/>
            <w:vAlign w:val="center"/>
          </w:tcPr>
          <w:p w14:paraId="530FCF2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0.43</w:t>
            </w:r>
          </w:p>
        </w:tc>
      </w:tr>
    </w:tbl>
    <w:p w14:paraId="644A9386">
      <w:pPr>
        <w:spacing w:line="500" w:lineRule="exact"/>
        <w:ind w:firstLine="480"/>
        <w:rPr>
          <w:rFonts w:asciiTheme="majorEastAsia" w:hAnsiTheme="majorEastAsia" w:eastAsiaTheme="majorEastAsia"/>
          <w:sz w:val="24"/>
          <w:szCs w:val="24"/>
        </w:rPr>
      </w:pPr>
    </w:p>
    <w:p w14:paraId="59039BEF">
      <w:pPr>
        <w:pStyle w:val="21"/>
        <w:spacing w:before="156" w:after="156"/>
        <w:rPr>
          <w:sz w:val="24"/>
          <w:szCs w:val="24"/>
        </w:rPr>
      </w:pPr>
      <w:r>
        <w:rPr>
          <w:rFonts w:hint="eastAsia"/>
          <w:sz w:val="24"/>
          <w:szCs w:val="24"/>
        </w:rPr>
        <w:t>垂直于板面方向的抗拉强度和拉伸粘结强度（与混凝土）</w:t>
      </w:r>
    </w:p>
    <w:p w14:paraId="68320742">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本次验证试验样品 10组，工艺稳定成熟，因</w:t>
      </w:r>
      <w:r>
        <w:rPr>
          <w:rFonts w:hint="eastAsia" w:ascii="Times New Roman" w:hAnsi="Times New Roman" w:cs="Times New Roman"/>
          <w:sz w:val="24"/>
          <w:szCs w:val="24"/>
        </w:rPr>
        <w:t>垂直于板面方向的抗拉强度和拉伸粘结强度（与混凝土）两项指标关联性强，</w:t>
      </w:r>
      <w:r>
        <w:rPr>
          <w:rFonts w:hint="eastAsia" w:ascii="Times New Roman" w:hAnsi="Times New Roman" w:cs="Times New Roman" w:eastAsiaTheme="majorEastAsia"/>
          <w:sz w:val="24"/>
          <w:szCs w:val="24"/>
        </w:rPr>
        <w:t>分别按JGJ 144-2019和GB/T 30804-2014两个测试标准开展试验，验证试验结果合格率为 100%。</w:t>
      </w:r>
    </w:p>
    <w:p w14:paraId="51A09640">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表 16 垂直于板面方向的抗拉强度和拉伸粘结强度（与混凝土）试验结果</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1624"/>
        <w:gridCol w:w="3096"/>
        <w:gridCol w:w="2914"/>
      </w:tblGrid>
      <w:tr w14:paraId="2EB76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0" w:type="auto"/>
            <w:noWrap/>
            <w:vAlign w:val="center"/>
          </w:tcPr>
          <w:p w14:paraId="3939E25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试验方法</w:t>
            </w:r>
          </w:p>
        </w:tc>
        <w:tc>
          <w:tcPr>
            <w:tcW w:w="861" w:type="pct"/>
            <w:noWrap/>
            <w:vAlign w:val="center"/>
          </w:tcPr>
          <w:p w14:paraId="3A17404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编号</w:t>
            </w:r>
          </w:p>
        </w:tc>
        <w:tc>
          <w:tcPr>
            <w:tcW w:w="1642" w:type="pct"/>
            <w:noWrap/>
            <w:vAlign w:val="center"/>
          </w:tcPr>
          <w:p w14:paraId="2F725F0C">
            <w:pPr>
              <w:jc w:val="center"/>
              <w:rPr>
                <w:rFonts w:ascii="Times New Roman" w:hAnsi="Times New Roman" w:cs="Times New Roman"/>
                <w:sz w:val="24"/>
                <w:szCs w:val="24"/>
              </w:rPr>
            </w:pPr>
            <w:r>
              <w:rPr>
                <w:rFonts w:hint="eastAsia" w:ascii="Times New Roman" w:hAnsi="Times New Roman" w:cs="Times New Roman"/>
                <w:sz w:val="24"/>
                <w:szCs w:val="24"/>
              </w:rPr>
              <w:t>垂直于板面方向的抗拉强度</w:t>
            </w:r>
          </w:p>
          <w:p w14:paraId="3B3514B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MPa</w:t>
            </w:r>
          </w:p>
        </w:tc>
        <w:tc>
          <w:tcPr>
            <w:tcW w:w="0" w:type="auto"/>
          </w:tcPr>
          <w:p w14:paraId="363A3073">
            <w:pPr>
              <w:jc w:val="center"/>
              <w:rPr>
                <w:rFonts w:hint="eastAsia" w:ascii="Times New Roman" w:hAnsi="Times New Roman" w:cs="Times New Roman" w:eastAsiaTheme="majorEastAsia"/>
                <w:sz w:val="24"/>
                <w:szCs w:val="24"/>
              </w:rPr>
            </w:pPr>
            <w:r>
              <w:rPr>
                <w:rFonts w:hint="eastAsia" w:ascii="宋体" w:hAnsi="宋体" w:eastAsia="宋体" w:cs="宋体"/>
                <w:color w:val="000000"/>
                <w:kern w:val="0"/>
                <w:sz w:val="24"/>
                <w:szCs w:val="24"/>
              </w:rPr>
              <w:t>拉伸粘结强度（与混凝土），</w:t>
            </w:r>
            <w:r>
              <w:rPr>
                <w:rFonts w:ascii="Times New Roman" w:hAnsi="Times New Roman" w:cs="Times New Roman" w:eastAsiaTheme="majorEastAsia"/>
                <w:sz w:val="24"/>
                <w:szCs w:val="24"/>
              </w:rPr>
              <w:t>MPa</w:t>
            </w:r>
          </w:p>
        </w:tc>
      </w:tr>
      <w:tr w14:paraId="28F5EF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0" w:type="auto"/>
            <w:vMerge w:val="restart"/>
            <w:vAlign w:val="center"/>
          </w:tcPr>
          <w:p w14:paraId="48BCC17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JGJ 144-2019</w:t>
            </w:r>
          </w:p>
        </w:tc>
        <w:tc>
          <w:tcPr>
            <w:tcW w:w="861" w:type="pct"/>
            <w:noWrap/>
            <w:vAlign w:val="center"/>
          </w:tcPr>
          <w:p w14:paraId="2BB4EFE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SW-KL-1</w:t>
            </w:r>
          </w:p>
        </w:tc>
        <w:tc>
          <w:tcPr>
            <w:tcW w:w="1642" w:type="pct"/>
            <w:noWrap/>
            <w:vAlign w:val="center"/>
          </w:tcPr>
          <w:p w14:paraId="248D1636">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0.22</w:t>
            </w:r>
          </w:p>
        </w:tc>
        <w:tc>
          <w:tcPr>
            <w:tcW w:w="0" w:type="auto"/>
            <w:vAlign w:val="center"/>
          </w:tcPr>
          <w:p w14:paraId="41677D13">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0.22</w:t>
            </w:r>
          </w:p>
        </w:tc>
      </w:tr>
      <w:tr w14:paraId="24A4C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221653B5">
            <w:pPr>
              <w:jc w:val="center"/>
              <w:rPr>
                <w:rFonts w:ascii="Times New Roman" w:hAnsi="Times New Roman" w:cs="Times New Roman" w:eastAsiaTheme="majorEastAsia"/>
                <w:sz w:val="24"/>
                <w:szCs w:val="24"/>
              </w:rPr>
            </w:pPr>
          </w:p>
        </w:tc>
        <w:tc>
          <w:tcPr>
            <w:tcW w:w="861" w:type="pct"/>
            <w:noWrap/>
            <w:vAlign w:val="center"/>
          </w:tcPr>
          <w:p w14:paraId="4BE1D73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SW-KL-2</w:t>
            </w:r>
          </w:p>
        </w:tc>
        <w:tc>
          <w:tcPr>
            <w:tcW w:w="1642" w:type="pct"/>
            <w:noWrap/>
            <w:vAlign w:val="center"/>
          </w:tcPr>
          <w:p w14:paraId="7E33961C">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0.21</w:t>
            </w:r>
          </w:p>
        </w:tc>
        <w:tc>
          <w:tcPr>
            <w:tcW w:w="0" w:type="auto"/>
            <w:vAlign w:val="center"/>
          </w:tcPr>
          <w:p w14:paraId="4AFB00D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0.20</w:t>
            </w:r>
          </w:p>
        </w:tc>
      </w:tr>
      <w:tr w14:paraId="6D24E8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40B27262">
            <w:pPr>
              <w:jc w:val="center"/>
              <w:rPr>
                <w:rFonts w:ascii="Times New Roman" w:hAnsi="Times New Roman" w:cs="Times New Roman" w:eastAsiaTheme="majorEastAsia"/>
                <w:sz w:val="24"/>
                <w:szCs w:val="24"/>
              </w:rPr>
            </w:pPr>
          </w:p>
        </w:tc>
        <w:tc>
          <w:tcPr>
            <w:tcW w:w="861" w:type="pct"/>
            <w:noWrap/>
            <w:vAlign w:val="center"/>
          </w:tcPr>
          <w:p w14:paraId="09F15EE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SW-KL-3</w:t>
            </w:r>
          </w:p>
        </w:tc>
        <w:tc>
          <w:tcPr>
            <w:tcW w:w="1642" w:type="pct"/>
            <w:noWrap/>
            <w:vAlign w:val="center"/>
          </w:tcPr>
          <w:p w14:paraId="45A3006A">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0.23</w:t>
            </w:r>
          </w:p>
        </w:tc>
        <w:tc>
          <w:tcPr>
            <w:tcW w:w="0" w:type="auto"/>
            <w:vAlign w:val="center"/>
          </w:tcPr>
          <w:p w14:paraId="7DBE5D3D">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0.22</w:t>
            </w:r>
          </w:p>
        </w:tc>
      </w:tr>
      <w:tr w14:paraId="3E9B2A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62494F8C">
            <w:pPr>
              <w:jc w:val="center"/>
              <w:rPr>
                <w:rFonts w:ascii="Times New Roman" w:hAnsi="Times New Roman" w:cs="Times New Roman" w:eastAsiaTheme="majorEastAsia"/>
                <w:sz w:val="24"/>
                <w:szCs w:val="24"/>
              </w:rPr>
            </w:pPr>
          </w:p>
        </w:tc>
        <w:tc>
          <w:tcPr>
            <w:tcW w:w="861" w:type="pct"/>
            <w:noWrap/>
            <w:vAlign w:val="center"/>
          </w:tcPr>
          <w:p w14:paraId="56132AC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SW-KL-4</w:t>
            </w:r>
          </w:p>
        </w:tc>
        <w:tc>
          <w:tcPr>
            <w:tcW w:w="1642" w:type="pct"/>
            <w:noWrap/>
            <w:vAlign w:val="center"/>
          </w:tcPr>
          <w:p w14:paraId="666CEDB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0.27</w:t>
            </w:r>
          </w:p>
        </w:tc>
        <w:tc>
          <w:tcPr>
            <w:tcW w:w="0" w:type="auto"/>
            <w:vAlign w:val="center"/>
          </w:tcPr>
          <w:p w14:paraId="63A95A03">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0.25</w:t>
            </w:r>
          </w:p>
        </w:tc>
      </w:tr>
      <w:tr w14:paraId="53E73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01C4600A">
            <w:pPr>
              <w:jc w:val="center"/>
              <w:rPr>
                <w:rFonts w:ascii="Times New Roman" w:hAnsi="Times New Roman" w:cs="Times New Roman" w:eastAsiaTheme="majorEastAsia"/>
                <w:sz w:val="24"/>
                <w:szCs w:val="24"/>
              </w:rPr>
            </w:pPr>
          </w:p>
        </w:tc>
        <w:tc>
          <w:tcPr>
            <w:tcW w:w="861" w:type="pct"/>
            <w:noWrap/>
            <w:vAlign w:val="center"/>
          </w:tcPr>
          <w:p w14:paraId="10F69D8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SW-KL-5</w:t>
            </w:r>
          </w:p>
        </w:tc>
        <w:tc>
          <w:tcPr>
            <w:tcW w:w="1642" w:type="pct"/>
            <w:noWrap/>
            <w:vAlign w:val="center"/>
          </w:tcPr>
          <w:p w14:paraId="48748990">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0.22</w:t>
            </w:r>
          </w:p>
        </w:tc>
        <w:tc>
          <w:tcPr>
            <w:tcW w:w="0" w:type="auto"/>
            <w:vAlign w:val="center"/>
          </w:tcPr>
          <w:p w14:paraId="59F8311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0.20</w:t>
            </w:r>
          </w:p>
        </w:tc>
      </w:tr>
      <w:tr w14:paraId="279241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restart"/>
            <w:vAlign w:val="center"/>
          </w:tcPr>
          <w:p w14:paraId="0E991BC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GB/T 30804-2014</w:t>
            </w:r>
          </w:p>
        </w:tc>
        <w:tc>
          <w:tcPr>
            <w:tcW w:w="861" w:type="pct"/>
            <w:noWrap/>
            <w:vAlign w:val="center"/>
          </w:tcPr>
          <w:p w14:paraId="58A088D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SW-KL-6</w:t>
            </w:r>
          </w:p>
        </w:tc>
        <w:tc>
          <w:tcPr>
            <w:tcW w:w="1642" w:type="pct"/>
            <w:noWrap/>
            <w:vAlign w:val="center"/>
          </w:tcPr>
          <w:p w14:paraId="61A1CF39">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0.25</w:t>
            </w:r>
          </w:p>
        </w:tc>
        <w:tc>
          <w:tcPr>
            <w:tcW w:w="0" w:type="auto"/>
            <w:vAlign w:val="center"/>
          </w:tcPr>
          <w:p w14:paraId="7429C2F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0.24</w:t>
            </w:r>
          </w:p>
        </w:tc>
      </w:tr>
      <w:tr w14:paraId="00615C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136DA417">
            <w:pPr>
              <w:jc w:val="center"/>
              <w:rPr>
                <w:rFonts w:ascii="Times New Roman" w:hAnsi="Times New Roman" w:cs="Times New Roman" w:eastAsiaTheme="majorEastAsia"/>
                <w:sz w:val="24"/>
                <w:szCs w:val="24"/>
              </w:rPr>
            </w:pPr>
          </w:p>
        </w:tc>
        <w:tc>
          <w:tcPr>
            <w:tcW w:w="861" w:type="pct"/>
            <w:noWrap/>
            <w:vAlign w:val="center"/>
          </w:tcPr>
          <w:p w14:paraId="4A56290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SW-KL-7</w:t>
            </w:r>
          </w:p>
        </w:tc>
        <w:tc>
          <w:tcPr>
            <w:tcW w:w="1642" w:type="pct"/>
            <w:noWrap/>
            <w:vAlign w:val="center"/>
          </w:tcPr>
          <w:p w14:paraId="0D1F10A2">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0.23</w:t>
            </w:r>
          </w:p>
        </w:tc>
        <w:tc>
          <w:tcPr>
            <w:tcW w:w="0" w:type="auto"/>
            <w:vAlign w:val="center"/>
          </w:tcPr>
          <w:p w14:paraId="2E4A1D29">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0.23</w:t>
            </w:r>
          </w:p>
        </w:tc>
      </w:tr>
      <w:tr w14:paraId="08461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411F97F3">
            <w:pPr>
              <w:jc w:val="center"/>
              <w:rPr>
                <w:rFonts w:ascii="Times New Roman" w:hAnsi="Times New Roman" w:cs="Times New Roman" w:eastAsiaTheme="majorEastAsia"/>
                <w:sz w:val="24"/>
                <w:szCs w:val="24"/>
              </w:rPr>
            </w:pPr>
          </w:p>
        </w:tc>
        <w:tc>
          <w:tcPr>
            <w:tcW w:w="861" w:type="pct"/>
            <w:noWrap/>
            <w:vAlign w:val="center"/>
          </w:tcPr>
          <w:p w14:paraId="4824120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SW-KL-8</w:t>
            </w:r>
          </w:p>
        </w:tc>
        <w:tc>
          <w:tcPr>
            <w:tcW w:w="1642" w:type="pct"/>
            <w:noWrap/>
            <w:vAlign w:val="center"/>
          </w:tcPr>
          <w:p w14:paraId="4C0DE701">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0.29</w:t>
            </w:r>
          </w:p>
        </w:tc>
        <w:tc>
          <w:tcPr>
            <w:tcW w:w="0" w:type="auto"/>
            <w:vAlign w:val="center"/>
          </w:tcPr>
          <w:p w14:paraId="7418431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0.27</w:t>
            </w:r>
          </w:p>
        </w:tc>
      </w:tr>
      <w:tr w14:paraId="55E3D4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16231CB3">
            <w:pPr>
              <w:jc w:val="center"/>
              <w:rPr>
                <w:rFonts w:ascii="Times New Roman" w:hAnsi="Times New Roman" w:cs="Times New Roman" w:eastAsiaTheme="majorEastAsia"/>
                <w:sz w:val="24"/>
                <w:szCs w:val="24"/>
              </w:rPr>
            </w:pPr>
          </w:p>
        </w:tc>
        <w:tc>
          <w:tcPr>
            <w:tcW w:w="861" w:type="pct"/>
            <w:noWrap/>
            <w:vAlign w:val="center"/>
          </w:tcPr>
          <w:p w14:paraId="206F591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SW-KL-9</w:t>
            </w:r>
          </w:p>
        </w:tc>
        <w:tc>
          <w:tcPr>
            <w:tcW w:w="1642" w:type="pct"/>
            <w:noWrap/>
            <w:vAlign w:val="center"/>
          </w:tcPr>
          <w:p w14:paraId="3B85FBBC">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0.24</w:t>
            </w:r>
          </w:p>
        </w:tc>
        <w:tc>
          <w:tcPr>
            <w:tcW w:w="0" w:type="auto"/>
            <w:vAlign w:val="center"/>
          </w:tcPr>
          <w:p w14:paraId="603D297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0.22</w:t>
            </w:r>
          </w:p>
        </w:tc>
      </w:tr>
      <w:tr w14:paraId="69A5BB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vAlign w:val="center"/>
          </w:tcPr>
          <w:p w14:paraId="74E6A78A">
            <w:pPr>
              <w:jc w:val="center"/>
              <w:rPr>
                <w:rFonts w:ascii="Times New Roman" w:hAnsi="Times New Roman" w:cs="Times New Roman" w:eastAsiaTheme="majorEastAsia"/>
                <w:sz w:val="24"/>
                <w:szCs w:val="24"/>
              </w:rPr>
            </w:pPr>
          </w:p>
        </w:tc>
        <w:tc>
          <w:tcPr>
            <w:tcW w:w="861" w:type="pct"/>
            <w:noWrap/>
            <w:vAlign w:val="center"/>
          </w:tcPr>
          <w:p w14:paraId="2EBDE0D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SW-KL-10</w:t>
            </w:r>
          </w:p>
        </w:tc>
        <w:tc>
          <w:tcPr>
            <w:tcW w:w="1642" w:type="pct"/>
            <w:noWrap/>
            <w:vAlign w:val="center"/>
          </w:tcPr>
          <w:p w14:paraId="68A5293B">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0.23</w:t>
            </w:r>
          </w:p>
        </w:tc>
        <w:tc>
          <w:tcPr>
            <w:tcW w:w="0" w:type="auto"/>
            <w:vAlign w:val="center"/>
          </w:tcPr>
          <w:p w14:paraId="461F2AF6">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0.23</w:t>
            </w:r>
          </w:p>
        </w:tc>
      </w:tr>
    </w:tbl>
    <w:p w14:paraId="4CEA1A02">
      <w:pPr>
        <w:spacing w:line="500" w:lineRule="exact"/>
        <w:ind w:firstLine="480" w:firstLineChars="200"/>
        <w:jc w:val="left"/>
        <w:rPr>
          <w:rFonts w:asciiTheme="majorEastAsia" w:hAnsiTheme="majorEastAsia" w:eastAsiaTheme="majorEastAsia"/>
          <w:sz w:val="24"/>
          <w:szCs w:val="24"/>
        </w:rPr>
      </w:pPr>
    </w:p>
    <w:p w14:paraId="5256715A">
      <w:pPr>
        <w:pStyle w:val="21"/>
        <w:spacing w:before="156" w:after="156"/>
        <w:rPr>
          <w:sz w:val="24"/>
          <w:szCs w:val="24"/>
        </w:rPr>
      </w:pPr>
      <w:r>
        <w:rPr>
          <w:rFonts w:hint="eastAsia"/>
          <w:sz w:val="24"/>
          <w:szCs w:val="24"/>
        </w:rPr>
        <w:t>导热系数</w:t>
      </w:r>
    </w:p>
    <w:p w14:paraId="40A30B93">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本次验证试验样品 10组，工艺稳定成熟，分别按GB/T 10294-2008和GB/T 10295-2008两个测试标准开展试验，验证试验结果合格率为</w:t>
      </w:r>
      <w:r>
        <w:rPr>
          <w:rFonts w:ascii="Times New Roman" w:hAnsi="Times New Roman" w:cs="Times New Roman" w:eastAsiaTheme="majorEastAsia"/>
          <w:sz w:val="24"/>
          <w:szCs w:val="24"/>
        </w:rPr>
        <w:t>100</w:t>
      </w:r>
      <w:r>
        <w:rPr>
          <w:rFonts w:hint="eastAsia" w:ascii="Times New Roman" w:hAnsi="Times New Roman" w:cs="Times New Roman" w:eastAsiaTheme="majorEastAsia"/>
          <w:sz w:val="24"/>
          <w:szCs w:val="24"/>
        </w:rPr>
        <w:t>%。</w:t>
      </w:r>
    </w:p>
    <w:p w14:paraId="10FD7777">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表17 导热系数试验结果</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2551"/>
        <w:gridCol w:w="2516"/>
      </w:tblGrid>
      <w:tr w14:paraId="7C80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tcBorders>
              <w:top w:val="single" w:color="auto" w:sz="12" w:space="0"/>
              <w:left w:val="single" w:color="auto" w:sz="12" w:space="0"/>
            </w:tcBorders>
            <w:noWrap/>
            <w:vAlign w:val="center"/>
          </w:tcPr>
          <w:p w14:paraId="3671E8F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试验方法</w:t>
            </w:r>
          </w:p>
        </w:tc>
        <w:tc>
          <w:tcPr>
            <w:tcW w:w="1353" w:type="pct"/>
            <w:tcBorders>
              <w:top w:val="single" w:color="auto" w:sz="12" w:space="0"/>
            </w:tcBorders>
            <w:vAlign w:val="center"/>
          </w:tcPr>
          <w:p w14:paraId="02D4FDD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编号</w:t>
            </w:r>
          </w:p>
        </w:tc>
        <w:tc>
          <w:tcPr>
            <w:tcW w:w="1334" w:type="pct"/>
            <w:tcBorders>
              <w:top w:val="single" w:color="auto" w:sz="12" w:space="0"/>
              <w:right w:val="single" w:color="auto" w:sz="12" w:space="0"/>
            </w:tcBorders>
            <w:vAlign w:val="center"/>
          </w:tcPr>
          <w:p w14:paraId="2109F1C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导热系数W/（m·K）</w:t>
            </w:r>
          </w:p>
        </w:tc>
      </w:tr>
      <w:tr w14:paraId="0F36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restart"/>
            <w:tcBorders>
              <w:left w:val="single" w:color="auto" w:sz="12" w:space="0"/>
            </w:tcBorders>
            <w:vAlign w:val="center"/>
          </w:tcPr>
          <w:p w14:paraId="5C9E91E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GB/T 10294-2008（65℃干燥至恒重）</w:t>
            </w:r>
          </w:p>
        </w:tc>
        <w:tc>
          <w:tcPr>
            <w:tcW w:w="1353" w:type="pct"/>
            <w:vAlign w:val="center"/>
          </w:tcPr>
          <w:p w14:paraId="5228CD4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SW-DR-1</w:t>
            </w:r>
          </w:p>
        </w:tc>
        <w:tc>
          <w:tcPr>
            <w:tcW w:w="1334" w:type="pct"/>
            <w:tcBorders>
              <w:right w:val="single" w:color="auto" w:sz="12" w:space="0"/>
            </w:tcBorders>
            <w:noWrap/>
            <w:vAlign w:val="center"/>
          </w:tcPr>
          <w:p w14:paraId="2BDA66E7">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w:t>
            </w:r>
            <w:r>
              <w:rPr>
                <w:rFonts w:ascii="Times New Roman" w:hAnsi="Times New Roman" w:cs="Times New Roman" w:eastAsiaTheme="majorEastAsia"/>
                <w:sz w:val="24"/>
                <w:szCs w:val="24"/>
              </w:rPr>
              <w:t>5</w:t>
            </w:r>
          </w:p>
        </w:tc>
      </w:tr>
      <w:tr w14:paraId="47EC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7A7CA332">
            <w:pPr>
              <w:jc w:val="center"/>
              <w:rPr>
                <w:rFonts w:ascii="Times New Roman" w:hAnsi="Times New Roman" w:cs="Times New Roman" w:eastAsiaTheme="majorEastAsia"/>
                <w:sz w:val="24"/>
                <w:szCs w:val="24"/>
              </w:rPr>
            </w:pPr>
          </w:p>
        </w:tc>
        <w:tc>
          <w:tcPr>
            <w:tcW w:w="1353" w:type="pct"/>
            <w:vAlign w:val="center"/>
          </w:tcPr>
          <w:p w14:paraId="7A3D428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SW-DR-2</w:t>
            </w:r>
          </w:p>
        </w:tc>
        <w:tc>
          <w:tcPr>
            <w:tcW w:w="1334" w:type="pct"/>
            <w:tcBorders>
              <w:right w:val="single" w:color="auto" w:sz="12" w:space="0"/>
            </w:tcBorders>
            <w:noWrap/>
            <w:vAlign w:val="center"/>
          </w:tcPr>
          <w:p w14:paraId="1A8DAB2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w:t>
            </w:r>
            <w:r>
              <w:rPr>
                <w:rFonts w:ascii="Times New Roman" w:hAnsi="Times New Roman" w:cs="Times New Roman" w:eastAsiaTheme="majorEastAsia"/>
                <w:sz w:val="24"/>
                <w:szCs w:val="24"/>
              </w:rPr>
              <w:t>4</w:t>
            </w:r>
          </w:p>
        </w:tc>
      </w:tr>
      <w:tr w14:paraId="10C0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05E36BEE">
            <w:pPr>
              <w:jc w:val="center"/>
              <w:rPr>
                <w:rFonts w:ascii="Times New Roman" w:hAnsi="Times New Roman" w:cs="Times New Roman" w:eastAsiaTheme="majorEastAsia"/>
                <w:sz w:val="24"/>
                <w:szCs w:val="24"/>
              </w:rPr>
            </w:pPr>
          </w:p>
        </w:tc>
        <w:tc>
          <w:tcPr>
            <w:tcW w:w="1353" w:type="pct"/>
            <w:vAlign w:val="center"/>
          </w:tcPr>
          <w:p w14:paraId="00B0357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SW-DR-3</w:t>
            </w:r>
          </w:p>
        </w:tc>
        <w:tc>
          <w:tcPr>
            <w:tcW w:w="1334" w:type="pct"/>
            <w:tcBorders>
              <w:right w:val="single" w:color="auto" w:sz="12" w:space="0"/>
            </w:tcBorders>
            <w:noWrap/>
            <w:vAlign w:val="center"/>
          </w:tcPr>
          <w:p w14:paraId="02FF21C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0.054</w:t>
            </w:r>
          </w:p>
        </w:tc>
      </w:tr>
      <w:tr w14:paraId="0EBC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17B53B4E">
            <w:pPr>
              <w:jc w:val="center"/>
              <w:rPr>
                <w:rFonts w:ascii="Times New Roman" w:hAnsi="Times New Roman" w:cs="Times New Roman" w:eastAsiaTheme="majorEastAsia"/>
                <w:sz w:val="24"/>
                <w:szCs w:val="24"/>
              </w:rPr>
            </w:pPr>
          </w:p>
        </w:tc>
        <w:tc>
          <w:tcPr>
            <w:tcW w:w="1353" w:type="pct"/>
            <w:vAlign w:val="center"/>
          </w:tcPr>
          <w:p w14:paraId="1EB0CC1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SW-DR-4</w:t>
            </w:r>
          </w:p>
        </w:tc>
        <w:tc>
          <w:tcPr>
            <w:tcW w:w="1334" w:type="pct"/>
            <w:tcBorders>
              <w:right w:val="single" w:color="auto" w:sz="12" w:space="0"/>
            </w:tcBorders>
            <w:noWrap/>
            <w:vAlign w:val="center"/>
          </w:tcPr>
          <w:p w14:paraId="7F9192D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0.052</w:t>
            </w:r>
          </w:p>
        </w:tc>
      </w:tr>
      <w:tr w14:paraId="0FA1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5A77209A">
            <w:pPr>
              <w:jc w:val="center"/>
              <w:rPr>
                <w:rFonts w:ascii="Times New Roman" w:hAnsi="Times New Roman" w:cs="Times New Roman" w:eastAsiaTheme="majorEastAsia"/>
                <w:sz w:val="24"/>
                <w:szCs w:val="24"/>
              </w:rPr>
            </w:pPr>
          </w:p>
        </w:tc>
        <w:tc>
          <w:tcPr>
            <w:tcW w:w="1353" w:type="pct"/>
            <w:vAlign w:val="center"/>
          </w:tcPr>
          <w:p w14:paraId="272A888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SW-DR-5</w:t>
            </w:r>
          </w:p>
        </w:tc>
        <w:tc>
          <w:tcPr>
            <w:tcW w:w="1334" w:type="pct"/>
            <w:tcBorders>
              <w:right w:val="single" w:color="auto" w:sz="12" w:space="0"/>
            </w:tcBorders>
            <w:noWrap/>
            <w:vAlign w:val="center"/>
          </w:tcPr>
          <w:p w14:paraId="25C4F2B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0.054</w:t>
            </w:r>
          </w:p>
        </w:tc>
      </w:tr>
      <w:tr w14:paraId="778F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restart"/>
            <w:tcBorders>
              <w:left w:val="single" w:color="auto" w:sz="12" w:space="0"/>
            </w:tcBorders>
            <w:vAlign w:val="center"/>
          </w:tcPr>
          <w:p w14:paraId="5ACFA28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GB/T 10295-2008（65℃干燥至恒重）</w:t>
            </w:r>
          </w:p>
        </w:tc>
        <w:tc>
          <w:tcPr>
            <w:tcW w:w="1353" w:type="pct"/>
            <w:vAlign w:val="center"/>
          </w:tcPr>
          <w:p w14:paraId="38301A8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SW-DR-6</w:t>
            </w:r>
          </w:p>
        </w:tc>
        <w:tc>
          <w:tcPr>
            <w:tcW w:w="1334" w:type="pct"/>
            <w:tcBorders>
              <w:right w:val="single" w:color="auto" w:sz="12" w:space="0"/>
            </w:tcBorders>
            <w:noWrap/>
            <w:vAlign w:val="center"/>
          </w:tcPr>
          <w:p w14:paraId="650177D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0.053</w:t>
            </w:r>
          </w:p>
        </w:tc>
      </w:tr>
      <w:tr w14:paraId="787E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6703F7B1">
            <w:pPr>
              <w:jc w:val="center"/>
              <w:rPr>
                <w:rFonts w:ascii="Times New Roman" w:hAnsi="Times New Roman" w:cs="Times New Roman" w:eastAsiaTheme="majorEastAsia"/>
                <w:sz w:val="24"/>
                <w:szCs w:val="24"/>
              </w:rPr>
            </w:pPr>
          </w:p>
        </w:tc>
        <w:tc>
          <w:tcPr>
            <w:tcW w:w="1353" w:type="pct"/>
            <w:vAlign w:val="center"/>
          </w:tcPr>
          <w:p w14:paraId="6D316C6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SW-DR-7</w:t>
            </w:r>
          </w:p>
        </w:tc>
        <w:tc>
          <w:tcPr>
            <w:tcW w:w="1334" w:type="pct"/>
            <w:tcBorders>
              <w:right w:val="single" w:color="auto" w:sz="12" w:space="0"/>
            </w:tcBorders>
            <w:noWrap/>
            <w:vAlign w:val="center"/>
          </w:tcPr>
          <w:p w14:paraId="0718EDF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0.054</w:t>
            </w:r>
          </w:p>
        </w:tc>
      </w:tr>
      <w:tr w14:paraId="61A4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3FEEA610">
            <w:pPr>
              <w:jc w:val="center"/>
              <w:rPr>
                <w:rFonts w:ascii="Times New Roman" w:hAnsi="Times New Roman" w:cs="Times New Roman" w:eastAsiaTheme="majorEastAsia"/>
                <w:sz w:val="24"/>
                <w:szCs w:val="24"/>
              </w:rPr>
            </w:pPr>
          </w:p>
        </w:tc>
        <w:tc>
          <w:tcPr>
            <w:tcW w:w="1353" w:type="pct"/>
            <w:vAlign w:val="center"/>
          </w:tcPr>
          <w:p w14:paraId="41658D5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SW-DR-8</w:t>
            </w:r>
          </w:p>
        </w:tc>
        <w:tc>
          <w:tcPr>
            <w:tcW w:w="1334" w:type="pct"/>
            <w:tcBorders>
              <w:right w:val="single" w:color="auto" w:sz="12" w:space="0"/>
            </w:tcBorders>
            <w:noWrap/>
            <w:vAlign w:val="center"/>
          </w:tcPr>
          <w:p w14:paraId="6FEC91D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w:t>
            </w:r>
            <w:r>
              <w:rPr>
                <w:rFonts w:ascii="Times New Roman" w:hAnsi="Times New Roman" w:cs="Times New Roman" w:eastAsiaTheme="majorEastAsia"/>
                <w:sz w:val="24"/>
                <w:szCs w:val="24"/>
              </w:rPr>
              <w:t>5</w:t>
            </w:r>
          </w:p>
        </w:tc>
      </w:tr>
      <w:tr w14:paraId="4874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tcBorders>
            <w:vAlign w:val="center"/>
          </w:tcPr>
          <w:p w14:paraId="5491DD37">
            <w:pPr>
              <w:jc w:val="center"/>
              <w:rPr>
                <w:rFonts w:ascii="Times New Roman" w:hAnsi="Times New Roman" w:cs="Times New Roman" w:eastAsiaTheme="majorEastAsia"/>
                <w:sz w:val="24"/>
                <w:szCs w:val="24"/>
              </w:rPr>
            </w:pPr>
          </w:p>
        </w:tc>
        <w:tc>
          <w:tcPr>
            <w:tcW w:w="1353" w:type="pct"/>
            <w:vAlign w:val="center"/>
          </w:tcPr>
          <w:p w14:paraId="7AE058B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SW-DR-9</w:t>
            </w:r>
          </w:p>
        </w:tc>
        <w:tc>
          <w:tcPr>
            <w:tcW w:w="1334" w:type="pct"/>
            <w:tcBorders>
              <w:right w:val="single" w:color="auto" w:sz="12" w:space="0"/>
            </w:tcBorders>
            <w:noWrap/>
            <w:vAlign w:val="center"/>
          </w:tcPr>
          <w:p w14:paraId="0BB8B7E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w:t>
            </w:r>
            <w:r>
              <w:rPr>
                <w:rFonts w:ascii="Times New Roman" w:hAnsi="Times New Roman" w:cs="Times New Roman" w:eastAsiaTheme="majorEastAsia"/>
                <w:sz w:val="24"/>
                <w:szCs w:val="24"/>
              </w:rPr>
              <w:t>5</w:t>
            </w:r>
          </w:p>
        </w:tc>
      </w:tr>
      <w:tr w14:paraId="5FCD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3" w:type="pct"/>
            <w:vMerge w:val="continue"/>
            <w:tcBorders>
              <w:left w:val="single" w:color="auto" w:sz="12" w:space="0"/>
              <w:bottom w:val="single" w:color="auto" w:sz="12" w:space="0"/>
            </w:tcBorders>
            <w:vAlign w:val="center"/>
          </w:tcPr>
          <w:p w14:paraId="3EF096FE">
            <w:pPr>
              <w:jc w:val="center"/>
              <w:rPr>
                <w:rFonts w:ascii="Times New Roman" w:hAnsi="Times New Roman" w:cs="Times New Roman" w:eastAsiaTheme="majorEastAsia"/>
                <w:sz w:val="24"/>
                <w:szCs w:val="24"/>
              </w:rPr>
            </w:pPr>
          </w:p>
        </w:tc>
        <w:tc>
          <w:tcPr>
            <w:tcW w:w="1353" w:type="pct"/>
            <w:tcBorders>
              <w:bottom w:val="single" w:color="auto" w:sz="12" w:space="0"/>
            </w:tcBorders>
            <w:vAlign w:val="center"/>
          </w:tcPr>
          <w:p w14:paraId="2EDD70B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SW-DR-10</w:t>
            </w:r>
          </w:p>
        </w:tc>
        <w:tc>
          <w:tcPr>
            <w:tcW w:w="1334" w:type="pct"/>
            <w:tcBorders>
              <w:bottom w:val="single" w:color="auto" w:sz="12" w:space="0"/>
              <w:right w:val="single" w:color="auto" w:sz="12" w:space="0"/>
            </w:tcBorders>
            <w:noWrap/>
            <w:vAlign w:val="center"/>
          </w:tcPr>
          <w:p w14:paraId="003A8357">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0.053</w:t>
            </w:r>
          </w:p>
        </w:tc>
      </w:tr>
    </w:tbl>
    <w:p w14:paraId="18E9C2A3">
      <w:pPr>
        <w:spacing w:line="500" w:lineRule="exact"/>
        <w:ind w:firstLine="480"/>
        <w:rPr>
          <w:rFonts w:asciiTheme="majorEastAsia" w:hAnsiTheme="majorEastAsia" w:eastAsiaTheme="majorEastAsia"/>
          <w:sz w:val="24"/>
          <w:szCs w:val="24"/>
        </w:rPr>
      </w:pPr>
    </w:p>
    <w:p w14:paraId="5F9068A1">
      <w:pPr>
        <w:pStyle w:val="21"/>
        <w:spacing w:before="156" w:after="156"/>
        <w:rPr>
          <w:sz w:val="24"/>
          <w:szCs w:val="24"/>
        </w:rPr>
      </w:pPr>
      <w:r>
        <w:rPr>
          <w:rFonts w:hint="eastAsia"/>
          <w:sz w:val="24"/>
          <w:szCs w:val="24"/>
        </w:rPr>
        <w:t>体积吸水率</w:t>
      </w:r>
    </w:p>
    <w:p w14:paraId="786CDEEB">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本次验证试验样品 10组，工艺稳定成熟，按GB/T 5486-2008标准以浸水2h和浸水4</w:t>
      </w:r>
      <w:r>
        <w:rPr>
          <w:rFonts w:ascii="Times New Roman" w:hAnsi="Times New Roman" w:cs="Times New Roman" w:eastAsiaTheme="majorEastAsia"/>
          <w:sz w:val="24"/>
          <w:szCs w:val="24"/>
        </w:rPr>
        <w:t>8</w:t>
      </w:r>
      <w:r>
        <w:rPr>
          <w:rFonts w:hint="eastAsia" w:ascii="Times New Roman" w:hAnsi="Times New Roman" w:cs="Times New Roman" w:eastAsiaTheme="majorEastAsia"/>
          <w:sz w:val="24"/>
          <w:szCs w:val="24"/>
        </w:rPr>
        <w:t>h两个指标开展试验，验证试验结果合格率为 100%。</w:t>
      </w:r>
    </w:p>
    <w:p w14:paraId="7A90680F">
      <w:pPr>
        <w:spacing w:line="360" w:lineRule="auto"/>
        <w:jc w:val="center"/>
        <w:rPr>
          <w:rFonts w:ascii="Times New Roman" w:hAnsi="Times New Roman" w:cs="Times New Roman"/>
          <w:sz w:val="24"/>
          <w:szCs w:val="24"/>
        </w:rPr>
      </w:pPr>
      <w:r>
        <w:rPr>
          <w:rFonts w:ascii="Times New Roman" w:hAnsi="Times New Roman" w:cs="Times New Roman"/>
          <w:sz w:val="24"/>
          <w:szCs w:val="24"/>
        </w:rPr>
        <w:t>表18 体积吸水率试验结果</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127"/>
        <w:gridCol w:w="2410"/>
        <w:gridCol w:w="2515"/>
      </w:tblGrid>
      <w:tr w14:paraId="577BC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noWrap/>
            <w:vAlign w:val="center"/>
          </w:tcPr>
          <w:p w14:paraId="4B83FE4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试验方法</w:t>
            </w:r>
          </w:p>
        </w:tc>
        <w:tc>
          <w:tcPr>
            <w:tcW w:w="1128" w:type="pct"/>
            <w:noWrap/>
            <w:vAlign w:val="center"/>
          </w:tcPr>
          <w:p w14:paraId="12C3A95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序号</w:t>
            </w:r>
          </w:p>
        </w:tc>
        <w:tc>
          <w:tcPr>
            <w:tcW w:w="1278" w:type="pct"/>
            <w:noWrap/>
            <w:vAlign w:val="center"/>
          </w:tcPr>
          <w:p w14:paraId="787B1F1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2h体积吸水率，%</w:t>
            </w:r>
          </w:p>
        </w:tc>
        <w:tc>
          <w:tcPr>
            <w:tcW w:w="1334" w:type="pct"/>
            <w:noWrap/>
            <w:vAlign w:val="center"/>
          </w:tcPr>
          <w:p w14:paraId="740E039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48h体积吸水率，%</w:t>
            </w:r>
          </w:p>
        </w:tc>
      </w:tr>
      <w:tr w14:paraId="13F690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restart"/>
            <w:vAlign w:val="center"/>
          </w:tcPr>
          <w:p w14:paraId="7FF117B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GB/T 5486-2008</w:t>
            </w:r>
          </w:p>
        </w:tc>
        <w:tc>
          <w:tcPr>
            <w:tcW w:w="1128" w:type="pct"/>
            <w:noWrap/>
            <w:vAlign w:val="center"/>
          </w:tcPr>
          <w:p w14:paraId="7F3E5B2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SW-XS-1</w:t>
            </w:r>
          </w:p>
        </w:tc>
        <w:tc>
          <w:tcPr>
            <w:tcW w:w="1278" w:type="pct"/>
            <w:noWrap/>
            <w:vAlign w:val="center"/>
          </w:tcPr>
          <w:p w14:paraId="6281E868">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5</w:t>
            </w:r>
            <w:r>
              <w:rPr>
                <w:rFonts w:hint="eastAsia" w:ascii="Times New Roman" w:hAnsi="Times New Roman" w:cs="Times New Roman" w:eastAsiaTheme="majorEastAsia"/>
                <w:sz w:val="24"/>
                <w:szCs w:val="24"/>
              </w:rPr>
              <w:t>.2</w:t>
            </w:r>
          </w:p>
        </w:tc>
        <w:tc>
          <w:tcPr>
            <w:tcW w:w="1334" w:type="pct"/>
            <w:noWrap/>
            <w:vAlign w:val="center"/>
          </w:tcPr>
          <w:p w14:paraId="6814C45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8.9</w:t>
            </w:r>
          </w:p>
        </w:tc>
      </w:tr>
      <w:tr w14:paraId="1AA4B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2E56732B">
            <w:pPr>
              <w:jc w:val="center"/>
              <w:rPr>
                <w:rFonts w:ascii="Times New Roman" w:hAnsi="Times New Roman" w:cs="Times New Roman" w:eastAsiaTheme="majorEastAsia"/>
                <w:sz w:val="24"/>
                <w:szCs w:val="24"/>
              </w:rPr>
            </w:pPr>
          </w:p>
        </w:tc>
        <w:tc>
          <w:tcPr>
            <w:tcW w:w="1128" w:type="pct"/>
            <w:noWrap/>
            <w:vAlign w:val="center"/>
          </w:tcPr>
          <w:p w14:paraId="7A4566E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SW-XS-2</w:t>
            </w:r>
          </w:p>
        </w:tc>
        <w:tc>
          <w:tcPr>
            <w:tcW w:w="1278" w:type="pct"/>
            <w:noWrap/>
            <w:vAlign w:val="center"/>
          </w:tcPr>
          <w:p w14:paraId="13D4C79F">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5.9</w:t>
            </w:r>
          </w:p>
        </w:tc>
        <w:tc>
          <w:tcPr>
            <w:tcW w:w="1334" w:type="pct"/>
            <w:noWrap/>
            <w:vAlign w:val="center"/>
          </w:tcPr>
          <w:p w14:paraId="44BC6DD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9</w:t>
            </w:r>
            <w:r>
              <w:rPr>
                <w:rFonts w:hint="eastAsia" w:ascii="Times New Roman" w:hAnsi="Times New Roman" w:cs="Times New Roman" w:eastAsiaTheme="majorEastAsia"/>
                <w:sz w:val="24"/>
                <w:szCs w:val="24"/>
              </w:rPr>
              <w:t>.1</w:t>
            </w:r>
          </w:p>
        </w:tc>
      </w:tr>
      <w:tr w14:paraId="0DAFA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7EB23667">
            <w:pPr>
              <w:jc w:val="center"/>
              <w:rPr>
                <w:rFonts w:ascii="Times New Roman" w:hAnsi="Times New Roman" w:cs="Times New Roman" w:eastAsiaTheme="majorEastAsia"/>
                <w:sz w:val="24"/>
                <w:szCs w:val="24"/>
              </w:rPr>
            </w:pPr>
          </w:p>
        </w:tc>
        <w:tc>
          <w:tcPr>
            <w:tcW w:w="1128" w:type="pct"/>
            <w:noWrap/>
            <w:vAlign w:val="center"/>
          </w:tcPr>
          <w:p w14:paraId="116ECAF4">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SW-XS-3</w:t>
            </w:r>
          </w:p>
        </w:tc>
        <w:tc>
          <w:tcPr>
            <w:tcW w:w="1278" w:type="pct"/>
            <w:noWrap/>
            <w:vAlign w:val="center"/>
          </w:tcPr>
          <w:p w14:paraId="675B60B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5</w:t>
            </w:r>
            <w:r>
              <w:rPr>
                <w:rFonts w:ascii="Times New Roman" w:hAnsi="Times New Roman" w:cs="Times New Roman" w:eastAsiaTheme="majorEastAsia"/>
                <w:sz w:val="24"/>
                <w:szCs w:val="24"/>
              </w:rPr>
              <w:t>.9</w:t>
            </w:r>
          </w:p>
        </w:tc>
        <w:tc>
          <w:tcPr>
            <w:tcW w:w="1334" w:type="pct"/>
            <w:noWrap/>
            <w:vAlign w:val="center"/>
          </w:tcPr>
          <w:p w14:paraId="2C6D897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9.8</w:t>
            </w:r>
          </w:p>
        </w:tc>
      </w:tr>
      <w:tr w14:paraId="526F7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11B4FDFE">
            <w:pPr>
              <w:jc w:val="center"/>
              <w:rPr>
                <w:rFonts w:ascii="Times New Roman" w:hAnsi="Times New Roman" w:cs="Times New Roman" w:eastAsiaTheme="majorEastAsia"/>
                <w:sz w:val="24"/>
                <w:szCs w:val="24"/>
              </w:rPr>
            </w:pPr>
          </w:p>
        </w:tc>
        <w:tc>
          <w:tcPr>
            <w:tcW w:w="1128" w:type="pct"/>
            <w:noWrap/>
            <w:vAlign w:val="center"/>
          </w:tcPr>
          <w:p w14:paraId="36172CB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SW-XS-4</w:t>
            </w:r>
          </w:p>
        </w:tc>
        <w:tc>
          <w:tcPr>
            <w:tcW w:w="1278" w:type="pct"/>
            <w:noWrap/>
            <w:vAlign w:val="center"/>
          </w:tcPr>
          <w:p w14:paraId="227342DA">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4.9</w:t>
            </w:r>
          </w:p>
        </w:tc>
        <w:tc>
          <w:tcPr>
            <w:tcW w:w="1334" w:type="pct"/>
            <w:noWrap/>
            <w:vAlign w:val="center"/>
          </w:tcPr>
          <w:p w14:paraId="2C0C3FC8">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7</w:t>
            </w: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7</w:t>
            </w:r>
          </w:p>
        </w:tc>
      </w:tr>
      <w:tr w14:paraId="7E9FF4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4172E68B">
            <w:pPr>
              <w:jc w:val="center"/>
              <w:rPr>
                <w:rFonts w:ascii="Times New Roman" w:hAnsi="Times New Roman" w:cs="Times New Roman" w:eastAsiaTheme="majorEastAsia"/>
                <w:sz w:val="24"/>
                <w:szCs w:val="24"/>
              </w:rPr>
            </w:pPr>
          </w:p>
        </w:tc>
        <w:tc>
          <w:tcPr>
            <w:tcW w:w="1128" w:type="pct"/>
            <w:noWrap/>
            <w:vAlign w:val="center"/>
          </w:tcPr>
          <w:p w14:paraId="70032ED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SW-XS-5</w:t>
            </w:r>
          </w:p>
        </w:tc>
        <w:tc>
          <w:tcPr>
            <w:tcW w:w="1278" w:type="pct"/>
            <w:noWrap/>
            <w:vAlign w:val="center"/>
          </w:tcPr>
          <w:p w14:paraId="4529183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5</w:t>
            </w:r>
            <w:r>
              <w:rPr>
                <w:rFonts w:ascii="Times New Roman" w:hAnsi="Times New Roman" w:cs="Times New Roman" w:eastAsiaTheme="majorEastAsia"/>
                <w:sz w:val="24"/>
                <w:szCs w:val="24"/>
              </w:rPr>
              <w:t>.4</w:t>
            </w:r>
          </w:p>
        </w:tc>
        <w:tc>
          <w:tcPr>
            <w:tcW w:w="1334" w:type="pct"/>
            <w:noWrap/>
            <w:vAlign w:val="center"/>
          </w:tcPr>
          <w:p w14:paraId="5491F63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7.3</w:t>
            </w:r>
          </w:p>
        </w:tc>
      </w:tr>
      <w:tr w14:paraId="0764E1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57068369">
            <w:pPr>
              <w:jc w:val="center"/>
              <w:rPr>
                <w:rFonts w:ascii="Times New Roman" w:hAnsi="Times New Roman" w:cs="Times New Roman" w:eastAsiaTheme="majorEastAsia"/>
                <w:sz w:val="24"/>
                <w:szCs w:val="24"/>
              </w:rPr>
            </w:pPr>
          </w:p>
        </w:tc>
        <w:tc>
          <w:tcPr>
            <w:tcW w:w="1128" w:type="pct"/>
            <w:noWrap/>
            <w:vAlign w:val="center"/>
          </w:tcPr>
          <w:p w14:paraId="2FEC465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SW-XS-6</w:t>
            </w:r>
          </w:p>
        </w:tc>
        <w:tc>
          <w:tcPr>
            <w:tcW w:w="1278" w:type="pct"/>
            <w:noWrap/>
            <w:vAlign w:val="center"/>
          </w:tcPr>
          <w:p w14:paraId="1652258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6</w:t>
            </w:r>
            <w:r>
              <w:rPr>
                <w:rFonts w:ascii="Times New Roman" w:hAnsi="Times New Roman" w:cs="Times New Roman" w:eastAsiaTheme="majorEastAsia"/>
                <w:sz w:val="24"/>
                <w:szCs w:val="24"/>
              </w:rPr>
              <w:t>.0</w:t>
            </w:r>
          </w:p>
        </w:tc>
        <w:tc>
          <w:tcPr>
            <w:tcW w:w="1334" w:type="pct"/>
            <w:noWrap/>
            <w:vAlign w:val="center"/>
          </w:tcPr>
          <w:p w14:paraId="6875B9C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9</w:t>
            </w:r>
            <w:r>
              <w:rPr>
                <w:rFonts w:ascii="Times New Roman" w:hAnsi="Times New Roman" w:cs="Times New Roman" w:eastAsiaTheme="majorEastAsia"/>
                <w:sz w:val="24"/>
                <w:szCs w:val="24"/>
              </w:rPr>
              <w:t>.4</w:t>
            </w:r>
          </w:p>
        </w:tc>
      </w:tr>
      <w:tr w14:paraId="6F101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76FDA3A9">
            <w:pPr>
              <w:jc w:val="center"/>
              <w:rPr>
                <w:rFonts w:ascii="Times New Roman" w:hAnsi="Times New Roman" w:cs="Times New Roman" w:eastAsiaTheme="majorEastAsia"/>
                <w:sz w:val="24"/>
                <w:szCs w:val="24"/>
              </w:rPr>
            </w:pPr>
          </w:p>
        </w:tc>
        <w:tc>
          <w:tcPr>
            <w:tcW w:w="1128" w:type="pct"/>
            <w:noWrap/>
            <w:vAlign w:val="center"/>
          </w:tcPr>
          <w:p w14:paraId="11985A7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SW-XS-7</w:t>
            </w:r>
          </w:p>
        </w:tc>
        <w:tc>
          <w:tcPr>
            <w:tcW w:w="1278" w:type="pct"/>
            <w:noWrap/>
            <w:vAlign w:val="center"/>
          </w:tcPr>
          <w:p w14:paraId="799680E6">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4.9</w:t>
            </w:r>
          </w:p>
        </w:tc>
        <w:tc>
          <w:tcPr>
            <w:tcW w:w="1334" w:type="pct"/>
            <w:noWrap/>
            <w:vAlign w:val="center"/>
          </w:tcPr>
          <w:p w14:paraId="0CBC845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8</w:t>
            </w:r>
            <w:r>
              <w:rPr>
                <w:rFonts w:hint="eastAsia" w:ascii="Times New Roman" w:hAnsi="Times New Roman" w:cs="Times New Roman" w:eastAsiaTheme="majorEastAsia"/>
                <w:sz w:val="24"/>
                <w:szCs w:val="24"/>
              </w:rPr>
              <w:t>.1</w:t>
            </w:r>
          </w:p>
        </w:tc>
      </w:tr>
      <w:tr w14:paraId="37194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6F08A830">
            <w:pPr>
              <w:jc w:val="center"/>
              <w:rPr>
                <w:rFonts w:ascii="Times New Roman" w:hAnsi="Times New Roman" w:cs="Times New Roman" w:eastAsiaTheme="majorEastAsia"/>
                <w:sz w:val="24"/>
                <w:szCs w:val="24"/>
              </w:rPr>
            </w:pPr>
          </w:p>
        </w:tc>
        <w:tc>
          <w:tcPr>
            <w:tcW w:w="1128" w:type="pct"/>
            <w:noWrap/>
            <w:vAlign w:val="center"/>
          </w:tcPr>
          <w:p w14:paraId="0CA5D0A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SW-XS-8</w:t>
            </w:r>
          </w:p>
        </w:tc>
        <w:tc>
          <w:tcPr>
            <w:tcW w:w="1278" w:type="pct"/>
            <w:noWrap/>
            <w:vAlign w:val="center"/>
          </w:tcPr>
          <w:p w14:paraId="2039C056">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5.0</w:t>
            </w:r>
          </w:p>
        </w:tc>
        <w:tc>
          <w:tcPr>
            <w:tcW w:w="1334" w:type="pct"/>
            <w:noWrap/>
            <w:vAlign w:val="center"/>
          </w:tcPr>
          <w:p w14:paraId="6345E8F3">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6.8</w:t>
            </w:r>
          </w:p>
        </w:tc>
      </w:tr>
      <w:tr w14:paraId="16E34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36A0132B">
            <w:pPr>
              <w:jc w:val="center"/>
              <w:rPr>
                <w:rFonts w:ascii="Times New Roman" w:hAnsi="Times New Roman" w:cs="Times New Roman" w:eastAsiaTheme="majorEastAsia"/>
                <w:sz w:val="24"/>
                <w:szCs w:val="24"/>
              </w:rPr>
            </w:pPr>
          </w:p>
        </w:tc>
        <w:tc>
          <w:tcPr>
            <w:tcW w:w="1128" w:type="pct"/>
            <w:noWrap/>
            <w:vAlign w:val="center"/>
          </w:tcPr>
          <w:p w14:paraId="1C2E016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SW-XS-9</w:t>
            </w:r>
          </w:p>
        </w:tc>
        <w:tc>
          <w:tcPr>
            <w:tcW w:w="1278" w:type="pct"/>
            <w:noWrap/>
            <w:vAlign w:val="center"/>
          </w:tcPr>
          <w:p w14:paraId="518C9FB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5</w:t>
            </w:r>
            <w:r>
              <w:rPr>
                <w:rFonts w:ascii="Times New Roman" w:hAnsi="Times New Roman" w:cs="Times New Roman" w:eastAsiaTheme="majorEastAsia"/>
                <w:sz w:val="24"/>
                <w:szCs w:val="24"/>
              </w:rPr>
              <w:t>.5</w:t>
            </w:r>
          </w:p>
        </w:tc>
        <w:tc>
          <w:tcPr>
            <w:tcW w:w="1334" w:type="pct"/>
            <w:noWrap/>
            <w:vAlign w:val="center"/>
          </w:tcPr>
          <w:p w14:paraId="6F493CF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7.3</w:t>
            </w:r>
          </w:p>
        </w:tc>
      </w:tr>
      <w:tr w14:paraId="355089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60" w:type="pct"/>
            <w:vMerge w:val="continue"/>
            <w:vAlign w:val="center"/>
          </w:tcPr>
          <w:p w14:paraId="228305C0">
            <w:pPr>
              <w:jc w:val="center"/>
              <w:rPr>
                <w:rFonts w:ascii="Times New Roman" w:hAnsi="Times New Roman" w:cs="Times New Roman" w:eastAsiaTheme="majorEastAsia"/>
                <w:sz w:val="24"/>
                <w:szCs w:val="24"/>
              </w:rPr>
            </w:pPr>
          </w:p>
        </w:tc>
        <w:tc>
          <w:tcPr>
            <w:tcW w:w="1128" w:type="pct"/>
            <w:noWrap/>
            <w:vAlign w:val="center"/>
          </w:tcPr>
          <w:p w14:paraId="05C3B1F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SW-XS-10</w:t>
            </w:r>
          </w:p>
        </w:tc>
        <w:tc>
          <w:tcPr>
            <w:tcW w:w="1278" w:type="pct"/>
            <w:noWrap/>
            <w:vAlign w:val="center"/>
          </w:tcPr>
          <w:p w14:paraId="3A874329">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5.8</w:t>
            </w:r>
          </w:p>
        </w:tc>
        <w:tc>
          <w:tcPr>
            <w:tcW w:w="1334" w:type="pct"/>
            <w:noWrap/>
            <w:vAlign w:val="center"/>
          </w:tcPr>
          <w:p w14:paraId="7B9B02EA">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9</w:t>
            </w: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6</w:t>
            </w:r>
          </w:p>
        </w:tc>
      </w:tr>
    </w:tbl>
    <w:p w14:paraId="07D31883">
      <w:pPr>
        <w:spacing w:line="500" w:lineRule="exact"/>
        <w:rPr>
          <w:rFonts w:asciiTheme="majorEastAsia" w:hAnsiTheme="majorEastAsia" w:eastAsiaTheme="majorEastAsia"/>
          <w:sz w:val="24"/>
          <w:szCs w:val="24"/>
        </w:rPr>
      </w:pPr>
    </w:p>
    <w:p w14:paraId="5BA90F02">
      <w:pPr>
        <w:pStyle w:val="21"/>
        <w:spacing w:before="156" w:after="156"/>
        <w:rPr>
          <w:sz w:val="24"/>
          <w:szCs w:val="24"/>
        </w:rPr>
      </w:pPr>
      <w:r>
        <w:rPr>
          <w:rFonts w:hint="eastAsia"/>
          <w:sz w:val="24"/>
          <w:szCs w:val="24"/>
        </w:rPr>
        <w:t>燃烧性能等级</w:t>
      </w:r>
    </w:p>
    <w:p w14:paraId="46C69908">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本次验证试验样品 10组，工艺稳定成熟，按GB </w:t>
      </w:r>
      <w:r>
        <w:rPr>
          <w:rFonts w:ascii="Times New Roman" w:hAnsi="Times New Roman" w:cs="Times New Roman" w:eastAsiaTheme="majorEastAsia"/>
          <w:sz w:val="24"/>
          <w:szCs w:val="24"/>
        </w:rPr>
        <w:t>8624</w:t>
      </w: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2012</w:t>
      </w:r>
      <w:r>
        <w:rPr>
          <w:rFonts w:hint="eastAsia" w:ascii="Times New Roman" w:hAnsi="Times New Roman" w:cs="Times New Roman" w:eastAsiaTheme="majorEastAsia"/>
          <w:sz w:val="24"/>
          <w:szCs w:val="24"/>
        </w:rPr>
        <w:t>测试标准开展试验，验证试验结果合格率为 100%。</w:t>
      </w:r>
    </w:p>
    <w:p w14:paraId="2BBC69CD">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 xml:space="preserve">表19 </w:t>
      </w:r>
      <w:r>
        <w:rPr>
          <w:rFonts w:hint="eastAsia"/>
          <w:sz w:val="24"/>
          <w:szCs w:val="24"/>
        </w:rPr>
        <w:t>燃烧性能等级</w:t>
      </w:r>
      <w:r>
        <w:rPr>
          <w:rFonts w:hint="eastAsia" w:ascii="Times New Roman" w:hAnsi="Times New Roman" w:cs="Times New Roman"/>
          <w:sz w:val="24"/>
          <w:szCs w:val="24"/>
        </w:rPr>
        <w:t>试验结果</w:t>
      </w:r>
    </w:p>
    <w:tbl>
      <w:tblPr>
        <w:tblStyle w:val="1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92"/>
        <w:gridCol w:w="3253"/>
        <w:gridCol w:w="3283"/>
      </w:tblGrid>
      <w:tr w14:paraId="65794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34" w:type="pct"/>
            <w:noWrap/>
            <w:vAlign w:val="center"/>
          </w:tcPr>
          <w:p w14:paraId="4094D3C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试验方法</w:t>
            </w:r>
          </w:p>
        </w:tc>
        <w:tc>
          <w:tcPr>
            <w:tcW w:w="1725" w:type="pct"/>
            <w:noWrap/>
            <w:vAlign w:val="center"/>
          </w:tcPr>
          <w:p w14:paraId="63D3FA5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序号</w:t>
            </w:r>
          </w:p>
        </w:tc>
        <w:tc>
          <w:tcPr>
            <w:tcW w:w="1741" w:type="pct"/>
            <w:noWrap/>
            <w:vAlign w:val="center"/>
          </w:tcPr>
          <w:p w14:paraId="15643DD4">
            <w:pPr>
              <w:jc w:val="center"/>
              <w:rPr>
                <w:rFonts w:ascii="Times New Roman" w:hAnsi="Times New Roman" w:cs="Times New Roman" w:eastAsiaTheme="majorEastAsia"/>
                <w:sz w:val="24"/>
                <w:szCs w:val="24"/>
              </w:rPr>
            </w:pPr>
            <w:r>
              <w:rPr>
                <w:rFonts w:hint="eastAsia"/>
                <w:sz w:val="24"/>
                <w:szCs w:val="24"/>
              </w:rPr>
              <w:t>燃烧性能等级</w:t>
            </w:r>
          </w:p>
        </w:tc>
      </w:tr>
      <w:tr w14:paraId="29E4A1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34" w:type="pct"/>
            <w:vMerge w:val="restart"/>
            <w:vAlign w:val="center"/>
          </w:tcPr>
          <w:p w14:paraId="79EF06F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GB </w:t>
            </w:r>
            <w:r>
              <w:rPr>
                <w:rFonts w:ascii="Times New Roman" w:hAnsi="Times New Roman" w:cs="Times New Roman" w:eastAsiaTheme="majorEastAsia"/>
                <w:sz w:val="24"/>
                <w:szCs w:val="24"/>
              </w:rPr>
              <w:t>8624</w:t>
            </w: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2012</w:t>
            </w:r>
          </w:p>
        </w:tc>
        <w:tc>
          <w:tcPr>
            <w:tcW w:w="1725" w:type="pct"/>
            <w:noWrap/>
            <w:vAlign w:val="center"/>
          </w:tcPr>
          <w:p w14:paraId="2E76D45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w:t>
            </w:r>
            <w:r>
              <w:rPr>
                <w:rFonts w:ascii="Times New Roman" w:hAnsi="Times New Roman" w:cs="Times New Roman" w:eastAsiaTheme="majorEastAsia"/>
                <w:sz w:val="24"/>
                <w:szCs w:val="24"/>
              </w:rPr>
              <w:t>RS</w:t>
            </w:r>
            <w:r>
              <w:rPr>
                <w:rFonts w:hint="eastAsia" w:ascii="Times New Roman" w:hAnsi="Times New Roman" w:cs="Times New Roman" w:eastAsiaTheme="majorEastAsia"/>
                <w:sz w:val="24"/>
                <w:szCs w:val="24"/>
              </w:rPr>
              <w:t>-1</w:t>
            </w:r>
          </w:p>
        </w:tc>
        <w:tc>
          <w:tcPr>
            <w:tcW w:w="1741" w:type="pct"/>
            <w:noWrap/>
            <w:vAlign w:val="center"/>
          </w:tcPr>
          <w:p w14:paraId="5614212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16219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04A92F67">
            <w:pPr>
              <w:jc w:val="center"/>
              <w:rPr>
                <w:rFonts w:ascii="Times New Roman" w:hAnsi="Times New Roman" w:cs="Times New Roman" w:eastAsiaTheme="majorEastAsia"/>
                <w:sz w:val="24"/>
                <w:szCs w:val="24"/>
              </w:rPr>
            </w:pPr>
          </w:p>
        </w:tc>
        <w:tc>
          <w:tcPr>
            <w:tcW w:w="1725" w:type="pct"/>
            <w:noWrap/>
            <w:vAlign w:val="center"/>
          </w:tcPr>
          <w:p w14:paraId="7BEFC1C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SW-RS-2</w:t>
            </w:r>
          </w:p>
        </w:tc>
        <w:tc>
          <w:tcPr>
            <w:tcW w:w="1741" w:type="pct"/>
            <w:noWrap/>
          </w:tcPr>
          <w:p w14:paraId="14FD953E">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31ABE3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2465E293">
            <w:pPr>
              <w:jc w:val="center"/>
              <w:rPr>
                <w:rFonts w:ascii="Times New Roman" w:hAnsi="Times New Roman" w:cs="Times New Roman" w:eastAsiaTheme="majorEastAsia"/>
                <w:sz w:val="24"/>
                <w:szCs w:val="24"/>
              </w:rPr>
            </w:pPr>
          </w:p>
        </w:tc>
        <w:tc>
          <w:tcPr>
            <w:tcW w:w="1725" w:type="pct"/>
            <w:noWrap/>
            <w:vAlign w:val="center"/>
          </w:tcPr>
          <w:p w14:paraId="55F1D11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SW-RS-3</w:t>
            </w:r>
          </w:p>
        </w:tc>
        <w:tc>
          <w:tcPr>
            <w:tcW w:w="1741" w:type="pct"/>
            <w:noWrap/>
          </w:tcPr>
          <w:p w14:paraId="4ED0DCC6">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3FE64F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14171462">
            <w:pPr>
              <w:jc w:val="center"/>
              <w:rPr>
                <w:rFonts w:ascii="Times New Roman" w:hAnsi="Times New Roman" w:cs="Times New Roman" w:eastAsiaTheme="majorEastAsia"/>
                <w:sz w:val="24"/>
                <w:szCs w:val="24"/>
              </w:rPr>
            </w:pPr>
          </w:p>
        </w:tc>
        <w:tc>
          <w:tcPr>
            <w:tcW w:w="1725" w:type="pct"/>
            <w:noWrap/>
            <w:vAlign w:val="center"/>
          </w:tcPr>
          <w:p w14:paraId="352CF25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SW-RS-4</w:t>
            </w:r>
          </w:p>
        </w:tc>
        <w:tc>
          <w:tcPr>
            <w:tcW w:w="1741" w:type="pct"/>
            <w:noWrap/>
          </w:tcPr>
          <w:p w14:paraId="100FF58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2B2F60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05F03F67">
            <w:pPr>
              <w:jc w:val="center"/>
              <w:rPr>
                <w:rFonts w:ascii="Times New Roman" w:hAnsi="Times New Roman" w:cs="Times New Roman" w:eastAsiaTheme="majorEastAsia"/>
                <w:sz w:val="24"/>
                <w:szCs w:val="24"/>
              </w:rPr>
            </w:pPr>
          </w:p>
        </w:tc>
        <w:tc>
          <w:tcPr>
            <w:tcW w:w="1725" w:type="pct"/>
            <w:noWrap/>
            <w:vAlign w:val="center"/>
          </w:tcPr>
          <w:p w14:paraId="6E56B23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SW-RS-5</w:t>
            </w:r>
          </w:p>
        </w:tc>
        <w:tc>
          <w:tcPr>
            <w:tcW w:w="1741" w:type="pct"/>
            <w:noWrap/>
          </w:tcPr>
          <w:p w14:paraId="79ECC897">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016808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0928638D">
            <w:pPr>
              <w:jc w:val="center"/>
              <w:rPr>
                <w:rFonts w:ascii="Times New Roman" w:hAnsi="Times New Roman" w:cs="Times New Roman" w:eastAsiaTheme="majorEastAsia"/>
                <w:sz w:val="24"/>
                <w:szCs w:val="24"/>
              </w:rPr>
            </w:pPr>
          </w:p>
        </w:tc>
        <w:tc>
          <w:tcPr>
            <w:tcW w:w="1725" w:type="pct"/>
            <w:noWrap/>
            <w:vAlign w:val="center"/>
          </w:tcPr>
          <w:p w14:paraId="5ECEF1C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SW-RS-6</w:t>
            </w:r>
          </w:p>
        </w:tc>
        <w:tc>
          <w:tcPr>
            <w:tcW w:w="1741" w:type="pct"/>
            <w:noWrap/>
          </w:tcPr>
          <w:p w14:paraId="61249523">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4470A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3F7F642A">
            <w:pPr>
              <w:jc w:val="center"/>
              <w:rPr>
                <w:rFonts w:ascii="Times New Roman" w:hAnsi="Times New Roman" w:cs="Times New Roman" w:eastAsiaTheme="majorEastAsia"/>
                <w:sz w:val="24"/>
                <w:szCs w:val="24"/>
              </w:rPr>
            </w:pPr>
          </w:p>
        </w:tc>
        <w:tc>
          <w:tcPr>
            <w:tcW w:w="1725" w:type="pct"/>
            <w:noWrap/>
            <w:vAlign w:val="center"/>
          </w:tcPr>
          <w:p w14:paraId="7D419D27">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SW-RS-7</w:t>
            </w:r>
          </w:p>
        </w:tc>
        <w:tc>
          <w:tcPr>
            <w:tcW w:w="1741" w:type="pct"/>
            <w:noWrap/>
          </w:tcPr>
          <w:p w14:paraId="733D2B1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351EDF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40D9FED5">
            <w:pPr>
              <w:jc w:val="center"/>
              <w:rPr>
                <w:rFonts w:ascii="Times New Roman" w:hAnsi="Times New Roman" w:cs="Times New Roman" w:eastAsiaTheme="majorEastAsia"/>
                <w:sz w:val="24"/>
                <w:szCs w:val="24"/>
              </w:rPr>
            </w:pPr>
          </w:p>
        </w:tc>
        <w:tc>
          <w:tcPr>
            <w:tcW w:w="1725" w:type="pct"/>
            <w:noWrap/>
            <w:vAlign w:val="center"/>
          </w:tcPr>
          <w:p w14:paraId="03E104F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SW-RS-8</w:t>
            </w:r>
          </w:p>
        </w:tc>
        <w:tc>
          <w:tcPr>
            <w:tcW w:w="1741" w:type="pct"/>
            <w:noWrap/>
          </w:tcPr>
          <w:p w14:paraId="68EB321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6B7EE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5DCAEC84">
            <w:pPr>
              <w:jc w:val="center"/>
              <w:rPr>
                <w:rFonts w:ascii="Times New Roman" w:hAnsi="Times New Roman" w:cs="Times New Roman" w:eastAsiaTheme="majorEastAsia"/>
                <w:sz w:val="24"/>
                <w:szCs w:val="24"/>
              </w:rPr>
            </w:pPr>
          </w:p>
        </w:tc>
        <w:tc>
          <w:tcPr>
            <w:tcW w:w="1725" w:type="pct"/>
            <w:noWrap/>
            <w:vAlign w:val="center"/>
          </w:tcPr>
          <w:p w14:paraId="73FB80CC">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SW-RS-9</w:t>
            </w:r>
          </w:p>
        </w:tc>
        <w:tc>
          <w:tcPr>
            <w:tcW w:w="1741" w:type="pct"/>
            <w:noWrap/>
          </w:tcPr>
          <w:p w14:paraId="15678E4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r w14:paraId="6EA292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34" w:type="pct"/>
            <w:vMerge w:val="continue"/>
            <w:vAlign w:val="center"/>
          </w:tcPr>
          <w:p w14:paraId="420F0DC7">
            <w:pPr>
              <w:jc w:val="center"/>
              <w:rPr>
                <w:rFonts w:ascii="Times New Roman" w:hAnsi="Times New Roman" w:cs="Times New Roman" w:eastAsiaTheme="majorEastAsia"/>
                <w:sz w:val="24"/>
                <w:szCs w:val="24"/>
              </w:rPr>
            </w:pPr>
          </w:p>
        </w:tc>
        <w:tc>
          <w:tcPr>
            <w:tcW w:w="1725" w:type="pct"/>
            <w:noWrap/>
            <w:vAlign w:val="center"/>
          </w:tcPr>
          <w:p w14:paraId="36BB5D7B">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SW-RS-10</w:t>
            </w:r>
          </w:p>
        </w:tc>
        <w:tc>
          <w:tcPr>
            <w:tcW w:w="1741" w:type="pct"/>
            <w:noWrap/>
          </w:tcPr>
          <w:p w14:paraId="5868837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A（A2）</w:t>
            </w:r>
          </w:p>
        </w:tc>
      </w:tr>
    </w:tbl>
    <w:p w14:paraId="70E42DD2">
      <w:pPr>
        <w:spacing w:line="500" w:lineRule="exact"/>
        <w:ind w:firstLine="480"/>
        <w:rPr>
          <w:rFonts w:asciiTheme="majorEastAsia" w:hAnsiTheme="majorEastAsia" w:eastAsiaTheme="majorEastAsia"/>
          <w:sz w:val="24"/>
          <w:szCs w:val="24"/>
        </w:rPr>
      </w:pPr>
    </w:p>
    <w:p w14:paraId="29E59F28">
      <w:pPr>
        <w:pStyle w:val="21"/>
        <w:spacing w:before="156" w:after="156"/>
        <w:rPr>
          <w:sz w:val="24"/>
          <w:szCs w:val="24"/>
        </w:rPr>
      </w:pPr>
      <w:r>
        <w:rPr>
          <w:rFonts w:hint="eastAsia"/>
          <w:sz w:val="24"/>
          <w:szCs w:val="24"/>
        </w:rPr>
        <w:t>干燥收缩率</w:t>
      </w:r>
    </w:p>
    <w:p w14:paraId="53CD3F84">
      <w:pPr>
        <w:spacing w:line="360" w:lineRule="auto"/>
        <w:ind w:firstLine="48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本次验证试验样品</w:t>
      </w:r>
      <w:r>
        <w:rPr>
          <w:rFonts w:ascii="Times New Roman" w:hAnsi="Times New Roman" w:cs="Times New Roman" w:eastAsiaTheme="majorEastAsia"/>
          <w:sz w:val="24"/>
          <w:szCs w:val="24"/>
        </w:rPr>
        <w:t>10</w:t>
      </w:r>
      <w:r>
        <w:rPr>
          <w:rFonts w:hint="eastAsia" w:ascii="Times New Roman" w:hAnsi="Times New Roman" w:cs="Times New Roman" w:eastAsiaTheme="majorEastAsia"/>
          <w:sz w:val="24"/>
          <w:szCs w:val="24"/>
        </w:rPr>
        <w:t>组，工艺稳定成熟，按</w:t>
      </w:r>
      <w:r>
        <w:rPr>
          <w:rFonts w:ascii="Times New Roman" w:hAnsi="Times New Roman" w:cs="Times New Roman" w:eastAsiaTheme="majorEastAsia"/>
          <w:sz w:val="24"/>
          <w:szCs w:val="24"/>
        </w:rPr>
        <w:t>JG/T 536-2017</w:t>
      </w:r>
      <w:r>
        <w:rPr>
          <w:rFonts w:hint="eastAsia" w:ascii="Times New Roman" w:hAnsi="Times New Roman" w:cs="Times New Roman" w:eastAsiaTheme="majorEastAsia"/>
          <w:sz w:val="24"/>
          <w:szCs w:val="24"/>
        </w:rPr>
        <w:t>开展试验，验证试验结果合格率为 100%。</w:t>
      </w:r>
    </w:p>
    <w:p w14:paraId="04B522DE">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表20 干燥收缩率试验结果</w:t>
      </w:r>
    </w:p>
    <w:tbl>
      <w:tblPr>
        <w:tblStyle w:val="11"/>
        <w:tblW w:w="478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028"/>
        <w:gridCol w:w="3029"/>
        <w:gridCol w:w="2966"/>
      </w:tblGrid>
      <w:tr w14:paraId="70E22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78" w:type="pct"/>
            <w:noWrap/>
          </w:tcPr>
          <w:p w14:paraId="7083BC78">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试验方法</w:t>
            </w:r>
          </w:p>
        </w:tc>
        <w:tc>
          <w:tcPr>
            <w:tcW w:w="1678" w:type="pct"/>
            <w:noWrap/>
          </w:tcPr>
          <w:p w14:paraId="255EF4CF">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序号</w:t>
            </w:r>
          </w:p>
        </w:tc>
        <w:tc>
          <w:tcPr>
            <w:tcW w:w="1643" w:type="pct"/>
          </w:tcPr>
          <w:p w14:paraId="04359929">
            <w:pPr>
              <w:jc w:val="center"/>
              <w:rPr>
                <w:rFonts w:ascii="Times New Roman" w:hAnsi="Times New Roman" w:cs="Times New Roman" w:eastAsiaTheme="majorEastAsia"/>
                <w:sz w:val="24"/>
                <w:szCs w:val="24"/>
              </w:rPr>
            </w:pPr>
            <w:r>
              <w:rPr>
                <w:rFonts w:hint="eastAsia" w:ascii="Times New Roman" w:hAnsi="Times New Roman" w:cs="Times New Roman"/>
                <w:sz w:val="24"/>
                <w:szCs w:val="24"/>
              </w:rPr>
              <w:t>干燥收缩率</w:t>
            </w: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w:t>
            </w:r>
          </w:p>
        </w:tc>
      </w:tr>
      <w:tr w14:paraId="62100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78" w:type="pct"/>
            <w:vMerge w:val="restart"/>
            <w:vAlign w:val="center"/>
          </w:tcPr>
          <w:p w14:paraId="429B7D91">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JG/T 536-2017</w:t>
            </w:r>
          </w:p>
        </w:tc>
        <w:tc>
          <w:tcPr>
            <w:tcW w:w="1678" w:type="pct"/>
          </w:tcPr>
          <w:p w14:paraId="3F1A552A">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w:t>
            </w:r>
            <w:r>
              <w:rPr>
                <w:rFonts w:ascii="Times New Roman" w:hAnsi="Times New Roman" w:cs="Times New Roman" w:eastAsiaTheme="majorEastAsia"/>
                <w:sz w:val="24"/>
                <w:szCs w:val="24"/>
              </w:rPr>
              <w:t>1</w:t>
            </w:r>
          </w:p>
        </w:tc>
        <w:tc>
          <w:tcPr>
            <w:tcW w:w="1643" w:type="pct"/>
            <w:noWrap/>
          </w:tcPr>
          <w:p w14:paraId="03F18A37">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0.111</w:t>
            </w:r>
          </w:p>
        </w:tc>
      </w:tr>
      <w:tr w14:paraId="719D87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vAlign w:val="center"/>
          </w:tcPr>
          <w:p w14:paraId="5DF189F2">
            <w:pPr>
              <w:jc w:val="center"/>
              <w:rPr>
                <w:rFonts w:ascii="Times New Roman" w:hAnsi="Times New Roman" w:cs="Times New Roman" w:eastAsiaTheme="majorEastAsia"/>
                <w:sz w:val="24"/>
                <w:szCs w:val="24"/>
              </w:rPr>
            </w:pPr>
          </w:p>
        </w:tc>
        <w:tc>
          <w:tcPr>
            <w:tcW w:w="1678" w:type="pct"/>
          </w:tcPr>
          <w:p w14:paraId="68D1611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w:t>
            </w:r>
            <w:r>
              <w:rPr>
                <w:rFonts w:ascii="Times New Roman" w:hAnsi="Times New Roman" w:cs="Times New Roman" w:eastAsiaTheme="majorEastAsia"/>
                <w:sz w:val="24"/>
                <w:szCs w:val="24"/>
              </w:rPr>
              <w:t>2</w:t>
            </w:r>
          </w:p>
        </w:tc>
        <w:tc>
          <w:tcPr>
            <w:tcW w:w="1643" w:type="pct"/>
            <w:noWrap/>
          </w:tcPr>
          <w:p w14:paraId="055886C5">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0.117</w:t>
            </w:r>
          </w:p>
        </w:tc>
      </w:tr>
      <w:tr w14:paraId="499EA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vAlign w:val="center"/>
          </w:tcPr>
          <w:p w14:paraId="55DE56F5">
            <w:pPr>
              <w:jc w:val="center"/>
              <w:rPr>
                <w:rFonts w:ascii="Times New Roman" w:hAnsi="Times New Roman" w:cs="Times New Roman" w:eastAsiaTheme="majorEastAsia"/>
                <w:sz w:val="24"/>
                <w:szCs w:val="24"/>
              </w:rPr>
            </w:pPr>
          </w:p>
        </w:tc>
        <w:tc>
          <w:tcPr>
            <w:tcW w:w="1678" w:type="pct"/>
          </w:tcPr>
          <w:p w14:paraId="5EC5C9F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w:t>
            </w:r>
            <w:r>
              <w:rPr>
                <w:rFonts w:ascii="Times New Roman" w:hAnsi="Times New Roman" w:cs="Times New Roman" w:eastAsiaTheme="majorEastAsia"/>
                <w:sz w:val="24"/>
                <w:szCs w:val="24"/>
              </w:rPr>
              <w:t>3</w:t>
            </w:r>
          </w:p>
        </w:tc>
        <w:tc>
          <w:tcPr>
            <w:tcW w:w="1643" w:type="pct"/>
            <w:noWrap/>
          </w:tcPr>
          <w:p w14:paraId="5553B09C">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0.128</w:t>
            </w:r>
          </w:p>
        </w:tc>
      </w:tr>
      <w:tr w14:paraId="760E89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vAlign w:val="center"/>
          </w:tcPr>
          <w:p w14:paraId="02A9CEB1">
            <w:pPr>
              <w:jc w:val="center"/>
              <w:rPr>
                <w:rFonts w:ascii="Times New Roman" w:hAnsi="Times New Roman" w:cs="Times New Roman" w:eastAsiaTheme="majorEastAsia"/>
                <w:sz w:val="24"/>
                <w:szCs w:val="24"/>
              </w:rPr>
            </w:pPr>
          </w:p>
        </w:tc>
        <w:tc>
          <w:tcPr>
            <w:tcW w:w="1678" w:type="pct"/>
          </w:tcPr>
          <w:p w14:paraId="0A88C27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SW-SS-4</w:t>
            </w:r>
          </w:p>
        </w:tc>
        <w:tc>
          <w:tcPr>
            <w:tcW w:w="1643" w:type="pct"/>
            <w:noWrap/>
          </w:tcPr>
          <w:p w14:paraId="4A93A3F2">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0.062</w:t>
            </w:r>
          </w:p>
        </w:tc>
      </w:tr>
      <w:tr w14:paraId="42ADF4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52D74C6F">
            <w:pPr>
              <w:jc w:val="center"/>
              <w:rPr>
                <w:rFonts w:ascii="Times New Roman" w:hAnsi="Times New Roman" w:cs="Times New Roman" w:eastAsiaTheme="majorEastAsia"/>
                <w:sz w:val="24"/>
                <w:szCs w:val="24"/>
              </w:rPr>
            </w:pPr>
          </w:p>
        </w:tc>
        <w:tc>
          <w:tcPr>
            <w:tcW w:w="1678" w:type="pct"/>
          </w:tcPr>
          <w:p w14:paraId="154239C5">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SW-SS-5</w:t>
            </w:r>
          </w:p>
        </w:tc>
        <w:tc>
          <w:tcPr>
            <w:tcW w:w="1643" w:type="pct"/>
            <w:noWrap/>
          </w:tcPr>
          <w:p w14:paraId="75F206AF">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0.016</w:t>
            </w:r>
          </w:p>
        </w:tc>
      </w:tr>
      <w:tr w14:paraId="1FF61B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19157F8D">
            <w:pPr>
              <w:jc w:val="center"/>
              <w:rPr>
                <w:rFonts w:ascii="Times New Roman" w:hAnsi="Times New Roman" w:cs="Times New Roman" w:eastAsiaTheme="majorEastAsia"/>
                <w:sz w:val="24"/>
                <w:szCs w:val="24"/>
              </w:rPr>
            </w:pPr>
          </w:p>
        </w:tc>
        <w:tc>
          <w:tcPr>
            <w:tcW w:w="1678" w:type="pct"/>
          </w:tcPr>
          <w:p w14:paraId="7D5BFDE2">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SW-SS-6</w:t>
            </w:r>
          </w:p>
        </w:tc>
        <w:tc>
          <w:tcPr>
            <w:tcW w:w="1643" w:type="pct"/>
            <w:noWrap/>
          </w:tcPr>
          <w:p w14:paraId="4CE2BE0E">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0.259</w:t>
            </w:r>
          </w:p>
        </w:tc>
      </w:tr>
      <w:tr w14:paraId="54557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79C3CE63">
            <w:pPr>
              <w:jc w:val="center"/>
              <w:rPr>
                <w:rFonts w:ascii="Times New Roman" w:hAnsi="Times New Roman" w:cs="Times New Roman" w:eastAsiaTheme="majorEastAsia"/>
                <w:sz w:val="24"/>
                <w:szCs w:val="24"/>
              </w:rPr>
            </w:pPr>
          </w:p>
        </w:tc>
        <w:tc>
          <w:tcPr>
            <w:tcW w:w="1678" w:type="pct"/>
          </w:tcPr>
          <w:p w14:paraId="14C7F301">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SW-SS-7</w:t>
            </w:r>
          </w:p>
        </w:tc>
        <w:tc>
          <w:tcPr>
            <w:tcW w:w="1643" w:type="pct"/>
            <w:noWrap/>
          </w:tcPr>
          <w:p w14:paraId="2B8ACDC3">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0.019</w:t>
            </w:r>
          </w:p>
        </w:tc>
      </w:tr>
      <w:tr w14:paraId="4281C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38BEA1EC">
            <w:pPr>
              <w:jc w:val="center"/>
              <w:rPr>
                <w:rFonts w:ascii="Times New Roman" w:hAnsi="Times New Roman" w:cs="Times New Roman" w:eastAsiaTheme="majorEastAsia"/>
                <w:sz w:val="24"/>
                <w:szCs w:val="24"/>
              </w:rPr>
            </w:pPr>
          </w:p>
        </w:tc>
        <w:tc>
          <w:tcPr>
            <w:tcW w:w="1678" w:type="pct"/>
          </w:tcPr>
          <w:p w14:paraId="0B5C3230">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SW-SS-8</w:t>
            </w:r>
          </w:p>
        </w:tc>
        <w:tc>
          <w:tcPr>
            <w:tcW w:w="1643" w:type="pct"/>
            <w:noWrap/>
          </w:tcPr>
          <w:p w14:paraId="4672C782">
            <w:pPr>
              <w:jc w:val="center"/>
              <w:rPr>
                <w:rFonts w:ascii="Times New Roman" w:hAnsi="Times New Roman" w:cs="Times New Roman" w:eastAsiaTheme="majorEastAsia"/>
                <w:sz w:val="24"/>
                <w:szCs w:val="24"/>
              </w:rPr>
            </w:pPr>
            <w:r>
              <w:rPr>
                <w:rFonts w:ascii="Times New Roman" w:hAnsi="Times New Roman" w:cs="Times New Roman" w:eastAsiaTheme="majorEastAsia"/>
                <w:sz w:val="24"/>
                <w:szCs w:val="24"/>
              </w:rPr>
              <w:t>0.151</w:t>
            </w:r>
          </w:p>
        </w:tc>
      </w:tr>
      <w:tr w14:paraId="3D544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56AD9371">
            <w:pPr>
              <w:jc w:val="center"/>
              <w:rPr>
                <w:rFonts w:ascii="Times New Roman" w:hAnsi="Times New Roman" w:cs="Times New Roman" w:eastAsiaTheme="majorEastAsia"/>
                <w:sz w:val="24"/>
                <w:szCs w:val="24"/>
              </w:rPr>
            </w:pPr>
          </w:p>
        </w:tc>
        <w:tc>
          <w:tcPr>
            <w:tcW w:w="1678" w:type="pct"/>
          </w:tcPr>
          <w:p w14:paraId="5BFE38BB">
            <w:pPr>
              <w:jc w:val="center"/>
              <w:rPr>
                <w:rFonts w:hint="eastAsia"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w:t>
            </w:r>
            <w:r>
              <w:rPr>
                <w:rFonts w:ascii="Times New Roman" w:hAnsi="Times New Roman" w:cs="Times New Roman" w:eastAsiaTheme="majorEastAsia"/>
                <w:sz w:val="24"/>
                <w:szCs w:val="24"/>
              </w:rPr>
              <w:t>9</w:t>
            </w:r>
          </w:p>
        </w:tc>
        <w:tc>
          <w:tcPr>
            <w:tcW w:w="1643" w:type="pct"/>
            <w:noWrap/>
          </w:tcPr>
          <w:p w14:paraId="42D3403D">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w:t>
            </w:r>
            <w:r>
              <w:rPr>
                <w:rFonts w:ascii="Times New Roman" w:hAnsi="Times New Roman" w:cs="Times New Roman" w:eastAsiaTheme="majorEastAsia"/>
                <w:sz w:val="24"/>
                <w:szCs w:val="24"/>
              </w:rPr>
              <w:t>.244</w:t>
            </w:r>
          </w:p>
        </w:tc>
      </w:tr>
      <w:tr w14:paraId="4E3CAF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8" w:type="pct"/>
            <w:vMerge w:val="continue"/>
          </w:tcPr>
          <w:p w14:paraId="7B9387BC">
            <w:pPr>
              <w:jc w:val="center"/>
              <w:rPr>
                <w:rFonts w:ascii="Times New Roman" w:hAnsi="Times New Roman" w:cs="Times New Roman" w:eastAsiaTheme="majorEastAsia"/>
                <w:sz w:val="24"/>
                <w:szCs w:val="24"/>
              </w:rPr>
            </w:pPr>
          </w:p>
        </w:tc>
        <w:tc>
          <w:tcPr>
            <w:tcW w:w="1678" w:type="pct"/>
          </w:tcPr>
          <w:p w14:paraId="65CB2C09">
            <w:pPr>
              <w:jc w:val="center"/>
              <w:rPr>
                <w:rFonts w:hint="eastAsia" w:ascii="Times New Roman" w:hAnsi="Times New Roman" w:cs="Times New Roman" w:eastAsiaTheme="majorEastAsia"/>
                <w:sz w:val="24"/>
                <w:szCs w:val="24"/>
              </w:rPr>
            </w:pPr>
            <w:r>
              <w:rPr>
                <w:rFonts w:hint="eastAsia" w:ascii="Times New Roman" w:hAnsi="Times New Roman" w:cs="Times New Roman" w:eastAsiaTheme="majorEastAsia"/>
                <w:sz w:val="24"/>
                <w:szCs w:val="24"/>
              </w:rPr>
              <w:t>SW-SS-</w:t>
            </w:r>
            <w:r>
              <w:rPr>
                <w:rFonts w:ascii="Times New Roman" w:hAnsi="Times New Roman" w:cs="Times New Roman" w:eastAsiaTheme="majorEastAsia"/>
                <w:sz w:val="24"/>
                <w:szCs w:val="24"/>
              </w:rPr>
              <w:t>10</w:t>
            </w:r>
          </w:p>
        </w:tc>
        <w:tc>
          <w:tcPr>
            <w:tcW w:w="1643" w:type="pct"/>
            <w:noWrap/>
          </w:tcPr>
          <w:p w14:paraId="3E654609">
            <w:pPr>
              <w:jc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0</w:t>
            </w:r>
            <w:r>
              <w:rPr>
                <w:rFonts w:ascii="Times New Roman" w:hAnsi="Times New Roman" w:cs="Times New Roman" w:eastAsiaTheme="majorEastAsia"/>
                <w:sz w:val="24"/>
                <w:szCs w:val="24"/>
              </w:rPr>
              <w:t>.197</w:t>
            </w:r>
          </w:p>
        </w:tc>
      </w:tr>
    </w:tbl>
    <w:p w14:paraId="46F231BE">
      <w:pPr>
        <w:numPr>
          <w:ilvl w:val="0"/>
          <w:numId w:val="0"/>
        </w:numPr>
        <w:spacing w:line="500" w:lineRule="exact"/>
        <w:rPr>
          <w:rFonts w:hint="eastAsia" w:asciiTheme="majorEastAsia" w:hAnsiTheme="majorEastAsia" w:eastAsiaTheme="majorEastAsia"/>
          <w:sz w:val="24"/>
          <w:szCs w:val="24"/>
          <w:lang w:eastAsia="zh-CN"/>
        </w:rPr>
      </w:pPr>
    </w:p>
    <w:p w14:paraId="11DFD7B3">
      <w:pPr>
        <w:pStyle w:val="20"/>
        <w:spacing w:before="312" w:after="312"/>
        <w:ind w:left="0"/>
        <w:rPr>
          <w:sz w:val="28"/>
          <w:szCs w:val="28"/>
        </w:rPr>
      </w:pPr>
      <w:bookmarkStart w:id="107" w:name="_Toc28637"/>
      <w:r>
        <w:rPr>
          <w:rFonts w:hint="eastAsia"/>
          <w:sz w:val="28"/>
          <w:szCs w:val="28"/>
        </w:rPr>
        <w:t>标准中涉及专利情况说明</w:t>
      </w:r>
      <w:bookmarkEnd w:id="107"/>
    </w:p>
    <w:p w14:paraId="78F9ACE9">
      <w:pPr>
        <w:spacing w:line="460" w:lineRule="exact"/>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经检索，本标准所列技术内容</w:t>
      </w:r>
      <w:r>
        <w:rPr>
          <w:rFonts w:hint="eastAsia" w:cs="Times New Roman" w:asciiTheme="majorEastAsia" w:hAnsiTheme="majorEastAsia" w:eastAsiaTheme="majorEastAsia"/>
          <w:sz w:val="24"/>
          <w:szCs w:val="24"/>
          <w:lang w:val="en-US" w:eastAsia="zh-CN"/>
        </w:rPr>
        <w:t>不</w:t>
      </w:r>
      <w:r>
        <w:rPr>
          <w:rFonts w:hint="eastAsia" w:cs="Times New Roman" w:asciiTheme="majorEastAsia" w:hAnsiTheme="majorEastAsia" w:eastAsiaTheme="majorEastAsia"/>
          <w:sz w:val="24"/>
          <w:szCs w:val="24"/>
        </w:rPr>
        <w:t>涉及专利和知识产权等情况。</w:t>
      </w:r>
    </w:p>
    <w:p w14:paraId="6E755F13">
      <w:pPr>
        <w:pStyle w:val="20"/>
        <w:spacing w:before="312" w:after="312"/>
        <w:ind w:left="0"/>
        <w:rPr>
          <w:sz w:val="28"/>
          <w:szCs w:val="28"/>
        </w:rPr>
      </w:pPr>
      <w:bookmarkStart w:id="108" w:name="_Toc12449"/>
      <w:r>
        <w:rPr>
          <w:rFonts w:hint="eastAsia"/>
          <w:sz w:val="28"/>
          <w:szCs w:val="28"/>
        </w:rPr>
        <w:t>产业化情况和预期达到的经济效果等情况</w:t>
      </w:r>
      <w:bookmarkEnd w:id="108"/>
    </w:p>
    <w:p w14:paraId="38558BBE">
      <w:pPr>
        <w:spacing w:line="460" w:lineRule="exact"/>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该技术已应用在属于夏热冬冷地区的杨浦区江浦社区R—09地块、自贸区临港新片区PDCI-0302单元06-02地块、普陀区石泉社区W060402单元B3-2地块等二十余个项目，项目实施状况良好。参加单位上海圣奎塑业有限公司在硅墨烯保温板制品、保温系统以及配件等方面的年均营业额为1.5亿人民币，硅墨烯保温板产能稳定充足，年均产能超6万立方米。</w:t>
      </w:r>
      <w:r>
        <w:rPr>
          <w:rFonts w:asciiTheme="majorEastAsia" w:hAnsiTheme="majorEastAsia" w:eastAsiaTheme="majorEastAsia"/>
          <w:sz w:val="24"/>
          <w:szCs w:val="24"/>
        </w:rPr>
        <w:t>　</w:t>
      </w:r>
    </w:p>
    <w:p w14:paraId="2D85F658">
      <w:pPr>
        <w:pStyle w:val="20"/>
        <w:spacing w:before="312" w:after="312"/>
        <w:ind w:left="0"/>
        <w:rPr>
          <w:sz w:val="28"/>
          <w:szCs w:val="28"/>
        </w:rPr>
      </w:pPr>
      <w:bookmarkStart w:id="109" w:name="_Toc18303"/>
      <w:r>
        <w:rPr>
          <w:rFonts w:hint="eastAsia"/>
          <w:sz w:val="28"/>
          <w:szCs w:val="28"/>
        </w:rPr>
        <w:t>采用国际标准和国外先进标准情况</w:t>
      </w:r>
      <w:bookmarkEnd w:id="109"/>
    </w:p>
    <w:p w14:paraId="35524B0F">
      <w:pPr>
        <w:spacing w:line="460" w:lineRule="exact"/>
        <w:ind w:firstLine="480" w:firstLineChars="200"/>
        <w:rPr>
          <w:rFonts w:asciiTheme="majorEastAsia" w:hAnsiTheme="majorEastAsia" w:eastAsiaTheme="majorEastAsia"/>
          <w:bCs/>
          <w:sz w:val="24"/>
          <w:szCs w:val="24"/>
        </w:rPr>
      </w:pPr>
      <w:r>
        <w:rPr>
          <w:rFonts w:hint="eastAsia" w:cs="Times New Roman" w:asciiTheme="majorEastAsia" w:hAnsiTheme="majorEastAsia" w:eastAsiaTheme="majorEastAsia"/>
          <w:bCs/>
          <w:sz w:val="24"/>
          <w:szCs w:val="24"/>
        </w:rPr>
        <w:t>国际上目前没有</w:t>
      </w:r>
      <w:r>
        <w:rPr>
          <w:rFonts w:hint="eastAsia" w:asciiTheme="majorEastAsia" w:hAnsiTheme="majorEastAsia" w:eastAsiaTheme="majorEastAsia"/>
          <w:sz w:val="24"/>
          <w:szCs w:val="24"/>
        </w:rPr>
        <w:t>集成外保温墙板的具体</w:t>
      </w:r>
      <w:r>
        <w:rPr>
          <w:rFonts w:hint="eastAsia" w:cs="Times New Roman" w:asciiTheme="majorEastAsia" w:hAnsiTheme="majorEastAsia" w:eastAsiaTheme="majorEastAsia"/>
          <w:bCs/>
          <w:sz w:val="24"/>
          <w:szCs w:val="24"/>
        </w:rPr>
        <w:t>标准，</w:t>
      </w:r>
      <w:r>
        <w:rPr>
          <w:rFonts w:hint="eastAsia" w:asciiTheme="majorEastAsia" w:hAnsiTheme="majorEastAsia" w:eastAsiaTheme="majorEastAsia"/>
          <w:sz w:val="24"/>
          <w:szCs w:val="24"/>
        </w:rPr>
        <w:t>本</w:t>
      </w:r>
      <w:r>
        <w:rPr>
          <w:rFonts w:hint="eastAsia" w:cs="Times New Roman" w:asciiTheme="majorEastAsia" w:hAnsiTheme="majorEastAsia" w:eastAsiaTheme="majorEastAsia"/>
          <w:bCs/>
          <w:sz w:val="24"/>
          <w:szCs w:val="24"/>
        </w:rPr>
        <w:t>标准未采纳国外标准。</w:t>
      </w:r>
    </w:p>
    <w:p w14:paraId="0CF101B3">
      <w:pPr>
        <w:pStyle w:val="20"/>
        <w:spacing w:before="312" w:after="312"/>
        <w:ind w:left="0"/>
        <w:rPr>
          <w:sz w:val="28"/>
          <w:szCs w:val="28"/>
        </w:rPr>
      </w:pPr>
      <w:bookmarkStart w:id="110" w:name="_Toc30102"/>
      <w:r>
        <w:rPr>
          <w:rFonts w:hint="eastAsia"/>
          <w:sz w:val="28"/>
          <w:szCs w:val="28"/>
        </w:rPr>
        <w:t>与现行相关法律、法规、规章及相关标准的协调性</w:t>
      </w:r>
      <w:bookmarkEnd w:id="110"/>
    </w:p>
    <w:p w14:paraId="7F47E08B">
      <w:pPr>
        <w:snapToGrid w:val="0"/>
        <w:spacing w:line="460" w:lineRule="exact"/>
        <w:ind w:firstLine="424" w:firstLineChars="177"/>
        <w:rPr>
          <w:rFonts w:asciiTheme="majorEastAsia" w:hAnsiTheme="majorEastAsia" w:eastAsiaTheme="majorEastAsia"/>
          <w:sz w:val="24"/>
          <w:szCs w:val="24"/>
        </w:rPr>
      </w:pPr>
      <w:r>
        <w:rPr>
          <w:rFonts w:hint="eastAsia" w:asciiTheme="majorEastAsia" w:hAnsiTheme="majorEastAsia" w:eastAsiaTheme="majorEastAsia"/>
          <w:sz w:val="24"/>
          <w:szCs w:val="24"/>
        </w:rPr>
        <w:t>行业标准《外墙外保温工程技术标准（JGJ 144-2019）》主要针对传统粘锚结合薄抹灰外保温体系，本标准对象为集成保温，按照“机械锚固为主，粘结为安全保险”的原则进行材料、设计、生产、施工等内容编制，与传统粘锚结合外保温体系有本质区别，同时也新增了连接件的设计计算要求、显著提升了连接件材料性能和检测指标。《外墙外保温建筑构造图集》10J121图集属于建筑外围护结构范畴，在保温构造、预制构件连接方面有共同之处。因此，本标准在编制过程中局部借鉴或采用这本标准。</w:t>
      </w:r>
    </w:p>
    <w:p w14:paraId="048A1031">
      <w:pPr>
        <w:pStyle w:val="20"/>
        <w:spacing w:before="312" w:after="312"/>
        <w:ind w:left="0"/>
        <w:rPr>
          <w:sz w:val="28"/>
          <w:szCs w:val="28"/>
        </w:rPr>
      </w:pPr>
      <w:bookmarkStart w:id="111" w:name="_Toc22697"/>
      <w:r>
        <w:rPr>
          <w:rFonts w:hint="eastAsia"/>
          <w:sz w:val="28"/>
          <w:szCs w:val="28"/>
        </w:rPr>
        <w:t>重大分歧意见的处理经过和依据</w:t>
      </w:r>
      <w:bookmarkEnd w:id="111"/>
    </w:p>
    <w:p w14:paraId="769BE730">
      <w:pPr>
        <w:snapToGrid w:val="0"/>
        <w:spacing w:line="460" w:lineRule="exact"/>
        <w:ind w:firstLine="424" w:firstLineChars="177"/>
        <w:rPr>
          <w:rFonts w:asciiTheme="majorEastAsia" w:hAnsiTheme="majorEastAsia" w:eastAsiaTheme="majorEastAsia"/>
          <w:sz w:val="24"/>
          <w:szCs w:val="24"/>
        </w:rPr>
      </w:pPr>
      <w:r>
        <w:rPr>
          <w:rFonts w:hint="eastAsia" w:asciiTheme="majorEastAsia" w:hAnsiTheme="majorEastAsia" w:eastAsiaTheme="majorEastAsia"/>
          <w:sz w:val="24"/>
          <w:szCs w:val="24"/>
        </w:rPr>
        <w:t>标准编制过程中，广泛征求了行业内专家、相关单位的意见和建议，各方通过标准工作会、视频会议、电子邮件等形式对标准的适用范围、产品分类、检验项目、技术指标等进行了深入沟通和探讨，通过对不明确的检验项目进行验证试验，最终对标准指标要求达成一致。编制过程中，各方对该标准内容未产生重大分歧。</w:t>
      </w:r>
    </w:p>
    <w:p w14:paraId="2947A3C9">
      <w:pPr>
        <w:pStyle w:val="20"/>
        <w:spacing w:before="312" w:after="312"/>
        <w:ind w:left="0"/>
        <w:rPr>
          <w:sz w:val="28"/>
          <w:szCs w:val="28"/>
        </w:rPr>
      </w:pPr>
      <w:bookmarkStart w:id="112" w:name="_Toc22297"/>
      <w:r>
        <w:rPr>
          <w:rFonts w:hint="eastAsia"/>
          <w:sz w:val="28"/>
          <w:szCs w:val="28"/>
        </w:rPr>
        <w:t>标准性质的建议说明</w:t>
      </w:r>
      <w:bookmarkEnd w:id="112"/>
    </w:p>
    <w:p w14:paraId="40DDEA11">
      <w:pPr>
        <w:snapToGrid w:val="0"/>
        <w:spacing w:line="460" w:lineRule="exact"/>
        <w:ind w:firstLine="424" w:firstLineChars="177"/>
        <w:rPr>
          <w:rFonts w:asciiTheme="majorEastAsia" w:hAnsiTheme="majorEastAsia" w:eastAsiaTheme="majorEastAsia"/>
          <w:sz w:val="24"/>
          <w:szCs w:val="24"/>
        </w:rPr>
      </w:pPr>
      <w:r>
        <w:rPr>
          <w:rFonts w:hint="eastAsia" w:asciiTheme="majorEastAsia" w:hAnsiTheme="majorEastAsia" w:eastAsiaTheme="majorEastAsia"/>
          <w:sz w:val="24"/>
          <w:szCs w:val="24"/>
        </w:rPr>
        <w:t>建议《</w:t>
      </w:r>
      <w:r>
        <w:rPr>
          <w:rFonts w:hint="eastAsia" w:cs="Times New Roman" w:asciiTheme="majorEastAsia" w:hAnsiTheme="majorEastAsia" w:eastAsiaTheme="majorEastAsia"/>
          <w:bCs/>
          <w:sz w:val="24"/>
          <w:szCs w:val="24"/>
        </w:rPr>
        <w:t>夏热冬冷地区集成保温外墙板应用技术规程</w:t>
      </w:r>
      <w:r>
        <w:rPr>
          <w:rFonts w:hint="eastAsia" w:asciiTheme="majorEastAsia" w:hAnsiTheme="majorEastAsia" w:eastAsiaTheme="majorEastAsia"/>
          <w:sz w:val="24"/>
          <w:szCs w:val="24"/>
        </w:rPr>
        <w:t>》作为推荐性产品标准发布实施。</w:t>
      </w:r>
    </w:p>
    <w:p w14:paraId="1BC221E8">
      <w:pPr>
        <w:pStyle w:val="20"/>
        <w:spacing w:before="312" w:after="312"/>
        <w:ind w:left="0"/>
        <w:rPr>
          <w:sz w:val="28"/>
          <w:szCs w:val="28"/>
        </w:rPr>
      </w:pPr>
      <w:bookmarkStart w:id="113" w:name="_Toc21954"/>
      <w:r>
        <w:rPr>
          <w:rFonts w:hint="eastAsia"/>
          <w:sz w:val="28"/>
          <w:szCs w:val="28"/>
        </w:rPr>
        <w:t>贯彻标准的要求和措施建议</w:t>
      </w:r>
      <w:bookmarkEnd w:id="113"/>
    </w:p>
    <w:p w14:paraId="1E1B1E58">
      <w:pPr>
        <w:snapToGrid w:val="0"/>
        <w:spacing w:line="460" w:lineRule="exact"/>
        <w:ind w:firstLine="424" w:firstLineChars="177"/>
        <w:rPr>
          <w:rFonts w:asciiTheme="majorEastAsia" w:hAnsiTheme="majorEastAsia" w:eastAsiaTheme="majorEastAsia"/>
          <w:sz w:val="24"/>
          <w:szCs w:val="24"/>
        </w:rPr>
      </w:pPr>
      <w:r>
        <w:rPr>
          <w:rFonts w:hint="eastAsia" w:asciiTheme="majorEastAsia" w:hAnsiTheme="majorEastAsia" w:eastAsiaTheme="majorEastAsia"/>
          <w:sz w:val="24"/>
          <w:szCs w:val="24"/>
        </w:rPr>
        <w:t>建议标准尽快实施。</w:t>
      </w:r>
    </w:p>
    <w:p w14:paraId="66C8F713">
      <w:pPr>
        <w:pStyle w:val="20"/>
        <w:spacing w:before="312" w:after="312"/>
        <w:ind w:left="0"/>
        <w:rPr>
          <w:sz w:val="28"/>
          <w:szCs w:val="28"/>
        </w:rPr>
      </w:pPr>
      <w:bookmarkStart w:id="114" w:name="_Toc22795"/>
      <w:r>
        <w:rPr>
          <w:rFonts w:hint="eastAsia"/>
          <w:sz w:val="28"/>
          <w:szCs w:val="28"/>
        </w:rPr>
        <w:t>废止现行相关标准的建议</w:t>
      </w:r>
      <w:bookmarkEnd w:id="114"/>
    </w:p>
    <w:p w14:paraId="012ED456">
      <w:pPr>
        <w:snapToGrid w:val="0"/>
        <w:spacing w:line="460" w:lineRule="exact"/>
        <w:ind w:firstLine="424" w:firstLineChars="177"/>
        <w:rPr>
          <w:rFonts w:asciiTheme="majorEastAsia" w:hAnsiTheme="majorEastAsia" w:eastAsiaTheme="majorEastAsia"/>
          <w:sz w:val="24"/>
          <w:szCs w:val="24"/>
        </w:rPr>
      </w:pPr>
      <w:r>
        <w:rPr>
          <w:rFonts w:hint="eastAsia" w:asciiTheme="majorEastAsia" w:hAnsiTheme="majorEastAsia" w:eastAsiaTheme="majorEastAsia"/>
          <w:sz w:val="24"/>
          <w:szCs w:val="24"/>
        </w:rPr>
        <w:t>无。</w:t>
      </w:r>
    </w:p>
    <w:p w14:paraId="7EDC5516">
      <w:pPr>
        <w:pStyle w:val="20"/>
        <w:spacing w:before="312" w:after="312"/>
        <w:ind w:left="0"/>
        <w:rPr>
          <w:sz w:val="28"/>
          <w:szCs w:val="28"/>
        </w:rPr>
      </w:pPr>
      <w:bookmarkStart w:id="115" w:name="_Toc18902"/>
      <w:r>
        <w:rPr>
          <w:rFonts w:hint="eastAsia"/>
          <w:sz w:val="28"/>
          <w:szCs w:val="28"/>
        </w:rPr>
        <w:t>其它应予说明的事项</w:t>
      </w:r>
      <w:bookmarkEnd w:id="115"/>
    </w:p>
    <w:p w14:paraId="312C7317">
      <w:pPr>
        <w:snapToGrid w:val="0"/>
        <w:spacing w:line="460" w:lineRule="exact"/>
        <w:ind w:firstLine="424" w:firstLineChars="177"/>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无其他说明事项。</w:t>
      </w:r>
    </w:p>
    <w:p w14:paraId="34195725">
      <w:pPr>
        <w:rPr>
          <w:rFonts w:hint="eastAsia" w:asciiTheme="majorEastAsia" w:hAnsiTheme="majorEastAsia" w:eastAsiaTheme="majorEastAsia"/>
          <w:sz w:val="24"/>
          <w:szCs w:val="24"/>
        </w:rPr>
      </w:pPr>
      <w:r>
        <w:rPr>
          <w:rFonts w:hint="eastAsia" w:asciiTheme="majorEastAsia" w:hAnsiTheme="majorEastAsia" w:eastAsiaTheme="majorEastAsia"/>
          <w:sz w:val="24"/>
          <w:szCs w:val="24"/>
        </w:rPr>
        <w:br w:type="page"/>
      </w:r>
    </w:p>
    <w:p w14:paraId="6FBF0D4B">
      <w:pPr>
        <w:snapToGrid w:val="0"/>
        <w:spacing w:line="460" w:lineRule="exact"/>
        <w:ind w:firstLine="424" w:firstLineChars="177"/>
        <w:rPr>
          <w:rFonts w:hint="eastAsia" w:asciiTheme="majorEastAsia" w:hAnsiTheme="majorEastAsia" w:eastAsiaTheme="majorEastAsia"/>
          <w:sz w:val="24"/>
          <w:szCs w:val="24"/>
        </w:rPr>
        <w:sectPr>
          <w:footerReference r:id="rId6" w:type="first"/>
          <w:footerReference r:id="rId5" w:type="default"/>
          <w:pgSz w:w="11906" w:h="16838"/>
          <w:pgMar w:top="1474" w:right="1276" w:bottom="1440" w:left="1418" w:header="851" w:footer="992" w:gutter="0"/>
          <w:pgNumType w:start="1"/>
          <w:cols w:space="425" w:num="1"/>
          <w:titlePg/>
          <w:docGrid w:type="linesAndChars" w:linePitch="312" w:charSpace="0"/>
        </w:sectPr>
      </w:pPr>
    </w:p>
    <w:p w14:paraId="5A804084">
      <w:pPr>
        <w:spacing w:line="500" w:lineRule="exact"/>
        <w:rPr>
          <w:rFonts w:hint="eastAsia" w:ascii="黑体" w:hAnsi="Times New Roman" w:eastAsia="黑体" w:cs="Times New Roman"/>
          <w:kern w:val="0"/>
          <w:sz w:val="28"/>
          <w:szCs w:val="28"/>
          <w:lang w:val="en-US" w:eastAsia="zh-CN" w:bidi="ar-SA"/>
        </w:rPr>
      </w:pPr>
      <w:r>
        <w:rPr>
          <w:rFonts w:hint="eastAsia" w:ascii="黑体" w:hAnsi="Times New Roman" w:eastAsia="黑体" w:cs="Times New Roman"/>
          <w:kern w:val="0"/>
          <w:sz w:val="28"/>
          <w:szCs w:val="28"/>
          <w:lang w:val="en-US" w:eastAsia="zh-CN" w:bidi="ar-SA"/>
        </w:rPr>
        <w:t>附件1：《夏热冬冷地区集成保温外墙板应用技术规范》与相关标准技术指标对比</w:t>
      </w:r>
    </w:p>
    <w:p w14:paraId="1DF30DAC">
      <w:pPr>
        <w:spacing w:line="500" w:lineRule="exact"/>
        <w:jc w:val="center"/>
        <w:rPr>
          <w:rFonts w:hint="eastAsia" w:ascii="黑体" w:hAnsi="Times New Roman" w:eastAsia="黑体" w:cs="Times New Roman"/>
          <w:kern w:val="0"/>
          <w:sz w:val="28"/>
          <w:szCs w:val="28"/>
          <w:lang w:val="en-US" w:eastAsia="zh-CN" w:bidi="ar-SA"/>
        </w:rPr>
      </w:pPr>
      <w:r>
        <w:rPr>
          <w:rFonts w:hint="eastAsia" w:ascii="黑体" w:hAnsi="Times New Roman" w:eastAsia="黑体" w:cs="Times New Roman"/>
          <w:kern w:val="0"/>
          <w:sz w:val="21"/>
          <w:szCs w:val="21"/>
          <w:lang w:val="en-US" w:eastAsia="zh-CN" w:bidi="ar-SA"/>
        </w:rPr>
        <w:t>表21：《夏热冬冷地区集成保温外墙板应用技术规范》与相关标准技术指标对比</w:t>
      </w:r>
    </w:p>
    <w:tbl>
      <w:tblPr>
        <w:tblStyle w:val="11"/>
        <w:tblW w:w="4906" w:type="pct"/>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3"/>
        <w:gridCol w:w="1647"/>
        <w:gridCol w:w="2331"/>
        <w:gridCol w:w="2723"/>
        <w:gridCol w:w="2123"/>
        <w:gridCol w:w="2150"/>
        <w:gridCol w:w="1787"/>
      </w:tblGrid>
      <w:tr w14:paraId="2929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69117AEF">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项目</w:t>
            </w:r>
          </w:p>
        </w:tc>
        <w:tc>
          <w:tcPr>
            <w:tcW w:w="563" w:type="pct"/>
            <w:vAlign w:val="center"/>
          </w:tcPr>
          <w:p w14:paraId="63AB4123">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本文件</w:t>
            </w:r>
          </w:p>
        </w:tc>
        <w:tc>
          <w:tcPr>
            <w:tcW w:w="797" w:type="pct"/>
            <w:vAlign w:val="center"/>
          </w:tcPr>
          <w:p w14:paraId="0A8FE9FA">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JC/T 60016-2022</w:t>
            </w:r>
          </w:p>
          <w:p w14:paraId="75DF6A26">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《建筑用免拆复合保温模板应用技术规程》</w:t>
            </w:r>
          </w:p>
        </w:tc>
        <w:tc>
          <w:tcPr>
            <w:tcW w:w="931" w:type="pct"/>
            <w:vAlign w:val="center"/>
          </w:tcPr>
          <w:p w14:paraId="44481873">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DG/TJ 08-2433B-2023</w:t>
            </w:r>
          </w:p>
          <w:p w14:paraId="54653F4F">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《外墙保温一体化系统应用技术标准（现浇混凝土保温外墙）》</w:t>
            </w:r>
          </w:p>
        </w:tc>
        <w:tc>
          <w:tcPr>
            <w:tcW w:w="726" w:type="pct"/>
            <w:vAlign w:val="center"/>
          </w:tcPr>
          <w:p w14:paraId="0392651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DB42/T 2068-2023</w:t>
            </w:r>
          </w:p>
          <w:p w14:paraId="120A2C2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《外墙保温工程技术规范》</w:t>
            </w:r>
          </w:p>
        </w:tc>
        <w:tc>
          <w:tcPr>
            <w:tcW w:w="735" w:type="pct"/>
            <w:vAlign w:val="center"/>
          </w:tcPr>
          <w:p w14:paraId="4FF3915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DBJ33/T 1301-2023</w:t>
            </w:r>
          </w:p>
          <w:p w14:paraId="60EF648E">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《建筑用免拆复合保温模板应用技术规程》</w:t>
            </w:r>
          </w:p>
        </w:tc>
        <w:tc>
          <w:tcPr>
            <w:tcW w:w="611" w:type="pct"/>
            <w:vAlign w:val="center"/>
          </w:tcPr>
          <w:p w14:paraId="3BC877B5">
            <w:pPr>
              <w:jc w:val="center"/>
              <w:rPr>
                <w:rFonts w:ascii="Times New Roman" w:hAnsi="Times New Roman" w:cs="Times New Roman" w:eastAsiaTheme="majorEastAsia"/>
                <w:sz w:val="18"/>
                <w:szCs w:val="18"/>
              </w:rPr>
            </w:pPr>
            <w:r>
              <w:rPr>
                <w:rFonts w:hint="eastAsia" w:ascii="Times New Roman" w:hAnsi="Times New Roman" w:cs="Times New Roman" w:eastAsiaTheme="majorEastAsia"/>
                <w:sz w:val="18"/>
                <w:szCs w:val="18"/>
              </w:rPr>
              <w:t>备注</w:t>
            </w:r>
          </w:p>
        </w:tc>
      </w:tr>
      <w:tr w14:paraId="2078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67A05415">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干密度，kg/m</w:t>
            </w:r>
            <w:r>
              <w:rPr>
                <w:rFonts w:ascii="Times New Roman" w:hAnsi="Times New Roman" w:eastAsia="宋体" w:cs="Times New Roman"/>
                <w:color w:val="000000"/>
                <w:kern w:val="0"/>
                <w:sz w:val="18"/>
                <w:szCs w:val="18"/>
                <w:vertAlign w:val="superscript"/>
              </w:rPr>
              <w:t>3</w:t>
            </w:r>
          </w:p>
        </w:tc>
        <w:tc>
          <w:tcPr>
            <w:tcW w:w="563" w:type="pct"/>
            <w:vAlign w:val="center"/>
          </w:tcPr>
          <w:p w14:paraId="1BA69A5C">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180~230</w:t>
            </w:r>
          </w:p>
        </w:tc>
        <w:tc>
          <w:tcPr>
            <w:tcW w:w="797" w:type="pct"/>
            <w:vAlign w:val="center"/>
          </w:tcPr>
          <w:p w14:paraId="4116A619">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面密度≤48kg/m</w:t>
            </w:r>
            <w:r>
              <w:rPr>
                <w:rFonts w:ascii="Times New Roman" w:hAnsi="Times New Roman" w:eastAsia="宋体" w:cs="Times New Roman"/>
                <w:color w:val="000000"/>
                <w:kern w:val="0"/>
                <w:sz w:val="18"/>
                <w:szCs w:val="18"/>
                <w:vertAlign w:val="superscript"/>
              </w:rPr>
              <w:t>2</w:t>
            </w:r>
          </w:p>
        </w:tc>
        <w:tc>
          <w:tcPr>
            <w:tcW w:w="931" w:type="pct"/>
            <w:vAlign w:val="center"/>
          </w:tcPr>
          <w:p w14:paraId="2695240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180~230</w:t>
            </w:r>
          </w:p>
        </w:tc>
        <w:tc>
          <w:tcPr>
            <w:tcW w:w="726" w:type="pct"/>
            <w:vAlign w:val="center"/>
          </w:tcPr>
          <w:p w14:paraId="299D25E9">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180~230</w:t>
            </w:r>
          </w:p>
        </w:tc>
        <w:tc>
          <w:tcPr>
            <w:tcW w:w="735" w:type="pct"/>
            <w:vAlign w:val="center"/>
          </w:tcPr>
          <w:p w14:paraId="2EF4B35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180~230</w:t>
            </w:r>
          </w:p>
        </w:tc>
        <w:tc>
          <w:tcPr>
            <w:tcW w:w="611" w:type="pct"/>
          </w:tcPr>
          <w:p w14:paraId="2ABC0824">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本文件要求与现行相关标准一致</w:t>
            </w:r>
          </w:p>
        </w:tc>
      </w:tr>
      <w:tr w14:paraId="0A53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2C0950B9">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抗压强度，MPa</w:t>
            </w:r>
          </w:p>
        </w:tc>
        <w:tc>
          <w:tcPr>
            <w:tcW w:w="563" w:type="pct"/>
            <w:vAlign w:val="center"/>
          </w:tcPr>
          <w:p w14:paraId="09A86FBB">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≥0.30</w:t>
            </w:r>
          </w:p>
        </w:tc>
        <w:tc>
          <w:tcPr>
            <w:tcW w:w="797" w:type="pct"/>
            <w:vAlign w:val="center"/>
          </w:tcPr>
          <w:p w14:paraId="3CAD7F62">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无</w:t>
            </w:r>
          </w:p>
        </w:tc>
        <w:tc>
          <w:tcPr>
            <w:tcW w:w="931" w:type="pct"/>
            <w:vAlign w:val="center"/>
          </w:tcPr>
          <w:p w14:paraId="4238B46E">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≥0.30</w:t>
            </w:r>
          </w:p>
        </w:tc>
        <w:tc>
          <w:tcPr>
            <w:tcW w:w="726" w:type="pct"/>
            <w:vAlign w:val="center"/>
          </w:tcPr>
          <w:p w14:paraId="141B07FC">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≥0.30</w:t>
            </w:r>
          </w:p>
        </w:tc>
        <w:tc>
          <w:tcPr>
            <w:tcW w:w="735" w:type="pct"/>
            <w:vAlign w:val="center"/>
          </w:tcPr>
          <w:p w14:paraId="54FE2FC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≥0.30</w:t>
            </w:r>
          </w:p>
        </w:tc>
        <w:tc>
          <w:tcPr>
            <w:tcW w:w="611" w:type="pct"/>
          </w:tcPr>
          <w:p w14:paraId="4C9EED39">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本文件要求与现行相关标准一致</w:t>
            </w:r>
          </w:p>
        </w:tc>
      </w:tr>
      <w:tr w14:paraId="71AA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25689C31">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垂直于板面方向的抗拉强度，MPa</w:t>
            </w:r>
          </w:p>
        </w:tc>
        <w:tc>
          <w:tcPr>
            <w:tcW w:w="563" w:type="pct"/>
            <w:vAlign w:val="center"/>
          </w:tcPr>
          <w:p w14:paraId="0771B00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797" w:type="pct"/>
            <w:vAlign w:val="center"/>
          </w:tcPr>
          <w:p w14:paraId="61D611E9">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≥0.10</w:t>
            </w:r>
          </w:p>
        </w:tc>
        <w:tc>
          <w:tcPr>
            <w:tcW w:w="931" w:type="pct"/>
            <w:vAlign w:val="center"/>
          </w:tcPr>
          <w:p w14:paraId="77993EC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726" w:type="pct"/>
            <w:vAlign w:val="center"/>
          </w:tcPr>
          <w:p w14:paraId="540E3AEA">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≥0.15</w:t>
            </w:r>
          </w:p>
        </w:tc>
        <w:tc>
          <w:tcPr>
            <w:tcW w:w="735" w:type="pct"/>
            <w:vAlign w:val="center"/>
          </w:tcPr>
          <w:p w14:paraId="2AC8A00E">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611" w:type="pct"/>
          </w:tcPr>
          <w:p w14:paraId="4A321DEB">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本文件要求严于现行相关标准</w:t>
            </w:r>
          </w:p>
        </w:tc>
      </w:tr>
      <w:tr w14:paraId="1D6E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38C393C2">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拉伸粘结强度（与混凝土），MPa</w:t>
            </w:r>
          </w:p>
        </w:tc>
        <w:tc>
          <w:tcPr>
            <w:tcW w:w="563" w:type="pct"/>
            <w:vAlign w:val="center"/>
          </w:tcPr>
          <w:p w14:paraId="00BDF5EC">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797" w:type="pct"/>
            <w:vAlign w:val="center"/>
          </w:tcPr>
          <w:p w14:paraId="74F76096">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≥0.10</w:t>
            </w:r>
          </w:p>
        </w:tc>
        <w:tc>
          <w:tcPr>
            <w:tcW w:w="931" w:type="pct"/>
            <w:vAlign w:val="center"/>
          </w:tcPr>
          <w:p w14:paraId="61495DC2">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726" w:type="pct"/>
            <w:vAlign w:val="center"/>
          </w:tcPr>
          <w:p w14:paraId="21C188C7">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≥0.15</w:t>
            </w:r>
          </w:p>
        </w:tc>
        <w:tc>
          <w:tcPr>
            <w:tcW w:w="735" w:type="pct"/>
            <w:vAlign w:val="center"/>
          </w:tcPr>
          <w:p w14:paraId="027B388B">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≥0.20</w:t>
            </w:r>
          </w:p>
        </w:tc>
        <w:tc>
          <w:tcPr>
            <w:tcW w:w="611" w:type="pct"/>
          </w:tcPr>
          <w:p w14:paraId="097C4740">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本文件要求严于现行相关标准</w:t>
            </w:r>
          </w:p>
        </w:tc>
      </w:tr>
      <w:tr w14:paraId="7106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563C1C86">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体积吸水率，%</w:t>
            </w:r>
          </w:p>
        </w:tc>
        <w:tc>
          <w:tcPr>
            <w:tcW w:w="563" w:type="pct"/>
            <w:vAlign w:val="center"/>
          </w:tcPr>
          <w:p w14:paraId="64A30CA9">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≤10（浸水48h）</w:t>
            </w:r>
          </w:p>
        </w:tc>
        <w:tc>
          <w:tcPr>
            <w:tcW w:w="797" w:type="pct"/>
            <w:vAlign w:val="center"/>
          </w:tcPr>
          <w:p w14:paraId="4048CD64">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无</w:t>
            </w:r>
          </w:p>
        </w:tc>
        <w:tc>
          <w:tcPr>
            <w:tcW w:w="931" w:type="pct"/>
            <w:vAlign w:val="center"/>
          </w:tcPr>
          <w:p w14:paraId="1DD12273">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≤10（浸水48h）</w:t>
            </w:r>
          </w:p>
        </w:tc>
        <w:tc>
          <w:tcPr>
            <w:tcW w:w="726" w:type="pct"/>
            <w:vAlign w:val="center"/>
          </w:tcPr>
          <w:p w14:paraId="50549F2F">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≤6（浸水2h）</w:t>
            </w:r>
          </w:p>
        </w:tc>
        <w:tc>
          <w:tcPr>
            <w:tcW w:w="735" w:type="pct"/>
            <w:vAlign w:val="center"/>
          </w:tcPr>
          <w:p w14:paraId="58B637DA">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≤6（浸水2h）</w:t>
            </w:r>
          </w:p>
        </w:tc>
        <w:tc>
          <w:tcPr>
            <w:tcW w:w="611" w:type="pct"/>
          </w:tcPr>
          <w:p w14:paraId="332B01A3">
            <w:pPr>
              <w:jc w:val="center"/>
              <w:rPr>
                <w:rFonts w:ascii="Times New Roman" w:hAnsi="Times New Roman" w:eastAsia="宋体" w:cs="Times New Roman"/>
                <w:color w:val="000000"/>
                <w:kern w:val="0"/>
                <w:sz w:val="18"/>
                <w:szCs w:val="18"/>
              </w:rPr>
            </w:pPr>
            <w:r>
              <w:rPr>
                <w:rFonts w:hint="eastAsia" w:ascii="宋体" w:hAnsi="宋体" w:eastAsia="宋体" w:cs="宋体"/>
                <w:color w:val="000000"/>
                <w:kern w:val="0"/>
                <w:sz w:val="18"/>
                <w:szCs w:val="18"/>
              </w:rPr>
              <w:t>本文件要求严于现行相关标准</w:t>
            </w:r>
          </w:p>
        </w:tc>
      </w:tr>
      <w:tr w14:paraId="37EC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35163CE8">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导热系数，W/(m·K）</w:t>
            </w:r>
          </w:p>
        </w:tc>
        <w:tc>
          <w:tcPr>
            <w:tcW w:w="563" w:type="pct"/>
            <w:vAlign w:val="center"/>
          </w:tcPr>
          <w:p w14:paraId="23B07A44">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≤0.055</w:t>
            </w:r>
          </w:p>
        </w:tc>
        <w:tc>
          <w:tcPr>
            <w:tcW w:w="797" w:type="pct"/>
            <w:vAlign w:val="center"/>
          </w:tcPr>
          <w:p w14:paraId="420D1573">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≤0.065</w:t>
            </w:r>
          </w:p>
        </w:tc>
        <w:tc>
          <w:tcPr>
            <w:tcW w:w="931" w:type="pct"/>
            <w:vAlign w:val="center"/>
          </w:tcPr>
          <w:p w14:paraId="34FB04DE">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≤0.055</w:t>
            </w:r>
          </w:p>
        </w:tc>
        <w:tc>
          <w:tcPr>
            <w:tcW w:w="726" w:type="pct"/>
            <w:vAlign w:val="center"/>
          </w:tcPr>
          <w:p w14:paraId="49D8C97A">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≤0.054</w:t>
            </w:r>
          </w:p>
        </w:tc>
        <w:tc>
          <w:tcPr>
            <w:tcW w:w="735" w:type="pct"/>
            <w:vAlign w:val="center"/>
          </w:tcPr>
          <w:p w14:paraId="69EDDE75">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≤0.054</w:t>
            </w:r>
          </w:p>
        </w:tc>
        <w:tc>
          <w:tcPr>
            <w:tcW w:w="611" w:type="pct"/>
          </w:tcPr>
          <w:p w14:paraId="382341D2">
            <w:pPr>
              <w:jc w:val="center"/>
              <w:rPr>
                <w:rFonts w:ascii="Times New Roman" w:hAnsi="Times New Roman" w:eastAsia="宋体" w:cs="Times New Roman"/>
                <w:color w:val="000000"/>
                <w:kern w:val="0"/>
                <w:sz w:val="18"/>
                <w:szCs w:val="18"/>
              </w:rPr>
            </w:pPr>
            <w:r>
              <w:rPr>
                <w:rFonts w:hint="eastAsia" w:ascii="宋体" w:hAnsi="宋体" w:eastAsia="宋体" w:cs="宋体"/>
                <w:color w:val="000000"/>
                <w:kern w:val="0"/>
                <w:sz w:val="18"/>
                <w:szCs w:val="18"/>
              </w:rPr>
              <w:t>本文件要求与现行相关标准一致</w:t>
            </w:r>
          </w:p>
        </w:tc>
      </w:tr>
      <w:tr w14:paraId="5767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04B4FA70">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软化系数</w:t>
            </w:r>
          </w:p>
        </w:tc>
        <w:tc>
          <w:tcPr>
            <w:tcW w:w="563" w:type="pct"/>
            <w:vAlign w:val="center"/>
          </w:tcPr>
          <w:p w14:paraId="161A6BFF">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≥0.8</w:t>
            </w:r>
          </w:p>
        </w:tc>
        <w:tc>
          <w:tcPr>
            <w:tcW w:w="797" w:type="pct"/>
            <w:vAlign w:val="center"/>
          </w:tcPr>
          <w:p w14:paraId="7428FD8B">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无</w:t>
            </w:r>
          </w:p>
        </w:tc>
        <w:tc>
          <w:tcPr>
            <w:tcW w:w="931" w:type="pct"/>
            <w:vAlign w:val="center"/>
          </w:tcPr>
          <w:p w14:paraId="6E2EF447">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≥0.8</w:t>
            </w:r>
          </w:p>
        </w:tc>
        <w:tc>
          <w:tcPr>
            <w:tcW w:w="726" w:type="pct"/>
            <w:vAlign w:val="center"/>
          </w:tcPr>
          <w:p w14:paraId="4E4B2BAF">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≥0.8</w:t>
            </w:r>
          </w:p>
        </w:tc>
        <w:tc>
          <w:tcPr>
            <w:tcW w:w="735" w:type="pct"/>
            <w:vAlign w:val="center"/>
          </w:tcPr>
          <w:p w14:paraId="4190991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≥0.8</w:t>
            </w:r>
          </w:p>
        </w:tc>
        <w:tc>
          <w:tcPr>
            <w:tcW w:w="611" w:type="pct"/>
          </w:tcPr>
          <w:p w14:paraId="6DE5FA74">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本文件要求与现行相关标准一致</w:t>
            </w:r>
          </w:p>
        </w:tc>
      </w:tr>
      <w:tr w14:paraId="3FFC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1518127E">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干燥收缩率</w:t>
            </w:r>
          </w:p>
        </w:tc>
        <w:tc>
          <w:tcPr>
            <w:tcW w:w="563" w:type="pct"/>
            <w:vAlign w:val="center"/>
          </w:tcPr>
          <w:p w14:paraId="6357FC53">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≤0.3%</w:t>
            </w:r>
          </w:p>
        </w:tc>
        <w:tc>
          <w:tcPr>
            <w:tcW w:w="797" w:type="pct"/>
            <w:vAlign w:val="center"/>
          </w:tcPr>
          <w:p w14:paraId="2351E86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无</w:t>
            </w:r>
          </w:p>
        </w:tc>
        <w:tc>
          <w:tcPr>
            <w:tcW w:w="931" w:type="pct"/>
            <w:vAlign w:val="center"/>
          </w:tcPr>
          <w:p w14:paraId="2B0B06C0">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≤0.3%</w:t>
            </w:r>
          </w:p>
        </w:tc>
        <w:tc>
          <w:tcPr>
            <w:tcW w:w="726" w:type="pct"/>
            <w:vAlign w:val="center"/>
          </w:tcPr>
          <w:p w14:paraId="1A02DE94">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≤0.3mm/m</w:t>
            </w:r>
          </w:p>
        </w:tc>
        <w:tc>
          <w:tcPr>
            <w:tcW w:w="735" w:type="pct"/>
            <w:vAlign w:val="center"/>
          </w:tcPr>
          <w:p w14:paraId="37586AA5">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≤0.6%</w:t>
            </w:r>
          </w:p>
        </w:tc>
        <w:tc>
          <w:tcPr>
            <w:tcW w:w="611" w:type="pct"/>
          </w:tcPr>
          <w:p w14:paraId="6421F912">
            <w:pPr>
              <w:jc w:val="center"/>
              <w:rPr>
                <w:rFonts w:ascii="Times New Roman" w:hAnsi="Times New Roman" w:eastAsia="宋体" w:cs="Times New Roman"/>
                <w:color w:val="000000"/>
                <w:kern w:val="0"/>
                <w:sz w:val="18"/>
                <w:szCs w:val="18"/>
              </w:rPr>
            </w:pPr>
            <w:r>
              <w:rPr>
                <w:rFonts w:hint="eastAsia" w:ascii="宋体" w:hAnsi="宋体" w:eastAsia="宋体" w:cs="宋体"/>
                <w:color w:val="000000"/>
                <w:kern w:val="0"/>
                <w:sz w:val="18"/>
                <w:szCs w:val="18"/>
              </w:rPr>
              <w:t>本文件要求严于现行相关标准</w:t>
            </w:r>
          </w:p>
        </w:tc>
      </w:tr>
      <w:tr w14:paraId="4ED4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 w:type="pct"/>
            <w:vAlign w:val="center"/>
          </w:tcPr>
          <w:p w14:paraId="34A17AD3">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燃烧性能等级</w:t>
            </w:r>
          </w:p>
        </w:tc>
        <w:tc>
          <w:tcPr>
            <w:tcW w:w="563" w:type="pct"/>
            <w:vAlign w:val="center"/>
          </w:tcPr>
          <w:p w14:paraId="6F5E9560">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A（A2）</w:t>
            </w:r>
          </w:p>
        </w:tc>
        <w:tc>
          <w:tcPr>
            <w:tcW w:w="797" w:type="pct"/>
            <w:vAlign w:val="center"/>
          </w:tcPr>
          <w:p w14:paraId="2993A550">
            <w:pPr>
              <w:jc w:val="center"/>
              <w:rPr>
                <w:rFonts w:ascii="Times New Roman" w:hAnsi="Times New Roman" w:cs="Times New Roman" w:eastAsiaTheme="majorEastAsia"/>
                <w:sz w:val="18"/>
                <w:szCs w:val="18"/>
              </w:rPr>
            </w:pPr>
            <w:r>
              <w:rPr>
                <w:rFonts w:ascii="Times New Roman" w:hAnsi="Times New Roman" w:eastAsia="宋体" w:cs="Times New Roman"/>
                <w:color w:val="000000"/>
                <w:kern w:val="0"/>
                <w:sz w:val="18"/>
                <w:szCs w:val="18"/>
              </w:rPr>
              <w:t>B1~A1</w:t>
            </w:r>
          </w:p>
        </w:tc>
        <w:tc>
          <w:tcPr>
            <w:tcW w:w="931" w:type="pct"/>
            <w:vAlign w:val="center"/>
          </w:tcPr>
          <w:p w14:paraId="4615B3A4">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A</w:t>
            </w:r>
          </w:p>
        </w:tc>
        <w:tc>
          <w:tcPr>
            <w:tcW w:w="726" w:type="pct"/>
            <w:vAlign w:val="center"/>
          </w:tcPr>
          <w:p w14:paraId="1DC52E79">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A（A2）</w:t>
            </w:r>
          </w:p>
        </w:tc>
        <w:tc>
          <w:tcPr>
            <w:tcW w:w="735" w:type="pct"/>
            <w:vAlign w:val="center"/>
          </w:tcPr>
          <w:p w14:paraId="62E0E361">
            <w:pPr>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A2</w:t>
            </w:r>
          </w:p>
        </w:tc>
        <w:tc>
          <w:tcPr>
            <w:tcW w:w="611" w:type="pct"/>
          </w:tcPr>
          <w:p w14:paraId="3611DABB">
            <w:pPr>
              <w:jc w:val="center"/>
              <w:rPr>
                <w:rFonts w:ascii="Times New Roman" w:hAnsi="Times New Roman" w:cs="Times New Roman" w:eastAsiaTheme="majorEastAsia"/>
                <w:sz w:val="18"/>
                <w:szCs w:val="18"/>
              </w:rPr>
            </w:pPr>
            <w:r>
              <w:rPr>
                <w:rFonts w:hint="eastAsia" w:ascii="宋体" w:hAnsi="宋体" w:eastAsia="宋体" w:cs="宋体"/>
                <w:color w:val="000000"/>
                <w:kern w:val="0"/>
                <w:sz w:val="18"/>
                <w:szCs w:val="18"/>
              </w:rPr>
              <w:t>本文件要求与现行相关标准一致</w:t>
            </w:r>
          </w:p>
        </w:tc>
      </w:tr>
    </w:tbl>
    <w:p w14:paraId="76A7BE69">
      <w:pPr>
        <w:spacing w:line="500" w:lineRule="exact"/>
        <w:rPr>
          <w:rFonts w:ascii="Times New Roman" w:hAnsi="Times New Roman" w:cs="Times New Roman" w:eastAsiaTheme="majorEastAsia"/>
          <w:sz w:val="24"/>
          <w:szCs w:val="24"/>
        </w:rPr>
      </w:pPr>
    </w:p>
    <w:p w14:paraId="1F10CA5C">
      <w:pPr>
        <w:spacing w:line="500" w:lineRule="exact"/>
        <w:rPr>
          <w:rFonts w:ascii="Times New Roman" w:hAnsi="Times New Roman" w:cs="Times New Roman" w:eastAsiaTheme="majorEastAsia"/>
          <w:sz w:val="24"/>
          <w:szCs w:val="24"/>
        </w:rPr>
      </w:pPr>
    </w:p>
    <w:p w14:paraId="3AA037D0">
      <w:pPr>
        <w:spacing w:line="500" w:lineRule="exact"/>
        <w:rPr>
          <w:rFonts w:hint="eastAsia" w:ascii="黑体" w:hAnsi="Times New Roman" w:eastAsia="黑体" w:cs="Times New Roman"/>
          <w:kern w:val="0"/>
          <w:sz w:val="28"/>
          <w:szCs w:val="28"/>
          <w:lang w:val="en-US" w:eastAsia="zh-CN" w:bidi="ar-SA"/>
        </w:rPr>
      </w:pPr>
      <w:r>
        <w:rPr>
          <w:rFonts w:hint="eastAsia" w:ascii="黑体" w:hAnsi="Times New Roman" w:eastAsia="黑体" w:cs="Times New Roman"/>
          <w:kern w:val="0"/>
          <w:sz w:val="28"/>
          <w:szCs w:val="28"/>
          <w:lang w:val="en-US" w:eastAsia="zh-CN" w:bidi="ar-SA"/>
        </w:rPr>
        <w:t>附件2：《夏热冬冷地区集成保温外墙板应用技术规范》验证试验数据汇总</w:t>
      </w:r>
    </w:p>
    <w:p w14:paraId="368010D2">
      <w:pPr>
        <w:spacing w:line="500" w:lineRule="exact"/>
        <w:jc w:val="center"/>
        <w:rPr>
          <w:rFonts w:hint="eastAsia" w:ascii="黑体" w:hAnsi="Times New Roman" w:eastAsia="黑体" w:cs="Times New Roman"/>
          <w:kern w:val="0"/>
          <w:sz w:val="28"/>
          <w:szCs w:val="28"/>
          <w:lang w:val="en-US" w:eastAsia="zh-CN" w:bidi="ar-SA"/>
        </w:rPr>
      </w:pPr>
      <w:r>
        <w:rPr>
          <w:rFonts w:hint="eastAsia" w:ascii="黑体" w:hAnsi="Times New Roman" w:eastAsia="黑体" w:cs="Times New Roman"/>
          <w:kern w:val="0"/>
          <w:sz w:val="21"/>
          <w:szCs w:val="21"/>
          <w:lang w:val="en-US" w:eastAsia="zh-CN" w:bidi="ar-SA"/>
        </w:rPr>
        <w:t>表22：《夏热冬冷地区集成保温外墙板应用技术规范》验证试验数据汇总</w:t>
      </w:r>
    </w:p>
    <w:tbl>
      <w:tblPr>
        <w:tblStyle w:val="11"/>
        <w:tblW w:w="4946" w:type="pct"/>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326"/>
        <w:gridCol w:w="1438"/>
        <w:gridCol w:w="1527"/>
        <w:gridCol w:w="1733"/>
        <w:gridCol w:w="1768"/>
        <w:gridCol w:w="1706"/>
        <w:gridCol w:w="1583"/>
        <w:gridCol w:w="1238"/>
        <w:gridCol w:w="1430"/>
      </w:tblGrid>
      <w:tr w14:paraId="5B92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34" w:type="pct"/>
            <w:vAlign w:val="center"/>
          </w:tcPr>
          <w:p w14:paraId="3B82981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试样编号</w:t>
            </w:r>
          </w:p>
        </w:tc>
        <w:tc>
          <w:tcPr>
            <w:tcW w:w="450" w:type="pct"/>
            <w:vAlign w:val="center"/>
          </w:tcPr>
          <w:p w14:paraId="5B1F6A8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干密度</w:t>
            </w:r>
          </w:p>
          <w:p w14:paraId="5544DF6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kg/m3</w:t>
            </w:r>
          </w:p>
        </w:tc>
        <w:tc>
          <w:tcPr>
            <w:tcW w:w="488" w:type="pct"/>
            <w:vAlign w:val="center"/>
          </w:tcPr>
          <w:p w14:paraId="683AE06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抗压强度</w:t>
            </w:r>
          </w:p>
          <w:p w14:paraId="1F0A753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MPa</w:t>
            </w:r>
          </w:p>
        </w:tc>
        <w:tc>
          <w:tcPr>
            <w:tcW w:w="518" w:type="pct"/>
            <w:vAlign w:val="center"/>
          </w:tcPr>
          <w:p w14:paraId="7A61C3A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垂直于板面方向的抗拉强度MPa</w:t>
            </w:r>
          </w:p>
        </w:tc>
        <w:tc>
          <w:tcPr>
            <w:tcW w:w="588" w:type="pct"/>
            <w:vAlign w:val="center"/>
          </w:tcPr>
          <w:p w14:paraId="27317D1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拉伸粘结强度（与混凝土）MPa</w:t>
            </w:r>
          </w:p>
        </w:tc>
        <w:tc>
          <w:tcPr>
            <w:tcW w:w="600" w:type="pct"/>
            <w:vAlign w:val="center"/>
          </w:tcPr>
          <w:p w14:paraId="357930E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导热系数</w:t>
            </w:r>
          </w:p>
          <w:p w14:paraId="70A0157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W/（m·K）</w:t>
            </w:r>
          </w:p>
        </w:tc>
        <w:tc>
          <w:tcPr>
            <w:tcW w:w="579" w:type="pct"/>
            <w:vAlign w:val="center"/>
          </w:tcPr>
          <w:p w14:paraId="7D81BB6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2h体积吸水率</w:t>
            </w:r>
          </w:p>
          <w:p w14:paraId="29090DAF">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p>
        </w:tc>
        <w:tc>
          <w:tcPr>
            <w:tcW w:w="537" w:type="pct"/>
            <w:vAlign w:val="center"/>
          </w:tcPr>
          <w:p w14:paraId="721A87CE">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48h体积吸水率</w:t>
            </w:r>
          </w:p>
          <w:p w14:paraId="2F367A0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p>
        </w:tc>
        <w:tc>
          <w:tcPr>
            <w:tcW w:w="420" w:type="pct"/>
            <w:vAlign w:val="center"/>
          </w:tcPr>
          <w:p w14:paraId="1AC690F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燃烧性能等级</w:t>
            </w:r>
          </w:p>
        </w:tc>
        <w:tc>
          <w:tcPr>
            <w:tcW w:w="480" w:type="pct"/>
            <w:vAlign w:val="center"/>
          </w:tcPr>
          <w:p w14:paraId="7E58C51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收缩率</w:t>
            </w:r>
          </w:p>
          <w:p w14:paraId="21711B1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p>
        </w:tc>
      </w:tr>
      <w:tr w14:paraId="269F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56B91F5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SW-1</w:t>
            </w:r>
          </w:p>
        </w:tc>
        <w:tc>
          <w:tcPr>
            <w:tcW w:w="450" w:type="pct"/>
          </w:tcPr>
          <w:p w14:paraId="2A8E877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210</w:t>
            </w:r>
          </w:p>
        </w:tc>
        <w:tc>
          <w:tcPr>
            <w:tcW w:w="488" w:type="pct"/>
          </w:tcPr>
          <w:p w14:paraId="4D91D53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0.35</w:t>
            </w:r>
          </w:p>
        </w:tc>
        <w:tc>
          <w:tcPr>
            <w:tcW w:w="518" w:type="pct"/>
          </w:tcPr>
          <w:p w14:paraId="3B3FDD0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0.22</w:t>
            </w:r>
          </w:p>
        </w:tc>
        <w:tc>
          <w:tcPr>
            <w:tcW w:w="588" w:type="pct"/>
          </w:tcPr>
          <w:p w14:paraId="0050090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0.22</w:t>
            </w:r>
          </w:p>
        </w:tc>
        <w:tc>
          <w:tcPr>
            <w:tcW w:w="600" w:type="pct"/>
          </w:tcPr>
          <w:p w14:paraId="21CF88B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0.055</w:t>
            </w:r>
          </w:p>
        </w:tc>
        <w:tc>
          <w:tcPr>
            <w:tcW w:w="579" w:type="pct"/>
          </w:tcPr>
          <w:p w14:paraId="094A2C9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5.2</w:t>
            </w:r>
          </w:p>
        </w:tc>
        <w:tc>
          <w:tcPr>
            <w:tcW w:w="537" w:type="pct"/>
          </w:tcPr>
          <w:p w14:paraId="265479B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8.9</w:t>
            </w:r>
          </w:p>
        </w:tc>
        <w:tc>
          <w:tcPr>
            <w:tcW w:w="420" w:type="pct"/>
          </w:tcPr>
          <w:p w14:paraId="751062D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3EDD69E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0.111</w:t>
            </w:r>
          </w:p>
        </w:tc>
      </w:tr>
      <w:tr w14:paraId="60FC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49EF42F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SW-2</w:t>
            </w:r>
          </w:p>
        </w:tc>
        <w:tc>
          <w:tcPr>
            <w:tcW w:w="450" w:type="pct"/>
          </w:tcPr>
          <w:p w14:paraId="725220D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209</w:t>
            </w:r>
          </w:p>
        </w:tc>
        <w:tc>
          <w:tcPr>
            <w:tcW w:w="488" w:type="pct"/>
          </w:tcPr>
          <w:p w14:paraId="34F0EA6F">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0.41</w:t>
            </w:r>
          </w:p>
        </w:tc>
        <w:tc>
          <w:tcPr>
            <w:tcW w:w="518" w:type="pct"/>
          </w:tcPr>
          <w:p w14:paraId="4628CCD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0.21</w:t>
            </w:r>
          </w:p>
        </w:tc>
        <w:tc>
          <w:tcPr>
            <w:tcW w:w="588" w:type="pct"/>
          </w:tcPr>
          <w:p w14:paraId="3023C9A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0.20</w:t>
            </w:r>
          </w:p>
        </w:tc>
        <w:tc>
          <w:tcPr>
            <w:tcW w:w="600" w:type="pct"/>
          </w:tcPr>
          <w:p w14:paraId="7807D28E">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0.054</w:t>
            </w:r>
          </w:p>
        </w:tc>
        <w:tc>
          <w:tcPr>
            <w:tcW w:w="579" w:type="pct"/>
          </w:tcPr>
          <w:p w14:paraId="1C98F6F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5.9</w:t>
            </w:r>
          </w:p>
        </w:tc>
        <w:tc>
          <w:tcPr>
            <w:tcW w:w="537" w:type="pct"/>
          </w:tcPr>
          <w:p w14:paraId="79740B1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9.1</w:t>
            </w:r>
          </w:p>
        </w:tc>
        <w:tc>
          <w:tcPr>
            <w:tcW w:w="420" w:type="pct"/>
          </w:tcPr>
          <w:p w14:paraId="5D80D24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3EB5B93E">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0.117</w:t>
            </w:r>
          </w:p>
        </w:tc>
      </w:tr>
      <w:tr w14:paraId="1E4B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71C553F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SW-3</w:t>
            </w:r>
          </w:p>
        </w:tc>
        <w:tc>
          <w:tcPr>
            <w:tcW w:w="450" w:type="pct"/>
          </w:tcPr>
          <w:p w14:paraId="4DA37A4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185</w:t>
            </w:r>
          </w:p>
        </w:tc>
        <w:tc>
          <w:tcPr>
            <w:tcW w:w="488" w:type="pct"/>
          </w:tcPr>
          <w:p w14:paraId="74F4F47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0.34</w:t>
            </w:r>
          </w:p>
        </w:tc>
        <w:tc>
          <w:tcPr>
            <w:tcW w:w="518" w:type="pct"/>
          </w:tcPr>
          <w:p w14:paraId="5F8F74D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0.23</w:t>
            </w:r>
          </w:p>
        </w:tc>
        <w:tc>
          <w:tcPr>
            <w:tcW w:w="588" w:type="pct"/>
          </w:tcPr>
          <w:p w14:paraId="5BB9150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0.22</w:t>
            </w:r>
          </w:p>
        </w:tc>
        <w:tc>
          <w:tcPr>
            <w:tcW w:w="600" w:type="pct"/>
          </w:tcPr>
          <w:p w14:paraId="02EDED0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0.054</w:t>
            </w:r>
          </w:p>
        </w:tc>
        <w:tc>
          <w:tcPr>
            <w:tcW w:w="579" w:type="pct"/>
          </w:tcPr>
          <w:p w14:paraId="72522A1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5.9</w:t>
            </w:r>
          </w:p>
        </w:tc>
        <w:tc>
          <w:tcPr>
            <w:tcW w:w="537" w:type="pct"/>
          </w:tcPr>
          <w:p w14:paraId="102EF16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9.8</w:t>
            </w:r>
          </w:p>
        </w:tc>
        <w:tc>
          <w:tcPr>
            <w:tcW w:w="420" w:type="pct"/>
          </w:tcPr>
          <w:p w14:paraId="2DD9726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343DE0C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0.128</w:t>
            </w:r>
          </w:p>
        </w:tc>
      </w:tr>
      <w:tr w14:paraId="0DF6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3EDF496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SW-4</w:t>
            </w:r>
          </w:p>
        </w:tc>
        <w:tc>
          <w:tcPr>
            <w:tcW w:w="450" w:type="pct"/>
          </w:tcPr>
          <w:p w14:paraId="39C18FA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212</w:t>
            </w:r>
          </w:p>
        </w:tc>
        <w:tc>
          <w:tcPr>
            <w:tcW w:w="488" w:type="pct"/>
          </w:tcPr>
          <w:p w14:paraId="1824558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0.54</w:t>
            </w:r>
          </w:p>
        </w:tc>
        <w:tc>
          <w:tcPr>
            <w:tcW w:w="518" w:type="pct"/>
          </w:tcPr>
          <w:p w14:paraId="682657E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0.27</w:t>
            </w:r>
          </w:p>
        </w:tc>
        <w:tc>
          <w:tcPr>
            <w:tcW w:w="588" w:type="pct"/>
          </w:tcPr>
          <w:p w14:paraId="633D0CE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0.25</w:t>
            </w:r>
          </w:p>
        </w:tc>
        <w:tc>
          <w:tcPr>
            <w:tcW w:w="600" w:type="pct"/>
          </w:tcPr>
          <w:p w14:paraId="0924973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0.052</w:t>
            </w:r>
          </w:p>
        </w:tc>
        <w:tc>
          <w:tcPr>
            <w:tcW w:w="579" w:type="pct"/>
          </w:tcPr>
          <w:p w14:paraId="6553793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4.9</w:t>
            </w:r>
          </w:p>
        </w:tc>
        <w:tc>
          <w:tcPr>
            <w:tcW w:w="537" w:type="pct"/>
          </w:tcPr>
          <w:p w14:paraId="54D8CE7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7.7</w:t>
            </w:r>
          </w:p>
        </w:tc>
        <w:tc>
          <w:tcPr>
            <w:tcW w:w="420" w:type="pct"/>
          </w:tcPr>
          <w:p w14:paraId="59BE70D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19E630F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0.062</w:t>
            </w:r>
          </w:p>
        </w:tc>
      </w:tr>
      <w:tr w14:paraId="09DC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01B4F24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SW-5</w:t>
            </w:r>
          </w:p>
        </w:tc>
        <w:tc>
          <w:tcPr>
            <w:tcW w:w="450" w:type="pct"/>
          </w:tcPr>
          <w:p w14:paraId="6FD6017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227</w:t>
            </w:r>
          </w:p>
        </w:tc>
        <w:tc>
          <w:tcPr>
            <w:tcW w:w="488" w:type="pct"/>
          </w:tcPr>
          <w:p w14:paraId="081A0C9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0.42</w:t>
            </w:r>
          </w:p>
        </w:tc>
        <w:tc>
          <w:tcPr>
            <w:tcW w:w="518" w:type="pct"/>
          </w:tcPr>
          <w:p w14:paraId="38657B7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0.22</w:t>
            </w:r>
          </w:p>
        </w:tc>
        <w:tc>
          <w:tcPr>
            <w:tcW w:w="588" w:type="pct"/>
          </w:tcPr>
          <w:p w14:paraId="711164C9">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0.20</w:t>
            </w:r>
          </w:p>
        </w:tc>
        <w:tc>
          <w:tcPr>
            <w:tcW w:w="600" w:type="pct"/>
          </w:tcPr>
          <w:p w14:paraId="676A151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0.054</w:t>
            </w:r>
          </w:p>
        </w:tc>
        <w:tc>
          <w:tcPr>
            <w:tcW w:w="579" w:type="pct"/>
          </w:tcPr>
          <w:p w14:paraId="3C4BED7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5.4</w:t>
            </w:r>
          </w:p>
        </w:tc>
        <w:tc>
          <w:tcPr>
            <w:tcW w:w="537" w:type="pct"/>
          </w:tcPr>
          <w:p w14:paraId="2ABA335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7.3</w:t>
            </w:r>
          </w:p>
        </w:tc>
        <w:tc>
          <w:tcPr>
            <w:tcW w:w="420" w:type="pct"/>
          </w:tcPr>
          <w:p w14:paraId="562237F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461E24F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0.016</w:t>
            </w:r>
          </w:p>
        </w:tc>
      </w:tr>
      <w:tr w14:paraId="4487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54A4EC4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SW-6</w:t>
            </w:r>
          </w:p>
        </w:tc>
        <w:tc>
          <w:tcPr>
            <w:tcW w:w="450" w:type="pct"/>
          </w:tcPr>
          <w:p w14:paraId="2630FA0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198</w:t>
            </w:r>
          </w:p>
        </w:tc>
        <w:tc>
          <w:tcPr>
            <w:tcW w:w="488" w:type="pct"/>
          </w:tcPr>
          <w:p w14:paraId="2D43082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0.39</w:t>
            </w:r>
          </w:p>
        </w:tc>
        <w:tc>
          <w:tcPr>
            <w:tcW w:w="518" w:type="pct"/>
          </w:tcPr>
          <w:p w14:paraId="334FAFA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0.25</w:t>
            </w:r>
          </w:p>
        </w:tc>
        <w:tc>
          <w:tcPr>
            <w:tcW w:w="588" w:type="pct"/>
          </w:tcPr>
          <w:p w14:paraId="344B6B2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0.24</w:t>
            </w:r>
          </w:p>
        </w:tc>
        <w:tc>
          <w:tcPr>
            <w:tcW w:w="600" w:type="pct"/>
          </w:tcPr>
          <w:p w14:paraId="43FCF19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0.053</w:t>
            </w:r>
          </w:p>
        </w:tc>
        <w:tc>
          <w:tcPr>
            <w:tcW w:w="579" w:type="pct"/>
          </w:tcPr>
          <w:p w14:paraId="2FF9006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6.0</w:t>
            </w:r>
          </w:p>
        </w:tc>
        <w:tc>
          <w:tcPr>
            <w:tcW w:w="537" w:type="pct"/>
          </w:tcPr>
          <w:p w14:paraId="7000A4DF">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9.4</w:t>
            </w:r>
          </w:p>
        </w:tc>
        <w:tc>
          <w:tcPr>
            <w:tcW w:w="420" w:type="pct"/>
          </w:tcPr>
          <w:p w14:paraId="387987B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37CEC46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0.259</w:t>
            </w:r>
          </w:p>
        </w:tc>
      </w:tr>
      <w:tr w14:paraId="447A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3EC5770F">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SW-7</w:t>
            </w:r>
          </w:p>
        </w:tc>
        <w:tc>
          <w:tcPr>
            <w:tcW w:w="450" w:type="pct"/>
          </w:tcPr>
          <w:p w14:paraId="69D0C3A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202</w:t>
            </w:r>
          </w:p>
        </w:tc>
        <w:tc>
          <w:tcPr>
            <w:tcW w:w="488" w:type="pct"/>
          </w:tcPr>
          <w:p w14:paraId="05C00BC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0.43</w:t>
            </w:r>
          </w:p>
        </w:tc>
        <w:tc>
          <w:tcPr>
            <w:tcW w:w="518" w:type="pct"/>
          </w:tcPr>
          <w:p w14:paraId="59577A4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0.23</w:t>
            </w:r>
          </w:p>
        </w:tc>
        <w:tc>
          <w:tcPr>
            <w:tcW w:w="588" w:type="pct"/>
          </w:tcPr>
          <w:p w14:paraId="3D27914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0.23</w:t>
            </w:r>
          </w:p>
        </w:tc>
        <w:tc>
          <w:tcPr>
            <w:tcW w:w="600" w:type="pct"/>
          </w:tcPr>
          <w:p w14:paraId="67315AD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0.054</w:t>
            </w:r>
          </w:p>
        </w:tc>
        <w:tc>
          <w:tcPr>
            <w:tcW w:w="579" w:type="pct"/>
          </w:tcPr>
          <w:p w14:paraId="22DB3E3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4.9</w:t>
            </w:r>
          </w:p>
        </w:tc>
        <w:tc>
          <w:tcPr>
            <w:tcW w:w="537" w:type="pct"/>
          </w:tcPr>
          <w:p w14:paraId="353635A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8.1</w:t>
            </w:r>
          </w:p>
        </w:tc>
        <w:tc>
          <w:tcPr>
            <w:tcW w:w="420" w:type="pct"/>
          </w:tcPr>
          <w:p w14:paraId="1FFD7A1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08F55C7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0.019</w:t>
            </w:r>
          </w:p>
        </w:tc>
      </w:tr>
      <w:tr w14:paraId="07B3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3E2D0C1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SW-8</w:t>
            </w:r>
          </w:p>
        </w:tc>
        <w:tc>
          <w:tcPr>
            <w:tcW w:w="450" w:type="pct"/>
          </w:tcPr>
          <w:p w14:paraId="38E3827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180</w:t>
            </w:r>
          </w:p>
        </w:tc>
        <w:tc>
          <w:tcPr>
            <w:tcW w:w="488" w:type="pct"/>
          </w:tcPr>
          <w:p w14:paraId="5F3D807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0.30</w:t>
            </w:r>
          </w:p>
        </w:tc>
        <w:tc>
          <w:tcPr>
            <w:tcW w:w="518" w:type="pct"/>
          </w:tcPr>
          <w:p w14:paraId="3F474C0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0.29</w:t>
            </w:r>
          </w:p>
        </w:tc>
        <w:tc>
          <w:tcPr>
            <w:tcW w:w="588" w:type="pct"/>
          </w:tcPr>
          <w:p w14:paraId="779BBD8E">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0.27</w:t>
            </w:r>
          </w:p>
        </w:tc>
        <w:tc>
          <w:tcPr>
            <w:tcW w:w="600" w:type="pct"/>
          </w:tcPr>
          <w:p w14:paraId="5DFC95B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0.055</w:t>
            </w:r>
          </w:p>
        </w:tc>
        <w:tc>
          <w:tcPr>
            <w:tcW w:w="579" w:type="pct"/>
          </w:tcPr>
          <w:p w14:paraId="4949182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5.0</w:t>
            </w:r>
          </w:p>
        </w:tc>
        <w:tc>
          <w:tcPr>
            <w:tcW w:w="537" w:type="pct"/>
          </w:tcPr>
          <w:p w14:paraId="12C6090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6.8</w:t>
            </w:r>
          </w:p>
        </w:tc>
        <w:tc>
          <w:tcPr>
            <w:tcW w:w="420" w:type="pct"/>
          </w:tcPr>
          <w:p w14:paraId="2E7BAA6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6494D24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0.151</w:t>
            </w:r>
          </w:p>
        </w:tc>
      </w:tr>
      <w:tr w14:paraId="1AAB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0ECAA12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SW-9</w:t>
            </w:r>
          </w:p>
        </w:tc>
        <w:tc>
          <w:tcPr>
            <w:tcW w:w="450" w:type="pct"/>
          </w:tcPr>
          <w:p w14:paraId="389C96D6">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209</w:t>
            </w:r>
          </w:p>
        </w:tc>
        <w:tc>
          <w:tcPr>
            <w:tcW w:w="488" w:type="pct"/>
          </w:tcPr>
          <w:p w14:paraId="3B370DD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0.32</w:t>
            </w:r>
          </w:p>
        </w:tc>
        <w:tc>
          <w:tcPr>
            <w:tcW w:w="518" w:type="pct"/>
          </w:tcPr>
          <w:p w14:paraId="0CFDC4F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0.24</w:t>
            </w:r>
          </w:p>
        </w:tc>
        <w:tc>
          <w:tcPr>
            <w:tcW w:w="588" w:type="pct"/>
          </w:tcPr>
          <w:p w14:paraId="0E731C9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0.22</w:t>
            </w:r>
          </w:p>
        </w:tc>
        <w:tc>
          <w:tcPr>
            <w:tcW w:w="600" w:type="pct"/>
          </w:tcPr>
          <w:p w14:paraId="7C438B2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0.055</w:t>
            </w:r>
          </w:p>
        </w:tc>
        <w:tc>
          <w:tcPr>
            <w:tcW w:w="579" w:type="pct"/>
          </w:tcPr>
          <w:p w14:paraId="55DD2D30">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5.5</w:t>
            </w:r>
          </w:p>
        </w:tc>
        <w:tc>
          <w:tcPr>
            <w:tcW w:w="537" w:type="pct"/>
          </w:tcPr>
          <w:p w14:paraId="66F2954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7.3</w:t>
            </w:r>
          </w:p>
        </w:tc>
        <w:tc>
          <w:tcPr>
            <w:tcW w:w="420" w:type="pct"/>
          </w:tcPr>
          <w:p w14:paraId="4BF22A0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3AC52A48">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0.244</w:t>
            </w:r>
          </w:p>
        </w:tc>
      </w:tr>
      <w:tr w14:paraId="31AF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302D3A7E">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SW-10</w:t>
            </w:r>
          </w:p>
        </w:tc>
        <w:tc>
          <w:tcPr>
            <w:tcW w:w="450" w:type="pct"/>
          </w:tcPr>
          <w:p w14:paraId="68CA5E6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207</w:t>
            </w:r>
          </w:p>
        </w:tc>
        <w:tc>
          <w:tcPr>
            <w:tcW w:w="488" w:type="pct"/>
          </w:tcPr>
          <w:p w14:paraId="216B2B8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0.43</w:t>
            </w:r>
          </w:p>
        </w:tc>
        <w:tc>
          <w:tcPr>
            <w:tcW w:w="518" w:type="pct"/>
          </w:tcPr>
          <w:p w14:paraId="70ACF81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0.23</w:t>
            </w:r>
          </w:p>
        </w:tc>
        <w:tc>
          <w:tcPr>
            <w:tcW w:w="588" w:type="pct"/>
          </w:tcPr>
          <w:p w14:paraId="205EA372">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0.23</w:t>
            </w:r>
          </w:p>
        </w:tc>
        <w:tc>
          <w:tcPr>
            <w:tcW w:w="600" w:type="pct"/>
          </w:tcPr>
          <w:p w14:paraId="6955D97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0.053</w:t>
            </w:r>
          </w:p>
        </w:tc>
        <w:tc>
          <w:tcPr>
            <w:tcW w:w="579" w:type="pct"/>
          </w:tcPr>
          <w:p w14:paraId="4574E74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5.8</w:t>
            </w:r>
          </w:p>
        </w:tc>
        <w:tc>
          <w:tcPr>
            <w:tcW w:w="537" w:type="pct"/>
          </w:tcPr>
          <w:p w14:paraId="5D63995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9.6</w:t>
            </w:r>
          </w:p>
        </w:tc>
        <w:tc>
          <w:tcPr>
            <w:tcW w:w="420" w:type="pct"/>
          </w:tcPr>
          <w:p w14:paraId="399FA60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A（A2）</w:t>
            </w:r>
          </w:p>
        </w:tc>
        <w:tc>
          <w:tcPr>
            <w:tcW w:w="480" w:type="pct"/>
          </w:tcPr>
          <w:p w14:paraId="6759322C">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0.197</w:t>
            </w:r>
          </w:p>
        </w:tc>
      </w:tr>
      <w:tr w14:paraId="54FF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5B9D4FF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单项合格率</w:t>
            </w:r>
          </w:p>
        </w:tc>
        <w:tc>
          <w:tcPr>
            <w:tcW w:w="450" w:type="pct"/>
          </w:tcPr>
          <w:p w14:paraId="27EF425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488" w:type="pct"/>
          </w:tcPr>
          <w:p w14:paraId="76AD0C47">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518" w:type="pct"/>
          </w:tcPr>
          <w:p w14:paraId="49FA4D7F">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588" w:type="pct"/>
          </w:tcPr>
          <w:p w14:paraId="00B0A6E1">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600" w:type="pct"/>
          </w:tcPr>
          <w:p w14:paraId="267EF41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579" w:type="pct"/>
          </w:tcPr>
          <w:p w14:paraId="2D9CD265">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537" w:type="pct"/>
          </w:tcPr>
          <w:p w14:paraId="43CB0EE4">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420" w:type="pct"/>
          </w:tcPr>
          <w:p w14:paraId="5CF12053">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c>
          <w:tcPr>
            <w:tcW w:w="480" w:type="pct"/>
          </w:tcPr>
          <w:p w14:paraId="5AD8017A">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r>
      <w:tr w14:paraId="486D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4" w:type="pct"/>
          </w:tcPr>
          <w:p w14:paraId="3DFC91CB">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总合格率</w:t>
            </w:r>
          </w:p>
        </w:tc>
        <w:tc>
          <w:tcPr>
            <w:tcW w:w="4665" w:type="pct"/>
            <w:gridSpan w:val="9"/>
          </w:tcPr>
          <w:p w14:paraId="3BB301AD">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100%</w:t>
            </w:r>
          </w:p>
        </w:tc>
      </w:tr>
    </w:tbl>
    <w:p w14:paraId="7ECA0EBA">
      <w:pPr>
        <w:snapToGrid w:val="0"/>
        <w:spacing w:line="460" w:lineRule="exact"/>
        <w:ind w:firstLine="424" w:firstLineChars="177"/>
        <w:rPr>
          <w:rFonts w:hint="eastAsia" w:asciiTheme="majorEastAsia" w:hAnsiTheme="majorEastAsia" w:eastAsiaTheme="majorEastAsia"/>
          <w:sz w:val="24"/>
          <w:szCs w:val="24"/>
        </w:rPr>
      </w:pPr>
    </w:p>
    <w:p w14:paraId="4205FB2F">
      <w:pPr>
        <w:snapToGrid w:val="0"/>
        <w:spacing w:line="460" w:lineRule="exact"/>
        <w:ind w:firstLine="424" w:firstLineChars="177"/>
        <w:rPr>
          <w:rFonts w:asciiTheme="majorEastAsia" w:hAnsiTheme="majorEastAsia" w:eastAsiaTheme="majorEastAsia"/>
          <w:sz w:val="24"/>
          <w:szCs w:val="24"/>
        </w:rPr>
      </w:pPr>
    </w:p>
    <w:p w14:paraId="05655F4E">
      <w:pPr>
        <w:snapToGrid w:val="0"/>
        <w:spacing w:line="460" w:lineRule="exact"/>
        <w:ind w:firstLine="424" w:firstLineChars="177"/>
        <w:rPr>
          <w:rFonts w:asciiTheme="majorEastAsia" w:hAnsiTheme="majorEastAsia" w:eastAsiaTheme="majorEastAsia"/>
          <w:sz w:val="24"/>
          <w:szCs w:val="24"/>
        </w:rPr>
      </w:pPr>
    </w:p>
    <w:p w14:paraId="02F6308F">
      <w:pPr>
        <w:snapToGrid w:val="0"/>
        <w:spacing w:line="460" w:lineRule="exact"/>
        <w:ind w:firstLine="424" w:firstLineChars="177"/>
        <w:rPr>
          <w:rFonts w:asciiTheme="majorEastAsia" w:hAnsiTheme="majorEastAsia" w:eastAsiaTheme="majorEastAsia"/>
          <w:sz w:val="24"/>
          <w:szCs w:val="24"/>
        </w:rPr>
      </w:pPr>
    </w:p>
    <w:p w14:paraId="63760627">
      <w:pPr>
        <w:snapToGrid w:val="0"/>
        <w:spacing w:line="460" w:lineRule="exact"/>
        <w:ind w:firstLine="424" w:firstLineChars="177"/>
        <w:rPr>
          <w:rFonts w:asciiTheme="majorEastAsia" w:hAnsiTheme="majorEastAsia" w:eastAsiaTheme="majorEastAsia"/>
          <w:sz w:val="24"/>
          <w:szCs w:val="24"/>
        </w:rPr>
      </w:pPr>
    </w:p>
    <w:p w14:paraId="34847546">
      <w:pPr>
        <w:snapToGrid w:val="0"/>
        <w:spacing w:line="460" w:lineRule="exact"/>
        <w:rPr>
          <w:rFonts w:asciiTheme="majorEastAsia" w:hAnsiTheme="majorEastAsia" w:eastAsiaTheme="majorEastAsia"/>
          <w:sz w:val="24"/>
          <w:szCs w:val="24"/>
        </w:rPr>
      </w:pPr>
    </w:p>
    <w:sectPr>
      <w:pgSz w:w="16838" w:h="11906" w:orient="landscape"/>
      <w:pgMar w:top="1440" w:right="1080" w:bottom="1440" w:left="1080" w:header="851" w:footer="992" w:gutter="0"/>
      <w:pgNumType w:start="1"/>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3741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404132"/>
    </w:sdtPr>
    <w:sdtContent>
      <w:p w14:paraId="209D3130">
        <w:pPr>
          <w:pStyle w:val="7"/>
          <w:jc w:val="center"/>
          <w:rPr>
            <w:sz w:val="21"/>
            <w:szCs w:val="21"/>
          </w:rPr>
        </w:pPr>
        <w:r>
          <w:fldChar w:fldCharType="begin"/>
        </w:r>
        <w:r>
          <w:instrText xml:space="preserve"> PAGE   \* MERGEFORMAT </w:instrText>
        </w:r>
        <w:r>
          <w:fldChar w:fldCharType="separate"/>
        </w:r>
        <w:r>
          <w:rPr>
            <w:lang w:val="zh-CN"/>
          </w:rPr>
          <w:t>0</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98416"/>
    </w:sdtPr>
    <w:sdtContent>
      <w:p w14:paraId="66F9F962">
        <w:pPr>
          <w:pStyle w:val="7"/>
          <w:jc w:val="center"/>
        </w:pPr>
        <w:r>
          <w:fldChar w:fldCharType="begin"/>
        </w:r>
        <w:r>
          <w:instrText xml:space="preserve"> PAGE   \* MERGEFORMAT </w:instrText>
        </w:r>
        <w:r>
          <w:fldChar w:fldCharType="separate"/>
        </w:r>
        <w:r>
          <w:rPr>
            <w:lang w:val="zh-CN"/>
          </w:rPr>
          <w:t>1</w:t>
        </w:r>
        <w:r>
          <w:rPr>
            <w:lang w:val="zh-CN"/>
          </w:rPr>
          <w:fldChar w:fldCharType="end"/>
        </w:r>
      </w:p>
    </w:sdtContent>
  </w:sdt>
  <w:p w14:paraId="1C04CC0C">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3716"/>
    </w:sdtPr>
    <w:sdtContent>
      <w:p w14:paraId="4BB1EAC1">
        <w:pPr>
          <w:pStyle w:val="7"/>
          <w:jc w:val="center"/>
          <w:rPr>
            <w:sz w:val="21"/>
            <w:szCs w:val="21"/>
          </w:rPr>
        </w:pPr>
        <w:r>
          <w:fldChar w:fldCharType="begin"/>
        </w:r>
        <w:r>
          <w:instrText xml:space="preserve"> PAGE   \* MERGEFORMAT </w:instrText>
        </w:r>
        <w:r>
          <w:fldChar w:fldCharType="separate"/>
        </w:r>
        <w:r>
          <w:rPr>
            <w:lang w:val="zh-CN"/>
          </w:rPr>
          <w:t>0</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AF943"/>
    <w:multiLevelType w:val="singleLevel"/>
    <w:tmpl w:val="CF7AF943"/>
    <w:lvl w:ilvl="0" w:tentative="0">
      <w:start w:val="1"/>
      <w:numFmt w:val="decimal"/>
      <w:suff w:val="nothing"/>
      <w:lvlText w:val="（%1）"/>
      <w:lvlJc w:val="left"/>
    </w:lvl>
  </w:abstractNum>
  <w:abstractNum w:abstractNumId="1">
    <w:nsid w:val="0AE367E9"/>
    <w:multiLevelType w:val="multilevel"/>
    <w:tmpl w:val="0AE367E9"/>
    <w:lvl w:ilvl="0" w:tentative="0">
      <w:start w:val="1"/>
      <w:numFmt w:val="none"/>
      <w:pStyle w:val="4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
    <w:nsid w:val="1DCB3BFD"/>
    <w:multiLevelType w:val="multilevel"/>
    <w:tmpl w:val="1DCB3BFD"/>
    <w:lvl w:ilvl="0" w:tentative="0">
      <w:start w:val="1"/>
      <w:numFmt w:val="lowerLetter"/>
      <w:pStyle w:val="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6"/>
      <w:lvlText w:val="%2)"/>
      <w:lvlJc w:val="left"/>
      <w:pPr>
        <w:tabs>
          <w:tab w:val="left" w:pos="1260"/>
        </w:tabs>
        <w:ind w:left="1259" w:hanging="419"/>
      </w:pPr>
      <w:rPr>
        <w:rFonts w:hint="eastAsia"/>
      </w:rPr>
    </w:lvl>
    <w:lvl w:ilvl="2" w:tentative="0">
      <w:start w:val="1"/>
      <w:numFmt w:val="decimal"/>
      <w:pStyle w:val="2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1FC91163"/>
    <w:multiLevelType w:val="multilevel"/>
    <w:tmpl w:val="1FC91163"/>
    <w:lvl w:ilvl="0" w:tentative="0">
      <w:start w:val="1"/>
      <w:numFmt w:val="decimal"/>
      <w:pStyle w:val="20"/>
      <w:suff w:val="nothing"/>
      <w:lvlText w:val="%1　"/>
      <w:lvlJc w:val="left"/>
      <w:pPr>
        <w:ind w:left="71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113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pStyle w:val="22"/>
      <w:suff w:val="nothing"/>
      <w:lvlText w:val="%1.%2.%3.%4　"/>
      <w:lvlJc w:val="left"/>
      <w:pPr>
        <w:ind w:left="142" w:firstLine="0"/>
      </w:pPr>
      <w:rPr>
        <w:rFonts w:hint="eastAsia" w:ascii="黑体" w:hAnsi="Times New Roman" w:eastAsia="黑体"/>
        <w:b w:val="0"/>
        <w:i w:val="0"/>
        <w:sz w:val="21"/>
      </w:rPr>
    </w:lvl>
    <w:lvl w:ilvl="4" w:tentative="0">
      <w:start w:val="1"/>
      <w:numFmt w:val="decimal"/>
      <w:pStyle w:val="23"/>
      <w:suff w:val="nothing"/>
      <w:lvlText w:val="%1.%2.%3.%4.%5　"/>
      <w:lvlJc w:val="left"/>
      <w:pPr>
        <w:ind w:left="0" w:firstLine="0"/>
      </w:pPr>
      <w:rPr>
        <w:rFonts w:hint="eastAsia" w:ascii="黑体" w:hAnsi="Times New Roman" w:eastAsia="黑体"/>
        <w:b w:val="0"/>
        <w:i w:val="0"/>
        <w:sz w:val="21"/>
      </w:rPr>
    </w:lvl>
    <w:lvl w:ilvl="5" w:tentative="0">
      <w:start w:val="1"/>
      <w:numFmt w:val="decimal"/>
      <w:pStyle w:val="2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2827D5B"/>
    <w:multiLevelType w:val="multilevel"/>
    <w:tmpl w:val="22827D5B"/>
    <w:lvl w:ilvl="0" w:tentative="0">
      <w:start w:val="1"/>
      <w:numFmt w:val="none"/>
      <w:pStyle w:val="4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
    <w:nsid w:val="4A11CCB1"/>
    <w:multiLevelType w:val="singleLevel"/>
    <w:tmpl w:val="4A11CCB1"/>
    <w:lvl w:ilvl="0" w:tentative="0">
      <w:start w:val="1"/>
      <w:numFmt w:val="decimal"/>
      <w:suff w:val="nothing"/>
      <w:lvlText w:val="（%1）"/>
      <w:lvlJc w:val="left"/>
    </w:lvl>
  </w:abstractNum>
  <w:abstractNum w:abstractNumId="6">
    <w:nsid w:val="657D3FBC"/>
    <w:multiLevelType w:val="multilevel"/>
    <w:tmpl w:val="657D3FBC"/>
    <w:lvl w:ilvl="0" w:tentative="0">
      <w:start w:val="1"/>
      <w:numFmt w:val="upperLetter"/>
      <w:pStyle w:val="2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5"/>
      <w:suff w:val="nothing"/>
      <w:lvlText w:val="%1.%2.%3　"/>
      <w:lvlJc w:val="left"/>
      <w:pPr>
        <w:ind w:left="0" w:firstLine="0"/>
      </w:pPr>
      <w:rPr>
        <w:rFonts w:hint="eastAsia" w:ascii="黑体" w:hAnsi="Times New Roman" w:eastAsia="黑体"/>
        <w:b w:val="0"/>
        <w:i w:val="0"/>
        <w:sz w:val="21"/>
      </w:rPr>
    </w:lvl>
    <w:lvl w:ilvl="3" w:tentative="0">
      <w:start w:val="1"/>
      <w:numFmt w:val="decimal"/>
      <w:pStyle w:val="30"/>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b w:val="0"/>
        <w:i w:val="0"/>
        <w:sz w:val="21"/>
      </w:rPr>
    </w:lvl>
    <w:lvl w:ilvl="6" w:tentative="0">
      <w:start w:val="1"/>
      <w:numFmt w:val="decimal"/>
      <w:pStyle w:val="3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2"/>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3NzY2OTE4Y2ViOTllZTUyNWRkMDdjMDkyNzExNjcifQ=="/>
  </w:docVars>
  <w:rsids>
    <w:rsidRoot w:val="00E56685"/>
    <w:rsid w:val="00010984"/>
    <w:rsid w:val="00010A8E"/>
    <w:rsid w:val="00010BF9"/>
    <w:rsid w:val="00016D89"/>
    <w:rsid w:val="00022C0F"/>
    <w:rsid w:val="000250FC"/>
    <w:rsid w:val="00027A4B"/>
    <w:rsid w:val="00050385"/>
    <w:rsid w:val="00050DAF"/>
    <w:rsid w:val="00053160"/>
    <w:rsid w:val="000539A1"/>
    <w:rsid w:val="00061410"/>
    <w:rsid w:val="00062D97"/>
    <w:rsid w:val="00070873"/>
    <w:rsid w:val="00073BE9"/>
    <w:rsid w:val="000754F4"/>
    <w:rsid w:val="00076E82"/>
    <w:rsid w:val="00080E80"/>
    <w:rsid w:val="00081661"/>
    <w:rsid w:val="0008693C"/>
    <w:rsid w:val="00087ECC"/>
    <w:rsid w:val="00097AE0"/>
    <w:rsid w:val="000A33B4"/>
    <w:rsid w:val="000A7659"/>
    <w:rsid w:val="000B1E3A"/>
    <w:rsid w:val="000C6363"/>
    <w:rsid w:val="000D0656"/>
    <w:rsid w:val="000D5560"/>
    <w:rsid w:val="000E2F8F"/>
    <w:rsid w:val="000E4364"/>
    <w:rsid w:val="000E73E3"/>
    <w:rsid w:val="000F2052"/>
    <w:rsid w:val="000F7B3D"/>
    <w:rsid w:val="00105B06"/>
    <w:rsid w:val="0010670F"/>
    <w:rsid w:val="00110CAC"/>
    <w:rsid w:val="00113847"/>
    <w:rsid w:val="00115F00"/>
    <w:rsid w:val="00116693"/>
    <w:rsid w:val="00116FEB"/>
    <w:rsid w:val="00117004"/>
    <w:rsid w:val="00121646"/>
    <w:rsid w:val="001276F6"/>
    <w:rsid w:val="00133C4E"/>
    <w:rsid w:val="0013677D"/>
    <w:rsid w:val="00161455"/>
    <w:rsid w:val="00162424"/>
    <w:rsid w:val="001642EF"/>
    <w:rsid w:val="00164944"/>
    <w:rsid w:val="0017538F"/>
    <w:rsid w:val="0018707D"/>
    <w:rsid w:val="00190185"/>
    <w:rsid w:val="00192722"/>
    <w:rsid w:val="00192AFF"/>
    <w:rsid w:val="00195B67"/>
    <w:rsid w:val="001A216B"/>
    <w:rsid w:val="001A227F"/>
    <w:rsid w:val="001A52C7"/>
    <w:rsid w:val="001A5D07"/>
    <w:rsid w:val="001B3878"/>
    <w:rsid w:val="001B3AB3"/>
    <w:rsid w:val="001D2F14"/>
    <w:rsid w:val="001D3835"/>
    <w:rsid w:val="001D5654"/>
    <w:rsid w:val="001D6D15"/>
    <w:rsid w:val="001E0FA7"/>
    <w:rsid w:val="001E1138"/>
    <w:rsid w:val="001E1B27"/>
    <w:rsid w:val="001F1D7A"/>
    <w:rsid w:val="001F35CD"/>
    <w:rsid w:val="001F668E"/>
    <w:rsid w:val="00205DD0"/>
    <w:rsid w:val="00206295"/>
    <w:rsid w:val="00211970"/>
    <w:rsid w:val="0021347D"/>
    <w:rsid w:val="0021360B"/>
    <w:rsid w:val="00215FEB"/>
    <w:rsid w:val="00222A5F"/>
    <w:rsid w:val="00226FFD"/>
    <w:rsid w:val="002277EB"/>
    <w:rsid w:val="00234060"/>
    <w:rsid w:val="002408C5"/>
    <w:rsid w:val="00244226"/>
    <w:rsid w:val="002449A0"/>
    <w:rsid w:val="0024502B"/>
    <w:rsid w:val="00247522"/>
    <w:rsid w:val="00252491"/>
    <w:rsid w:val="00253584"/>
    <w:rsid w:val="00256818"/>
    <w:rsid w:val="0026131C"/>
    <w:rsid w:val="002663F4"/>
    <w:rsid w:val="00280E35"/>
    <w:rsid w:val="00283227"/>
    <w:rsid w:val="00286AEE"/>
    <w:rsid w:val="00296CD7"/>
    <w:rsid w:val="002A08DE"/>
    <w:rsid w:val="002A1FC8"/>
    <w:rsid w:val="002A4222"/>
    <w:rsid w:val="002A48F9"/>
    <w:rsid w:val="002A5775"/>
    <w:rsid w:val="002A6289"/>
    <w:rsid w:val="002B425D"/>
    <w:rsid w:val="002B5624"/>
    <w:rsid w:val="002C092E"/>
    <w:rsid w:val="002C36A8"/>
    <w:rsid w:val="002C5C03"/>
    <w:rsid w:val="002D05A7"/>
    <w:rsid w:val="002E04C9"/>
    <w:rsid w:val="002E1622"/>
    <w:rsid w:val="002E1D38"/>
    <w:rsid w:val="002F7300"/>
    <w:rsid w:val="002F7940"/>
    <w:rsid w:val="00303996"/>
    <w:rsid w:val="00304FA8"/>
    <w:rsid w:val="00306A24"/>
    <w:rsid w:val="00306E04"/>
    <w:rsid w:val="0030754C"/>
    <w:rsid w:val="00313EF0"/>
    <w:rsid w:val="00320E57"/>
    <w:rsid w:val="0032580F"/>
    <w:rsid w:val="00327CFA"/>
    <w:rsid w:val="00332B7E"/>
    <w:rsid w:val="00333B38"/>
    <w:rsid w:val="003357F6"/>
    <w:rsid w:val="00343653"/>
    <w:rsid w:val="003439A8"/>
    <w:rsid w:val="0035125E"/>
    <w:rsid w:val="00351F26"/>
    <w:rsid w:val="00357CE3"/>
    <w:rsid w:val="003600BD"/>
    <w:rsid w:val="00363F1D"/>
    <w:rsid w:val="00364D1B"/>
    <w:rsid w:val="00365F86"/>
    <w:rsid w:val="00372300"/>
    <w:rsid w:val="00373734"/>
    <w:rsid w:val="00376969"/>
    <w:rsid w:val="003771C7"/>
    <w:rsid w:val="003838E7"/>
    <w:rsid w:val="00384B49"/>
    <w:rsid w:val="00386C69"/>
    <w:rsid w:val="003B65A4"/>
    <w:rsid w:val="003C3522"/>
    <w:rsid w:val="003C4733"/>
    <w:rsid w:val="003C5C7E"/>
    <w:rsid w:val="003C7C9D"/>
    <w:rsid w:val="003D10FC"/>
    <w:rsid w:val="003D1A36"/>
    <w:rsid w:val="003D27C0"/>
    <w:rsid w:val="003D482B"/>
    <w:rsid w:val="003E4867"/>
    <w:rsid w:val="003E5A99"/>
    <w:rsid w:val="003E663E"/>
    <w:rsid w:val="003E7642"/>
    <w:rsid w:val="003F61D8"/>
    <w:rsid w:val="003F7686"/>
    <w:rsid w:val="00404321"/>
    <w:rsid w:val="004058EA"/>
    <w:rsid w:val="004106D2"/>
    <w:rsid w:val="00410D1F"/>
    <w:rsid w:val="0041106F"/>
    <w:rsid w:val="00413651"/>
    <w:rsid w:val="0041538B"/>
    <w:rsid w:val="00415796"/>
    <w:rsid w:val="00417756"/>
    <w:rsid w:val="004221D6"/>
    <w:rsid w:val="00424F82"/>
    <w:rsid w:val="0043212D"/>
    <w:rsid w:val="004345F3"/>
    <w:rsid w:val="00437D9A"/>
    <w:rsid w:val="00441301"/>
    <w:rsid w:val="00456840"/>
    <w:rsid w:val="00456CB2"/>
    <w:rsid w:val="004606D1"/>
    <w:rsid w:val="004611C4"/>
    <w:rsid w:val="00461830"/>
    <w:rsid w:val="00465BDF"/>
    <w:rsid w:val="00470EA5"/>
    <w:rsid w:val="00470F5D"/>
    <w:rsid w:val="004734C4"/>
    <w:rsid w:val="00474CC7"/>
    <w:rsid w:val="0048051C"/>
    <w:rsid w:val="00484411"/>
    <w:rsid w:val="00487DF0"/>
    <w:rsid w:val="004939FA"/>
    <w:rsid w:val="00494F36"/>
    <w:rsid w:val="00495814"/>
    <w:rsid w:val="00497380"/>
    <w:rsid w:val="00497CAC"/>
    <w:rsid w:val="004A253D"/>
    <w:rsid w:val="004A441F"/>
    <w:rsid w:val="004B08FA"/>
    <w:rsid w:val="004B1EC9"/>
    <w:rsid w:val="004B35B5"/>
    <w:rsid w:val="004C3F51"/>
    <w:rsid w:val="004D144A"/>
    <w:rsid w:val="004D1635"/>
    <w:rsid w:val="004D2E62"/>
    <w:rsid w:val="004D3C1E"/>
    <w:rsid w:val="004D4AEB"/>
    <w:rsid w:val="004E0CDC"/>
    <w:rsid w:val="004E0DE0"/>
    <w:rsid w:val="004E4850"/>
    <w:rsid w:val="004F121C"/>
    <w:rsid w:val="004F1304"/>
    <w:rsid w:val="004F775C"/>
    <w:rsid w:val="004F7E5C"/>
    <w:rsid w:val="00504519"/>
    <w:rsid w:val="00514F81"/>
    <w:rsid w:val="00520258"/>
    <w:rsid w:val="00522B10"/>
    <w:rsid w:val="00522D07"/>
    <w:rsid w:val="0052372C"/>
    <w:rsid w:val="005517A1"/>
    <w:rsid w:val="00553F95"/>
    <w:rsid w:val="00560061"/>
    <w:rsid w:val="00565F24"/>
    <w:rsid w:val="00575190"/>
    <w:rsid w:val="00576FC7"/>
    <w:rsid w:val="005875FE"/>
    <w:rsid w:val="00590F01"/>
    <w:rsid w:val="00592716"/>
    <w:rsid w:val="005A25F3"/>
    <w:rsid w:val="005A5AD5"/>
    <w:rsid w:val="005B0298"/>
    <w:rsid w:val="005B26AA"/>
    <w:rsid w:val="005C4367"/>
    <w:rsid w:val="005C659B"/>
    <w:rsid w:val="005D1741"/>
    <w:rsid w:val="005D2016"/>
    <w:rsid w:val="005D2476"/>
    <w:rsid w:val="005D32AC"/>
    <w:rsid w:val="005D3985"/>
    <w:rsid w:val="005D6351"/>
    <w:rsid w:val="005E3161"/>
    <w:rsid w:val="005F0AB0"/>
    <w:rsid w:val="005F1246"/>
    <w:rsid w:val="0060674E"/>
    <w:rsid w:val="006113C2"/>
    <w:rsid w:val="00613321"/>
    <w:rsid w:val="00614DFD"/>
    <w:rsid w:val="00621EBE"/>
    <w:rsid w:val="006226DF"/>
    <w:rsid w:val="00630D40"/>
    <w:rsid w:val="00631D3D"/>
    <w:rsid w:val="00631EE1"/>
    <w:rsid w:val="0063288B"/>
    <w:rsid w:val="00636852"/>
    <w:rsid w:val="00650A90"/>
    <w:rsid w:val="00652812"/>
    <w:rsid w:val="00653A06"/>
    <w:rsid w:val="00655D62"/>
    <w:rsid w:val="006647B7"/>
    <w:rsid w:val="006705BB"/>
    <w:rsid w:val="00674084"/>
    <w:rsid w:val="006755B8"/>
    <w:rsid w:val="00677A4A"/>
    <w:rsid w:val="00681738"/>
    <w:rsid w:val="006836CC"/>
    <w:rsid w:val="00687F54"/>
    <w:rsid w:val="00695B82"/>
    <w:rsid w:val="006A139B"/>
    <w:rsid w:val="006A16DF"/>
    <w:rsid w:val="006A2138"/>
    <w:rsid w:val="006B031F"/>
    <w:rsid w:val="006B04F9"/>
    <w:rsid w:val="006B0A7E"/>
    <w:rsid w:val="006B11FD"/>
    <w:rsid w:val="006B5381"/>
    <w:rsid w:val="006B7ECD"/>
    <w:rsid w:val="006D0304"/>
    <w:rsid w:val="006D16D6"/>
    <w:rsid w:val="006D7B7B"/>
    <w:rsid w:val="006E76CA"/>
    <w:rsid w:val="006F395C"/>
    <w:rsid w:val="006F6E9F"/>
    <w:rsid w:val="00702846"/>
    <w:rsid w:val="00702CDE"/>
    <w:rsid w:val="00721F45"/>
    <w:rsid w:val="007222FD"/>
    <w:rsid w:val="007239CB"/>
    <w:rsid w:val="007250B8"/>
    <w:rsid w:val="00733B9A"/>
    <w:rsid w:val="00741303"/>
    <w:rsid w:val="007435A7"/>
    <w:rsid w:val="00743F17"/>
    <w:rsid w:val="007449C4"/>
    <w:rsid w:val="007467D6"/>
    <w:rsid w:val="00747015"/>
    <w:rsid w:val="007570B1"/>
    <w:rsid w:val="007615A3"/>
    <w:rsid w:val="00761F2E"/>
    <w:rsid w:val="0077134A"/>
    <w:rsid w:val="00772FE7"/>
    <w:rsid w:val="00777580"/>
    <w:rsid w:val="007800D8"/>
    <w:rsid w:val="007832D8"/>
    <w:rsid w:val="00791189"/>
    <w:rsid w:val="007A1152"/>
    <w:rsid w:val="007A12D4"/>
    <w:rsid w:val="007A30D4"/>
    <w:rsid w:val="007A6822"/>
    <w:rsid w:val="007B6F76"/>
    <w:rsid w:val="007C01A2"/>
    <w:rsid w:val="007C43F2"/>
    <w:rsid w:val="007D1E01"/>
    <w:rsid w:val="007D28BE"/>
    <w:rsid w:val="007E49B3"/>
    <w:rsid w:val="007F06AA"/>
    <w:rsid w:val="007F3BF4"/>
    <w:rsid w:val="007F4575"/>
    <w:rsid w:val="007F5295"/>
    <w:rsid w:val="007F5758"/>
    <w:rsid w:val="0080188B"/>
    <w:rsid w:val="00804468"/>
    <w:rsid w:val="00805670"/>
    <w:rsid w:val="0080658F"/>
    <w:rsid w:val="00810F0C"/>
    <w:rsid w:val="00812A43"/>
    <w:rsid w:val="00817174"/>
    <w:rsid w:val="0082011B"/>
    <w:rsid w:val="00821922"/>
    <w:rsid w:val="00821A4E"/>
    <w:rsid w:val="00821B2B"/>
    <w:rsid w:val="00822E57"/>
    <w:rsid w:val="00823FCA"/>
    <w:rsid w:val="0083079F"/>
    <w:rsid w:val="00833442"/>
    <w:rsid w:val="0084183E"/>
    <w:rsid w:val="008458B1"/>
    <w:rsid w:val="00846AA6"/>
    <w:rsid w:val="0084701E"/>
    <w:rsid w:val="008502F7"/>
    <w:rsid w:val="008536F9"/>
    <w:rsid w:val="00853B00"/>
    <w:rsid w:val="00861B19"/>
    <w:rsid w:val="00861B31"/>
    <w:rsid w:val="008664F5"/>
    <w:rsid w:val="00875959"/>
    <w:rsid w:val="00876A46"/>
    <w:rsid w:val="00885E09"/>
    <w:rsid w:val="008877E5"/>
    <w:rsid w:val="00887CD3"/>
    <w:rsid w:val="008900FF"/>
    <w:rsid w:val="008922AF"/>
    <w:rsid w:val="0089707B"/>
    <w:rsid w:val="00897EBE"/>
    <w:rsid w:val="008A1290"/>
    <w:rsid w:val="008A1F56"/>
    <w:rsid w:val="008A3168"/>
    <w:rsid w:val="008A3993"/>
    <w:rsid w:val="008A3AC8"/>
    <w:rsid w:val="008A444B"/>
    <w:rsid w:val="008B2EF6"/>
    <w:rsid w:val="008B320E"/>
    <w:rsid w:val="008B38BF"/>
    <w:rsid w:val="008B4EE7"/>
    <w:rsid w:val="008B7DAB"/>
    <w:rsid w:val="008C1605"/>
    <w:rsid w:val="008C165E"/>
    <w:rsid w:val="008C3405"/>
    <w:rsid w:val="008C3C28"/>
    <w:rsid w:val="008C51D1"/>
    <w:rsid w:val="008E0C9F"/>
    <w:rsid w:val="008E2D96"/>
    <w:rsid w:val="008E4C32"/>
    <w:rsid w:val="008F08C5"/>
    <w:rsid w:val="008F7E67"/>
    <w:rsid w:val="009026CC"/>
    <w:rsid w:val="00902782"/>
    <w:rsid w:val="00904044"/>
    <w:rsid w:val="00906AAA"/>
    <w:rsid w:val="00910133"/>
    <w:rsid w:val="009155F3"/>
    <w:rsid w:val="00930D3F"/>
    <w:rsid w:val="00932BC8"/>
    <w:rsid w:val="0093598B"/>
    <w:rsid w:val="00936CA2"/>
    <w:rsid w:val="009405ED"/>
    <w:rsid w:val="0094618D"/>
    <w:rsid w:val="009462FA"/>
    <w:rsid w:val="009466E0"/>
    <w:rsid w:val="00946FD6"/>
    <w:rsid w:val="009568B0"/>
    <w:rsid w:val="0095705D"/>
    <w:rsid w:val="00957FB6"/>
    <w:rsid w:val="00962DC1"/>
    <w:rsid w:val="00962E54"/>
    <w:rsid w:val="00963003"/>
    <w:rsid w:val="00963F32"/>
    <w:rsid w:val="00965DE7"/>
    <w:rsid w:val="0096683A"/>
    <w:rsid w:val="009675CE"/>
    <w:rsid w:val="00967FB0"/>
    <w:rsid w:val="009744BB"/>
    <w:rsid w:val="00983C82"/>
    <w:rsid w:val="00986FA0"/>
    <w:rsid w:val="00994921"/>
    <w:rsid w:val="00994B12"/>
    <w:rsid w:val="009975EC"/>
    <w:rsid w:val="00997EEF"/>
    <w:rsid w:val="009A532F"/>
    <w:rsid w:val="009B3ECF"/>
    <w:rsid w:val="009C2D9C"/>
    <w:rsid w:val="009C32FC"/>
    <w:rsid w:val="009C444B"/>
    <w:rsid w:val="009C5821"/>
    <w:rsid w:val="009D428A"/>
    <w:rsid w:val="009D44CF"/>
    <w:rsid w:val="009F4C35"/>
    <w:rsid w:val="009F63E1"/>
    <w:rsid w:val="00A074F4"/>
    <w:rsid w:val="00A23DF5"/>
    <w:rsid w:val="00A3700F"/>
    <w:rsid w:val="00A37F90"/>
    <w:rsid w:val="00A63E6F"/>
    <w:rsid w:val="00A67BDD"/>
    <w:rsid w:val="00A7166B"/>
    <w:rsid w:val="00A74D27"/>
    <w:rsid w:val="00A80DA4"/>
    <w:rsid w:val="00A85A51"/>
    <w:rsid w:val="00A907EB"/>
    <w:rsid w:val="00A9329A"/>
    <w:rsid w:val="00A96515"/>
    <w:rsid w:val="00AA1740"/>
    <w:rsid w:val="00AB43E6"/>
    <w:rsid w:val="00AB4761"/>
    <w:rsid w:val="00AB60AC"/>
    <w:rsid w:val="00AC01E7"/>
    <w:rsid w:val="00AC4308"/>
    <w:rsid w:val="00AC4418"/>
    <w:rsid w:val="00AC77CA"/>
    <w:rsid w:val="00AE1FD9"/>
    <w:rsid w:val="00AF5F0A"/>
    <w:rsid w:val="00B0080B"/>
    <w:rsid w:val="00B02329"/>
    <w:rsid w:val="00B02402"/>
    <w:rsid w:val="00B075C5"/>
    <w:rsid w:val="00B158D7"/>
    <w:rsid w:val="00B220FC"/>
    <w:rsid w:val="00B23B7F"/>
    <w:rsid w:val="00B2722B"/>
    <w:rsid w:val="00B30BA3"/>
    <w:rsid w:val="00B32777"/>
    <w:rsid w:val="00B32C13"/>
    <w:rsid w:val="00B337EB"/>
    <w:rsid w:val="00B36020"/>
    <w:rsid w:val="00B40327"/>
    <w:rsid w:val="00B4387C"/>
    <w:rsid w:val="00B441E4"/>
    <w:rsid w:val="00B50FC4"/>
    <w:rsid w:val="00B55C96"/>
    <w:rsid w:val="00B61460"/>
    <w:rsid w:val="00B6436C"/>
    <w:rsid w:val="00B645A9"/>
    <w:rsid w:val="00B66510"/>
    <w:rsid w:val="00B67D1D"/>
    <w:rsid w:val="00B70E06"/>
    <w:rsid w:val="00B71BB4"/>
    <w:rsid w:val="00B7275A"/>
    <w:rsid w:val="00B82B68"/>
    <w:rsid w:val="00B85507"/>
    <w:rsid w:val="00B858F6"/>
    <w:rsid w:val="00B90A58"/>
    <w:rsid w:val="00B97C84"/>
    <w:rsid w:val="00BA7845"/>
    <w:rsid w:val="00BB094D"/>
    <w:rsid w:val="00BB0A11"/>
    <w:rsid w:val="00BB13FD"/>
    <w:rsid w:val="00BB4DFA"/>
    <w:rsid w:val="00BB5A12"/>
    <w:rsid w:val="00BC3FB0"/>
    <w:rsid w:val="00BD434F"/>
    <w:rsid w:val="00BD549F"/>
    <w:rsid w:val="00BD5673"/>
    <w:rsid w:val="00BF3C60"/>
    <w:rsid w:val="00C0232F"/>
    <w:rsid w:val="00C03651"/>
    <w:rsid w:val="00C066B1"/>
    <w:rsid w:val="00C155DF"/>
    <w:rsid w:val="00C15A5F"/>
    <w:rsid w:val="00C20C88"/>
    <w:rsid w:val="00C2148E"/>
    <w:rsid w:val="00C21EF2"/>
    <w:rsid w:val="00C3504A"/>
    <w:rsid w:val="00C35F8A"/>
    <w:rsid w:val="00C378AA"/>
    <w:rsid w:val="00C41C53"/>
    <w:rsid w:val="00C5097A"/>
    <w:rsid w:val="00C55148"/>
    <w:rsid w:val="00C55287"/>
    <w:rsid w:val="00C55BE9"/>
    <w:rsid w:val="00C55ED1"/>
    <w:rsid w:val="00C57E33"/>
    <w:rsid w:val="00C6631C"/>
    <w:rsid w:val="00C66A20"/>
    <w:rsid w:val="00C7331F"/>
    <w:rsid w:val="00C7776B"/>
    <w:rsid w:val="00C77CB5"/>
    <w:rsid w:val="00C77F48"/>
    <w:rsid w:val="00C822EA"/>
    <w:rsid w:val="00C83692"/>
    <w:rsid w:val="00C94C67"/>
    <w:rsid w:val="00CA2147"/>
    <w:rsid w:val="00CA2E4F"/>
    <w:rsid w:val="00CA5AE3"/>
    <w:rsid w:val="00CA778A"/>
    <w:rsid w:val="00CB535D"/>
    <w:rsid w:val="00CB53BF"/>
    <w:rsid w:val="00CC1C32"/>
    <w:rsid w:val="00CC3754"/>
    <w:rsid w:val="00CC4DAE"/>
    <w:rsid w:val="00CE1A0A"/>
    <w:rsid w:val="00CE2731"/>
    <w:rsid w:val="00CE4891"/>
    <w:rsid w:val="00CE7030"/>
    <w:rsid w:val="00CF037C"/>
    <w:rsid w:val="00CF474A"/>
    <w:rsid w:val="00D062C2"/>
    <w:rsid w:val="00D24016"/>
    <w:rsid w:val="00D2529B"/>
    <w:rsid w:val="00D272B2"/>
    <w:rsid w:val="00D31E5C"/>
    <w:rsid w:val="00D348D4"/>
    <w:rsid w:val="00D3684C"/>
    <w:rsid w:val="00D41C9E"/>
    <w:rsid w:val="00D424A7"/>
    <w:rsid w:val="00D51992"/>
    <w:rsid w:val="00D51D11"/>
    <w:rsid w:val="00D53106"/>
    <w:rsid w:val="00D5398A"/>
    <w:rsid w:val="00D53A93"/>
    <w:rsid w:val="00D57DBC"/>
    <w:rsid w:val="00D60D22"/>
    <w:rsid w:val="00D63C89"/>
    <w:rsid w:val="00D73947"/>
    <w:rsid w:val="00D82CC4"/>
    <w:rsid w:val="00D95389"/>
    <w:rsid w:val="00D96829"/>
    <w:rsid w:val="00DE3ABA"/>
    <w:rsid w:val="00DE70EE"/>
    <w:rsid w:val="00DF4596"/>
    <w:rsid w:val="00DF53C1"/>
    <w:rsid w:val="00DF7E26"/>
    <w:rsid w:val="00E02BC6"/>
    <w:rsid w:val="00E046D6"/>
    <w:rsid w:val="00E05550"/>
    <w:rsid w:val="00E060D0"/>
    <w:rsid w:val="00E106E1"/>
    <w:rsid w:val="00E13CA9"/>
    <w:rsid w:val="00E16958"/>
    <w:rsid w:val="00E21A6A"/>
    <w:rsid w:val="00E22123"/>
    <w:rsid w:val="00E2351A"/>
    <w:rsid w:val="00E26946"/>
    <w:rsid w:val="00E26F39"/>
    <w:rsid w:val="00E32C5B"/>
    <w:rsid w:val="00E3551E"/>
    <w:rsid w:val="00E40AC0"/>
    <w:rsid w:val="00E47BA1"/>
    <w:rsid w:val="00E526AA"/>
    <w:rsid w:val="00E535E3"/>
    <w:rsid w:val="00E54EAF"/>
    <w:rsid w:val="00E56685"/>
    <w:rsid w:val="00E61970"/>
    <w:rsid w:val="00E67F7E"/>
    <w:rsid w:val="00E751EC"/>
    <w:rsid w:val="00E80659"/>
    <w:rsid w:val="00E81527"/>
    <w:rsid w:val="00E83169"/>
    <w:rsid w:val="00E8382D"/>
    <w:rsid w:val="00E84963"/>
    <w:rsid w:val="00E852AA"/>
    <w:rsid w:val="00E87D8D"/>
    <w:rsid w:val="00E96F19"/>
    <w:rsid w:val="00EA19FA"/>
    <w:rsid w:val="00EB24A5"/>
    <w:rsid w:val="00EB4B93"/>
    <w:rsid w:val="00EB5695"/>
    <w:rsid w:val="00EB5772"/>
    <w:rsid w:val="00EB76B0"/>
    <w:rsid w:val="00EB7DB5"/>
    <w:rsid w:val="00EC4870"/>
    <w:rsid w:val="00ED0112"/>
    <w:rsid w:val="00ED5ABE"/>
    <w:rsid w:val="00ED63A5"/>
    <w:rsid w:val="00ED752D"/>
    <w:rsid w:val="00EE5795"/>
    <w:rsid w:val="00EE58DD"/>
    <w:rsid w:val="00EE6A88"/>
    <w:rsid w:val="00EF0E17"/>
    <w:rsid w:val="00EF15BE"/>
    <w:rsid w:val="00EF2841"/>
    <w:rsid w:val="00EF3E3B"/>
    <w:rsid w:val="00F03DE5"/>
    <w:rsid w:val="00F06EF7"/>
    <w:rsid w:val="00F1473E"/>
    <w:rsid w:val="00F154B8"/>
    <w:rsid w:val="00F21C34"/>
    <w:rsid w:val="00F331DA"/>
    <w:rsid w:val="00F33742"/>
    <w:rsid w:val="00F40B0A"/>
    <w:rsid w:val="00F42911"/>
    <w:rsid w:val="00F44CB1"/>
    <w:rsid w:val="00F47B97"/>
    <w:rsid w:val="00F5085F"/>
    <w:rsid w:val="00F54016"/>
    <w:rsid w:val="00F55D89"/>
    <w:rsid w:val="00F571F4"/>
    <w:rsid w:val="00F60B25"/>
    <w:rsid w:val="00F62BAD"/>
    <w:rsid w:val="00F679A7"/>
    <w:rsid w:val="00F715C3"/>
    <w:rsid w:val="00F72CFF"/>
    <w:rsid w:val="00F77102"/>
    <w:rsid w:val="00F84698"/>
    <w:rsid w:val="00F85A8C"/>
    <w:rsid w:val="00F85D48"/>
    <w:rsid w:val="00F87DBE"/>
    <w:rsid w:val="00F913DE"/>
    <w:rsid w:val="00F916A0"/>
    <w:rsid w:val="00F921AA"/>
    <w:rsid w:val="00F94F7C"/>
    <w:rsid w:val="00F96677"/>
    <w:rsid w:val="00F96886"/>
    <w:rsid w:val="00F97F51"/>
    <w:rsid w:val="00FB3D5D"/>
    <w:rsid w:val="00FB5DF0"/>
    <w:rsid w:val="00FB607A"/>
    <w:rsid w:val="00FC3882"/>
    <w:rsid w:val="00FC6662"/>
    <w:rsid w:val="00FC7B4C"/>
    <w:rsid w:val="00FD7E4A"/>
    <w:rsid w:val="00FE66F4"/>
    <w:rsid w:val="00FF0046"/>
    <w:rsid w:val="01AF41F8"/>
    <w:rsid w:val="030B4F02"/>
    <w:rsid w:val="03B15C72"/>
    <w:rsid w:val="04D53E88"/>
    <w:rsid w:val="068235D3"/>
    <w:rsid w:val="071C6FC5"/>
    <w:rsid w:val="083656BB"/>
    <w:rsid w:val="095B4C65"/>
    <w:rsid w:val="0A55351C"/>
    <w:rsid w:val="0B884C29"/>
    <w:rsid w:val="0CB01141"/>
    <w:rsid w:val="10184BF9"/>
    <w:rsid w:val="10235F6B"/>
    <w:rsid w:val="104906FF"/>
    <w:rsid w:val="11E64458"/>
    <w:rsid w:val="12C7072D"/>
    <w:rsid w:val="14CD1776"/>
    <w:rsid w:val="168E1562"/>
    <w:rsid w:val="16EA07A3"/>
    <w:rsid w:val="173D27AB"/>
    <w:rsid w:val="17BB29A8"/>
    <w:rsid w:val="1B3D45AE"/>
    <w:rsid w:val="1D971967"/>
    <w:rsid w:val="1DBB5279"/>
    <w:rsid w:val="1E4A0464"/>
    <w:rsid w:val="1E7079F9"/>
    <w:rsid w:val="1E7A33AB"/>
    <w:rsid w:val="1FCF1D0B"/>
    <w:rsid w:val="20FA05C4"/>
    <w:rsid w:val="227B600E"/>
    <w:rsid w:val="234C4803"/>
    <w:rsid w:val="245E5A70"/>
    <w:rsid w:val="248D10AB"/>
    <w:rsid w:val="249E0BC2"/>
    <w:rsid w:val="24A106B2"/>
    <w:rsid w:val="256016EE"/>
    <w:rsid w:val="25BF34E6"/>
    <w:rsid w:val="26086C3B"/>
    <w:rsid w:val="267774BB"/>
    <w:rsid w:val="274F2647"/>
    <w:rsid w:val="27594A18"/>
    <w:rsid w:val="2B530A28"/>
    <w:rsid w:val="2C2223E1"/>
    <w:rsid w:val="2E104C85"/>
    <w:rsid w:val="2F091011"/>
    <w:rsid w:val="306C51DB"/>
    <w:rsid w:val="30DE023D"/>
    <w:rsid w:val="31474392"/>
    <w:rsid w:val="36D205B4"/>
    <w:rsid w:val="38E70932"/>
    <w:rsid w:val="399003FF"/>
    <w:rsid w:val="3A4848BD"/>
    <w:rsid w:val="3A4E3769"/>
    <w:rsid w:val="3A9429F9"/>
    <w:rsid w:val="3BC94C91"/>
    <w:rsid w:val="3CFB0E50"/>
    <w:rsid w:val="3D842BF3"/>
    <w:rsid w:val="3DFA425E"/>
    <w:rsid w:val="40123E80"/>
    <w:rsid w:val="41256110"/>
    <w:rsid w:val="41916BCF"/>
    <w:rsid w:val="4216114E"/>
    <w:rsid w:val="425863FC"/>
    <w:rsid w:val="42FF2D1C"/>
    <w:rsid w:val="441A4B42"/>
    <w:rsid w:val="46B506EF"/>
    <w:rsid w:val="4B1840F5"/>
    <w:rsid w:val="4B4C4394"/>
    <w:rsid w:val="4B884DE3"/>
    <w:rsid w:val="4C724EDE"/>
    <w:rsid w:val="4D8163A5"/>
    <w:rsid w:val="4DEC5671"/>
    <w:rsid w:val="50994E97"/>
    <w:rsid w:val="50A63621"/>
    <w:rsid w:val="53406216"/>
    <w:rsid w:val="5560400F"/>
    <w:rsid w:val="5748141E"/>
    <w:rsid w:val="585A6523"/>
    <w:rsid w:val="58613E05"/>
    <w:rsid w:val="59FB0767"/>
    <w:rsid w:val="5B6B6D49"/>
    <w:rsid w:val="5C367357"/>
    <w:rsid w:val="5CE772D2"/>
    <w:rsid w:val="5CED3EB9"/>
    <w:rsid w:val="5E7E0C7E"/>
    <w:rsid w:val="5F7344CF"/>
    <w:rsid w:val="62293E4C"/>
    <w:rsid w:val="622C0168"/>
    <w:rsid w:val="62ED129E"/>
    <w:rsid w:val="64103412"/>
    <w:rsid w:val="6541625B"/>
    <w:rsid w:val="67292AA1"/>
    <w:rsid w:val="67C223E6"/>
    <w:rsid w:val="69A5393C"/>
    <w:rsid w:val="6C1A6212"/>
    <w:rsid w:val="6C525659"/>
    <w:rsid w:val="6D524DF6"/>
    <w:rsid w:val="6D855A48"/>
    <w:rsid w:val="6EFD4732"/>
    <w:rsid w:val="6F3F1E5C"/>
    <w:rsid w:val="6F96022A"/>
    <w:rsid w:val="707142B4"/>
    <w:rsid w:val="71484CF5"/>
    <w:rsid w:val="72127AC6"/>
    <w:rsid w:val="7513535E"/>
    <w:rsid w:val="759578E3"/>
    <w:rsid w:val="768A40CF"/>
    <w:rsid w:val="76C64EDC"/>
    <w:rsid w:val="76E829F9"/>
    <w:rsid w:val="786B7840"/>
    <w:rsid w:val="78FD1CDB"/>
    <w:rsid w:val="7BAC6C90"/>
    <w:rsid w:val="7BAD5ACB"/>
    <w:rsid w:val="7F097369"/>
    <w:rsid w:val="7FF576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0"/>
    <w:autoRedefine/>
    <w:semiHidden/>
    <w:unhideWhenUsed/>
    <w:qFormat/>
    <w:uiPriority w:val="99"/>
    <w:pPr>
      <w:jc w:val="left"/>
    </w:pPr>
  </w:style>
  <w:style w:type="paragraph" w:styleId="3">
    <w:name w:val="Body Text"/>
    <w:basedOn w:val="1"/>
    <w:next w:val="1"/>
    <w:autoRedefine/>
    <w:unhideWhenUsed/>
    <w:qFormat/>
    <w:uiPriority w:val="99"/>
    <w:pPr>
      <w:spacing w:after="120"/>
    </w:pPr>
  </w:style>
  <w:style w:type="paragraph" w:styleId="4">
    <w:name w:val="toc 3"/>
    <w:basedOn w:val="1"/>
    <w:next w:val="1"/>
    <w:autoRedefine/>
    <w:unhideWhenUsed/>
    <w:qFormat/>
    <w:uiPriority w:val="39"/>
    <w:pPr>
      <w:ind w:left="840" w:leftChars="400"/>
    </w:pPr>
  </w:style>
  <w:style w:type="paragraph" w:styleId="5">
    <w:name w:val="Date"/>
    <w:basedOn w:val="1"/>
    <w:next w:val="1"/>
    <w:link w:val="44"/>
    <w:autoRedefine/>
    <w:semiHidden/>
    <w:unhideWhenUsed/>
    <w:qFormat/>
    <w:uiPriority w:val="99"/>
    <w:pPr>
      <w:ind w:left="100" w:leftChars="2500"/>
    </w:pPr>
  </w:style>
  <w:style w:type="paragraph" w:styleId="6">
    <w:name w:val="Balloon Text"/>
    <w:basedOn w:val="1"/>
    <w:link w:val="41"/>
    <w:autoRedefine/>
    <w:semiHidden/>
    <w:unhideWhenUsed/>
    <w:qFormat/>
    <w:uiPriority w:val="99"/>
    <w:rPr>
      <w:sz w:val="18"/>
      <w:szCs w:val="18"/>
    </w:rPr>
  </w:style>
  <w:style w:type="paragraph" w:styleId="7">
    <w:name w:val="footer"/>
    <w:basedOn w:val="1"/>
    <w:link w:val="16"/>
    <w:autoRedefine/>
    <w:unhideWhenUsed/>
    <w:qFormat/>
    <w:uiPriority w:val="99"/>
    <w:pPr>
      <w:tabs>
        <w:tab w:val="center" w:pos="4153"/>
        <w:tab w:val="right" w:pos="8306"/>
      </w:tabs>
      <w:snapToGrid w:val="0"/>
      <w:jc w:val="left"/>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autoRedefine/>
    <w:unhideWhenUsed/>
    <w:qFormat/>
    <w:uiPriority w:val="39"/>
    <w:pPr>
      <w:ind w:left="420" w:leftChars="200"/>
    </w:p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autoRedefine/>
    <w:unhideWhenUsed/>
    <w:qFormat/>
    <w:uiPriority w:val="99"/>
    <w:rPr>
      <w:color w:val="0000FF" w:themeColor="hyperlink"/>
      <w:u w:val="single"/>
      <w14:textFill>
        <w14:solidFill>
          <w14:schemeClr w14:val="hlink"/>
        </w14:solidFill>
      </w14:textFill>
    </w:rPr>
  </w:style>
  <w:style w:type="character" w:styleId="14">
    <w:name w:val="annotation reference"/>
    <w:basedOn w:val="12"/>
    <w:autoRedefine/>
    <w:semiHidden/>
    <w:unhideWhenUsed/>
    <w:qFormat/>
    <w:uiPriority w:val="99"/>
    <w:rPr>
      <w:sz w:val="21"/>
      <w:szCs w:val="21"/>
    </w:rPr>
  </w:style>
  <w:style w:type="character" w:customStyle="1" w:styleId="15">
    <w:name w:val="页眉 字符"/>
    <w:basedOn w:val="12"/>
    <w:link w:val="8"/>
    <w:autoRedefine/>
    <w:qFormat/>
    <w:uiPriority w:val="99"/>
    <w:rPr>
      <w:sz w:val="18"/>
      <w:szCs w:val="18"/>
    </w:rPr>
  </w:style>
  <w:style w:type="character" w:customStyle="1" w:styleId="16">
    <w:name w:val="页脚 字符"/>
    <w:basedOn w:val="12"/>
    <w:link w:val="7"/>
    <w:autoRedefine/>
    <w:qFormat/>
    <w:uiPriority w:val="99"/>
    <w:rPr>
      <w:sz w:val="18"/>
      <w:szCs w:val="18"/>
    </w:rPr>
  </w:style>
  <w:style w:type="paragraph" w:customStyle="1" w:styleId="17">
    <w:name w:val="段"/>
    <w:link w:val="18"/>
    <w:autoRedefine/>
    <w:qFormat/>
    <w:uiPriority w:val="0"/>
    <w:pPr>
      <w:tabs>
        <w:tab w:val="center" w:pos="4201"/>
        <w:tab w:val="right" w:leader="dot" w:pos="9298"/>
      </w:tabs>
      <w:autoSpaceDE w:val="0"/>
      <w:autoSpaceDN w:val="0"/>
      <w:ind w:firstLine="420" w:firstLineChars="200"/>
      <w:jc w:val="both"/>
    </w:pPr>
    <w:rPr>
      <w:rFonts w:ascii="宋体" w:hAnsi="宋体" w:eastAsia="宋体" w:cs="宋体"/>
      <w:color w:val="000000"/>
      <w:sz w:val="21"/>
      <w:szCs w:val="21"/>
      <w:lang w:val="en-US" w:eastAsia="zh-CN" w:bidi="ar-SA"/>
    </w:rPr>
  </w:style>
  <w:style w:type="character" w:customStyle="1" w:styleId="18">
    <w:name w:val="段 Char"/>
    <w:basedOn w:val="12"/>
    <w:link w:val="17"/>
    <w:autoRedefine/>
    <w:qFormat/>
    <w:uiPriority w:val="0"/>
    <w:rPr>
      <w:rFonts w:ascii="宋体" w:hAnsi="宋体" w:eastAsia="宋体" w:cs="宋体"/>
      <w:color w:val="000000"/>
      <w:kern w:val="0"/>
    </w:rPr>
  </w:style>
  <w:style w:type="paragraph" w:customStyle="1" w:styleId="19">
    <w:name w:val="一级条标题"/>
    <w:next w:val="17"/>
    <w:autoRedefine/>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章标题"/>
    <w:next w:val="17"/>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1">
    <w:name w:val="二级条标题"/>
    <w:basedOn w:val="19"/>
    <w:next w:val="17"/>
    <w:autoRedefine/>
    <w:qFormat/>
    <w:uiPriority w:val="0"/>
    <w:pPr>
      <w:numPr>
        <w:ilvl w:val="2"/>
      </w:numPr>
      <w:outlineLvl w:val="3"/>
    </w:pPr>
  </w:style>
  <w:style w:type="paragraph" w:customStyle="1" w:styleId="22">
    <w:name w:val="三级条标题"/>
    <w:basedOn w:val="21"/>
    <w:next w:val="17"/>
    <w:autoRedefine/>
    <w:qFormat/>
    <w:uiPriority w:val="0"/>
    <w:pPr>
      <w:numPr>
        <w:ilvl w:val="3"/>
      </w:numPr>
      <w:outlineLvl w:val="4"/>
    </w:pPr>
  </w:style>
  <w:style w:type="paragraph" w:customStyle="1" w:styleId="23">
    <w:name w:val="四级条标题"/>
    <w:basedOn w:val="22"/>
    <w:next w:val="17"/>
    <w:autoRedefine/>
    <w:qFormat/>
    <w:uiPriority w:val="0"/>
    <w:pPr>
      <w:numPr>
        <w:ilvl w:val="4"/>
      </w:numPr>
      <w:outlineLvl w:val="5"/>
    </w:pPr>
  </w:style>
  <w:style w:type="paragraph" w:customStyle="1" w:styleId="24">
    <w:name w:val="五级条标题"/>
    <w:basedOn w:val="23"/>
    <w:next w:val="17"/>
    <w:autoRedefine/>
    <w:qFormat/>
    <w:uiPriority w:val="0"/>
    <w:pPr>
      <w:numPr>
        <w:ilvl w:val="5"/>
      </w:numPr>
      <w:outlineLvl w:val="6"/>
    </w:pPr>
  </w:style>
  <w:style w:type="paragraph" w:customStyle="1" w:styleId="25">
    <w:name w:val="一级无"/>
    <w:basedOn w:val="19"/>
    <w:autoRedefine/>
    <w:qFormat/>
    <w:uiPriority w:val="0"/>
    <w:pPr>
      <w:numPr>
        <w:ilvl w:val="0"/>
        <w:numId w:val="0"/>
      </w:numPr>
      <w:spacing w:beforeLines="0" w:afterLines="0"/>
      <w:ind w:left="284" w:hanging="420"/>
    </w:pPr>
    <w:rPr>
      <w:rFonts w:ascii="宋体" w:eastAsia="宋体"/>
    </w:rPr>
  </w:style>
  <w:style w:type="paragraph" w:customStyle="1" w:styleId="26">
    <w:name w:val="数字编号列项（二级）"/>
    <w:autoRedefine/>
    <w:qFormat/>
    <w:uiPriority w:val="0"/>
    <w:pPr>
      <w:numPr>
        <w:ilvl w:val="1"/>
        <w:numId w:val="2"/>
      </w:numPr>
      <w:jc w:val="both"/>
    </w:pPr>
    <w:rPr>
      <w:rFonts w:ascii="宋体" w:hAnsi="Times New Roman" w:eastAsia="宋体" w:cs="Times New Roman"/>
      <w:sz w:val="21"/>
      <w:lang w:val="en-US" w:eastAsia="zh-CN" w:bidi="ar-SA"/>
    </w:rPr>
  </w:style>
  <w:style w:type="paragraph" w:customStyle="1" w:styleId="27">
    <w:name w:val="字母编号列项（一级）"/>
    <w:autoRedefine/>
    <w:qFormat/>
    <w:uiPriority w:val="0"/>
    <w:pPr>
      <w:numPr>
        <w:ilvl w:val="0"/>
        <w:numId w:val="2"/>
      </w:numPr>
      <w:jc w:val="both"/>
    </w:pPr>
    <w:rPr>
      <w:rFonts w:ascii="宋体" w:hAnsi="Times New Roman" w:eastAsia="宋体" w:cs="Times New Roman"/>
      <w:sz w:val="21"/>
      <w:lang w:val="en-US" w:eastAsia="zh-CN" w:bidi="ar-SA"/>
    </w:rPr>
  </w:style>
  <w:style w:type="paragraph" w:customStyle="1" w:styleId="28">
    <w:name w:val="编号列项（三级）"/>
    <w:autoRedefine/>
    <w:qFormat/>
    <w:uiPriority w:val="0"/>
    <w:pPr>
      <w:numPr>
        <w:ilvl w:val="2"/>
        <w:numId w:val="2"/>
      </w:numPr>
    </w:pPr>
    <w:rPr>
      <w:rFonts w:ascii="宋体" w:hAnsi="Times New Roman" w:eastAsia="宋体" w:cs="Times New Roman"/>
      <w:sz w:val="21"/>
      <w:lang w:val="en-US" w:eastAsia="zh-CN" w:bidi="ar-SA"/>
    </w:rPr>
  </w:style>
  <w:style w:type="paragraph" w:customStyle="1" w:styleId="29">
    <w:name w:val="附录标识"/>
    <w:basedOn w:val="1"/>
    <w:next w:val="17"/>
    <w:autoRedefine/>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30">
    <w:name w:val="附录二级条标题"/>
    <w:basedOn w:val="1"/>
    <w:next w:val="17"/>
    <w:autoRedefine/>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31">
    <w:name w:val="附录三级条标题"/>
    <w:basedOn w:val="30"/>
    <w:next w:val="17"/>
    <w:autoRedefine/>
    <w:qFormat/>
    <w:uiPriority w:val="0"/>
    <w:pPr>
      <w:numPr>
        <w:ilvl w:val="4"/>
      </w:numPr>
      <w:outlineLvl w:val="4"/>
    </w:pPr>
  </w:style>
  <w:style w:type="paragraph" w:customStyle="1" w:styleId="32">
    <w:name w:val="附录四级条标题"/>
    <w:basedOn w:val="31"/>
    <w:next w:val="17"/>
    <w:autoRedefine/>
    <w:qFormat/>
    <w:uiPriority w:val="0"/>
    <w:pPr>
      <w:numPr>
        <w:ilvl w:val="5"/>
      </w:numPr>
      <w:outlineLvl w:val="5"/>
    </w:pPr>
  </w:style>
  <w:style w:type="paragraph" w:customStyle="1" w:styleId="33">
    <w:name w:val="附录五级条标题"/>
    <w:basedOn w:val="32"/>
    <w:next w:val="17"/>
    <w:autoRedefine/>
    <w:qFormat/>
    <w:uiPriority w:val="0"/>
    <w:pPr>
      <w:numPr>
        <w:ilvl w:val="6"/>
      </w:numPr>
      <w:outlineLvl w:val="6"/>
    </w:pPr>
  </w:style>
  <w:style w:type="paragraph" w:customStyle="1" w:styleId="34">
    <w:name w:val="附录章标题"/>
    <w:next w:val="17"/>
    <w:autoRedefine/>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5">
    <w:name w:val="附录一级条标题"/>
    <w:basedOn w:val="34"/>
    <w:next w:val="17"/>
    <w:link w:val="37"/>
    <w:autoRedefine/>
    <w:qFormat/>
    <w:uiPriority w:val="0"/>
    <w:pPr>
      <w:numPr>
        <w:ilvl w:val="2"/>
      </w:numPr>
      <w:autoSpaceDN w:val="0"/>
      <w:spacing w:beforeLines="50" w:afterLines="50"/>
      <w:outlineLvl w:val="2"/>
    </w:pPr>
  </w:style>
  <w:style w:type="paragraph" w:customStyle="1" w:styleId="36">
    <w:name w:val="正文表标题"/>
    <w:next w:val="17"/>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37">
    <w:name w:val="附录一级条标题 Char"/>
    <w:link w:val="35"/>
    <w:autoRedefine/>
    <w:qFormat/>
    <w:uiPriority w:val="0"/>
    <w:rPr>
      <w:rFonts w:ascii="黑体" w:hAnsi="Times New Roman" w:eastAsia="黑体" w:cs="Times New Roman"/>
      <w:kern w:val="21"/>
      <w:szCs w:val="20"/>
    </w:rPr>
  </w:style>
  <w:style w:type="paragraph" w:styleId="38">
    <w:name w:val="List Paragraph"/>
    <w:basedOn w:val="1"/>
    <w:autoRedefine/>
    <w:qFormat/>
    <w:uiPriority w:val="34"/>
    <w:pPr>
      <w:ind w:firstLine="420" w:firstLineChars="200"/>
    </w:pPr>
    <w:rPr>
      <w:rFonts w:ascii="Times New Roman" w:hAnsi="Times New Roman" w:eastAsia="宋体" w:cs="Times New Roman"/>
      <w:szCs w:val="24"/>
    </w:rPr>
  </w:style>
  <w:style w:type="character" w:customStyle="1" w:styleId="39">
    <w:name w:val="apple-converted-space"/>
    <w:basedOn w:val="12"/>
    <w:autoRedefine/>
    <w:qFormat/>
    <w:uiPriority w:val="0"/>
  </w:style>
  <w:style w:type="character" w:customStyle="1" w:styleId="40">
    <w:name w:val="批注文字 字符"/>
    <w:basedOn w:val="12"/>
    <w:link w:val="2"/>
    <w:autoRedefine/>
    <w:semiHidden/>
    <w:qFormat/>
    <w:uiPriority w:val="99"/>
  </w:style>
  <w:style w:type="character" w:customStyle="1" w:styleId="41">
    <w:name w:val="批注框文本 字符"/>
    <w:basedOn w:val="12"/>
    <w:link w:val="6"/>
    <w:autoRedefine/>
    <w:semiHidden/>
    <w:qFormat/>
    <w:uiPriority w:val="99"/>
    <w:rPr>
      <w:sz w:val="18"/>
      <w:szCs w:val="18"/>
    </w:rPr>
  </w:style>
  <w:style w:type="paragraph" w:customStyle="1" w:styleId="42">
    <w:name w:val="注：（正文）"/>
    <w:basedOn w:val="1"/>
    <w:next w:val="17"/>
    <w:autoRedefine/>
    <w:qFormat/>
    <w:uiPriority w:val="0"/>
    <w:pPr>
      <w:numPr>
        <w:ilvl w:val="0"/>
        <w:numId w:val="4"/>
      </w:numPr>
      <w:autoSpaceDE w:val="0"/>
      <w:autoSpaceDN w:val="0"/>
    </w:pPr>
    <w:rPr>
      <w:rFonts w:ascii="宋体" w:hAnsi="Times New Roman" w:eastAsia="宋体" w:cs="Times New Roman"/>
      <w:kern w:val="0"/>
      <w:sz w:val="18"/>
      <w:szCs w:val="18"/>
    </w:rPr>
  </w:style>
  <w:style w:type="paragraph" w:customStyle="1" w:styleId="43">
    <w:name w:val="示例"/>
    <w:next w:val="1"/>
    <w:autoRedefine/>
    <w:qFormat/>
    <w:uiPriority w:val="0"/>
    <w:pPr>
      <w:widowControl w:val="0"/>
      <w:numPr>
        <w:ilvl w:val="0"/>
        <w:numId w:val="5"/>
      </w:numPr>
      <w:jc w:val="both"/>
    </w:pPr>
    <w:rPr>
      <w:rFonts w:ascii="宋体" w:hAnsi="Times New Roman" w:eastAsia="宋体" w:cs="Times New Roman"/>
      <w:sz w:val="18"/>
      <w:szCs w:val="18"/>
      <w:lang w:val="en-US" w:eastAsia="zh-CN" w:bidi="ar-SA"/>
    </w:rPr>
  </w:style>
  <w:style w:type="character" w:customStyle="1" w:styleId="44">
    <w:name w:val="日期 字符"/>
    <w:basedOn w:val="12"/>
    <w:link w:val="5"/>
    <w:autoRedefine/>
    <w:semiHidden/>
    <w:qFormat/>
    <w:uiPriority w:val="99"/>
    <w:rPr>
      <w:rFonts w:asciiTheme="minorHAnsi" w:hAnsiTheme="minorHAnsi" w:eastAsiaTheme="minorEastAsia" w:cstheme="minorBidi"/>
      <w:kern w:val="2"/>
      <w:sz w:val="21"/>
      <w:szCs w:val="21"/>
    </w:rPr>
  </w:style>
  <w:style w:type="paragraph" w:customStyle="1" w:styleId="45">
    <w:name w:val="修订1"/>
    <w:autoRedefine/>
    <w:hidden/>
    <w:unhideWhenUsed/>
    <w:qFormat/>
    <w:uiPriority w:val="99"/>
    <w:rPr>
      <w:rFonts w:asciiTheme="minorHAnsi" w:hAnsiTheme="minorHAnsi" w:eastAsiaTheme="minorEastAsia" w:cstheme="minorBidi"/>
      <w:kern w:val="2"/>
      <w:sz w:val="21"/>
      <w:szCs w:val="21"/>
      <w:lang w:val="en-US" w:eastAsia="zh-CN" w:bidi="ar-SA"/>
    </w:rPr>
  </w:style>
  <w:style w:type="paragraph" w:customStyle="1" w:styleId="46">
    <w:name w:val="表格内容"/>
    <w:basedOn w:val="47"/>
    <w:autoRedefine/>
    <w:qFormat/>
    <w:uiPriority w:val="0"/>
    <w:pPr>
      <w:spacing w:before="0" w:beforeLines="0"/>
    </w:pPr>
    <w:rPr>
      <w:b w:val="0"/>
      <w:color w:val="000000" w:themeColor="text1"/>
      <w14:textFill>
        <w14:solidFill>
          <w14:schemeClr w14:val="tx1"/>
        </w14:solidFill>
      </w14:textFill>
    </w:rPr>
  </w:style>
  <w:style w:type="paragraph" w:customStyle="1" w:styleId="47">
    <w:name w:val="表格标题"/>
    <w:basedOn w:val="1"/>
    <w:autoRedefine/>
    <w:qFormat/>
    <w:uiPriority w:val="0"/>
    <w:pPr>
      <w:spacing w:before="50" w:beforeLines="50"/>
      <w:jc w:val="center"/>
    </w:pPr>
    <w:rPr>
      <w:b/>
      <w:bCs/>
    </w:rPr>
  </w:style>
  <w:style w:type="paragraph" w:customStyle="1" w:styleId="48">
    <w:name w:val="列出段落1"/>
    <w:basedOn w:val="1"/>
    <w:autoRedefine/>
    <w:qFormat/>
    <w:uiPriority w:val="34"/>
    <w:pPr>
      <w:widowControl/>
      <w:adjustRightInd w:val="0"/>
      <w:snapToGrid w:val="0"/>
      <w:spacing w:before="120" w:after="120" w:line="276" w:lineRule="auto"/>
      <w:ind w:firstLine="420" w:firstLineChars="200"/>
      <w:jc w:val="left"/>
    </w:pPr>
    <w:rPr>
      <w:rFonts w:cs="黑体"/>
      <w:kern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DAA2-8017-41C7-A44E-7C49145870C7}">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24</Pages>
  <Words>11966</Words>
  <Characters>15216</Characters>
  <Lines>86</Lines>
  <Paragraphs>24</Paragraphs>
  <TotalTime>14</TotalTime>
  <ScaleCrop>false</ScaleCrop>
  <LinksUpToDate>false</LinksUpToDate>
  <CharactersWithSpaces>15680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2020-07-20T08:36:00Z</dcterms:created>
  <dc:creator>mlp</dc:creator>
  <cp:lastModifiedBy>刘蓉蓉</cp:lastModifiedBy>
  <cp:lastPrinted>2017-08-28T06:20:00Z</cp:lastPrinted>
  <dcterms:modified xsi:type="dcterms:W3CDTF">2024-09-02T07:58:11Z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FF90B2205CD7435DAEFEB82FC4227CE6_13</vt:lpwstr>
  </property>
</Properties>
</file>