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1DAC3" w14:textId="77777777" w:rsidR="003F3584" w:rsidRDefault="003F3584">
      <w:pPr>
        <w:pStyle w:val="af9"/>
        <w:topLinePunct/>
        <w:spacing w:beforeLines="0" w:afterLines="0" w:line="276" w:lineRule="auto"/>
        <w:rPr>
          <w:rFonts w:ascii="Times New Roman" w:hAnsi="Times New Roman"/>
        </w:rPr>
      </w:pPr>
    </w:p>
    <w:p w14:paraId="13324DF9" w14:textId="77777777" w:rsidR="003F3584" w:rsidRDefault="003F3584">
      <w:pPr>
        <w:pStyle w:val="af9"/>
        <w:topLinePunct/>
        <w:spacing w:beforeLines="0" w:afterLines="0" w:line="276" w:lineRule="auto"/>
        <w:rPr>
          <w:rFonts w:ascii="Times New Roman" w:hAnsi="Times New Roman"/>
        </w:rPr>
      </w:pPr>
    </w:p>
    <w:p w14:paraId="0BE608DA" w14:textId="77777777" w:rsidR="003F3584" w:rsidRDefault="003F3584">
      <w:pPr>
        <w:pStyle w:val="af9"/>
        <w:topLinePunct/>
        <w:spacing w:beforeLines="0" w:afterLines="0" w:line="276" w:lineRule="auto"/>
        <w:rPr>
          <w:rFonts w:ascii="Times New Roman" w:hAnsi="Times New Roman"/>
        </w:rPr>
      </w:pPr>
    </w:p>
    <w:p w14:paraId="12EE39F0" w14:textId="77777777" w:rsidR="003F3584" w:rsidRDefault="003F3584">
      <w:pPr>
        <w:pStyle w:val="af9"/>
        <w:topLinePunct/>
        <w:spacing w:beforeLines="0" w:afterLines="0" w:line="276" w:lineRule="auto"/>
        <w:rPr>
          <w:rFonts w:ascii="Times New Roman" w:hAnsi="Times New Roman"/>
        </w:rPr>
      </w:pPr>
    </w:p>
    <w:p w14:paraId="58315C24" w14:textId="77777777" w:rsidR="003F3584" w:rsidRDefault="003F3584">
      <w:pPr>
        <w:pStyle w:val="af9"/>
        <w:topLinePunct/>
        <w:spacing w:beforeLines="0" w:afterLines="0" w:line="276" w:lineRule="auto"/>
        <w:rPr>
          <w:rFonts w:ascii="Times New Roman" w:hAnsi="Times New Roman"/>
        </w:rPr>
      </w:pPr>
    </w:p>
    <w:p w14:paraId="78A8B481" w14:textId="77777777" w:rsidR="003F3584" w:rsidRDefault="003F3584">
      <w:pPr>
        <w:pStyle w:val="af9"/>
        <w:topLinePunct/>
        <w:spacing w:beforeLines="0" w:afterLines="0" w:line="276" w:lineRule="auto"/>
        <w:rPr>
          <w:rFonts w:ascii="Times New Roman" w:hAnsi="Times New Roman"/>
        </w:rPr>
      </w:pPr>
    </w:p>
    <w:p w14:paraId="7B21BA7C" w14:textId="2482C24F" w:rsidR="003F3584" w:rsidRDefault="00921343">
      <w:pPr>
        <w:spacing w:line="720" w:lineRule="auto"/>
        <w:jc w:val="center"/>
        <w:rPr>
          <w:rFonts w:eastAsia="黑体"/>
          <w:sz w:val="44"/>
          <w:szCs w:val="44"/>
        </w:rPr>
      </w:pPr>
      <w:bookmarkStart w:id="0" w:name="OLE_LINK2"/>
      <w:bookmarkStart w:id="1" w:name="OLE_LINK1"/>
      <w:r>
        <w:rPr>
          <w:rFonts w:eastAsia="黑体"/>
          <w:sz w:val="36"/>
          <w:szCs w:val="36"/>
        </w:rPr>
        <w:t>《</w:t>
      </w:r>
      <w:r w:rsidR="00B47469" w:rsidRPr="00B47469">
        <w:rPr>
          <w:rFonts w:eastAsia="黑体" w:hint="eastAsia"/>
          <w:sz w:val="36"/>
          <w:szCs w:val="36"/>
        </w:rPr>
        <w:t>建材行业数字化转型成熟度</w:t>
      </w:r>
      <w:r w:rsidR="005A731D">
        <w:rPr>
          <w:rFonts w:eastAsia="黑体" w:hint="eastAsia"/>
          <w:sz w:val="36"/>
          <w:szCs w:val="36"/>
        </w:rPr>
        <w:t>评估</w:t>
      </w:r>
      <w:r>
        <w:rPr>
          <w:rFonts w:eastAsia="黑体"/>
          <w:sz w:val="36"/>
          <w:szCs w:val="36"/>
        </w:rPr>
        <w:t>》</w:t>
      </w:r>
    </w:p>
    <w:p w14:paraId="57FC308A" w14:textId="77777777" w:rsidR="003F3584" w:rsidRDefault="00921343">
      <w:pPr>
        <w:spacing w:line="720" w:lineRule="auto"/>
        <w:jc w:val="center"/>
        <w:rPr>
          <w:rFonts w:eastAsia="黑体"/>
          <w:sz w:val="44"/>
          <w:szCs w:val="44"/>
        </w:rPr>
      </w:pPr>
      <w:r>
        <w:rPr>
          <w:rFonts w:eastAsia="黑体"/>
          <w:sz w:val="44"/>
          <w:szCs w:val="44"/>
        </w:rPr>
        <w:t>编制说明</w:t>
      </w:r>
      <w:bookmarkEnd w:id="0"/>
      <w:bookmarkEnd w:id="1"/>
    </w:p>
    <w:p w14:paraId="00DF03F7" w14:textId="77777777" w:rsidR="003F3584" w:rsidRDefault="00921343">
      <w:pPr>
        <w:pStyle w:val="af9"/>
        <w:topLinePunct/>
        <w:spacing w:beforeLines="0" w:afterLines="0" w:line="720" w:lineRule="auto"/>
        <w:rPr>
          <w:rFonts w:ascii="Times New Roman" w:hAnsi="Times New Roman"/>
          <w:kern w:val="10"/>
        </w:rPr>
      </w:pPr>
      <w:r>
        <w:rPr>
          <w:rFonts w:ascii="Times New Roman" w:hAnsi="Times New Roman"/>
          <w:kern w:val="10"/>
        </w:rPr>
        <w:t>(</w:t>
      </w:r>
      <w:r>
        <w:rPr>
          <w:rFonts w:ascii="Times New Roman" w:hAnsi="Times New Roman" w:hint="eastAsia"/>
          <w:kern w:val="10"/>
        </w:rPr>
        <w:t>征求意见</w:t>
      </w:r>
      <w:r>
        <w:rPr>
          <w:rFonts w:ascii="Times New Roman" w:hAnsi="Times New Roman"/>
          <w:kern w:val="10"/>
        </w:rPr>
        <w:t>稿</w:t>
      </w:r>
      <w:r>
        <w:rPr>
          <w:rFonts w:ascii="Times New Roman" w:hAnsi="Times New Roman"/>
          <w:kern w:val="10"/>
        </w:rPr>
        <w:t>)</w:t>
      </w:r>
    </w:p>
    <w:p w14:paraId="06A7C871" w14:textId="77777777" w:rsidR="003F3584" w:rsidRDefault="003F3584">
      <w:pPr>
        <w:pStyle w:val="af9"/>
        <w:topLinePunct/>
        <w:spacing w:beforeLines="0" w:afterLines="0" w:line="276" w:lineRule="auto"/>
        <w:rPr>
          <w:rFonts w:ascii="Times New Roman" w:hAnsi="Times New Roman"/>
          <w:kern w:val="10"/>
        </w:rPr>
      </w:pPr>
    </w:p>
    <w:p w14:paraId="6DC142E2" w14:textId="77777777" w:rsidR="003F3584" w:rsidRDefault="003F3584">
      <w:pPr>
        <w:pStyle w:val="af9"/>
        <w:topLinePunct/>
        <w:spacing w:beforeLines="0" w:afterLines="0" w:line="276" w:lineRule="auto"/>
        <w:rPr>
          <w:rFonts w:ascii="Times New Roman" w:hAnsi="Times New Roman"/>
          <w:kern w:val="10"/>
        </w:rPr>
      </w:pPr>
    </w:p>
    <w:p w14:paraId="2A2FC768" w14:textId="77777777" w:rsidR="003F3584" w:rsidRDefault="003F3584">
      <w:pPr>
        <w:pStyle w:val="af9"/>
        <w:topLinePunct/>
        <w:spacing w:beforeLines="0" w:afterLines="0" w:line="276" w:lineRule="auto"/>
        <w:rPr>
          <w:rFonts w:ascii="Times New Roman" w:hAnsi="Times New Roman"/>
          <w:kern w:val="10"/>
        </w:rPr>
      </w:pPr>
    </w:p>
    <w:p w14:paraId="06019935" w14:textId="77777777" w:rsidR="003F3584" w:rsidRDefault="003F3584">
      <w:pPr>
        <w:pStyle w:val="af9"/>
        <w:topLinePunct/>
        <w:spacing w:beforeLines="0" w:afterLines="0" w:line="276" w:lineRule="auto"/>
        <w:rPr>
          <w:rFonts w:ascii="Times New Roman" w:hAnsi="Times New Roman"/>
          <w:kern w:val="10"/>
        </w:rPr>
      </w:pPr>
    </w:p>
    <w:p w14:paraId="065F311E" w14:textId="77777777" w:rsidR="003F3584" w:rsidRDefault="003F3584">
      <w:pPr>
        <w:pStyle w:val="af9"/>
        <w:topLinePunct/>
        <w:spacing w:beforeLines="0" w:afterLines="0" w:line="276" w:lineRule="auto"/>
        <w:rPr>
          <w:rFonts w:ascii="Times New Roman" w:hAnsi="Times New Roman"/>
          <w:kern w:val="10"/>
        </w:rPr>
      </w:pPr>
    </w:p>
    <w:p w14:paraId="0CEBFB7B" w14:textId="77777777" w:rsidR="003F3584" w:rsidRDefault="003F3584">
      <w:pPr>
        <w:pStyle w:val="af9"/>
        <w:topLinePunct/>
        <w:spacing w:beforeLines="0" w:afterLines="0" w:line="276" w:lineRule="auto"/>
        <w:rPr>
          <w:rFonts w:ascii="Times New Roman" w:hAnsi="Times New Roman"/>
          <w:kern w:val="10"/>
        </w:rPr>
      </w:pPr>
    </w:p>
    <w:p w14:paraId="541B5E45" w14:textId="77777777" w:rsidR="003F3584" w:rsidRDefault="003F3584">
      <w:pPr>
        <w:pStyle w:val="af9"/>
        <w:topLinePunct/>
        <w:spacing w:beforeLines="0" w:afterLines="0" w:line="276" w:lineRule="auto"/>
        <w:rPr>
          <w:rFonts w:ascii="Times New Roman" w:hAnsi="Times New Roman"/>
          <w:kern w:val="10"/>
        </w:rPr>
      </w:pPr>
    </w:p>
    <w:p w14:paraId="38FC6CEF" w14:textId="77777777" w:rsidR="003F3584" w:rsidRDefault="003F3584">
      <w:pPr>
        <w:pStyle w:val="af9"/>
        <w:topLinePunct/>
        <w:spacing w:beforeLines="0" w:afterLines="0" w:line="276" w:lineRule="auto"/>
        <w:rPr>
          <w:rFonts w:ascii="Times New Roman" w:hAnsi="Times New Roman"/>
          <w:kern w:val="10"/>
        </w:rPr>
      </w:pPr>
    </w:p>
    <w:p w14:paraId="46EBEDEE" w14:textId="77777777" w:rsidR="003F3584" w:rsidRDefault="003F3584">
      <w:pPr>
        <w:pStyle w:val="af9"/>
        <w:topLinePunct/>
        <w:spacing w:beforeLines="0" w:afterLines="0" w:line="276" w:lineRule="auto"/>
        <w:rPr>
          <w:rFonts w:ascii="Times New Roman" w:hAnsi="Times New Roman"/>
          <w:kern w:val="10"/>
        </w:rPr>
      </w:pPr>
    </w:p>
    <w:p w14:paraId="6413ACE2" w14:textId="77777777" w:rsidR="003F3584" w:rsidRDefault="003F3584">
      <w:pPr>
        <w:pStyle w:val="af9"/>
        <w:topLinePunct/>
        <w:spacing w:beforeLines="0" w:afterLines="0" w:line="276" w:lineRule="auto"/>
        <w:rPr>
          <w:rFonts w:ascii="Times New Roman" w:hAnsi="Times New Roman"/>
          <w:kern w:val="10"/>
        </w:rPr>
      </w:pPr>
    </w:p>
    <w:p w14:paraId="61DC49BE" w14:textId="77777777" w:rsidR="003F3584" w:rsidRDefault="003F3584">
      <w:pPr>
        <w:pStyle w:val="af9"/>
        <w:topLinePunct/>
        <w:spacing w:beforeLines="0" w:afterLines="0" w:line="276" w:lineRule="auto"/>
        <w:rPr>
          <w:rFonts w:ascii="Times New Roman" w:hAnsi="Times New Roman"/>
          <w:kern w:val="10"/>
        </w:rPr>
      </w:pPr>
    </w:p>
    <w:p w14:paraId="5B05F096" w14:textId="77777777" w:rsidR="003F3584" w:rsidRDefault="003F3584">
      <w:pPr>
        <w:pStyle w:val="af9"/>
        <w:topLinePunct/>
        <w:spacing w:beforeLines="0" w:afterLines="0" w:line="276" w:lineRule="auto"/>
        <w:rPr>
          <w:rFonts w:ascii="Times New Roman" w:hAnsi="Times New Roman"/>
          <w:kern w:val="10"/>
        </w:rPr>
      </w:pPr>
    </w:p>
    <w:p w14:paraId="0DEBA048" w14:textId="77777777" w:rsidR="003F3584" w:rsidRDefault="003F3584">
      <w:pPr>
        <w:pStyle w:val="af9"/>
        <w:topLinePunct/>
        <w:spacing w:beforeLines="0" w:afterLines="0" w:line="276" w:lineRule="auto"/>
        <w:rPr>
          <w:rFonts w:ascii="Times New Roman" w:hAnsi="Times New Roman"/>
          <w:kern w:val="10"/>
        </w:rPr>
      </w:pPr>
    </w:p>
    <w:p w14:paraId="2370B250" w14:textId="77777777" w:rsidR="003F3584" w:rsidRDefault="003F3584">
      <w:pPr>
        <w:pStyle w:val="af9"/>
        <w:topLinePunct/>
        <w:spacing w:beforeLines="0" w:afterLines="0" w:line="276" w:lineRule="auto"/>
        <w:rPr>
          <w:rFonts w:ascii="Times New Roman" w:hAnsi="Times New Roman"/>
          <w:kern w:val="10"/>
        </w:rPr>
      </w:pPr>
    </w:p>
    <w:p w14:paraId="35757DD5" w14:textId="77777777" w:rsidR="003F3584" w:rsidRDefault="003F3584">
      <w:pPr>
        <w:pStyle w:val="af9"/>
        <w:topLinePunct/>
        <w:spacing w:beforeLines="0" w:afterLines="0" w:line="276" w:lineRule="auto"/>
        <w:rPr>
          <w:rFonts w:ascii="Times New Roman" w:hAnsi="Times New Roman"/>
          <w:kern w:val="10"/>
        </w:rPr>
      </w:pPr>
    </w:p>
    <w:p w14:paraId="776914E4" w14:textId="77777777" w:rsidR="003F3584" w:rsidRDefault="00921343">
      <w:pPr>
        <w:pStyle w:val="af9"/>
        <w:topLinePunct/>
        <w:spacing w:beforeLines="0" w:afterLines="0" w:line="276" w:lineRule="auto"/>
        <w:rPr>
          <w:rFonts w:ascii="Times New Roman" w:hAnsi="Times New Roman"/>
          <w:kern w:val="10"/>
          <w:szCs w:val="32"/>
        </w:rPr>
      </w:pPr>
      <w:r>
        <w:rPr>
          <w:rFonts w:ascii="Times New Roman" w:hAnsi="Times New Roman"/>
          <w:kern w:val="0"/>
          <w:szCs w:val="32"/>
        </w:rPr>
        <w:t>标准编制组</w:t>
      </w:r>
    </w:p>
    <w:p w14:paraId="155357BB" w14:textId="1A4A9B46" w:rsidR="003F3584" w:rsidRDefault="00921343">
      <w:pPr>
        <w:pStyle w:val="af9"/>
        <w:topLinePunct/>
        <w:spacing w:beforeLines="0" w:afterLines="0" w:line="276" w:lineRule="auto"/>
        <w:rPr>
          <w:rFonts w:ascii="Times New Roman" w:hAnsi="Times New Roman"/>
          <w:kern w:val="10"/>
        </w:rPr>
      </w:pPr>
      <w:r>
        <w:rPr>
          <w:rFonts w:ascii="Times New Roman" w:hAnsi="Times New Roman"/>
          <w:kern w:val="0"/>
        </w:rPr>
        <w:t>2024</w:t>
      </w:r>
      <w:r>
        <w:rPr>
          <w:rFonts w:ascii="Times New Roman" w:hAnsi="Times New Roman"/>
          <w:kern w:val="0"/>
        </w:rPr>
        <w:t>年</w:t>
      </w:r>
      <w:r w:rsidR="00B47469">
        <w:rPr>
          <w:rFonts w:ascii="Times New Roman" w:hAnsi="Times New Roman"/>
          <w:kern w:val="0"/>
        </w:rPr>
        <w:t>12</w:t>
      </w:r>
      <w:r>
        <w:rPr>
          <w:rFonts w:ascii="Times New Roman" w:hAnsi="Times New Roman"/>
          <w:spacing w:val="8"/>
          <w:kern w:val="0"/>
        </w:rPr>
        <w:t>月</w:t>
      </w:r>
    </w:p>
    <w:p w14:paraId="39595FCD" w14:textId="77777777" w:rsidR="003F3584" w:rsidRDefault="00921343">
      <w:pPr>
        <w:widowControl/>
        <w:topLinePunct/>
        <w:spacing w:line="276" w:lineRule="auto"/>
        <w:jc w:val="left"/>
        <w:rPr>
          <w:kern w:val="10"/>
        </w:rPr>
        <w:sectPr w:rsidR="003F3584">
          <w:headerReference w:type="even" r:id="rId9"/>
          <w:headerReference w:type="default" r:id="rId10"/>
          <w:footerReference w:type="default" r:id="rId11"/>
          <w:pgSz w:w="11906" w:h="16838"/>
          <w:pgMar w:top="1440" w:right="1800" w:bottom="1440" w:left="1800" w:header="737" w:footer="737" w:gutter="0"/>
          <w:cols w:space="720"/>
          <w:formProt w:val="0"/>
          <w:docGrid w:type="lines" w:linePitch="312"/>
        </w:sectPr>
      </w:pPr>
      <w:r>
        <w:rPr>
          <w:kern w:val="10"/>
        </w:rPr>
        <w:br w:type="page"/>
      </w:r>
    </w:p>
    <w:bookmarkStart w:id="2" w:name="_Toc1831" w:displacedByCustomXml="next"/>
    <w:bookmarkStart w:id="3" w:name="_Toc22674" w:displacedByCustomXml="next"/>
    <w:bookmarkStart w:id="4" w:name="_Toc16869" w:displacedByCustomXml="next"/>
    <w:bookmarkStart w:id="5" w:name="_Toc36132040" w:displacedByCustomXml="next"/>
    <w:bookmarkStart w:id="6" w:name="_Toc59059078" w:displacedByCustomXml="next"/>
    <w:bookmarkStart w:id="7" w:name="_Toc3101" w:displacedByCustomXml="next"/>
    <w:bookmarkStart w:id="8" w:name="_Toc19649" w:displacedByCustomXml="next"/>
    <w:bookmarkStart w:id="9" w:name="_Toc17352" w:displacedByCustomXml="next"/>
    <w:bookmarkStart w:id="10" w:name="_Toc15499" w:displacedByCustomXml="next"/>
    <w:bookmarkStart w:id="11" w:name="_Toc16918" w:displacedByCustomXml="next"/>
    <w:bookmarkStart w:id="12" w:name="_Toc20133" w:displacedByCustomXml="next"/>
    <w:bookmarkStart w:id="13" w:name="_Toc371511493" w:displacedByCustomXml="next"/>
    <w:bookmarkStart w:id="14" w:name="_Toc10197" w:displacedByCustomXml="next"/>
    <w:sdt>
      <w:sdtPr>
        <w:rPr>
          <w:rFonts w:ascii="宋体" w:hAnsi="宋体"/>
        </w:rPr>
        <w:id w:val="147467075"/>
        <w15:color w:val="DBDBDB"/>
        <w:docPartObj>
          <w:docPartGallery w:val="Table of Contents"/>
          <w:docPartUnique/>
        </w:docPartObj>
      </w:sdtPr>
      <w:sdtEndPr/>
      <w:sdtContent>
        <w:p w14:paraId="34BCFE29" w14:textId="77777777" w:rsidR="003F3584" w:rsidRDefault="00921343">
          <w:pPr>
            <w:jc w:val="center"/>
          </w:pPr>
          <w:r>
            <w:rPr>
              <w:rFonts w:ascii="宋体" w:hAnsi="宋体"/>
              <w:b/>
              <w:bCs/>
              <w:sz w:val="36"/>
              <w:szCs w:val="44"/>
            </w:rPr>
            <w:t>目</w:t>
          </w:r>
          <w:r>
            <w:rPr>
              <w:rFonts w:ascii="宋体" w:hAnsi="宋体" w:hint="eastAsia"/>
              <w:b/>
              <w:bCs/>
              <w:sz w:val="36"/>
              <w:szCs w:val="44"/>
            </w:rPr>
            <w:t xml:space="preserve">   </w:t>
          </w:r>
          <w:r>
            <w:rPr>
              <w:rFonts w:ascii="宋体" w:hAnsi="宋体"/>
              <w:b/>
              <w:bCs/>
              <w:sz w:val="36"/>
              <w:szCs w:val="44"/>
            </w:rPr>
            <w:t>录</w:t>
          </w:r>
        </w:p>
        <w:p w14:paraId="516F37B2" w14:textId="035D930A" w:rsidR="003F3584" w:rsidRDefault="00921343">
          <w:pPr>
            <w:pStyle w:val="WPSOffice1"/>
            <w:tabs>
              <w:tab w:val="right" w:leader="dot" w:pos="9638"/>
            </w:tabs>
            <w:spacing w:line="480" w:lineRule="auto"/>
            <w:rPr>
              <w:noProof/>
              <w:sz w:val="22"/>
              <w:szCs w:val="22"/>
            </w:rPr>
          </w:pPr>
          <w:r>
            <w:fldChar w:fldCharType="begin"/>
          </w:r>
          <w:r>
            <w:instrText xml:space="preserve">TOC \o "1-1" \h \u </w:instrText>
          </w:r>
          <w:r>
            <w:fldChar w:fldCharType="separate"/>
          </w:r>
          <w:hyperlink w:anchor="_Toc31563" w:history="1">
            <w:r>
              <w:rPr>
                <w:rFonts w:hint="eastAsia"/>
                <w:noProof/>
                <w:sz w:val="22"/>
                <w:szCs w:val="22"/>
              </w:rPr>
              <w:t>一、</w:t>
            </w:r>
            <w:r>
              <w:rPr>
                <w:rFonts w:hint="eastAsia"/>
                <w:noProof/>
                <w:sz w:val="22"/>
                <w:szCs w:val="22"/>
              </w:rPr>
              <w:t xml:space="preserve"> </w:t>
            </w:r>
            <w:r>
              <w:rPr>
                <w:noProof/>
                <w:sz w:val="22"/>
                <w:szCs w:val="22"/>
              </w:rPr>
              <w:t>任务来源及编制背景</w:t>
            </w:r>
            <w:r>
              <w:rPr>
                <w:noProof/>
                <w:sz w:val="22"/>
                <w:szCs w:val="22"/>
              </w:rPr>
              <w:tab/>
            </w:r>
            <w:r>
              <w:rPr>
                <w:noProof/>
                <w:sz w:val="22"/>
                <w:szCs w:val="22"/>
              </w:rPr>
              <w:fldChar w:fldCharType="begin"/>
            </w:r>
            <w:r>
              <w:rPr>
                <w:noProof/>
                <w:sz w:val="22"/>
                <w:szCs w:val="22"/>
              </w:rPr>
              <w:instrText xml:space="preserve"> PAGEREF _Toc31563 \h </w:instrText>
            </w:r>
            <w:r>
              <w:rPr>
                <w:noProof/>
                <w:sz w:val="22"/>
                <w:szCs w:val="22"/>
              </w:rPr>
            </w:r>
            <w:r>
              <w:rPr>
                <w:noProof/>
                <w:sz w:val="22"/>
                <w:szCs w:val="22"/>
              </w:rPr>
              <w:fldChar w:fldCharType="separate"/>
            </w:r>
            <w:r w:rsidR="00A40E46">
              <w:rPr>
                <w:noProof/>
                <w:sz w:val="22"/>
                <w:szCs w:val="22"/>
              </w:rPr>
              <w:t>2</w:t>
            </w:r>
            <w:r>
              <w:rPr>
                <w:noProof/>
                <w:sz w:val="22"/>
                <w:szCs w:val="22"/>
              </w:rPr>
              <w:fldChar w:fldCharType="end"/>
            </w:r>
          </w:hyperlink>
        </w:p>
        <w:p w14:paraId="32B88879" w14:textId="68FF4357" w:rsidR="003F3584" w:rsidRDefault="00F47771">
          <w:pPr>
            <w:pStyle w:val="WPSOffice1"/>
            <w:tabs>
              <w:tab w:val="right" w:leader="dot" w:pos="9638"/>
            </w:tabs>
            <w:spacing w:line="480" w:lineRule="auto"/>
            <w:rPr>
              <w:noProof/>
              <w:sz w:val="22"/>
              <w:szCs w:val="22"/>
            </w:rPr>
          </w:pPr>
          <w:hyperlink w:anchor="_Toc31813" w:history="1">
            <w:r w:rsidR="00921343">
              <w:rPr>
                <w:rFonts w:hint="eastAsia"/>
                <w:noProof/>
                <w:sz w:val="22"/>
                <w:szCs w:val="22"/>
              </w:rPr>
              <w:t>二、</w:t>
            </w:r>
            <w:r w:rsidR="00921343">
              <w:rPr>
                <w:rFonts w:hint="eastAsia"/>
                <w:noProof/>
                <w:sz w:val="22"/>
                <w:szCs w:val="22"/>
              </w:rPr>
              <w:t xml:space="preserve"> </w:t>
            </w:r>
            <w:r w:rsidR="00921343">
              <w:rPr>
                <w:noProof/>
                <w:sz w:val="22"/>
                <w:szCs w:val="22"/>
              </w:rPr>
              <w:t>工作简况</w:t>
            </w:r>
            <w:r w:rsidR="00921343">
              <w:rPr>
                <w:noProof/>
                <w:sz w:val="22"/>
                <w:szCs w:val="22"/>
              </w:rPr>
              <w:tab/>
            </w:r>
            <w:r w:rsidR="00921343">
              <w:rPr>
                <w:noProof/>
                <w:sz w:val="22"/>
                <w:szCs w:val="22"/>
              </w:rPr>
              <w:fldChar w:fldCharType="begin"/>
            </w:r>
            <w:r w:rsidR="00921343">
              <w:rPr>
                <w:noProof/>
                <w:sz w:val="22"/>
                <w:szCs w:val="22"/>
              </w:rPr>
              <w:instrText xml:space="preserve"> PAGEREF _Toc31813 \h </w:instrText>
            </w:r>
            <w:r w:rsidR="00921343">
              <w:rPr>
                <w:noProof/>
                <w:sz w:val="22"/>
                <w:szCs w:val="22"/>
              </w:rPr>
            </w:r>
            <w:r w:rsidR="00921343">
              <w:rPr>
                <w:noProof/>
                <w:sz w:val="22"/>
                <w:szCs w:val="22"/>
              </w:rPr>
              <w:fldChar w:fldCharType="separate"/>
            </w:r>
            <w:r w:rsidR="00A40E46">
              <w:rPr>
                <w:noProof/>
                <w:sz w:val="22"/>
                <w:szCs w:val="22"/>
              </w:rPr>
              <w:t>3</w:t>
            </w:r>
            <w:r w:rsidR="00921343">
              <w:rPr>
                <w:noProof/>
                <w:sz w:val="22"/>
                <w:szCs w:val="22"/>
              </w:rPr>
              <w:fldChar w:fldCharType="end"/>
            </w:r>
          </w:hyperlink>
        </w:p>
        <w:p w14:paraId="6C585781" w14:textId="524479C3" w:rsidR="003F3584" w:rsidRDefault="00F47771">
          <w:pPr>
            <w:pStyle w:val="WPSOffice1"/>
            <w:tabs>
              <w:tab w:val="right" w:leader="dot" w:pos="9638"/>
            </w:tabs>
            <w:spacing w:line="480" w:lineRule="auto"/>
            <w:rPr>
              <w:noProof/>
              <w:sz w:val="22"/>
              <w:szCs w:val="22"/>
            </w:rPr>
          </w:pPr>
          <w:hyperlink w:anchor="_Toc21180" w:history="1">
            <w:r w:rsidR="00921343">
              <w:rPr>
                <w:rFonts w:hint="eastAsia"/>
                <w:noProof/>
                <w:sz w:val="22"/>
                <w:szCs w:val="22"/>
              </w:rPr>
              <w:t>三、</w:t>
            </w:r>
            <w:r w:rsidR="00921343">
              <w:rPr>
                <w:rFonts w:hint="eastAsia"/>
                <w:noProof/>
                <w:sz w:val="22"/>
                <w:szCs w:val="22"/>
              </w:rPr>
              <w:t xml:space="preserve"> </w:t>
            </w:r>
            <w:r w:rsidR="00921343">
              <w:rPr>
                <w:noProof/>
                <w:sz w:val="22"/>
                <w:szCs w:val="22"/>
              </w:rPr>
              <w:t>编制原则及标准的主要技术内容说明</w:t>
            </w:r>
            <w:r w:rsidR="00921343">
              <w:rPr>
                <w:noProof/>
                <w:sz w:val="22"/>
                <w:szCs w:val="22"/>
              </w:rPr>
              <w:tab/>
            </w:r>
            <w:r w:rsidR="00921343">
              <w:rPr>
                <w:noProof/>
                <w:sz w:val="22"/>
                <w:szCs w:val="22"/>
              </w:rPr>
              <w:fldChar w:fldCharType="begin"/>
            </w:r>
            <w:r w:rsidR="00921343">
              <w:rPr>
                <w:noProof/>
                <w:sz w:val="22"/>
                <w:szCs w:val="22"/>
              </w:rPr>
              <w:instrText xml:space="preserve"> PAGEREF _Toc21180 \h </w:instrText>
            </w:r>
            <w:r w:rsidR="00921343">
              <w:rPr>
                <w:noProof/>
                <w:sz w:val="22"/>
                <w:szCs w:val="22"/>
              </w:rPr>
            </w:r>
            <w:r w:rsidR="00921343">
              <w:rPr>
                <w:noProof/>
                <w:sz w:val="22"/>
                <w:szCs w:val="22"/>
              </w:rPr>
              <w:fldChar w:fldCharType="separate"/>
            </w:r>
            <w:r w:rsidR="00A40E46">
              <w:rPr>
                <w:noProof/>
                <w:sz w:val="22"/>
                <w:szCs w:val="22"/>
              </w:rPr>
              <w:t>4</w:t>
            </w:r>
            <w:r w:rsidR="00921343">
              <w:rPr>
                <w:noProof/>
                <w:sz w:val="22"/>
                <w:szCs w:val="22"/>
              </w:rPr>
              <w:fldChar w:fldCharType="end"/>
            </w:r>
          </w:hyperlink>
        </w:p>
        <w:p w14:paraId="1421EFFE" w14:textId="73EC8252" w:rsidR="003F3584" w:rsidRDefault="00F47771">
          <w:pPr>
            <w:pStyle w:val="WPSOffice1"/>
            <w:tabs>
              <w:tab w:val="right" w:leader="dot" w:pos="9638"/>
            </w:tabs>
            <w:spacing w:line="480" w:lineRule="auto"/>
            <w:rPr>
              <w:noProof/>
              <w:sz w:val="22"/>
              <w:szCs w:val="22"/>
            </w:rPr>
          </w:pPr>
          <w:hyperlink w:anchor="_Toc8600" w:history="1">
            <w:r w:rsidR="00921343">
              <w:rPr>
                <w:rFonts w:hint="eastAsia"/>
                <w:noProof/>
                <w:sz w:val="22"/>
                <w:szCs w:val="22"/>
              </w:rPr>
              <w:t>四、</w:t>
            </w:r>
            <w:r w:rsidR="00921343">
              <w:rPr>
                <w:rFonts w:hint="eastAsia"/>
                <w:noProof/>
                <w:sz w:val="22"/>
                <w:szCs w:val="22"/>
              </w:rPr>
              <w:t xml:space="preserve"> </w:t>
            </w:r>
            <w:r w:rsidR="00921343">
              <w:rPr>
                <w:noProof/>
                <w:sz w:val="22"/>
                <w:szCs w:val="22"/>
              </w:rPr>
              <w:t>主要验证情况分析</w:t>
            </w:r>
            <w:r w:rsidR="00921343">
              <w:rPr>
                <w:noProof/>
                <w:sz w:val="22"/>
                <w:szCs w:val="22"/>
              </w:rPr>
              <w:tab/>
            </w:r>
            <w:r w:rsidR="00921343">
              <w:rPr>
                <w:noProof/>
                <w:sz w:val="22"/>
                <w:szCs w:val="22"/>
              </w:rPr>
              <w:fldChar w:fldCharType="begin"/>
            </w:r>
            <w:r w:rsidR="00921343">
              <w:rPr>
                <w:noProof/>
                <w:sz w:val="22"/>
                <w:szCs w:val="22"/>
              </w:rPr>
              <w:instrText xml:space="preserve"> PAGEREF _Toc8600 \h </w:instrText>
            </w:r>
            <w:r w:rsidR="00921343">
              <w:rPr>
                <w:noProof/>
                <w:sz w:val="22"/>
                <w:szCs w:val="22"/>
              </w:rPr>
            </w:r>
            <w:r w:rsidR="00921343">
              <w:rPr>
                <w:noProof/>
                <w:sz w:val="22"/>
                <w:szCs w:val="22"/>
              </w:rPr>
              <w:fldChar w:fldCharType="separate"/>
            </w:r>
            <w:r w:rsidR="00A40E46">
              <w:rPr>
                <w:noProof/>
                <w:sz w:val="22"/>
                <w:szCs w:val="22"/>
              </w:rPr>
              <w:t>7</w:t>
            </w:r>
            <w:r w:rsidR="00921343">
              <w:rPr>
                <w:noProof/>
                <w:sz w:val="22"/>
                <w:szCs w:val="22"/>
              </w:rPr>
              <w:fldChar w:fldCharType="end"/>
            </w:r>
          </w:hyperlink>
        </w:p>
        <w:p w14:paraId="7500AE20" w14:textId="1E740743" w:rsidR="003F3584" w:rsidRDefault="00F47771">
          <w:pPr>
            <w:pStyle w:val="WPSOffice1"/>
            <w:tabs>
              <w:tab w:val="right" w:leader="dot" w:pos="9638"/>
            </w:tabs>
            <w:spacing w:line="480" w:lineRule="auto"/>
            <w:rPr>
              <w:noProof/>
              <w:sz w:val="22"/>
              <w:szCs w:val="22"/>
            </w:rPr>
          </w:pPr>
          <w:hyperlink w:anchor="_Toc25326" w:history="1">
            <w:r w:rsidR="00921343">
              <w:rPr>
                <w:rFonts w:hint="eastAsia"/>
                <w:noProof/>
                <w:sz w:val="22"/>
                <w:szCs w:val="22"/>
              </w:rPr>
              <w:t>五、</w:t>
            </w:r>
            <w:r w:rsidR="00921343">
              <w:rPr>
                <w:rFonts w:hint="eastAsia"/>
                <w:noProof/>
                <w:sz w:val="22"/>
                <w:szCs w:val="22"/>
              </w:rPr>
              <w:t xml:space="preserve"> </w:t>
            </w:r>
            <w:r w:rsidR="00921343">
              <w:rPr>
                <w:noProof/>
                <w:sz w:val="22"/>
                <w:szCs w:val="22"/>
              </w:rPr>
              <w:t>标准中涉及专利情况</w:t>
            </w:r>
            <w:r w:rsidR="00921343">
              <w:rPr>
                <w:noProof/>
                <w:sz w:val="22"/>
                <w:szCs w:val="22"/>
              </w:rPr>
              <w:tab/>
            </w:r>
            <w:r w:rsidR="00921343">
              <w:rPr>
                <w:noProof/>
                <w:sz w:val="22"/>
                <w:szCs w:val="22"/>
              </w:rPr>
              <w:fldChar w:fldCharType="begin"/>
            </w:r>
            <w:r w:rsidR="00921343">
              <w:rPr>
                <w:noProof/>
                <w:sz w:val="22"/>
                <w:szCs w:val="22"/>
              </w:rPr>
              <w:instrText xml:space="preserve"> PAGEREF _Toc25326 \h </w:instrText>
            </w:r>
            <w:r w:rsidR="00921343">
              <w:rPr>
                <w:noProof/>
                <w:sz w:val="22"/>
                <w:szCs w:val="22"/>
              </w:rPr>
            </w:r>
            <w:r w:rsidR="00921343">
              <w:rPr>
                <w:noProof/>
                <w:sz w:val="22"/>
                <w:szCs w:val="22"/>
              </w:rPr>
              <w:fldChar w:fldCharType="separate"/>
            </w:r>
            <w:r w:rsidR="00A40E46">
              <w:rPr>
                <w:noProof/>
                <w:sz w:val="22"/>
                <w:szCs w:val="22"/>
              </w:rPr>
              <w:t>8</w:t>
            </w:r>
            <w:r w:rsidR="00921343">
              <w:rPr>
                <w:noProof/>
                <w:sz w:val="22"/>
                <w:szCs w:val="22"/>
              </w:rPr>
              <w:fldChar w:fldCharType="end"/>
            </w:r>
          </w:hyperlink>
        </w:p>
        <w:p w14:paraId="3624ED13" w14:textId="3A68BB6C" w:rsidR="003F3584" w:rsidRDefault="00F47771">
          <w:pPr>
            <w:pStyle w:val="WPSOffice1"/>
            <w:tabs>
              <w:tab w:val="right" w:leader="dot" w:pos="9638"/>
            </w:tabs>
            <w:spacing w:line="480" w:lineRule="auto"/>
            <w:rPr>
              <w:noProof/>
              <w:sz w:val="22"/>
              <w:szCs w:val="22"/>
            </w:rPr>
          </w:pPr>
          <w:hyperlink w:anchor="_Toc26394" w:history="1">
            <w:r w:rsidR="00921343">
              <w:rPr>
                <w:rFonts w:hint="eastAsia"/>
                <w:noProof/>
                <w:sz w:val="22"/>
                <w:szCs w:val="22"/>
              </w:rPr>
              <w:t>六、</w:t>
            </w:r>
            <w:r w:rsidR="00921343">
              <w:rPr>
                <w:rFonts w:hint="eastAsia"/>
                <w:noProof/>
                <w:sz w:val="22"/>
                <w:szCs w:val="22"/>
              </w:rPr>
              <w:t xml:space="preserve"> </w:t>
            </w:r>
            <w:r w:rsidR="00921343">
              <w:rPr>
                <w:noProof/>
                <w:sz w:val="22"/>
                <w:szCs w:val="22"/>
              </w:rPr>
              <w:t>标准实施后预期的经济和社会效益</w:t>
            </w:r>
            <w:r w:rsidR="00921343">
              <w:rPr>
                <w:noProof/>
                <w:sz w:val="22"/>
                <w:szCs w:val="22"/>
              </w:rPr>
              <w:tab/>
            </w:r>
            <w:r w:rsidR="00921343">
              <w:rPr>
                <w:noProof/>
                <w:sz w:val="22"/>
                <w:szCs w:val="22"/>
              </w:rPr>
              <w:fldChar w:fldCharType="begin"/>
            </w:r>
            <w:r w:rsidR="00921343">
              <w:rPr>
                <w:noProof/>
                <w:sz w:val="22"/>
                <w:szCs w:val="22"/>
              </w:rPr>
              <w:instrText xml:space="preserve"> PAGEREF _Toc26394 \h </w:instrText>
            </w:r>
            <w:r w:rsidR="00921343">
              <w:rPr>
                <w:noProof/>
                <w:sz w:val="22"/>
                <w:szCs w:val="22"/>
              </w:rPr>
            </w:r>
            <w:r w:rsidR="00921343">
              <w:rPr>
                <w:noProof/>
                <w:sz w:val="22"/>
                <w:szCs w:val="22"/>
              </w:rPr>
              <w:fldChar w:fldCharType="separate"/>
            </w:r>
            <w:r w:rsidR="00A40E46">
              <w:rPr>
                <w:noProof/>
                <w:sz w:val="22"/>
                <w:szCs w:val="22"/>
              </w:rPr>
              <w:t>8</w:t>
            </w:r>
            <w:r w:rsidR="00921343">
              <w:rPr>
                <w:noProof/>
                <w:sz w:val="22"/>
                <w:szCs w:val="22"/>
              </w:rPr>
              <w:fldChar w:fldCharType="end"/>
            </w:r>
          </w:hyperlink>
        </w:p>
        <w:p w14:paraId="41A7B7A9" w14:textId="7A1C70ED" w:rsidR="003F3584" w:rsidRDefault="00F47771">
          <w:pPr>
            <w:pStyle w:val="WPSOffice1"/>
            <w:tabs>
              <w:tab w:val="right" w:leader="dot" w:pos="9638"/>
            </w:tabs>
            <w:spacing w:line="480" w:lineRule="auto"/>
            <w:rPr>
              <w:noProof/>
              <w:sz w:val="22"/>
              <w:szCs w:val="22"/>
            </w:rPr>
          </w:pPr>
          <w:hyperlink w:anchor="_Toc19520" w:history="1">
            <w:r w:rsidR="00921343">
              <w:rPr>
                <w:rFonts w:hint="eastAsia"/>
                <w:noProof/>
                <w:sz w:val="22"/>
                <w:szCs w:val="22"/>
              </w:rPr>
              <w:t>七、</w:t>
            </w:r>
            <w:r w:rsidR="00921343">
              <w:rPr>
                <w:rFonts w:hint="eastAsia"/>
                <w:noProof/>
                <w:sz w:val="22"/>
                <w:szCs w:val="22"/>
              </w:rPr>
              <w:t xml:space="preserve"> </w:t>
            </w:r>
            <w:r w:rsidR="00921343">
              <w:rPr>
                <w:noProof/>
                <w:sz w:val="22"/>
                <w:szCs w:val="22"/>
              </w:rPr>
              <w:t>采用国际标准和国外先进标准情况，与国际、国外同类标准水平的对比情况，国内外关键指标对比分析或与测试的国外样品、样机的相关数据对比情况</w:t>
            </w:r>
            <w:r w:rsidR="00921343">
              <w:rPr>
                <w:noProof/>
                <w:sz w:val="22"/>
                <w:szCs w:val="22"/>
              </w:rPr>
              <w:tab/>
            </w:r>
            <w:r w:rsidR="00921343">
              <w:rPr>
                <w:noProof/>
                <w:sz w:val="22"/>
                <w:szCs w:val="22"/>
              </w:rPr>
              <w:fldChar w:fldCharType="begin"/>
            </w:r>
            <w:r w:rsidR="00921343">
              <w:rPr>
                <w:noProof/>
                <w:sz w:val="22"/>
                <w:szCs w:val="22"/>
              </w:rPr>
              <w:instrText xml:space="preserve"> PAGEREF _Toc19520 \h </w:instrText>
            </w:r>
            <w:r w:rsidR="00921343">
              <w:rPr>
                <w:noProof/>
                <w:sz w:val="22"/>
                <w:szCs w:val="22"/>
              </w:rPr>
            </w:r>
            <w:r w:rsidR="00921343">
              <w:rPr>
                <w:noProof/>
                <w:sz w:val="22"/>
                <w:szCs w:val="22"/>
              </w:rPr>
              <w:fldChar w:fldCharType="separate"/>
            </w:r>
            <w:r w:rsidR="00A40E46">
              <w:rPr>
                <w:noProof/>
                <w:sz w:val="22"/>
                <w:szCs w:val="22"/>
              </w:rPr>
              <w:t>8</w:t>
            </w:r>
            <w:r w:rsidR="00921343">
              <w:rPr>
                <w:noProof/>
                <w:sz w:val="22"/>
                <w:szCs w:val="22"/>
              </w:rPr>
              <w:fldChar w:fldCharType="end"/>
            </w:r>
          </w:hyperlink>
        </w:p>
        <w:p w14:paraId="5A3DAC5A" w14:textId="333443A2" w:rsidR="003F3584" w:rsidRDefault="00F47771">
          <w:pPr>
            <w:pStyle w:val="WPSOffice1"/>
            <w:tabs>
              <w:tab w:val="right" w:leader="dot" w:pos="9638"/>
            </w:tabs>
            <w:spacing w:line="480" w:lineRule="auto"/>
            <w:rPr>
              <w:noProof/>
              <w:sz w:val="22"/>
              <w:szCs w:val="22"/>
            </w:rPr>
          </w:pPr>
          <w:hyperlink w:anchor="_Toc10560" w:history="1">
            <w:r w:rsidR="00921343">
              <w:rPr>
                <w:rFonts w:hint="eastAsia"/>
                <w:noProof/>
                <w:sz w:val="22"/>
                <w:szCs w:val="22"/>
              </w:rPr>
              <w:t>八、</w:t>
            </w:r>
            <w:r w:rsidR="00921343">
              <w:rPr>
                <w:rFonts w:hint="eastAsia"/>
                <w:noProof/>
                <w:sz w:val="22"/>
                <w:szCs w:val="22"/>
              </w:rPr>
              <w:t xml:space="preserve"> </w:t>
            </w:r>
            <w:r w:rsidR="00921343">
              <w:rPr>
                <w:noProof/>
                <w:sz w:val="22"/>
                <w:szCs w:val="22"/>
              </w:rPr>
              <w:t>与现行相关法律、法规、规章及相关标准，特别是强制性标准的协调性</w:t>
            </w:r>
            <w:r w:rsidR="00921343">
              <w:rPr>
                <w:noProof/>
                <w:sz w:val="22"/>
                <w:szCs w:val="22"/>
              </w:rPr>
              <w:tab/>
            </w:r>
            <w:r w:rsidR="00921343">
              <w:rPr>
                <w:noProof/>
                <w:sz w:val="22"/>
                <w:szCs w:val="22"/>
              </w:rPr>
              <w:fldChar w:fldCharType="begin"/>
            </w:r>
            <w:r w:rsidR="00921343">
              <w:rPr>
                <w:noProof/>
                <w:sz w:val="22"/>
                <w:szCs w:val="22"/>
              </w:rPr>
              <w:instrText xml:space="preserve"> PAGEREF _Toc10560 \h </w:instrText>
            </w:r>
            <w:r w:rsidR="00921343">
              <w:rPr>
                <w:noProof/>
                <w:sz w:val="22"/>
                <w:szCs w:val="22"/>
              </w:rPr>
            </w:r>
            <w:r w:rsidR="00921343">
              <w:rPr>
                <w:noProof/>
                <w:sz w:val="22"/>
                <w:szCs w:val="22"/>
              </w:rPr>
              <w:fldChar w:fldCharType="separate"/>
            </w:r>
            <w:r w:rsidR="00A40E46">
              <w:rPr>
                <w:noProof/>
                <w:sz w:val="22"/>
                <w:szCs w:val="22"/>
              </w:rPr>
              <w:t>9</w:t>
            </w:r>
            <w:r w:rsidR="00921343">
              <w:rPr>
                <w:noProof/>
                <w:sz w:val="22"/>
                <w:szCs w:val="22"/>
              </w:rPr>
              <w:fldChar w:fldCharType="end"/>
            </w:r>
          </w:hyperlink>
        </w:p>
        <w:p w14:paraId="0B09F05C" w14:textId="73E189FE" w:rsidR="003F3584" w:rsidRDefault="00F47771">
          <w:pPr>
            <w:pStyle w:val="WPSOffice1"/>
            <w:tabs>
              <w:tab w:val="right" w:leader="dot" w:pos="9638"/>
            </w:tabs>
            <w:spacing w:line="480" w:lineRule="auto"/>
            <w:rPr>
              <w:noProof/>
              <w:sz w:val="22"/>
              <w:szCs w:val="22"/>
            </w:rPr>
          </w:pPr>
          <w:hyperlink w:anchor="_Toc2198" w:history="1">
            <w:r w:rsidR="00921343">
              <w:rPr>
                <w:rFonts w:hint="eastAsia"/>
                <w:noProof/>
                <w:sz w:val="22"/>
                <w:szCs w:val="22"/>
              </w:rPr>
              <w:t>九、</w:t>
            </w:r>
            <w:r w:rsidR="00921343">
              <w:rPr>
                <w:rFonts w:hint="eastAsia"/>
                <w:noProof/>
                <w:sz w:val="22"/>
                <w:szCs w:val="22"/>
              </w:rPr>
              <w:t xml:space="preserve"> </w:t>
            </w:r>
            <w:r w:rsidR="00921343">
              <w:rPr>
                <w:noProof/>
                <w:sz w:val="22"/>
                <w:szCs w:val="22"/>
              </w:rPr>
              <w:t>重大分歧意见的处理经过和依据</w:t>
            </w:r>
            <w:r w:rsidR="00921343">
              <w:rPr>
                <w:noProof/>
                <w:sz w:val="22"/>
                <w:szCs w:val="22"/>
              </w:rPr>
              <w:tab/>
            </w:r>
            <w:r w:rsidR="00921343">
              <w:rPr>
                <w:noProof/>
                <w:sz w:val="22"/>
                <w:szCs w:val="22"/>
              </w:rPr>
              <w:fldChar w:fldCharType="begin"/>
            </w:r>
            <w:r w:rsidR="00921343">
              <w:rPr>
                <w:noProof/>
                <w:sz w:val="22"/>
                <w:szCs w:val="22"/>
              </w:rPr>
              <w:instrText xml:space="preserve"> PAGEREF _Toc2198 \h </w:instrText>
            </w:r>
            <w:r w:rsidR="00921343">
              <w:rPr>
                <w:noProof/>
                <w:sz w:val="22"/>
                <w:szCs w:val="22"/>
              </w:rPr>
            </w:r>
            <w:r w:rsidR="00921343">
              <w:rPr>
                <w:noProof/>
                <w:sz w:val="22"/>
                <w:szCs w:val="22"/>
              </w:rPr>
              <w:fldChar w:fldCharType="separate"/>
            </w:r>
            <w:r w:rsidR="00A40E46">
              <w:rPr>
                <w:noProof/>
                <w:sz w:val="22"/>
                <w:szCs w:val="22"/>
              </w:rPr>
              <w:t>9</w:t>
            </w:r>
            <w:r w:rsidR="00921343">
              <w:rPr>
                <w:noProof/>
                <w:sz w:val="22"/>
                <w:szCs w:val="22"/>
              </w:rPr>
              <w:fldChar w:fldCharType="end"/>
            </w:r>
          </w:hyperlink>
        </w:p>
        <w:p w14:paraId="1756AFF9" w14:textId="3F4C1D24" w:rsidR="003F3584" w:rsidRDefault="00F47771">
          <w:pPr>
            <w:pStyle w:val="WPSOffice1"/>
            <w:tabs>
              <w:tab w:val="right" w:leader="dot" w:pos="9638"/>
            </w:tabs>
            <w:spacing w:line="480" w:lineRule="auto"/>
            <w:rPr>
              <w:noProof/>
              <w:sz w:val="22"/>
              <w:szCs w:val="22"/>
            </w:rPr>
          </w:pPr>
          <w:hyperlink w:anchor="_Toc29826" w:history="1">
            <w:r w:rsidR="00921343">
              <w:rPr>
                <w:rFonts w:hint="eastAsia"/>
                <w:noProof/>
                <w:sz w:val="22"/>
                <w:szCs w:val="22"/>
              </w:rPr>
              <w:t>十、</w:t>
            </w:r>
            <w:r w:rsidR="00921343">
              <w:rPr>
                <w:rFonts w:hint="eastAsia"/>
                <w:noProof/>
                <w:sz w:val="22"/>
                <w:szCs w:val="22"/>
              </w:rPr>
              <w:t xml:space="preserve"> </w:t>
            </w:r>
            <w:r w:rsidR="00921343">
              <w:rPr>
                <w:noProof/>
                <w:sz w:val="22"/>
                <w:szCs w:val="22"/>
              </w:rPr>
              <w:t>标准性质的建议说明</w:t>
            </w:r>
            <w:r w:rsidR="00921343">
              <w:rPr>
                <w:noProof/>
                <w:sz w:val="22"/>
                <w:szCs w:val="22"/>
              </w:rPr>
              <w:tab/>
            </w:r>
            <w:r w:rsidR="00921343">
              <w:rPr>
                <w:noProof/>
                <w:sz w:val="22"/>
                <w:szCs w:val="22"/>
              </w:rPr>
              <w:fldChar w:fldCharType="begin"/>
            </w:r>
            <w:r w:rsidR="00921343">
              <w:rPr>
                <w:noProof/>
                <w:sz w:val="22"/>
                <w:szCs w:val="22"/>
              </w:rPr>
              <w:instrText xml:space="preserve"> PAGEREF _Toc29826 \h </w:instrText>
            </w:r>
            <w:r w:rsidR="00921343">
              <w:rPr>
                <w:noProof/>
                <w:sz w:val="22"/>
                <w:szCs w:val="22"/>
              </w:rPr>
            </w:r>
            <w:r w:rsidR="00921343">
              <w:rPr>
                <w:noProof/>
                <w:sz w:val="22"/>
                <w:szCs w:val="22"/>
              </w:rPr>
              <w:fldChar w:fldCharType="separate"/>
            </w:r>
            <w:r w:rsidR="00A40E46">
              <w:rPr>
                <w:noProof/>
                <w:sz w:val="22"/>
                <w:szCs w:val="22"/>
              </w:rPr>
              <w:t>9</w:t>
            </w:r>
            <w:r w:rsidR="00921343">
              <w:rPr>
                <w:noProof/>
                <w:sz w:val="22"/>
                <w:szCs w:val="22"/>
              </w:rPr>
              <w:fldChar w:fldCharType="end"/>
            </w:r>
          </w:hyperlink>
        </w:p>
        <w:p w14:paraId="73A99FEC" w14:textId="0AD40F0B" w:rsidR="003F3584" w:rsidRDefault="00F47771">
          <w:pPr>
            <w:pStyle w:val="WPSOffice1"/>
            <w:tabs>
              <w:tab w:val="right" w:leader="dot" w:pos="9638"/>
            </w:tabs>
            <w:spacing w:line="480" w:lineRule="auto"/>
            <w:rPr>
              <w:noProof/>
              <w:sz w:val="22"/>
              <w:szCs w:val="22"/>
            </w:rPr>
          </w:pPr>
          <w:hyperlink w:anchor="_Toc3113" w:history="1">
            <w:r w:rsidR="00921343">
              <w:rPr>
                <w:rFonts w:hint="eastAsia"/>
                <w:noProof/>
                <w:sz w:val="22"/>
                <w:szCs w:val="22"/>
              </w:rPr>
              <w:t>十一、</w:t>
            </w:r>
            <w:r w:rsidR="00921343">
              <w:rPr>
                <w:rFonts w:hint="eastAsia"/>
                <w:noProof/>
                <w:sz w:val="22"/>
                <w:szCs w:val="22"/>
              </w:rPr>
              <w:t xml:space="preserve"> </w:t>
            </w:r>
            <w:r w:rsidR="00921343">
              <w:rPr>
                <w:noProof/>
                <w:sz w:val="22"/>
                <w:szCs w:val="22"/>
              </w:rPr>
              <w:t>贯彻标准的要求和措施建议（包括组织措施、技术措施、过度办法、实施日期等）</w:t>
            </w:r>
            <w:r w:rsidR="00921343">
              <w:rPr>
                <w:noProof/>
                <w:sz w:val="22"/>
                <w:szCs w:val="22"/>
              </w:rPr>
              <w:tab/>
            </w:r>
            <w:r w:rsidR="00921343">
              <w:rPr>
                <w:noProof/>
                <w:sz w:val="22"/>
                <w:szCs w:val="22"/>
              </w:rPr>
              <w:fldChar w:fldCharType="begin"/>
            </w:r>
            <w:r w:rsidR="00921343">
              <w:rPr>
                <w:noProof/>
                <w:sz w:val="22"/>
                <w:szCs w:val="22"/>
              </w:rPr>
              <w:instrText xml:space="preserve"> PAGEREF _Toc3113 \h </w:instrText>
            </w:r>
            <w:r w:rsidR="00921343">
              <w:rPr>
                <w:noProof/>
                <w:sz w:val="22"/>
                <w:szCs w:val="22"/>
              </w:rPr>
            </w:r>
            <w:r w:rsidR="00921343">
              <w:rPr>
                <w:noProof/>
                <w:sz w:val="22"/>
                <w:szCs w:val="22"/>
              </w:rPr>
              <w:fldChar w:fldCharType="separate"/>
            </w:r>
            <w:r w:rsidR="00A40E46">
              <w:rPr>
                <w:noProof/>
                <w:sz w:val="22"/>
                <w:szCs w:val="22"/>
              </w:rPr>
              <w:t>9</w:t>
            </w:r>
            <w:r w:rsidR="00921343">
              <w:rPr>
                <w:noProof/>
                <w:sz w:val="22"/>
                <w:szCs w:val="22"/>
              </w:rPr>
              <w:fldChar w:fldCharType="end"/>
            </w:r>
          </w:hyperlink>
        </w:p>
        <w:p w14:paraId="4D6910FA" w14:textId="0D37521E" w:rsidR="003F3584" w:rsidRDefault="00F47771">
          <w:pPr>
            <w:pStyle w:val="WPSOffice1"/>
            <w:tabs>
              <w:tab w:val="right" w:leader="dot" w:pos="9638"/>
            </w:tabs>
            <w:spacing w:line="480" w:lineRule="auto"/>
            <w:rPr>
              <w:noProof/>
              <w:sz w:val="22"/>
              <w:szCs w:val="22"/>
            </w:rPr>
          </w:pPr>
          <w:hyperlink w:anchor="_Toc1892" w:history="1">
            <w:r w:rsidR="00921343">
              <w:rPr>
                <w:rFonts w:hint="eastAsia"/>
                <w:noProof/>
                <w:sz w:val="22"/>
                <w:szCs w:val="22"/>
              </w:rPr>
              <w:t>十二、</w:t>
            </w:r>
            <w:r w:rsidR="00921343">
              <w:rPr>
                <w:rFonts w:hint="eastAsia"/>
                <w:noProof/>
                <w:sz w:val="22"/>
                <w:szCs w:val="22"/>
              </w:rPr>
              <w:t xml:space="preserve"> </w:t>
            </w:r>
            <w:r w:rsidR="00921343">
              <w:rPr>
                <w:noProof/>
                <w:sz w:val="22"/>
                <w:szCs w:val="22"/>
              </w:rPr>
              <w:t>废止现行相关标准的建议</w:t>
            </w:r>
            <w:r w:rsidR="00921343">
              <w:rPr>
                <w:noProof/>
                <w:sz w:val="22"/>
                <w:szCs w:val="22"/>
              </w:rPr>
              <w:tab/>
            </w:r>
            <w:r w:rsidR="00921343">
              <w:rPr>
                <w:noProof/>
                <w:sz w:val="22"/>
                <w:szCs w:val="22"/>
              </w:rPr>
              <w:fldChar w:fldCharType="begin"/>
            </w:r>
            <w:r w:rsidR="00921343">
              <w:rPr>
                <w:noProof/>
                <w:sz w:val="22"/>
                <w:szCs w:val="22"/>
              </w:rPr>
              <w:instrText xml:space="preserve"> PAGEREF _Toc1892 \h </w:instrText>
            </w:r>
            <w:r w:rsidR="00921343">
              <w:rPr>
                <w:noProof/>
                <w:sz w:val="22"/>
                <w:szCs w:val="22"/>
              </w:rPr>
            </w:r>
            <w:r w:rsidR="00921343">
              <w:rPr>
                <w:noProof/>
                <w:sz w:val="22"/>
                <w:szCs w:val="22"/>
              </w:rPr>
              <w:fldChar w:fldCharType="separate"/>
            </w:r>
            <w:r w:rsidR="00A40E46">
              <w:rPr>
                <w:noProof/>
                <w:sz w:val="22"/>
                <w:szCs w:val="22"/>
              </w:rPr>
              <w:t>9</w:t>
            </w:r>
            <w:r w:rsidR="00921343">
              <w:rPr>
                <w:noProof/>
                <w:sz w:val="22"/>
                <w:szCs w:val="22"/>
              </w:rPr>
              <w:fldChar w:fldCharType="end"/>
            </w:r>
          </w:hyperlink>
        </w:p>
        <w:p w14:paraId="52BD248E" w14:textId="1D48F15F" w:rsidR="003F3584" w:rsidRDefault="00F47771">
          <w:pPr>
            <w:pStyle w:val="WPSOffice1"/>
            <w:tabs>
              <w:tab w:val="right" w:leader="dot" w:pos="9638"/>
            </w:tabs>
            <w:spacing w:line="480" w:lineRule="auto"/>
            <w:rPr>
              <w:noProof/>
            </w:rPr>
          </w:pPr>
          <w:hyperlink w:anchor="_Toc4559" w:history="1">
            <w:r w:rsidR="00921343">
              <w:rPr>
                <w:rFonts w:hint="eastAsia"/>
                <w:noProof/>
                <w:sz w:val="22"/>
                <w:szCs w:val="22"/>
              </w:rPr>
              <w:t>十三、</w:t>
            </w:r>
            <w:r w:rsidR="00921343">
              <w:rPr>
                <w:rFonts w:hint="eastAsia"/>
                <w:noProof/>
                <w:sz w:val="22"/>
                <w:szCs w:val="22"/>
              </w:rPr>
              <w:t xml:space="preserve"> </w:t>
            </w:r>
            <w:r w:rsidR="00921343">
              <w:rPr>
                <w:noProof/>
                <w:sz w:val="22"/>
                <w:szCs w:val="22"/>
              </w:rPr>
              <w:t>其它应予说明的事项</w:t>
            </w:r>
            <w:r w:rsidR="00921343">
              <w:rPr>
                <w:noProof/>
                <w:sz w:val="22"/>
                <w:szCs w:val="22"/>
              </w:rPr>
              <w:tab/>
            </w:r>
            <w:r w:rsidR="00921343">
              <w:rPr>
                <w:noProof/>
                <w:sz w:val="22"/>
                <w:szCs w:val="22"/>
              </w:rPr>
              <w:fldChar w:fldCharType="begin"/>
            </w:r>
            <w:r w:rsidR="00921343">
              <w:rPr>
                <w:noProof/>
                <w:sz w:val="22"/>
                <w:szCs w:val="22"/>
              </w:rPr>
              <w:instrText xml:space="preserve"> PAGEREF _Toc4559 \h </w:instrText>
            </w:r>
            <w:r w:rsidR="00921343">
              <w:rPr>
                <w:noProof/>
                <w:sz w:val="22"/>
                <w:szCs w:val="22"/>
              </w:rPr>
            </w:r>
            <w:r w:rsidR="00921343">
              <w:rPr>
                <w:noProof/>
                <w:sz w:val="22"/>
                <w:szCs w:val="22"/>
              </w:rPr>
              <w:fldChar w:fldCharType="separate"/>
            </w:r>
            <w:r w:rsidR="00A40E46">
              <w:rPr>
                <w:noProof/>
                <w:sz w:val="22"/>
                <w:szCs w:val="22"/>
              </w:rPr>
              <w:t>9</w:t>
            </w:r>
            <w:r w:rsidR="00921343">
              <w:rPr>
                <w:noProof/>
                <w:sz w:val="22"/>
                <w:szCs w:val="22"/>
              </w:rPr>
              <w:fldChar w:fldCharType="end"/>
            </w:r>
          </w:hyperlink>
        </w:p>
        <w:p w14:paraId="3D303E58" w14:textId="77777777" w:rsidR="003F3584" w:rsidRDefault="00921343">
          <w:r>
            <w:fldChar w:fldCharType="end"/>
          </w:r>
        </w:p>
      </w:sdtContent>
    </w:sdt>
    <w:p w14:paraId="7ED478E0" w14:textId="77777777" w:rsidR="003F3584" w:rsidRDefault="003F3584">
      <w:pPr>
        <w:pStyle w:val="11"/>
        <w:tabs>
          <w:tab w:val="left" w:pos="420"/>
        </w:tabs>
        <w:spacing w:before="156" w:after="156" w:line="276" w:lineRule="auto"/>
        <w:outlineLvl w:val="9"/>
        <w:sectPr w:rsidR="003F3584">
          <w:footerReference w:type="default" r:id="rId12"/>
          <w:pgSz w:w="11906" w:h="16838"/>
          <w:pgMar w:top="1474" w:right="1134" w:bottom="1418" w:left="1134" w:header="851" w:footer="851" w:gutter="0"/>
          <w:pgNumType w:start="1"/>
          <w:cols w:space="425"/>
          <w:docGrid w:type="lines" w:linePitch="312"/>
        </w:sectPr>
      </w:pPr>
      <w:bookmarkStart w:id="15" w:name="_Toc31563"/>
    </w:p>
    <w:p w14:paraId="382E3172" w14:textId="77777777" w:rsidR="003F3584" w:rsidRDefault="00921343">
      <w:pPr>
        <w:pStyle w:val="11"/>
        <w:numPr>
          <w:ilvl w:val="0"/>
          <w:numId w:val="1"/>
        </w:numPr>
        <w:tabs>
          <w:tab w:val="clear" w:pos="0"/>
          <w:tab w:val="left" w:pos="420"/>
        </w:tabs>
        <w:spacing w:before="156" w:after="156" w:line="276" w:lineRule="auto"/>
      </w:pPr>
      <w:r>
        <w:lastRenderedPageBreak/>
        <w:t>任务来源及编制背景</w:t>
      </w:r>
      <w:bookmarkEnd w:id="14"/>
      <w:bookmarkEnd w:id="13"/>
      <w:bookmarkEnd w:id="12"/>
      <w:bookmarkEnd w:id="11"/>
      <w:bookmarkEnd w:id="10"/>
      <w:bookmarkEnd w:id="9"/>
      <w:bookmarkEnd w:id="8"/>
      <w:bookmarkEnd w:id="7"/>
      <w:bookmarkEnd w:id="6"/>
      <w:bookmarkEnd w:id="5"/>
      <w:bookmarkEnd w:id="4"/>
      <w:bookmarkEnd w:id="3"/>
      <w:bookmarkEnd w:id="2"/>
      <w:bookmarkEnd w:id="15"/>
    </w:p>
    <w:p w14:paraId="5F2BB6DB" w14:textId="77777777" w:rsidR="003F3584" w:rsidRDefault="00921343">
      <w:pPr>
        <w:pStyle w:val="11"/>
        <w:numPr>
          <w:ilvl w:val="1"/>
          <w:numId w:val="1"/>
        </w:numPr>
        <w:spacing w:before="156" w:after="156" w:line="276" w:lineRule="auto"/>
        <w:outlineLvl w:val="1"/>
      </w:pPr>
      <w:bookmarkStart w:id="16" w:name="_Toc21993"/>
      <w:bookmarkStart w:id="17" w:name="_Toc371511494"/>
      <w:bookmarkStart w:id="18" w:name="_Toc31527"/>
      <w:bookmarkStart w:id="19" w:name="_Toc36132041"/>
      <w:bookmarkStart w:id="20" w:name="_Toc10290"/>
      <w:bookmarkStart w:id="21" w:name="_Toc21617"/>
      <w:bookmarkStart w:id="22" w:name="_Toc30418"/>
      <w:bookmarkStart w:id="23" w:name="_Toc27295"/>
      <w:bookmarkStart w:id="24" w:name="_Toc32315"/>
      <w:bookmarkStart w:id="25" w:name="_Toc18342"/>
      <w:bookmarkStart w:id="26" w:name="_Toc22840"/>
      <w:bookmarkStart w:id="27" w:name="_Toc59059079"/>
      <w:bookmarkStart w:id="28" w:name="_Toc12767"/>
      <w:bookmarkStart w:id="29" w:name="_Toc222553786"/>
      <w:bookmarkStart w:id="30" w:name="_Toc242585740"/>
      <w:r>
        <w:t>任务来源</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2B12E499" w14:textId="3BB5414B" w:rsidR="003F3584" w:rsidRDefault="0097522D" w:rsidP="0097522D">
      <w:pPr>
        <w:topLinePunct/>
        <w:spacing w:line="360" w:lineRule="auto"/>
        <w:ind w:firstLineChars="200" w:firstLine="420"/>
      </w:pPr>
      <w:r>
        <w:rPr>
          <w:rFonts w:hint="eastAsia"/>
        </w:rPr>
        <w:t>2024</w:t>
      </w:r>
      <w:r>
        <w:rPr>
          <w:rFonts w:hint="eastAsia"/>
        </w:rPr>
        <w:t>年</w:t>
      </w:r>
      <w:r>
        <w:rPr>
          <w:rFonts w:hint="eastAsia"/>
        </w:rPr>
        <w:t>3</w:t>
      </w:r>
      <w:r>
        <w:rPr>
          <w:rFonts w:hint="eastAsia"/>
        </w:rPr>
        <w:t>月，工业和信息化部原材料</w:t>
      </w:r>
      <w:r>
        <w:rPr>
          <w:rFonts w:hint="eastAsia"/>
        </w:rPr>
        <w:t>工业</w:t>
      </w:r>
      <w:r>
        <w:rPr>
          <w:rFonts w:hint="eastAsia"/>
        </w:rPr>
        <w:t>司下达</w:t>
      </w:r>
      <w:r>
        <w:rPr>
          <w:rFonts w:hint="eastAsia"/>
        </w:rPr>
        <w:t>《建材行业数字化转型成熟度评估》行业</w:t>
      </w:r>
      <w:r>
        <w:rPr>
          <w:rFonts w:hint="eastAsia"/>
        </w:rPr>
        <w:t>标准研制任务，</w:t>
      </w:r>
      <w:r>
        <w:rPr>
          <w:rFonts w:hint="eastAsia"/>
        </w:rPr>
        <w:t>2024</w:t>
      </w:r>
      <w:r>
        <w:rPr>
          <w:rFonts w:hint="eastAsia"/>
        </w:rPr>
        <w:t>年</w:t>
      </w:r>
      <w:r>
        <w:rPr>
          <w:rFonts w:hint="eastAsia"/>
        </w:rPr>
        <w:t>11</w:t>
      </w:r>
      <w:r>
        <w:rPr>
          <w:rFonts w:hint="eastAsia"/>
        </w:rPr>
        <w:t>月，工业和信息化部原材料工业</w:t>
      </w:r>
      <w:proofErr w:type="gramStart"/>
      <w:r>
        <w:rPr>
          <w:rFonts w:hint="eastAsia"/>
        </w:rPr>
        <w:t>司</w:t>
      </w:r>
      <w:r>
        <w:rPr>
          <w:rFonts w:hint="eastAsia"/>
        </w:rPr>
        <w:t>调整</w:t>
      </w:r>
      <w:proofErr w:type="gramEnd"/>
      <w:r>
        <w:rPr>
          <w:rFonts w:hint="eastAsia"/>
        </w:rPr>
        <w:t>任务，</w:t>
      </w:r>
      <w:r>
        <w:rPr>
          <w:rFonts w:hint="eastAsia"/>
        </w:rPr>
        <w:t>启动团体标准立项程序，</w:t>
      </w:r>
      <w:r>
        <w:rPr>
          <w:rFonts w:hint="eastAsia"/>
        </w:rPr>
        <w:t xml:space="preserve"> 2024</w:t>
      </w:r>
      <w:r>
        <w:rPr>
          <w:rFonts w:hint="eastAsia"/>
        </w:rPr>
        <w:t>年</w:t>
      </w:r>
      <w:r>
        <w:rPr>
          <w:rFonts w:hint="eastAsia"/>
        </w:rPr>
        <w:t>11</w:t>
      </w:r>
      <w:r>
        <w:rPr>
          <w:rFonts w:hint="eastAsia"/>
        </w:rPr>
        <w:t>月</w:t>
      </w:r>
      <w:r>
        <w:rPr>
          <w:rFonts w:hint="eastAsia"/>
        </w:rPr>
        <w:t>29</w:t>
      </w:r>
      <w:r>
        <w:rPr>
          <w:rFonts w:hint="eastAsia"/>
        </w:rPr>
        <w:t>日，</w:t>
      </w:r>
      <w:r>
        <w:rPr>
          <w:rFonts w:hint="eastAsia"/>
        </w:rPr>
        <w:t>中国建筑材料联合会（中建材</w:t>
      </w:r>
      <w:proofErr w:type="gramStart"/>
      <w:r>
        <w:rPr>
          <w:rFonts w:hint="eastAsia"/>
        </w:rPr>
        <w:t>联标发</w:t>
      </w:r>
      <w:proofErr w:type="gramEnd"/>
      <w:r>
        <w:rPr>
          <w:rFonts w:hint="eastAsia"/>
        </w:rPr>
        <w:t>[</w:t>
      </w:r>
      <w:r>
        <w:t>2024]119</w:t>
      </w:r>
      <w:r>
        <w:rPr>
          <w:rFonts w:hint="eastAsia"/>
        </w:rPr>
        <w:t>号文件）下达了</w:t>
      </w:r>
      <w:r>
        <w:rPr>
          <w:rFonts w:hint="eastAsia"/>
        </w:rPr>
        <w:t>《建材行业数字化转型成熟度评估》</w:t>
      </w:r>
      <w:r>
        <w:rPr>
          <w:rFonts w:hint="eastAsia"/>
        </w:rPr>
        <w:t>团体标准（</w:t>
      </w:r>
      <w:r>
        <w:rPr>
          <w:rFonts w:hint="eastAsia"/>
        </w:rPr>
        <w:t>计划</w:t>
      </w:r>
      <w:r>
        <w:rPr>
          <w:rFonts w:hint="eastAsia"/>
        </w:rPr>
        <w:t>编</w:t>
      </w:r>
      <w:r>
        <w:rPr>
          <w:rFonts w:hint="eastAsia"/>
        </w:rPr>
        <w:t>号</w:t>
      </w:r>
      <w:r>
        <w:rPr>
          <w:rFonts w:hint="eastAsia"/>
        </w:rPr>
        <w:t>2024-66-xbjh</w:t>
      </w:r>
      <w:r>
        <w:rPr>
          <w:rFonts w:hint="eastAsia"/>
        </w:rPr>
        <w:t>）的编制任务</w:t>
      </w:r>
      <w:r>
        <w:rPr>
          <w:rFonts w:hint="eastAsia"/>
        </w:rPr>
        <w:t>。</w:t>
      </w:r>
      <w:r w:rsidR="002F5418" w:rsidRPr="002F5418">
        <w:t>由中国建筑材料联合会提出</w:t>
      </w:r>
      <w:r w:rsidR="002F5418" w:rsidRPr="002F5418">
        <w:rPr>
          <w:rFonts w:hint="eastAsia"/>
        </w:rPr>
        <w:t>和</w:t>
      </w:r>
      <w:r w:rsidR="002F5418" w:rsidRPr="002F5418">
        <w:t>归口</w:t>
      </w:r>
      <w:r w:rsidR="002F5418" w:rsidRPr="002F5418">
        <w:rPr>
          <w:rFonts w:hint="eastAsia"/>
        </w:rPr>
        <w:t>，</w:t>
      </w:r>
      <w:r w:rsidR="00921343" w:rsidRPr="002F5418">
        <w:t>编制工作由</w:t>
      </w:r>
      <w:r w:rsidR="0008392D">
        <w:rPr>
          <w:rFonts w:hint="eastAsia"/>
        </w:rPr>
        <w:t>建筑材料</w:t>
      </w:r>
      <w:r w:rsidR="0008392D">
        <w:t>工业信息中</w:t>
      </w:r>
      <w:r w:rsidR="005A731D">
        <w:rPr>
          <w:rFonts w:hint="eastAsia"/>
        </w:rPr>
        <w:t>心牵头</w:t>
      </w:r>
      <w:r w:rsidR="00921343" w:rsidRPr="002F5418">
        <w:t>负责</w:t>
      </w:r>
      <w:r w:rsidR="002F5418" w:rsidRPr="002F5418">
        <w:rPr>
          <w:rFonts w:hint="eastAsia"/>
        </w:rPr>
        <w:t>。</w:t>
      </w:r>
    </w:p>
    <w:p w14:paraId="0ED890C9" w14:textId="77777777" w:rsidR="003F3584" w:rsidRDefault="00921343">
      <w:pPr>
        <w:pStyle w:val="11"/>
        <w:numPr>
          <w:ilvl w:val="1"/>
          <w:numId w:val="1"/>
        </w:numPr>
        <w:spacing w:before="156" w:after="156" w:line="276" w:lineRule="auto"/>
        <w:outlineLvl w:val="1"/>
      </w:pPr>
      <w:bookmarkStart w:id="31" w:name="_Toc36132042"/>
      <w:bookmarkStart w:id="32" w:name="_Toc27908"/>
      <w:bookmarkStart w:id="33" w:name="_Toc702"/>
      <w:bookmarkStart w:id="34" w:name="_Toc19129"/>
      <w:bookmarkStart w:id="35" w:name="_Toc3963"/>
      <w:bookmarkStart w:id="36" w:name="_Toc31941"/>
      <w:bookmarkStart w:id="37" w:name="_Toc19815"/>
      <w:bookmarkStart w:id="38" w:name="_Toc4728"/>
      <w:bookmarkStart w:id="39" w:name="_Toc20853"/>
      <w:bookmarkStart w:id="40" w:name="_Toc19427"/>
      <w:bookmarkStart w:id="41" w:name="_Toc59059080"/>
      <w:bookmarkStart w:id="42" w:name="_Toc6546"/>
      <w:r>
        <w:t>背景和意义</w:t>
      </w:r>
      <w:bookmarkEnd w:id="31"/>
      <w:bookmarkEnd w:id="32"/>
      <w:bookmarkEnd w:id="33"/>
      <w:bookmarkEnd w:id="34"/>
      <w:bookmarkEnd w:id="35"/>
      <w:bookmarkEnd w:id="36"/>
      <w:bookmarkEnd w:id="37"/>
      <w:bookmarkEnd w:id="38"/>
      <w:bookmarkEnd w:id="39"/>
      <w:bookmarkEnd w:id="40"/>
      <w:bookmarkEnd w:id="41"/>
      <w:bookmarkEnd w:id="42"/>
    </w:p>
    <w:p w14:paraId="70A56806" w14:textId="00F274CD" w:rsidR="0008392D" w:rsidRDefault="0008392D" w:rsidP="0008392D">
      <w:pPr>
        <w:topLinePunct/>
        <w:spacing w:line="360" w:lineRule="auto"/>
        <w:ind w:firstLineChars="200" w:firstLine="420"/>
      </w:pPr>
      <w:bookmarkStart w:id="43" w:name="_Toc36132043"/>
      <w:r>
        <w:rPr>
          <w:rFonts w:hint="eastAsia"/>
        </w:rPr>
        <w:t>数字经济是全球未来的发展方向，是推动经济发展的重要动能。制造业数字化转型作为数字经济发展的重要着力点，已成为抢抓新一轮科技革命、推动新一轮产业变革的关键环节。世界主要国家纷纷以产业特别是制造业数字化转型作为重要抓手，不断加强对全球产业发展和经济秩序的影响力。我国高度重视数字经济发展，</w:t>
      </w:r>
      <w:r w:rsidR="001D6A51" w:rsidRPr="001D6A51">
        <w:rPr>
          <w:rFonts w:hint="eastAsia"/>
        </w:rPr>
        <w:t>数字化转型顶层设计不断完善，密集出台了一系列政策文件，</w:t>
      </w:r>
      <w:r w:rsidR="00B10D21">
        <w:rPr>
          <w:rFonts w:hint="eastAsia"/>
        </w:rPr>
        <w:t>大力</w:t>
      </w:r>
      <w:r w:rsidR="00B10D21">
        <w:t>推动制造业</w:t>
      </w:r>
      <w:r w:rsidR="00B10D21">
        <w:rPr>
          <w:rFonts w:hint="eastAsia"/>
        </w:rPr>
        <w:t>数字化</w:t>
      </w:r>
      <w:r w:rsidR="00B10D21">
        <w:t>转型</w:t>
      </w:r>
      <w:r w:rsidR="001D6A51" w:rsidRPr="001D6A51">
        <w:rPr>
          <w:rFonts w:hint="eastAsia"/>
        </w:rPr>
        <w:t>。</w:t>
      </w:r>
      <w:r w:rsidR="00B10D21">
        <w:rPr>
          <w:rFonts w:hint="eastAsia"/>
        </w:rPr>
        <w:t>《</w:t>
      </w:r>
      <w:r w:rsidR="00B10D21" w:rsidRPr="00B10D21">
        <w:rPr>
          <w:rFonts w:hint="eastAsia"/>
        </w:rPr>
        <w:t>党的二十大报告</w:t>
      </w:r>
      <w:r w:rsidR="00B10D21">
        <w:rPr>
          <w:rFonts w:hint="eastAsia"/>
        </w:rPr>
        <w:t>》</w:t>
      </w:r>
      <w:r w:rsidR="001D6A51">
        <w:rPr>
          <w:rFonts w:hint="eastAsia"/>
        </w:rPr>
        <w:t>、</w:t>
      </w:r>
      <w:r w:rsidR="00777679">
        <w:rPr>
          <w:rFonts w:hint="eastAsia"/>
        </w:rPr>
        <w:t>《中华人民共和国国民经济和社会发展第十四个五年规划和</w:t>
      </w:r>
      <w:r w:rsidR="00777679">
        <w:rPr>
          <w:rFonts w:hint="eastAsia"/>
        </w:rPr>
        <w:t>2035</w:t>
      </w:r>
      <w:r w:rsidR="00777679">
        <w:rPr>
          <w:rFonts w:hint="eastAsia"/>
        </w:rPr>
        <w:t>年远景目标纲要》</w:t>
      </w:r>
      <w:r w:rsidR="001D6A51">
        <w:rPr>
          <w:rFonts w:hint="eastAsia"/>
        </w:rPr>
        <w:t>、《“十四五”信息化</w:t>
      </w:r>
      <w:r w:rsidR="001D6A51">
        <w:t>和工业化深度融合发展规划</w:t>
      </w:r>
      <w:r w:rsidR="001D6A51">
        <w:rPr>
          <w:rFonts w:hint="eastAsia"/>
        </w:rPr>
        <w:t>》、《“十四五”数字经济发展</w:t>
      </w:r>
      <w:r w:rsidR="001D6A51">
        <w:t>规划</w:t>
      </w:r>
      <w:r w:rsidR="001D6A51">
        <w:rPr>
          <w:rFonts w:hint="eastAsia"/>
        </w:rPr>
        <w:t>》、</w:t>
      </w:r>
      <w:r w:rsidR="001D6A51">
        <w:t>《</w:t>
      </w:r>
      <w:r w:rsidR="008F2B4A">
        <w:rPr>
          <w:rFonts w:hint="eastAsia"/>
        </w:rPr>
        <w:t>“十四五”智能制造</w:t>
      </w:r>
      <w:r w:rsidR="008F2B4A">
        <w:t>发展规划</w:t>
      </w:r>
      <w:r w:rsidR="001D6A51">
        <w:t>》</w:t>
      </w:r>
      <w:r w:rsidR="008F2B4A">
        <w:rPr>
          <w:rFonts w:hint="eastAsia"/>
        </w:rPr>
        <w:t>、</w:t>
      </w:r>
      <w:r w:rsidR="008F2B4A">
        <w:t>《</w:t>
      </w:r>
      <w:r w:rsidR="008F2B4A">
        <w:rPr>
          <w:rFonts w:hint="eastAsia"/>
        </w:rPr>
        <w:t>“十四五”原材料工业</w:t>
      </w:r>
      <w:r w:rsidR="008F2B4A">
        <w:t>发展规划》</w:t>
      </w:r>
      <w:r w:rsidR="008F2B4A">
        <w:rPr>
          <w:rFonts w:hint="eastAsia"/>
        </w:rPr>
        <w:t>、</w:t>
      </w:r>
      <w:r w:rsidR="008F2B4A" w:rsidRPr="00E62DE5">
        <w:rPr>
          <w:rFonts w:hint="eastAsia"/>
        </w:rPr>
        <w:t>《原材料工业数字化转型工作方案（</w:t>
      </w:r>
      <w:r w:rsidR="008F2B4A" w:rsidRPr="00E62DE5">
        <w:rPr>
          <w:rFonts w:hint="eastAsia"/>
        </w:rPr>
        <w:t>2024</w:t>
      </w:r>
      <w:r w:rsidR="008F2B4A" w:rsidRPr="00E62DE5">
        <w:rPr>
          <w:rFonts w:hint="eastAsia"/>
        </w:rPr>
        <w:t>—</w:t>
      </w:r>
      <w:r w:rsidR="008F2B4A" w:rsidRPr="00E62DE5">
        <w:rPr>
          <w:rFonts w:hint="eastAsia"/>
        </w:rPr>
        <w:t>2026</w:t>
      </w:r>
      <w:r w:rsidR="008F2B4A" w:rsidRPr="00E62DE5">
        <w:rPr>
          <w:rFonts w:hint="eastAsia"/>
        </w:rPr>
        <w:t>年）》</w:t>
      </w:r>
      <w:r w:rsidR="008F2B4A">
        <w:rPr>
          <w:rFonts w:hint="eastAsia"/>
        </w:rPr>
        <w:t>、</w:t>
      </w:r>
      <w:r w:rsidR="00777679" w:rsidRPr="00777679">
        <w:rPr>
          <w:rFonts w:hint="eastAsia"/>
        </w:rPr>
        <w:t>《制造业数字化转型行动方案》</w:t>
      </w:r>
      <w:r w:rsidR="008F2B4A">
        <w:rPr>
          <w:rFonts w:hint="eastAsia"/>
        </w:rPr>
        <w:t>等</w:t>
      </w:r>
      <w:r w:rsidR="008F2B4A">
        <w:t>政策文件为我国制造业数字化转型</w:t>
      </w:r>
      <w:r w:rsidR="008F2B4A">
        <w:rPr>
          <w:rFonts w:hint="eastAsia"/>
        </w:rPr>
        <w:t>发展提供</w:t>
      </w:r>
      <w:r w:rsidR="008F2B4A">
        <w:t>政策</w:t>
      </w:r>
      <w:r w:rsidR="008F2B4A">
        <w:rPr>
          <w:rFonts w:hint="eastAsia"/>
        </w:rPr>
        <w:t>支持</w:t>
      </w:r>
      <w:r w:rsidR="008F2B4A">
        <w:t>。</w:t>
      </w:r>
    </w:p>
    <w:p w14:paraId="03E222E7" w14:textId="33442C83" w:rsidR="004C7710" w:rsidRDefault="004C7710" w:rsidP="0008392D">
      <w:pPr>
        <w:topLinePunct/>
        <w:spacing w:line="360" w:lineRule="auto"/>
        <w:ind w:firstLineChars="200" w:firstLine="420"/>
      </w:pPr>
      <w:r w:rsidRPr="004C7710">
        <w:rPr>
          <w:rFonts w:hint="eastAsia"/>
        </w:rPr>
        <w:t>建材工业是国民经济的重要基础产业，目前已建立了完善的产业体系，水泥、玻璃、陶瓷、玻纤等多种建材产品产量位居世界第一。建材工业作为传统</w:t>
      </w:r>
      <w:r w:rsidR="005A731D">
        <w:rPr>
          <w:rFonts w:hint="eastAsia"/>
        </w:rPr>
        <w:t>产</w:t>
      </w:r>
      <w:r w:rsidRPr="004C7710">
        <w:rPr>
          <w:rFonts w:hint="eastAsia"/>
        </w:rPr>
        <w:t>业，面临向绿色、安全、智能、高效的发展新模式转型重任。建材工业正处于积极应对外部市场需求结构变化、内部产业结构加速转型、实现高质量发展的新阶段，推进数字化转型是行业高质量发展的有效支撑</w:t>
      </w:r>
      <w:r>
        <w:rPr>
          <w:rFonts w:hint="eastAsia"/>
        </w:rPr>
        <w:t>。</w:t>
      </w:r>
      <w:r w:rsidR="001D6A51" w:rsidRPr="001D6A51">
        <w:rPr>
          <w:rFonts w:hint="eastAsia"/>
        </w:rPr>
        <w:t>建材行业积极贯彻党中央、国务院有关数字化工作的决策部署，完善战略、组织、人才、资金等数字化顶层设计，强化工业软件、智能装备、工业互联网、网络设施、数据平台等基础支撑，深化研发设计、生产制造、经营管理、产业链协同、</w:t>
      </w:r>
      <w:proofErr w:type="gramStart"/>
      <w:r w:rsidR="001D6A51" w:rsidRPr="001D6A51">
        <w:rPr>
          <w:rFonts w:hint="eastAsia"/>
        </w:rPr>
        <w:t>节能降碳等</w:t>
      </w:r>
      <w:proofErr w:type="gramEnd"/>
      <w:r w:rsidR="001D6A51" w:rsidRPr="001D6A51">
        <w:rPr>
          <w:rFonts w:hint="eastAsia"/>
        </w:rPr>
        <w:t>重点业务场景的数字化转型，着力打造新技术新模式新业态的协同生态，数字化转型水平得到有效提升。</w:t>
      </w:r>
      <w:r w:rsidR="00C24436" w:rsidRPr="00C24436">
        <w:rPr>
          <w:rFonts w:hint="eastAsia"/>
        </w:rPr>
        <w:t xml:space="preserve">2023 </w:t>
      </w:r>
      <w:r w:rsidR="00C24436" w:rsidRPr="00C24436">
        <w:rPr>
          <w:rFonts w:hint="eastAsia"/>
        </w:rPr>
        <w:t>年建材行业关键工序数控化率达到</w:t>
      </w:r>
      <w:r w:rsidR="00C24436" w:rsidRPr="00C24436">
        <w:rPr>
          <w:rFonts w:hint="eastAsia"/>
        </w:rPr>
        <w:t>63.5%</w:t>
      </w:r>
      <w:r w:rsidR="00C24436" w:rsidRPr="00C24436">
        <w:rPr>
          <w:rFonts w:hint="eastAsia"/>
        </w:rPr>
        <w:t>，关键业务环节全面数字化比例达到</w:t>
      </w:r>
      <w:r w:rsidR="00C24436" w:rsidRPr="00C24436">
        <w:rPr>
          <w:rFonts w:hint="eastAsia"/>
        </w:rPr>
        <w:t>51.1%</w:t>
      </w:r>
      <w:r w:rsidR="00C24436" w:rsidRPr="00C24436">
        <w:rPr>
          <w:rFonts w:hint="eastAsia"/>
        </w:rPr>
        <w:t>，</w:t>
      </w:r>
      <w:r w:rsidR="00C24436" w:rsidRPr="00C24436">
        <w:rPr>
          <w:rFonts w:hint="eastAsia"/>
        </w:rPr>
        <w:t xml:space="preserve"> </w:t>
      </w:r>
      <w:r w:rsidR="00C24436" w:rsidRPr="00C24436">
        <w:rPr>
          <w:rFonts w:hint="eastAsia"/>
        </w:rPr>
        <w:t>数字化研发设计工具普及率达到</w:t>
      </w:r>
      <w:r w:rsidR="00C24436" w:rsidRPr="00C24436">
        <w:rPr>
          <w:rFonts w:hint="eastAsia"/>
        </w:rPr>
        <w:t>70.7%</w:t>
      </w:r>
      <w:r w:rsidR="00C24436" w:rsidRPr="00C24436">
        <w:rPr>
          <w:rFonts w:hint="eastAsia"/>
        </w:rPr>
        <w:t>，实现产业链协同的企业比例达到</w:t>
      </w:r>
      <w:r w:rsidR="00C24436" w:rsidRPr="00C24436">
        <w:rPr>
          <w:rFonts w:hint="eastAsia"/>
        </w:rPr>
        <w:t>20.8%</w:t>
      </w:r>
      <w:r w:rsidR="00C24436" w:rsidRPr="00C24436">
        <w:rPr>
          <w:rFonts w:hint="eastAsia"/>
        </w:rPr>
        <w:t>。</w:t>
      </w:r>
    </w:p>
    <w:p w14:paraId="075E2E2B" w14:textId="5544AC83" w:rsidR="00566FAA" w:rsidRDefault="00E62DE5" w:rsidP="0008392D">
      <w:pPr>
        <w:topLinePunct/>
        <w:spacing w:line="360" w:lineRule="auto"/>
        <w:ind w:firstLineChars="200" w:firstLine="420"/>
      </w:pPr>
      <w:r w:rsidRPr="00E62DE5">
        <w:rPr>
          <w:rFonts w:hint="eastAsia"/>
        </w:rPr>
        <w:t>2024</w:t>
      </w:r>
      <w:r w:rsidRPr="00E62DE5">
        <w:rPr>
          <w:rFonts w:hint="eastAsia"/>
        </w:rPr>
        <w:t>年</w:t>
      </w:r>
      <w:r w:rsidRPr="00E62DE5">
        <w:rPr>
          <w:rFonts w:hint="eastAsia"/>
        </w:rPr>
        <w:t>1</w:t>
      </w:r>
      <w:r w:rsidRPr="00E62DE5">
        <w:rPr>
          <w:rFonts w:hint="eastAsia"/>
        </w:rPr>
        <w:t>月，</w:t>
      </w:r>
      <w:r>
        <w:rPr>
          <w:rFonts w:hint="eastAsia"/>
        </w:rPr>
        <w:t>工业和信息化部等九部门</w:t>
      </w:r>
      <w:r w:rsidRPr="00E62DE5">
        <w:rPr>
          <w:rFonts w:hint="eastAsia"/>
        </w:rPr>
        <w:t>联合印发</w:t>
      </w:r>
      <w:r w:rsidR="008F2B4A" w:rsidRPr="008F2B4A">
        <w:rPr>
          <w:rFonts w:hint="eastAsia"/>
        </w:rPr>
        <w:t>《原材料工业数字化转型工作方案</w:t>
      </w:r>
      <w:r w:rsidR="008F2B4A" w:rsidRPr="008F2B4A">
        <w:rPr>
          <w:rFonts w:hint="eastAsia"/>
        </w:rPr>
        <w:t>(2024-</w:t>
      </w:r>
      <w:r w:rsidR="008F2B4A" w:rsidRPr="008F2B4A">
        <w:rPr>
          <w:rFonts w:hint="eastAsia"/>
        </w:rPr>
        <w:lastRenderedPageBreak/>
        <w:t>2026</w:t>
      </w:r>
      <w:r w:rsidR="008F2B4A" w:rsidRPr="008F2B4A">
        <w:rPr>
          <w:rFonts w:hint="eastAsia"/>
        </w:rPr>
        <w:t>年</w:t>
      </w:r>
      <w:r w:rsidR="008F2B4A" w:rsidRPr="008F2B4A">
        <w:rPr>
          <w:rFonts w:hint="eastAsia"/>
        </w:rPr>
        <w:t>)</w:t>
      </w:r>
      <w:r w:rsidR="008F2B4A" w:rsidRPr="008F2B4A">
        <w:rPr>
          <w:rFonts w:hint="eastAsia"/>
        </w:rPr>
        <w:t>》《建材行业数字化转型实施指南》</w:t>
      </w:r>
      <w:r w:rsidRPr="00E62DE5">
        <w:rPr>
          <w:rFonts w:hint="eastAsia"/>
        </w:rPr>
        <w:t>（工信部联原〔</w:t>
      </w:r>
      <w:r w:rsidRPr="00E62DE5">
        <w:rPr>
          <w:rFonts w:hint="eastAsia"/>
        </w:rPr>
        <w:t>2023</w:t>
      </w:r>
      <w:r w:rsidRPr="00E62DE5">
        <w:rPr>
          <w:rFonts w:hint="eastAsia"/>
        </w:rPr>
        <w:t>〕</w:t>
      </w:r>
      <w:r w:rsidRPr="00E62DE5">
        <w:rPr>
          <w:rFonts w:hint="eastAsia"/>
        </w:rPr>
        <w:t>270</w:t>
      </w:r>
      <w:r w:rsidRPr="00E62DE5">
        <w:rPr>
          <w:rFonts w:hint="eastAsia"/>
        </w:rPr>
        <w:t>号），提出制定石化化工、钢铁、有色金属、建材</w:t>
      </w:r>
      <w:r>
        <w:rPr>
          <w:rFonts w:hint="eastAsia"/>
        </w:rPr>
        <w:t>等</w:t>
      </w:r>
      <w:r w:rsidRPr="00E62DE5">
        <w:rPr>
          <w:rFonts w:hint="eastAsia"/>
        </w:rPr>
        <w:t>重点行业的数字化转型水平与成效评估标准</w:t>
      </w:r>
      <w:r>
        <w:rPr>
          <w:rFonts w:hint="eastAsia"/>
        </w:rPr>
        <w:t>。</w:t>
      </w:r>
    </w:p>
    <w:p w14:paraId="4F2A9432" w14:textId="2432B1BE" w:rsidR="003F3584" w:rsidRPr="00566FAA" w:rsidRDefault="00377272">
      <w:pPr>
        <w:topLinePunct/>
        <w:spacing w:line="360" w:lineRule="auto"/>
        <w:ind w:firstLineChars="200" w:firstLine="420"/>
      </w:pPr>
      <w:r>
        <w:rPr>
          <w:rFonts w:hint="eastAsia"/>
        </w:rPr>
        <w:t>本文件</w:t>
      </w:r>
      <w:r w:rsidR="00E62DE5" w:rsidRPr="00E62DE5">
        <w:rPr>
          <w:rFonts w:hint="eastAsia"/>
        </w:rPr>
        <w:t>旨在构建</w:t>
      </w:r>
      <w:r w:rsidR="00566FAA" w:rsidRPr="00566FAA">
        <w:rPr>
          <w:rFonts w:hint="eastAsia"/>
        </w:rPr>
        <w:t>一套具有行业特色的数字化转型水平评估和能力跃升路径细化应用指南，引导建材企业系统谋划数字化转型发展路线图，逐级提升数字化转型水平和能力。</w:t>
      </w:r>
    </w:p>
    <w:p w14:paraId="2F8427EB" w14:textId="77777777" w:rsidR="003F3584" w:rsidRDefault="00921343">
      <w:pPr>
        <w:pStyle w:val="11"/>
        <w:numPr>
          <w:ilvl w:val="0"/>
          <w:numId w:val="1"/>
        </w:numPr>
        <w:tabs>
          <w:tab w:val="clear" w:pos="0"/>
          <w:tab w:val="left" w:pos="420"/>
        </w:tabs>
        <w:spacing w:before="156" w:after="156" w:line="276" w:lineRule="auto"/>
      </w:pPr>
      <w:bookmarkStart w:id="44" w:name="_Toc59059081"/>
      <w:bookmarkStart w:id="45" w:name="_Toc7251"/>
      <w:bookmarkStart w:id="46" w:name="_Toc22878"/>
      <w:bookmarkStart w:id="47" w:name="_Toc22199"/>
      <w:bookmarkStart w:id="48" w:name="_Toc15277"/>
      <w:bookmarkStart w:id="49" w:name="_Toc15905"/>
      <w:bookmarkStart w:id="50" w:name="_Toc24728"/>
      <w:bookmarkStart w:id="51" w:name="_Toc26710"/>
      <w:bookmarkStart w:id="52" w:name="_Toc32683"/>
      <w:bookmarkStart w:id="53" w:name="_Toc22126"/>
      <w:bookmarkStart w:id="54" w:name="_Toc8779"/>
      <w:bookmarkStart w:id="55" w:name="_Toc31813"/>
      <w:r>
        <w:t>工作简况</w:t>
      </w:r>
      <w:bookmarkEnd w:id="43"/>
      <w:bookmarkEnd w:id="44"/>
      <w:bookmarkEnd w:id="45"/>
      <w:bookmarkEnd w:id="46"/>
      <w:bookmarkEnd w:id="47"/>
      <w:bookmarkEnd w:id="48"/>
      <w:bookmarkEnd w:id="49"/>
      <w:bookmarkEnd w:id="50"/>
      <w:bookmarkEnd w:id="51"/>
      <w:bookmarkEnd w:id="52"/>
      <w:bookmarkEnd w:id="53"/>
      <w:bookmarkEnd w:id="54"/>
      <w:bookmarkEnd w:id="55"/>
    </w:p>
    <w:p w14:paraId="7BFC2F78" w14:textId="6767C199" w:rsidR="003F3584" w:rsidRDefault="00377272">
      <w:pPr>
        <w:topLinePunct/>
        <w:spacing w:line="360" w:lineRule="auto"/>
        <w:ind w:firstLineChars="200" w:firstLine="420"/>
      </w:pPr>
      <w:r>
        <w:rPr>
          <w:rFonts w:hint="eastAsia"/>
        </w:rPr>
        <w:t>本文件</w:t>
      </w:r>
      <w:r w:rsidR="00B47469">
        <w:rPr>
          <w:rFonts w:hint="eastAsia"/>
        </w:rPr>
        <w:t>立足</w:t>
      </w:r>
      <w:r w:rsidR="00B47469">
        <w:t>建材</w:t>
      </w:r>
      <w:r w:rsidR="00B47469">
        <w:rPr>
          <w:rFonts w:hint="eastAsia"/>
        </w:rPr>
        <w:t>企业</w:t>
      </w:r>
      <w:r w:rsidR="00B47469">
        <w:t>数字化转型现状和发展趋势，坚决贯彻党和国家关于制造业数字化转型的</w:t>
      </w:r>
      <w:proofErr w:type="gramStart"/>
      <w:r w:rsidR="00B47469">
        <w:rPr>
          <w:rFonts w:hint="eastAsia"/>
        </w:rPr>
        <w:t>一些列</w:t>
      </w:r>
      <w:r w:rsidR="00B47469">
        <w:t>政策</w:t>
      </w:r>
      <w:proofErr w:type="gramEnd"/>
      <w:r w:rsidR="00B47469">
        <w:t>文件</w:t>
      </w:r>
      <w:r w:rsidR="00B47469">
        <w:rPr>
          <w:rFonts w:hint="eastAsia"/>
        </w:rPr>
        <w:t>精神，落实建材</w:t>
      </w:r>
      <w:r w:rsidR="00B47469">
        <w:t>行业数字化</w:t>
      </w:r>
      <w:r w:rsidR="00CB53F2">
        <w:rPr>
          <w:rFonts w:hint="eastAsia"/>
        </w:rPr>
        <w:t>转型</w:t>
      </w:r>
      <w:r w:rsidR="00CB53F2">
        <w:t>相关政策，</w:t>
      </w:r>
      <w:r w:rsidR="00CB53F2" w:rsidRPr="00CB53F2">
        <w:rPr>
          <w:rFonts w:hint="eastAsia"/>
        </w:rPr>
        <w:t>深入研究数字化转型等相关标准</w:t>
      </w:r>
      <w:r w:rsidR="006B0B3E">
        <w:rPr>
          <w:rFonts w:hint="eastAsia"/>
        </w:rPr>
        <w:t>与</w:t>
      </w:r>
      <w:r w:rsidR="00CB53F2" w:rsidRPr="00CB53F2">
        <w:rPr>
          <w:rFonts w:hint="eastAsia"/>
        </w:rPr>
        <w:t>文献</w:t>
      </w:r>
      <w:r w:rsidR="00CB53F2">
        <w:rPr>
          <w:rFonts w:hint="eastAsia"/>
        </w:rPr>
        <w:t>，结合</w:t>
      </w:r>
      <w:r w:rsidR="006D28D8">
        <w:rPr>
          <w:rFonts w:hint="eastAsia"/>
        </w:rPr>
        <w:t>建材行业数字化转型“</w:t>
      </w:r>
      <w:r w:rsidR="006D28D8" w:rsidRPr="00CB53F2">
        <w:rPr>
          <w:rFonts w:hint="eastAsia"/>
        </w:rPr>
        <w:t>解剖麻雀</w:t>
      </w:r>
      <w:r w:rsidR="006D28D8">
        <w:rPr>
          <w:rFonts w:hint="eastAsia"/>
        </w:rPr>
        <w:t>”</w:t>
      </w:r>
      <w:r w:rsidR="00CB53F2" w:rsidRPr="00CB53F2">
        <w:rPr>
          <w:rFonts w:hint="eastAsia"/>
        </w:rPr>
        <w:t>课题</w:t>
      </w:r>
      <w:r w:rsidR="006D28D8">
        <w:t>，</w:t>
      </w:r>
      <w:r w:rsidR="006D28D8" w:rsidRPr="00CB53F2">
        <w:rPr>
          <w:rFonts w:hint="eastAsia"/>
        </w:rPr>
        <w:t>选择典型企业开展系统深入地实地调研</w:t>
      </w:r>
      <w:r w:rsidR="006D28D8">
        <w:rPr>
          <w:rFonts w:hint="eastAsia"/>
        </w:rPr>
        <w:t>，深入了解</w:t>
      </w:r>
      <w:r w:rsidR="006D28D8">
        <w:t>建材</w:t>
      </w:r>
      <w:r w:rsidR="006D28D8">
        <w:rPr>
          <w:rFonts w:hint="eastAsia"/>
        </w:rPr>
        <w:t>各</w:t>
      </w:r>
      <w:r w:rsidR="006D28D8">
        <w:t>细分行业</w:t>
      </w:r>
      <w:r w:rsidR="006B0B3E">
        <w:t>数字</w:t>
      </w:r>
      <w:r w:rsidR="006B0B3E">
        <w:rPr>
          <w:rFonts w:hint="eastAsia"/>
        </w:rPr>
        <w:t>技术</w:t>
      </w:r>
      <w:r w:rsidR="006B0B3E">
        <w:t>应用水平</w:t>
      </w:r>
      <w:r w:rsidR="006B0B3E">
        <w:rPr>
          <w:rFonts w:hint="eastAsia"/>
        </w:rPr>
        <w:t>与</w:t>
      </w:r>
      <w:r w:rsidR="006B0B3E">
        <w:t>转型实效</w:t>
      </w:r>
      <w:r w:rsidR="006B0B3E">
        <w:rPr>
          <w:rFonts w:hint="eastAsia"/>
        </w:rPr>
        <w:t>、</w:t>
      </w:r>
      <w:r w:rsidR="006B0B3E">
        <w:t>转型难点与</w:t>
      </w:r>
      <w:r w:rsidR="006B0B3E">
        <w:rPr>
          <w:rFonts w:hint="eastAsia"/>
        </w:rPr>
        <w:t>弱点、</w:t>
      </w:r>
      <w:r w:rsidR="006B0B3E">
        <w:t>转型方向与路径，</w:t>
      </w:r>
      <w:r w:rsidR="006B0B3E">
        <w:rPr>
          <w:rFonts w:hint="eastAsia"/>
        </w:rPr>
        <w:t>在</w:t>
      </w:r>
      <w:r w:rsidR="006B0B3E" w:rsidRPr="006B0B3E">
        <w:rPr>
          <w:rFonts w:hint="eastAsia"/>
        </w:rPr>
        <w:t>进行全面系统研究</w:t>
      </w:r>
      <w:r w:rsidR="006B0B3E">
        <w:rPr>
          <w:rFonts w:hint="eastAsia"/>
        </w:rPr>
        <w:t>与</w:t>
      </w:r>
      <w:r w:rsidR="006B0B3E">
        <w:t>充分调研</w:t>
      </w:r>
      <w:r w:rsidR="006B0B3E" w:rsidRPr="006B0B3E">
        <w:rPr>
          <w:rFonts w:hint="eastAsia"/>
        </w:rPr>
        <w:t>的基础上，完成了本标准草案的撰写。</w:t>
      </w:r>
      <w:r w:rsidR="006B0B3E">
        <w:rPr>
          <w:rFonts w:hint="eastAsia"/>
        </w:rPr>
        <w:t>该标准</w:t>
      </w:r>
      <w:r w:rsidR="006B0B3E">
        <w:t>给出了</w:t>
      </w:r>
      <w:r w:rsidR="006B0B3E" w:rsidRPr="006B0B3E">
        <w:rPr>
          <w:rFonts w:hint="eastAsia"/>
        </w:rPr>
        <w:t>建材企业数字化转型成熟度评估</w:t>
      </w:r>
      <w:r w:rsidR="006B0B3E">
        <w:rPr>
          <w:rFonts w:hint="eastAsia"/>
        </w:rPr>
        <w:t>框架</w:t>
      </w:r>
      <w:r w:rsidR="006B0B3E" w:rsidRPr="006B0B3E">
        <w:rPr>
          <w:rFonts w:hint="eastAsia"/>
        </w:rPr>
        <w:t>、评估内容、评估方法、评估流程等</w:t>
      </w:r>
      <w:r w:rsidR="006B0B3E">
        <w:rPr>
          <w:rFonts w:hint="eastAsia"/>
        </w:rPr>
        <w:t>内容</w:t>
      </w:r>
      <w:r w:rsidR="006B0B3E">
        <w:t>。</w:t>
      </w:r>
    </w:p>
    <w:p w14:paraId="14B60B47" w14:textId="77777777" w:rsidR="003F3584" w:rsidRDefault="00921343">
      <w:pPr>
        <w:pStyle w:val="11"/>
        <w:numPr>
          <w:ilvl w:val="1"/>
          <w:numId w:val="1"/>
        </w:numPr>
        <w:spacing w:before="156" w:after="156" w:line="276" w:lineRule="auto"/>
        <w:outlineLvl w:val="1"/>
      </w:pPr>
      <w:bookmarkStart w:id="56" w:name="_Toc19144"/>
      <w:bookmarkStart w:id="57" w:name="_Toc28377975"/>
      <w:r>
        <w:t>参编单位及任务分工</w:t>
      </w:r>
      <w:bookmarkEnd w:id="56"/>
      <w:bookmarkEnd w:id="57"/>
    </w:p>
    <w:p w14:paraId="26DB5FDD" w14:textId="0C2A2128" w:rsidR="003F3584" w:rsidRDefault="00377272">
      <w:pPr>
        <w:spacing w:line="360" w:lineRule="auto"/>
        <w:ind w:firstLineChars="200" w:firstLine="420"/>
      </w:pPr>
      <w:r w:rsidRPr="005A731D">
        <w:t>本文件</w:t>
      </w:r>
      <w:r w:rsidR="00921343" w:rsidRPr="005A731D">
        <w:t>主要起草单位为</w:t>
      </w:r>
      <w:r w:rsidR="00396B4F" w:rsidRPr="005A731D">
        <w:rPr>
          <w:rFonts w:hint="eastAsia"/>
        </w:rPr>
        <w:t>建筑材料</w:t>
      </w:r>
      <w:r w:rsidR="00396B4F" w:rsidRPr="005A731D">
        <w:t>工业信息中心</w:t>
      </w:r>
      <w:r w:rsidR="005A731D">
        <w:rPr>
          <w:rFonts w:hint="eastAsia"/>
        </w:rPr>
        <w:t>牵头，联合</w:t>
      </w:r>
      <w:r w:rsidR="00396B4F" w:rsidRPr="005A731D">
        <w:rPr>
          <w:rFonts w:hint="eastAsia"/>
        </w:rPr>
        <w:t>中国建筑材料联合会</w:t>
      </w:r>
      <w:r w:rsidR="005A731D">
        <w:rPr>
          <w:rFonts w:hint="eastAsia"/>
        </w:rPr>
        <w:t>及建材行业</w:t>
      </w:r>
      <w:r w:rsidR="00396B4F" w:rsidRPr="005A731D">
        <w:t>协会、</w:t>
      </w:r>
      <w:r w:rsidR="00396B4F" w:rsidRPr="005A731D">
        <w:rPr>
          <w:rFonts w:hint="eastAsia"/>
        </w:rPr>
        <w:t>典型生产</w:t>
      </w:r>
      <w:r w:rsidR="00396B4F" w:rsidRPr="005A731D">
        <w:t>企业</w:t>
      </w:r>
      <w:r w:rsidR="00921343" w:rsidRPr="005A731D">
        <w:t>、科研院所、大专院校</w:t>
      </w:r>
      <w:r w:rsidR="005A731D">
        <w:rPr>
          <w:rFonts w:hint="eastAsia"/>
        </w:rPr>
        <w:t>共同起草</w:t>
      </w:r>
      <w:r w:rsidR="00921343" w:rsidRPr="005A731D">
        <w:t>，具有广泛的代表性。</w:t>
      </w:r>
    </w:p>
    <w:p w14:paraId="48F9562F" w14:textId="77777777" w:rsidR="003F3584" w:rsidRDefault="00921343">
      <w:pPr>
        <w:pStyle w:val="11"/>
        <w:numPr>
          <w:ilvl w:val="1"/>
          <w:numId w:val="1"/>
        </w:numPr>
        <w:spacing w:before="156" w:after="156" w:line="276" w:lineRule="auto"/>
        <w:outlineLvl w:val="1"/>
      </w:pPr>
      <w:bookmarkStart w:id="58" w:name="_Toc4098"/>
      <w:r>
        <w:t>具体编制过程</w:t>
      </w:r>
      <w:bookmarkEnd w:id="58"/>
    </w:p>
    <w:p w14:paraId="206C2C0F" w14:textId="0FEEF7A9" w:rsidR="003F3584" w:rsidRDefault="00921343" w:rsidP="009262A2">
      <w:pPr>
        <w:topLinePunct/>
        <w:spacing w:line="360" w:lineRule="auto"/>
        <w:ind w:firstLineChars="200" w:firstLine="420"/>
      </w:pPr>
      <w:r>
        <w:rPr>
          <w:rFonts w:hint="eastAsia"/>
        </w:rPr>
        <w:t>2024</w:t>
      </w:r>
      <w:r>
        <w:rPr>
          <w:rFonts w:hint="eastAsia"/>
        </w:rPr>
        <w:t>年</w:t>
      </w:r>
      <w:r w:rsidR="00396B4F">
        <w:rPr>
          <w:rFonts w:hint="eastAsia"/>
        </w:rPr>
        <w:t>3</w:t>
      </w:r>
      <w:r w:rsidR="00396B4F">
        <w:rPr>
          <w:rFonts w:hint="eastAsia"/>
        </w:rPr>
        <w:t>月</w:t>
      </w:r>
      <w:r>
        <w:t>，</w:t>
      </w:r>
      <w:r w:rsidR="002D7D00">
        <w:rPr>
          <w:rFonts w:hint="eastAsia"/>
        </w:rPr>
        <w:t>接到</w:t>
      </w:r>
      <w:r w:rsidR="002D7D00" w:rsidRPr="00396B4F">
        <w:rPr>
          <w:rFonts w:hint="eastAsia"/>
        </w:rPr>
        <w:t>工业和信息化部</w:t>
      </w:r>
      <w:r w:rsidR="002D7D00">
        <w:rPr>
          <w:rFonts w:hint="eastAsia"/>
        </w:rPr>
        <w:t>原材料</w:t>
      </w:r>
      <w:r w:rsidR="00116BD8">
        <w:rPr>
          <w:rFonts w:hint="eastAsia"/>
        </w:rPr>
        <w:t>工业</w:t>
      </w:r>
      <w:r w:rsidR="002D7D00">
        <w:t>司</w:t>
      </w:r>
      <w:r w:rsidR="002D7D00">
        <w:rPr>
          <w:rFonts w:hint="eastAsia"/>
        </w:rPr>
        <w:t>下达</w:t>
      </w:r>
      <w:r w:rsidR="002D7D00">
        <w:t>的标准研制任务，</w:t>
      </w:r>
      <w:r w:rsidR="00F53284">
        <w:rPr>
          <w:rFonts w:hint="eastAsia"/>
        </w:rPr>
        <w:t>建筑材料工业信息中心</w:t>
      </w:r>
      <w:r w:rsidR="00396B4F">
        <w:rPr>
          <w:rFonts w:hint="eastAsia"/>
        </w:rPr>
        <w:t>牵头</w:t>
      </w:r>
      <w:r w:rsidR="009262A2">
        <w:rPr>
          <w:rFonts w:hint="eastAsia"/>
        </w:rPr>
        <w:t>联合</w:t>
      </w:r>
      <w:r w:rsidR="00396B4F">
        <w:t>行业</w:t>
      </w:r>
      <w:r w:rsidR="00652884">
        <w:rPr>
          <w:rFonts w:hint="eastAsia"/>
        </w:rPr>
        <w:t>协会、</w:t>
      </w:r>
      <w:r w:rsidR="00396B4F">
        <w:t>代表企业</w:t>
      </w:r>
      <w:r w:rsidR="009262A2">
        <w:rPr>
          <w:rFonts w:hint="eastAsia"/>
        </w:rPr>
        <w:t>成立</w:t>
      </w:r>
      <w:r w:rsidR="009262A2">
        <w:t>标准工作组</w:t>
      </w:r>
      <w:r w:rsidR="00F53284">
        <w:rPr>
          <w:rFonts w:hint="eastAsia"/>
        </w:rPr>
        <w:t>。</w:t>
      </w:r>
    </w:p>
    <w:p w14:paraId="473D977B" w14:textId="0D98734B" w:rsidR="009262A2" w:rsidRDefault="00921343">
      <w:pPr>
        <w:topLinePunct/>
        <w:spacing w:line="360" w:lineRule="auto"/>
        <w:ind w:firstLineChars="200" w:firstLine="420"/>
      </w:pPr>
      <w:bookmarkStart w:id="59" w:name="_Toc351215567"/>
      <w:r>
        <w:rPr>
          <w:rFonts w:hint="eastAsia"/>
        </w:rPr>
        <w:t>2024</w:t>
      </w:r>
      <w:r w:rsidR="002F5418">
        <w:rPr>
          <w:rFonts w:hint="eastAsia"/>
        </w:rPr>
        <w:t>年</w:t>
      </w:r>
      <w:r w:rsidR="009262A2">
        <w:t>4</w:t>
      </w:r>
      <w:r>
        <w:rPr>
          <w:rFonts w:hint="eastAsia"/>
        </w:rPr>
        <w:t>月</w:t>
      </w:r>
      <w:r w:rsidR="005E2DE0">
        <w:rPr>
          <w:rFonts w:hint="eastAsia"/>
        </w:rPr>
        <w:t>-</w:t>
      </w:r>
      <w:r w:rsidR="005E2DE0">
        <w:t>10</w:t>
      </w:r>
      <w:r w:rsidR="005E2DE0">
        <w:rPr>
          <w:rFonts w:hint="eastAsia"/>
        </w:rPr>
        <w:t>月</w:t>
      </w:r>
      <w:r>
        <w:rPr>
          <w:rFonts w:hint="eastAsia"/>
        </w:rPr>
        <w:t>，</w:t>
      </w:r>
      <w:r w:rsidR="00F53284">
        <w:t>开展企业调研，</w:t>
      </w:r>
      <w:r w:rsidR="00F53284">
        <w:rPr>
          <w:rFonts w:hint="eastAsia"/>
        </w:rPr>
        <w:t>收集企业数字</w:t>
      </w:r>
      <w:r w:rsidR="00F53284">
        <w:t>转型</w:t>
      </w:r>
      <w:r w:rsidR="00F53284">
        <w:rPr>
          <w:rFonts w:hint="eastAsia"/>
        </w:rPr>
        <w:t>现状</w:t>
      </w:r>
      <w:r w:rsidR="00F53284">
        <w:t>和发展需求相关</w:t>
      </w:r>
      <w:r w:rsidR="00F53284">
        <w:rPr>
          <w:rFonts w:hint="eastAsia"/>
        </w:rPr>
        <w:t>资料</w:t>
      </w:r>
      <w:r w:rsidR="00F53284" w:rsidRPr="009262A2">
        <w:rPr>
          <w:rFonts w:hint="eastAsia"/>
        </w:rPr>
        <w:t>，</w:t>
      </w:r>
      <w:r w:rsidR="00F53284">
        <w:rPr>
          <w:rFonts w:hint="eastAsia"/>
        </w:rPr>
        <w:t>讨论确定</w:t>
      </w:r>
      <w:r w:rsidR="00F53284">
        <w:t>标准</w:t>
      </w:r>
      <w:r w:rsidR="00F53284">
        <w:rPr>
          <w:rFonts w:hint="eastAsia"/>
        </w:rPr>
        <w:t>草案</w:t>
      </w:r>
      <w:r w:rsidR="00F53284">
        <w:t>框架，</w:t>
      </w:r>
      <w:r w:rsidR="00F53284">
        <w:rPr>
          <w:rFonts w:hint="eastAsia"/>
        </w:rPr>
        <w:t>初步</w:t>
      </w:r>
      <w:r w:rsidR="00F53284">
        <w:t>形成标准草案；</w:t>
      </w:r>
      <w:r w:rsidR="009262A2">
        <w:t>完成</w:t>
      </w:r>
      <w:r w:rsidR="005E2DE0">
        <w:rPr>
          <w:rFonts w:hint="eastAsia"/>
        </w:rPr>
        <w:t>行业</w:t>
      </w:r>
      <w:r w:rsidR="005E2DE0">
        <w:t>标准立项资料</w:t>
      </w:r>
      <w:r w:rsidR="005E2DE0">
        <w:rPr>
          <w:rFonts w:hint="eastAsia"/>
        </w:rPr>
        <w:t>，并</w:t>
      </w:r>
      <w:r w:rsidR="005E2DE0">
        <w:t>提交至</w:t>
      </w:r>
      <w:r w:rsidR="005E2DE0">
        <w:rPr>
          <w:rFonts w:hint="eastAsia"/>
        </w:rPr>
        <w:t>所</w:t>
      </w:r>
      <w:r w:rsidR="005E2DE0">
        <w:t>归口的</w:t>
      </w:r>
      <w:r w:rsidR="00F53284">
        <w:rPr>
          <w:rFonts w:hint="eastAsia"/>
        </w:rPr>
        <w:t>单位</w:t>
      </w:r>
      <w:r w:rsidR="005E2DE0">
        <w:rPr>
          <w:rFonts w:hint="eastAsia"/>
        </w:rPr>
        <w:t>，先后</w:t>
      </w:r>
      <w:r w:rsidR="005E2DE0">
        <w:t>参加</w:t>
      </w:r>
      <w:r w:rsidR="00652884">
        <w:rPr>
          <w:rFonts w:hint="eastAsia"/>
        </w:rPr>
        <w:t>建筑材料联合会、</w:t>
      </w:r>
      <w:r w:rsidR="005E2DE0">
        <w:t>工信部等部门组织的多次立项答辩</w:t>
      </w:r>
      <w:r w:rsidR="005E2DE0">
        <w:rPr>
          <w:rFonts w:hint="eastAsia"/>
        </w:rPr>
        <w:t>。</w:t>
      </w:r>
    </w:p>
    <w:p w14:paraId="513B358F" w14:textId="441FB852" w:rsidR="005E2DE0" w:rsidRPr="005E2DE0" w:rsidRDefault="005E2DE0" w:rsidP="002D7D00">
      <w:pPr>
        <w:topLinePunct/>
        <w:spacing w:line="360" w:lineRule="auto"/>
        <w:ind w:firstLineChars="200" w:firstLine="420"/>
      </w:pPr>
      <w:r>
        <w:rPr>
          <w:rFonts w:hint="eastAsia"/>
        </w:rPr>
        <w:t>2024</w:t>
      </w:r>
      <w:r>
        <w:rPr>
          <w:rFonts w:hint="eastAsia"/>
        </w:rPr>
        <w:t>年</w:t>
      </w:r>
      <w:r>
        <w:t>11</w:t>
      </w:r>
      <w:r>
        <w:rPr>
          <w:rFonts w:hint="eastAsia"/>
        </w:rPr>
        <w:t>月，</w:t>
      </w:r>
      <w:r>
        <w:t>启动团体标准立项程序</w:t>
      </w:r>
      <w:r w:rsidR="002D7D00">
        <w:rPr>
          <w:rFonts w:hint="eastAsia"/>
        </w:rPr>
        <w:t>，</w:t>
      </w:r>
      <w:r w:rsidR="002D7D00">
        <w:rPr>
          <w:rFonts w:hint="eastAsia"/>
        </w:rPr>
        <w:t xml:space="preserve"> </w:t>
      </w:r>
      <w:r w:rsidR="002D7D00">
        <w:rPr>
          <w:rFonts w:hint="eastAsia"/>
        </w:rPr>
        <w:t>2024</w:t>
      </w:r>
      <w:r w:rsidR="002D7D00">
        <w:rPr>
          <w:rFonts w:hint="eastAsia"/>
        </w:rPr>
        <w:t>年</w:t>
      </w:r>
      <w:r w:rsidR="002D7D00">
        <w:rPr>
          <w:rFonts w:hint="eastAsia"/>
        </w:rPr>
        <w:t>11</w:t>
      </w:r>
      <w:r w:rsidR="002D7D00">
        <w:rPr>
          <w:rFonts w:hint="eastAsia"/>
        </w:rPr>
        <w:t>月</w:t>
      </w:r>
      <w:r w:rsidR="002D7D00">
        <w:rPr>
          <w:rFonts w:hint="eastAsia"/>
        </w:rPr>
        <w:t>29</w:t>
      </w:r>
      <w:r w:rsidR="002D7D00">
        <w:rPr>
          <w:rFonts w:hint="eastAsia"/>
        </w:rPr>
        <w:t>日，中建材</w:t>
      </w:r>
      <w:proofErr w:type="gramStart"/>
      <w:r w:rsidR="002D7D00">
        <w:rPr>
          <w:rFonts w:hint="eastAsia"/>
        </w:rPr>
        <w:t>联标发</w:t>
      </w:r>
      <w:proofErr w:type="gramEnd"/>
      <w:r w:rsidR="002D7D00">
        <w:rPr>
          <w:rFonts w:hint="eastAsia"/>
        </w:rPr>
        <w:t>[2024]119</w:t>
      </w:r>
      <w:r w:rsidR="002D7D00">
        <w:rPr>
          <w:rFonts w:hint="eastAsia"/>
        </w:rPr>
        <w:t>号</w:t>
      </w:r>
      <w:r w:rsidR="002D7D00">
        <w:rPr>
          <w:rFonts w:hint="eastAsia"/>
        </w:rPr>
        <w:t xml:space="preserve"> </w:t>
      </w:r>
      <w:r w:rsidR="002D7D00">
        <w:rPr>
          <w:rFonts w:hint="eastAsia"/>
        </w:rPr>
        <w:t>《关于下达</w:t>
      </w:r>
      <w:r w:rsidR="002D7D00">
        <w:rPr>
          <w:rFonts w:hint="eastAsia"/>
        </w:rPr>
        <w:t>&lt;</w:t>
      </w:r>
      <w:r w:rsidR="002D7D00">
        <w:rPr>
          <w:rFonts w:hint="eastAsia"/>
        </w:rPr>
        <w:t>建材行业数字化转型成熟度评估</w:t>
      </w:r>
      <w:r w:rsidR="002D7D00">
        <w:rPr>
          <w:rFonts w:hint="eastAsia"/>
        </w:rPr>
        <w:t>&gt;</w:t>
      </w:r>
      <w:r w:rsidR="002D7D00">
        <w:rPr>
          <w:rFonts w:hint="eastAsia"/>
        </w:rPr>
        <w:t>协会标准制定计划的通知》，《建材行业数字化转型成熟度评估》</w:t>
      </w:r>
      <w:r w:rsidR="00116BD8">
        <w:rPr>
          <w:rFonts w:hint="eastAsia"/>
        </w:rPr>
        <w:t>（标准</w:t>
      </w:r>
      <w:r w:rsidR="002D7D00">
        <w:rPr>
          <w:rFonts w:hint="eastAsia"/>
        </w:rPr>
        <w:t>计划号</w:t>
      </w:r>
      <w:r w:rsidR="002D7D00">
        <w:rPr>
          <w:rFonts w:hint="eastAsia"/>
        </w:rPr>
        <w:t>2024-66-xbjh</w:t>
      </w:r>
      <w:r w:rsidR="00116BD8">
        <w:rPr>
          <w:rFonts w:hint="eastAsia"/>
        </w:rPr>
        <w:t>）</w:t>
      </w:r>
      <w:r w:rsidR="00A55802">
        <w:rPr>
          <w:rFonts w:hint="eastAsia"/>
        </w:rPr>
        <w:t>。</w:t>
      </w:r>
    </w:p>
    <w:p w14:paraId="70E2ECE6" w14:textId="7F16587B" w:rsidR="003F3584" w:rsidRDefault="00A55802">
      <w:pPr>
        <w:topLinePunct/>
        <w:spacing w:line="360" w:lineRule="auto"/>
        <w:ind w:firstLineChars="200" w:firstLine="420"/>
      </w:pPr>
      <w:r>
        <w:rPr>
          <w:rFonts w:hint="eastAsia"/>
        </w:rPr>
        <w:t>2024</w:t>
      </w:r>
      <w:r>
        <w:rPr>
          <w:rFonts w:hint="eastAsia"/>
        </w:rPr>
        <w:t>年</w:t>
      </w:r>
      <w:r>
        <w:t>12</w:t>
      </w:r>
      <w:r>
        <w:rPr>
          <w:rFonts w:hint="eastAsia"/>
        </w:rPr>
        <w:t>月</w:t>
      </w:r>
      <w:r w:rsidR="005A731D">
        <w:rPr>
          <w:rFonts w:hint="eastAsia"/>
        </w:rPr>
        <w:t>3</w:t>
      </w:r>
      <w:r w:rsidR="005A731D">
        <w:rPr>
          <w:rFonts w:hint="eastAsia"/>
        </w:rPr>
        <w:t>日</w:t>
      </w:r>
      <w:r>
        <w:rPr>
          <w:rFonts w:hint="eastAsia"/>
        </w:rPr>
        <w:t>，</w:t>
      </w:r>
      <w:r w:rsidR="00921343">
        <w:rPr>
          <w:rFonts w:hint="eastAsia"/>
        </w:rPr>
        <w:t>中国建筑材料联合会</w:t>
      </w:r>
      <w:r w:rsidR="003E7441">
        <w:rPr>
          <w:rFonts w:hint="eastAsia"/>
        </w:rPr>
        <w:t>协调召集</w:t>
      </w:r>
      <w:r w:rsidR="003E7441" w:rsidRPr="003E7441">
        <w:rPr>
          <w:rFonts w:hint="eastAsia"/>
        </w:rPr>
        <w:t>建材行业协会、典型生产企业、科研院所、大专院校</w:t>
      </w:r>
      <w:r w:rsidR="003E7441">
        <w:rPr>
          <w:rFonts w:hint="eastAsia"/>
        </w:rPr>
        <w:t>等</w:t>
      </w:r>
      <w:r w:rsidR="003E7441">
        <w:t>代表</w:t>
      </w:r>
      <w:r w:rsidR="00921343">
        <w:rPr>
          <w:rFonts w:hint="eastAsia"/>
        </w:rPr>
        <w:t>在北京召开了</w:t>
      </w:r>
      <w:r w:rsidR="00D67444">
        <w:rPr>
          <w:rFonts w:hint="eastAsia"/>
        </w:rPr>
        <w:t>标准</w:t>
      </w:r>
      <w:r w:rsidR="003E7441">
        <w:rPr>
          <w:rFonts w:hint="eastAsia"/>
        </w:rPr>
        <w:t>研讨会</w:t>
      </w:r>
      <w:r w:rsidR="00921343">
        <w:rPr>
          <w:rFonts w:hint="eastAsia"/>
        </w:rPr>
        <w:t>，</w:t>
      </w:r>
      <w:r w:rsidR="003E7441">
        <w:rPr>
          <w:rFonts w:hint="eastAsia"/>
        </w:rPr>
        <w:t>参会</w:t>
      </w:r>
      <w:r w:rsidR="003E7441">
        <w:t>代表</w:t>
      </w:r>
      <w:r w:rsidR="003E7441">
        <w:rPr>
          <w:rFonts w:hint="eastAsia"/>
        </w:rPr>
        <w:t>对标准</w:t>
      </w:r>
      <w:r w:rsidR="003E7441">
        <w:t>草案</w:t>
      </w:r>
      <w:r w:rsidR="003E7441">
        <w:rPr>
          <w:rFonts w:hint="eastAsia"/>
        </w:rPr>
        <w:t>内容进行讨</w:t>
      </w:r>
      <w:bookmarkStart w:id="60" w:name="_GoBack"/>
      <w:bookmarkEnd w:id="60"/>
      <w:r w:rsidR="003E7441">
        <w:rPr>
          <w:rFonts w:hint="eastAsia"/>
        </w:rPr>
        <w:t>论</w:t>
      </w:r>
      <w:r w:rsidR="009573B3">
        <w:rPr>
          <w:rFonts w:hint="eastAsia"/>
        </w:rPr>
        <w:t>。</w:t>
      </w:r>
      <w:r w:rsidR="003E7441">
        <w:rPr>
          <w:rFonts w:hint="eastAsia"/>
        </w:rPr>
        <w:t>标准工作组针对提出</w:t>
      </w:r>
      <w:r w:rsidR="003E7441">
        <w:t>的标准修改建议</w:t>
      </w:r>
      <w:r w:rsidR="003E7441">
        <w:rPr>
          <w:rFonts w:hint="eastAsia"/>
        </w:rPr>
        <w:t>，</w:t>
      </w:r>
      <w:r w:rsidR="003E7441">
        <w:t>进一步完善标准草案</w:t>
      </w:r>
      <w:r w:rsidR="00921343">
        <w:rPr>
          <w:rFonts w:hint="eastAsia"/>
        </w:rPr>
        <w:t>。</w:t>
      </w:r>
    </w:p>
    <w:p w14:paraId="59BB79F9" w14:textId="6577B9A1" w:rsidR="002F5418" w:rsidRDefault="002F5418">
      <w:pPr>
        <w:topLinePunct/>
        <w:spacing w:line="360" w:lineRule="auto"/>
        <w:ind w:firstLineChars="200" w:firstLine="420"/>
      </w:pPr>
      <w:r>
        <w:rPr>
          <w:rFonts w:hint="eastAsia"/>
        </w:rPr>
        <w:t>2024</w:t>
      </w:r>
      <w:r>
        <w:rPr>
          <w:rFonts w:hint="eastAsia"/>
        </w:rPr>
        <w:t>年</w:t>
      </w:r>
      <w:r w:rsidR="003E7441">
        <w:t>12</w:t>
      </w:r>
      <w:r>
        <w:rPr>
          <w:rFonts w:hint="eastAsia"/>
        </w:rPr>
        <w:t>月</w:t>
      </w:r>
      <w:r w:rsidR="002D7D00">
        <w:t>9</w:t>
      </w:r>
      <w:r>
        <w:rPr>
          <w:rFonts w:hint="eastAsia"/>
        </w:rPr>
        <w:t>日，</w:t>
      </w:r>
      <w:r w:rsidR="005A731D">
        <w:rPr>
          <w:rFonts w:hint="eastAsia"/>
        </w:rPr>
        <w:t>将标准征求意见稿报送至</w:t>
      </w:r>
      <w:r>
        <w:rPr>
          <w:rFonts w:hint="eastAsia"/>
        </w:rPr>
        <w:t>中国建筑材料联合会</w:t>
      </w:r>
      <w:r w:rsidR="005A731D">
        <w:rPr>
          <w:rFonts w:hint="eastAsia"/>
        </w:rPr>
        <w:t>启动面</w:t>
      </w:r>
      <w:r>
        <w:rPr>
          <w:rFonts w:hint="eastAsia"/>
        </w:rPr>
        <w:t>向社会公开征求意见。</w:t>
      </w:r>
    </w:p>
    <w:p w14:paraId="7A33A1E6" w14:textId="77777777" w:rsidR="00CC7E58" w:rsidRDefault="00CC7E58">
      <w:pPr>
        <w:snapToGrid w:val="0"/>
        <w:spacing w:line="360" w:lineRule="auto"/>
        <w:ind w:firstLineChars="200" w:firstLine="420"/>
      </w:pPr>
    </w:p>
    <w:p w14:paraId="537ED39E" w14:textId="77777777" w:rsidR="003F3584" w:rsidRDefault="00921343">
      <w:pPr>
        <w:pStyle w:val="11"/>
        <w:numPr>
          <w:ilvl w:val="0"/>
          <w:numId w:val="1"/>
        </w:numPr>
        <w:tabs>
          <w:tab w:val="clear" w:pos="0"/>
          <w:tab w:val="left" w:pos="420"/>
        </w:tabs>
        <w:spacing w:before="156" w:after="156" w:line="276" w:lineRule="auto"/>
      </w:pPr>
      <w:bookmarkStart w:id="61" w:name="_Toc5003"/>
      <w:bookmarkStart w:id="62" w:name="_Toc1061"/>
      <w:bookmarkStart w:id="63" w:name="_Toc13818"/>
      <w:bookmarkStart w:id="64" w:name="_Toc25858"/>
      <w:bookmarkStart w:id="65" w:name="_Toc23736"/>
      <w:bookmarkStart w:id="66" w:name="_Toc21180"/>
      <w:bookmarkStart w:id="67" w:name="_Toc11568"/>
      <w:bookmarkStart w:id="68" w:name="_Toc36132044"/>
      <w:bookmarkStart w:id="69" w:name="_Toc10924"/>
      <w:bookmarkStart w:id="70" w:name="_Toc59059082"/>
      <w:bookmarkStart w:id="71" w:name="_Toc28358"/>
      <w:bookmarkStart w:id="72" w:name="_Toc3860"/>
      <w:bookmarkStart w:id="73" w:name="_Toc15020"/>
      <w:bookmarkStart w:id="74" w:name="_Toc251577422"/>
      <w:bookmarkStart w:id="75" w:name="_Toc222553790"/>
      <w:bookmarkStart w:id="76" w:name="_Toc242585748"/>
      <w:bookmarkEnd w:id="59"/>
      <w:r>
        <w:lastRenderedPageBreak/>
        <w:t>编制原则及标准的主要技术内容说明</w:t>
      </w:r>
      <w:bookmarkEnd w:id="61"/>
      <w:bookmarkEnd w:id="62"/>
      <w:bookmarkEnd w:id="63"/>
      <w:bookmarkEnd w:id="64"/>
      <w:bookmarkEnd w:id="65"/>
      <w:bookmarkEnd w:id="66"/>
      <w:bookmarkEnd w:id="67"/>
      <w:bookmarkEnd w:id="68"/>
      <w:bookmarkEnd w:id="69"/>
      <w:bookmarkEnd w:id="70"/>
      <w:bookmarkEnd w:id="71"/>
      <w:bookmarkEnd w:id="72"/>
      <w:bookmarkEnd w:id="73"/>
      <w:r>
        <w:t xml:space="preserve"> </w:t>
      </w:r>
    </w:p>
    <w:p w14:paraId="438946AA" w14:textId="77777777" w:rsidR="003F3584" w:rsidRDefault="00921343">
      <w:pPr>
        <w:pStyle w:val="11"/>
        <w:numPr>
          <w:ilvl w:val="1"/>
          <w:numId w:val="1"/>
        </w:numPr>
        <w:spacing w:before="156" w:after="156" w:line="276" w:lineRule="auto"/>
        <w:outlineLvl w:val="1"/>
      </w:pPr>
      <w:bookmarkStart w:id="77" w:name="_Toc59059083"/>
      <w:bookmarkStart w:id="78" w:name="_Toc26526"/>
      <w:bookmarkStart w:id="79" w:name="_Toc16478"/>
      <w:bookmarkStart w:id="80" w:name="_Toc3842"/>
      <w:bookmarkStart w:id="81" w:name="_Toc36132045"/>
      <w:bookmarkStart w:id="82" w:name="_Toc25706"/>
      <w:bookmarkStart w:id="83" w:name="_Toc22513"/>
      <w:bookmarkStart w:id="84" w:name="_Toc10475"/>
      <w:bookmarkStart w:id="85" w:name="_Toc31104"/>
      <w:bookmarkStart w:id="86" w:name="_Toc31868"/>
      <w:bookmarkStart w:id="87" w:name="_Toc1357"/>
      <w:bookmarkStart w:id="88" w:name="_Toc9678"/>
      <w:r>
        <w:t>本标准的编制原则</w:t>
      </w:r>
      <w:bookmarkEnd w:id="77"/>
      <w:bookmarkEnd w:id="78"/>
      <w:bookmarkEnd w:id="79"/>
      <w:bookmarkEnd w:id="80"/>
      <w:bookmarkEnd w:id="81"/>
      <w:bookmarkEnd w:id="82"/>
      <w:bookmarkEnd w:id="83"/>
      <w:bookmarkEnd w:id="84"/>
      <w:bookmarkEnd w:id="85"/>
      <w:bookmarkEnd w:id="86"/>
      <w:bookmarkEnd w:id="87"/>
      <w:bookmarkEnd w:id="88"/>
    </w:p>
    <w:p w14:paraId="7AC4BEF0" w14:textId="77777777" w:rsidR="00CC7E58" w:rsidRDefault="00CC7E58" w:rsidP="00CC7E58">
      <w:pPr>
        <w:spacing w:line="360" w:lineRule="auto"/>
        <w:ind w:firstLineChars="200" w:firstLine="420"/>
      </w:pPr>
      <w:r>
        <w:rPr>
          <w:rFonts w:hint="eastAsia"/>
        </w:rPr>
        <w:t>为保证标准的科学性和适用性，标准起草工作组在充分讨论和研究的基础上，明确了以下编制原则：</w:t>
      </w:r>
    </w:p>
    <w:p w14:paraId="68DDEBC8" w14:textId="23304E23" w:rsidR="00CC7E58" w:rsidRDefault="00CC7E58" w:rsidP="00CC7E58">
      <w:pPr>
        <w:spacing w:line="360" w:lineRule="auto"/>
        <w:ind w:firstLineChars="200" w:firstLine="420"/>
      </w:pPr>
      <w:r>
        <w:rPr>
          <w:rFonts w:hint="eastAsia"/>
        </w:rPr>
        <w:t>1.</w:t>
      </w:r>
      <w:r>
        <w:rPr>
          <w:rFonts w:hint="eastAsia"/>
        </w:rPr>
        <w:t>规范性原则。</w:t>
      </w:r>
      <w:r w:rsidR="00377272">
        <w:rPr>
          <w:rFonts w:hint="eastAsia"/>
        </w:rPr>
        <w:t>本文件</w:t>
      </w:r>
      <w:r w:rsidR="00931253" w:rsidRPr="00931253">
        <w:rPr>
          <w:rFonts w:hint="eastAsia"/>
        </w:rPr>
        <w:t>按照</w:t>
      </w:r>
      <w:r w:rsidR="00931253" w:rsidRPr="00931253">
        <w:rPr>
          <w:rFonts w:hint="eastAsia"/>
        </w:rPr>
        <w:t>GB/T 1.1</w:t>
      </w:r>
      <w:r w:rsidR="00931253" w:rsidRPr="00931253">
        <w:rPr>
          <w:rFonts w:hint="eastAsia"/>
        </w:rPr>
        <w:t>—</w:t>
      </w:r>
      <w:r w:rsidR="00931253" w:rsidRPr="00931253">
        <w:rPr>
          <w:rFonts w:hint="eastAsia"/>
        </w:rPr>
        <w:t>2020</w:t>
      </w:r>
      <w:r w:rsidR="00931253" w:rsidRPr="00931253">
        <w:rPr>
          <w:rFonts w:hint="eastAsia"/>
        </w:rPr>
        <w:t>《标准化工作导则</w:t>
      </w:r>
      <w:r w:rsidR="00931253" w:rsidRPr="00931253">
        <w:rPr>
          <w:rFonts w:hint="eastAsia"/>
        </w:rPr>
        <w:t xml:space="preserve"> </w:t>
      </w:r>
      <w:r w:rsidR="00931253" w:rsidRPr="00931253">
        <w:rPr>
          <w:rFonts w:hint="eastAsia"/>
        </w:rPr>
        <w:t>第</w:t>
      </w:r>
      <w:r w:rsidR="00931253" w:rsidRPr="00931253">
        <w:rPr>
          <w:rFonts w:hint="eastAsia"/>
        </w:rPr>
        <w:t>1</w:t>
      </w:r>
      <w:r w:rsidR="00931253" w:rsidRPr="00931253">
        <w:rPr>
          <w:rFonts w:hint="eastAsia"/>
        </w:rPr>
        <w:t>部分：标准化文件的结构和起草规则》的要求和规定，编写</w:t>
      </w:r>
      <w:r w:rsidR="00377272">
        <w:rPr>
          <w:rFonts w:hint="eastAsia"/>
        </w:rPr>
        <w:t>本文件</w:t>
      </w:r>
      <w:r w:rsidR="00931253" w:rsidRPr="00931253">
        <w:rPr>
          <w:rFonts w:hint="eastAsia"/>
        </w:rPr>
        <w:t>的内容。</w:t>
      </w:r>
    </w:p>
    <w:p w14:paraId="664CF5B3" w14:textId="68259212" w:rsidR="00CC7E58" w:rsidRDefault="00CC7E58" w:rsidP="00CC7E58">
      <w:pPr>
        <w:spacing w:line="360" w:lineRule="auto"/>
        <w:ind w:firstLineChars="200" w:firstLine="420"/>
      </w:pPr>
      <w:r>
        <w:rPr>
          <w:rFonts w:hint="eastAsia"/>
        </w:rPr>
        <w:t>2.</w:t>
      </w:r>
      <w:r w:rsidR="00931253">
        <w:rPr>
          <w:rFonts w:hint="eastAsia"/>
        </w:rPr>
        <w:t>适用性</w:t>
      </w:r>
      <w:r>
        <w:rPr>
          <w:rFonts w:hint="eastAsia"/>
        </w:rPr>
        <w:t>原则。</w:t>
      </w:r>
      <w:r w:rsidR="00377272">
        <w:rPr>
          <w:rFonts w:hint="eastAsia"/>
        </w:rPr>
        <w:t>本文件</w:t>
      </w:r>
      <w:r w:rsidR="00931253" w:rsidRPr="00931253">
        <w:rPr>
          <w:rFonts w:hint="eastAsia"/>
        </w:rPr>
        <w:t>立足</w:t>
      </w:r>
      <w:r w:rsidR="00931253">
        <w:rPr>
          <w:rFonts w:hint="eastAsia"/>
        </w:rPr>
        <w:t>建材企业生产</w:t>
      </w:r>
      <w:r w:rsidR="00931253">
        <w:t>运营特点、数字化转型现状和转型方向</w:t>
      </w:r>
      <w:r w:rsidR="00931253">
        <w:rPr>
          <w:rFonts w:hint="eastAsia"/>
        </w:rPr>
        <w:t>、</w:t>
      </w:r>
      <w:r w:rsidR="00931253">
        <w:t>路径，</w:t>
      </w:r>
      <w:r w:rsidR="00D64ADD">
        <w:rPr>
          <w:rFonts w:hint="eastAsia"/>
        </w:rPr>
        <w:t>充分</w:t>
      </w:r>
      <w:r w:rsidR="00D64ADD">
        <w:t>体现</w:t>
      </w:r>
      <w:r w:rsidR="00D64ADD">
        <w:rPr>
          <w:rFonts w:hint="eastAsia"/>
        </w:rPr>
        <w:t>建材细分</w:t>
      </w:r>
      <w:r w:rsidR="00D64ADD">
        <w:t>行业</w:t>
      </w:r>
      <w:r>
        <w:rPr>
          <w:rFonts w:hint="eastAsia"/>
        </w:rPr>
        <w:t>数字化转型水平与成效，</w:t>
      </w:r>
      <w:r w:rsidR="00D64ADD">
        <w:rPr>
          <w:rFonts w:hint="eastAsia"/>
        </w:rPr>
        <w:t>评估框架、具体</w:t>
      </w:r>
      <w:r w:rsidR="00D64ADD">
        <w:t>评估</w:t>
      </w:r>
      <w:r w:rsidR="00D64ADD">
        <w:rPr>
          <w:rFonts w:hint="eastAsia"/>
        </w:rPr>
        <w:t>内容</w:t>
      </w:r>
      <w:r w:rsidR="00D64ADD">
        <w:t>与</w:t>
      </w:r>
      <w:r w:rsidR="00D64ADD">
        <w:rPr>
          <w:rFonts w:hint="eastAsia"/>
        </w:rPr>
        <w:t>评估</w:t>
      </w:r>
      <w:r w:rsidR="00D64ADD">
        <w:t>指标的</w:t>
      </w:r>
      <w:r>
        <w:rPr>
          <w:rFonts w:hint="eastAsia"/>
        </w:rPr>
        <w:t>设置</w:t>
      </w:r>
      <w:r w:rsidR="00D64ADD">
        <w:rPr>
          <w:rFonts w:hint="eastAsia"/>
        </w:rPr>
        <w:t>、</w:t>
      </w:r>
      <w:r>
        <w:rPr>
          <w:rFonts w:hint="eastAsia"/>
        </w:rPr>
        <w:t>力求科学合理，</w:t>
      </w:r>
      <w:r w:rsidR="00D64ADD">
        <w:rPr>
          <w:rFonts w:hint="eastAsia"/>
        </w:rPr>
        <w:t>符合</w:t>
      </w:r>
      <w:r w:rsidR="00D64ADD">
        <w:t>行业特色</w:t>
      </w:r>
      <w:r w:rsidR="00D64ADD">
        <w:rPr>
          <w:rFonts w:hint="eastAsia"/>
        </w:rPr>
        <w:t>，能够</w:t>
      </w:r>
      <w:r w:rsidR="00D64ADD">
        <w:t>切实</w:t>
      </w:r>
      <w:r w:rsidR="00D64ADD" w:rsidRPr="00D64ADD">
        <w:rPr>
          <w:rFonts w:hint="eastAsia"/>
        </w:rPr>
        <w:t>指导</w:t>
      </w:r>
      <w:r w:rsidR="00D64ADD">
        <w:rPr>
          <w:rFonts w:hint="eastAsia"/>
        </w:rPr>
        <w:t>企业</w:t>
      </w:r>
      <w:r w:rsidR="00D64ADD" w:rsidRPr="00D64ADD">
        <w:rPr>
          <w:rFonts w:hint="eastAsia"/>
        </w:rPr>
        <w:t>数字化转型，实现高质量发展。</w:t>
      </w:r>
    </w:p>
    <w:p w14:paraId="2513DA9A" w14:textId="6D499506" w:rsidR="00DF1911" w:rsidRDefault="00CC7E58" w:rsidP="00CC7E58">
      <w:pPr>
        <w:spacing w:line="360" w:lineRule="auto"/>
        <w:ind w:firstLineChars="200" w:firstLine="420"/>
      </w:pPr>
      <w:r>
        <w:rPr>
          <w:rFonts w:hint="eastAsia"/>
        </w:rPr>
        <w:t>3.</w:t>
      </w:r>
      <w:r w:rsidR="00D64ADD">
        <w:rPr>
          <w:rFonts w:hint="eastAsia"/>
        </w:rPr>
        <w:t>协调</w:t>
      </w:r>
      <w:r>
        <w:rPr>
          <w:rFonts w:hint="eastAsia"/>
        </w:rPr>
        <w:t>性原则。</w:t>
      </w:r>
      <w:r w:rsidR="00377272">
        <w:rPr>
          <w:rFonts w:hint="eastAsia"/>
        </w:rPr>
        <w:t>本文件</w:t>
      </w:r>
      <w:r>
        <w:rPr>
          <w:rFonts w:hint="eastAsia"/>
        </w:rPr>
        <w:t>的编制</w:t>
      </w:r>
      <w:r w:rsidR="00D64ADD">
        <w:rPr>
          <w:rFonts w:hint="eastAsia"/>
        </w:rPr>
        <w:t>充分</w:t>
      </w:r>
      <w:r w:rsidR="00D64ADD">
        <w:t>考虑与</w:t>
      </w:r>
      <w:r w:rsidR="00D64ADD">
        <w:rPr>
          <w:rFonts w:hint="eastAsia"/>
        </w:rPr>
        <w:t>我国现行</w:t>
      </w:r>
      <w:r w:rsidR="00D64ADD" w:rsidRPr="00D64ADD">
        <w:rPr>
          <w:rFonts w:hint="eastAsia"/>
        </w:rPr>
        <w:t>法律、法规和政策相</w:t>
      </w:r>
      <w:r w:rsidR="00D64ADD">
        <w:rPr>
          <w:rFonts w:hint="eastAsia"/>
        </w:rPr>
        <w:t>符合</w:t>
      </w:r>
      <w:r w:rsidR="00DF1911">
        <w:rPr>
          <w:rFonts w:hint="eastAsia"/>
        </w:rPr>
        <w:t>，与</w:t>
      </w:r>
      <w:r w:rsidR="00D67444">
        <w:rPr>
          <w:rFonts w:hint="eastAsia"/>
        </w:rPr>
        <w:t>现有</w:t>
      </w:r>
      <w:r w:rsidR="00DF1911">
        <w:t>数字化转型相关</w:t>
      </w:r>
      <w:r w:rsidR="00DF1911" w:rsidRPr="00DF1911">
        <w:rPr>
          <w:rFonts w:hint="eastAsia"/>
        </w:rPr>
        <w:t>国家标准、行业标准</w:t>
      </w:r>
      <w:r w:rsidR="00DF1911">
        <w:rPr>
          <w:rFonts w:hint="eastAsia"/>
        </w:rPr>
        <w:t>等相互协调。</w:t>
      </w:r>
    </w:p>
    <w:p w14:paraId="2B6FC9F4" w14:textId="703E3257" w:rsidR="00D64ADD" w:rsidRDefault="00DF1911" w:rsidP="00CC7E58">
      <w:pPr>
        <w:spacing w:line="360" w:lineRule="auto"/>
        <w:ind w:firstLineChars="200" w:firstLine="420"/>
      </w:pPr>
      <w:r>
        <w:t>4</w:t>
      </w:r>
      <w:r>
        <w:rPr>
          <w:rFonts w:hint="eastAsia"/>
        </w:rPr>
        <w:t>.</w:t>
      </w:r>
      <w:r>
        <w:rPr>
          <w:rFonts w:hint="eastAsia"/>
        </w:rPr>
        <w:t>开放</w:t>
      </w:r>
      <w:r>
        <w:t>性原则。</w:t>
      </w:r>
      <w:r w:rsidR="00377272">
        <w:rPr>
          <w:rFonts w:hint="eastAsia"/>
        </w:rPr>
        <w:t>本文件</w:t>
      </w:r>
      <w:r w:rsidRPr="00DF1911">
        <w:rPr>
          <w:rFonts w:hint="eastAsia"/>
        </w:rPr>
        <w:t>在研制推进过程中，广泛联合业界力量，曾多次召开标准起草会、专家研讨会，广泛听取并充分采纳业内专家、生产一线的意见建议，为标准的科学性和实用性提供了保障。</w:t>
      </w:r>
    </w:p>
    <w:p w14:paraId="7F6FECE4" w14:textId="77777777" w:rsidR="003F3584" w:rsidRDefault="00921343">
      <w:pPr>
        <w:pStyle w:val="11"/>
        <w:numPr>
          <w:ilvl w:val="1"/>
          <w:numId w:val="1"/>
        </w:numPr>
        <w:spacing w:before="156" w:after="156" w:line="276" w:lineRule="auto"/>
        <w:outlineLvl w:val="1"/>
      </w:pPr>
      <w:bookmarkStart w:id="89" w:name="_Toc36132046"/>
      <w:bookmarkStart w:id="90" w:name="_Toc59059084"/>
      <w:bookmarkStart w:id="91" w:name="_Toc18901"/>
      <w:bookmarkStart w:id="92" w:name="_Toc1215"/>
      <w:bookmarkStart w:id="93" w:name="_Toc30010"/>
      <w:bookmarkStart w:id="94" w:name="_Toc4516"/>
      <w:bookmarkStart w:id="95" w:name="_Toc3769"/>
      <w:bookmarkStart w:id="96" w:name="_Toc23302"/>
      <w:bookmarkStart w:id="97" w:name="_Toc15789"/>
      <w:bookmarkStart w:id="98" w:name="_Toc25624"/>
      <w:bookmarkStart w:id="99" w:name="_Toc26861"/>
      <w:bookmarkStart w:id="100" w:name="_Toc32128"/>
      <w:r>
        <w:t>标准的主要内容及说明</w:t>
      </w:r>
      <w:bookmarkEnd w:id="89"/>
      <w:bookmarkEnd w:id="90"/>
      <w:bookmarkEnd w:id="91"/>
      <w:bookmarkEnd w:id="92"/>
      <w:bookmarkEnd w:id="93"/>
      <w:bookmarkEnd w:id="94"/>
      <w:bookmarkEnd w:id="95"/>
      <w:bookmarkEnd w:id="96"/>
      <w:bookmarkEnd w:id="97"/>
      <w:bookmarkEnd w:id="98"/>
      <w:bookmarkEnd w:id="99"/>
      <w:bookmarkEnd w:id="100"/>
      <w:r>
        <w:t xml:space="preserve"> </w:t>
      </w:r>
    </w:p>
    <w:p w14:paraId="03DFDBCC" w14:textId="77777777" w:rsidR="003F3584" w:rsidRDefault="00921343">
      <w:pPr>
        <w:pStyle w:val="11"/>
        <w:numPr>
          <w:ilvl w:val="2"/>
          <w:numId w:val="1"/>
        </w:numPr>
        <w:spacing w:before="156" w:after="156" w:line="276" w:lineRule="auto"/>
        <w:outlineLvl w:val="2"/>
      </w:pPr>
      <w:bookmarkStart w:id="101" w:name="_Toc59059085"/>
      <w:bookmarkStart w:id="102" w:name="_Toc12924"/>
      <w:bookmarkStart w:id="103" w:name="_Toc16559"/>
      <w:bookmarkStart w:id="104" w:name="_Toc31589"/>
      <w:bookmarkStart w:id="105" w:name="_Toc30311"/>
      <w:bookmarkStart w:id="106" w:name="_Toc2186"/>
      <w:bookmarkStart w:id="107" w:name="_Toc9772"/>
      <w:bookmarkStart w:id="108" w:name="_Toc23204"/>
      <w:bookmarkStart w:id="109" w:name="_Toc23118"/>
      <w:bookmarkStart w:id="110" w:name="_Toc12393"/>
      <w:bookmarkStart w:id="111" w:name="_Toc28940"/>
      <w:r>
        <w:t>范围</w:t>
      </w:r>
      <w:bookmarkEnd w:id="101"/>
      <w:bookmarkEnd w:id="102"/>
      <w:bookmarkEnd w:id="103"/>
      <w:bookmarkEnd w:id="104"/>
      <w:bookmarkEnd w:id="105"/>
      <w:bookmarkEnd w:id="106"/>
      <w:bookmarkEnd w:id="107"/>
      <w:bookmarkEnd w:id="108"/>
      <w:bookmarkEnd w:id="109"/>
      <w:bookmarkEnd w:id="110"/>
      <w:bookmarkEnd w:id="111"/>
    </w:p>
    <w:p w14:paraId="5E992316" w14:textId="1FB81A90" w:rsidR="00377272" w:rsidRPr="00377272" w:rsidRDefault="00377272" w:rsidP="00377272">
      <w:pPr>
        <w:autoSpaceDE w:val="0"/>
        <w:autoSpaceDN w:val="0"/>
        <w:adjustRightInd w:val="0"/>
        <w:spacing w:line="360" w:lineRule="auto"/>
        <w:ind w:firstLineChars="200" w:firstLine="420"/>
        <w:rPr>
          <w:color w:val="000000"/>
          <w:kern w:val="0"/>
          <w:szCs w:val="21"/>
        </w:rPr>
      </w:pPr>
      <w:bookmarkStart w:id="112" w:name="_Toc42087772"/>
      <w:r w:rsidRPr="00377272">
        <w:rPr>
          <w:rFonts w:hint="eastAsia"/>
          <w:color w:val="000000"/>
          <w:kern w:val="0"/>
          <w:szCs w:val="21"/>
        </w:rPr>
        <w:t>本文件规定了建材企业数字化转型成熟度评估框架、成熟度等级、评估方法、评估流程</w:t>
      </w:r>
      <w:r w:rsidR="00297489">
        <w:rPr>
          <w:rFonts w:hint="eastAsia"/>
          <w:color w:val="000000"/>
          <w:kern w:val="0"/>
          <w:szCs w:val="21"/>
        </w:rPr>
        <w:t>、评估成熟度要求</w:t>
      </w:r>
      <w:r w:rsidRPr="00377272">
        <w:rPr>
          <w:rFonts w:hint="eastAsia"/>
          <w:color w:val="000000"/>
          <w:kern w:val="0"/>
          <w:szCs w:val="21"/>
        </w:rPr>
        <w:t>等。</w:t>
      </w:r>
    </w:p>
    <w:p w14:paraId="3DFFC30D" w14:textId="490947F9" w:rsidR="003F3584" w:rsidRDefault="00377272" w:rsidP="00377272">
      <w:pPr>
        <w:autoSpaceDE w:val="0"/>
        <w:autoSpaceDN w:val="0"/>
        <w:adjustRightInd w:val="0"/>
        <w:spacing w:line="360" w:lineRule="auto"/>
        <w:ind w:firstLineChars="200" w:firstLine="420"/>
        <w:rPr>
          <w:color w:val="000000"/>
          <w:kern w:val="0"/>
          <w:szCs w:val="21"/>
        </w:rPr>
      </w:pPr>
      <w:r w:rsidRPr="00377272">
        <w:rPr>
          <w:rFonts w:hint="eastAsia"/>
          <w:color w:val="000000"/>
          <w:kern w:val="0"/>
          <w:szCs w:val="21"/>
        </w:rPr>
        <w:t>本文件适用于为建材行业科研院所、生产企业、行业组织、评估机构及相关信息化主管部门等开展企业数字化转型</w:t>
      </w:r>
      <w:r w:rsidR="00297489">
        <w:rPr>
          <w:rFonts w:hint="eastAsia"/>
          <w:color w:val="000000"/>
          <w:kern w:val="0"/>
          <w:szCs w:val="21"/>
        </w:rPr>
        <w:t>成熟度</w:t>
      </w:r>
      <w:r w:rsidRPr="00377272">
        <w:rPr>
          <w:rFonts w:hint="eastAsia"/>
          <w:color w:val="000000"/>
          <w:kern w:val="0"/>
          <w:szCs w:val="21"/>
        </w:rPr>
        <w:t>评估工作提供指导和参考依据。</w:t>
      </w:r>
    </w:p>
    <w:p w14:paraId="17EAAE6E" w14:textId="77777777" w:rsidR="003F3584" w:rsidRDefault="00921343">
      <w:pPr>
        <w:pStyle w:val="11"/>
        <w:numPr>
          <w:ilvl w:val="2"/>
          <w:numId w:val="1"/>
        </w:numPr>
        <w:spacing w:before="156" w:after="156" w:line="276" w:lineRule="auto"/>
        <w:outlineLvl w:val="2"/>
      </w:pPr>
      <w:bookmarkStart w:id="113" w:name="_Toc20940"/>
      <w:bookmarkStart w:id="114" w:name="_Toc31069"/>
      <w:bookmarkStart w:id="115" w:name="_Toc9638"/>
      <w:bookmarkStart w:id="116" w:name="_Toc2233"/>
      <w:bookmarkStart w:id="117" w:name="_Toc16762"/>
      <w:bookmarkStart w:id="118" w:name="_Toc19894"/>
      <w:bookmarkStart w:id="119" w:name="_Toc13914"/>
      <w:bookmarkStart w:id="120" w:name="_Toc59059086"/>
      <w:bookmarkStart w:id="121" w:name="_Toc31440"/>
      <w:bookmarkStart w:id="122" w:name="_Toc6220"/>
      <w:bookmarkStart w:id="123" w:name="_Toc12825"/>
      <w:r>
        <w:t>规范性引用文件</w:t>
      </w:r>
      <w:bookmarkEnd w:id="113"/>
    </w:p>
    <w:p w14:paraId="21326A3C" w14:textId="77777777" w:rsidR="003F3584" w:rsidRDefault="00921343">
      <w:pPr>
        <w:spacing w:line="360" w:lineRule="auto"/>
        <w:ind w:firstLineChars="200" w:firstLine="420"/>
      </w:pPr>
      <w:r>
        <w:t>给出了本文件引用的相关标准、文件名称及文号，凡不注日期的引用文件，其有效版本适用与本文件。</w:t>
      </w:r>
    </w:p>
    <w:p w14:paraId="26224316" w14:textId="0FBFDCB6" w:rsidR="003F3584" w:rsidRDefault="00921343">
      <w:pPr>
        <w:spacing w:line="360" w:lineRule="auto"/>
        <w:ind w:firstLineChars="200" w:firstLine="420"/>
      </w:pPr>
      <w:r>
        <w:t>本文件引用</w:t>
      </w:r>
      <w:r w:rsidR="00377272">
        <w:rPr>
          <w:rFonts w:hint="eastAsia"/>
        </w:rPr>
        <w:t>以下</w:t>
      </w:r>
      <w:r w:rsidR="00377272">
        <w:t>国家标准</w:t>
      </w:r>
      <w:r>
        <w:t>：</w:t>
      </w:r>
    </w:p>
    <w:p w14:paraId="253915C1" w14:textId="58F6881C" w:rsidR="00377272" w:rsidRDefault="00377272" w:rsidP="00377272">
      <w:pPr>
        <w:spacing w:line="360" w:lineRule="auto"/>
        <w:ind w:firstLineChars="200" w:firstLine="420"/>
      </w:pPr>
      <w:r>
        <w:rPr>
          <w:rFonts w:hint="eastAsia"/>
        </w:rPr>
        <w:t>GB/T 23011-2022</w:t>
      </w:r>
      <w:r w:rsidR="00297489">
        <w:rPr>
          <w:rFonts w:hint="eastAsia"/>
        </w:rPr>
        <w:t xml:space="preserve"> </w:t>
      </w:r>
      <w:r w:rsidR="00297489">
        <w:t xml:space="preserve"> </w:t>
      </w:r>
      <w:r>
        <w:rPr>
          <w:rFonts w:hint="eastAsia"/>
        </w:rPr>
        <w:t>信息化和工业化融合</w:t>
      </w:r>
      <w:r>
        <w:rPr>
          <w:rFonts w:hint="eastAsia"/>
        </w:rPr>
        <w:t xml:space="preserve"> </w:t>
      </w:r>
      <w:r>
        <w:rPr>
          <w:rFonts w:hint="eastAsia"/>
        </w:rPr>
        <w:t>数字化转型</w:t>
      </w:r>
      <w:r>
        <w:rPr>
          <w:rFonts w:hint="eastAsia"/>
        </w:rPr>
        <w:t xml:space="preserve"> </w:t>
      </w:r>
      <w:r>
        <w:rPr>
          <w:rFonts w:hint="eastAsia"/>
        </w:rPr>
        <w:t>价值效益参考模型</w:t>
      </w:r>
    </w:p>
    <w:p w14:paraId="0B745AD1" w14:textId="427581DF" w:rsidR="003F3584" w:rsidRDefault="00377272" w:rsidP="00377272">
      <w:pPr>
        <w:spacing w:line="360" w:lineRule="auto"/>
        <w:ind w:firstLineChars="200" w:firstLine="420"/>
      </w:pPr>
      <w:r>
        <w:rPr>
          <w:rFonts w:hint="eastAsia"/>
        </w:rPr>
        <w:t>GB/T 43439-2023</w:t>
      </w:r>
      <w:r w:rsidR="00297489">
        <w:rPr>
          <w:rFonts w:hint="eastAsia"/>
        </w:rPr>
        <w:t xml:space="preserve"> </w:t>
      </w:r>
      <w:r w:rsidR="00297489">
        <w:t xml:space="preserve"> </w:t>
      </w:r>
      <w:r>
        <w:rPr>
          <w:rFonts w:hint="eastAsia"/>
        </w:rPr>
        <w:t>信息技术服务</w:t>
      </w:r>
      <w:r>
        <w:rPr>
          <w:rFonts w:hint="eastAsia"/>
        </w:rPr>
        <w:t xml:space="preserve"> </w:t>
      </w:r>
      <w:r>
        <w:rPr>
          <w:rFonts w:hint="eastAsia"/>
        </w:rPr>
        <w:t>数字化转型</w:t>
      </w:r>
      <w:r>
        <w:rPr>
          <w:rFonts w:hint="eastAsia"/>
        </w:rPr>
        <w:t xml:space="preserve"> </w:t>
      </w:r>
      <w:r>
        <w:rPr>
          <w:rFonts w:hint="eastAsia"/>
        </w:rPr>
        <w:t>成熟度模型与评估</w:t>
      </w:r>
    </w:p>
    <w:p w14:paraId="09CCC3C5" w14:textId="7CCD80CD" w:rsidR="003F3584" w:rsidRDefault="003F3584">
      <w:pPr>
        <w:spacing w:line="360" w:lineRule="auto"/>
        <w:ind w:firstLineChars="200" w:firstLine="420"/>
      </w:pPr>
    </w:p>
    <w:p w14:paraId="0F7F06C1" w14:textId="7623D05F" w:rsidR="003F3584" w:rsidRDefault="00921343">
      <w:pPr>
        <w:pStyle w:val="11"/>
        <w:numPr>
          <w:ilvl w:val="2"/>
          <w:numId w:val="1"/>
        </w:numPr>
        <w:spacing w:before="156" w:after="156" w:line="276" w:lineRule="auto"/>
        <w:outlineLvl w:val="2"/>
      </w:pPr>
      <w:bookmarkStart w:id="124" w:name="_Toc26956"/>
      <w:r>
        <w:lastRenderedPageBreak/>
        <w:t>术语和定义</w:t>
      </w:r>
      <w:bookmarkEnd w:id="112"/>
      <w:bookmarkEnd w:id="114"/>
      <w:bookmarkEnd w:id="115"/>
      <w:bookmarkEnd w:id="116"/>
      <w:bookmarkEnd w:id="117"/>
      <w:bookmarkEnd w:id="118"/>
      <w:bookmarkEnd w:id="119"/>
      <w:bookmarkEnd w:id="120"/>
      <w:bookmarkEnd w:id="121"/>
      <w:bookmarkEnd w:id="122"/>
      <w:bookmarkEnd w:id="123"/>
      <w:bookmarkEnd w:id="124"/>
    </w:p>
    <w:p w14:paraId="1732D7B5" w14:textId="6F089AFA" w:rsidR="003F3584" w:rsidRDefault="00921343">
      <w:pPr>
        <w:spacing w:line="360" w:lineRule="auto"/>
        <w:ind w:firstLineChars="200" w:firstLine="420"/>
      </w:pPr>
      <w:r>
        <w:t>在充分考虑</w:t>
      </w:r>
      <w:r w:rsidR="00377272">
        <w:t>本文件</w:t>
      </w:r>
      <w:r>
        <w:t>适用范围以及参考其他相关标准定义的基础上给出</w:t>
      </w:r>
      <w:r w:rsidR="00377272">
        <w:t>本文件</w:t>
      </w:r>
      <w:r>
        <w:t>的术语和定义。</w:t>
      </w:r>
    </w:p>
    <w:p w14:paraId="1489FA12" w14:textId="53FD25A1" w:rsidR="003F3584" w:rsidRDefault="00921343">
      <w:pPr>
        <w:spacing w:line="360" w:lineRule="auto"/>
        <w:ind w:firstLineChars="200" w:firstLine="420"/>
      </w:pPr>
      <w:r>
        <w:t>参考国家现行相关标准，对</w:t>
      </w:r>
      <w:r w:rsidR="00377272">
        <w:rPr>
          <w:rFonts w:hint="eastAsia"/>
        </w:rPr>
        <w:t>数字化转型</w:t>
      </w:r>
      <w:r>
        <w:t>、</w:t>
      </w:r>
      <w:r w:rsidR="00377272">
        <w:rPr>
          <w:rFonts w:hint="eastAsia"/>
        </w:rPr>
        <w:t>数字化转型</w:t>
      </w:r>
      <w:r w:rsidR="00377272">
        <w:t>成熟度</w:t>
      </w:r>
      <w:r>
        <w:t>、</w:t>
      </w:r>
      <w:r w:rsidR="00377272">
        <w:rPr>
          <w:rFonts w:hint="eastAsia"/>
        </w:rPr>
        <w:t>新型能力</w:t>
      </w:r>
      <w:r>
        <w:t>、</w:t>
      </w:r>
      <w:r w:rsidR="00377272">
        <w:rPr>
          <w:rFonts w:hint="eastAsia"/>
        </w:rPr>
        <w:t>评估域、</w:t>
      </w:r>
      <w:r w:rsidR="00377272">
        <w:t>数字化技术</w:t>
      </w:r>
      <w:r>
        <w:t>等关键性术语作相关定义。使标准的使用者更为便捷的获取其含义。主要术语和定义</w:t>
      </w:r>
      <w:r w:rsidR="00377272">
        <w:rPr>
          <w:rFonts w:hint="eastAsia"/>
        </w:rPr>
        <w:t>主要</w:t>
      </w:r>
      <w:r>
        <w:t>来自于以下标准：</w:t>
      </w:r>
      <w:r w:rsidR="00377272" w:rsidRPr="00377272">
        <w:rPr>
          <w:rFonts w:hint="eastAsia"/>
          <w:szCs w:val="21"/>
        </w:rPr>
        <w:t>GB/T 23011-2022</w:t>
      </w:r>
      <w:r w:rsidR="00377272">
        <w:rPr>
          <w:rFonts w:hint="eastAsia"/>
          <w:szCs w:val="21"/>
        </w:rPr>
        <w:t>和</w:t>
      </w:r>
      <w:r w:rsidR="00377272" w:rsidRPr="00377272">
        <w:rPr>
          <w:rFonts w:hint="eastAsia"/>
          <w:szCs w:val="21"/>
        </w:rPr>
        <w:t>GB/T 43439-2023</w:t>
      </w:r>
      <w:r>
        <w:t>。</w:t>
      </w:r>
    </w:p>
    <w:p w14:paraId="54122EFA" w14:textId="7B1E90E2" w:rsidR="003F3584" w:rsidRDefault="00377272">
      <w:pPr>
        <w:pStyle w:val="11"/>
        <w:numPr>
          <w:ilvl w:val="2"/>
          <w:numId w:val="1"/>
        </w:numPr>
        <w:spacing w:before="156" w:after="156" w:line="276" w:lineRule="auto"/>
        <w:outlineLvl w:val="2"/>
      </w:pPr>
      <w:r>
        <w:rPr>
          <w:rFonts w:hint="eastAsia"/>
        </w:rPr>
        <w:t>评估</w:t>
      </w:r>
      <w:r>
        <w:t>框架</w:t>
      </w:r>
    </w:p>
    <w:p w14:paraId="5A659217" w14:textId="23A28426" w:rsidR="009233F4" w:rsidRDefault="009233F4">
      <w:pPr>
        <w:spacing w:line="360" w:lineRule="auto"/>
        <w:ind w:firstLineChars="200" w:firstLine="420"/>
      </w:pPr>
      <w:r>
        <w:rPr>
          <w:rFonts w:hint="eastAsia"/>
        </w:rPr>
        <w:t>本文件</w:t>
      </w:r>
      <w:r>
        <w:t>给出</w:t>
      </w:r>
      <w:r w:rsidR="00377272" w:rsidRPr="00377272">
        <w:rPr>
          <w:rFonts w:hint="eastAsia"/>
        </w:rPr>
        <w:t>建材行业数字化转型成熟度评估</w:t>
      </w:r>
      <w:r>
        <w:rPr>
          <w:rFonts w:hint="eastAsia"/>
        </w:rPr>
        <w:t>框架，包括五个成熟度</w:t>
      </w:r>
      <w:r>
        <w:t>等级</w:t>
      </w:r>
      <w:r w:rsidR="004F1E56">
        <w:rPr>
          <w:rFonts w:hint="eastAsia"/>
        </w:rPr>
        <w:t>划分</w:t>
      </w:r>
      <w:r>
        <w:rPr>
          <w:rFonts w:hint="eastAsia"/>
        </w:rPr>
        <w:t>（分别为</w:t>
      </w:r>
      <w:r w:rsidRPr="009233F4">
        <w:rPr>
          <w:rFonts w:hint="eastAsia"/>
        </w:rPr>
        <w:t>初始级</w:t>
      </w:r>
      <w:r>
        <w:rPr>
          <w:rFonts w:hint="eastAsia"/>
        </w:rPr>
        <w:t>、成长级</w:t>
      </w:r>
      <w:r>
        <w:t>、先进级、卓越级、领航级</w:t>
      </w:r>
      <w:r>
        <w:rPr>
          <w:rFonts w:hint="eastAsia"/>
        </w:rPr>
        <w:t>）、六</w:t>
      </w:r>
      <w:r>
        <w:t>个评估域</w:t>
      </w:r>
      <w:r>
        <w:rPr>
          <w:rFonts w:hint="eastAsia"/>
        </w:rPr>
        <w:t>（</w:t>
      </w:r>
      <w:r w:rsidR="004F1E56">
        <w:rPr>
          <w:rFonts w:hint="eastAsia"/>
        </w:rPr>
        <w:t>包括</w:t>
      </w:r>
      <w:r>
        <w:rPr>
          <w:rFonts w:hint="eastAsia"/>
        </w:rPr>
        <w:t>数字化化</w:t>
      </w:r>
      <w:r>
        <w:t>战略与组织、数字化保障、数据基础、数字化运营、数字化生产、数字化集成与协同</w:t>
      </w:r>
      <w:r>
        <w:rPr>
          <w:rFonts w:hint="eastAsia"/>
        </w:rPr>
        <w:t>）及其</w:t>
      </w:r>
      <w:r>
        <w:t>所</w:t>
      </w:r>
      <w:r w:rsidR="004F1E56">
        <w:rPr>
          <w:rFonts w:hint="eastAsia"/>
        </w:rPr>
        <w:t>对应</w:t>
      </w:r>
      <w:r>
        <w:t>的评估</w:t>
      </w:r>
      <w:r w:rsidR="004F1E56">
        <w:rPr>
          <w:rFonts w:hint="eastAsia"/>
        </w:rPr>
        <w:t>子域</w:t>
      </w:r>
      <w:r>
        <w:rPr>
          <w:rFonts w:hint="eastAsia"/>
        </w:rPr>
        <w:t>。</w:t>
      </w:r>
    </w:p>
    <w:p w14:paraId="34BD10BD" w14:textId="209419E4" w:rsidR="003F3584" w:rsidRDefault="004F1E56">
      <w:pPr>
        <w:pStyle w:val="11"/>
        <w:numPr>
          <w:ilvl w:val="2"/>
          <w:numId w:val="1"/>
        </w:numPr>
        <w:spacing w:before="156" w:after="156" w:line="276" w:lineRule="auto"/>
        <w:outlineLvl w:val="2"/>
      </w:pPr>
      <w:r>
        <w:rPr>
          <w:rFonts w:hint="eastAsia"/>
        </w:rPr>
        <w:t>成熟度</w:t>
      </w:r>
      <w:r>
        <w:t>等级</w:t>
      </w:r>
    </w:p>
    <w:p w14:paraId="0C1276EC" w14:textId="7BD23814" w:rsidR="004F1E56" w:rsidRDefault="004F1E56">
      <w:pPr>
        <w:spacing w:line="360" w:lineRule="auto"/>
        <w:ind w:firstLineChars="200" w:firstLine="420"/>
      </w:pPr>
      <w:r>
        <w:rPr>
          <w:rFonts w:hint="eastAsia"/>
        </w:rPr>
        <w:t>本文件</w:t>
      </w:r>
      <w:r>
        <w:t>规定了</w:t>
      </w:r>
      <w:r w:rsidRPr="00377272">
        <w:rPr>
          <w:rFonts w:hint="eastAsia"/>
        </w:rPr>
        <w:t>建材行业数字化转型</w:t>
      </w:r>
      <w:r>
        <w:rPr>
          <w:rFonts w:hint="eastAsia"/>
        </w:rPr>
        <w:t>五个</w:t>
      </w:r>
      <w:r w:rsidRPr="00377272">
        <w:rPr>
          <w:rFonts w:hint="eastAsia"/>
        </w:rPr>
        <w:t>成熟度</w:t>
      </w:r>
      <w:r>
        <w:rPr>
          <w:rFonts w:hint="eastAsia"/>
        </w:rPr>
        <w:t>等级</w:t>
      </w:r>
      <w:r>
        <w:t>所对应的等级特征，</w:t>
      </w:r>
      <w:r>
        <w:rPr>
          <w:rFonts w:hint="eastAsia"/>
        </w:rPr>
        <w:t>揭示了企业</w:t>
      </w:r>
      <w:r>
        <w:t>数字化转型</w:t>
      </w:r>
      <w:r>
        <w:rPr>
          <w:rFonts w:hint="eastAsia"/>
        </w:rPr>
        <w:t>不同</w:t>
      </w:r>
      <w:r>
        <w:t>发展</w:t>
      </w:r>
      <w:r>
        <w:rPr>
          <w:rFonts w:hint="eastAsia"/>
        </w:rPr>
        <w:t>阶段</w:t>
      </w:r>
      <w:r>
        <w:t>和水平的跃升</w:t>
      </w:r>
      <w:r>
        <w:rPr>
          <w:rFonts w:hint="eastAsia"/>
        </w:rPr>
        <w:t>方向</w:t>
      </w:r>
      <w:r>
        <w:t>。</w:t>
      </w:r>
    </w:p>
    <w:p w14:paraId="00408130" w14:textId="00805DEF" w:rsidR="003F3584" w:rsidRDefault="00B4025E">
      <w:pPr>
        <w:pStyle w:val="11"/>
        <w:numPr>
          <w:ilvl w:val="2"/>
          <w:numId w:val="1"/>
        </w:numPr>
        <w:spacing w:before="156" w:after="156" w:line="276" w:lineRule="auto"/>
        <w:outlineLvl w:val="2"/>
      </w:pPr>
      <w:r>
        <w:rPr>
          <w:rFonts w:hint="eastAsia"/>
        </w:rPr>
        <w:t>评估方法</w:t>
      </w:r>
    </w:p>
    <w:p w14:paraId="4C8C0AAC" w14:textId="4D4AD5AE" w:rsidR="004117CD" w:rsidRPr="004117CD" w:rsidRDefault="004117CD" w:rsidP="004117CD">
      <w:pPr>
        <w:pStyle w:val="afb"/>
        <w:numPr>
          <w:ilvl w:val="0"/>
          <w:numId w:val="3"/>
        </w:numPr>
        <w:spacing w:line="360" w:lineRule="auto"/>
        <w:ind w:firstLineChars="0"/>
        <w:rPr>
          <w:bCs/>
        </w:rPr>
      </w:pPr>
      <w:r w:rsidRPr="004117CD">
        <w:rPr>
          <w:rFonts w:hint="eastAsia"/>
          <w:bCs/>
        </w:rPr>
        <w:t>评估</w:t>
      </w:r>
      <w:r w:rsidRPr="004117CD">
        <w:rPr>
          <w:bCs/>
        </w:rPr>
        <w:t>体系</w:t>
      </w:r>
    </w:p>
    <w:p w14:paraId="6D040DB5" w14:textId="0B4E9069" w:rsidR="004117CD" w:rsidRDefault="00B4025E">
      <w:pPr>
        <w:spacing w:line="360" w:lineRule="auto"/>
        <w:ind w:firstLineChars="200" w:firstLine="420"/>
      </w:pPr>
      <w:r>
        <w:rPr>
          <w:rFonts w:hint="eastAsia"/>
        </w:rPr>
        <w:t>基于</w:t>
      </w:r>
      <w:r w:rsidRPr="00B4025E">
        <w:rPr>
          <w:rFonts w:hint="eastAsia"/>
        </w:rPr>
        <w:t>建材行业数字化转型成熟度评估框架</w:t>
      </w:r>
      <w:r>
        <w:rPr>
          <w:rFonts w:hint="eastAsia"/>
        </w:rPr>
        <w:t>，结合</w:t>
      </w:r>
      <w:r>
        <w:t>建材</w:t>
      </w:r>
      <w:r>
        <w:rPr>
          <w:rFonts w:hint="eastAsia"/>
        </w:rPr>
        <w:t>行业</w:t>
      </w:r>
      <w:r>
        <w:t>生产运营特点</w:t>
      </w:r>
      <w:r>
        <w:rPr>
          <w:rFonts w:hint="eastAsia"/>
        </w:rPr>
        <w:t>和</w:t>
      </w:r>
      <w:r>
        <w:t>数字化转型</w:t>
      </w:r>
      <w:r w:rsidR="004117CD">
        <w:rPr>
          <w:rFonts w:hint="eastAsia"/>
        </w:rPr>
        <w:t>工作</w:t>
      </w:r>
      <w:r w:rsidR="004117CD">
        <w:t>重点，</w:t>
      </w:r>
      <w:r w:rsidR="004117CD">
        <w:rPr>
          <w:rFonts w:hint="eastAsia"/>
        </w:rPr>
        <w:t>本文件给出了</w:t>
      </w:r>
      <w:r w:rsidR="004117CD" w:rsidRPr="004117CD">
        <w:rPr>
          <w:rFonts w:hint="eastAsia"/>
        </w:rPr>
        <w:t>建材行业数字化转型成熟度评估指标体系</w:t>
      </w:r>
      <w:r w:rsidR="004117CD">
        <w:rPr>
          <w:rFonts w:hint="eastAsia"/>
        </w:rPr>
        <w:t>，</w:t>
      </w:r>
      <w:r w:rsidR="004117CD">
        <w:t>规定各评估域</w:t>
      </w:r>
      <w:r w:rsidR="004117CD">
        <w:rPr>
          <w:rFonts w:hint="eastAsia"/>
        </w:rPr>
        <w:t>及</w:t>
      </w:r>
      <w:r w:rsidR="004117CD">
        <w:t>对应评估子域的权重</w:t>
      </w:r>
      <w:r w:rsidR="004117CD">
        <w:rPr>
          <w:rFonts w:hint="eastAsia"/>
        </w:rPr>
        <w:t>，</w:t>
      </w:r>
      <w:r w:rsidR="004117CD">
        <w:t>并对各评估子域划分为</w:t>
      </w:r>
      <w:r w:rsidR="00297489">
        <w:rPr>
          <w:rFonts w:hint="eastAsia"/>
        </w:rPr>
        <w:t>一般项</w:t>
      </w:r>
      <w:r w:rsidR="004117CD">
        <w:rPr>
          <w:rFonts w:hint="eastAsia"/>
        </w:rPr>
        <w:t>和</w:t>
      </w:r>
      <w:r w:rsidR="00297489">
        <w:rPr>
          <w:rFonts w:hint="eastAsia"/>
        </w:rPr>
        <w:t>可以裁剪项</w:t>
      </w:r>
      <w:r w:rsidR="004117CD">
        <w:rPr>
          <w:rFonts w:hint="eastAsia"/>
        </w:rPr>
        <w:t>，</w:t>
      </w:r>
      <w:r w:rsidR="00297489" w:rsidRPr="00297489">
        <w:rPr>
          <w:rFonts w:hint="eastAsia"/>
        </w:rPr>
        <w:t>评价子域中一般项为</w:t>
      </w:r>
      <w:proofErr w:type="gramStart"/>
      <w:r w:rsidR="00297489" w:rsidRPr="00297489">
        <w:rPr>
          <w:rFonts w:hint="eastAsia"/>
        </w:rPr>
        <w:t>必评项</w:t>
      </w:r>
      <w:proofErr w:type="gramEnd"/>
      <w:r w:rsidR="00297489" w:rsidRPr="00297489">
        <w:rPr>
          <w:rFonts w:hint="eastAsia"/>
        </w:rPr>
        <w:t>，评价子域中可裁剪项可以根据企业主营业务进行删减。</w:t>
      </w:r>
    </w:p>
    <w:p w14:paraId="45A8B194" w14:textId="486585DE" w:rsidR="003F3584" w:rsidRPr="00BE7690" w:rsidRDefault="004117CD" w:rsidP="00BE7690">
      <w:pPr>
        <w:pStyle w:val="afb"/>
        <w:numPr>
          <w:ilvl w:val="0"/>
          <w:numId w:val="3"/>
        </w:numPr>
        <w:spacing w:line="360" w:lineRule="auto"/>
        <w:ind w:firstLineChars="0"/>
        <w:rPr>
          <w:bCs/>
        </w:rPr>
      </w:pPr>
      <w:r w:rsidRPr="00BE7690">
        <w:rPr>
          <w:rFonts w:hint="eastAsia"/>
          <w:bCs/>
        </w:rPr>
        <w:t>计算方法</w:t>
      </w:r>
    </w:p>
    <w:p w14:paraId="79CD7298" w14:textId="7F8C655A" w:rsidR="004117CD" w:rsidRDefault="004117CD">
      <w:pPr>
        <w:spacing w:line="360" w:lineRule="auto"/>
        <w:ind w:firstLineChars="200" w:firstLine="420"/>
      </w:pPr>
      <w:r>
        <w:rPr>
          <w:rFonts w:hint="eastAsia"/>
        </w:rPr>
        <w:t>本文件给出</w:t>
      </w:r>
      <w:r w:rsidRPr="004117CD">
        <w:rPr>
          <w:rFonts w:hint="eastAsia"/>
        </w:rPr>
        <w:t>成熟度要求满足程度与得分对应表</w:t>
      </w:r>
      <w:r>
        <w:rPr>
          <w:rFonts w:hint="eastAsia"/>
        </w:rPr>
        <w:t>，</w:t>
      </w:r>
      <w:r>
        <w:t>指导</w:t>
      </w:r>
      <w:r>
        <w:rPr>
          <w:rFonts w:hint="eastAsia"/>
        </w:rPr>
        <w:t>评估</w:t>
      </w:r>
      <w:r w:rsidR="00BE7690">
        <w:rPr>
          <w:rFonts w:hint="eastAsia"/>
        </w:rPr>
        <w:t>组</w:t>
      </w:r>
      <w:r w:rsidRPr="004117CD">
        <w:rPr>
          <w:rFonts w:hint="eastAsia"/>
        </w:rPr>
        <w:t>将收集的证据与成熟度要求进行对照</w:t>
      </w:r>
      <w:r>
        <w:rPr>
          <w:rFonts w:hint="eastAsia"/>
        </w:rPr>
        <w:t>打分</w:t>
      </w:r>
      <w:r>
        <w:t>。</w:t>
      </w:r>
    </w:p>
    <w:p w14:paraId="141FE5C1" w14:textId="68C38FD1" w:rsidR="004117CD" w:rsidRDefault="004117CD">
      <w:pPr>
        <w:spacing w:line="360" w:lineRule="auto"/>
        <w:ind w:firstLineChars="200" w:firstLine="420"/>
      </w:pPr>
      <w:r>
        <w:rPr>
          <w:rFonts w:hint="eastAsia"/>
        </w:rPr>
        <w:t>本文件</w:t>
      </w:r>
      <w:r>
        <w:t>给出</w:t>
      </w:r>
      <w:r>
        <w:rPr>
          <w:rFonts w:hint="eastAsia"/>
        </w:rPr>
        <w:t>建材</w:t>
      </w:r>
      <w:r w:rsidRPr="004117CD">
        <w:rPr>
          <w:rFonts w:hint="eastAsia"/>
        </w:rPr>
        <w:t>企业数字化转型成熟度</w:t>
      </w:r>
      <w:r w:rsidR="00BE7690">
        <w:rPr>
          <w:rFonts w:hint="eastAsia"/>
        </w:rPr>
        <w:t>计分</w:t>
      </w:r>
      <w:r w:rsidRPr="004117CD">
        <w:rPr>
          <w:rFonts w:hint="eastAsia"/>
        </w:rPr>
        <w:t>公式</w:t>
      </w:r>
      <w:r w:rsidR="00BE7690">
        <w:rPr>
          <w:rFonts w:hint="eastAsia"/>
        </w:rPr>
        <w:t>，指导评估组计算</w:t>
      </w:r>
      <w:r w:rsidR="00BE7690">
        <w:t>被评估企业</w:t>
      </w:r>
      <w:r w:rsidR="00BE7690" w:rsidRPr="00BE7690">
        <w:rPr>
          <w:rFonts w:hint="eastAsia"/>
        </w:rPr>
        <w:t>数字化转型成熟度得分。</w:t>
      </w:r>
    </w:p>
    <w:p w14:paraId="10E1F7AA" w14:textId="7BA07BDC" w:rsidR="00BE7690" w:rsidRDefault="00BE7690">
      <w:pPr>
        <w:spacing w:line="360" w:lineRule="auto"/>
        <w:ind w:firstLineChars="200" w:firstLine="420"/>
      </w:pPr>
      <w:r>
        <w:rPr>
          <w:rFonts w:hint="eastAsia"/>
        </w:rPr>
        <w:t>本文件给出</w:t>
      </w:r>
      <w:r w:rsidRPr="00BE7690">
        <w:rPr>
          <w:rFonts w:hint="eastAsia"/>
        </w:rPr>
        <w:t>成熟度等级与得分对应表</w:t>
      </w:r>
      <w:r>
        <w:rPr>
          <w:rFonts w:hint="eastAsia"/>
        </w:rPr>
        <w:t>，</w:t>
      </w:r>
      <w:r>
        <w:t>指导评估</w:t>
      </w:r>
      <w:r>
        <w:rPr>
          <w:rFonts w:hint="eastAsia"/>
        </w:rPr>
        <w:t>组判定</w:t>
      </w:r>
      <w:r>
        <w:t>被评估企业</w:t>
      </w:r>
      <w:r w:rsidRPr="00BE7690">
        <w:rPr>
          <w:rFonts w:hint="eastAsia"/>
        </w:rPr>
        <w:t>数字化转型成熟度</w:t>
      </w:r>
      <w:r>
        <w:rPr>
          <w:rFonts w:hint="eastAsia"/>
        </w:rPr>
        <w:t>等级</w:t>
      </w:r>
      <w:r>
        <w:t>。</w:t>
      </w:r>
    </w:p>
    <w:p w14:paraId="73B15BDF" w14:textId="2A5CC6EE" w:rsidR="003F3584" w:rsidRDefault="00017685">
      <w:pPr>
        <w:pStyle w:val="11"/>
        <w:numPr>
          <w:ilvl w:val="2"/>
          <w:numId w:val="1"/>
        </w:numPr>
        <w:spacing w:before="156" w:after="156" w:line="276" w:lineRule="auto"/>
        <w:outlineLvl w:val="2"/>
      </w:pPr>
      <w:bookmarkStart w:id="125" w:name="_Toc15963"/>
      <w:bookmarkStart w:id="126" w:name="_Toc17276"/>
      <w:bookmarkStart w:id="127" w:name="_Toc14427"/>
      <w:bookmarkStart w:id="128" w:name="_Toc13673"/>
      <w:bookmarkStart w:id="129" w:name="_Toc27855"/>
      <w:bookmarkStart w:id="130" w:name="_Toc59059095"/>
      <w:bookmarkStart w:id="131" w:name="_Toc3826"/>
      <w:bookmarkStart w:id="132" w:name="_Toc28918"/>
      <w:bookmarkStart w:id="133" w:name="_Toc36132047"/>
      <w:r>
        <w:rPr>
          <w:rFonts w:hint="eastAsia"/>
        </w:rPr>
        <w:t>评估</w:t>
      </w:r>
      <w:r>
        <w:t>流程</w:t>
      </w:r>
    </w:p>
    <w:p w14:paraId="7B13359C" w14:textId="05A2C9A9" w:rsidR="004117CD" w:rsidRDefault="00017685">
      <w:pPr>
        <w:spacing w:line="360" w:lineRule="auto"/>
        <w:ind w:firstLineChars="200" w:firstLine="420"/>
      </w:pPr>
      <w:r>
        <w:rPr>
          <w:rFonts w:hint="eastAsia"/>
        </w:rPr>
        <w:t>本</w:t>
      </w:r>
      <w:r>
        <w:t>文件</w:t>
      </w:r>
      <w:r>
        <w:rPr>
          <w:rFonts w:hint="eastAsia"/>
        </w:rPr>
        <w:t>给出</w:t>
      </w:r>
      <w:r>
        <w:t>了</w:t>
      </w:r>
      <w:r w:rsidRPr="00017685">
        <w:rPr>
          <w:rFonts w:hint="eastAsia"/>
        </w:rPr>
        <w:t>建材行业数字化转型成熟度评估流程</w:t>
      </w:r>
      <w:r>
        <w:rPr>
          <w:rFonts w:hint="eastAsia"/>
        </w:rPr>
        <w:t>，规定了评估</w:t>
      </w:r>
      <w:r>
        <w:t>流程各环节工作</w:t>
      </w:r>
      <w:r>
        <w:rPr>
          <w:rFonts w:hint="eastAsia"/>
        </w:rPr>
        <w:t>内容</w:t>
      </w:r>
      <w:r>
        <w:t>。</w:t>
      </w:r>
    </w:p>
    <w:p w14:paraId="748F9E37" w14:textId="08682E34" w:rsidR="004B0DDB" w:rsidRDefault="004B0DDB" w:rsidP="004B0DDB">
      <w:pPr>
        <w:pStyle w:val="11"/>
        <w:numPr>
          <w:ilvl w:val="2"/>
          <w:numId w:val="1"/>
        </w:numPr>
        <w:spacing w:before="156" w:after="156" w:line="276" w:lineRule="auto"/>
        <w:outlineLvl w:val="2"/>
      </w:pPr>
      <w:r>
        <w:rPr>
          <w:rFonts w:hint="eastAsia"/>
        </w:rPr>
        <w:lastRenderedPageBreak/>
        <w:t>附录</w:t>
      </w:r>
      <w:r>
        <w:rPr>
          <w:rFonts w:hint="eastAsia"/>
        </w:rPr>
        <w:t>A</w:t>
      </w:r>
      <w:r>
        <w:rPr>
          <w:rFonts w:hint="eastAsia"/>
        </w:rPr>
        <w:t>评估域成熟度要求</w:t>
      </w:r>
    </w:p>
    <w:p w14:paraId="44B58B28" w14:textId="798F51A6" w:rsidR="004B0DDB" w:rsidRDefault="004B0DDB" w:rsidP="004B0DDB">
      <w:pPr>
        <w:spacing w:line="360" w:lineRule="auto"/>
        <w:ind w:firstLineChars="200" w:firstLine="420"/>
      </w:pPr>
      <w:r>
        <w:rPr>
          <w:rFonts w:hint="eastAsia"/>
        </w:rPr>
        <w:t>附录</w:t>
      </w:r>
      <w:r>
        <w:rPr>
          <w:rFonts w:hint="eastAsia"/>
        </w:rPr>
        <w:t>A</w:t>
      </w:r>
      <w:r>
        <w:rPr>
          <w:rFonts w:hint="eastAsia"/>
        </w:rPr>
        <w:t>是规范性附录，</w:t>
      </w:r>
      <w:r w:rsidRPr="004F6713">
        <w:rPr>
          <w:rFonts w:hint="eastAsia"/>
        </w:rPr>
        <w:t>立足</w:t>
      </w:r>
      <w:r>
        <w:rPr>
          <w:rFonts w:hint="eastAsia"/>
        </w:rPr>
        <w:t>建材企业</w:t>
      </w:r>
      <w:r w:rsidRPr="004F6713">
        <w:rPr>
          <w:rFonts w:hint="eastAsia"/>
        </w:rPr>
        <w:t>生产运营特点</w:t>
      </w:r>
      <w:r>
        <w:rPr>
          <w:rFonts w:hint="eastAsia"/>
        </w:rPr>
        <w:t>、</w:t>
      </w:r>
      <w:r>
        <w:t>数字化转型发展现状和</w:t>
      </w:r>
      <w:r>
        <w:rPr>
          <w:rFonts w:hint="eastAsia"/>
        </w:rPr>
        <w:t>转型</w:t>
      </w:r>
      <w:r>
        <w:t>需求</w:t>
      </w:r>
      <w:r w:rsidRPr="004F6713">
        <w:rPr>
          <w:rFonts w:hint="eastAsia"/>
        </w:rPr>
        <w:t>，</w:t>
      </w:r>
      <w:r>
        <w:rPr>
          <w:rFonts w:hint="eastAsia"/>
        </w:rPr>
        <w:t>按照建材行业</w:t>
      </w:r>
      <w:r w:rsidRPr="004F6713">
        <w:rPr>
          <w:rFonts w:hint="eastAsia"/>
        </w:rPr>
        <w:t>数字化转型成熟度评估框架</w:t>
      </w:r>
      <w:r>
        <w:rPr>
          <w:rFonts w:hint="eastAsia"/>
        </w:rPr>
        <w:t>所</w:t>
      </w:r>
      <w:r>
        <w:t>涉及的六个评估</w:t>
      </w:r>
      <w:proofErr w:type="gramStart"/>
      <w:r>
        <w:t>域</w:t>
      </w:r>
      <w:r>
        <w:rPr>
          <w:rFonts w:hint="eastAsia"/>
        </w:rPr>
        <w:t>及</w:t>
      </w:r>
      <w:r>
        <w:t>其</w:t>
      </w:r>
      <w:proofErr w:type="gramEnd"/>
      <w:r>
        <w:t>评估子域，</w:t>
      </w:r>
      <w:r>
        <w:rPr>
          <w:rFonts w:hint="eastAsia"/>
        </w:rPr>
        <w:t>规定</w:t>
      </w:r>
      <w:r>
        <w:t>了</w:t>
      </w:r>
      <w:r>
        <w:rPr>
          <w:rFonts w:hint="eastAsia"/>
        </w:rPr>
        <w:t>各评估域所对应</w:t>
      </w:r>
      <w:r>
        <w:t>的评估子域</w:t>
      </w:r>
      <w:r w:rsidRPr="0026711F">
        <w:rPr>
          <w:rFonts w:hint="eastAsia"/>
        </w:rPr>
        <w:t>主要评估要点和具体评估指标</w:t>
      </w:r>
      <w:r>
        <w:rPr>
          <w:rFonts w:hint="eastAsia"/>
        </w:rPr>
        <w:t>。</w:t>
      </w:r>
    </w:p>
    <w:p w14:paraId="03A85C05" w14:textId="77777777" w:rsidR="004B0DDB" w:rsidRDefault="004B0DDB" w:rsidP="004B0DDB">
      <w:pPr>
        <w:spacing w:line="360" w:lineRule="auto"/>
        <w:ind w:firstLineChars="200" w:firstLine="420"/>
        <w:rPr>
          <w:bCs/>
        </w:rPr>
      </w:pPr>
      <w:r w:rsidRPr="005C1FEA">
        <w:rPr>
          <w:bCs/>
        </w:rPr>
        <w:t>数字化战略与组织</w:t>
      </w:r>
      <w:r>
        <w:rPr>
          <w:rFonts w:hint="eastAsia"/>
          <w:bCs/>
        </w:rPr>
        <w:t>评估</w:t>
      </w:r>
      <w:proofErr w:type="gramStart"/>
      <w:r>
        <w:rPr>
          <w:bCs/>
        </w:rPr>
        <w:t>域主要</w:t>
      </w:r>
      <w:proofErr w:type="gramEnd"/>
      <w:r>
        <w:rPr>
          <w:rFonts w:hint="eastAsia"/>
          <w:bCs/>
        </w:rPr>
        <w:t>包括</w:t>
      </w:r>
      <w:r w:rsidRPr="005C1FEA">
        <w:rPr>
          <w:bCs/>
        </w:rPr>
        <w:t>数字化发展战略</w:t>
      </w:r>
      <w:r>
        <w:rPr>
          <w:rFonts w:hint="eastAsia"/>
          <w:bCs/>
        </w:rPr>
        <w:t>和</w:t>
      </w:r>
      <w:r w:rsidRPr="005C1FEA">
        <w:rPr>
          <w:bCs/>
        </w:rPr>
        <w:t>数字化治理体系</w:t>
      </w:r>
      <w:r>
        <w:rPr>
          <w:rFonts w:hint="eastAsia"/>
          <w:bCs/>
        </w:rPr>
        <w:t>等</w:t>
      </w:r>
      <w:r>
        <w:rPr>
          <w:bCs/>
        </w:rPr>
        <w:t>评估子域</w:t>
      </w:r>
      <w:r>
        <w:rPr>
          <w:rFonts w:hint="eastAsia"/>
          <w:bCs/>
        </w:rPr>
        <w:t>。</w:t>
      </w:r>
      <w:r w:rsidRPr="0026711F">
        <w:rPr>
          <w:rFonts w:hint="eastAsia"/>
          <w:bCs/>
        </w:rPr>
        <w:t>数字化发展战略</w:t>
      </w:r>
      <w:r>
        <w:rPr>
          <w:rFonts w:hint="eastAsia"/>
          <w:bCs/>
        </w:rPr>
        <w:t>评估</w:t>
      </w:r>
      <w:r>
        <w:rPr>
          <w:bCs/>
        </w:rPr>
        <w:t>子域主要评估</w:t>
      </w:r>
      <w:r>
        <w:rPr>
          <w:rFonts w:hint="eastAsia"/>
          <w:bCs/>
        </w:rPr>
        <w:t>数字化</w:t>
      </w:r>
      <w:r>
        <w:rPr>
          <w:bCs/>
        </w:rPr>
        <w:t>战略制定、执行</w:t>
      </w:r>
      <w:r>
        <w:rPr>
          <w:rFonts w:hint="eastAsia"/>
          <w:bCs/>
        </w:rPr>
        <w:t>过程管理</w:t>
      </w:r>
      <w:r>
        <w:rPr>
          <w:bCs/>
        </w:rPr>
        <w:t>数字化水平</w:t>
      </w:r>
      <w:r>
        <w:rPr>
          <w:rFonts w:hint="eastAsia"/>
          <w:bCs/>
        </w:rPr>
        <w:t>。</w:t>
      </w:r>
      <w:r w:rsidRPr="0026711F">
        <w:rPr>
          <w:rFonts w:hint="eastAsia"/>
          <w:bCs/>
        </w:rPr>
        <w:t>数字化治理体系</w:t>
      </w:r>
      <w:r>
        <w:rPr>
          <w:rFonts w:hint="eastAsia"/>
          <w:bCs/>
        </w:rPr>
        <w:t>评估</w:t>
      </w:r>
      <w:r>
        <w:rPr>
          <w:bCs/>
        </w:rPr>
        <w:t>子域</w:t>
      </w:r>
      <w:r>
        <w:rPr>
          <w:rFonts w:hint="eastAsia"/>
          <w:bCs/>
        </w:rPr>
        <w:t>主要评估业务</w:t>
      </w:r>
      <w:r>
        <w:rPr>
          <w:bCs/>
        </w:rPr>
        <w:t>流程管理</w:t>
      </w:r>
      <w:r>
        <w:rPr>
          <w:rFonts w:hint="eastAsia"/>
          <w:bCs/>
        </w:rPr>
        <w:t>数字化</w:t>
      </w:r>
      <w:r>
        <w:rPr>
          <w:bCs/>
        </w:rPr>
        <w:t>水平</w:t>
      </w:r>
      <w:r>
        <w:rPr>
          <w:rFonts w:hint="eastAsia"/>
          <w:bCs/>
        </w:rPr>
        <w:t>以及</w:t>
      </w:r>
      <w:r>
        <w:rPr>
          <w:bCs/>
        </w:rPr>
        <w:t>组织机构设置</w:t>
      </w:r>
      <w:r>
        <w:rPr>
          <w:rFonts w:hint="eastAsia"/>
          <w:bCs/>
        </w:rPr>
        <w:t>、组织</w:t>
      </w:r>
      <w:r>
        <w:rPr>
          <w:bCs/>
        </w:rPr>
        <w:t>文化与企业</w:t>
      </w:r>
      <w:r>
        <w:rPr>
          <w:rFonts w:hint="eastAsia"/>
          <w:bCs/>
        </w:rPr>
        <w:t>数字</w:t>
      </w:r>
      <w:r>
        <w:rPr>
          <w:bCs/>
        </w:rPr>
        <w:t>转型发展匹配水平。</w:t>
      </w:r>
    </w:p>
    <w:p w14:paraId="6CDEE12A" w14:textId="77777777" w:rsidR="004B0DDB" w:rsidRDefault="004B0DDB" w:rsidP="004B0DDB">
      <w:pPr>
        <w:spacing w:line="360" w:lineRule="auto"/>
        <w:ind w:firstLineChars="200" w:firstLine="420"/>
        <w:rPr>
          <w:bCs/>
        </w:rPr>
      </w:pPr>
      <w:r>
        <w:rPr>
          <w:rFonts w:hint="eastAsia"/>
          <w:bCs/>
        </w:rPr>
        <w:t>数字化</w:t>
      </w:r>
      <w:r>
        <w:rPr>
          <w:bCs/>
        </w:rPr>
        <w:t>保障评估</w:t>
      </w:r>
      <w:proofErr w:type="gramStart"/>
      <w:r>
        <w:rPr>
          <w:bCs/>
        </w:rPr>
        <w:t>域主要</w:t>
      </w:r>
      <w:proofErr w:type="gramEnd"/>
      <w:r>
        <w:rPr>
          <w:bCs/>
        </w:rPr>
        <w:t>包括</w:t>
      </w:r>
      <w:r w:rsidRPr="00CE11E8">
        <w:rPr>
          <w:rFonts w:hint="eastAsia"/>
          <w:bCs/>
        </w:rPr>
        <w:t>数字化基础设施保障</w:t>
      </w:r>
      <w:r>
        <w:rPr>
          <w:rFonts w:hint="eastAsia"/>
          <w:bCs/>
        </w:rPr>
        <w:t>、</w:t>
      </w:r>
      <w:r w:rsidRPr="00CE11E8">
        <w:rPr>
          <w:rFonts w:hint="eastAsia"/>
          <w:bCs/>
        </w:rPr>
        <w:t>数字化人才保障</w:t>
      </w:r>
      <w:r>
        <w:rPr>
          <w:rFonts w:hint="eastAsia"/>
          <w:bCs/>
        </w:rPr>
        <w:t>、</w:t>
      </w:r>
      <w:r w:rsidRPr="00CE11E8">
        <w:rPr>
          <w:rFonts w:hint="eastAsia"/>
          <w:bCs/>
        </w:rPr>
        <w:t>数字化资金保障</w:t>
      </w:r>
      <w:r>
        <w:rPr>
          <w:rFonts w:hint="eastAsia"/>
          <w:bCs/>
        </w:rPr>
        <w:t>等</w:t>
      </w:r>
      <w:r>
        <w:rPr>
          <w:bCs/>
        </w:rPr>
        <w:t>评估子域。</w:t>
      </w:r>
      <w:r w:rsidRPr="00CE11E8">
        <w:rPr>
          <w:rFonts w:hint="eastAsia"/>
          <w:bCs/>
        </w:rPr>
        <w:t>数字化基础设施保障</w:t>
      </w:r>
      <w:r>
        <w:rPr>
          <w:rFonts w:hint="eastAsia"/>
          <w:bCs/>
        </w:rPr>
        <w:t>评估</w:t>
      </w:r>
      <w:r>
        <w:rPr>
          <w:bCs/>
        </w:rPr>
        <w:t>子域</w:t>
      </w:r>
      <w:r>
        <w:rPr>
          <w:rFonts w:hint="eastAsia"/>
          <w:bCs/>
        </w:rPr>
        <w:t>主要</w:t>
      </w:r>
      <w:r>
        <w:rPr>
          <w:bCs/>
        </w:rPr>
        <w:t>评估</w:t>
      </w:r>
      <w:r>
        <w:rPr>
          <w:rFonts w:hint="eastAsia"/>
          <w:bCs/>
        </w:rPr>
        <w:t>企业通信</w:t>
      </w:r>
      <w:r w:rsidRPr="00CE11E8">
        <w:rPr>
          <w:rFonts w:hint="eastAsia"/>
          <w:bCs/>
        </w:rPr>
        <w:t>网络</w:t>
      </w:r>
      <w:r>
        <w:rPr>
          <w:rFonts w:hint="eastAsia"/>
          <w:bCs/>
        </w:rPr>
        <w:t>、</w:t>
      </w:r>
      <w:r>
        <w:rPr>
          <w:bCs/>
        </w:rPr>
        <w:t>物联</w:t>
      </w:r>
      <w:r>
        <w:rPr>
          <w:rFonts w:hint="eastAsia"/>
          <w:bCs/>
        </w:rPr>
        <w:t>网</w:t>
      </w:r>
      <w:r>
        <w:rPr>
          <w:bCs/>
        </w:rPr>
        <w:t>、工业互联网平台等</w:t>
      </w:r>
      <w:r>
        <w:rPr>
          <w:rFonts w:hint="eastAsia"/>
          <w:bCs/>
        </w:rPr>
        <w:t>建设和</w:t>
      </w:r>
      <w:r>
        <w:rPr>
          <w:bCs/>
        </w:rPr>
        <w:t>应用水平；</w:t>
      </w:r>
      <w:r w:rsidRPr="005C1FEA">
        <w:rPr>
          <w:bCs/>
        </w:rPr>
        <w:t>数字化人才保障</w:t>
      </w:r>
      <w:r>
        <w:rPr>
          <w:rFonts w:hint="eastAsia"/>
          <w:bCs/>
        </w:rPr>
        <w:t>评估</w:t>
      </w:r>
      <w:r>
        <w:rPr>
          <w:bCs/>
        </w:rPr>
        <w:t>子域</w:t>
      </w:r>
      <w:r>
        <w:rPr>
          <w:rFonts w:hint="eastAsia"/>
          <w:bCs/>
        </w:rPr>
        <w:t>主要</w:t>
      </w:r>
      <w:r>
        <w:rPr>
          <w:bCs/>
        </w:rPr>
        <w:t>评估</w:t>
      </w:r>
      <w:r>
        <w:rPr>
          <w:rFonts w:hint="eastAsia"/>
          <w:bCs/>
        </w:rPr>
        <w:t>企业</w:t>
      </w:r>
      <w:r>
        <w:rPr>
          <w:bCs/>
        </w:rPr>
        <w:t>数字化转型人才</w:t>
      </w:r>
      <w:r>
        <w:rPr>
          <w:rFonts w:hint="eastAsia"/>
          <w:bCs/>
        </w:rPr>
        <w:t>队伍</w:t>
      </w:r>
      <w:r>
        <w:rPr>
          <w:bCs/>
        </w:rPr>
        <w:t>建设水平和管理水平</w:t>
      </w:r>
      <w:r>
        <w:rPr>
          <w:rFonts w:hint="eastAsia"/>
          <w:bCs/>
        </w:rPr>
        <w:t>；</w:t>
      </w:r>
      <w:r w:rsidRPr="00CE11E8">
        <w:rPr>
          <w:rFonts w:hint="eastAsia"/>
          <w:bCs/>
        </w:rPr>
        <w:t>数字化资金保障</w:t>
      </w:r>
      <w:r>
        <w:rPr>
          <w:rFonts w:hint="eastAsia"/>
          <w:bCs/>
        </w:rPr>
        <w:t>评估</w:t>
      </w:r>
      <w:r>
        <w:rPr>
          <w:bCs/>
        </w:rPr>
        <w:t>子域主要</w:t>
      </w:r>
      <w:r>
        <w:rPr>
          <w:rFonts w:hint="eastAsia"/>
          <w:bCs/>
        </w:rPr>
        <w:t>评估</w:t>
      </w:r>
      <w:r w:rsidRPr="00E82C1A">
        <w:rPr>
          <w:rFonts w:hint="eastAsia"/>
          <w:bCs/>
        </w:rPr>
        <w:t>数字化专项资金</w:t>
      </w:r>
      <w:r>
        <w:rPr>
          <w:rFonts w:hint="eastAsia"/>
          <w:bCs/>
        </w:rPr>
        <w:t>预算</w:t>
      </w:r>
      <w:r>
        <w:rPr>
          <w:bCs/>
        </w:rPr>
        <w:t>管理水平</w:t>
      </w:r>
      <w:r>
        <w:rPr>
          <w:rFonts w:hint="eastAsia"/>
          <w:bCs/>
        </w:rPr>
        <w:t>及资金保障</w:t>
      </w:r>
      <w:r>
        <w:rPr>
          <w:bCs/>
        </w:rPr>
        <w:t>机制建设水平。</w:t>
      </w:r>
    </w:p>
    <w:p w14:paraId="3D70EEAF" w14:textId="77777777" w:rsidR="004B0DDB" w:rsidRDefault="004B0DDB" w:rsidP="004B0DDB">
      <w:pPr>
        <w:spacing w:line="360" w:lineRule="auto"/>
        <w:ind w:firstLineChars="200" w:firstLine="420"/>
        <w:rPr>
          <w:bCs/>
        </w:rPr>
      </w:pPr>
      <w:r>
        <w:rPr>
          <w:rFonts w:hint="eastAsia"/>
          <w:bCs/>
        </w:rPr>
        <w:t>数据</w:t>
      </w:r>
      <w:r>
        <w:rPr>
          <w:bCs/>
        </w:rPr>
        <w:t>基础评估</w:t>
      </w:r>
      <w:proofErr w:type="gramStart"/>
      <w:r>
        <w:rPr>
          <w:bCs/>
        </w:rPr>
        <w:t>域主要</w:t>
      </w:r>
      <w:proofErr w:type="gramEnd"/>
      <w:r>
        <w:rPr>
          <w:bCs/>
        </w:rPr>
        <w:t>包括</w:t>
      </w:r>
      <w:r w:rsidRPr="00E82C1A">
        <w:rPr>
          <w:rFonts w:hint="eastAsia"/>
          <w:bCs/>
        </w:rPr>
        <w:t>数据采集、数据标准化、数据质量管理、数据资产、数据应用、数据安全管理</w:t>
      </w:r>
      <w:r>
        <w:rPr>
          <w:rFonts w:hint="eastAsia"/>
          <w:bCs/>
        </w:rPr>
        <w:t>等</w:t>
      </w:r>
      <w:r>
        <w:rPr>
          <w:bCs/>
        </w:rPr>
        <w:t>评估子域</w:t>
      </w:r>
      <w:r>
        <w:rPr>
          <w:rFonts w:hint="eastAsia"/>
          <w:bCs/>
        </w:rPr>
        <w:t>。</w:t>
      </w:r>
      <w:r w:rsidRPr="00E82C1A">
        <w:rPr>
          <w:rFonts w:hint="eastAsia"/>
          <w:bCs/>
        </w:rPr>
        <w:t>数据采集</w:t>
      </w:r>
      <w:r>
        <w:rPr>
          <w:rFonts w:hint="eastAsia"/>
          <w:bCs/>
        </w:rPr>
        <w:t>评估</w:t>
      </w:r>
      <w:r>
        <w:rPr>
          <w:bCs/>
        </w:rPr>
        <w:t>子域主要评估</w:t>
      </w:r>
      <w:r>
        <w:rPr>
          <w:rFonts w:hint="eastAsia"/>
          <w:bCs/>
        </w:rPr>
        <w:t>企业</w:t>
      </w:r>
      <w:r>
        <w:rPr>
          <w:bCs/>
        </w:rPr>
        <w:t>生产运营业务数据的自动采集水平</w:t>
      </w:r>
      <w:r>
        <w:rPr>
          <w:rFonts w:hint="eastAsia"/>
          <w:bCs/>
        </w:rPr>
        <w:t>；</w:t>
      </w:r>
      <w:r w:rsidRPr="00E82C1A">
        <w:rPr>
          <w:rFonts w:hint="eastAsia"/>
          <w:bCs/>
        </w:rPr>
        <w:t>数据标准化</w:t>
      </w:r>
      <w:r>
        <w:rPr>
          <w:rFonts w:hint="eastAsia"/>
          <w:bCs/>
        </w:rPr>
        <w:t>评估</w:t>
      </w:r>
      <w:r>
        <w:rPr>
          <w:bCs/>
        </w:rPr>
        <w:t>子域主要评估</w:t>
      </w:r>
      <w:r>
        <w:rPr>
          <w:rFonts w:hint="eastAsia"/>
          <w:bCs/>
        </w:rPr>
        <w:t>数据</w:t>
      </w:r>
      <w:r>
        <w:rPr>
          <w:bCs/>
        </w:rPr>
        <w:t>管理制度完善水平、数据分类分级水平</w:t>
      </w:r>
      <w:r>
        <w:rPr>
          <w:rFonts w:hint="eastAsia"/>
          <w:bCs/>
        </w:rPr>
        <w:t>及</w:t>
      </w:r>
      <w:r>
        <w:rPr>
          <w:bCs/>
        </w:rPr>
        <w:t>数据管理平台应用水平</w:t>
      </w:r>
      <w:r>
        <w:rPr>
          <w:rFonts w:hint="eastAsia"/>
          <w:bCs/>
        </w:rPr>
        <w:t>；数据</w:t>
      </w:r>
      <w:r>
        <w:rPr>
          <w:bCs/>
        </w:rPr>
        <w:t>质量管理</w:t>
      </w:r>
      <w:r>
        <w:rPr>
          <w:rFonts w:hint="eastAsia"/>
          <w:bCs/>
        </w:rPr>
        <w:t>评估</w:t>
      </w:r>
      <w:r>
        <w:rPr>
          <w:bCs/>
        </w:rPr>
        <w:t>子域</w:t>
      </w:r>
      <w:r>
        <w:rPr>
          <w:rFonts w:hint="eastAsia"/>
          <w:bCs/>
        </w:rPr>
        <w:t>主要</w:t>
      </w:r>
      <w:r>
        <w:rPr>
          <w:bCs/>
        </w:rPr>
        <w:t>评估</w:t>
      </w:r>
      <w:r>
        <w:rPr>
          <w:rFonts w:hint="eastAsia"/>
          <w:bCs/>
        </w:rPr>
        <w:t>企业</w:t>
      </w:r>
      <w:r>
        <w:rPr>
          <w:bCs/>
        </w:rPr>
        <w:t>关键数据质量管理水平</w:t>
      </w:r>
      <w:r>
        <w:rPr>
          <w:rFonts w:hint="eastAsia"/>
          <w:bCs/>
        </w:rPr>
        <w:t>；数据</w:t>
      </w:r>
      <w:r>
        <w:rPr>
          <w:bCs/>
        </w:rPr>
        <w:t>资产评估子域主要评估</w:t>
      </w:r>
      <w:r>
        <w:rPr>
          <w:rFonts w:hint="eastAsia"/>
          <w:bCs/>
        </w:rPr>
        <w:t>数据</w:t>
      </w:r>
      <w:r>
        <w:rPr>
          <w:bCs/>
        </w:rPr>
        <w:t>资产</w:t>
      </w:r>
      <w:r>
        <w:rPr>
          <w:rFonts w:hint="eastAsia"/>
          <w:bCs/>
        </w:rPr>
        <w:t>管理</w:t>
      </w:r>
      <w:r>
        <w:rPr>
          <w:bCs/>
        </w:rPr>
        <w:t>与</w:t>
      </w:r>
      <w:r>
        <w:rPr>
          <w:rFonts w:hint="eastAsia"/>
          <w:bCs/>
        </w:rPr>
        <w:t>业务</w:t>
      </w:r>
      <w:r>
        <w:rPr>
          <w:bCs/>
        </w:rPr>
        <w:t>赋能</w:t>
      </w:r>
      <w:r>
        <w:rPr>
          <w:rFonts w:hint="eastAsia"/>
          <w:bCs/>
        </w:rPr>
        <w:t>水平；</w:t>
      </w:r>
      <w:r>
        <w:rPr>
          <w:bCs/>
        </w:rPr>
        <w:t>数据应用</w:t>
      </w:r>
      <w:r>
        <w:rPr>
          <w:rFonts w:hint="eastAsia"/>
          <w:bCs/>
        </w:rPr>
        <w:t>评估</w:t>
      </w:r>
      <w:r>
        <w:rPr>
          <w:bCs/>
        </w:rPr>
        <w:t>子域</w:t>
      </w:r>
      <w:r>
        <w:rPr>
          <w:rFonts w:hint="eastAsia"/>
          <w:bCs/>
        </w:rPr>
        <w:t>主要</w:t>
      </w:r>
      <w:r>
        <w:rPr>
          <w:bCs/>
        </w:rPr>
        <w:t>评估数据</w:t>
      </w:r>
      <w:r>
        <w:rPr>
          <w:rFonts w:hint="eastAsia"/>
          <w:bCs/>
        </w:rPr>
        <w:t>集成</w:t>
      </w:r>
      <w:r>
        <w:rPr>
          <w:bCs/>
        </w:rPr>
        <w:t>共享水平、</w:t>
      </w:r>
      <w:r>
        <w:rPr>
          <w:rFonts w:hint="eastAsia"/>
          <w:bCs/>
        </w:rPr>
        <w:t>数据分析与辅助</w:t>
      </w:r>
      <w:r>
        <w:rPr>
          <w:bCs/>
        </w:rPr>
        <w:t>决策水平</w:t>
      </w:r>
      <w:r>
        <w:rPr>
          <w:rFonts w:hint="eastAsia"/>
          <w:bCs/>
        </w:rPr>
        <w:t>；</w:t>
      </w:r>
      <w:r>
        <w:rPr>
          <w:bCs/>
        </w:rPr>
        <w:t>数据安全管理</w:t>
      </w:r>
      <w:r>
        <w:rPr>
          <w:rFonts w:hint="eastAsia"/>
          <w:bCs/>
        </w:rPr>
        <w:t>评估</w:t>
      </w:r>
      <w:r>
        <w:rPr>
          <w:bCs/>
        </w:rPr>
        <w:t>子域</w:t>
      </w:r>
      <w:r>
        <w:rPr>
          <w:rFonts w:hint="eastAsia"/>
          <w:bCs/>
        </w:rPr>
        <w:t>主要</w:t>
      </w:r>
      <w:r>
        <w:rPr>
          <w:bCs/>
        </w:rPr>
        <w:t>评估</w:t>
      </w:r>
      <w:r>
        <w:rPr>
          <w:rFonts w:hint="eastAsia"/>
          <w:bCs/>
        </w:rPr>
        <w:t>数据</w:t>
      </w:r>
      <w:r>
        <w:rPr>
          <w:bCs/>
        </w:rPr>
        <w:t>访问</w:t>
      </w:r>
      <w:r>
        <w:rPr>
          <w:rFonts w:hint="eastAsia"/>
          <w:bCs/>
        </w:rPr>
        <w:t>控制水平</w:t>
      </w:r>
      <w:r>
        <w:rPr>
          <w:bCs/>
        </w:rPr>
        <w:t>、</w:t>
      </w:r>
      <w:r>
        <w:rPr>
          <w:rFonts w:hint="eastAsia"/>
          <w:bCs/>
        </w:rPr>
        <w:t>数据</w:t>
      </w:r>
      <w:r>
        <w:rPr>
          <w:bCs/>
        </w:rPr>
        <w:t>分类分级管控</w:t>
      </w:r>
      <w:r>
        <w:rPr>
          <w:rFonts w:hint="eastAsia"/>
          <w:bCs/>
        </w:rPr>
        <w:t>水平、</w:t>
      </w:r>
      <w:r>
        <w:rPr>
          <w:bCs/>
        </w:rPr>
        <w:t>风险</w:t>
      </w:r>
      <w:r>
        <w:rPr>
          <w:rFonts w:hint="eastAsia"/>
          <w:bCs/>
        </w:rPr>
        <w:t>防控</w:t>
      </w:r>
      <w:r>
        <w:rPr>
          <w:bCs/>
        </w:rPr>
        <w:t>水平</w:t>
      </w:r>
      <w:r>
        <w:rPr>
          <w:rFonts w:hint="eastAsia"/>
          <w:bCs/>
        </w:rPr>
        <w:t>。</w:t>
      </w:r>
    </w:p>
    <w:p w14:paraId="3081951A" w14:textId="77777777" w:rsidR="004B0DDB" w:rsidRPr="00CE11E8" w:rsidRDefault="004B0DDB" w:rsidP="004B0DDB">
      <w:pPr>
        <w:spacing w:line="360" w:lineRule="auto"/>
        <w:ind w:firstLineChars="200" w:firstLine="420"/>
      </w:pPr>
      <w:r>
        <w:rPr>
          <w:rFonts w:hint="eastAsia"/>
        </w:rPr>
        <w:t>数字化运营</w:t>
      </w:r>
      <w:r>
        <w:t>评估</w:t>
      </w:r>
      <w:proofErr w:type="gramStart"/>
      <w:r>
        <w:t>域包括</w:t>
      </w:r>
      <w:proofErr w:type="gramEnd"/>
      <w:r w:rsidRPr="00653C45">
        <w:rPr>
          <w:rFonts w:hint="eastAsia"/>
        </w:rPr>
        <w:t>财务管理数字化</w:t>
      </w:r>
      <w:r>
        <w:rPr>
          <w:rFonts w:hint="eastAsia"/>
        </w:rPr>
        <w:t>、</w:t>
      </w:r>
      <w:r w:rsidRPr="00653C45">
        <w:rPr>
          <w:rFonts w:hint="eastAsia"/>
        </w:rPr>
        <w:t>人力资源管理数字化</w:t>
      </w:r>
      <w:r>
        <w:rPr>
          <w:rFonts w:hint="eastAsia"/>
        </w:rPr>
        <w:t>、</w:t>
      </w:r>
      <w:r w:rsidRPr="005C1FEA">
        <w:rPr>
          <w:bCs/>
        </w:rPr>
        <w:t>数字化办公</w:t>
      </w:r>
      <w:r>
        <w:rPr>
          <w:rFonts w:hint="eastAsia"/>
          <w:bCs/>
        </w:rPr>
        <w:t>、</w:t>
      </w:r>
      <w:r w:rsidRPr="005C1FEA">
        <w:rPr>
          <w:bCs/>
        </w:rPr>
        <w:t>智能决策数字化</w:t>
      </w:r>
      <w:r>
        <w:rPr>
          <w:rFonts w:hint="eastAsia"/>
          <w:bCs/>
        </w:rPr>
        <w:t>、</w:t>
      </w:r>
      <w:r w:rsidRPr="00653C45">
        <w:rPr>
          <w:rFonts w:hint="eastAsia"/>
          <w:bCs/>
        </w:rPr>
        <w:t>采购管理数字化</w:t>
      </w:r>
      <w:r>
        <w:rPr>
          <w:rFonts w:hint="eastAsia"/>
          <w:bCs/>
        </w:rPr>
        <w:t>、</w:t>
      </w:r>
      <w:r w:rsidRPr="00653C45">
        <w:rPr>
          <w:rFonts w:hint="eastAsia"/>
          <w:bCs/>
        </w:rPr>
        <w:t>销售管理数字化</w:t>
      </w:r>
      <w:r>
        <w:rPr>
          <w:rFonts w:hint="eastAsia"/>
          <w:bCs/>
        </w:rPr>
        <w:t>等评估</w:t>
      </w:r>
      <w:r>
        <w:rPr>
          <w:bCs/>
        </w:rPr>
        <w:t>子域</w:t>
      </w:r>
      <w:r>
        <w:rPr>
          <w:rFonts w:hint="eastAsia"/>
          <w:bCs/>
        </w:rPr>
        <w:t>。</w:t>
      </w:r>
      <w:r>
        <w:rPr>
          <w:bCs/>
        </w:rPr>
        <w:t>财务</w:t>
      </w:r>
      <w:r w:rsidRPr="00653C45">
        <w:rPr>
          <w:rFonts w:hint="eastAsia"/>
        </w:rPr>
        <w:t>管理数字化</w:t>
      </w:r>
      <w:r>
        <w:rPr>
          <w:rFonts w:hint="eastAsia"/>
        </w:rPr>
        <w:t>评估</w:t>
      </w:r>
      <w:r>
        <w:t>子域</w:t>
      </w:r>
      <w:r>
        <w:rPr>
          <w:rFonts w:hint="eastAsia"/>
        </w:rPr>
        <w:t>主要</w:t>
      </w:r>
      <w:r>
        <w:t>评估</w:t>
      </w:r>
      <w:r>
        <w:rPr>
          <w:rFonts w:hint="eastAsia"/>
        </w:rPr>
        <w:t>会计</w:t>
      </w:r>
      <w:r>
        <w:t>账务管理水平、</w:t>
      </w:r>
      <w:r>
        <w:rPr>
          <w:rFonts w:hint="eastAsia"/>
        </w:rPr>
        <w:t>财务</w:t>
      </w:r>
      <w:r>
        <w:t>报表</w:t>
      </w:r>
      <w:r>
        <w:rPr>
          <w:rFonts w:hint="eastAsia"/>
        </w:rPr>
        <w:t>分析</w:t>
      </w:r>
      <w:r>
        <w:t>自动</w:t>
      </w:r>
      <w:r>
        <w:rPr>
          <w:rFonts w:hint="eastAsia"/>
        </w:rPr>
        <w:t>化</w:t>
      </w:r>
      <w:r>
        <w:t>、</w:t>
      </w:r>
      <w:r>
        <w:rPr>
          <w:rFonts w:hint="eastAsia"/>
        </w:rPr>
        <w:t>成本精准</w:t>
      </w:r>
      <w:r>
        <w:t>管控水平、</w:t>
      </w:r>
      <w:r>
        <w:rPr>
          <w:rFonts w:hint="eastAsia"/>
        </w:rPr>
        <w:t>预算</w:t>
      </w:r>
      <w:r>
        <w:t>管理数字化水平</w:t>
      </w:r>
      <w:r>
        <w:rPr>
          <w:rFonts w:hint="eastAsia"/>
        </w:rPr>
        <w:t>；</w:t>
      </w:r>
      <w:r>
        <w:t>人力资源管理数字化评估子域主要评估</w:t>
      </w:r>
      <w:r w:rsidRPr="00156F8E">
        <w:rPr>
          <w:rFonts w:hint="eastAsia"/>
        </w:rPr>
        <w:t>人力资源规划、人员招聘</w:t>
      </w:r>
      <w:r>
        <w:rPr>
          <w:rFonts w:hint="eastAsia"/>
        </w:rPr>
        <w:t>、</w:t>
      </w:r>
      <w:r w:rsidRPr="00156F8E">
        <w:rPr>
          <w:rFonts w:hint="eastAsia"/>
        </w:rPr>
        <w:t>薪酬与福利</w:t>
      </w:r>
      <w:r>
        <w:rPr>
          <w:rFonts w:hint="eastAsia"/>
        </w:rPr>
        <w:t>管理、</w:t>
      </w:r>
      <w:r w:rsidRPr="00156F8E">
        <w:rPr>
          <w:rFonts w:hint="eastAsia"/>
        </w:rPr>
        <w:t>绩效管理</w:t>
      </w:r>
      <w:r>
        <w:rPr>
          <w:rFonts w:hint="eastAsia"/>
        </w:rPr>
        <w:t>等</w:t>
      </w:r>
      <w:r>
        <w:t>数字化水平；</w:t>
      </w:r>
      <w:r w:rsidRPr="005C1FEA">
        <w:rPr>
          <w:bCs/>
        </w:rPr>
        <w:t>数字化办公</w:t>
      </w:r>
      <w:r>
        <w:rPr>
          <w:rFonts w:hint="eastAsia"/>
          <w:bCs/>
        </w:rPr>
        <w:t>评估</w:t>
      </w:r>
      <w:r>
        <w:rPr>
          <w:bCs/>
        </w:rPr>
        <w:t>子域主要评估</w:t>
      </w:r>
      <w:r>
        <w:rPr>
          <w:rFonts w:hint="eastAsia"/>
          <w:bCs/>
        </w:rPr>
        <w:t>日常</w:t>
      </w:r>
      <w:r>
        <w:rPr>
          <w:bCs/>
        </w:rPr>
        <w:t>行政办公、信息交流与发布等方面数字化水平</w:t>
      </w:r>
      <w:r>
        <w:rPr>
          <w:rFonts w:hint="eastAsia"/>
          <w:bCs/>
        </w:rPr>
        <w:t>；</w:t>
      </w:r>
      <w:r w:rsidRPr="00156F8E">
        <w:rPr>
          <w:rFonts w:hint="eastAsia"/>
          <w:bCs/>
        </w:rPr>
        <w:t>智能决策数字化</w:t>
      </w:r>
      <w:r>
        <w:rPr>
          <w:rFonts w:hint="eastAsia"/>
          <w:bCs/>
        </w:rPr>
        <w:t>评估</w:t>
      </w:r>
      <w:r>
        <w:rPr>
          <w:bCs/>
        </w:rPr>
        <w:t>子域主要评估企业生产运营决策</w:t>
      </w:r>
      <w:r>
        <w:rPr>
          <w:rFonts w:hint="eastAsia"/>
          <w:bCs/>
        </w:rPr>
        <w:t>数字能力</w:t>
      </w:r>
      <w:r>
        <w:rPr>
          <w:bCs/>
        </w:rPr>
        <w:t>赋能水平</w:t>
      </w:r>
      <w:r>
        <w:rPr>
          <w:rFonts w:hint="eastAsia"/>
          <w:bCs/>
        </w:rPr>
        <w:t>；</w:t>
      </w:r>
      <w:r w:rsidRPr="00653C45">
        <w:rPr>
          <w:rFonts w:hint="eastAsia"/>
          <w:bCs/>
        </w:rPr>
        <w:t>采购管理数字化</w:t>
      </w:r>
      <w:r>
        <w:rPr>
          <w:rFonts w:hint="eastAsia"/>
          <w:bCs/>
        </w:rPr>
        <w:t>评估</w:t>
      </w:r>
      <w:r>
        <w:rPr>
          <w:bCs/>
        </w:rPr>
        <w:t>子域</w:t>
      </w:r>
      <w:r>
        <w:rPr>
          <w:rFonts w:hint="eastAsia"/>
          <w:bCs/>
        </w:rPr>
        <w:t>主要</w:t>
      </w:r>
      <w:r>
        <w:rPr>
          <w:bCs/>
        </w:rPr>
        <w:t>评估</w:t>
      </w:r>
      <w:proofErr w:type="gramStart"/>
      <w:r w:rsidRPr="00156F8E">
        <w:rPr>
          <w:rFonts w:hint="eastAsia"/>
          <w:bCs/>
        </w:rPr>
        <w:t>采购全</w:t>
      </w:r>
      <w:proofErr w:type="gramEnd"/>
      <w:r w:rsidRPr="00156F8E">
        <w:rPr>
          <w:rFonts w:hint="eastAsia"/>
          <w:bCs/>
        </w:rPr>
        <w:t>流程数字化管理和采购执行自动化、智能化</w:t>
      </w:r>
      <w:r>
        <w:rPr>
          <w:rFonts w:hint="eastAsia"/>
          <w:bCs/>
        </w:rPr>
        <w:t>水平；</w:t>
      </w:r>
      <w:r w:rsidRPr="00683A08">
        <w:rPr>
          <w:rFonts w:hint="eastAsia"/>
          <w:bCs/>
        </w:rPr>
        <w:t>销售管理数字化</w:t>
      </w:r>
      <w:r>
        <w:rPr>
          <w:rFonts w:hint="eastAsia"/>
          <w:bCs/>
        </w:rPr>
        <w:t>评估子域</w:t>
      </w:r>
      <w:r>
        <w:rPr>
          <w:bCs/>
        </w:rPr>
        <w:t>主要评估</w:t>
      </w:r>
      <w:r w:rsidRPr="00683A08">
        <w:rPr>
          <w:rFonts w:hint="eastAsia"/>
          <w:bCs/>
        </w:rPr>
        <w:t>销售全过程</w:t>
      </w:r>
      <w:r>
        <w:rPr>
          <w:rFonts w:hint="eastAsia"/>
          <w:bCs/>
        </w:rPr>
        <w:t>数字化</w:t>
      </w:r>
      <w:r>
        <w:rPr>
          <w:bCs/>
        </w:rPr>
        <w:t>管理水平。</w:t>
      </w:r>
    </w:p>
    <w:p w14:paraId="7641E500" w14:textId="77777777" w:rsidR="004B0DDB" w:rsidRDefault="004B0DDB" w:rsidP="004B0DDB">
      <w:pPr>
        <w:spacing w:line="360" w:lineRule="auto"/>
        <w:ind w:firstLineChars="200" w:firstLine="420"/>
        <w:rPr>
          <w:bCs/>
        </w:rPr>
      </w:pPr>
      <w:r>
        <w:rPr>
          <w:rFonts w:hint="eastAsia"/>
          <w:szCs w:val="21"/>
        </w:rPr>
        <w:t>数字化</w:t>
      </w:r>
      <w:r>
        <w:rPr>
          <w:szCs w:val="21"/>
        </w:rPr>
        <w:t>生产评估</w:t>
      </w:r>
      <w:proofErr w:type="gramStart"/>
      <w:r>
        <w:rPr>
          <w:rFonts w:hint="eastAsia"/>
          <w:szCs w:val="21"/>
        </w:rPr>
        <w:t>域</w:t>
      </w:r>
      <w:r>
        <w:rPr>
          <w:szCs w:val="21"/>
        </w:rPr>
        <w:t>包括</w:t>
      </w:r>
      <w:proofErr w:type="gramEnd"/>
      <w:r w:rsidRPr="00683A08">
        <w:rPr>
          <w:rFonts w:hint="eastAsia"/>
          <w:szCs w:val="21"/>
        </w:rPr>
        <w:t>研发管理</w:t>
      </w:r>
      <w:r>
        <w:rPr>
          <w:rFonts w:hint="eastAsia"/>
          <w:szCs w:val="21"/>
        </w:rPr>
        <w:t>数字化</w:t>
      </w:r>
      <w:r w:rsidRPr="00683A08">
        <w:rPr>
          <w:rFonts w:hint="eastAsia"/>
          <w:szCs w:val="21"/>
        </w:rPr>
        <w:t>、生产计划调度、生产管控</w:t>
      </w:r>
      <w:r w:rsidRPr="005C1FEA">
        <w:rPr>
          <w:bCs/>
        </w:rPr>
        <w:t>数字化</w:t>
      </w:r>
      <w:r w:rsidRPr="00683A08">
        <w:rPr>
          <w:rFonts w:hint="eastAsia"/>
          <w:szCs w:val="21"/>
        </w:rPr>
        <w:t>、设备管理</w:t>
      </w:r>
      <w:r w:rsidRPr="005C1FEA">
        <w:rPr>
          <w:bCs/>
        </w:rPr>
        <w:t>数</w:t>
      </w:r>
      <w:r w:rsidRPr="005C1FEA">
        <w:rPr>
          <w:bCs/>
        </w:rPr>
        <w:lastRenderedPageBreak/>
        <w:t>字化</w:t>
      </w:r>
      <w:r w:rsidRPr="00683A08">
        <w:rPr>
          <w:rFonts w:hint="eastAsia"/>
          <w:szCs w:val="21"/>
        </w:rPr>
        <w:t>、</w:t>
      </w:r>
      <w:proofErr w:type="gramStart"/>
      <w:r w:rsidRPr="00683A08">
        <w:rPr>
          <w:rFonts w:hint="eastAsia"/>
          <w:szCs w:val="21"/>
        </w:rPr>
        <w:t>能碳管</w:t>
      </w:r>
      <w:proofErr w:type="gramEnd"/>
      <w:r w:rsidRPr="00683A08">
        <w:rPr>
          <w:rFonts w:hint="eastAsia"/>
          <w:szCs w:val="21"/>
        </w:rPr>
        <w:t>理</w:t>
      </w:r>
      <w:r w:rsidRPr="005C1FEA">
        <w:rPr>
          <w:bCs/>
        </w:rPr>
        <w:t>数字化</w:t>
      </w:r>
      <w:r w:rsidRPr="00683A08">
        <w:rPr>
          <w:rFonts w:hint="eastAsia"/>
          <w:szCs w:val="21"/>
        </w:rPr>
        <w:t>、质量管控</w:t>
      </w:r>
      <w:r w:rsidRPr="005C1FEA">
        <w:rPr>
          <w:bCs/>
        </w:rPr>
        <w:t>数字化</w:t>
      </w:r>
      <w:r w:rsidRPr="00683A08">
        <w:rPr>
          <w:rFonts w:hint="eastAsia"/>
          <w:szCs w:val="21"/>
        </w:rPr>
        <w:t>、安全环保</w:t>
      </w:r>
      <w:r w:rsidRPr="005C1FEA">
        <w:rPr>
          <w:bCs/>
        </w:rPr>
        <w:t>数字化</w:t>
      </w:r>
      <w:r w:rsidRPr="00683A08">
        <w:rPr>
          <w:rFonts w:hint="eastAsia"/>
          <w:szCs w:val="21"/>
        </w:rPr>
        <w:t>、仓储管理</w:t>
      </w:r>
      <w:r w:rsidRPr="005C1FEA">
        <w:rPr>
          <w:bCs/>
        </w:rPr>
        <w:t>数字化</w:t>
      </w:r>
      <w:r>
        <w:rPr>
          <w:rFonts w:hint="eastAsia"/>
          <w:bCs/>
        </w:rPr>
        <w:t>等</w:t>
      </w:r>
      <w:r>
        <w:rPr>
          <w:bCs/>
        </w:rPr>
        <w:t>评估子域。</w:t>
      </w:r>
      <w:r w:rsidRPr="00683A08">
        <w:rPr>
          <w:rFonts w:hint="eastAsia"/>
          <w:szCs w:val="21"/>
        </w:rPr>
        <w:t>研发管理</w:t>
      </w:r>
      <w:r>
        <w:rPr>
          <w:rFonts w:hint="eastAsia"/>
          <w:szCs w:val="21"/>
        </w:rPr>
        <w:t>评估</w:t>
      </w:r>
      <w:r>
        <w:rPr>
          <w:szCs w:val="21"/>
        </w:rPr>
        <w:t>子域</w:t>
      </w:r>
      <w:r>
        <w:rPr>
          <w:rFonts w:hint="eastAsia"/>
          <w:szCs w:val="21"/>
        </w:rPr>
        <w:t>主要评估</w:t>
      </w:r>
      <w:r w:rsidRPr="00683A08">
        <w:rPr>
          <w:rFonts w:hint="eastAsia"/>
          <w:szCs w:val="21"/>
        </w:rPr>
        <w:t>配方管理</w:t>
      </w:r>
      <w:r>
        <w:rPr>
          <w:rFonts w:hint="eastAsia"/>
          <w:szCs w:val="21"/>
        </w:rPr>
        <w:t>数字化</w:t>
      </w:r>
      <w:r>
        <w:rPr>
          <w:szCs w:val="21"/>
        </w:rPr>
        <w:t>水平、</w:t>
      </w:r>
      <w:r w:rsidRPr="00683A08">
        <w:rPr>
          <w:rFonts w:hint="eastAsia"/>
          <w:szCs w:val="21"/>
        </w:rPr>
        <w:t>研发生产一体化</w:t>
      </w:r>
      <w:r>
        <w:rPr>
          <w:rFonts w:hint="eastAsia"/>
          <w:szCs w:val="21"/>
        </w:rPr>
        <w:t>水平、</w:t>
      </w:r>
      <w:r>
        <w:rPr>
          <w:szCs w:val="21"/>
        </w:rPr>
        <w:t>研发过程管理数字化水平</w:t>
      </w:r>
      <w:r>
        <w:rPr>
          <w:rFonts w:hint="eastAsia"/>
          <w:szCs w:val="21"/>
        </w:rPr>
        <w:t>、</w:t>
      </w:r>
      <w:r>
        <w:rPr>
          <w:szCs w:val="21"/>
        </w:rPr>
        <w:t>工艺优化设计数字化水平；</w:t>
      </w:r>
      <w:r w:rsidRPr="00683A08">
        <w:rPr>
          <w:rFonts w:hint="eastAsia"/>
          <w:szCs w:val="21"/>
        </w:rPr>
        <w:t>生产计划调度</w:t>
      </w:r>
      <w:r>
        <w:rPr>
          <w:rFonts w:hint="eastAsia"/>
          <w:szCs w:val="21"/>
        </w:rPr>
        <w:t>评估</w:t>
      </w:r>
      <w:r>
        <w:rPr>
          <w:szCs w:val="21"/>
        </w:rPr>
        <w:t>子域主要评估</w:t>
      </w:r>
      <w:r>
        <w:rPr>
          <w:rFonts w:hint="eastAsia"/>
          <w:szCs w:val="21"/>
        </w:rPr>
        <w:t>计划</w:t>
      </w:r>
      <w:r>
        <w:rPr>
          <w:szCs w:val="21"/>
        </w:rPr>
        <w:t>排产和优化调度数字化水平；</w:t>
      </w:r>
      <w:r w:rsidRPr="00683A08">
        <w:rPr>
          <w:rFonts w:hint="eastAsia"/>
          <w:szCs w:val="21"/>
        </w:rPr>
        <w:t>生产管控</w:t>
      </w:r>
      <w:r w:rsidRPr="005C1FEA">
        <w:rPr>
          <w:bCs/>
        </w:rPr>
        <w:t>数字化</w:t>
      </w:r>
      <w:r>
        <w:rPr>
          <w:rFonts w:hint="eastAsia"/>
          <w:bCs/>
        </w:rPr>
        <w:t>评估</w:t>
      </w:r>
      <w:r>
        <w:rPr>
          <w:bCs/>
        </w:rPr>
        <w:t>子域主要评估</w:t>
      </w:r>
      <w:r>
        <w:rPr>
          <w:rFonts w:hint="eastAsia"/>
          <w:bCs/>
        </w:rPr>
        <w:t>水泥、玻璃、陶瓷、玻璃纤维、砖瓦、混凝土、其他</w:t>
      </w:r>
      <w:r>
        <w:rPr>
          <w:bCs/>
        </w:rPr>
        <w:t>等</w:t>
      </w:r>
      <w:r>
        <w:rPr>
          <w:rFonts w:hint="eastAsia"/>
          <w:bCs/>
        </w:rPr>
        <w:t>各</w:t>
      </w:r>
      <w:r>
        <w:rPr>
          <w:bCs/>
        </w:rPr>
        <w:t>细分行业</w:t>
      </w:r>
      <w:r>
        <w:rPr>
          <w:rFonts w:hint="eastAsia"/>
          <w:bCs/>
        </w:rPr>
        <w:t>各生产</w:t>
      </w:r>
      <w:r>
        <w:rPr>
          <w:bCs/>
        </w:rPr>
        <w:t>环节数字化技术与装备应用</w:t>
      </w:r>
      <w:r>
        <w:rPr>
          <w:rFonts w:hint="eastAsia"/>
          <w:bCs/>
        </w:rPr>
        <w:t>水平；</w:t>
      </w:r>
      <w:r w:rsidRPr="00D2259B">
        <w:rPr>
          <w:rFonts w:hint="eastAsia"/>
          <w:bCs/>
        </w:rPr>
        <w:t>设备管理数字化</w:t>
      </w:r>
      <w:r>
        <w:rPr>
          <w:rFonts w:hint="eastAsia"/>
          <w:bCs/>
        </w:rPr>
        <w:t>评估</w:t>
      </w:r>
      <w:r>
        <w:rPr>
          <w:bCs/>
        </w:rPr>
        <w:t>子域</w:t>
      </w:r>
      <w:r>
        <w:rPr>
          <w:rFonts w:hint="eastAsia"/>
          <w:bCs/>
        </w:rPr>
        <w:t>主要</w:t>
      </w:r>
      <w:r>
        <w:rPr>
          <w:bCs/>
        </w:rPr>
        <w:t>评估</w:t>
      </w:r>
      <w:r w:rsidRPr="00D2259B">
        <w:rPr>
          <w:rFonts w:hint="eastAsia"/>
          <w:bCs/>
        </w:rPr>
        <w:t>设备全生命周期管理</w:t>
      </w:r>
      <w:r>
        <w:rPr>
          <w:rFonts w:hint="eastAsia"/>
          <w:bCs/>
        </w:rPr>
        <w:t>数字化</w:t>
      </w:r>
      <w:r>
        <w:rPr>
          <w:bCs/>
        </w:rPr>
        <w:t>水平、</w:t>
      </w:r>
      <w:r w:rsidRPr="00D2259B">
        <w:rPr>
          <w:rFonts w:hint="eastAsia"/>
          <w:bCs/>
        </w:rPr>
        <w:t>设备预测性维护</w:t>
      </w:r>
      <w:r>
        <w:rPr>
          <w:rFonts w:hint="eastAsia"/>
          <w:bCs/>
        </w:rPr>
        <w:t>数字化</w:t>
      </w:r>
      <w:r>
        <w:rPr>
          <w:bCs/>
        </w:rPr>
        <w:t>水平</w:t>
      </w:r>
      <w:r>
        <w:rPr>
          <w:rFonts w:hint="eastAsia"/>
          <w:bCs/>
        </w:rPr>
        <w:t>、</w:t>
      </w:r>
      <w:r w:rsidRPr="005C1FEA">
        <w:rPr>
          <w:bCs/>
        </w:rPr>
        <w:t>设备智能润滑</w:t>
      </w:r>
      <w:r>
        <w:rPr>
          <w:rFonts w:hint="eastAsia"/>
          <w:bCs/>
        </w:rPr>
        <w:t>、</w:t>
      </w:r>
      <w:r w:rsidRPr="00D2259B">
        <w:rPr>
          <w:rFonts w:hint="eastAsia"/>
          <w:bCs/>
        </w:rPr>
        <w:t>巡检智能化</w:t>
      </w:r>
      <w:r>
        <w:rPr>
          <w:rFonts w:hint="eastAsia"/>
          <w:bCs/>
        </w:rPr>
        <w:t>水平</w:t>
      </w:r>
      <w:r>
        <w:rPr>
          <w:bCs/>
        </w:rPr>
        <w:t>；</w:t>
      </w:r>
      <w:proofErr w:type="gramStart"/>
      <w:r w:rsidRPr="00D2259B">
        <w:rPr>
          <w:rFonts w:hint="eastAsia"/>
          <w:bCs/>
        </w:rPr>
        <w:t>能碳管理</w:t>
      </w:r>
      <w:proofErr w:type="gramEnd"/>
      <w:r w:rsidRPr="00D2259B">
        <w:rPr>
          <w:rFonts w:hint="eastAsia"/>
          <w:bCs/>
        </w:rPr>
        <w:t>数字化</w:t>
      </w:r>
      <w:r>
        <w:rPr>
          <w:rFonts w:hint="eastAsia"/>
          <w:bCs/>
        </w:rPr>
        <w:t>评估</w:t>
      </w:r>
      <w:r>
        <w:rPr>
          <w:bCs/>
        </w:rPr>
        <w:t>子域主要评估</w:t>
      </w:r>
      <w:r w:rsidRPr="00D2259B">
        <w:rPr>
          <w:rFonts w:hint="eastAsia"/>
          <w:bCs/>
        </w:rPr>
        <w:t>能源管理</w:t>
      </w:r>
      <w:r>
        <w:rPr>
          <w:rFonts w:hint="eastAsia"/>
          <w:bCs/>
        </w:rPr>
        <w:t>数字化</w:t>
      </w:r>
      <w:proofErr w:type="gramStart"/>
      <w:r>
        <w:rPr>
          <w:bCs/>
        </w:rPr>
        <w:t>水平</w:t>
      </w:r>
      <w:r>
        <w:rPr>
          <w:rFonts w:hint="eastAsia"/>
          <w:bCs/>
        </w:rPr>
        <w:t>及</w:t>
      </w:r>
      <w:r w:rsidRPr="00D2259B">
        <w:rPr>
          <w:rFonts w:hint="eastAsia"/>
          <w:bCs/>
        </w:rPr>
        <w:t>碳排</w:t>
      </w:r>
      <w:proofErr w:type="gramEnd"/>
      <w:r w:rsidRPr="00D2259B">
        <w:rPr>
          <w:rFonts w:hint="eastAsia"/>
          <w:bCs/>
        </w:rPr>
        <w:t>放管理</w:t>
      </w:r>
      <w:r>
        <w:rPr>
          <w:rFonts w:hint="eastAsia"/>
          <w:bCs/>
        </w:rPr>
        <w:t>水平；</w:t>
      </w:r>
      <w:r w:rsidRPr="00683A08">
        <w:rPr>
          <w:rFonts w:hint="eastAsia"/>
          <w:szCs w:val="21"/>
        </w:rPr>
        <w:t>质量管控</w:t>
      </w:r>
      <w:r w:rsidRPr="005C1FEA">
        <w:rPr>
          <w:bCs/>
        </w:rPr>
        <w:t>数字化</w:t>
      </w:r>
      <w:r>
        <w:rPr>
          <w:rFonts w:hint="eastAsia"/>
          <w:bCs/>
        </w:rPr>
        <w:t>评估</w:t>
      </w:r>
      <w:r>
        <w:rPr>
          <w:bCs/>
        </w:rPr>
        <w:t>子域主要评估</w:t>
      </w:r>
      <w:r>
        <w:rPr>
          <w:rFonts w:hint="eastAsia"/>
          <w:bCs/>
        </w:rPr>
        <w:t>全流程</w:t>
      </w:r>
      <w:r>
        <w:rPr>
          <w:bCs/>
        </w:rPr>
        <w:t>质量管理数字化水平、</w:t>
      </w:r>
      <w:r w:rsidRPr="00D2259B">
        <w:rPr>
          <w:rFonts w:hint="eastAsia"/>
          <w:bCs/>
        </w:rPr>
        <w:t>实验室管理</w:t>
      </w:r>
      <w:r>
        <w:rPr>
          <w:rFonts w:hint="eastAsia"/>
          <w:bCs/>
        </w:rPr>
        <w:t>数字化</w:t>
      </w:r>
      <w:r>
        <w:rPr>
          <w:bCs/>
        </w:rPr>
        <w:t>水平</w:t>
      </w:r>
      <w:r>
        <w:rPr>
          <w:rFonts w:hint="eastAsia"/>
          <w:bCs/>
        </w:rPr>
        <w:t>；</w:t>
      </w:r>
      <w:r w:rsidRPr="00683A08">
        <w:rPr>
          <w:rFonts w:hint="eastAsia"/>
          <w:szCs w:val="21"/>
        </w:rPr>
        <w:t>安全环保</w:t>
      </w:r>
      <w:r w:rsidRPr="005C1FEA">
        <w:rPr>
          <w:bCs/>
        </w:rPr>
        <w:t>数字化</w:t>
      </w:r>
      <w:r>
        <w:rPr>
          <w:rFonts w:hint="eastAsia"/>
          <w:bCs/>
        </w:rPr>
        <w:t>评估</w:t>
      </w:r>
      <w:r>
        <w:rPr>
          <w:bCs/>
        </w:rPr>
        <w:t>子域主要评估</w:t>
      </w:r>
      <w:r w:rsidRPr="00D2259B">
        <w:rPr>
          <w:rFonts w:hint="eastAsia"/>
          <w:bCs/>
        </w:rPr>
        <w:t>安全环保监测数据</w:t>
      </w:r>
      <w:r>
        <w:rPr>
          <w:rFonts w:hint="eastAsia"/>
          <w:bCs/>
        </w:rPr>
        <w:t>自动采集</w:t>
      </w:r>
      <w:r>
        <w:rPr>
          <w:bCs/>
        </w:rPr>
        <w:t>、</w:t>
      </w:r>
      <w:r>
        <w:rPr>
          <w:rFonts w:hint="eastAsia"/>
          <w:bCs/>
        </w:rPr>
        <w:t>数字</w:t>
      </w:r>
      <w:r>
        <w:rPr>
          <w:bCs/>
        </w:rPr>
        <w:t>监控水平、智能分析与预警水平</w:t>
      </w:r>
      <w:r>
        <w:rPr>
          <w:rFonts w:hint="eastAsia"/>
          <w:bCs/>
        </w:rPr>
        <w:t>、</w:t>
      </w:r>
      <w:r w:rsidRPr="00B4025E">
        <w:rPr>
          <w:rFonts w:hint="eastAsia"/>
          <w:bCs/>
        </w:rPr>
        <w:t>粉尘治理智能化</w:t>
      </w:r>
      <w:r>
        <w:rPr>
          <w:rFonts w:hint="eastAsia"/>
          <w:bCs/>
        </w:rPr>
        <w:t>水平</w:t>
      </w:r>
      <w:r>
        <w:rPr>
          <w:bCs/>
        </w:rPr>
        <w:t>；</w:t>
      </w:r>
      <w:r w:rsidRPr="00B4025E">
        <w:rPr>
          <w:rFonts w:hint="eastAsia"/>
          <w:bCs/>
        </w:rPr>
        <w:t>仓储管理数字化</w:t>
      </w:r>
      <w:r>
        <w:rPr>
          <w:rFonts w:hint="eastAsia"/>
          <w:bCs/>
        </w:rPr>
        <w:t>评估</w:t>
      </w:r>
      <w:r>
        <w:rPr>
          <w:bCs/>
        </w:rPr>
        <w:t>子域主要评估</w:t>
      </w:r>
      <w:r w:rsidRPr="00B4025E">
        <w:rPr>
          <w:rFonts w:hint="eastAsia"/>
          <w:bCs/>
        </w:rPr>
        <w:t>仓储管理</w:t>
      </w:r>
      <w:r>
        <w:rPr>
          <w:rFonts w:hint="eastAsia"/>
          <w:bCs/>
        </w:rPr>
        <w:t>数字化</w:t>
      </w:r>
      <w:r>
        <w:rPr>
          <w:bCs/>
        </w:rPr>
        <w:t>水平、盘库作业智能化水平、物料平衡分析</w:t>
      </w:r>
      <w:r>
        <w:rPr>
          <w:rFonts w:hint="eastAsia"/>
          <w:bCs/>
        </w:rPr>
        <w:t>数字化</w:t>
      </w:r>
      <w:r>
        <w:rPr>
          <w:bCs/>
        </w:rPr>
        <w:t>水平、</w:t>
      </w:r>
      <w:r w:rsidRPr="00B4025E">
        <w:rPr>
          <w:rFonts w:hint="eastAsia"/>
          <w:bCs/>
        </w:rPr>
        <w:t>仓储安全管理</w:t>
      </w:r>
      <w:r>
        <w:rPr>
          <w:rFonts w:hint="eastAsia"/>
          <w:bCs/>
        </w:rPr>
        <w:t>数字化</w:t>
      </w:r>
      <w:r>
        <w:rPr>
          <w:bCs/>
        </w:rPr>
        <w:t>水平。</w:t>
      </w:r>
    </w:p>
    <w:p w14:paraId="3211EBCB" w14:textId="5D7B55D6" w:rsidR="004B0DDB" w:rsidRPr="004B0DDB" w:rsidRDefault="004B0DDB" w:rsidP="004B0DDB">
      <w:pPr>
        <w:spacing w:line="360" w:lineRule="auto"/>
        <w:ind w:firstLineChars="200" w:firstLine="420"/>
        <w:rPr>
          <w:bCs/>
        </w:rPr>
      </w:pPr>
      <w:r>
        <w:rPr>
          <w:rFonts w:hint="eastAsia"/>
          <w:bCs/>
        </w:rPr>
        <w:t>数字化</w:t>
      </w:r>
      <w:r>
        <w:rPr>
          <w:bCs/>
        </w:rPr>
        <w:t>集成与协同评估</w:t>
      </w:r>
      <w:proofErr w:type="gramStart"/>
      <w:r>
        <w:rPr>
          <w:bCs/>
        </w:rPr>
        <w:t>域包括</w:t>
      </w:r>
      <w:proofErr w:type="gramEnd"/>
      <w:r w:rsidRPr="00B4025E">
        <w:rPr>
          <w:rFonts w:hint="eastAsia"/>
          <w:bCs/>
        </w:rPr>
        <w:t>纵向管控集成</w:t>
      </w:r>
      <w:r>
        <w:rPr>
          <w:rFonts w:hint="eastAsia"/>
          <w:bCs/>
        </w:rPr>
        <w:t>、</w:t>
      </w:r>
      <w:r w:rsidRPr="00B4025E">
        <w:rPr>
          <w:rFonts w:hint="eastAsia"/>
          <w:bCs/>
        </w:rPr>
        <w:t>横向管控协同</w:t>
      </w:r>
      <w:r>
        <w:rPr>
          <w:rFonts w:hint="eastAsia"/>
          <w:bCs/>
        </w:rPr>
        <w:t>等评估</w:t>
      </w:r>
      <w:r>
        <w:rPr>
          <w:bCs/>
        </w:rPr>
        <w:t>子域。</w:t>
      </w:r>
      <w:r w:rsidRPr="00B4025E">
        <w:rPr>
          <w:rFonts w:hint="eastAsia"/>
          <w:bCs/>
        </w:rPr>
        <w:t>纵向管控集成</w:t>
      </w:r>
      <w:r>
        <w:rPr>
          <w:rFonts w:hint="eastAsia"/>
          <w:bCs/>
        </w:rPr>
        <w:t>评估</w:t>
      </w:r>
      <w:r>
        <w:rPr>
          <w:bCs/>
        </w:rPr>
        <w:t>资源主要评估</w:t>
      </w:r>
      <w:r w:rsidRPr="00B4025E">
        <w:rPr>
          <w:rFonts w:hint="eastAsia"/>
          <w:bCs/>
        </w:rPr>
        <w:t>经营管理层集成</w:t>
      </w:r>
      <w:r>
        <w:rPr>
          <w:rFonts w:hint="eastAsia"/>
          <w:bCs/>
        </w:rPr>
        <w:t>数字化</w:t>
      </w:r>
      <w:r>
        <w:rPr>
          <w:bCs/>
        </w:rPr>
        <w:t>水平、</w:t>
      </w:r>
      <w:r w:rsidRPr="00B4025E">
        <w:rPr>
          <w:rFonts w:hint="eastAsia"/>
          <w:bCs/>
        </w:rPr>
        <w:t>生产执行层集成</w:t>
      </w:r>
      <w:r>
        <w:rPr>
          <w:rFonts w:hint="eastAsia"/>
          <w:bCs/>
        </w:rPr>
        <w:t>数字化</w:t>
      </w:r>
      <w:r>
        <w:rPr>
          <w:bCs/>
        </w:rPr>
        <w:t>水平</w:t>
      </w:r>
      <w:r>
        <w:rPr>
          <w:rFonts w:hint="eastAsia"/>
          <w:bCs/>
        </w:rPr>
        <w:t>；</w:t>
      </w:r>
      <w:r w:rsidRPr="00B4025E">
        <w:rPr>
          <w:rFonts w:hint="eastAsia"/>
          <w:bCs/>
        </w:rPr>
        <w:t>横向管控协同</w:t>
      </w:r>
      <w:r>
        <w:rPr>
          <w:rFonts w:hint="eastAsia"/>
          <w:bCs/>
        </w:rPr>
        <w:t>评估</w:t>
      </w:r>
      <w:r>
        <w:rPr>
          <w:bCs/>
        </w:rPr>
        <w:t>子域主要评估</w:t>
      </w:r>
      <w:r w:rsidRPr="00B4025E">
        <w:rPr>
          <w:rFonts w:hint="eastAsia"/>
          <w:bCs/>
        </w:rPr>
        <w:t>供应链协同管控</w:t>
      </w:r>
      <w:r>
        <w:rPr>
          <w:rFonts w:hint="eastAsia"/>
          <w:bCs/>
        </w:rPr>
        <w:t>数字化</w:t>
      </w:r>
      <w:r>
        <w:rPr>
          <w:bCs/>
        </w:rPr>
        <w:t>水平</w:t>
      </w:r>
      <w:r>
        <w:rPr>
          <w:rFonts w:hint="eastAsia"/>
          <w:bCs/>
        </w:rPr>
        <w:t>、</w:t>
      </w:r>
      <w:r w:rsidRPr="005C1FEA">
        <w:rPr>
          <w:bCs/>
        </w:rPr>
        <w:t>产业链协同管控</w:t>
      </w:r>
      <w:r>
        <w:rPr>
          <w:rFonts w:hint="eastAsia"/>
          <w:bCs/>
        </w:rPr>
        <w:t>数字化</w:t>
      </w:r>
      <w:r>
        <w:rPr>
          <w:bCs/>
        </w:rPr>
        <w:t>水平。</w:t>
      </w:r>
    </w:p>
    <w:p w14:paraId="7903B88F" w14:textId="22CDFFF8" w:rsidR="004117CD" w:rsidRDefault="004117CD" w:rsidP="004117CD">
      <w:pPr>
        <w:pStyle w:val="11"/>
        <w:numPr>
          <w:ilvl w:val="2"/>
          <w:numId w:val="1"/>
        </w:numPr>
        <w:spacing w:before="156" w:after="156" w:line="276" w:lineRule="auto"/>
        <w:outlineLvl w:val="2"/>
      </w:pPr>
      <w:r>
        <w:t>附录</w:t>
      </w:r>
      <w:r w:rsidR="004B0DDB">
        <w:rPr>
          <w:rFonts w:hint="eastAsia"/>
        </w:rPr>
        <w:t>B</w:t>
      </w:r>
      <w:r w:rsidR="004B0DDB">
        <w:t xml:space="preserve"> </w:t>
      </w:r>
      <w:r w:rsidR="004B0DDB">
        <w:rPr>
          <w:rFonts w:hint="eastAsia"/>
        </w:rPr>
        <w:t>行业特色指标评分标准</w:t>
      </w:r>
    </w:p>
    <w:p w14:paraId="70DAD69D" w14:textId="70AE2C88" w:rsidR="00017685" w:rsidRDefault="004117CD" w:rsidP="004117CD">
      <w:pPr>
        <w:spacing w:line="360" w:lineRule="auto"/>
        <w:ind w:firstLineChars="200" w:firstLine="420"/>
      </w:pPr>
      <w:r>
        <w:t>附录</w:t>
      </w:r>
      <w:r w:rsidR="004B0DDB">
        <w:rPr>
          <w:rFonts w:hint="eastAsia"/>
        </w:rPr>
        <w:t>B</w:t>
      </w:r>
      <w:r>
        <w:t>为</w:t>
      </w:r>
      <w:r w:rsidR="004B0DDB">
        <w:rPr>
          <w:rFonts w:hint="eastAsia"/>
        </w:rPr>
        <w:t>规范</w:t>
      </w:r>
      <w:r>
        <w:t>附录，</w:t>
      </w:r>
      <w:r w:rsidR="00017685">
        <w:rPr>
          <w:rFonts w:hint="eastAsia"/>
        </w:rPr>
        <w:t>给出</w:t>
      </w:r>
      <w:r w:rsidR="00017685">
        <w:t>了建材各细分行业</w:t>
      </w:r>
      <w:r w:rsidR="0030779F">
        <w:rPr>
          <w:rFonts w:hint="eastAsia"/>
        </w:rPr>
        <w:t>（包括</w:t>
      </w:r>
      <w:r w:rsidR="0030779F" w:rsidRPr="00017685">
        <w:rPr>
          <w:rFonts w:hint="eastAsia"/>
        </w:rPr>
        <w:t>水泥</w:t>
      </w:r>
      <w:r w:rsidR="0030779F">
        <w:rPr>
          <w:rFonts w:hint="eastAsia"/>
        </w:rPr>
        <w:t>、玻璃</w:t>
      </w:r>
      <w:r w:rsidR="0030779F">
        <w:t>、</w:t>
      </w:r>
      <w:r w:rsidR="0030779F">
        <w:rPr>
          <w:rFonts w:hint="eastAsia"/>
        </w:rPr>
        <w:t>陶瓷</w:t>
      </w:r>
      <w:r w:rsidR="0030779F">
        <w:t>、</w:t>
      </w:r>
      <w:r w:rsidR="0030779F">
        <w:rPr>
          <w:rFonts w:hint="eastAsia"/>
        </w:rPr>
        <w:t>玻璃</w:t>
      </w:r>
      <w:r w:rsidR="0030779F">
        <w:t>纤维</w:t>
      </w:r>
      <w:r w:rsidR="0030779F">
        <w:rPr>
          <w:rFonts w:hint="eastAsia"/>
        </w:rPr>
        <w:t>、</w:t>
      </w:r>
      <w:r w:rsidR="0030779F">
        <w:t>砖瓦、</w:t>
      </w:r>
      <w:r w:rsidR="0030779F">
        <w:rPr>
          <w:rFonts w:hint="eastAsia"/>
        </w:rPr>
        <w:t>混凝土、</w:t>
      </w:r>
      <w:r w:rsidR="0030779F">
        <w:t>其他等</w:t>
      </w:r>
      <w:r w:rsidR="0030779F">
        <w:rPr>
          <w:rFonts w:hint="eastAsia"/>
        </w:rPr>
        <w:t>）</w:t>
      </w:r>
      <w:r w:rsidR="00017685">
        <w:t>特色指标评分标准，</w:t>
      </w:r>
      <w:r w:rsidR="0030779F">
        <w:rPr>
          <w:rFonts w:hint="eastAsia"/>
        </w:rPr>
        <w:t>用于</w:t>
      </w:r>
      <w:r w:rsidR="0030779F">
        <w:t>评估建材各细分行业</w:t>
      </w:r>
      <w:r w:rsidR="0030779F" w:rsidRPr="0030779F">
        <w:rPr>
          <w:rFonts w:hint="eastAsia"/>
        </w:rPr>
        <w:t>各生产环节数字化技术与装备应用水平</w:t>
      </w:r>
      <w:r w:rsidR="0030779F">
        <w:rPr>
          <w:rFonts w:hint="eastAsia"/>
        </w:rPr>
        <w:t>。</w:t>
      </w:r>
    </w:p>
    <w:p w14:paraId="1BC3B793" w14:textId="77777777" w:rsidR="004117CD" w:rsidRDefault="004117CD">
      <w:pPr>
        <w:spacing w:line="360" w:lineRule="auto"/>
        <w:ind w:firstLineChars="200" w:firstLine="420"/>
      </w:pPr>
    </w:p>
    <w:p w14:paraId="09017037" w14:textId="77777777" w:rsidR="003F3584" w:rsidRDefault="00921343">
      <w:pPr>
        <w:pStyle w:val="11"/>
        <w:numPr>
          <w:ilvl w:val="0"/>
          <w:numId w:val="1"/>
        </w:numPr>
        <w:tabs>
          <w:tab w:val="clear" w:pos="0"/>
          <w:tab w:val="left" w:pos="420"/>
        </w:tabs>
        <w:spacing w:before="156" w:after="156" w:line="276" w:lineRule="auto"/>
      </w:pPr>
      <w:bookmarkStart w:id="134" w:name="_Toc8600"/>
      <w:bookmarkStart w:id="135" w:name="_Toc27483"/>
      <w:r>
        <w:t>主要验证情况分析</w:t>
      </w:r>
      <w:bookmarkEnd w:id="125"/>
      <w:bookmarkEnd w:id="126"/>
      <w:bookmarkEnd w:id="127"/>
      <w:bookmarkEnd w:id="128"/>
      <w:bookmarkEnd w:id="129"/>
      <w:bookmarkEnd w:id="130"/>
      <w:bookmarkEnd w:id="131"/>
      <w:bookmarkEnd w:id="132"/>
      <w:bookmarkEnd w:id="134"/>
      <w:bookmarkEnd w:id="135"/>
    </w:p>
    <w:p w14:paraId="222DCD6A" w14:textId="7572B458" w:rsidR="008F38D5" w:rsidRDefault="008F38D5" w:rsidP="008F38D5">
      <w:pPr>
        <w:spacing w:line="276" w:lineRule="auto"/>
        <w:ind w:firstLineChars="200" w:firstLine="420"/>
      </w:pPr>
      <w:bookmarkStart w:id="136" w:name="_Toc25760"/>
      <w:bookmarkStart w:id="137" w:name="_Toc28250"/>
      <w:bookmarkStart w:id="138" w:name="_Toc13062"/>
      <w:bookmarkStart w:id="139" w:name="_Toc30191"/>
      <w:bookmarkStart w:id="140" w:name="_Toc32320"/>
      <w:bookmarkStart w:id="141" w:name="_Toc25533"/>
      <w:r>
        <w:rPr>
          <w:rFonts w:hint="eastAsia"/>
        </w:rPr>
        <w:t>在标准编制过程中，调研了行业内多家</w:t>
      </w:r>
      <w:r w:rsidR="00FE541A">
        <w:rPr>
          <w:rFonts w:hint="eastAsia"/>
        </w:rPr>
        <w:t>建材</w:t>
      </w:r>
      <w:r>
        <w:rPr>
          <w:rFonts w:hint="eastAsia"/>
        </w:rPr>
        <w:t>企业，如</w:t>
      </w:r>
      <w:r w:rsidR="00FE541A" w:rsidRPr="00FE541A">
        <w:rPr>
          <w:rFonts w:hint="eastAsia"/>
        </w:rPr>
        <w:t>合肥南方水泥有限公司</w:t>
      </w:r>
      <w:r w:rsidR="00FE541A">
        <w:rPr>
          <w:rFonts w:hint="eastAsia"/>
        </w:rPr>
        <w:t>、</w:t>
      </w:r>
      <w:r w:rsidR="00FE541A" w:rsidRPr="00FE541A">
        <w:rPr>
          <w:rFonts w:hint="eastAsia"/>
        </w:rPr>
        <w:t>冀东水泥铜川有限公司</w:t>
      </w:r>
      <w:r>
        <w:rPr>
          <w:rFonts w:hint="eastAsia"/>
        </w:rPr>
        <w:t>、</w:t>
      </w:r>
      <w:r w:rsidR="00FE541A" w:rsidRPr="00FE541A">
        <w:rPr>
          <w:rFonts w:hint="eastAsia"/>
        </w:rPr>
        <w:t>安徽海螺水泥股份有限公司白马山水泥厂</w:t>
      </w:r>
      <w:r w:rsidR="00FE541A">
        <w:rPr>
          <w:rFonts w:hint="eastAsia"/>
        </w:rPr>
        <w:t>、</w:t>
      </w:r>
      <w:r w:rsidR="00FE541A" w:rsidRPr="00FE541A">
        <w:rPr>
          <w:rFonts w:hint="eastAsia"/>
        </w:rPr>
        <w:t>河南省中联玻璃有限责任公司</w:t>
      </w:r>
      <w:r>
        <w:rPr>
          <w:rFonts w:hint="eastAsia"/>
        </w:rPr>
        <w:t>、</w:t>
      </w:r>
      <w:r w:rsidR="00FE541A" w:rsidRPr="00FE541A">
        <w:rPr>
          <w:rFonts w:hint="eastAsia"/>
        </w:rPr>
        <w:t>绍兴旗滨玻璃有限公司</w:t>
      </w:r>
      <w:r>
        <w:rPr>
          <w:rFonts w:hint="eastAsia"/>
        </w:rPr>
        <w:t>、</w:t>
      </w:r>
      <w:r w:rsidR="00FE541A" w:rsidRPr="00FE541A">
        <w:rPr>
          <w:rFonts w:hint="eastAsia"/>
        </w:rPr>
        <w:t>山东金晶科技股份有限公司</w:t>
      </w:r>
      <w:r>
        <w:rPr>
          <w:rFonts w:hint="eastAsia"/>
        </w:rPr>
        <w:t>等，</w:t>
      </w:r>
      <w:r w:rsidR="00F53284">
        <w:rPr>
          <w:rFonts w:hint="eastAsia"/>
        </w:rPr>
        <w:t>同时</w:t>
      </w:r>
      <w:r>
        <w:rPr>
          <w:rFonts w:hint="eastAsia"/>
        </w:rPr>
        <w:t>充分采纳了业内专家和企业相关人员的意见，保证评价指标切实贴近企业实际情况。</w:t>
      </w:r>
    </w:p>
    <w:p w14:paraId="3C5ADDEF" w14:textId="0FCEBAED" w:rsidR="008F38D5" w:rsidRDefault="00DD406C" w:rsidP="008F38D5">
      <w:pPr>
        <w:spacing w:line="276" w:lineRule="auto"/>
        <w:ind w:firstLineChars="200" w:firstLine="420"/>
      </w:pPr>
      <w:r>
        <w:rPr>
          <w:rFonts w:hint="eastAsia"/>
        </w:rPr>
        <w:t>下一步，建筑材料工业信息中心将继续联合建材</w:t>
      </w:r>
      <w:r w:rsidR="008F38D5">
        <w:rPr>
          <w:rFonts w:hint="eastAsia"/>
        </w:rPr>
        <w:t>企业和相关研究机构，迭代完善标准内容，加快本文件的编制修订与落地应用进程。</w:t>
      </w:r>
    </w:p>
    <w:p w14:paraId="27D595CD" w14:textId="77777777" w:rsidR="003F3584" w:rsidRDefault="00921343">
      <w:pPr>
        <w:pStyle w:val="11"/>
        <w:numPr>
          <w:ilvl w:val="0"/>
          <w:numId w:val="1"/>
        </w:numPr>
        <w:tabs>
          <w:tab w:val="clear" w:pos="0"/>
          <w:tab w:val="left" w:pos="420"/>
        </w:tabs>
        <w:spacing w:before="156" w:after="156" w:line="276" w:lineRule="auto"/>
      </w:pPr>
      <w:bookmarkStart w:id="142" w:name="_Toc26164"/>
      <w:bookmarkStart w:id="143" w:name="_Toc30016"/>
      <w:bookmarkStart w:id="144" w:name="_Toc24193"/>
      <w:bookmarkStart w:id="145" w:name="_Toc59059103"/>
      <w:bookmarkStart w:id="146" w:name="_Toc6273"/>
      <w:bookmarkStart w:id="147" w:name="_Toc8861"/>
      <w:bookmarkStart w:id="148" w:name="_Toc4022"/>
      <w:bookmarkStart w:id="149" w:name="_Toc2237"/>
      <w:bookmarkStart w:id="150" w:name="_Toc25326"/>
      <w:bookmarkStart w:id="151" w:name="_Toc24862"/>
      <w:bookmarkStart w:id="152" w:name="_Toc23917"/>
      <w:bookmarkStart w:id="153" w:name="_Toc12754"/>
      <w:bookmarkEnd w:id="136"/>
      <w:bookmarkEnd w:id="137"/>
      <w:bookmarkEnd w:id="138"/>
      <w:bookmarkEnd w:id="139"/>
      <w:bookmarkEnd w:id="140"/>
      <w:bookmarkEnd w:id="141"/>
      <w:r>
        <w:t>标准中涉及专利情况</w:t>
      </w:r>
      <w:bookmarkEnd w:id="142"/>
      <w:bookmarkEnd w:id="143"/>
      <w:bookmarkEnd w:id="144"/>
      <w:bookmarkEnd w:id="145"/>
      <w:bookmarkEnd w:id="146"/>
      <w:bookmarkEnd w:id="147"/>
      <w:bookmarkEnd w:id="148"/>
      <w:bookmarkEnd w:id="149"/>
      <w:bookmarkEnd w:id="150"/>
      <w:bookmarkEnd w:id="151"/>
      <w:bookmarkEnd w:id="152"/>
      <w:bookmarkEnd w:id="153"/>
    </w:p>
    <w:p w14:paraId="47E09830" w14:textId="4419F07C" w:rsidR="003F3584" w:rsidRDefault="00377272">
      <w:pPr>
        <w:spacing w:line="276" w:lineRule="auto"/>
        <w:ind w:firstLineChars="200" w:firstLine="420"/>
        <w:jc w:val="left"/>
        <w:rPr>
          <w:kern w:val="0"/>
          <w:szCs w:val="21"/>
        </w:rPr>
      </w:pPr>
      <w:r>
        <w:rPr>
          <w:kern w:val="0"/>
          <w:szCs w:val="21"/>
        </w:rPr>
        <w:t>本文件</w:t>
      </w:r>
      <w:r w:rsidR="00921343">
        <w:rPr>
          <w:kern w:val="0"/>
          <w:szCs w:val="21"/>
        </w:rPr>
        <w:t>不涉及专利。</w:t>
      </w:r>
    </w:p>
    <w:p w14:paraId="0E3B448E" w14:textId="77777777" w:rsidR="003F3584" w:rsidRDefault="00921343">
      <w:pPr>
        <w:pStyle w:val="11"/>
        <w:numPr>
          <w:ilvl w:val="0"/>
          <w:numId w:val="1"/>
        </w:numPr>
        <w:tabs>
          <w:tab w:val="clear" w:pos="0"/>
          <w:tab w:val="left" w:pos="420"/>
        </w:tabs>
        <w:spacing w:before="156" w:after="156" w:line="276" w:lineRule="auto"/>
      </w:pPr>
      <w:bookmarkStart w:id="154" w:name="_Toc6818"/>
      <w:bookmarkStart w:id="155" w:name="_Toc176"/>
      <w:bookmarkStart w:id="156" w:name="_Toc20263"/>
      <w:bookmarkStart w:id="157" w:name="_Toc13849"/>
      <w:bookmarkStart w:id="158" w:name="_Toc28242"/>
      <w:bookmarkStart w:id="159" w:name="_Toc31560"/>
      <w:bookmarkStart w:id="160" w:name="_Toc31978"/>
      <w:bookmarkStart w:id="161" w:name="_Toc27412"/>
      <w:bookmarkStart w:id="162" w:name="_Toc14347"/>
      <w:bookmarkStart w:id="163" w:name="_Toc23318"/>
      <w:bookmarkStart w:id="164" w:name="_Toc59059104"/>
      <w:bookmarkStart w:id="165" w:name="_Toc26394"/>
      <w:r>
        <w:lastRenderedPageBreak/>
        <w:t>标准实施后预期的经济和社会效益</w:t>
      </w:r>
      <w:bookmarkEnd w:id="74"/>
      <w:bookmarkEnd w:id="75"/>
      <w:bookmarkEnd w:id="76"/>
      <w:bookmarkEnd w:id="133"/>
      <w:bookmarkEnd w:id="154"/>
      <w:bookmarkEnd w:id="155"/>
      <w:bookmarkEnd w:id="156"/>
      <w:bookmarkEnd w:id="157"/>
      <w:bookmarkEnd w:id="158"/>
      <w:bookmarkEnd w:id="159"/>
      <w:bookmarkEnd w:id="160"/>
      <w:bookmarkEnd w:id="161"/>
      <w:bookmarkEnd w:id="162"/>
      <w:bookmarkEnd w:id="163"/>
      <w:bookmarkEnd w:id="164"/>
      <w:bookmarkEnd w:id="165"/>
    </w:p>
    <w:p w14:paraId="51E5046C" w14:textId="633DE8FB" w:rsidR="00AA1966" w:rsidRPr="00AA1966" w:rsidRDefault="00377272" w:rsidP="00AA1966">
      <w:pPr>
        <w:spacing w:line="360" w:lineRule="auto"/>
        <w:ind w:firstLineChars="200" w:firstLine="420"/>
        <w:rPr>
          <w:szCs w:val="21"/>
        </w:rPr>
      </w:pPr>
      <w:r>
        <w:rPr>
          <w:rFonts w:hint="eastAsia"/>
          <w:szCs w:val="21"/>
        </w:rPr>
        <w:t>本文件</w:t>
      </w:r>
      <w:r w:rsidR="00AA1966" w:rsidRPr="00AA1966">
        <w:rPr>
          <w:rFonts w:hint="eastAsia"/>
          <w:szCs w:val="21"/>
        </w:rPr>
        <w:t>从评估组织和流程、评估内容和结论等方面提出具体要求，面向</w:t>
      </w:r>
      <w:r w:rsidR="00A50490">
        <w:rPr>
          <w:rFonts w:hint="eastAsia"/>
          <w:szCs w:val="21"/>
        </w:rPr>
        <w:t>建材细分</w:t>
      </w:r>
      <w:r w:rsidR="00A50490">
        <w:rPr>
          <w:szCs w:val="21"/>
        </w:rPr>
        <w:t>行业</w:t>
      </w:r>
      <w:r w:rsidR="00AA1966" w:rsidRPr="00AA1966">
        <w:rPr>
          <w:rFonts w:hint="eastAsia"/>
          <w:szCs w:val="21"/>
        </w:rPr>
        <w:t>在组织、技术、数据、资源、数字化运营、数字化生产、数字化服务等方面进行分类评估，对于科学引导</w:t>
      </w:r>
      <w:r w:rsidR="00A50490">
        <w:rPr>
          <w:rFonts w:hint="eastAsia"/>
          <w:szCs w:val="21"/>
        </w:rPr>
        <w:t>建材</w:t>
      </w:r>
      <w:r w:rsidR="00AA1966" w:rsidRPr="00AA1966">
        <w:rPr>
          <w:rFonts w:hint="eastAsia"/>
          <w:szCs w:val="21"/>
        </w:rPr>
        <w:t>企业评估数字化现状水平、明确数字化转型路径具有指导性意义。</w:t>
      </w:r>
    </w:p>
    <w:p w14:paraId="12C1AA45" w14:textId="2A44C0AA" w:rsidR="003F3584" w:rsidRDefault="00AA1966" w:rsidP="00AA1966">
      <w:pPr>
        <w:spacing w:line="360" w:lineRule="auto"/>
        <w:ind w:firstLineChars="200" w:firstLine="420"/>
        <w:rPr>
          <w:szCs w:val="21"/>
        </w:rPr>
      </w:pPr>
      <w:r w:rsidRPr="00AA1966">
        <w:rPr>
          <w:rFonts w:hint="eastAsia"/>
          <w:szCs w:val="21"/>
        </w:rPr>
        <w:t>一是经济效益方面，</w:t>
      </w:r>
      <w:r w:rsidR="00377272">
        <w:rPr>
          <w:rFonts w:hint="eastAsia"/>
          <w:szCs w:val="21"/>
        </w:rPr>
        <w:t>本文件</w:t>
      </w:r>
      <w:r w:rsidRPr="00AA1966">
        <w:rPr>
          <w:rFonts w:hint="eastAsia"/>
          <w:szCs w:val="21"/>
        </w:rPr>
        <w:t>的制定和实施为</w:t>
      </w:r>
      <w:r w:rsidR="00A50490">
        <w:rPr>
          <w:rFonts w:hint="eastAsia"/>
          <w:szCs w:val="21"/>
        </w:rPr>
        <w:t>建材</w:t>
      </w:r>
      <w:r w:rsidRPr="00AA1966">
        <w:rPr>
          <w:rFonts w:hint="eastAsia"/>
          <w:szCs w:val="21"/>
        </w:rPr>
        <w:t>行业提供了统一的、可量化的指标体系，为</w:t>
      </w:r>
      <w:r w:rsidR="00A50490">
        <w:rPr>
          <w:rFonts w:hint="eastAsia"/>
          <w:szCs w:val="21"/>
        </w:rPr>
        <w:t>建材</w:t>
      </w:r>
      <w:r w:rsidRPr="00AA1966">
        <w:rPr>
          <w:rFonts w:hint="eastAsia"/>
          <w:szCs w:val="21"/>
        </w:rPr>
        <w:t>行业各细分领域数字化转型成熟度评估诊断提供依据，能够推动行业企业</w:t>
      </w:r>
      <w:proofErr w:type="gramStart"/>
      <w:r w:rsidRPr="00AA1966">
        <w:rPr>
          <w:rFonts w:hint="eastAsia"/>
          <w:szCs w:val="21"/>
        </w:rPr>
        <w:t>对标找差距</w:t>
      </w:r>
      <w:proofErr w:type="gramEnd"/>
      <w:r w:rsidRPr="00AA1966">
        <w:rPr>
          <w:rFonts w:hint="eastAsia"/>
          <w:szCs w:val="21"/>
        </w:rPr>
        <w:t>，推动行业提质升级、降本增效、绿色安全发展。</w:t>
      </w:r>
    </w:p>
    <w:p w14:paraId="587A452D" w14:textId="68A8B77C" w:rsidR="00AA1966" w:rsidRPr="00AA1966" w:rsidRDefault="00AA1966" w:rsidP="00AA1966">
      <w:pPr>
        <w:spacing w:line="360" w:lineRule="auto"/>
        <w:ind w:firstLineChars="200" w:firstLine="420"/>
        <w:rPr>
          <w:szCs w:val="21"/>
        </w:rPr>
      </w:pPr>
      <w:r w:rsidRPr="00AA1966">
        <w:rPr>
          <w:rFonts w:hint="eastAsia"/>
          <w:szCs w:val="21"/>
        </w:rPr>
        <w:t>二是社会效益方面，</w:t>
      </w:r>
      <w:r w:rsidR="00377272">
        <w:rPr>
          <w:rFonts w:hint="eastAsia"/>
          <w:szCs w:val="21"/>
        </w:rPr>
        <w:t>本文件</w:t>
      </w:r>
      <w:r w:rsidRPr="00AA1966">
        <w:rPr>
          <w:rFonts w:hint="eastAsia"/>
          <w:szCs w:val="21"/>
        </w:rPr>
        <w:t>的制定和实施能够发挥好标准在</w:t>
      </w:r>
      <w:r w:rsidR="00A50490">
        <w:rPr>
          <w:rFonts w:hint="eastAsia"/>
          <w:szCs w:val="21"/>
        </w:rPr>
        <w:t>建材</w:t>
      </w:r>
      <w:r w:rsidRPr="00AA1966">
        <w:rPr>
          <w:rFonts w:hint="eastAsia"/>
          <w:szCs w:val="21"/>
        </w:rPr>
        <w:t>行业数字化转型的规范和引导作用，提升企业数字化转型的认识，在促进行业高质量发展等方面发挥重要社会效益。</w:t>
      </w:r>
    </w:p>
    <w:p w14:paraId="636FC5C3" w14:textId="5FBAA97C" w:rsidR="00AA1966" w:rsidRDefault="00AA1966" w:rsidP="00AA1966">
      <w:pPr>
        <w:spacing w:line="360" w:lineRule="auto"/>
        <w:ind w:firstLineChars="200" w:firstLine="420"/>
        <w:rPr>
          <w:szCs w:val="21"/>
        </w:rPr>
      </w:pPr>
      <w:r w:rsidRPr="00AA1966">
        <w:rPr>
          <w:rFonts w:hint="eastAsia"/>
          <w:szCs w:val="21"/>
        </w:rPr>
        <w:t>三是生态效益方面，</w:t>
      </w:r>
      <w:r w:rsidR="00377272">
        <w:rPr>
          <w:rFonts w:hint="eastAsia"/>
          <w:szCs w:val="21"/>
        </w:rPr>
        <w:t>本文件</w:t>
      </w:r>
      <w:r w:rsidRPr="00AA1966">
        <w:rPr>
          <w:rFonts w:hint="eastAsia"/>
          <w:szCs w:val="21"/>
        </w:rPr>
        <w:t>的制定和实施能够推动</w:t>
      </w:r>
      <w:r w:rsidR="00A50490">
        <w:rPr>
          <w:rFonts w:hint="eastAsia"/>
          <w:szCs w:val="21"/>
        </w:rPr>
        <w:t>建材</w:t>
      </w:r>
      <w:r w:rsidRPr="00AA1966">
        <w:rPr>
          <w:rFonts w:hint="eastAsia"/>
          <w:szCs w:val="21"/>
        </w:rPr>
        <w:t>行业企业的安全生产、减</w:t>
      </w:r>
      <w:proofErr w:type="gramStart"/>
      <w:r w:rsidRPr="00AA1966">
        <w:rPr>
          <w:rFonts w:hint="eastAsia"/>
          <w:szCs w:val="21"/>
        </w:rPr>
        <w:t>污降碳</w:t>
      </w:r>
      <w:proofErr w:type="gramEnd"/>
      <w:r w:rsidRPr="00AA1966">
        <w:rPr>
          <w:rFonts w:hint="eastAsia"/>
          <w:szCs w:val="21"/>
        </w:rPr>
        <w:t>、节能增效</w:t>
      </w:r>
      <w:r w:rsidRPr="00AA1966">
        <w:rPr>
          <w:rFonts w:hint="eastAsia"/>
          <w:szCs w:val="21"/>
        </w:rPr>
        <w:t>,</w:t>
      </w:r>
      <w:r w:rsidRPr="00AA1966">
        <w:rPr>
          <w:rFonts w:hint="eastAsia"/>
          <w:szCs w:val="21"/>
        </w:rPr>
        <w:t>有助于企业保持安全、绿色可持续发展。</w:t>
      </w:r>
    </w:p>
    <w:p w14:paraId="2AADD2C3" w14:textId="77777777" w:rsidR="003F3584" w:rsidRDefault="00921343">
      <w:pPr>
        <w:pStyle w:val="11"/>
        <w:numPr>
          <w:ilvl w:val="0"/>
          <w:numId w:val="1"/>
        </w:numPr>
        <w:tabs>
          <w:tab w:val="clear" w:pos="0"/>
          <w:tab w:val="left" w:pos="420"/>
        </w:tabs>
        <w:spacing w:before="156" w:after="156" w:line="276" w:lineRule="auto"/>
      </w:pPr>
      <w:bookmarkStart w:id="166" w:name="_Toc24876"/>
      <w:bookmarkStart w:id="167" w:name="_Toc4223"/>
      <w:bookmarkStart w:id="168" w:name="_Toc1139492"/>
      <w:bookmarkStart w:id="169" w:name="_Toc3670"/>
      <w:bookmarkStart w:id="170" w:name="_Toc19520"/>
      <w:bookmarkStart w:id="171" w:name="_Toc28729"/>
      <w:bookmarkStart w:id="172" w:name="_Toc25514"/>
      <w:bookmarkStart w:id="173" w:name="_Toc12427"/>
      <w:bookmarkStart w:id="174" w:name="_Toc529605006"/>
      <w:bookmarkStart w:id="175" w:name="_Toc12983"/>
      <w:bookmarkStart w:id="176" w:name="_Toc59059105"/>
      <w:bookmarkStart w:id="177" w:name="_Toc17432"/>
      <w:bookmarkStart w:id="178" w:name="_Toc6883"/>
      <w:bookmarkStart w:id="179" w:name="_Toc21778"/>
      <w:r>
        <w:t>采用国际标准和国外先进标准情况，与国际、国外同类标准水平的对比情况，国内外关键指标对比分析或与测试的国外样品、样机的相关数据对比情况</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415F3123" w14:textId="7896448A" w:rsidR="003F3584" w:rsidRDefault="00AA1966">
      <w:pPr>
        <w:spacing w:line="360" w:lineRule="auto"/>
        <w:ind w:firstLineChars="200" w:firstLine="420"/>
      </w:pPr>
      <w:r w:rsidRPr="00AA1966">
        <w:rPr>
          <w:rFonts w:hint="eastAsia"/>
        </w:rPr>
        <w:t>目前</w:t>
      </w:r>
      <w:r w:rsidR="008355D5">
        <w:rPr>
          <w:rFonts w:hint="eastAsia"/>
        </w:rPr>
        <w:t>已发布</w:t>
      </w:r>
      <w:r w:rsidR="008355D5">
        <w:t>的</w:t>
      </w:r>
      <w:r w:rsidR="008355D5" w:rsidRPr="00AA1966">
        <w:rPr>
          <w:rFonts w:hint="eastAsia"/>
        </w:rPr>
        <w:t>数字化转型</w:t>
      </w:r>
      <w:r w:rsidR="008355D5">
        <w:rPr>
          <w:rFonts w:hint="eastAsia"/>
        </w:rPr>
        <w:t>评估相关</w:t>
      </w:r>
      <w:r w:rsidR="008355D5">
        <w:t>国际</w:t>
      </w:r>
      <w:r w:rsidRPr="00AA1966">
        <w:rPr>
          <w:rFonts w:hint="eastAsia"/>
        </w:rPr>
        <w:t>标准</w:t>
      </w:r>
      <w:r w:rsidR="008355D5">
        <w:rPr>
          <w:rFonts w:hint="eastAsia"/>
        </w:rPr>
        <w:t>是</w:t>
      </w:r>
      <w:r w:rsidR="008355D5" w:rsidRPr="008355D5">
        <w:rPr>
          <w:rFonts w:hint="eastAsia"/>
        </w:rPr>
        <w:t>国际电信联盟（</w:t>
      </w:r>
      <w:r w:rsidR="008355D5" w:rsidRPr="008355D5">
        <w:rPr>
          <w:rFonts w:hint="eastAsia"/>
        </w:rPr>
        <w:t>ITU</w:t>
      </w:r>
      <w:r w:rsidR="008355D5" w:rsidRPr="008355D5">
        <w:rPr>
          <w:rFonts w:hint="eastAsia"/>
        </w:rPr>
        <w:t>）</w:t>
      </w:r>
      <w:r w:rsidR="008355D5" w:rsidRPr="008355D5">
        <w:rPr>
          <w:rFonts w:hint="eastAsia"/>
        </w:rPr>
        <w:t xml:space="preserve">ITU-T Y.4906 </w:t>
      </w:r>
      <w:r w:rsidR="008355D5" w:rsidRPr="008355D5">
        <w:rPr>
          <w:rFonts w:hint="eastAsia"/>
        </w:rPr>
        <w:t>《</w:t>
      </w:r>
      <w:r w:rsidR="008355D5" w:rsidRPr="008355D5">
        <w:rPr>
          <w:rFonts w:hint="eastAsia"/>
        </w:rPr>
        <w:t xml:space="preserve"> Assessment framework for digital transformation of sectors in smart cities </w:t>
      </w:r>
      <w:r w:rsidR="008355D5" w:rsidRPr="008355D5">
        <w:rPr>
          <w:rFonts w:hint="eastAsia"/>
        </w:rPr>
        <w:t>》（产业数字化转型评估框架），</w:t>
      </w:r>
      <w:r w:rsidR="008355D5">
        <w:rPr>
          <w:rFonts w:hint="eastAsia"/>
        </w:rPr>
        <w:t>该标准</w:t>
      </w:r>
      <w:r w:rsidR="008355D5" w:rsidRPr="008355D5">
        <w:rPr>
          <w:rFonts w:hint="eastAsia"/>
        </w:rPr>
        <w:t>是基于</w:t>
      </w:r>
      <w:r w:rsidR="008355D5">
        <w:rPr>
          <w:rFonts w:hint="eastAsia"/>
        </w:rPr>
        <w:t>我国</w:t>
      </w:r>
      <w:r w:rsidR="008355D5" w:rsidRPr="008355D5">
        <w:rPr>
          <w:rFonts w:hint="eastAsia"/>
        </w:rPr>
        <w:t>GB/T 23020-2013</w:t>
      </w:r>
      <w:r w:rsidR="008355D5" w:rsidRPr="008355D5">
        <w:rPr>
          <w:rFonts w:hint="eastAsia"/>
        </w:rPr>
        <w:t>《工业企业信息化和工业化融合评估规范》的核心成果</w:t>
      </w:r>
      <w:r w:rsidR="008355D5">
        <w:rPr>
          <w:rFonts w:hint="eastAsia"/>
        </w:rPr>
        <w:t>，</w:t>
      </w:r>
      <w:r w:rsidR="008355D5" w:rsidRPr="008355D5">
        <w:rPr>
          <w:rFonts w:hint="eastAsia"/>
        </w:rPr>
        <w:t>给出的产业数字化转型评估框架、评估指标体系及评估方法。</w:t>
      </w:r>
      <w:r w:rsidR="008355D5">
        <w:rPr>
          <w:rFonts w:hint="eastAsia"/>
        </w:rPr>
        <w:t>国内</w:t>
      </w:r>
      <w:r w:rsidR="008355D5">
        <w:t>数字化转型</w:t>
      </w:r>
      <w:r w:rsidR="008355D5">
        <w:rPr>
          <w:rFonts w:hint="eastAsia"/>
        </w:rPr>
        <w:t>评估相关</w:t>
      </w:r>
      <w:r w:rsidR="008355D5">
        <w:t>标准有</w:t>
      </w:r>
      <w:r w:rsidR="008355D5">
        <w:rPr>
          <w:rFonts w:hint="eastAsia"/>
        </w:rPr>
        <w:t>国家</w:t>
      </w:r>
      <w:r w:rsidR="008355D5">
        <w:t>标准</w:t>
      </w:r>
      <w:r w:rsidR="008355D5" w:rsidRPr="008355D5">
        <w:t>GB/T 43439-2023</w:t>
      </w:r>
      <w:r w:rsidR="008355D5" w:rsidRPr="00AA1966">
        <w:rPr>
          <w:rFonts w:hint="eastAsia"/>
        </w:rPr>
        <w:t>《</w:t>
      </w:r>
      <w:r w:rsidR="008355D5" w:rsidRPr="008355D5">
        <w:rPr>
          <w:rFonts w:hint="eastAsia"/>
        </w:rPr>
        <w:t>信息技术服务</w:t>
      </w:r>
      <w:r w:rsidR="008355D5" w:rsidRPr="008355D5">
        <w:rPr>
          <w:rFonts w:hint="eastAsia"/>
        </w:rPr>
        <w:t xml:space="preserve"> </w:t>
      </w:r>
      <w:r w:rsidR="008355D5" w:rsidRPr="008355D5">
        <w:rPr>
          <w:rFonts w:hint="eastAsia"/>
        </w:rPr>
        <w:t>数字化转型</w:t>
      </w:r>
      <w:r w:rsidR="008355D5" w:rsidRPr="008355D5">
        <w:rPr>
          <w:rFonts w:hint="eastAsia"/>
        </w:rPr>
        <w:t xml:space="preserve"> </w:t>
      </w:r>
      <w:r w:rsidR="008355D5" w:rsidRPr="008355D5">
        <w:rPr>
          <w:rFonts w:hint="eastAsia"/>
        </w:rPr>
        <w:t>成熟度模型与评估</w:t>
      </w:r>
      <w:r w:rsidR="008355D5" w:rsidRPr="00AA1966">
        <w:rPr>
          <w:rFonts w:hint="eastAsia"/>
        </w:rPr>
        <w:t>》</w:t>
      </w:r>
      <w:r w:rsidR="00060C52">
        <w:rPr>
          <w:rFonts w:hint="eastAsia"/>
        </w:rPr>
        <w:t>，</w:t>
      </w:r>
      <w:r w:rsidR="00060C52" w:rsidRPr="00060C52">
        <w:rPr>
          <w:rFonts w:hint="eastAsia"/>
        </w:rPr>
        <w:t>该标准给出了数字化转型成熟度</w:t>
      </w:r>
      <w:r w:rsidR="00060C52">
        <w:rPr>
          <w:rFonts w:hint="eastAsia"/>
        </w:rPr>
        <w:t>模型</w:t>
      </w:r>
      <w:r w:rsidR="00060C52">
        <w:t>框架、成熟度等级、</w:t>
      </w:r>
      <w:r w:rsidR="00060C52" w:rsidRPr="00060C52">
        <w:rPr>
          <w:rFonts w:hint="eastAsia"/>
        </w:rPr>
        <w:t>评估域（包括组织、技术、数据、资源、数字化运营、数字化生产、数字化服务等）</w:t>
      </w:r>
      <w:r w:rsidR="00060C52">
        <w:rPr>
          <w:rFonts w:hint="eastAsia"/>
        </w:rPr>
        <w:t>相应</w:t>
      </w:r>
      <w:r w:rsidR="00060C52">
        <w:t>成熟度要求</w:t>
      </w:r>
      <w:r w:rsidR="008355D5">
        <w:rPr>
          <w:rFonts w:hint="eastAsia"/>
        </w:rPr>
        <w:t>、</w:t>
      </w:r>
      <w:r w:rsidR="00060C52">
        <w:rPr>
          <w:rFonts w:hint="eastAsia"/>
        </w:rPr>
        <w:t>评估</w:t>
      </w:r>
      <w:r w:rsidR="00060C52">
        <w:t>方法和流程。团体</w:t>
      </w:r>
      <w:r w:rsidR="00060C52">
        <w:rPr>
          <w:rFonts w:hint="eastAsia"/>
        </w:rPr>
        <w:t>标准</w:t>
      </w:r>
      <w:r w:rsidR="008355D5" w:rsidRPr="008355D5">
        <w:rPr>
          <w:rFonts w:hint="eastAsia"/>
        </w:rPr>
        <w:t>TAIITRE10004</w:t>
      </w:r>
      <w:r w:rsidR="008355D5" w:rsidRPr="008355D5">
        <w:rPr>
          <w:rFonts w:hint="eastAsia"/>
        </w:rPr>
        <w:t>—</w:t>
      </w:r>
      <w:r w:rsidR="008355D5" w:rsidRPr="008355D5">
        <w:rPr>
          <w:rFonts w:hint="eastAsia"/>
        </w:rPr>
        <w:t>2023</w:t>
      </w:r>
      <w:r w:rsidR="008355D5" w:rsidRPr="008355D5">
        <w:rPr>
          <w:rFonts w:hint="eastAsia"/>
        </w:rPr>
        <w:t>《数字化转型成熟度模型》</w:t>
      </w:r>
      <w:r w:rsidR="00060C52">
        <w:rPr>
          <w:rFonts w:hint="eastAsia"/>
        </w:rPr>
        <w:t>，</w:t>
      </w:r>
      <w:r w:rsidR="00060C52">
        <w:t>该标准给出了</w:t>
      </w:r>
      <w:r w:rsidR="00060C52">
        <w:rPr>
          <w:rFonts w:hint="eastAsia"/>
        </w:rPr>
        <w:t>数字化</w:t>
      </w:r>
      <w:r w:rsidR="00060C52">
        <w:t>转型成熟度模型构成</w:t>
      </w:r>
      <w:r w:rsidR="00060C52">
        <w:rPr>
          <w:rFonts w:hint="eastAsia"/>
        </w:rPr>
        <w:t>、</w:t>
      </w:r>
      <w:r w:rsidR="00060C52">
        <w:t>评价域（</w:t>
      </w:r>
      <w:r w:rsidR="00060C52">
        <w:rPr>
          <w:rFonts w:hint="eastAsia"/>
        </w:rPr>
        <w:t>包括</w:t>
      </w:r>
      <w:r w:rsidR="00060C52">
        <w:t>发展战略、新型能力、系统性解决方案、治理体系、业务创新转型）</w:t>
      </w:r>
      <w:r w:rsidR="00060C52">
        <w:rPr>
          <w:rFonts w:hint="eastAsia"/>
        </w:rPr>
        <w:t>相应</w:t>
      </w:r>
      <w:r w:rsidR="00060C52">
        <w:t>成熟度要求</w:t>
      </w:r>
      <w:r w:rsidR="00060C52">
        <w:rPr>
          <w:rFonts w:hint="eastAsia"/>
        </w:rPr>
        <w:t>、成熟度</w:t>
      </w:r>
      <w:r w:rsidR="00060C52">
        <w:t>水平档次</w:t>
      </w:r>
      <w:r w:rsidR="00060C52">
        <w:rPr>
          <w:rFonts w:hint="eastAsia"/>
        </w:rPr>
        <w:t>（五级</w:t>
      </w:r>
      <w:r w:rsidR="00060C52">
        <w:rPr>
          <w:rFonts w:hint="eastAsia"/>
        </w:rPr>
        <w:t>10</w:t>
      </w:r>
      <w:r w:rsidR="00060C52">
        <w:rPr>
          <w:rFonts w:hint="eastAsia"/>
        </w:rPr>
        <w:t>档）</w:t>
      </w:r>
      <w:r w:rsidR="008355D5">
        <w:rPr>
          <w:rFonts w:hint="eastAsia"/>
        </w:rPr>
        <w:t>。</w:t>
      </w:r>
      <w:r w:rsidR="00302CB7">
        <w:rPr>
          <w:rFonts w:hint="eastAsia"/>
        </w:rPr>
        <w:t>上述</w:t>
      </w:r>
      <w:r w:rsidR="00302CB7">
        <w:t>标准主要是面向</w:t>
      </w:r>
      <w:r w:rsidR="005A0C3F">
        <w:rPr>
          <w:rFonts w:hint="eastAsia"/>
        </w:rPr>
        <w:t>全行业</w:t>
      </w:r>
      <w:r w:rsidR="005A0C3F">
        <w:t>企业</w:t>
      </w:r>
      <w:r w:rsidR="005A0C3F">
        <w:rPr>
          <w:rFonts w:hint="eastAsia"/>
        </w:rPr>
        <w:t>数字化</w:t>
      </w:r>
      <w:r w:rsidRPr="00AA1966">
        <w:rPr>
          <w:rFonts w:hint="eastAsia"/>
        </w:rPr>
        <w:t>化建设、数字化转型的评价、技术等提出的通用性要求，并不涉及具体</w:t>
      </w:r>
      <w:r w:rsidR="005A0C3F">
        <w:rPr>
          <w:rFonts w:hint="eastAsia"/>
        </w:rPr>
        <w:t>建材</w:t>
      </w:r>
      <w:r w:rsidRPr="00AA1966">
        <w:rPr>
          <w:rFonts w:hint="eastAsia"/>
        </w:rPr>
        <w:t>行业细分领域的评估</w:t>
      </w:r>
      <w:r w:rsidR="005A0C3F">
        <w:rPr>
          <w:rFonts w:hint="eastAsia"/>
        </w:rPr>
        <w:t>，缺乏行业</w:t>
      </w:r>
      <w:r w:rsidR="005A0C3F">
        <w:t>特色</w:t>
      </w:r>
      <w:r w:rsidR="007C42B6">
        <w:rPr>
          <w:rFonts w:hint="eastAsia"/>
        </w:rPr>
        <w:t>和</w:t>
      </w:r>
      <w:r w:rsidR="005A0C3F">
        <w:t>行业适用性</w:t>
      </w:r>
      <w:r w:rsidR="0087188C">
        <w:rPr>
          <w:rFonts w:hint="eastAsia"/>
        </w:rPr>
        <w:t>，</w:t>
      </w:r>
      <w:r w:rsidR="0087188C" w:rsidRPr="0087188C">
        <w:rPr>
          <w:rFonts w:hint="eastAsia"/>
        </w:rPr>
        <w:t>在行业落地应用方面亟需结合行业特色进行进一步细化</w:t>
      </w:r>
      <w:r w:rsidRPr="00AA1966">
        <w:rPr>
          <w:rFonts w:hint="eastAsia"/>
        </w:rPr>
        <w:t>。</w:t>
      </w:r>
    </w:p>
    <w:p w14:paraId="7BECE7E0" w14:textId="77777777" w:rsidR="003F3584" w:rsidRDefault="00921343">
      <w:pPr>
        <w:pStyle w:val="11"/>
        <w:numPr>
          <w:ilvl w:val="0"/>
          <w:numId w:val="1"/>
        </w:numPr>
        <w:tabs>
          <w:tab w:val="clear" w:pos="0"/>
          <w:tab w:val="left" w:pos="420"/>
        </w:tabs>
        <w:spacing w:before="156" w:after="156" w:line="276" w:lineRule="auto"/>
      </w:pPr>
      <w:bookmarkStart w:id="180" w:name="_Toc28134"/>
      <w:bookmarkStart w:id="181" w:name="_Toc24771"/>
      <w:bookmarkStart w:id="182" w:name="_Toc29125"/>
      <w:bookmarkStart w:id="183" w:name="_Toc59059106"/>
      <w:bookmarkStart w:id="184" w:name="_Toc15410"/>
      <w:bookmarkStart w:id="185" w:name="_Toc17514"/>
      <w:bookmarkStart w:id="186" w:name="_Toc7184"/>
      <w:bookmarkStart w:id="187" w:name="_Toc209"/>
      <w:bookmarkStart w:id="188" w:name="_Toc1139493"/>
      <w:bookmarkStart w:id="189" w:name="_Toc13457"/>
      <w:bookmarkStart w:id="190" w:name="_Toc529605007"/>
      <w:bookmarkStart w:id="191" w:name="_Toc29663"/>
      <w:bookmarkStart w:id="192" w:name="_Toc10560"/>
      <w:bookmarkStart w:id="193" w:name="_Toc24094"/>
      <w:r>
        <w:t>与现行相关法律、法规、规章及相关标准，特别是强制性标准的协调性</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14:paraId="4A886640" w14:textId="435AFC9D" w:rsidR="003F3584" w:rsidRDefault="00377272">
      <w:pPr>
        <w:spacing w:line="360" w:lineRule="auto"/>
        <w:ind w:firstLineChars="200" w:firstLine="420"/>
      </w:pPr>
      <w:r>
        <w:t>本文件</w:t>
      </w:r>
      <w:r w:rsidR="00921343">
        <w:t>与现行相关法律、法规、规章及相关标准协调一致。</w:t>
      </w:r>
    </w:p>
    <w:p w14:paraId="6DC7720D" w14:textId="77777777" w:rsidR="003F3584" w:rsidRDefault="00921343">
      <w:pPr>
        <w:pStyle w:val="11"/>
        <w:numPr>
          <w:ilvl w:val="0"/>
          <w:numId w:val="1"/>
        </w:numPr>
        <w:tabs>
          <w:tab w:val="clear" w:pos="0"/>
          <w:tab w:val="left" w:pos="420"/>
        </w:tabs>
        <w:spacing w:before="156" w:after="156" w:line="276" w:lineRule="auto"/>
      </w:pPr>
      <w:bookmarkStart w:id="194" w:name="_Toc18942"/>
      <w:bookmarkStart w:id="195" w:name="_Toc2198"/>
      <w:bookmarkStart w:id="196" w:name="_Toc32174"/>
      <w:bookmarkStart w:id="197" w:name="_Toc28313"/>
      <w:bookmarkStart w:id="198" w:name="_Toc1486"/>
      <w:bookmarkStart w:id="199" w:name="_Toc1139494"/>
      <w:bookmarkStart w:id="200" w:name="_Toc20550"/>
      <w:bookmarkStart w:id="201" w:name="_Toc10129"/>
      <w:bookmarkStart w:id="202" w:name="_Toc29201"/>
      <w:bookmarkStart w:id="203" w:name="_Toc6860"/>
      <w:bookmarkStart w:id="204" w:name="_Toc59059107"/>
      <w:bookmarkStart w:id="205" w:name="_Toc529605008"/>
      <w:bookmarkStart w:id="206" w:name="_Toc24833"/>
      <w:bookmarkStart w:id="207" w:name="_Toc30656"/>
      <w:r>
        <w:lastRenderedPageBreak/>
        <w:t>重大分歧意见的处理经过和依据</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176F3D88" w14:textId="77777777" w:rsidR="003F3584" w:rsidRDefault="00921343">
      <w:pPr>
        <w:spacing w:line="360" w:lineRule="auto"/>
        <w:ind w:firstLineChars="200" w:firstLine="420"/>
      </w:pPr>
      <w:r>
        <w:rPr>
          <w:rFonts w:hint="eastAsia"/>
        </w:rPr>
        <w:t>无。</w:t>
      </w:r>
    </w:p>
    <w:p w14:paraId="219857F6" w14:textId="77777777" w:rsidR="003F3584" w:rsidRDefault="00921343">
      <w:pPr>
        <w:pStyle w:val="11"/>
        <w:numPr>
          <w:ilvl w:val="0"/>
          <w:numId w:val="1"/>
        </w:numPr>
        <w:tabs>
          <w:tab w:val="clear" w:pos="0"/>
          <w:tab w:val="left" w:pos="420"/>
        </w:tabs>
        <w:spacing w:before="156" w:after="156" w:line="276" w:lineRule="auto"/>
      </w:pPr>
      <w:bookmarkStart w:id="208" w:name="_Toc4615"/>
      <w:bookmarkStart w:id="209" w:name="_Toc29819"/>
      <w:bookmarkStart w:id="210" w:name="_Toc26263"/>
      <w:bookmarkStart w:id="211" w:name="_Toc9350"/>
      <w:bookmarkStart w:id="212" w:name="_Toc1139495"/>
      <w:bookmarkStart w:id="213" w:name="_Toc29826"/>
      <w:bookmarkStart w:id="214" w:name="_Toc15340"/>
      <w:bookmarkStart w:id="215" w:name="_Toc32301"/>
      <w:bookmarkStart w:id="216" w:name="_Toc529605009"/>
      <w:bookmarkStart w:id="217" w:name="_Toc28404"/>
      <w:bookmarkStart w:id="218" w:name="_Toc59059108"/>
      <w:bookmarkStart w:id="219" w:name="_Toc3833"/>
      <w:bookmarkStart w:id="220" w:name="_Toc15732"/>
      <w:bookmarkStart w:id="221" w:name="_Toc11003"/>
      <w:r>
        <w:t>标准性质的建议说明</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14:paraId="6C732BC4" w14:textId="1861AD90" w:rsidR="003F3584" w:rsidRDefault="00921343">
      <w:pPr>
        <w:spacing w:line="276" w:lineRule="auto"/>
        <w:ind w:firstLineChars="200" w:firstLine="420"/>
      </w:pPr>
      <w:r>
        <w:t>建议</w:t>
      </w:r>
      <w:r w:rsidR="00377272">
        <w:t>本文件</w:t>
      </w:r>
      <w:r>
        <w:t>作为行业推荐性标准发布。</w:t>
      </w:r>
    </w:p>
    <w:p w14:paraId="1962EF46" w14:textId="77777777" w:rsidR="003F3584" w:rsidRDefault="00921343">
      <w:pPr>
        <w:pStyle w:val="11"/>
        <w:numPr>
          <w:ilvl w:val="0"/>
          <w:numId w:val="1"/>
        </w:numPr>
        <w:tabs>
          <w:tab w:val="clear" w:pos="0"/>
          <w:tab w:val="left" w:pos="420"/>
        </w:tabs>
        <w:spacing w:before="156" w:after="156" w:line="276" w:lineRule="auto"/>
      </w:pPr>
      <w:bookmarkStart w:id="222" w:name="_Toc529605010"/>
      <w:bookmarkStart w:id="223" w:name="_Toc3113"/>
      <w:bookmarkStart w:id="224" w:name="_Toc31044"/>
      <w:bookmarkStart w:id="225" w:name="_Toc32499"/>
      <w:bookmarkStart w:id="226" w:name="_Toc27864"/>
      <w:bookmarkStart w:id="227" w:name="_Toc1139496"/>
      <w:bookmarkStart w:id="228" w:name="_Toc29623"/>
      <w:bookmarkStart w:id="229" w:name="_Toc1558"/>
      <w:bookmarkStart w:id="230" w:name="_Toc26964"/>
      <w:bookmarkStart w:id="231" w:name="_Toc27299"/>
      <w:bookmarkStart w:id="232" w:name="_Toc3649"/>
      <w:bookmarkStart w:id="233" w:name="_Toc59059109"/>
      <w:bookmarkStart w:id="234" w:name="_Toc2777"/>
      <w:bookmarkStart w:id="235" w:name="_Toc9791"/>
      <w:r>
        <w:t>贯彻标准的要求和措施建议（包括组织措施、技术措施、过度办法、实施日期等）</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14:paraId="038207A8" w14:textId="77777777" w:rsidR="003F3584" w:rsidRDefault="00921343">
      <w:pPr>
        <w:spacing w:line="276" w:lineRule="auto"/>
        <w:ind w:firstLineChars="200" w:firstLine="420"/>
      </w:pPr>
      <w:r>
        <w:t>建议按照标准报批计划确定实施日期。</w:t>
      </w:r>
    </w:p>
    <w:p w14:paraId="2E6C667D" w14:textId="77777777" w:rsidR="003F3584" w:rsidRDefault="00921343">
      <w:pPr>
        <w:pStyle w:val="11"/>
        <w:numPr>
          <w:ilvl w:val="0"/>
          <w:numId w:val="1"/>
        </w:numPr>
        <w:tabs>
          <w:tab w:val="clear" w:pos="0"/>
          <w:tab w:val="left" w:pos="420"/>
        </w:tabs>
        <w:spacing w:before="156" w:after="156" w:line="276" w:lineRule="auto"/>
      </w:pPr>
      <w:bookmarkStart w:id="236" w:name="_Toc13323"/>
      <w:bookmarkStart w:id="237" w:name="_Toc31455"/>
      <w:bookmarkStart w:id="238" w:name="_Toc529605011"/>
      <w:bookmarkStart w:id="239" w:name="_Toc12699"/>
      <w:bookmarkStart w:id="240" w:name="_Toc1892"/>
      <w:bookmarkStart w:id="241" w:name="_Toc19030"/>
      <w:bookmarkStart w:id="242" w:name="_Toc29951"/>
      <w:bookmarkStart w:id="243" w:name="_Toc4994"/>
      <w:bookmarkStart w:id="244" w:name="_Toc4074"/>
      <w:bookmarkStart w:id="245" w:name="_Toc4267"/>
      <w:bookmarkStart w:id="246" w:name="_Toc482"/>
      <w:bookmarkStart w:id="247" w:name="_Toc1139497"/>
      <w:bookmarkStart w:id="248" w:name="_Toc11324"/>
      <w:bookmarkStart w:id="249" w:name="_Toc59059110"/>
      <w:r>
        <w:t>废止现行相关标准的建议</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14:paraId="0FA49491" w14:textId="77777777" w:rsidR="003F3584" w:rsidRDefault="00921343">
      <w:pPr>
        <w:spacing w:line="276" w:lineRule="auto"/>
        <w:ind w:firstLineChars="200" w:firstLine="420"/>
      </w:pPr>
      <w:r>
        <w:t>无。</w:t>
      </w:r>
    </w:p>
    <w:p w14:paraId="37E43945" w14:textId="77777777" w:rsidR="003F3584" w:rsidRDefault="00921343">
      <w:pPr>
        <w:pStyle w:val="11"/>
        <w:numPr>
          <w:ilvl w:val="0"/>
          <w:numId w:val="1"/>
        </w:numPr>
        <w:tabs>
          <w:tab w:val="clear" w:pos="0"/>
          <w:tab w:val="left" w:pos="420"/>
        </w:tabs>
        <w:spacing w:before="156" w:after="156" w:line="276" w:lineRule="auto"/>
      </w:pPr>
      <w:bookmarkStart w:id="250" w:name="_Toc59059111"/>
      <w:bookmarkStart w:id="251" w:name="_Toc4500"/>
      <w:bookmarkStart w:id="252" w:name="_Toc28062"/>
      <w:bookmarkStart w:id="253" w:name="_Toc26395"/>
      <w:bookmarkStart w:id="254" w:name="_Toc4559"/>
      <w:bookmarkStart w:id="255" w:name="_Toc20669"/>
      <w:bookmarkStart w:id="256" w:name="_Toc529605012"/>
      <w:bookmarkStart w:id="257" w:name="_Toc21435"/>
      <w:bookmarkStart w:id="258" w:name="_Toc16876"/>
      <w:bookmarkStart w:id="259" w:name="_Toc1139498"/>
      <w:bookmarkStart w:id="260" w:name="_Toc9213"/>
      <w:bookmarkStart w:id="261" w:name="_Toc8421"/>
      <w:bookmarkStart w:id="262" w:name="_Toc13362"/>
      <w:bookmarkStart w:id="263" w:name="_Toc21500"/>
      <w:r>
        <w:t>其它应予说明的事项</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14:paraId="4975E78E" w14:textId="77777777" w:rsidR="003F3584" w:rsidRDefault="00921343">
      <w:pPr>
        <w:spacing w:line="276" w:lineRule="auto"/>
        <w:ind w:firstLineChars="200" w:firstLine="420"/>
      </w:pPr>
      <w:r>
        <w:t>无。</w:t>
      </w:r>
    </w:p>
    <w:sectPr w:rsidR="003F3584">
      <w:footerReference w:type="default" r:id="rId13"/>
      <w:pgSz w:w="11906" w:h="16838"/>
      <w:pgMar w:top="1440" w:right="1800" w:bottom="1440" w:left="1800" w:header="737" w:footer="737" w:gutter="0"/>
      <w:cols w:space="720"/>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CB292B" w14:textId="77777777" w:rsidR="00F47771" w:rsidRDefault="00F47771">
      <w:r>
        <w:separator/>
      </w:r>
    </w:p>
  </w:endnote>
  <w:endnote w:type="continuationSeparator" w:id="0">
    <w:p w14:paraId="096F6082" w14:textId="77777777" w:rsidR="00F47771" w:rsidRDefault="00F47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FB0C6" w14:textId="77777777" w:rsidR="00D2259B" w:rsidRDefault="00D2259B">
    <w:pPr>
      <w:pStyle w:val="af8"/>
      <w:jc w:val="center"/>
      <w:rPr>
        <w:rFonts w:ascii="Times New Roman"/>
        <w:sz w:val="21"/>
        <w:szCs w:val="2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9034276"/>
    </w:sdtPr>
    <w:sdtEndPr/>
    <w:sdtContent>
      <w:p w14:paraId="684302B6" w14:textId="0621224D" w:rsidR="00D2259B" w:rsidRDefault="00D2259B">
        <w:pPr>
          <w:pStyle w:val="ac"/>
          <w:jc w:val="center"/>
        </w:pPr>
        <w:r>
          <w:t>-</w:t>
        </w:r>
        <w:r>
          <w:rPr>
            <w:w w:val="50"/>
          </w:rPr>
          <w:t xml:space="preserve"> </w:t>
        </w:r>
        <w:r>
          <w:fldChar w:fldCharType="begin"/>
        </w:r>
        <w:r>
          <w:instrText>PAGE   \* MERGEFORMAT</w:instrText>
        </w:r>
        <w:r>
          <w:fldChar w:fldCharType="separate"/>
        </w:r>
        <w:r w:rsidR="00A40E46" w:rsidRPr="00A40E46">
          <w:rPr>
            <w:noProof/>
            <w:lang w:val="zh-CN"/>
          </w:rPr>
          <w:t>1</w:t>
        </w:r>
        <w:r>
          <w:fldChar w:fldCharType="end"/>
        </w:r>
        <w:r>
          <w:rPr>
            <w:w w:val="50"/>
          </w:rPr>
          <w:t xml:space="preserve"> </w:t>
        </w:r>
        <w:r>
          <w:t>-</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C1006" w14:textId="77777777" w:rsidR="00D2259B" w:rsidRDefault="00D2259B">
    <w:pPr>
      <w:pStyle w:val="af8"/>
      <w:jc w:val="center"/>
      <w:rPr>
        <w:rFonts w:ascii="Times New Roman"/>
        <w:sz w:val="21"/>
        <w:szCs w:val="21"/>
      </w:rPr>
    </w:pPr>
    <w:r>
      <w:rPr>
        <w:noProof/>
        <w:sz w:val="21"/>
      </w:rPr>
      <mc:AlternateContent>
        <mc:Choice Requires="wps">
          <w:drawing>
            <wp:anchor distT="0" distB="0" distL="114300" distR="114300" simplePos="0" relativeHeight="251659264" behindDoc="0" locked="0" layoutInCell="1" allowOverlap="1" wp14:anchorId="0BA235DE" wp14:editId="68F94676">
              <wp:simplePos x="0" y="0"/>
              <wp:positionH relativeFrom="margin">
                <wp:align>center</wp:align>
              </wp:positionH>
              <wp:positionV relativeFrom="paragraph">
                <wp:posOffset>0</wp:posOffset>
              </wp:positionV>
              <wp:extent cx="1828800" cy="1828800"/>
              <wp:effectExtent l="0" t="0" r="0" b="0"/>
              <wp:wrapNone/>
              <wp:docPr id="9"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E10FB47" w14:textId="00953B56" w:rsidR="00D2259B" w:rsidRDefault="00D2259B">
                          <w:pPr>
                            <w:pStyle w:val="af8"/>
                            <w:jc w:val="center"/>
                          </w:pPr>
                          <w:r>
                            <w:rPr>
                              <w:rFonts w:ascii="Times New Roman"/>
                              <w:sz w:val="21"/>
                              <w:szCs w:val="21"/>
                            </w:rPr>
                            <w:fldChar w:fldCharType="begin"/>
                          </w:r>
                          <w:r>
                            <w:rPr>
                              <w:rFonts w:ascii="Times New Roman"/>
                              <w:sz w:val="21"/>
                              <w:szCs w:val="21"/>
                            </w:rPr>
                            <w:instrText xml:space="preserve"> PAGE  \* MERGEFORMAT </w:instrText>
                          </w:r>
                          <w:r>
                            <w:rPr>
                              <w:rFonts w:ascii="Times New Roman"/>
                              <w:sz w:val="21"/>
                              <w:szCs w:val="21"/>
                            </w:rPr>
                            <w:fldChar w:fldCharType="separate"/>
                          </w:r>
                          <w:r w:rsidR="00B10D21">
                            <w:rPr>
                              <w:rFonts w:ascii="Times New Roman"/>
                              <w:noProof/>
                              <w:sz w:val="21"/>
                              <w:szCs w:val="21"/>
                            </w:rPr>
                            <w:t>4</w:t>
                          </w:r>
                          <w:r>
                            <w:rPr>
                              <w:rFonts w:ascii="Times New Roman"/>
                              <w:sz w:val="21"/>
                              <w:szCs w:val="21"/>
                            </w:rPr>
                            <w:fldChar w:fldCharType="end"/>
                          </w:r>
                        </w:p>
                      </w:txbxContent>
                    </wps:txbx>
                    <wps:bodyPr wrap="none" lIns="0" tIns="0" rIns="0" bIns="0">
                      <a:spAutoFit/>
                    </wps:bodyPr>
                  </wps:wsp>
                </a:graphicData>
              </a:graphic>
            </wp:anchor>
          </w:drawing>
        </mc:Choice>
        <mc:Fallback>
          <w:pict>
            <v:shapetype w14:anchorId="0BA235DE" id="_x0000_t202" coordsize="21600,21600" o:spt="202" path="m,l,21600r21600,l21600,xe">
              <v:stroke joinstyle="miter"/>
              <v:path gradientshapeok="t" o:connecttype="rect"/>
            </v:shapetype>
            <v:shape id="文本框 1026"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DcUhEprwEAAEIDAAAOAAAAAAAAAAAAAAAAAC4CAABkcnMvZTJvRG9jLnhtbFBLAQItABQA&#10;BgAIAAAAIQAMSvDu1gAAAAUBAAAPAAAAAAAAAAAAAAAAAAkEAABkcnMvZG93bnJldi54bWxQSwUG&#10;AAAAAAQABADzAAAADAUAAAAA&#10;" filled="f" stroked="f">
              <v:textbox style="mso-fit-shape-to-text:t" inset="0,0,0,0">
                <w:txbxContent>
                  <w:p w14:paraId="3E10FB47" w14:textId="00953B56" w:rsidR="00D2259B" w:rsidRDefault="00D2259B">
                    <w:pPr>
                      <w:pStyle w:val="af8"/>
                      <w:jc w:val="center"/>
                    </w:pPr>
                    <w:r>
                      <w:rPr>
                        <w:rFonts w:ascii="Times New Roman"/>
                        <w:sz w:val="21"/>
                        <w:szCs w:val="21"/>
                      </w:rPr>
                      <w:fldChar w:fldCharType="begin"/>
                    </w:r>
                    <w:r>
                      <w:rPr>
                        <w:rFonts w:ascii="Times New Roman"/>
                        <w:sz w:val="21"/>
                        <w:szCs w:val="21"/>
                      </w:rPr>
                      <w:instrText xml:space="preserve"> PAGE  \* MERGEFORMAT </w:instrText>
                    </w:r>
                    <w:r>
                      <w:rPr>
                        <w:rFonts w:ascii="Times New Roman"/>
                        <w:sz w:val="21"/>
                        <w:szCs w:val="21"/>
                      </w:rPr>
                      <w:fldChar w:fldCharType="separate"/>
                    </w:r>
                    <w:r w:rsidR="00B10D21">
                      <w:rPr>
                        <w:rFonts w:ascii="Times New Roman"/>
                        <w:noProof/>
                        <w:sz w:val="21"/>
                        <w:szCs w:val="21"/>
                      </w:rPr>
                      <w:t>4</w:t>
                    </w:r>
                    <w:r>
                      <w:rPr>
                        <w:rFonts w:ascii="Times New Roman"/>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644979" w14:textId="77777777" w:rsidR="00F47771" w:rsidRDefault="00F47771">
      <w:r>
        <w:separator/>
      </w:r>
    </w:p>
  </w:footnote>
  <w:footnote w:type="continuationSeparator" w:id="0">
    <w:p w14:paraId="0DC22F50" w14:textId="77777777" w:rsidR="00F47771" w:rsidRDefault="00F477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7521" w14:textId="77777777" w:rsidR="00D2259B" w:rsidRDefault="00D2259B">
    <w:pPr>
      <w:pStyle w:val="ae"/>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EE3E3" w14:textId="77777777" w:rsidR="00D2259B" w:rsidRDefault="00D2259B">
    <w:pPr>
      <w:pStyle w:val="ae"/>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F319B9"/>
    <w:multiLevelType w:val="hybridMultilevel"/>
    <w:tmpl w:val="5DB0808A"/>
    <w:lvl w:ilvl="0" w:tplc="C84E016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4BC21887"/>
    <w:multiLevelType w:val="hybridMultilevel"/>
    <w:tmpl w:val="51C678E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54445D91"/>
    <w:multiLevelType w:val="multilevel"/>
    <w:tmpl w:val="54445D91"/>
    <w:lvl w:ilvl="0">
      <w:start w:val="1"/>
      <w:numFmt w:val="chineseCounting"/>
      <w:suff w:val="nothing"/>
      <w:lvlText w:val="%1、"/>
      <w:lvlJc w:val="left"/>
      <w:pPr>
        <w:tabs>
          <w:tab w:val="left" w:pos="0"/>
        </w:tabs>
        <w:ind w:left="425" w:hanging="425"/>
      </w:pPr>
      <w:rPr>
        <w:rFonts w:hint="eastAsia"/>
      </w:rPr>
    </w:lvl>
    <w:lvl w:ilvl="1">
      <w:start w:val="1"/>
      <w:numFmt w:val="decimal"/>
      <w:isLgl/>
      <w:lvlText w:val="%1.%2."/>
      <w:lvlJc w:val="left"/>
      <w:pPr>
        <w:tabs>
          <w:tab w:val="left" w:pos="420"/>
        </w:tabs>
        <w:ind w:left="567" w:hanging="567"/>
      </w:pPr>
      <w:rPr>
        <w:rFonts w:hint="eastAsia"/>
      </w:rPr>
    </w:lvl>
    <w:lvl w:ilvl="2">
      <w:start w:val="1"/>
      <w:numFmt w:val="decimal"/>
      <w:isLgl/>
      <w:lvlText w:val="%1.%2.%3."/>
      <w:lvlJc w:val="left"/>
      <w:pPr>
        <w:ind w:left="709" w:hanging="709"/>
      </w:pPr>
      <w:rPr>
        <w:rFonts w:hint="eastAsia"/>
      </w:rPr>
    </w:lvl>
    <w:lvl w:ilvl="3">
      <w:start w:val="1"/>
      <w:numFmt w:val="decimal"/>
      <w:isLgl/>
      <w:lvlText w:val="%1.%2.%3.%4."/>
      <w:lvlJc w:val="left"/>
      <w:pPr>
        <w:ind w:left="850" w:hanging="850"/>
      </w:pPr>
      <w:rPr>
        <w:rFonts w:hint="eastAsia"/>
      </w:rPr>
    </w:lvl>
    <w:lvl w:ilvl="4">
      <w:start w:val="1"/>
      <w:numFmt w:val="decimal"/>
      <w:isLgl/>
      <w:lvlText w:val="%1.%2.%3.%4.%5."/>
      <w:lvlJc w:val="left"/>
      <w:pPr>
        <w:ind w:left="991" w:hanging="991"/>
      </w:pPr>
      <w:rPr>
        <w:rFonts w:hint="eastAsia"/>
      </w:rPr>
    </w:lvl>
    <w:lvl w:ilvl="5">
      <w:start w:val="1"/>
      <w:numFmt w:val="decimal"/>
      <w:isLgl/>
      <w:lvlText w:val="%1.%2.%3.%4.%5.%6."/>
      <w:lvlJc w:val="left"/>
      <w:pPr>
        <w:ind w:left="1134" w:hanging="1134"/>
      </w:pPr>
      <w:rPr>
        <w:rFonts w:hint="eastAsia"/>
      </w:rPr>
    </w:lvl>
    <w:lvl w:ilvl="6">
      <w:start w:val="1"/>
      <w:numFmt w:val="decimal"/>
      <w:isLgl/>
      <w:lvlText w:val="%1.%2.%3.%4.%5.%6.%7."/>
      <w:lvlJc w:val="left"/>
      <w:pPr>
        <w:ind w:left="1275" w:hanging="1275"/>
      </w:pPr>
      <w:rPr>
        <w:rFonts w:hint="eastAsia"/>
      </w:rPr>
    </w:lvl>
    <w:lvl w:ilvl="7">
      <w:start w:val="1"/>
      <w:numFmt w:val="decimal"/>
      <w:isLgl/>
      <w:lvlText w:val="%1.%2.%3.%4.%5.%6.%7.%8."/>
      <w:lvlJc w:val="left"/>
      <w:pPr>
        <w:ind w:left="1418" w:hanging="1418"/>
      </w:pPr>
      <w:rPr>
        <w:rFonts w:hint="eastAsia"/>
      </w:rPr>
    </w:lvl>
    <w:lvl w:ilvl="8">
      <w:start w:val="1"/>
      <w:numFmt w:val="decimal"/>
      <w:isLgl/>
      <w:lvlText w:val="%1.%2.%3.%4.%5.%6.%7.%8.%9."/>
      <w:lvlJc w:val="left"/>
      <w:pPr>
        <w:ind w:left="1558" w:hanging="1558"/>
      </w:pPr>
      <w:rPr>
        <w:rFonts w:hint="eastAsia"/>
      </w:rPr>
    </w:lvl>
  </w:abstractNum>
  <w:abstractNum w:abstractNumId="3" w15:restartNumberingAfterBreak="0">
    <w:nsid w:val="6E395AA5"/>
    <w:multiLevelType w:val="multilevel"/>
    <w:tmpl w:val="6E395AA5"/>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1YTQxNzg3MmVhMWYzNTI0NmRjODFmMDE2MGM3NTAifQ=="/>
  </w:docVars>
  <w:rsids>
    <w:rsidRoot w:val="009C30D0"/>
    <w:rsid w:val="000001EB"/>
    <w:rsid w:val="000011B9"/>
    <w:rsid w:val="00006873"/>
    <w:rsid w:val="00010727"/>
    <w:rsid w:val="00017685"/>
    <w:rsid w:val="00020FF4"/>
    <w:rsid w:val="00021776"/>
    <w:rsid w:val="00042E85"/>
    <w:rsid w:val="00046F34"/>
    <w:rsid w:val="000534B2"/>
    <w:rsid w:val="00053E90"/>
    <w:rsid w:val="00054751"/>
    <w:rsid w:val="000575D3"/>
    <w:rsid w:val="00060C52"/>
    <w:rsid w:val="000620E9"/>
    <w:rsid w:val="00062543"/>
    <w:rsid w:val="00073121"/>
    <w:rsid w:val="000753E9"/>
    <w:rsid w:val="000778AC"/>
    <w:rsid w:val="00081032"/>
    <w:rsid w:val="0008392D"/>
    <w:rsid w:val="00083C87"/>
    <w:rsid w:val="000911CC"/>
    <w:rsid w:val="000C6080"/>
    <w:rsid w:val="000C74CA"/>
    <w:rsid w:val="00102A33"/>
    <w:rsid w:val="00104E4C"/>
    <w:rsid w:val="00105E72"/>
    <w:rsid w:val="00106511"/>
    <w:rsid w:val="00112A5F"/>
    <w:rsid w:val="00113A15"/>
    <w:rsid w:val="001146E4"/>
    <w:rsid w:val="00114E12"/>
    <w:rsid w:val="00116BD8"/>
    <w:rsid w:val="00122E58"/>
    <w:rsid w:val="001258F8"/>
    <w:rsid w:val="001323FF"/>
    <w:rsid w:val="001366A9"/>
    <w:rsid w:val="00137D72"/>
    <w:rsid w:val="00141106"/>
    <w:rsid w:val="00141330"/>
    <w:rsid w:val="00147CA6"/>
    <w:rsid w:val="001535C7"/>
    <w:rsid w:val="00153719"/>
    <w:rsid w:val="0015492B"/>
    <w:rsid w:val="00156F8E"/>
    <w:rsid w:val="001709F3"/>
    <w:rsid w:val="00185698"/>
    <w:rsid w:val="00185FCA"/>
    <w:rsid w:val="001A17B8"/>
    <w:rsid w:val="001A17F5"/>
    <w:rsid w:val="001A3F25"/>
    <w:rsid w:val="001B6084"/>
    <w:rsid w:val="001C0805"/>
    <w:rsid w:val="001C605F"/>
    <w:rsid w:val="001D16BE"/>
    <w:rsid w:val="001D426C"/>
    <w:rsid w:val="001D42E8"/>
    <w:rsid w:val="001D6A51"/>
    <w:rsid w:val="001E3404"/>
    <w:rsid w:val="001E6DDC"/>
    <w:rsid w:val="001F2252"/>
    <w:rsid w:val="001F59C5"/>
    <w:rsid w:val="00204667"/>
    <w:rsid w:val="00205BA7"/>
    <w:rsid w:val="00210BFB"/>
    <w:rsid w:val="00225613"/>
    <w:rsid w:val="002318C6"/>
    <w:rsid w:val="00233615"/>
    <w:rsid w:val="0023377E"/>
    <w:rsid w:val="0023625C"/>
    <w:rsid w:val="00242B95"/>
    <w:rsid w:val="002465B3"/>
    <w:rsid w:val="00250B7E"/>
    <w:rsid w:val="0025336F"/>
    <w:rsid w:val="00262C6F"/>
    <w:rsid w:val="00262F94"/>
    <w:rsid w:val="0026711F"/>
    <w:rsid w:val="00272BB7"/>
    <w:rsid w:val="00274182"/>
    <w:rsid w:val="00275EB4"/>
    <w:rsid w:val="00276477"/>
    <w:rsid w:val="002779BC"/>
    <w:rsid w:val="002835AB"/>
    <w:rsid w:val="00283EDC"/>
    <w:rsid w:val="00287897"/>
    <w:rsid w:val="00297489"/>
    <w:rsid w:val="002A16D9"/>
    <w:rsid w:val="002A3CD3"/>
    <w:rsid w:val="002B7C1C"/>
    <w:rsid w:val="002C467F"/>
    <w:rsid w:val="002C5EFF"/>
    <w:rsid w:val="002C736F"/>
    <w:rsid w:val="002D00E8"/>
    <w:rsid w:val="002D40EE"/>
    <w:rsid w:val="002D6125"/>
    <w:rsid w:val="002D7D00"/>
    <w:rsid w:val="002E20C1"/>
    <w:rsid w:val="002F066E"/>
    <w:rsid w:val="002F1468"/>
    <w:rsid w:val="002F5418"/>
    <w:rsid w:val="00302CB7"/>
    <w:rsid w:val="00304B7C"/>
    <w:rsid w:val="0030779F"/>
    <w:rsid w:val="00314902"/>
    <w:rsid w:val="00333371"/>
    <w:rsid w:val="00337AC8"/>
    <w:rsid w:val="00340635"/>
    <w:rsid w:val="00341C16"/>
    <w:rsid w:val="0035107A"/>
    <w:rsid w:val="00352874"/>
    <w:rsid w:val="0035391B"/>
    <w:rsid w:val="00377272"/>
    <w:rsid w:val="00377334"/>
    <w:rsid w:val="00390E1F"/>
    <w:rsid w:val="00396B4F"/>
    <w:rsid w:val="003A0046"/>
    <w:rsid w:val="003A13F1"/>
    <w:rsid w:val="003B1C14"/>
    <w:rsid w:val="003B206F"/>
    <w:rsid w:val="003B4865"/>
    <w:rsid w:val="003C2DFE"/>
    <w:rsid w:val="003C3074"/>
    <w:rsid w:val="003C3550"/>
    <w:rsid w:val="003C4708"/>
    <w:rsid w:val="003C7EB4"/>
    <w:rsid w:val="003D01C6"/>
    <w:rsid w:val="003D568A"/>
    <w:rsid w:val="003D6107"/>
    <w:rsid w:val="003D7E41"/>
    <w:rsid w:val="003E01E7"/>
    <w:rsid w:val="003E2A9B"/>
    <w:rsid w:val="003E3D40"/>
    <w:rsid w:val="003E42C5"/>
    <w:rsid w:val="003E7441"/>
    <w:rsid w:val="003F346D"/>
    <w:rsid w:val="003F3584"/>
    <w:rsid w:val="003F562D"/>
    <w:rsid w:val="003F5F8B"/>
    <w:rsid w:val="004018EC"/>
    <w:rsid w:val="004070E7"/>
    <w:rsid w:val="004117CD"/>
    <w:rsid w:val="00413E41"/>
    <w:rsid w:val="00415C95"/>
    <w:rsid w:val="004342D4"/>
    <w:rsid w:val="00442065"/>
    <w:rsid w:val="004465B1"/>
    <w:rsid w:val="004544F3"/>
    <w:rsid w:val="00456729"/>
    <w:rsid w:val="00456B24"/>
    <w:rsid w:val="00461020"/>
    <w:rsid w:val="00462225"/>
    <w:rsid w:val="004655F7"/>
    <w:rsid w:val="00474EAD"/>
    <w:rsid w:val="00477778"/>
    <w:rsid w:val="00486EA7"/>
    <w:rsid w:val="00492AA2"/>
    <w:rsid w:val="004943E5"/>
    <w:rsid w:val="00494B49"/>
    <w:rsid w:val="00497099"/>
    <w:rsid w:val="004A2A7F"/>
    <w:rsid w:val="004A3A9F"/>
    <w:rsid w:val="004A434D"/>
    <w:rsid w:val="004A5162"/>
    <w:rsid w:val="004A72AD"/>
    <w:rsid w:val="004B0DDB"/>
    <w:rsid w:val="004B77A4"/>
    <w:rsid w:val="004C0857"/>
    <w:rsid w:val="004C4C85"/>
    <w:rsid w:val="004C7710"/>
    <w:rsid w:val="004D11BA"/>
    <w:rsid w:val="004D2585"/>
    <w:rsid w:val="004D3D72"/>
    <w:rsid w:val="004D434D"/>
    <w:rsid w:val="004D61B6"/>
    <w:rsid w:val="004E3EBF"/>
    <w:rsid w:val="004E7EC3"/>
    <w:rsid w:val="004F025C"/>
    <w:rsid w:val="004F1E56"/>
    <w:rsid w:val="004F3DA0"/>
    <w:rsid w:val="004F4658"/>
    <w:rsid w:val="004F6713"/>
    <w:rsid w:val="0050224F"/>
    <w:rsid w:val="00502513"/>
    <w:rsid w:val="00502D64"/>
    <w:rsid w:val="00502DEC"/>
    <w:rsid w:val="00504102"/>
    <w:rsid w:val="00506676"/>
    <w:rsid w:val="00513D33"/>
    <w:rsid w:val="005142D7"/>
    <w:rsid w:val="0052090D"/>
    <w:rsid w:val="005215E8"/>
    <w:rsid w:val="005302B2"/>
    <w:rsid w:val="00535357"/>
    <w:rsid w:val="005366DD"/>
    <w:rsid w:val="005419FE"/>
    <w:rsid w:val="00546BC3"/>
    <w:rsid w:val="00550664"/>
    <w:rsid w:val="00550FA2"/>
    <w:rsid w:val="005540FE"/>
    <w:rsid w:val="00564966"/>
    <w:rsid w:val="00566EF1"/>
    <w:rsid w:val="00566FAA"/>
    <w:rsid w:val="005709CF"/>
    <w:rsid w:val="00571A4D"/>
    <w:rsid w:val="005778D9"/>
    <w:rsid w:val="005779D0"/>
    <w:rsid w:val="00577E70"/>
    <w:rsid w:val="00583FD6"/>
    <w:rsid w:val="005A01F9"/>
    <w:rsid w:val="005A0C3F"/>
    <w:rsid w:val="005A1F83"/>
    <w:rsid w:val="005A3585"/>
    <w:rsid w:val="005A6780"/>
    <w:rsid w:val="005A731D"/>
    <w:rsid w:val="005A7941"/>
    <w:rsid w:val="005B12DC"/>
    <w:rsid w:val="005B3368"/>
    <w:rsid w:val="005B6DBC"/>
    <w:rsid w:val="005C00EE"/>
    <w:rsid w:val="005C179A"/>
    <w:rsid w:val="005C2C74"/>
    <w:rsid w:val="005D293F"/>
    <w:rsid w:val="005E235A"/>
    <w:rsid w:val="005E2DE0"/>
    <w:rsid w:val="005E36C5"/>
    <w:rsid w:val="005E6B3D"/>
    <w:rsid w:val="005F1D26"/>
    <w:rsid w:val="005F2270"/>
    <w:rsid w:val="005F3266"/>
    <w:rsid w:val="005F45C9"/>
    <w:rsid w:val="005F6D75"/>
    <w:rsid w:val="00601FB6"/>
    <w:rsid w:val="006038B8"/>
    <w:rsid w:val="0061029A"/>
    <w:rsid w:val="0061645B"/>
    <w:rsid w:val="00622CDD"/>
    <w:rsid w:val="006269AB"/>
    <w:rsid w:val="006429EA"/>
    <w:rsid w:val="00651670"/>
    <w:rsid w:val="00652884"/>
    <w:rsid w:val="00653168"/>
    <w:rsid w:val="00653C45"/>
    <w:rsid w:val="00654B7A"/>
    <w:rsid w:val="006572C6"/>
    <w:rsid w:val="006573E1"/>
    <w:rsid w:val="00660047"/>
    <w:rsid w:val="00661DF9"/>
    <w:rsid w:val="00666496"/>
    <w:rsid w:val="00670ABC"/>
    <w:rsid w:val="0067424B"/>
    <w:rsid w:val="00683A08"/>
    <w:rsid w:val="006A1842"/>
    <w:rsid w:val="006A2E32"/>
    <w:rsid w:val="006B0B3E"/>
    <w:rsid w:val="006B7715"/>
    <w:rsid w:val="006C3774"/>
    <w:rsid w:val="006D28D8"/>
    <w:rsid w:val="006D5BF8"/>
    <w:rsid w:val="006E683B"/>
    <w:rsid w:val="006E706A"/>
    <w:rsid w:val="006F01A3"/>
    <w:rsid w:val="006F35EC"/>
    <w:rsid w:val="006F4150"/>
    <w:rsid w:val="006F4855"/>
    <w:rsid w:val="006F65B2"/>
    <w:rsid w:val="007010E1"/>
    <w:rsid w:val="00703333"/>
    <w:rsid w:val="007115D2"/>
    <w:rsid w:val="00711668"/>
    <w:rsid w:val="00712C1F"/>
    <w:rsid w:val="007255E0"/>
    <w:rsid w:val="007270EB"/>
    <w:rsid w:val="00731ABE"/>
    <w:rsid w:val="007361CF"/>
    <w:rsid w:val="0074266D"/>
    <w:rsid w:val="00747B44"/>
    <w:rsid w:val="0075275F"/>
    <w:rsid w:val="00753514"/>
    <w:rsid w:val="00755AA0"/>
    <w:rsid w:val="00757492"/>
    <w:rsid w:val="007631B1"/>
    <w:rsid w:val="007655AC"/>
    <w:rsid w:val="00767A70"/>
    <w:rsid w:val="00774FAE"/>
    <w:rsid w:val="00776372"/>
    <w:rsid w:val="00777679"/>
    <w:rsid w:val="00784095"/>
    <w:rsid w:val="00792CDC"/>
    <w:rsid w:val="00794463"/>
    <w:rsid w:val="0079652D"/>
    <w:rsid w:val="00796B91"/>
    <w:rsid w:val="007A0325"/>
    <w:rsid w:val="007A12DF"/>
    <w:rsid w:val="007A5AD3"/>
    <w:rsid w:val="007B1886"/>
    <w:rsid w:val="007B6D59"/>
    <w:rsid w:val="007C09EF"/>
    <w:rsid w:val="007C0AC6"/>
    <w:rsid w:val="007C11EE"/>
    <w:rsid w:val="007C215C"/>
    <w:rsid w:val="007C42B6"/>
    <w:rsid w:val="007C7356"/>
    <w:rsid w:val="007D253B"/>
    <w:rsid w:val="007E0CB1"/>
    <w:rsid w:val="007F28F4"/>
    <w:rsid w:val="007F3B58"/>
    <w:rsid w:val="007F7044"/>
    <w:rsid w:val="008079FE"/>
    <w:rsid w:val="00807FC9"/>
    <w:rsid w:val="00810383"/>
    <w:rsid w:val="00811E20"/>
    <w:rsid w:val="00812E52"/>
    <w:rsid w:val="00813515"/>
    <w:rsid w:val="00816F69"/>
    <w:rsid w:val="008170D8"/>
    <w:rsid w:val="008178F1"/>
    <w:rsid w:val="00817976"/>
    <w:rsid w:val="00817B9D"/>
    <w:rsid w:val="0082095C"/>
    <w:rsid w:val="008355D5"/>
    <w:rsid w:val="0083581F"/>
    <w:rsid w:val="008402B2"/>
    <w:rsid w:val="00842BB6"/>
    <w:rsid w:val="00844176"/>
    <w:rsid w:val="0084428B"/>
    <w:rsid w:val="00844647"/>
    <w:rsid w:val="008464C4"/>
    <w:rsid w:val="00853307"/>
    <w:rsid w:val="00860DE0"/>
    <w:rsid w:val="00867113"/>
    <w:rsid w:val="0087188C"/>
    <w:rsid w:val="0087759D"/>
    <w:rsid w:val="0088050F"/>
    <w:rsid w:val="00884EED"/>
    <w:rsid w:val="00890C58"/>
    <w:rsid w:val="00891CE2"/>
    <w:rsid w:val="00892285"/>
    <w:rsid w:val="0089496B"/>
    <w:rsid w:val="008954B9"/>
    <w:rsid w:val="00895DFE"/>
    <w:rsid w:val="00897660"/>
    <w:rsid w:val="008A4236"/>
    <w:rsid w:val="008A4606"/>
    <w:rsid w:val="008A503D"/>
    <w:rsid w:val="008A52F4"/>
    <w:rsid w:val="008B19C7"/>
    <w:rsid w:val="008B6021"/>
    <w:rsid w:val="008C19FB"/>
    <w:rsid w:val="008C2388"/>
    <w:rsid w:val="008C4A2A"/>
    <w:rsid w:val="008C7ABD"/>
    <w:rsid w:val="008F2B4A"/>
    <w:rsid w:val="008F38D5"/>
    <w:rsid w:val="008F390F"/>
    <w:rsid w:val="0091204A"/>
    <w:rsid w:val="00914222"/>
    <w:rsid w:val="00921343"/>
    <w:rsid w:val="00921755"/>
    <w:rsid w:val="009233F4"/>
    <w:rsid w:val="009262A2"/>
    <w:rsid w:val="009273F6"/>
    <w:rsid w:val="00927E92"/>
    <w:rsid w:val="0093089A"/>
    <w:rsid w:val="00930B34"/>
    <w:rsid w:val="00931253"/>
    <w:rsid w:val="00931F8C"/>
    <w:rsid w:val="00936881"/>
    <w:rsid w:val="00941393"/>
    <w:rsid w:val="00955EFF"/>
    <w:rsid w:val="00956273"/>
    <w:rsid w:val="009573B3"/>
    <w:rsid w:val="0096371D"/>
    <w:rsid w:val="00970BD0"/>
    <w:rsid w:val="0097119A"/>
    <w:rsid w:val="00973E2D"/>
    <w:rsid w:val="0097522D"/>
    <w:rsid w:val="00983A68"/>
    <w:rsid w:val="009944EC"/>
    <w:rsid w:val="009A525D"/>
    <w:rsid w:val="009A6112"/>
    <w:rsid w:val="009A746B"/>
    <w:rsid w:val="009B14D1"/>
    <w:rsid w:val="009B1A23"/>
    <w:rsid w:val="009B2916"/>
    <w:rsid w:val="009C30D0"/>
    <w:rsid w:val="009C3886"/>
    <w:rsid w:val="009C5D0C"/>
    <w:rsid w:val="009D0C72"/>
    <w:rsid w:val="009E5BC1"/>
    <w:rsid w:val="009F1068"/>
    <w:rsid w:val="009F1850"/>
    <w:rsid w:val="009F28BA"/>
    <w:rsid w:val="00A0145D"/>
    <w:rsid w:val="00A029E2"/>
    <w:rsid w:val="00A02CD8"/>
    <w:rsid w:val="00A17CE0"/>
    <w:rsid w:val="00A20D16"/>
    <w:rsid w:val="00A35A9C"/>
    <w:rsid w:val="00A40889"/>
    <w:rsid w:val="00A40E46"/>
    <w:rsid w:val="00A47C93"/>
    <w:rsid w:val="00A50068"/>
    <w:rsid w:val="00A50490"/>
    <w:rsid w:val="00A55802"/>
    <w:rsid w:val="00A65DD4"/>
    <w:rsid w:val="00A66EAC"/>
    <w:rsid w:val="00A67F9D"/>
    <w:rsid w:val="00A72A0A"/>
    <w:rsid w:val="00A738AE"/>
    <w:rsid w:val="00A75186"/>
    <w:rsid w:val="00A77331"/>
    <w:rsid w:val="00A803D2"/>
    <w:rsid w:val="00A866BF"/>
    <w:rsid w:val="00A93799"/>
    <w:rsid w:val="00A968D5"/>
    <w:rsid w:val="00AA016F"/>
    <w:rsid w:val="00AA1966"/>
    <w:rsid w:val="00AA2D6E"/>
    <w:rsid w:val="00AA6FE8"/>
    <w:rsid w:val="00AB1DE7"/>
    <w:rsid w:val="00AB2CD1"/>
    <w:rsid w:val="00AB7237"/>
    <w:rsid w:val="00AC0F9E"/>
    <w:rsid w:val="00AD3350"/>
    <w:rsid w:val="00AD50EA"/>
    <w:rsid w:val="00AD5531"/>
    <w:rsid w:val="00AE0784"/>
    <w:rsid w:val="00AF7762"/>
    <w:rsid w:val="00B0367D"/>
    <w:rsid w:val="00B10D21"/>
    <w:rsid w:val="00B11AD2"/>
    <w:rsid w:val="00B30155"/>
    <w:rsid w:val="00B3504B"/>
    <w:rsid w:val="00B4025E"/>
    <w:rsid w:val="00B4167D"/>
    <w:rsid w:val="00B41801"/>
    <w:rsid w:val="00B4315C"/>
    <w:rsid w:val="00B43CE7"/>
    <w:rsid w:val="00B463F1"/>
    <w:rsid w:val="00B47469"/>
    <w:rsid w:val="00B534DC"/>
    <w:rsid w:val="00B62978"/>
    <w:rsid w:val="00B75A60"/>
    <w:rsid w:val="00B8443A"/>
    <w:rsid w:val="00BA03EC"/>
    <w:rsid w:val="00BA2421"/>
    <w:rsid w:val="00BA736F"/>
    <w:rsid w:val="00BC2CE2"/>
    <w:rsid w:val="00BC37A5"/>
    <w:rsid w:val="00BC60C3"/>
    <w:rsid w:val="00BD209F"/>
    <w:rsid w:val="00BD3C12"/>
    <w:rsid w:val="00BE2677"/>
    <w:rsid w:val="00BE7019"/>
    <w:rsid w:val="00BE7690"/>
    <w:rsid w:val="00BF49B7"/>
    <w:rsid w:val="00BF7A77"/>
    <w:rsid w:val="00C03A20"/>
    <w:rsid w:val="00C10162"/>
    <w:rsid w:val="00C134AF"/>
    <w:rsid w:val="00C16688"/>
    <w:rsid w:val="00C16C9F"/>
    <w:rsid w:val="00C17544"/>
    <w:rsid w:val="00C24436"/>
    <w:rsid w:val="00C244F0"/>
    <w:rsid w:val="00C26F35"/>
    <w:rsid w:val="00C30A88"/>
    <w:rsid w:val="00C3390D"/>
    <w:rsid w:val="00C41E07"/>
    <w:rsid w:val="00C47EE7"/>
    <w:rsid w:val="00C53088"/>
    <w:rsid w:val="00C5540E"/>
    <w:rsid w:val="00C74229"/>
    <w:rsid w:val="00C80356"/>
    <w:rsid w:val="00C83DA6"/>
    <w:rsid w:val="00C9409B"/>
    <w:rsid w:val="00CA0DAB"/>
    <w:rsid w:val="00CA5A67"/>
    <w:rsid w:val="00CA7544"/>
    <w:rsid w:val="00CB246F"/>
    <w:rsid w:val="00CB53F2"/>
    <w:rsid w:val="00CC0433"/>
    <w:rsid w:val="00CC202C"/>
    <w:rsid w:val="00CC7E58"/>
    <w:rsid w:val="00CD428E"/>
    <w:rsid w:val="00CD4B66"/>
    <w:rsid w:val="00CD7E46"/>
    <w:rsid w:val="00CE11E8"/>
    <w:rsid w:val="00CE2FBF"/>
    <w:rsid w:val="00CE66E2"/>
    <w:rsid w:val="00CF2CC1"/>
    <w:rsid w:val="00CF34E8"/>
    <w:rsid w:val="00D03B3C"/>
    <w:rsid w:val="00D03BF8"/>
    <w:rsid w:val="00D1062F"/>
    <w:rsid w:val="00D2259B"/>
    <w:rsid w:val="00D27F11"/>
    <w:rsid w:val="00D30056"/>
    <w:rsid w:val="00D30402"/>
    <w:rsid w:val="00D31D1A"/>
    <w:rsid w:val="00D40A89"/>
    <w:rsid w:val="00D40AE4"/>
    <w:rsid w:val="00D4678B"/>
    <w:rsid w:val="00D5269F"/>
    <w:rsid w:val="00D54D2C"/>
    <w:rsid w:val="00D56683"/>
    <w:rsid w:val="00D64ADD"/>
    <w:rsid w:val="00D650DD"/>
    <w:rsid w:val="00D67444"/>
    <w:rsid w:val="00D70119"/>
    <w:rsid w:val="00D74A15"/>
    <w:rsid w:val="00D81CFD"/>
    <w:rsid w:val="00D849BD"/>
    <w:rsid w:val="00D86E9E"/>
    <w:rsid w:val="00D957B8"/>
    <w:rsid w:val="00D97D57"/>
    <w:rsid w:val="00DC02B1"/>
    <w:rsid w:val="00DC04B0"/>
    <w:rsid w:val="00DC1348"/>
    <w:rsid w:val="00DC2C8B"/>
    <w:rsid w:val="00DC3603"/>
    <w:rsid w:val="00DC5379"/>
    <w:rsid w:val="00DD406C"/>
    <w:rsid w:val="00DD7C02"/>
    <w:rsid w:val="00DE2742"/>
    <w:rsid w:val="00DF118E"/>
    <w:rsid w:val="00DF1911"/>
    <w:rsid w:val="00DF1CA7"/>
    <w:rsid w:val="00DF293B"/>
    <w:rsid w:val="00DF5193"/>
    <w:rsid w:val="00DF77F0"/>
    <w:rsid w:val="00E1047A"/>
    <w:rsid w:val="00E13F34"/>
    <w:rsid w:val="00E20D5E"/>
    <w:rsid w:val="00E26849"/>
    <w:rsid w:val="00E34E2F"/>
    <w:rsid w:val="00E35E73"/>
    <w:rsid w:val="00E508B2"/>
    <w:rsid w:val="00E519A6"/>
    <w:rsid w:val="00E519D1"/>
    <w:rsid w:val="00E54254"/>
    <w:rsid w:val="00E62DE5"/>
    <w:rsid w:val="00E630FD"/>
    <w:rsid w:val="00E63B75"/>
    <w:rsid w:val="00E81388"/>
    <w:rsid w:val="00E828AD"/>
    <w:rsid w:val="00E82C1A"/>
    <w:rsid w:val="00E8625A"/>
    <w:rsid w:val="00E904E8"/>
    <w:rsid w:val="00EA12AA"/>
    <w:rsid w:val="00EA542E"/>
    <w:rsid w:val="00EA693C"/>
    <w:rsid w:val="00EC390E"/>
    <w:rsid w:val="00EC6AD8"/>
    <w:rsid w:val="00ED086E"/>
    <w:rsid w:val="00ED704D"/>
    <w:rsid w:val="00EE4D8B"/>
    <w:rsid w:val="00EF15E9"/>
    <w:rsid w:val="00EF578E"/>
    <w:rsid w:val="00F02B0B"/>
    <w:rsid w:val="00F04409"/>
    <w:rsid w:val="00F049E1"/>
    <w:rsid w:val="00F07C7B"/>
    <w:rsid w:val="00F122E2"/>
    <w:rsid w:val="00F1575E"/>
    <w:rsid w:val="00F207D8"/>
    <w:rsid w:val="00F22BF2"/>
    <w:rsid w:val="00F27121"/>
    <w:rsid w:val="00F31984"/>
    <w:rsid w:val="00F32A18"/>
    <w:rsid w:val="00F366BB"/>
    <w:rsid w:val="00F37ADF"/>
    <w:rsid w:val="00F40061"/>
    <w:rsid w:val="00F47771"/>
    <w:rsid w:val="00F51D9A"/>
    <w:rsid w:val="00F53284"/>
    <w:rsid w:val="00F54692"/>
    <w:rsid w:val="00F57355"/>
    <w:rsid w:val="00F60F37"/>
    <w:rsid w:val="00F704BB"/>
    <w:rsid w:val="00F80853"/>
    <w:rsid w:val="00F80AE0"/>
    <w:rsid w:val="00F81AB4"/>
    <w:rsid w:val="00F92177"/>
    <w:rsid w:val="00F9520E"/>
    <w:rsid w:val="00FA2DDA"/>
    <w:rsid w:val="00FA4521"/>
    <w:rsid w:val="00FA70F4"/>
    <w:rsid w:val="00FC19F2"/>
    <w:rsid w:val="00FC2ACF"/>
    <w:rsid w:val="00FD0E32"/>
    <w:rsid w:val="00FD239F"/>
    <w:rsid w:val="00FD7A0D"/>
    <w:rsid w:val="00FE0EE2"/>
    <w:rsid w:val="00FE2D41"/>
    <w:rsid w:val="00FE541A"/>
    <w:rsid w:val="00FE5F61"/>
    <w:rsid w:val="011375A8"/>
    <w:rsid w:val="01664743"/>
    <w:rsid w:val="01A5234F"/>
    <w:rsid w:val="023271FA"/>
    <w:rsid w:val="035D6DC5"/>
    <w:rsid w:val="036D26EF"/>
    <w:rsid w:val="03DE684E"/>
    <w:rsid w:val="03E72B61"/>
    <w:rsid w:val="03F914B2"/>
    <w:rsid w:val="0469394E"/>
    <w:rsid w:val="04C0433E"/>
    <w:rsid w:val="04E14131"/>
    <w:rsid w:val="051171FD"/>
    <w:rsid w:val="05647F6F"/>
    <w:rsid w:val="05887E07"/>
    <w:rsid w:val="05A20BFC"/>
    <w:rsid w:val="05F25272"/>
    <w:rsid w:val="0642431F"/>
    <w:rsid w:val="06F32700"/>
    <w:rsid w:val="07605CB6"/>
    <w:rsid w:val="07CB0EB6"/>
    <w:rsid w:val="07E15BD3"/>
    <w:rsid w:val="08102EC6"/>
    <w:rsid w:val="089A71E6"/>
    <w:rsid w:val="08E44987"/>
    <w:rsid w:val="08EE00FB"/>
    <w:rsid w:val="094402D8"/>
    <w:rsid w:val="09730E8F"/>
    <w:rsid w:val="0990755E"/>
    <w:rsid w:val="0A3D5E32"/>
    <w:rsid w:val="0A6F22B3"/>
    <w:rsid w:val="0A853850"/>
    <w:rsid w:val="0B024A9B"/>
    <w:rsid w:val="0BEC5972"/>
    <w:rsid w:val="0C8106BD"/>
    <w:rsid w:val="0CAA2B6E"/>
    <w:rsid w:val="0CE1722F"/>
    <w:rsid w:val="0D7D1AE1"/>
    <w:rsid w:val="0D9642F0"/>
    <w:rsid w:val="0DBA5423"/>
    <w:rsid w:val="0DE26AAE"/>
    <w:rsid w:val="0E224D7D"/>
    <w:rsid w:val="0EF67916"/>
    <w:rsid w:val="0F423341"/>
    <w:rsid w:val="0F5C3B30"/>
    <w:rsid w:val="0F805160"/>
    <w:rsid w:val="1082242A"/>
    <w:rsid w:val="1088747A"/>
    <w:rsid w:val="114B682E"/>
    <w:rsid w:val="115349B0"/>
    <w:rsid w:val="119566BA"/>
    <w:rsid w:val="12492345"/>
    <w:rsid w:val="12492C39"/>
    <w:rsid w:val="12922E42"/>
    <w:rsid w:val="12D47F8E"/>
    <w:rsid w:val="130B063D"/>
    <w:rsid w:val="13572EFD"/>
    <w:rsid w:val="13B77439"/>
    <w:rsid w:val="13FA79FE"/>
    <w:rsid w:val="141B5141"/>
    <w:rsid w:val="14792401"/>
    <w:rsid w:val="15231D0C"/>
    <w:rsid w:val="15604438"/>
    <w:rsid w:val="161455EE"/>
    <w:rsid w:val="167969DD"/>
    <w:rsid w:val="17B9626F"/>
    <w:rsid w:val="1821268E"/>
    <w:rsid w:val="18615571"/>
    <w:rsid w:val="188877B0"/>
    <w:rsid w:val="19422A47"/>
    <w:rsid w:val="1964413C"/>
    <w:rsid w:val="19950F40"/>
    <w:rsid w:val="19DF6872"/>
    <w:rsid w:val="1A134FCE"/>
    <w:rsid w:val="1A5905CD"/>
    <w:rsid w:val="1B242B7B"/>
    <w:rsid w:val="1B6C2C88"/>
    <w:rsid w:val="1BA8182B"/>
    <w:rsid w:val="1C305101"/>
    <w:rsid w:val="1C88693A"/>
    <w:rsid w:val="1D0425A2"/>
    <w:rsid w:val="1D0460DA"/>
    <w:rsid w:val="1D867A74"/>
    <w:rsid w:val="1DC11BA0"/>
    <w:rsid w:val="1DF71875"/>
    <w:rsid w:val="1E142122"/>
    <w:rsid w:val="1E6058EF"/>
    <w:rsid w:val="1E9B4EC9"/>
    <w:rsid w:val="1F037161"/>
    <w:rsid w:val="1FA55DB1"/>
    <w:rsid w:val="20182BD0"/>
    <w:rsid w:val="203B260C"/>
    <w:rsid w:val="204750FD"/>
    <w:rsid w:val="20C54BCB"/>
    <w:rsid w:val="210172EA"/>
    <w:rsid w:val="21186CA9"/>
    <w:rsid w:val="21C527A2"/>
    <w:rsid w:val="21D41512"/>
    <w:rsid w:val="221D6C29"/>
    <w:rsid w:val="226C12D2"/>
    <w:rsid w:val="22F80095"/>
    <w:rsid w:val="231A15C5"/>
    <w:rsid w:val="23533577"/>
    <w:rsid w:val="235D52BC"/>
    <w:rsid w:val="2415200F"/>
    <w:rsid w:val="24A54462"/>
    <w:rsid w:val="24D35C2C"/>
    <w:rsid w:val="259E35AA"/>
    <w:rsid w:val="25A2609B"/>
    <w:rsid w:val="25B21B8A"/>
    <w:rsid w:val="26E921BE"/>
    <w:rsid w:val="27042DFE"/>
    <w:rsid w:val="27956C21"/>
    <w:rsid w:val="27DD0CC3"/>
    <w:rsid w:val="280A391D"/>
    <w:rsid w:val="28214015"/>
    <w:rsid w:val="28752728"/>
    <w:rsid w:val="288B29E7"/>
    <w:rsid w:val="288C6249"/>
    <w:rsid w:val="29C33815"/>
    <w:rsid w:val="2A066E57"/>
    <w:rsid w:val="2A810C3D"/>
    <w:rsid w:val="2A9F0F97"/>
    <w:rsid w:val="2AD83BB6"/>
    <w:rsid w:val="2AE232B1"/>
    <w:rsid w:val="2B103AB4"/>
    <w:rsid w:val="2B991C74"/>
    <w:rsid w:val="2BB13721"/>
    <w:rsid w:val="2BFF522B"/>
    <w:rsid w:val="2C005C05"/>
    <w:rsid w:val="2C166504"/>
    <w:rsid w:val="2CBD0633"/>
    <w:rsid w:val="2D1C6606"/>
    <w:rsid w:val="2D763685"/>
    <w:rsid w:val="2D9F7247"/>
    <w:rsid w:val="2DC16C9C"/>
    <w:rsid w:val="2E0F16E3"/>
    <w:rsid w:val="2ED721EA"/>
    <w:rsid w:val="2F53021D"/>
    <w:rsid w:val="2F566308"/>
    <w:rsid w:val="2F5836E9"/>
    <w:rsid w:val="2FCE1F78"/>
    <w:rsid w:val="303D4EA7"/>
    <w:rsid w:val="307450F8"/>
    <w:rsid w:val="307A07CD"/>
    <w:rsid w:val="30954C40"/>
    <w:rsid w:val="30D07DE1"/>
    <w:rsid w:val="3108787F"/>
    <w:rsid w:val="310F3DA8"/>
    <w:rsid w:val="31593C23"/>
    <w:rsid w:val="317A7736"/>
    <w:rsid w:val="31D60AC4"/>
    <w:rsid w:val="328F0206"/>
    <w:rsid w:val="333D1567"/>
    <w:rsid w:val="339C6CC6"/>
    <w:rsid w:val="3409704A"/>
    <w:rsid w:val="345A624E"/>
    <w:rsid w:val="34CB716C"/>
    <w:rsid w:val="34DC1FAB"/>
    <w:rsid w:val="34DD3524"/>
    <w:rsid w:val="352E5399"/>
    <w:rsid w:val="35607FBA"/>
    <w:rsid w:val="35DE5B6F"/>
    <w:rsid w:val="36230175"/>
    <w:rsid w:val="36501E81"/>
    <w:rsid w:val="36AB59B5"/>
    <w:rsid w:val="36C418A2"/>
    <w:rsid w:val="37135C58"/>
    <w:rsid w:val="3729447F"/>
    <w:rsid w:val="37397DA9"/>
    <w:rsid w:val="37B07013"/>
    <w:rsid w:val="38A10B77"/>
    <w:rsid w:val="38A7447A"/>
    <w:rsid w:val="39030A9D"/>
    <w:rsid w:val="391136BA"/>
    <w:rsid w:val="39AD5700"/>
    <w:rsid w:val="39C600D4"/>
    <w:rsid w:val="3A1852C1"/>
    <w:rsid w:val="3A444AE5"/>
    <w:rsid w:val="3A5164BC"/>
    <w:rsid w:val="3A806CA2"/>
    <w:rsid w:val="3B6E0271"/>
    <w:rsid w:val="3B892174"/>
    <w:rsid w:val="3C98083D"/>
    <w:rsid w:val="3D87344A"/>
    <w:rsid w:val="3D8E20D4"/>
    <w:rsid w:val="3D9236A0"/>
    <w:rsid w:val="3DB33860"/>
    <w:rsid w:val="3DC47D28"/>
    <w:rsid w:val="3E6933F2"/>
    <w:rsid w:val="3E77440F"/>
    <w:rsid w:val="3ED8395B"/>
    <w:rsid w:val="3EE1552C"/>
    <w:rsid w:val="3EF50E21"/>
    <w:rsid w:val="3F90296F"/>
    <w:rsid w:val="40364CA5"/>
    <w:rsid w:val="40885F49"/>
    <w:rsid w:val="411022B6"/>
    <w:rsid w:val="41140064"/>
    <w:rsid w:val="41355441"/>
    <w:rsid w:val="4193668B"/>
    <w:rsid w:val="41CA09E3"/>
    <w:rsid w:val="41EF2D7C"/>
    <w:rsid w:val="42144B18"/>
    <w:rsid w:val="423931A7"/>
    <w:rsid w:val="42674891"/>
    <w:rsid w:val="42CC3CF1"/>
    <w:rsid w:val="42D14538"/>
    <w:rsid w:val="42E34DC3"/>
    <w:rsid w:val="42F21DF3"/>
    <w:rsid w:val="43547DFD"/>
    <w:rsid w:val="43610766"/>
    <w:rsid w:val="43650B67"/>
    <w:rsid w:val="447163AA"/>
    <w:rsid w:val="448939E8"/>
    <w:rsid w:val="448E07FB"/>
    <w:rsid w:val="4525645E"/>
    <w:rsid w:val="45597275"/>
    <w:rsid w:val="457B14E8"/>
    <w:rsid w:val="45941563"/>
    <w:rsid w:val="45BF71EC"/>
    <w:rsid w:val="45DA4898"/>
    <w:rsid w:val="45EC0586"/>
    <w:rsid w:val="45F27F58"/>
    <w:rsid w:val="46555C55"/>
    <w:rsid w:val="470F656B"/>
    <w:rsid w:val="47690CE9"/>
    <w:rsid w:val="478A0CA0"/>
    <w:rsid w:val="47C12D39"/>
    <w:rsid w:val="47DD35FA"/>
    <w:rsid w:val="47FA3E9F"/>
    <w:rsid w:val="484469FE"/>
    <w:rsid w:val="48FF3FE4"/>
    <w:rsid w:val="494F64C8"/>
    <w:rsid w:val="4A3F641B"/>
    <w:rsid w:val="4A7B31CD"/>
    <w:rsid w:val="4A916AB7"/>
    <w:rsid w:val="4AB2111F"/>
    <w:rsid w:val="4AE36E73"/>
    <w:rsid w:val="4AE41C19"/>
    <w:rsid w:val="4BC66911"/>
    <w:rsid w:val="4C06606A"/>
    <w:rsid w:val="4C07281A"/>
    <w:rsid w:val="4C4B1734"/>
    <w:rsid w:val="4C515916"/>
    <w:rsid w:val="4C7042D7"/>
    <w:rsid w:val="4CF50EF4"/>
    <w:rsid w:val="4D963E19"/>
    <w:rsid w:val="4DF62F44"/>
    <w:rsid w:val="4E761D08"/>
    <w:rsid w:val="4E984750"/>
    <w:rsid w:val="4EBA2F55"/>
    <w:rsid w:val="4ED10696"/>
    <w:rsid w:val="4F1E35EF"/>
    <w:rsid w:val="4F814471"/>
    <w:rsid w:val="4FBA6CCD"/>
    <w:rsid w:val="503A5994"/>
    <w:rsid w:val="50650450"/>
    <w:rsid w:val="50AC11E4"/>
    <w:rsid w:val="510425AE"/>
    <w:rsid w:val="519A0650"/>
    <w:rsid w:val="520E5D83"/>
    <w:rsid w:val="52352B08"/>
    <w:rsid w:val="52413940"/>
    <w:rsid w:val="526D3D56"/>
    <w:rsid w:val="5344250C"/>
    <w:rsid w:val="53F975CD"/>
    <w:rsid w:val="544E58B1"/>
    <w:rsid w:val="54A23856"/>
    <w:rsid w:val="54F71DA5"/>
    <w:rsid w:val="552300AC"/>
    <w:rsid w:val="5525178C"/>
    <w:rsid w:val="553E4F3F"/>
    <w:rsid w:val="55A416BE"/>
    <w:rsid w:val="55B859B2"/>
    <w:rsid w:val="56341757"/>
    <w:rsid w:val="56614C8A"/>
    <w:rsid w:val="567A72D5"/>
    <w:rsid w:val="56D15287"/>
    <w:rsid w:val="56DE0AFD"/>
    <w:rsid w:val="56FD5506"/>
    <w:rsid w:val="57044CE4"/>
    <w:rsid w:val="57222B83"/>
    <w:rsid w:val="573828A1"/>
    <w:rsid w:val="57476390"/>
    <w:rsid w:val="576109DB"/>
    <w:rsid w:val="57675079"/>
    <w:rsid w:val="57E20EBB"/>
    <w:rsid w:val="586345C7"/>
    <w:rsid w:val="589E1D6D"/>
    <w:rsid w:val="58B63BA2"/>
    <w:rsid w:val="59215726"/>
    <w:rsid w:val="59957B00"/>
    <w:rsid w:val="599A3D2F"/>
    <w:rsid w:val="5A052B3B"/>
    <w:rsid w:val="5A2E22FE"/>
    <w:rsid w:val="5A83754C"/>
    <w:rsid w:val="5AAA42D2"/>
    <w:rsid w:val="5B1C738F"/>
    <w:rsid w:val="5B3062C7"/>
    <w:rsid w:val="5B4526F9"/>
    <w:rsid w:val="5C7559A0"/>
    <w:rsid w:val="5CEA65A2"/>
    <w:rsid w:val="5D120C2C"/>
    <w:rsid w:val="5D2814E8"/>
    <w:rsid w:val="5D900DEC"/>
    <w:rsid w:val="5D962247"/>
    <w:rsid w:val="5DF6174F"/>
    <w:rsid w:val="5E175D30"/>
    <w:rsid w:val="5E1D7B0C"/>
    <w:rsid w:val="5E2C14A2"/>
    <w:rsid w:val="5F870252"/>
    <w:rsid w:val="5F8A3178"/>
    <w:rsid w:val="5FA77E3C"/>
    <w:rsid w:val="604326ED"/>
    <w:rsid w:val="60570CCE"/>
    <w:rsid w:val="607C6FD9"/>
    <w:rsid w:val="60B91957"/>
    <w:rsid w:val="614D408B"/>
    <w:rsid w:val="61671270"/>
    <w:rsid w:val="6172174A"/>
    <w:rsid w:val="61A44D62"/>
    <w:rsid w:val="61F94C3C"/>
    <w:rsid w:val="62411979"/>
    <w:rsid w:val="62422518"/>
    <w:rsid w:val="627F6C32"/>
    <w:rsid w:val="62D96C3F"/>
    <w:rsid w:val="631D691D"/>
    <w:rsid w:val="63387548"/>
    <w:rsid w:val="637575FD"/>
    <w:rsid w:val="63825E0F"/>
    <w:rsid w:val="638F6480"/>
    <w:rsid w:val="63A979C1"/>
    <w:rsid w:val="63E46486"/>
    <w:rsid w:val="643716EA"/>
    <w:rsid w:val="64C64337"/>
    <w:rsid w:val="657F4273"/>
    <w:rsid w:val="659D2AED"/>
    <w:rsid w:val="65AA44C4"/>
    <w:rsid w:val="65DC0B09"/>
    <w:rsid w:val="662B2E29"/>
    <w:rsid w:val="66486475"/>
    <w:rsid w:val="66D82907"/>
    <w:rsid w:val="670A0C32"/>
    <w:rsid w:val="6714680B"/>
    <w:rsid w:val="671A2875"/>
    <w:rsid w:val="6754503C"/>
    <w:rsid w:val="676C7036"/>
    <w:rsid w:val="683C7E7F"/>
    <w:rsid w:val="68A7198D"/>
    <w:rsid w:val="68CB194B"/>
    <w:rsid w:val="68D70080"/>
    <w:rsid w:val="69264077"/>
    <w:rsid w:val="693D530D"/>
    <w:rsid w:val="6976772C"/>
    <w:rsid w:val="699F53F8"/>
    <w:rsid w:val="6A0B4BDE"/>
    <w:rsid w:val="6B1E70C6"/>
    <w:rsid w:val="6B393020"/>
    <w:rsid w:val="6B631EBD"/>
    <w:rsid w:val="6C447F32"/>
    <w:rsid w:val="6CAB36AD"/>
    <w:rsid w:val="6CD514A3"/>
    <w:rsid w:val="6CD52386"/>
    <w:rsid w:val="6CE30793"/>
    <w:rsid w:val="6CE764EC"/>
    <w:rsid w:val="6D582FC7"/>
    <w:rsid w:val="6D7F71AD"/>
    <w:rsid w:val="6D885538"/>
    <w:rsid w:val="6DE17C72"/>
    <w:rsid w:val="6DF777CB"/>
    <w:rsid w:val="6E262897"/>
    <w:rsid w:val="6E50156F"/>
    <w:rsid w:val="6E743803"/>
    <w:rsid w:val="6E9F307A"/>
    <w:rsid w:val="6EAE6B68"/>
    <w:rsid w:val="6EB66DB8"/>
    <w:rsid w:val="6F0C35C3"/>
    <w:rsid w:val="6F901C8B"/>
    <w:rsid w:val="6F9821C1"/>
    <w:rsid w:val="6FB92EDC"/>
    <w:rsid w:val="6FF21491"/>
    <w:rsid w:val="702A1CFF"/>
    <w:rsid w:val="702E23C7"/>
    <w:rsid w:val="70AE736D"/>
    <w:rsid w:val="70D85E3C"/>
    <w:rsid w:val="71091F9B"/>
    <w:rsid w:val="71B26AD7"/>
    <w:rsid w:val="72850298"/>
    <w:rsid w:val="72987BC6"/>
    <w:rsid w:val="733E463E"/>
    <w:rsid w:val="736B313E"/>
    <w:rsid w:val="73F3724A"/>
    <w:rsid w:val="7581454C"/>
    <w:rsid w:val="75982815"/>
    <w:rsid w:val="759929D8"/>
    <w:rsid w:val="76211766"/>
    <w:rsid w:val="762F1AAB"/>
    <w:rsid w:val="76304000"/>
    <w:rsid w:val="765006B2"/>
    <w:rsid w:val="773A0865"/>
    <w:rsid w:val="774730C2"/>
    <w:rsid w:val="77C222EA"/>
    <w:rsid w:val="77FC72FD"/>
    <w:rsid w:val="78141133"/>
    <w:rsid w:val="789711D5"/>
    <w:rsid w:val="78C83F3F"/>
    <w:rsid w:val="78E72E27"/>
    <w:rsid w:val="78F02F79"/>
    <w:rsid w:val="79440AEE"/>
    <w:rsid w:val="798B5F65"/>
    <w:rsid w:val="79A2762F"/>
    <w:rsid w:val="79F24BEB"/>
    <w:rsid w:val="7ADA1F82"/>
    <w:rsid w:val="7B3C3631"/>
    <w:rsid w:val="7B455260"/>
    <w:rsid w:val="7B840A4C"/>
    <w:rsid w:val="7B965B91"/>
    <w:rsid w:val="7BCB508C"/>
    <w:rsid w:val="7C280240"/>
    <w:rsid w:val="7C8810E5"/>
    <w:rsid w:val="7C9212DF"/>
    <w:rsid w:val="7D1E5AD5"/>
    <w:rsid w:val="7D21384E"/>
    <w:rsid w:val="7D955719"/>
    <w:rsid w:val="7DD54CAE"/>
    <w:rsid w:val="7DF438B1"/>
    <w:rsid w:val="7E6E4AB0"/>
    <w:rsid w:val="7F63591A"/>
    <w:rsid w:val="7F9562A7"/>
    <w:rsid w:val="7FC83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E3DD0D"/>
  <w15:docId w15:val="{354EF504-E315-427F-ABD1-FB46E2050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nhideWhenUsed="1" w:qFormat="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0"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qFormat/>
    <w:pPr>
      <w:ind w:leftChars="1200" w:left="2520"/>
    </w:pPr>
    <w:rPr>
      <w:rFonts w:asciiTheme="minorHAnsi" w:eastAsiaTheme="minorEastAsia" w:hAnsiTheme="minorHAnsi" w:cstheme="minorBidi"/>
      <w:szCs w:val="22"/>
    </w:rPr>
  </w:style>
  <w:style w:type="paragraph" w:styleId="a3">
    <w:name w:val="caption"/>
    <w:basedOn w:val="a"/>
    <w:next w:val="a"/>
    <w:uiPriority w:val="35"/>
    <w:semiHidden/>
    <w:unhideWhenUsed/>
    <w:qFormat/>
    <w:rPr>
      <w:rFonts w:ascii="Arial" w:eastAsia="黑体" w:hAnsi="Arial"/>
      <w:sz w:val="20"/>
    </w:rPr>
  </w:style>
  <w:style w:type="paragraph" w:styleId="a4">
    <w:name w:val="Document Map"/>
    <w:basedOn w:val="a"/>
    <w:link w:val="a5"/>
    <w:uiPriority w:val="99"/>
    <w:semiHidden/>
    <w:unhideWhenUsed/>
    <w:qFormat/>
    <w:rPr>
      <w:rFonts w:ascii="宋体"/>
      <w:sz w:val="18"/>
      <w:szCs w:val="18"/>
    </w:rPr>
  </w:style>
  <w:style w:type="paragraph" w:styleId="a6">
    <w:name w:val="annotation text"/>
    <w:basedOn w:val="a"/>
    <w:link w:val="a7"/>
    <w:uiPriority w:val="99"/>
    <w:unhideWhenUsed/>
    <w:qFormat/>
    <w:pPr>
      <w:jc w:val="left"/>
    </w:pPr>
    <w:rPr>
      <w:rFonts w:asciiTheme="minorHAnsi" w:eastAsiaTheme="minorEastAsia" w:hAnsiTheme="minorHAnsi" w:cstheme="minorBidi"/>
      <w:szCs w:val="22"/>
    </w:rPr>
  </w:style>
  <w:style w:type="paragraph" w:styleId="TOC5">
    <w:name w:val="toc 5"/>
    <w:basedOn w:val="a"/>
    <w:next w:val="a"/>
    <w:uiPriority w:val="39"/>
    <w:unhideWhenUsed/>
    <w:qFormat/>
    <w:pPr>
      <w:ind w:leftChars="800" w:left="1680"/>
    </w:pPr>
    <w:rPr>
      <w:rFonts w:asciiTheme="minorHAnsi" w:eastAsiaTheme="minorEastAsia" w:hAnsiTheme="minorHAnsi" w:cstheme="minorBidi"/>
      <w:szCs w:val="22"/>
    </w:rPr>
  </w:style>
  <w:style w:type="paragraph" w:styleId="TOC3">
    <w:name w:val="toc 3"/>
    <w:basedOn w:val="a"/>
    <w:next w:val="a"/>
    <w:uiPriority w:val="39"/>
    <w:unhideWhenUsed/>
    <w:qFormat/>
    <w:pPr>
      <w:tabs>
        <w:tab w:val="right" w:leader="dot" w:pos="8296"/>
      </w:tabs>
      <w:ind w:leftChars="300" w:left="630"/>
    </w:pPr>
  </w:style>
  <w:style w:type="paragraph" w:styleId="TOC8">
    <w:name w:val="toc 8"/>
    <w:basedOn w:val="a"/>
    <w:next w:val="a"/>
    <w:uiPriority w:val="39"/>
    <w:unhideWhenUsed/>
    <w:qFormat/>
    <w:pPr>
      <w:ind w:leftChars="1400" w:left="2940"/>
    </w:pPr>
    <w:rPr>
      <w:rFonts w:asciiTheme="minorHAnsi" w:eastAsiaTheme="minorEastAsia" w:hAnsiTheme="minorHAnsi" w:cstheme="minorBidi"/>
      <w:szCs w:val="22"/>
    </w:rPr>
  </w:style>
  <w:style w:type="paragraph" w:styleId="a8">
    <w:name w:val="Date"/>
    <w:basedOn w:val="a"/>
    <w:next w:val="a"/>
    <w:link w:val="a9"/>
    <w:uiPriority w:val="99"/>
    <w:semiHidden/>
    <w:unhideWhenUsed/>
    <w:qFormat/>
    <w:pPr>
      <w:ind w:leftChars="2500" w:left="100"/>
    </w:pPr>
    <w:rPr>
      <w:rFonts w:asciiTheme="minorHAnsi" w:eastAsiaTheme="minorEastAsia" w:hAnsiTheme="minorHAnsi" w:cstheme="minorBidi"/>
      <w:szCs w:val="22"/>
    </w:rPr>
  </w:style>
  <w:style w:type="paragraph" w:styleId="aa">
    <w:name w:val="Balloon Text"/>
    <w:basedOn w:val="a"/>
    <w:link w:val="ab"/>
    <w:uiPriority w:val="99"/>
    <w:semiHidden/>
    <w:unhideWhenUsed/>
    <w:qFormat/>
    <w:rPr>
      <w:sz w:val="18"/>
      <w:szCs w:val="18"/>
    </w:rPr>
  </w:style>
  <w:style w:type="paragraph" w:styleId="ac">
    <w:name w:val="footer"/>
    <w:basedOn w:val="a"/>
    <w:link w:val="ad"/>
    <w:uiPriority w:val="99"/>
    <w:unhideWhenUsed/>
    <w:qFormat/>
    <w:pPr>
      <w:tabs>
        <w:tab w:val="center" w:pos="4153"/>
        <w:tab w:val="right" w:pos="8306"/>
      </w:tabs>
      <w:snapToGrid w:val="0"/>
      <w:jc w:val="left"/>
    </w:pPr>
    <w:rPr>
      <w:sz w:val="18"/>
      <w:szCs w:val="18"/>
    </w:rPr>
  </w:style>
  <w:style w:type="paragraph" w:styleId="ae">
    <w:name w:val="header"/>
    <w:basedOn w:val="a"/>
    <w:link w:val="af"/>
    <w:qFormat/>
    <w:pPr>
      <w:snapToGrid w:val="0"/>
      <w:jc w:val="left"/>
    </w:pPr>
    <w:rPr>
      <w:sz w:val="18"/>
      <w:szCs w:val="18"/>
    </w:rPr>
  </w:style>
  <w:style w:type="paragraph" w:styleId="TOC1">
    <w:name w:val="toc 1"/>
    <w:basedOn w:val="a"/>
    <w:next w:val="a"/>
    <w:uiPriority w:val="39"/>
    <w:qFormat/>
    <w:pPr>
      <w:tabs>
        <w:tab w:val="right" w:leader="dot" w:pos="9241"/>
      </w:tabs>
      <w:spacing w:beforeLines="25" w:afterLines="25"/>
      <w:jc w:val="left"/>
    </w:pPr>
    <w:rPr>
      <w:rFonts w:ascii="宋体"/>
      <w:szCs w:val="21"/>
    </w:rPr>
  </w:style>
  <w:style w:type="paragraph" w:styleId="TOC4">
    <w:name w:val="toc 4"/>
    <w:basedOn w:val="a"/>
    <w:next w:val="a"/>
    <w:uiPriority w:val="39"/>
    <w:unhideWhenUsed/>
    <w:qFormat/>
    <w:pPr>
      <w:ind w:leftChars="600" w:left="1260"/>
    </w:pPr>
  </w:style>
  <w:style w:type="paragraph" w:styleId="TOC6">
    <w:name w:val="toc 6"/>
    <w:basedOn w:val="a"/>
    <w:next w:val="a"/>
    <w:uiPriority w:val="39"/>
    <w:unhideWhenUsed/>
    <w:qFormat/>
    <w:pPr>
      <w:ind w:leftChars="1000" w:left="2100"/>
    </w:pPr>
    <w:rPr>
      <w:rFonts w:asciiTheme="minorHAnsi" w:eastAsiaTheme="minorEastAsia" w:hAnsiTheme="minorHAnsi" w:cstheme="minorBidi"/>
      <w:szCs w:val="22"/>
    </w:rPr>
  </w:style>
  <w:style w:type="paragraph" w:styleId="TOC2">
    <w:name w:val="toc 2"/>
    <w:basedOn w:val="a"/>
    <w:next w:val="a"/>
    <w:uiPriority w:val="39"/>
    <w:qFormat/>
    <w:pPr>
      <w:tabs>
        <w:tab w:val="right" w:leader="dot" w:pos="9241"/>
      </w:tabs>
    </w:pPr>
    <w:rPr>
      <w:rFonts w:ascii="宋体"/>
      <w:szCs w:val="21"/>
    </w:rPr>
  </w:style>
  <w:style w:type="paragraph" w:styleId="TOC9">
    <w:name w:val="toc 9"/>
    <w:basedOn w:val="a"/>
    <w:next w:val="a"/>
    <w:uiPriority w:val="39"/>
    <w:unhideWhenUsed/>
    <w:qFormat/>
    <w:pPr>
      <w:ind w:leftChars="1600" w:left="3360"/>
    </w:pPr>
    <w:rPr>
      <w:rFonts w:asciiTheme="minorHAnsi" w:eastAsiaTheme="minorEastAsia" w:hAnsiTheme="minorHAnsi" w:cstheme="minorBidi"/>
      <w:szCs w:val="22"/>
    </w:rPr>
  </w:style>
  <w:style w:type="paragraph" w:styleId="HTML">
    <w:name w:val="HTML Preformatted"/>
    <w:basedOn w:val="a"/>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0">
    <w:name w:val="Normal (Web)"/>
    <w:basedOn w:val="a"/>
    <w:qFormat/>
    <w:pPr>
      <w:spacing w:beforeAutospacing="1" w:afterAutospacing="1"/>
      <w:jc w:val="left"/>
    </w:pPr>
    <w:rPr>
      <w:kern w:val="0"/>
      <w:sz w:val="24"/>
    </w:rPr>
  </w:style>
  <w:style w:type="paragraph" w:styleId="af1">
    <w:name w:val="annotation subject"/>
    <w:basedOn w:val="a6"/>
    <w:next w:val="a6"/>
    <w:link w:val="af2"/>
    <w:uiPriority w:val="99"/>
    <w:semiHidden/>
    <w:unhideWhenUsed/>
    <w:qFormat/>
    <w:rPr>
      <w:b/>
      <w:bCs/>
    </w:rPr>
  </w:style>
  <w:style w:type="table" w:styleId="af3">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basedOn w:val="a0"/>
    <w:qFormat/>
    <w:rPr>
      <w:b/>
      <w:bCs/>
    </w:rPr>
  </w:style>
  <w:style w:type="character" w:styleId="af5">
    <w:name w:val="Hyperlink"/>
    <w:uiPriority w:val="99"/>
    <w:qFormat/>
    <w:rPr>
      <w:color w:val="0000FF"/>
      <w:spacing w:val="0"/>
      <w:w w:val="100"/>
      <w:szCs w:val="21"/>
      <w:u w:val="single"/>
      <w:lang w:val="en-US" w:eastAsia="zh-CN"/>
    </w:rPr>
  </w:style>
  <w:style w:type="character" w:styleId="af6">
    <w:name w:val="annotation reference"/>
    <w:basedOn w:val="a0"/>
    <w:uiPriority w:val="99"/>
    <w:semiHidden/>
    <w:unhideWhenUsed/>
    <w:qFormat/>
    <w:rPr>
      <w:sz w:val="21"/>
      <w:szCs w:val="21"/>
    </w:rPr>
  </w:style>
  <w:style w:type="character" w:customStyle="1" w:styleId="af">
    <w:name w:val="页眉 字符"/>
    <w:basedOn w:val="a0"/>
    <w:link w:val="ae"/>
    <w:qFormat/>
    <w:rPr>
      <w:rFonts w:ascii="Times New Roman" w:eastAsia="宋体" w:hAnsi="Times New Roman" w:cs="Times New Roman"/>
      <w:sz w:val="18"/>
      <w:szCs w:val="18"/>
    </w:rPr>
  </w:style>
  <w:style w:type="paragraph" w:customStyle="1" w:styleId="af7">
    <w:name w:val="段"/>
    <w:link w:val="Char"/>
    <w:qFormat/>
    <w:pPr>
      <w:tabs>
        <w:tab w:val="center" w:pos="4201"/>
        <w:tab w:val="right" w:leader="dot" w:pos="9298"/>
      </w:tabs>
      <w:autoSpaceDE w:val="0"/>
      <w:autoSpaceDN w:val="0"/>
      <w:ind w:firstLineChars="200" w:firstLine="420"/>
      <w:jc w:val="both"/>
    </w:pPr>
    <w:rPr>
      <w:rFonts w:ascii="宋体"/>
      <w:sz w:val="21"/>
    </w:rPr>
  </w:style>
  <w:style w:type="character" w:customStyle="1" w:styleId="HTML0">
    <w:name w:val="HTML 预设格式 字符"/>
    <w:basedOn w:val="a0"/>
    <w:link w:val="HTML"/>
    <w:uiPriority w:val="99"/>
    <w:qFormat/>
    <w:rPr>
      <w:rFonts w:ascii="宋体" w:eastAsia="宋体" w:hAnsi="宋体" w:cs="宋体"/>
      <w:kern w:val="0"/>
      <w:sz w:val="24"/>
      <w:szCs w:val="24"/>
    </w:rPr>
  </w:style>
  <w:style w:type="character" w:customStyle="1" w:styleId="Char">
    <w:name w:val="段 Char"/>
    <w:link w:val="af7"/>
    <w:qFormat/>
    <w:rPr>
      <w:rFonts w:ascii="宋体" w:eastAsia="宋体" w:hAnsi="Times New Roman" w:cs="Times New Roman"/>
      <w:kern w:val="0"/>
      <w:szCs w:val="20"/>
    </w:rPr>
  </w:style>
  <w:style w:type="paragraph" w:customStyle="1" w:styleId="11">
    <w:name w:val="样式1"/>
    <w:basedOn w:val="1"/>
    <w:qFormat/>
    <w:pPr>
      <w:spacing w:beforeLines="50" w:afterLines="50" w:line="288" w:lineRule="auto"/>
    </w:pPr>
    <w:rPr>
      <w:sz w:val="24"/>
    </w:rPr>
  </w:style>
  <w:style w:type="paragraph" w:customStyle="1" w:styleId="af8">
    <w:name w:val="标准书脚_奇数页"/>
    <w:qFormat/>
    <w:pPr>
      <w:spacing w:before="120"/>
      <w:ind w:right="198"/>
      <w:jc w:val="right"/>
    </w:pPr>
    <w:rPr>
      <w:rFonts w:ascii="宋体"/>
      <w:sz w:val="18"/>
      <w:szCs w:val="18"/>
    </w:rPr>
  </w:style>
  <w:style w:type="paragraph" w:customStyle="1" w:styleId="21">
    <w:name w:val="样式2"/>
    <w:basedOn w:val="2"/>
    <w:link w:val="22"/>
    <w:qFormat/>
    <w:pPr>
      <w:spacing w:beforeLines="50" w:afterLines="50" w:line="288" w:lineRule="auto"/>
    </w:pPr>
    <w:rPr>
      <w:rFonts w:eastAsia="宋体"/>
      <w:sz w:val="21"/>
    </w:rPr>
  </w:style>
  <w:style w:type="paragraph" w:customStyle="1" w:styleId="af9">
    <w:name w:val="大标题"/>
    <w:basedOn w:val="a"/>
    <w:uiPriority w:val="99"/>
    <w:qFormat/>
    <w:pPr>
      <w:tabs>
        <w:tab w:val="left" w:pos="5220"/>
      </w:tabs>
      <w:adjustRightInd w:val="0"/>
      <w:snapToGrid w:val="0"/>
      <w:spacing w:beforeLines="200" w:afterLines="200"/>
      <w:jc w:val="center"/>
      <w:textAlignment w:val="center"/>
    </w:pPr>
    <w:rPr>
      <w:rFonts w:ascii="Arial" w:eastAsia="黑体" w:hAnsi="Arial"/>
      <w:sz w:val="32"/>
      <w:szCs w:val="20"/>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character" w:customStyle="1" w:styleId="10">
    <w:name w:val="标题 1 字符"/>
    <w:basedOn w:val="a0"/>
    <w:link w:val="1"/>
    <w:uiPriority w:val="9"/>
    <w:qFormat/>
    <w:rPr>
      <w:rFonts w:ascii="Times New Roman" w:eastAsia="宋体" w:hAnsi="Times New Roman" w:cs="Times New Roman"/>
      <w:b/>
      <w:bCs/>
      <w:kern w:val="44"/>
      <w:sz w:val="44"/>
      <w:szCs w:val="44"/>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paragraph" w:customStyle="1" w:styleId="31">
    <w:name w:val="样式3"/>
    <w:basedOn w:val="3"/>
    <w:next w:val="a"/>
    <w:link w:val="32"/>
    <w:qFormat/>
    <w:pPr>
      <w:spacing w:before="100" w:beforeAutospacing="1" w:after="100" w:afterAutospacing="1" w:line="415" w:lineRule="auto"/>
    </w:pPr>
    <w:rPr>
      <w:rFonts w:cstheme="minorBidi"/>
      <w:sz w:val="23"/>
      <w:szCs w:val="23"/>
    </w:rPr>
  </w:style>
  <w:style w:type="paragraph" w:customStyle="1" w:styleId="41">
    <w:name w:val="样式4"/>
    <w:basedOn w:val="4"/>
    <w:link w:val="42"/>
    <w:qFormat/>
    <w:pPr>
      <w:keepNext w:val="0"/>
      <w:spacing w:before="100" w:beforeAutospacing="1" w:after="100" w:afterAutospacing="1" w:line="360" w:lineRule="auto"/>
    </w:pPr>
    <w:rPr>
      <w:rFonts w:eastAsia="宋体"/>
      <w:sz w:val="23"/>
    </w:rPr>
  </w:style>
  <w:style w:type="character" w:customStyle="1" w:styleId="22">
    <w:name w:val="样式2 字符"/>
    <w:basedOn w:val="20"/>
    <w:link w:val="21"/>
    <w:qFormat/>
    <w:rPr>
      <w:rFonts w:asciiTheme="majorHAnsi" w:eastAsia="宋体" w:hAnsiTheme="majorHAnsi" w:cstheme="majorBidi"/>
      <w:b/>
      <w:bCs/>
      <w:sz w:val="32"/>
      <w:szCs w:val="32"/>
    </w:rPr>
  </w:style>
  <w:style w:type="character" w:customStyle="1" w:styleId="32">
    <w:name w:val="样式3 字符"/>
    <w:basedOn w:val="22"/>
    <w:link w:val="31"/>
    <w:qFormat/>
    <w:rPr>
      <w:rFonts w:ascii="Times New Roman" w:eastAsia="宋体" w:hAnsi="Times New Roman" w:cstheme="majorBidi"/>
      <w:b/>
      <w:bCs/>
      <w:sz w:val="23"/>
      <w:szCs w:val="23"/>
    </w:rPr>
  </w:style>
  <w:style w:type="character" w:customStyle="1" w:styleId="30">
    <w:name w:val="标题 3 字符"/>
    <w:basedOn w:val="a0"/>
    <w:link w:val="3"/>
    <w:uiPriority w:val="9"/>
    <w:semiHidden/>
    <w:qFormat/>
    <w:rPr>
      <w:rFonts w:ascii="Times New Roman" w:eastAsia="宋体" w:hAnsi="Times New Roman" w:cs="Times New Roman"/>
      <w:b/>
      <w:bCs/>
      <w:sz w:val="32"/>
      <w:szCs w:val="32"/>
    </w:rPr>
  </w:style>
  <w:style w:type="character" w:customStyle="1" w:styleId="40">
    <w:name w:val="标题 4 字符"/>
    <w:basedOn w:val="a0"/>
    <w:link w:val="4"/>
    <w:uiPriority w:val="9"/>
    <w:semiHidden/>
    <w:qFormat/>
    <w:rPr>
      <w:rFonts w:asciiTheme="majorHAnsi" w:eastAsiaTheme="majorEastAsia" w:hAnsiTheme="majorHAnsi" w:cstheme="majorBidi"/>
      <w:b/>
      <w:bCs/>
      <w:sz w:val="28"/>
      <w:szCs w:val="28"/>
    </w:rPr>
  </w:style>
  <w:style w:type="character" w:customStyle="1" w:styleId="42">
    <w:name w:val="样式4 字符"/>
    <w:basedOn w:val="40"/>
    <w:link w:val="41"/>
    <w:qFormat/>
    <w:rPr>
      <w:rFonts w:asciiTheme="majorHAnsi" w:eastAsia="宋体" w:hAnsiTheme="majorHAnsi" w:cstheme="majorBidi"/>
      <w:b/>
      <w:bCs/>
      <w:sz w:val="23"/>
      <w:szCs w:val="28"/>
    </w:rPr>
  </w:style>
  <w:style w:type="character" w:customStyle="1" w:styleId="ad">
    <w:name w:val="页脚 字符"/>
    <w:basedOn w:val="a0"/>
    <w:link w:val="ac"/>
    <w:uiPriority w:val="99"/>
    <w:qFormat/>
    <w:rPr>
      <w:rFonts w:ascii="Times New Roman" w:eastAsia="宋体" w:hAnsi="Times New Roman" w:cs="Times New Roman"/>
      <w:sz w:val="18"/>
      <w:szCs w:val="18"/>
    </w:rPr>
  </w:style>
  <w:style w:type="character" w:customStyle="1" w:styleId="a7">
    <w:name w:val="批注文字 字符"/>
    <w:basedOn w:val="a0"/>
    <w:link w:val="a6"/>
    <w:uiPriority w:val="99"/>
    <w:qFormat/>
  </w:style>
  <w:style w:type="paragraph" w:customStyle="1" w:styleId="afa">
    <w:name w:val="二级条标题"/>
    <w:basedOn w:val="a"/>
    <w:next w:val="a"/>
    <w:qFormat/>
    <w:pPr>
      <w:widowControl/>
      <w:spacing w:beforeLines="50"/>
      <w:jc w:val="left"/>
      <w:outlineLvl w:val="3"/>
    </w:pPr>
    <w:rPr>
      <w:rFonts w:ascii="黑体" w:eastAsia="黑体"/>
      <w:kern w:val="0"/>
      <w:szCs w:val="21"/>
    </w:rPr>
  </w:style>
  <w:style w:type="paragraph" w:styleId="afb">
    <w:name w:val="List Paragraph"/>
    <w:basedOn w:val="a"/>
    <w:uiPriority w:val="34"/>
    <w:qFormat/>
    <w:pPr>
      <w:ind w:firstLineChars="200" w:firstLine="420"/>
    </w:pPr>
  </w:style>
  <w:style w:type="character" w:customStyle="1" w:styleId="af2">
    <w:name w:val="批注主题 字符"/>
    <w:basedOn w:val="a7"/>
    <w:link w:val="af1"/>
    <w:uiPriority w:val="99"/>
    <w:semiHidden/>
    <w:qFormat/>
    <w:rPr>
      <w:b/>
      <w:bCs/>
    </w:rPr>
  </w:style>
  <w:style w:type="paragraph" w:customStyle="1" w:styleId="afc">
    <w:name w:val="标准表题"/>
    <w:basedOn w:val="a"/>
    <w:next w:val="af7"/>
    <w:qFormat/>
    <w:pPr>
      <w:widowControl/>
      <w:jc w:val="center"/>
    </w:pPr>
    <w:rPr>
      <w:rFonts w:ascii="黑体" w:eastAsia="黑体"/>
      <w:kern w:val="21"/>
      <w:szCs w:val="20"/>
    </w:rPr>
  </w:style>
  <w:style w:type="character" w:customStyle="1" w:styleId="a9">
    <w:name w:val="日期 字符"/>
    <w:basedOn w:val="a0"/>
    <w:link w:val="a8"/>
    <w:uiPriority w:val="99"/>
    <w:semiHidden/>
    <w:qFormat/>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ab">
    <w:name w:val="批注框文本 字符"/>
    <w:basedOn w:val="a0"/>
    <w:link w:val="aa"/>
    <w:uiPriority w:val="99"/>
    <w:semiHidden/>
    <w:qFormat/>
    <w:rPr>
      <w:rFonts w:ascii="Times New Roman" w:eastAsia="宋体" w:hAnsi="Times New Roman" w:cs="Times New Roman"/>
      <w:sz w:val="18"/>
      <w:szCs w:val="18"/>
    </w:rPr>
  </w:style>
  <w:style w:type="character" w:customStyle="1" w:styleId="CharChar">
    <w:name w:val="段 Char Char"/>
    <w:uiPriority w:val="99"/>
    <w:qFormat/>
    <w:locked/>
    <w:rPr>
      <w:rFonts w:ascii="宋体" w:hAnsi="Calibri" w:cs="宋体"/>
      <w:szCs w:val="21"/>
    </w:rPr>
  </w:style>
  <w:style w:type="character" w:customStyle="1" w:styleId="a5">
    <w:name w:val="文档结构图 字符"/>
    <w:basedOn w:val="a0"/>
    <w:link w:val="a4"/>
    <w:uiPriority w:val="99"/>
    <w:semiHidden/>
    <w:qFormat/>
    <w:rPr>
      <w:rFonts w:ascii="宋体" w:eastAsia="宋体" w:hAnsi="Times New Roman" w:cs="Times New Roman"/>
      <w:sz w:val="18"/>
      <w:szCs w:val="18"/>
    </w:rPr>
  </w:style>
  <w:style w:type="character" w:customStyle="1" w:styleId="en-code1">
    <w:name w:val="en-code1"/>
    <w:basedOn w:val="a0"/>
    <w:qFormat/>
    <w:rPr>
      <w:b/>
      <w:bCs/>
      <w:color w:val="0A5CA8"/>
      <w:sz w:val="26"/>
      <w:szCs w:val="26"/>
    </w:rPr>
  </w:style>
  <w:style w:type="paragraph" w:customStyle="1" w:styleId="12">
    <w:name w:val="表 1"/>
    <w:basedOn w:val="a"/>
    <w:qFormat/>
    <w:pPr>
      <w:jc w:val="center"/>
    </w:pPr>
    <w:rPr>
      <w:sz w:val="20"/>
    </w:rPr>
  </w:style>
  <w:style w:type="character" w:customStyle="1" w:styleId="font41">
    <w:name w:val="font41"/>
    <w:basedOn w:val="a0"/>
    <w:qFormat/>
    <w:rPr>
      <w:rFonts w:ascii="宋体" w:eastAsia="宋体" w:hAnsi="宋体" w:cs="宋体" w:hint="eastAsia"/>
      <w:b/>
      <w:bCs/>
      <w:color w:val="000000"/>
      <w:sz w:val="20"/>
      <w:szCs w:val="20"/>
      <w:u w:val="none"/>
    </w:rPr>
  </w:style>
  <w:style w:type="character" w:customStyle="1" w:styleId="font51">
    <w:name w:val="font51"/>
    <w:basedOn w:val="a0"/>
    <w:qFormat/>
    <w:rPr>
      <w:rFonts w:ascii="宋体" w:eastAsia="宋体" w:hAnsi="宋体" w:cs="宋体" w:hint="eastAsia"/>
      <w:color w:val="000000"/>
      <w:sz w:val="20"/>
      <w:szCs w:val="20"/>
      <w:u w:val="none"/>
    </w:rPr>
  </w:style>
  <w:style w:type="character" w:customStyle="1" w:styleId="font31">
    <w:name w:val="font31"/>
    <w:basedOn w:val="a0"/>
    <w:qFormat/>
    <w:rPr>
      <w:rFonts w:ascii="宋体" w:eastAsia="宋体" w:hAnsi="宋体" w:cs="宋体" w:hint="eastAsia"/>
      <w:color w:val="000000"/>
      <w:sz w:val="20"/>
      <w:szCs w:val="20"/>
      <w:u w:val="none"/>
    </w:rPr>
  </w:style>
  <w:style w:type="character" w:customStyle="1" w:styleId="font81">
    <w:name w:val="font81"/>
    <w:basedOn w:val="a0"/>
    <w:qFormat/>
    <w:rPr>
      <w:rFonts w:ascii="Times New Roman" w:hAnsi="Times New Roman" w:cs="Times New Roman" w:hint="default"/>
      <w:color w:val="000000"/>
      <w:sz w:val="20"/>
      <w:szCs w:val="20"/>
      <w:u w:val="none"/>
    </w:rPr>
  </w:style>
  <w:style w:type="paragraph" w:customStyle="1" w:styleId="WPSOffice1">
    <w:name w:val="WPSOffice手动目录 1"/>
    <w:qFormat/>
  </w:style>
  <w:style w:type="character" w:customStyle="1" w:styleId="font01">
    <w:name w:val="font01"/>
    <w:basedOn w:val="a0"/>
    <w:qFormat/>
    <w:rPr>
      <w:rFonts w:ascii="宋体" w:eastAsia="宋体" w:hAnsi="宋体" w:cs="宋体" w:hint="eastAsia"/>
      <w:color w:val="000000"/>
      <w:sz w:val="22"/>
      <w:szCs w:val="22"/>
      <w:u w:val="none"/>
    </w:rPr>
  </w:style>
  <w:style w:type="character" w:customStyle="1" w:styleId="font11">
    <w:name w:val="font11"/>
    <w:basedOn w:val="a0"/>
    <w:qFormat/>
    <w:rPr>
      <w:rFonts w:ascii="宋体" w:eastAsia="宋体" w:hAnsi="宋体" w:cs="宋体" w:hint="eastAsia"/>
      <w:color w:val="FF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C7A6E0-4DF8-44B5-8EE2-619288F40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10</Pages>
  <Words>1127</Words>
  <Characters>6430</Characters>
  <Application>Microsoft Office Word</Application>
  <DocSecurity>0</DocSecurity>
  <Lines>53</Lines>
  <Paragraphs>15</Paragraphs>
  <ScaleCrop>false</ScaleCrop>
  <Company/>
  <LinksUpToDate>false</LinksUpToDate>
  <CharactersWithSpaces>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 Zhiying</dc:creator>
  <cp:lastModifiedBy>Tdj</cp:lastModifiedBy>
  <cp:revision>6</cp:revision>
  <dcterms:created xsi:type="dcterms:W3CDTF">2024-12-05T09:11:00Z</dcterms:created>
  <dcterms:modified xsi:type="dcterms:W3CDTF">2024-12-09T03:35:00Z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6B8AC3188B5B4822AD3BA009ADF19479_13</vt:lpwstr>
  </property>
</Properties>
</file>