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BEC4E" w14:textId="77777777" w:rsidR="009B70CA" w:rsidRDefault="00EC3017">
      <w:pPr>
        <w:adjustRightInd w:val="0"/>
        <w:snapToGrid w:val="0"/>
        <w:rPr>
          <w:rFonts w:ascii="黑体" w:eastAsia="黑体" w:hAnsi="黑体" w:cs="黑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附表</w:t>
      </w:r>
      <w:r>
        <w:rPr>
          <w:rFonts w:ascii="黑体" w:eastAsia="黑体" w:hAnsi="黑体" w:cs="黑体" w:hint="eastAsia"/>
          <w:bCs/>
          <w:color w:val="000000"/>
          <w:kern w:val="0"/>
          <w:sz w:val="32"/>
          <w:szCs w:val="32"/>
        </w:rPr>
        <w:t>2</w:t>
      </w:r>
    </w:p>
    <w:p w14:paraId="1B6E897B" w14:textId="77777777" w:rsidR="009B70CA" w:rsidRDefault="00EC3017">
      <w:pPr>
        <w:spacing w:beforeLines="50" w:before="156" w:afterLines="50" w:after="156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协会标准项目建议书</w:t>
      </w: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969"/>
        <w:gridCol w:w="552"/>
        <w:gridCol w:w="34"/>
        <w:gridCol w:w="421"/>
        <w:gridCol w:w="1214"/>
        <w:gridCol w:w="1503"/>
        <w:gridCol w:w="254"/>
        <w:gridCol w:w="1162"/>
        <w:gridCol w:w="41"/>
        <w:gridCol w:w="1532"/>
      </w:tblGrid>
      <w:tr w:rsidR="009B70CA" w14:paraId="30122215" w14:textId="77777777">
        <w:trPr>
          <w:trHeight w:val="1072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57EE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szCs w:val="24"/>
              </w:rPr>
            </w:pPr>
            <w:r>
              <w:rPr>
                <w:rFonts w:hint="eastAsia"/>
                <w:szCs w:val="24"/>
              </w:rPr>
              <w:t>建议项目名称</w:t>
            </w:r>
          </w:p>
          <w:p w14:paraId="7842380E" w14:textId="77777777" w:rsidR="009B70CA" w:rsidRDefault="00EC3017">
            <w:pPr>
              <w:ind w:hanging="13"/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中文</w:t>
            </w:r>
            <w:r>
              <w:rPr>
                <w:sz w:val="18"/>
              </w:rPr>
              <w:t>)</w:t>
            </w:r>
          </w:p>
        </w:tc>
        <w:tc>
          <w:tcPr>
            <w:tcW w:w="3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7F987" w14:textId="30C95700" w:rsidR="009B70CA" w:rsidRDefault="00EC3017" w:rsidP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建筑材料行业企业环境、社会和公司治理（</w:t>
            </w:r>
            <w:r>
              <w:rPr>
                <w:rFonts w:hint="eastAsia"/>
                <w:sz w:val="18"/>
              </w:rPr>
              <w:t>ESG</w:t>
            </w:r>
            <w:r>
              <w:rPr>
                <w:rFonts w:hint="eastAsia"/>
                <w:sz w:val="18"/>
              </w:rPr>
              <w:t>）指南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第</w:t>
            </w:r>
            <w:r>
              <w:rPr>
                <w:rFonts w:hint="eastAsia"/>
                <w:sz w:val="18"/>
              </w:rPr>
              <w:t>3</w:t>
            </w:r>
            <w:r>
              <w:rPr>
                <w:rFonts w:hint="eastAsia"/>
                <w:sz w:val="18"/>
              </w:rPr>
              <w:t>部分：报告编制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CFFD" w14:textId="77777777" w:rsidR="009B70CA" w:rsidRDefault="00EC30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</w:t>
            </w:r>
            <w:r>
              <w:rPr>
                <w:rFonts w:hint="eastAsia"/>
                <w:sz w:val="18"/>
                <w:szCs w:val="18"/>
              </w:rPr>
              <w:t>议项目名称</w:t>
            </w:r>
          </w:p>
          <w:p w14:paraId="1F01A456" w14:textId="77777777" w:rsidR="009B70CA" w:rsidRDefault="00EC3017">
            <w:pPr>
              <w:rPr>
                <w:sz w:val="15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英文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4E1E" w14:textId="77777777" w:rsidR="009B70CA" w:rsidRDefault="00EC3017">
            <w:r>
              <w:rPr>
                <w:sz w:val="18"/>
              </w:rPr>
              <w:t>ESG</w:t>
            </w:r>
            <w:r>
              <w:rPr>
                <w:rFonts w:hint="eastAsia"/>
                <w:sz w:val="18"/>
              </w:rPr>
              <w:t xml:space="preserve"> G</w:t>
            </w:r>
            <w:r>
              <w:rPr>
                <w:sz w:val="18"/>
              </w:rPr>
              <w:t xml:space="preserve">uide for </w:t>
            </w:r>
            <w:r>
              <w:rPr>
                <w:rFonts w:hint="eastAsia"/>
                <w:sz w:val="18"/>
              </w:rPr>
              <w:t>B</w:t>
            </w:r>
            <w:r>
              <w:rPr>
                <w:sz w:val="18"/>
              </w:rPr>
              <w:t xml:space="preserve">uilding </w:t>
            </w:r>
            <w:r>
              <w:rPr>
                <w:rFonts w:hint="eastAsia"/>
                <w:sz w:val="18"/>
              </w:rPr>
              <w:t>M</w:t>
            </w:r>
            <w:r>
              <w:rPr>
                <w:sz w:val="18"/>
              </w:rPr>
              <w:t xml:space="preserve">aterials </w:t>
            </w:r>
            <w:r>
              <w:rPr>
                <w:rFonts w:hint="eastAsia"/>
                <w:sz w:val="18"/>
              </w:rPr>
              <w:t>E</w:t>
            </w:r>
            <w:r>
              <w:rPr>
                <w:sz w:val="18"/>
              </w:rPr>
              <w:t>nterprise</w:t>
            </w:r>
            <w:r>
              <w:rPr>
                <w:rFonts w:hint="eastAsia"/>
                <w:sz w:val="18"/>
              </w:rPr>
              <w:t xml:space="preserve"> Part 3</w:t>
            </w:r>
            <w:r>
              <w:rPr>
                <w:rFonts w:hint="eastAsia"/>
                <w:sz w:val="18"/>
              </w:rPr>
              <w:t>：</w:t>
            </w:r>
            <w:r>
              <w:rPr>
                <w:rFonts w:hint="eastAsia"/>
                <w:sz w:val="18"/>
              </w:rPr>
              <w:t>Report Preparation</w:t>
            </w:r>
          </w:p>
        </w:tc>
      </w:tr>
      <w:tr w:rsidR="009B70CA" w14:paraId="7D6F29CE" w14:textId="77777777">
        <w:trPr>
          <w:trHeight w:val="435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13F82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制定或修订</w:t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0A959" w14:textId="77777777" w:rsidR="009B70CA" w:rsidRDefault="00EC3017">
            <w:pPr>
              <w:ind w:firstLineChars="100" w:firstLine="210"/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■</w:t>
            </w:r>
            <w:r>
              <w:rPr>
                <w:rFonts w:hint="eastAsia"/>
                <w:sz w:val="18"/>
              </w:rPr>
              <w:t>制定</w:t>
            </w:r>
          </w:p>
        </w:tc>
        <w:tc>
          <w:tcPr>
            <w:tcW w:w="1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B073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hint="eastAsia"/>
                <w:sz w:val="18"/>
              </w:rPr>
              <w:t>修订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46DDB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被修订标准号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04116" w14:textId="77777777" w:rsidR="009B70CA" w:rsidRDefault="009B70CA">
            <w:pPr>
              <w:rPr>
                <w:sz w:val="18"/>
              </w:rPr>
            </w:pPr>
          </w:p>
        </w:tc>
      </w:tr>
      <w:tr w:rsidR="009B70CA" w14:paraId="1EAC9722" w14:textId="77777777">
        <w:trPr>
          <w:trHeight w:val="439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60AF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采用程度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89AD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 w:val="18"/>
              </w:rPr>
              <w:t>IDT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3045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 w:val="18"/>
              </w:rPr>
              <w:t>MOD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4971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 w:val="18"/>
              </w:rPr>
              <w:t>NEQ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AB5A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采标号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2D6B" w14:textId="77777777" w:rsidR="009B70CA" w:rsidRDefault="009B70CA">
            <w:pPr>
              <w:rPr>
                <w:sz w:val="18"/>
              </w:rPr>
            </w:pPr>
          </w:p>
        </w:tc>
      </w:tr>
      <w:tr w:rsidR="009B70CA" w14:paraId="43AA69EE" w14:textId="77777777">
        <w:trPr>
          <w:trHeight w:val="966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123B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  <w:rPr>
                <w:szCs w:val="24"/>
              </w:rPr>
            </w:pPr>
            <w:r>
              <w:rPr>
                <w:rFonts w:hint="eastAsia"/>
              </w:rPr>
              <w:t>国际标准</w:t>
            </w:r>
            <w:r>
              <w:rPr>
                <w:rFonts w:hint="eastAsia"/>
                <w:szCs w:val="24"/>
              </w:rPr>
              <w:t>名称</w:t>
            </w:r>
          </w:p>
          <w:p w14:paraId="380A6143" w14:textId="77777777" w:rsidR="009B70CA" w:rsidRDefault="00EC3017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rFonts w:hint="eastAsia"/>
                <w:sz w:val="18"/>
              </w:rPr>
              <w:t>中文</w:t>
            </w:r>
            <w:r>
              <w:rPr>
                <w:sz w:val="18"/>
              </w:rPr>
              <w:t>)</w:t>
            </w:r>
          </w:p>
        </w:tc>
        <w:tc>
          <w:tcPr>
            <w:tcW w:w="3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3A5B7" w14:textId="77777777" w:rsidR="009B70CA" w:rsidRDefault="009B70CA">
            <w:pPr>
              <w:rPr>
                <w:sz w:val="18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F4C8" w14:textId="77777777" w:rsidR="009B70CA" w:rsidRDefault="00EC30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国际标准名称</w:t>
            </w:r>
          </w:p>
          <w:p w14:paraId="4DCB0D7D" w14:textId="77777777" w:rsidR="009B70CA" w:rsidRDefault="00EC3017">
            <w:pPr>
              <w:rPr>
                <w:sz w:val="18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英文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8C64" w14:textId="77777777" w:rsidR="009B70CA" w:rsidRDefault="009B70CA">
            <w:pPr>
              <w:rPr>
                <w:sz w:val="18"/>
              </w:rPr>
            </w:pPr>
          </w:p>
        </w:tc>
      </w:tr>
      <w:tr w:rsidR="009B70CA" w14:paraId="6259E249" w14:textId="77777777">
        <w:trPr>
          <w:trHeight w:val="439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1B2F8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采用快速程序</w:t>
            </w:r>
          </w:p>
        </w:tc>
        <w:tc>
          <w:tcPr>
            <w:tcW w:w="3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C18F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 w:val="18"/>
              </w:rPr>
              <w:t>FTP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2C7F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快速程序代码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039A1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 w:val="18"/>
              </w:rPr>
              <w:t>B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D42A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Cs w:val="21"/>
              </w:rPr>
              <w:t>□</w:t>
            </w:r>
            <w:r>
              <w:rPr>
                <w:sz w:val="18"/>
              </w:rPr>
              <w:t>C</w:t>
            </w:r>
          </w:p>
        </w:tc>
      </w:tr>
      <w:tr w:rsidR="009B70CA" w14:paraId="45EEC9B7" w14:textId="77777777">
        <w:trPr>
          <w:trHeight w:val="654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9438" w14:textId="77777777" w:rsidR="009B70CA" w:rsidRDefault="00EC3017">
            <w:pPr>
              <w:rPr>
                <w:sz w:val="18"/>
              </w:rPr>
            </w:pPr>
            <w:r>
              <w:rPr>
                <w:sz w:val="18"/>
              </w:rPr>
              <w:t>ICS</w:t>
            </w:r>
            <w:r>
              <w:rPr>
                <w:rFonts w:hint="eastAsia"/>
                <w:sz w:val="18"/>
              </w:rPr>
              <w:t>分类号</w:t>
            </w:r>
          </w:p>
        </w:tc>
        <w:tc>
          <w:tcPr>
            <w:tcW w:w="3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358B" w14:textId="77777777" w:rsidR="009B70CA" w:rsidRDefault="00EC3017">
            <w:pPr>
              <w:rPr>
                <w:sz w:val="18"/>
              </w:rPr>
            </w:pPr>
            <w:r>
              <w:rPr>
                <w:sz w:val="18"/>
              </w:rPr>
              <w:t>03.120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54DC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中国标准分类号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8AEC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Q00</w:t>
            </w:r>
          </w:p>
        </w:tc>
      </w:tr>
      <w:tr w:rsidR="009B70CA" w14:paraId="49A24CAE" w14:textId="77777777">
        <w:trPr>
          <w:trHeight w:val="620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5907B" w14:textId="77777777" w:rsidR="009B70CA" w:rsidRDefault="00EC3017">
            <w:pPr>
              <w:rPr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标准主要起草单位</w:t>
            </w:r>
          </w:p>
        </w:tc>
        <w:tc>
          <w:tcPr>
            <w:tcW w:w="30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2065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北京国建联信认证中心有限公司、中国建筑材料联合会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DA48" w14:textId="77777777" w:rsidR="009B70CA" w:rsidRDefault="00EC301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计划起止时间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00D73" w14:textId="77777777" w:rsidR="009B70CA" w:rsidRDefault="00EC3017">
            <w:pPr>
              <w:rPr>
                <w:sz w:val="18"/>
              </w:rPr>
            </w:pPr>
            <w:r>
              <w:rPr>
                <w:rFonts w:eastAsia="Times New Roman"/>
                <w:sz w:val="18"/>
              </w:rPr>
              <w:t>202</w:t>
            </w:r>
            <w:r>
              <w:rPr>
                <w:rFonts w:hint="eastAsia"/>
                <w:sz w:val="18"/>
              </w:rPr>
              <w:t>4</w:t>
            </w:r>
            <w:r>
              <w:rPr>
                <w:rFonts w:eastAsia="Times New Roman"/>
                <w:sz w:val="18"/>
              </w:rPr>
              <w:t>.</w:t>
            </w:r>
            <w:r>
              <w:rPr>
                <w:rFonts w:hint="eastAsia"/>
                <w:sz w:val="18"/>
              </w:rPr>
              <w:t>9</w:t>
            </w:r>
            <w:r>
              <w:rPr>
                <w:rFonts w:eastAsia="Times New Roman"/>
                <w:sz w:val="18"/>
              </w:rPr>
              <w:t>.1-202</w:t>
            </w:r>
            <w:r>
              <w:rPr>
                <w:rFonts w:hint="eastAsia"/>
                <w:sz w:val="18"/>
              </w:rPr>
              <w:t>5</w:t>
            </w:r>
            <w:r>
              <w:rPr>
                <w:rFonts w:eastAsia="Times New Roman"/>
                <w:sz w:val="18"/>
              </w:rPr>
              <w:t>.</w:t>
            </w:r>
            <w:r>
              <w:rPr>
                <w:rFonts w:hint="eastAsia"/>
                <w:sz w:val="18"/>
              </w:rPr>
              <w:t>9</w:t>
            </w:r>
            <w:r>
              <w:rPr>
                <w:rFonts w:eastAsia="Times New Roman"/>
                <w:sz w:val="18"/>
              </w:rPr>
              <w:t>.</w:t>
            </w:r>
            <w:r>
              <w:rPr>
                <w:rFonts w:hint="eastAsia"/>
                <w:sz w:val="18"/>
              </w:rPr>
              <w:t>1</w:t>
            </w:r>
          </w:p>
        </w:tc>
      </w:tr>
      <w:tr w:rsidR="009B70CA" w14:paraId="2C2FC466" w14:textId="77777777">
        <w:trPr>
          <w:trHeight w:val="1112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79F7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目的、意义或必要性</w:t>
            </w:r>
          </w:p>
        </w:tc>
        <w:tc>
          <w:tcPr>
            <w:tcW w:w="74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A3057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jc w:val="both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代表的是企业在环境（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）、社会责任（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S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）和公司治理（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）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3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个方面的信息内容。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2004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年，联合国在报告《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Who Cares Wins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》中首次提出了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一词。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2006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年联合国前秘书长科菲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·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安南牵头发起联合国责任投资原则组织（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UN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PRI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），旨在帮助投资者理解环境、社会及公司治理对于投资决策的影响。次年，高盛公司将环境、社会责任以及投资者较为关注的公司治理因素整合发布了一份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研究报告，首次明确了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的概念。此后，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投资理念开始被广泛研究，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成为全球投资者投资决策的重要参考，同时也是成为企业可持续发展水平的重要衡量指标。</w:t>
            </w:r>
          </w:p>
          <w:p w14:paraId="5FDD1BDD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jc w:val="both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经过数十年的发展，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信息已经成为上市企业非财务绩效的主流评价体系，也是推动企业可持续发展的核心框架和系统方法论。企业</w:t>
            </w:r>
            <w:proofErr w:type="gramStart"/>
            <w:r>
              <w:rPr>
                <w:rFonts w:eastAsia="宋体"/>
                <w:sz w:val="18"/>
                <w:szCs w:val="18"/>
                <w:shd w:val="clear" w:color="auto" w:fill="FFFFFF"/>
              </w:rPr>
              <w:t>践行</w:t>
            </w:r>
            <w:proofErr w:type="gramEnd"/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理念，与国家提出生态优先、绿色低碳的目标高度契合。党的十八大以来，党和政府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高度重视绿色发展、可持续发展，陆续出台了一系列政策文件。在证监会的统一部署和指导下，上交所、深交所和北交所在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4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月正式发布了上市公司可持续发展报告指引，并自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2024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年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5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1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日起实施。相关指引要求上证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180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指数、</w:t>
            </w:r>
            <w:proofErr w:type="gramStart"/>
            <w:r>
              <w:rPr>
                <w:rFonts w:eastAsia="宋体"/>
                <w:sz w:val="18"/>
                <w:szCs w:val="18"/>
                <w:shd w:val="clear" w:color="auto" w:fill="FFFFFF"/>
              </w:rPr>
              <w:t>科创</w:t>
            </w:r>
            <w:proofErr w:type="gramEnd"/>
            <w:r>
              <w:rPr>
                <w:rFonts w:eastAsia="宋体"/>
                <w:sz w:val="18"/>
                <w:szCs w:val="18"/>
                <w:shd w:val="clear" w:color="auto" w:fill="FFFFFF"/>
              </w:rPr>
              <w:t>50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指数、深证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100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指数、创业</w:t>
            </w:r>
            <w:proofErr w:type="gramStart"/>
            <w:r>
              <w:rPr>
                <w:rFonts w:eastAsia="宋体"/>
                <w:sz w:val="18"/>
                <w:szCs w:val="18"/>
                <w:shd w:val="clear" w:color="auto" w:fill="FFFFFF"/>
              </w:rPr>
              <w:t>板指数</w:t>
            </w:r>
            <w:proofErr w:type="gramEnd"/>
            <w:r>
              <w:rPr>
                <w:rFonts w:eastAsia="宋体"/>
                <w:sz w:val="18"/>
                <w:szCs w:val="18"/>
                <w:shd w:val="clear" w:color="auto" w:fill="FFFFFF"/>
              </w:rPr>
              <w:t>样本公司及境内外同时上市的公司应当最晚在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2026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年首次披露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2025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年度可持续发展报告，鼓励其他上市公司自愿披露。</w:t>
            </w:r>
          </w:p>
          <w:p w14:paraId="5CC78881" w14:textId="77777777" w:rsidR="009B70CA" w:rsidRDefault="00EC3017">
            <w:pPr>
              <w:pStyle w:val="aa"/>
              <w:spacing w:beforeAutospacing="0" w:after="0" w:afterAutospacing="0"/>
              <w:ind w:firstLineChars="200" w:firstLine="360"/>
              <w:jc w:val="both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标准是企业进行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ESG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治理实践和信息披露的方法依据和行动指南，是投资与评价机构开展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ESG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投资和评估的逻辑依据，也是政府部门制定、执行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ESG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有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关政策并进行监管的决策参考。目前国外尚未有统一且适合中国国情的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ESG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披露标准，国内也尚未形成涵盖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 xml:space="preserve">ESG 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的标准体系，因此在当前阶段抓紧启动我国企业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标准化建设，制定适用于各种行业、不同规模、不同类型的企业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披露指南，是顺应国内潮流且符合国际趋势的政策布局。</w:t>
            </w:r>
          </w:p>
          <w:p w14:paraId="6A0C04CD" w14:textId="77777777" w:rsidR="009B70CA" w:rsidRDefault="00EC3017">
            <w:pPr>
              <w:pStyle w:val="aa"/>
              <w:spacing w:beforeAutospacing="0" w:after="0" w:afterAutospacing="0"/>
              <w:ind w:firstLineChars="200" w:firstLine="360"/>
              <w:jc w:val="both"/>
              <w:rPr>
                <w:rFonts w:eastAsia="宋体"/>
                <w:kern w:val="2"/>
                <w:sz w:val="18"/>
                <w:szCs w:val="18"/>
              </w:rPr>
            </w:pPr>
            <w:r>
              <w:rPr>
                <w:rFonts w:eastAsia="宋体"/>
                <w:kern w:val="2"/>
                <w:sz w:val="18"/>
                <w:szCs w:val="18"/>
              </w:rPr>
              <w:t>建材行业是国家进行项目设施建设的基础行业、也是建筑行业经济发展的主要支撑者，对我国的经济建设与民生发展发挥着极其重要的引导与促进作用。另外，建材行业产品门类众多，生产的建材主要包含建筑材料及其制品、非金属矿及其制品和无机非金属新型材料。目前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国内</w:t>
            </w:r>
            <w:r>
              <w:rPr>
                <w:rFonts w:eastAsia="宋体"/>
                <w:kern w:val="2"/>
                <w:sz w:val="18"/>
                <w:szCs w:val="18"/>
              </w:rPr>
              <w:t>上市的建材企业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120</w:t>
            </w:r>
            <w:r>
              <w:rPr>
                <w:rFonts w:eastAsia="宋体"/>
                <w:kern w:val="2"/>
                <w:sz w:val="18"/>
                <w:szCs w:val="18"/>
              </w:rPr>
              <w:t>余家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，</w:t>
            </w:r>
            <w:r>
              <w:rPr>
                <w:rFonts w:eastAsia="宋体"/>
                <w:kern w:val="2"/>
                <w:sz w:val="18"/>
                <w:szCs w:val="18"/>
              </w:rPr>
              <w:t>信息披露的建材企业中有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近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30%</w:t>
            </w:r>
            <w:r>
              <w:rPr>
                <w:rFonts w:eastAsia="宋体"/>
                <w:kern w:val="2"/>
                <w:sz w:val="18"/>
                <w:szCs w:val="18"/>
              </w:rPr>
              <w:t>的企业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以</w:t>
            </w:r>
            <w:r>
              <w:rPr>
                <w:rFonts w:eastAsia="宋体"/>
                <w:kern w:val="2"/>
                <w:sz w:val="18"/>
                <w:szCs w:val="18"/>
              </w:rPr>
              <w:t>社会责任报告</w:t>
            </w:r>
            <w:r>
              <w:rPr>
                <w:rFonts w:eastAsia="宋体"/>
                <w:kern w:val="2"/>
                <w:sz w:val="18"/>
                <w:szCs w:val="18"/>
              </w:rPr>
              <w:t>/ESG</w:t>
            </w:r>
            <w:r>
              <w:rPr>
                <w:rFonts w:eastAsia="宋体"/>
                <w:kern w:val="2"/>
                <w:sz w:val="18"/>
                <w:szCs w:val="18"/>
              </w:rPr>
              <w:t>报告</w:t>
            </w:r>
            <w:r>
              <w:rPr>
                <w:rFonts w:eastAsia="宋体"/>
                <w:kern w:val="2"/>
                <w:sz w:val="18"/>
                <w:szCs w:val="18"/>
              </w:rPr>
              <w:t>/</w:t>
            </w:r>
            <w:r>
              <w:rPr>
                <w:rFonts w:eastAsia="宋体"/>
                <w:kern w:val="2"/>
                <w:sz w:val="18"/>
                <w:szCs w:val="18"/>
              </w:rPr>
              <w:t>可持续发展报告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的</w:t>
            </w:r>
            <w:r>
              <w:rPr>
                <w:rFonts w:eastAsia="宋体"/>
                <w:kern w:val="2"/>
                <w:sz w:val="18"/>
                <w:szCs w:val="18"/>
              </w:rPr>
              <w:t>形式进行信息披露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，然而披露的质量参差不齐，在报告编制规范以及披露质量改进上还有大量可改进空间</w:t>
            </w:r>
            <w:r>
              <w:rPr>
                <w:rFonts w:eastAsia="宋体"/>
                <w:kern w:val="2"/>
                <w:sz w:val="18"/>
                <w:szCs w:val="18"/>
              </w:rPr>
              <w:t>。</w:t>
            </w:r>
          </w:p>
          <w:p w14:paraId="7BC4FBE9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jc w:val="both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lastRenderedPageBreak/>
              <w:t>本文件是《建筑材料行业企业环境、社会和公司治理（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）指南》系列标准的第三部分，第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一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部分是信息披露标准，旨在为建材行业企业提供系统化的披露指标框架，以增强透明度和信息对称性。第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二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部分为绩效评价标准，主要为评级机构提供科学的评估依据，促使企业在可持续发展方面展现更为出色的表现。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本文件是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基于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T</w:t>
            </w:r>
            <w:r>
              <w:rPr>
                <w:rFonts w:eastAsia="宋体"/>
                <w:kern w:val="2"/>
                <w:sz w:val="18"/>
                <w:szCs w:val="18"/>
              </w:rPr>
              <w:t>/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 xml:space="preserve">CBMF 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268.1</w:t>
            </w:r>
            <w:r>
              <w:rPr>
                <w:rFonts w:eastAsia="宋体"/>
                <w:kern w:val="2"/>
                <w:sz w:val="18"/>
                <w:szCs w:val="18"/>
              </w:rPr>
              <w:t>-2024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《</w:t>
            </w:r>
            <w:r>
              <w:rPr>
                <w:rFonts w:eastAsia="宋体"/>
                <w:kern w:val="2"/>
                <w:sz w:val="18"/>
                <w:szCs w:val="18"/>
              </w:rPr>
              <w:t>建筑材料行业企业环境、社会和公司治理（</w:t>
            </w:r>
            <w:r>
              <w:rPr>
                <w:rFonts w:eastAsia="宋体"/>
                <w:kern w:val="2"/>
                <w:sz w:val="18"/>
                <w:szCs w:val="18"/>
              </w:rPr>
              <w:t>ESG</w:t>
            </w:r>
            <w:r>
              <w:rPr>
                <w:rFonts w:eastAsia="宋体"/>
                <w:kern w:val="2"/>
                <w:sz w:val="18"/>
                <w:szCs w:val="18"/>
              </w:rPr>
              <w:t>）指南</w:t>
            </w:r>
            <w:r>
              <w:rPr>
                <w:rFonts w:eastAsia="宋体"/>
                <w:kern w:val="2"/>
                <w:sz w:val="18"/>
                <w:szCs w:val="18"/>
              </w:rPr>
              <w:t xml:space="preserve"> </w:t>
            </w:r>
            <w:r>
              <w:rPr>
                <w:rFonts w:eastAsia="宋体"/>
                <w:kern w:val="2"/>
                <w:sz w:val="18"/>
                <w:szCs w:val="18"/>
              </w:rPr>
              <w:t>第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一</w:t>
            </w:r>
            <w:r>
              <w:rPr>
                <w:rFonts w:eastAsia="宋体"/>
                <w:kern w:val="2"/>
                <w:sz w:val="18"/>
                <w:szCs w:val="18"/>
              </w:rPr>
              <w:t>部分：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信息披露》给出的指标框架，同时结合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T</w:t>
            </w:r>
            <w:r>
              <w:rPr>
                <w:rFonts w:eastAsia="宋体"/>
                <w:kern w:val="2"/>
                <w:sz w:val="18"/>
                <w:szCs w:val="18"/>
              </w:rPr>
              <w:t>/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CBMF268.2</w:t>
            </w:r>
            <w:r>
              <w:rPr>
                <w:rFonts w:eastAsia="宋体"/>
                <w:kern w:val="2"/>
                <w:sz w:val="18"/>
                <w:szCs w:val="18"/>
              </w:rPr>
              <w:t>-2024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《</w:t>
            </w:r>
            <w:r>
              <w:rPr>
                <w:rFonts w:eastAsia="宋体"/>
                <w:kern w:val="2"/>
                <w:sz w:val="18"/>
                <w:szCs w:val="18"/>
              </w:rPr>
              <w:t>建筑材料行业企业环境、社会和公司治理（</w:t>
            </w:r>
            <w:r>
              <w:rPr>
                <w:rFonts w:eastAsia="宋体"/>
                <w:kern w:val="2"/>
                <w:sz w:val="18"/>
                <w:szCs w:val="18"/>
              </w:rPr>
              <w:t>ESG</w:t>
            </w:r>
            <w:r>
              <w:rPr>
                <w:rFonts w:eastAsia="宋体"/>
                <w:kern w:val="2"/>
                <w:sz w:val="18"/>
                <w:szCs w:val="18"/>
              </w:rPr>
              <w:t>）指南</w:t>
            </w:r>
            <w:r>
              <w:rPr>
                <w:rFonts w:eastAsia="宋体"/>
                <w:kern w:val="2"/>
                <w:sz w:val="18"/>
                <w:szCs w:val="18"/>
              </w:rPr>
              <w:t xml:space="preserve"> </w:t>
            </w:r>
            <w:r>
              <w:rPr>
                <w:rFonts w:eastAsia="宋体"/>
                <w:kern w:val="2"/>
                <w:sz w:val="18"/>
                <w:szCs w:val="18"/>
              </w:rPr>
              <w:t>第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二</w:t>
            </w:r>
            <w:r>
              <w:rPr>
                <w:rFonts w:eastAsia="宋体"/>
                <w:kern w:val="2"/>
                <w:sz w:val="18"/>
                <w:szCs w:val="18"/>
              </w:rPr>
              <w:t>部分：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绩效评价》的评级方法，对各个专题层面上关键绩效指标的具体披露内容，包括指标的计算方法和依据，以及战略、目标、举措进行详细阐述，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旨在为建筑材料行业企业提供一套系统化的环境、社会和公司治理（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）报告编制指南，以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指导企业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信息披露的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透明度和责任感。</w:t>
            </w:r>
          </w:p>
          <w:p w14:paraId="32F8FF73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jc w:val="both"/>
              <w:rPr>
                <w:rFonts w:ascii="宋体" w:eastAsia="宋体" w:hAnsi="宋体" w:cs="宋体"/>
                <w:kern w:val="2"/>
                <w:sz w:val="18"/>
                <w:szCs w:val="18"/>
              </w:rPr>
            </w:pP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本文件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通过规范报告编制流程，帮助企业更好地识别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、评估和披露其在环境保护、社会责任和公司治理方面的表现</w:t>
            </w:r>
            <w:r>
              <w:rPr>
                <w:rFonts w:eastAsia="宋体" w:hint="eastAsia"/>
                <w:sz w:val="18"/>
                <w:szCs w:val="18"/>
                <w:shd w:val="clear" w:color="auto" w:fill="FFFFFF"/>
              </w:rPr>
              <w:t>，</w:t>
            </w:r>
            <w:r>
              <w:rPr>
                <w:rFonts w:eastAsia="宋体"/>
                <w:kern w:val="2"/>
                <w:sz w:val="18"/>
                <w:szCs w:val="18"/>
              </w:rPr>
              <w:t>进一步推动国内建材企业</w:t>
            </w:r>
            <w:r>
              <w:rPr>
                <w:rFonts w:eastAsia="宋体"/>
                <w:sz w:val="18"/>
                <w:szCs w:val="18"/>
                <w:shd w:val="clear" w:color="auto" w:fill="FFFFFF"/>
              </w:rPr>
              <w:t>ESG</w:t>
            </w:r>
            <w:r>
              <w:rPr>
                <w:rFonts w:eastAsia="宋体"/>
                <w:kern w:val="2"/>
                <w:sz w:val="18"/>
                <w:szCs w:val="18"/>
              </w:rPr>
              <w:t>信息披露标准化、规范化，提高披露水平，吸引更多的投资者关注建材行业绿色低碳发展。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《建筑材料行业企业环境、社会和公司治理（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ESG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）指南》系列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三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个标准之间紧密关联。信息披露标准为企业提供了必要的数据和指标，使其能够满足绩效评价标准所要求的信息基础。而绩效评价标准则依据信息披露的结果，对企业进行评估与评级，从而推动其在可持续发展中的提升。报告指南则在此过程中起到了桥梁的作用，确保企业在信息披露及绩效评价的过程中遵循规范和标准，提升报告的质量和可比性，进一步巩固企业的信誉与社会责任感。三部分构成了一个相辅相成、互为支撑的标准体系，共同促进了建材行业的可持续发展与社会责任的履行。</w:t>
            </w:r>
          </w:p>
        </w:tc>
      </w:tr>
      <w:tr w:rsidR="009B70CA" w14:paraId="00A7913C" w14:textId="77777777">
        <w:trPr>
          <w:trHeight w:val="1545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B7887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lastRenderedPageBreak/>
              <w:t>范围和主要</w:t>
            </w:r>
          </w:p>
          <w:p w14:paraId="72FCD68A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技术内容</w:t>
            </w:r>
          </w:p>
        </w:tc>
        <w:tc>
          <w:tcPr>
            <w:tcW w:w="74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BC29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rPr>
                <w:rFonts w:eastAsia="宋体"/>
                <w:kern w:val="2"/>
                <w:sz w:val="18"/>
                <w:szCs w:val="18"/>
              </w:rPr>
            </w:pPr>
            <w:r>
              <w:rPr>
                <w:rFonts w:eastAsia="宋体" w:hint="eastAsia"/>
                <w:kern w:val="2"/>
                <w:sz w:val="18"/>
                <w:szCs w:val="18"/>
              </w:rPr>
              <w:t>本文件适用于建筑材料企业的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ESG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报告编制。主要技术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内容包括：</w:t>
            </w:r>
          </w:p>
          <w:p w14:paraId="3849A737" w14:textId="77777777" w:rsidR="009B70CA" w:rsidRDefault="00EC3017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ind w:firstLineChars="200" w:firstLine="360"/>
              <w:rPr>
                <w:rFonts w:eastAsia="宋体"/>
                <w:kern w:val="2"/>
                <w:sz w:val="18"/>
                <w:szCs w:val="18"/>
              </w:rPr>
            </w:pPr>
            <w:r>
              <w:rPr>
                <w:rFonts w:eastAsia="宋体" w:hint="eastAsia"/>
                <w:kern w:val="2"/>
                <w:sz w:val="18"/>
                <w:szCs w:val="18"/>
              </w:rPr>
              <w:t>基本原则：规定建筑材料企业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ESG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报告编制的主要原则，包括完整性、客观性、及时性、可读性等；</w:t>
            </w:r>
          </w:p>
          <w:p w14:paraId="1CC28B14" w14:textId="77777777" w:rsidR="009B70CA" w:rsidRDefault="00EC3017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ind w:firstLineChars="200" w:firstLine="360"/>
              <w:rPr>
                <w:rFonts w:eastAsia="宋体"/>
                <w:kern w:val="2"/>
                <w:sz w:val="18"/>
                <w:szCs w:val="18"/>
              </w:rPr>
            </w:pPr>
            <w:r>
              <w:rPr>
                <w:rFonts w:eastAsia="宋体" w:hint="eastAsia"/>
                <w:kern w:val="2"/>
                <w:sz w:val="18"/>
                <w:szCs w:val="18"/>
              </w:rPr>
              <w:t>报告方式：规定了报告的范围以及时间、频次等内容；</w:t>
            </w:r>
          </w:p>
          <w:p w14:paraId="73C8EF85" w14:textId="77777777" w:rsidR="009B70CA" w:rsidRDefault="00EC3017">
            <w:pPr>
              <w:pStyle w:val="aa"/>
              <w:numPr>
                <w:ilvl w:val="0"/>
                <w:numId w:val="1"/>
              </w:numPr>
              <w:spacing w:before="0" w:beforeAutospacing="0" w:after="0" w:afterAutospacing="0"/>
              <w:ind w:firstLineChars="200" w:firstLine="360"/>
              <w:rPr>
                <w:rFonts w:eastAsia="宋体"/>
                <w:kern w:val="2"/>
                <w:sz w:val="18"/>
                <w:szCs w:val="18"/>
              </w:rPr>
            </w:pPr>
            <w:r>
              <w:rPr>
                <w:rFonts w:eastAsia="宋体" w:hint="eastAsia"/>
                <w:kern w:val="2"/>
                <w:sz w:val="18"/>
                <w:szCs w:val="18"/>
              </w:rPr>
              <w:t>报告内容：</w:t>
            </w:r>
            <w:r>
              <w:rPr>
                <w:rFonts w:eastAsia="宋体"/>
                <w:kern w:val="2"/>
                <w:sz w:val="18"/>
                <w:szCs w:val="18"/>
              </w:rPr>
              <w:t>环境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方面</w:t>
            </w:r>
            <w:r>
              <w:rPr>
                <w:rFonts w:eastAsia="宋体"/>
                <w:kern w:val="2"/>
                <w:sz w:val="18"/>
                <w:szCs w:val="18"/>
              </w:rPr>
              <w:t>包括温室气体排放量、能源消耗、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废弃物</w:t>
            </w:r>
            <w:r>
              <w:rPr>
                <w:rFonts w:eastAsia="宋体"/>
                <w:kern w:val="2"/>
                <w:sz w:val="18"/>
                <w:szCs w:val="18"/>
              </w:rPr>
              <w:t>处理情况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的战略、目标、指标及举措</w:t>
            </w:r>
            <w:r>
              <w:rPr>
                <w:rFonts w:eastAsia="宋体"/>
                <w:kern w:val="2"/>
                <w:sz w:val="18"/>
                <w:szCs w:val="18"/>
              </w:rPr>
              <w:t>，要求企业提供具体的计算方法和数据来源。例如，温室气体排放量应按照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GB 32151</w:t>
            </w:r>
            <w:r>
              <w:rPr>
                <w:rFonts w:eastAsia="宋体"/>
                <w:kern w:val="2"/>
                <w:sz w:val="18"/>
                <w:szCs w:val="18"/>
              </w:rPr>
              <w:t>进行计算，并提供相关的监测数据和报告周期；</w:t>
            </w:r>
          </w:p>
          <w:p w14:paraId="3EF1FF4E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rPr>
                <w:rFonts w:eastAsia="宋体"/>
                <w:kern w:val="2"/>
                <w:sz w:val="18"/>
                <w:szCs w:val="18"/>
              </w:rPr>
            </w:pPr>
            <w:r>
              <w:rPr>
                <w:rFonts w:eastAsia="宋体"/>
                <w:kern w:val="2"/>
                <w:sz w:val="18"/>
                <w:szCs w:val="18"/>
              </w:rPr>
              <w:t>社会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方面</w:t>
            </w:r>
            <w:r>
              <w:rPr>
                <w:rFonts w:eastAsia="宋体"/>
                <w:kern w:val="2"/>
                <w:sz w:val="18"/>
                <w:szCs w:val="18"/>
              </w:rPr>
              <w:t>包括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职业健康安全</w:t>
            </w:r>
            <w:r>
              <w:rPr>
                <w:rFonts w:eastAsia="宋体"/>
                <w:kern w:val="2"/>
                <w:sz w:val="18"/>
                <w:szCs w:val="18"/>
              </w:rPr>
              <w:t>、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员工管理与职业发展、</w:t>
            </w:r>
            <w:r>
              <w:rPr>
                <w:rFonts w:eastAsia="宋体"/>
                <w:kern w:val="2"/>
                <w:sz w:val="18"/>
                <w:szCs w:val="18"/>
              </w:rPr>
              <w:t>产品质量与安全、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社区影响的战略、目标、指标及举措</w:t>
            </w:r>
            <w:r>
              <w:rPr>
                <w:rFonts w:eastAsia="宋体"/>
                <w:kern w:val="2"/>
                <w:sz w:val="18"/>
                <w:szCs w:val="18"/>
              </w:rPr>
              <w:t>，要求企业提供具体的计算方法和数据来源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。例如，如员工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满意度调查的具体实施方法和样本量</w:t>
            </w:r>
            <w:r>
              <w:rPr>
                <w:rFonts w:eastAsia="宋体"/>
                <w:kern w:val="2"/>
                <w:sz w:val="18"/>
                <w:szCs w:val="18"/>
              </w:rPr>
              <w:t>；</w:t>
            </w:r>
          </w:p>
          <w:p w14:paraId="1173B11E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rPr>
                <w:rFonts w:eastAsia="宋体"/>
                <w:kern w:val="2"/>
                <w:sz w:val="18"/>
                <w:szCs w:val="18"/>
              </w:rPr>
            </w:pPr>
            <w:r>
              <w:rPr>
                <w:rFonts w:eastAsia="宋体"/>
                <w:kern w:val="2"/>
                <w:sz w:val="18"/>
                <w:szCs w:val="18"/>
              </w:rPr>
              <w:t>治理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方面</w:t>
            </w:r>
            <w:r>
              <w:rPr>
                <w:rFonts w:eastAsia="宋体"/>
                <w:kern w:val="2"/>
                <w:sz w:val="18"/>
                <w:szCs w:val="18"/>
              </w:rPr>
              <w:t>包括商业道德、内部控制制度、董事会结构、薪酬制度、反腐败行动、监督制度等方面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的战略、目标、指标及举措</w:t>
            </w:r>
            <w:r>
              <w:rPr>
                <w:rFonts w:eastAsia="宋体"/>
                <w:kern w:val="2"/>
                <w:sz w:val="18"/>
                <w:szCs w:val="18"/>
              </w:rPr>
              <w:t>。企业需提供治理结构的详细描述和相关政策文件的引用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。</w:t>
            </w:r>
          </w:p>
          <w:p w14:paraId="600FA8C9" w14:textId="77777777" w:rsidR="009B70CA" w:rsidRDefault="00EC3017">
            <w:pPr>
              <w:pStyle w:val="aa"/>
              <w:spacing w:before="0" w:beforeAutospacing="0" w:after="0" w:afterAutospacing="0"/>
              <w:ind w:firstLineChars="200" w:firstLine="360"/>
              <w:rPr>
                <w:rFonts w:eastAsia="宋体"/>
                <w:sz w:val="18"/>
                <w:szCs w:val="18"/>
                <w:shd w:val="clear" w:color="auto" w:fill="FFFFFF"/>
              </w:rPr>
            </w:pPr>
            <w:r>
              <w:rPr>
                <w:rFonts w:eastAsia="宋体" w:hint="eastAsia"/>
                <w:kern w:val="2"/>
                <w:sz w:val="18"/>
                <w:szCs w:val="18"/>
              </w:rPr>
              <w:t>4</w:t>
            </w:r>
            <w:r>
              <w:rPr>
                <w:rFonts w:eastAsia="宋体" w:hint="eastAsia"/>
                <w:kern w:val="2"/>
                <w:sz w:val="18"/>
                <w:szCs w:val="18"/>
              </w:rPr>
              <w:t>）内容</w:t>
            </w:r>
            <w:proofErr w:type="gramStart"/>
            <w:r>
              <w:rPr>
                <w:rFonts w:eastAsia="宋体" w:hint="eastAsia"/>
                <w:kern w:val="2"/>
                <w:sz w:val="18"/>
                <w:szCs w:val="18"/>
              </w:rPr>
              <w:t>鉴证</w:t>
            </w:r>
            <w:proofErr w:type="gramEnd"/>
            <w:r>
              <w:rPr>
                <w:rFonts w:eastAsia="宋体" w:hint="eastAsia"/>
                <w:kern w:val="2"/>
                <w:sz w:val="18"/>
                <w:szCs w:val="18"/>
              </w:rPr>
              <w:t>与报告应用：规定了对报告内容进行</w:t>
            </w:r>
            <w:proofErr w:type="gramStart"/>
            <w:r>
              <w:rPr>
                <w:rFonts w:eastAsia="宋体" w:hint="eastAsia"/>
                <w:kern w:val="2"/>
                <w:sz w:val="18"/>
                <w:szCs w:val="18"/>
              </w:rPr>
              <w:t>鉴证</w:t>
            </w:r>
            <w:proofErr w:type="gramEnd"/>
            <w:r>
              <w:rPr>
                <w:rFonts w:eastAsia="宋体" w:hint="eastAsia"/>
                <w:kern w:val="2"/>
                <w:sz w:val="18"/>
                <w:szCs w:val="18"/>
              </w:rPr>
              <w:t>的要求以及报告应用的建议。</w:t>
            </w:r>
          </w:p>
        </w:tc>
      </w:tr>
      <w:tr w:rsidR="009B70CA" w14:paraId="1B658EE5" w14:textId="77777777">
        <w:trPr>
          <w:trHeight w:val="2917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1F3B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国内外情况</w:t>
            </w:r>
          </w:p>
          <w:p w14:paraId="042158C3" w14:textId="77777777" w:rsidR="009B70CA" w:rsidRDefault="00EC3017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简要说明</w:t>
            </w:r>
          </w:p>
        </w:tc>
        <w:tc>
          <w:tcPr>
            <w:tcW w:w="74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90A8" w14:textId="77777777" w:rsidR="009B70CA" w:rsidRDefault="00EC3017">
            <w:pPr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rFonts w:hint="eastAsia"/>
                <w:sz w:val="18"/>
                <w:u w:val="single"/>
              </w:rPr>
              <w:t>国内外对该技术研究情况简要说明</w:t>
            </w:r>
            <w:r>
              <w:rPr>
                <w:rFonts w:hint="eastAsia"/>
                <w:sz w:val="18"/>
              </w:rPr>
              <w:t>：</w:t>
            </w:r>
          </w:p>
          <w:p w14:paraId="5B038EE8" w14:textId="77777777" w:rsidR="009B70CA" w:rsidRDefault="00EC3017">
            <w:pPr>
              <w:ind w:firstLineChars="200" w:firstLine="360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近年来，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发展得到了政府的大力支持。</w:t>
            </w:r>
            <w:r>
              <w:rPr>
                <w:rFonts w:ascii="宋体" w:hAnsi="宋体" w:cs="宋体" w:hint="eastAsia"/>
                <w:sz w:val="18"/>
              </w:rPr>
              <w:t xml:space="preserve">2023 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 xml:space="preserve"> 5 </w:t>
            </w:r>
            <w:r>
              <w:rPr>
                <w:rFonts w:ascii="宋体" w:hAnsi="宋体" w:cs="宋体" w:hint="eastAsia"/>
                <w:sz w:val="18"/>
              </w:rPr>
              <w:t>月，国务院国资委在新发《提高央企控股上市公司质量工作方案》中提出，要建立健全</w:t>
            </w:r>
            <w:r>
              <w:rPr>
                <w:rFonts w:ascii="宋体" w:hAnsi="宋体" w:cs="宋体" w:hint="eastAsia"/>
                <w:sz w:val="18"/>
              </w:rPr>
              <w:t xml:space="preserve"> ESG </w:t>
            </w:r>
            <w:r>
              <w:rPr>
                <w:rFonts w:ascii="宋体" w:hAnsi="宋体" w:cs="宋体" w:hint="eastAsia"/>
                <w:sz w:val="18"/>
              </w:rPr>
              <w:t>体系，要求中央企业集团公司统筹推动上市公司完整、准确、全面贯彻新发展理念。逐步释放出了我国对于企业</w:t>
            </w:r>
            <w:r>
              <w:rPr>
                <w:rFonts w:ascii="宋体" w:hAnsi="宋体" w:cs="宋体" w:hint="eastAsia"/>
                <w:sz w:val="18"/>
              </w:rPr>
              <w:t xml:space="preserve"> ESG </w:t>
            </w:r>
            <w:r>
              <w:rPr>
                <w:rFonts w:ascii="宋体" w:hAnsi="宋体" w:cs="宋体" w:hint="eastAsia"/>
                <w:sz w:val="18"/>
              </w:rPr>
              <w:t>监管力度不断加强的信号。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1</w:t>
            </w:r>
            <w:r>
              <w:rPr>
                <w:rFonts w:ascii="宋体" w:hAnsi="宋体" w:cs="宋体" w:hint="eastAsia"/>
                <w:sz w:val="18"/>
              </w:rPr>
              <w:t>月，中共中央和国务院联合发布了《关于全面推进美丽中国建设的意见》，为中国的环境、社会和公司治理（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）发展指明了方向。根据《关于全面推进美丽中国建设的意见》，中国政府将探索开展环境、社会和公司治理评价，推动企业在发展中注重环境保护、社会责任和治理结构的完善。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5</w:t>
            </w:r>
            <w:r>
              <w:rPr>
                <w:rFonts w:ascii="宋体" w:hAnsi="宋体" w:cs="宋体" w:hint="eastAsia"/>
                <w:sz w:val="18"/>
              </w:rPr>
              <w:t>月，财政部正式发布中国《企业可持续披露准则——基本准则（征求意见稿）》。总体目标提出，到</w:t>
            </w:r>
            <w:r>
              <w:rPr>
                <w:rFonts w:ascii="宋体" w:hAnsi="宋体" w:cs="宋体" w:hint="eastAsia"/>
                <w:sz w:val="18"/>
              </w:rPr>
              <w:t xml:space="preserve"> 202</w:t>
            </w:r>
            <w:r>
              <w:rPr>
                <w:rFonts w:ascii="宋体" w:hAnsi="宋体" w:cs="宋体" w:hint="eastAsia"/>
                <w:sz w:val="18"/>
              </w:rPr>
              <w:t xml:space="preserve">7 </w:t>
            </w:r>
            <w:r>
              <w:rPr>
                <w:rFonts w:ascii="宋体" w:hAnsi="宋体" w:cs="宋体" w:hint="eastAsia"/>
                <w:sz w:val="18"/>
              </w:rPr>
              <w:t>年，我国企业可持续披露基本准则、气候相关披露准则相继出台。到</w:t>
            </w:r>
            <w:r>
              <w:rPr>
                <w:rFonts w:ascii="宋体" w:hAnsi="宋体" w:cs="宋体" w:hint="eastAsia"/>
                <w:sz w:val="18"/>
              </w:rPr>
              <w:t xml:space="preserve">2030 </w:t>
            </w:r>
            <w:r>
              <w:rPr>
                <w:rFonts w:ascii="宋体" w:hAnsi="宋体" w:cs="宋体" w:hint="eastAsia"/>
                <w:sz w:val="18"/>
              </w:rPr>
              <w:t>年，国家统一的可持续披露准则体系基本建成。</w:t>
            </w:r>
          </w:p>
          <w:p w14:paraId="7EEEB4ED" w14:textId="77777777" w:rsidR="009B70CA" w:rsidRDefault="00EC3017">
            <w:pPr>
              <w:ind w:firstLineChars="200" w:firstLine="360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各地方政府也在积极探索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发展路径，纷纷出台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相关政策，以推动本地经济、社会、环境的协调发展。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3</w:t>
            </w:r>
            <w:r>
              <w:rPr>
                <w:rFonts w:ascii="宋体" w:hAnsi="宋体" w:cs="宋体" w:hint="eastAsia"/>
                <w:sz w:val="18"/>
              </w:rPr>
              <w:t>月，上海、北京、苏州三个城市连续发布了促进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发展的政策。上海市商务局于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3</w:t>
            </w:r>
            <w:r>
              <w:rPr>
                <w:rFonts w:ascii="宋体" w:hAnsi="宋体" w:cs="宋体" w:hint="eastAsia"/>
                <w:sz w:val="18"/>
              </w:rPr>
              <w:t>月</w:t>
            </w:r>
            <w:r>
              <w:rPr>
                <w:rFonts w:ascii="宋体" w:hAnsi="宋体" w:cs="宋体" w:hint="eastAsia"/>
                <w:sz w:val="18"/>
              </w:rPr>
              <w:t>1</w:t>
            </w:r>
            <w:r>
              <w:rPr>
                <w:rFonts w:ascii="宋体" w:hAnsi="宋体" w:cs="宋体" w:hint="eastAsia"/>
                <w:sz w:val="18"/>
              </w:rPr>
              <w:t>日率先发布了《加快提升本市涉外企业环境、社会和治理（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）</w:t>
            </w:r>
            <w:r>
              <w:rPr>
                <w:rFonts w:ascii="宋体" w:hAnsi="宋体" w:cs="宋体" w:hint="eastAsia"/>
                <w:sz w:val="18"/>
              </w:rPr>
              <w:lastRenderedPageBreak/>
              <w:t>能力三年行动方案（</w:t>
            </w:r>
            <w:r>
              <w:rPr>
                <w:rFonts w:ascii="宋体" w:hAnsi="宋体" w:cs="宋体" w:hint="eastAsia"/>
                <w:sz w:val="18"/>
              </w:rPr>
              <w:t>2024-2026</w:t>
            </w:r>
            <w:r>
              <w:rPr>
                <w:rFonts w:ascii="宋体" w:hAnsi="宋体" w:cs="宋体" w:hint="eastAsia"/>
                <w:sz w:val="18"/>
              </w:rPr>
              <w:t>年）》，旨在加快提升涉外企业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能力。</w:t>
            </w:r>
            <w:r>
              <w:rPr>
                <w:rFonts w:ascii="宋体" w:hAnsi="宋体" w:cs="宋体" w:hint="eastAsia"/>
                <w:sz w:val="18"/>
              </w:rPr>
              <w:t>3</w:t>
            </w:r>
            <w:r>
              <w:rPr>
                <w:rFonts w:ascii="宋体" w:hAnsi="宋体" w:cs="宋体" w:hint="eastAsia"/>
                <w:sz w:val="18"/>
              </w:rPr>
              <w:t>月</w:t>
            </w:r>
            <w:r>
              <w:rPr>
                <w:rFonts w:ascii="宋体" w:hAnsi="宋体" w:cs="宋体" w:hint="eastAsia"/>
                <w:sz w:val="18"/>
              </w:rPr>
              <w:t>15</w:t>
            </w:r>
            <w:r>
              <w:rPr>
                <w:rFonts w:ascii="宋体" w:hAnsi="宋体" w:cs="宋体" w:hint="eastAsia"/>
                <w:sz w:val="18"/>
              </w:rPr>
              <w:t>日，</w:t>
            </w:r>
            <w:proofErr w:type="gramStart"/>
            <w:r>
              <w:rPr>
                <w:rFonts w:ascii="宋体" w:hAnsi="宋体" w:cs="宋体" w:hint="eastAsia"/>
                <w:sz w:val="18"/>
              </w:rPr>
              <w:t>北京市发改委</w:t>
            </w:r>
            <w:proofErr w:type="gramEnd"/>
            <w:r>
              <w:rPr>
                <w:rFonts w:ascii="宋体" w:hAnsi="宋体" w:cs="宋体" w:hint="eastAsia"/>
                <w:sz w:val="18"/>
              </w:rPr>
              <w:t>牵头发布了《北京市促进环境社会治</w:t>
            </w:r>
            <w:r>
              <w:rPr>
                <w:rFonts w:ascii="宋体" w:hAnsi="宋体" w:cs="宋体" w:hint="eastAsia"/>
                <w:sz w:val="18"/>
              </w:rPr>
              <w:t>理（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）体系高质量发展实施方案（征求意见稿）》，目标是</w:t>
            </w:r>
            <w:r>
              <w:rPr>
                <w:rFonts w:ascii="宋体" w:hAnsi="宋体" w:cs="宋体" w:hint="eastAsia"/>
                <w:sz w:val="18"/>
              </w:rPr>
              <w:t>2027</w:t>
            </w:r>
            <w:r>
              <w:rPr>
                <w:rFonts w:ascii="宋体" w:hAnsi="宋体" w:cs="宋体" w:hint="eastAsia"/>
                <w:sz w:val="18"/>
              </w:rPr>
              <w:t>年，北京的上市公司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信息披露率力争</w:t>
            </w:r>
            <w:proofErr w:type="gramStart"/>
            <w:r>
              <w:rPr>
                <w:rFonts w:ascii="宋体" w:hAnsi="宋体" w:cs="宋体" w:hint="eastAsia"/>
                <w:sz w:val="18"/>
              </w:rPr>
              <w:t>做达到</w:t>
            </w:r>
            <w:proofErr w:type="gramEnd"/>
            <w:r>
              <w:rPr>
                <w:rFonts w:ascii="宋体" w:hAnsi="宋体" w:cs="宋体" w:hint="eastAsia"/>
                <w:sz w:val="18"/>
              </w:rPr>
              <w:t>70%</w:t>
            </w:r>
            <w:r>
              <w:rPr>
                <w:rFonts w:ascii="宋体" w:hAnsi="宋体" w:cs="宋体" w:hint="eastAsia"/>
                <w:sz w:val="18"/>
              </w:rPr>
              <w:t>，并加速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生态体系形成。</w:t>
            </w:r>
            <w:r>
              <w:rPr>
                <w:rFonts w:ascii="宋体" w:hAnsi="宋体" w:cs="宋体" w:hint="eastAsia"/>
                <w:sz w:val="18"/>
              </w:rPr>
              <w:t>X</w:t>
            </w:r>
            <w:r>
              <w:rPr>
                <w:rFonts w:ascii="宋体" w:hAnsi="宋体" w:cs="宋体"/>
                <w:sz w:val="18"/>
              </w:rPr>
              <w:t>X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3</w:t>
            </w:r>
            <w:r>
              <w:rPr>
                <w:rFonts w:ascii="宋体" w:hAnsi="宋体" w:cs="宋体" w:hint="eastAsia"/>
                <w:sz w:val="18"/>
              </w:rPr>
              <w:t>月</w:t>
            </w:r>
            <w:r>
              <w:rPr>
                <w:rFonts w:ascii="宋体" w:hAnsi="宋体" w:cs="宋体" w:hint="eastAsia"/>
                <w:sz w:val="18"/>
              </w:rPr>
              <w:t>19</w:t>
            </w:r>
            <w:r>
              <w:rPr>
                <w:rFonts w:ascii="宋体" w:hAnsi="宋体" w:cs="宋体" w:hint="eastAsia"/>
                <w:sz w:val="18"/>
              </w:rPr>
              <w:t>日，苏州工业园区经济发展委员会对外正式发布《苏州工业园区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产业发展行动计划》和《苏州工业园区关于推进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发展的若干措施》，为信息披露和评级较好的园区企业提供政策支持以及资金奖励。</w:t>
            </w:r>
          </w:p>
          <w:p w14:paraId="1E93BD9B" w14:textId="77777777" w:rsidR="009B70CA" w:rsidRDefault="00EC3017">
            <w:pPr>
              <w:ind w:firstLineChars="200" w:firstLine="360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监管机构也陆续出台了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具体指引，香港联合所于</w:t>
            </w:r>
            <w:r>
              <w:rPr>
                <w:rFonts w:ascii="宋体" w:hAnsi="宋体" w:cs="宋体" w:hint="eastAsia"/>
                <w:sz w:val="18"/>
              </w:rPr>
              <w:t xml:space="preserve"> 2012 </w:t>
            </w:r>
            <w:r>
              <w:rPr>
                <w:rFonts w:ascii="宋体" w:hAnsi="宋体" w:cs="宋体" w:hint="eastAsia"/>
                <w:sz w:val="18"/>
              </w:rPr>
              <w:t>年出台《环境、社会和治理指引》，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年完成最新一轮修订，进一步加大监管力度。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4</w:t>
            </w:r>
            <w:r>
              <w:rPr>
                <w:rFonts w:ascii="宋体" w:hAnsi="宋体" w:cs="宋体" w:hint="eastAsia"/>
                <w:sz w:val="18"/>
              </w:rPr>
              <w:t>月，在证监会的统一部署和指导下，上交所、深交所和北交所正式发布了《上市公司可持续发展报告指引》，并自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5</w:t>
            </w:r>
            <w:r>
              <w:rPr>
                <w:rFonts w:ascii="宋体" w:hAnsi="宋体" w:cs="宋体" w:hint="eastAsia"/>
                <w:sz w:val="18"/>
              </w:rPr>
              <w:t>月</w:t>
            </w:r>
            <w:r>
              <w:rPr>
                <w:rFonts w:ascii="宋体" w:hAnsi="宋体" w:cs="宋体" w:hint="eastAsia"/>
                <w:sz w:val="18"/>
              </w:rPr>
              <w:t>1</w:t>
            </w:r>
            <w:r>
              <w:rPr>
                <w:rFonts w:ascii="宋体" w:hAnsi="宋体" w:cs="宋体" w:hint="eastAsia"/>
                <w:sz w:val="18"/>
              </w:rPr>
              <w:t>日起实施。</w:t>
            </w:r>
          </w:p>
          <w:p w14:paraId="333412BF" w14:textId="145BFB8F" w:rsidR="009B70CA" w:rsidRDefault="00EC3017">
            <w:pPr>
              <w:ind w:firstLineChars="200" w:firstLine="360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7</w:t>
            </w:r>
            <w:r>
              <w:rPr>
                <w:rFonts w:ascii="宋体" w:hAnsi="宋体" w:cs="宋体" w:hint="eastAsia"/>
                <w:sz w:val="18"/>
              </w:rPr>
              <w:t>月，中国建材联合会已发布</w:t>
            </w: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sz w:val="18"/>
              </w:rPr>
              <w:t>CBMF 268.1</w:t>
            </w:r>
            <w:r>
              <w:rPr>
                <w:rFonts w:ascii="宋体" w:hAnsi="宋体" w:cs="宋体"/>
                <w:sz w:val="18"/>
              </w:rPr>
              <w:t>-2024</w:t>
            </w:r>
            <w:r>
              <w:rPr>
                <w:rFonts w:ascii="宋体" w:hAnsi="宋体" w:cs="宋体" w:hint="eastAsia"/>
                <w:sz w:val="18"/>
              </w:rPr>
              <w:t>《建筑材料行业企业环境、社会和公司治理（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）指南</w:t>
            </w:r>
            <w:r>
              <w:rPr>
                <w:rFonts w:ascii="宋体" w:hAnsi="宋体" w:cs="宋体" w:hint="eastAsia"/>
                <w:sz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</w:rPr>
              <w:t>第1</w:t>
            </w:r>
            <w:r>
              <w:rPr>
                <w:rFonts w:ascii="宋体" w:hAnsi="宋体" w:cs="宋体" w:hint="eastAsia"/>
                <w:sz w:val="18"/>
              </w:rPr>
              <w:t>部分：信息披露》与</w:t>
            </w: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sz w:val="18"/>
              </w:rPr>
              <w:t>CBMF268.2</w:t>
            </w:r>
            <w:r>
              <w:rPr>
                <w:rFonts w:ascii="宋体" w:hAnsi="宋体" w:cs="宋体"/>
                <w:sz w:val="18"/>
              </w:rPr>
              <w:t>-2024</w:t>
            </w:r>
            <w:r>
              <w:rPr>
                <w:rFonts w:ascii="宋体" w:hAnsi="宋体" w:cs="宋体" w:hint="eastAsia"/>
                <w:sz w:val="18"/>
              </w:rPr>
              <w:t>《建筑材料行业企业环境、社会和公司治理（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）指南</w:t>
            </w:r>
            <w:r>
              <w:rPr>
                <w:rFonts w:ascii="宋体" w:hAnsi="宋体" w:cs="宋体" w:hint="eastAsia"/>
                <w:sz w:val="18"/>
              </w:rPr>
              <w:t xml:space="preserve"> </w:t>
            </w:r>
            <w:r>
              <w:rPr>
                <w:rFonts w:ascii="宋体" w:hAnsi="宋体" w:cs="宋体" w:hint="eastAsia"/>
                <w:sz w:val="18"/>
              </w:rPr>
              <w:t>第</w:t>
            </w:r>
            <w:r>
              <w:rPr>
                <w:rFonts w:ascii="宋体" w:hAnsi="宋体" w:cs="宋体"/>
                <w:sz w:val="18"/>
              </w:rPr>
              <w:t>2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18"/>
              </w:rPr>
              <w:t>部分：绩效评价》。对建材行业企业的指标框架和评级方法进行</w:t>
            </w:r>
            <w:r>
              <w:rPr>
                <w:rFonts w:ascii="宋体" w:hAnsi="宋体" w:cs="宋体" w:hint="eastAsia"/>
                <w:sz w:val="18"/>
              </w:rPr>
              <w:t>规定。</w:t>
            </w:r>
          </w:p>
          <w:p w14:paraId="23BF66C4" w14:textId="77777777" w:rsidR="009B70CA" w:rsidRDefault="00EC3017">
            <w:pPr>
              <w:ind w:firstLineChars="200" w:firstLine="360"/>
              <w:jc w:val="center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/>
                <w:sz w:val="18"/>
              </w:rPr>
              <w:t>表</w:t>
            </w:r>
            <w:r>
              <w:rPr>
                <w:rFonts w:ascii="宋体" w:hAnsi="宋体" w:cs="宋体" w:hint="eastAsia"/>
                <w:sz w:val="18"/>
              </w:rPr>
              <w:t>1</w:t>
            </w:r>
            <w:r>
              <w:rPr>
                <w:rFonts w:ascii="宋体" w:hAnsi="宋体" w:cs="宋体"/>
                <w:sz w:val="18"/>
              </w:rPr>
              <w:t xml:space="preserve"> </w:t>
            </w:r>
            <w:r>
              <w:rPr>
                <w:rFonts w:ascii="宋体" w:hAnsi="宋体" w:cs="宋体"/>
                <w:sz w:val="18"/>
              </w:rPr>
              <w:t>国内政府部门及监管部门或机构发布的与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体系相关的文件</w:t>
            </w:r>
          </w:p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640"/>
              <w:gridCol w:w="1959"/>
              <w:gridCol w:w="1094"/>
              <w:gridCol w:w="3505"/>
            </w:tblGrid>
            <w:tr w:rsidR="009B70CA" w14:paraId="4A74A1F8" w14:textId="77777777">
              <w:tc>
                <w:tcPr>
                  <w:tcW w:w="640" w:type="dxa"/>
                </w:tcPr>
                <w:p w14:paraId="7729307C" w14:textId="77777777" w:rsidR="009B70CA" w:rsidRDefault="00EC3017">
                  <w:pPr>
                    <w:jc w:val="center"/>
                    <w:rPr>
                      <w:rFonts w:ascii="宋体" w:hAnsi="宋体" w:cs="宋体"/>
                      <w:b/>
                      <w:sz w:val="18"/>
                    </w:rPr>
                  </w:pPr>
                  <w:r>
                    <w:rPr>
                      <w:rFonts w:ascii="宋体" w:hAnsi="宋体" w:cs="宋体" w:hint="eastAsia"/>
                      <w:b/>
                      <w:sz w:val="18"/>
                    </w:rPr>
                    <w:t>编号</w:t>
                  </w:r>
                </w:p>
              </w:tc>
              <w:tc>
                <w:tcPr>
                  <w:tcW w:w="1959" w:type="dxa"/>
                </w:tcPr>
                <w:p w14:paraId="4917C722" w14:textId="77777777" w:rsidR="009B70CA" w:rsidRDefault="00EC3017">
                  <w:pPr>
                    <w:jc w:val="center"/>
                    <w:rPr>
                      <w:rFonts w:ascii="宋体" w:hAnsi="宋体" w:cs="宋体"/>
                      <w:b/>
                      <w:sz w:val="18"/>
                    </w:rPr>
                  </w:pPr>
                  <w:r>
                    <w:rPr>
                      <w:rFonts w:ascii="宋体" w:hAnsi="宋体" w:cs="宋体" w:hint="eastAsia"/>
                      <w:b/>
                      <w:sz w:val="18"/>
                    </w:rPr>
                    <w:t>机构</w:t>
                  </w:r>
                </w:p>
              </w:tc>
              <w:tc>
                <w:tcPr>
                  <w:tcW w:w="1094" w:type="dxa"/>
                </w:tcPr>
                <w:p w14:paraId="5C9C9DA4" w14:textId="77777777" w:rsidR="009B70CA" w:rsidRDefault="00EC3017">
                  <w:pPr>
                    <w:jc w:val="center"/>
                    <w:rPr>
                      <w:rFonts w:ascii="宋体" w:hAnsi="宋体" w:cs="宋体"/>
                      <w:b/>
                      <w:sz w:val="18"/>
                    </w:rPr>
                  </w:pPr>
                  <w:r>
                    <w:rPr>
                      <w:rFonts w:ascii="宋体" w:hAnsi="宋体" w:cs="宋体" w:hint="eastAsia"/>
                      <w:b/>
                      <w:sz w:val="18"/>
                    </w:rPr>
                    <w:t>日期</w:t>
                  </w:r>
                </w:p>
              </w:tc>
              <w:tc>
                <w:tcPr>
                  <w:tcW w:w="3505" w:type="dxa"/>
                </w:tcPr>
                <w:p w14:paraId="62BB08E7" w14:textId="77777777" w:rsidR="009B70CA" w:rsidRDefault="00EC3017">
                  <w:pPr>
                    <w:jc w:val="center"/>
                    <w:rPr>
                      <w:rFonts w:ascii="宋体" w:hAnsi="宋体" w:cs="宋体"/>
                      <w:b/>
                      <w:sz w:val="18"/>
                    </w:rPr>
                  </w:pPr>
                  <w:r>
                    <w:rPr>
                      <w:rFonts w:ascii="宋体" w:hAnsi="宋体" w:cs="宋体" w:hint="eastAsia"/>
                      <w:b/>
                      <w:sz w:val="18"/>
                    </w:rPr>
                    <w:t>文件</w:t>
                  </w:r>
                </w:p>
              </w:tc>
            </w:tr>
            <w:tr w:rsidR="009B70CA" w14:paraId="39BBEE4E" w14:textId="77777777">
              <w:tc>
                <w:tcPr>
                  <w:tcW w:w="640" w:type="dxa"/>
                </w:tcPr>
                <w:p w14:paraId="09D1D7BF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10EE9937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原国家环保总局</w:t>
                  </w:r>
                </w:p>
              </w:tc>
              <w:tc>
                <w:tcPr>
                  <w:tcW w:w="1094" w:type="dxa"/>
                  <w:vAlign w:val="center"/>
                </w:tcPr>
                <w:p w14:paraId="64BC3EDD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2005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</w:p>
              </w:tc>
              <w:tc>
                <w:tcPr>
                  <w:tcW w:w="3505" w:type="dxa"/>
                  <w:vAlign w:val="center"/>
                </w:tcPr>
                <w:p w14:paraId="7CABB0B7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《关于加快推进企业环境行为评价工作的意见》</w:t>
                  </w:r>
                </w:p>
                <w:p w14:paraId="6C3FA140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《企业环境行为评价技术指南》</w:t>
                  </w:r>
                </w:p>
              </w:tc>
            </w:tr>
            <w:tr w:rsidR="009B70CA" w14:paraId="773FD186" w14:textId="77777777">
              <w:tc>
                <w:tcPr>
                  <w:tcW w:w="640" w:type="dxa"/>
                </w:tcPr>
                <w:p w14:paraId="18EE94BC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55183A4A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中国人民银行等</w:t>
                  </w:r>
                  <w:r>
                    <w:rPr>
                      <w:rFonts w:ascii="宋体" w:hAnsi="宋体" w:cs="宋体" w:hint="eastAsia"/>
                      <w:sz w:val="18"/>
                    </w:rPr>
                    <w:t>8</w:t>
                  </w:r>
                  <w:r>
                    <w:rPr>
                      <w:rFonts w:ascii="宋体" w:hAnsi="宋体" w:cs="宋体" w:hint="eastAsia"/>
                      <w:sz w:val="18"/>
                    </w:rPr>
                    <w:t>部委</w:t>
                  </w:r>
                </w:p>
              </w:tc>
              <w:tc>
                <w:tcPr>
                  <w:tcW w:w="1094" w:type="dxa"/>
                  <w:vAlign w:val="center"/>
                </w:tcPr>
                <w:p w14:paraId="79D7CE2D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2016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8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73C18EC4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《关于构建绿色金融体系的指导意见》</w:t>
                  </w:r>
                </w:p>
              </w:tc>
            </w:tr>
            <w:tr w:rsidR="009B70CA" w14:paraId="5F6F9753" w14:textId="77777777">
              <w:tc>
                <w:tcPr>
                  <w:tcW w:w="640" w:type="dxa"/>
                </w:tcPr>
                <w:p w14:paraId="39777E2A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5A757F74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中国证监会</w:t>
                  </w:r>
                </w:p>
              </w:tc>
              <w:tc>
                <w:tcPr>
                  <w:tcW w:w="1094" w:type="dxa"/>
                  <w:vAlign w:val="center"/>
                </w:tcPr>
                <w:p w14:paraId="0911F806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2002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1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6D0B97E6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《上市公司治理准则》</w:t>
                  </w:r>
                </w:p>
              </w:tc>
            </w:tr>
            <w:tr w:rsidR="009B70CA" w14:paraId="0F40C3E3" w14:textId="77777777">
              <w:tc>
                <w:tcPr>
                  <w:tcW w:w="640" w:type="dxa"/>
                </w:tcPr>
                <w:p w14:paraId="64C57936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30D84C2B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中国证监会</w:t>
                  </w:r>
                </w:p>
              </w:tc>
              <w:tc>
                <w:tcPr>
                  <w:tcW w:w="1094" w:type="dxa"/>
                  <w:vAlign w:val="center"/>
                </w:tcPr>
                <w:p w14:paraId="20A3C502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2018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9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2F61B12A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《绿色投资指引</w:t>
                  </w:r>
                  <w:r>
                    <w:rPr>
                      <w:rFonts w:ascii="宋体" w:hAnsi="宋体" w:cs="宋体" w:hint="eastAsia"/>
                      <w:sz w:val="18"/>
                    </w:rPr>
                    <w:t>(</w:t>
                  </w:r>
                  <w:r>
                    <w:rPr>
                      <w:rFonts w:ascii="宋体" w:hAnsi="宋体" w:cs="宋体" w:hint="eastAsia"/>
                      <w:sz w:val="18"/>
                    </w:rPr>
                    <w:t>试行</w:t>
                  </w:r>
                  <w:r>
                    <w:rPr>
                      <w:rFonts w:ascii="宋体" w:hAnsi="宋体" w:cs="宋体" w:hint="eastAsia"/>
                      <w:sz w:val="18"/>
                    </w:rPr>
                    <w:t>)</w:t>
                  </w:r>
                  <w:r>
                    <w:rPr>
                      <w:rFonts w:ascii="宋体" w:hAnsi="宋体" w:cs="宋体" w:hint="eastAsia"/>
                      <w:sz w:val="18"/>
                    </w:rPr>
                    <w:t>》</w:t>
                  </w:r>
                </w:p>
              </w:tc>
            </w:tr>
            <w:tr w:rsidR="009B70CA" w14:paraId="6DDEEB75" w14:textId="77777777">
              <w:tc>
                <w:tcPr>
                  <w:tcW w:w="640" w:type="dxa"/>
                </w:tcPr>
                <w:p w14:paraId="1E73AFB6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0D6775E8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上海证券交易所</w:t>
                  </w:r>
                </w:p>
              </w:tc>
              <w:tc>
                <w:tcPr>
                  <w:tcW w:w="1094" w:type="dxa"/>
                  <w:vAlign w:val="center"/>
                </w:tcPr>
                <w:p w14:paraId="071F2D9C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2008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5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3843AAE2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《关于加强上市公司社会责任承担工作的通知》</w:t>
                  </w:r>
                </w:p>
              </w:tc>
            </w:tr>
            <w:tr w:rsidR="009B70CA" w14:paraId="0409F0CE" w14:textId="77777777">
              <w:tc>
                <w:tcPr>
                  <w:tcW w:w="640" w:type="dxa"/>
                </w:tcPr>
                <w:p w14:paraId="6A1EA87D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07423238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上海证券交易所</w:t>
                  </w:r>
                </w:p>
              </w:tc>
              <w:tc>
                <w:tcPr>
                  <w:tcW w:w="1094" w:type="dxa"/>
                  <w:vAlign w:val="center"/>
                </w:tcPr>
                <w:p w14:paraId="6D809FE4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2008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12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79CA4765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《关于做好上市公司</w:t>
                  </w:r>
                  <w:r>
                    <w:rPr>
                      <w:rFonts w:ascii="宋体" w:hAnsi="宋体" w:cs="宋体" w:hint="eastAsia"/>
                      <w:sz w:val="18"/>
                    </w:rPr>
                    <w:t>2008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年年度报告工作的通知》</w:t>
                  </w:r>
                </w:p>
              </w:tc>
            </w:tr>
            <w:tr w:rsidR="009B70CA" w14:paraId="77CE7E84" w14:textId="77777777">
              <w:tc>
                <w:tcPr>
                  <w:tcW w:w="640" w:type="dxa"/>
                </w:tcPr>
                <w:p w14:paraId="25CD5AEC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297967FA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香港联交所</w:t>
                  </w:r>
                </w:p>
              </w:tc>
              <w:tc>
                <w:tcPr>
                  <w:tcW w:w="1094" w:type="dxa"/>
                  <w:vAlign w:val="center"/>
                </w:tcPr>
                <w:p w14:paraId="6D113C57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2012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</w:p>
              </w:tc>
              <w:tc>
                <w:tcPr>
                  <w:tcW w:w="3505" w:type="dxa"/>
                  <w:vAlign w:val="center"/>
                </w:tcPr>
                <w:p w14:paraId="1E06B347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《环境、社会和治理指引》</w:t>
                  </w:r>
                </w:p>
              </w:tc>
            </w:tr>
            <w:tr w:rsidR="009B70CA" w14:paraId="0729CBC9" w14:textId="77777777">
              <w:tc>
                <w:tcPr>
                  <w:tcW w:w="640" w:type="dxa"/>
                </w:tcPr>
                <w:p w14:paraId="765230AF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vAlign w:val="center"/>
                </w:tcPr>
                <w:p w14:paraId="7BD80EF0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生态环境部</w:t>
                  </w:r>
                </w:p>
              </w:tc>
              <w:tc>
                <w:tcPr>
                  <w:tcW w:w="1094" w:type="dxa"/>
                  <w:vAlign w:val="center"/>
                </w:tcPr>
                <w:p w14:paraId="20688F9D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2021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5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5D6BCDB8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proofErr w:type="gramStart"/>
                  <w:r>
                    <w:rPr>
                      <w:rFonts w:ascii="宋体" w:hAnsi="宋体" w:cs="宋体" w:hint="eastAsia"/>
                      <w:sz w:val="18"/>
                    </w:rPr>
                    <w:t>《</w:t>
                  </w:r>
                  <w:proofErr w:type="gramEnd"/>
                  <w:r>
                    <w:rPr>
                      <w:rFonts w:ascii="宋体" w:hAnsi="宋体" w:cs="宋体" w:hint="eastAsia"/>
                      <w:sz w:val="18"/>
                    </w:rPr>
                    <w:t>关于印发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</w:rPr>
                    <w:t>《</w:t>
                  </w:r>
                  <w:proofErr w:type="gramEnd"/>
                  <w:r>
                    <w:rPr>
                      <w:rFonts w:ascii="宋体" w:hAnsi="宋体" w:cs="宋体" w:hint="eastAsia"/>
                      <w:sz w:val="18"/>
                    </w:rPr>
                    <w:t>环境信息依法披露制度改革方案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</w:rPr>
                    <w:t>》</w:t>
                  </w:r>
                  <w:proofErr w:type="gramEnd"/>
                  <w:r>
                    <w:rPr>
                      <w:rFonts w:ascii="宋体" w:hAnsi="宋体" w:cs="宋体" w:hint="eastAsia"/>
                      <w:sz w:val="18"/>
                    </w:rPr>
                    <w:t>的通知</w:t>
                  </w:r>
                  <w:proofErr w:type="gramStart"/>
                  <w:r>
                    <w:rPr>
                      <w:rFonts w:ascii="宋体" w:hAnsi="宋体" w:cs="宋体" w:hint="eastAsia"/>
                      <w:sz w:val="18"/>
                    </w:rPr>
                    <w:t>》</w:t>
                  </w:r>
                  <w:proofErr w:type="gramEnd"/>
                </w:p>
              </w:tc>
            </w:tr>
            <w:tr w:rsidR="009B70CA" w14:paraId="6E75B2BA" w14:textId="77777777">
              <w:tc>
                <w:tcPr>
                  <w:tcW w:w="640" w:type="dxa"/>
                </w:tcPr>
                <w:p w14:paraId="24999FCF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6DAACF5D" w14:textId="77777777" w:rsidR="009B70CA" w:rsidRDefault="00EC3017">
                  <w:r>
                    <w:rPr>
                      <w:rFonts w:ascii="宋体" w:hAnsi="宋体" w:cs="宋体" w:hint="eastAsia"/>
                      <w:sz w:val="18"/>
                    </w:rPr>
                    <w:t>生态环境部</w:t>
                  </w:r>
                </w:p>
              </w:tc>
              <w:tc>
                <w:tcPr>
                  <w:tcW w:w="1094" w:type="dxa"/>
                </w:tcPr>
                <w:p w14:paraId="2B37E862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2021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1</w:t>
                  </w:r>
                  <w:r>
                    <w:rPr>
                      <w:rFonts w:ascii="宋体" w:hAnsi="宋体" w:cs="宋体"/>
                      <w:sz w:val="18"/>
                    </w:rPr>
                    <w:t>2</w:t>
                  </w:r>
                  <w:r>
                    <w:rPr>
                      <w:rFonts w:ascii="宋体" w:hAnsi="宋体" w:cs="宋体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3A375D32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《企业环境信息依法披露管理办法》</w:t>
                  </w:r>
                </w:p>
              </w:tc>
            </w:tr>
            <w:tr w:rsidR="009B70CA" w14:paraId="023CD8FA" w14:textId="77777777">
              <w:tc>
                <w:tcPr>
                  <w:tcW w:w="640" w:type="dxa"/>
                </w:tcPr>
                <w:p w14:paraId="251EEE16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03DDBED2" w14:textId="77777777" w:rsidR="009B70CA" w:rsidRDefault="00EC3017">
                  <w:r>
                    <w:rPr>
                      <w:rFonts w:ascii="宋体" w:hAnsi="宋体" w:cs="宋体" w:hint="eastAsia"/>
                      <w:sz w:val="18"/>
                    </w:rPr>
                    <w:t>生态环境部</w:t>
                  </w:r>
                </w:p>
              </w:tc>
              <w:tc>
                <w:tcPr>
                  <w:tcW w:w="1094" w:type="dxa"/>
                </w:tcPr>
                <w:p w14:paraId="78DF662F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</w:t>
                  </w:r>
                  <w:r>
                    <w:rPr>
                      <w:rFonts w:ascii="宋体" w:hAnsi="宋体" w:cs="宋体"/>
                      <w:sz w:val="18"/>
                    </w:rPr>
                    <w:t>2</w:t>
                  </w:r>
                  <w:r>
                    <w:rPr>
                      <w:rFonts w:ascii="宋体" w:hAnsi="宋体" w:cs="宋体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1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2C5859AA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《企业环境信息依法披露格式准则》</w:t>
                  </w:r>
                </w:p>
              </w:tc>
            </w:tr>
            <w:tr w:rsidR="009B70CA" w14:paraId="593764C1" w14:textId="77777777">
              <w:tc>
                <w:tcPr>
                  <w:tcW w:w="640" w:type="dxa"/>
                </w:tcPr>
                <w:p w14:paraId="515D4A6D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185861C3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国务院国资委</w:t>
                  </w:r>
                </w:p>
              </w:tc>
              <w:tc>
                <w:tcPr>
                  <w:tcW w:w="1094" w:type="dxa"/>
                </w:tcPr>
                <w:p w14:paraId="14DB690A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2023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5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5E86156E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《提高央企控股上市公司质量工作方案》</w:t>
                  </w:r>
                </w:p>
              </w:tc>
            </w:tr>
            <w:tr w:rsidR="009B70CA" w14:paraId="1FE0CD9E" w14:textId="77777777">
              <w:tc>
                <w:tcPr>
                  <w:tcW w:w="640" w:type="dxa"/>
                </w:tcPr>
                <w:p w14:paraId="3D5BC07B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59C627CE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中共中央和国务院</w:t>
                  </w:r>
                </w:p>
              </w:tc>
              <w:tc>
                <w:tcPr>
                  <w:tcW w:w="1094" w:type="dxa"/>
                </w:tcPr>
                <w:p w14:paraId="7C193AF8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1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001AA2C8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《关于全面推进美丽中国建设的意见》</w:t>
                  </w:r>
                </w:p>
              </w:tc>
            </w:tr>
            <w:tr w:rsidR="009B70CA" w14:paraId="74CA7941" w14:textId="77777777">
              <w:tc>
                <w:tcPr>
                  <w:tcW w:w="640" w:type="dxa"/>
                </w:tcPr>
                <w:p w14:paraId="5D67BD06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24A68C09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上海市商务局</w:t>
                  </w:r>
                </w:p>
              </w:tc>
              <w:tc>
                <w:tcPr>
                  <w:tcW w:w="1094" w:type="dxa"/>
                </w:tcPr>
                <w:p w14:paraId="463E743B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3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7D50D62B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《加快提升本市涉外企业环境、社会和治理（</w:t>
                  </w:r>
                  <w:r>
                    <w:rPr>
                      <w:rFonts w:ascii="宋体" w:hAnsi="宋体" w:cs="宋体" w:hint="eastAsia"/>
                      <w:sz w:val="18"/>
                    </w:rPr>
                    <w:t>ESG</w:t>
                  </w:r>
                  <w:r>
                    <w:rPr>
                      <w:rFonts w:ascii="宋体" w:hAnsi="宋体" w:cs="宋体" w:hint="eastAsia"/>
                      <w:sz w:val="18"/>
                    </w:rPr>
                    <w:t>）能力三年行动方案（</w:t>
                  </w:r>
                  <w:r>
                    <w:rPr>
                      <w:rFonts w:ascii="宋体" w:hAnsi="宋体" w:cs="宋体" w:hint="eastAsia"/>
                      <w:sz w:val="18"/>
                    </w:rPr>
                    <w:t>2024-2026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年）》</w:t>
                  </w:r>
                </w:p>
              </w:tc>
            </w:tr>
            <w:tr w:rsidR="009B70CA" w14:paraId="7C38623B" w14:textId="77777777">
              <w:trPr>
                <w:trHeight w:val="298"/>
              </w:trPr>
              <w:tc>
                <w:tcPr>
                  <w:tcW w:w="640" w:type="dxa"/>
                </w:tcPr>
                <w:p w14:paraId="3D51879E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7A41BE5E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proofErr w:type="gramStart"/>
                  <w:r>
                    <w:rPr>
                      <w:rFonts w:ascii="宋体" w:hAnsi="宋体" w:cs="宋体" w:hint="eastAsia"/>
                      <w:sz w:val="18"/>
                    </w:rPr>
                    <w:t>北京市发改委</w:t>
                  </w:r>
                  <w:proofErr w:type="gramEnd"/>
                </w:p>
              </w:tc>
              <w:tc>
                <w:tcPr>
                  <w:tcW w:w="1094" w:type="dxa"/>
                </w:tcPr>
                <w:p w14:paraId="74C91E59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3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12DE1BE2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《北京市促进环境社会治理（</w:t>
                  </w:r>
                  <w:r>
                    <w:rPr>
                      <w:rFonts w:ascii="宋体" w:hAnsi="宋体" w:cs="宋体" w:hint="eastAsia"/>
                      <w:sz w:val="18"/>
                    </w:rPr>
                    <w:t>ESG</w:t>
                  </w:r>
                  <w:r>
                    <w:rPr>
                      <w:rFonts w:ascii="宋体" w:hAnsi="宋体" w:cs="宋体" w:hint="eastAsia"/>
                      <w:sz w:val="18"/>
                    </w:rPr>
                    <w:t>）体系高质量发展实施方案（征求意见稿）》</w:t>
                  </w:r>
                </w:p>
              </w:tc>
            </w:tr>
            <w:tr w:rsidR="009B70CA" w14:paraId="129B75D0" w14:textId="77777777">
              <w:trPr>
                <w:trHeight w:val="298"/>
              </w:trPr>
              <w:tc>
                <w:tcPr>
                  <w:tcW w:w="640" w:type="dxa"/>
                </w:tcPr>
                <w:p w14:paraId="46D7ADC8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4CF62900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苏州工业园区经济发展委员会</w:t>
                  </w:r>
                </w:p>
              </w:tc>
              <w:tc>
                <w:tcPr>
                  <w:tcW w:w="1094" w:type="dxa"/>
                </w:tcPr>
                <w:p w14:paraId="333AF87A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3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247B9A3E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《苏州工业园区</w:t>
                  </w:r>
                  <w:r>
                    <w:rPr>
                      <w:rFonts w:ascii="宋体" w:hAnsi="宋体" w:cs="宋体" w:hint="eastAsia"/>
                      <w:sz w:val="18"/>
                    </w:rPr>
                    <w:t>ESG</w:t>
                  </w:r>
                  <w:r>
                    <w:rPr>
                      <w:rFonts w:ascii="宋体" w:hAnsi="宋体" w:cs="宋体" w:hint="eastAsia"/>
                      <w:sz w:val="18"/>
                    </w:rPr>
                    <w:t>产业发展行动计划》、《苏州工业园区关于推进</w:t>
                  </w:r>
                  <w:r>
                    <w:rPr>
                      <w:rFonts w:ascii="宋体" w:hAnsi="宋体" w:cs="宋体" w:hint="eastAsia"/>
                      <w:sz w:val="18"/>
                    </w:rPr>
                    <w:t>ESG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发展的若干措施》</w:t>
                  </w:r>
                </w:p>
              </w:tc>
            </w:tr>
            <w:tr w:rsidR="009B70CA" w14:paraId="1D162E35" w14:textId="77777777">
              <w:trPr>
                <w:trHeight w:val="298"/>
              </w:trPr>
              <w:tc>
                <w:tcPr>
                  <w:tcW w:w="640" w:type="dxa"/>
                </w:tcPr>
                <w:p w14:paraId="6B900BEA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3132259E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证监会</w:t>
                  </w:r>
                </w:p>
              </w:tc>
              <w:tc>
                <w:tcPr>
                  <w:tcW w:w="1094" w:type="dxa"/>
                </w:tcPr>
                <w:p w14:paraId="590602C9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689F221C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《上市公司可持续发展报告指引》</w:t>
                  </w:r>
                </w:p>
              </w:tc>
            </w:tr>
            <w:tr w:rsidR="009B70CA" w14:paraId="3D97CE7C" w14:textId="77777777">
              <w:trPr>
                <w:trHeight w:val="298"/>
              </w:trPr>
              <w:tc>
                <w:tcPr>
                  <w:tcW w:w="640" w:type="dxa"/>
                </w:tcPr>
                <w:p w14:paraId="5A8E7482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32C24871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财政部</w:t>
                  </w:r>
                </w:p>
              </w:tc>
              <w:tc>
                <w:tcPr>
                  <w:tcW w:w="1094" w:type="dxa"/>
                </w:tcPr>
                <w:p w14:paraId="49DD3940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5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04071615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《企业可持续披露准则——基本准则（征求意见稿）》</w:t>
                  </w:r>
                </w:p>
              </w:tc>
            </w:tr>
            <w:tr w:rsidR="009B70CA" w14:paraId="5DB7219E" w14:textId="77777777">
              <w:trPr>
                <w:trHeight w:val="298"/>
              </w:trPr>
              <w:tc>
                <w:tcPr>
                  <w:tcW w:w="640" w:type="dxa"/>
                </w:tcPr>
                <w:p w14:paraId="3637F3AD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</w:tcPr>
                <w:p w14:paraId="7D10FAFE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中国建材联合会</w:t>
                  </w:r>
                </w:p>
              </w:tc>
              <w:tc>
                <w:tcPr>
                  <w:tcW w:w="1094" w:type="dxa"/>
                </w:tcPr>
                <w:p w14:paraId="1E93395A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7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vAlign w:val="center"/>
                </w:tcPr>
                <w:p w14:paraId="7858A3EF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《建筑材料行业企业环境、社会和公司治理（</w:t>
                  </w:r>
                  <w:r>
                    <w:rPr>
                      <w:rFonts w:ascii="宋体" w:hAnsi="宋体" w:cs="宋体" w:hint="eastAsia"/>
                      <w:sz w:val="18"/>
                    </w:rPr>
                    <w:t>ESG</w:t>
                  </w:r>
                  <w:r>
                    <w:rPr>
                      <w:rFonts w:ascii="宋体" w:hAnsi="宋体" w:cs="宋体" w:hint="eastAsia"/>
                      <w:sz w:val="18"/>
                    </w:rPr>
                    <w:t>）指南</w:t>
                  </w:r>
                  <w:r>
                    <w:rPr>
                      <w:rFonts w:ascii="宋体" w:hAnsi="宋体" w:cs="宋体" w:hint="eastAsia"/>
                      <w:sz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</w:rPr>
                    <w:t>第一部分：信息披露》</w:t>
                  </w:r>
                </w:p>
              </w:tc>
            </w:tr>
            <w:tr w:rsidR="009B70CA" w14:paraId="306F417B" w14:textId="77777777">
              <w:trPr>
                <w:trHeight w:val="298"/>
              </w:trPr>
              <w:tc>
                <w:tcPr>
                  <w:tcW w:w="640" w:type="dxa"/>
                </w:tcPr>
                <w:p w14:paraId="708EF430" w14:textId="77777777" w:rsidR="009B70CA" w:rsidRDefault="009B70CA">
                  <w:pPr>
                    <w:pStyle w:val="ad"/>
                    <w:numPr>
                      <w:ilvl w:val="0"/>
                      <w:numId w:val="3"/>
                    </w:numPr>
                    <w:ind w:firstLineChars="0"/>
                    <w:rPr>
                      <w:rFonts w:ascii="宋体" w:hAnsi="宋体" w:cs="宋体"/>
                      <w:sz w:val="18"/>
                    </w:rPr>
                  </w:pPr>
                </w:p>
              </w:tc>
              <w:tc>
                <w:tcPr>
                  <w:tcW w:w="1959" w:type="dxa"/>
                  <w:shd w:val="clear" w:color="auto" w:fill="auto"/>
                </w:tcPr>
                <w:p w14:paraId="53E1D7C7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中国建材联合会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5ED2D6CC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2024</w:t>
                  </w:r>
                  <w:r>
                    <w:rPr>
                      <w:rFonts w:ascii="宋体" w:hAnsi="宋体" w:cs="宋体" w:hint="eastAsia"/>
                      <w:sz w:val="18"/>
                    </w:rPr>
                    <w:t>年</w:t>
                  </w:r>
                  <w:r>
                    <w:rPr>
                      <w:rFonts w:ascii="宋体" w:hAnsi="宋体" w:cs="宋体" w:hint="eastAsia"/>
                      <w:sz w:val="18"/>
                    </w:rPr>
                    <w:t>7</w:t>
                  </w:r>
                  <w:r>
                    <w:rPr>
                      <w:rFonts w:ascii="宋体" w:hAnsi="宋体" w:cs="宋体" w:hint="eastAsia"/>
                      <w:sz w:val="18"/>
                    </w:rPr>
                    <w:t>月</w:t>
                  </w:r>
                </w:p>
              </w:tc>
              <w:tc>
                <w:tcPr>
                  <w:tcW w:w="3505" w:type="dxa"/>
                  <w:shd w:val="clear" w:color="auto" w:fill="auto"/>
                  <w:vAlign w:val="center"/>
                </w:tcPr>
                <w:p w14:paraId="0EFDD8A9" w14:textId="77777777" w:rsidR="009B70CA" w:rsidRDefault="00EC3017">
                  <w:pPr>
                    <w:rPr>
                      <w:rFonts w:ascii="宋体" w:hAnsi="宋体" w:cs="宋体"/>
                      <w:sz w:val="18"/>
                    </w:rPr>
                  </w:pPr>
                  <w:r>
                    <w:rPr>
                      <w:rFonts w:ascii="宋体" w:hAnsi="宋体" w:cs="宋体" w:hint="eastAsia"/>
                      <w:sz w:val="18"/>
                    </w:rPr>
                    <w:t>《建筑材料行业企业环境、社会和公司治理（</w:t>
                  </w:r>
                  <w:r>
                    <w:rPr>
                      <w:rFonts w:ascii="宋体" w:hAnsi="宋体" w:cs="宋体" w:hint="eastAsia"/>
                      <w:sz w:val="18"/>
                    </w:rPr>
                    <w:t>ESG</w:t>
                  </w:r>
                  <w:r>
                    <w:rPr>
                      <w:rFonts w:ascii="宋体" w:hAnsi="宋体" w:cs="宋体" w:hint="eastAsia"/>
                      <w:sz w:val="18"/>
                    </w:rPr>
                    <w:t>）指南</w:t>
                  </w:r>
                  <w:r>
                    <w:rPr>
                      <w:rFonts w:ascii="宋体" w:hAnsi="宋体" w:cs="宋体" w:hint="eastAsia"/>
                      <w:sz w:val="18"/>
                    </w:rPr>
                    <w:t xml:space="preserve"> </w:t>
                  </w:r>
                  <w:r>
                    <w:rPr>
                      <w:rFonts w:ascii="宋体" w:hAnsi="宋体" w:cs="宋体" w:hint="eastAsia"/>
                      <w:sz w:val="18"/>
                    </w:rPr>
                    <w:t>第二部分：绩效评价》</w:t>
                  </w:r>
                </w:p>
              </w:tc>
            </w:tr>
          </w:tbl>
          <w:p w14:paraId="05455E91" w14:textId="77777777" w:rsidR="009B70CA" w:rsidRDefault="009B70CA">
            <w:pPr>
              <w:rPr>
                <w:rFonts w:ascii="宋体" w:hAnsi="宋体" w:cs="宋体"/>
                <w:sz w:val="18"/>
              </w:rPr>
            </w:pPr>
          </w:p>
          <w:p w14:paraId="06382757" w14:textId="77777777" w:rsidR="009B70CA" w:rsidRDefault="00EC3017">
            <w:pPr>
              <w:ind w:firstLineChars="200" w:firstLine="360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目前，国外应用比较广的与</w:t>
            </w:r>
            <w:r>
              <w:rPr>
                <w:rFonts w:ascii="宋体" w:hAnsi="宋体" w:cs="宋体" w:hint="eastAsia"/>
                <w:sz w:val="18"/>
              </w:rPr>
              <w:t xml:space="preserve">ESG </w:t>
            </w:r>
            <w:r>
              <w:rPr>
                <w:rFonts w:ascii="宋体" w:hAnsi="宋体" w:cs="宋体" w:hint="eastAsia"/>
                <w:sz w:val="18"/>
              </w:rPr>
              <w:t>信息披露相关的标准主要为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全球报告倡议组织（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GRI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）、可持续性会计准则委员会（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SASB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）、气候相关财务披露工作小组（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TCFD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）、等相关组织发布的技术准则。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2023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月，国际可持续准则理事会（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ISSB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）正式发布《国际财务报告可持续披露准则第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号——可持续相关财务信息披露一般要求》（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IFRS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 xml:space="preserve"> S1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）和《国际财务报告可持续披露准则第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号——气候相关披露》（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IFRS S2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）。</w:t>
            </w:r>
            <w:r>
              <w:rPr>
                <w:rFonts w:ascii="宋体" w:hAnsi="宋体" w:cs="宋体" w:hint="eastAsia"/>
                <w:sz w:val="18"/>
              </w:rPr>
              <w:t>两项标准于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1</w:t>
            </w:r>
            <w:r>
              <w:rPr>
                <w:rFonts w:ascii="宋体" w:hAnsi="宋体" w:cs="宋体" w:hint="eastAsia"/>
                <w:sz w:val="18"/>
              </w:rPr>
              <w:t>月</w:t>
            </w:r>
            <w:r>
              <w:rPr>
                <w:rFonts w:ascii="宋体" w:hAnsi="宋体" w:cs="宋体" w:hint="eastAsia"/>
                <w:sz w:val="18"/>
              </w:rPr>
              <w:t>1</w:t>
            </w:r>
            <w:r>
              <w:rPr>
                <w:rFonts w:ascii="宋体" w:hAnsi="宋体" w:cs="宋体" w:hint="eastAsia"/>
                <w:sz w:val="18"/>
              </w:rPr>
              <w:t>日之后的年度报告期生效。</w:t>
            </w:r>
            <w:r>
              <w:rPr>
                <w:rFonts w:ascii="宋体" w:hAnsi="宋体" w:cs="宋体" w:hint="eastAsia"/>
                <w:sz w:val="18"/>
              </w:rPr>
              <w:t>2023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7</w:t>
            </w:r>
            <w:r>
              <w:rPr>
                <w:rFonts w:ascii="宋体" w:hAnsi="宋体" w:cs="宋体" w:hint="eastAsia"/>
                <w:sz w:val="18"/>
              </w:rPr>
              <w:t>月，欧盟委员会正式通过《欧洲可持续发展报告准则》（简称“</w:t>
            </w:r>
            <w:r>
              <w:rPr>
                <w:rFonts w:ascii="宋体" w:hAnsi="宋体" w:cs="宋体" w:hint="eastAsia"/>
                <w:sz w:val="18"/>
              </w:rPr>
              <w:t>ESRS</w:t>
            </w:r>
            <w:r>
              <w:rPr>
                <w:rFonts w:ascii="宋体" w:hAnsi="宋体" w:cs="宋体" w:hint="eastAsia"/>
                <w:sz w:val="18"/>
              </w:rPr>
              <w:t>”），这是欧盟《企业可持续发展报告指令》（以下简称“</w:t>
            </w:r>
            <w:r>
              <w:rPr>
                <w:rFonts w:ascii="宋体" w:hAnsi="宋体" w:cs="宋体" w:hint="eastAsia"/>
                <w:sz w:val="18"/>
              </w:rPr>
              <w:t>CSRD</w:t>
            </w:r>
            <w:r>
              <w:rPr>
                <w:rFonts w:ascii="宋体" w:hAnsi="宋体" w:cs="宋体" w:hint="eastAsia"/>
                <w:sz w:val="18"/>
              </w:rPr>
              <w:t>”）的补充规定，也是</w:t>
            </w:r>
            <w:r>
              <w:rPr>
                <w:rFonts w:ascii="宋体" w:hAnsi="宋体" w:cs="宋体" w:hint="eastAsia"/>
                <w:sz w:val="18"/>
              </w:rPr>
              <w:t xml:space="preserve">CSRD </w:t>
            </w:r>
            <w:r>
              <w:rPr>
                <w:rFonts w:ascii="宋体" w:hAnsi="宋体" w:cs="宋体" w:hint="eastAsia"/>
                <w:sz w:val="18"/>
              </w:rPr>
              <w:t>范围内企业可持续发展报告必须遵循的准则。</w:t>
            </w:r>
            <w:r>
              <w:rPr>
                <w:rFonts w:ascii="宋体" w:hAnsi="宋体" w:cs="宋体" w:hint="eastAsia"/>
                <w:sz w:val="18"/>
              </w:rPr>
              <w:t>2024</w:t>
            </w:r>
            <w:r>
              <w:rPr>
                <w:rFonts w:ascii="宋体" w:hAnsi="宋体" w:cs="宋体" w:hint="eastAsia"/>
                <w:sz w:val="18"/>
              </w:rPr>
              <w:t>年</w:t>
            </w:r>
            <w:r>
              <w:rPr>
                <w:rFonts w:ascii="宋体" w:hAnsi="宋体" w:cs="宋体" w:hint="eastAsia"/>
                <w:sz w:val="18"/>
              </w:rPr>
              <w:t>4</w:t>
            </w:r>
            <w:r>
              <w:rPr>
                <w:rFonts w:ascii="宋体" w:hAnsi="宋体" w:cs="宋体" w:hint="eastAsia"/>
                <w:sz w:val="18"/>
              </w:rPr>
              <w:t>月，欧洲议会投票通过了《企业可持续发展尽职调查指令》（</w:t>
            </w:r>
            <w:r>
              <w:rPr>
                <w:rFonts w:ascii="宋体" w:hAnsi="宋体" w:cs="宋体" w:hint="eastAsia"/>
                <w:sz w:val="18"/>
              </w:rPr>
              <w:t>CSDDD</w:t>
            </w:r>
            <w:r>
              <w:rPr>
                <w:rFonts w:ascii="宋体" w:hAnsi="宋体" w:cs="宋体" w:hint="eastAsia"/>
                <w:sz w:val="18"/>
              </w:rPr>
              <w:t>），作为欧洲的新</w:t>
            </w:r>
            <w:r>
              <w:rPr>
                <w:rFonts w:ascii="宋体" w:hAnsi="宋体" w:cs="宋体" w:hint="eastAsia"/>
                <w:sz w:val="18"/>
              </w:rPr>
              <w:t>ESG</w:t>
            </w:r>
            <w:r>
              <w:rPr>
                <w:rFonts w:ascii="宋体" w:hAnsi="宋体" w:cs="宋体" w:hint="eastAsia"/>
                <w:sz w:val="18"/>
              </w:rPr>
              <w:t>法规，</w:t>
            </w:r>
            <w:r>
              <w:rPr>
                <w:rFonts w:ascii="宋体" w:hAnsi="宋体" w:cs="宋体" w:hint="eastAsia"/>
                <w:sz w:val="18"/>
              </w:rPr>
              <w:t>CSDDD</w:t>
            </w:r>
            <w:r>
              <w:rPr>
                <w:rFonts w:ascii="宋体" w:hAnsi="宋体" w:cs="宋体" w:hint="eastAsia"/>
                <w:sz w:val="18"/>
              </w:rPr>
              <w:t>在企业可持续报告指令（</w:t>
            </w:r>
            <w:r>
              <w:rPr>
                <w:rFonts w:ascii="宋体" w:hAnsi="宋体" w:cs="宋体" w:hint="eastAsia"/>
                <w:sz w:val="18"/>
              </w:rPr>
              <w:t>Corporate Sustainab</w:t>
            </w:r>
            <w:r>
              <w:rPr>
                <w:rFonts w:ascii="宋体" w:hAnsi="宋体" w:cs="宋体" w:hint="eastAsia"/>
                <w:sz w:val="18"/>
              </w:rPr>
              <w:t>ility Reporting Directive</w:t>
            </w:r>
            <w:r>
              <w:rPr>
                <w:rFonts w:ascii="宋体" w:hAnsi="宋体" w:cs="宋体" w:hint="eastAsia"/>
                <w:sz w:val="18"/>
              </w:rPr>
              <w:t>，</w:t>
            </w:r>
            <w:r>
              <w:rPr>
                <w:rFonts w:ascii="宋体" w:hAnsi="宋体" w:cs="宋体" w:hint="eastAsia"/>
                <w:sz w:val="18"/>
              </w:rPr>
              <w:t>CSRD</w:t>
            </w:r>
            <w:r>
              <w:rPr>
                <w:rFonts w:ascii="宋体" w:hAnsi="宋体" w:cs="宋体" w:hint="eastAsia"/>
                <w:sz w:val="18"/>
              </w:rPr>
              <w:t>）的基础上，进一步以法律的形式提出了针对大型企业的强制性尽责管理，要求企业采取实际行动减轻自身运营以及</w:t>
            </w:r>
            <w:proofErr w:type="gramStart"/>
            <w:r>
              <w:rPr>
                <w:rFonts w:ascii="宋体" w:hAnsi="宋体" w:cs="宋体" w:hint="eastAsia"/>
                <w:sz w:val="18"/>
              </w:rPr>
              <w:t>价值链对环境</w:t>
            </w:r>
            <w:proofErr w:type="gramEnd"/>
            <w:r>
              <w:rPr>
                <w:rFonts w:ascii="宋体" w:hAnsi="宋体" w:cs="宋体" w:hint="eastAsia"/>
                <w:sz w:val="18"/>
              </w:rPr>
              <w:t>和人权造成不利影响。</w:t>
            </w:r>
          </w:p>
          <w:p w14:paraId="3F625366" w14:textId="77777777" w:rsidR="009B70CA" w:rsidRDefault="00EC3017">
            <w:pPr>
              <w:ind w:firstLineChars="200" w:firstLine="360"/>
              <w:jc w:val="center"/>
              <w:rPr>
                <w:rFonts w:ascii="宋体" w:hAnsi="宋体" w:cs="宋体"/>
                <w:sz w:val="18"/>
              </w:rPr>
            </w:pPr>
            <w:r>
              <w:rPr>
                <w:rFonts w:ascii="宋体" w:hAnsi="宋体" w:cs="宋体" w:hint="eastAsia"/>
                <w:sz w:val="18"/>
              </w:rPr>
              <w:t>表</w:t>
            </w:r>
            <w:r>
              <w:rPr>
                <w:rFonts w:ascii="宋体" w:hAnsi="宋体" w:cs="宋体"/>
                <w:sz w:val="18"/>
              </w:rPr>
              <w:t xml:space="preserve">2 </w:t>
            </w:r>
            <w:r>
              <w:rPr>
                <w:rFonts w:ascii="宋体" w:hAnsi="宋体" w:cs="宋体" w:hint="eastAsia"/>
                <w:sz w:val="18"/>
              </w:rPr>
              <w:t>国际上已经发布的</w:t>
            </w:r>
            <w:r>
              <w:rPr>
                <w:rFonts w:ascii="宋体" w:hAnsi="宋体" w:cs="宋体" w:hint="eastAsia"/>
                <w:sz w:val="18"/>
              </w:rPr>
              <w:t>E</w:t>
            </w:r>
            <w:r>
              <w:rPr>
                <w:rFonts w:ascii="宋体" w:hAnsi="宋体" w:cs="宋体"/>
                <w:sz w:val="18"/>
              </w:rPr>
              <w:t>SG</w:t>
            </w:r>
            <w:r>
              <w:rPr>
                <w:rFonts w:ascii="宋体" w:hAnsi="宋体" w:cs="宋体"/>
                <w:sz w:val="18"/>
              </w:rPr>
              <w:t>相关标准指引</w:t>
            </w:r>
          </w:p>
          <w:tbl>
            <w:tblPr>
              <w:tblStyle w:val="ab"/>
              <w:tblW w:w="7214" w:type="dxa"/>
              <w:tblLook w:val="04A0" w:firstRow="1" w:lastRow="0" w:firstColumn="1" w:lastColumn="0" w:noHBand="0" w:noVBand="1"/>
            </w:tblPr>
            <w:tblGrid>
              <w:gridCol w:w="634"/>
              <w:gridCol w:w="1878"/>
              <w:gridCol w:w="660"/>
              <w:gridCol w:w="4042"/>
            </w:tblGrid>
            <w:tr w:rsidR="009B70CA" w14:paraId="12F0374B" w14:textId="77777777">
              <w:tc>
                <w:tcPr>
                  <w:tcW w:w="634" w:type="dxa"/>
                </w:tcPr>
                <w:p w14:paraId="4CA10E36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编号</w:t>
                  </w:r>
                </w:p>
              </w:tc>
              <w:tc>
                <w:tcPr>
                  <w:tcW w:w="1878" w:type="dxa"/>
                  <w:vAlign w:val="center"/>
                </w:tcPr>
                <w:p w14:paraId="7D25AD1E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组织</w:t>
                  </w:r>
                </w:p>
              </w:tc>
              <w:tc>
                <w:tcPr>
                  <w:tcW w:w="660" w:type="dxa"/>
                  <w:vAlign w:val="center"/>
                </w:tcPr>
                <w:p w14:paraId="72C4082C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年份</w:t>
                  </w:r>
                </w:p>
              </w:tc>
              <w:tc>
                <w:tcPr>
                  <w:tcW w:w="4042" w:type="dxa"/>
                  <w:vAlign w:val="center"/>
                </w:tcPr>
                <w:p w14:paraId="7C533256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/>
                      <w:b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标准</w:t>
                  </w:r>
                  <w:r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 xml:space="preserve"> / </w:t>
                  </w:r>
                  <w:r>
                    <w:rPr>
                      <w:rFonts w:asciiTheme="minorEastAsia" w:eastAsiaTheme="minorEastAsia" w:hAnsiTheme="minorEastAsia" w:hint="eastAsia"/>
                      <w:b/>
                      <w:sz w:val="18"/>
                      <w:szCs w:val="18"/>
                    </w:rPr>
                    <w:t>指引</w:t>
                  </w:r>
                </w:p>
              </w:tc>
            </w:tr>
            <w:tr w:rsidR="009B70CA" w14:paraId="0BFF7902" w14:textId="77777777">
              <w:tc>
                <w:tcPr>
                  <w:tcW w:w="634" w:type="dxa"/>
                </w:tcPr>
                <w:p w14:paraId="5F3A9864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21DCB4E9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社会责任国际组织</w:t>
                  </w:r>
                </w:p>
              </w:tc>
              <w:tc>
                <w:tcPr>
                  <w:tcW w:w="660" w:type="dxa"/>
                  <w:vAlign w:val="center"/>
                </w:tcPr>
                <w:p w14:paraId="6EF4C8C2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1997</w:t>
                  </w:r>
                </w:p>
              </w:tc>
              <w:tc>
                <w:tcPr>
                  <w:tcW w:w="4042" w:type="dxa"/>
                  <w:vAlign w:val="center"/>
                </w:tcPr>
                <w:p w14:paraId="092555AE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 xml:space="preserve">SA8000 </w:t>
                  </w: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标准</w:t>
                  </w:r>
                </w:p>
              </w:tc>
            </w:tr>
            <w:tr w:rsidR="009B70CA" w14:paraId="081C0765" w14:textId="77777777">
              <w:tc>
                <w:tcPr>
                  <w:tcW w:w="634" w:type="dxa"/>
                </w:tcPr>
                <w:p w14:paraId="470DED0F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1F1F48DE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全球契约组织</w:t>
                  </w:r>
                </w:p>
              </w:tc>
              <w:tc>
                <w:tcPr>
                  <w:tcW w:w="660" w:type="dxa"/>
                  <w:vAlign w:val="center"/>
                </w:tcPr>
                <w:p w14:paraId="51C0A383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2000</w:t>
                  </w:r>
                </w:p>
              </w:tc>
              <w:tc>
                <w:tcPr>
                  <w:tcW w:w="4042" w:type="dxa"/>
                  <w:vAlign w:val="center"/>
                </w:tcPr>
                <w:p w14:paraId="4888150D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全球契约</w:t>
                  </w:r>
                </w:p>
              </w:tc>
            </w:tr>
            <w:tr w:rsidR="009B70CA" w14:paraId="5C688EC2" w14:textId="77777777">
              <w:tc>
                <w:tcPr>
                  <w:tcW w:w="634" w:type="dxa"/>
                </w:tcPr>
                <w:p w14:paraId="677E8C02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7F03B63F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负责任投资原则组织（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PRI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68970A0F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2006</w:t>
                  </w:r>
                </w:p>
              </w:tc>
              <w:tc>
                <w:tcPr>
                  <w:tcW w:w="4042" w:type="dxa"/>
                  <w:vAlign w:val="center"/>
                </w:tcPr>
                <w:p w14:paraId="4CD000D4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负责任投资原则</w:t>
                  </w:r>
                </w:p>
              </w:tc>
            </w:tr>
            <w:tr w:rsidR="009B70CA" w14:paraId="1C7A647B" w14:textId="77777777">
              <w:tc>
                <w:tcPr>
                  <w:tcW w:w="634" w:type="dxa"/>
                </w:tcPr>
                <w:p w14:paraId="431D4E28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63417D86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国际标准化组织</w:t>
                  </w:r>
                </w:p>
              </w:tc>
              <w:tc>
                <w:tcPr>
                  <w:tcW w:w="660" w:type="dxa"/>
                  <w:vAlign w:val="center"/>
                </w:tcPr>
                <w:p w14:paraId="0CA07C21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2010</w:t>
                  </w:r>
                </w:p>
              </w:tc>
              <w:tc>
                <w:tcPr>
                  <w:tcW w:w="4042" w:type="dxa"/>
                  <w:vAlign w:val="center"/>
                </w:tcPr>
                <w:p w14:paraId="74B72CED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社会责任标准</w:t>
                  </w:r>
                </w:p>
                <w:p w14:paraId="2B0E96C3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ISO26000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</w:tr>
            <w:tr w:rsidR="009B70CA" w14:paraId="5D07EC65" w14:textId="77777777">
              <w:tc>
                <w:tcPr>
                  <w:tcW w:w="634" w:type="dxa"/>
                </w:tcPr>
                <w:p w14:paraId="1AEEF194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77F381B5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全球报告倡议组织（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GRI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3382FF6B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1997</w:t>
                  </w:r>
                </w:p>
              </w:tc>
              <w:tc>
                <w:tcPr>
                  <w:tcW w:w="4042" w:type="dxa"/>
                  <w:vAlign w:val="center"/>
                </w:tcPr>
                <w:p w14:paraId="7F34AB40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可持续发展报告指南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G4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 xml:space="preserve">2013 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年）</w:t>
                  </w:r>
                </w:p>
              </w:tc>
            </w:tr>
            <w:tr w:rsidR="009B70CA" w14:paraId="76D8E0B9" w14:textId="77777777">
              <w:tc>
                <w:tcPr>
                  <w:tcW w:w="634" w:type="dxa"/>
                </w:tcPr>
                <w:p w14:paraId="2310E68A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75D9D77A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可持续发展会计准则委员会（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SASB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39AF1BBC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2011</w:t>
                  </w:r>
                </w:p>
                <w:p w14:paraId="6AA6F0EF" w14:textId="77777777" w:rsidR="009B70CA" w:rsidRDefault="009B70CA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4042" w:type="dxa"/>
                  <w:vAlign w:val="center"/>
                </w:tcPr>
                <w:p w14:paraId="196E7B15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 xml:space="preserve">77 </w:t>
                  </w:r>
                  <w:proofErr w:type="gramStart"/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个</w:t>
                  </w:r>
                  <w:proofErr w:type="gramEnd"/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行业标准</w:t>
                  </w:r>
                </w:p>
                <w:p w14:paraId="10F9E216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 xml:space="preserve">SASB 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标准应用指南</w:t>
                  </w:r>
                </w:p>
              </w:tc>
            </w:tr>
            <w:tr w:rsidR="009B70CA" w14:paraId="0A9ABCF2" w14:textId="77777777">
              <w:tc>
                <w:tcPr>
                  <w:tcW w:w="634" w:type="dxa"/>
                </w:tcPr>
                <w:p w14:paraId="117EA70E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7ACD33C4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国际综合报告委员会（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IIRC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1880E58B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2013</w:t>
                  </w:r>
                </w:p>
              </w:tc>
              <w:tc>
                <w:tcPr>
                  <w:tcW w:w="4042" w:type="dxa"/>
                  <w:vAlign w:val="center"/>
                </w:tcPr>
                <w:p w14:paraId="103C02DB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国际综合报告框架</w:t>
                  </w:r>
                </w:p>
              </w:tc>
            </w:tr>
            <w:tr w:rsidR="009B70CA" w14:paraId="7BB2D4BD" w14:textId="77777777">
              <w:tc>
                <w:tcPr>
                  <w:tcW w:w="634" w:type="dxa"/>
                </w:tcPr>
                <w:p w14:paraId="37740ED8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24088B9B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国际碳排放信息披露项目（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CDP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5A5B16E7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2000</w:t>
                  </w:r>
                </w:p>
              </w:tc>
              <w:tc>
                <w:tcPr>
                  <w:tcW w:w="4042" w:type="dxa"/>
                  <w:vAlign w:val="center"/>
                </w:tcPr>
                <w:p w14:paraId="611639B2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碳排放信息披露指南</w:t>
                  </w:r>
                </w:p>
              </w:tc>
            </w:tr>
            <w:tr w:rsidR="009B70CA" w14:paraId="3F66BF41" w14:textId="77777777">
              <w:tc>
                <w:tcPr>
                  <w:tcW w:w="634" w:type="dxa"/>
                </w:tcPr>
                <w:p w14:paraId="727C0578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66E679F5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气候变化相关财务信息披露工作组（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TCFD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2D12197A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4042" w:type="dxa"/>
                  <w:vAlign w:val="center"/>
                </w:tcPr>
                <w:p w14:paraId="04F77E14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气候变化相关财务信息披露实施指引</w:t>
                  </w:r>
                </w:p>
              </w:tc>
            </w:tr>
            <w:tr w:rsidR="009B70CA" w14:paraId="63B4215A" w14:textId="77777777">
              <w:tc>
                <w:tcPr>
                  <w:tcW w:w="634" w:type="dxa"/>
                </w:tcPr>
                <w:p w14:paraId="357266D0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6BA108A4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气候披露标准委员会（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CDSB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2C4A7933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4042" w:type="dxa"/>
                  <w:vAlign w:val="center"/>
                </w:tcPr>
                <w:p w14:paraId="72B71299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环境和气候变化信息报告框架</w:t>
                  </w:r>
                </w:p>
              </w:tc>
            </w:tr>
            <w:tr w:rsidR="009B70CA" w14:paraId="70A8B775" w14:textId="77777777">
              <w:tc>
                <w:tcPr>
                  <w:tcW w:w="634" w:type="dxa"/>
                </w:tcPr>
                <w:p w14:paraId="456DEF82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3DAE68DB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国际可持续准则理事会（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ISSB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339514B4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4042" w:type="dxa"/>
                  <w:vAlign w:val="center"/>
                </w:tcPr>
                <w:p w14:paraId="3272D370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《国际财务报告可持续披露准则第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1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号——可持续相关财务信息披露一般要求》</w:t>
                  </w:r>
                </w:p>
              </w:tc>
            </w:tr>
            <w:tr w:rsidR="009B70CA" w14:paraId="430E56E9" w14:textId="77777777">
              <w:tc>
                <w:tcPr>
                  <w:tcW w:w="634" w:type="dxa"/>
                </w:tcPr>
                <w:p w14:paraId="0052C3DE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vAlign w:val="center"/>
                </w:tcPr>
                <w:p w14:paraId="306CACBD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欧盟委员会（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EU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vAlign w:val="center"/>
                </w:tcPr>
                <w:p w14:paraId="2395E47B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4042" w:type="dxa"/>
                  <w:vAlign w:val="center"/>
                </w:tcPr>
                <w:p w14:paraId="11448F0E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《企业可持续发展报告指令》</w:t>
                  </w:r>
                </w:p>
              </w:tc>
            </w:tr>
            <w:tr w:rsidR="009B70CA" w14:paraId="2625987D" w14:textId="77777777">
              <w:tc>
                <w:tcPr>
                  <w:tcW w:w="634" w:type="dxa"/>
                </w:tcPr>
                <w:p w14:paraId="77396237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shd w:val="clear" w:color="auto" w:fill="auto"/>
                  <w:vAlign w:val="center"/>
                </w:tcPr>
                <w:p w14:paraId="7C50F234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欧盟委员会（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EU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14:paraId="15EC2148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4042" w:type="dxa"/>
                  <w:shd w:val="clear" w:color="auto" w:fill="auto"/>
                  <w:vAlign w:val="center"/>
                </w:tcPr>
                <w:p w14:paraId="55D690E1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《欧洲可持续发展报告准则》</w:t>
                  </w:r>
                </w:p>
              </w:tc>
            </w:tr>
            <w:tr w:rsidR="009B70CA" w14:paraId="2FAC77A3" w14:textId="77777777">
              <w:tc>
                <w:tcPr>
                  <w:tcW w:w="634" w:type="dxa"/>
                </w:tcPr>
                <w:p w14:paraId="0E98A81C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shd w:val="clear" w:color="auto" w:fill="auto"/>
                  <w:vAlign w:val="center"/>
                </w:tcPr>
                <w:p w14:paraId="189FD131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欧盟委员会（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EU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14:paraId="5BA603CD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4042" w:type="dxa"/>
                  <w:shd w:val="clear" w:color="auto" w:fill="auto"/>
                  <w:vAlign w:val="center"/>
                </w:tcPr>
                <w:p w14:paraId="7BA9B28C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《企业可持续发展尽职调查指令》</w:t>
                  </w:r>
                </w:p>
              </w:tc>
            </w:tr>
            <w:tr w:rsidR="009B70CA" w14:paraId="69B73FE9" w14:textId="77777777">
              <w:tc>
                <w:tcPr>
                  <w:tcW w:w="634" w:type="dxa"/>
                </w:tcPr>
                <w:p w14:paraId="21D473B6" w14:textId="77777777" w:rsidR="009B70CA" w:rsidRDefault="009B70CA">
                  <w:pPr>
                    <w:pStyle w:val="ad"/>
                    <w:numPr>
                      <w:ilvl w:val="0"/>
                      <w:numId w:val="4"/>
                    </w:numPr>
                    <w:ind w:firstLineChars="0"/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</w:p>
              </w:tc>
              <w:tc>
                <w:tcPr>
                  <w:tcW w:w="1878" w:type="dxa"/>
                  <w:shd w:val="clear" w:color="auto" w:fill="auto"/>
                  <w:vAlign w:val="center"/>
                </w:tcPr>
                <w:p w14:paraId="3DA62D69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自然相关财务披露工作组（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TNFD</w:t>
                  </w: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）</w:t>
                  </w:r>
                </w:p>
              </w:tc>
              <w:tc>
                <w:tcPr>
                  <w:tcW w:w="660" w:type="dxa"/>
                  <w:shd w:val="clear" w:color="auto" w:fill="auto"/>
                  <w:vAlign w:val="center"/>
                </w:tcPr>
                <w:p w14:paraId="71C51611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4042" w:type="dxa"/>
                  <w:shd w:val="clear" w:color="auto" w:fill="auto"/>
                  <w:vAlign w:val="center"/>
                </w:tcPr>
                <w:p w14:paraId="53BAA9E3" w14:textId="77777777" w:rsidR="009B70CA" w:rsidRDefault="00EC3017">
                  <w:pPr>
                    <w:jc w:val="center"/>
                    <w:rPr>
                      <w:rFonts w:asciiTheme="minorEastAsia" w:eastAsiaTheme="minorEastAsia" w:hAnsiTheme="minorEastAsia" w:cs="宋体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cs="宋体" w:hint="eastAsia"/>
                      <w:sz w:val="18"/>
                      <w:szCs w:val="18"/>
                    </w:rPr>
                    <w:t>自然相关自愿披露框架建议</w:t>
                  </w:r>
                </w:p>
              </w:tc>
            </w:tr>
          </w:tbl>
          <w:p w14:paraId="1DE1E129" w14:textId="77777777" w:rsidR="009B70CA" w:rsidRDefault="00EC3017">
            <w:pPr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rFonts w:hint="eastAsia"/>
                <w:sz w:val="18"/>
                <w:u w:val="single"/>
              </w:rPr>
              <w:t>项目与国际标准或国外先进标准采用程度的考虑：</w:t>
            </w:r>
          </w:p>
          <w:p w14:paraId="6D5E6E32" w14:textId="77777777" w:rsidR="009B70CA" w:rsidRDefault="00EC3017">
            <w:pPr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本标准的制定将参考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国内外相关标准的框架及要求。包括《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 xml:space="preserve">SA8000 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标准》、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 xml:space="preserve">ISO 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26000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《社会责任指南》、《国际综合报告框架》（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IIRC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）、《碳排放信息披露指南》（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CDP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）、《气候变化相关财务信息披露实施指引》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(TCFD)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、《环境和气候变化信息报告框架》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(CDSB)</w:t>
            </w:r>
            <w:r>
              <w:rPr>
                <w:rFonts w:ascii="ˎ̥" w:hAnsi="ˎ̥" w:cs="宋体" w:hint="eastAsia"/>
                <w:kern w:val="0"/>
                <w:sz w:val="18"/>
                <w:szCs w:val="18"/>
              </w:rPr>
              <w:t>。</w:t>
            </w:r>
          </w:p>
          <w:p w14:paraId="78179E21" w14:textId="77777777" w:rsidR="009B70CA" w:rsidRDefault="00EC3017">
            <w:pPr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rFonts w:hint="eastAsia"/>
                <w:sz w:val="18"/>
                <w:u w:val="single"/>
              </w:rPr>
              <w:t>与国内相关标准间的关系：</w:t>
            </w:r>
          </w:p>
          <w:p w14:paraId="09D92909" w14:textId="77777777" w:rsidR="009B70CA" w:rsidRDefault="00EC3017">
            <w:pPr>
              <w:ind w:firstLineChars="200" w:firstLine="360"/>
              <w:rPr>
                <w:sz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本标准将框架将考虑与</w:t>
            </w:r>
            <w:r>
              <w:rPr>
                <w:rFonts w:ascii="宋体" w:hAnsi="宋体" w:hint="eastAsia"/>
                <w:sz w:val="18"/>
                <w:szCs w:val="18"/>
              </w:rPr>
              <w:t>GB/T 36001</w:t>
            </w:r>
            <w:r>
              <w:rPr>
                <w:rFonts w:ascii="宋体" w:hAnsi="宋体" w:hint="eastAsia"/>
                <w:sz w:val="18"/>
                <w:szCs w:val="18"/>
              </w:rPr>
              <w:t>《社会责任报告编写指南》、</w:t>
            </w:r>
            <w:r>
              <w:rPr>
                <w:rFonts w:ascii="宋体" w:hAnsi="宋体" w:hint="eastAsia"/>
                <w:sz w:val="18"/>
                <w:szCs w:val="18"/>
              </w:rPr>
              <w:t>GB/T 36002</w:t>
            </w:r>
            <w:r>
              <w:rPr>
                <w:rFonts w:ascii="宋体" w:hAnsi="宋体" w:hint="eastAsia"/>
                <w:sz w:val="18"/>
                <w:szCs w:val="18"/>
              </w:rPr>
              <w:t>《社会责任绩效分类指引》、《环境、社会和治理指引》、《上市公司可持续发展报告指引》、</w:t>
            </w:r>
            <w:r>
              <w:rPr>
                <w:rFonts w:ascii="宋体" w:hAnsi="宋体" w:hint="eastAsia"/>
                <w:sz w:val="18"/>
                <w:szCs w:val="18"/>
              </w:rPr>
              <w:t>CBMF 268.1</w:t>
            </w:r>
            <w:r>
              <w:rPr>
                <w:rFonts w:ascii="宋体" w:hAnsi="宋体"/>
                <w:sz w:val="18"/>
                <w:szCs w:val="18"/>
              </w:rPr>
              <w:t>-2024</w:t>
            </w:r>
            <w:r>
              <w:rPr>
                <w:rFonts w:ascii="宋体" w:hAnsi="宋体" w:hint="eastAsia"/>
                <w:sz w:val="18"/>
                <w:szCs w:val="18"/>
              </w:rPr>
              <w:t>《建筑材料行业企业环境、社会和公司治理（</w:t>
            </w:r>
            <w:r>
              <w:rPr>
                <w:rFonts w:ascii="宋体" w:hAnsi="宋体" w:hint="eastAsia"/>
                <w:sz w:val="18"/>
                <w:szCs w:val="18"/>
              </w:rPr>
              <w:t>ESG</w:t>
            </w:r>
            <w:r>
              <w:rPr>
                <w:rFonts w:ascii="宋体" w:hAnsi="宋体" w:hint="eastAsia"/>
                <w:sz w:val="18"/>
                <w:szCs w:val="18"/>
              </w:rPr>
              <w:t>）指南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第一部分：信息披露》、</w:t>
            </w:r>
            <w:r>
              <w:rPr>
                <w:rFonts w:ascii="宋体" w:hAnsi="宋体" w:hint="eastAsia"/>
                <w:sz w:val="18"/>
                <w:szCs w:val="18"/>
              </w:rPr>
              <w:t>CBMF268.2</w:t>
            </w:r>
            <w:r>
              <w:rPr>
                <w:rFonts w:ascii="宋体" w:hAnsi="宋体"/>
                <w:sz w:val="18"/>
                <w:szCs w:val="18"/>
              </w:rPr>
              <w:t>-2024</w:t>
            </w:r>
            <w:r>
              <w:rPr>
                <w:rFonts w:ascii="宋体" w:hAnsi="宋体" w:hint="eastAsia"/>
                <w:sz w:val="18"/>
                <w:szCs w:val="18"/>
              </w:rPr>
              <w:t>《建筑材料行业企业环境、社会和公司治理（</w:t>
            </w:r>
            <w:r>
              <w:rPr>
                <w:rFonts w:ascii="宋体" w:hAnsi="宋体" w:hint="eastAsia"/>
                <w:sz w:val="18"/>
                <w:szCs w:val="18"/>
              </w:rPr>
              <w:t>ESG</w:t>
            </w:r>
            <w:r>
              <w:rPr>
                <w:rFonts w:ascii="宋体" w:hAnsi="宋体" w:hint="eastAsia"/>
                <w:sz w:val="18"/>
                <w:szCs w:val="18"/>
              </w:rPr>
              <w:t>）指南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第二部分：绩效评价》等标准保持协调。</w:t>
            </w:r>
          </w:p>
          <w:p w14:paraId="76C5B893" w14:textId="77777777" w:rsidR="009B70CA" w:rsidRDefault="00EC3017">
            <w:pPr>
              <w:numPr>
                <w:ilvl w:val="0"/>
                <w:numId w:val="2"/>
              </w:numPr>
              <w:rPr>
                <w:sz w:val="18"/>
              </w:rPr>
            </w:pPr>
            <w:r>
              <w:rPr>
                <w:rFonts w:hint="eastAsia"/>
                <w:sz w:val="18"/>
                <w:u w:val="single"/>
              </w:rPr>
              <w:t>指出是否发现有知识产权的问题</w:t>
            </w:r>
            <w:r>
              <w:rPr>
                <w:rFonts w:hint="eastAsia"/>
                <w:sz w:val="18"/>
              </w:rPr>
              <w:t>；无。</w:t>
            </w:r>
          </w:p>
        </w:tc>
      </w:tr>
      <w:tr w:rsidR="009B70CA" w14:paraId="12993473" w14:textId="77777777">
        <w:trPr>
          <w:trHeight w:val="1245"/>
          <w:jc w:val="center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6092" w14:textId="77777777" w:rsidR="009B70CA" w:rsidRDefault="00EC301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牵头</w:t>
            </w:r>
            <w:r>
              <w:rPr>
                <w:rFonts w:hint="eastAsia"/>
                <w:sz w:val="18"/>
              </w:rPr>
              <w:t>单位</w:t>
            </w: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58AF4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</w:pPr>
            <w:r>
              <w:rPr>
                <w:rFonts w:hint="eastAsia"/>
              </w:rPr>
              <w:t>（签字、盖公章）</w:t>
            </w:r>
          </w:p>
          <w:p w14:paraId="5B8DF609" w14:textId="77777777" w:rsidR="009B70CA" w:rsidRDefault="009B70CA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</w:pPr>
          </w:p>
          <w:p w14:paraId="7990B5B7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250" w:firstLine="450"/>
              <w:jc w:val="both"/>
            </w:pP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6EA9" w14:textId="77777777" w:rsidR="009B70CA" w:rsidRDefault="00EC301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标准化技术组织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DE57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</w:pPr>
            <w:r>
              <w:rPr>
                <w:rFonts w:hint="eastAsia"/>
              </w:rPr>
              <w:t>（签字、盖公章）</w:t>
            </w:r>
          </w:p>
          <w:p w14:paraId="27094D53" w14:textId="77777777" w:rsidR="009B70CA" w:rsidRDefault="009B70CA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</w:pPr>
          </w:p>
          <w:p w14:paraId="1AFDC5E8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300" w:firstLine="540"/>
              <w:jc w:val="both"/>
            </w:pP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  <w:tc>
          <w:tcPr>
            <w:tcW w:w="1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97F0" w14:textId="77777777" w:rsidR="009B70CA" w:rsidRDefault="00EC3017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部委托机构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198A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</w:pPr>
            <w:r>
              <w:rPr>
                <w:rFonts w:hint="eastAsia"/>
              </w:rPr>
              <w:t>（签字、盖公章）</w:t>
            </w:r>
          </w:p>
          <w:p w14:paraId="33D17795" w14:textId="77777777" w:rsidR="009B70CA" w:rsidRDefault="009B70CA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jc w:val="both"/>
            </w:pPr>
          </w:p>
          <w:p w14:paraId="25D30734" w14:textId="77777777" w:rsidR="009B70CA" w:rsidRDefault="00EC3017">
            <w:pPr>
              <w:pStyle w:val="a8"/>
              <w:pBdr>
                <w:bottom w:val="none" w:sz="0" w:space="0" w:color="auto"/>
              </w:pBdr>
              <w:tabs>
                <w:tab w:val="left" w:pos="420"/>
              </w:tabs>
              <w:snapToGrid/>
              <w:ind w:firstLineChars="250" w:firstLine="450"/>
              <w:jc w:val="both"/>
            </w:pP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6B464078" w14:textId="77777777" w:rsidR="009B70CA" w:rsidRDefault="00EC3017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1.</w:t>
      </w:r>
      <w:r>
        <w:rPr>
          <w:rFonts w:hint="eastAsia"/>
          <w:sz w:val="18"/>
          <w:szCs w:val="18"/>
        </w:rPr>
        <w:t>填写制定或修订项目中，若选择修订必须填写被修订标准号；</w:t>
      </w:r>
    </w:p>
    <w:p w14:paraId="63690554" w14:textId="77777777" w:rsidR="009B70CA" w:rsidRDefault="00EC3017">
      <w:pPr>
        <w:ind w:firstLineChars="400" w:firstLine="720"/>
        <w:rPr>
          <w:sz w:val="18"/>
          <w:szCs w:val="18"/>
        </w:rPr>
      </w:pPr>
      <w:r>
        <w:rPr>
          <w:rFonts w:hint="eastAsia"/>
          <w:sz w:val="18"/>
          <w:szCs w:val="18"/>
        </w:rPr>
        <w:t>2.</w:t>
      </w:r>
      <w:r>
        <w:rPr>
          <w:rFonts w:hint="eastAsia"/>
          <w:sz w:val="18"/>
          <w:szCs w:val="18"/>
        </w:rPr>
        <w:t>选择采用国际标准，必须填写采标号及采用程度；</w:t>
      </w:r>
    </w:p>
    <w:p w14:paraId="05DFFB0F" w14:textId="77777777" w:rsidR="009B70CA" w:rsidRDefault="00EC3017">
      <w:r>
        <w:rPr>
          <w:rFonts w:hint="eastAsia"/>
          <w:sz w:val="18"/>
          <w:szCs w:val="18"/>
        </w:rPr>
        <w:t>3.</w:t>
      </w:r>
      <w:r>
        <w:rPr>
          <w:rFonts w:hint="eastAsia"/>
          <w:sz w:val="18"/>
          <w:szCs w:val="18"/>
        </w:rPr>
        <w:t>选择采用快速程序，必须填写快速程序代码。</w:t>
      </w:r>
    </w:p>
    <w:sectPr w:rsidR="009B70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DB1162E"/>
    <w:multiLevelType w:val="singleLevel"/>
    <w:tmpl w:val="EDB1162E"/>
    <w:lvl w:ilvl="0">
      <w:start w:val="1"/>
      <w:numFmt w:val="decimal"/>
      <w:suff w:val="nothing"/>
      <w:lvlText w:val="%1）"/>
      <w:lvlJc w:val="left"/>
    </w:lvl>
  </w:abstractNum>
  <w:abstractNum w:abstractNumId="1" w15:restartNumberingAfterBreak="0">
    <w:nsid w:val="38460242"/>
    <w:multiLevelType w:val="multilevel"/>
    <w:tmpl w:val="3846024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FF2794B"/>
    <w:multiLevelType w:val="multilevel"/>
    <w:tmpl w:val="3FF2794B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A3A63FB"/>
    <w:multiLevelType w:val="multilevel"/>
    <w:tmpl w:val="4A3A63FB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lYTViZjc1OThkMGI1NjAwNjI5YzUxZWQzZTNhY2EifQ=="/>
  </w:docVars>
  <w:rsids>
    <w:rsidRoot w:val="00D94DE0"/>
    <w:rsid w:val="D935C81B"/>
    <w:rsid w:val="FDFF76DA"/>
    <w:rsid w:val="0000638F"/>
    <w:rsid w:val="000139E2"/>
    <w:rsid w:val="00032A5A"/>
    <w:rsid w:val="00035904"/>
    <w:rsid w:val="00055468"/>
    <w:rsid w:val="00061C14"/>
    <w:rsid w:val="000776B7"/>
    <w:rsid w:val="00097B1D"/>
    <w:rsid w:val="000A1813"/>
    <w:rsid w:val="000A23BA"/>
    <w:rsid w:val="000A3A9B"/>
    <w:rsid w:val="000A54A7"/>
    <w:rsid w:val="000A61BF"/>
    <w:rsid w:val="000E1DB5"/>
    <w:rsid w:val="000E705B"/>
    <w:rsid w:val="000F5BC2"/>
    <w:rsid w:val="00100549"/>
    <w:rsid w:val="00104518"/>
    <w:rsid w:val="00122929"/>
    <w:rsid w:val="00126298"/>
    <w:rsid w:val="00143D56"/>
    <w:rsid w:val="0016497B"/>
    <w:rsid w:val="00166018"/>
    <w:rsid w:val="0017658F"/>
    <w:rsid w:val="001A0B5D"/>
    <w:rsid w:val="001C102E"/>
    <w:rsid w:val="001C1229"/>
    <w:rsid w:val="001D6ABD"/>
    <w:rsid w:val="001D75AF"/>
    <w:rsid w:val="001E30C8"/>
    <w:rsid w:val="001E38C0"/>
    <w:rsid w:val="001E396A"/>
    <w:rsid w:val="001E4880"/>
    <w:rsid w:val="001F3C34"/>
    <w:rsid w:val="00211CBD"/>
    <w:rsid w:val="00233278"/>
    <w:rsid w:val="00240E3E"/>
    <w:rsid w:val="002434EE"/>
    <w:rsid w:val="002534C7"/>
    <w:rsid w:val="002565AB"/>
    <w:rsid w:val="00265B32"/>
    <w:rsid w:val="00292DF1"/>
    <w:rsid w:val="002945FD"/>
    <w:rsid w:val="00297377"/>
    <w:rsid w:val="002B3AF9"/>
    <w:rsid w:val="002B3E3F"/>
    <w:rsid w:val="002C6B17"/>
    <w:rsid w:val="002C741A"/>
    <w:rsid w:val="002D6D63"/>
    <w:rsid w:val="002F009B"/>
    <w:rsid w:val="002F220A"/>
    <w:rsid w:val="0031195C"/>
    <w:rsid w:val="00312880"/>
    <w:rsid w:val="003174D2"/>
    <w:rsid w:val="003305FB"/>
    <w:rsid w:val="0033414B"/>
    <w:rsid w:val="00340EA5"/>
    <w:rsid w:val="003464C5"/>
    <w:rsid w:val="00352531"/>
    <w:rsid w:val="00353125"/>
    <w:rsid w:val="003653C5"/>
    <w:rsid w:val="00374FD0"/>
    <w:rsid w:val="0037615D"/>
    <w:rsid w:val="003840EA"/>
    <w:rsid w:val="003A68B2"/>
    <w:rsid w:val="003A7909"/>
    <w:rsid w:val="003B2849"/>
    <w:rsid w:val="003B3040"/>
    <w:rsid w:val="003C6141"/>
    <w:rsid w:val="003D7500"/>
    <w:rsid w:val="003E0533"/>
    <w:rsid w:val="003F0E37"/>
    <w:rsid w:val="00410DCB"/>
    <w:rsid w:val="00417ED8"/>
    <w:rsid w:val="004508A6"/>
    <w:rsid w:val="00462371"/>
    <w:rsid w:val="00480963"/>
    <w:rsid w:val="0048734B"/>
    <w:rsid w:val="004928B4"/>
    <w:rsid w:val="004A7AB2"/>
    <w:rsid w:val="004B3975"/>
    <w:rsid w:val="004B6AA7"/>
    <w:rsid w:val="004B70EB"/>
    <w:rsid w:val="004D27BB"/>
    <w:rsid w:val="004E1180"/>
    <w:rsid w:val="004E46D1"/>
    <w:rsid w:val="004E4DDB"/>
    <w:rsid w:val="004E78DE"/>
    <w:rsid w:val="004F27CC"/>
    <w:rsid w:val="004F6701"/>
    <w:rsid w:val="00503BFD"/>
    <w:rsid w:val="005115A4"/>
    <w:rsid w:val="00515E4E"/>
    <w:rsid w:val="00550D88"/>
    <w:rsid w:val="005513CD"/>
    <w:rsid w:val="0055430F"/>
    <w:rsid w:val="00554C7E"/>
    <w:rsid w:val="00557745"/>
    <w:rsid w:val="00584A81"/>
    <w:rsid w:val="00587C77"/>
    <w:rsid w:val="005C2414"/>
    <w:rsid w:val="005C3E3A"/>
    <w:rsid w:val="005E04CA"/>
    <w:rsid w:val="005F203E"/>
    <w:rsid w:val="00621002"/>
    <w:rsid w:val="00626D90"/>
    <w:rsid w:val="00631711"/>
    <w:rsid w:val="006370A1"/>
    <w:rsid w:val="00641A80"/>
    <w:rsid w:val="00644A99"/>
    <w:rsid w:val="006576E4"/>
    <w:rsid w:val="0065778A"/>
    <w:rsid w:val="006700E1"/>
    <w:rsid w:val="0067218C"/>
    <w:rsid w:val="00690932"/>
    <w:rsid w:val="006A7BDF"/>
    <w:rsid w:val="006B368D"/>
    <w:rsid w:val="006B5ACB"/>
    <w:rsid w:val="006D537D"/>
    <w:rsid w:val="006D701C"/>
    <w:rsid w:val="006E735A"/>
    <w:rsid w:val="00700D08"/>
    <w:rsid w:val="00702CE8"/>
    <w:rsid w:val="007167F7"/>
    <w:rsid w:val="00720B1B"/>
    <w:rsid w:val="00730F1E"/>
    <w:rsid w:val="00741FB4"/>
    <w:rsid w:val="00746375"/>
    <w:rsid w:val="00746ECB"/>
    <w:rsid w:val="00746FA2"/>
    <w:rsid w:val="00752F21"/>
    <w:rsid w:val="00755F2F"/>
    <w:rsid w:val="00762C08"/>
    <w:rsid w:val="00776C34"/>
    <w:rsid w:val="00797014"/>
    <w:rsid w:val="007B6190"/>
    <w:rsid w:val="007C5F12"/>
    <w:rsid w:val="007C6646"/>
    <w:rsid w:val="007D727F"/>
    <w:rsid w:val="007E658F"/>
    <w:rsid w:val="007F146D"/>
    <w:rsid w:val="007F7757"/>
    <w:rsid w:val="00810BDE"/>
    <w:rsid w:val="008167B8"/>
    <w:rsid w:val="0081747C"/>
    <w:rsid w:val="00824259"/>
    <w:rsid w:val="00842BCD"/>
    <w:rsid w:val="00854945"/>
    <w:rsid w:val="00863B44"/>
    <w:rsid w:val="00871821"/>
    <w:rsid w:val="00880179"/>
    <w:rsid w:val="0088116F"/>
    <w:rsid w:val="00885838"/>
    <w:rsid w:val="00886557"/>
    <w:rsid w:val="0089378A"/>
    <w:rsid w:val="0089584A"/>
    <w:rsid w:val="008977E3"/>
    <w:rsid w:val="008A5E13"/>
    <w:rsid w:val="008A6B79"/>
    <w:rsid w:val="008C6700"/>
    <w:rsid w:val="008D4636"/>
    <w:rsid w:val="008F074C"/>
    <w:rsid w:val="008F5C96"/>
    <w:rsid w:val="009045E7"/>
    <w:rsid w:val="00905485"/>
    <w:rsid w:val="00914FE1"/>
    <w:rsid w:val="00925C13"/>
    <w:rsid w:val="00937B3D"/>
    <w:rsid w:val="00940284"/>
    <w:rsid w:val="00940869"/>
    <w:rsid w:val="0094667E"/>
    <w:rsid w:val="009528A2"/>
    <w:rsid w:val="00964CBA"/>
    <w:rsid w:val="00966771"/>
    <w:rsid w:val="00972CFB"/>
    <w:rsid w:val="00993CA6"/>
    <w:rsid w:val="009B33AC"/>
    <w:rsid w:val="009B6B2B"/>
    <w:rsid w:val="009B70CA"/>
    <w:rsid w:val="009F7F09"/>
    <w:rsid w:val="00A0799D"/>
    <w:rsid w:val="00A1017F"/>
    <w:rsid w:val="00A344E0"/>
    <w:rsid w:val="00A524EE"/>
    <w:rsid w:val="00A549C3"/>
    <w:rsid w:val="00A626B6"/>
    <w:rsid w:val="00A8094E"/>
    <w:rsid w:val="00A85899"/>
    <w:rsid w:val="00A9227C"/>
    <w:rsid w:val="00AB7053"/>
    <w:rsid w:val="00AC239A"/>
    <w:rsid w:val="00AC56CE"/>
    <w:rsid w:val="00AE4A4F"/>
    <w:rsid w:val="00AE6150"/>
    <w:rsid w:val="00B01EC6"/>
    <w:rsid w:val="00B338B6"/>
    <w:rsid w:val="00B3784B"/>
    <w:rsid w:val="00B44692"/>
    <w:rsid w:val="00B545C6"/>
    <w:rsid w:val="00B62715"/>
    <w:rsid w:val="00B778C8"/>
    <w:rsid w:val="00B867D2"/>
    <w:rsid w:val="00B869BD"/>
    <w:rsid w:val="00B96A37"/>
    <w:rsid w:val="00BB41AB"/>
    <w:rsid w:val="00BB4476"/>
    <w:rsid w:val="00BC4496"/>
    <w:rsid w:val="00BE159F"/>
    <w:rsid w:val="00BE7F6C"/>
    <w:rsid w:val="00BF6366"/>
    <w:rsid w:val="00C121DC"/>
    <w:rsid w:val="00C14564"/>
    <w:rsid w:val="00C153DC"/>
    <w:rsid w:val="00C23B31"/>
    <w:rsid w:val="00C32454"/>
    <w:rsid w:val="00C36585"/>
    <w:rsid w:val="00C42390"/>
    <w:rsid w:val="00C43EF5"/>
    <w:rsid w:val="00C44248"/>
    <w:rsid w:val="00C732F6"/>
    <w:rsid w:val="00C741CD"/>
    <w:rsid w:val="00C75B38"/>
    <w:rsid w:val="00C77B83"/>
    <w:rsid w:val="00C833C5"/>
    <w:rsid w:val="00C840DF"/>
    <w:rsid w:val="00C9735E"/>
    <w:rsid w:val="00CA2C8B"/>
    <w:rsid w:val="00CA7AA4"/>
    <w:rsid w:val="00CC7220"/>
    <w:rsid w:val="00D0256C"/>
    <w:rsid w:val="00D066F7"/>
    <w:rsid w:val="00D13F3C"/>
    <w:rsid w:val="00D442AA"/>
    <w:rsid w:val="00D56A84"/>
    <w:rsid w:val="00D92B27"/>
    <w:rsid w:val="00D94D1D"/>
    <w:rsid w:val="00D94DE0"/>
    <w:rsid w:val="00DB05E2"/>
    <w:rsid w:val="00DC18B0"/>
    <w:rsid w:val="00DC2F35"/>
    <w:rsid w:val="00DC35D8"/>
    <w:rsid w:val="00DD2939"/>
    <w:rsid w:val="00DF1520"/>
    <w:rsid w:val="00DF5934"/>
    <w:rsid w:val="00E05A4D"/>
    <w:rsid w:val="00E13C13"/>
    <w:rsid w:val="00E1590E"/>
    <w:rsid w:val="00E23AE8"/>
    <w:rsid w:val="00E27651"/>
    <w:rsid w:val="00E428AA"/>
    <w:rsid w:val="00E43EC1"/>
    <w:rsid w:val="00E458CF"/>
    <w:rsid w:val="00E5219B"/>
    <w:rsid w:val="00E8019C"/>
    <w:rsid w:val="00EA045E"/>
    <w:rsid w:val="00EA7DDF"/>
    <w:rsid w:val="00EB4976"/>
    <w:rsid w:val="00EC3017"/>
    <w:rsid w:val="00EC7D56"/>
    <w:rsid w:val="00ED6A2A"/>
    <w:rsid w:val="00EE30C0"/>
    <w:rsid w:val="00EE5638"/>
    <w:rsid w:val="00EF1C3E"/>
    <w:rsid w:val="00EF23F2"/>
    <w:rsid w:val="00F01B46"/>
    <w:rsid w:val="00F06FC2"/>
    <w:rsid w:val="00F14D44"/>
    <w:rsid w:val="00F24D3D"/>
    <w:rsid w:val="00F34318"/>
    <w:rsid w:val="00F511B1"/>
    <w:rsid w:val="00F64121"/>
    <w:rsid w:val="00F93410"/>
    <w:rsid w:val="00FA100D"/>
    <w:rsid w:val="00FA45FA"/>
    <w:rsid w:val="00FA470F"/>
    <w:rsid w:val="00FB08A9"/>
    <w:rsid w:val="00FF02CD"/>
    <w:rsid w:val="00FF2FC5"/>
    <w:rsid w:val="00FF473E"/>
    <w:rsid w:val="00FF4E2D"/>
    <w:rsid w:val="00FF639B"/>
    <w:rsid w:val="00FF6B5E"/>
    <w:rsid w:val="0219028B"/>
    <w:rsid w:val="05E0020A"/>
    <w:rsid w:val="0CAD0C97"/>
    <w:rsid w:val="0D4E0A83"/>
    <w:rsid w:val="0D6C2DBE"/>
    <w:rsid w:val="0D8837E5"/>
    <w:rsid w:val="0DFB6F97"/>
    <w:rsid w:val="0F4948EC"/>
    <w:rsid w:val="111C13E9"/>
    <w:rsid w:val="133B3709"/>
    <w:rsid w:val="14D72727"/>
    <w:rsid w:val="191D7DDA"/>
    <w:rsid w:val="195C01F3"/>
    <w:rsid w:val="1A017865"/>
    <w:rsid w:val="1CF46060"/>
    <w:rsid w:val="256D1BCA"/>
    <w:rsid w:val="271E37CE"/>
    <w:rsid w:val="2A3224D8"/>
    <w:rsid w:val="2C9C342D"/>
    <w:rsid w:val="2E394DF0"/>
    <w:rsid w:val="312E32CE"/>
    <w:rsid w:val="3196159F"/>
    <w:rsid w:val="324C089B"/>
    <w:rsid w:val="337B35D0"/>
    <w:rsid w:val="337F3335"/>
    <w:rsid w:val="338F44F8"/>
    <w:rsid w:val="38C87D4A"/>
    <w:rsid w:val="39724FFF"/>
    <w:rsid w:val="3C3025F0"/>
    <w:rsid w:val="3C972E5F"/>
    <w:rsid w:val="4037542F"/>
    <w:rsid w:val="40886152"/>
    <w:rsid w:val="40C55B80"/>
    <w:rsid w:val="435B3A85"/>
    <w:rsid w:val="46616A8D"/>
    <w:rsid w:val="49865F45"/>
    <w:rsid w:val="49B16830"/>
    <w:rsid w:val="4A0574D3"/>
    <w:rsid w:val="4B99561E"/>
    <w:rsid w:val="4CB86CE3"/>
    <w:rsid w:val="4D1C2677"/>
    <w:rsid w:val="52224331"/>
    <w:rsid w:val="52BB6C5F"/>
    <w:rsid w:val="54813E9E"/>
    <w:rsid w:val="56417A96"/>
    <w:rsid w:val="5BBE50CA"/>
    <w:rsid w:val="5C0A6B94"/>
    <w:rsid w:val="5D7A4F22"/>
    <w:rsid w:val="5F767B79"/>
    <w:rsid w:val="61C62F2B"/>
    <w:rsid w:val="63F95413"/>
    <w:rsid w:val="6B9E0A74"/>
    <w:rsid w:val="6BCE3108"/>
    <w:rsid w:val="6FA32AFD"/>
    <w:rsid w:val="72AA6492"/>
    <w:rsid w:val="73027B3B"/>
    <w:rsid w:val="7499627D"/>
    <w:rsid w:val="7601232C"/>
    <w:rsid w:val="7A637111"/>
    <w:rsid w:val="7E0B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5011E2"/>
  <w15:docId w15:val="{05B65912-6AE2-4829-867B-59C8ABD0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spacing w:beforeAutospacing="1" w:afterAutospacing="1"/>
      <w:jc w:val="left"/>
      <w:outlineLvl w:val="3"/>
    </w:pPr>
    <w:rPr>
      <w:rFonts w:ascii="宋体" w:hAnsi="宋体" w:hint="eastAsia"/>
      <w:b/>
      <w:bCs/>
      <w:kern w:val="0"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spacing w:beforeAutospacing="1" w:afterAutospacing="1"/>
      <w:jc w:val="left"/>
      <w:outlineLvl w:val="4"/>
    </w:pPr>
    <w:rPr>
      <w:rFonts w:ascii="宋体" w:hAnsi="宋体" w:hint="eastAsia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eastAsia="等线"/>
      <w:kern w:val="0"/>
      <w:sz w:val="24"/>
    </w:r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904</Words>
  <Characters>5155</Characters>
  <Application>Microsoft Office Word</Application>
  <DocSecurity>0</DocSecurity>
  <Lines>42</Lines>
  <Paragraphs>12</Paragraphs>
  <ScaleCrop>false</ScaleCrop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</dc:creator>
  <cp:lastModifiedBy>wxy</cp:lastModifiedBy>
  <cp:revision>2</cp:revision>
  <dcterms:created xsi:type="dcterms:W3CDTF">2022-03-23T15:49:00Z</dcterms:created>
  <dcterms:modified xsi:type="dcterms:W3CDTF">2024-12-09T09:43:00Z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2052-12.9.0.18616</vt:lpwstr>
  </property>
  <property fmtid="{D5CDD505-2E9C-101B-9397-08002B2CF9AE}" pid="3" name="ICV">
    <vt:lpwstr>656154034D814A00472A1667799D9BED_43</vt:lpwstr>
  </property>
</Properties>
</file>