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宋体" w:hAnsi="宋体" w:eastAsia="宋体"/>
          <w:b/>
          <w:sz w:val="32"/>
          <w:szCs w:val="32"/>
        </w:rPr>
      </w:pPr>
      <w:r>
        <w:rPr>
          <w:rFonts w:hint="eastAsia" w:ascii="宋体" w:hAnsi="宋体" w:eastAsia="宋体"/>
          <w:b/>
          <w:sz w:val="32"/>
          <w:szCs w:val="32"/>
        </w:rPr>
        <w:t>协会标准项目建议书</w:t>
      </w:r>
    </w:p>
    <w:tbl>
      <w:tblPr>
        <w:tblStyle w:val="5"/>
        <w:tblW w:w="97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67"/>
        <w:gridCol w:w="1078"/>
        <w:gridCol w:w="540"/>
        <w:gridCol w:w="540"/>
        <w:gridCol w:w="928"/>
        <w:gridCol w:w="886"/>
        <w:gridCol w:w="957"/>
        <w:gridCol w:w="744"/>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2167" w:type="dxa"/>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建议项目名称</w:t>
            </w:r>
          </w:p>
          <w:p>
            <w:pPr>
              <w:snapToGrid w:val="0"/>
              <w:spacing w:line="360" w:lineRule="auto"/>
              <w:ind w:left="-5" w:leftChars="-6" w:hanging="12" w:hangingChars="7"/>
              <w:jc w:val="center"/>
              <w:rPr>
                <w:rFonts w:ascii="宋体" w:hAnsi="宋体" w:eastAsia="宋体"/>
                <w:sz w:val="18"/>
                <w:szCs w:val="18"/>
              </w:rPr>
            </w:pPr>
            <w:r>
              <w:rPr>
                <w:rFonts w:ascii="宋体" w:hAnsi="宋体" w:eastAsia="宋体"/>
                <w:sz w:val="18"/>
                <w:szCs w:val="18"/>
              </w:rPr>
              <w:t>(</w:t>
            </w:r>
            <w:r>
              <w:rPr>
                <w:rFonts w:hint="eastAsia" w:ascii="宋体" w:hAnsi="宋体" w:eastAsia="宋体"/>
                <w:sz w:val="18"/>
                <w:szCs w:val="18"/>
              </w:rPr>
              <w:t>中文</w:t>
            </w:r>
            <w:r>
              <w:rPr>
                <w:rFonts w:ascii="宋体" w:hAnsi="宋体" w:eastAsia="宋体"/>
                <w:sz w:val="18"/>
                <w:szCs w:val="18"/>
              </w:rPr>
              <w:t>)</w:t>
            </w:r>
          </w:p>
        </w:tc>
        <w:tc>
          <w:tcPr>
            <w:tcW w:w="3086" w:type="dxa"/>
            <w:gridSpan w:val="4"/>
            <w:vAlign w:val="center"/>
          </w:tcPr>
          <w:p>
            <w:pPr>
              <w:snapToGrid w:val="0"/>
              <w:spacing w:line="240" w:lineRule="auto"/>
              <w:rPr>
                <w:rFonts w:ascii="宋体" w:hAnsi="宋体" w:eastAsia="宋体"/>
                <w:sz w:val="18"/>
                <w:szCs w:val="18"/>
              </w:rPr>
            </w:pPr>
            <w:r>
              <w:rPr>
                <w:rFonts w:hint="eastAsia" w:ascii="宋体" w:hAnsi="宋体" w:eastAsia="宋体"/>
                <w:sz w:val="18"/>
                <w:szCs w:val="18"/>
              </w:rPr>
              <w:t>温室气体 产品碳足迹量化方法 光伏玻璃产品</w:t>
            </w:r>
          </w:p>
        </w:tc>
        <w:tc>
          <w:tcPr>
            <w:tcW w:w="1843" w:type="dxa"/>
            <w:gridSpan w:val="2"/>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建议项目名称</w:t>
            </w:r>
          </w:p>
          <w:p>
            <w:pPr>
              <w:snapToGrid w:val="0"/>
              <w:spacing w:line="360" w:lineRule="auto"/>
              <w:jc w:val="center"/>
              <w:rPr>
                <w:rFonts w:ascii="宋体" w:hAnsi="宋体" w:eastAsia="宋体"/>
                <w:sz w:val="18"/>
                <w:szCs w:val="18"/>
              </w:rPr>
            </w:pPr>
            <w:r>
              <w:rPr>
                <w:rFonts w:ascii="宋体" w:hAnsi="宋体" w:eastAsia="宋体"/>
                <w:sz w:val="18"/>
                <w:szCs w:val="18"/>
              </w:rPr>
              <w:t>(</w:t>
            </w:r>
            <w:r>
              <w:rPr>
                <w:rFonts w:hint="eastAsia" w:ascii="宋体" w:hAnsi="宋体" w:eastAsia="宋体"/>
                <w:sz w:val="18"/>
                <w:szCs w:val="18"/>
              </w:rPr>
              <w:t>英文</w:t>
            </w:r>
            <w:r>
              <w:rPr>
                <w:rFonts w:ascii="宋体" w:hAnsi="宋体" w:eastAsia="宋体"/>
                <w:sz w:val="18"/>
                <w:szCs w:val="18"/>
              </w:rPr>
              <w:t>)</w:t>
            </w:r>
          </w:p>
        </w:tc>
        <w:tc>
          <w:tcPr>
            <w:tcW w:w="2644" w:type="dxa"/>
            <w:gridSpan w:val="2"/>
            <w:vAlign w:val="center"/>
          </w:tcPr>
          <w:p>
            <w:pPr>
              <w:snapToGrid w:val="0"/>
              <w:spacing w:line="240" w:lineRule="auto"/>
              <w:jc w:val="left"/>
              <w:rPr>
                <w:rFonts w:eastAsia="宋体"/>
                <w:sz w:val="18"/>
                <w:szCs w:val="18"/>
              </w:rPr>
            </w:pPr>
            <w:r>
              <w:rPr>
                <w:rFonts w:hint="eastAsia" w:eastAsia="宋体"/>
                <w:sz w:val="18"/>
                <w:szCs w:val="18"/>
              </w:rPr>
              <w:t>Greenhouse gases Product carbon footprint quantification method Photovoltaic glass products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2167" w:type="dxa"/>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制定或修订</w:t>
            </w:r>
          </w:p>
        </w:tc>
        <w:tc>
          <w:tcPr>
            <w:tcW w:w="1618" w:type="dxa"/>
            <w:gridSpan w:val="2"/>
            <w:vAlign w:val="center"/>
          </w:tcPr>
          <w:p>
            <w:pPr>
              <w:snapToGrid w:val="0"/>
              <w:spacing w:line="360" w:lineRule="auto"/>
              <w:rPr>
                <w:rFonts w:ascii="宋体" w:hAnsi="宋体" w:eastAsia="宋体"/>
                <w:sz w:val="18"/>
                <w:szCs w:val="18"/>
              </w:rPr>
            </w:pPr>
            <w:r>
              <w:rPr>
                <w:rFonts w:hint="eastAsia" w:ascii="宋体" w:hAnsi="宋体"/>
                <w:sz w:val="18"/>
                <w:szCs w:val="18"/>
              </w:rPr>
              <w:t>■</w:t>
            </w:r>
            <w:r>
              <w:rPr>
                <w:rFonts w:hint="eastAsia" w:ascii="宋体" w:hAnsi="宋体" w:eastAsia="宋体"/>
                <w:sz w:val="18"/>
                <w:szCs w:val="18"/>
              </w:rPr>
              <w:t xml:space="preserve"> 制定</w:t>
            </w:r>
          </w:p>
        </w:tc>
        <w:tc>
          <w:tcPr>
            <w:tcW w:w="1468" w:type="dxa"/>
            <w:gridSpan w:val="2"/>
            <w:vAlign w:val="center"/>
          </w:tcPr>
          <w:p>
            <w:pPr>
              <w:snapToGrid w:val="0"/>
              <w:spacing w:line="360" w:lineRule="auto"/>
              <w:rPr>
                <w:rFonts w:ascii="宋体" w:hAnsi="宋体" w:eastAsia="宋体"/>
                <w:sz w:val="18"/>
                <w:szCs w:val="18"/>
              </w:rPr>
            </w:pPr>
            <w:r>
              <w:rPr>
                <w:rFonts w:hint="eastAsia" w:ascii="宋体" w:hAnsi="宋体" w:eastAsia="宋体"/>
                <w:sz w:val="18"/>
                <w:szCs w:val="18"/>
              </w:rPr>
              <w:t>□ 修订</w:t>
            </w:r>
          </w:p>
        </w:tc>
        <w:tc>
          <w:tcPr>
            <w:tcW w:w="1843" w:type="dxa"/>
            <w:gridSpan w:val="2"/>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被修订标准号</w:t>
            </w:r>
          </w:p>
        </w:tc>
        <w:tc>
          <w:tcPr>
            <w:tcW w:w="2644" w:type="dxa"/>
            <w:gridSpan w:val="2"/>
            <w:vAlign w:val="center"/>
          </w:tcPr>
          <w:p>
            <w:pPr>
              <w:snapToGrid w:val="0"/>
              <w:spacing w:line="360" w:lineRule="auto"/>
              <w:rPr>
                <w:rFonts w:ascii="宋体" w:hAnsi="宋体" w:eastAsia="宋体"/>
                <w:sz w:val="18"/>
                <w:szCs w:val="18"/>
              </w:rPr>
            </w:pPr>
            <w:r>
              <w:rPr>
                <w:rFonts w:hint="eastAsia" w:ascii="宋体" w:hAnsi="宋体" w:eastAsia="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167" w:type="dxa"/>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采用程度</w:t>
            </w:r>
          </w:p>
        </w:tc>
        <w:tc>
          <w:tcPr>
            <w:tcW w:w="1078" w:type="dxa"/>
            <w:vAlign w:val="center"/>
          </w:tcPr>
          <w:p>
            <w:pPr>
              <w:snapToGrid w:val="0"/>
              <w:spacing w:line="360" w:lineRule="auto"/>
              <w:rPr>
                <w:rFonts w:ascii="宋体" w:hAnsi="宋体" w:eastAsia="宋体"/>
                <w:sz w:val="18"/>
                <w:szCs w:val="18"/>
              </w:rPr>
            </w:pPr>
            <w:r>
              <w:rPr>
                <w:rFonts w:hint="eastAsia" w:ascii="宋体" w:hAnsi="宋体" w:eastAsia="宋体"/>
                <w:sz w:val="18"/>
                <w:szCs w:val="18"/>
              </w:rPr>
              <w:t xml:space="preserve">□ </w:t>
            </w:r>
            <w:r>
              <w:rPr>
                <w:rFonts w:eastAsia="宋体"/>
                <w:sz w:val="18"/>
                <w:szCs w:val="18"/>
              </w:rPr>
              <w:t>IDT</w:t>
            </w:r>
          </w:p>
        </w:tc>
        <w:tc>
          <w:tcPr>
            <w:tcW w:w="1080" w:type="dxa"/>
            <w:gridSpan w:val="2"/>
            <w:vAlign w:val="center"/>
          </w:tcPr>
          <w:p>
            <w:pPr>
              <w:snapToGrid w:val="0"/>
              <w:spacing w:line="360" w:lineRule="auto"/>
              <w:rPr>
                <w:rFonts w:ascii="宋体" w:hAnsi="宋体" w:eastAsia="宋体"/>
                <w:sz w:val="18"/>
                <w:szCs w:val="18"/>
              </w:rPr>
            </w:pPr>
            <w:r>
              <w:rPr>
                <w:rFonts w:hint="eastAsia" w:ascii="宋体" w:hAnsi="宋体" w:eastAsia="宋体"/>
                <w:sz w:val="18"/>
                <w:szCs w:val="18"/>
              </w:rPr>
              <w:t xml:space="preserve">□ </w:t>
            </w:r>
            <w:r>
              <w:rPr>
                <w:rFonts w:eastAsia="宋体"/>
                <w:sz w:val="18"/>
                <w:szCs w:val="18"/>
              </w:rPr>
              <w:t>MOD</w:t>
            </w:r>
          </w:p>
        </w:tc>
        <w:tc>
          <w:tcPr>
            <w:tcW w:w="928" w:type="dxa"/>
            <w:vAlign w:val="center"/>
          </w:tcPr>
          <w:p>
            <w:pPr>
              <w:snapToGrid w:val="0"/>
              <w:spacing w:line="360" w:lineRule="auto"/>
              <w:rPr>
                <w:rFonts w:ascii="宋体" w:hAnsi="宋体" w:eastAsia="宋体"/>
                <w:sz w:val="18"/>
                <w:szCs w:val="18"/>
              </w:rPr>
            </w:pPr>
            <w:r>
              <w:rPr>
                <w:rFonts w:hint="eastAsia" w:ascii="宋体" w:hAnsi="宋体" w:eastAsia="宋体"/>
                <w:sz w:val="18"/>
                <w:szCs w:val="18"/>
              </w:rPr>
              <w:t xml:space="preserve">□ </w:t>
            </w:r>
            <w:r>
              <w:rPr>
                <w:rFonts w:eastAsia="宋体"/>
                <w:sz w:val="18"/>
                <w:szCs w:val="18"/>
              </w:rPr>
              <w:t>NEQ</w:t>
            </w:r>
          </w:p>
        </w:tc>
        <w:tc>
          <w:tcPr>
            <w:tcW w:w="1843" w:type="dxa"/>
            <w:gridSpan w:val="2"/>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采标号</w:t>
            </w:r>
          </w:p>
        </w:tc>
        <w:tc>
          <w:tcPr>
            <w:tcW w:w="2644" w:type="dxa"/>
            <w:gridSpan w:val="2"/>
            <w:vAlign w:val="center"/>
          </w:tcPr>
          <w:p>
            <w:pPr>
              <w:snapToGrid w:val="0"/>
              <w:spacing w:line="360" w:lineRule="auto"/>
              <w:rPr>
                <w:rFonts w:ascii="宋体" w:hAnsi="宋体" w:eastAsia="宋体"/>
                <w:sz w:val="18"/>
                <w:szCs w:val="18"/>
              </w:rPr>
            </w:pPr>
            <w:r>
              <w:rPr>
                <w:rFonts w:hint="eastAsia" w:ascii="宋体" w:hAnsi="宋体" w:eastAsia="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167" w:type="dxa"/>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国际标准名称（中文）</w:t>
            </w:r>
          </w:p>
        </w:tc>
        <w:tc>
          <w:tcPr>
            <w:tcW w:w="3086" w:type="dxa"/>
            <w:gridSpan w:val="4"/>
            <w:vAlign w:val="center"/>
          </w:tcPr>
          <w:p>
            <w:pPr>
              <w:snapToGrid w:val="0"/>
              <w:spacing w:line="360" w:lineRule="auto"/>
              <w:rPr>
                <w:rFonts w:ascii="宋体" w:hAnsi="宋体" w:eastAsia="宋体"/>
                <w:sz w:val="18"/>
                <w:szCs w:val="18"/>
              </w:rPr>
            </w:pPr>
            <w:r>
              <w:rPr>
                <w:rFonts w:hint="eastAsia" w:ascii="宋体" w:hAnsi="宋体" w:eastAsia="宋体"/>
                <w:sz w:val="18"/>
                <w:szCs w:val="18"/>
              </w:rPr>
              <w:t>/</w:t>
            </w:r>
          </w:p>
        </w:tc>
        <w:tc>
          <w:tcPr>
            <w:tcW w:w="1843" w:type="dxa"/>
            <w:gridSpan w:val="2"/>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国际标准名称（英文）</w:t>
            </w:r>
          </w:p>
        </w:tc>
        <w:tc>
          <w:tcPr>
            <w:tcW w:w="2644" w:type="dxa"/>
            <w:gridSpan w:val="2"/>
            <w:vAlign w:val="center"/>
          </w:tcPr>
          <w:p>
            <w:pPr>
              <w:snapToGrid w:val="0"/>
              <w:spacing w:line="360" w:lineRule="auto"/>
              <w:rPr>
                <w:rFonts w:ascii="宋体" w:hAnsi="宋体" w:eastAsia="宋体"/>
                <w:sz w:val="18"/>
                <w:szCs w:val="18"/>
              </w:rPr>
            </w:pPr>
            <w:r>
              <w:rPr>
                <w:rFonts w:hint="eastAsia" w:ascii="宋体" w:hAnsi="宋体" w:eastAsia="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 w:hRule="atLeast"/>
          <w:jc w:val="center"/>
        </w:trPr>
        <w:tc>
          <w:tcPr>
            <w:tcW w:w="2167" w:type="dxa"/>
            <w:vAlign w:val="center"/>
          </w:tcPr>
          <w:p>
            <w:pPr>
              <w:snapToGrid w:val="0"/>
              <w:spacing w:line="360" w:lineRule="auto"/>
              <w:jc w:val="center"/>
              <w:rPr>
                <w:rFonts w:ascii="宋体" w:hAnsi="宋体" w:eastAsia="宋体"/>
                <w:sz w:val="18"/>
                <w:szCs w:val="18"/>
              </w:rPr>
            </w:pPr>
            <w:r>
              <w:rPr>
                <w:rFonts w:ascii="宋体" w:hAnsi="宋体" w:eastAsia="宋体"/>
                <w:sz w:val="18"/>
                <w:szCs w:val="18"/>
              </w:rPr>
              <w:t>ICS</w:t>
            </w:r>
            <w:r>
              <w:rPr>
                <w:rFonts w:hint="eastAsia" w:ascii="宋体" w:hAnsi="宋体" w:eastAsia="宋体"/>
                <w:sz w:val="18"/>
                <w:szCs w:val="18"/>
              </w:rPr>
              <w:t>分类号</w:t>
            </w:r>
          </w:p>
        </w:tc>
        <w:tc>
          <w:tcPr>
            <w:tcW w:w="3086" w:type="dxa"/>
            <w:gridSpan w:val="4"/>
            <w:vAlign w:val="center"/>
          </w:tcPr>
          <w:p>
            <w:pPr>
              <w:snapToGrid w:val="0"/>
              <w:spacing w:line="360" w:lineRule="auto"/>
              <w:rPr>
                <w:rFonts w:eastAsia="宋体"/>
                <w:sz w:val="18"/>
                <w:szCs w:val="18"/>
              </w:rPr>
            </w:pPr>
            <w:r>
              <w:rPr>
                <w:rFonts w:hint="eastAsia" w:eastAsia="宋体"/>
                <w:sz w:val="18"/>
                <w:szCs w:val="18"/>
              </w:rPr>
              <w:t>81.040.30</w:t>
            </w:r>
          </w:p>
        </w:tc>
        <w:tc>
          <w:tcPr>
            <w:tcW w:w="1843" w:type="dxa"/>
            <w:gridSpan w:val="2"/>
            <w:vAlign w:val="center"/>
          </w:tcPr>
          <w:p>
            <w:pPr>
              <w:snapToGrid w:val="0"/>
              <w:spacing w:line="360" w:lineRule="auto"/>
              <w:jc w:val="center"/>
              <w:rPr>
                <w:rFonts w:eastAsia="宋体"/>
                <w:sz w:val="18"/>
                <w:szCs w:val="18"/>
              </w:rPr>
            </w:pPr>
            <w:r>
              <w:rPr>
                <w:rFonts w:eastAsia="宋体"/>
                <w:sz w:val="18"/>
                <w:szCs w:val="18"/>
              </w:rPr>
              <w:t>中国标准分类号</w:t>
            </w:r>
          </w:p>
        </w:tc>
        <w:tc>
          <w:tcPr>
            <w:tcW w:w="2644" w:type="dxa"/>
            <w:gridSpan w:val="2"/>
            <w:vAlign w:val="center"/>
          </w:tcPr>
          <w:p>
            <w:pPr>
              <w:snapToGrid w:val="0"/>
              <w:spacing w:line="360" w:lineRule="auto"/>
              <w:rPr>
                <w:rFonts w:eastAsia="宋体"/>
                <w:sz w:val="18"/>
                <w:szCs w:val="18"/>
              </w:rPr>
            </w:pPr>
            <w:r>
              <w:rPr>
                <w:rFonts w:eastAsia="宋体"/>
                <w:sz w:val="18"/>
                <w:szCs w:val="18"/>
              </w:rPr>
              <w:t>Q</w:t>
            </w:r>
            <w:r>
              <w:rPr>
                <w:rFonts w:hint="eastAsia" w:eastAsia="宋体"/>
                <w:sz w:val="18"/>
                <w:szCs w:val="18"/>
                <w:lang w:val="en-US" w:eastAsia="zh-CN"/>
              </w:rPr>
              <w:t>3</w:t>
            </w:r>
            <w:r>
              <w:rPr>
                <w:rFonts w:hint="eastAsia" w:eastAsia="宋体"/>
                <w:sz w:val="18"/>
                <w:szCs w:val="18"/>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6" w:hRule="atLeast"/>
          <w:jc w:val="center"/>
        </w:trPr>
        <w:tc>
          <w:tcPr>
            <w:tcW w:w="2167" w:type="dxa"/>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标准主要起草单位</w:t>
            </w:r>
          </w:p>
        </w:tc>
        <w:tc>
          <w:tcPr>
            <w:tcW w:w="3086" w:type="dxa"/>
            <w:gridSpan w:val="4"/>
            <w:vAlign w:val="center"/>
          </w:tcPr>
          <w:p>
            <w:pPr>
              <w:snapToGrid w:val="0"/>
              <w:spacing w:line="360" w:lineRule="auto"/>
              <w:rPr>
                <w:rFonts w:hint="eastAsia" w:ascii="宋体" w:hAnsi="宋体" w:eastAsia="宋体"/>
                <w:sz w:val="18"/>
                <w:szCs w:val="18"/>
                <w:lang w:val="en-US" w:eastAsia="zh-CN"/>
              </w:rPr>
            </w:pPr>
            <w:r>
              <w:rPr>
                <w:rFonts w:hint="eastAsia" w:ascii="宋体" w:hAnsi="宋体" w:eastAsia="宋体"/>
                <w:sz w:val="18"/>
                <w:szCs w:val="18"/>
              </w:rPr>
              <w:t>北京国建联信认证中心有限公司</w:t>
            </w:r>
            <w:r>
              <w:rPr>
                <w:rFonts w:hint="eastAsia" w:ascii="宋体" w:hAnsi="宋体" w:eastAsia="宋体"/>
                <w:sz w:val="18"/>
                <w:szCs w:val="18"/>
                <w:lang w:val="en-US" w:eastAsia="zh-CN"/>
              </w:rPr>
              <w:t>等</w:t>
            </w:r>
          </w:p>
        </w:tc>
        <w:tc>
          <w:tcPr>
            <w:tcW w:w="1843" w:type="dxa"/>
            <w:gridSpan w:val="2"/>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计划起止时间</w:t>
            </w:r>
          </w:p>
        </w:tc>
        <w:tc>
          <w:tcPr>
            <w:tcW w:w="2644" w:type="dxa"/>
            <w:gridSpan w:val="2"/>
            <w:vAlign w:val="center"/>
          </w:tcPr>
          <w:p>
            <w:pPr>
              <w:snapToGrid w:val="0"/>
              <w:spacing w:line="360" w:lineRule="auto"/>
              <w:rPr>
                <w:rFonts w:hint="eastAsia" w:eastAsia="宋体"/>
                <w:sz w:val="18"/>
                <w:szCs w:val="18"/>
                <w:lang w:eastAsia="zh-CN"/>
              </w:rPr>
            </w:pPr>
            <w:r>
              <w:rPr>
                <w:rFonts w:eastAsia="宋体"/>
                <w:sz w:val="18"/>
                <w:szCs w:val="18"/>
              </w:rPr>
              <w:t>202</w:t>
            </w:r>
            <w:r>
              <w:rPr>
                <w:rFonts w:hint="eastAsia" w:eastAsia="宋体"/>
                <w:sz w:val="18"/>
                <w:szCs w:val="18"/>
                <w:lang w:val="en-US" w:eastAsia="zh-CN"/>
              </w:rPr>
              <w:t>4</w:t>
            </w:r>
            <w:r>
              <w:rPr>
                <w:rFonts w:eastAsia="宋体"/>
                <w:sz w:val="18"/>
                <w:szCs w:val="18"/>
              </w:rPr>
              <w:t>.4-202</w:t>
            </w:r>
            <w:r>
              <w:rPr>
                <w:rFonts w:hint="eastAsia" w:eastAsia="宋体"/>
                <w:sz w:val="18"/>
                <w:szCs w:val="18"/>
                <w:lang w:val="en-US" w:eastAsia="zh-CN"/>
              </w:rPr>
              <w:t>5</w:t>
            </w:r>
            <w:r>
              <w:rPr>
                <w:rFonts w:eastAsia="宋体"/>
                <w:sz w:val="18"/>
                <w:szCs w:val="18"/>
              </w:rPr>
              <w:t>.</w:t>
            </w:r>
            <w:r>
              <w:rPr>
                <w:rFonts w:hint="eastAsia" w:eastAsia="宋体"/>
                <w:sz w:val="18"/>
                <w:szCs w:val="18"/>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5" w:hRule="atLeast"/>
          <w:jc w:val="center"/>
        </w:trPr>
        <w:tc>
          <w:tcPr>
            <w:tcW w:w="2167" w:type="dxa"/>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目的</w:t>
            </w:r>
            <w:r>
              <w:rPr>
                <w:rFonts w:ascii="宋体" w:hAnsi="宋体" w:eastAsia="宋体"/>
                <w:sz w:val="18"/>
                <w:szCs w:val="18"/>
              </w:rPr>
              <w:t>﹑</w:t>
            </w:r>
            <w:r>
              <w:rPr>
                <w:rFonts w:hint="eastAsia" w:ascii="宋体" w:hAnsi="宋体" w:eastAsia="宋体"/>
                <w:sz w:val="18"/>
                <w:szCs w:val="18"/>
              </w:rPr>
              <w:t>意义或必</w:t>
            </w:r>
          </w:p>
          <w:p>
            <w:pPr>
              <w:snapToGrid w:val="0"/>
              <w:spacing w:line="360" w:lineRule="auto"/>
              <w:jc w:val="center"/>
              <w:rPr>
                <w:rFonts w:ascii="宋体" w:hAnsi="宋体" w:eastAsia="宋体"/>
                <w:sz w:val="18"/>
                <w:szCs w:val="18"/>
              </w:rPr>
            </w:pPr>
            <w:r>
              <w:rPr>
                <w:rFonts w:hint="eastAsia" w:ascii="宋体" w:hAnsi="宋体" w:eastAsia="宋体"/>
                <w:sz w:val="18"/>
                <w:szCs w:val="18"/>
              </w:rPr>
              <w:t>要性</w:t>
            </w:r>
          </w:p>
        </w:tc>
        <w:tc>
          <w:tcPr>
            <w:tcW w:w="7573" w:type="dxa"/>
            <w:gridSpan w:val="8"/>
            <w:vAlign w:val="center"/>
          </w:tcPr>
          <w:p>
            <w:pPr>
              <w:snapToGrid w:val="0"/>
              <w:spacing w:line="360" w:lineRule="auto"/>
              <w:ind w:firstLine="360" w:firstLineChars="200"/>
              <w:rPr>
                <w:rFonts w:hint="eastAsia" w:eastAsia="宋体"/>
                <w:sz w:val="18"/>
                <w:szCs w:val="18"/>
              </w:rPr>
            </w:pPr>
            <w:r>
              <w:rPr>
                <w:rFonts w:hint="eastAsia" w:eastAsia="宋体"/>
                <w:sz w:val="18"/>
                <w:szCs w:val="18"/>
              </w:rPr>
              <w:t>气候变化是当今人类社会面临的共同挑战。积极应对气候变化，加快推进清洁能源与低碳发展，已经成为国际社会的普遍共识。我国政府高度重视低碳发展与应对气候变化工作。习近平总书记在2020年9月22日在第七十五届联合国大会一般性辩论会上向全世界做出了“中国二氧化碳排放力争于2030年前达到峰值，努力争取2060年前实现碳中和”的庄严宣示，并在其后多次重要国际会议上反复强调该目标言出必行。相关内容已写入《中共中央关于制定国民经济和社会发展第十四个五年规划和二〇三五年远景目标的建议》。</w:t>
            </w:r>
          </w:p>
          <w:p>
            <w:pPr>
              <w:snapToGrid w:val="0"/>
              <w:spacing w:line="360" w:lineRule="auto"/>
              <w:ind w:firstLine="360" w:firstLineChars="200"/>
              <w:rPr>
                <w:rFonts w:hint="eastAsia" w:eastAsia="宋体"/>
                <w:sz w:val="18"/>
                <w:szCs w:val="18"/>
              </w:rPr>
            </w:pPr>
            <w:r>
              <w:rPr>
                <w:rFonts w:hint="eastAsia" w:eastAsia="宋体"/>
                <w:sz w:val="18"/>
                <w:szCs w:val="18"/>
              </w:rPr>
              <w:t>国家发展改革委等五部门于2023年11月22日对外发布了《关于加快建立产品碳足迹管理体系的意见》，该意见明确提出，到2025年，国家层面将出台50个左右重点产品碳足迹核算规则和标准。产品碳足迹评价是基于生命周期评价的方法对于一个产品系统温室气体排放和吸收的汇总，以二氧化碳当量这种形式来表述。可以帮助个人和组织评估其对温室气体环境因素的影响，为环境报告提供有效信息。对于企业而言，是社会责任的一种体现。可根据确定的产品碳足迹来减少企业碳排放行为，并由此采取可行的措施来控制和减少碳排放，提高声誉并强化品牌，改善内部运营，节能减排，获得竞争优势。此外，产品碳足迹评价也是引导消费者环保行为的有效标识，引导消费决策。</w:t>
            </w:r>
          </w:p>
          <w:p>
            <w:pPr>
              <w:snapToGrid w:val="0"/>
              <w:spacing w:line="360" w:lineRule="auto"/>
              <w:ind w:firstLine="360" w:firstLineChars="200"/>
              <w:rPr>
                <w:rFonts w:hint="eastAsia" w:eastAsia="宋体"/>
                <w:sz w:val="18"/>
                <w:szCs w:val="18"/>
              </w:rPr>
            </w:pPr>
            <w:r>
              <w:rPr>
                <w:rFonts w:hint="eastAsia" w:eastAsia="宋体"/>
                <w:sz w:val="18"/>
                <w:szCs w:val="18"/>
              </w:rPr>
              <w:t>我国开展碳足迹研究相对较晚，尚未形成完善的认证体系，目前国内外主要碳足迹、碳中和规范有：PAS 2050:2011，ISO14040:2006，ISO14044:2006，PAS 2060:2010，ISO14067:2018，深圳产品碳足迹评价通则等，随着全球应对气候变化进程不断加快，产品碳足迹评价规范势必为成为引领绿色消费的利剑，具有重要的现实意义和深远的历史意义。</w:t>
            </w:r>
          </w:p>
          <w:p>
            <w:pPr>
              <w:snapToGrid w:val="0"/>
              <w:spacing w:line="360" w:lineRule="auto"/>
              <w:ind w:firstLine="360" w:firstLineChars="200"/>
              <w:rPr>
                <w:rFonts w:hint="eastAsia" w:eastAsia="宋体"/>
                <w:sz w:val="18"/>
                <w:szCs w:val="18"/>
              </w:rPr>
            </w:pPr>
            <w:r>
              <w:rPr>
                <w:rFonts w:hint="eastAsia" w:eastAsia="宋体"/>
                <w:sz w:val="18"/>
                <w:szCs w:val="18"/>
              </w:rPr>
              <w:t>光伏玻璃在光伏组件中主要提供高透光率及保护性能。不同于普通玻璃，光伏玻璃主要有三方面特性：1）高透光率：铁是光伏玻璃中主要着色元素，铁含量高会增加对太阳光的吸收，降低玻璃透光率。光伏玻璃通过降低铁含量以达到更高透光率，太阳能电池片光电转化效率更优。工业应用中，透光率每提高1%，组件发电功率可提升0.8%。2）高强度：随着组件尺寸的加大，需要强度高从而避免玻璃碎裂，光伏玻璃经过钢化处理后，具有更高强度，可使太阳能电池片承受更大风压及较大昼夜温差变化。3）高耐久性：电池组件发展方向为30年的功率质保，产品质保一般为12-15年，光伏玻璃对雨水和环境中的有害气体具有一定耐腐蚀性能。光伏玻璃可分为超白压延玻璃和超白浮法玻璃两种。超白压延玻璃主要应用于晶体硅电池组件，而超白浮法玻璃则更多应用于薄膜电池组件。</w:t>
            </w:r>
          </w:p>
          <w:p>
            <w:pPr>
              <w:snapToGrid w:val="0"/>
              <w:spacing w:line="360" w:lineRule="auto"/>
              <w:ind w:firstLine="360" w:firstLineChars="200"/>
              <w:rPr>
                <w:rFonts w:hint="eastAsia" w:eastAsia="宋体"/>
                <w:sz w:val="18"/>
                <w:szCs w:val="18"/>
              </w:rPr>
            </w:pPr>
            <w:r>
              <w:rPr>
                <w:rFonts w:hint="eastAsia" w:eastAsia="宋体"/>
                <w:sz w:val="18"/>
                <w:szCs w:val="18"/>
              </w:rPr>
              <w:t>截止2022年12月底，光伏玻璃在产企业共37家（按集团统计），剔除无效产能，现有已投产产能128座窑442条线，总产能约为84299 t/d。其中：在产窑炉产能约为79389 t/d，同比增长84.4%；产能利用率为 94.1%。2022年，我国光伏玻璃产量约占全球产量的90%；2022年1-12月，国内超白压花光伏玻璃产量约1606.2万吨，同比增长53.6%。</w:t>
            </w:r>
          </w:p>
          <w:p>
            <w:pPr>
              <w:snapToGrid w:val="0"/>
              <w:spacing w:line="360" w:lineRule="auto"/>
              <w:ind w:firstLine="360" w:firstLineChars="200"/>
              <w:rPr>
                <w:rFonts w:hint="eastAsia" w:eastAsia="宋体"/>
                <w:sz w:val="18"/>
                <w:szCs w:val="18"/>
              </w:rPr>
            </w:pPr>
            <w:r>
              <w:rPr>
                <w:rFonts w:hint="eastAsia" w:eastAsia="宋体"/>
                <w:sz w:val="18"/>
                <w:szCs w:val="18"/>
              </w:rPr>
              <w:t>国家能源局发布的2023年全国电力工业统计数据显示，截至2023年12月底，国内光伏新增装机为216.88GW，同比大增148%，相当于2019-2022年国内新增装机量的总和。有研究显示，2023年全球光伏新增装机为444GW，同比增长76%，其中有一半增量来自中国。2024年全球光伏装机将增加29%，达到574GW，之后将保持10%左右的小幅稳步增长，2025年达到627GW左右，2030年可能达到880GW。光伏市场的持续增长，会促使光伏玻璃产量的增长。。因此，定量评价光伏玻璃产品的温室气体排放尤为重要。</w:t>
            </w:r>
          </w:p>
          <w:p>
            <w:pPr>
              <w:snapToGrid w:val="0"/>
              <w:spacing w:line="360" w:lineRule="auto"/>
              <w:ind w:firstLine="360" w:firstLineChars="200"/>
              <w:rPr>
                <w:rFonts w:hint="eastAsia" w:eastAsia="宋体"/>
                <w:sz w:val="18"/>
                <w:szCs w:val="18"/>
              </w:rPr>
            </w:pPr>
            <w:r>
              <w:rPr>
                <w:rFonts w:hint="eastAsia" w:eastAsia="宋体"/>
                <w:sz w:val="18"/>
                <w:szCs w:val="18"/>
              </w:rPr>
              <w:t>产品碳足迹评价以LCA方法为基础可以综合分析光伏玻璃产品在整个生命周期过程中的温室气体相关环境负荷现状，制定产品碳足迹产品种类规则可以规范光伏玻璃产品碳足迹评价统一的基本规则和要求，为支撑光伏玻璃行业碳达峰、碳中和、产品生态设计、绿色选材以及绿色建筑、绿色建材、绿色工厂等相关工作提供可操作的方法。</w:t>
            </w:r>
          </w:p>
          <w:p>
            <w:pPr>
              <w:snapToGrid w:val="0"/>
              <w:spacing w:line="360" w:lineRule="auto"/>
              <w:ind w:firstLine="360" w:firstLineChars="200"/>
              <w:rPr>
                <w:rFonts w:eastAsia="宋体"/>
                <w:sz w:val="18"/>
                <w:szCs w:val="18"/>
              </w:rPr>
            </w:pPr>
            <w:r>
              <w:rPr>
                <w:rFonts w:hint="eastAsia" w:eastAsia="宋体"/>
                <w:sz w:val="18"/>
                <w:szCs w:val="18"/>
              </w:rPr>
              <w:t>综上所述，制定《温室气体 产品碳足迹量化方法 光伏玻璃产品》标准非常必要，对推动光伏玻璃材料行业的绿色发展、加快绿色产品的研发应用具有重要意义。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2167" w:type="dxa"/>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范围和主要</w:t>
            </w:r>
          </w:p>
          <w:p>
            <w:pPr>
              <w:snapToGrid w:val="0"/>
              <w:spacing w:line="360" w:lineRule="auto"/>
              <w:jc w:val="center"/>
              <w:rPr>
                <w:rFonts w:ascii="宋体" w:hAnsi="宋体" w:eastAsia="宋体"/>
                <w:sz w:val="18"/>
                <w:szCs w:val="18"/>
              </w:rPr>
            </w:pPr>
            <w:r>
              <w:rPr>
                <w:rFonts w:hint="eastAsia" w:ascii="宋体" w:hAnsi="宋体" w:eastAsia="宋体"/>
                <w:sz w:val="18"/>
                <w:szCs w:val="18"/>
              </w:rPr>
              <w:t>技术内容</w:t>
            </w:r>
          </w:p>
        </w:tc>
        <w:tc>
          <w:tcPr>
            <w:tcW w:w="7573" w:type="dxa"/>
            <w:gridSpan w:val="8"/>
            <w:vAlign w:val="center"/>
          </w:tcPr>
          <w:p>
            <w:pPr>
              <w:snapToGrid w:val="0"/>
              <w:spacing w:line="360" w:lineRule="auto"/>
              <w:ind w:firstLine="360" w:firstLineChars="200"/>
              <w:rPr>
                <w:rFonts w:hint="eastAsia" w:eastAsia="宋体"/>
                <w:sz w:val="18"/>
                <w:szCs w:val="18"/>
              </w:rPr>
            </w:pPr>
            <w:r>
              <w:rPr>
                <w:rFonts w:hint="eastAsia" w:eastAsia="宋体"/>
                <w:sz w:val="18"/>
                <w:szCs w:val="18"/>
              </w:rPr>
              <w:t>本标准规定了光伏玻璃产品碳足迹评价统一的基本规则和要求，包括产品碳足迹评价的系统边界、功能单位、数据收集方法、质量要求以及碳足迹计算。</w:t>
            </w:r>
          </w:p>
          <w:p>
            <w:pPr>
              <w:snapToGrid w:val="0"/>
              <w:spacing w:line="360" w:lineRule="auto"/>
              <w:ind w:firstLine="360" w:firstLineChars="200"/>
              <w:rPr>
                <w:rFonts w:hint="eastAsia" w:eastAsia="宋体"/>
                <w:sz w:val="18"/>
                <w:szCs w:val="18"/>
              </w:rPr>
            </w:pPr>
            <w:r>
              <w:rPr>
                <w:rFonts w:hint="eastAsia" w:eastAsia="宋体"/>
                <w:sz w:val="18"/>
                <w:szCs w:val="18"/>
              </w:rPr>
              <w:t>主要技术内容如下：</w:t>
            </w:r>
          </w:p>
          <w:p>
            <w:pPr>
              <w:snapToGrid w:val="0"/>
              <w:spacing w:line="360" w:lineRule="auto"/>
              <w:ind w:firstLine="360" w:firstLineChars="200"/>
              <w:rPr>
                <w:rFonts w:hint="eastAsia" w:eastAsia="宋体"/>
                <w:sz w:val="18"/>
                <w:szCs w:val="18"/>
              </w:rPr>
            </w:pPr>
            <w:r>
              <w:rPr>
                <w:rFonts w:hint="eastAsia" w:eastAsia="宋体"/>
                <w:sz w:val="18"/>
                <w:szCs w:val="18"/>
              </w:rPr>
              <w:t>本标准明确了光伏玻璃产品的碳足迹评价方法，规定了计算光伏玻璃产品碳足迹的过程，包括产品描述、评价范围以及产品碳足迹的计算。其中在评价范围内规定功能单位见下，提出了以原材料获取、能源获取、利废原料获取、运输以及光伏玻璃生产过程组成的系统边界。</w:t>
            </w:r>
          </w:p>
          <w:p>
            <w:pPr>
              <w:snapToGrid w:val="0"/>
              <w:spacing w:line="360" w:lineRule="auto"/>
              <w:ind w:firstLine="360" w:firstLineChars="200"/>
              <w:rPr>
                <w:rFonts w:hint="eastAsia" w:eastAsia="宋体"/>
                <w:sz w:val="18"/>
                <w:szCs w:val="18"/>
              </w:rPr>
            </w:pPr>
            <w:r>
              <w:rPr>
                <w:rFonts w:hint="eastAsia" w:eastAsia="宋体"/>
                <w:sz w:val="18"/>
                <w:szCs w:val="18"/>
              </w:rPr>
              <w:t>明确提出了产品碳足迹中数据采集、数据计算以及分配过程等计算过程。</w:t>
            </w:r>
          </w:p>
          <w:p>
            <w:pPr>
              <w:snapToGrid w:val="0"/>
              <w:spacing w:line="360" w:lineRule="auto"/>
              <w:ind w:firstLine="360" w:firstLineChars="200"/>
              <w:rPr>
                <w:rFonts w:eastAsia="宋体"/>
                <w:sz w:val="18"/>
                <w:szCs w:val="18"/>
              </w:rPr>
            </w:pPr>
            <w:r>
              <w:rPr>
                <w:rFonts w:hint="eastAsia" w:eastAsia="宋体"/>
                <w:sz w:val="18"/>
                <w:szCs w:val="18"/>
              </w:rPr>
              <w:t>明确提出了光伏玻璃产品碳足迹报告内容的要求。规定依据本标准编制碳足迹应包括的一些内容。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3" w:hRule="atLeast"/>
          <w:jc w:val="center"/>
        </w:trPr>
        <w:tc>
          <w:tcPr>
            <w:tcW w:w="2167" w:type="dxa"/>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国内外情况</w:t>
            </w:r>
          </w:p>
          <w:p>
            <w:pPr>
              <w:snapToGrid w:val="0"/>
              <w:spacing w:line="360" w:lineRule="auto"/>
              <w:jc w:val="center"/>
              <w:rPr>
                <w:rFonts w:ascii="宋体" w:hAnsi="宋体" w:eastAsia="宋体"/>
                <w:sz w:val="18"/>
                <w:szCs w:val="18"/>
              </w:rPr>
            </w:pPr>
            <w:r>
              <w:rPr>
                <w:rFonts w:hint="eastAsia" w:ascii="宋体" w:hAnsi="宋体" w:eastAsia="宋体"/>
                <w:sz w:val="18"/>
                <w:szCs w:val="18"/>
              </w:rPr>
              <w:t>简要说明</w:t>
            </w:r>
          </w:p>
        </w:tc>
        <w:tc>
          <w:tcPr>
            <w:tcW w:w="7573" w:type="dxa"/>
            <w:gridSpan w:val="8"/>
            <w:vAlign w:val="center"/>
          </w:tcPr>
          <w:p>
            <w:pPr>
              <w:snapToGrid w:val="0"/>
              <w:spacing w:line="360" w:lineRule="auto"/>
              <w:rPr>
                <w:rFonts w:eastAsia="宋体"/>
                <w:sz w:val="18"/>
                <w:szCs w:val="18"/>
                <w:u w:val="single"/>
              </w:rPr>
            </w:pPr>
            <w:r>
              <w:rPr>
                <w:rFonts w:hint="eastAsia" w:eastAsia="宋体"/>
                <w:sz w:val="18"/>
                <w:szCs w:val="18"/>
                <w:u w:val="single"/>
              </w:rPr>
              <w:t>1. 国内外对该技术研究情况简要说明：</w:t>
            </w:r>
          </w:p>
          <w:p>
            <w:pPr>
              <w:snapToGrid w:val="0"/>
              <w:spacing w:line="360" w:lineRule="auto"/>
              <w:ind w:firstLine="360" w:firstLineChars="200"/>
              <w:rPr>
                <w:rFonts w:hint="eastAsia" w:eastAsia="宋体"/>
                <w:sz w:val="18"/>
                <w:szCs w:val="18"/>
              </w:rPr>
            </w:pPr>
            <w:r>
              <w:rPr>
                <w:rFonts w:hint="eastAsia" w:eastAsia="宋体"/>
                <w:sz w:val="18"/>
                <w:szCs w:val="18"/>
              </w:rPr>
              <w:t>国际上广泛应用于产品的碳足迹核算标准有PAS2050：2011《商品和服务在生命周期内的温室气体排放评价规范》、GHG protocol（2011）《温室气体核算体系》和ISO 14067（2013）《温室气体排放 产品碳足迹 量化要求和指南》。其中，PAS2050：2011是全世界第一个产品碳足迹核算标准，GHG protocol（2011）是世界资源研究所和世界可持续发展工商理事会正式发布的标准，是要求最为详细的碳足迹核算标准。ISO14067是由国际标准化组织发布，该标准被认为是更具普遍性的标准，提供了最近的要求和指导。</w:t>
            </w:r>
          </w:p>
          <w:p>
            <w:pPr>
              <w:snapToGrid w:val="0"/>
              <w:spacing w:line="360" w:lineRule="auto"/>
              <w:ind w:firstLine="360" w:firstLineChars="200"/>
              <w:rPr>
                <w:rFonts w:eastAsia="宋体"/>
                <w:sz w:val="18"/>
                <w:szCs w:val="18"/>
                <w:u w:val="single"/>
              </w:rPr>
            </w:pPr>
            <w:r>
              <w:rPr>
                <w:rFonts w:hint="eastAsia" w:eastAsia="宋体"/>
                <w:sz w:val="18"/>
                <w:szCs w:val="18"/>
              </w:rPr>
              <w:t>我国开展碳足迹研究相对较晚，尚未形成完善的标准体系，目前国内外主要碳足迹、碳中和规范有：PAS 2050：2011《商品和服务在生命周期内的温室气体排放评价规范》，ISO14040：2006《环境管理  生命周期评估：原则与框架》，ISO14044：2006《环境管理  产品生命周期评价  要求和导则》，PAS 2060：2010《碳中和证明规范》，ISO14067：2013《温室气体排放 产品碳足迹 量化要求和指南》、《深圳产品碳足迹评价通则》等。</w:t>
            </w:r>
          </w:p>
          <w:p>
            <w:pPr>
              <w:snapToGrid w:val="0"/>
              <w:spacing w:line="360" w:lineRule="auto"/>
              <w:rPr>
                <w:rFonts w:eastAsia="宋体"/>
                <w:sz w:val="18"/>
                <w:szCs w:val="18"/>
                <w:u w:val="single"/>
              </w:rPr>
            </w:pPr>
            <w:r>
              <w:rPr>
                <w:rFonts w:hint="eastAsia" w:eastAsia="宋体"/>
                <w:sz w:val="18"/>
                <w:szCs w:val="18"/>
                <w:u w:val="single"/>
              </w:rPr>
              <w:t>2. 项目与国际标准或国外先进标准采用程度的考虑：</w:t>
            </w:r>
          </w:p>
          <w:p>
            <w:pPr>
              <w:snapToGrid w:val="0"/>
              <w:spacing w:line="360" w:lineRule="auto"/>
              <w:ind w:firstLine="360" w:firstLineChars="200"/>
              <w:rPr>
                <w:rFonts w:hint="eastAsia" w:eastAsia="宋体"/>
                <w:sz w:val="18"/>
                <w:szCs w:val="18"/>
              </w:rPr>
            </w:pPr>
            <w:r>
              <w:rPr>
                <w:rFonts w:hint="eastAsia" w:eastAsia="宋体"/>
                <w:sz w:val="18"/>
                <w:szCs w:val="18"/>
              </w:rPr>
              <w:t>PAS 2050《商品和服务在生命周期内的温室气体排放评价规范》是第一个产品碳足迹核算标准，也是ISO 14067 《温室气体排放 产品碳足迹 量化要求和指南》正式出台前应用最广的产品碳足迹评价规范，于2008年10月公布，旨在对评估产品和服务生命周期内温室气体排放的要求做出明确的规定，使公司、客户和其他利益相关方通过对产品碳足迹的核算，在第一时间采取对于环境有益的恰当决策。PAS 2050在2011年进行了更新，更新后的版本对产品碳足迹核算提供了更加详细的要求和指导。参考ISO14040/44和PAS2050，世界其它国纷纷兴起制定适合本国的产品碳足迹（CFP）计算标准，如世界资源研究所和世界可持续发展工商理事会（WRI/WBCSD）共同发起制定的“温室气体议定书”，日本标准TS Q0010-2009《日本温室气体排放评价指南》，以及BP X30-323《碳标识计划一般性准则文件》。随之而来的是不同碳足迹评价标准引发了国际上对不同计算标准建立的CFP信息不能进行有意义比较的疑虑。因此，尽快建立一套全球统一的产品碳足迹标准势在必行。</w:t>
            </w:r>
          </w:p>
          <w:p>
            <w:pPr>
              <w:snapToGrid w:val="0"/>
              <w:spacing w:line="360" w:lineRule="auto"/>
              <w:ind w:firstLine="360" w:firstLineChars="200"/>
              <w:rPr>
                <w:rFonts w:eastAsia="宋体"/>
                <w:sz w:val="18"/>
                <w:szCs w:val="18"/>
              </w:rPr>
            </w:pPr>
            <w:r>
              <w:rPr>
                <w:rFonts w:hint="eastAsia" w:eastAsia="宋体"/>
                <w:sz w:val="18"/>
                <w:szCs w:val="18"/>
              </w:rPr>
              <w:t>2008年1月，国际标准化组织（ISO）成立工作组并着手编制产品碳足迹的国际标准ISO 14067《温室气体排放 产品碳足迹 量化要求和指南》。新标准主要是基于现存的ISO标准：ISO 14040/44（生命周期评估）及 ISO 14025（环境标签）《环境标志和声明  III型环境声明  原则和程序》。2012年10月，ISO 14067（2012）国际标准草案版公布。2013年5月，其作为技术规范（technical specification）发表，全称为 ISO/TS 14067: 2013《温室气体 - 产品碳足迹-量化与沟通的规则与指南》（ISO/TS14067:2013 Greenhouse gases - carbon footprint of products Require-ments and guidelines for quantification and communication）。为产品整个生命周期中的温室气体排放量的评估提供标准，令产品碳足迹能有效地在供应链、顾客及其他利益相关者之间沟通，并且为基于比较目的的计算结果提供了一个公认的根据ISO 14067将首次实现产品和服务生命周期中二氧化碳排放量化，并确保相关数值可以在全球范围比较。</w:t>
            </w:r>
          </w:p>
          <w:p>
            <w:pPr>
              <w:snapToGrid w:val="0"/>
              <w:spacing w:line="360" w:lineRule="auto"/>
              <w:rPr>
                <w:rFonts w:eastAsia="宋体"/>
                <w:sz w:val="18"/>
                <w:szCs w:val="18"/>
                <w:u w:val="single"/>
              </w:rPr>
            </w:pPr>
            <w:r>
              <w:rPr>
                <w:rFonts w:hint="eastAsia" w:eastAsia="宋体"/>
                <w:sz w:val="18"/>
                <w:szCs w:val="18"/>
                <w:u w:val="single"/>
              </w:rPr>
              <w:t xml:space="preserve">3. 与国内相关标准间的关系： </w:t>
            </w:r>
          </w:p>
          <w:p>
            <w:pPr>
              <w:snapToGrid w:val="0"/>
              <w:spacing w:line="360" w:lineRule="auto"/>
              <w:ind w:firstLine="360" w:firstLineChars="200"/>
              <w:jc w:val="both"/>
              <w:rPr>
                <w:rFonts w:hint="eastAsia" w:eastAsia="宋体"/>
                <w:sz w:val="18"/>
                <w:szCs w:val="18"/>
              </w:rPr>
            </w:pPr>
            <w:r>
              <w:rPr>
                <w:rFonts w:hint="eastAsia" w:eastAsia="宋体"/>
                <w:sz w:val="18"/>
                <w:szCs w:val="18"/>
              </w:rPr>
              <w:t>本标准的标准框架及计算方法可参考国内出台的产品碳足迹相关的标准，包括SJ/T 11717-2018《产品碳足迹 产品种类规则 液晶显示器》、SJ/T 11718-2018《产品碳足迹 产品种类规则 液晶电视机》、SJ/T 11735-2019《产品碳足迹 产品种类规则 便携式计算机》、SJ/T 11736-2019《产品碳足迹 产品种类规则 台式微型计算机》、DB31/T 1071-2017《产品碳足迹核算通则》、DB11/T 1860-2021《电子信息产品碳足迹核算指南》等。</w:t>
            </w:r>
          </w:p>
          <w:p>
            <w:pPr>
              <w:snapToGrid w:val="0"/>
              <w:spacing w:line="360" w:lineRule="auto"/>
              <w:ind w:firstLine="360" w:firstLineChars="200"/>
              <w:jc w:val="both"/>
              <w:rPr>
                <w:rFonts w:eastAsia="宋体"/>
                <w:sz w:val="18"/>
                <w:szCs w:val="18"/>
              </w:rPr>
            </w:pPr>
            <w:r>
              <w:rPr>
                <w:rFonts w:hint="eastAsia" w:eastAsia="宋体"/>
                <w:sz w:val="18"/>
                <w:szCs w:val="18"/>
              </w:rPr>
              <w:t>此外，建材行业已立项的相关标准有《产品碳足迹 产品种类规则 水泥》（RB/T XXXX）、《产品碳足迹 产品种类规则 预拌混凝土》（RB/T XXXX）、《产品碳足迹 产品种类规则 平板玻璃》（2021-1776T-JC）、《产品碳足迹 产品种类规则 金属复合装饰材料》（2021-1777T-JC）、《产品碳足迹 产品种类规则 人造板和木质地板》（2021-1778T-JC）、《产品碳足迹 产品种类规则 预拌砂浆》（2021-1779T-JC）、《产品碳足迹 产品种类规则 岩（矿）棉及其制品》（2021-1780T-JC）、《产品碳足迹 产品种类规则 墙体材料》（2021-1781T-JC）、《产品碳足迹 产品种类规则 建筑卫生陶瓷》（2021-1782T-JC）等，上述标准均可为本标准的制定提供参考。</w:t>
            </w:r>
          </w:p>
          <w:p>
            <w:pPr>
              <w:snapToGrid w:val="0"/>
              <w:spacing w:line="360" w:lineRule="auto"/>
              <w:rPr>
                <w:rFonts w:eastAsia="宋体"/>
                <w:sz w:val="18"/>
                <w:szCs w:val="18"/>
              </w:rPr>
            </w:pPr>
            <w:r>
              <w:rPr>
                <w:rFonts w:eastAsia="宋体"/>
                <w:sz w:val="18"/>
                <w:szCs w:val="18"/>
              </w:rPr>
              <w:t>4. 指出是否发现有知识产权的问题：</w:t>
            </w:r>
          </w:p>
          <w:p>
            <w:pPr>
              <w:snapToGrid w:val="0"/>
              <w:spacing w:line="360" w:lineRule="auto"/>
              <w:ind w:firstLine="360" w:firstLineChars="200"/>
              <w:jc w:val="left"/>
              <w:rPr>
                <w:rFonts w:eastAsia="宋体"/>
                <w:sz w:val="18"/>
                <w:szCs w:val="18"/>
              </w:rPr>
            </w:pPr>
            <w:r>
              <w:rPr>
                <w:rFonts w:eastAsia="宋体"/>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2" w:hRule="atLeast"/>
          <w:jc w:val="center"/>
        </w:trPr>
        <w:tc>
          <w:tcPr>
            <w:tcW w:w="2167" w:type="dxa"/>
            <w:vAlign w:val="center"/>
          </w:tcPr>
          <w:p>
            <w:pPr>
              <w:pStyle w:val="4"/>
              <w:tabs>
                <w:tab w:val="clear" w:pos="4153"/>
                <w:tab w:val="clear" w:pos="8306"/>
              </w:tabs>
              <w:spacing w:line="360" w:lineRule="auto"/>
              <w:rPr>
                <w:rFonts w:ascii="宋体" w:hAnsi="宋体" w:eastAsia="宋体"/>
                <w:szCs w:val="18"/>
              </w:rPr>
            </w:pPr>
            <w:r>
              <w:rPr>
                <w:rFonts w:hint="eastAsia" w:ascii="宋体" w:hAnsi="宋体" w:eastAsia="宋体"/>
                <w:szCs w:val="18"/>
              </w:rPr>
              <w:t>牵头单位</w:t>
            </w:r>
          </w:p>
        </w:tc>
        <w:tc>
          <w:tcPr>
            <w:tcW w:w="3972" w:type="dxa"/>
            <w:gridSpan w:val="5"/>
            <w:vAlign w:val="center"/>
          </w:tcPr>
          <w:p>
            <w:pPr>
              <w:snapToGrid w:val="0"/>
              <w:spacing w:line="360" w:lineRule="auto"/>
              <w:jc w:val="center"/>
              <w:rPr>
                <w:rFonts w:ascii="宋体" w:hAnsi="宋体" w:eastAsia="宋体"/>
                <w:sz w:val="18"/>
                <w:szCs w:val="18"/>
              </w:rPr>
            </w:pPr>
          </w:p>
          <w:p>
            <w:pPr>
              <w:snapToGrid w:val="0"/>
              <w:spacing w:line="360" w:lineRule="auto"/>
              <w:jc w:val="center"/>
              <w:rPr>
                <w:rFonts w:ascii="宋体" w:hAnsi="宋体" w:eastAsia="宋体"/>
                <w:sz w:val="18"/>
                <w:szCs w:val="18"/>
              </w:rPr>
            </w:pPr>
            <w:r>
              <w:rPr>
                <w:rFonts w:hint="eastAsia" w:ascii="宋体" w:hAnsi="宋体" w:eastAsia="宋体"/>
                <w:sz w:val="18"/>
                <w:szCs w:val="18"/>
              </w:rPr>
              <w:t>（签字、盖公章）月     日</w:t>
            </w:r>
          </w:p>
        </w:tc>
        <w:tc>
          <w:tcPr>
            <w:tcW w:w="1701" w:type="dxa"/>
            <w:gridSpan w:val="2"/>
            <w:vAlign w:val="center"/>
          </w:tcPr>
          <w:p>
            <w:pPr>
              <w:snapToGrid w:val="0"/>
              <w:spacing w:line="360" w:lineRule="auto"/>
              <w:jc w:val="center"/>
              <w:rPr>
                <w:rFonts w:ascii="宋体" w:hAnsi="宋体" w:eastAsia="宋体"/>
                <w:sz w:val="18"/>
                <w:szCs w:val="18"/>
              </w:rPr>
            </w:pPr>
            <w:r>
              <w:rPr>
                <w:rFonts w:hint="eastAsia" w:ascii="宋体" w:hAnsi="宋体" w:eastAsia="宋体"/>
                <w:sz w:val="18"/>
                <w:szCs w:val="18"/>
              </w:rPr>
              <w:t>归口管理部门</w:t>
            </w:r>
          </w:p>
        </w:tc>
        <w:tc>
          <w:tcPr>
            <w:tcW w:w="1900" w:type="dxa"/>
            <w:vAlign w:val="center"/>
          </w:tcPr>
          <w:p>
            <w:pPr>
              <w:snapToGrid w:val="0"/>
              <w:spacing w:line="360" w:lineRule="auto"/>
              <w:rPr>
                <w:rFonts w:eastAsia="宋体"/>
                <w:sz w:val="18"/>
                <w:szCs w:val="18"/>
              </w:rPr>
            </w:pPr>
          </w:p>
          <w:p>
            <w:pPr>
              <w:snapToGrid w:val="0"/>
              <w:rPr>
                <w:rFonts w:eastAsia="宋体"/>
                <w:sz w:val="18"/>
                <w:szCs w:val="18"/>
              </w:rPr>
            </w:pPr>
            <w:r>
              <w:rPr>
                <w:rFonts w:eastAsia="宋体"/>
                <w:sz w:val="18"/>
                <w:szCs w:val="18"/>
              </w:rPr>
              <w:t>（签字、盖公章）</w:t>
            </w:r>
          </w:p>
          <w:p>
            <w:pPr>
              <w:snapToGrid w:val="0"/>
              <w:rPr>
                <w:rFonts w:eastAsia="宋体"/>
                <w:sz w:val="18"/>
                <w:szCs w:val="18"/>
              </w:rPr>
            </w:pPr>
            <w:r>
              <w:rPr>
                <w:rFonts w:eastAsia="宋体"/>
                <w:sz w:val="18"/>
                <w:szCs w:val="18"/>
              </w:rPr>
              <w:t xml:space="preserve">    月     日</w:t>
            </w:r>
          </w:p>
        </w:tc>
      </w:tr>
    </w:tbl>
    <w:p>
      <w:pPr>
        <w:snapToGrid w:val="0"/>
        <w:spacing w:before="156" w:beforeLines="50"/>
        <w:ind w:firstLine="503" w:firstLineChars="280"/>
        <w:rPr>
          <w:rFonts w:ascii="宋体" w:hAnsi="宋体" w:eastAsia="宋体"/>
          <w:sz w:val="18"/>
          <w:szCs w:val="18"/>
        </w:rPr>
      </w:pPr>
      <w:r>
        <w:rPr>
          <w:rFonts w:ascii="宋体" w:hAnsi="宋体" w:eastAsia="宋体"/>
          <w:sz w:val="18"/>
          <w:szCs w:val="18"/>
        </w:rPr>
        <w:t>[</w:t>
      </w:r>
      <w:r>
        <w:rPr>
          <w:rFonts w:hint="eastAsia" w:ascii="宋体" w:hAnsi="宋体" w:eastAsia="宋体"/>
          <w:sz w:val="18"/>
          <w:szCs w:val="18"/>
        </w:rPr>
        <w:t>注1</w:t>
      </w:r>
      <w:r>
        <w:rPr>
          <w:rFonts w:ascii="宋体" w:hAnsi="宋体" w:eastAsia="宋体"/>
          <w:sz w:val="18"/>
          <w:szCs w:val="18"/>
        </w:rPr>
        <w:t xml:space="preserve">] </w:t>
      </w:r>
      <w:r>
        <w:rPr>
          <w:rFonts w:hint="eastAsia" w:ascii="宋体" w:hAnsi="宋体" w:eastAsia="宋体"/>
          <w:sz w:val="18"/>
          <w:szCs w:val="18"/>
        </w:rPr>
        <w:t xml:space="preserve"> 填写制定或修订项目中，若选择修订必须填写被修订标准号；</w:t>
      </w:r>
    </w:p>
    <w:p>
      <w:pPr>
        <w:snapToGrid w:val="0"/>
        <w:ind w:firstLine="503" w:firstLineChars="280"/>
        <w:rPr>
          <w:rFonts w:ascii="宋体" w:hAnsi="宋体" w:eastAsia="宋体"/>
          <w:sz w:val="18"/>
          <w:szCs w:val="18"/>
        </w:rPr>
      </w:pPr>
      <w:r>
        <w:rPr>
          <w:rFonts w:ascii="宋体" w:hAnsi="宋体" w:eastAsia="宋体"/>
          <w:sz w:val="18"/>
          <w:szCs w:val="18"/>
        </w:rPr>
        <w:t>[</w:t>
      </w:r>
      <w:r>
        <w:rPr>
          <w:rFonts w:hint="eastAsia" w:ascii="宋体" w:hAnsi="宋体" w:eastAsia="宋体"/>
          <w:sz w:val="18"/>
          <w:szCs w:val="18"/>
        </w:rPr>
        <w:t>注2</w:t>
      </w:r>
      <w:r>
        <w:rPr>
          <w:rFonts w:ascii="宋体" w:hAnsi="宋体" w:eastAsia="宋体"/>
          <w:sz w:val="18"/>
          <w:szCs w:val="18"/>
        </w:rPr>
        <w:t>]</w:t>
      </w:r>
      <w:r>
        <w:rPr>
          <w:rFonts w:hint="eastAsia" w:ascii="宋体" w:hAnsi="宋体" w:eastAsia="宋体"/>
          <w:sz w:val="18"/>
          <w:szCs w:val="18"/>
        </w:rPr>
        <w:t xml:space="preserve">  选择采用国际标准，必须填写采标号及采用程度；</w:t>
      </w:r>
    </w:p>
    <w:p>
      <w:pPr>
        <w:snapToGrid w:val="0"/>
        <w:ind w:left="448" w:leftChars="160" w:firstLine="54" w:firstLineChars="30"/>
        <w:rPr>
          <w:sz w:val="18"/>
          <w:szCs w:val="18"/>
        </w:rPr>
      </w:pPr>
      <w:r>
        <w:rPr>
          <w:rFonts w:ascii="宋体" w:hAnsi="宋体" w:eastAsia="宋体"/>
          <w:sz w:val="18"/>
          <w:szCs w:val="18"/>
        </w:rPr>
        <w:t>[</w:t>
      </w:r>
      <w:r>
        <w:rPr>
          <w:rFonts w:hint="eastAsia" w:ascii="宋体" w:hAnsi="宋体" w:eastAsia="宋体"/>
          <w:sz w:val="18"/>
          <w:szCs w:val="18"/>
        </w:rPr>
        <w:t>注3</w:t>
      </w:r>
      <w:r>
        <w:rPr>
          <w:rFonts w:ascii="宋体" w:hAnsi="宋体" w:eastAsia="宋体"/>
          <w:sz w:val="18"/>
          <w:szCs w:val="18"/>
        </w:rPr>
        <w:t>]</w:t>
      </w:r>
      <w:r>
        <w:rPr>
          <w:rFonts w:hint="eastAsia" w:ascii="宋体" w:hAnsi="宋体" w:eastAsia="宋体"/>
          <w:sz w:val="18"/>
          <w:szCs w:val="18"/>
        </w:rPr>
        <w:t xml:space="preserve">  选择采用快速程序，必须填写快速程序代码。</w:t>
      </w:r>
    </w:p>
    <w:p>
      <w:pPr>
        <w:snapToGrid w:val="0"/>
        <w:rPr>
          <w:sz w:val="18"/>
          <w:szCs w:val="1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IyZmJjMjFjMjlmNjAwMmQwODJjNDNjZDc0NjliZGIifQ=="/>
  </w:docVars>
  <w:rsids>
    <w:rsidRoot w:val="009F1940"/>
    <w:rsid w:val="00070E68"/>
    <w:rsid w:val="00126298"/>
    <w:rsid w:val="001E5532"/>
    <w:rsid w:val="00307CE6"/>
    <w:rsid w:val="0031195C"/>
    <w:rsid w:val="00484D87"/>
    <w:rsid w:val="004C5830"/>
    <w:rsid w:val="005170FE"/>
    <w:rsid w:val="006A42EA"/>
    <w:rsid w:val="00762C08"/>
    <w:rsid w:val="00776BF6"/>
    <w:rsid w:val="007C1EF4"/>
    <w:rsid w:val="0080351A"/>
    <w:rsid w:val="00826430"/>
    <w:rsid w:val="00831E9B"/>
    <w:rsid w:val="008437B3"/>
    <w:rsid w:val="00852007"/>
    <w:rsid w:val="009012F2"/>
    <w:rsid w:val="00901E59"/>
    <w:rsid w:val="009B74C3"/>
    <w:rsid w:val="009F1940"/>
    <w:rsid w:val="00A01E58"/>
    <w:rsid w:val="00A060A6"/>
    <w:rsid w:val="00A12D55"/>
    <w:rsid w:val="00AE6150"/>
    <w:rsid w:val="00AF4E6F"/>
    <w:rsid w:val="00B50256"/>
    <w:rsid w:val="00B94254"/>
    <w:rsid w:val="00C163B1"/>
    <w:rsid w:val="00C716E6"/>
    <w:rsid w:val="00CB0F00"/>
    <w:rsid w:val="00DD76F2"/>
    <w:rsid w:val="00DE1E60"/>
    <w:rsid w:val="00F6396E"/>
    <w:rsid w:val="2C311870"/>
    <w:rsid w:val="2DE51610"/>
    <w:rsid w:val="3F542A99"/>
    <w:rsid w:val="582B2191"/>
    <w:rsid w:val="66205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240" w:lineRule="auto"/>
      <w:jc w:val="both"/>
    </w:pPr>
    <w:rPr>
      <w:rFonts w:ascii="Times New Roman" w:hAnsi="Times New Roman" w:eastAsia="仿宋_GB2312" w:cs="Times New Roman"/>
      <w:kern w:val="2"/>
      <w:sz w:val="28"/>
      <w:szCs w:val="20"/>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pPr>
      <w:spacing w:line="360" w:lineRule="auto"/>
      <w:ind w:firstLine="480" w:firstLineChars="200"/>
    </w:pPr>
    <w:rPr>
      <w:rFonts w:ascii="仿宋_GB2312"/>
      <w:sz w:val="24"/>
    </w:r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rPr>
  </w:style>
  <w:style w:type="table" w:styleId="6">
    <w:name w:val="Table Grid"/>
    <w:basedOn w:val="5"/>
    <w:uiPriority w:val="0"/>
    <w:pPr>
      <w:widowControl w:val="0"/>
      <w:spacing w:line="240" w:lineRule="auto"/>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uiPriority w:val="0"/>
    <w:rPr>
      <w:rFonts w:ascii="Times New Roman" w:hAnsi="Times New Roman" w:eastAsia="仿宋_GB2312" w:cs="Times New Roman"/>
      <w:sz w:val="18"/>
      <w:szCs w:val="20"/>
    </w:rPr>
  </w:style>
  <w:style w:type="character" w:customStyle="1" w:styleId="9">
    <w:name w:val="页脚 字符"/>
    <w:basedOn w:val="7"/>
    <w:link w:val="3"/>
    <w:uiPriority w:val="99"/>
    <w:rPr>
      <w:rFonts w:ascii="Times New Roman" w:hAnsi="Times New Roman" w:eastAsia="仿宋_GB2312" w:cs="Times New Roman"/>
      <w:sz w:val="18"/>
      <w:szCs w:val="18"/>
    </w:rPr>
  </w:style>
  <w:style w:type="paragraph" w:styleId="10">
    <w:name w:val="List Paragraph"/>
    <w:basedOn w:val="1"/>
    <w:autoRedefine/>
    <w:qFormat/>
    <w:uiPriority w:val="34"/>
    <w:pPr>
      <w:ind w:firstLine="420" w:firstLineChars="200"/>
    </w:pPr>
  </w:style>
  <w:style w:type="paragraph" w:customStyle="1" w:styleId="11">
    <w:name w:val="北工大正文"/>
    <w:basedOn w:val="1"/>
    <w:link w:val="12"/>
    <w:qFormat/>
    <w:uiPriority w:val="0"/>
    <w:pPr>
      <w:widowControl/>
      <w:spacing w:line="312" w:lineRule="auto"/>
      <w:ind w:firstLine="402" w:firstLineChars="200"/>
      <w:jc w:val="left"/>
    </w:pPr>
    <w:rPr>
      <w:rFonts w:eastAsia="宋体" w:cstheme="minorBidi"/>
      <w:kern w:val="0"/>
      <w:sz w:val="24"/>
      <w:szCs w:val="24"/>
    </w:rPr>
  </w:style>
  <w:style w:type="character" w:customStyle="1" w:styleId="12">
    <w:name w:val="北工大正文 Char"/>
    <w:link w:val="11"/>
    <w:qFormat/>
    <w:uiPriority w:val="0"/>
    <w:rPr>
      <w:rFonts w:ascii="Times New Roman" w:hAnsi="Times New Roman" w:eastAsia="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427</Words>
  <Characters>2438</Characters>
  <Lines>20</Lines>
  <Paragraphs>5</Paragraphs>
  <TotalTime>42</TotalTime>
  <ScaleCrop>false</ScaleCrop>
  <LinksUpToDate>false</LinksUpToDate>
  <CharactersWithSpaces>2860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2021-03-17T01:05:00Z</dcterms:created>
  <dc:creator>zh</dc:creator>
  <cp:lastModifiedBy>yzz</cp:lastModifiedBy>
  <cp:lastPrinted>2024-04-12T02:13:05Z</cp:lastPrinted>
  <dcterms:modified xsi:type="dcterms:W3CDTF">2024-04-12T02:52:41Z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FD909D72065D42D48F42A313564BF6EF_12</vt:lpwstr>
  </property>
</Properties>
</file>