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FC6EFE">
      <w:pPr>
        <w:adjustRightInd w:val="0"/>
        <w:snapToGrid w:val="0"/>
        <w:rPr>
          <w:rFonts w:eastAsia="黑体"/>
          <w:bCs/>
          <w:color w:val="000000"/>
          <w:kern w:val="0"/>
          <w:sz w:val="32"/>
          <w:szCs w:val="32"/>
        </w:rPr>
      </w:pPr>
      <w:r>
        <w:rPr>
          <w:rFonts w:eastAsia="黑体"/>
          <w:bCs/>
          <w:color w:val="000000"/>
          <w:kern w:val="0"/>
          <w:sz w:val="32"/>
          <w:szCs w:val="32"/>
        </w:rPr>
        <w:t>附表2</w:t>
      </w:r>
    </w:p>
    <w:p w14:paraId="542A8427">
      <w:pPr>
        <w:spacing w:before="156" w:beforeLines="50" w:after="156" w:afterLines="50"/>
        <w:jc w:val="center"/>
        <w:rPr>
          <w:rFonts w:ascii="黑体" w:eastAsia="黑体"/>
          <w:sz w:val="36"/>
          <w:szCs w:val="36"/>
        </w:rPr>
      </w:pPr>
      <w:r>
        <w:rPr>
          <w:rFonts w:hint="eastAsia" w:ascii="黑体" w:eastAsia="黑体"/>
          <w:sz w:val="36"/>
          <w:szCs w:val="36"/>
        </w:rPr>
        <w:t>协会标准项目建议书</w:t>
      </w:r>
    </w:p>
    <w:tbl>
      <w:tblPr>
        <w:tblStyle w:val="6"/>
        <w:tblW w:w="909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76"/>
        <w:gridCol w:w="1047"/>
        <w:gridCol w:w="567"/>
        <w:gridCol w:w="567"/>
        <w:gridCol w:w="1134"/>
        <w:gridCol w:w="1559"/>
        <w:gridCol w:w="1231"/>
        <w:gridCol w:w="1517"/>
      </w:tblGrid>
      <w:tr w14:paraId="03BDBA6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72"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7A784AC0">
            <w:pPr>
              <w:pStyle w:val="5"/>
              <w:pBdr>
                <w:bottom w:val="none" w:color="auto" w:sz="0" w:space="0"/>
              </w:pBdr>
              <w:tabs>
                <w:tab w:val="left" w:pos="420"/>
              </w:tabs>
              <w:snapToGrid/>
            </w:pPr>
            <w:r>
              <w:rPr>
                <w:rFonts w:hint="eastAsia"/>
              </w:rPr>
              <w:t>建议项目名称</w:t>
            </w:r>
          </w:p>
          <w:p w14:paraId="33974916">
            <w:pPr>
              <w:ind w:hanging="13"/>
              <w:jc w:val="center"/>
              <w:rPr>
                <w:sz w:val="18"/>
                <w:szCs w:val="18"/>
              </w:rPr>
            </w:pPr>
            <w:r>
              <w:rPr>
                <w:rFonts w:hint="eastAsia"/>
                <w:sz w:val="18"/>
                <w:szCs w:val="18"/>
              </w:rPr>
              <w:t>（中文）</w:t>
            </w:r>
          </w:p>
        </w:tc>
        <w:tc>
          <w:tcPr>
            <w:tcW w:w="3315" w:type="dxa"/>
            <w:gridSpan w:val="4"/>
            <w:tcBorders>
              <w:top w:val="single" w:color="auto" w:sz="4" w:space="0"/>
              <w:left w:val="single" w:color="auto" w:sz="4" w:space="0"/>
              <w:bottom w:val="single" w:color="auto" w:sz="4" w:space="0"/>
              <w:right w:val="single" w:color="auto" w:sz="4" w:space="0"/>
            </w:tcBorders>
            <w:vAlign w:val="center"/>
          </w:tcPr>
          <w:p w14:paraId="2E4CE29D">
            <w:pPr>
              <w:rPr>
                <w:sz w:val="18"/>
                <w:szCs w:val="18"/>
              </w:rPr>
            </w:pPr>
            <w:r>
              <w:rPr>
                <w:rFonts w:hint="eastAsia"/>
                <w:sz w:val="18"/>
                <w:szCs w:val="18"/>
              </w:rPr>
              <w:t>建材产品碳足迹核算和报告指南</w:t>
            </w:r>
          </w:p>
        </w:tc>
        <w:tc>
          <w:tcPr>
            <w:tcW w:w="1559" w:type="dxa"/>
            <w:tcBorders>
              <w:top w:val="single" w:color="auto" w:sz="4" w:space="0"/>
              <w:left w:val="single" w:color="auto" w:sz="4" w:space="0"/>
              <w:bottom w:val="single" w:color="auto" w:sz="4" w:space="0"/>
              <w:right w:val="single" w:color="auto" w:sz="4" w:space="0"/>
            </w:tcBorders>
            <w:vAlign w:val="center"/>
          </w:tcPr>
          <w:p w14:paraId="7F6884CE">
            <w:pPr>
              <w:jc w:val="center"/>
              <w:rPr>
                <w:sz w:val="18"/>
                <w:szCs w:val="18"/>
              </w:rPr>
            </w:pPr>
            <w:r>
              <w:rPr>
                <w:sz w:val="18"/>
                <w:szCs w:val="18"/>
              </w:rPr>
              <w:t>建议项目名称</w:t>
            </w:r>
          </w:p>
          <w:p w14:paraId="104AD995">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66676701">
            <w:pPr>
              <w:jc w:val="left"/>
              <w:rPr>
                <w:sz w:val="18"/>
                <w:szCs w:val="18"/>
              </w:rPr>
            </w:pPr>
            <w:r>
              <w:rPr>
                <w:rFonts w:hint="eastAsia"/>
                <w:sz w:val="18"/>
                <w:szCs w:val="18"/>
              </w:rPr>
              <w:t>Technical guidelines for Carbon Footprint Assessment of building materials industry</w:t>
            </w:r>
          </w:p>
        </w:tc>
      </w:tr>
      <w:tr w14:paraId="4161CAF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7381B894">
            <w:pPr>
              <w:jc w:val="center"/>
              <w:rPr>
                <w:sz w:val="18"/>
                <w:szCs w:val="18"/>
              </w:rPr>
            </w:pPr>
            <w:r>
              <w:rPr>
                <w:rFonts w:hint="eastAsia"/>
                <w:sz w:val="18"/>
                <w:szCs w:val="18"/>
              </w:rPr>
              <w:t>制定或修订</w:t>
            </w:r>
          </w:p>
        </w:tc>
        <w:tc>
          <w:tcPr>
            <w:tcW w:w="1614" w:type="dxa"/>
            <w:gridSpan w:val="2"/>
            <w:tcBorders>
              <w:top w:val="single" w:color="auto" w:sz="4" w:space="0"/>
              <w:left w:val="single" w:color="auto" w:sz="4" w:space="0"/>
              <w:bottom w:val="single" w:color="auto" w:sz="4" w:space="0"/>
              <w:right w:val="single" w:color="auto" w:sz="4" w:space="0"/>
            </w:tcBorders>
            <w:vAlign w:val="center"/>
          </w:tcPr>
          <w:p w14:paraId="300A885C">
            <w:pPr>
              <w:ind w:firstLine="180" w:firstLineChars="100"/>
              <w:jc w:val="center"/>
              <w:rPr>
                <w:sz w:val="18"/>
                <w:szCs w:val="18"/>
              </w:rPr>
            </w:pPr>
            <w:r>
              <w:rPr>
                <w:rFonts w:hint="eastAsia" w:ascii="宋体" w:hAnsi="宋体"/>
                <w:sz w:val="18"/>
                <w:szCs w:val="18"/>
              </w:rPr>
              <w:t>■</w:t>
            </w:r>
            <w:r>
              <w:rPr>
                <w:rFonts w:hint="eastAsia"/>
                <w:sz w:val="18"/>
                <w:szCs w:val="18"/>
              </w:rPr>
              <w:t>制定</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10C5B0B">
            <w:pPr>
              <w:jc w:val="center"/>
              <w:rPr>
                <w:sz w:val="18"/>
                <w:szCs w:val="18"/>
              </w:rPr>
            </w:pPr>
            <w:r>
              <w:rPr>
                <w:rFonts w:hint="eastAsia" w:ascii="宋体" w:hAnsi="宋体"/>
                <w:sz w:val="18"/>
                <w:szCs w:val="18"/>
              </w:rPr>
              <w:t>□</w:t>
            </w:r>
            <w:r>
              <w:rPr>
                <w:rFonts w:hint="eastAsia"/>
                <w:sz w:val="18"/>
                <w:szCs w:val="18"/>
              </w:rPr>
              <w:t>修订</w:t>
            </w:r>
          </w:p>
        </w:tc>
        <w:tc>
          <w:tcPr>
            <w:tcW w:w="1559" w:type="dxa"/>
            <w:tcBorders>
              <w:top w:val="single" w:color="auto" w:sz="4" w:space="0"/>
              <w:left w:val="single" w:color="auto" w:sz="4" w:space="0"/>
              <w:bottom w:val="single" w:color="auto" w:sz="4" w:space="0"/>
              <w:right w:val="single" w:color="auto" w:sz="4" w:space="0"/>
            </w:tcBorders>
            <w:vAlign w:val="center"/>
          </w:tcPr>
          <w:p w14:paraId="526A3E67">
            <w:pPr>
              <w:jc w:val="center"/>
              <w:rPr>
                <w:sz w:val="18"/>
                <w:szCs w:val="18"/>
              </w:rPr>
            </w:pPr>
            <w:r>
              <w:rPr>
                <w:rFonts w:hint="eastAsia"/>
                <w:sz w:val="18"/>
                <w:szCs w:val="18"/>
              </w:rPr>
              <w:t>被修订标准号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1FF55C59">
            <w:pPr>
              <w:rPr>
                <w:sz w:val="18"/>
                <w:szCs w:val="18"/>
              </w:rPr>
            </w:pPr>
            <w:r>
              <w:rPr>
                <w:rFonts w:hint="eastAsia"/>
                <w:sz w:val="18"/>
                <w:szCs w:val="18"/>
              </w:rPr>
              <w:t>/</w:t>
            </w:r>
          </w:p>
        </w:tc>
      </w:tr>
      <w:tr w14:paraId="35A22C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5AF5EE24">
            <w:pPr>
              <w:jc w:val="center"/>
              <w:rPr>
                <w:sz w:val="18"/>
                <w:szCs w:val="18"/>
              </w:rPr>
            </w:pPr>
            <w:r>
              <w:rPr>
                <w:rFonts w:hint="eastAsia"/>
                <w:sz w:val="18"/>
                <w:szCs w:val="18"/>
              </w:rPr>
              <w:t>采用程度</w:t>
            </w:r>
          </w:p>
        </w:tc>
        <w:tc>
          <w:tcPr>
            <w:tcW w:w="1047" w:type="dxa"/>
            <w:tcBorders>
              <w:top w:val="single" w:color="auto" w:sz="4" w:space="0"/>
              <w:left w:val="single" w:color="auto" w:sz="4" w:space="0"/>
              <w:bottom w:val="single" w:color="auto" w:sz="4" w:space="0"/>
              <w:right w:val="single" w:color="auto" w:sz="4" w:space="0"/>
            </w:tcBorders>
            <w:vAlign w:val="center"/>
          </w:tcPr>
          <w:p w14:paraId="0C84D326">
            <w:pPr>
              <w:jc w:val="center"/>
              <w:rPr>
                <w:sz w:val="18"/>
                <w:szCs w:val="18"/>
              </w:rPr>
            </w:pPr>
            <w:r>
              <w:rPr>
                <w:rFonts w:hint="eastAsia" w:ascii="宋体" w:hAnsi="宋体"/>
                <w:sz w:val="18"/>
                <w:szCs w:val="18"/>
              </w:rPr>
              <w:t>□</w:t>
            </w:r>
            <w:r>
              <w:rPr>
                <w:sz w:val="18"/>
                <w:szCs w:val="18"/>
              </w:rPr>
              <w:t>IDT</w:t>
            </w: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64B3B7A8">
            <w:pPr>
              <w:jc w:val="center"/>
              <w:rPr>
                <w:sz w:val="18"/>
                <w:szCs w:val="18"/>
              </w:rPr>
            </w:pPr>
            <w:r>
              <w:rPr>
                <w:rFonts w:hint="eastAsia" w:ascii="宋体" w:hAnsi="宋体"/>
                <w:sz w:val="18"/>
                <w:szCs w:val="18"/>
              </w:rPr>
              <w:t>□</w:t>
            </w:r>
            <w:r>
              <w:rPr>
                <w:sz w:val="18"/>
                <w:szCs w:val="18"/>
              </w:rPr>
              <w:t>MOD</w:t>
            </w:r>
          </w:p>
        </w:tc>
        <w:tc>
          <w:tcPr>
            <w:tcW w:w="1134" w:type="dxa"/>
            <w:tcBorders>
              <w:top w:val="single" w:color="auto" w:sz="4" w:space="0"/>
              <w:left w:val="single" w:color="auto" w:sz="4" w:space="0"/>
              <w:bottom w:val="single" w:color="auto" w:sz="4" w:space="0"/>
              <w:right w:val="single" w:color="auto" w:sz="4" w:space="0"/>
            </w:tcBorders>
            <w:vAlign w:val="center"/>
          </w:tcPr>
          <w:p w14:paraId="204E4856">
            <w:pPr>
              <w:jc w:val="center"/>
              <w:rPr>
                <w:sz w:val="18"/>
                <w:szCs w:val="18"/>
              </w:rPr>
            </w:pPr>
            <w:r>
              <w:rPr>
                <w:rFonts w:hint="eastAsia" w:ascii="宋体" w:hAnsi="宋体"/>
                <w:sz w:val="18"/>
                <w:szCs w:val="18"/>
              </w:rPr>
              <w:t>□</w:t>
            </w:r>
            <w:r>
              <w:rPr>
                <w:sz w:val="18"/>
                <w:szCs w:val="18"/>
              </w:rPr>
              <w:t>NEQ</w:t>
            </w:r>
          </w:p>
        </w:tc>
        <w:tc>
          <w:tcPr>
            <w:tcW w:w="1559" w:type="dxa"/>
            <w:tcBorders>
              <w:top w:val="single" w:color="auto" w:sz="4" w:space="0"/>
              <w:left w:val="single" w:color="auto" w:sz="4" w:space="0"/>
              <w:bottom w:val="single" w:color="auto" w:sz="4" w:space="0"/>
              <w:right w:val="single" w:color="auto" w:sz="4" w:space="0"/>
            </w:tcBorders>
            <w:vAlign w:val="center"/>
          </w:tcPr>
          <w:p w14:paraId="2CAEA91E">
            <w:pPr>
              <w:jc w:val="center"/>
              <w:rPr>
                <w:sz w:val="18"/>
                <w:szCs w:val="18"/>
              </w:rPr>
            </w:pPr>
            <w:r>
              <w:rPr>
                <w:rFonts w:hint="eastAsia"/>
                <w:sz w:val="18"/>
                <w:szCs w:val="18"/>
              </w:rPr>
              <w:t>采标号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25726A31">
            <w:pPr>
              <w:rPr>
                <w:sz w:val="18"/>
                <w:szCs w:val="18"/>
              </w:rPr>
            </w:pPr>
            <w:r>
              <w:rPr>
                <w:rFonts w:hint="eastAsia"/>
                <w:sz w:val="18"/>
                <w:szCs w:val="18"/>
              </w:rPr>
              <w:t>/</w:t>
            </w:r>
          </w:p>
        </w:tc>
      </w:tr>
      <w:tr w14:paraId="5DD275A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66"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4DEEFBB2">
            <w:pPr>
              <w:pStyle w:val="5"/>
              <w:pBdr>
                <w:bottom w:val="none" w:color="auto" w:sz="0" w:space="0"/>
              </w:pBdr>
              <w:tabs>
                <w:tab w:val="left" w:pos="420"/>
              </w:tabs>
              <w:snapToGrid/>
            </w:pPr>
            <w:r>
              <w:rPr>
                <w:rFonts w:hint="eastAsia"/>
              </w:rPr>
              <w:t>国际标准名称</w:t>
            </w:r>
          </w:p>
          <w:p w14:paraId="537325FE">
            <w:pPr>
              <w:jc w:val="center"/>
              <w:rPr>
                <w:sz w:val="18"/>
                <w:szCs w:val="18"/>
              </w:rPr>
            </w:pPr>
            <w:r>
              <w:rPr>
                <w:rFonts w:hint="eastAsia"/>
                <w:sz w:val="18"/>
                <w:szCs w:val="18"/>
              </w:rPr>
              <w:t>（中文）</w:t>
            </w:r>
          </w:p>
        </w:tc>
        <w:tc>
          <w:tcPr>
            <w:tcW w:w="3315" w:type="dxa"/>
            <w:gridSpan w:val="4"/>
            <w:tcBorders>
              <w:top w:val="single" w:color="auto" w:sz="4" w:space="0"/>
              <w:left w:val="single" w:color="auto" w:sz="4" w:space="0"/>
              <w:bottom w:val="single" w:color="auto" w:sz="4" w:space="0"/>
              <w:right w:val="single" w:color="auto" w:sz="4" w:space="0"/>
            </w:tcBorders>
            <w:vAlign w:val="center"/>
          </w:tcPr>
          <w:p w14:paraId="6E8729BA">
            <w:pPr>
              <w:rPr>
                <w:sz w:val="18"/>
                <w:szCs w:val="18"/>
              </w:rPr>
            </w:pPr>
            <w:r>
              <w:rPr>
                <w:rFonts w:hint="eastAsia"/>
                <w:sz w:val="18"/>
                <w:szCs w:val="18"/>
              </w:rPr>
              <w:t>/</w:t>
            </w:r>
          </w:p>
        </w:tc>
        <w:tc>
          <w:tcPr>
            <w:tcW w:w="1559" w:type="dxa"/>
            <w:tcBorders>
              <w:top w:val="single" w:color="auto" w:sz="4" w:space="0"/>
              <w:left w:val="single" w:color="auto" w:sz="4" w:space="0"/>
              <w:bottom w:val="single" w:color="auto" w:sz="4" w:space="0"/>
              <w:right w:val="single" w:color="auto" w:sz="4" w:space="0"/>
            </w:tcBorders>
            <w:vAlign w:val="center"/>
          </w:tcPr>
          <w:p w14:paraId="1C15F281">
            <w:pPr>
              <w:jc w:val="center"/>
              <w:rPr>
                <w:sz w:val="18"/>
                <w:szCs w:val="18"/>
              </w:rPr>
            </w:pPr>
            <w:r>
              <w:rPr>
                <w:rFonts w:hint="eastAsia"/>
                <w:sz w:val="18"/>
                <w:szCs w:val="18"/>
              </w:rPr>
              <w:t>国际标准名称</w:t>
            </w:r>
          </w:p>
          <w:p w14:paraId="7084E852">
            <w:pPr>
              <w:jc w:val="center"/>
              <w:rPr>
                <w:sz w:val="18"/>
                <w:szCs w:val="18"/>
              </w:rPr>
            </w:pPr>
            <w:r>
              <w:rPr>
                <w:rFonts w:hint="eastAsia"/>
                <w:sz w:val="18"/>
                <w:szCs w:val="18"/>
              </w:rPr>
              <w:t>（</w:t>
            </w:r>
            <w:r>
              <w:rPr>
                <w:sz w:val="18"/>
                <w:szCs w:val="18"/>
              </w:rPr>
              <w:t>英文</w:t>
            </w:r>
            <w:r>
              <w:rPr>
                <w:rFonts w:hint="eastAsia"/>
                <w:sz w:val="18"/>
                <w:szCs w:val="18"/>
              </w:rPr>
              <w:t>）</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0A0DE630">
            <w:pPr>
              <w:rPr>
                <w:sz w:val="18"/>
                <w:szCs w:val="18"/>
              </w:rPr>
            </w:pPr>
            <w:r>
              <w:rPr>
                <w:rFonts w:hint="eastAsia"/>
                <w:sz w:val="18"/>
                <w:szCs w:val="18"/>
              </w:rPr>
              <w:t>/</w:t>
            </w:r>
          </w:p>
        </w:tc>
      </w:tr>
      <w:tr w14:paraId="2E10E5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0D5B5BCD">
            <w:pPr>
              <w:jc w:val="center"/>
              <w:rPr>
                <w:sz w:val="18"/>
                <w:szCs w:val="18"/>
              </w:rPr>
            </w:pPr>
            <w:r>
              <w:rPr>
                <w:sz w:val="18"/>
                <w:szCs w:val="18"/>
              </w:rPr>
              <w:t>ICS</w:t>
            </w:r>
            <w:r>
              <w:rPr>
                <w:rFonts w:hint="eastAsia"/>
                <w:sz w:val="18"/>
                <w:szCs w:val="18"/>
              </w:rPr>
              <w:t>分类号</w:t>
            </w:r>
          </w:p>
        </w:tc>
        <w:tc>
          <w:tcPr>
            <w:tcW w:w="3315" w:type="dxa"/>
            <w:gridSpan w:val="4"/>
            <w:tcBorders>
              <w:top w:val="single" w:color="auto" w:sz="4" w:space="0"/>
              <w:left w:val="single" w:color="auto" w:sz="4" w:space="0"/>
              <w:bottom w:val="single" w:color="auto" w:sz="4" w:space="0"/>
              <w:right w:val="single" w:color="auto" w:sz="4" w:space="0"/>
            </w:tcBorders>
            <w:vAlign w:val="center"/>
          </w:tcPr>
          <w:p w14:paraId="1D875824">
            <w:pPr>
              <w:rPr>
                <w:sz w:val="18"/>
                <w:szCs w:val="18"/>
              </w:rPr>
            </w:pPr>
            <w:r>
              <w:rPr>
                <w:rFonts w:hint="eastAsia"/>
                <w:sz w:val="18"/>
                <w:szCs w:val="18"/>
              </w:rPr>
              <w:t>91.100.01</w:t>
            </w:r>
          </w:p>
        </w:tc>
        <w:tc>
          <w:tcPr>
            <w:tcW w:w="1559" w:type="dxa"/>
            <w:tcBorders>
              <w:top w:val="single" w:color="auto" w:sz="4" w:space="0"/>
              <w:left w:val="single" w:color="auto" w:sz="4" w:space="0"/>
              <w:bottom w:val="single" w:color="auto" w:sz="4" w:space="0"/>
              <w:right w:val="single" w:color="auto" w:sz="4" w:space="0"/>
            </w:tcBorders>
            <w:vAlign w:val="center"/>
          </w:tcPr>
          <w:p w14:paraId="700F323D">
            <w:pPr>
              <w:jc w:val="center"/>
              <w:rPr>
                <w:sz w:val="18"/>
                <w:szCs w:val="18"/>
              </w:rPr>
            </w:pPr>
            <w:r>
              <w:rPr>
                <w:rFonts w:hint="eastAsia"/>
                <w:sz w:val="18"/>
                <w:szCs w:val="18"/>
              </w:rPr>
              <w:t>中国标准分类号</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7CEF6DB0">
            <w:pPr>
              <w:rPr>
                <w:sz w:val="18"/>
                <w:szCs w:val="18"/>
              </w:rPr>
            </w:pPr>
            <w:r>
              <w:rPr>
                <w:rFonts w:hint="eastAsia"/>
                <w:sz w:val="18"/>
              </w:rPr>
              <w:t>Q30</w:t>
            </w:r>
          </w:p>
        </w:tc>
      </w:tr>
      <w:tr w14:paraId="654A8D6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4"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7E41A2C8">
            <w:pPr>
              <w:jc w:val="center"/>
              <w:rPr>
                <w:sz w:val="18"/>
                <w:szCs w:val="18"/>
              </w:rPr>
            </w:pPr>
            <w:r>
              <w:rPr>
                <w:rFonts w:hint="eastAsia" w:ascii="宋体" w:hAnsi="宋体"/>
                <w:sz w:val="18"/>
                <w:szCs w:val="18"/>
              </w:rPr>
              <w:t>标准主要起草单位</w:t>
            </w:r>
          </w:p>
        </w:tc>
        <w:tc>
          <w:tcPr>
            <w:tcW w:w="3315" w:type="dxa"/>
            <w:gridSpan w:val="4"/>
            <w:tcBorders>
              <w:top w:val="single" w:color="auto" w:sz="4" w:space="0"/>
              <w:left w:val="single" w:color="auto" w:sz="4" w:space="0"/>
              <w:bottom w:val="single" w:color="auto" w:sz="4" w:space="0"/>
              <w:right w:val="single" w:color="auto" w:sz="4" w:space="0"/>
            </w:tcBorders>
            <w:vAlign w:val="center"/>
          </w:tcPr>
          <w:p w14:paraId="04E9F71E">
            <w:pPr>
              <w:rPr>
                <w:rFonts w:hint="default" w:eastAsia="宋体"/>
                <w:sz w:val="18"/>
                <w:szCs w:val="18"/>
                <w:lang w:val="en-US" w:eastAsia="zh-CN"/>
              </w:rPr>
            </w:pPr>
            <w:r>
              <w:rPr>
                <w:rFonts w:hint="default" w:eastAsia="宋体"/>
                <w:sz w:val="18"/>
                <w:szCs w:val="18"/>
                <w:lang w:val="en-US" w:eastAsia="zh-CN"/>
              </w:rPr>
              <w:t>北京国建联信认证中心有限公司、中国建筑材料联合会、北京工业大学</w:t>
            </w:r>
          </w:p>
        </w:tc>
        <w:tc>
          <w:tcPr>
            <w:tcW w:w="1559" w:type="dxa"/>
            <w:tcBorders>
              <w:top w:val="single" w:color="auto" w:sz="4" w:space="0"/>
              <w:left w:val="single" w:color="auto" w:sz="4" w:space="0"/>
              <w:bottom w:val="single" w:color="auto" w:sz="4" w:space="0"/>
              <w:right w:val="single" w:color="auto" w:sz="4" w:space="0"/>
            </w:tcBorders>
            <w:vAlign w:val="center"/>
          </w:tcPr>
          <w:p w14:paraId="0D86CEDB">
            <w:pPr>
              <w:jc w:val="center"/>
              <w:rPr>
                <w:sz w:val="18"/>
                <w:szCs w:val="18"/>
              </w:rPr>
            </w:pPr>
            <w:r>
              <w:rPr>
                <w:rFonts w:hint="eastAsia"/>
                <w:sz w:val="18"/>
                <w:szCs w:val="18"/>
              </w:rPr>
              <w:t>计划起止时间</w:t>
            </w:r>
          </w:p>
        </w:tc>
        <w:tc>
          <w:tcPr>
            <w:tcW w:w="2748" w:type="dxa"/>
            <w:gridSpan w:val="2"/>
            <w:tcBorders>
              <w:top w:val="single" w:color="auto" w:sz="4" w:space="0"/>
              <w:left w:val="single" w:color="auto" w:sz="4" w:space="0"/>
              <w:bottom w:val="single" w:color="auto" w:sz="4" w:space="0"/>
              <w:right w:val="single" w:color="auto" w:sz="4" w:space="0"/>
            </w:tcBorders>
            <w:vAlign w:val="center"/>
          </w:tcPr>
          <w:p w14:paraId="6E2D1A28">
            <w:pPr>
              <w:rPr>
                <w:rFonts w:hint="default" w:eastAsia="宋体"/>
                <w:sz w:val="18"/>
                <w:szCs w:val="18"/>
                <w:lang w:val="en-US" w:eastAsia="zh-CN"/>
              </w:rPr>
            </w:pPr>
            <w:r>
              <w:rPr>
                <w:rFonts w:hint="eastAsia"/>
                <w:sz w:val="18"/>
                <w:szCs w:val="18"/>
                <w:lang w:val="en-US" w:eastAsia="zh-CN"/>
              </w:rPr>
              <w:t>2024.8-2025.8</w:t>
            </w:r>
          </w:p>
        </w:tc>
      </w:tr>
      <w:tr w14:paraId="0A6FCEB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7"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4624211F">
            <w:pPr>
              <w:jc w:val="center"/>
              <w:rPr>
                <w:sz w:val="18"/>
              </w:rPr>
            </w:pPr>
            <w:r>
              <w:rPr>
                <w:rFonts w:hint="eastAsia"/>
                <w:sz w:val="18"/>
              </w:rPr>
              <w:t>目的、意义或必要性</w:t>
            </w:r>
          </w:p>
        </w:tc>
        <w:tc>
          <w:tcPr>
            <w:tcW w:w="7622" w:type="dxa"/>
            <w:gridSpan w:val="7"/>
            <w:tcBorders>
              <w:top w:val="single" w:color="auto" w:sz="4" w:space="0"/>
              <w:left w:val="single" w:color="auto" w:sz="4" w:space="0"/>
              <w:bottom w:val="single" w:color="auto" w:sz="4" w:space="0"/>
              <w:right w:val="single" w:color="auto" w:sz="4" w:space="0"/>
            </w:tcBorders>
            <w:vAlign w:val="center"/>
          </w:tcPr>
          <w:p w14:paraId="5813E24C">
            <w:pPr>
              <w:rPr>
                <w:sz w:val="18"/>
              </w:rPr>
            </w:pPr>
            <w:r>
              <w:rPr>
                <w:rFonts w:hint="eastAsia"/>
                <w:sz w:val="18"/>
                <w:u w:val="single"/>
              </w:rPr>
              <w:t>指出该标准项目涉及的方面，期望解决的问题；</w:t>
            </w:r>
          </w:p>
          <w:p w14:paraId="08F98D92">
            <w:pPr>
              <w:widowControl/>
              <w:ind w:firstLine="360" w:firstLineChars="200"/>
              <w:jc w:val="left"/>
              <w:rPr>
                <w:rFonts w:hint="eastAsia"/>
                <w:sz w:val="18"/>
              </w:rPr>
            </w:pPr>
            <w:r>
              <w:rPr>
                <w:rFonts w:hint="eastAsia"/>
                <w:sz w:val="18"/>
              </w:rPr>
              <w:t>气候变化是当今人类社会面临的共同挑战。积极应对气候变化，加快推进清洁能源与低碳发展，已经成为国际社会的普遍共识。我国政府高度重视低碳发展与应对气候变化工作，提出力争“2030碳达峰、2</w:t>
            </w:r>
            <w:bookmarkStart w:id="0" w:name="_GoBack"/>
            <w:bookmarkEnd w:id="0"/>
            <w:r>
              <w:rPr>
                <w:rFonts w:hint="eastAsia"/>
                <w:sz w:val="18"/>
              </w:rPr>
              <w:t>060碳中和”。这一目标的提出，使得“碳减排”成为各行业与企业发展道路上无法回避的任务与挑战。国家发展改革委等五部门于2023年11月22日对外发布了《关于加快建立产品碳足迹管理体系的意见》。该意见明确提出，到2025年，国家层面将出台50个左右重点产品碳足迹核算规则和标准。</w:t>
            </w:r>
          </w:p>
          <w:p w14:paraId="4A77AB77">
            <w:pPr>
              <w:widowControl/>
              <w:ind w:firstLine="360" w:firstLineChars="200"/>
              <w:jc w:val="left"/>
              <w:rPr>
                <w:rFonts w:hint="eastAsia"/>
                <w:sz w:val="18"/>
              </w:rPr>
            </w:pPr>
            <w:r>
              <w:rPr>
                <w:rFonts w:hint="eastAsia"/>
                <w:sz w:val="18"/>
              </w:rPr>
              <w:t>据统计，建材行业作为我国能源消耗和碳排放最大的行业之一，2020二氧化碳直接排放量达14.8亿吨，其中燃料燃烧过程排放和工业生产过程排放二氧化碳占比最大，而这些仅仅只是建材行业产品在生产过程中的直接排放，并未考虑其生命周期中原材料获取、能源获取等过程的温室气体间接排放。</w:t>
            </w:r>
          </w:p>
          <w:p w14:paraId="2E8D996C">
            <w:pPr>
              <w:widowControl/>
              <w:ind w:firstLine="360" w:firstLineChars="200"/>
              <w:jc w:val="left"/>
              <w:rPr>
                <w:rFonts w:hint="eastAsia"/>
                <w:sz w:val="18"/>
              </w:rPr>
            </w:pPr>
            <w:r>
              <w:rPr>
                <w:rFonts w:hint="eastAsia"/>
                <w:sz w:val="18"/>
              </w:rPr>
              <w:t>产品碳足迹（carbon footprint）是其生命周期内（原料、制造、储运、销售、使用、废弃到回收全过程）碳排放量的汇总。该评价是基于生命周期评价的方法对于一个产品系统温室气体排放和吸收的汇总，以二氧化碳当量这种形式来表述。不仅包括产品本身，也可以包括供应链等范围内的碳排放。可以帮助个人和组织评估其对温室气体环境因素的影响，为环境报告提供有效信息。对于企业而言，确定碳足迹是减少碳排放行为的第一步，它能帮助企业辨识在产品生命周期中主要的温室气体排放过程，以利于制定有效的碳减排方案，实现企业层面的绿色低碳目标。</w:t>
            </w:r>
          </w:p>
          <w:p w14:paraId="53B818E6">
            <w:pPr>
              <w:widowControl/>
              <w:ind w:firstLine="360" w:firstLineChars="200"/>
              <w:jc w:val="left"/>
              <w:rPr>
                <w:rFonts w:hint="eastAsia"/>
                <w:sz w:val="18"/>
              </w:rPr>
            </w:pPr>
            <w:r>
              <w:rPr>
                <w:rFonts w:hint="eastAsia"/>
                <w:sz w:val="18"/>
              </w:rPr>
              <w:t>目前，建材行业已经包含数十项行业、团体标准，无统一规定的建材行业碳足迹核算标准。为此，无论是从实现减排的目标出发，还是从增强自身的产品“硬”实力、抵御贸易风险的角度来看，采纳并使用一套广泛认可的建材产品碳足迹测算标准对我国建材行业的发展有着不容忽视的实践意义。因此，《建材产品碳足迹核算和报告指南》制定计划，用以规定建材产品在整个生命周期过程的碳足迹量化方法、模型以及原则，为建材行业实现“双碳目标”提供技术支持。</w:t>
            </w:r>
          </w:p>
        </w:tc>
      </w:tr>
      <w:tr w14:paraId="3F15B4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3D7644DB">
            <w:pPr>
              <w:jc w:val="center"/>
              <w:rPr>
                <w:sz w:val="18"/>
              </w:rPr>
            </w:pPr>
            <w:r>
              <w:rPr>
                <w:rFonts w:hint="eastAsia"/>
                <w:sz w:val="18"/>
              </w:rPr>
              <w:t>范围和主要</w:t>
            </w:r>
          </w:p>
          <w:p w14:paraId="255440EE">
            <w:pPr>
              <w:jc w:val="center"/>
              <w:rPr>
                <w:sz w:val="18"/>
              </w:rPr>
            </w:pPr>
            <w:r>
              <w:rPr>
                <w:rFonts w:hint="eastAsia"/>
                <w:sz w:val="18"/>
              </w:rPr>
              <w:t>技术内容</w:t>
            </w:r>
          </w:p>
        </w:tc>
        <w:tc>
          <w:tcPr>
            <w:tcW w:w="7622" w:type="dxa"/>
            <w:gridSpan w:val="7"/>
            <w:tcBorders>
              <w:top w:val="single" w:color="auto" w:sz="4" w:space="0"/>
              <w:left w:val="single" w:color="auto" w:sz="4" w:space="0"/>
              <w:bottom w:val="single" w:color="auto" w:sz="4" w:space="0"/>
              <w:right w:val="single" w:color="auto" w:sz="4" w:space="0"/>
            </w:tcBorders>
            <w:vAlign w:val="center"/>
          </w:tcPr>
          <w:p w14:paraId="350448D3">
            <w:pPr>
              <w:ind w:firstLine="360" w:firstLineChars="200"/>
              <w:rPr>
                <w:rFonts w:hint="eastAsia"/>
                <w:sz w:val="18"/>
                <w:szCs w:val="18"/>
              </w:rPr>
            </w:pPr>
            <w:r>
              <w:rPr>
                <w:rFonts w:hint="eastAsia"/>
                <w:sz w:val="18"/>
                <w:szCs w:val="18"/>
              </w:rPr>
              <w:t>一、范围</w:t>
            </w:r>
          </w:p>
          <w:p w14:paraId="226FBEBF">
            <w:pPr>
              <w:ind w:firstLine="360" w:firstLineChars="200"/>
              <w:rPr>
                <w:rFonts w:hint="eastAsia"/>
                <w:sz w:val="18"/>
                <w:szCs w:val="18"/>
              </w:rPr>
            </w:pPr>
            <w:r>
              <w:rPr>
                <w:rFonts w:hint="eastAsia"/>
                <w:sz w:val="18"/>
                <w:szCs w:val="18"/>
              </w:rPr>
              <w:t>本标准规定了建材产品产品碳足迹评价统一的基本规则和要求，包括产品碳足迹评价的系统边界、功能单位、数据收集方法、质量要求、碳足迹计算以及报告指南。。</w:t>
            </w:r>
          </w:p>
          <w:p w14:paraId="707ECA01">
            <w:pPr>
              <w:ind w:firstLine="360" w:firstLineChars="200"/>
              <w:rPr>
                <w:rFonts w:hint="eastAsia"/>
                <w:sz w:val="18"/>
                <w:szCs w:val="18"/>
              </w:rPr>
            </w:pPr>
            <w:r>
              <w:rPr>
                <w:rFonts w:hint="eastAsia"/>
                <w:sz w:val="18"/>
                <w:szCs w:val="18"/>
              </w:rPr>
              <w:t>本标准适用于指导编制建材产品碳足迹评价技术规范以及建材产品碳足迹报告。</w:t>
            </w:r>
          </w:p>
          <w:p w14:paraId="014405B6">
            <w:pPr>
              <w:ind w:firstLine="360" w:firstLineChars="200"/>
              <w:rPr>
                <w:rFonts w:hint="eastAsia"/>
                <w:sz w:val="18"/>
                <w:szCs w:val="18"/>
              </w:rPr>
            </w:pPr>
            <w:r>
              <w:rPr>
                <w:rFonts w:hint="eastAsia"/>
                <w:sz w:val="18"/>
                <w:szCs w:val="18"/>
              </w:rPr>
              <w:t>二、主要技术内容如下：</w:t>
            </w:r>
          </w:p>
          <w:p w14:paraId="69B35B0A">
            <w:pPr>
              <w:ind w:firstLine="360" w:firstLineChars="200"/>
              <w:rPr>
                <w:rFonts w:hint="eastAsia"/>
                <w:sz w:val="18"/>
                <w:szCs w:val="18"/>
              </w:rPr>
            </w:pPr>
            <w:r>
              <w:rPr>
                <w:rFonts w:hint="eastAsia"/>
                <w:sz w:val="18"/>
                <w:szCs w:val="18"/>
              </w:rPr>
              <w:t>本标准明确了建材产品的碳足迹评价量化方法、计算模型以及原则，规定了计算产品碳足迹的过程，包括产品描述、评价范围以及产品碳足迹的计算。其中在评价范围内规定系统边界、功能单位的选取原则，提出适用于建材行业的系统边界。</w:t>
            </w:r>
          </w:p>
          <w:p w14:paraId="7622FFB6">
            <w:pPr>
              <w:ind w:firstLine="360" w:firstLineChars="200"/>
            </w:pPr>
            <w:r>
              <w:rPr>
                <w:rFonts w:hint="eastAsia"/>
                <w:sz w:val="18"/>
                <w:szCs w:val="18"/>
              </w:rPr>
              <w:t>明确提出了产品碳足迹中数据采集、数据计算以及分配过程等计算过程。同时规定建材产品生产过程中使用的利废原料以及工业副产品所带来的碳足迹影响。</w:t>
            </w:r>
          </w:p>
        </w:tc>
      </w:tr>
      <w:tr w14:paraId="638ED03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17"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30CEAB98">
            <w:pPr>
              <w:jc w:val="center"/>
              <w:rPr>
                <w:sz w:val="18"/>
              </w:rPr>
            </w:pPr>
            <w:r>
              <w:rPr>
                <w:rFonts w:hint="eastAsia"/>
                <w:sz w:val="18"/>
              </w:rPr>
              <w:t>国内外情况</w:t>
            </w:r>
          </w:p>
          <w:p w14:paraId="24232F18">
            <w:pPr>
              <w:jc w:val="center"/>
              <w:rPr>
                <w:sz w:val="18"/>
              </w:rPr>
            </w:pPr>
            <w:r>
              <w:rPr>
                <w:rFonts w:hint="eastAsia"/>
                <w:sz w:val="18"/>
              </w:rPr>
              <w:t>简要说明</w:t>
            </w:r>
          </w:p>
        </w:tc>
        <w:tc>
          <w:tcPr>
            <w:tcW w:w="7622" w:type="dxa"/>
            <w:gridSpan w:val="7"/>
            <w:tcBorders>
              <w:top w:val="single" w:color="auto" w:sz="4" w:space="0"/>
              <w:left w:val="single" w:color="auto" w:sz="4" w:space="0"/>
              <w:bottom w:val="single" w:color="auto" w:sz="4" w:space="0"/>
              <w:right w:val="single" w:color="auto" w:sz="4" w:space="0"/>
            </w:tcBorders>
            <w:vAlign w:val="center"/>
          </w:tcPr>
          <w:p w14:paraId="605BEBD7">
            <w:pPr>
              <w:rPr>
                <w:sz w:val="18"/>
              </w:rPr>
            </w:pPr>
            <w:r>
              <w:rPr>
                <w:rFonts w:hint="eastAsia"/>
                <w:sz w:val="18"/>
                <w:u w:val="single"/>
              </w:rPr>
              <w:t>1.</w:t>
            </w:r>
            <w:r>
              <w:rPr>
                <w:sz w:val="18"/>
                <w:u w:val="single"/>
              </w:rPr>
              <w:t>国内外对该技术研究情况简要说明</w:t>
            </w:r>
            <w:r>
              <w:rPr>
                <w:sz w:val="18"/>
              </w:rPr>
              <w:t>：</w:t>
            </w:r>
          </w:p>
          <w:p w14:paraId="5B6D3881">
            <w:pPr>
              <w:ind w:firstLine="360" w:firstLineChars="200"/>
              <w:rPr>
                <w:sz w:val="18"/>
                <w:szCs w:val="18"/>
              </w:rPr>
            </w:pPr>
            <w:r>
              <w:rPr>
                <w:sz w:val="18"/>
                <w:szCs w:val="18"/>
              </w:rPr>
              <w:t>在国际市场上，产品碳足迹评估与标识已经被广泛应用。随着产品碳足迹评估技术的不断发展和完善，很多企业自发开展产品碳足迹的评估和披露。全球已有6个国家的50家企业完成70类产品的碳足迹公告，包括风力、水力、核能发电、食品、纺织品、家具、木材与纸制品、塑橡胶、玻璃、化学品、机械设备和服务业等。在欧洲许多国家已经规定，没有碳标识的产品不允许进入当地市场。总体来看，英国、美国、法国、德国、日本、韩国等国的碳足迹评估与标识发展比较迅速。国际上广泛应用于产品的碳足迹核算标准有PAS 2050《商品和服务在生命周期内的温室气体排放评价规范》和ISO 14067《温室气体 产品碳足迹 量化要求和指南》。其中，PAS 2050是全世界第一个产品碳足迹核算标准，ISO 14067是由国际标准化组织发布，该标准被认为是更具普遍性的标准，提供了最近的要求和指导。</w:t>
            </w:r>
          </w:p>
          <w:p w14:paraId="1BA94997">
            <w:pPr>
              <w:ind w:firstLine="360" w:firstLineChars="200"/>
              <w:rPr>
                <w:sz w:val="18"/>
                <w:szCs w:val="18"/>
              </w:rPr>
            </w:pPr>
            <w:r>
              <w:rPr>
                <w:rFonts w:hint="eastAsia"/>
                <w:sz w:val="18"/>
                <w:szCs w:val="18"/>
              </w:rPr>
              <w:t>我国开展碳足迹研究相对较晚，尚未形成完善的标准体系。目前国内外主要碳足迹、碳中和规范有：PAS 2050:2011《商品和服务在生命周期内的温室气体排放评价规范》、ISO 14040:2006《环境管理 生命周期评价 原则与框架》、ISO 14044:2006《环境管理 生命周期评价 要求和指南》、PAS 2060:2010《碳中和证明规范》、ISO14067:2018《温室气体 产品碳足迹 量化的要求和指南》、深圳产品碳足迹评价通则等。</w:t>
            </w:r>
          </w:p>
          <w:p w14:paraId="6761F592">
            <w:pPr>
              <w:snapToGrid w:val="0"/>
              <w:spacing w:line="360" w:lineRule="auto"/>
              <w:rPr>
                <w:rFonts w:ascii="宋体" w:hAnsi="宋体"/>
                <w:sz w:val="18"/>
                <w:szCs w:val="18"/>
              </w:rPr>
            </w:pPr>
            <w:r>
              <w:rPr>
                <w:rFonts w:hint="eastAsia" w:ascii="宋体" w:hAnsi="宋体"/>
                <w:sz w:val="18"/>
                <w:szCs w:val="18"/>
              </w:rPr>
              <w:t>2.</w:t>
            </w:r>
            <w:r>
              <w:rPr>
                <w:rFonts w:ascii="宋体" w:hAnsi="宋体"/>
                <w:sz w:val="18"/>
                <w:szCs w:val="18"/>
                <w:u w:val="single"/>
              </w:rPr>
              <w:t>项目与国际标准或国外先进标准采用程度的考虑：</w:t>
            </w:r>
          </w:p>
          <w:p w14:paraId="6415575E">
            <w:pPr>
              <w:snapToGrid w:val="0"/>
              <w:spacing w:line="360" w:lineRule="auto"/>
              <w:ind w:firstLine="360" w:firstLineChars="200"/>
              <w:rPr>
                <w:sz w:val="18"/>
                <w:szCs w:val="18"/>
              </w:rPr>
            </w:pPr>
            <w:r>
              <w:rPr>
                <w:sz w:val="18"/>
                <w:szCs w:val="18"/>
              </w:rPr>
              <w:t>PAS 2050《商品和服务在生命周期内的温室气体排放评价规范》是第一个产品碳足迹核算标准，也是ISO 14067《温室气体排放 产品碳足迹 量化要求和指南》正式出台前应用最广的产品碳足迹评价规范，于2008年10月公布，旨在对评估产品和服务生命周期内温室气体排放的要求做出明确的规定，使公司、客户和其他利益相关方通过对产品碳足迹的核算，在第一时间采取对于环境有益的恰当决策。PAS 2050在2011年进行了更新，更新后的版本对产品碳足迹核算提供了更加详细的要求和指导。参考ISO14040/44和PAS2050，世界其它国纷纷兴起制定适合本国的产品碳足迹（CFP）计算标准，如世界资源研究所和世界可持续发展工商理事会 （WRI/WBCSD）共同发起制定的“温室气体议定书”，日本标准TS Q0010-2009 《日本温室气体排放评价指南》，以及BP X30-323《碳标识计划一般性准则文件》。随之而来的是不同碳足迹评价标准引发了国际上对不同计算标准建立的CFP信息不能进行有意义比较的疑虑。因此，尽快建立一套全球统一的产品碳足迹标准势在必行。</w:t>
            </w:r>
          </w:p>
          <w:p w14:paraId="003861A8">
            <w:pPr>
              <w:snapToGrid w:val="0"/>
              <w:spacing w:line="360" w:lineRule="auto"/>
              <w:ind w:firstLine="360" w:firstLineChars="200"/>
              <w:rPr>
                <w:sz w:val="18"/>
                <w:szCs w:val="18"/>
              </w:rPr>
            </w:pPr>
            <w:r>
              <w:rPr>
                <w:sz w:val="18"/>
                <w:szCs w:val="18"/>
              </w:rPr>
              <w:t>2008年1月，国际标准化组织（ISO）成立工作组并着手编制产品碳足迹的国际标准 ISO 14067《温室气体排放 产品碳足迹 量化要求和指南》。新标准主要是基于现存的 ISO标准：ISO 14040/44（生命周期评估）及ISO 14025（环境标签）《环境标志和声明 III型环境声明 原则和程序》。2012年10月，ISO 14067（2012）国际标准草案版公布。2013年5月，其作为技术规范（technical specification）发表，全称为ISO/TS 14067: 2013《温室气体 产品碳足迹 量化要求和指南》。为产品整个生命周期中的温室气体排放量的评估提供标准，令产品碳足迹能有效地在供应链、顾客及其他利益相关者之间沟通，并且为基于比较目的的计算结果提供了一个公认的根据ISO14067将首次实现产品和服务生命周期中二氧化碳排放量化，并确保相关数值可以在全球范围比较</w:t>
            </w:r>
            <w:r>
              <w:rPr>
                <w:rFonts w:hint="eastAsia"/>
                <w:sz w:val="18"/>
                <w:szCs w:val="18"/>
              </w:rPr>
              <w:t>。</w:t>
            </w:r>
          </w:p>
          <w:p w14:paraId="2E65E420">
            <w:pPr>
              <w:snapToGrid w:val="0"/>
              <w:spacing w:line="360" w:lineRule="auto"/>
              <w:rPr>
                <w:rFonts w:ascii="宋体" w:hAnsi="宋体"/>
                <w:sz w:val="18"/>
                <w:szCs w:val="18"/>
                <w:u w:val="single"/>
              </w:rPr>
            </w:pPr>
            <w:r>
              <w:rPr>
                <w:rFonts w:hint="eastAsia" w:ascii="宋体" w:hAnsi="宋体"/>
                <w:sz w:val="18"/>
                <w:szCs w:val="18"/>
              </w:rPr>
              <w:t>3.</w:t>
            </w:r>
            <w:r>
              <w:rPr>
                <w:rFonts w:ascii="宋体" w:hAnsi="宋体"/>
                <w:sz w:val="18"/>
                <w:szCs w:val="18"/>
                <w:u w:val="single"/>
              </w:rPr>
              <w:t>与国内相关标准间的关系：</w:t>
            </w:r>
          </w:p>
          <w:p w14:paraId="24AF90DC">
            <w:pPr>
              <w:snapToGrid w:val="0"/>
              <w:spacing w:line="360" w:lineRule="auto"/>
              <w:ind w:firstLine="360" w:firstLineChars="200"/>
              <w:rPr>
                <w:rFonts w:hint="eastAsia"/>
                <w:sz w:val="18"/>
                <w:szCs w:val="18"/>
              </w:rPr>
            </w:pPr>
            <w:r>
              <w:rPr>
                <w:rFonts w:hint="eastAsia"/>
                <w:sz w:val="18"/>
                <w:szCs w:val="18"/>
              </w:rPr>
              <w:t>国内出台的产品碳足迹相关的标准，包括《产品碳足迹 产品种类规则 液晶显示器》（SJ/T 11717-2018）、《产品碳足迹 产品种类规则 液晶电视机》（SJ/T 11718-2018）、《产品碳足迹 产品种类规则 便携式计算机》（SJ/T 11735-2019）、《产品碳足迹 产品种类规则 台式微型计算机》（SJ/T 11736-2019）、《产品碳足迹核算通则》（DB31/T 1071-2017）、《电子信息产品碳足迹核算指南》（DB11/T 1860-2021）等。建材行业已立项认证认可行业标准《产品碳足迹 产品种类规则 水泥》（RB/T XXXX）、《产品碳足迹 产品种类规则 预拌混凝土》（RB/T XXXX），建材行业标准2021-1776T-JC《产品碳足迹 产品种类规则 平板玻璃》、2021-1777T-JC《产品碳足迹 产品种类规则 金属复合装饰材料》、2021-1778T-JC《产品碳足迹 产品种类规则 人造板和木质地板》、2021-1779T-JC《产品碳足迹 产品种类规则 预拌砂浆》、2021-1780T-JC《产品碳足迹 产品种类规则 岩（矿）棉及其制品》、2021-1781T-JC《产品碳足迹 产品种类规则 墙体材料》、2021-1782T-JC《产品碳足迹 产品种类规则 建筑卫生陶瓷》，此外，还包含20余项在研的团体标准。</w:t>
            </w:r>
          </w:p>
          <w:p w14:paraId="448E0EED">
            <w:pPr>
              <w:snapToGrid w:val="0"/>
              <w:spacing w:line="360" w:lineRule="auto"/>
              <w:ind w:firstLine="360" w:firstLineChars="200"/>
              <w:rPr>
                <w:sz w:val="18"/>
                <w:szCs w:val="18"/>
              </w:rPr>
            </w:pPr>
            <w:r>
              <w:rPr>
                <w:rFonts w:hint="eastAsia"/>
                <w:sz w:val="18"/>
                <w:szCs w:val="18"/>
              </w:rPr>
              <w:t>目前，国内未有建材行业碳足迹的通用评价方法和报告指南，该标准的制定对科学评估建材行业碳排放具有的重要意义。</w:t>
            </w:r>
          </w:p>
          <w:p w14:paraId="69B55D86">
            <w:pPr>
              <w:snapToGrid w:val="0"/>
              <w:spacing w:line="360" w:lineRule="auto"/>
              <w:rPr>
                <w:rFonts w:ascii="宋体" w:hAnsi="宋体"/>
                <w:sz w:val="18"/>
                <w:szCs w:val="18"/>
              </w:rPr>
            </w:pPr>
            <w:r>
              <w:rPr>
                <w:rFonts w:hint="eastAsia" w:ascii="宋体" w:hAnsi="宋体"/>
                <w:sz w:val="18"/>
                <w:szCs w:val="18"/>
              </w:rPr>
              <w:t>4.</w:t>
            </w:r>
            <w:r>
              <w:rPr>
                <w:rFonts w:ascii="宋体" w:hAnsi="宋体"/>
                <w:sz w:val="18"/>
                <w:szCs w:val="18"/>
                <w:u w:val="single"/>
              </w:rPr>
              <w:t>指出是否发现有知识产权的问题</w:t>
            </w:r>
            <w:r>
              <w:rPr>
                <w:rFonts w:ascii="宋体" w:hAnsi="宋体"/>
                <w:sz w:val="18"/>
                <w:szCs w:val="18"/>
              </w:rPr>
              <w:t>：</w:t>
            </w:r>
          </w:p>
          <w:p w14:paraId="56F6EC8E">
            <w:pPr>
              <w:snapToGrid w:val="0"/>
              <w:spacing w:line="360" w:lineRule="auto"/>
              <w:ind w:firstLine="360" w:firstLineChars="200"/>
              <w:rPr>
                <w:sz w:val="18"/>
                <w:szCs w:val="18"/>
              </w:rPr>
            </w:pPr>
            <w:r>
              <w:rPr>
                <w:rFonts w:ascii="宋体" w:hAnsi="宋体"/>
                <w:sz w:val="18"/>
                <w:szCs w:val="18"/>
              </w:rPr>
              <w:t>该标准项目暂未发现知识产权问题。</w:t>
            </w:r>
          </w:p>
        </w:tc>
      </w:tr>
      <w:tr w14:paraId="6845345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45" w:hRule="atLeast"/>
          <w:jc w:val="center"/>
        </w:trPr>
        <w:tc>
          <w:tcPr>
            <w:tcW w:w="1476" w:type="dxa"/>
            <w:tcBorders>
              <w:top w:val="single" w:color="auto" w:sz="4" w:space="0"/>
              <w:left w:val="single" w:color="auto" w:sz="4" w:space="0"/>
              <w:bottom w:val="single" w:color="auto" w:sz="4" w:space="0"/>
              <w:right w:val="single" w:color="auto" w:sz="4" w:space="0"/>
            </w:tcBorders>
            <w:vAlign w:val="center"/>
          </w:tcPr>
          <w:p w14:paraId="77BDAD88">
            <w:pPr>
              <w:jc w:val="center"/>
              <w:rPr>
                <w:sz w:val="18"/>
              </w:rPr>
            </w:pPr>
            <w:r>
              <w:rPr>
                <w:rFonts w:hint="eastAsia"/>
                <w:sz w:val="18"/>
                <w:szCs w:val="18"/>
              </w:rPr>
              <w:t>牵头</w:t>
            </w:r>
            <w:r>
              <w:rPr>
                <w:rFonts w:hint="eastAsia"/>
                <w:sz w:val="18"/>
              </w:rPr>
              <w:t>单位</w:t>
            </w:r>
          </w:p>
        </w:tc>
        <w:tc>
          <w:tcPr>
            <w:tcW w:w="1614" w:type="dxa"/>
            <w:gridSpan w:val="2"/>
            <w:tcBorders>
              <w:top w:val="single" w:color="auto" w:sz="4" w:space="0"/>
              <w:left w:val="single" w:color="auto" w:sz="4" w:space="0"/>
              <w:bottom w:val="single" w:color="auto" w:sz="4" w:space="0"/>
              <w:right w:val="single" w:color="auto" w:sz="4" w:space="0"/>
            </w:tcBorders>
            <w:vAlign w:val="center"/>
          </w:tcPr>
          <w:p w14:paraId="06628E99">
            <w:pPr>
              <w:pStyle w:val="5"/>
              <w:pBdr>
                <w:bottom w:val="none" w:color="auto" w:sz="0" w:space="0"/>
              </w:pBdr>
              <w:tabs>
                <w:tab w:val="left" w:pos="420"/>
              </w:tabs>
              <w:snapToGrid/>
              <w:jc w:val="both"/>
            </w:pPr>
            <w:r>
              <w:rPr>
                <w:rFonts w:hint="eastAsia"/>
              </w:rPr>
              <w:t>（签字、盖公章）</w:t>
            </w:r>
          </w:p>
          <w:p w14:paraId="0D94A419">
            <w:pPr>
              <w:pStyle w:val="5"/>
              <w:pBdr>
                <w:bottom w:val="none" w:color="auto" w:sz="0" w:space="0"/>
              </w:pBdr>
              <w:tabs>
                <w:tab w:val="left" w:pos="420"/>
              </w:tabs>
              <w:snapToGrid/>
              <w:jc w:val="both"/>
            </w:pPr>
          </w:p>
          <w:p w14:paraId="71B7AED0">
            <w:pPr>
              <w:pStyle w:val="5"/>
              <w:pBdr>
                <w:bottom w:val="none" w:color="auto" w:sz="0" w:space="0"/>
              </w:pBdr>
              <w:tabs>
                <w:tab w:val="left" w:pos="420"/>
              </w:tabs>
              <w:snapToGrid/>
              <w:ind w:firstLine="450" w:firstLineChars="250"/>
              <w:jc w:val="both"/>
            </w:pPr>
            <w:r>
              <w:rPr>
                <w:rFonts w:hint="eastAsia"/>
              </w:rPr>
              <w:t>月</w:t>
            </w:r>
            <w:r>
              <w:t xml:space="preserve">    </w:t>
            </w:r>
            <w:r>
              <w:rPr>
                <w:rFonts w:hint="eastAsia"/>
              </w:rPr>
              <w:t>日</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7F74E71D">
            <w:pPr>
              <w:jc w:val="center"/>
              <w:rPr>
                <w:sz w:val="18"/>
              </w:rPr>
            </w:pPr>
            <w:r>
              <w:rPr>
                <w:rFonts w:hint="eastAsia"/>
                <w:sz w:val="18"/>
              </w:rPr>
              <w:t>标准化技术组织</w:t>
            </w:r>
          </w:p>
        </w:tc>
        <w:tc>
          <w:tcPr>
            <w:tcW w:w="1559" w:type="dxa"/>
            <w:tcBorders>
              <w:top w:val="single" w:color="auto" w:sz="4" w:space="0"/>
              <w:left w:val="single" w:color="auto" w:sz="4" w:space="0"/>
              <w:bottom w:val="single" w:color="auto" w:sz="4" w:space="0"/>
              <w:right w:val="single" w:color="auto" w:sz="4" w:space="0"/>
            </w:tcBorders>
            <w:vAlign w:val="center"/>
          </w:tcPr>
          <w:p w14:paraId="1715B6B3">
            <w:pPr>
              <w:pStyle w:val="5"/>
              <w:pBdr>
                <w:bottom w:val="none" w:color="auto" w:sz="0" w:space="0"/>
              </w:pBdr>
              <w:tabs>
                <w:tab w:val="left" w:pos="420"/>
              </w:tabs>
              <w:snapToGrid/>
              <w:jc w:val="both"/>
            </w:pPr>
            <w:r>
              <w:rPr>
                <w:rFonts w:hint="eastAsia"/>
              </w:rPr>
              <w:t>（签字、盖公章）</w:t>
            </w:r>
          </w:p>
          <w:p w14:paraId="597F051A">
            <w:pPr>
              <w:pStyle w:val="5"/>
              <w:pBdr>
                <w:bottom w:val="none" w:color="auto" w:sz="0" w:space="0"/>
              </w:pBdr>
              <w:tabs>
                <w:tab w:val="left" w:pos="420"/>
              </w:tabs>
              <w:snapToGrid/>
              <w:jc w:val="both"/>
            </w:pPr>
          </w:p>
          <w:p w14:paraId="7474DB36">
            <w:pPr>
              <w:pStyle w:val="5"/>
              <w:pBdr>
                <w:bottom w:val="none" w:color="auto" w:sz="0" w:space="0"/>
              </w:pBdr>
              <w:tabs>
                <w:tab w:val="left" w:pos="420"/>
              </w:tabs>
              <w:snapToGrid/>
              <w:ind w:firstLine="540" w:firstLineChars="300"/>
              <w:jc w:val="both"/>
            </w:pPr>
            <w:r>
              <w:rPr>
                <w:rFonts w:hint="eastAsia"/>
              </w:rPr>
              <w:t>月</w:t>
            </w:r>
            <w:r>
              <w:t xml:space="preserve">    </w:t>
            </w:r>
            <w:r>
              <w:rPr>
                <w:rFonts w:hint="eastAsia"/>
              </w:rPr>
              <w:t>日</w:t>
            </w:r>
          </w:p>
        </w:tc>
        <w:tc>
          <w:tcPr>
            <w:tcW w:w="1231" w:type="dxa"/>
            <w:tcBorders>
              <w:top w:val="single" w:color="auto" w:sz="4" w:space="0"/>
              <w:left w:val="single" w:color="auto" w:sz="4" w:space="0"/>
              <w:bottom w:val="single" w:color="auto" w:sz="4" w:space="0"/>
              <w:right w:val="single" w:color="auto" w:sz="4" w:space="0"/>
            </w:tcBorders>
            <w:vAlign w:val="center"/>
          </w:tcPr>
          <w:p w14:paraId="6B2AFF74">
            <w:pPr>
              <w:jc w:val="center"/>
              <w:rPr>
                <w:sz w:val="18"/>
              </w:rPr>
            </w:pPr>
            <w:r>
              <w:rPr>
                <w:rFonts w:hint="eastAsia"/>
                <w:sz w:val="18"/>
              </w:rPr>
              <w:t>部委托机构</w:t>
            </w:r>
          </w:p>
        </w:tc>
        <w:tc>
          <w:tcPr>
            <w:tcW w:w="1517" w:type="dxa"/>
            <w:tcBorders>
              <w:top w:val="single" w:color="auto" w:sz="4" w:space="0"/>
              <w:left w:val="single" w:color="auto" w:sz="4" w:space="0"/>
              <w:bottom w:val="single" w:color="auto" w:sz="4" w:space="0"/>
              <w:right w:val="single" w:color="auto" w:sz="4" w:space="0"/>
            </w:tcBorders>
            <w:vAlign w:val="center"/>
          </w:tcPr>
          <w:p w14:paraId="12D3A3BF">
            <w:pPr>
              <w:pStyle w:val="5"/>
              <w:pBdr>
                <w:bottom w:val="none" w:color="auto" w:sz="0" w:space="0"/>
              </w:pBdr>
              <w:tabs>
                <w:tab w:val="left" w:pos="420"/>
              </w:tabs>
              <w:snapToGrid/>
              <w:jc w:val="both"/>
            </w:pPr>
            <w:r>
              <w:rPr>
                <w:rFonts w:hint="eastAsia"/>
              </w:rPr>
              <w:t>（签字、盖公章）</w:t>
            </w:r>
          </w:p>
          <w:p w14:paraId="3E724ED9">
            <w:pPr>
              <w:pStyle w:val="5"/>
              <w:pBdr>
                <w:bottom w:val="none" w:color="auto" w:sz="0" w:space="0"/>
              </w:pBdr>
              <w:tabs>
                <w:tab w:val="left" w:pos="420"/>
              </w:tabs>
              <w:snapToGrid/>
              <w:jc w:val="both"/>
            </w:pPr>
          </w:p>
          <w:p w14:paraId="507F4952">
            <w:pPr>
              <w:pStyle w:val="5"/>
              <w:pBdr>
                <w:bottom w:val="none" w:color="auto" w:sz="0" w:space="0"/>
              </w:pBdr>
              <w:tabs>
                <w:tab w:val="left" w:pos="420"/>
              </w:tabs>
              <w:snapToGrid/>
              <w:ind w:firstLine="450" w:firstLineChars="250"/>
              <w:jc w:val="both"/>
            </w:pPr>
            <w:r>
              <w:rPr>
                <w:rFonts w:hint="eastAsia"/>
              </w:rPr>
              <w:t>月</w:t>
            </w:r>
            <w:r>
              <w:t xml:space="preserve">    </w:t>
            </w:r>
            <w:r>
              <w:rPr>
                <w:rFonts w:hint="eastAsia"/>
              </w:rPr>
              <w:t>日</w:t>
            </w:r>
          </w:p>
        </w:tc>
      </w:tr>
    </w:tbl>
    <w:p w14:paraId="25B4EA4F">
      <w:pPr>
        <w:rPr>
          <w:sz w:val="18"/>
          <w:szCs w:val="18"/>
        </w:rPr>
      </w:pPr>
      <w:r>
        <w:rPr>
          <w:rFonts w:hint="eastAsia"/>
          <w:sz w:val="18"/>
          <w:szCs w:val="18"/>
        </w:rPr>
        <w:t>注：1.填写制定或修订项目中，若选择修订必须填写被修订标准号；</w:t>
      </w:r>
    </w:p>
    <w:p w14:paraId="764E3987">
      <w:pPr>
        <w:ind w:firstLine="360" w:firstLineChars="200"/>
        <w:rPr>
          <w:sz w:val="18"/>
          <w:szCs w:val="18"/>
        </w:rPr>
      </w:pPr>
      <w:r>
        <w:rPr>
          <w:rFonts w:hint="eastAsia"/>
          <w:sz w:val="18"/>
          <w:szCs w:val="18"/>
        </w:rPr>
        <w:t>2.选择采用国际标准，必须填写采标号及采用程度；</w:t>
      </w:r>
    </w:p>
    <w:p w14:paraId="3FADEA21">
      <w:pPr>
        <w:ind w:firstLine="360" w:firstLineChars="200"/>
      </w:pPr>
      <w:r>
        <w:rPr>
          <w:rFonts w:hint="eastAsia"/>
          <w:sz w:val="18"/>
          <w:szCs w:val="18"/>
        </w:rPr>
        <w:t>3.选择采用快速程序，必须填写快速程序代码。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U1YTQxNzg3MmVhMWYzNTI0NmRjODFmMDE2MGM3NTAifQ=="/>
  </w:docVars>
  <w:rsids>
    <w:rsidRoot w:val="00D94DE0"/>
    <w:rsid w:val="00001A94"/>
    <w:rsid w:val="00007747"/>
    <w:rsid w:val="00011F3F"/>
    <w:rsid w:val="0002271C"/>
    <w:rsid w:val="00022F4F"/>
    <w:rsid w:val="000B53DF"/>
    <w:rsid w:val="000F533C"/>
    <w:rsid w:val="00100549"/>
    <w:rsid w:val="001024F8"/>
    <w:rsid w:val="00106F31"/>
    <w:rsid w:val="00111F27"/>
    <w:rsid w:val="00123C31"/>
    <w:rsid w:val="00126298"/>
    <w:rsid w:val="0012687C"/>
    <w:rsid w:val="001543FB"/>
    <w:rsid w:val="001D24E7"/>
    <w:rsid w:val="001E2730"/>
    <w:rsid w:val="0021328B"/>
    <w:rsid w:val="00257CB9"/>
    <w:rsid w:val="002B6810"/>
    <w:rsid w:val="002F009B"/>
    <w:rsid w:val="0031195C"/>
    <w:rsid w:val="0032214A"/>
    <w:rsid w:val="003C0E16"/>
    <w:rsid w:val="003F1C6C"/>
    <w:rsid w:val="00403E7D"/>
    <w:rsid w:val="004508A6"/>
    <w:rsid w:val="00467D2C"/>
    <w:rsid w:val="00472023"/>
    <w:rsid w:val="004A00E1"/>
    <w:rsid w:val="004D6823"/>
    <w:rsid w:val="00515E4E"/>
    <w:rsid w:val="005319FF"/>
    <w:rsid w:val="005422AE"/>
    <w:rsid w:val="00544C6E"/>
    <w:rsid w:val="00545E83"/>
    <w:rsid w:val="00566395"/>
    <w:rsid w:val="005842B7"/>
    <w:rsid w:val="005940FE"/>
    <w:rsid w:val="005A4E08"/>
    <w:rsid w:val="005C2958"/>
    <w:rsid w:val="005F2AEF"/>
    <w:rsid w:val="00607D17"/>
    <w:rsid w:val="00627F12"/>
    <w:rsid w:val="00630F07"/>
    <w:rsid w:val="00676D7F"/>
    <w:rsid w:val="006B2ED1"/>
    <w:rsid w:val="006B6EC7"/>
    <w:rsid w:val="00700D08"/>
    <w:rsid w:val="007204F9"/>
    <w:rsid w:val="007576E2"/>
    <w:rsid w:val="00757E76"/>
    <w:rsid w:val="00762C08"/>
    <w:rsid w:val="007636CF"/>
    <w:rsid w:val="0079730B"/>
    <w:rsid w:val="007C11DB"/>
    <w:rsid w:val="007C3903"/>
    <w:rsid w:val="007D31D5"/>
    <w:rsid w:val="00816858"/>
    <w:rsid w:val="0085364D"/>
    <w:rsid w:val="008977E3"/>
    <w:rsid w:val="008D43DA"/>
    <w:rsid w:val="00925C13"/>
    <w:rsid w:val="00955806"/>
    <w:rsid w:val="009728CD"/>
    <w:rsid w:val="009B157C"/>
    <w:rsid w:val="00A01008"/>
    <w:rsid w:val="00A17FC0"/>
    <w:rsid w:val="00A24EF4"/>
    <w:rsid w:val="00A52FA1"/>
    <w:rsid w:val="00A91738"/>
    <w:rsid w:val="00A96649"/>
    <w:rsid w:val="00AE6150"/>
    <w:rsid w:val="00B43F52"/>
    <w:rsid w:val="00B577FA"/>
    <w:rsid w:val="00B82DEB"/>
    <w:rsid w:val="00B85FB8"/>
    <w:rsid w:val="00BA07EC"/>
    <w:rsid w:val="00BA0D2D"/>
    <w:rsid w:val="00BA30F8"/>
    <w:rsid w:val="00BB3A38"/>
    <w:rsid w:val="00BC14AE"/>
    <w:rsid w:val="00C14564"/>
    <w:rsid w:val="00C46125"/>
    <w:rsid w:val="00CE40AE"/>
    <w:rsid w:val="00CE78CC"/>
    <w:rsid w:val="00D34EE9"/>
    <w:rsid w:val="00D36AEE"/>
    <w:rsid w:val="00D6364E"/>
    <w:rsid w:val="00D94DE0"/>
    <w:rsid w:val="00DB7915"/>
    <w:rsid w:val="00DC2F35"/>
    <w:rsid w:val="00DD327D"/>
    <w:rsid w:val="00E25E61"/>
    <w:rsid w:val="00EA054B"/>
    <w:rsid w:val="00EB30D6"/>
    <w:rsid w:val="00EB66AD"/>
    <w:rsid w:val="00F25A9E"/>
    <w:rsid w:val="00F4212B"/>
    <w:rsid w:val="00F45651"/>
    <w:rsid w:val="00F46A23"/>
    <w:rsid w:val="00F62AB5"/>
    <w:rsid w:val="00F834D3"/>
    <w:rsid w:val="00F96F27"/>
    <w:rsid w:val="11B7006F"/>
    <w:rsid w:val="14C75E7F"/>
    <w:rsid w:val="201B4AD7"/>
    <w:rsid w:val="39C91C54"/>
    <w:rsid w:val="3A0C2DDB"/>
    <w:rsid w:val="47D01EDF"/>
    <w:rsid w:val="51DE5463"/>
    <w:rsid w:val="55E96376"/>
    <w:rsid w:val="60D91BBF"/>
    <w:rsid w:val="64016563"/>
    <w:rsid w:val="6D7E28AD"/>
    <w:rsid w:val="73E600B5"/>
    <w:rsid w:val="79530F9C"/>
    <w:rsid w:val="7AB3435B"/>
    <w:rsid w:val="7EDD6F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autoRedefine/>
    <w:semiHidden/>
    <w:unhideWhenUsed/>
    <w:qFormat/>
    <w:uiPriority w:val="99"/>
    <w:pPr>
      <w:jc w:val="left"/>
    </w:pPr>
  </w:style>
  <w:style w:type="paragraph" w:styleId="3">
    <w:name w:val="Balloon Text"/>
    <w:basedOn w:val="1"/>
    <w:link w:val="11"/>
    <w:autoRedefine/>
    <w:semiHidden/>
    <w:unhideWhenUsed/>
    <w:qFormat/>
    <w:uiPriority w:val="99"/>
    <w:rPr>
      <w:sz w:val="18"/>
      <w:szCs w:val="18"/>
    </w:rPr>
  </w:style>
  <w:style w:type="paragraph" w:styleId="4">
    <w:name w:val="footer"/>
    <w:basedOn w:val="1"/>
    <w:link w:val="10"/>
    <w:autoRedefine/>
    <w:unhideWhenUsed/>
    <w:qFormat/>
    <w:uiPriority w:val="99"/>
    <w:pPr>
      <w:tabs>
        <w:tab w:val="center" w:pos="4153"/>
        <w:tab w:val="right" w:pos="8306"/>
      </w:tabs>
      <w:snapToGrid w:val="0"/>
      <w:jc w:val="left"/>
    </w:pPr>
    <w:rPr>
      <w:sz w:val="18"/>
      <w:szCs w:val="18"/>
    </w:rPr>
  </w:style>
  <w:style w:type="paragraph" w:styleId="5">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autoRedefine/>
    <w:semiHidden/>
    <w:unhideWhenUsed/>
    <w:qFormat/>
    <w:uiPriority w:val="99"/>
    <w:rPr>
      <w:sz w:val="21"/>
      <w:szCs w:val="21"/>
    </w:rPr>
  </w:style>
  <w:style w:type="character" w:customStyle="1" w:styleId="9">
    <w:name w:val="页眉 字符"/>
    <w:basedOn w:val="7"/>
    <w:link w:val="5"/>
    <w:autoRedefine/>
    <w:qFormat/>
    <w:uiPriority w:val="0"/>
    <w:rPr>
      <w:rFonts w:ascii="Times New Roman" w:hAnsi="Times New Roman" w:eastAsia="宋体" w:cs="Times New Roman"/>
      <w:sz w:val="18"/>
      <w:szCs w:val="18"/>
    </w:rPr>
  </w:style>
  <w:style w:type="character" w:customStyle="1" w:styleId="10">
    <w:name w:val="页脚 字符"/>
    <w:basedOn w:val="7"/>
    <w:link w:val="4"/>
    <w:qFormat/>
    <w:uiPriority w:val="99"/>
    <w:rPr>
      <w:rFonts w:ascii="Times New Roman" w:hAnsi="Times New Roman" w:eastAsia="宋体" w:cs="Times New Roman"/>
      <w:sz w:val="18"/>
      <w:szCs w:val="18"/>
    </w:rPr>
  </w:style>
  <w:style w:type="character" w:customStyle="1" w:styleId="11">
    <w:name w:val="批注框文本 字符"/>
    <w:basedOn w:val="7"/>
    <w:link w:val="3"/>
    <w:semiHidden/>
    <w:qFormat/>
    <w:uiPriority w:val="99"/>
    <w:rPr>
      <w:rFonts w:ascii="Times New Roman" w:hAnsi="Times New Roman" w:eastAsia="宋体" w:cs="Times New Roman"/>
      <w:kern w:val="2"/>
      <w:sz w:val="18"/>
      <w:szCs w:val="18"/>
    </w:rPr>
  </w:style>
  <w:style w:type="paragraph" w:customStyle="1" w:styleId="12">
    <w:name w:val="修订1"/>
    <w:autoRedefine/>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3143</Words>
  <Characters>3681</Characters>
  <Lines>40</Lines>
  <Paragraphs>11</Paragraphs>
  <TotalTime>2</TotalTime>
  <ScaleCrop>false</ScaleCrop>
  <LinksUpToDate>false</LinksUpToDate>
  <CharactersWithSpaces>3777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2018-08-01T03:54:00Z</dcterms:created>
  <dc:creator>zh</dc:creator>
  <cp:lastModifiedBy>瑞〰瑞®</cp:lastModifiedBy>
  <cp:lastPrinted>2020-09-18T01:09:00Z</cp:lastPrinted>
  <dcterms:modified xsi:type="dcterms:W3CDTF">2024-08-15T08:42:21Z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648D3B5C429B483293BB8F4A87E83F35_13</vt:lpwstr>
  </property>
</Properties>
</file>