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2CBF09">
      <w:pPr>
        <w:jc w:val="center"/>
        <w:rPr>
          <w:rFonts w:eastAsia="黑体"/>
          <w:b/>
          <w:sz w:val="52"/>
          <w:szCs w:val="52"/>
        </w:rPr>
      </w:pPr>
      <w:r>
        <w:rPr>
          <w:rFonts w:eastAsia="黑体"/>
          <w:b/>
          <w:sz w:val="52"/>
          <w:szCs w:val="52"/>
        </w:rPr>
        <w:t>《</w:t>
      </w:r>
      <w:r>
        <w:rPr>
          <w:rFonts w:hint="eastAsia" w:ascii="黑体" w:hAnsi="黑体" w:eastAsia="黑体"/>
          <w:sz w:val="52"/>
          <w:szCs w:val="52"/>
        </w:rPr>
        <w:t>泡沫混凝土墙体应用技术规程</w:t>
      </w:r>
      <w:r>
        <w:rPr>
          <w:rFonts w:eastAsia="黑体"/>
          <w:b/>
          <w:sz w:val="52"/>
          <w:szCs w:val="52"/>
        </w:rPr>
        <w:t>》</w:t>
      </w:r>
    </w:p>
    <w:p w14:paraId="622E1862">
      <w:pPr>
        <w:pStyle w:val="44"/>
        <w:framePr w:w="0" w:hRule="auto" w:wrap="auto" w:vAnchor="margin" w:hAnchor="text" w:xAlign="left" w:yAlign="inline"/>
        <w:spacing w:line="460" w:lineRule="exact"/>
        <w:rPr>
          <w:b/>
          <w:bCs/>
          <w:sz w:val="32"/>
          <w:szCs w:val="32"/>
        </w:rPr>
      </w:pPr>
      <w:r>
        <w:rPr>
          <w:b/>
          <w:bCs/>
          <w:sz w:val="32"/>
          <w:szCs w:val="32"/>
        </w:rPr>
        <w:t>Technical specification for foam concrete wall application</w:t>
      </w:r>
    </w:p>
    <w:p w14:paraId="0179A822">
      <w:pPr>
        <w:snapToGrid w:val="0"/>
        <w:jc w:val="center"/>
        <w:rPr>
          <w:rFonts w:eastAsia="黑体"/>
          <w:b/>
          <w:sz w:val="32"/>
          <w:szCs w:val="32"/>
        </w:rPr>
      </w:pPr>
      <w:r>
        <w:rPr>
          <w:rFonts w:eastAsia="黑体"/>
          <w:b/>
          <w:sz w:val="28"/>
          <w:szCs w:val="28"/>
        </w:rPr>
        <w:t>JC/T XXXX－202X</w:t>
      </w:r>
    </w:p>
    <w:p w14:paraId="305CF40A">
      <w:pPr>
        <w:jc w:val="center"/>
        <w:rPr>
          <w:b/>
          <w:bCs/>
          <w:sz w:val="44"/>
          <w:szCs w:val="44"/>
        </w:rPr>
      </w:pPr>
    </w:p>
    <w:p w14:paraId="790AF753">
      <w:pPr>
        <w:jc w:val="center"/>
        <w:rPr>
          <w:b/>
          <w:bCs/>
          <w:sz w:val="56"/>
        </w:rPr>
      </w:pPr>
    </w:p>
    <w:p w14:paraId="34BF273C">
      <w:pPr>
        <w:jc w:val="center"/>
        <w:rPr>
          <w:b/>
          <w:bCs/>
          <w:sz w:val="56"/>
        </w:rPr>
      </w:pPr>
    </w:p>
    <w:p w14:paraId="2450FAD8">
      <w:pPr>
        <w:jc w:val="center"/>
        <w:rPr>
          <w:rFonts w:eastAsia="黑体"/>
          <w:b/>
          <w:sz w:val="52"/>
          <w:szCs w:val="52"/>
        </w:rPr>
      </w:pPr>
      <w:r>
        <w:rPr>
          <w:rFonts w:eastAsia="黑体"/>
          <w:b/>
          <w:sz w:val="52"/>
          <w:szCs w:val="52"/>
        </w:rPr>
        <w:t>编制说明</w:t>
      </w:r>
    </w:p>
    <w:p w14:paraId="51B40656">
      <w:pPr>
        <w:rPr>
          <w:sz w:val="40"/>
        </w:rPr>
      </w:pPr>
    </w:p>
    <w:p w14:paraId="0263F13B">
      <w:pPr>
        <w:rPr>
          <w:sz w:val="40"/>
        </w:rPr>
      </w:pPr>
    </w:p>
    <w:p w14:paraId="4F2A0BB2">
      <w:pPr>
        <w:rPr>
          <w:sz w:val="40"/>
        </w:rPr>
      </w:pPr>
    </w:p>
    <w:p w14:paraId="1B0F8C67">
      <w:pPr>
        <w:rPr>
          <w:sz w:val="40"/>
        </w:rPr>
      </w:pPr>
    </w:p>
    <w:p w14:paraId="3E8A02A4">
      <w:pPr>
        <w:jc w:val="center"/>
        <w:rPr>
          <w:sz w:val="40"/>
        </w:rPr>
      </w:pPr>
    </w:p>
    <w:p w14:paraId="79128E29">
      <w:pPr>
        <w:jc w:val="center"/>
        <w:rPr>
          <w:rFonts w:eastAsia="黑体"/>
          <w:b/>
          <w:sz w:val="28"/>
          <w:szCs w:val="28"/>
        </w:rPr>
      </w:pPr>
    </w:p>
    <w:p w14:paraId="7AF37662">
      <w:pPr>
        <w:jc w:val="center"/>
        <w:rPr>
          <w:rFonts w:eastAsia="黑体"/>
          <w:b/>
          <w:sz w:val="28"/>
          <w:szCs w:val="28"/>
        </w:rPr>
      </w:pPr>
    </w:p>
    <w:p w14:paraId="604097C1">
      <w:pPr>
        <w:jc w:val="center"/>
        <w:rPr>
          <w:rFonts w:eastAsia="黑体"/>
          <w:b/>
          <w:sz w:val="28"/>
          <w:szCs w:val="28"/>
        </w:rPr>
      </w:pPr>
    </w:p>
    <w:p w14:paraId="18269E4E">
      <w:pPr>
        <w:jc w:val="center"/>
        <w:rPr>
          <w:rFonts w:eastAsia="黑体"/>
          <w:b/>
          <w:sz w:val="28"/>
          <w:szCs w:val="28"/>
        </w:rPr>
      </w:pPr>
    </w:p>
    <w:p w14:paraId="707AB6A6">
      <w:pPr>
        <w:jc w:val="center"/>
        <w:rPr>
          <w:rFonts w:eastAsia="黑体"/>
          <w:b/>
          <w:sz w:val="28"/>
          <w:szCs w:val="28"/>
        </w:rPr>
      </w:pPr>
    </w:p>
    <w:p w14:paraId="48A04125">
      <w:pPr>
        <w:jc w:val="center"/>
        <w:rPr>
          <w:rFonts w:eastAsia="黑体"/>
          <w:b/>
          <w:sz w:val="28"/>
          <w:szCs w:val="28"/>
        </w:rPr>
      </w:pPr>
    </w:p>
    <w:p w14:paraId="4F942265">
      <w:pPr>
        <w:jc w:val="center"/>
        <w:rPr>
          <w:rFonts w:eastAsia="黑体"/>
          <w:b/>
          <w:sz w:val="28"/>
          <w:szCs w:val="28"/>
        </w:rPr>
      </w:pPr>
      <w:r>
        <w:rPr>
          <w:rFonts w:eastAsia="黑体"/>
          <w:b/>
          <w:sz w:val="28"/>
          <w:szCs w:val="28"/>
        </w:rPr>
        <w:t>《</w:t>
      </w:r>
      <w:r>
        <w:rPr>
          <w:rFonts w:hint="eastAsia" w:ascii="黑体" w:hAnsi="黑体" w:eastAsia="黑体"/>
          <w:b/>
          <w:bCs/>
          <w:sz w:val="28"/>
          <w:szCs w:val="28"/>
        </w:rPr>
        <w:t>泡沫混凝土墙体应用技术规程</w:t>
      </w:r>
      <w:r>
        <w:rPr>
          <w:rFonts w:eastAsia="黑体"/>
          <w:b/>
          <w:sz w:val="28"/>
          <w:szCs w:val="28"/>
        </w:rPr>
        <w:t>》标准编制组</w:t>
      </w:r>
    </w:p>
    <w:p w14:paraId="4559C62C">
      <w:pPr>
        <w:pStyle w:val="39"/>
        <w:rPr>
          <w:rFonts w:ascii="Times New Roman"/>
        </w:rPr>
      </w:pPr>
      <w:r>
        <w:rPr>
          <w:rFonts w:ascii="Times New Roman"/>
        </w:rPr>
        <w:t>202</w:t>
      </w:r>
      <w:r>
        <w:rPr>
          <w:rFonts w:hint="eastAsia" w:ascii="Times New Roman"/>
        </w:rPr>
        <w:t>4</w:t>
      </w:r>
      <w:r>
        <w:rPr>
          <w:rFonts w:ascii="Times New Roman"/>
        </w:rPr>
        <w:t>年</w:t>
      </w:r>
      <w:r>
        <w:rPr>
          <w:rFonts w:hint="eastAsia" w:ascii="Times New Roman"/>
        </w:rPr>
        <w:t>8</w:t>
      </w:r>
      <w:r>
        <w:rPr>
          <w:rFonts w:ascii="Times New Roman"/>
        </w:rPr>
        <w:t>月</w:t>
      </w:r>
      <w:bookmarkStart w:id="0" w:name="OLE_LINK1"/>
    </w:p>
    <w:p w14:paraId="55A8C836">
      <w:pPr>
        <w:pStyle w:val="39"/>
        <w:rPr>
          <w:rFonts w:ascii="Times New Roman"/>
        </w:rPr>
      </w:pPr>
      <w:r>
        <w:rPr>
          <w:b w:val="0"/>
          <w:bCs/>
          <w:sz w:val="40"/>
        </w:rPr>
        <w:t>《</w:t>
      </w:r>
      <w:r>
        <w:rPr>
          <w:rFonts w:hint="eastAsia"/>
          <w:b w:val="0"/>
          <w:bCs/>
          <w:sz w:val="40"/>
        </w:rPr>
        <w:t>泡沫混凝土</w:t>
      </w:r>
      <w:r>
        <w:rPr>
          <w:b w:val="0"/>
          <w:bCs/>
          <w:sz w:val="40"/>
        </w:rPr>
        <w:t>墙体应用技术规程》</w:t>
      </w:r>
    </w:p>
    <w:p w14:paraId="47159B1B">
      <w:pPr>
        <w:jc w:val="center"/>
        <w:rPr>
          <w:b/>
          <w:bCs/>
          <w:sz w:val="40"/>
        </w:rPr>
      </w:pPr>
      <w:r>
        <w:rPr>
          <w:b/>
          <w:bCs/>
          <w:sz w:val="40"/>
        </w:rPr>
        <w:t>行业标准</w:t>
      </w:r>
    </w:p>
    <w:p w14:paraId="22EC37CC">
      <w:pPr>
        <w:jc w:val="center"/>
        <w:rPr>
          <w:b/>
          <w:bCs/>
          <w:sz w:val="40"/>
        </w:rPr>
      </w:pPr>
      <w:r>
        <w:rPr>
          <w:b/>
          <w:bCs/>
          <w:sz w:val="40"/>
        </w:rPr>
        <w:t>编制说明</w:t>
      </w:r>
    </w:p>
    <w:bookmarkEnd w:id="0"/>
    <w:p w14:paraId="5B25508B">
      <w:pPr>
        <w:jc w:val="center"/>
        <w:rPr>
          <w:b/>
          <w:bCs/>
        </w:rPr>
      </w:pPr>
    </w:p>
    <w:p w14:paraId="418FD09E">
      <w:pPr>
        <w:spacing w:line="360" w:lineRule="auto"/>
        <w:rPr>
          <w:b/>
          <w:sz w:val="24"/>
        </w:rPr>
      </w:pPr>
      <w:r>
        <w:rPr>
          <w:b/>
          <w:sz w:val="24"/>
        </w:rPr>
        <w:t xml:space="preserve">1 </w:t>
      </w:r>
      <w:r>
        <w:rPr>
          <w:rFonts w:hAnsi="宋体"/>
          <w:b/>
          <w:sz w:val="24"/>
        </w:rPr>
        <w:t>工作简况</w:t>
      </w:r>
    </w:p>
    <w:p w14:paraId="45431B5C">
      <w:pPr>
        <w:spacing w:line="360" w:lineRule="auto"/>
        <w:rPr>
          <w:b/>
          <w:sz w:val="24"/>
        </w:rPr>
      </w:pPr>
      <w:r>
        <w:rPr>
          <w:b/>
          <w:sz w:val="24"/>
        </w:rPr>
        <w:t xml:space="preserve">1.1 </w:t>
      </w:r>
      <w:r>
        <w:rPr>
          <w:rFonts w:hAnsi="宋体"/>
          <w:b/>
          <w:sz w:val="24"/>
        </w:rPr>
        <w:t>任务来源</w:t>
      </w:r>
    </w:p>
    <w:p w14:paraId="3A7D69B8">
      <w:pPr>
        <w:spacing w:line="360" w:lineRule="auto"/>
        <w:ind w:firstLine="480" w:firstLineChars="200"/>
        <w:rPr>
          <w:sz w:val="24"/>
          <w:lang w:val="zh-CN"/>
        </w:rPr>
      </w:pPr>
      <w:r>
        <w:rPr>
          <w:rFonts w:hAnsi="宋体"/>
          <w:sz w:val="24"/>
          <w:lang w:val="zh-CN"/>
        </w:rPr>
        <w:t>根据</w:t>
      </w:r>
      <w:r>
        <w:rPr>
          <w:rFonts w:hint="eastAsia" w:hAnsi="宋体"/>
          <w:sz w:val="24"/>
          <w:lang w:val="zh-CN"/>
        </w:rPr>
        <w:t>中国建筑材料联合会文件中建材联标发</w:t>
      </w:r>
      <w:r>
        <w:rPr>
          <w:sz w:val="24"/>
          <w:lang w:val="zh-CN"/>
        </w:rPr>
        <w:t xml:space="preserve"> [</w:t>
      </w:r>
      <w:r>
        <w:rPr>
          <w:rFonts w:hint="eastAsia"/>
          <w:sz w:val="24"/>
          <w:lang w:val="zh-CN"/>
        </w:rPr>
        <w:t>2024</w:t>
      </w:r>
      <w:r>
        <w:rPr>
          <w:sz w:val="24"/>
          <w:lang w:val="zh-CN"/>
        </w:rPr>
        <w:t>]</w:t>
      </w:r>
      <w:r>
        <w:rPr>
          <w:rFonts w:hint="eastAsia"/>
          <w:sz w:val="24"/>
          <w:lang w:val="zh-CN"/>
        </w:rPr>
        <w:t>18</w:t>
      </w:r>
      <w:r>
        <w:rPr>
          <w:rFonts w:hAnsi="宋体"/>
          <w:sz w:val="24"/>
          <w:lang w:val="zh-CN"/>
        </w:rPr>
        <w:t>号《</w:t>
      </w:r>
      <w:r>
        <w:rPr>
          <w:rFonts w:hint="eastAsia" w:hAnsi="宋体"/>
          <w:sz w:val="24"/>
          <w:lang w:val="zh-CN"/>
        </w:rPr>
        <w:t>关于下达2024年第一批协会</w:t>
      </w:r>
      <w:r>
        <w:rPr>
          <w:rFonts w:hAnsi="宋体"/>
          <w:sz w:val="24"/>
          <w:lang w:val="zh-CN"/>
        </w:rPr>
        <w:t>标准制修订计划的通知》，《</w:t>
      </w:r>
      <w:r>
        <w:rPr>
          <w:rFonts w:hint="eastAsia" w:hAnsi="宋体"/>
          <w:sz w:val="24"/>
          <w:lang w:val="zh-CN"/>
        </w:rPr>
        <w:t>泡沫混凝土</w:t>
      </w:r>
      <w:r>
        <w:rPr>
          <w:rFonts w:hAnsi="宋体"/>
          <w:sz w:val="24"/>
          <w:lang w:val="zh-CN"/>
        </w:rPr>
        <w:t>墙体应用技术规程》列入了</w:t>
      </w:r>
      <w:r>
        <w:rPr>
          <w:rFonts w:hint="eastAsia" w:hAnsi="宋体"/>
          <w:sz w:val="24"/>
          <w:lang w:val="zh-CN"/>
        </w:rPr>
        <w:t>协会</w:t>
      </w:r>
      <w:r>
        <w:rPr>
          <w:rFonts w:hAnsi="宋体"/>
          <w:sz w:val="24"/>
          <w:lang w:val="zh-CN"/>
        </w:rPr>
        <w:t>标准计划，项目编号：</w:t>
      </w:r>
      <w:r>
        <w:rPr>
          <w:sz w:val="24"/>
          <w:lang w:val="zh-CN"/>
        </w:rPr>
        <w:t>20</w:t>
      </w:r>
      <w:r>
        <w:rPr>
          <w:rFonts w:hint="eastAsia"/>
          <w:sz w:val="24"/>
          <w:lang w:val="zh-CN"/>
        </w:rPr>
        <w:t>24</w:t>
      </w:r>
      <w:r>
        <w:rPr>
          <w:sz w:val="24"/>
          <w:lang w:val="zh-CN"/>
        </w:rPr>
        <w:t>-</w:t>
      </w:r>
      <w:r>
        <w:rPr>
          <w:rFonts w:hint="eastAsia"/>
          <w:sz w:val="24"/>
          <w:lang w:val="zh-CN"/>
        </w:rPr>
        <w:t>16-xb jh</w:t>
      </w:r>
      <w:r>
        <w:rPr>
          <w:rFonts w:hAnsi="宋体"/>
          <w:sz w:val="24"/>
          <w:lang w:val="zh-CN"/>
        </w:rPr>
        <w:t>。</w:t>
      </w:r>
      <w:r>
        <w:rPr>
          <w:rFonts w:hint="eastAsia" w:hAnsi="宋体"/>
          <w:sz w:val="24"/>
          <w:lang w:val="zh-CN"/>
        </w:rPr>
        <w:t>由建材工业综合标准化技术委员会归口管理，</w:t>
      </w:r>
      <w:r>
        <w:rPr>
          <w:rFonts w:hAnsi="宋体"/>
          <w:sz w:val="24"/>
          <w:lang w:val="zh-CN"/>
        </w:rPr>
        <w:t>由建筑材料工业技术监督研究中心负责牵头组织国内主要</w:t>
      </w:r>
      <w:r>
        <w:rPr>
          <w:rFonts w:hint="eastAsia" w:hAnsi="宋体"/>
          <w:sz w:val="24"/>
          <w:lang w:val="zh-CN"/>
        </w:rPr>
        <w:t>泡沫混凝土</w:t>
      </w:r>
      <w:r>
        <w:rPr>
          <w:rFonts w:hAnsi="宋体"/>
          <w:sz w:val="24"/>
          <w:lang w:val="zh-CN"/>
        </w:rPr>
        <w:t>墙体研发、生产、</w:t>
      </w:r>
      <w:r>
        <w:rPr>
          <w:rFonts w:hint="eastAsia" w:hAnsi="宋体"/>
          <w:sz w:val="24"/>
          <w:lang w:val="zh-CN"/>
        </w:rPr>
        <w:t>施工应用</w:t>
      </w:r>
      <w:r>
        <w:rPr>
          <w:rFonts w:hAnsi="宋体"/>
          <w:sz w:val="24"/>
          <w:lang w:val="zh-CN"/>
        </w:rPr>
        <w:t>等相关单位共同起草编制。</w:t>
      </w:r>
    </w:p>
    <w:p w14:paraId="784D94C0">
      <w:pPr>
        <w:spacing w:line="360" w:lineRule="auto"/>
        <w:jc w:val="center"/>
        <w:rPr>
          <w:sz w:val="24"/>
          <w:lang w:val="zh-CN"/>
        </w:rPr>
      </w:pPr>
      <w:r>
        <w:rPr>
          <w14:ligatures w14:val="standardContextual"/>
        </w:rPr>
        <w:drawing>
          <wp:inline distT="0" distB="0" distL="0" distR="0">
            <wp:extent cx="4140835" cy="2988945"/>
            <wp:effectExtent l="0" t="0" r="0" b="1905"/>
            <wp:docPr id="7177198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719893" name="图片 1"/>
                    <pic:cNvPicPr>
                      <a:picLocks noChangeAspect="1"/>
                    </pic:cNvPicPr>
                  </pic:nvPicPr>
                  <pic:blipFill>
                    <a:blip r:embed="rId7"/>
                    <a:stretch>
                      <a:fillRect/>
                    </a:stretch>
                  </pic:blipFill>
                  <pic:spPr>
                    <a:xfrm>
                      <a:off x="0" y="0"/>
                      <a:ext cx="4156744" cy="3000181"/>
                    </a:xfrm>
                    <a:prstGeom prst="rect">
                      <a:avLst/>
                    </a:prstGeom>
                  </pic:spPr>
                </pic:pic>
              </a:graphicData>
            </a:graphic>
          </wp:inline>
        </w:drawing>
      </w:r>
    </w:p>
    <w:p w14:paraId="535092F1">
      <w:pPr>
        <w:spacing w:line="360" w:lineRule="auto"/>
        <w:jc w:val="center"/>
        <w:rPr>
          <w:b/>
          <w:szCs w:val="21"/>
          <w:lang w:val="zh-CN"/>
        </w:rPr>
      </w:pPr>
      <w:r>
        <w:rPr>
          <w:rFonts w:hAnsi="宋体"/>
          <w:b/>
          <w:szCs w:val="21"/>
          <w:lang w:val="zh-CN"/>
        </w:rPr>
        <w:t>图</w:t>
      </w:r>
      <w:r>
        <w:rPr>
          <w:b/>
          <w:szCs w:val="21"/>
          <w:lang w:val="zh-CN"/>
        </w:rPr>
        <w:t xml:space="preserve">1 </w:t>
      </w:r>
      <w:r>
        <w:rPr>
          <w:rFonts w:hint="eastAsia" w:hAnsi="宋体"/>
          <w:b/>
          <w:szCs w:val="21"/>
          <w:lang w:val="zh-CN"/>
        </w:rPr>
        <w:t>泡沫混凝土</w:t>
      </w:r>
      <w:r>
        <w:rPr>
          <w:rFonts w:hAnsi="宋体"/>
          <w:b/>
          <w:szCs w:val="21"/>
          <w:lang w:val="zh-CN"/>
        </w:rPr>
        <w:t>墙体</w:t>
      </w:r>
    </w:p>
    <w:p w14:paraId="552217DE">
      <w:pPr>
        <w:spacing w:line="360" w:lineRule="auto"/>
        <w:rPr>
          <w:b/>
          <w:sz w:val="24"/>
        </w:rPr>
      </w:pPr>
      <w:r>
        <w:rPr>
          <w:b/>
          <w:sz w:val="24"/>
        </w:rPr>
        <w:t xml:space="preserve">1.2 </w:t>
      </w:r>
      <w:r>
        <w:rPr>
          <w:rFonts w:hAnsi="宋体"/>
          <w:b/>
          <w:sz w:val="24"/>
        </w:rPr>
        <w:t>主要工作过程</w:t>
      </w:r>
    </w:p>
    <w:p w14:paraId="17FA8434">
      <w:pPr>
        <w:spacing w:line="360" w:lineRule="auto"/>
        <w:ind w:firstLine="480" w:firstLineChars="200"/>
        <w:rPr>
          <w:sz w:val="24"/>
        </w:rPr>
      </w:pPr>
      <w:r>
        <w:rPr>
          <w:sz w:val="24"/>
        </w:rPr>
        <w:t>20</w:t>
      </w:r>
      <w:r>
        <w:rPr>
          <w:rFonts w:hint="eastAsia"/>
          <w:sz w:val="24"/>
        </w:rPr>
        <w:t>24</w:t>
      </w:r>
      <w:r>
        <w:rPr>
          <w:sz w:val="24"/>
        </w:rPr>
        <w:t>.</w:t>
      </w:r>
      <w:r>
        <w:rPr>
          <w:rFonts w:hint="eastAsia"/>
          <w:sz w:val="24"/>
        </w:rPr>
        <w:t>2</w:t>
      </w:r>
      <w:r>
        <w:rPr>
          <w:sz w:val="24"/>
        </w:rPr>
        <w:t>-202</w:t>
      </w:r>
      <w:r>
        <w:rPr>
          <w:rFonts w:hint="eastAsia"/>
          <w:sz w:val="24"/>
        </w:rPr>
        <w:t>4</w:t>
      </w:r>
      <w:r>
        <w:rPr>
          <w:sz w:val="24"/>
        </w:rPr>
        <w:t>.</w:t>
      </w:r>
      <w:r>
        <w:rPr>
          <w:rFonts w:hint="eastAsia"/>
          <w:sz w:val="24"/>
        </w:rPr>
        <w:t>3</w:t>
      </w:r>
      <w:r>
        <w:rPr>
          <w:sz w:val="24"/>
        </w:rPr>
        <w:t xml:space="preserve">  </w:t>
      </w:r>
      <w:r>
        <w:rPr>
          <w:rFonts w:hAnsi="宋体"/>
          <w:sz w:val="24"/>
        </w:rPr>
        <w:t>查询国内外</w:t>
      </w:r>
      <w:r>
        <w:rPr>
          <w:rFonts w:hint="eastAsia" w:hAnsi="宋体"/>
          <w:sz w:val="24"/>
          <w:lang w:val="zh-CN"/>
        </w:rPr>
        <w:t>泡沫混凝土</w:t>
      </w:r>
      <w:r>
        <w:rPr>
          <w:rFonts w:hAnsi="宋体"/>
          <w:sz w:val="24"/>
          <w:lang w:val="zh-CN"/>
        </w:rPr>
        <w:t>墙体</w:t>
      </w:r>
      <w:r>
        <w:rPr>
          <w:rFonts w:hAnsi="宋体"/>
          <w:sz w:val="24"/>
        </w:rPr>
        <w:t>的研发生产应用情况，并通过中国混凝土与水泥制品协会泡沫混凝土分会</w:t>
      </w:r>
      <w:r>
        <w:rPr>
          <w:rFonts w:hint="eastAsia" w:hAnsi="宋体"/>
          <w:sz w:val="24"/>
        </w:rPr>
        <w:t>、轻骨料分会</w:t>
      </w:r>
      <w:r>
        <w:rPr>
          <w:rFonts w:hAnsi="宋体"/>
          <w:sz w:val="24"/>
        </w:rPr>
        <w:t>调研我国</w:t>
      </w:r>
      <w:r>
        <w:rPr>
          <w:rFonts w:hAnsi="宋体"/>
          <w:sz w:val="24"/>
          <w:lang w:val="zh-CN"/>
        </w:rPr>
        <w:t>泡沫混凝土墙体技术</w:t>
      </w:r>
      <w:r>
        <w:rPr>
          <w:rFonts w:hAnsi="宋体"/>
          <w:sz w:val="24"/>
        </w:rPr>
        <w:t>在各类工程中的应用情况，充分了解最新技术水平、墙体性能、工程应用要求；收集国内外相关标准和资料。</w:t>
      </w:r>
    </w:p>
    <w:p w14:paraId="43C75F62">
      <w:pPr>
        <w:spacing w:line="360" w:lineRule="auto"/>
        <w:ind w:firstLine="480" w:firstLineChars="200"/>
        <w:rPr>
          <w:sz w:val="24"/>
        </w:rPr>
      </w:pPr>
      <w:r>
        <w:rPr>
          <w:sz w:val="24"/>
        </w:rPr>
        <w:t>202</w:t>
      </w:r>
      <w:r>
        <w:rPr>
          <w:rFonts w:hint="eastAsia"/>
          <w:sz w:val="24"/>
        </w:rPr>
        <w:t>4</w:t>
      </w:r>
      <w:r>
        <w:rPr>
          <w:sz w:val="24"/>
        </w:rPr>
        <w:t>.</w:t>
      </w:r>
      <w:r>
        <w:rPr>
          <w:rFonts w:hint="eastAsia"/>
          <w:sz w:val="24"/>
        </w:rPr>
        <w:t>4</w:t>
      </w:r>
      <w:r>
        <w:rPr>
          <w:sz w:val="24"/>
        </w:rPr>
        <w:t>-202</w:t>
      </w:r>
      <w:r>
        <w:rPr>
          <w:rFonts w:hint="eastAsia"/>
          <w:sz w:val="24"/>
        </w:rPr>
        <w:t>4</w:t>
      </w:r>
      <w:r>
        <w:rPr>
          <w:sz w:val="24"/>
        </w:rPr>
        <w:t>.</w:t>
      </w:r>
      <w:r>
        <w:rPr>
          <w:rFonts w:hint="eastAsia"/>
          <w:sz w:val="24"/>
        </w:rPr>
        <w:t>6</w:t>
      </w:r>
      <w:r>
        <w:rPr>
          <w:sz w:val="24"/>
        </w:rPr>
        <w:t xml:space="preserve">  </w:t>
      </w:r>
      <w:r>
        <w:rPr>
          <w:rFonts w:hAnsi="宋体"/>
          <w:sz w:val="24"/>
        </w:rPr>
        <w:t>根据掌握的</w:t>
      </w:r>
      <w:r>
        <w:rPr>
          <w:rFonts w:hint="eastAsia" w:hAnsi="宋体"/>
          <w:sz w:val="24"/>
          <w:lang w:val="zh-CN"/>
        </w:rPr>
        <w:t>泡沫混凝土</w:t>
      </w:r>
      <w:r>
        <w:rPr>
          <w:rFonts w:hAnsi="宋体"/>
          <w:sz w:val="24"/>
          <w:lang w:val="zh-CN"/>
        </w:rPr>
        <w:t>墙体应用技术</w:t>
      </w:r>
      <w:r>
        <w:rPr>
          <w:rFonts w:hAnsi="宋体"/>
          <w:sz w:val="24"/>
        </w:rPr>
        <w:t>信息以及对企业和工程的调研结果并参考现有相关标准，起草标准的工作组讨论稿。</w:t>
      </w:r>
      <w:r>
        <w:rPr>
          <w:rFonts w:hint="eastAsia" w:hAnsi="宋体"/>
          <w:sz w:val="24"/>
        </w:rPr>
        <w:t>通过召</w:t>
      </w:r>
      <w:r>
        <w:rPr>
          <w:rFonts w:hAnsi="宋体"/>
          <w:sz w:val="24"/>
        </w:rPr>
        <w:t>开标准的第一次工作会议并成立标准编制组，参会的专家和企业代表对标准工作组讨论稿进行了讨论，发表意见建议，形成标准初稿，同时进行了技术信息采集、样品征集、验证试验等任务分配。</w:t>
      </w:r>
    </w:p>
    <w:p w14:paraId="52A3100A">
      <w:pPr>
        <w:spacing w:line="360" w:lineRule="auto"/>
        <w:ind w:firstLine="480" w:firstLineChars="200"/>
        <w:rPr>
          <w:sz w:val="24"/>
        </w:rPr>
      </w:pPr>
      <w:r>
        <w:rPr>
          <w:sz w:val="24"/>
        </w:rPr>
        <w:t>202</w:t>
      </w:r>
      <w:r>
        <w:rPr>
          <w:rFonts w:hint="eastAsia"/>
          <w:sz w:val="24"/>
        </w:rPr>
        <w:t>4</w:t>
      </w:r>
      <w:r>
        <w:rPr>
          <w:sz w:val="24"/>
        </w:rPr>
        <w:t>.</w:t>
      </w:r>
      <w:r>
        <w:rPr>
          <w:rFonts w:hint="eastAsia"/>
          <w:sz w:val="24"/>
        </w:rPr>
        <w:t>7</w:t>
      </w:r>
      <w:r>
        <w:rPr>
          <w:sz w:val="24"/>
        </w:rPr>
        <w:t>-202</w:t>
      </w:r>
      <w:r>
        <w:rPr>
          <w:rFonts w:hint="eastAsia"/>
          <w:sz w:val="24"/>
        </w:rPr>
        <w:t>4</w:t>
      </w:r>
      <w:r>
        <w:rPr>
          <w:sz w:val="24"/>
        </w:rPr>
        <w:t>.</w:t>
      </w:r>
      <w:r>
        <w:rPr>
          <w:rFonts w:hint="eastAsia"/>
          <w:sz w:val="24"/>
        </w:rPr>
        <w:t>9</w:t>
      </w:r>
      <w:r>
        <w:rPr>
          <w:sz w:val="24"/>
        </w:rPr>
        <w:t xml:space="preserve">  </w:t>
      </w:r>
      <w:r>
        <w:rPr>
          <w:rFonts w:hAnsi="宋体"/>
          <w:sz w:val="24"/>
        </w:rPr>
        <w:t>在泡沫混凝土分会</w:t>
      </w:r>
      <w:r>
        <w:rPr>
          <w:rFonts w:hint="eastAsia" w:hAnsi="宋体"/>
          <w:sz w:val="24"/>
        </w:rPr>
        <w:t>、轻骨料分会</w:t>
      </w:r>
      <w:r>
        <w:rPr>
          <w:rFonts w:hAnsi="宋体"/>
          <w:sz w:val="24"/>
        </w:rPr>
        <w:t>支持下在对国内</w:t>
      </w:r>
      <w:r>
        <w:rPr>
          <w:rFonts w:hint="eastAsia"/>
          <w:sz w:val="24"/>
        </w:rPr>
        <w:t>8</w:t>
      </w:r>
      <w:r>
        <w:rPr>
          <w:rFonts w:hAnsi="宋体"/>
          <w:sz w:val="24"/>
        </w:rPr>
        <w:t>个施工应用工程进行</w:t>
      </w:r>
      <w:r>
        <w:rPr>
          <w:rFonts w:hAnsi="宋体"/>
          <w:sz w:val="24"/>
          <w:lang w:val="zh-CN"/>
        </w:rPr>
        <w:t>泡沫混凝土墙体应用技术信息收集并</w:t>
      </w:r>
      <w:r>
        <w:rPr>
          <w:rFonts w:hint="eastAsia" w:hAnsi="宋体"/>
          <w:sz w:val="24"/>
          <w:lang w:val="zh-CN"/>
        </w:rPr>
        <w:t>在7个工程项目中进行规程初稿试行，并</w:t>
      </w:r>
      <w:r>
        <w:rPr>
          <w:rFonts w:hAnsi="宋体"/>
          <w:sz w:val="24"/>
          <w:lang w:val="zh-CN"/>
        </w:rPr>
        <w:t>制备</w:t>
      </w:r>
      <w:r>
        <w:rPr>
          <w:rFonts w:hint="eastAsia"/>
          <w:sz w:val="24"/>
          <w:lang w:val="zh-CN"/>
        </w:rPr>
        <w:t>8</w:t>
      </w:r>
      <w:r>
        <w:rPr>
          <w:rFonts w:hAnsi="宋体"/>
          <w:sz w:val="24"/>
          <w:lang w:val="zh-CN"/>
        </w:rPr>
        <w:t>面试验墙体进行验证试验</w:t>
      </w:r>
      <w:r>
        <w:rPr>
          <w:rFonts w:hAnsi="宋体"/>
          <w:sz w:val="24"/>
        </w:rPr>
        <w:t>，由建筑材料工业技术监督研究中心</w:t>
      </w:r>
      <w:r>
        <w:rPr>
          <w:rFonts w:hint="eastAsia" w:hAnsi="宋体"/>
          <w:sz w:val="24"/>
        </w:rPr>
        <w:t>组织带领试验人员进行泡沫混凝土</w:t>
      </w:r>
      <w:r>
        <w:rPr>
          <w:rFonts w:hAnsi="宋体"/>
          <w:sz w:val="24"/>
        </w:rPr>
        <w:t>墙体性能测试。</w:t>
      </w:r>
      <w:r>
        <w:rPr>
          <w:sz w:val="24"/>
        </w:rPr>
        <w:t xml:space="preserve">     </w:t>
      </w:r>
    </w:p>
    <w:p w14:paraId="54AB21FA">
      <w:pPr>
        <w:spacing w:line="360" w:lineRule="auto"/>
        <w:ind w:firstLine="480" w:firstLineChars="200"/>
        <w:rPr>
          <w:sz w:val="24"/>
        </w:rPr>
      </w:pPr>
      <w:r>
        <w:rPr>
          <w:sz w:val="24"/>
        </w:rPr>
        <w:t>202</w:t>
      </w:r>
      <w:r>
        <w:rPr>
          <w:rFonts w:hint="eastAsia"/>
          <w:sz w:val="24"/>
        </w:rPr>
        <w:t>4</w:t>
      </w:r>
      <w:r>
        <w:rPr>
          <w:sz w:val="24"/>
        </w:rPr>
        <w:t>.</w:t>
      </w:r>
      <w:r>
        <w:rPr>
          <w:rFonts w:hint="eastAsia"/>
          <w:sz w:val="24"/>
        </w:rPr>
        <w:t>10</w:t>
      </w:r>
      <w:r>
        <w:rPr>
          <w:sz w:val="24"/>
        </w:rPr>
        <w:t>-202</w:t>
      </w:r>
      <w:r>
        <w:rPr>
          <w:rFonts w:hint="eastAsia"/>
          <w:sz w:val="24"/>
        </w:rPr>
        <w:t>4</w:t>
      </w:r>
      <w:r>
        <w:rPr>
          <w:sz w:val="24"/>
        </w:rPr>
        <w:t>.</w:t>
      </w:r>
      <w:r>
        <w:rPr>
          <w:rFonts w:hint="eastAsia"/>
          <w:sz w:val="24"/>
        </w:rPr>
        <w:t>11</w:t>
      </w:r>
      <w:r>
        <w:rPr>
          <w:sz w:val="24"/>
        </w:rPr>
        <w:t xml:space="preserve">  </w:t>
      </w:r>
      <w:r>
        <w:rPr>
          <w:rFonts w:hAnsi="宋体"/>
          <w:sz w:val="24"/>
        </w:rPr>
        <w:t>标准编制组</w:t>
      </w:r>
      <w:r>
        <w:rPr>
          <w:rFonts w:hint="eastAsia" w:hAnsi="宋体"/>
          <w:sz w:val="24"/>
        </w:rPr>
        <w:t>召开</w:t>
      </w:r>
      <w:r>
        <w:rPr>
          <w:rFonts w:hAnsi="宋体"/>
          <w:sz w:val="24"/>
        </w:rPr>
        <w:t>会议，对技术信息和验证试验测试数据进行分析，根据最新资料和试验结果在初稿基础上编制了标准的征求意见稿，并编写</w:t>
      </w:r>
      <w:r>
        <w:rPr>
          <w:rFonts w:hint="eastAsia" w:hAnsi="宋体"/>
          <w:sz w:val="24"/>
        </w:rPr>
        <w:t>完成</w:t>
      </w:r>
      <w:r>
        <w:rPr>
          <w:rFonts w:hAnsi="宋体"/>
          <w:sz w:val="24"/>
        </w:rPr>
        <w:t>编制说明等其他文件。</w:t>
      </w:r>
    </w:p>
    <w:p w14:paraId="689C14CF">
      <w:pPr>
        <w:spacing w:line="360" w:lineRule="auto"/>
        <w:ind w:firstLine="480" w:firstLineChars="200"/>
        <w:rPr>
          <w:rFonts w:hint="eastAsia" w:hAnsi="宋体"/>
          <w:sz w:val="24"/>
        </w:rPr>
      </w:pPr>
      <w:r>
        <w:rPr>
          <w:sz w:val="24"/>
        </w:rPr>
        <w:t>202</w:t>
      </w:r>
      <w:r>
        <w:rPr>
          <w:rFonts w:hint="eastAsia"/>
          <w:sz w:val="24"/>
        </w:rPr>
        <w:t>4</w:t>
      </w:r>
      <w:r>
        <w:rPr>
          <w:sz w:val="24"/>
        </w:rPr>
        <w:t>.</w:t>
      </w:r>
      <w:r>
        <w:rPr>
          <w:rFonts w:hint="eastAsia"/>
          <w:sz w:val="24"/>
        </w:rPr>
        <w:t>12-2025.01</w:t>
      </w:r>
      <w:r>
        <w:rPr>
          <w:sz w:val="24"/>
        </w:rPr>
        <w:t xml:space="preserve"> </w:t>
      </w:r>
      <w:r>
        <w:rPr>
          <w:rFonts w:hint="eastAsia"/>
          <w:sz w:val="24"/>
        </w:rPr>
        <w:t xml:space="preserve"> 召开标准研讨会，20名企业代表及专家在会上对标准文本逐条进行讨论修改，并</w:t>
      </w:r>
      <w:r>
        <w:rPr>
          <w:rFonts w:hAnsi="宋体"/>
          <w:sz w:val="24"/>
        </w:rPr>
        <w:t>向全行业发布征求意见稿，征求意见建议。</w:t>
      </w:r>
      <w:r>
        <w:rPr>
          <w:rFonts w:hint="eastAsia"/>
          <w:sz w:val="24"/>
        </w:rPr>
        <w:t>根据征求的意见建议，修改标准文本和相关文件，并</w:t>
      </w:r>
      <w:r>
        <w:rPr>
          <w:rFonts w:hint="eastAsia" w:ascii="宋体" w:cs="宋体"/>
          <w:sz w:val="24"/>
        </w:rPr>
        <w:t>在建材工业综合标准化技术委员会指导下补充验证试验和调研数据，完善标准送审稿，</w:t>
      </w:r>
      <w:r>
        <w:rPr>
          <w:rFonts w:hint="eastAsia"/>
          <w:sz w:val="24"/>
        </w:rPr>
        <w:t>形成标准送审材料。</w:t>
      </w:r>
    </w:p>
    <w:p w14:paraId="46D73EB0">
      <w:pPr>
        <w:spacing w:line="360" w:lineRule="auto"/>
        <w:ind w:firstLine="480" w:firstLineChars="200"/>
        <w:rPr>
          <w:sz w:val="24"/>
        </w:rPr>
      </w:pPr>
      <w:r>
        <w:rPr>
          <w:rFonts w:hint="eastAsia"/>
          <w:sz w:val="24"/>
        </w:rPr>
        <w:t xml:space="preserve">2025.3-2025.04  </w:t>
      </w:r>
      <w:r>
        <w:rPr>
          <w:rFonts w:hint="eastAsia" w:ascii="宋体" w:cs="宋体"/>
          <w:sz w:val="24"/>
        </w:rPr>
        <w:t>向建材工业综合标准化技术委员会申请召开标准审查会。</w:t>
      </w:r>
    </w:p>
    <w:p w14:paraId="4A8CB895">
      <w:pPr>
        <w:spacing w:line="360" w:lineRule="auto"/>
        <w:rPr>
          <w:b/>
          <w:sz w:val="24"/>
        </w:rPr>
      </w:pPr>
      <w:r>
        <w:rPr>
          <w:b/>
          <w:sz w:val="24"/>
        </w:rPr>
        <w:t xml:space="preserve">1.3 </w:t>
      </w:r>
      <w:r>
        <w:rPr>
          <w:rFonts w:hAnsi="宋体"/>
          <w:b/>
          <w:sz w:val="24"/>
        </w:rPr>
        <w:t>主要参加单位及工作组成员及其所做工作</w:t>
      </w:r>
    </w:p>
    <w:p w14:paraId="13921362">
      <w:pPr>
        <w:pStyle w:val="40"/>
        <w:spacing w:line="360" w:lineRule="auto"/>
        <w:ind w:firstLine="480"/>
        <w:rPr>
          <w:rFonts w:ascii="Times New Roman"/>
          <w:sz w:val="24"/>
          <w:szCs w:val="24"/>
        </w:rPr>
      </w:pPr>
      <w:r>
        <w:rPr>
          <w:rFonts w:ascii="Times New Roman" w:hAnsi="宋体"/>
          <w:sz w:val="24"/>
          <w:szCs w:val="24"/>
        </w:rPr>
        <w:t>本规程负责起草单位有：建筑材料工业技术监督研究中心、</w:t>
      </w:r>
      <w:bookmarkStart w:id="1" w:name="_Hlk173510479"/>
      <w:r>
        <w:rPr>
          <w:rFonts w:hint="eastAsia" w:ascii="Times New Roman" w:hAnsi="宋体"/>
          <w:sz w:val="24"/>
          <w:szCs w:val="24"/>
        </w:rPr>
        <w:t>中科华标（山东）建设发展有限公司、重庆泰恒建筑科技有限公司。</w:t>
      </w:r>
      <w:bookmarkEnd w:id="1"/>
    </w:p>
    <w:p w14:paraId="65FE559D">
      <w:pPr>
        <w:pStyle w:val="40"/>
        <w:spacing w:line="360" w:lineRule="auto"/>
        <w:ind w:firstLine="480"/>
        <w:rPr>
          <w:rFonts w:hint="eastAsia" w:ascii="Times New Roman" w:hAnsi="宋体"/>
          <w:sz w:val="24"/>
          <w:szCs w:val="24"/>
        </w:rPr>
      </w:pPr>
      <w:r>
        <w:rPr>
          <w:rFonts w:ascii="Times New Roman" w:hAnsi="宋体"/>
          <w:sz w:val="24"/>
          <w:szCs w:val="24"/>
        </w:rPr>
        <w:t>本规程参加起草单位：</w:t>
      </w:r>
      <w:r>
        <w:rPr>
          <w:rFonts w:hint="eastAsia" w:ascii="Times New Roman" w:hAnsi="宋体"/>
          <w:sz w:val="24"/>
          <w:szCs w:val="24"/>
        </w:rPr>
        <w:t>中科华标（山东）建设发展有限公司、重庆泰恒建筑科技有限公司。</w:t>
      </w:r>
    </w:p>
    <w:p w14:paraId="69275F05">
      <w:pPr>
        <w:spacing w:line="360" w:lineRule="auto"/>
        <w:ind w:firstLine="480" w:firstLineChars="200"/>
        <w:jc w:val="left"/>
        <w:rPr>
          <w:rFonts w:hint="eastAsia" w:hAnsi="宋体"/>
          <w:sz w:val="24"/>
        </w:rPr>
      </w:pPr>
      <w:r>
        <w:rPr>
          <w:rFonts w:hint="eastAsia" w:hAnsi="宋体"/>
          <w:sz w:val="24"/>
        </w:rPr>
        <w:t>本标准主要起草人：任强伟、扈士凯、李应权、姚智雄、陈志纯、韩磊、赵云鹏、王秋田、黄书权、董爱升、周楠楠、史小右、彭亮、 吴业川、缪卫星、朱延胜。</w:t>
      </w:r>
    </w:p>
    <w:p w14:paraId="26752DBE">
      <w:pPr>
        <w:spacing w:line="360" w:lineRule="auto"/>
        <w:ind w:firstLine="435"/>
        <w:rPr>
          <w:sz w:val="24"/>
        </w:rPr>
      </w:pPr>
      <w:r>
        <w:rPr>
          <w:rFonts w:hAnsi="宋体"/>
          <w:sz w:val="24"/>
        </w:rPr>
        <w:t>工作组成员及其主要分工见表</w:t>
      </w:r>
      <w:r>
        <w:rPr>
          <w:sz w:val="24"/>
        </w:rPr>
        <w:t>1</w:t>
      </w:r>
      <w:r>
        <w:rPr>
          <w:rFonts w:hAnsi="宋体"/>
          <w:sz w:val="24"/>
        </w:rPr>
        <w:t>。</w:t>
      </w:r>
    </w:p>
    <w:p w14:paraId="78688D37">
      <w:pPr>
        <w:spacing w:line="360" w:lineRule="auto"/>
        <w:jc w:val="center"/>
        <w:rPr>
          <w:b/>
          <w:szCs w:val="21"/>
        </w:rPr>
      </w:pPr>
      <w:r>
        <w:rPr>
          <w:rFonts w:hAnsi="宋体"/>
          <w:b/>
          <w:szCs w:val="21"/>
        </w:rPr>
        <w:t>表</w:t>
      </w:r>
      <w:r>
        <w:rPr>
          <w:b/>
          <w:szCs w:val="21"/>
        </w:rPr>
        <w:t xml:space="preserve">1 </w:t>
      </w:r>
      <w:r>
        <w:rPr>
          <w:rFonts w:hAnsi="宋体"/>
          <w:b/>
          <w:szCs w:val="21"/>
        </w:rPr>
        <w:t>工作组成员及其主要分工</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2437"/>
        <w:gridCol w:w="4366"/>
        <w:gridCol w:w="963"/>
      </w:tblGrid>
      <w:tr w14:paraId="799AD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vAlign w:val="center"/>
          </w:tcPr>
          <w:p w14:paraId="5DFE63DA">
            <w:pPr>
              <w:spacing w:line="360" w:lineRule="auto"/>
              <w:jc w:val="center"/>
              <w:rPr>
                <w:szCs w:val="21"/>
              </w:rPr>
            </w:pPr>
            <w:r>
              <w:rPr>
                <w:rFonts w:hAnsi="宋体"/>
                <w:szCs w:val="21"/>
              </w:rPr>
              <w:t>序号</w:t>
            </w:r>
          </w:p>
        </w:tc>
        <w:tc>
          <w:tcPr>
            <w:tcW w:w="1429" w:type="pct"/>
            <w:vAlign w:val="center"/>
          </w:tcPr>
          <w:p w14:paraId="03497931">
            <w:pPr>
              <w:spacing w:line="360" w:lineRule="auto"/>
              <w:jc w:val="center"/>
              <w:rPr>
                <w:szCs w:val="21"/>
              </w:rPr>
            </w:pPr>
            <w:r>
              <w:rPr>
                <w:rFonts w:hAnsi="宋体"/>
                <w:szCs w:val="21"/>
              </w:rPr>
              <w:t>项目</w:t>
            </w:r>
          </w:p>
        </w:tc>
        <w:tc>
          <w:tcPr>
            <w:tcW w:w="2560" w:type="pct"/>
            <w:vAlign w:val="center"/>
          </w:tcPr>
          <w:p w14:paraId="34BAFBDB">
            <w:pPr>
              <w:spacing w:line="360" w:lineRule="auto"/>
              <w:jc w:val="center"/>
              <w:rPr>
                <w:szCs w:val="21"/>
              </w:rPr>
            </w:pPr>
            <w:r>
              <w:rPr>
                <w:rFonts w:hAnsi="宋体"/>
                <w:szCs w:val="21"/>
              </w:rPr>
              <w:t>单位</w:t>
            </w:r>
          </w:p>
        </w:tc>
        <w:tc>
          <w:tcPr>
            <w:tcW w:w="564" w:type="pct"/>
            <w:vAlign w:val="center"/>
          </w:tcPr>
          <w:p w14:paraId="045CDD1A">
            <w:pPr>
              <w:spacing w:line="360" w:lineRule="auto"/>
              <w:jc w:val="center"/>
              <w:rPr>
                <w:szCs w:val="21"/>
              </w:rPr>
            </w:pPr>
            <w:r>
              <w:rPr>
                <w:rFonts w:hAnsi="宋体"/>
                <w:szCs w:val="21"/>
              </w:rPr>
              <w:t>负责人</w:t>
            </w:r>
          </w:p>
        </w:tc>
      </w:tr>
      <w:tr w14:paraId="6AE8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47" w:type="pct"/>
            <w:vMerge w:val="restart"/>
            <w:vAlign w:val="center"/>
          </w:tcPr>
          <w:p w14:paraId="456CB152">
            <w:pPr>
              <w:spacing w:line="360" w:lineRule="auto"/>
              <w:jc w:val="center"/>
              <w:rPr>
                <w:szCs w:val="21"/>
              </w:rPr>
            </w:pPr>
            <w:r>
              <w:rPr>
                <w:szCs w:val="21"/>
              </w:rPr>
              <w:t>1</w:t>
            </w:r>
          </w:p>
        </w:tc>
        <w:tc>
          <w:tcPr>
            <w:tcW w:w="1429" w:type="pct"/>
            <w:vMerge w:val="restart"/>
            <w:vAlign w:val="center"/>
          </w:tcPr>
          <w:p w14:paraId="75DB7353">
            <w:pPr>
              <w:spacing w:line="300" w:lineRule="auto"/>
              <w:jc w:val="center"/>
              <w:rPr>
                <w:szCs w:val="21"/>
              </w:rPr>
            </w:pPr>
            <w:r>
              <w:rPr>
                <w:rFonts w:hAnsi="宋体"/>
                <w:szCs w:val="21"/>
              </w:rPr>
              <w:t>初稿、征求意见稿</w:t>
            </w:r>
            <w:r>
              <w:rPr>
                <w:rFonts w:hint="eastAsia" w:hAnsi="宋体"/>
                <w:szCs w:val="21"/>
              </w:rPr>
              <w:t>、送审稿</w:t>
            </w:r>
          </w:p>
        </w:tc>
        <w:tc>
          <w:tcPr>
            <w:tcW w:w="2560" w:type="pct"/>
            <w:vAlign w:val="center"/>
          </w:tcPr>
          <w:p w14:paraId="7EE41D80">
            <w:pPr>
              <w:spacing w:line="300" w:lineRule="auto"/>
              <w:jc w:val="center"/>
              <w:rPr>
                <w:szCs w:val="21"/>
              </w:rPr>
            </w:pPr>
            <w:r>
              <w:rPr>
                <w:rFonts w:hAnsi="宋体"/>
                <w:szCs w:val="21"/>
              </w:rPr>
              <w:t>建筑材料工业技术监督研究中心</w:t>
            </w:r>
          </w:p>
        </w:tc>
        <w:tc>
          <w:tcPr>
            <w:tcW w:w="564" w:type="pct"/>
            <w:vMerge w:val="restart"/>
            <w:vAlign w:val="center"/>
          </w:tcPr>
          <w:p w14:paraId="4161BA05">
            <w:pPr>
              <w:spacing w:line="360" w:lineRule="auto"/>
              <w:jc w:val="center"/>
              <w:rPr>
                <w:szCs w:val="21"/>
              </w:rPr>
            </w:pPr>
            <w:r>
              <w:rPr>
                <w:rFonts w:hint="eastAsia"/>
                <w:szCs w:val="21"/>
              </w:rPr>
              <w:t>任强伟</w:t>
            </w:r>
          </w:p>
          <w:p w14:paraId="104CBC80">
            <w:pPr>
              <w:spacing w:line="360" w:lineRule="auto"/>
              <w:jc w:val="center"/>
              <w:rPr>
                <w:szCs w:val="21"/>
              </w:rPr>
            </w:pPr>
            <w:r>
              <w:rPr>
                <w:rFonts w:hint="eastAsia"/>
                <w:szCs w:val="21"/>
              </w:rPr>
              <w:t>扈士凯</w:t>
            </w:r>
          </w:p>
        </w:tc>
      </w:tr>
      <w:tr w14:paraId="58C67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447" w:type="pct"/>
            <w:vMerge w:val="continue"/>
            <w:vAlign w:val="center"/>
          </w:tcPr>
          <w:p w14:paraId="6A13AA05">
            <w:pPr>
              <w:spacing w:line="360" w:lineRule="auto"/>
              <w:jc w:val="center"/>
              <w:rPr>
                <w:szCs w:val="21"/>
              </w:rPr>
            </w:pPr>
          </w:p>
        </w:tc>
        <w:tc>
          <w:tcPr>
            <w:tcW w:w="1429" w:type="pct"/>
            <w:vMerge w:val="continue"/>
            <w:vAlign w:val="center"/>
          </w:tcPr>
          <w:p w14:paraId="0F6E64CD">
            <w:pPr>
              <w:spacing w:line="300" w:lineRule="auto"/>
              <w:jc w:val="center"/>
              <w:rPr>
                <w:rFonts w:hint="eastAsia" w:hAnsi="宋体"/>
                <w:szCs w:val="21"/>
              </w:rPr>
            </w:pPr>
          </w:p>
        </w:tc>
        <w:tc>
          <w:tcPr>
            <w:tcW w:w="2560" w:type="pct"/>
            <w:vAlign w:val="center"/>
          </w:tcPr>
          <w:p w14:paraId="191DBDEE">
            <w:pPr>
              <w:spacing w:line="300" w:lineRule="auto"/>
              <w:jc w:val="center"/>
              <w:rPr>
                <w:rFonts w:hint="eastAsia" w:hAnsi="宋体"/>
                <w:szCs w:val="21"/>
              </w:rPr>
            </w:pPr>
            <w:r>
              <w:rPr>
                <w:rFonts w:hint="eastAsia"/>
                <w:szCs w:val="21"/>
              </w:rPr>
              <w:t>河南华泰建材开发有限公司</w:t>
            </w:r>
          </w:p>
        </w:tc>
        <w:tc>
          <w:tcPr>
            <w:tcW w:w="564" w:type="pct"/>
            <w:vMerge w:val="continue"/>
            <w:vAlign w:val="center"/>
          </w:tcPr>
          <w:p w14:paraId="250C0271">
            <w:pPr>
              <w:spacing w:line="360" w:lineRule="auto"/>
              <w:jc w:val="center"/>
              <w:rPr>
                <w:szCs w:val="21"/>
              </w:rPr>
            </w:pPr>
          </w:p>
        </w:tc>
      </w:tr>
      <w:tr w14:paraId="0D46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pct"/>
            <w:vMerge w:val="continue"/>
            <w:vAlign w:val="center"/>
          </w:tcPr>
          <w:p w14:paraId="6A9A0613">
            <w:pPr>
              <w:spacing w:line="360" w:lineRule="auto"/>
              <w:jc w:val="center"/>
              <w:rPr>
                <w:szCs w:val="21"/>
              </w:rPr>
            </w:pPr>
          </w:p>
        </w:tc>
        <w:tc>
          <w:tcPr>
            <w:tcW w:w="1429" w:type="pct"/>
            <w:vMerge w:val="continue"/>
            <w:vAlign w:val="center"/>
          </w:tcPr>
          <w:p w14:paraId="31E7E922">
            <w:pPr>
              <w:spacing w:line="300" w:lineRule="auto"/>
              <w:jc w:val="center"/>
              <w:rPr>
                <w:szCs w:val="21"/>
              </w:rPr>
            </w:pPr>
          </w:p>
        </w:tc>
        <w:tc>
          <w:tcPr>
            <w:tcW w:w="2560" w:type="pct"/>
            <w:vAlign w:val="center"/>
          </w:tcPr>
          <w:p w14:paraId="28E79C36">
            <w:pPr>
              <w:spacing w:line="300" w:lineRule="auto"/>
              <w:jc w:val="center"/>
              <w:rPr>
                <w:szCs w:val="21"/>
              </w:rPr>
            </w:pPr>
            <w:r>
              <w:rPr>
                <w:rFonts w:hint="eastAsia" w:hAnsi="宋体"/>
                <w:szCs w:val="21"/>
              </w:rPr>
              <w:t>中科华标（山东）建设发展有限公司</w:t>
            </w:r>
          </w:p>
        </w:tc>
        <w:tc>
          <w:tcPr>
            <w:tcW w:w="564" w:type="pct"/>
            <w:vMerge w:val="continue"/>
            <w:vAlign w:val="center"/>
          </w:tcPr>
          <w:p w14:paraId="58609BCE">
            <w:pPr>
              <w:spacing w:line="360" w:lineRule="auto"/>
              <w:jc w:val="center"/>
              <w:rPr>
                <w:szCs w:val="21"/>
              </w:rPr>
            </w:pPr>
          </w:p>
        </w:tc>
      </w:tr>
      <w:tr w14:paraId="4331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47" w:type="pct"/>
            <w:vMerge w:val="continue"/>
            <w:vAlign w:val="center"/>
          </w:tcPr>
          <w:p w14:paraId="572D7524">
            <w:pPr>
              <w:spacing w:line="360" w:lineRule="auto"/>
              <w:jc w:val="center"/>
              <w:rPr>
                <w:szCs w:val="21"/>
              </w:rPr>
            </w:pPr>
          </w:p>
        </w:tc>
        <w:tc>
          <w:tcPr>
            <w:tcW w:w="1429" w:type="pct"/>
            <w:vMerge w:val="continue"/>
            <w:vAlign w:val="center"/>
          </w:tcPr>
          <w:p w14:paraId="05F3D26E">
            <w:pPr>
              <w:spacing w:line="300" w:lineRule="auto"/>
              <w:jc w:val="center"/>
              <w:rPr>
                <w:szCs w:val="21"/>
              </w:rPr>
            </w:pPr>
          </w:p>
        </w:tc>
        <w:tc>
          <w:tcPr>
            <w:tcW w:w="2560" w:type="pct"/>
            <w:vAlign w:val="center"/>
          </w:tcPr>
          <w:p w14:paraId="75DC6C19">
            <w:pPr>
              <w:spacing w:line="300" w:lineRule="auto"/>
              <w:jc w:val="center"/>
              <w:rPr>
                <w:szCs w:val="21"/>
              </w:rPr>
            </w:pPr>
            <w:r>
              <w:rPr>
                <w:rFonts w:hint="eastAsia"/>
                <w:szCs w:val="21"/>
              </w:rPr>
              <w:t>北京达丰久和节能技术有限公司</w:t>
            </w:r>
          </w:p>
        </w:tc>
        <w:tc>
          <w:tcPr>
            <w:tcW w:w="564" w:type="pct"/>
            <w:vMerge w:val="continue"/>
            <w:vAlign w:val="center"/>
          </w:tcPr>
          <w:p w14:paraId="242BE662">
            <w:pPr>
              <w:spacing w:line="360" w:lineRule="auto"/>
              <w:jc w:val="center"/>
              <w:rPr>
                <w:szCs w:val="21"/>
              </w:rPr>
            </w:pPr>
          </w:p>
        </w:tc>
      </w:tr>
      <w:tr w14:paraId="73DFE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447" w:type="pct"/>
            <w:vMerge w:val="continue"/>
            <w:vAlign w:val="center"/>
          </w:tcPr>
          <w:p w14:paraId="6E9B56B1">
            <w:pPr>
              <w:spacing w:line="360" w:lineRule="auto"/>
              <w:jc w:val="center"/>
              <w:rPr>
                <w:szCs w:val="21"/>
              </w:rPr>
            </w:pPr>
          </w:p>
        </w:tc>
        <w:tc>
          <w:tcPr>
            <w:tcW w:w="1429" w:type="pct"/>
            <w:vMerge w:val="continue"/>
            <w:vAlign w:val="center"/>
          </w:tcPr>
          <w:p w14:paraId="5859C374">
            <w:pPr>
              <w:spacing w:line="300" w:lineRule="auto"/>
              <w:jc w:val="center"/>
              <w:rPr>
                <w:szCs w:val="21"/>
              </w:rPr>
            </w:pPr>
          </w:p>
        </w:tc>
        <w:tc>
          <w:tcPr>
            <w:tcW w:w="2560" w:type="pct"/>
            <w:vAlign w:val="center"/>
          </w:tcPr>
          <w:p w14:paraId="06AC1C6D">
            <w:pPr>
              <w:spacing w:line="300" w:lineRule="auto"/>
              <w:jc w:val="center"/>
              <w:rPr>
                <w:rFonts w:hint="eastAsia" w:hAnsi="宋体"/>
                <w:szCs w:val="21"/>
              </w:rPr>
            </w:pPr>
            <w:r>
              <w:rPr>
                <w:rFonts w:hint="eastAsia" w:hAnsi="宋体"/>
                <w:szCs w:val="21"/>
              </w:rPr>
              <w:t>福建省峻源新型墙体材料科技有限公司</w:t>
            </w:r>
          </w:p>
        </w:tc>
        <w:tc>
          <w:tcPr>
            <w:tcW w:w="564" w:type="pct"/>
            <w:vMerge w:val="continue"/>
            <w:vAlign w:val="center"/>
          </w:tcPr>
          <w:p w14:paraId="13CB2890">
            <w:pPr>
              <w:spacing w:line="360" w:lineRule="auto"/>
              <w:jc w:val="center"/>
              <w:rPr>
                <w:szCs w:val="21"/>
              </w:rPr>
            </w:pPr>
          </w:p>
        </w:tc>
      </w:tr>
      <w:tr w14:paraId="3E0B2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447" w:type="pct"/>
            <w:vMerge w:val="continue"/>
            <w:vAlign w:val="center"/>
          </w:tcPr>
          <w:p w14:paraId="6A6A0772">
            <w:pPr>
              <w:spacing w:line="360" w:lineRule="auto"/>
              <w:jc w:val="center"/>
              <w:rPr>
                <w:szCs w:val="21"/>
              </w:rPr>
            </w:pPr>
          </w:p>
        </w:tc>
        <w:tc>
          <w:tcPr>
            <w:tcW w:w="1429" w:type="pct"/>
            <w:vMerge w:val="continue"/>
            <w:vAlign w:val="center"/>
          </w:tcPr>
          <w:p w14:paraId="00AC9947">
            <w:pPr>
              <w:spacing w:line="300" w:lineRule="auto"/>
              <w:jc w:val="center"/>
              <w:rPr>
                <w:szCs w:val="21"/>
              </w:rPr>
            </w:pPr>
          </w:p>
        </w:tc>
        <w:tc>
          <w:tcPr>
            <w:tcW w:w="2560" w:type="pct"/>
            <w:vAlign w:val="center"/>
          </w:tcPr>
          <w:p w14:paraId="7880EBBE">
            <w:pPr>
              <w:spacing w:line="300" w:lineRule="auto"/>
              <w:jc w:val="center"/>
              <w:rPr>
                <w:rFonts w:hint="eastAsia" w:hAnsi="宋体"/>
                <w:szCs w:val="21"/>
              </w:rPr>
            </w:pPr>
            <w:r>
              <w:rPr>
                <w:rFonts w:hint="eastAsia" w:hAnsi="宋体"/>
                <w:szCs w:val="21"/>
              </w:rPr>
              <w:t>浙江佰镪建材科技有限公司</w:t>
            </w:r>
          </w:p>
        </w:tc>
        <w:tc>
          <w:tcPr>
            <w:tcW w:w="564" w:type="pct"/>
            <w:vMerge w:val="continue"/>
            <w:vAlign w:val="center"/>
          </w:tcPr>
          <w:p w14:paraId="04E0C5A6">
            <w:pPr>
              <w:spacing w:line="360" w:lineRule="auto"/>
              <w:jc w:val="center"/>
              <w:rPr>
                <w:szCs w:val="21"/>
              </w:rPr>
            </w:pPr>
          </w:p>
        </w:tc>
      </w:tr>
      <w:tr w14:paraId="1702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447" w:type="pct"/>
            <w:vMerge w:val="continue"/>
            <w:vAlign w:val="center"/>
          </w:tcPr>
          <w:p w14:paraId="6ECE2C0C">
            <w:pPr>
              <w:spacing w:line="360" w:lineRule="auto"/>
              <w:jc w:val="center"/>
              <w:rPr>
                <w:szCs w:val="21"/>
              </w:rPr>
            </w:pPr>
          </w:p>
        </w:tc>
        <w:tc>
          <w:tcPr>
            <w:tcW w:w="1429" w:type="pct"/>
            <w:vMerge w:val="continue"/>
            <w:vAlign w:val="center"/>
          </w:tcPr>
          <w:p w14:paraId="767CCB42">
            <w:pPr>
              <w:spacing w:line="300" w:lineRule="auto"/>
              <w:jc w:val="center"/>
              <w:rPr>
                <w:szCs w:val="21"/>
              </w:rPr>
            </w:pPr>
          </w:p>
        </w:tc>
        <w:tc>
          <w:tcPr>
            <w:tcW w:w="2560" w:type="pct"/>
            <w:vAlign w:val="center"/>
          </w:tcPr>
          <w:p w14:paraId="2C8E8968">
            <w:pPr>
              <w:spacing w:line="300" w:lineRule="auto"/>
              <w:jc w:val="center"/>
              <w:rPr>
                <w:rFonts w:hint="eastAsia" w:hAnsi="宋体"/>
                <w:szCs w:val="21"/>
              </w:rPr>
            </w:pPr>
            <w:r>
              <w:rPr>
                <w:rFonts w:hint="eastAsia" w:hAnsi="宋体"/>
                <w:szCs w:val="21"/>
              </w:rPr>
              <w:t>北京欣中岩建筑装饰工程有限公司</w:t>
            </w:r>
          </w:p>
        </w:tc>
        <w:tc>
          <w:tcPr>
            <w:tcW w:w="564" w:type="pct"/>
            <w:vMerge w:val="continue"/>
            <w:vAlign w:val="center"/>
          </w:tcPr>
          <w:p w14:paraId="733A19F1">
            <w:pPr>
              <w:spacing w:line="360" w:lineRule="auto"/>
              <w:jc w:val="center"/>
              <w:rPr>
                <w:szCs w:val="21"/>
              </w:rPr>
            </w:pPr>
          </w:p>
        </w:tc>
      </w:tr>
      <w:tr w14:paraId="2644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47" w:type="pct"/>
            <w:vMerge w:val="continue"/>
            <w:vAlign w:val="center"/>
          </w:tcPr>
          <w:p w14:paraId="4B16FFC9">
            <w:pPr>
              <w:spacing w:line="360" w:lineRule="auto"/>
              <w:jc w:val="center"/>
              <w:rPr>
                <w:szCs w:val="21"/>
              </w:rPr>
            </w:pPr>
          </w:p>
        </w:tc>
        <w:tc>
          <w:tcPr>
            <w:tcW w:w="1429" w:type="pct"/>
            <w:vMerge w:val="continue"/>
            <w:vAlign w:val="center"/>
          </w:tcPr>
          <w:p w14:paraId="4C5FB243">
            <w:pPr>
              <w:spacing w:line="300" w:lineRule="auto"/>
              <w:jc w:val="center"/>
              <w:rPr>
                <w:szCs w:val="21"/>
              </w:rPr>
            </w:pPr>
          </w:p>
        </w:tc>
        <w:tc>
          <w:tcPr>
            <w:tcW w:w="2560" w:type="pct"/>
            <w:vAlign w:val="center"/>
          </w:tcPr>
          <w:p w14:paraId="0E4691EE">
            <w:pPr>
              <w:spacing w:line="300" w:lineRule="auto"/>
              <w:jc w:val="center"/>
              <w:rPr>
                <w:szCs w:val="21"/>
              </w:rPr>
            </w:pPr>
            <w:r>
              <w:rPr>
                <w:rFonts w:hint="eastAsia"/>
                <w:szCs w:val="21"/>
              </w:rPr>
              <w:t>广东鑫唐宋新技术有限公司</w:t>
            </w:r>
          </w:p>
        </w:tc>
        <w:tc>
          <w:tcPr>
            <w:tcW w:w="564" w:type="pct"/>
            <w:vMerge w:val="continue"/>
            <w:vAlign w:val="center"/>
          </w:tcPr>
          <w:p w14:paraId="445905EB">
            <w:pPr>
              <w:spacing w:line="360" w:lineRule="auto"/>
              <w:jc w:val="center"/>
              <w:rPr>
                <w:szCs w:val="21"/>
              </w:rPr>
            </w:pPr>
          </w:p>
        </w:tc>
      </w:tr>
      <w:tr w14:paraId="69A9C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447" w:type="pct"/>
            <w:vMerge w:val="continue"/>
            <w:vAlign w:val="center"/>
          </w:tcPr>
          <w:p w14:paraId="39739CA3">
            <w:pPr>
              <w:spacing w:line="360" w:lineRule="auto"/>
              <w:jc w:val="center"/>
              <w:rPr>
                <w:szCs w:val="21"/>
              </w:rPr>
            </w:pPr>
          </w:p>
        </w:tc>
        <w:tc>
          <w:tcPr>
            <w:tcW w:w="1429" w:type="pct"/>
            <w:vMerge w:val="continue"/>
            <w:vAlign w:val="center"/>
          </w:tcPr>
          <w:p w14:paraId="234CF4B4">
            <w:pPr>
              <w:spacing w:line="300" w:lineRule="auto"/>
              <w:jc w:val="center"/>
              <w:rPr>
                <w:szCs w:val="21"/>
              </w:rPr>
            </w:pPr>
          </w:p>
        </w:tc>
        <w:tc>
          <w:tcPr>
            <w:tcW w:w="2560" w:type="pct"/>
            <w:vAlign w:val="center"/>
          </w:tcPr>
          <w:p w14:paraId="5A546EE9">
            <w:pPr>
              <w:jc w:val="center"/>
              <w:rPr>
                <w:rFonts w:hint="eastAsia" w:ascii="宋体" w:hAnsi="宋体" w:cs="宋体"/>
                <w:color w:val="000000"/>
                <w:szCs w:val="21"/>
              </w:rPr>
            </w:pPr>
            <w:r>
              <w:rPr>
                <w:rFonts w:hint="eastAsia"/>
                <w:szCs w:val="21"/>
              </w:rPr>
              <w:t>夏津县来财建筑工程有限公司</w:t>
            </w:r>
          </w:p>
        </w:tc>
        <w:tc>
          <w:tcPr>
            <w:tcW w:w="564" w:type="pct"/>
            <w:vMerge w:val="continue"/>
            <w:vAlign w:val="center"/>
          </w:tcPr>
          <w:p w14:paraId="742FD275">
            <w:pPr>
              <w:spacing w:line="360" w:lineRule="auto"/>
              <w:jc w:val="center"/>
              <w:rPr>
                <w:szCs w:val="21"/>
              </w:rPr>
            </w:pPr>
          </w:p>
        </w:tc>
      </w:tr>
      <w:tr w14:paraId="2D14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vAlign w:val="center"/>
          </w:tcPr>
          <w:p w14:paraId="4272D67E">
            <w:pPr>
              <w:spacing w:line="360" w:lineRule="auto"/>
              <w:jc w:val="center"/>
              <w:rPr>
                <w:szCs w:val="21"/>
              </w:rPr>
            </w:pPr>
            <w:r>
              <w:rPr>
                <w:szCs w:val="21"/>
              </w:rPr>
              <w:t>2</w:t>
            </w:r>
          </w:p>
        </w:tc>
        <w:tc>
          <w:tcPr>
            <w:tcW w:w="1429" w:type="pct"/>
            <w:vAlign w:val="center"/>
          </w:tcPr>
          <w:p w14:paraId="4A9B7B7C">
            <w:pPr>
              <w:spacing w:line="300" w:lineRule="auto"/>
              <w:jc w:val="center"/>
              <w:rPr>
                <w:szCs w:val="21"/>
              </w:rPr>
            </w:pPr>
            <w:r>
              <w:rPr>
                <w:rFonts w:hAnsi="宋体"/>
                <w:szCs w:val="21"/>
              </w:rPr>
              <w:t>编制说明</w:t>
            </w:r>
          </w:p>
        </w:tc>
        <w:tc>
          <w:tcPr>
            <w:tcW w:w="2560" w:type="pct"/>
            <w:vAlign w:val="center"/>
          </w:tcPr>
          <w:p w14:paraId="49DD2A79">
            <w:pPr>
              <w:spacing w:line="300" w:lineRule="auto"/>
              <w:jc w:val="center"/>
              <w:rPr>
                <w:szCs w:val="21"/>
              </w:rPr>
            </w:pPr>
            <w:r>
              <w:rPr>
                <w:rFonts w:hAnsi="宋体"/>
                <w:szCs w:val="21"/>
              </w:rPr>
              <w:t>建筑材料工业技术监督研究中心</w:t>
            </w:r>
          </w:p>
        </w:tc>
        <w:tc>
          <w:tcPr>
            <w:tcW w:w="564" w:type="pct"/>
            <w:vAlign w:val="center"/>
          </w:tcPr>
          <w:p w14:paraId="44B34969">
            <w:pPr>
              <w:spacing w:line="360" w:lineRule="auto"/>
              <w:jc w:val="center"/>
              <w:rPr>
                <w:szCs w:val="21"/>
              </w:rPr>
            </w:pPr>
            <w:r>
              <w:rPr>
                <w:rFonts w:hint="eastAsia"/>
                <w:szCs w:val="21"/>
              </w:rPr>
              <w:t>任强伟扈士凯</w:t>
            </w:r>
          </w:p>
        </w:tc>
      </w:tr>
      <w:tr w14:paraId="225C9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47" w:type="pct"/>
            <w:vMerge w:val="restart"/>
            <w:vAlign w:val="center"/>
          </w:tcPr>
          <w:p w14:paraId="7705CB18">
            <w:pPr>
              <w:spacing w:line="360" w:lineRule="auto"/>
              <w:jc w:val="center"/>
              <w:rPr>
                <w:szCs w:val="21"/>
              </w:rPr>
            </w:pPr>
            <w:r>
              <w:rPr>
                <w:szCs w:val="21"/>
              </w:rPr>
              <w:t>3</w:t>
            </w:r>
          </w:p>
        </w:tc>
        <w:tc>
          <w:tcPr>
            <w:tcW w:w="1429" w:type="pct"/>
            <w:vMerge w:val="restart"/>
            <w:vAlign w:val="center"/>
          </w:tcPr>
          <w:p w14:paraId="344D6004">
            <w:pPr>
              <w:spacing w:line="300" w:lineRule="auto"/>
              <w:jc w:val="center"/>
              <w:rPr>
                <w:szCs w:val="21"/>
              </w:rPr>
            </w:pPr>
            <w:r>
              <w:rPr>
                <w:rFonts w:hAnsi="宋体"/>
                <w:szCs w:val="21"/>
              </w:rPr>
              <w:t>验证试验</w:t>
            </w:r>
          </w:p>
        </w:tc>
        <w:tc>
          <w:tcPr>
            <w:tcW w:w="2560" w:type="pct"/>
            <w:vAlign w:val="center"/>
          </w:tcPr>
          <w:p w14:paraId="17693C84">
            <w:pPr>
              <w:spacing w:line="300" w:lineRule="auto"/>
              <w:jc w:val="center"/>
              <w:rPr>
                <w:szCs w:val="21"/>
              </w:rPr>
            </w:pPr>
            <w:r>
              <w:rPr>
                <w:szCs w:val="21"/>
              </w:rPr>
              <w:t>建筑材料工业技术监督研究中心</w:t>
            </w:r>
          </w:p>
        </w:tc>
        <w:tc>
          <w:tcPr>
            <w:tcW w:w="564" w:type="pct"/>
            <w:vMerge w:val="restart"/>
            <w:vAlign w:val="center"/>
          </w:tcPr>
          <w:p w14:paraId="605D4FC0">
            <w:pPr>
              <w:spacing w:line="360" w:lineRule="auto"/>
              <w:jc w:val="center"/>
              <w:rPr>
                <w:szCs w:val="21"/>
              </w:rPr>
            </w:pPr>
            <w:r>
              <w:rPr>
                <w:rFonts w:hint="eastAsia"/>
                <w:szCs w:val="21"/>
              </w:rPr>
              <w:t>任强伟</w:t>
            </w:r>
          </w:p>
          <w:p w14:paraId="71E0F651">
            <w:pPr>
              <w:spacing w:line="360" w:lineRule="auto"/>
              <w:jc w:val="center"/>
              <w:rPr>
                <w:szCs w:val="21"/>
              </w:rPr>
            </w:pPr>
            <w:r>
              <w:rPr>
                <w:rFonts w:hint="eastAsia"/>
                <w:szCs w:val="21"/>
              </w:rPr>
              <w:t>陈志纯韩磊</w:t>
            </w:r>
          </w:p>
          <w:p w14:paraId="3B435D3C">
            <w:pPr>
              <w:spacing w:line="360" w:lineRule="auto"/>
              <w:jc w:val="center"/>
              <w:rPr>
                <w:szCs w:val="21"/>
              </w:rPr>
            </w:pPr>
            <w:r>
              <w:rPr>
                <w:rFonts w:hint="eastAsia"/>
                <w:szCs w:val="21"/>
              </w:rPr>
              <w:t>赵云鹏</w:t>
            </w:r>
          </w:p>
        </w:tc>
      </w:tr>
      <w:tr w14:paraId="7BE4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47" w:type="pct"/>
            <w:vMerge w:val="continue"/>
            <w:vAlign w:val="center"/>
          </w:tcPr>
          <w:p w14:paraId="6F4DAA49">
            <w:pPr>
              <w:spacing w:line="360" w:lineRule="auto"/>
              <w:jc w:val="center"/>
              <w:rPr>
                <w:szCs w:val="21"/>
              </w:rPr>
            </w:pPr>
          </w:p>
        </w:tc>
        <w:tc>
          <w:tcPr>
            <w:tcW w:w="1429" w:type="pct"/>
            <w:vMerge w:val="continue"/>
            <w:vAlign w:val="center"/>
          </w:tcPr>
          <w:p w14:paraId="118A992D">
            <w:pPr>
              <w:spacing w:line="300" w:lineRule="auto"/>
              <w:jc w:val="center"/>
              <w:rPr>
                <w:rFonts w:hint="eastAsia" w:hAnsi="宋体"/>
                <w:szCs w:val="21"/>
              </w:rPr>
            </w:pPr>
          </w:p>
        </w:tc>
        <w:tc>
          <w:tcPr>
            <w:tcW w:w="2560" w:type="pct"/>
            <w:vAlign w:val="center"/>
          </w:tcPr>
          <w:p w14:paraId="0D230122">
            <w:pPr>
              <w:spacing w:line="300" w:lineRule="auto"/>
              <w:jc w:val="center"/>
              <w:rPr>
                <w:szCs w:val="21"/>
              </w:rPr>
            </w:pPr>
            <w:r>
              <w:rPr>
                <w:rFonts w:hint="eastAsia"/>
                <w:szCs w:val="21"/>
              </w:rPr>
              <w:t>东南大学</w:t>
            </w:r>
          </w:p>
        </w:tc>
        <w:tc>
          <w:tcPr>
            <w:tcW w:w="564" w:type="pct"/>
            <w:vMerge w:val="continue"/>
            <w:vAlign w:val="center"/>
          </w:tcPr>
          <w:p w14:paraId="12EF2828">
            <w:pPr>
              <w:spacing w:line="360" w:lineRule="auto"/>
              <w:jc w:val="center"/>
              <w:rPr>
                <w:szCs w:val="21"/>
              </w:rPr>
            </w:pPr>
          </w:p>
        </w:tc>
      </w:tr>
      <w:tr w14:paraId="4C2A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447" w:type="pct"/>
            <w:vMerge w:val="continue"/>
            <w:vAlign w:val="center"/>
          </w:tcPr>
          <w:p w14:paraId="5480366C">
            <w:pPr>
              <w:spacing w:line="360" w:lineRule="auto"/>
              <w:jc w:val="center"/>
              <w:rPr>
                <w:szCs w:val="21"/>
              </w:rPr>
            </w:pPr>
          </w:p>
        </w:tc>
        <w:tc>
          <w:tcPr>
            <w:tcW w:w="1429" w:type="pct"/>
            <w:vMerge w:val="continue"/>
            <w:vAlign w:val="center"/>
          </w:tcPr>
          <w:p w14:paraId="55B4BBC1">
            <w:pPr>
              <w:spacing w:line="300" w:lineRule="auto"/>
              <w:jc w:val="center"/>
              <w:rPr>
                <w:rFonts w:hint="eastAsia" w:hAnsi="宋体"/>
                <w:szCs w:val="21"/>
              </w:rPr>
            </w:pPr>
          </w:p>
        </w:tc>
        <w:tc>
          <w:tcPr>
            <w:tcW w:w="2560" w:type="pct"/>
            <w:vAlign w:val="center"/>
          </w:tcPr>
          <w:p w14:paraId="1193B1E2">
            <w:pPr>
              <w:spacing w:line="300" w:lineRule="auto"/>
              <w:jc w:val="center"/>
              <w:rPr>
                <w:szCs w:val="21"/>
              </w:rPr>
            </w:pPr>
            <w:r>
              <w:rPr>
                <w:rFonts w:hint="eastAsia"/>
                <w:szCs w:val="21"/>
              </w:rPr>
              <w:t>北京建筑大学</w:t>
            </w:r>
          </w:p>
        </w:tc>
        <w:tc>
          <w:tcPr>
            <w:tcW w:w="564" w:type="pct"/>
            <w:vMerge w:val="continue"/>
            <w:vAlign w:val="center"/>
          </w:tcPr>
          <w:p w14:paraId="6A1BEB9D">
            <w:pPr>
              <w:spacing w:line="360" w:lineRule="auto"/>
              <w:jc w:val="center"/>
              <w:rPr>
                <w:rFonts w:hint="eastAsia" w:hAnsi="宋体"/>
                <w:szCs w:val="21"/>
              </w:rPr>
            </w:pPr>
          </w:p>
        </w:tc>
      </w:tr>
      <w:tr w14:paraId="04286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447" w:type="pct"/>
            <w:vAlign w:val="center"/>
          </w:tcPr>
          <w:p w14:paraId="52CADD52">
            <w:pPr>
              <w:spacing w:line="360" w:lineRule="auto"/>
              <w:jc w:val="center"/>
              <w:rPr>
                <w:szCs w:val="21"/>
              </w:rPr>
            </w:pPr>
            <w:r>
              <w:rPr>
                <w:szCs w:val="21"/>
              </w:rPr>
              <w:t>4</w:t>
            </w:r>
          </w:p>
        </w:tc>
        <w:tc>
          <w:tcPr>
            <w:tcW w:w="1429" w:type="pct"/>
            <w:vAlign w:val="center"/>
          </w:tcPr>
          <w:p w14:paraId="4B997F96">
            <w:pPr>
              <w:spacing w:line="360" w:lineRule="auto"/>
              <w:jc w:val="center"/>
              <w:rPr>
                <w:szCs w:val="21"/>
              </w:rPr>
            </w:pPr>
            <w:r>
              <w:rPr>
                <w:rFonts w:hAnsi="宋体"/>
                <w:szCs w:val="21"/>
              </w:rPr>
              <w:t>征求意见汇总</w:t>
            </w:r>
          </w:p>
        </w:tc>
        <w:tc>
          <w:tcPr>
            <w:tcW w:w="2560" w:type="pct"/>
            <w:vAlign w:val="center"/>
          </w:tcPr>
          <w:p w14:paraId="5AC06D70">
            <w:pPr>
              <w:spacing w:line="300" w:lineRule="auto"/>
              <w:jc w:val="center"/>
              <w:rPr>
                <w:szCs w:val="21"/>
              </w:rPr>
            </w:pPr>
            <w:r>
              <w:rPr>
                <w:rFonts w:hAnsi="宋体"/>
                <w:szCs w:val="21"/>
              </w:rPr>
              <w:t>建筑材料工业技术监督研究中心</w:t>
            </w:r>
          </w:p>
        </w:tc>
        <w:tc>
          <w:tcPr>
            <w:tcW w:w="564" w:type="pct"/>
            <w:vAlign w:val="center"/>
          </w:tcPr>
          <w:p w14:paraId="23335AA0">
            <w:pPr>
              <w:spacing w:line="360" w:lineRule="auto"/>
              <w:jc w:val="center"/>
              <w:rPr>
                <w:szCs w:val="21"/>
              </w:rPr>
            </w:pPr>
            <w:r>
              <w:rPr>
                <w:rFonts w:hint="eastAsia" w:hAnsi="宋体"/>
                <w:szCs w:val="21"/>
              </w:rPr>
              <w:t>任强伟</w:t>
            </w:r>
          </w:p>
        </w:tc>
      </w:tr>
      <w:tr w14:paraId="43F80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447" w:type="pct"/>
            <w:vMerge w:val="restart"/>
            <w:vAlign w:val="center"/>
          </w:tcPr>
          <w:p w14:paraId="1CDF9D7F">
            <w:pPr>
              <w:spacing w:line="360" w:lineRule="auto"/>
              <w:jc w:val="center"/>
              <w:rPr>
                <w:szCs w:val="21"/>
              </w:rPr>
            </w:pPr>
            <w:r>
              <w:rPr>
                <w:szCs w:val="21"/>
              </w:rPr>
              <w:t>5</w:t>
            </w:r>
          </w:p>
        </w:tc>
        <w:tc>
          <w:tcPr>
            <w:tcW w:w="1429" w:type="pct"/>
            <w:vMerge w:val="restart"/>
            <w:vAlign w:val="center"/>
          </w:tcPr>
          <w:p w14:paraId="49A9E162">
            <w:pPr>
              <w:spacing w:line="360" w:lineRule="auto"/>
              <w:jc w:val="center"/>
              <w:rPr>
                <w:szCs w:val="21"/>
              </w:rPr>
            </w:pPr>
            <w:r>
              <w:rPr>
                <w:rFonts w:hAnsi="宋体"/>
                <w:szCs w:val="21"/>
              </w:rPr>
              <w:t>国内外资料收集、翻译</w:t>
            </w:r>
          </w:p>
        </w:tc>
        <w:tc>
          <w:tcPr>
            <w:tcW w:w="2560" w:type="pct"/>
            <w:vAlign w:val="center"/>
          </w:tcPr>
          <w:p w14:paraId="15385B0C">
            <w:pPr>
              <w:spacing w:line="300" w:lineRule="auto"/>
              <w:jc w:val="center"/>
              <w:rPr>
                <w:szCs w:val="21"/>
              </w:rPr>
            </w:pPr>
            <w:r>
              <w:rPr>
                <w:rFonts w:hAnsi="宋体"/>
                <w:szCs w:val="21"/>
              </w:rPr>
              <w:t>建筑材料工业技术监督研究中心</w:t>
            </w:r>
          </w:p>
        </w:tc>
        <w:tc>
          <w:tcPr>
            <w:tcW w:w="564" w:type="pct"/>
            <w:vMerge w:val="restart"/>
            <w:vAlign w:val="center"/>
          </w:tcPr>
          <w:p w14:paraId="2E09AB29">
            <w:pPr>
              <w:spacing w:line="360" w:lineRule="auto"/>
              <w:jc w:val="center"/>
              <w:rPr>
                <w:szCs w:val="21"/>
              </w:rPr>
            </w:pPr>
            <w:r>
              <w:rPr>
                <w:rFonts w:hint="eastAsia"/>
                <w:szCs w:val="21"/>
              </w:rPr>
              <w:t>任强伟</w:t>
            </w:r>
          </w:p>
        </w:tc>
      </w:tr>
      <w:tr w14:paraId="68A1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47" w:type="pct"/>
            <w:vMerge w:val="continue"/>
            <w:vAlign w:val="center"/>
          </w:tcPr>
          <w:p w14:paraId="1D6C0B92">
            <w:pPr>
              <w:spacing w:line="360" w:lineRule="auto"/>
              <w:jc w:val="center"/>
              <w:rPr>
                <w:szCs w:val="21"/>
              </w:rPr>
            </w:pPr>
          </w:p>
        </w:tc>
        <w:tc>
          <w:tcPr>
            <w:tcW w:w="1429" w:type="pct"/>
            <w:vMerge w:val="continue"/>
            <w:vAlign w:val="center"/>
          </w:tcPr>
          <w:p w14:paraId="5504A26D">
            <w:pPr>
              <w:spacing w:line="360" w:lineRule="auto"/>
              <w:jc w:val="center"/>
              <w:rPr>
                <w:rFonts w:hint="eastAsia" w:hAnsi="宋体"/>
                <w:szCs w:val="21"/>
              </w:rPr>
            </w:pPr>
          </w:p>
        </w:tc>
        <w:tc>
          <w:tcPr>
            <w:tcW w:w="2560" w:type="pct"/>
            <w:vAlign w:val="center"/>
          </w:tcPr>
          <w:p w14:paraId="2DD806E4">
            <w:pPr>
              <w:spacing w:line="300" w:lineRule="auto"/>
              <w:jc w:val="center"/>
              <w:rPr>
                <w:rFonts w:hint="eastAsia" w:hAnsi="宋体"/>
                <w:szCs w:val="21"/>
              </w:rPr>
            </w:pPr>
            <w:r>
              <w:rPr>
                <w:rFonts w:hint="eastAsia" w:hAnsi="宋体"/>
                <w:szCs w:val="21"/>
              </w:rPr>
              <w:t>北京建筑大学</w:t>
            </w:r>
          </w:p>
        </w:tc>
        <w:tc>
          <w:tcPr>
            <w:tcW w:w="564" w:type="pct"/>
            <w:vMerge w:val="continue"/>
            <w:vAlign w:val="center"/>
          </w:tcPr>
          <w:p w14:paraId="538D23C1">
            <w:pPr>
              <w:spacing w:line="360" w:lineRule="auto"/>
              <w:jc w:val="center"/>
              <w:rPr>
                <w:rFonts w:hint="eastAsia" w:hAnsi="宋体"/>
                <w:szCs w:val="21"/>
              </w:rPr>
            </w:pPr>
          </w:p>
        </w:tc>
      </w:tr>
      <w:tr w14:paraId="777D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447" w:type="pct"/>
            <w:vMerge w:val="continue"/>
            <w:vAlign w:val="center"/>
          </w:tcPr>
          <w:p w14:paraId="19F243E5">
            <w:pPr>
              <w:spacing w:line="360" w:lineRule="auto"/>
              <w:jc w:val="center"/>
              <w:rPr>
                <w:szCs w:val="21"/>
              </w:rPr>
            </w:pPr>
          </w:p>
        </w:tc>
        <w:tc>
          <w:tcPr>
            <w:tcW w:w="1429" w:type="pct"/>
            <w:vMerge w:val="continue"/>
            <w:vAlign w:val="center"/>
          </w:tcPr>
          <w:p w14:paraId="7E237896">
            <w:pPr>
              <w:spacing w:line="360" w:lineRule="auto"/>
              <w:jc w:val="center"/>
              <w:rPr>
                <w:szCs w:val="21"/>
              </w:rPr>
            </w:pPr>
          </w:p>
        </w:tc>
        <w:tc>
          <w:tcPr>
            <w:tcW w:w="2560" w:type="pct"/>
            <w:vAlign w:val="center"/>
          </w:tcPr>
          <w:p w14:paraId="31D60EE0">
            <w:pPr>
              <w:spacing w:line="300" w:lineRule="auto"/>
              <w:jc w:val="center"/>
              <w:rPr>
                <w:szCs w:val="21"/>
              </w:rPr>
            </w:pPr>
            <w:r>
              <w:rPr>
                <w:rFonts w:hint="eastAsia" w:hAnsi="宋体"/>
                <w:szCs w:val="21"/>
              </w:rPr>
              <w:t>建筑材料工业技术情报研究所</w:t>
            </w:r>
          </w:p>
        </w:tc>
        <w:tc>
          <w:tcPr>
            <w:tcW w:w="564" w:type="pct"/>
            <w:vMerge w:val="continue"/>
            <w:vAlign w:val="center"/>
          </w:tcPr>
          <w:p w14:paraId="7C056EEE">
            <w:pPr>
              <w:spacing w:line="360" w:lineRule="auto"/>
              <w:jc w:val="center"/>
              <w:rPr>
                <w:szCs w:val="21"/>
              </w:rPr>
            </w:pPr>
          </w:p>
        </w:tc>
      </w:tr>
      <w:tr w14:paraId="77B8E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vMerge w:val="restart"/>
            <w:vAlign w:val="center"/>
          </w:tcPr>
          <w:p w14:paraId="2678AEE3">
            <w:pPr>
              <w:spacing w:line="360" w:lineRule="auto"/>
              <w:jc w:val="center"/>
              <w:rPr>
                <w:szCs w:val="21"/>
              </w:rPr>
            </w:pPr>
            <w:r>
              <w:rPr>
                <w:szCs w:val="21"/>
              </w:rPr>
              <w:t>6</w:t>
            </w:r>
          </w:p>
        </w:tc>
        <w:tc>
          <w:tcPr>
            <w:tcW w:w="1429" w:type="pct"/>
            <w:vMerge w:val="restart"/>
            <w:vAlign w:val="center"/>
          </w:tcPr>
          <w:p w14:paraId="7EDA0803">
            <w:pPr>
              <w:spacing w:line="360" w:lineRule="auto"/>
              <w:jc w:val="center"/>
              <w:rPr>
                <w:szCs w:val="21"/>
              </w:rPr>
            </w:pPr>
            <w:r>
              <w:rPr>
                <w:rFonts w:hAnsi="宋体"/>
                <w:szCs w:val="21"/>
              </w:rPr>
              <w:t>行业调研、工程技术调研及样品制备</w:t>
            </w:r>
          </w:p>
        </w:tc>
        <w:tc>
          <w:tcPr>
            <w:tcW w:w="2560" w:type="pct"/>
            <w:vAlign w:val="center"/>
          </w:tcPr>
          <w:p w14:paraId="0D725B38">
            <w:pPr>
              <w:spacing w:line="300" w:lineRule="auto"/>
              <w:jc w:val="center"/>
              <w:rPr>
                <w:szCs w:val="21"/>
              </w:rPr>
            </w:pPr>
            <w:r>
              <w:rPr>
                <w:rFonts w:hAnsi="宋体"/>
                <w:szCs w:val="21"/>
              </w:rPr>
              <w:t>建筑材料工业技术监督研究中心</w:t>
            </w:r>
          </w:p>
        </w:tc>
        <w:tc>
          <w:tcPr>
            <w:tcW w:w="564" w:type="pct"/>
            <w:vMerge w:val="restart"/>
            <w:vAlign w:val="center"/>
          </w:tcPr>
          <w:p w14:paraId="4FA7CA14">
            <w:pPr>
              <w:spacing w:line="360" w:lineRule="auto"/>
              <w:jc w:val="center"/>
              <w:rPr>
                <w:szCs w:val="21"/>
              </w:rPr>
            </w:pPr>
            <w:r>
              <w:rPr>
                <w:rFonts w:hint="eastAsia"/>
                <w:szCs w:val="21"/>
              </w:rPr>
              <w:t>任强伟</w:t>
            </w:r>
          </w:p>
          <w:p w14:paraId="7A3D5F7A">
            <w:pPr>
              <w:spacing w:line="360" w:lineRule="auto"/>
              <w:jc w:val="center"/>
              <w:rPr>
                <w:szCs w:val="21"/>
              </w:rPr>
            </w:pPr>
            <w:r>
              <w:rPr>
                <w:rFonts w:hint="eastAsia"/>
                <w:szCs w:val="21"/>
              </w:rPr>
              <w:t>扈士凯</w:t>
            </w:r>
          </w:p>
          <w:p w14:paraId="77223E32">
            <w:pPr>
              <w:spacing w:line="360" w:lineRule="auto"/>
              <w:jc w:val="center"/>
              <w:rPr>
                <w:szCs w:val="21"/>
              </w:rPr>
            </w:pPr>
            <w:r>
              <w:rPr>
                <w:rFonts w:hint="eastAsia"/>
                <w:szCs w:val="21"/>
              </w:rPr>
              <w:t>赵云鹏</w:t>
            </w:r>
          </w:p>
        </w:tc>
      </w:tr>
      <w:tr w14:paraId="22A5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vMerge w:val="continue"/>
            <w:vAlign w:val="center"/>
          </w:tcPr>
          <w:p w14:paraId="0CCD1FCC">
            <w:pPr>
              <w:spacing w:line="360" w:lineRule="auto"/>
              <w:jc w:val="center"/>
              <w:rPr>
                <w:szCs w:val="21"/>
              </w:rPr>
            </w:pPr>
          </w:p>
        </w:tc>
        <w:tc>
          <w:tcPr>
            <w:tcW w:w="1429" w:type="pct"/>
            <w:vMerge w:val="continue"/>
            <w:vAlign w:val="center"/>
          </w:tcPr>
          <w:p w14:paraId="34498CC8">
            <w:pPr>
              <w:spacing w:line="360" w:lineRule="auto"/>
              <w:jc w:val="center"/>
              <w:rPr>
                <w:szCs w:val="21"/>
              </w:rPr>
            </w:pPr>
          </w:p>
        </w:tc>
        <w:tc>
          <w:tcPr>
            <w:tcW w:w="2560" w:type="pct"/>
            <w:vAlign w:val="center"/>
          </w:tcPr>
          <w:p w14:paraId="04AAACED">
            <w:pPr>
              <w:spacing w:line="300" w:lineRule="auto"/>
              <w:rPr>
                <w:szCs w:val="21"/>
              </w:rPr>
            </w:pPr>
            <w:r>
              <w:rPr>
                <w:rFonts w:hint="eastAsia"/>
                <w:szCs w:val="21"/>
              </w:rPr>
              <w:t xml:space="preserve">      河南华泰建材开发有限公司</w:t>
            </w:r>
          </w:p>
        </w:tc>
        <w:tc>
          <w:tcPr>
            <w:tcW w:w="564" w:type="pct"/>
            <w:vMerge w:val="continue"/>
            <w:vAlign w:val="center"/>
          </w:tcPr>
          <w:p w14:paraId="22B8B287">
            <w:pPr>
              <w:spacing w:line="360" w:lineRule="auto"/>
              <w:jc w:val="center"/>
              <w:rPr>
                <w:szCs w:val="21"/>
              </w:rPr>
            </w:pPr>
          </w:p>
        </w:tc>
      </w:tr>
      <w:tr w14:paraId="56007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vMerge w:val="continue"/>
            <w:vAlign w:val="center"/>
          </w:tcPr>
          <w:p w14:paraId="474047D3">
            <w:pPr>
              <w:spacing w:line="360" w:lineRule="auto"/>
              <w:jc w:val="center"/>
              <w:rPr>
                <w:szCs w:val="21"/>
              </w:rPr>
            </w:pPr>
          </w:p>
        </w:tc>
        <w:tc>
          <w:tcPr>
            <w:tcW w:w="1429" w:type="pct"/>
            <w:vMerge w:val="continue"/>
            <w:vAlign w:val="center"/>
          </w:tcPr>
          <w:p w14:paraId="081032A3">
            <w:pPr>
              <w:spacing w:line="360" w:lineRule="auto"/>
              <w:jc w:val="center"/>
              <w:rPr>
                <w:szCs w:val="21"/>
              </w:rPr>
            </w:pPr>
          </w:p>
        </w:tc>
        <w:tc>
          <w:tcPr>
            <w:tcW w:w="2560" w:type="pct"/>
            <w:vAlign w:val="center"/>
          </w:tcPr>
          <w:p w14:paraId="7073478A">
            <w:pPr>
              <w:spacing w:line="300" w:lineRule="auto"/>
              <w:jc w:val="center"/>
              <w:rPr>
                <w:szCs w:val="21"/>
              </w:rPr>
            </w:pPr>
            <w:r>
              <w:rPr>
                <w:rFonts w:hint="eastAsia" w:hAnsi="宋体"/>
                <w:szCs w:val="21"/>
              </w:rPr>
              <w:t>中科华标（山东）建设发展有限公司</w:t>
            </w:r>
          </w:p>
        </w:tc>
        <w:tc>
          <w:tcPr>
            <w:tcW w:w="564" w:type="pct"/>
            <w:vMerge w:val="continue"/>
            <w:vAlign w:val="center"/>
          </w:tcPr>
          <w:p w14:paraId="118C7F68">
            <w:pPr>
              <w:spacing w:line="360" w:lineRule="auto"/>
              <w:jc w:val="center"/>
              <w:rPr>
                <w:szCs w:val="21"/>
              </w:rPr>
            </w:pPr>
          </w:p>
        </w:tc>
      </w:tr>
      <w:tr w14:paraId="76A6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vMerge w:val="continue"/>
            <w:vAlign w:val="center"/>
          </w:tcPr>
          <w:p w14:paraId="6C25D08A">
            <w:pPr>
              <w:spacing w:line="360" w:lineRule="auto"/>
              <w:jc w:val="center"/>
              <w:rPr>
                <w:szCs w:val="21"/>
              </w:rPr>
            </w:pPr>
          </w:p>
        </w:tc>
        <w:tc>
          <w:tcPr>
            <w:tcW w:w="1429" w:type="pct"/>
            <w:vMerge w:val="continue"/>
            <w:vAlign w:val="center"/>
          </w:tcPr>
          <w:p w14:paraId="01BE2AB5">
            <w:pPr>
              <w:spacing w:line="360" w:lineRule="auto"/>
              <w:jc w:val="center"/>
              <w:rPr>
                <w:szCs w:val="21"/>
              </w:rPr>
            </w:pPr>
          </w:p>
        </w:tc>
        <w:tc>
          <w:tcPr>
            <w:tcW w:w="2560" w:type="pct"/>
            <w:vAlign w:val="center"/>
          </w:tcPr>
          <w:p w14:paraId="77791CDF">
            <w:pPr>
              <w:spacing w:line="300" w:lineRule="auto"/>
              <w:jc w:val="center"/>
              <w:rPr>
                <w:rFonts w:hint="eastAsia" w:hAnsi="宋体"/>
                <w:szCs w:val="21"/>
              </w:rPr>
            </w:pPr>
            <w:r>
              <w:rPr>
                <w:rFonts w:hint="eastAsia"/>
                <w:szCs w:val="21"/>
              </w:rPr>
              <w:t>北京达丰久和节能技术有限公司</w:t>
            </w:r>
          </w:p>
        </w:tc>
        <w:tc>
          <w:tcPr>
            <w:tcW w:w="564" w:type="pct"/>
            <w:vMerge w:val="continue"/>
            <w:vAlign w:val="center"/>
          </w:tcPr>
          <w:p w14:paraId="7C557CEA">
            <w:pPr>
              <w:spacing w:line="360" w:lineRule="auto"/>
              <w:jc w:val="center"/>
              <w:rPr>
                <w:szCs w:val="21"/>
              </w:rPr>
            </w:pPr>
          </w:p>
        </w:tc>
      </w:tr>
      <w:tr w14:paraId="2226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vMerge w:val="continue"/>
            <w:vAlign w:val="center"/>
          </w:tcPr>
          <w:p w14:paraId="5B9F0AAD">
            <w:pPr>
              <w:spacing w:line="360" w:lineRule="auto"/>
              <w:jc w:val="center"/>
              <w:rPr>
                <w:szCs w:val="21"/>
              </w:rPr>
            </w:pPr>
          </w:p>
        </w:tc>
        <w:tc>
          <w:tcPr>
            <w:tcW w:w="1429" w:type="pct"/>
            <w:vMerge w:val="continue"/>
            <w:vAlign w:val="center"/>
          </w:tcPr>
          <w:p w14:paraId="7F6976C5">
            <w:pPr>
              <w:spacing w:line="360" w:lineRule="auto"/>
              <w:jc w:val="center"/>
              <w:rPr>
                <w:szCs w:val="21"/>
              </w:rPr>
            </w:pPr>
          </w:p>
        </w:tc>
        <w:tc>
          <w:tcPr>
            <w:tcW w:w="2560" w:type="pct"/>
            <w:vAlign w:val="center"/>
          </w:tcPr>
          <w:p w14:paraId="0BFE614D">
            <w:pPr>
              <w:spacing w:line="300" w:lineRule="auto"/>
              <w:jc w:val="center"/>
              <w:rPr>
                <w:rFonts w:hint="eastAsia" w:hAnsi="宋体"/>
                <w:szCs w:val="21"/>
              </w:rPr>
            </w:pPr>
            <w:r>
              <w:rPr>
                <w:rFonts w:hint="eastAsia" w:hAnsi="宋体"/>
                <w:szCs w:val="21"/>
              </w:rPr>
              <w:t>福建省峻源新型墙体材料科技有限公司</w:t>
            </w:r>
          </w:p>
        </w:tc>
        <w:tc>
          <w:tcPr>
            <w:tcW w:w="564" w:type="pct"/>
            <w:vMerge w:val="continue"/>
            <w:vAlign w:val="center"/>
          </w:tcPr>
          <w:p w14:paraId="38E772A8">
            <w:pPr>
              <w:spacing w:line="360" w:lineRule="auto"/>
              <w:jc w:val="center"/>
              <w:rPr>
                <w:szCs w:val="21"/>
              </w:rPr>
            </w:pPr>
          </w:p>
        </w:tc>
      </w:tr>
      <w:tr w14:paraId="55684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7" w:type="pct"/>
            <w:vMerge w:val="continue"/>
            <w:vAlign w:val="center"/>
          </w:tcPr>
          <w:p w14:paraId="605C7DE5">
            <w:pPr>
              <w:spacing w:line="360" w:lineRule="auto"/>
              <w:jc w:val="center"/>
              <w:rPr>
                <w:szCs w:val="21"/>
              </w:rPr>
            </w:pPr>
          </w:p>
        </w:tc>
        <w:tc>
          <w:tcPr>
            <w:tcW w:w="1429" w:type="pct"/>
            <w:vMerge w:val="continue"/>
            <w:vAlign w:val="center"/>
          </w:tcPr>
          <w:p w14:paraId="5756AFC1">
            <w:pPr>
              <w:spacing w:line="360" w:lineRule="auto"/>
              <w:jc w:val="center"/>
              <w:rPr>
                <w:szCs w:val="21"/>
              </w:rPr>
            </w:pPr>
          </w:p>
        </w:tc>
        <w:tc>
          <w:tcPr>
            <w:tcW w:w="2560" w:type="pct"/>
            <w:vAlign w:val="center"/>
          </w:tcPr>
          <w:p w14:paraId="33A158BB">
            <w:pPr>
              <w:spacing w:line="300" w:lineRule="auto"/>
              <w:jc w:val="center"/>
              <w:rPr>
                <w:rFonts w:hint="eastAsia" w:hAnsi="宋体"/>
                <w:szCs w:val="21"/>
              </w:rPr>
            </w:pPr>
            <w:r>
              <w:rPr>
                <w:rFonts w:hint="eastAsia" w:hAnsi="宋体"/>
                <w:szCs w:val="21"/>
              </w:rPr>
              <w:t>浙江佰镪建材科技有限公司</w:t>
            </w:r>
          </w:p>
        </w:tc>
        <w:tc>
          <w:tcPr>
            <w:tcW w:w="564" w:type="pct"/>
            <w:vMerge w:val="continue"/>
            <w:vAlign w:val="center"/>
          </w:tcPr>
          <w:p w14:paraId="4FD5BAB3">
            <w:pPr>
              <w:spacing w:line="360" w:lineRule="auto"/>
              <w:jc w:val="center"/>
              <w:rPr>
                <w:szCs w:val="21"/>
              </w:rPr>
            </w:pPr>
          </w:p>
        </w:tc>
      </w:tr>
      <w:tr w14:paraId="0F3C5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447" w:type="pct"/>
            <w:vMerge w:val="continue"/>
            <w:vAlign w:val="center"/>
          </w:tcPr>
          <w:p w14:paraId="372C938A">
            <w:pPr>
              <w:spacing w:line="360" w:lineRule="auto"/>
              <w:jc w:val="center"/>
              <w:rPr>
                <w:szCs w:val="21"/>
              </w:rPr>
            </w:pPr>
          </w:p>
        </w:tc>
        <w:tc>
          <w:tcPr>
            <w:tcW w:w="1429" w:type="pct"/>
            <w:vMerge w:val="continue"/>
            <w:vAlign w:val="center"/>
          </w:tcPr>
          <w:p w14:paraId="4424E2C2">
            <w:pPr>
              <w:spacing w:line="360" w:lineRule="auto"/>
              <w:jc w:val="center"/>
              <w:rPr>
                <w:szCs w:val="21"/>
              </w:rPr>
            </w:pPr>
          </w:p>
        </w:tc>
        <w:tc>
          <w:tcPr>
            <w:tcW w:w="2560" w:type="pct"/>
            <w:vAlign w:val="center"/>
          </w:tcPr>
          <w:p w14:paraId="561C0D35">
            <w:pPr>
              <w:jc w:val="center"/>
              <w:rPr>
                <w:rFonts w:hint="eastAsia" w:ascii="宋体" w:hAnsi="宋体" w:cs="宋体"/>
                <w:color w:val="000000"/>
                <w:szCs w:val="21"/>
              </w:rPr>
            </w:pPr>
            <w:r>
              <w:rPr>
                <w:rFonts w:hint="eastAsia" w:hAnsi="宋体"/>
                <w:szCs w:val="21"/>
              </w:rPr>
              <w:t>北京欣中岩建筑装饰工程有限公司</w:t>
            </w:r>
          </w:p>
        </w:tc>
        <w:tc>
          <w:tcPr>
            <w:tcW w:w="564" w:type="pct"/>
            <w:vMerge w:val="continue"/>
            <w:vAlign w:val="center"/>
          </w:tcPr>
          <w:p w14:paraId="0D339734">
            <w:pPr>
              <w:spacing w:line="360" w:lineRule="auto"/>
              <w:jc w:val="center"/>
              <w:rPr>
                <w:szCs w:val="21"/>
              </w:rPr>
            </w:pPr>
          </w:p>
        </w:tc>
      </w:tr>
      <w:tr w14:paraId="2B51D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447" w:type="pct"/>
            <w:vMerge w:val="continue"/>
            <w:vAlign w:val="center"/>
          </w:tcPr>
          <w:p w14:paraId="19D875D7">
            <w:pPr>
              <w:spacing w:line="360" w:lineRule="auto"/>
              <w:jc w:val="center"/>
              <w:rPr>
                <w:szCs w:val="21"/>
              </w:rPr>
            </w:pPr>
          </w:p>
        </w:tc>
        <w:tc>
          <w:tcPr>
            <w:tcW w:w="1429" w:type="pct"/>
            <w:vMerge w:val="continue"/>
            <w:vAlign w:val="center"/>
          </w:tcPr>
          <w:p w14:paraId="202D73C7">
            <w:pPr>
              <w:spacing w:line="360" w:lineRule="auto"/>
              <w:jc w:val="center"/>
              <w:rPr>
                <w:szCs w:val="21"/>
              </w:rPr>
            </w:pPr>
          </w:p>
        </w:tc>
        <w:tc>
          <w:tcPr>
            <w:tcW w:w="2560" w:type="pct"/>
            <w:vAlign w:val="center"/>
          </w:tcPr>
          <w:p w14:paraId="0ABF5564">
            <w:pPr>
              <w:jc w:val="center"/>
              <w:rPr>
                <w:rFonts w:hint="eastAsia" w:hAnsi="宋体"/>
                <w:szCs w:val="21"/>
              </w:rPr>
            </w:pPr>
            <w:r>
              <w:rPr>
                <w:rFonts w:hint="eastAsia"/>
                <w:szCs w:val="21"/>
              </w:rPr>
              <w:t>广东鑫唐宋新技术有限公司</w:t>
            </w:r>
          </w:p>
        </w:tc>
        <w:tc>
          <w:tcPr>
            <w:tcW w:w="564" w:type="pct"/>
            <w:vMerge w:val="continue"/>
            <w:vAlign w:val="center"/>
          </w:tcPr>
          <w:p w14:paraId="693B845D">
            <w:pPr>
              <w:spacing w:line="360" w:lineRule="auto"/>
              <w:jc w:val="center"/>
              <w:rPr>
                <w:szCs w:val="21"/>
              </w:rPr>
            </w:pPr>
          </w:p>
        </w:tc>
      </w:tr>
      <w:tr w14:paraId="4869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447" w:type="pct"/>
            <w:vMerge w:val="continue"/>
            <w:vAlign w:val="center"/>
          </w:tcPr>
          <w:p w14:paraId="7D8AAAC3">
            <w:pPr>
              <w:spacing w:line="360" w:lineRule="auto"/>
              <w:jc w:val="center"/>
              <w:rPr>
                <w:szCs w:val="21"/>
              </w:rPr>
            </w:pPr>
          </w:p>
        </w:tc>
        <w:tc>
          <w:tcPr>
            <w:tcW w:w="1429" w:type="pct"/>
            <w:vMerge w:val="continue"/>
            <w:vAlign w:val="center"/>
          </w:tcPr>
          <w:p w14:paraId="4BC5FDF7">
            <w:pPr>
              <w:spacing w:line="360" w:lineRule="auto"/>
              <w:jc w:val="center"/>
              <w:rPr>
                <w:szCs w:val="21"/>
              </w:rPr>
            </w:pPr>
          </w:p>
        </w:tc>
        <w:tc>
          <w:tcPr>
            <w:tcW w:w="2560" w:type="pct"/>
            <w:vAlign w:val="center"/>
          </w:tcPr>
          <w:p w14:paraId="05ACC1C7">
            <w:pPr>
              <w:jc w:val="center"/>
              <w:rPr>
                <w:color w:val="000000"/>
                <w:szCs w:val="21"/>
              </w:rPr>
            </w:pPr>
            <w:r>
              <w:rPr>
                <w:rFonts w:hint="eastAsia"/>
                <w:szCs w:val="21"/>
              </w:rPr>
              <w:t>夏津县来财建筑工程有限公司</w:t>
            </w:r>
          </w:p>
        </w:tc>
        <w:tc>
          <w:tcPr>
            <w:tcW w:w="564" w:type="pct"/>
            <w:vMerge w:val="continue"/>
            <w:vAlign w:val="center"/>
          </w:tcPr>
          <w:p w14:paraId="4F92A8FD">
            <w:pPr>
              <w:spacing w:line="360" w:lineRule="auto"/>
              <w:jc w:val="center"/>
              <w:rPr>
                <w:szCs w:val="21"/>
              </w:rPr>
            </w:pPr>
          </w:p>
        </w:tc>
      </w:tr>
    </w:tbl>
    <w:p w14:paraId="0B8B9F7D">
      <w:pPr>
        <w:pStyle w:val="40"/>
        <w:spacing w:before="156" w:beforeLines="50" w:line="360" w:lineRule="auto"/>
        <w:ind w:firstLine="0" w:firstLineChars="0"/>
        <w:rPr>
          <w:rFonts w:ascii="Times New Roman"/>
          <w:b/>
          <w:sz w:val="24"/>
          <w:szCs w:val="24"/>
        </w:rPr>
      </w:pPr>
      <w:r>
        <w:rPr>
          <w:rFonts w:ascii="Times New Roman"/>
          <w:b/>
          <w:sz w:val="24"/>
          <w:szCs w:val="24"/>
        </w:rPr>
        <w:t xml:space="preserve">2 </w:t>
      </w:r>
      <w:r>
        <w:rPr>
          <w:rFonts w:ascii="Times New Roman" w:hAnsi="宋体"/>
          <w:b/>
          <w:sz w:val="24"/>
          <w:szCs w:val="24"/>
        </w:rPr>
        <w:t>标准编制原则和主要内容</w:t>
      </w:r>
    </w:p>
    <w:p w14:paraId="0672271A">
      <w:pPr>
        <w:spacing w:line="360" w:lineRule="auto"/>
        <w:rPr>
          <w:b/>
          <w:sz w:val="24"/>
        </w:rPr>
      </w:pPr>
      <w:r>
        <w:rPr>
          <w:b/>
          <w:sz w:val="24"/>
        </w:rPr>
        <w:t xml:space="preserve">2.1 </w:t>
      </w:r>
      <w:r>
        <w:rPr>
          <w:rFonts w:hAnsi="宋体"/>
          <w:b/>
          <w:sz w:val="24"/>
        </w:rPr>
        <w:t>标准编制原则</w:t>
      </w:r>
    </w:p>
    <w:p w14:paraId="6452C422">
      <w:pPr>
        <w:spacing w:line="360" w:lineRule="auto"/>
        <w:ind w:firstLine="480" w:firstLineChars="200"/>
        <w:rPr>
          <w:sz w:val="24"/>
          <w:lang w:val="zh-CN"/>
        </w:rPr>
      </w:pPr>
      <w:r>
        <w:rPr>
          <w:rFonts w:hAnsi="宋体"/>
          <w:sz w:val="24"/>
          <w:lang w:val="zh-CN"/>
        </w:rPr>
        <w:t>本规程根据</w:t>
      </w:r>
      <w:r>
        <w:rPr>
          <w:sz w:val="24"/>
          <w:lang w:val="zh-CN"/>
        </w:rPr>
        <w:t>GB/T 1.1</w:t>
      </w:r>
      <w:r>
        <w:rPr>
          <w:rFonts w:hAnsi="宋体"/>
          <w:sz w:val="24"/>
          <w:lang w:val="zh-CN"/>
        </w:rPr>
        <w:t>给出的原则编写。遵从以下规则：</w:t>
      </w:r>
    </w:p>
    <w:p w14:paraId="563B4A09">
      <w:pPr>
        <w:spacing w:line="360" w:lineRule="auto"/>
        <w:ind w:firstLine="480" w:firstLineChars="200"/>
        <w:rPr>
          <w:sz w:val="24"/>
          <w:lang w:val="zh-CN"/>
        </w:rPr>
      </w:pPr>
      <w:r>
        <w:rPr>
          <w:sz w:val="24"/>
          <w:lang w:val="zh-CN"/>
        </w:rPr>
        <w:t>1</w:t>
      </w:r>
      <w:r>
        <w:rPr>
          <w:rFonts w:hAnsi="宋体"/>
          <w:sz w:val="24"/>
          <w:lang w:val="zh-CN"/>
        </w:rPr>
        <w:t>）贯彻执行国家的政策、法规，与现行其他国家标准协调一致的原则；</w:t>
      </w:r>
    </w:p>
    <w:p w14:paraId="3B940D9E">
      <w:pPr>
        <w:spacing w:line="360" w:lineRule="auto"/>
        <w:ind w:firstLine="480" w:firstLineChars="200"/>
        <w:rPr>
          <w:sz w:val="24"/>
          <w:lang w:val="zh-CN"/>
        </w:rPr>
      </w:pPr>
      <w:r>
        <w:rPr>
          <w:sz w:val="24"/>
          <w:lang w:val="zh-CN"/>
        </w:rPr>
        <w:t>2</w:t>
      </w:r>
      <w:r>
        <w:rPr>
          <w:rFonts w:hAnsi="宋体"/>
          <w:sz w:val="24"/>
          <w:lang w:val="zh-CN"/>
        </w:rPr>
        <w:t>）技术制定先进可行、规范合理的原则；</w:t>
      </w:r>
    </w:p>
    <w:p w14:paraId="39DB31C7">
      <w:pPr>
        <w:spacing w:line="360" w:lineRule="auto"/>
        <w:ind w:firstLine="480" w:firstLineChars="200"/>
        <w:rPr>
          <w:sz w:val="24"/>
          <w:lang w:val="zh-CN"/>
        </w:rPr>
      </w:pPr>
      <w:r>
        <w:rPr>
          <w:sz w:val="24"/>
          <w:lang w:val="zh-CN"/>
        </w:rPr>
        <w:t>3</w:t>
      </w:r>
      <w:r>
        <w:rPr>
          <w:rFonts w:hAnsi="宋体"/>
          <w:sz w:val="24"/>
          <w:lang w:val="zh-CN"/>
        </w:rPr>
        <w:t>）标准制定促进行业健康发展和技术推广的原则。</w:t>
      </w:r>
    </w:p>
    <w:p w14:paraId="29116ECB">
      <w:pPr>
        <w:spacing w:line="360" w:lineRule="auto"/>
        <w:ind w:firstLine="480" w:firstLineChars="200"/>
        <w:rPr>
          <w:sz w:val="24"/>
          <w:lang w:val="zh-CN"/>
        </w:rPr>
      </w:pPr>
      <w:r>
        <w:rPr>
          <w:rFonts w:hAnsi="宋体"/>
          <w:sz w:val="24"/>
          <w:lang w:val="zh-CN"/>
        </w:rPr>
        <w:t>规程制定过程中参考了相关的工程建设标准和产品标准，相关材料的指标要求和试验方法主要采用现行的国家标准和行业标准，以保证规程中技术指标的准确性、科学性与可比性。本规程本着安全、环保、实用、经济的原则，按国家有关规范的编写规定进行编制。具体编制过程中，也遵循下列的原则：</w:t>
      </w:r>
    </w:p>
    <w:p w14:paraId="1CD430DF">
      <w:pPr>
        <w:spacing w:line="360" w:lineRule="auto"/>
        <w:ind w:firstLine="480" w:firstLineChars="200"/>
        <w:rPr>
          <w:sz w:val="24"/>
          <w:lang w:val="zh-CN"/>
        </w:rPr>
      </w:pPr>
      <w:r>
        <w:rPr>
          <w:rFonts w:hAnsi="宋体"/>
          <w:sz w:val="24"/>
          <w:lang w:val="zh-CN"/>
        </w:rPr>
        <w:t>（</w:t>
      </w:r>
      <w:r>
        <w:rPr>
          <w:sz w:val="24"/>
          <w:lang w:val="zh-CN"/>
        </w:rPr>
        <w:t>1</w:t>
      </w:r>
      <w:r>
        <w:rPr>
          <w:rFonts w:hAnsi="宋体"/>
          <w:sz w:val="24"/>
          <w:lang w:val="zh-CN"/>
        </w:rPr>
        <w:t>）理论性和实用性相结合，深入和浅出，具有可操作性；</w:t>
      </w:r>
    </w:p>
    <w:p w14:paraId="1363ADA9">
      <w:pPr>
        <w:spacing w:line="360" w:lineRule="auto"/>
        <w:ind w:firstLine="480" w:firstLineChars="200"/>
        <w:rPr>
          <w:sz w:val="24"/>
          <w:lang w:val="zh-CN"/>
        </w:rPr>
      </w:pPr>
      <w:r>
        <w:rPr>
          <w:rFonts w:hAnsi="宋体"/>
          <w:sz w:val="24"/>
          <w:lang w:val="zh-CN"/>
        </w:rPr>
        <w:t>（</w:t>
      </w:r>
      <w:r>
        <w:rPr>
          <w:sz w:val="24"/>
          <w:lang w:val="zh-CN"/>
        </w:rPr>
        <w:t>2</w:t>
      </w:r>
      <w:r>
        <w:rPr>
          <w:rFonts w:hAnsi="宋体"/>
          <w:sz w:val="24"/>
          <w:lang w:val="zh-CN"/>
        </w:rPr>
        <w:t>）依据泡沫混凝土墙体的施工技术和工程质量要求及验证试验数据，明确材料、设计、施工、质量验收的具体要求，做到技术先进、安全适用、经济合理；</w:t>
      </w:r>
    </w:p>
    <w:p w14:paraId="7209ED48">
      <w:pPr>
        <w:spacing w:line="360" w:lineRule="auto"/>
        <w:ind w:firstLine="480" w:firstLineChars="200"/>
        <w:rPr>
          <w:sz w:val="24"/>
          <w:lang w:val="zh-CN"/>
        </w:rPr>
      </w:pPr>
      <w:r>
        <w:rPr>
          <w:rFonts w:hAnsi="宋体"/>
          <w:sz w:val="24"/>
          <w:lang w:val="zh-CN"/>
        </w:rPr>
        <w:t>（</w:t>
      </w:r>
      <w:r>
        <w:rPr>
          <w:sz w:val="24"/>
          <w:lang w:val="zh-CN"/>
        </w:rPr>
        <w:t>3</w:t>
      </w:r>
      <w:r>
        <w:rPr>
          <w:rFonts w:hAnsi="宋体"/>
          <w:sz w:val="24"/>
          <w:lang w:val="zh-CN"/>
        </w:rPr>
        <w:t>）本规程将充分参考现行国家、行业标准</w:t>
      </w:r>
      <w:r>
        <w:rPr>
          <w:rFonts w:hint="eastAsia" w:hAnsi="宋体"/>
          <w:sz w:val="24"/>
          <w:lang w:val="zh-CN"/>
        </w:rPr>
        <w:t>、地方标准</w:t>
      </w:r>
      <w:r>
        <w:rPr>
          <w:rFonts w:hAnsi="宋体"/>
          <w:sz w:val="24"/>
          <w:lang w:val="zh-CN"/>
        </w:rPr>
        <w:t>，避免矛盾和抵触；</w:t>
      </w:r>
    </w:p>
    <w:p w14:paraId="01E0C88A">
      <w:pPr>
        <w:spacing w:line="360" w:lineRule="auto"/>
        <w:ind w:firstLine="480" w:firstLineChars="200"/>
        <w:rPr>
          <w:sz w:val="24"/>
          <w:lang w:val="zh-CN"/>
        </w:rPr>
      </w:pPr>
      <w:r>
        <w:rPr>
          <w:rFonts w:hAnsi="宋体"/>
          <w:sz w:val="24"/>
          <w:lang w:val="zh-CN"/>
        </w:rPr>
        <w:t>（</w:t>
      </w:r>
      <w:r>
        <w:rPr>
          <w:sz w:val="24"/>
          <w:lang w:val="zh-CN"/>
        </w:rPr>
        <w:t>4</w:t>
      </w:r>
      <w:r>
        <w:rPr>
          <w:rFonts w:hAnsi="宋体"/>
          <w:sz w:val="24"/>
          <w:lang w:val="zh-CN"/>
        </w:rPr>
        <w:t>）</w:t>
      </w:r>
      <w:r>
        <w:rPr>
          <w:rFonts w:hint="eastAsia" w:hAnsi="宋体"/>
          <w:sz w:val="24"/>
          <w:lang w:val="zh-CN"/>
        </w:rPr>
        <w:t xml:space="preserve"> </w:t>
      </w:r>
      <w:r>
        <w:rPr>
          <w:rFonts w:hAnsi="宋体"/>
          <w:sz w:val="24"/>
          <w:lang w:val="zh-CN"/>
        </w:rPr>
        <w:t>将已有的成熟的施工技术纳入本规程，尚不成熟的施工技术暂不涉及；</w:t>
      </w:r>
    </w:p>
    <w:p w14:paraId="277A0078">
      <w:pPr>
        <w:spacing w:line="360" w:lineRule="auto"/>
        <w:ind w:firstLine="480" w:firstLineChars="200"/>
        <w:rPr>
          <w:sz w:val="24"/>
          <w:lang w:val="zh-CN"/>
        </w:rPr>
      </w:pPr>
      <w:r>
        <w:rPr>
          <w:rFonts w:hAnsi="宋体"/>
          <w:sz w:val="24"/>
          <w:lang w:val="zh-CN"/>
        </w:rPr>
        <w:t>（</w:t>
      </w:r>
      <w:r>
        <w:rPr>
          <w:sz w:val="24"/>
          <w:lang w:val="zh-CN"/>
        </w:rPr>
        <w:t>5</w:t>
      </w:r>
      <w:r>
        <w:rPr>
          <w:rFonts w:hAnsi="宋体"/>
          <w:sz w:val="24"/>
          <w:lang w:val="zh-CN"/>
        </w:rPr>
        <w:t>）本规程除了为</w:t>
      </w:r>
      <w:r>
        <w:rPr>
          <w:rFonts w:hint="eastAsia" w:hAnsi="宋体"/>
          <w:sz w:val="24"/>
          <w:lang w:val="zh-CN"/>
        </w:rPr>
        <w:t>泡沫混凝土</w:t>
      </w:r>
      <w:r>
        <w:rPr>
          <w:rFonts w:hAnsi="宋体"/>
          <w:sz w:val="24"/>
          <w:lang w:val="zh-CN"/>
        </w:rPr>
        <w:t>墙体的设计、施工、质量验收提供科学性外，尚应注意规程的操作性和易用性。</w:t>
      </w:r>
    </w:p>
    <w:p w14:paraId="0E70C721">
      <w:pPr>
        <w:spacing w:line="360" w:lineRule="auto"/>
        <w:ind w:firstLine="480" w:firstLineChars="200"/>
        <w:jc w:val="left"/>
        <w:rPr>
          <w:sz w:val="24"/>
        </w:rPr>
      </w:pPr>
      <w:r>
        <w:rPr>
          <w:rFonts w:hAnsi="宋体"/>
          <w:sz w:val="24"/>
        </w:rPr>
        <w:t>本规程制订过程中，编制组进行了</w:t>
      </w:r>
      <w:r>
        <w:rPr>
          <w:rFonts w:hint="eastAsia" w:hAnsi="宋体"/>
          <w:sz w:val="24"/>
        </w:rPr>
        <w:t>泡沫混凝土</w:t>
      </w:r>
      <w:r>
        <w:rPr>
          <w:rFonts w:hAnsi="宋体"/>
          <w:sz w:val="24"/>
        </w:rPr>
        <w:t>墙体应用现状的调查研究，总结了我国</w:t>
      </w:r>
      <w:r>
        <w:rPr>
          <w:rFonts w:hint="eastAsia" w:hAnsi="宋体"/>
          <w:sz w:val="24"/>
        </w:rPr>
        <w:t>泡沫混凝土</w:t>
      </w:r>
      <w:r>
        <w:rPr>
          <w:rFonts w:hAnsi="宋体"/>
          <w:sz w:val="24"/>
        </w:rPr>
        <w:t>墙体施工的工程实践经验，同时参考了国内外技术标准和规范，并通过大量的调研及验证试验，提出</w:t>
      </w:r>
      <w:r>
        <w:rPr>
          <w:rFonts w:hint="eastAsia" w:hAnsi="宋体"/>
          <w:sz w:val="24"/>
        </w:rPr>
        <w:t>泡沫混凝土</w:t>
      </w:r>
      <w:r>
        <w:rPr>
          <w:rFonts w:hAnsi="宋体"/>
          <w:sz w:val="24"/>
        </w:rPr>
        <w:t>墙体的材料、设计、施工、质量验收技术要点与依据。</w:t>
      </w:r>
    </w:p>
    <w:p w14:paraId="1793E4B4">
      <w:pPr>
        <w:spacing w:line="360" w:lineRule="auto"/>
        <w:rPr>
          <w:b/>
          <w:sz w:val="24"/>
        </w:rPr>
      </w:pPr>
      <w:r>
        <w:rPr>
          <w:b/>
          <w:sz w:val="24"/>
        </w:rPr>
        <w:t xml:space="preserve">2.2 </w:t>
      </w:r>
      <w:r>
        <w:rPr>
          <w:rFonts w:hAnsi="宋体"/>
          <w:b/>
          <w:sz w:val="24"/>
        </w:rPr>
        <w:t>标准的主要内容</w:t>
      </w:r>
    </w:p>
    <w:p w14:paraId="1FB98B35">
      <w:pPr>
        <w:spacing w:line="360" w:lineRule="auto"/>
        <w:rPr>
          <w:b/>
          <w:sz w:val="24"/>
        </w:rPr>
      </w:pPr>
      <w:r>
        <w:rPr>
          <w:b/>
          <w:sz w:val="24"/>
        </w:rPr>
        <w:t xml:space="preserve">2.2.1 </w:t>
      </w:r>
      <w:r>
        <w:rPr>
          <w:rFonts w:hAnsi="宋体"/>
          <w:b/>
          <w:sz w:val="24"/>
        </w:rPr>
        <w:t>名称</w:t>
      </w:r>
    </w:p>
    <w:p w14:paraId="2C1E447A">
      <w:pPr>
        <w:spacing w:line="360" w:lineRule="auto"/>
        <w:ind w:firstLine="480" w:firstLineChars="200"/>
        <w:rPr>
          <w:sz w:val="24"/>
          <w:lang w:val="zh-CN"/>
        </w:rPr>
      </w:pPr>
      <w:r>
        <w:rPr>
          <w:rFonts w:hAnsi="宋体"/>
          <w:sz w:val="24"/>
          <w:lang w:val="zh-CN"/>
        </w:rPr>
        <w:t>标准申报与计划下达的项目名称为《</w:t>
      </w:r>
      <w:r>
        <w:rPr>
          <w:rFonts w:hint="eastAsia" w:hAnsi="宋体"/>
          <w:sz w:val="24"/>
          <w:lang w:val="zh-CN"/>
        </w:rPr>
        <w:t>泡沫混凝土</w:t>
      </w:r>
      <w:r>
        <w:rPr>
          <w:rFonts w:hAnsi="宋体"/>
          <w:sz w:val="24"/>
          <w:lang w:val="zh-CN"/>
        </w:rPr>
        <w:t>墙体应用技术规程》。</w:t>
      </w:r>
    </w:p>
    <w:p w14:paraId="2035B618">
      <w:pPr>
        <w:spacing w:line="360" w:lineRule="auto"/>
        <w:rPr>
          <w:b/>
          <w:sz w:val="24"/>
        </w:rPr>
      </w:pPr>
      <w:r>
        <w:rPr>
          <w:b/>
          <w:sz w:val="24"/>
        </w:rPr>
        <w:t xml:space="preserve">2.2.2 </w:t>
      </w:r>
      <w:r>
        <w:rPr>
          <w:rFonts w:hAnsi="宋体"/>
          <w:b/>
          <w:sz w:val="24"/>
        </w:rPr>
        <w:t>总则</w:t>
      </w:r>
    </w:p>
    <w:p w14:paraId="5B56FABF">
      <w:pPr>
        <w:spacing w:line="360" w:lineRule="auto"/>
        <w:ind w:firstLine="480" w:firstLineChars="200"/>
        <w:jc w:val="left"/>
        <w:rPr>
          <w:rFonts w:hint="eastAsia" w:hAnsi="宋体"/>
          <w:sz w:val="24"/>
        </w:rPr>
      </w:pPr>
      <w:r>
        <w:rPr>
          <w:rFonts w:hAnsi="宋体"/>
          <w:sz w:val="24"/>
        </w:rPr>
        <w:t>该章节规定了本规程的目的、适用范围和与国家现行标准相协调的问题。。明确了规程的制定目的，即规范泡沫混凝土墙体的设计、施工和质量检验与验收，确保其在工程应用中满足相关要求。同时，规定了规程的适用范围和编制依据，为后续章节的展开奠定了基础。</w:t>
      </w:r>
    </w:p>
    <w:p w14:paraId="1713EEDD">
      <w:pPr>
        <w:spacing w:line="360" w:lineRule="auto"/>
        <w:rPr>
          <w:rFonts w:hint="eastAsia" w:hAnsi="宋体"/>
          <w:b/>
          <w:sz w:val="24"/>
        </w:rPr>
      </w:pPr>
      <w:r>
        <w:rPr>
          <w:b/>
          <w:sz w:val="24"/>
        </w:rPr>
        <w:t xml:space="preserve">2.2.3 </w:t>
      </w:r>
      <w:r>
        <w:rPr>
          <w:rFonts w:hAnsi="宋体"/>
          <w:b/>
          <w:sz w:val="24"/>
        </w:rPr>
        <w:t>术语</w:t>
      </w:r>
    </w:p>
    <w:p w14:paraId="43FE6416">
      <w:pPr>
        <w:spacing w:line="360" w:lineRule="auto"/>
        <w:ind w:firstLine="480" w:firstLineChars="200"/>
        <w:rPr>
          <w:rFonts w:hint="eastAsia" w:hAnsi="宋体"/>
          <w:sz w:val="24"/>
        </w:rPr>
      </w:pPr>
      <w:r>
        <w:rPr>
          <w:rFonts w:hint="eastAsia" w:hAnsi="宋体"/>
          <w:sz w:val="24"/>
        </w:rPr>
        <w:t>泡沫混凝土墙体</w:t>
      </w:r>
      <w:bookmarkStart w:id="2" w:name="_Hlk16252736"/>
      <w:r>
        <w:rPr>
          <w:rFonts w:hint="eastAsia" w:hAnsi="宋体"/>
          <w:sz w:val="24"/>
        </w:rPr>
        <w:t>以泡沫混凝土为材料构建而成的非承重墙体结构，具有轻质、保温、隔热、隔音、防火等特性的</w:t>
      </w:r>
      <w:r>
        <w:rPr>
          <w:rFonts w:hAnsi="宋体"/>
          <w:sz w:val="24"/>
        </w:rPr>
        <w:t>满足建筑功能需求</w:t>
      </w:r>
      <w:r>
        <w:rPr>
          <w:rFonts w:hint="eastAsia" w:hAnsi="宋体"/>
          <w:sz w:val="24"/>
        </w:rPr>
        <w:t>的墙体</w:t>
      </w:r>
      <w:r>
        <w:rPr>
          <w:rFonts w:hAnsi="宋体"/>
          <w:sz w:val="24"/>
        </w:rPr>
        <w:t>。</w:t>
      </w:r>
      <w:bookmarkEnd w:id="2"/>
    </w:p>
    <w:p w14:paraId="26427854">
      <w:pPr>
        <w:spacing w:line="360" w:lineRule="auto"/>
        <w:ind w:firstLine="480" w:firstLineChars="200"/>
        <w:jc w:val="left"/>
        <w:rPr>
          <w:rFonts w:hint="eastAsia" w:hAnsi="宋体"/>
          <w:sz w:val="24"/>
        </w:rPr>
      </w:pPr>
      <w:r>
        <w:rPr>
          <w:rFonts w:hint="eastAsia" w:hAnsi="宋体"/>
          <w:sz w:val="24"/>
        </w:rPr>
        <w:t>泡沫混凝土是用物理或化学方法将泡沫剂制成泡沫，再将泡沫加入到由水泥、骨料、掺合料、外加剂和水制成的料浆中，经混合搅拌、浇注成型、养护而成轻质微孔混凝土。</w:t>
      </w:r>
    </w:p>
    <w:p w14:paraId="322A933E">
      <w:pPr>
        <w:spacing w:line="360" w:lineRule="auto"/>
        <w:rPr>
          <w:b/>
          <w:sz w:val="24"/>
        </w:rPr>
      </w:pPr>
      <w:r>
        <w:rPr>
          <w:b/>
          <w:sz w:val="24"/>
        </w:rPr>
        <w:t xml:space="preserve">2.2.4 </w:t>
      </w:r>
      <w:r>
        <w:rPr>
          <w:rFonts w:hAnsi="宋体"/>
          <w:b/>
          <w:sz w:val="24"/>
        </w:rPr>
        <w:t>材料</w:t>
      </w:r>
    </w:p>
    <w:p w14:paraId="265F7915">
      <w:pPr>
        <w:spacing w:line="360" w:lineRule="auto"/>
        <w:ind w:firstLine="480" w:firstLineChars="200"/>
        <w:rPr>
          <w:sz w:val="24"/>
        </w:rPr>
      </w:pPr>
      <w:r>
        <w:rPr>
          <w:rFonts w:hAnsi="宋体"/>
          <w:sz w:val="24"/>
          <w:lang w:val="zh-CN"/>
        </w:rPr>
        <w:t>该章节对泡沫混凝土墙体涉及到的</w:t>
      </w:r>
      <w:r>
        <w:rPr>
          <w:rFonts w:hint="eastAsia" w:hAnsi="宋体"/>
          <w:sz w:val="24"/>
          <w:lang w:val="zh-CN"/>
        </w:rPr>
        <w:t>胶凝材料、外加剂、泡沫剂等</w:t>
      </w:r>
      <w:r>
        <w:rPr>
          <w:rFonts w:hAnsi="宋体"/>
          <w:sz w:val="24"/>
          <w:lang w:val="zh-CN"/>
        </w:rPr>
        <w:t>做出对材料性能的一般规定和具体规定。</w:t>
      </w:r>
      <w:r>
        <w:rPr>
          <w:rFonts w:hint="eastAsia" w:hAnsi="宋体"/>
          <w:sz w:val="24"/>
        </w:rPr>
        <w:t>泡沫混凝土</w:t>
      </w:r>
      <w:r>
        <w:rPr>
          <w:rFonts w:hAnsi="宋体"/>
          <w:sz w:val="24"/>
        </w:rPr>
        <w:t>墙体使用的原材料应符合国家节能、节材、环保的产业政策。原材料不仅要求性能稳定，对人体无害，而且对环境不能造成污染，并可实现资源综合利用。生产企业、设计单位不得采用国家限制和禁止使用的材料和制品，如黏土、石棉及含石棉制品，含有辐射超标的各类工业废渣等。目前复合墙体所用到的组成材料，多数均已有各自的产品标准，标准中对材料性能及其原材料都有严格的规定。</w:t>
      </w:r>
      <w:r>
        <w:rPr>
          <w:rFonts w:hint="eastAsia" w:hAnsi="宋体"/>
          <w:sz w:val="24"/>
        </w:rPr>
        <w:t>泡沫混凝土</w:t>
      </w:r>
      <w:r>
        <w:rPr>
          <w:rFonts w:hAnsi="宋体"/>
          <w:sz w:val="24"/>
        </w:rPr>
        <w:t>墙体所用材料无论有无各自的产品标准，均应符合现行国家标准《墙体材料应用统一技术规范》</w:t>
      </w:r>
      <w:r>
        <w:rPr>
          <w:sz w:val="24"/>
        </w:rPr>
        <w:t>GB 50574</w:t>
      </w:r>
      <w:r>
        <w:rPr>
          <w:rFonts w:hAnsi="宋体"/>
          <w:sz w:val="24"/>
        </w:rPr>
        <w:t>对建筑工程中墙体材料的统一要求，此外在安全、防火、环保等方面均应符合现行相关标准。</w:t>
      </w:r>
    </w:p>
    <w:p w14:paraId="37B4E003">
      <w:pPr>
        <w:spacing w:line="360" w:lineRule="auto"/>
        <w:ind w:firstLine="480" w:firstLineChars="200"/>
        <w:rPr>
          <w:sz w:val="24"/>
          <w:lang w:val="zh-CN"/>
        </w:rPr>
      </w:pPr>
      <w:r>
        <w:rPr>
          <w:rFonts w:hAnsi="宋体"/>
          <w:sz w:val="24"/>
        </w:rPr>
        <w:t>现行相关国标行标对泡沫混凝土</w:t>
      </w:r>
      <w:r>
        <w:rPr>
          <w:rFonts w:hint="eastAsia" w:hAnsi="宋体"/>
          <w:sz w:val="24"/>
        </w:rPr>
        <w:t>的原材料</w:t>
      </w:r>
      <w:r>
        <w:rPr>
          <w:rFonts w:hAnsi="宋体"/>
          <w:sz w:val="24"/>
        </w:rPr>
        <w:t>、固定及连接材料</w:t>
      </w:r>
      <w:r>
        <w:rPr>
          <w:rFonts w:hint="eastAsia" w:hAnsi="宋体"/>
          <w:sz w:val="24"/>
        </w:rPr>
        <w:t>、密封材料</w:t>
      </w:r>
      <w:r>
        <w:rPr>
          <w:rFonts w:hAnsi="宋体"/>
          <w:sz w:val="24"/>
        </w:rPr>
        <w:t>的材料性能和施工性能均有相关规定，因此本规程规定了各类原材料所需满足的对应现行标准要求。此外，根据</w:t>
      </w:r>
      <w:r>
        <w:rPr>
          <w:rFonts w:hint="eastAsia" w:hAnsi="宋体"/>
          <w:sz w:val="24"/>
        </w:rPr>
        <w:t>泡沫混凝土</w:t>
      </w:r>
      <w:r>
        <w:rPr>
          <w:rFonts w:hAnsi="宋体"/>
          <w:sz w:val="24"/>
        </w:rPr>
        <w:t>墙体施工应用的技术要求、质量要求和安全要求，对泡沫混凝土</w:t>
      </w:r>
      <w:r>
        <w:rPr>
          <w:rFonts w:hint="eastAsia" w:hAnsi="宋体"/>
          <w:sz w:val="24"/>
        </w:rPr>
        <w:t>墙体</w:t>
      </w:r>
      <w:r>
        <w:rPr>
          <w:rFonts w:hAnsi="宋体"/>
          <w:sz w:val="24"/>
        </w:rPr>
        <w:t>的类型、原材料种类、发泡形式等做出规定；对</w:t>
      </w:r>
      <w:r>
        <w:rPr>
          <w:rFonts w:hint="eastAsia" w:hAnsi="宋体"/>
          <w:sz w:val="24"/>
        </w:rPr>
        <w:t>泡沫混凝土墙体的性能指标、规格尺寸、施工设计、抗震设计及墙体结构设计做出了规定</w:t>
      </w:r>
      <w:r>
        <w:rPr>
          <w:rFonts w:hAnsi="宋体"/>
          <w:sz w:val="24"/>
        </w:rPr>
        <w:t>。</w:t>
      </w:r>
      <w:r>
        <w:rPr>
          <w:rFonts w:hint="eastAsia" w:hAnsi="宋体"/>
          <w:sz w:val="24"/>
        </w:rPr>
        <w:t>主要</w:t>
      </w:r>
      <w:r>
        <w:rPr>
          <w:rFonts w:hAnsi="宋体"/>
          <w:sz w:val="24"/>
        </w:rPr>
        <w:t>标准条款的编制目的、依据见标准条文说明。</w:t>
      </w:r>
    </w:p>
    <w:p w14:paraId="3102B493">
      <w:pPr>
        <w:spacing w:line="360" w:lineRule="auto"/>
        <w:rPr>
          <w:b/>
          <w:sz w:val="24"/>
        </w:rPr>
      </w:pPr>
      <w:r>
        <w:rPr>
          <w:b/>
          <w:sz w:val="24"/>
        </w:rPr>
        <w:t>2.2.5</w:t>
      </w:r>
      <w:r>
        <w:rPr>
          <w:rFonts w:hAnsi="宋体"/>
          <w:b/>
          <w:sz w:val="24"/>
        </w:rPr>
        <w:t>设计</w:t>
      </w:r>
    </w:p>
    <w:p w14:paraId="4FD62AF1">
      <w:pPr>
        <w:spacing w:line="360" w:lineRule="auto"/>
        <w:ind w:firstLine="480" w:firstLineChars="200"/>
        <w:rPr>
          <w:sz w:val="24"/>
        </w:rPr>
      </w:pPr>
      <w:r>
        <w:rPr>
          <w:rFonts w:hAnsi="宋体"/>
          <w:sz w:val="24"/>
        </w:rPr>
        <w:t>根据泡沫混凝土墙体的施工要求、质量要求、安全要求，结合现</w:t>
      </w:r>
      <w:r>
        <w:rPr>
          <w:rFonts w:hint="eastAsia" w:hAnsi="宋体"/>
          <w:sz w:val="24"/>
        </w:rPr>
        <w:t>行</w:t>
      </w:r>
      <w:r>
        <w:rPr>
          <w:rFonts w:hAnsi="宋体"/>
          <w:sz w:val="24"/>
        </w:rPr>
        <w:t>相关标准规程，对</w:t>
      </w:r>
      <w:r>
        <w:rPr>
          <w:rFonts w:hint="eastAsia" w:hAnsi="宋体"/>
          <w:sz w:val="24"/>
        </w:rPr>
        <w:t>泡沫混凝土</w:t>
      </w:r>
      <w:r>
        <w:rPr>
          <w:rFonts w:hAnsi="宋体"/>
          <w:sz w:val="24"/>
        </w:rPr>
        <w:t>墙体的设计做出规定，包括墙体的一般规定和对泡沫混凝土</w:t>
      </w:r>
      <w:r>
        <w:rPr>
          <w:rFonts w:hint="eastAsia" w:hAnsi="宋体"/>
          <w:sz w:val="24"/>
        </w:rPr>
        <w:t>墙体的高厚比验算、抗震设计、墙体结构设计</w:t>
      </w:r>
      <w:r>
        <w:rPr>
          <w:rFonts w:hAnsi="宋体"/>
          <w:sz w:val="24"/>
        </w:rPr>
        <w:t>。</w:t>
      </w:r>
      <w:r>
        <w:rPr>
          <w:rFonts w:hint="eastAsia" w:hAnsi="宋体"/>
          <w:sz w:val="24"/>
        </w:rPr>
        <w:t>泡沫混凝土</w:t>
      </w:r>
      <w:r>
        <w:rPr>
          <w:rFonts w:hAnsi="宋体"/>
          <w:sz w:val="24"/>
        </w:rPr>
        <w:t>墙体的设计应符合国家对该类建筑墙体的各项基本要求，并且与整体建筑物相协调，同时</w:t>
      </w:r>
      <w:r>
        <w:rPr>
          <w:rFonts w:hint="eastAsia" w:hAnsi="宋体"/>
          <w:sz w:val="24"/>
        </w:rPr>
        <w:t>应</w:t>
      </w:r>
      <w:r>
        <w:rPr>
          <w:rFonts w:hAnsi="宋体"/>
          <w:sz w:val="24"/>
        </w:rPr>
        <w:t>根据</w:t>
      </w:r>
      <w:r>
        <w:rPr>
          <w:rFonts w:hint="eastAsia" w:hAnsi="宋体"/>
          <w:sz w:val="24"/>
        </w:rPr>
        <w:t>泡沫混凝土</w:t>
      </w:r>
      <w:r>
        <w:rPr>
          <w:rFonts w:hAnsi="宋体"/>
          <w:sz w:val="24"/>
        </w:rPr>
        <w:t>墙体的技术特点、材料特性、使用要求、功能需求等，参考现行</w:t>
      </w:r>
      <w:r>
        <w:rPr>
          <w:rFonts w:hint="eastAsia" w:hAnsi="宋体"/>
          <w:sz w:val="24"/>
        </w:rPr>
        <w:t>相关工程设计、应用标准，结合</w:t>
      </w:r>
      <w:r>
        <w:rPr>
          <w:rFonts w:hAnsi="宋体"/>
          <w:sz w:val="24"/>
        </w:rPr>
        <w:t>施工案例和施工经验，对整体和局部的设计要点、参数做出规定。</w:t>
      </w:r>
      <w:r>
        <w:rPr>
          <w:rFonts w:hint="eastAsia" w:hAnsi="宋体"/>
          <w:sz w:val="24"/>
        </w:rPr>
        <w:t>主要</w:t>
      </w:r>
      <w:r>
        <w:rPr>
          <w:rFonts w:hAnsi="宋体"/>
          <w:sz w:val="24"/>
        </w:rPr>
        <w:t>标准条款的编制目的、依据见标准条文说明。</w:t>
      </w:r>
    </w:p>
    <w:p w14:paraId="663A3A96">
      <w:pPr>
        <w:spacing w:line="360" w:lineRule="auto"/>
        <w:rPr>
          <w:b/>
          <w:sz w:val="24"/>
        </w:rPr>
      </w:pPr>
      <w:r>
        <w:rPr>
          <w:b/>
          <w:sz w:val="24"/>
        </w:rPr>
        <w:t xml:space="preserve">2.2.6 </w:t>
      </w:r>
      <w:r>
        <w:rPr>
          <w:rFonts w:hAnsi="宋体"/>
          <w:b/>
          <w:sz w:val="24"/>
        </w:rPr>
        <w:t>施工</w:t>
      </w:r>
    </w:p>
    <w:p w14:paraId="62E680EE">
      <w:pPr>
        <w:spacing w:line="360" w:lineRule="auto"/>
        <w:ind w:firstLine="480" w:firstLineChars="200"/>
        <w:rPr>
          <w:sz w:val="24"/>
          <w:lang w:val="zh-CN"/>
        </w:rPr>
      </w:pPr>
      <w:r>
        <w:rPr>
          <w:rFonts w:hAnsi="宋体"/>
          <w:sz w:val="24"/>
          <w:lang w:val="zh-CN"/>
        </w:rPr>
        <w:t>本章节根据</w:t>
      </w:r>
      <w:r>
        <w:rPr>
          <w:rFonts w:hAnsi="宋体"/>
          <w:sz w:val="24"/>
        </w:rPr>
        <w:t>泡沫混凝土墙体的设计要求、施工特点和工程案例施工经验</w:t>
      </w:r>
      <w:r>
        <w:rPr>
          <w:rFonts w:hint="eastAsia" w:hAnsi="宋体"/>
          <w:sz w:val="24"/>
        </w:rPr>
        <w:t>和数据</w:t>
      </w:r>
      <w:r>
        <w:rPr>
          <w:rFonts w:hAnsi="宋体"/>
          <w:sz w:val="24"/>
        </w:rPr>
        <w:t>，参考现行</w:t>
      </w:r>
      <w:r>
        <w:rPr>
          <w:rFonts w:hint="eastAsia" w:hAnsi="宋体"/>
          <w:sz w:val="24"/>
        </w:rPr>
        <w:t>相关工程应用标准，</w:t>
      </w:r>
      <w:r>
        <w:rPr>
          <w:rFonts w:hAnsi="宋体"/>
          <w:sz w:val="24"/>
          <w:lang w:val="zh-CN"/>
        </w:rPr>
        <w:t>对</w:t>
      </w:r>
      <w:r>
        <w:rPr>
          <w:rFonts w:hAnsi="宋体"/>
          <w:sz w:val="24"/>
        </w:rPr>
        <w:t>泡沫混凝土墙体的一般施工要求</w:t>
      </w:r>
      <w:r>
        <w:rPr>
          <w:rFonts w:hint="eastAsia" w:hAnsi="宋体"/>
          <w:sz w:val="24"/>
        </w:rPr>
        <w:t>、</w:t>
      </w:r>
      <w:r>
        <w:rPr>
          <w:rFonts w:hAnsi="宋体"/>
          <w:sz w:val="24"/>
        </w:rPr>
        <w:t>施工准备、</w:t>
      </w:r>
      <w:r>
        <w:rPr>
          <w:rFonts w:hint="eastAsia" w:hAnsi="宋体"/>
          <w:sz w:val="24"/>
        </w:rPr>
        <w:t>模板与钢筋工程安装拆除要求、</w:t>
      </w:r>
      <w:r>
        <w:rPr>
          <w:rFonts w:hAnsi="宋体"/>
          <w:sz w:val="24"/>
        </w:rPr>
        <w:t>泡沫混凝土浇筑</w:t>
      </w:r>
      <w:r>
        <w:rPr>
          <w:rFonts w:hint="eastAsia" w:hAnsi="宋体"/>
          <w:sz w:val="24"/>
        </w:rPr>
        <w:t>、泵送泡沫混凝土</w:t>
      </w:r>
      <w:r>
        <w:rPr>
          <w:rFonts w:hAnsi="宋体"/>
          <w:sz w:val="24"/>
        </w:rPr>
        <w:t>和养护等施工细节做出规定。施工一般规定对整体施工方案、施工基本操作、施工设备、安全防护等方面进行细节要求。根据泡沫混凝土的材料特性和养护要求，对其浇筑施工方法和养护细节进行规定。</w:t>
      </w:r>
      <w:r>
        <w:rPr>
          <w:rFonts w:hint="eastAsia" w:hAnsi="宋体"/>
          <w:sz w:val="24"/>
        </w:rPr>
        <w:t>主要</w:t>
      </w:r>
      <w:r>
        <w:rPr>
          <w:rFonts w:hAnsi="宋体"/>
          <w:sz w:val="24"/>
        </w:rPr>
        <w:t>标准条款的编制目的、依据见标准条文说明。</w:t>
      </w:r>
    </w:p>
    <w:p w14:paraId="3FED0EA4">
      <w:pPr>
        <w:spacing w:line="360" w:lineRule="auto"/>
        <w:rPr>
          <w:b/>
          <w:sz w:val="24"/>
        </w:rPr>
      </w:pPr>
      <w:r>
        <w:rPr>
          <w:b/>
          <w:sz w:val="24"/>
        </w:rPr>
        <w:t xml:space="preserve">2.2.7 </w:t>
      </w:r>
      <w:r>
        <w:rPr>
          <w:rFonts w:hAnsi="宋体"/>
          <w:b/>
          <w:sz w:val="24"/>
        </w:rPr>
        <w:t>质量验收</w:t>
      </w:r>
    </w:p>
    <w:p w14:paraId="04577DCD">
      <w:pPr>
        <w:spacing w:line="360" w:lineRule="auto"/>
        <w:rPr>
          <w:sz w:val="24"/>
        </w:rPr>
      </w:pPr>
      <w:r>
        <w:rPr>
          <w:sz w:val="24"/>
        </w:rPr>
        <w:t xml:space="preserve">    </w:t>
      </w:r>
      <w:r>
        <w:rPr>
          <w:rFonts w:hAnsi="宋体"/>
          <w:sz w:val="24"/>
          <w:lang w:val="zh-CN"/>
        </w:rPr>
        <w:t>本章节根据建筑物工程质量验收的一般要求和</w:t>
      </w:r>
      <w:r>
        <w:rPr>
          <w:rFonts w:hint="eastAsia" w:hAnsi="宋体"/>
          <w:sz w:val="24"/>
        </w:rPr>
        <w:t>泡沫混凝土</w:t>
      </w:r>
      <w:r>
        <w:rPr>
          <w:rFonts w:hAnsi="宋体"/>
          <w:sz w:val="24"/>
        </w:rPr>
        <w:t>墙体的特点，参考</w:t>
      </w:r>
      <w:r>
        <w:rPr>
          <w:rFonts w:hint="eastAsia" w:hAnsi="宋体"/>
          <w:sz w:val="24"/>
        </w:rPr>
        <w:t>相关工程技术标准，结合</w:t>
      </w:r>
      <w:r>
        <w:rPr>
          <w:rFonts w:hAnsi="宋体"/>
          <w:sz w:val="24"/>
        </w:rPr>
        <w:t>工程案例的质量验收经验，制定了</w:t>
      </w:r>
      <w:r>
        <w:rPr>
          <w:rFonts w:hint="eastAsia" w:hAnsi="宋体"/>
          <w:sz w:val="24"/>
        </w:rPr>
        <w:t>泡沫混凝土</w:t>
      </w:r>
      <w:r>
        <w:rPr>
          <w:rFonts w:hAnsi="宋体"/>
          <w:sz w:val="24"/>
        </w:rPr>
        <w:t>墙体工程质量验收的一般规定，</w:t>
      </w:r>
      <w:r>
        <w:rPr>
          <w:rFonts w:hint="eastAsia" w:hAnsi="宋体"/>
          <w:sz w:val="24"/>
        </w:rPr>
        <w:t>对泡沫混凝土墙体的各个原材料、墙体成品进行质量验收；</w:t>
      </w:r>
      <w:r>
        <w:rPr>
          <w:rFonts w:hAnsi="宋体"/>
          <w:sz w:val="24"/>
        </w:rPr>
        <w:t>同时对</w:t>
      </w:r>
      <w:r>
        <w:rPr>
          <w:rFonts w:hint="eastAsia" w:hAnsi="宋体"/>
          <w:sz w:val="24"/>
        </w:rPr>
        <w:t>泡沫混凝土拌合物的工作性能、</w:t>
      </w:r>
      <w:r>
        <w:rPr>
          <w:rFonts w:hAnsi="宋体"/>
          <w:sz w:val="24"/>
        </w:rPr>
        <w:t>泡沫混凝土浇筑</w:t>
      </w:r>
      <w:r>
        <w:rPr>
          <w:rFonts w:hint="eastAsia" w:hAnsi="宋体"/>
          <w:sz w:val="24"/>
        </w:rPr>
        <w:t>、墙体工程的外观质量、墙体位置和尺寸偏差、成品墙体性能指标</w:t>
      </w:r>
      <w:r>
        <w:rPr>
          <w:rFonts w:hAnsi="宋体"/>
          <w:sz w:val="24"/>
        </w:rPr>
        <w:t>等工程</w:t>
      </w:r>
      <w:r>
        <w:rPr>
          <w:rFonts w:hint="eastAsia" w:hAnsi="宋体"/>
          <w:sz w:val="24"/>
        </w:rPr>
        <w:t>环节</w:t>
      </w:r>
      <w:r>
        <w:rPr>
          <w:rFonts w:hAnsi="宋体"/>
          <w:sz w:val="24"/>
        </w:rPr>
        <w:t>的质量验收进行了规定，包括验收要求和验收方法，每个</w:t>
      </w:r>
      <w:r>
        <w:rPr>
          <w:rFonts w:hint="eastAsia" w:hAnsi="宋体"/>
          <w:sz w:val="24"/>
        </w:rPr>
        <w:t>环节</w:t>
      </w:r>
      <w:r>
        <w:rPr>
          <w:rFonts w:hAnsi="宋体"/>
          <w:sz w:val="24"/>
        </w:rPr>
        <w:t>的质量验收根据重要程度分为主控项目和一般项目，以便进行高效验收。</w:t>
      </w:r>
      <w:r>
        <w:rPr>
          <w:rFonts w:hint="eastAsia" w:hAnsi="宋体"/>
          <w:sz w:val="24"/>
        </w:rPr>
        <w:t>主要</w:t>
      </w:r>
      <w:r>
        <w:rPr>
          <w:rFonts w:hAnsi="宋体"/>
          <w:sz w:val="24"/>
        </w:rPr>
        <w:t>标准条款的编制目的、依据见标准条文说明。</w:t>
      </w:r>
    </w:p>
    <w:p w14:paraId="2863E57C">
      <w:pPr>
        <w:spacing w:line="360" w:lineRule="auto"/>
        <w:rPr>
          <w:b/>
          <w:sz w:val="24"/>
        </w:rPr>
      </w:pPr>
      <w:r>
        <w:rPr>
          <w:b/>
          <w:sz w:val="24"/>
        </w:rPr>
        <w:t>2.2.</w:t>
      </w:r>
      <w:r>
        <w:rPr>
          <w:rFonts w:hint="eastAsia"/>
          <w:b/>
          <w:sz w:val="24"/>
        </w:rPr>
        <w:t>8</w:t>
      </w:r>
      <w:r>
        <w:rPr>
          <w:b/>
          <w:sz w:val="24"/>
        </w:rPr>
        <w:t xml:space="preserve"> </w:t>
      </w:r>
      <w:r>
        <w:rPr>
          <w:rFonts w:hAnsi="宋体"/>
          <w:b/>
          <w:sz w:val="24"/>
        </w:rPr>
        <w:t>本规程用词说明</w:t>
      </w:r>
    </w:p>
    <w:p w14:paraId="1B678D62">
      <w:pPr>
        <w:spacing w:line="360" w:lineRule="auto"/>
        <w:ind w:firstLine="480" w:firstLineChars="200"/>
        <w:rPr>
          <w:sz w:val="24"/>
          <w:lang w:val="el-GR"/>
        </w:rPr>
      </w:pPr>
      <w:r>
        <w:rPr>
          <w:rFonts w:hAnsi="宋体"/>
          <w:sz w:val="24"/>
          <w:lang w:val="el-GR"/>
        </w:rPr>
        <w:t>对本</w:t>
      </w:r>
      <w:r>
        <w:rPr>
          <w:rFonts w:hint="eastAsia" w:hAnsi="宋体"/>
          <w:sz w:val="24"/>
          <w:lang w:val="el-GR"/>
        </w:rPr>
        <w:t>规程</w:t>
      </w:r>
      <w:r>
        <w:rPr>
          <w:rFonts w:hAnsi="宋体"/>
          <w:sz w:val="24"/>
          <w:lang w:val="el-GR"/>
        </w:rPr>
        <w:t>条文中要求严格程度不同的用词和按其他标准执行的写法进行说明，以方便对本规程的理解和使用。</w:t>
      </w:r>
    </w:p>
    <w:p w14:paraId="6EA79914">
      <w:pPr>
        <w:spacing w:line="360" w:lineRule="auto"/>
        <w:rPr>
          <w:b/>
          <w:sz w:val="24"/>
        </w:rPr>
      </w:pPr>
      <w:r>
        <w:rPr>
          <w:b/>
          <w:sz w:val="24"/>
        </w:rPr>
        <w:t>2.2.</w:t>
      </w:r>
      <w:r>
        <w:rPr>
          <w:rFonts w:hint="eastAsia"/>
          <w:b/>
          <w:sz w:val="24"/>
        </w:rPr>
        <w:t>9</w:t>
      </w:r>
      <w:r>
        <w:rPr>
          <w:b/>
          <w:sz w:val="24"/>
        </w:rPr>
        <w:t xml:space="preserve"> </w:t>
      </w:r>
      <w:r>
        <w:rPr>
          <w:rFonts w:hAnsi="宋体"/>
          <w:b/>
          <w:sz w:val="24"/>
        </w:rPr>
        <w:t>引用标准名录</w:t>
      </w:r>
    </w:p>
    <w:p w14:paraId="2EA8821D">
      <w:pPr>
        <w:spacing w:line="360" w:lineRule="auto"/>
        <w:ind w:firstLine="480" w:firstLineChars="200"/>
        <w:rPr>
          <w:sz w:val="24"/>
        </w:rPr>
      </w:pPr>
      <w:r>
        <w:rPr>
          <w:rFonts w:hAnsi="宋体"/>
          <w:sz w:val="24"/>
        </w:rPr>
        <w:t>标准中共引用了</w:t>
      </w:r>
      <w:r>
        <w:rPr>
          <w:rFonts w:hint="eastAsia" w:hAnsi="宋体"/>
          <w:sz w:val="24"/>
        </w:rPr>
        <w:t>21</w:t>
      </w:r>
      <w:r>
        <w:rPr>
          <w:rFonts w:hAnsi="宋体"/>
          <w:sz w:val="24"/>
        </w:rPr>
        <w:t>项现行国家标准和</w:t>
      </w:r>
      <w:r>
        <w:rPr>
          <w:rFonts w:hint="eastAsia"/>
          <w:sz w:val="24"/>
        </w:rPr>
        <w:t>10</w:t>
      </w:r>
      <w:r>
        <w:rPr>
          <w:rFonts w:hAnsi="宋体"/>
          <w:sz w:val="24"/>
        </w:rPr>
        <w:t>项行业标准。凡是注日期的引用标准，仅所注日期的版本适用于本规程；凡是不注日期的引用标准，其最新版本（包括所有的修改单）适用于本规程。</w:t>
      </w:r>
    </w:p>
    <w:p w14:paraId="1194511A">
      <w:pPr>
        <w:spacing w:line="360" w:lineRule="auto"/>
        <w:rPr>
          <w:b/>
          <w:sz w:val="24"/>
        </w:rPr>
      </w:pPr>
      <w:r>
        <w:rPr>
          <w:b/>
          <w:sz w:val="24"/>
        </w:rPr>
        <w:t>2.2.</w:t>
      </w:r>
      <w:r>
        <w:rPr>
          <w:rFonts w:hint="eastAsia"/>
          <w:b/>
          <w:sz w:val="24"/>
        </w:rPr>
        <w:t>10</w:t>
      </w:r>
      <w:r>
        <w:rPr>
          <w:b/>
          <w:sz w:val="24"/>
        </w:rPr>
        <w:t xml:space="preserve"> </w:t>
      </w:r>
      <w:r>
        <w:rPr>
          <w:rFonts w:hAnsi="宋体"/>
          <w:b/>
          <w:sz w:val="24"/>
        </w:rPr>
        <w:t>条文说明</w:t>
      </w:r>
    </w:p>
    <w:p w14:paraId="01F81FA0">
      <w:pPr>
        <w:spacing w:line="360" w:lineRule="auto"/>
        <w:ind w:firstLine="480" w:firstLineChars="200"/>
        <w:rPr>
          <w:sz w:val="24"/>
        </w:rPr>
      </w:pPr>
      <w:r>
        <w:rPr>
          <w:rFonts w:hAnsi="宋体"/>
          <w:sz w:val="24"/>
        </w:rPr>
        <w:t>为便于广大设计、施工、科研、学校等单位有关人员在使用本规程时能正确理解和执行条文规定，编制组按章、节、条的顺序编制了本规程的条文说明，对条文规定的目的、依据以及执行中需注意的有关事项进行了说明。但条文说明不具备与规程正文同等的标准效力，仅供读者作为理解和把握规程规定的参考。</w:t>
      </w:r>
    </w:p>
    <w:p w14:paraId="26E1F40D">
      <w:pPr>
        <w:spacing w:line="360" w:lineRule="auto"/>
        <w:rPr>
          <w:b/>
          <w:sz w:val="24"/>
        </w:rPr>
      </w:pPr>
      <w:r>
        <w:rPr>
          <w:b/>
          <w:sz w:val="24"/>
        </w:rPr>
        <w:t xml:space="preserve">3 </w:t>
      </w:r>
      <w:r>
        <w:rPr>
          <w:rFonts w:hAnsi="宋体"/>
          <w:b/>
          <w:sz w:val="24"/>
        </w:rPr>
        <w:t>验证试验</w:t>
      </w:r>
    </w:p>
    <w:p w14:paraId="455C4FAC">
      <w:pPr>
        <w:spacing w:line="360" w:lineRule="auto"/>
        <w:rPr>
          <w:b/>
          <w:sz w:val="24"/>
        </w:rPr>
      </w:pPr>
      <w:r>
        <w:rPr>
          <w:b/>
          <w:sz w:val="24"/>
        </w:rPr>
        <w:t xml:space="preserve">3.1 </w:t>
      </w:r>
      <w:r>
        <w:rPr>
          <w:rFonts w:hAnsi="宋体"/>
          <w:b/>
          <w:sz w:val="24"/>
        </w:rPr>
        <w:t>试验背景</w:t>
      </w:r>
    </w:p>
    <w:p w14:paraId="016945C4">
      <w:pPr>
        <w:spacing w:line="360" w:lineRule="auto"/>
        <w:ind w:firstLine="480"/>
        <w:rPr>
          <w:rFonts w:hint="eastAsia" w:hAnsi="宋体"/>
          <w:sz w:val="24"/>
          <w:lang w:val="zh-CN"/>
        </w:rPr>
      </w:pPr>
      <w:r>
        <w:rPr>
          <w:rFonts w:hint="eastAsia"/>
          <w:sz w:val="24"/>
        </w:rPr>
        <w:t>标准编制组在中国混凝土与水泥制品协会泡沫混凝土分会支持下，对国内8</w:t>
      </w:r>
      <w:r>
        <w:rPr>
          <w:rFonts w:hAnsi="宋体"/>
          <w:sz w:val="24"/>
        </w:rPr>
        <w:t>个</w:t>
      </w:r>
      <w:r>
        <w:rPr>
          <w:rFonts w:hint="eastAsia" w:hAnsi="宋体"/>
          <w:sz w:val="24"/>
          <w:lang w:val="zh-CN"/>
        </w:rPr>
        <w:t>泡沫混凝土</w:t>
      </w:r>
      <w:r>
        <w:rPr>
          <w:rFonts w:hAnsi="宋体"/>
          <w:sz w:val="24"/>
          <w:lang w:val="zh-CN"/>
        </w:rPr>
        <w:t>墙体</w:t>
      </w:r>
      <w:r>
        <w:rPr>
          <w:rFonts w:hAnsi="宋体"/>
          <w:sz w:val="24"/>
        </w:rPr>
        <w:t>施工应用工程进行</w:t>
      </w:r>
      <w:r>
        <w:rPr>
          <w:rFonts w:hAnsi="宋体"/>
          <w:sz w:val="24"/>
          <w:lang w:val="zh-CN"/>
        </w:rPr>
        <w:t>技术信息</w:t>
      </w:r>
      <w:r>
        <w:rPr>
          <w:rFonts w:hint="eastAsia" w:hAnsi="宋体"/>
          <w:sz w:val="24"/>
          <w:lang w:val="zh-CN"/>
        </w:rPr>
        <w:t>和数据</w:t>
      </w:r>
      <w:r>
        <w:rPr>
          <w:rFonts w:hAnsi="宋体"/>
          <w:sz w:val="24"/>
          <w:lang w:val="zh-CN"/>
        </w:rPr>
        <w:t>收集</w:t>
      </w:r>
      <w:r>
        <w:rPr>
          <w:rFonts w:hint="eastAsia" w:hAnsi="宋体"/>
          <w:sz w:val="24"/>
          <w:lang w:val="zh-CN"/>
        </w:rPr>
        <w:t>，作为标准制定的重要依据。</w:t>
      </w:r>
    </w:p>
    <w:p w14:paraId="3EA6203C">
      <w:pPr>
        <w:spacing w:line="360" w:lineRule="auto"/>
        <w:ind w:firstLine="480"/>
        <w:jc w:val="center"/>
        <w:rPr>
          <w:rFonts w:hint="eastAsia" w:hAnsi="宋体"/>
          <w:sz w:val="24"/>
          <w:lang w:val="zh-CN"/>
        </w:rPr>
      </w:pPr>
      <w:r>
        <w:rPr>
          <w:rFonts w:hint="eastAsia"/>
          <w:b/>
          <w:bCs/>
        </w:rPr>
        <w:t>表2</w:t>
      </w:r>
      <w:r>
        <w:rPr>
          <w:b/>
          <w:bCs/>
        </w:rPr>
        <w:t xml:space="preserve"> </w:t>
      </w:r>
      <w:r>
        <w:rPr>
          <w:rFonts w:hint="eastAsia"/>
          <w:b/>
          <w:bCs/>
        </w:rPr>
        <w:t>泡沫混凝土墙体技术信息和数据来源工程项目</w:t>
      </w:r>
    </w:p>
    <w:tbl>
      <w:tblPr>
        <w:tblStyle w:val="17"/>
        <w:tblW w:w="47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7085"/>
      </w:tblGrid>
      <w:tr w14:paraId="55B7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062F61D6">
            <w:pPr>
              <w:jc w:val="center"/>
              <w:rPr>
                <w:b/>
              </w:rPr>
            </w:pPr>
            <w:r>
              <w:rPr>
                <w:rFonts w:hint="eastAsia"/>
                <w:b/>
              </w:rPr>
              <w:t>编号</w:t>
            </w:r>
          </w:p>
        </w:tc>
        <w:tc>
          <w:tcPr>
            <w:tcW w:w="4394" w:type="pct"/>
            <w:vAlign w:val="center"/>
          </w:tcPr>
          <w:p w14:paraId="62C90AFC">
            <w:pPr>
              <w:jc w:val="center"/>
              <w:rPr>
                <w:b/>
              </w:rPr>
            </w:pPr>
            <w:r>
              <w:rPr>
                <w:rFonts w:hint="eastAsia"/>
                <w:b/>
              </w:rPr>
              <w:t>工程项目名称</w:t>
            </w:r>
          </w:p>
        </w:tc>
      </w:tr>
      <w:tr w14:paraId="50D6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7241080C">
            <w:pPr>
              <w:jc w:val="center"/>
            </w:pPr>
            <w:r>
              <w:rPr>
                <w:rFonts w:hint="eastAsia"/>
              </w:rPr>
              <w:t>1</w:t>
            </w:r>
          </w:p>
        </w:tc>
        <w:tc>
          <w:tcPr>
            <w:tcW w:w="4394" w:type="pct"/>
            <w:vAlign w:val="center"/>
          </w:tcPr>
          <w:p w14:paraId="43DEAE6B">
            <w:pPr>
              <w:jc w:val="center"/>
            </w:pPr>
            <w:r>
              <w:rPr>
                <w:rFonts w:hint="eastAsia"/>
              </w:rPr>
              <w:t>德州市夏津县公望府小区项目</w:t>
            </w:r>
          </w:p>
        </w:tc>
      </w:tr>
      <w:tr w14:paraId="6192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3FE396C6">
            <w:pPr>
              <w:jc w:val="center"/>
            </w:pPr>
            <w:r>
              <w:rPr>
                <w:rFonts w:hint="eastAsia"/>
              </w:rPr>
              <w:t>2</w:t>
            </w:r>
          </w:p>
        </w:tc>
        <w:tc>
          <w:tcPr>
            <w:tcW w:w="4394" w:type="pct"/>
            <w:vAlign w:val="center"/>
          </w:tcPr>
          <w:p w14:paraId="191BFBAE">
            <w:pPr>
              <w:jc w:val="center"/>
            </w:pPr>
            <w:r>
              <w:rPr>
                <w:rFonts w:hint="eastAsia"/>
              </w:rPr>
              <w:t>青岛市中科建工写字楼项目</w:t>
            </w:r>
          </w:p>
        </w:tc>
      </w:tr>
      <w:tr w14:paraId="6CFC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5EE2475B">
            <w:pPr>
              <w:jc w:val="center"/>
            </w:pPr>
            <w:r>
              <w:rPr>
                <w:rFonts w:hint="eastAsia"/>
              </w:rPr>
              <w:t>3</w:t>
            </w:r>
          </w:p>
        </w:tc>
        <w:tc>
          <w:tcPr>
            <w:tcW w:w="4394" w:type="pct"/>
            <w:vAlign w:val="center"/>
          </w:tcPr>
          <w:p w14:paraId="29D8608D">
            <w:pPr>
              <w:jc w:val="center"/>
            </w:pPr>
            <w:r>
              <w:rPr>
                <w:rFonts w:hint="eastAsia"/>
              </w:rPr>
              <w:t>黄岛市经控智联谷二期办公楼项目</w:t>
            </w:r>
          </w:p>
        </w:tc>
      </w:tr>
      <w:tr w14:paraId="5444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1BB03CF0">
            <w:pPr>
              <w:jc w:val="center"/>
            </w:pPr>
            <w:r>
              <w:rPr>
                <w:rFonts w:hint="eastAsia"/>
              </w:rPr>
              <w:t>4</w:t>
            </w:r>
          </w:p>
        </w:tc>
        <w:tc>
          <w:tcPr>
            <w:tcW w:w="4394" w:type="pct"/>
            <w:vAlign w:val="center"/>
          </w:tcPr>
          <w:p w14:paraId="531E80ED">
            <w:pPr>
              <w:jc w:val="center"/>
            </w:pPr>
            <w:r>
              <w:rPr>
                <w:rFonts w:hint="eastAsia"/>
              </w:rPr>
              <w:t>威海市积翠苑小区项目</w:t>
            </w:r>
          </w:p>
        </w:tc>
      </w:tr>
      <w:tr w14:paraId="6444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74DFE55E">
            <w:pPr>
              <w:jc w:val="center"/>
            </w:pPr>
            <w:r>
              <w:rPr>
                <w:rFonts w:hint="eastAsia"/>
              </w:rPr>
              <w:t>5</w:t>
            </w:r>
          </w:p>
        </w:tc>
        <w:tc>
          <w:tcPr>
            <w:tcW w:w="4394" w:type="pct"/>
            <w:vAlign w:val="center"/>
          </w:tcPr>
          <w:p w14:paraId="4C6F48B3">
            <w:pPr>
              <w:jc w:val="center"/>
            </w:pPr>
            <w:r>
              <w:rPr>
                <w:rFonts w:hint="eastAsia"/>
              </w:rPr>
              <w:t>北京市房山区青龙湖低层住宅楼</w:t>
            </w:r>
          </w:p>
        </w:tc>
      </w:tr>
      <w:tr w14:paraId="4FBE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3FFD5671">
            <w:pPr>
              <w:jc w:val="center"/>
            </w:pPr>
            <w:r>
              <w:rPr>
                <w:rFonts w:hint="eastAsia"/>
              </w:rPr>
              <w:t>6</w:t>
            </w:r>
          </w:p>
        </w:tc>
        <w:tc>
          <w:tcPr>
            <w:tcW w:w="4394" w:type="pct"/>
            <w:vAlign w:val="center"/>
          </w:tcPr>
          <w:p w14:paraId="74E9FDE5">
            <w:pPr>
              <w:jc w:val="center"/>
            </w:pPr>
            <w:r>
              <w:rPr>
                <w:rFonts w:hint="eastAsia"/>
              </w:rPr>
              <w:t>马鞍山市智慧小镇住宅楼</w:t>
            </w:r>
          </w:p>
        </w:tc>
      </w:tr>
      <w:tr w14:paraId="2BD18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4FC4A729">
            <w:pPr>
              <w:jc w:val="center"/>
            </w:pPr>
            <w:r>
              <w:rPr>
                <w:rFonts w:hint="eastAsia"/>
              </w:rPr>
              <w:t>7</w:t>
            </w:r>
          </w:p>
        </w:tc>
        <w:tc>
          <w:tcPr>
            <w:tcW w:w="4394" w:type="pct"/>
            <w:vAlign w:val="center"/>
          </w:tcPr>
          <w:p w14:paraId="464DA576">
            <w:pPr>
              <w:jc w:val="center"/>
            </w:pPr>
            <w:r>
              <w:rPr>
                <w:rFonts w:hint="eastAsia"/>
              </w:rPr>
              <w:t>茌平市喜园小区项目</w:t>
            </w:r>
          </w:p>
        </w:tc>
      </w:tr>
      <w:tr w14:paraId="00B6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20B509B8">
            <w:pPr>
              <w:jc w:val="center"/>
            </w:pPr>
            <w:r>
              <w:rPr>
                <w:rFonts w:hint="eastAsia"/>
              </w:rPr>
              <w:t>8</w:t>
            </w:r>
          </w:p>
        </w:tc>
        <w:tc>
          <w:tcPr>
            <w:tcW w:w="4394" w:type="pct"/>
            <w:vAlign w:val="center"/>
          </w:tcPr>
          <w:p w14:paraId="5C4290B7">
            <w:pPr>
              <w:jc w:val="center"/>
            </w:pPr>
            <w:r>
              <w:rPr>
                <w:rFonts w:hint="eastAsia"/>
              </w:rPr>
              <w:t>郑州市大河社区安置房</w:t>
            </w:r>
          </w:p>
        </w:tc>
      </w:tr>
      <w:tr w14:paraId="5932A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76EB4262">
            <w:pPr>
              <w:jc w:val="center"/>
            </w:pPr>
            <w:r>
              <w:rPr>
                <w:rFonts w:hint="eastAsia"/>
              </w:rPr>
              <w:t>9</w:t>
            </w:r>
          </w:p>
        </w:tc>
        <w:tc>
          <w:tcPr>
            <w:tcW w:w="4394" w:type="pct"/>
            <w:vAlign w:val="center"/>
          </w:tcPr>
          <w:p w14:paraId="3A5E92CD">
            <w:pPr>
              <w:jc w:val="center"/>
            </w:pPr>
            <w:r>
              <w:rPr>
                <w:rFonts w:ascii="Calibri" w:hAnsi="Calibri"/>
                <w:szCs w:val="22"/>
              </w:rPr>
              <w:t>眉山市洪雅县青杠坪</w:t>
            </w:r>
            <w:r>
              <w:rPr>
                <w:rFonts w:hint="eastAsia" w:ascii="Calibri" w:hAnsi="Calibri"/>
                <w:szCs w:val="22"/>
              </w:rPr>
              <w:t>茶客小镇</w:t>
            </w:r>
            <w:r>
              <w:rPr>
                <w:rFonts w:hint="eastAsia"/>
              </w:rPr>
              <w:t>商业住宅楼</w:t>
            </w:r>
          </w:p>
        </w:tc>
      </w:tr>
      <w:tr w14:paraId="57B4C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0780A545">
            <w:pPr>
              <w:jc w:val="center"/>
            </w:pPr>
            <w:r>
              <w:rPr>
                <w:rFonts w:hint="eastAsia"/>
              </w:rPr>
              <w:t>10</w:t>
            </w:r>
          </w:p>
        </w:tc>
        <w:tc>
          <w:tcPr>
            <w:tcW w:w="4394" w:type="pct"/>
            <w:vAlign w:val="center"/>
          </w:tcPr>
          <w:p w14:paraId="6D510189">
            <w:pPr>
              <w:jc w:val="center"/>
            </w:pPr>
            <w:r>
              <w:rPr>
                <w:rFonts w:hint="eastAsia"/>
              </w:rPr>
              <w:t>拉萨市援建项目住宅楼</w:t>
            </w:r>
          </w:p>
        </w:tc>
      </w:tr>
      <w:tr w14:paraId="2256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4DD5C36A">
            <w:pPr>
              <w:jc w:val="center"/>
            </w:pPr>
            <w:r>
              <w:rPr>
                <w:rFonts w:hint="eastAsia"/>
              </w:rPr>
              <w:t>11</w:t>
            </w:r>
          </w:p>
        </w:tc>
        <w:tc>
          <w:tcPr>
            <w:tcW w:w="4394" w:type="pct"/>
            <w:vAlign w:val="center"/>
          </w:tcPr>
          <w:p w14:paraId="1CB68D48">
            <w:pPr>
              <w:jc w:val="center"/>
            </w:pPr>
            <w:r>
              <w:rPr>
                <w:rFonts w:hint="eastAsia"/>
              </w:rPr>
              <w:t>绍兴市新昌县三花集团办公楼隔墙</w:t>
            </w:r>
          </w:p>
        </w:tc>
      </w:tr>
      <w:tr w14:paraId="2110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06" w:type="pct"/>
            <w:vAlign w:val="center"/>
          </w:tcPr>
          <w:p w14:paraId="5B5DA924">
            <w:pPr>
              <w:jc w:val="center"/>
            </w:pPr>
            <w:r>
              <w:rPr>
                <w:rFonts w:hint="eastAsia"/>
              </w:rPr>
              <w:t>12</w:t>
            </w:r>
          </w:p>
        </w:tc>
        <w:tc>
          <w:tcPr>
            <w:tcW w:w="4394" w:type="pct"/>
            <w:vAlign w:val="center"/>
          </w:tcPr>
          <w:p w14:paraId="332EAF88">
            <w:pPr>
              <w:jc w:val="center"/>
            </w:pPr>
            <w:r>
              <w:rPr>
                <w:rFonts w:hint="eastAsia"/>
              </w:rPr>
              <w:t>上海市嘉定区菊园31、32 地块共有产权房内隔墙</w:t>
            </w:r>
          </w:p>
        </w:tc>
      </w:tr>
    </w:tbl>
    <w:p w14:paraId="1C6EDC71">
      <w:pPr>
        <w:spacing w:line="360" w:lineRule="auto"/>
        <w:ind w:firstLine="480"/>
        <w:rPr>
          <w:sz w:val="24"/>
        </w:rPr>
      </w:pPr>
      <w:r>
        <w:rPr>
          <w:rFonts w:hAnsi="宋体"/>
          <w:sz w:val="24"/>
        </w:rPr>
        <w:t>受《</w:t>
      </w:r>
      <w:r>
        <w:rPr>
          <w:rFonts w:hint="eastAsia" w:hAnsi="宋体"/>
          <w:sz w:val="24"/>
        </w:rPr>
        <w:t>泡沫混凝土</w:t>
      </w:r>
      <w:r>
        <w:rPr>
          <w:rFonts w:hAnsi="宋体"/>
          <w:sz w:val="24"/>
        </w:rPr>
        <w:t>墙体应用技术规程》</w:t>
      </w:r>
      <w:r>
        <w:rPr>
          <w:rFonts w:hint="eastAsia" w:hAnsi="宋体"/>
          <w:sz w:val="24"/>
        </w:rPr>
        <w:t>团体</w:t>
      </w:r>
      <w:r>
        <w:rPr>
          <w:rFonts w:hAnsi="宋体"/>
          <w:sz w:val="24"/>
        </w:rPr>
        <w:t>标准起草小组的委托，负责起草单位建筑材料工业技术监督研究中心下属的建筑材料行业水泥基建筑节能材料重点实验室和建筑材料工业干混砂浆产品质量监督检验测试中心承担了《</w:t>
      </w:r>
      <w:r>
        <w:rPr>
          <w:rFonts w:hint="eastAsia" w:hAnsi="宋体"/>
          <w:sz w:val="24"/>
        </w:rPr>
        <w:t>泡沫混凝土墙体应用技术规程</w:t>
      </w:r>
      <w:r>
        <w:rPr>
          <w:rFonts w:hAnsi="宋体"/>
          <w:sz w:val="24"/>
        </w:rPr>
        <w:t>》</w:t>
      </w:r>
      <w:r>
        <w:rPr>
          <w:rFonts w:hint="eastAsia" w:hAnsi="宋体"/>
          <w:sz w:val="24"/>
        </w:rPr>
        <w:t>团体</w:t>
      </w:r>
      <w:r>
        <w:rPr>
          <w:rFonts w:hAnsi="宋体"/>
          <w:sz w:val="24"/>
        </w:rPr>
        <w:t>标准的</w:t>
      </w:r>
      <w:r>
        <w:rPr>
          <w:rFonts w:hint="eastAsia" w:hAnsi="宋体"/>
          <w:sz w:val="24"/>
        </w:rPr>
        <w:t>主要</w:t>
      </w:r>
      <w:r>
        <w:rPr>
          <w:rFonts w:hAnsi="宋体"/>
          <w:sz w:val="24"/>
        </w:rPr>
        <w:t>验证试验工作</w:t>
      </w:r>
      <w:r>
        <w:rPr>
          <w:rFonts w:hint="eastAsia" w:hAnsi="宋体"/>
          <w:sz w:val="24"/>
        </w:rPr>
        <w:t>，东南大学、北京建筑大学等单位也承担部分验证试验工作</w:t>
      </w:r>
      <w:r>
        <w:rPr>
          <w:rFonts w:hAnsi="宋体"/>
          <w:sz w:val="24"/>
        </w:rPr>
        <w:t>。</w:t>
      </w:r>
    </w:p>
    <w:p w14:paraId="640B969E">
      <w:pPr>
        <w:spacing w:line="360" w:lineRule="auto"/>
        <w:ind w:firstLine="480"/>
        <w:rPr>
          <w:sz w:val="24"/>
        </w:rPr>
      </w:pPr>
      <w:r>
        <w:rPr>
          <w:rFonts w:hAnsi="宋体"/>
          <w:sz w:val="24"/>
        </w:rPr>
        <w:t>根据标准编制组工作会议研究结果，对依照本规程初稿进行</w:t>
      </w:r>
      <w:r>
        <w:rPr>
          <w:rFonts w:hint="eastAsia" w:hAnsi="宋体"/>
          <w:sz w:val="24"/>
        </w:rPr>
        <w:t>泡沫混凝土</w:t>
      </w:r>
      <w:r>
        <w:rPr>
          <w:rFonts w:hAnsi="宋体"/>
          <w:sz w:val="24"/>
        </w:rPr>
        <w:t>墙体施工建设的</w:t>
      </w:r>
      <w:r>
        <w:rPr>
          <w:sz w:val="24"/>
        </w:rPr>
        <w:t>7</w:t>
      </w:r>
      <w:r>
        <w:rPr>
          <w:rFonts w:hAnsi="宋体"/>
          <w:sz w:val="24"/>
        </w:rPr>
        <w:t>个验证试验案例工程进行墙体质量验收，并对</w:t>
      </w:r>
      <w:r>
        <w:rPr>
          <w:rFonts w:hint="eastAsia" w:hAnsi="宋体"/>
          <w:sz w:val="24"/>
        </w:rPr>
        <w:t>工程中按照本规程初稿技术方法单独制备的</w:t>
      </w:r>
      <w:r>
        <w:rPr>
          <w:rFonts w:hint="eastAsia"/>
          <w:sz w:val="24"/>
        </w:rPr>
        <w:t>8</w:t>
      </w:r>
      <w:r>
        <w:rPr>
          <w:rFonts w:hAnsi="宋体"/>
          <w:sz w:val="24"/>
        </w:rPr>
        <w:t>面墙体</w:t>
      </w:r>
      <w:r>
        <w:rPr>
          <w:rFonts w:hint="eastAsia" w:hAnsi="宋体"/>
          <w:sz w:val="24"/>
        </w:rPr>
        <w:t>样品</w:t>
      </w:r>
      <w:r>
        <w:rPr>
          <w:rFonts w:hAnsi="宋体"/>
          <w:sz w:val="24"/>
        </w:rPr>
        <w:t>进行性能验证试验。验证试验内容包括：</w:t>
      </w:r>
      <w:r>
        <w:rPr>
          <w:rFonts w:hint="eastAsia" w:hAnsi="宋体"/>
          <w:sz w:val="24"/>
        </w:rPr>
        <w:t>墙体干密度、抗压强度</w:t>
      </w:r>
      <w:r>
        <w:rPr>
          <w:rFonts w:hAnsi="宋体"/>
          <w:sz w:val="24"/>
        </w:rPr>
        <w:t>、</w:t>
      </w:r>
      <w:r>
        <w:rPr>
          <w:rFonts w:hint="eastAsia" w:hAnsi="宋体"/>
          <w:sz w:val="24"/>
        </w:rPr>
        <w:t>单点吊挂力、抗冲击性能、空气声隔声量</w:t>
      </w:r>
      <w:r>
        <w:rPr>
          <w:rFonts w:hAnsi="宋体"/>
          <w:sz w:val="24"/>
        </w:rPr>
        <w:t>、</w:t>
      </w:r>
      <w:r>
        <w:rPr>
          <w:rFonts w:hint="eastAsia" w:hAnsi="宋体"/>
          <w:sz w:val="24"/>
        </w:rPr>
        <w:t>软化系数、吸水率、抗冻性、导热系数</w:t>
      </w:r>
      <w:r>
        <w:rPr>
          <w:rFonts w:hAnsi="宋体"/>
          <w:sz w:val="24"/>
        </w:rPr>
        <w:t>。</w:t>
      </w:r>
      <w:bookmarkStart w:id="4" w:name="_GoBack"/>
      <w:bookmarkEnd w:id="4"/>
    </w:p>
    <w:p w14:paraId="2B9E14C0">
      <w:pPr>
        <w:spacing w:line="360" w:lineRule="auto"/>
        <w:rPr>
          <w:b/>
          <w:sz w:val="24"/>
        </w:rPr>
      </w:pPr>
      <w:r>
        <w:rPr>
          <w:b/>
          <w:sz w:val="24"/>
        </w:rPr>
        <w:t xml:space="preserve">3.2 </w:t>
      </w:r>
      <w:r>
        <w:rPr>
          <w:rFonts w:hAnsi="宋体"/>
          <w:b/>
          <w:sz w:val="24"/>
        </w:rPr>
        <w:t>试验方法</w:t>
      </w:r>
    </w:p>
    <w:p w14:paraId="6A8ECC0F">
      <w:pPr>
        <w:pStyle w:val="40"/>
        <w:spacing w:line="360" w:lineRule="auto"/>
        <w:ind w:firstLine="480"/>
        <w:rPr>
          <w:rFonts w:ascii="Times New Roman"/>
          <w:sz w:val="24"/>
          <w:szCs w:val="24"/>
        </w:rPr>
      </w:pPr>
      <w:r>
        <w:rPr>
          <w:rFonts w:ascii="Times New Roman" w:hAnsi="宋体"/>
          <w:sz w:val="24"/>
          <w:szCs w:val="24"/>
        </w:rPr>
        <w:t>按照JG/T 266-2011</w:t>
      </w:r>
      <w:r>
        <w:rPr>
          <w:rFonts w:hint="eastAsia" w:ascii="Times New Roman" w:hAnsi="宋体"/>
          <w:sz w:val="24"/>
          <w:szCs w:val="24"/>
        </w:rPr>
        <w:t>《泡沫混凝土》中规定的试验方法进行泡沫混凝土干密度、抗压强度、吸水率试验，按照</w:t>
      </w:r>
      <w:r>
        <w:rPr>
          <w:rFonts w:ascii="Times New Roman"/>
          <w:sz w:val="24"/>
          <w:szCs w:val="24"/>
        </w:rPr>
        <w:t>JG/T 169</w:t>
      </w:r>
      <w:r>
        <w:rPr>
          <w:rFonts w:hint="eastAsia" w:ascii="Times New Roman"/>
          <w:sz w:val="24"/>
          <w:szCs w:val="24"/>
        </w:rPr>
        <w:t>-2016</w:t>
      </w:r>
      <w:r>
        <w:rPr>
          <w:rFonts w:hint="eastAsia" w:ascii="Times New Roman" w:hAnsi="宋体"/>
          <w:sz w:val="24"/>
          <w:szCs w:val="24"/>
        </w:rPr>
        <w:t>《建筑隔墙用轻质条板通用技术要求》中规定的试验方法进行墙体单点</w:t>
      </w:r>
      <w:r>
        <w:rPr>
          <w:rFonts w:hint="eastAsia" w:hAnsi="宋体"/>
          <w:sz w:val="24"/>
        </w:rPr>
        <w:t>吊挂力、抗冲击性能试验</w:t>
      </w:r>
      <w:r>
        <w:rPr>
          <w:rFonts w:hint="eastAsia" w:ascii="Times New Roman" w:hAnsi="宋体"/>
          <w:sz w:val="24"/>
          <w:szCs w:val="24"/>
        </w:rPr>
        <w:t>，按照</w:t>
      </w:r>
      <w:r>
        <w:rPr>
          <w:rFonts w:ascii="Times New Roman" w:hAnsi="宋体"/>
          <w:sz w:val="24"/>
          <w:szCs w:val="24"/>
        </w:rPr>
        <w:t>GB/T 19889.3-2005</w:t>
      </w:r>
      <w:r>
        <w:rPr>
          <w:rFonts w:hint="eastAsia" w:ascii="Times New Roman" w:hAnsi="宋体"/>
          <w:sz w:val="24"/>
          <w:szCs w:val="24"/>
        </w:rPr>
        <w:t>《声学 建筑和建筑构件隔声测量 第3部分：建筑构件空气隔声的实验室测量》进行</w:t>
      </w:r>
      <w:r>
        <w:rPr>
          <w:rFonts w:hint="eastAsia" w:hAnsi="宋体"/>
          <w:sz w:val="24"/>
        </w:rPr>
        <w:t>空气声隔声量试验</w:t>
      </w:r>
      <w:r>
        <w:rPr>
          <w:rFonts w:hint="eastAsia" w:ascii="Times New Roman" w:hAnsi="宋体"/>
          <w:sz w:val="24"/>
          <w:szCs w:val="24"/>
        </w:rPr>
        <w:t>，</w:t>
      </w:r>
      <w:r>
        <w:rPr>
          <w:rFonts w:hint="eastAsia" w:hAnsi="宋体"/>
          <w:sz w:val="24"/>
          <w:szCs w:val="24"/>
        </w:rPr>
        <w:t>按照</w:t>
      </w:r>
      <w:r>
        <w:rPr>
          <w:rFonts w:ascii="Times New Roman"/>
          <w:sz w:val="24"/>
          <w:szCs w:val="24"/>
        </w:rPr>
        <w:t>GB/T 20473</w:t>
      </w:r>
      <w:r>
        <w:rPr>
          <w:rFonts w:hint="eastAsia" w:ascii="Times New Roman"/>
          <w:sz w:val="24"/>
          <w:szCs w:val="24"/>
        </w:rPr>
        <w:t>-2025《</w:t>
      </w:r>
      <w:r>
        <w:rPr>
          <w:rFonts w:hint="eastAsia"/>
          <w:sz w:val="24"/>
          <w:szCs w:val="24"/>
        </w:rPr>
        <w:t>建筑保温砂浆》试验方法进行墙体软化系数试验，按照</w:t>
      </w:r>
      <w:r>
        <w:rPr>
          <w:rFonts w:ascii="Times New Roman"/>
          <w:bCs/>
          <w:sz w:val="24"/>
          <w:szCs w:val="24"/>
        </w:rPr>
        <w:t>JGJ/T 341</w:t>
      </w:r>
      <w:r>
        <w:rPr>
          <w:rFonts w:hint="eastAsia" w:ascii="Times New Roman"/>
          <w:bCs/>
          <w:sz w:val="24"/>
          <w:szCs w:val="24"/>
        </w:rPr>
        <w:t>-2014《泡沫混凝土应用技术规程》</w:t>
      </w:r>
      <w:r>
        <w:rPr>
          <w:rFonts w:hint="eastAsia"/>
          <w:bCs/>
          <w:sz w:val="24"/>
          <w:szCs w:val="24"/>
        </w:rPr>
        <w:t>中规定的试验方法进行墙体抗冻性试验，按照</w:t>
      </w:r>
      <w:r>
        <w:rPr>
          <w:rFonts w:ascii="Times New Roman"/>
          <w:bCs/>
          <w:sz w:val="24"/>
          <w:szCs w:val="24"/>
        </w:rPr>
        <w:t>GB/T 10294</w:t>
      </w:r>
      <w:r>
        <w:rPr>
          <w:rFonts w:hint="eastAsia" w:ascii="Times New Roman"/>
          <w:bCs/>
          <w:sz w:val="24"/>
          <w:szCs w:val="24"/>
        </w:rPr>
        <w:t>-2008《绝热材料稳态热阻及有关特性的测定 防护热板法》</w:t>
      </w:r>
      <w:r>
        <w:rPr>
          <w:rFonts w:hint="eastAsia"/>
          <w:bCs/>
          <w:sz w:val="24"/>
          <w:szCs w:val="24"/>
        </w:rPr>
        <w:t>中规定的试验方法进行墙体导热系数试验</w:t>
      </w:r>
      <w:r>
        <w:rPr>
          <w:rFonts w:hAnsi="宋体"/>
          <w:sz w:val="24"/>
          <w:szCs w:val="24"/>
        </w:rPr>
        <w:t>。</w:t>
      </w:r>
    </w:p>
    <w:p w14:paraId="03375224">
      <w:pPr>
        <w:pStyle w:val="42"/>
        <w:numPr>
          <w:ilvl w:val="0"/>
          <w:numId w:val="0"/>
        </w:numPr>
        <w:spacing w:line="360" w:lineRule="auto"/>
        <w:rPr>
          <w:rFonts w:ascii="Times New Roman" w:eastAsia="宋体"/>
          <w:b/>
          <w:kern w:val="2"/>
          <w:sz w:val="24"/>
          <w:szCs w:val="24"/>
        </w:rPr>
      </w:pPr>
      <w:bookmarkStart w:id="3" w:name="_Hlk107860916"/>
      <w:r>
        <w:rPr>
          <w:rFonts w:ascii="Times New Roman" w:eastAsia="宋体"/>
          <w:b/>
          <w:kern w:val="2"/>
          <w:sz w:val="24"/>
          <w:szCs w:val="24"/>
        </w:rPr>
        <w:t>3.3</w:t>
      </w:r>
      <w:r>
        <w:rPr>
          <w:rFonts w:ascii="Times New Roman" w:hAnsi="宋体" w:eastAsia="宋体"/>
          <w:b/>
          <w:kern w:val="2"/>
          <w:sz w:val="24"/>
          <w:szCs w:val="24"/>
        </w:rPr>
        <w:t>试验结果与分析</w:t>
      </w:r>
    </w:p>
    <w:p w14:paraId="7C56D7C3">
      <w:pPr>
        <w:pStyle w:val="43"/>
        <w:numPr>
          <w:ilvl w:val="0"/>
          <w:numId w:val="0"/>
        </w:numPr>
        <w:spacing w:line="360" w:lineRule="auto"/>
        <w:ind w:firstLine="480" w:firstLineChars="200"/>
        <w:rPr>
          <w:rFonts w:ascii="Times New Roman" w:eastAsia="宋体"/>
          <w:kern w:val="2"/>
          <w:sz w:val="24"/>
          <w:szCs w:val="24"/>
        </w:rPr>
      </w:pPr>
      <w:r>
        <w:rPr>
          <w:rFonts w:hint="eastAsia" w:ascii="Times New Roman" w:eastAsia="宋体"/>
          <w:kern w:val="2"/>
          <w:sz w:val="24"/>
          <w:szCs w:val="24"/>
        </w:rPr>
        <w:t>8组样品的试验结果如表3所示。</w:t>
      </w:r>
    </w:p>
    <w:p w14:paraId="2AA045E2">
      <w:pPr>
        <w:pStyle w:val="40"/>
        <w:ind w:firstLine="422"/>
        <w:jc w:val="center"/>
        <w:rPr>
          <w:b/>
          <w:bCs/>
        </w:rPr>
      </w:pPr>
      <w:r>
        <w:rPr>
          <w:rFonts w:hint="eastAsia"/>
          <w:b/>
          <w:bCs/>
        </w:rPr>
        <w:t>表3</w:t>
      </w:r>
      <w:r>
        <w:rPr>
          <w:b/>
          <w:bCs/>
        </w:rPr>
        <w:t xml:space="preserve"> </w:t>
      </w:r>
      <w:r>
        <w:rPr>
          <w:rFonts w:hint="eastAsia"/>
          <w:b/>
          <w:bCs/>
        </w:rPr>
        <w:t>泡沫混凝土墙体试验数据</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157"/>
        <w:gridCol w:w="1012"/>
        <w:gridCol w:w="1157"/>
        <w:gridCol w:w="902"/>
        <w:gridCol w:w="873"/>
        <w:gridCol w:w="1310"/>
        <w:gridCol w:w="1399"/>
      </w:tblGrid>
      <w:tr w14:paraId="697B0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61A5CB30">
            <w:pPr>
              <w:pStyle w:val="40"/>
              <w:widowControl w:val="0"/>
              <w:ind w:firstLine="0" w:firstLineChars="0"/>
              <w:jc w:val="center"/>
              <w:rPr>
                <w:rFonts w:ascii="Times New Roman"/>
                <w:szCs w:val="21"/>
              </w:rPr>
            </w:pPr>
            <w:r>
              <w:rPr>
                <w:rFonts w:ascii="Times New Roman" w:hAnsi="宋体"/>
                <w:szCs w:val="21"/>
              </w:rPr>
              <w:t>样品序号</w:t>
            </w:r>
          </w:p>
        </w:tc>
        <w:tc>
          <w:tcPr>
            <w:tcW w:w="678" w:type="pct"/>
            <w:vAlign w:val="center"/>
          </w:tcPr>
          <w:p w14:paraId="3070D358">
            <w:pPr>
              <w:pStyle w:val="40"/>
              <w:widowControl w:val="0"/>
              <w:ind w:firstLine="0" w:firstLineChars="0"/>
              <w:jc w:val="center"/>
              <w:rPr>
                <w:rFonts w:ascii="Times New Roman"/>
                <w:szCs w:val="21"/>
              </w:rPr>
            </w:pPr>
            <w:r>
              <w:rPr>
                <w:rFonts w:hint="eastAsia" w:ascii="Times New Roman"/>
                <w:szCs w:val="21"/>
              </w:rPr>
              <w:t>工程质量验收结果</w:t>
            </w:r>
          </w:p>
        </w:tc>
        <w:tc>
          <w:tcPr>
            <w:tcW w:w="593" w:type="pct"/>
            <w:vAlign w:val="center"/>
          </w:tcPr>
          <w:p w14:paraId="10FAD665">
            <w:pPr>
              <w:pStyle w:val="40"/>
              <w:widowControl w:val="0"/>
              <w:ind w:firstLine="0" w:firstLineChars="0"/>
              <w:jc w:val="center"/>
              <w:rPr>
                <w:rFonts w:ascii="Times New Roman"/>
                <w:szCs w:val="21"/>
              </w:rPr>
            </w:pPr>
            <w:r>
              <w:rPr>
                <w:rFonts w:hint="eastAsia" w:ascii="Times New Roman" w:hAnsi="宋体"/>
                <w:szCs w:val="21"/>
              </w:rPr>
              <w:t>干</w:t>
            </w:r>
            <w:r>
              <w:rPr>
                <w:rFonts w:ascii="Times New Roman" w:hAnsi="宋体"/>
                <w:szCs w:val="21"/>
              </w:rPr>
              <w:t>密度</w:t>
            </w:r>
            <w:r>
              <w:rPr>
                <w:rFonts w:hint="eastAsia" w:ascii="Times New Roman" w:hAnsi="宋体"/>
                <w:szCs w:val="21"/>
              </w:rPr>
              <w:t>(kg/m</w:t>
            </w:r>
            <w:r>
              <w:rPr>
                <w:rFonts w:hint="eastAsia" w:ascii="Times New Roman" w:hAnsi="宋体"/>
                <w:szCs w:val="21"/>
                <w:vertAlign w:val="superscript"/>
              </w:rPr>
              <w:t>3</w:t>
            </w:r>
            <w:r>
              <w:rPr>
                <w:rFonts w:hint="eastAsia" w:ascii="Times New Roman" w:hAnsi="宋体"/>
                <w:szCs w:val="21"/>
              </w:rPr>
              <w:t>)</w:t>
            </w:r>
          </w:p>
        </w:tc>
        <w:tc>
          <w:tcPr>
            <w:tcW w:w="678" w:type="pct"/>
            <w:vAlign w:val="center"/>
          </w:tcPr>
          <w:p w14:paraId="065923C7">
            <w:pPr>
              <w:pStyle w:val="40"/>
              <w:widowControl w:val="0"/>
              <w:ind w:firstLine="0" w:firstLineChars="0"/>
              <w:jc w:val="center"/>
              <w:rPr>
                <w:rFonts w:hint="eastAsia" w:ascii="Times New Roman" w:hAnsi="宋体"/>
                <w:szCs w:val="21"/>
              </w:rPr>
            </w:pPr>
            <w:r>
              <w:rPr>
                <w:rFonts w:hint="eastAsia" w:ascii="Times New Roman" w:hAnsi="宋体"/>
                <w:szCs w:val="21"/>
              </w:rPr>
              <w:t>抗压强度</w:t>
            </w:r>
          </w:p>
          <w:p w14:paraId="582BD159">
            <w:pPr>
              <w:pStyle w:val="40"/>
              <w:widowControl w:val="0"/>
              <w:ind w:firstLine="0" w:firstLineChars="0"/>
              <w:jc w:val="center"/>
              <w:rPr>
                <w:rFonts w:hint="eastAsia" w:ascii="Times New Roman" w:hAnsi="宋体"/>
                <w:szCs w:val="21"/>
              </w:rPr>
            </w:pPr>
            <w:r>
              <w:rPr>
                <w:rFonts w:hint="eastAsia" w:ascii="Times New Roman" w:hAnsi="宋体"/>
                <w:szCs w:val="21"/>
              </w:rPr>
              <w:t>（MPa</w:t>
            </w:r>
            <w:r>
              <w:rPr>
                <w:rFonts w:ascii="Times New Roman" w:hAnsi="宋体"/>
                <w:szCs w:val="21"/>
              </w:rPr>
              <w:t>）</w:t>
            </w:r>
          </w:p>
        </w:tc>
        <w:tc>
          <w:tcPr>
            <w:tcW w:w="529" w:type="pct"/>
            <w:vAlign w:val="center"/>
          </w:tcPr>
          <w:p w14:paraId="50012EEF">
            <w:pPr>
              <w:pStyle w:val="40"/>
              <w:widowControl w:val="0"/>
              <w:ind w:firstLine="0" w:firstLineChars="0"/>
              <w:jc w:val="center"/>
              <w:rPr>
                <w:rFonts w:hint="eastAsia" w:ascii="Times New Roman" w:hAnsi="宋体"/>
                <w:szCs w:val="21"/>
              </w:rPr>
            </w:pPr>
            <w:r>
              <w:rPr>
                <w:rFonts w:hint="eastAsia" w:ascii="Times New Roman" w:hAnsi="宋体"/>
                <w:szCs w:val="21"/>
              </w:rPr>
              <w:t>吸水率</w:t>
            </w:r>
          </w:p>
          <w:p w14:paraId="2FCF7119">
            <w:pPr>
              <w:pStyle w:val="40"/>
              <w:widowControl w:val="0"/>
              <w:ind w:firstLine="0" w:firstLineChars="0"/>
              <w:jc w:val="center"/>
              <w:rPr>
                <w:rFonts w:hint="eastAsia" w:ascii="Times New Roman" w:hAnsi="宋体"/>
                <w:szCs w:val="21"/>
              </w:rPr>
            </w:pPr>
            <w:r>
              <w:rPr>
                <w:rFonts w:hint="eastAsia" w:ascii="Times New Roman" w:hAnsi="宋体"/>
                <w:szCs w:val="21"/>
              </w:rPr>
              <w:t>（%）</w:t>
            </w:r>
          </w:p>
        </w:tc>
        <w:tc>
          <w:tcPr>
            <w:tcW w:w="512" w:type="pct"/>
            <w:vAlign w:val="center"/>
          </w:tcPr>
          <w:p w14:paraId="05553749">
            <w:pPr>
              <w:pStyle w:val="40"/>
              <w:widowControl w:val="0"/>
              <w:ind w:firstLine="0" w:firstLineChars="0"/>
              <w:jc w:val="center"/>
              <w:rPr>
                <w:rFonts w:ascii="Times New Roman" w:hAnsi="宋体"/>
                <w:szCs w:val="21"/>
              </w:rPr>
            </w:pPr>
            <w:r>
              <w:rPr>
                <w:rFonts w:hint="eastAsia" w:ascii="Times New Roman" w:hAnsi="宋体"/>
                <w:szCs w:val="21"/>
              </w:rPr>
              <w:t>软化</w:t>
            </w:r>
          </w:p>
          <w:p w14:paraId="6C28622B">
            <w:pPr>
              <w:pStyle w:val="40"/>
              <w:widowControl w:val="0"/>
              <w:ind w:firstLine="0" w:firstLineChars="0"/>
              <w:jc w:val="center"/>
              <w:rPr>
                <w:rFonts w:hint="eastAsia" w:ascii="Times New Roman" w:hAnsi="宋体"/>
                <w:szCs w:val="21"/>
              </w:rPr>
            </w:pPr>
            <w:r>
              <w:rPr>
                <w:rFonts w:hint="eastAsia" w:ascii="Times New Roman" w:hAnsi="宋体"/>
                <w:szCs w:val="21"/>
              </w:rPr>
              <w:t>系数</w:t>
            </w:r>
          </w:p>
        </w:tc>
        <w:tc>
          <w:tcPr>
            <w:tcW w:w="768" w:type="pct"/>
            <w:vAlign w:val="center"/>
          </w:tcPr>
          <w:p w14:paraId="01FF8FAD">
            <w:pPr>
              <w:pStyle w:val="40"/>
              <w:widowControl w:val="0"/>
              <w:ind w:firstLine="0" w:firstLineChars="0"/>
              <w:jc w:val="center"/>
              <w:rPr>
                <w:rFonts w:ascii="Times New Roman"/>
                <w:szCs w:val="21"/>
              </w:rPr>
            </w:pPr>
            <w:r>
              <w:rPr>
                <w:rFonts w:hint="eastAsia" w:ascii="Times New Roman" w:hAnsi="宋体"/>
                <w:szCs w:val="21"/>
              </w:rPr>
              <w:t>导热</w:t>
            </w:r>
            <w:r>
              <w:rPr>
                <w:rFonts w:ascii="Times New Roman" w:hAnsi="宋体"/>
                <w:szCs w:val="21"/>
              </w:rPr>
              <w:t>系数</w:t>
            </w:r>
            <w:r>
              <w:rPr>
                <w:rFonts w:hint="eastAsia" w:ascii="Times New Roman" w:hAnsi="宋体"/>
                <w:szCs w:val="21"/>
              </w:rPr>
              <w:t>(W/m</w:t>
            </w:r>
            <w:r>
              <w:rPr>
                <w:rFonts w:hint="eastAsia" w:ascii="Times New Roman" w:hAnsi="宋体"/>
                <w:szCs w:val="21"/>
                <w:vertAlign w:val="superscript"/>
              </w:rPr>
              <w:t>2</w:t>
            </w:r>
            <w:r>
              <w:rPr>
                <w:rFonts w:hint="eastAsia" w:ascii="Times New Roman" w:hAnsi="宋体"/>
                <w:szCs w:val="21"/>
              </w:rPr>
              <w:t>.K)</w:t>
            </w:r>
          </w:p>
        </w:tc>
        <w:tc>
          <w:tcPr>
            <w:tcW w:w="820" w:type="pct"/>
            <w:vAlign w:val="center"/>
          </w:tcPr>
          <w:p w14:paraId="44378F0D">
            <w:pPr>
              <w:pStyle w:val="40"/>
              <w:widowControl w:val="0"/>
              <w:ind w:firstLine="0" w:firstLineChars="0"/>
              <w:jc w:val="center"/>
              <w:rPr>
                <w:rFonts w:ascii="Times New Roman"/>
                <w:szCs w:val="21"/>
              </w:rPr>
            </w:pPr>
            <w:r>
              <w:rPr>
                <w:rFonts w:ascii="Times New Roman" w:hAnsi="宋体"/>
                <w:szCs w:val="21"/>
              </w:rPr>
              <w:t>空气声隔声量</w:t>
            </w:r>
            <w:r>
              <w:rPr>
                <w:rFonts w:hint="eastAsia" w:ascii="Times New Roman" w:hAnsi="宋体"/>
                <w:szCs w:val="21"/>
              </w:rPr>
              <w:t>(dB)</w:t>
            </w:r>
          </w:p>
        </w:tc>
      </w:tr>
      <w:tr w14:paraId="6387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2" w:type="pct"/>
            <w:vAlign w:val="center"/>
          </w:tcPr>
          <w:p w14:paraId="2F3990F6">
            <w:pPr>
              <w:pStyle w:val="40"/>
              <w:widowControl w:val="0"/>
              <w:ind w:firstLine="0" w:firstLineChars="0"/>
              <w:jc w:val="center"/>
              <w:rPr>
                <w:rFonts w:ascii="Times New Roman"/>
                <w:szCs w:val="21"/>
              </w:rPr>
            </w:pPr>
            <w:r>
              <w:rPr>
                <w:rFonts w:ascii="Times New Roman"/>
                <w:szCs w:val="21"/>
              </w:rPr>
              <w:t>1</w:t>
            </w:r>
          </w:p>
        </w:tc>
        <w:tc>
          <w:tcPr>
            <w:tcW w:w="678" w:type="pct"/>
            <w:vAlign w:val="center"/>
          </w:tcPr>
          <w:p w14:paraId="4E7B02DC">
            <w:pPr>
              <w:pStyle w:val="40"/>
              <w:widowControl w:val="0"/>
              <w:ind w:firstLine="0" w:firstLineChars="0"/>
              <w:jc w:val="center"/>
              <w:rPr>
                <w:rFonts w:ascii="Times New Roman"/>
                <w:szCs w:val="21"/>
              </w:rPr>
            </w:pPr>
            <w:r>
              <w:rPr>
                <w:rFonts w:hint="eastAsia" w:ascii="Times New Roman"/>
                <w:szCs w:val="21"/>
              </w:rPr>
              <w:t>合格</w:t>
            </w:r>
          </w:p>
        </w:tc>
        <w:tc>
          <w:tcPr>
            <w:tcW w:w="593" w:type="pct"/>
            <w:vAlign w:val="center"/>
          </w:tcPr>
          <w:p w14:paraId="365658D4">
            <w:pPr>
              <w:pStyle w:val="40"/>
              <w:widowControl w:val="0"/>
              <w:ind w:firstLine="0" w:firstLineChars="0"/>
              <w:jc w:val="center"/>
              <w:rPr>
                <w:rFonts w:ascii="Times New Roman"/>
                <w:szCs w:val="21"/>
              </w:rPr>
            </w:pPr>
            <w:r>
              <w:rPr>
                <w:rFonts w:hint="eastAsia" w:ascii="Times New Roman"/>
                <w:szCs w:val="21"/>
              </w:rPr>
              <w:t>584</w:t>
            </w:r>
          </w:p>
        </w:tc>
        <w:tc>
          <w:tcPr>
            <w:tcW w:w="678" w:type="pct"/>
          </w:tcPr>
          <w:p w14:paraId="5D4D85E8">
            <w:pPr>
              <w:pStyle w:val="40"/>
              <w:widowControl w:val="0"/>
              <w:ind w:firstLine="0" w:firstLineChars="0"/>
              <w:jc w:val="center"/>
              <w:rPr>
                <w:rFonts w:hint="eastAsia" w:ascii="Times New Roman"/>
                <w:szCs w:val="21"/>
              </w:rPr>
            </w:pPr>
            <w:r>
              <w:rPr>
                <w:rFonts w:hint="eastAsia" w:ascii="Times New Roman"/>
                <w:szCs w:val="21"/>
              </w:rPr>
              <w:t>3.7</w:t>
            </w:r>
          </w:p>
        </w:tc>
        <w:tc>
          <w:tcPr>
            <w:tcW w:w="529" w:type="pct"/>
          </w:tcPr>
          <w:p w14:paraId="65EEC216">
            <w:pPr>
              <w:pStyle w:val="40"/>
              <w:widowControl w:val="0"/>
              <w:ind w:firstLine="0" w:firstLineChars="0"/>
              <w:jc w:val="center"/>
              <w:rPr>
                <w:rFonts w:hint="eastAsia" w:ascii="Times New Roman"/>
                <w:szCs w:val="21"/>
              </w:rPr>
            </w:pPr>
            <w:r>
              <w:rPr>
                <w:rFonts w:hint="eastAsia" w:ascii="Times New Roman"/>
                <w:szCs w:val="21"/>
              </w:rPr>
              <w:t>16.8</w:t>
            </w:r>
          </w:p>
        </w:tc>
        <w:tc>
          <w:tcPr>
            <w:tcW w:w="512" w:type="pct"/>
          </w:tcPr>
          <w:p w14:paraId="2BDB28F4">
            <w:pPr>
              <w:pStyle w:val="40"/>
              <w:widowControl w:val="0"/>
              <w:ind w:firstLine="0" w:firstLineChars="0"/>
              <w:jc w:val="center"/>
              <w:rPr>
                <w:rFonts w:hint="eastAsia" w:ascii="Times New Roman"/>
                <w:szCs w:val="21"/>
              </w:rPr>
            </w:pPr>
            <w:r>
              <w:rPr>
                <w:rFonts w:hint="eastAsia" w:ascii="Times New Roman"/>
                <w:szCs w:val="21"/>
              </w:rPr>
              <w:t>0.86</w:t>
            </w:r>
          </w:p>
        </w:tc>
        <w:tc>
          <w:tcPr>
            <w:tcW w:w="768" w:type="pct"/>
            <w:vAlign w:val="center"/>
          </w:tcPr>
          <w:p w14:paraId="299A9BE0">
            <w:pPr>
              <w:pStyle w:val="40"/>
              <w:widowControl w:val="0"/>
              <w:ind w:firstLine="0" w:firstLineChars="0"/>
              <w:jc w:val="center"/>
              <w:rPr>
                <w:rFonts w:hint="eastAsia" w:ascii="Times New Roman"/>
                <w:szCs w:val="21"/>
              </w:rPr>
            </w:pPr>
            <w:r>
              <w:rPr>
                <w:rFonts w:hint="eastAsia" w:ascii="Times New Roman"/>
                <w:szCs w:val="21"/>
              </w:rPr>
              <w:t>0.14</w:t>
            </w:r>
          </w:p>
        </w:tc>
        <w:tc>
          <w:tcPr>
            <w:tcW w:w="820" w:type="pct"/>
            <w:vAlign w:val="center"/>
          </w:tcPr>
          <w:p w14:paraId="2B5AB891">
            <w:pPr>
              <w:pStyle w:val="40"/>
              <w:widowControl w:val="0"/>
              <w:ind w:firstLine="0" w:firstLineChars="0"/>
              <w:jc w:val="center"/>
              <w:rPr>
                <w:rFonts w:ascii="Times New Roman"/>
                <w:szCs w:val="21"/>
              </w:rPr>
            </w:pPr>
            <w:r>
              <w:rPr>
                <w:rFonts w:hint="eastAsia" w:ascii="Times New Roman"/>
                <w:szCs w:val="21"/>
              </w:rPr>
              <w:t>41</w:t>
            </w:r>
          </w:p>
        </w:tc>
      </w:tr>
      <w:tr w14:paraId="4A26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2" w:type="pct"/>
            <w:vAlign w:val="center"/>
          </w:tcPr>
          <w:p w14:paraId="5733F236">
            <w:pPr>
              <w:pStyle w:val="40"/>
              <w:widowControl w:val="0"/>
              <w:ind w:firstLine="0" w:firstLineChars="0"/>
              <w:jc w:val="center"/>
              <w:rPr>
                <w:rFonts w:ascii="Times New Roman"/>
                <w:szCs w:val="21"/>
              </w:rPr>
            </w:pPr>
            <w:r>
              <w:rPr>
                <w:rFonts w:ascii="Times New Roman"/>
                <w:szCs w:val="21"/>
              </w:rPr>
              <w:t>2</w:t>
            </w:r>
          </w:p>
        </w:tc>
        <w:tc>
          <w:tcPr>
            <w:tcW w:w="678" w:type="pct"/>
            <w:vAlign w:val="center"/>
          </w:tcPr>
          <w:p w14:paraId="7EDFF47B">
            <w:pPr>
              <w:pStyle w:val="40"/>
              <w:widowControl w:val="0"/>
              <w:ind w:firstLine="0" w:firstLineChars="0"/>
              <w:jc w:val="center"/>
              <w:rPr>
                <w:rFonts w:ascii="Times New Roman"/>
                <w:szCs w:val="21"/>
              </w:rPr>
            </w:pPr>
            <w:r>
              <w:rPr>
                <w:rFonts w:hint="eastAsia" w:ascii="Times New Roman"/>
                <w:szCs w:val="21"/>
              </w:rPr>
              <w:t>合格</w:t>
            </w:r>
          </w:p>
        </w:tc>
        <w:tc>
          <w:tcPr>
            <w:tcW w:w="593" w:type="pct"/>
            <w:vAlign w:val="center"/>
          </w:tcPr>
          <w:p w14:paraId="1DC66439">
            <w:pPr>
              <w:pStyle w:val="40"/>
              <w:widowControl w:val="0"/>
              <w:ind w:firstLine="0" w:firstLineChars="0"/>
              <w:jc w:val="center"/>
              <w:rPr>
                <w:rFonts w:ascii="Times New Roman"/>
                <w:szCs w:val="21"/>
              </w:rPr>
            </w:pPr>
            <w:r>
              <w:rPr>
                <w:rFonts w:hint="eastAsia" w:ascii="Times New Roman"/>
                <w:szCs w:val="21"/>
              </w:rPr>
              <w:t>611</w:t>
            </w:r>
          </w:p>
        </w:tc>
        <w:tc>
          <w:tcPr>
            <w:tcW w:w="678" w:type="pct"/>
          </w:tcPr>
          <w:p w14:paraId="4997939E">
            <w:pPr>
              <w:pStyle w:val="40"/>
              <w:widowControl w:val="0"/>
              <w:ind w:firstLine="0" w:firstLineChars="0"/>
              <w:jc w:val="center"/>
              <w:rPr>
                <w:rFonts w:hint="eastAsia" w:ascii="Times New Roman"/>
                <w:szCs w:val="21"/>
              </w:rPr>
            </w:pPr>
            <w:r>
              <w:rPr>
                <w:rFonts w:hint="eastAsia" w:ascii="Times New Roman"/>
                <w:szCs w:val="21"/>
              </w:rPr>
              <w:t>4.1</w:t>
            </w:r>
          </w:p>
        </w:tc>
        <w:tc>
          <w:tcPr>
            <w:tcW w:w="529" w:type="pct"/>
          </w:tcPr>
          <w:p w14:paraId="636EC692">
            <w:pPr>
              <w:pStyle w:val="40"/>
              <w:widowControl w:val="0"/>
              <w:ind w:firstLine="0" w:firstLineChars="0"/>
              <w:jc w:val="center"/>
              <w:rPr>
                <w:rFonts w:hint="eastAsia" w:ascii="Times New Roman"/>
                <w:szCs w:val="21"/>
              </w:rPr>
            </w:pPr>
            <w:r>
              <w:rPr>
                <w:rFonts w:hint="eastAsia" w:ascii="Times New Roman"/>
                <w:szCs w:val="21"/>
              </w:rPr>
              <w:t>15.7</w:t>
            </w:r>
          </w:p>
        </w:tc>
        <w:tc>
          <w:tcPr>
            <w:tcW w:w="512" w:type="pct"/>
          </w:tcPr>
          <w:p w14:paraId="629D6A8E">
            <w:pPr>
              <w:pStyle w:val="40"/>
              <w:widowControl w:val="0"/>
              <w:ind w:firstLine="0" w:firstLineChars="0"/>
              <w:jc w:val="center"/>
              <w:rPr>
                <w:rFonts w:hint="eastAsia" w:ascii="Times New Roman"/>
                <w:szCs w:val="21"/>
              </w:rPr>
            </w:pPr>
            <w:r>
              <w:rPr>
                <w:rFonts w:hint="eastAsia" w:ascii="Times New Roman"/>
                <w:szCs w:val="21"/>
              </w:rPr>
              <w:t>0.87</w:t>
            </w:r>
          </w:p>
        </w:tc>
        <w:tc>
          <w:tcPr>
            <w:tcW w:w="768" w:type="pct"/>
            <w:vAlign w:val="center"/>
          </w:tcPr>
          <w:p w14:paraId="5EFF90AF">
            <w:pPr>
              <w:pStyle w:val="40"/>
              <w:widowControl w:val="0"/>
              <w:ind w:firstLine="0" w:firstLineChars="0"/>
              <w:jc w:val="center"/>
              <w:rPr>
                <w:rFonts w:hint="eastAsia" w:ascii="Times New Roman"/>
                <w:szCs w:val="21"/>
              </w:rPr>
            </w:pPr>
            <w:r>
              <w:rPr>
                <w:rFonts w:hint="eastAsia" w:ascii="Times New Roman"/>
                <w:szCs w:val="21"/>
              </w:rPr>
              <w:t>0.11</w:t>
            </w:r>
          </w:p>
        </w:tc>
        <w:tc>
          <w:tcPr>
            <w:tcW w:w="820" w:type="pct"/>
            <w:vAlign w:val="center"/>
          </w:tcPr>
          <w:p w14:paraId="0D5E6956">
            <w:pPr>
              <w:pStyle w:val="40"/>
              <w:widowControl w:val="0"/>
              <w:ind w:firstLine="0" w:firstLineChars="0"/>
              <w:jc w:val="center"/>
              <w:rPr>
                <w:rFonts w:ascii="Times New Roman"/>
                <w:szCs w:val="21"/>
              </w:rPr>
            </w:pPr>
            <w:r>
              <w:rPr>
                <w:rFonts w:hint="eastAsia" w:ascii="Times New Roman"/>
                <w:szCs w:val="21"/>
              </w:rPr>
              <w:t>43</w:t>
            </w:r>
          </w:p>
        </w:tc>
      </w:tr>
      <w:tr w14:paraId="5685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2" w:type="pct"/>
            <w:vAlign w:val="center"/>
          </w:tcPr>
          <w:p w14:paraId="439ABCB0">
            <w:pPr>
              <w:pStyle w:val="40"/>
              <w:widowControl w:val="0"/>
              <w:ind w:firstLine="0" w:firstLineChars="0"/>
              <w:jc w:val="center"/>
              <w:rPr>
                <w:rFonts w:ascii="Times New Roman"/>
                <w:szCs w:val="21"/>
              </w:rPr>
            </w:pPr>
            <w:r>
              <w:rPr>
                <w:rFonts w:ascii="Times New Roman"/>
                <w:szCs w:val="21"/>
              </w:rPr>
              <w:t>3</w:t>
            </w:r>
          </w:p>
        </w:tc>
        <w:tc>
          <w:tcPr>
            <w:tcW w:w="678" w:type="pct"/>
            <w:vAlign w:val="center"/>
          </w:tcPr>
          <w:p w14:paraId="22459464">
            <w:pPr>
              <w:pStyle w:val="40"/>
              <w:widowControl w:val="0"/>
              <w:ind w:firstLine="0" w:firstLineChars="0"/>
              <w:jc w:val="center"/>
              <w:rPr>
                <w:rFonts w:ascii="Times New Roman"/>
                <w:szCs w:val="21"/>
              </w:rPr>
            </w:pPr>
            <w:r>
              <w:rPr>
                <w:rFonts w:hint="eastAsia" w:ascii="Times New Roman"/>
                <w:szCs w:val="21"/>
              </w:rPr>
              <w:t>合格</w:t>
            </w:r>
          </w:p>
        </w:tc>
        <w:tc>
          <w:tcPr>
            <w:tcW w:w="593" w:type="pct"/>
            <w:vAlign w:val="center"/>
          </w:tcPr>
          <w:p w14:paraId="444A29CD">
            <w:pPr>
              <w:pStyle w:val="40"/>
              <w:widowControl w:val="0"/>
              <w:ind w:firstLine="0" w:firstLineChars="0"/>
              <w:jc w:val="center"/>
              <w:rPr>
                <w:rFonts w:hint="eastAsia" w:ascii="Times New Roman"/>
                <w:szCs w:val="21"/>
              </w:rPr>
            </w:pPr>
            <w:r>
              <w:rPr>
                <w:rFonts w:hint="eastAsia" w:ascii="Times New Roman"/>
                <w:szCs w:val="21"/>
              </w:rPr>
              <w:t>708</w:t>
            </w:r>
          </w:p>
        </w:tc>
        <w:tc>
          <w:tcPr>
            <w:tcW w:w="678" w:type="pct"/>
          </w:tcPr>
          <w:p w14:paraId="3F30CB5F">
            <w:pPr>
              <w:pStyle w:val="40"/>
              <w:widowControl w:val="0"/>
              <w:ind w:firstLine="0" w:firstLineChars="0"/>
              <w:jc w:val="center"/>
              <w:rPr>
                <w:rFonts w:hint="eastAsia" w:ascii="Times New Roman"/>
                <w:szCs w:val="21"/>
              </w:rPr>
            </w:pPr>
            <w:r>
              <w:rPr>
                <w:rFonts w:hint="eastAsia" w:ascii="Times New Roman"/>
                <w:szCs w:val="21"/>
              </w:rPr>
              <w:t>4.3</w:t>
            </w:r>
          </w:p>
        </w:tc>
        <w:tc>
          <w:tcPr>
            <w:tcW w:w="529" w:type="pct"/>
          </w:tcPr>
          <w:p w14:paraId="374F7AB5">
            <w:pPr>
              <w:pStyle w:val="40"/>
              <w:widowControl w:val="0"/>
              <w:ind w:firstLine="0" w:firstLineChars="0"/>
              <w:jc w:val="center"/>
              <w:rPr>
                <w:rFonts w:hint="eastAsia" w:ascii="Times New Roman"/>
                <w:szCs w:val="21"/>
              </w:rPr>
            </w:pPr>
            <w:r>
              <w:rPr>
                <w:rFonts w:hint="eastAsia" w:ascii="Times New Roman"/>
                <w:szCs w:val="21"/>
              </w:rPr>
              <w:t>13.1</w:t>
            </w:r>
          </w:p>
        </w:tc>
        <w:tc>
          <w:tcPr>
            <w:tcW w:w="512" w:type="pct"/>
          </w:tcPr>
          <w:p w14:paraId="467F0D83">
            <w:pPr>
              <w:pStyle w:val="40"/>
              <w:widowControl w:val="0"/>
              <w:ind w:firstLine="0" w:firstLineChars="0"/>
              <w:jc w:val="center"/>
              <w:rPr>
                <w:rFonts w:hint="eastAsia" w:ascii="Times New Roman"/>
                <w:szCs w:val="21"/>
              </w:rPr>
            </w:pPr>
            <w:r>
              <w:rPr>
                <w:rFonts w:hint="eastAsia" w:ascii="Times New Roman"/>
                <w:szCs w:val="21"/>
              </w:rPr>
              <w:t>0.89</w:t>
            </w:r>
          </w:p>
        </w:tc>
        <w:tc>
          <w:tcPr>
            <w:tcW w:w="768" w:type="pct"/>
            <w:vAlign w:val="center"/>
          </w:tcPr>
          <w:p w14:paraId="6C326806">
            <w:pPr>
              <w:pStyle w:val="40"/>
              <w:widowControl w:val="0"/>
              <w:ind w:firstLine="0" w:firstLineChars="0"/>
              <w:jc w:val="center"/>
              <w:rPr>
                <w:rFonts w:hint="eastAsia" w:ascii="Times New Roman"/>
                <w:szCs w:val="21"/>
              </w:rPr>
            </w:pPr>
            <w:r>
              <w:rPr>
                <w:rFonts w:hint="eastAsia" w:ascii="Times New Roman"/>
                <w:szCs w:val="21"/>
              </w:rPr>
              <w:t>0.17</w:t>
            </w:r>
          </w:p>
        </w:tc>
        <w:tc>
          <w:tcPr>
            <w:tcW w:w="820" w:type="pct"/>
            <w:vAlign w:val="center"/>
          </w:tcPr>
          <w:p w14:paraId="64CDA41D">
            <w:pPr>
              <w:pStyle w:val="40"/>
              <w:widowControl w:val="0"/>
              <w:ind w:firstLine="0" w:firstLineChars="0"/>
              <w:jc w:val="center"/>
              <w:rPr>
                <w:rFonts w:ascii="Times New Roman"/>
                <w:szCs w:val="21"/>
              </w:rPr>
            </w:pPr>
            <w:r>
              <w:rPr>
                <w:rFonts w:hint="eastAsia" w:ascii="Times New Roman"/>
                <w:szCs w:val="21"/>
              </w:rPr>
              <w:t>45</w:t>
            </w:r>
          </w:p>
        </w:tc>
      </w:tr>
      <w:tr w14:paraId="5D8C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2" w:type="pct"/>
            <w:vAlign w:val="center"/>
          </w:tcPr>
          <w:p w14:paraId="69EA1B84">
            <w:pPr>
              <w:pStyle w:val="40"/>
              <w:widowControl w:val="0"/>
              <w:ind w:firstLine="0" w:firstLineChars="0"/>
              <w:jc w:val="center"/>
              <w:rPr>
                <w:rFonts w:ascii="Times New Roman"/>
                <w:szCs w:val="21"/>
              </w:rPr>
            </w:pPr>
            <w:r>
              <w:rPr>
                <w:rFonts w:ascii="Times New Roman"/>
                <w:szCs w:val="21"/>
              </w:rPr>
              <w:t>4</w:t>
            </w:r>
          </w:p>
        </w:tc>
        <w:tc>
          <w:tcPr>
            <w:tcW w:w="678" w:type="pct"/>
            <w:vAlign w:val="center"/>
          </w:tcPr>
          <w:p w14:paraId="552E798F">
            <w:pPr>
              <w:pStyle w:val="40"/>
              <w:widowControl w:val="0"/>
              <w:ind w:firstLine="0" w:firstLineChars="0"/>
              <w:jc w:val="center"/>
              <w:rPr>
                <w:rFonts w:ascii="Times New Roman"/>
                <w:szCs w:val="21"/>
              </w:rPr>
            </w:pPr>
            <w:r>
              <w:rPr>
                <w:rFonts w:hint="eastAsia" w:ascii="Times New Roman"/>
                <w:szCs w:val="21"/>
              </w:rPr>
              <w:t>合格</w:t>
            </w:r>
          </w:p>
        </w:tc>
        <w:tc>
          <w:tcPr>
            <w:tcW w:w="593" w:type="pct"/>
            <w:vAlign w:val="center"/>
          </w:tcPr>
          <w:p w14:paraId="05346079">
            <w:pPr>
              <w:pStyle w:val="40"/>
              <w:widowControl w:val="0"/>
              <w:ind w:firstLine="0" w:firstLineChars="0"/>
              <w:jc w:val="center"/>
              <w:rPr>
                <w:rFonts w:hint="eastAsia" w:ascii="Times New Roman"/>
                <w:szCs w:val="21"/>
              </w:rPr>
            </w:pPr>
            <w:r>
              <w:rPr>
                <w:rFonts w:hint="eastAsia" w:ascii="Times New Roman"/>
                <w:szCs w:val="21"/>
              </w:rPr>
              <w:t>893</w:t>
            </w:r>
          </w:p>
        </w:tc>
        <w:tc>
          <w:tcPr>
            <w:tcW w:w="678" w:type="pct"/>
          </w:tcPr>
          <w:p w14:paraId="107AD9D9">
            <w:pPr>
              <w:pStyle w:val="40"/>
              <w:widowControl w:val="0"/>
              <w:ind w:firstLine="0" w:firstLineChars="0"/>
              <w:jc w:val="center"/>
              <w:rPr>
                <w:rFonts w:hint="eastAsia" w:ascii="Times New Roman"/>
                <w:szCs w:val="21"/>
              </w:rPr>
            </w:pPr>
            <w:r>
              <w:rPr>
                <w:rFonts w:hint="eastAsia" w:ascii="Times New Roman"/>
                <w:szCs w:val="21"/>
              </w:rPr>
              <w:t>5.6</w:t>
            </w:r>
          </w:p>
        </w:tc>
        <w:tc>
          <w:tcPr>
            <w:tcW w:w="529" w:type="pct"/>
          </w:tcPr>
          <w:p w14:paraId="057FD5C5">
            <w:pPr>
              <w:pStyle w:val="40"/>
              <w:widowControl w:val="0"/>
              <w:ind w:firstLine="0" w:firstLineChars="0"/>
              <w:jc w:val="center"/>
              <w:rPr>
                <w:rFonts w:hint="eastAsia" w:ascii="Times New Roman"/>
                <w:szCs w:val="21"/>
              </w:rPr>
            </w:pPr>
            <w:r>
              <w:rPr>
                <w:rFonts w:hint="eastAsia" w:ascii="Times New Roman"/>
                <w:szCs w:val="21"/>
              </w:rPr>
              <w:t>11.5</w:t>
            </w:r>
          </w:p>
        </w:tc>
        <w:tc>
          <w:tcPr>
            <w:tcW w:w="512" w:type="pct"/>
          </w:tcPr>
          <w:p w14:paraId="2457B12D">
            <w:pPr>
              <w:pStyle w:val="40"/>
              <w:widowControl w:val="0"/>
              <w:ind w:firstLine="0" w:firstLineChars="0"/>
              <w:jc w:val="center"/>
              <w:rPr>
                <w:rFonts w:hint="eastAsia" w:ascii="Times New Roman"/>
                <w:szCs w:val="21"/>
              </w:rPr>
            </w:pPr>
            <w:r>
              <w:rPr>
                <w:rFonts w:hint="eastAsia" w:ascii="Times New Roman"/>
                <w:szCs w:val="21"/>
              </w:rPr>
              <w:t>0.91</w:t>
            </w:r>
          </w:p>
        </w:tc>
        <w:tc>
          <w:tcPr>
            <w:tcW w:w="768" w:type="pct"/>
            <w:vAlign w:val="center"/>
          </w:tcPr>
          <w:p w14:paraId="4565AF70">
            <w:pPr>
              <w:pStyle w:val="40"/>
              <w:widowControl w:val="0"/>
              <w:ind w:firstLine="0" w:firstLineChars="0"/>
              <w:jc w:val="center"/>
              <w:rPr>
                <w:rFonts w:hint="eastAsia" w:ascii="Times New Roman"/>
                <w:szCs w:val="21"/>
              </w:rPr>
            </w:pPr>
            <w:r>
              <w:rPr>
                <w:rFonts w:hint="eastAsia" w:ascii="Times New Roman"/>
                <w:szCs w:val="21"/>
              </w:rPr>
              <w:t>0.23</w:t>
            </w:r>
          </w:p>
        </w:tc>
        <w:tc>
          <w:tcPr>
            <w:tcW w:w="820" w:type="pct"/>
            <w:vAlign w:val="center"/>
          </w:tcPr>
          <w:p w14:paraId="69083F57">
            <w:pPr>
              <w:pStyle w:val="40"/>
              <w:widowControl w:val="0"/>
              <w:ind w:firstLine="0" w:firstLineChars="0"/>
              <w:jc w:val="center"/>
              <w:rPr>
                <w:rFonts w:ascii="Times New Roman"/>
                <w:szCs w:val="21"/>
              </w:rPr>
            </w:pPr>
            <w:r>
              <w:rPr>
                <w:rFonts w:hint="eastAsia" w:ascii="Times New Roman"/>
                <w:szCs w:val="21"/>
              </w:rPr>
              <w:t>48</w:t>
            </w:r>
          </w:p>
        </w:tc>
      </w:tr>
      <w:tr w14:paraId="1351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2" w:type="pct"/>
            <w:vAlign w:val="center"/>
          </w:tcPr>
          <w:p w14:paraId="6F79C9CC">
            <w:pPr>
              <w:pStyle w:val="40"/>
              <w:widowControl w:val="0"/>
              <w:ind w:firstLine="0" w:firstLineChars="0"/>
              <w:jc w:val="center"/>
              <w:rPr>
                <w:rFonts w:ascii="Times New Roman"/>
                <w:szCs w:val="21"/>
              </w:rPr>
            </w:pPr>
            <w:r>
              <w:rPr>
                <w:rFonts w:ascii="Times New Roman"/>
                <w:szCs w:val="21"/>
              </w:rPr>
              <w:t>5</w:t>
            </w:r>
          </w:p>
        </w:tc>
        <w:tc>
          <w:tcPr>
            <w:tcW w:w="678" w:type="pct"/>
            <w:vAlign w:val="center"/>
          </w:tcPr>
          <w:p w14:paraId="2E3F8841">
            <w:pPr>
              <w:pStyle w:val="40"/>
              <w:widowControl w:val="0"/>
              <w:ind w:firstLine="0" w:firstLineChars="0"/>
              <w:jc w:val="center"/>
              <w:rPr>
                <w:rFonts w:ascii="Times New Roman"/>
                <w:szCs w:val="21"/>
              </w:rPr>
            </w:pPr>
            <w:r>
              <w:rPr>
                <w:rFonts w:hint="eastAsia" w:ascii="Times New Roman"/>
                <w:szCs w:val="21"/>
              </w:rPr>
              <w:t>合格</w:t>
            </w:r>
          </w:p>
        </w:tc>
        <w:tc>
          <w:tcPr>
            <w:tcW w:w="593" w:type="pct"/>
            <w:vAlign w:val="center"/>
          </w:tcPr>
          <w:p w14:paraId="77E50667">
            <w:pPr>
              <w:pStyle w:val="40"/>
              <w:widowControl w:val="0"/>
              <w:ind w:firstLine="0" w:firstLineChars="0"/>
              <w:jc w:val="center"/>
              <w:rPr>
                <w:rFonts w:hint="eastAsia" w:ascii="Times New Roman"/>
                <w:szCs w:val="21"/>
              </w:rPr>
            </w:pPr>
            <w:r>
              <w:rPr>
                <w:rFonts w:hint="eastAsia" w:ascii="Times New Roman"/>
                <w:szCs w:val="21"/>
              </w:rPr>
              <w:t>796</w:t>
            </w:r>
          </w:p>
        </w:tc>
        <w:tc>
          <w:tcPr>
            <w:tcW w:w="678" w:type="pct"/>
          </w:tcPr>
          <w:p w14:paraId="38B655EF">
            <w:pPr>
              <w:pStyle w:val="40"/>
              <w:widowControl w:val="0"/>
              <w:ind w:firstLine="0" w:firstLineChars="0"/>
              <w:jc w:val="center"/>
              <w:rPr>
                <w:rFonts w:hint="eastAsia" w:ascii="Times New Roman"/>
                <w:szCs w:val="21"/>
              </w:rPr>
            </w:pPr>
            <w:r>
              <w:rPr>
                <w:rFonts w:hint="eastAsia" w:ascii="Times New Roman"/>
                <w:szCs w:val="21"/>
              </w:rPr>
              <w:t>4.7</w:t>
            </w:r>
          </w:p>
        </w:tc>
        <w:tc>
          <w:tcPr>
            <w:tcW w:w="529" w:type="pct"/>
          </w:tcPr>
          <w:p w14:paraId="595AF699">
            <w:pPr>
              <w:pStyle w:val="40"/>
              <w:widowControl w:val="0"/>
              <w:ind w:firstLine="0" w:firstLineChars="0"/>
              <w:jc w:val="center"/>
              <w:rPr>
                <w:rFonts w:hint="eastAsia" w:ascii="Times New Roman"/>
                <w:szCs w:val="21"/>
              </w:rPr>
            </w:pPr>
            <w:r>
              <w:rPr>
                <w:rFonts w:hint="eastAsia" w:ascii="Times New Roman"/>
                <w:szCs w:val="21"/>
              </w:rPr>
              <w:t>13.4</w:t>
            </w:r>
          </w:p>
        </w:tc>
        <w:tc>
          <w:tcPr>
            <w:tcW w:w="512" w:type="pct"/>
          </w:tcPr>
          <w:p w14:paraId="29AED4A5">
            <w:pPr>
              <w:pStyle w:val="40"/>
              <w:widowControl w:val="0"/>
              <w:ind w:firstLine="0" w:firstLineChars="0"/>
              <w:jc w:val="center"/>
              <w:rPr>
                <w:rFonts w:hint="eastAsia" w:ascii="Times New Roman"/>
                <w:szCs w:val="21"/>
              </w:rPr>
            </w:pPr>
            <w:r>
              <w:rPr>
                <w:rFonts w:hint="eastAsia" w:ascii="Times New Roman"/>
                <w:szCs w:val="21"/>
              </w:rPr>
              <w:t>0.88</w:t>
            </w:r>
          </w:p>
        </w:tc>
        <w:tc>
          <w:tcPr>
            <w:tcW w:w="768" w:type="pct"/>
            <w:vAlign w:val="center"/>
          </w:tcPr>
          <w:p w14:paraId="28338B31">
            <w:pPr>
              <w:pStyle w:val="40"/>
              <w:widowControl w:val="0"/>
              <w:ind w:firstLine="0" w:firstLineChars="0"/>
              <w:jc w:val="center"/>
              <w:rPr>
                <w:rFonts w:hint="eastAsia" w:ascii="Times New Roman"/>
                <w:szCs w:val="21"/>
              </w:rPr>
            </w:pPr>
            <w:r>
              <w:rPr>
                <w:rFonts w:hint="eastAsia" w:ascii="Times New Roman"/>
                <w:szCs w:val="21"/>
              </w:rPr>
              <w:t>0.19</w:t>
            </w:r>
          </w:p>
        </w:tc>
        <w:tc>
          <w:tcPr>
            <w:tcW w:w="820" w:type="pct"/>
            <w:vAlign w:val="center"/>
          </w:tcPr>
          <w:p w14:paraId="5C6F8E52">
            <w:pPr>
              <w:pStyle w:val="40"/>
              <w:widowControl w:val="0"/>
              <w:ind w:firstLine="0" w:firstLineChars="0"/>
              <w:jc w:val="center"/>
              <w:rPr>
                <w:rFonts w:ascii="Times New Roman"/>
                <w:szCs w:val="21"/>
              </w:rPr>
            </w:pPr>
            <w:r>
              <w:rPr>
                <w:rFonts w:hint="eastAsia" w:ascii="Times New Roman"/>
                <w:szCs w:val="21"/>
              </w:rPr>
              <w:t>46</w:t>
            </w:r>
          </w:p>
        </w:tc>
      </w:tr>
      <w:tr w14:paraId="46A1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2" w:type="pct"/>
            <w:vAlign w:val="center"/>
          </w:tcPr>
          <w:p w14:paraId="470051F0">
            <w:pPr>
              <w:pStyle w:val="40"/>
              <w:widowControl w:val="0"/>
              <w:ind w:firstLine="0" w:firstLineChars="0"/>
              <w:jc w:val="center"/>
              <w:rPr>
                <w:rFonts w:ascii="Times New Roman"/>
                <w:szCs w:val="21"/>
              </w:rPr>
            </w:pPr>
            <w:r>
              <w:rPr>
                <w:rFonts w:ascii="Times New Roman"/>
                <w:szCs w:val="21"/>
              </w:rPr>
              <w:t>6</w:t>
            </w:r>
          </w:p>
        </w:tc>
        <w:tc>
          <w:tcPr>
            <w:tcW w:w="678" w:type="pct"/>
            <w:vAlign w:val="center"/>
          </w:tcPr>
          <w:p w14:paraId="72543196">
            <w:pPr>
              <w:pStyle w:val="40"/>
              <w:widowControl w:val="0"/>
              <w:ind w:firstLine="0" w:firstLineChars="0"/>
              <w:jc w:val="center"/>
              <w:rPr>
                <w:rFonts w:ascii="Times New Roman"/>
                <w:szCs w:val="21"/>
              </w:rPr>
            </w:pPr>
            <w:r>
              <w:rPr>
                <w:rFonts w:hint="eastAsia" w:ascii="Times New Roman"/>
                <w:szCs w:val="21"/>
              </w:rPr>
              <w:t>合格</w:t>
            </w:r>
          </w:p>
        </w:tc>
        <w:tc>
          <w:tcPr>
            <w:tcW w:w="593" w:type="pct"/>
            <w:vAlign w:val="center"/>
          </w:tcPr>
          <w:p w14:paraId="3454C185">
            <w:pPr>
              <w:pStyle w:val="40"/>
              <w:widowControl w:val="0"/>
              <w:ind w:firstLine="0" w:firstLineChars="0"/>
              <w:jc w:val="center"/>
              <w:rPr>
                <w:rFonts w:hint="eastAsia" w:ascii="Times New Roman"/>
                <w:szCs w:val="21"/>
              </w:rPr>
            </w:pPr>
            <w:r>
              <w:rPr>
                <w:rFonts w:hint="eastAsia" w:ascii="Times New Roman"/>
                <w:szCs w:val="21"/>
              </w:rPr>
              <w:t>980</w:t>
            </w:r>
          </w:p>
        </w:tc>
        <w:tc>
          <w:tcPr>
            <w:tcW w:w="678" w:type="pct"/>
          </w:tcPr>
          <w:p w14:paraId="445E65E7">
            <w:pPr>
              <w:pStyle w:val="40"/>
              <w:widowControl w:val="0"/>
              <w:ind w:firstLine="0" w:firstLineChars="0"/>
              <w:jc w:val="center"/>
              <w:rPr>
                <w:rFonts w:hint="eastAsia" w:ascii="Times New Roman"/>
                <w:szCs w:val="21"/>
              </w:rPr>
            </w:pPr>
            <w:r>
              <w:rPr>
                <w:rFonts w:hint="eastAsia" w:ascii="Times New Roman"/>
                <w:szCs w:val="21"/>
              </w:rPr>
              <w:t>6.1</w:t>
            </w:r>
          </w:p>
        </w:tc>
        <w:tc>
          <w:tcPr>
            <w:tcW w:w="529" w:type="pct"/>
          </w:tcPr>
          <w:p w14:paraId="24E2818A">
            <w:pPr>
              <w:pStyle w:val="40"/>
              <w:widowControl w:val="0"/>
              <w:ind w:firstLine="0" w:firstLineChars="0"/>
              <w:jc w:val="center"/>
              <w:rPr>
                <w:rFonts w:hint="eastAsia" w:ascii="Times New Roman"/>
                <w:szCs w:val="21"/>
              </w:rPr>
            </w:pPr>
            <w:r>
              <w:rPr>
                <w:rFonts w:hint="eastAsia" w:ascii="Times New Roman"/>
                <w:szCs w:val="21"/>
              </w:rPr>
              <w:t>10.3</w:t>
            </w:r>
          </w:p>
        </w:tc>
        <w:tc>
          <w:tcPr>
            <w:tcW w:w="512" w:type="pct"/>
          </w:tcPr>
          <w:p w14:paraId="0212E05C">
            <w:pPr>
              <w:pStyle w:val="40"/>
              <w:widowControl w:val="0"/>
              <w:ind w:firstLine="0" w:firstLineChars="0"/>
              <w:jc w:val="center"/>
              <w:rPr>
                <w:rFonts w:hint="eastAsia" w:ascii="Times New Roman"/>
                <w:szCs w:val="21"/>
              </w:rPr>
            </w:pPr>
            <w:r>
              <w:rPr>
                <w:rFonts w:hint="eastAsia" w:ascii="Times New Roman"/>
                <w:szCs w:val="21"/>
              </w:rPr>
              <w:t>0.92</w:t>
            </w:r>
          </w:p>
        </w:tc>
        <w:tc>
          <w:tcPr>
            <w:tcW w:w="768" w:type="pct"/>
            <w:vAlign w:val="center"/>
          </w:tcPr>
          <w:p w14:paraId="3290E814">
            <w:pPr>
              <w:pStyle w:val="40"/>
              <w:widowControl w:val="0"/>
              <w:ind w:firstLine="0" w:firstLineChars="0"/>
              <w:jc w:val="center"/>
              <w:rPr>
                <w:rFonts w:hint="eastAsia" w:ascii="Times New Roman"/>
                <w:szCs w:val="21"/>
              </w:rPr>
            </w:pPr>
            <w:r>
              <w:rPr>
                <w:rFonts w:hint="eastAsia" w:ascii="Times New Roman"/>
                <w:szCs w:val="21"/>
              </w:rPr>
              <w:t>0.25</w:t>
            </w:r>
          </w:p>
        </w:tc>
        <w:tc>
          <w:tcPr>
            <w:tcW w:w="820" w:type="pct"/>
            <w:vAlign w:val="center"/>
          </w:tcPr>
          <w:p w14:paraId="7C241C28">
            <w:pPr>
              <w:pStyle w:val="40"/>
              <w:widowControl w:val="0"/>
              <w:ind w:firstLine="0" w:firstLineChars="0"/>
              <w:jc w:val="center"/>
              <w:rPr>
                <w:rFonts w:hint="eastAsia" w:ascii="Times New Roman"/>
                <w:szCs w:val="21"/>
              </w:rPr>
            </w:pPr>
            <w:r>
              <w:rPr>
                <w:rFonts w:hint="eastAsia" w:ascii="Times New Roman"/>
                <w:szCs w:val="21"/>
              </w:rPr>
              <w:t>50</w:t>
            </w:r>
          </w:p>
        </w:tc>
      </w:tr>
      <w:tr w14:paraId="6CAC8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2" w:type="pct"/>
            <w:vAlign w:val="center"/>
          </w:tcPr>
          <w:p w14:paraId="30534BBF">
            <w:pPr>
              <w:pStyle w:val="40"/>
              <w:widowControl w:val="0"/>
              <w:ind w:firstLine="0" w:firstLineChars="0"/>
              <w:jc w:val="center"/>
              <w:rPr>
                <w:rFonts w:ascii="Times New Roman"/>
                <w:szCs w:val="21"/>
              </w:rPr>
            </w:pPr>
            <w:r>
              <w:rPr>
                <w:rFonts w:ascii="Times New Roman"/>
                <w:szCs w:val="21"/>
              </w:rPr>
              <w:t>7</w:t>
            </w:r>
          </w:p>
        </w:tc>
        <w:tc>
          <w:tcPr>
            <w:tcW w:w="678" w:type="pct"/>
            <w:vAlign w:val="center"/>
          </w:tcPr>
          <w:p w14:paraId="068DAC64">
            <w:pPr>
              <w:pStyle w:val="40"/>
              <w:widowControl w:val="0"/>
              <w:ind w:firstLine="0" w:firstLineChars="0"/>
              <w:jc w:val="center"/>
              <w:rPr>
                <w:rFonts w:ascii="Times New Roman"/>
                <w:szCs w:val="21"/>
              </w:rPr>
            </w:pPr>
            <w:r>
              <w:rPr>
                <w:rFonts w:hint="eastAsia" w:ascii="Times New Roman"/>
                <w:szCs w:val="21"/>
              </w:rPr>
              <w:t>合格</w:t>
            </w:r>
          </w:p>
        </w:tc>
        <w:tc>
          <w:tcPr>
            <w:tcW w:w="593" w:type="pct"/>
            <w:vAlign w:val="center"/>
          </w:tcPr>
          <w:p w14:paraId="21EDA9B1">
            <w:pPr>
              <w:pStyle w:val="40"/>
              <w:widowControl w:val="0"/>
              <w:ind w:firstLine="0" w:firstLineChars="0"/>
              <w:jc w:val="center"/>
              <w:rPr>
                <w:rFonts w:hint="eastAsia" w:ascii="Times New Roman"/>
                <w:szCs w:val="21"/>
              </w:rPr>
            </w:pPr>
            <w:r>
              <w:rPr>
                <w:rFonts w:hint="eastAsia" w:ascii="Times New Roman"/>
                <w:szCs w:val="21"/>
              </w:rPr>
              <w:t>1024</w:t>
            </w:r>
          </w:p>
        </w:tc>
        <w:tc>
          <w:tcPr>
            <w:tcW w:w="678" w:type="pct"/>
          </w:tcPr>
          <w:p w14:paraId="4210BD04">
            <w:pPr>
              <w:pStyle w:val="40"/>
              <w:widowControl w:val="0"/>
              <w:ind w:firstLine="0" w:firstLineChars="0"/>
              <w:jc w:val="center"/>
              <w:rPr>
                <w:rFonts w:hint="eastAsia" w:ascii="Times New Roman"/>
                <w:szCs w:val="21"/>
              </w:rPr>
            </w:pPr>
            <w:r>
              <w:rPr>
                <w:rFonts w:hint="eastAsia" w:ascii="Times New Roman"/>
                <w:szCs w:val="21"/>
              </w:rPr>
              <w:t>6.7</w:t>
            </w:r>
          </w:p>
        </w:tc>
        <w:tc>
          <w:tcPr>
            <w:tcW w:w="529" w:type="pct"/>
          </w:tcPr>
          <w:p w14:paraId="5D6A828B">
            <w:pPr>
              <w:pStyle w:val="40"/>
              <w:widowControl w:val="0"/>
              <w:ind w:firstLine="0" w:firstLineChars="0"/>
              <w:jc w:val="center"/>
              <w:rPr>
                <w:rFonts w:hint="eastAsia" w:ascii="Times New Roman"/>
                <w:szCs w:val="21"/>
              </w:rPr>
            </w:pPr>
            <w:r>
              <w:rPr>
                <w:rFonts w:hint="eastAsia" w:ascii="Times New Roman"/>
                <w:szCs w:val="21"/>
              </w:rPr>
              <w:t>9.8</w:t>
            </w:r>
          </w:p>
        </w:tc>
        <w:tc>
          <w:tcPr>
            <w:tcW w:w="512" w:type="pct"/>
          </w:tcPr>
          <w:p w14:paraId="14EEF822">
            <w:pPr>
              <w:pStyle w:val="40"/>
              <w:widowControl w:val="0"/>
              <w:ind w:firstLine="0" w:firstLineChars="0"/>
              <w:jc w:val="center"/>
              <w:rPr>
                <w:rFonts w:hint="eastAsia" w:ascii="Times New Roman"/>
                <w:szCs w:val="21"/>
              </w:rPr>
            </w:pPr>
            <w:r>
              <w:rPr>
                <w:rFonts w:hint="eastAsia" w:ascii="Times New Roman"/>
                <w:szCs w:val="21"/>
              </w:rPr>
              <w:t>0.94</w:t>
            </w:r>
          </w:p>
        </w:tc>
        <w:tc>
          <w:tcPr>
            <w:tcW w:w="768" w:type="pct"/>
            <w:vAlign w:val="center"/>
          </w:tcPr>
          <w:p w14:paraId="3593A4B2">
            <w:pPr>
              <w:pStyle w:val="40"/>
              <w:widowControl w:val="0"/>
              <w:ind w:firstLine="0" w:firstLineChars="0"/>
              <w:jc w:val="center"/>
              <w:rPr>
                <w:rFonts w:hint="eastAsia" w:ascii="Times New Roman"/>
                <w:szCs w:val="21"/>
              </w:rPr>
            </w:pPr>
            <w:r>
              <w:rPr>
                <w:rFonts w:hint="eastAsia" w:ascii="Times New Roman"/>
                <w:szCs w:val="21"/>
              </w:rPr>
              <w:t>0.26</w:t>
            </w:r>
          </w:p>
        </w:tc>
        <w:tc>
          <w:tcPr>
            <w:tcW w:w="820" w:type="pct"/>
            <w:vAlign w:val="center"/>
          </w:tcPr>
          <w:p w14:paraId="7C221FBF">
            <w:pPr>
              <w:pStyle w:val="40"/>
              <w:widowControl w:val="0"/>
              <w:ind w:firstLine="0" w:firstLineChars="0"/>
              <w:jc w:val="center"/>
              <w:rPr>
                <w:rFonts w:hint="eastAsia" w:ascii="Times New Roman"/>
                <w:szCs w:val="21"/>
              </w:rPr>
            </w:pPr>
            <w:r>
              <w:rPr>
                <w:rFonts w:hint="eastAsia" w:ascii="Times New Roman"/>
                <w:szCs w:val="21"/>
              </w:rPr>
              <w:t>53</w:t>
            </w:r>
          </w:p>
        </w:tc>
      </w:tr>
      <w:tr w14:paraId="47947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2" w:type="pct"/>
            <w:vAlign w:val="center"/>
          </w:tcPr>
          <w:p w14:paraId="32BD7651">
            <w:pPr>
              <w:pStyle w:val="40"/>
              <w:widowControl w:val="0"/>
              <w:ind w:firstLine="0" w:firstLineChars="0"/>
              <w:jc w:val="center"/>
              <w:rPr>
                <w:rFonts w:ascii="Times New Roman"/>
                <w:szCs w:val="21"/>
              </w:rPr>
            </w:pPr>
            <w:r>
              <w:rPr>
                <w:rFonts w:ascii="Times New Roman"/>
                <w:szCs w:val="21"/>
              </w:rPr>
              <w:t>8</w:t>
            </w:r>
          </w:p>
        </w:tc>
        <w:tc>
          <w:tcPr>
            <w:tcW w:w="678" w:type="pct"/>
            <w:vAlign w:val="center"/>
          </w:tcPr>
          <w:p w14:paraId="2970BCFF">
            <w:pPr>
              <w:pStyle w:val="40"/>
              <w:widowControl w:val="0"/>
              <w:ind w:firstLine="0" w:firstLineChars="0"/>
              <w:jc w:val="center"/>
              <w:rPr>
                <w:rFonts w:ascii="Times New Roman"/>
                <w:szCs w:val="21"/>
              </w:rPr>
            </w:pPr>
            <w:r>
              <w:rPr>
                <w:rFonts w:hint="eastAsia" w:ascii="Times New Roman"/>
                <w:szCs w:val="21"/>
              </w:rPr>
              <w:t>合格</w:t>
            </w:r>
          </w:p>
        </w:tc>
        <w:tc>
          <w:tcPr>
            <w:tcW w:w="593" w:type="pct"/>
            <w:vAlign w:val="center"/>
          </w:tcPr>
          <w:p w14:paraId="15EECD70">
            <w:pPr>
              <w:pStyle w:val="40"/>
              <w:widowControl w:val="0"/>
              <w:ind w:firstLine="0" w:firstLineChars="0"/>
              <w:jc w:val="center"/>
              <w:rPr>
                <w:rFonts w:hint="eastAsia" w:ascii="Times New Roman"/>
                <w:szCs w:val="21"/>
              </w:rPr>
            </w:pPr>
            <w:r>
              <w:rPr>
                <w:rFonts w:hint="eastAsia" w:ascii="Times New Roman"/>
                <w:szCs w:val="21"/>
              </w:rPr>
              <w:t>823</w:t>
            </w:r>
          </w:p>
        </w:tc>
        <w:tc>
          <w:tcPr>
            <w:tcW w:w="678" w:type="pct"/>
          </w:tcPr>
          <w:p w14:paraId="2E271EFC">
            <w:pPr>
              <w:pStyle w:val="40"/>
              <w:widowControl w:val="0"/>
              <w:ind w:firstLine="0" w:firstLineChars="0"/>
              <w:jc w:val="center"/>
              <w:rPr>
                <w:rFonts w:hint="eastAsia" w:ascii="Times New Roman"/>
                <w:szCs w:val="21"/>
              </w:rPr>
            </w:pPr>
            <w:r>
              <w:rPr>
                <w:rFonts w:hint="eastAsia" w:ascii="Times New Roman"/>
                <w:szCs w:val="21"/>
              </w:rPr>
              <w:t>4.8</w:t>
            </w:r>
          </w:p>
        </w:tc>
        <w:tc>
          <w:tcPr>
            <w:tcW w:w="529" w:type="pct"/>
          </w:tcPr>
          <w:p w14:paraId="707EA8FF">
            <w:pPr>
              <w:pStyle w:val="40"/>
              <w:widowControl w:val="0"/>
              <w:ind w:firstLine="0" w:firstLineChars="0"/>
              <w:jc w:val="center"/>
              <w:rPr>
                <w:rFonts w:hint="eastAsia" w:ascii="Times New Roman"/>
                <w:szCs w:val="21"/>
              </w:rPr>
            </w:pPr>
            <w:r>
              <w:rPr>
                <w:rFonts w:hint="eastAsia" w:ascii="Times New Roman"/>
                <w:szCs w:val="21"/>
              </w:rPr>
              <w:t>12.7</w:t>
            </w:r>
          </w:p>
        </w:tc>
        <w:tc>
          <w:tcPr>
            <w:tcW w:w="512" w:type="pct"/>
          </w:tcPr>
          <w:p w14:paraId="7BE53202">
            <w:pPr>
              <w:pStyle w:val="40"/>
              <w:widowControl w:val="0"/>
              <w:ind w:firstLine="0" w:firstLineChars="0"/>
              <w:jc w:val="center"/>
              <w:rPr>
                <w:rFonts w:hint="eastAsia" w:ascii="Times New Roman"/>
                <w:szCs w:val="21"/>
              </w:rPr>
            </w:pPr>
            <w:r>
              <w:rPr>
                <w:rFonts w:hint="eastAsia" w:ascii="Times New Roman"/>
                <w:szCs w:val="21"/>
              </w:rPr>
              <w:t>0.89</w:t>
            </w:r>
          </w:p>
        </w:tc>
        <w:tc>
          <w:tcPr>
            <w:tcW w:w="768" w:type="pct"/>
            <w:vAlign w:val="center"/>
          </w:tcPr>
          <w:p w14:paraId="054C1204">
            <w:pPr>
              <w:pStyle w:val="40"/>
              <w:widowControl w:val="0"/>
              <w:ind w:firstLine="0" w:firstLineChars="0"/>
              <w:jc w:val="center"/>
              <w:rPr>
                <w:rFonts w:hint="eastAsia" w:ascii="Times New Roman"/>
                <w:szCs w:val="21"/>
              </w:rPr>
            </w:pPr>
            <w:r>
              <w:rPr>
                <w:rFonts w:hint="eastAsia" w:ascii="Times New Roman"/>
                <w:szCs w:val="21"/>
              </w:rPr>
              <w:t>0.20</w:t>
            </w:r>
          </w:p>
        </w:tc>
        <w:tc>
          <w:tcPr>
            <w:tcW w:w="820" w:type="pct"/>
            <w:vAlign w:val="center"/>
          </w:tcPr>
          <w:p w14:paraId="525BCC23">
            <w:pPr>
              <w:pStyle w:val="40"/>
              <w:widowControl w:val="0"/>
              <w:ind w:firstLine="0" w:firstLineChars="0"/>
              <w:jc w:val="center"/>
              <w:rPr>
                <w:rFonts w:ascii="Times New Roman"/>
                <w:szCs w:val="21"/>
              </w:rPr>
            </w:pPr>
            <w:r>
              <w:rPr>
                <w:rFonts w:hint="eastAsia" w:ascii="Times New Roman"/>
                <w:szCs w:val="21"/>
              </w:rPr>
              <w:t>47</w:t>
            </w:r>
          </w:p>
        </w:tc>
      </w:tr>
      <w:tr w14:paraId="0C7D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4EA453ED">
            <w:pPr>
              <w:pStyle w:val="40"/>
              <w:widowControl w:val="0"/>
              <w:ind w:firstLine="0" w:firstLineChars="0"/>
              <w:jc w:val="center"/>
              <w:rPr>
                <w:rFonts w:ascii="Times New Roman"/>
                <w:szCs w:val="21"/>
              </w:rPr>
            </w:pPr>
            <w:r>
              <w:rPr>
                <w:rFonts w:ascii="Times New Roman" w:hAnsi="宋体"/>
                <w:szCs w:val="21"/>
              </w:rPr>
              <w:t>样品序号</w:t>
            </w:r>
          </w:p>
        </w:tc>
        <w:tc>
          <w:tcPr>
            <w:tcW w:w="2990" w:type="pct"/>
            <w:gridSpan w:val="5"/>
            <w:vAlign w:val="center"/>
          </w:tcPr>
          <w:p w14:paraId="2A18979D">
            <w:pPr>
              <w:pStyle w:val="40"/>
              <w:widowControl w:val="0"/>
              <w:ind w:firstLine="0" w:firstLineChars="0"/>
              <w:jc w:val="center"/>
              <w:rPr>
                <w:rFonts w:hint="eastAsia" w:ascii="Times New Roman" w:hAnsi="宋体"/>
                <w:szCs w:val="21"/>
              </w:rPr>
            </w:pPr>
            <w:r>
              <w:rPr>
                <w:rFonts w:hint="eastAsia" w:ascii="Times New Roman" w:hAnsi="宋体"/>
                <w:szCs w:val="21"/>
              </w:rPr>
              <w:t>吊挂力</w:t>
            </w:r>
          </w:p>
        </w:tc>
        <w:tc>
          <w:tcPr>
            <w:tcW w:w="1588" w:type="pct"/>
            <w:gridSpan w:val="2"/>
            <w:vAlign w:val="center"/>
          </w:tcPr>
          <w:p w14:paraId="531F117C">
            <w:pPr>
              <w:pStyle w:val="40"/>
              <w:widowControl w:val="0"/>
              <w:ind w:firstLine="0" w:firstLineChars="0"/>
              <w:jc w:val="center"/>
              <w:rPr>
                <w:rFonts w:hint="eastAsia" w:ascii="Times New Roman" w:hAnsi="宋体"/>
                <w:szCs w:val="21"/>
              </w:rPr>
            </w:pPr>
            <w:r>
              <w:rPr>
                <w:rFonts w:ascii="Times New Roman" w:hAnsi="宋体"/>
                <w:szCs w:val="21"/>
              </w:rPr>
              <w:t>抗冲击性能</w:t>
            </w:r>
          </w:p>
        </w:tc>
      </w:tr>
      <w:tr w14:paraId="4DFF3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3BB98EAF">
            <w:pPr>
              <w:pStyle w:val="40"/>
              <w:widowControl w:val="0"/>
              <w:ind w:firstLine="0" w:firstLineChars="0"/>
              <w:jc w:val="center"/>
              <w:rPr>
                <w:rFonts w:ascii="Times New Roman"/>
                <w:szCs w:val="21"/>
              </w:rPr>
            </w:pPr>
            <w:r>
              <w:rPr>
                <w:rFonts w:ascii="Times New Roman"/>
                <w:szCs w:val="21"/>
              </w:rPr>
              <w:t>1</w:t>
            </w:r>
          </w:p>
        </w:tc>
        <w:tc>
          <w:tcPr>
            <w:tcW w:w="2990" w:type="pct"/>
            <w:gridSpan w:val="5"/>
            <w:vAlign w:val="center"/>
          </w:tcPr>
          <w:p w14:paraId="1AC68C40">
            <w:pPr>
              <w:pStyle w:val="40"/>
              <w:widowControl w:val="0"/>
              <w:ind w:firstLine="0" w:firstLineChars="0"/>
              <w:jc w:val="center"/>
              <w:rPr>
                <w:rFonts w:hint="eastAsia" w:ascii="Times New Roman"/>
                <w:szCs w:val="21"/>
              </w:rPr>
            </w:pPr>
            <w:r>
              <w:rPr>
                <w:rFonts w:hint="eastAsia" w:ascii="Times New Roman"/>
                <w:szCs w:val="21"/>
              </w:rPr>
              <w:t>荷载1000N静置24h，墙面无宽度超过0.5mm的裂缝</w:t>
            </w:r>
          </w:p>
        </w:tc>
        <w:tc>
          <w:tcPr>
            <w:tcW w:w="1588" w:type="pct"/>
            <w:gridSpan w:val="2"/>
          </w:tcPr>
          <w:p w14:paraId="00BCD234">
            <w:pPr>
              <w:pStyle w:val="40"/>
              <w:widowControl w:val="0"/>
              <w:ind w:firstLine="0" w:firstLineChars="0"/>
              <w:jc w:val="center"/>
              <w:rPr>
                <w:rFonts w:hint="eastAsia" w:ascii="Times New Roman"/>
                <w:szCs w:val="21"/>
              </w:rPr>
            </w:pPr>
            <w:r>
              <w:rPr>
                <w:rFonts w:hint="eastAsia" w:ascii="Times New Roman"/>
                <w:szCs w:val="21"/>
              </w:rPr>
              <w:t>经5次抗冲击试验后墙面无裂缝</w:t>
            </w:r>
          </w:p>
        </w:tc>
      </w:tr>
      <w:tr w14:paraId="5DA1C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51E7AEF2">
            <w:pPr>
              <w:pStyle w:val="40"/>
              <w:widowControl w:val="0"/>
              <w:ind w:firstLine="0" w:firstLineChars="0"/>
              <w:jc w:val="center"/>
              <w:rPr>
                <w:rFonts w:ascii="Times New Roman"/>
                <w:szCs w:val="21"/>
              </w:rPr>
            </w:pPr>
            <w:r>
              <w:rPr>
                <w:rFonts w:ascii="Times New Roman"/>
                <w:szCs w:val="21"/>
              </w:rPr>
              <w:t>2</w:t>
            </w:r>
          </w:p>
        </w:tc>
        <w:tc>
          <w:tcPr>
            <w:tcW w:w="2990" w:type="pct"/>
            <w:gridSpan w:val="5"/>
            <w:vAlign w:val="center"/>
          </w:tcPr>
          <w:p w14:paraId="7547C6C7">
            <w:pPr>
              <w:pStyle w:val="40"/>
              <w:widowControl w:val="0"/>
              <w:ind w:firstLine="0" w:firstLineChars="0"/>
              <w:jc w:val="center"/>
              <w:rPr>
                <w:rFonts w:hint="eastAsia" w:ascii="Times New Roman"/>
                <w:szCs w:val="21"/>
              </w:rPr>
            </w:pPr>
            <w:r>
              <w:rPr>
                <w:rFonts w:hint="eastAsia" w:ascii="Times New Roman"/>
                <w:szCs w:val="21"/>
              </w:rPr>
              <w:t>荷载1000N静置24h，墙面无宽度超过0.5mm的裂缝</w:t>
            </w:r>
          </w:p>
        </w:tc>
        <w:tc>
          <w:tcPr>
            <w:tcW w:w="1588" w:type="pct"/>
            <w:gridSpan w:val="2"/>
          </w:tcPr>
          <w:p w14:paraId="249CFA8F">
            <w:pPr>
              <w:pStyle w:val="40"/>
              <w:widowControl w:val="0"/>
              <w:ind w:firstLine="0" w:firstLineChars="0"/>
              <w:jc w:val="center"/>
              <w:rPr>
                <w:rFonts w:hint="eastAsia" w:ascii="Times New Roman"/>
                <w:szCs w:val="21"/>
              </w:rPr>
            </w:pPr>
            <w:r>
              <w:rPr>
                <w:rFonts w:hint="eastAsia" w:ascii="Times New Roman"/>
                <w:szCs w:val="21"/>
              </w:rPr>
              <w:t>经5次抗冲击试验后墙面无裂缝</w:t>
            </w:r>
          </w:p>
        </w:tc>
      </w:tr>
      <w:tr w14:paraId="41DE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21C4557D">
            <w:pPr>
              <w:pStyle w:val="40"/>
              <w:widowControl w:val="0"/>
              <w:ind w:firstLine="0" w:firstLineChars="0"/>
              <w:jc w:val="center"/>
              <w:rPr>
                <w:rFonts w:ascii="Times New Roman"/>
                <w:szCs w:val="21"/>
              </w:rPr>
            </w:pPr>
            <w:r>
              <w:rPr>
                <w:rFonts w:ascii="Times New Roman"/>
                <w:szCs w:val="21"/>
              </w:rPr>
              <w:t>3</w:t>
            </w:r>
          </w:p>
        </w:tc>
        <w:tc>
          <w:tcPr>
            <w:tcW w:w="2990" w:type="pct"/>
            <w:gridSpan w:val="5"/>
            <w:vAlign w:val="center"/>
          </w:tcPr>
          <w:p w14:paraId="03CF46DF">
            <w:pPr>
              <w:pStyle w:val="40"/>
              <w:widowControl w:val="0"/>
              <w:ind w:firstLine="0" w:firstLineChars="0"/>
              <w:jc w:val="center"/>
              <w:rPr>
                <w:rFonts w:ascii="Times New Roman"/>
                <w:szCs w:val="21"/>
              </w:rPr>
            </w:pPr>
            <w:r>
              <w:rPr>
                <w:rFonts w:hint="eastAsia" w:ascii="Times New Roman"/>
                <w:szCs w:val="21"/>
              </w:rPr>
              <w:t>荷载1000N静置24h，墙面无宽度超过0.5mm的裂缝</w:t>
            </w:r>
          </w:p>
        </w:tc>
        <w:tc>
          <w:tcPr>
            <w:tcW w:w="1588" w:type="pct"/>
            <w:gridSpan w:val="2"/>
          </w:tcPr>
          <w:p w14:paraId="326660D2">
            <w:pPr>
              <w:pStyle w:val="40"/>
              <w:widowControl w:val="0"/>
              <w:ind w:firstLine="0" w:firstLineChars="0"/>
              <w:jc w:val="center"/>
              <w:rPr>
                <w:rFonts w:hint="eastAsia" w:ascii="Times New Roman"/>
                <w:szCs w:val="21"/>
              </w:rPr>
            </w:pPr>
            <w:r>
              <w:rPr>
                <w:rFonts w:hint="eastAsia" w:ascii="Times New Roman"/>
                <w:szCs w:val="21"/>
              </w:rPr>
              <w:t>经5次抗冲击试验后墙面无裂缝</w:t>
            </w:r>
          </w:p>
        </w:tc>
      </w:tr>
      <w:tr w14:paraId="1FBD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0F0028C5">
            <w:pPr>
              <w:pStyle w:val="40"/>
              <w:widowControl w:val="0"/>
              <w:ind w:firstLine="0" w:firstLineChars="0"/>
              <w:jc w:val="center"/>
              <w:rPr>
                <w:rFonts w:ascii="Times New Roman"/>
                <w:szCs w:val="21"/>
              </w:rPr>
            </w:pPr>
            <w:r>
              <w:rPr>
                <w:rFonts w:ascii="Times New Roman"/>
                <w:szCs w:val="21"/>
              </w:rPr>
              <w:t>4</w:t>
            </w:r>
          </w:p>
        </w:tc>
        <w:tc>
          <w:tcPr>
            <w:tcW w:w="2990" w:type="pct"/>
            <w:gridSpan w:val="5"/>
            <w:vAlign w:val="center"/>
          </w:tcPr>
          <w:p w14:paraId="7C45E05C">
            <w:pPr>
              <w:pStyle w:val="40"/>
              <w:widowControl w:val="0"/>
              <w:ind w:firstLine="0" w:firstLineChars="0"/>
              <w:jc w:val="center"/>
              <w:rPr>
                <w:rFonts w:ascii="Times New Roman"/>
                <w:szCs w:val="21"/>
              </w:rPr>
            </w:pPr>
            <w:r>
              <w:rPr>
                <w:rFonts w:hint="eastAsia" w:ascii="Times New Roman"/>
                <w:szCs w:val="21"/>
              </w:rPr>
              <w:t>荷载1000N静置24h，墙面无宽度超过0.5mm的裂缝</w:t>
            </w:r>
          </w:p>
        </w:tc>
        <w:tc>
          <w:tcPr>
            <w:tcW w:w="1588" w:type="pct"/>
            <w:gridSpan w:val="2"/>
          </w:tcPr>
          <w:p w14:paraId="548AB9D1">
            <w:pPr>
              <w:pStyle w:val="40"/>
              <w:widowControl w:val="0"/>
              <w:ind w:firstLine="0" w:firstLineChars="0"/>
              <w:jc w:val="center"/>
              <w:rPr>
                <w:rFonts w:hint="eastAsia" w:ascii="Times New Roman"/>
                <w:szCs w:val="21"/>
              </w:rPr>
            </w:pPr>
            <w:r>
              <w:rPr>
                <w:rFonts w:hint="eastAsia" w:ascii="Times New Roman"/>
                <w:szCs w:val="21"/>
              </w:rPr>
              <w:t>经5次抗冲击试验后墙面无裂缝</w:t>
            </w:r>
          </w:p>
        </w:tc>
      </w:tr>
      <w:tr w14:paraId="51B04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37A7C8CD">
            <w:pPr>
              <w:pStyle w:val="40"/>
              <w:widowControl w:val="0"/>
              <w:ind w:firstLine="0" w:firstLineChars="0"/>
              <w:jc w:val="center"/>
              <w:rPr>
                <w:rFonts w:ascii="Times New Roman"/>
                <w:szCs w:val="21"/>
              </w:rPr>
            </w:pPr>
            <w:r>
              <w:rPr>
                <w:rFonts w:ascii="Times New Roman"/>
                <w:szCs w:val="21"/>
              </w:rPr>
              <w:t>5</w:t>
            </w:r>
          </w:p>
        </w:tc>
        <w:tc>
          <w:tcPr>
            <w:tcW w:w="2990" w:type="pct"/>
            <w:gridSpan w:val="5"/>
            <w:vAlign w:val="center"/>
          </w:tcPr>
          <w:p w14:paraId="38989C48">
            <w:pPr>
              <w:pStyle w:val="40"/>
              <w:widowControl w:val="0"/>
              <w:ind w:firstLine="0" w:firstLineChars="0"/>
              <w:jc w:val="center"/>
              <w:rPr>
                <w:rFonts w:ascii="Times New Roman"/>
                <w:szCs w:val="21"/>
              </w:rPr>
            </w:pPr>
            <w:r>
              <w:rPr>
                <w:rFonts w:hint="eastAsia" w:ascii="Times New Roman"/>
                <w:szCs w:val="21"/>
              </w:rPr>
              <w:t>荷载1000N静置24h，墙面无宽度超过0.5mm的裂缝</w:t>
            </w:r>
          </w:p>
        </w:tc>
        <w:tc>
          <w:tcPr>
            <w:tcW w:w="1588" w:type="pct"/>
            <w:gridSpan w:val="2"/>
          </w:tcPr>
          <w:p w14:paraId="5B968B2F">
            <w:pPr>
              <w:pStyle w:val="40"/>
              <w:widowControl w:val="0"/>
              <w:ind w:firstLine="0" w:firstLineChars="0"/>
              <w:jc w:val="center"/>
              <w:rPr>
                <w:rFonts w:hint="eastAsia" w:ascii="Times New Roman"/>
                <w:szCs w:val="21"/>
              </w:rPr>
            </w:pPr>
            <w:r>
              <w:rPr>
                <w:rFonts w:hint="eastAsia" w:ascii="Times New Roman"/>
                <w:szCs w:val="21"/>
              </w:rPr>
              <w:t>经5次抗冲击试验后墙面无裂缝</w:t>
            </w:r>
          </w:p>
        </w:tc>
      </w:tr>
      <w:tr w14:paraId="6CC2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733923F8">
            <w:pPr>
              <w:pStyle w:val="40"/>
              <w:widowControl w:val="0"/>
              <w:ind w:firstLine="0" w:firstLineChars="0"/>
              <w:jc w:val="center"/>
              <w:rPr>
                <w:rFonts w:ascii="Times New Roman"/>
                <w:szCs w:val="21"/>
              </w:rPr>
            </w:pPr>
            <w:r>
              <w:rPr>
                <w:rFonts w:ascii="Times New Roman"/>
                <w:szCs w:val="21"/>
              </w:rPr>
              <w:t>6</w:t>
            </w:r>
          </w:p>
        </w:tc>
        <w:tc>
          <w:tcPr>
            <w:tcW w:w="2990" w:type="pct"/>
            <w:gridSpan w:val="5"/>
            <w:vAlign w:val="center"/>
          </w:tcPr>
          <w:p w14:paraId="33520625">
            <w:pPr>
              <w:pStyle w:val="40"/>
              <w:widowControl w:val="0"/>
              <w:ind w:firstLine="0" w:firstLineChars="0"/>
              <w:jc w:val="center"/>
              <w:rPr>
                <w:rFonts w:ascii="Times New Roman"/>
                <w:szCs w:val="21"/>
              </w:rPr>
            </w:pPr>
            <w:r>
              <w:rPr>
                <w:rFonts w:hint="eastAsia" w:ascii="Times New Roman"/>
                <w:szCs w:val="21"/>
              </w:rPr>
              <w:t>荷载1000N静置24h，墙面无宽度超过0.5mm的裂缝</w:t>
            </w:r>
          </w:p>
        </w:tc>
        <w:tc>
          <w:tcPr>
            <w:tcW w:w="1588" w:type="pct"/>
            <w:gridSpan w:val="2"/>
          </w:tcPr>
          <w:p w14:paraId="2995085A">
            <w:pPr>
              <w:pStyle w:val="40"/>
              <w:widowControl w:val="0"/>
              <w:ind w:firstLine="0" w:firstLineChars="0"/>
              <w:jc w:val="center"/>
              <w:rPr>
                <w:rFonts w:hint="eastAsia" w:ascii="Times New Roman"/>
                <w:szCs w:val="21"/>
              </w:rPr>
            </w:pPr>
            <w:r>
              <w:rPr>
                <w:rFonts w:hint="eastAsia" w:ascii="Times New Roman"/>
                <w:szCs w:val="21"/>
              </w:rPr>
              <w:t>经5次抗冲击试验后墙面无裂缝</w:t>
            </w:r>
          </w:p>
        </w:tc>
      </w:tr>
      <w:tr w14:paraId="55BD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00737901">
            <w:pPr>
              <w:pStyle w:val="40"/>
              <w:widowControl w:val="0"/>
              <w:ind w:firstLine="0" w:firstLineChars="0"/>
              <w:jc w:val="center"/>
              <w:rPr>
                <w:rFonts w:ascii="Times New Roman"/>
                <w:szCs w:val="21"/>
              </w:rPr>
            </w:pPr>
            <w:r>
              <w:rPr>
                <w:rFonts w:ascii="Times New Roman"/>
                <w:szCs w:val="21"/>
              </w:rPr>
              <w:t>7</w:t>
            </w:r>
          </w:p>
        </w:tc>
        <w:tc>
          <w:tcPr>
            <w:tcW w:w="2990" w:type="pct"/>
            <w:gridSpan w:val="5"/>
            <w:vAlign w:val="center"/>
          </w:tcPr>
          <w:p w14:paraId="380FEB29">
            <w:pPr>
              <w:pStyle w:val="40"/>
              <w:widowControl w:val="0"/>
              <w:ind w:firstLine="0" w:firstLineChars="0"/>
              <w:jc w:val="center"/>
              <w:rPr>
                <w:rFonts w:ascii="Times New Roman"/>
                <w:szCs w:val="21"/>
              </w:rPr>
            </w:pPr>
            <w:r>
              <w:rPr>
                <w:rFonts w:hint="eastAsia" w:ascii="Times New Roman"/>
                <w:szCs w:val="21"/>
              </w:rPr>
              <w:t>荷载1000N静置24h，墙面无宽度超过0.5mm的裂缝</w:t>
            </w:r>
          </w:p>
        </w:tc>
        <w:tc>
          <w:tcPr>
            <w:tcW w:w="1588" w:type="pct"/>
            <w:gridSpan w:val="2"/>
          </w:tcPr>
          <w:p w14:paraId="7F0BFA56">
            <w:pPr>
              <w:pStyle w:val="40"/>
              <w:widowControl w:val="0"/>
              <w:ind w:firstLine="0" w:firstLineChars="0"/>
              <w:jc w:val="center"/>
              <w:rPr>
                <w:rFonts w:hint="eastAsia" w:ascii="Times New Roman"/>
                <w:szCs w:val="21"/>
              </w:rPr>
            </w:pPr>
            <w:r>
              <w:rPr>
                <w:rFonts w:hint="eastAsia" w:ascii="Times New Roman"/>
                <w:szCs w:val="21"/>
              </w:rPr>
              <w:t>经5次抗冲击试验后墙面无裂缝</w:t>
            </w:r>
          </w:p>
        </w:tc>
      </w:tr>
      <w:tr w14:paraId="14949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2" w:type="pct"/>
            <w:vAlign w:val="center"/>
          </w:tcPr>
          <w:p w14:paraId="5B43782B">
            <w:pPr>
              <w:pStyle w:val="40"/>
              <w:widowControl w:val="0"/>
              <w:ind w:firstLine="0" w:firstLineChars="0"/>
              <w:jc w:val="center"/>
              <w:rPr>
                <w:rFonts w:ascii="Times New Roman"/>
                <w:szCs w:val="21"/>
              </w:rPr>
            </w:pPr>
            <w:r>
              <w:rPr>
                <w:rFonts w:ascii="Times New Roman"/>
                <w:szCs w:val="21"/>
              </w:rPr>
              <w:t>8</w:t>
            </w:r>
          </w:p>
        </w:tc>
        <w:tc>
          <w:tcPr>
            <w:tcW w:w="2990" w:type="pct"/>
            <w:gridSpan w:val="5"/>
            <w:vAlign w:val="center"/>
          </w:tcPr>
          <w:p w14:paraId="4F69454E">
            <w:pPr>
              <w:pStyle w:val="40"/>
              <w:widowControl w:val="0"/>
              <w:ind w:firstLine="0" w:firstLineChars="0"/>
              <w:jc w:val="center"/>
              <w:rPr>
                <w:rFonts w:ascii="Times New Roman"/>
                <w:szCs w:val="21"/>
              </w:rPr>
            </w:pPr>
            <w:r>
              <w:rPr>
                <w:rFonts w:hint="eastAsia" w:ascii="Times New Roman"/>
                <w:szCs w:val="21"/>
              </w:rPr>
              <w:t>荷载1000N静置24h，墙面无宽度超过0.5mm的裂缝</w:t>
            </w:r>
          </w:p>
        </w:tc>
        <w:tc>
          <w:tcPr>
            <w:tcW w:w="1588" w:type="pct"/>
            <w:gridSpan w:val="2"/>
          </w:tcPr>
          <w:p w14:paraId="6B19522C">
            <w:pPr>
              <w:pStyle w:val="40"/>
              <w:widowControl w:val="0"/>
              <w:ind w:firstLine="0" w:firstLineChars="0"/>
              <w:jc w:val="center"/>
              <w:rPr>
                <w:rFonts w:hint="eastAsia" w:ascii="Times New Roman"/>
                <w:szCs w:val="21"/>
              </w:rPr>
            </w:pPr>
            <w:r>
              <w:rPr>
                <w:rFonts w:hint="eastAsia" w:ascii="Times New Roman"/>
                <w:szCs w:val="21"/>
              </w:rPr>
              <w:t>经5次抗冲击试验后墙面无裂缝</w:t>
            </w:r>
          </w:p>
        </w:tc>
      </w:tr>
    </w:tbl>
    <w:p w14:paraId="23D17FFA">
      <w:pPr>
        <w:pStyle w:val="40"/>
        <w:spacing w:before="156" w:beforeLines="50" w:line="360" w:lineRule="auto"/>
        <w:ind w:firstLine="0" w:firstLineChars="0"/>
        <w:rPr>
          <w:rFonts w:ascii="Times New Roman"/>
          <w:sz w:val="24"/>
          <w:szCs w:val="24"/>
        </w:rPr>
      </w:pPr>
      <w:r>
        <w:rPr>
          <w:rFonts w:hint="eastAsia" w:ascii="Times New Roman"/>
          <w:sz w:val="24"/>
          <w:szCs w:val="24"/>
        </w:rPr>
        <w:t xml:space="preserve"> </w:t>
      </w:r>
      <w:r>
        <w:rPr>
          <w:rFonts w:ascii="Times New Roman"/>
          <w:sz w:val="24"/>
          <w:szCs w:val="24"/>
        </w:rPr>
        <w:t xml:space="preserve">   </w:t>
      </w:r>
      <w:r>
        <w:rPr>
          <w:rFonts w:hint="eastAsia" w:ascii="Times New Roman"/>
          <w:sz w:val="24"/>
          <w:szCs w:val="24"/>
        </w:rPr>
        <w:t>从对泡沫混凝土墙体的验收和验证试验结果来看，按照本规程初稿进行设计施工的</w:t>
      </w:r>
      <w:bookmarkEnd w:id="3"/>
      <w:r>
        <w:rPr>
          <w:rFonts w:hint="eastAsia" w:ascii="Times New Roman"/>
          <w:sz w:val="24"/>
          <w:szCs w:val="24"/>
        </w:rPr>
        <w:t>复合墙体工程均验收合格，且墙体的基本性能均符合设计和使用要求。</w:t>
      </w:r>
    </w:p>
    <w:p w14:paraId="37276ABE">
      <w:pPr>
        <w:spacing w:line="360" w:lineRule="auto"/>
        <w:rPr>
          <w:b/>
          <w:sz w:val="24"/>
        </w:rPr>
      </w:pPr>
      <w:r>
        <w:rPr>
          <w:b/>
          <w:sz w:val="24"/>
        </w:rPr>
        <w:t>4</w:t>
      </w:r>
      <w:r>
        <w:rPr>
          <w:rFonts w:hAnsi="宋体"/>
          <w:b/>
          <w:sz w:val="24"/>
        </w:rPr>
        <w:t>标准中涉及专利的情况说明</w:t>
      </w:r>
    </w:p>
    <w:p w14:paraId="7E36DB74">
      <w:pPr>
        <w:spacing w:line="360" w:lineRule="auto"/>
        <w:ind w:firstLine="480" w:firstLineChars="200"/>
        <w:rPr>
          <w:sz w:val="24"/>
        </w:rPr>
      </w:pPr>
      <w:r>
        <w:rPr>
          <w:rFonts w:hAnsi="宋体"/>
          <w:sz w:val="24"/>
        </w:rPr>
        <w:t>经检索，本规程所列技术内容没有涉及专利和知识产权的情况。</w:t>
      </w:r>
    </w:p>
    <w:p w14:paraId="198DE894">
      <w:pPr>
        <w:spacing w:line="360" w:lineRule="auto"/>
        <w:rPr>
          <w:b/>
          <w:sz w:val="24"/>
        </w:rPr>
      </w:pPr>
      <w:r>
        <w:rPr>
          <w:b/>
          <w:sz w:val="24"/>
        </w:rPr>
        <w:t>5</w:t>
      </w:r>
      <w:r>
        <w:rPr>
          <w:rFonts w:hAnsi="宋体"/>
          <w:b/>
          <w:sz w:val="24"/>
        </w:rPr>
        <w:t>产业化情况、推广应用论证和预期达到的经济效果等情况</w:t>
      </w:r>
    </w:p>
    <w:p w14:paraId="4B7684A8">
      <w:pPr>
        <w:spacing w:line="360" w:lineRule="auto"/>
        <w:ind w:firstLine="480" w:firstLineChars="200"/>
        <w:rPr>
          <w:rFonts w:hint="eastAsia" w:hAnsi="宋体"/>
          <w:sz w:val="24"/>
          <w:lang w:val="zh-CN"/>
        </w:rPr>
      </w:pPr>
      <w:r>
        <w:rPr>
          <w:rFonts w:hAnsi="宋体"/>
          <w:sz w:val="24"/>
          <w:lang w:val="zh-CN"/>
        </w:rPr>
        <w:t>泡沫混凝土墙体作为一种新型建筑材料，近年来在我国得到了广泛的关注和发展。其独特的防火（A级）、保温、轻质、抗震、隔音、节能、环保、耐久性好以及施工简便等优点，使得泡沫混凝土墙体在建筑行业中的应用日益广泛。目前，泡沫混凝土墙体的产业化进程已经取得了显著的成果。国内已经涌现出了一批专业的泡沫混凝土墙体生产企业，这些企业不仅具备先进的生产技术和设备，还拥有完善的生产管理体系和质量控制体系，能够生产出质量稳定、性能优异的泡沫混凝土墙体产品。</w:t>
      </w:r>
    </w:p>
    <w:p w14:paraId="1CCBF374">
      <w:pPr>
        <w:spacing w:line="360" w:lineRule="auto"/>
        <w:ind w:firstLine="480" w:firstLineChars="200"/>
        <w:rPr>
          <w:rFonts w:hint="eastAsia" w:hAnsi="宋体"/>
          <w:sz w:val="24"/>
          <w:lang w:val="zh-CN"/>
        </w:rPr>
      </w:pPr>
      <w:r>
        <w:rPr>
          <w:rFonts w:hAnsi="宋体"/>
          <w:sz w:val="24"/>
          <w:lang w:val="zh-CN"/>
        </w:rPr>
        <w:t>同时，随着国家对绿色建筑和节能减排政策的不断推进，泡沫混凝土墙体作为一种低碳环保的建筑材料，得到了政府的大力支持和推广。在政策的引导下，越来越多的建筑工程开始采用泡沫混凝土墙体，这进一步推动了泡沫混凝土墙体的产业化进程。</w:t>
      </w:r>
    </w:p>
    <w:p w14:paraId="4DCDE8F1">
      <w:pPr>
        <w:spacing w:line="360" w:lineRule="auto"/>
        <w:ind w:firstLine="480" w:firstLineChars="200"/>
        <w:rPr>
          <w:rFonts w:hint="eastAsia" w:hAnsi="宋体"/>
          <w:sz w:val="24"/>
          <w:lang w:val="zh-CN"/>
        </w:rPr>
      </w:pPr>
      <w:r>
        <w:rPr>
          <w:rFonts w:hint="eastAsia" w:hAnsi="宋体"/>
          <w:sz w:val="24"/>
          <w:lang w:val="zh-CN"/>
        </w:rPr>
        <w:t>泡沫混凝土墙体推广应用有以下几大优势：1.</w:t>
      </w:r>
      <w:r>
        <w:rPr>
          <w:rFonts w:hAnsi="宋体"/>
          <w:sz w:val="24"/>
          <w:lang w:val="zh-CN"/>
        </w:rPr>
        <w:t>泡沫混凝土墙体具有轻质、高强、保温隔热、隔音降噪等优异性能，能够满足现代建筑对材料性能的高要求。同时，其施工简便、速度快，能够大大缩短工期，降低施工成本。</w:t>
      </w:r>
      <w:r>
        <w:rPr>
          <w:rFonts w:hint="eastAsia" w:hAnsi="宋体"/>
          <w:sz w:val="24"/>
          <w:lang w:val="zh-CN"/>
        </w:rPr>
        <w:t xml:space="preserve">2. </w:t>
      </w:r>
      <w:r>
        <w:rPr>
          <w:rFonts w:hAnsi="宋体"/>
          <w:sz w:val="24"/>
          <w:lang w:val="zh-CN"/>
        </w:rPr>
        <w:t>随着城市化进程的加快和人们对居住环境要求的提高，绿色建筑和节能建筑成为了市场的主流趋势。泡沫混凝土墙体作为一种低碳环保的建筑材料，符合市场的需求和发展方向，具有广阔的市场前景。</w:t>
      </w:r>
      <w:r>
        <w:rPr>
          <w:rFonts w:hint="eastAsia" w:hAnsi="宋体"/>
          <w:sz w:val="24"/>
          <w:lang w:val="zh-CN"/>
        </w:rPr>
        <w:t>3.</w:t>
      </w:r>
      <w:r>
        <w:rPr>
          <w:rFonts w:hAnsi="宋体"/>
          <w:sz w:val="24"/>
          <w:lang w:val="zh-CN"/>
        </w:rPr>
        <w:t xml:space="preserve"> 国家对于绿色建筑和节能减排政策的大力推广，为泡沫混凝土墙体的推广应用提供了有力的政策保障。政府通过出台一系列优惠政策和补贴措施，鼓励企业采用泡沫混凝土墙体等新型建筑材料，推动建筑行业的绿色发展。</w:t>
      </w:r>
      <w:r>
        <w:rPr>
          <w:rFonts w:hint="eastAsia" w:hAnsi="宋体"/>
          <w:sz w:val="24"/>
          <w:lang w:val="zh-CN"/>
        </w:rPr>
        <w:t>4.</w:t>
      </w:r>
      <w:r>
        <w:rPr>
          <w:rFonts w:hAnsi="宋体"/>
          <w:sz w:val="24"/>
          <w:lang w:val="zh-CN"/>
        </w:rPr>
        <w:t xml:space="preserve"> 泡沫混凝土墙体在生产过程中能够大量利用工业废弃物和建筑垃圾等原材料，实现了资源的循环利用和环境的保护。同时，其在使用过程中能够减少能源消耗和碳排放，为环境保护做出了积极贡献。</w:t>
      </w:r>
    </w:p>
    <w:p w14:paraId="2F6CB184">
      <w:pPr>
        <w:spacing w:line="360" w:lineRule="auto"/>
        <w:ind w:firstLine="480" w:firstLineChars="200"/>
        <w:rPr>
          <w:sz w:val="24"/>
        </w:rPr>
      </w:pPr>
      <w:r>
        <w:rPr>
          <w:rFonts w:hAnsi="宋体"/>
          <w:sz w:val="24"/>
          <w:lang w:val="zh-CN"/>
        </w:rPr>
        <w:t>目前我国</w:t>
      </w:r>
      <w:r>
        <w:rPr>
          <w:rFonts w:hint="eastAsia" w:hAnsi="宋体"/>
          <w:sz w:val="24"/>
          <w:lang w:val="zh-CN"/>
        </w:rPr>
        <w:t>泡沫混凝土年产</w:t>
      </w:r>
      <w:r>
        <w:rPr>
          <w:rFonts w:hAnsi="宋体"/>
          <w:sz w:val="24"/>
          <w:lang w:val="zh-CN"/>
        </w:rPr>
        <w:t>超过</w:t>
      </w:r>
      <w:r>
        <w:rPr>
          <w:rFonts w:hint="eastAsia"/>
          <w:sz w:val="24"/>
          <w:lang w:val="zh-CN"/>
        </w:rPr>
        <w:t>6000</w:t>
      </w:r>
      <w:r>
        <w:rPr>
          <w:rFonts w:hAnsi="宋体"/>
          <w:sz w:val="24"/>
          <w:lang w:val="zh-CN"/>
        </w:rPr>
        <w:t>万</w:t>
      </w:r>
      <w:r>
        <w:rPr>
          <w:sz w:val="24"/>
          <w:lang w:val="zh-CN"/>
        </w:rPr>
        <w:t>m</w:t>
      </w:r>
      <w:r>
        <w:rPr>
          <w:rFonts w:hint="eastAsia"/>
          <w:sz w:val="24"/>
          <w:vertAlign w:val="superscript"/>
          <w:lang w:val="zh-CN"/>
        </w:rPr>
        <w:t>3</w:t>
      </w:r>
      <w:r>
        <w:rPr>
          <w:rFonts w:hAnsi="宋体"/>
          <w:sz w:val="24"/>
          <w:lang w:val="zh-CN"/>
        </w:rPr>
        <w:t>，且每年保持约</w:t>
      </w:r>
      <w:r>
        <w:rPr>
          <w:sz w:val="24"/>
          <w:lang w:val="zh-CN"/>
        </w:rPr>
        <w:t>1</w:t>
      </w:r>
      <w:r>
        <w:rPr>
          <w:rFonts w:hint="eastAsia"/>
          <w:sz w:val="24"/>
          <w:lang w:val="zh-CN"/>
        </w:rPr>
        <w:t>0%以上</w:t>
      </w:r>
      <w:r>
        <w:rPr>
          <w:rFonts w:hAnsi="宋体"/>
          <w:sz w:val="24"/>
          <w:lang w:val="zh-CN"/>
        </w:rPr>
        <w:t>的增长率</w:t>
      </w:r>
      <w:r>
        <w:rPr>
          <w:rFonts w:hint="eastAsia" w:hAnsi="宋体"/>
          <w:sz w:val="24"/>
          <w:lang w:val="zh-CN"/>
        </w:rPr>
        <w:t>。泡沫混凝土墙体也因其特性近些年</w:t>
      </w:r>
      <w:r>
        <w:rPr>
          <w:rFonts w:hAnsi="宋体"/>
          <w:sz w:val="24"/>
          <w:lang w:val="zh-CN"/>
        </w:rPr>
        <w:t>市场需求、市场容量巨大。</w:t>
      </w:r>
      <w:r>
        <w:rPr>
          <w:rFonts w:hint="eastAsia" w:hAnsi="宋体"/>
          <w:sz w:val="24"/>
          <w:lang w:val="zh-CN"/>
        </w:rPr>
        <w:t>泡沫混凝土</w:t>
      </w:r>
      <w:r>
        <w:rPr>
          <w:rFonts w:hAnsi="宋体"/>
          <w:sz w:val="24"/>
          <w:lang w:val="zh-CN"/>
        </w:rPr>
        <w:t>墙体具有轻质、自保温、抗震的特性，能够提高建筑物的节能减排。该墙体技术施工快捷高效、成本低，节约人力，特别适合</w:t>
      </w:r>
      <w:r>
        <w:rPr>
          <w:rFonts w:hint="eastAsia" w:hAnsi="宋体"/>
          <w:sz w:val="24"/>
          <w:lang w:val="zh-CN"/>
        </w:rPr>
        <w:t>我国住宅、公共建筑、冷链物流内墙及外墙；同时</w:t>
      </w:r>
      <w:r>
        <w:rPr>
          <w:rFonts w:hAnsi="宋体"/>
          <w:sz w:val="24"/>
          <w:lang w:val="zh-CN"/>
        </w:rPr>
        <w:t>我国广大农村地区的房屋建造</w:t>
      </w:r>
      <w:r>
        <w:rPr>
          <w:rFonts w:hint="eastAsia" w:hAnsi="宋体"/>
          <w:sz w:val="24"/>
          <w:lang w:val="zh-CN"/>
        </w:rPr>
        <w:t>也有很大应用前景</w:t>
      </w:r>
      <w:r>
        <w:rPr>
          <w:rFonts w:hAnsi="宋体"/>
          <w:sz w:val="24"/>
          <w:lang w:val="zh-CN"/>
        </w:rPr>
        <w:t>。</w:t>
      </w:r>
      <w:r>
        <w:rPr>
          <w:rFonts w:hint="eastAsia" w:hAnsi="宋体"/>
          <w:sz w:val="24"/>
          <w:lang w:val="zh-CN"/>
        </w:rPr>
        <w:t>泡沫混凝土</w:t>
      </w:r>
      <w:r>
        <w:rPr>
          <w:rFonts w:hAnsi="宋体"/>
          <w:sz w:val="24"/>
          <w:lang w:val="zh-CN"/>
        </w:rPr>
        <w:t>墙体所用泡沫混凝土可大量消纳粉煤灰、矿渣、钢渣、建筑垃圾等工业固废，加上泡沫混凝土材料本身轻质多孔，对原材料的消耗少，因此该墙体完全符合低碳环保利废的国家发展政策。本规程的制定能够大幅度提高</w:t>
      </w:r>
      <w:r>
        <w:rPr>
          <w:rFonts w:hint="eastAsia" w:hAnsi="宋体"/>
          <w:sz w:val="24"/>
          <w:lang w:val="zh-CN"/>
        </w:rPr>
        <w:t>泡沫混凝土</w:t>
      </w:r>
      <w:r>
        <w:rPr>
          <w:rFonts w:hAnsi="宋体"/>
          <w:sz w:val="24"/>
          <w:lang w:val="zh-CN"/>
        </w:rPr>
        <w:t>墙体的施工安全，且各类泡沫混凝土智能一体化浇筑设备和可移动设备的大规模应用大幅度降低了施工人员的劳动强度，施工效率大大提高。本规程与相关的产品标准相协同，为生产设计施工单位提供必要的依据。本规程的制定符合生态文明的要求，符合安全发展的要求，符合行业共同利益的要求，符合广大建材职工的迫切要求，符合人民的要求；本规程与技术迭代同步，与文明发展同行，与市场需求相配，与生态环境相容，为建筑及土木工程提供了更新、更好、更适用、更健康、更安全的应用技术。因此本规程的制定完全契合建材行业</w:t>
      </w:r>
      <w:r>
        <w:rPr>
          <w:sz w:val="24"/>
          <w:lang w:val="zh-CN"/>
        </w:rPr>
        <w:t>“</w:t>
      </w:r>
      <w:r>
        <w:rPr>
          <w:rFonts w:hAnsi="宋体"/>
          <w:sz w:val="24"/>
          <w:lang w:val="zh-CN"/>
        </w:rPr>
        <w:t>宜业尚品、造福人类</w:t>
      </w:r>
      <w:r>
        <w:rPr>
          <w:sz w:val="24"/>
          <w:lang w:val="zh-CN"/>
        </w:rPr>
        <w:t>”</w:t>
      </w:r>
      <w:r>
        <w:rPr>
          <w:rFonts w:hAnsi="宋体"/>
          <w:sz w:val="24"/>
          <w:lang w:val="zh-CN"/>
        </w:rPr>
        <w:t>的发展新理念、新目标。</w:t>
      </w:r>
    </w:p>
    <w:p w14:paraId="77E2F1F0">
      <w:pPr>
        <w:spacing w:line="360" w:lineRule="auto"/>
        <w:rPr>
          <w:b/>
          <w:sz w:val="24"/>
        </w:rPr>
      </w:pPr>
      <w:r>
        <w:rPr>
          <w:b/>
          <w:sz w:val="24"/>
        </w:rPr>
        <w:t xml:space="preserve">6 </w:t>
      </w:r>
      <w:r>
        <w:rPr>
          <w:rFonts w:hAnsi="宋体"/>
          <w:b/>
          <w:sz w:val="24"/>
        </w:rPr>
        <w:t>采用国际标准和国外先进标准情况，与国际、国外同类标准水平的对比情况</w:t>
      </w:r>
    </w:p>
    <w:p w14:paraId="58686DFC">
      <w:pPr>
        <w:spacing w:line="360" w:lineRule="auto"/>
        <w:ind w:firstLine="480" w:firstLineChars="200"/>
        <w:rPr>
          <w:sz w:val="24"/>
        </w:rPr>
      </w:pPr>
      <w:r>
        <w:rPr>
          <w:rFonts w:hAnsi="宋体"/>
          <w:sz w:val="24"/>
          <w:lang w:val="zh-CN"/>
        </w:rPr>
        <w:t>本规程未采用国际标准和国外先进标准</w:t>
      </w:r>
      <w:r>
        <w:rPr>
          <w:rFonts w:hAnsi="宋体"/>
          <w:sz w:val="24"/>
        </w:rPr>
        <w:t>，</w:t>
      </w:r>
      <w:r>
        <w:rPr>
          <w:rFonts w:hAnsi="宋体"/>
          <w:sz w:val="24"/>
          <w:lang w:val="zh-CN"/>
        </w:rPr>
        <w:t>国际、国外尚无本规程的同类标准</w:t>
      </w:r>
      <w:r>
        <w:rPr>
          <w:rFonts w:hAnsi="宋体"/>
          <w:sz w:val="24"/>
        </w:rPr>
        <w:t>。</w:t>
      </w:r>
    </w:p>
    <w:p w14:paraId="395048AB">
      <w:pPr>
        <w:spacing w:line="360" w:lineRule="auto"/>
        <w:rPr>
          <w:b/>
          <w:sz w:val="24"/>
        </w:rPr>
      </w:pPr>
      <w:r>
        <w:rPr>
          <w:b/>
          <w:sz w:val="24"/>
        </w:rPr>
        <w:t xml:space="preserve">7 </w:t>
      </w:r>
      <w:r>
        <w:rPr>
          <w:rFonts w:hAnsi="宋体"/>
          <w:b/>
          <w:sz w:val="24"/>
        </w:rPr>
        <w:t>与现行相关法律、法规、规章及相关标准，特别是强制性标准的协调性</w:t>
      </w:r>
    </w:p>
    <w:p w14:paraId="5800A614">
      <w:pPr>
        <w:spacing w:line="360" w:lineRule="auto"/>
        <w:ind w:firstLine="480" w:firstLineChars="200"/>
        <w:rPr>
          <w:sz w:val="24"/>
          <w:lang w:val="zh-CN"/>
        </w:rPr>
      </w:pPr>
      <w:r>
        <w:rPr>
          <w:rFonts w:hAnsi="宋体"/>
          <w:sz w:val="24"/>
          <w:lang w:val="zh-CN"/>
        </w:rPr>
        <w:t>本规程与现行相关法律、法规、规章及相关标准协调一致。本规程以现行国家对建筑设计施工的相关强制性标准为基础，在满足</w:t>
      </w:r>
      <w:r>
        <w:rPr>
          <w:rFonts w:hAnsi="宋体"/>
          <w:sz w:val="24"/>
        </w:rPr>
        <w:t>国家有关结构安全、防火安全和环境保护规定的基础上结合</w:t>
      </w:r>
      <w:r>
        <w:rPr>
          <w:rFonts w:hint="eastAsia" w:hAnsi="宋体"/>
          <w:sz w:val="24"/>
          <w:lang w:val="zh-CN"/>
        </w:rPr>
        <w:t>泡沫混凝土</w:t>
      </w:r>
      <w:r>
        <w:rPr>
          <w:rFonts w:hAnsi="宋体"/>
          <w:sz w:val="24"/>
          <w:lang w:val="zh-CN"/>
        </w:rPr>
        <w:t>墙体的技术特征和施工特性</w:t>
      </w:r>
      <w:r>
        <w:rPr>
          <w:rFonts w:hAnsi="宋体"/>
          <w:sz w:val="24"/>
        </w:rPr>
        <w:t>，</w:t>
      </w:r>
      <w:r>
        <w:rPr>
          <w:rFonts w:hAnsi="宋体"/>
          <w:sz w:val="24"/>
          <w:lang w:val="zh-CN"/>
        </w:rPr>
        <w:t>大量引用和参考用现有标准规范。</w:t>
      </w:r>
      <w:r>
        <w:rPr>
          <w:rFonts w:hAnsi="宋体"/>
          <w:sz w:val="24"/>
        </w:rPr>
        <w:t>本规程应与国家现行标准《民用建筑热工设计规范》</w:t>
      </w:r>
      <w:r>
        <w:rPr>
          <w:sz w:val="24"/>
        </w:rPr>
        <w:t>GB 50176</w:t>
      </w:r>
      <w:r>
        <w:rPr>
          <w:rFonts w:hAnsi="宋体"/>
          <w:sz w:val="24"/>
        </w:rPr>
        <w:t>、《严寒和寒冷地区居住建筑节能设计标准》</w:t>
      </w:r>
      <w:r>
        <w:rPr>
          <w:sz w:val="24"/>
        </w:rPr>
        <w:t xml:space="preserve"> JGJ 26</w:t>
      </w:r>
      <w:r>
        <w:rPr>
          <w:rFonts w:hAnsi="宋体"/>
          <w:sz w:val="24"/>
        </w:rPr>
        <w:t>、《夏热冬冷地区居住建筑节能设计标准》</w:t>
      </w:r>
      <w:r>
        <w:rPr>
          <w:sz w:val="24"/>
        </w:rPr>
        <w:t>JGJ 134</w:t>
      </w:r>
      <w:r>
        <w:rPr>
          <w:rFonts w:hAnsi="宋体"/>
          <w:sz w:val="24"/>
        </w:rPr>
        <w:t>、《夏热冬暖地区居住建筑节能设计标准</w:t>
      </w:r>
      <w:r>
        <w:rPr>
          <w:sz w:val="24"/>
        </w:rPr>
        <w:t>JGJ 75</w:t>
      </w:r>
      <w:r>
        <w:rPr>
          <w:rFonts w:hAnsi="宋体"/>
          <w:sz w:val="24"/>
        </w:rPr>
        <w:t>、《公共建筑节能设计标准》</w:t>
      </w:r>
      <w:r>
        <w:rPr>
          <w:sz w:val="24"/>
        </w:rPr>
        <w:t>GB 50189</w:t>
      </w:r>
      <w:r>
        <w:rPr>
          <w:rFonts w:hAnsi="宋体"/>
          <w:sz w:val="24"/>
        </w:rPr>
        <w:t>、《民用建筑隔声设计规范》</w:t>
      </w:r>
      <w:r>
        <w:rPr>
          <w:sz w:val="24"/>
        </w:rPr>
        <w:t>GB 50118</w:t>
      </w:r>
      <w:r>
        <w:rPr>
          <w:rFonts w:hAnsi="宋体"/>
          <w:sz w:val="24"/>
        </w:rPr>
        <w:t>、《建筑设计防火规范》</w:t>
      </w:r>
      <w:r>
        <w:rPr>
          <w:sz w:val="24"/>
        </w:rPr>
        <w:t>GB 50016</w:t>
      </w:r>
      <w:r>
        <w:rPr>
          <w:rFonts w:hAnsi="宋体"/>
          <w:sz w:val="24"/>
        </w:rPr>
        <w:t>、《墙体材料应用统一技术规范》</w:t>
      </w:r>
      <w:r>
        <w:rPr>
          <w:sz w:val="24"/>
        </w:rPr>
        <w:t>GB50574</w:t>
      </w:r>
      <w:r>
        <w:rPr>
          <w:rFonts w:hAnsi="宋体"/>
          <w:sz w:val="24"/>
        </w:rPr>
        <w:t>、《建筑工程施工质量验收统一标准》</w:t>
      </w:r>
      <w:r>
        <w:rPr>
          <w:sz w:val="24"/>
        </w:rPr>
        <w:t xml:space="preserve"> GB 50300</w:t>
      </w:r>
      <w:r>
        <w:rPr>
          <w:rFonts w:hAnsi="宋体"/>
          <w:sz w:val="24"/>
        </w:rPr>
        <w:t>、《建筑装饰装修工程质量验收规范》</w:t>
      </w:r>
      <w:r>
        <w:rPr>
          <w:sz w:val="24"/>
        </w:rPr>
        <w:t>GB 50210</w:t>
      </w:r>
      <w:r>
        <w:rPr>
          <w:rFonts w:hAnsi="宋体"/>
          <w:sz w:val="24"/>
        </w:rPr>
        <w:t>和《建筑节能工程施工质量验收规范》</w:t>
      </w:r>
      <w:r>
        <w:rPr>
          <w:sz w:val="24"/>
        </w:rPr>
        <w:t>GB 50411</w:t>
      </w:r>
      <w:r>
        <w:rPr>
          <w:rFonts w:hAnsi="宋体"/>
          <w:sz w:val="24"/>
        </w:rPr>
        <w:t>配套使用。本规程</w:t>
      </w:r>
      <w:r>
        <w:rPr>
          <w:rFonts w:hAnsi="宋体"/>
          <w:sz w:val="24"/>
          <w:lang w:val="zh-CN"/>
        </w:rPr>
        <w:t>与现有相关标准属于互补关系，与</w:t>
      </w:r>
      <w:r>
        <w:rPr>
          <w:sz w:val="24"/>
        </w:rPr>
        <w:t>JC/T 2458</w:t>
      </w:r>
      <w:r>
        <w:rPr>
          <w:rFonts w:hAnsi="宋体"/>
          <w:sz w:val="24"/>
        </w:rPr>
        <w:t>《聚苯乙烯颗粒泡沫混凝土》、</w:t>
      </w:r>
      <w:r>
        <w:rPr>
          <w:sz w:val="24"/>
          <w:lang w:val="zh-CN"/>
        </w:rPr>
        <w:t>JC/T</w:t>
      </w:r>
      <w:r>
        <w:rPr>
          <w:rFonts w:hint="eastAsia"/>
          <w:sz w:val="24"/>
          <w:lang w:val="zh-CN"/>
        </w:rPr>
        <w:t xml:space="preserve"> </w:t>
      </w:r>
      <w:r>
        <w:rPr>
          <w:sz w:val="24"/>
          <w:lang w:val="zh-CN"/>
        </w:rPr>
        <w:t>2459</w:t>
      </w:r>
      <w:r>
        <w:rPr>
          <w:rFonts w:hAnsi="宋体"/>
          <w:sz w:val="24"/>
          <w:lang w:val="zh-CN"/>
        </w:rPr>
        <w:t>《陶粒泡沫混凝土》、</w:t>
      </w:r>
      <w:r>
        <w:rPr>
          <w:rFonts w:hint="eastAsia" w:hAnsi="宋体"/>
          <w:sz w:val="24"/>
          <w:lang w:val="zh-CN"/>
        </w:rPr>
        <w:t>JC/T 2773《填筑用泡沫混凝土》、</w:t>
      </w:r>
      <w:r>
        <w:rPr>
          <w:sz w:val="24"/>
          <w:lang w:val="zh-CN"/>
        </w:rPr>
        <w:t>JG/T</w:t>
      </w:r>
      <w:r>
        <w:rPr>
          <w:rFonts w:hint="eastAsia"/>
          <w:sz w:val="24"/>
          <w:lang w:val="zh-CN"/>
        </w:rPr>
        <w:t xml:space="preserve"> </w:t>
      </w:r>
      <w:r>
        <w:rPr>
          <w:sz w:val="24"/>
          <w:lang w:val="zh-CN"/>
        </w:rPr>
        <w:t>266</w:t>
      </w:r>
      <w:r>
        <w:rPr>
          <w:rFonts w:hAnsi="宋体"/>
          <w:sz w:val="24"/>
          <w:lang w:val="zh-CN"/>
        </w:rPr>
        <w:t>《泡沫混凝土》、</w:t>
      </w:r>
      <w:r>
        <w:rPr>
          <w:sz w:val="24"/>
          <w:lang w:val="zh-CN"/>
        </w:rPr>
        <w:t>JGJ/T 341-2014</w:t>
      </w:r>
      <w:r>
        <w:rPr>
          <w:rFonts w:hAnsi="宋体"/>
          <w:sz w:val="24"/>
          <w:lang w:val="zh-CN"/>
        </w:rPr>
        <w:t>《</w:t>
      </w:r>
      <w:r>
        <w:rPr>
          <w:rFonts w:hAnsi="宋体"/>
          <w:kern w:val="0"/>
          <w:sz w:val="24"/>
        </w:rPr>
        <w:t>泡沫混凝土应用技术规程</w:t>
      </w:r>
      <w:r>
        <w:rPr>
          <w:rFonts w:hAnsi="宋体"/>
          <w:sz w:val="24"/>
          <w:lang w:val="zh-CN"/>
        </w:rPr>
        <w:t>》等泡沫混凝土相关标准规程具有良好的协调性。</w:t>
      </w:r>
    </w:p>
    <w:p w14:paraId="2BF044ED">
      <w:pPr>
        <w:spacing w:line="360" w:lineRule="auto"/>
        <w:rPr>
          <w:b/>
          <w:sz w:val="24"/>
        </w:rPr>
      </w:pPr>
      <w:r>
        <w:rPr>
          <w:b/>
          <w:sz w:val="24"/>
        </w:rPr>
        <w:t xml:space="preserve">8 </w:t>
      </w:r>
      <w:r>
        <w:rPr>
          <w:rFonts w:hAnsi="宋体"/>
          <w:b/>
          <w:sz w:val="24"/>
        </w:rPr>
        <w:t>重大分歧意见的处理经过和依据</w:t>
      </w:r>
    </w:p>
    <w:p w14:paraId="3B911502">
      <w:pPr>
        <w:spacing w:line="360" w:lineRule="auto"/>
        <w:ind w:firstLine="480" w:firstLineChars="200"/>
        <w:rPr>
          <w:sz w:val="24"/>
          <w:lang w:val="zh-CN"/>
        </w:rPr>
      </w:pPr>
      <w:r>
        <w:rPr>
          <w:rFonts w:hAnsi="宋体"/>
          <w:sz w:val="24"/>
          <w:lang w:val="zh-CN"/>
        </w:rPr>
        <w:t>无。</w:t>
      </w:r>
    </w:p>
    <w:p w14:paraId="47DFD08F">
      <w:pPr>
        <w:spacing w:line="360" w:lineRule="auto"/>
        <w:rPr>
          <w:b/>
          <w:sz w:val="24"/>
        </w:rPr>
      </w:pPr>
      <w:r>
        <w:rPr>
          <w:b/>
          <w:sz w:val="24"/>
        </w:rPr>
        <w:t xml:space="preserve">9 </w:t>
      </w:r>
      <w:r>
        <w:rPr>
          <w:rFonts w:hAnsi="宋体"/>
          <w:b/>
          <w:sz w:val="24"/>
        </w:rPr>
        <w:t>标准性质的建议说明</w:t>
      </w:r>
    </w:p>
    <w:p w14:paraId="7050C7D3">
      <w:pPr>
        <w:spacing w:line="360" w:lineRule="auto"/>
        <w:ind w:firstLine="480" w:firstLineChars="200"/>
        <w:rPr>
          <w:sz w:val="24"/>
          <w:lang w:val="zh-CN"/>
        </w:rPr>
      </w:pPr>
      <w:r>
        <w:rPr>
          <w:rFonts w:hAnsi="宋体"/>
          <w:sz w:val="24"/>
          <w:lang w:val="zh-CN"/>
        </w:rPr>
        <w:t>建议本规程为建材行业推荐性标准。</w:t>
      </w:r>
    </w:p>
    <w:p w14:paraId="660EED99">
      <w:pPr>
        <w:spacing w:line="360" w:lineRule="auto"/>
        <w:rPr>
          <w:b/>
          <w:sz w:val="24"/>
        </w:rPr>
      </w:pPr>
      <w:r>
        <w:rPr>
          <w:b/>
          <w:sz w:val="24"/>
        </w:rPr>
        <w:t xml:space="preserve">10 </w:t>
      </w:r>
      <w:r>
        <w:rPr>
          <w:rFonts w:hAnsi="宋体"/>
          <w:b/>
          <w:sz w:val="24"/>
        </w:rPr>
        <w:t>贯彻标准的要求和措施建议</w:t>
      </w:r>
    </w:p>
    <w:p w14:paraId="65BE01D6">
      <w:pPr>
        <w:spacing w:line="360" w:lineRule="auto"/>
        <w:ind w:firstLine="480" w:firstLineChars="200"/>
        <w:rPr>
          <w:sz w:val="24"/>
          <w:lang w:val="zh-CN"/>
        </w:rPr>
      </w:pPr>
      <w:r>
        <w:rPr>
          <w:rFonts w:hAnsi="宋体"/>
          <w:sz w:val="24"/>
          <w:lang w:val="zh-CN"/>
        </w:rPr>
        <w:t>鉴于我国建筑土木工程对节能环保快捷高效高性价比的墙体施工技术的迫切需求以及各</w:t>
      </w:r>
      <w:r>
        <w:rPr>
          <w:rFonts w:hint="eastAsia" w:hAnsi="宋体"/>
          <w:sz w:val="24"/>
          <w:lang w:val="zh-CN"/>
        </w:rPr>
        <w:t>泡沫混凝土</w:t>
      </w:r>
      <w:r>
        <w:rPr>
          <w:rFonts w:hAnsi="宋体"/>
          <w:sz w:val="24"/>
          <w:lang w:val="zh-CN"/>
        </w:rPr>
        <w:t>墙体设计施工应用单位对本规程能够尽快实施的急迫需要，希望本规程在保证质量的前提下，能够尽快发布实施。</w:t>
      </w:r>
    </w:p>
    <w:p w14:paraId="4559673A">
      <w:pPr>
        <w:spacing w:line="360" w:lineRule="auto"/>
        <w:rPr>
          <w:b/>
          <w:sz w:val="24"/>
        </w:rPr>
      </w:pPr>
      <w:r>
        <w:rPr>
          <w:b/>
          <w:sz w:val="24"/>
        </w:rPr>
        <w:t xml:space="preserve">11 </w:t>
      </w:r>
      <w:r>
        <w:rPr>
          <w:rFonts w:hAnsi="宋体"/>
          <w:b/>
          <w:sz w:val="24"/>
        </w:rPr>
        <w:t>废止现行相关标准的建议</w:t>
      </w:r>
    </w:p>
    <w:p w14:paraId="11D9F8E9">
      <w:pPr>
        <w:spacing w:line="360" w:lineRule="auto"/>
        <w:ind w:firstLine="480" w:firstLineChars="200"/>
        <w:rPr>
          <w:sz w:val="24"/>
          <w:lang w:val="zh-CN"/>
        </w:rPr>
      </w:pPr>
      <w:r>
        <w:rPr>
          <w:rFonts w:hAnsi="宋体"/>
          <w:sz w:val="24"/>
          <w:lang w:val="zh-CN"/>
        </w:rPr>
        <w:t>无。</w:t>
      </w:r>
    </w:p>
    <w:p w14:paraId="722EB824">
      <w:pPr>
        <w:spacing w:line="360" w:lineRule="auto"/>
        <w:rPr>
          <w:b/>
          <w:sz w:val="24"/>
        </w:rPr>
      </w:pPr>
      <w:r>
        <w:rPr>
          <w:b/>
          <w:sz w:val="24"/>
        </w:rPr>
        <w:t xml:space="preserve">12 </w:t>
      </w:r>
      <w:r>
        <w:rPr>
          <w:rFonts w:hAnsi="宋体"/>
          <w:b/>
          <w:sz w:val="24"/>
        </w:rPr>
        <w:t>其它应予说明的事项</w:t>
      </w:r>
    </w:p>
    <w:p w14:paraId="055B3172">
      <w:pPr>
        <w:spacing w:line="360" w:lineRule="auto"/>
        <w:ind w:firstLine="480" w:firstLineChars="200"/>
        <w:rPr>
          <w:sz w:val="24"/>
          <w:lang w:val="zh-CN"/>
        </w:rPr>
      </w:pPr>
      <w:r>
        <w:rPr>
          <w:rFonts w:hAnsi="宋体"/>
          <w:sz w:val="24"/>
          <w:lang w:val="zh-CN"/>
        </w:rPr>
        <w:t>无。</w:t>
      </w:r>
    </w:p>
    <w:p w14:paraId="16849957">
      <w:pPr>
        <w:jc w:val="center"/>
        <w:rPr>
          <w:b/>
          <w:bCs/>
        </w:rPr>
      </w:pPr>
    </w:p>
    <w:p w14:paraId="545751C8"/>
    <w:sectPr>
      <w:footerReference r:id="rId5" w:type="default"/>
      <w:pgSz w:w="11906" w:h="16838"/>
      <w:pgMar w:top="1440" w:right="1797" w:bottom="1134" w:left="179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97DD">
    <w:pPr>
      <w:pStyle w:val="1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13</w:t>
    </w:r>
    <w:r>
      <w:rPr>
        <w:kern w:val="0"/>
        <w:szCs w:val="21"/>
      </w:rPr>
      <w:fldChar w:fldCharType="end"/>
    </w:r>
    <w:r>
      <w:rPr>
        <w:rFonts w:hint="eastAsia"/>
        <w:kern w:val="0"/>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42"/>
      <w:suff w:val="nothing"/>
      <w:lvlText w:val="%1%2　"/>
      <w:lvlJc w:val="left"/>
      <w:pPr>
        <w:ind w:left="6380" w:firstLine="0"/>
      </w:pPr>
      <w:rPr>
        <w:rFonts w:hint="eastAsia" w:ascii="黑体" w:hAnsi="Times New Roman" w:eastAsia="黑体"/>
        <w:b w:val="0"/>
        <w:i w:val="0"/>
        <w:sz w:val="21"/>
      </w:rPr>
    </w:lvl>
    <w:lvl w:ilvl="2" w:tentative="0">
      <w:start w:val="1"/>
      <w:numFmt w:val="decimal"/>
      <w:pStyle w:val="43"/>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5BF"/>
    <w:rsid w:val="00004DE1"/>
    <w:rsid w:val="00031DE9"/>
    <w:rsid w:val="00035960"/>
    <w:rsid w:val="0006382A"/>
    <w:rsid w:val="000847CD"/>
    <w:rsid w:val="000B3EE1"/>
    <w:rsid w:val="000B7D50"/>
    <w:rsid w:val="000C5016"/>
    <w:rsid w:val="000D71CE"/>
    <w:rsid w:val="000E7DAD"/>
    <w:rsid w:val="001045E9"/>
    <w:rsid w:val="00106312"/>
    <w:rsid w:val="00171DD1"/>
    <w:rsid w:val="001A0CB2"/>
    <w:rsid w:val="001B2DDA"/>
    <w:rsid w:val="001E66DD"/>
    <w:rsid w:val="00211539"/>
    <w:rsid w:val="002139B6"/>
    <w:rsid w:val="00225008"/>
    <w:rsid w:val="00263A0A"/>
    <w:rsid w:val="00326C07"/>
    <w:rsid w:val="00334CBB"/>
    <w:rsid w:val="00335FCB"/>
    <w:rsid w:val="003512C5"/>
    <w:rsid w:val="003708B2"/>
    <w:rsid w:val="003E7A5D"/>
    <w:rsid w:val="00427B93"/>
    <w:rsid w:val="00460999"/>
    <w:rsid w:val="0047156D"/>
    <w:rsid w:val="004857C7"/>
    <w:rsid w:val="004879EE"/>
    <w:rsid w:val="004B7B59"/>
    <w:rsid w:val="004C3965"/>
    <w:rsid w:val="004D5E62"/>
    <w:rsid w:val="004F23E7"/>
    <w:rsid w:val="004F6ADA"/>
    <w:rsid w:val="005030DA"/>
    <w:rsid w:val="00514D5E"/>
    <w:rsid w:val="0057520B"/>
    <w:rsid w:val="00590A92"/>
    <w:rsid w:val="00591A45"/>
    <w:rsid w:val="005D2166"/>
    <w:rsid w:val="005D3C53"/>
    <w:rsid w:val="005E1FB1"/>
    <w:rsid w:val="005F490E"/>
    <w:rsid w:val="006206D3"/>
    <w:rsid w:val="006254E6"/>
    <w:rsid w:val="006408B7"/>
    <w:rsid w:val="006455BF"/>
    <w:rsid w:val="0066344E"/>
    <w:rsid w:val="00693725"/>
    <w:rsid w:val="00697C67"/>
    <w:rsid w:val="006A456E"/>
    <w:rsid w:val="007023D9"/>
    <w:rsid w:val="00717EBF"/>
    <w:rsid w:val="00735437"/>
    <w:rsid w:val="00745C73"/>
    <w:rsid w:val="007F155E"/>
    <w:rsid w:val="00807179"/>
    <w:rsid w:val="008077FD"/>
    <w:rsid w:val="00824784"/>
    <w:rsid w:val="0083452D"/>
    <w:rsid w:val="00840840"/>
    <w:rsid w:val="00853C39"/>
    <w:rsid w:val="008A1192"/>
    <w:rsid w:val="008A540C"/>
    <w:rsid w:val="008B01B0"/>
    <w:rsid w:val="008C068E"/>
    <w:rsid w:val="008E5CB6"/>
    <w:rsid w:val="009009F9"/>
    <w:rsid w:val="00906D1B"/>
    <w:rsid w:val="009144A0"/>
    <w:rsid w:val="00932610"/>
    <w:rsid w:val="00934210"/>
    <w:rsid w:val="0093527E"/>
    <w:rsid w:val="00964FB1"/>
    <w:rsid w:val="009A2793"/>
    <w:rsid w:val="009B0238"/>
    <w:rsid w:val="009B7CC1"/>
    <w:rsid w:val="009F336E"/>
    <w:rsid w:val="00A14099"/>
    <w:rsid w:val="00A23C3D"/>
    <w:rsid w:val="00A26318"/>
    <w:rsid w:val="00A2742D"/>
    <w:rsid w:val="00A308F9"/>
    <w:rsid w:val="00A35125"/>
    <w:rsid w:val="00A53811"/>
    <w:rsid w:val="00A751E6"/>
    <w:rsid w:val="00AB4820"/>
    <w:rsid w:val="00AC0368"/>
    <w:rsid w:val="00AE040E"/>
    <w:rsid w:val="00B15DB5"/>
    <w:rsid w:val="00B753E6"/>
    <w:rsid w:val="00BB77D5"/>
    <w:rsid w:val="00BC264F"/>
    <w:rsid w:val="00BC6139"/>
    <w:rsid w:val="00BE5018"/>
    <w:rsid w:val="00BF10DF"/>
    <w:rsid w:val="00C118B0"/>
    <w:rsid w:val="00C1264E"/>
    <w:rsid w:val="00C520E8"/>
    <w:rsid w:val="00C627CC"/>
    <w:rsid w:val="00C82703"/>
    <w:rsid w:val="00CA5A89"/>
    <w:rsid w:val="00CC17EF"/>
    <w:rsid w:val="00CC7C80"/>
    <w:rsid w:val="00CF2CF7"/>
    <w:rsid w:val="00D0127A"/>
    <w:rsid w:val="00D117AA"/>
    <w:rsid w:val="00D255AB"/>
    <w:rsid w:val="00D2758E"/>
    <w:rsid w:val="00D357BF"/>
    <w:rsid w:val="00D50E63"/>
    <w:rsid w:val="00D63AD1"/>
    <w:rsid w:val="00D72684"/>
    <w:rsid w:val="00D91A0B"/>
    <w:rsid w:val="00E21A56"/>
    <w:rsid w:val="00EB3CC0"/>
    <w:rsid w:val="00EC7265"/>
    <w:rsid w:val="00ED1A85"/>
    <w:rsid w:val="00F24834"/>
    <w:rsid w:val="00F43149"/>
    <w:rsid w:val="00F7096D"/>
    <w:rsid w:val="045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Date"/>
    <w:basedOn w:val="1"/>
    <w:next w:val="1"/>
    <w:link w:val="45"/>
    <w:semiHidden/>
    <w:unhideWhenUsed/>
    <w:uiPriority w:val="99"/>
    <w:pPr>
      <w:ind w:left="100" w:leftChars="2500"/>
    </w:pPr>
  </w:style>
  <w:style w:type="paragraph" w:styleId="12">
    <w:name w:val="footer"/>
    <w:basedOn w:val="1"/>
    <w:link w:val="38"/>
    <w:uiPriority w:val="0"/>
    <w:pPr>
      <w:tabs>
        <w:tab w:val="center" w:pos="4153"/>
        <w:tab w:val="right" w:pos="8306"/>
      </w:tabs>
      <w:snapToGrid w:val="0"/>
      <w:jc w:val="left"/>
    </w:pPr>
    <w:rPr>
      <w:sz w:val="18"/>
      <w:szCs w:val="18"/>
      <w:lang w:val="zh-CN" w:eastAsia="zh-CN"/>
    </w:rPr>
  </w:style>
  <w:style w:type="paragraph" w:styleId="13">
    <w:name w:val="header"/>
    <w:basedOn w:val="1"/>
    <w:link w:val="4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9">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8"/>
    <w:link w:val="4"/>
    <w:semiHidden/>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8"/>
    <w:link w:val="5"/>
    <w:semiHidden/>
    <w:uiPriority w:val="9"/>
    <w:rPr>
      <w:rFonts w:cstheme="majorBidi"/>
      <w:color w:val="104862" w:themeColor="accent1" w:themeShade="BF"/>
      <w:sz w:val="28"/>
      <w:szCs w:val="28"/>
    </w:rPr>
  </w:style>
  <w:style w:type="character" w:customStyle="1" w:styleId="23">
    <w:name w:val="标题 5 字符"/>
    <w:basedOn w:val="18"/>
    <w:link w:val="6"/>
    <w:semiHidden/>
    <w:uiPriority w:val="9"/>
    <w:rPr>
      <w:rFonts w:cstheme="majorBidi"/>
      <w:color w:val="104862" w:themeColor="accent1" w:themeShade="BF"/>
      <w:sz w:val="24"/>
    </w:rPr>
  </w:style>
  <w:style w:type="character" w:customStyle="1" w:styleId="24">
    <w:name w:val="标题 6 字符"/>
    <w:basedOn w:val="18"/>
    <w:link w:val="7"/>
    <w:semiHidden/>
    <w:uiPriority w:val="9"/>
    <w:rPr>
      <w:rFonts w:cstheme="majorBidi"/>
      <w:b/>
      <w:bCs/>
      <w:color w:val="104862" w:themeColor="accent1" w:themeShade="BF"/>
    </w:rPr>
  </w:style>
  <w:style w:type="character" w:customStyle="1" w:styleId="25">
    <w:name w:val="标题 7 字符"/>
    <w:basedOn w:val="18"/>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6"/>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8"/>
    <w:link w:val="30"/>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8"/>
    <w:link w:val="34"/>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脚 字符"/>
    <w:basedOn w:val="18"/>
    <w:semiHidden/>
    <w:uiPriority w:val="99"/>
    <w:rPr>
      <w:rFonts w:ascii="Times New Roman" w:hAnsi="Times New Roman" w:eastAsia="宋体" w:cs="Times New Roman"/>
      <w:sz w:val="18"/>
      <w:szCs w:val="18"/>
      <w14:ligatures w14:val="none"/>
    </w:rPr>
  </w:style>
  <w:style w:type="character" w:customStyle="1" w:styleId="38">
    <w:name w:val="页脚 字符1"/>
    <w:link w:val="12"/>
    <w:uiPriority w:val="0"/>
    <w:rPr>
      <w:rFonts w:ascii="Times New Roman" w:hAnsi="Times New Roman" w:eastAsia="宋体" w:cs="Times New Roman"/>
      <w:sz w:val="18"/>
      <w:szCs w:val="18"/>
      <w:lang w:val="zh-CN" w:eastAsia="zh-CN"/>
      <w14:ligatures w14:val="none"/>
    </w:rPr>
  </w:style>
  <w:style w:type="paragraph" w:customStyle="1" w:styleId="39">
    <w:name w:val="_Style 35"/>
    <w:basedOn w:val="1"/>
    <w:next w:val="1"/>
    <w:uiPriority w:val="0"/>
    <w:pPr>
      <w:jc w:val="center"/>
    </w:pPr>
    <w:rPr>
      <w:rFonts w:ascii="黑体" w:eastAsia="黑体"/>
      <w:b/>
      <w:sz w:val="28"/>
      <w:szCs w:val="28"/>
    </w:rPr>
  </w:style>
  <w:style w:type="paragraph" w:customStyle="1" w:styleId="40">
    <w:name w:val="段"/>
    <w:link w:val="41"/>
    <w:qFormat/>
    <w:uiPriority w:val="0"/>
    <w:pPr>
      <w:tabs>
        <w:tab w:val="center" w:pos="4201"/>
        <w:tab w:val="right" w:leader="dot" w:pos="9298"/>
      </w:tabs>
      <w:autoSpaceDE w:val="0"/>
      <w:autoSpaceDN w:val="0"/>
      <w:spacing w:after="0" w:line="240" w:lineRule="auto"/>
      <w:ind w:firstLine="420" w:firstLineChars="200"/>
      <w:jc w:val="both"/>
    </w:pPr>
    <w:rPr>
      <w:rFonts w:ascii="宋体" w:hAnsi="Times New Roman" w:eastAsia="宋体" w:cs="Times New Roman"/>
      <w:kern w:val="0"/>
      <w:sz w:val="21"/>
      <w:szCs w:val="20"/>
      <w:lang w:val="en-US" w:eastAsia="zh-CN" w:bidi="ar-SA"/>
      <w14:ligatures w14:val="none"/>
    </w:rPr>
  </w:style>
  <w:style w:type="character" w:customStyle="1" w:styleId="41">
    <w:name w:val="段 Char"/>
    <w:link w:val="40"/>
    <w:uiPriority w:val="0"/>
    <w:rPr>
      <w:rFonts w:ascii="宋体" w:hAnsi="Times New Roman" w:eastAsia="宋体" w:cs="Times New Roman"/>
      <w:kern w:val="0"/>
      <w:sz w:val="21"/>
      <w:szCs w:val="20"/>
      <w14:ligatures w14:val="none"/>
    </w:rPr>
  </w:style>
  <w:style w:type="paragraph" w:customStyle="1" w:styleId="42">
    <w:name w:val="章标题"/>
    <w:next w:val="40"/>
    <w:qFormat/>
    <w:uiPriority w:val="0"/>
    <w:pPr>
      <w:numPr>
        <w:ilvl w:val="1"/>
        <w:numId w:val="1"/>
      </w:numPr>
      <w:tabs>
        <w:tab w:val="left" w:pos="360"/>
      </w:tabs>
      <w:spacing w:before="50" w:after="50" w:line="240" w:lineRule="auto"/>
      <w:jc w:val="both"/>
      <w:outlineLvl w:val="1"/>
    </w:pPr>
    <w:rPr>
      <w:rFonts w:ascii="黑体" w:hAnsi="Times New Roman" w:eastAsia="黑体" w:cs="Times New Roman"/>
      <w:kern w:val="0"/>
      <w:sz w:val="21"/>
      <w:szCs w:val="20"/>
      <w:lang w:val="en-US" w:eastAsia="zh-CN" w:bidi="ar-SA"/>
      <w14:ligatures w14:val="none"/>
    </w:rPr>
  </w:style>
  <w:style w:type="paragraph" w:customStyle="1" w:styleId="43">
    <w:name w:val="一级条标题"/>
    <w:basedOn w:val="42"/>
    <w:next w:val="40"/>
    <w:uiPriority w:val="0"/>
    <w:pPr>
      <w:numPr>
        <w:ilvl w:val="2"/>
      </w:numPr>
      <w:spacing w:before="0" w:after="0"/>
      <w:outlineLvl w:val="2"/>
    </w:pPr>
  </w:style>
  <w:style w:type="paragraph" w:customStyle="1" w:styleId="44">
    <w:name w:val="封面标准英文名称"/>
    <w:basedOn w:val="1"/>
    <w:uiPriority w:val="0"/>
    <w:pPr>
      <w:framePr w:w="9639" w:h="6917" w:hRule="exact" w:wrap="around" w:vAnchor="page" w:hAnchor="page" w:xAlign="center" w:y="6408" w:anchorLock="1"/>
      <w:spacing w:before="370" w:line="400" w:lineRule="exact"/>
      <w:jc w:val="center"/>
      <w:textAlignment w:val="center"/>
    </w:pPr>
    <w:rPr>
      <w:rFonts w:eastAsia="黑体"/>
      <w:kern w:val="0"/>
      <w:sz w:val="28"/>
      <w:szCs w:val="28"/>
    </w:rPr>
  </w:style>
  <w:style w:type="character" w:customStyle="1" w:styleId="45">
    <w:name w:val="日期 字符"/>
    <w:basedOn w:val="18"/>
    <w:link w:val="11"/>
    <w:semiHidden/>
    <w:uiPriority w:val="99"/>
    <w:rPr>
      <w:rFonts w:ascii="Times New Roman" w:hAnsi="Times New Roman" w:eastAsia="宋体" w:cs="Times New Roman"/>
      <w:sz w:val="21"/>
      <w14:ligatures w14:val="none"/>
    </w:rPr>
  </w:style>
  <w:style w:type="character" w:customStyle="1" w:styleId="46">
    <w:name w:val="页眉 字符"/>
    <w:basedOn w:val="18"/>
    <w:link w:val="13"/>
    <w:uiPriority w:val="99"/>
    <w:rPr>
      <w:rFonts w:ascii="Times New Roman" w:hAnsi="Times New Roman" w:eastAsia="宋体" w:cs="Times New Roman"/>
      <w:sz w:val="18"/>
      <w:szCs w:val="18"/>
      <w14:ligatures w14: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4811</Words>
  <Characters>5141</Characters>
  <Lines>59</Lines>
  <Paragraphs>16</Paragraphs>
  <TotalTime>1327</TotalTime>
  <ScaleCrop>false</ScaleCrop>
  <LinksUpToDate>false</LinksUpToDate>
  <CharactersWithSpaces>5214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2024-08-02T07:15:00Z</dcterms:created>
  <dc:creator>2571563375@qq.com</dc:creator>
  <cp:lastModifiedBy>扈士凯</cp:lastModifiedBy>
  <dcterms:modified xsi:type="dcterms:W3CDTF">2025-01-15T02:42:46Z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33A2ACFBA97343A0A12785CBFA8E166F_13</vt:lpwstr>
  </property>
</Properties>
</file>