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z w:val="72"/>
          <w:szCs w:val="72"/>
        </w:rPr>
      </w:pPr>
      <w:r>
        <w:rPr>
          <w:rFonts w:ascii="Times New Roman" w:hAnsi="Times New Roman" w:cs="Times New Roman"/>
        </w:rPr>
        <w:drawing>
          <wp:inline distT="0" distB="0" distL="114300" distR="114300">
            <wp:extent cx="1860550" cy="831850"/>
            <wp:effectExtent l="0" t="0" r="6350" b="6350"/>
            <wp:docPr id="18"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7ae779013415e90a1541f6088b01d14"/>
                    <pic:cNvPicPr>
                      <a:picLocks noChangeAspect="1"/>
                    </pic:cNvPicPr>
                  </pic:nvPicPr>
                  <pic:blipFill>
                    <a:blip r:embed="rId12" cstate="print"/>
                    <a:srcRect l="64519" t="9979" r="10962" b="63341"/>
                    <a:stretch>
                      <a:fillRect/>
                    </a:stretch>
                  </pic:blipFill>
                  <pic:spPr>
                    <a:xfrm>
                      <a:off x="0" y="0"/>
                      <a:ext cx="1860550" cy="831850"/>
                    </a:xfrm>
                    <a:prstGeom prst="rect">
                      <a:avLst/>
                    </a:prstGeom>
                    <a:noFill/>
                    <a:ln>
                      <a:noFill/>
                    </a:ln>
                  </pic:spPr>
                </pic:pic>
              </a:graphicData>
            </a:graphic>
          </wp:inline>
        </w:drawing>
      </w:r>
    </w:p>
    <w:p>
      <w:pPr>
        <w:jc w:val="center"/>
        <w:rPr>
          <w:rFonts w:eastAsia="STZhongsong"/>
          <w:sz w:val="28"/>
          <w:szCs w:val="28"/>
        </w:rPr>
      </w:pPr>
    </w:p>
    <w:p>
      <w:pPr>
        <w:jc w:val="center"/>
        <w:rPr>
          <w:rFonts w:ascii="方正小标宋简体" w:eastAsia="方正小标宋简体"/>
          <w:w w:val="120"/>
          <w:sz w:val="52"/>
          <w:szCs w:val="52"/>
        </w:rPr>
      </w:pPr>
      <w:r>
        <w:rPr>
          <w:rFonts w:hint="eastAsia" w:ascii="方正小标宋简体" w:hAnsi="宋体" w:eastAsia="方正小标宋简体"/>
          <w:w w:val="120"/>
          <w:sz w:val="52"/>
          <w:szCs w:val="52"/>
        </w:rPr>
        <w:t>中华人民共和国工业和信息化部建材计量技术规范</w:t>
      </w:r>
    </w:p>
    <w:p>
      <w:pPr>
        <w:ind w:firstLine="5600" w:firstLineChars="2000"/>
        <w:rPr>
          <w:rFonts w:ascii="黑体" w:hAnsi="黑体" w:eastAsia="黑体"/>
          <w:sz w:val="28"/>
          <w:szCs w:val="28"/>
        </w:rPr>
      </w:pPr>
      <w:r>
        <w:rPr>
          <w:rFonts w:hint="eastAsia" w:ascii="黑体" w:hAnsi="黑体" w:eastAsia="黑体"/>
          <w:sz w:val="28"/>
          <w:szCs w:val="28"/>
        </w:rPr>
        <w:t>JJF(建材)  XXX</w:t>
      </w:r>
      <w:r>
        <w:rPr>
          <w:rFonts w:ascii="黑体" w:hAnsi="黑体" w:eastAsia="黑体"/>
          <w:sz w:val="28"/>
          <w:szCs w:val="28"/>
        </w:rPr>
        <w:t>－</w:t>
      </w:r>
      <w:r>
        <w:rPr>
          <w:rFonts w:hint="eastAsia" w:ascii="黑体" w:hAnsi="黑体" w:eastAsia="黑体"/>
          <w:sz w:val="28"/>
          <w:szCs w:val="28"/>
        </w:rPr>
        <w:t>XXXX</w:t>
      </w:r>
    </w:p>
    <w:p>
      <w:pPr>
        <w:rPr>
          <w:sz w:val="30"/>
          <w:szCs w:val="30"/>
        </w:rPr>
      </w:pPr>
      <w:r>
        <w:rPr>
          <w:sz w:val="30"/>
          <w:szCs w:val="30"/>
        </w:rPr>
        <w:pict>
          <v:line id="Line 3" o:spid="_x0000_s1026" o:spt="20" style="position:absolute;left:0pt;margin-left:5.25pt;margin-top:0pt;height:0pt;width:450pt;z-index:251659264;mso-width-relative:page;mso-height-relative:page;" coordsize="21600,21600" o:gfxdata="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e31GM8AAAAEAQAADwAAAAAAAAABACAAAAAiAAAAZHJzL2Rvd25yZXYueG1sUEsB&#10;AhQAFAAAAAgAh07iQDHyEUnFAQAAmgMAAA4AAAAAAAAAAQAgAAAAHgEAAGRycy9lMm9Eb2MueG1s&#10;UEsFBgAAAAAGAAYAWQEAAFUFAAAAAA==&#10;">
            <v:path arrowok="t"/>
            <v:fill focussize="0,0"/>
            <v:stroke weight="1.5pt"/>
            <v:imagedata o:title=""/>
            <o:lock v:ext="edit"/>
          </v:line>
        </w:pict>
      </w:r>
    </w:p>
    <w:p>
      <w:pPr>
        <w:rPr>
          <w:sz w:val="30"/>
          <w:szCs w:val="30"/>
        </w:rPr>
      </w:pPr>
    </w:p>
    <w:p>
      <w:pPr>
        <w:rPr>
          <w:sz w:val="30"/>
          <w:szCs w:val="30"/>
        </w:rPr>
      </w:pPr>
    </w:p>
    <w:p>
      <w:pPr>
        <w:rPr>
          <w:rFonts w:eastAsia="黑体"/>
          <w:sz w:val="36"/>
          <w:szCs w:val="36"/>
        </w:rPr>
      </w:pPr>
    </w:p>
    <w:p>
      <w:pPr>
        <w:tabs>
          <w:tab w:val="left" w:pos="8789"/>
          <w:tab w:val="left" w:pos="9214"/>
        </w:tabs>
        <w:spacing w:line="360" w:lineRule="auto"/>
        <w:ind w:left="741" w:leftChars="337" w:right="1038" w:rightChars="472"/>
        <w:jc w:val="center"/>
        <w:rPr>
          <w:rFonts w:eastAsia="黑体"/>
          <w:b/>
          <w:bCs/>
          <w:sz w:val="52"/>
          <w:szCs w:val="52"/>
        </w:rPr>
      </w:pPr>
      <w:r>
        <w:rPr>
          <w:rFonts w:hint="eastAsia" w:eastAsia="黑体"/>
          <w:b/>
          <w:bCs/>
          <w:sz w:val="52"/>
          <w:szCs w:val="52"/>
          <w:lang w:val="en-US" w:eastAsia="zh-CN"/>
        </w:rPr>
        <w:t>建筑材料燃烧或分解的烟密度测试</w:t>
      </w:r>
      <w:r>
        <w:rPr>
          <w:rFonts w:hint="eastAsia" w:eastAsia="黑体"/>
          <w:b/>
          <w:bCs/>
          <w:sz w:val="52"/>
          <w:szCs w:val="52"/>
        </w:rPr>
        <w:t>装置校准规范</w:t>
      </w:r>
    </w:p>
    <w:p>
      <w:pPr>
        <w:tabs>
          <w:tab w:val="left" w:pos="8789"/>
          <w:tab w:val="left" w:pos="9214"/>
        </w:tabs>
        <w:spacing w:line="360" w:lineRule="auto"/>
        <w:ind w:right="1038" w:rightChars="472"/>
        <w:jc w:val="center"/>
        <w:rPr>
          <w:rFonts w:ascii="黑体" w:hAnsi="黑体" w:eastAsia="黑体"/>
          <w:b/>
          <w:bCs/>
          <w:sz w:val="28"/>
          <w:szCs w:val="28"/>
        </w:rPr>
      </w:pPr>
      <w:r>
        <w:rPr>
          <w:rFonts w:hint="eastAsia" w:ascii="黑体" w:hAnsi="黑体" w:eastAsia="黑体"/>
          <w:b/>
          <w:bCs/>
          <w:sz w:val="28"/>
          <w:szCs w:val="28"/>
        </w:rPr>
        <w:t xml:space="preserve">Specification for </w:t>
      </w:r>
      <w:r>
        <w:rPr>
          <w:rFonts w:hint="eastAsia" w:ascii="黑体" w:hAnsi="黑体" w:eastAsia="黑体"/>
          <w:b/>
          <w:bCs/>
          <w:sz w:val="28"/>
          <w:szCs w:val="28"/>
          <w:lang w:val="en-US" w:eastAsia="zh-CN"/>
        </w:rPr>
        <w:t>C</w:t>
      </w:r>
      <w:r>
        <w:rPr>
          <w:rFonts w:hint="eastAsia" w:ascii="黑体" w:hAnsi="黑体" w:eastAsia="黑体"/>
          <w:b/>
          <w:bCs/>
          <w:sz w:val="28"/>
          <w:szCs w:val="28"/>
        </w:rPr>
        <w:t xml:space="preserve">alibration of </w:t>
      </w:r>
      <w:r>
        <w:rPr>
          <w:rFonts w:hint="eastAsia" w:ascii="黑体" w:hAnsi="黑体" w:eastAsia="黑体"/>
          <w:b/>
          <w:bCs/>
          <w:sz w:val="28"/>
          <w:szCs w:val="28"/>
          <w:lang w:val="en-US" w:eastAsia="zh-CN"/>
        </w:rPr>
        <w:t>S</w:t>
      </w:r>
      <w:r>
        <w:rPr>
          <w:rFonts w:hint="eastAsia" w:ascii="黑体" w:hAnsi="黑体" w:eastAsia="黑体"/>
          <w:b/>
          <w:bCs/>
          <w:sz w:val="28"/>
          <w:szCs w:val="28"/>
        </w:rPr>
        <w:t xml:space="preserve">moke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ensity </w:t>
      </w:r>
      <w:r>
        <w:rPr>
          <w:rFonts w:hint="eastAsia" w:ascii="黑体" w:hAnsi="黑体" w:eastAsia="黑体"/>
          <w:b/>
          <w:bCs/>
          <w:sz w:val="28"/>
          <w:szCs w:val="28"/>
          <w:lang w:val="en-US" w:eastAsia="zh-CN"/>
        </w:rPr>
        <w:t>T</w:t>
      </w:r>
      <w:r>
        <w:rPr>
          <w:rFonts w:hint="eastAsia" w:ascii="黑体" w:hAnsi="黑体" w:eastAsia="黑体"/>
          <w:b/>
          <w:bCs/>
          <w:sz w:val="28"/>
          <w:szCs w:val="28"/>
        </w:rPr>
        <w:t xml:space="preserve">est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evices for </w:t>
      </w:r>
      <w:r>
        <w:rPr>
          <w:rFonts w:hint="eastAsia" w:ascii="黑体" w:hAnsi="黑体" w:eastAsia="黑体"/>
          <w:b/>
          <w:bCs/>
          <w:sz w:val="28"/>
          <w:szCs w:val="28"/>
          <w:lang w:val="en-US" w:eastAsia="zh-CN"/>
        </w:rPr>
        <w:t>C</w:t>
      </w:r>
      <w:r>
        <w:rPr>
          <w:rFonts w:hint="eastAsia" w:ascii="黑体" w:hAnsi="黑体" w:eastAsia="黑体"/>
          <w:b/>
          <w:bCs/>
          <w:sz w:val="28"/>
          <w:szCs w:val="28"/>
        </w:rPr>
        <w:t xml:space="preserve">ombustion or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ecomposition of </w:t>
      </w:r>
      <w:r>
        <w:rPr>
          <w:rFonts w:hint="eastAsia" w:ascii="黑体" w:hAnsi="黑体" w:eastAsia="黑体"/>
          <w:b/>
          <w:bCs/>
          <w:sz w:val="28"/>
          <w:szCs w:val="28"/>
          <w:lang w:val="en-US" w:eastAsia="zh-CN"/>
        </w:rPr>
        <w:t>B</w:t>
      </w:r>
      <w:r>
        <w:rPr>
          <w:rFonts w:hint="eastAsia" w:ascii="黑体" w:hAnsi="黑体" w:eastAsia="黑体"/>
          <w:b/>
          <w:bCs/>
          <w:sz w:val="28"/>
          <w:szCs w:val="28"/>
        </w:rPr>
        <w:t xml:space="preserve">uilding materials </w:t>
      </w:r>
    </w:p>
    <w:p>
      <w:pPr>
        <w:rPr>
          <w:rFonts w:eastAsia="KaiTi_GB2312"/>
          <w:sz w:val="32"/>
          <w:szCs w:val="32"/>
          <w:highlight w:val="yellow"/>
        </w:rPr>
      </w:pPr>
    </w:p>
    <w:p>
      <w:pPr>
        <w:rPr>
          <w:sz w:val="30"/>
          <w:szCs w:val="30"/>
        </w:rPr>
      </w:pPr>
    </w:p>
    <w:p>
      <w:pPr>
        <w:ind w:firstLine="560" w:firstLineChars="200"/>
        <w:rPr>
          <w:sz w:val="30"/>
          <w:szCs w:val="30"/>
        </w:rPr>
      </w:pPr>
      <w:r>
        <w:rPr>
          <w:rFonts w:eastAsia="黑体"/>
          <w:sz w:val="28"/>
          <w:szCs w:val="28"/>
        </w:rPr>
        <w:t>××××－××－××发布××××－××－××实施</w:t>
      </w:r>
    </w:p>
    <w:p>
      <w:pPr>
        <w:jc w:val="center"/>
        <w:rPr>
          <w:rFonts w:ascii="方正小标宋简体" w:eastAsia="方正小标宋简体"/>
          <w:w w:val="120"/>
          <w:sz w:val="28"/>
          <w:szCs w:val="28"/>
        </w:rPr>
      </w:pPr>
      <w:r>
        <w:rPr>
          <w:rFonts w:ascii="方正小标宋简体" w:eastAsia="方正小标宋简体"/>
          <w:sz w:val="30"/>
          <w:szCs w:val="30"/>
        </w:rPr>
        <w:pict>
          <v:line id="Line 4" o:spid="_x0000_s1030" o:spt="20" style="position:absolute;left:0pt;margin-left:0pt;margin-top:0pt;height:0pt;width:450pt;z-index:251660288;mso-width-relative:page;mso-height-relative:page;" coordsize="21600,2160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1g3L88AAAACAQAADwAAAAAAAAABACAAAAAiAAAAZHJzL2Rvd25yZXYueG1sUEsB&#10;AhQAFAAAAAgAh07iQEp2zKrFAQAAmgMAAA4AAAAAAAAAAQAgAAAAHgEAAGRycy9lMm9Eb2MueG1s&#10;UEsFBgAAAAAGAAYAWQEAAFUFAAAAAA==&#10;">
            <v:path arrowok="t"/>
            <v:fill focussize="0,0"/>
            <v:stroke weight="1.5pt"/>
            <v:imagedata o:title=""/>
            <o:lock v:ext="edit"/>
          </v:line>
        </w:pict>
      </w:r>
      <w:r>
        <w:rPr>
          <w:rFonts w:hint="eastAsia" w:ascii="方正小标宋简体" w:eastAsia="方正小标宋简体"/>
          <w:w w:val="120"/>
          <w:sz w:val="44"/>
          <w:szCs w:val="44"/>
        </w:rPr>
        <w:t>中华人民共和国工业和信息化部</w:t>
      </w:r>
      <w:r>
        <w:rPr>
          <w:rFonts w:ascii="方正小标宋简体" w:eastAsia="方正小标宋简体"/>
          <w:w w:val="120"/>
          <w:sz w:val="28"/>
          <w:szCs w:val="28"/>
        </w:rPr>
        <w:t>发布</w:t>
      </w:r>
    </w:p>
    <w:p>
      <w:pPr>
        <w:tabs>
          <w:tab w:val="left" w:pos="8789"/>
          <w:tab w:val="left" w:pos="9214"/>
        </w:tabs>
        <w:spacing w:line="360" w:lineRule="auto"/>
        <w:ind w:right="1038" w:rightChars="472"/>
        <w:rPr>
          <w:rFonts w:ascii="黑体" w:hAnsi="黑体" w:eastAsia="黑体" w:cs="黑体"/>
          <w:sz w:val="44"/>
          <w:szCs w:val="44"/>
        </w:rPr>
      </w:pPr>
    </w:p>
    <w:p>
      <w:pPr>
        <w:keepNext w:val="0"/>
        <w:keepLines w:val="0"/>
        <w:pageBreakBefore w:val="0"/>
        <w:widowControl/>
        <w:tabs>
          <w:tab w:val="left" w:pos="8789"/>
          <w:tab w:val="left" w:pos="9214"/>
        </w:tabs>
        <w:kinsoku/>
        <w:wordWrap/>
        <w:overflowPunct/>
        <w:topLinePunct w:val="0"/>
        <w:autoSpaceDE/>
        <w:autoSpaceDN/>
        <w:bidi w:val="0"/>
        <w:adjustRightInd w:val="0"/>
        <w:snapToGrid w:val="0"/>
        <w:spacing w:line="360" w:lineRule="auto"/>
        <w:ind w:left="1320" w:right="1038" w:rightChars="472" w:hanging="1320" w:hangingChars="300"/>
        <w:jc w:val="left"/>
        <w:textAlignment w:val="auto"/>
        <w:rPr>
          <w:rFonts w:ascii="黑体"/>
          <w:sz w:val="44"/>
          <w:szCs w:val="44"/>
        </w:rPr>
      </w:pPr>
      <w:r>
        <w:rPr>
          <w:rFonts w:hint="default" w:ascii="黑体" w:hAnsi="黑体" w:eastAsia="黑体" w:cs="黑体"/>
          <w:sz w:val="44"/>
          <w:szCs w:val="44"/>
          <w:lang w:val="en-US"/>
        </w:rPr>
        <w:pict>
          <v:rect id="_x0000_s1029" o:spid="_x0000_s1029" o:spt="1" style="position:absolute;left:0pt;margin-left:293.3pt;margin-top:0.8pt;height:72.3pt;width:150pt;z-index:251662336;mso-width-relative:page;mso-height-relative:page;" coordsize="21600,21600" o:gfxdata="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Ux8w9YAAAAKAQAADwAAAAAAAAABACAAAAAiAAAAZHJzL2Rvd25yZXYueG1sUEsBAhQAFAAA&#10;AAgAh07iQJexiY7xAQAA7AMAAA4AAAAAAAAAAQAgAAAAJQEAAGRycy9lMm9Eb2MueG1sUEsFBgAA&#10;AAAGAAYAWQEAAIgFAAAAAA==&#10;">
            <v:path/>
            <v:fill focussize="0,0"/>
            <v:stroke weight="4.5pt" dashstyle="1 1" endcap="round"/>
            <v:imagedata o:title=""/>
            <o:lock v:ext="edit"/>
            <v:textbox>
              <w:txbxContent>
                <w:p>
                  <w:pPr>
                    <w:pStyle w:val="3"/>
                    <w:spacing w:line="415" w:lineRule="auto"/>
                    <w:jc w:val="center"/>
                    <w:rPr>
                      <w:rFonts w:ascii="黑体" w:eastAsia="黑体"/>
                      <w:sz w:val="28"/>
                      <w:szCs w:val="28"/>
                    </w:rPr>
                  </w:pPr>
                  <w:bookmarkStart w:id="70" w:name="_Toc70240009"/>
                  <w:bookmarkStart w:id="71" w:name="_Toc104409947"/>
                  <w:bookmarkStart w:id="72" w:name="_Toc106786425"/>
                  <w:r>
                    <w:rPr>
                      <w:rFonts w:hint="eastAsia" w:ascii="黑体" w:eastAsia="黑体"/>
                      <w:sz w:val="28"/>
                      <w:szCs w:val="28"/>
                    </w:rPr>
                    <w:t>JJF（建材）XXX</w:t>
                  </w:r>
                  <w:r>
                    <w:rPr>
                      <w:rFonts w:hint="eastAsia" w:ascii="黑体" w:eastAsia="黑体"/>
                      <w:sz w:val="28"/>
                      <w:szCs w:val="28"/>
                      <w:lang w:val="en-GB"/>
                    </w:rPr>
                    <w:t>—</w:t>
                  </w:r>
                  <w:bookmarkEnd w:id="70"/>
                  <w:bookmarkEnd w:id="71"/>
                  <w:r>
                    <w:rPr>
                      <w:rFonts w:hint="eastAsia" w:ascii="黑体" w:hAnsi="宋体" w:eastAsia="黑体"/>
                      <w:sz w:val="28"/>
                      <w:szCs w:val="28"/>
                    </w:rPr>
                    <w:t>XXXX</w:t>
                  </w:r>
                  <w:bookmarkEnd w:id="72"/>
                </w:p>
              </w:txbxContent>
            </v:textbox>
          </v:rect>
        </w:pict>
      </w:r>
      <w:r>
        <w:rPr>
          <w:rFonts w:hint="eastAsia" w:ascii="黑体" w:hAnsi="黑体" w:eastAsia="黑体" w:cs="黑体"/>
          <w:sz w:val="44"/>
          <w:szCs w:val="44"/>
          <w:lang w:val="en-US" w:eastAsia="zh-CN"/>
        </w:rPr>
        <w:t xml:space="preserve">建筑材料燃烧或分解的烟密度       </w:t>
      </w:r>
      <w:r>
        <w:rPr>
          <w:rFonts w:hint="eastAsia" w:ascii="黑体" w:hAnsi="黑体" w:eastAsia="黑体" w:cs="黑体"/>
          <w:sz w:val="44"/>
          <w:szCs w:val="44"/>
        </w:rPr>
        <w:t>测</w:t>
      </w:r>
      <w:r>
        <w:rPr>
          <w:rFonts w:hint="eastAsia" w:ascii="黑体" w:hAnsi="黑体" w:eastAsia="黑体" w:cs="黑体"/>
          <w:sz w:val="44"/>
          <w:szCs w:val="44"/>
          <w:lang w:val="en-US" w:eastAsia="zh-CN"/>
        </w:rPr>
        <w:t>测</w:t>
      </w:r>
      <w:r>
        <w:rPr>
          <w:rFonts w:hint="eastAsia" w:ascii="黑体" w:hAnsi="黑体" w:eastAsia="黑体" w:cs="黑体"/>
          <w:sz w:val="44"/>
          <w:szCs w:val="44"/>
        </w:rPr>
        <w:t>试装置校准规范</w:t>
      </w:r>
    </w:p>
    <w:p>
      <w:pPr>
        <w:tabs>
          <w:tab w:val="left" w:pos="8789"/>
          <w:tab w:val="left" w:pos="9214"/>
        </w:tabs>
        <w:spacing w:line="360" w:lineRule="auto"/>
        <w:ind w:right="1038" w:rightChars="472"/>
        <w:jc w:val="center"/>
        <w:rPr>
          <w:rFonts w:ascii="黑体" w:hAnsi="黑体" w:eastAsia="黑体"/>
          <w:b/>
          <w:bCs/>
          <w:sz w:val="28"/>
          <w:szCs w:val="28"/>
        </w:rPr>
      </w:pPr>
      <w:r>
        <w:rPr>
          <w:rFonts w:hint="eastAsia" w:ascii="黑体" w:hAnsi="黑体" w:eastAsia="黑体"/>
          <w:b/>
          <w:bCs/>
          <w:sz w:val="28"/>
          <w:szCs w:val="28"/>
        </w:rPr>
        <w:t xml:space="preserve">Specification for </w:t>
      </w:r>
      <w:r>
        <w:rPr>
          <w:rFonts w:hint="eastAsia" w:ascii="黑体" w:hAnsi="黑体" w:eastAsia="黑体"/>
          <w:b/>
          <w:bCs/>
          <w:sz w:val="28"/>
          <w:szCs w:val="28"/>
          <w:lang w:val="en-US" w:eastAsia="zh-CN"/>
        </w:rPr>
        <w:t>C</w:t>
      </w:r>
      <w:r>
        <w:rPr>
          <w:rFonts w:hint="eastAsia" w:ascii="黑体" w:hAnsi="黑体" w:eastAsia="黑体"/>
          <w:b/>
          <w:bCs/>
          <w:sz w:val="28"/>
          <w:szCs w:val="28"/>
        </w:rPr>
        <w:t xml:space="preserve">alibration of </w:t>
      </w:r>
      <w:r>
        <w:rPr>
          <w:rFonts w:hint="eastAsia" w:ascii="黑体" w:hAnsi="黑体" w:eastAsia="黑体"/>
          <w:b/>
          <w:bCs/>
          <w:sz w:val="28"/>
          <w:szCs w:val="28"/>
          <w:lang w:val="en-US" w:eastAsia="zh-CN"/>
        </w:rPr>
        <w:t>S</w:t>
      </w:r>
      <w:r>
        <w:rPr>
          <w:rFonts w:hint="eastAsia" w:ascii="黑体" w:hAnsi="黑体" w:eastAsia="黑体"/>
          <w:b/>
          <w:bCs/>
          <w:sz w:val="28"/>
          <w:szCs w:val="28"/>
        </w:rPr>
        <w:t xml:space="preserve">moke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ensity </w:t>
      </w:r>
      <w:r>
        <w:rPr>
          <w:rFonts w:hint="eastAsia" w:ascii="黑体" w:hAnsi="黑体" w:eastAsia="黑体"/>
          <w:b/>
          <w:bCs/>
          <w:sz w:val="28"/>
          <w:szCs w:val="28"/>
          <w:lang w:val="en-US" w:eastAsia="zh-CN"/>
        </w:rPr>
        <w:t>T</w:t>
      </w:r>
      <w:r>
        <w:rPr>
          <w:rFonts w:hint="eastAsia" w:ascii="黑体" w:hAnsi="黑体" w:eastAsia="黑体"/>
          <w:b/>
          <w:bCs/>
          <w:sz w:val="28"/>
          <w:szCs w:val="28"/>
        </w:rPr>
        <w:t xml:space="preserve">est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evices for </w:t>
      </w:r>
      <w:r>
        <w:rPr>
          <w:rFonts w:hint="eastAsia" w:ascii="黑体" w:hAnsi="黑体" w:eastAsia="黑体"/>
          <w:b/>
          <w:bCs/>
          <w:sz w:val="28"/>
          <w:szCs w:val="28"/>
          <w:lang w:val="en-US" w:eastAsia="zh-CN"/>
        </w:rPr>
        <w:t>C</w:t>
      </w:r>
      <w:r>
        <w:rPr>
          <w:rFonts w:hint="eastAsia" w:ascii="黑体" w:hAnsi="黑体" w:eastAsia="黑体"/>
          <w:b/>
          <w:bCs/>
          <w:sz w:val="28"/>
          <w:szCs w:val="28"/>
        </w:rPr>
        <w:t xml:space="preserve">ombustion or </w:t>
      </w:r>
      <w:r>
        <w:rPr>
          <w:rFonts w:hint="eastAsia" w:ascii="黑体" w:hAnsi="黑体" w:eastAsia="黑体"/>
          <w:b/>
          <w:bCs/>
          <w:sz w:val="28"/>
          <w:szCs w:val="28"/>
          <w:lang w:val="en-US" w:eastAsia="zh-CN"/>
        </w:rPr>
        <w:t>D</w:t>
      </w:r>
      <w:r>
        <w:rPr>
          <w:rFonts w:hint="eastAsia" w:ascii="黑体" w:hAnsi="黑体" w:eastAsia="黑体"/>
          <w:b/>
          <w:bCs/>
          <w:sz w:val="28"/>
          <w:szCs w:val="28"/>
        </w:rPr>
        <w:t xml:space="preserve">ecomposition of </w:t>
      </w:r>
      <w:r>
        <w:rPr>
          <w:rFonts w:hint="eastAsia" w:ascii="黑体" w:hAnsi="黑体" w:eastAsia="黑体"/>
          <w:b/>
          <w:bCs/>
          <w:sz w:val="28"/>
          <w:szCs w:val="28"/>
          <w:lang w:val="en-US" w:eastAsia="zh-CN"/>
        </w:rPr>
        <w:t>B</w:t>
      </w:r>
      <w:r>
        <w:rPr>
          <w:rFonts w:hint="eastAsia" w:ascii="黑体" w:hAnsi="黑体" w:eastAsia="黑体"/>
          <w:b/>
          <w:bCs/>
          <w:sz w:val="28"/>
          <w:szCs w:val="28"/>
        </w:rPr>
        <w:t xml:space="preserve">uilding materials </w:t>
      </w:r>
    </w:p>
    <w:p>
      <w:pPr>
        <w:rPr>
          <w:rFonts w:eastAsia="黑体"/>
          <w:sz w:val="28"/>
          <w:szCs w:val="28"/>
        </w:rPr>
      </w:pPr>
      <w:r>
        <w:rPr>
          <w:rFonts w:eastAsia="黑体"/>
          <w:sz w:val="28"/>
          <w:szCs w:val="28"/>
        </w:rPr>
        <w:pict>
          <v:line id="Line 6" o:spid="_x0000_s1028" o:spt="20" style="position:absolute;left:0pt;margin-left:0pt;margin-top:8pt;height:0pt;width:450pt;z-index:251661312;mso-width-relative:page;mso-height-relative:page;" coordsize="21600,21600" o:gfxdata="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Sul2g0QAAAAYBAAAPAAAAAAAAAAEAIAAAACIAAABkcnMvZG93bnJldi54bWxQ&#10;SwECFAAUAAAACACHTuJAGr/G6MUBAACaAwAADgAAAAAAAAABACAAAAAgAQAAZHJzL2Uyb0RvYy54&#10;bWxQSwUGAAAAAAYABgBZAQAAVwUAAAAA&#10;">
            <v:path arrowok="t"/>
            <v:fill focussize="0,0"/>
            <v:stroke weight="1.5pt"/>
            <v:imagedata o:title=""/>
            <o:lock v:ext="edit"/>
          </v:line>
        </w:pict>
      </w:r>
    </w:p>
    <w:p>
      <w:pPr>
        <w:jc w:val="center"/>
        <w:rPr>
          <w:sz w:val="24"/>
        </w:rPr>
      </w:pPr>
    </w:p>
    <w:p>
      <w:pPr>
        <w:jc w:val="center"/>
        <w:rPr>
          <w:sz w:val="24"/>
        </w:rPr>
      </w:pPr>
    </w:p>
    <w:p>
      <w:pPr>
        <w:jc w:val="center"/>
        <w:rPr>
          <w:sz w:val="24"/>
        </w:rPr>
      </w:pPr>
    </w:p>
    <w:p>
      <w:pPr>
        <w:pStyle w:val="8"/>
        <w:snapToGrid w:val="0"/>
        <w:spacing w:line="480" w:lineRule="auto"/>
        <w:ind w:firstLine="627" w:firstLineChars="212"/>
        <w:jc w:val="both"/>
        <w:rPr>
          <w:rFonts w:eastAsia="黑体"/>
          <w:kern w:val="0"/>
          <w:sz w:val="28"/>
          <w:szCs w:val="28"/>
        </w:rPr>
      </w:pPr>
      <w:r>
        <w:rPr>
          <w:rFonts w:eastAsia="黑体"/>
          <w:spacing w:val="8"/>
          <w:sz w:val="28"/>
          <w:szCs w:val="28"/>
        </w:rPr>
        <w:t>归口单位</w:t>
      </w:r>
      <w:r>
        <w:rPr>
          <w:rFonts w:eastAsia="黑体"/>
          <w:sz w:val="28"/>
          <w:szCs w:val="28"/>
        </w:rPr>
        <w:t>：</w:t>
      </w:r>
      <w:r>
        <w:rPr>
          <w:rFonts w:hint="eastAsia" w:hAnsi="宋体"/>
          <w:kern w:val="0"/>
          <w:sz w:val="28"/>
          <w:szCs w:val="28"/>
        </w:rPr>
        <w:t>中国建筑材料联合会</w:t>
      </w:r>
    </w:p>
    <w:p>
      <w:pPr>
        <w:pStyle w:val="8"/>
        <w:snapToGrid w:val="0"/>
        <w:spacing w:line="480" w:lineRule="auto"/>
        <w:ind w:firstLine="560"/>
        <w:jc w:val="both"/>
        <w:rPr>
          <w:rFonts w:hAnsi="宋体"/>
          <w:kern w:val="0"/>
          <w:sz w:val="28"/>
          <w:szCs w:val="28"/>
        </w:rPr>
      </w:pPr>
      <w:r>
        <w:rPr>
          <w:rFonts w:eastAsia="黑体"/>
          <w:kern w:val="0"/>
          <w:sz w:val="28"/>
          <w:szCs w:val="28"/>
        </w:rPr>
        <w:t>主要起草单位：</w:t>
      </w:r>
      <w:r>
        <w:rPr>
          <w:rFonts w:hint="eastAsia" w:hAnsi="宋体"/>
          <w:kern w:val="0"/>
          <w:sz w:val="28"/>
          <w:szCs w:val="28"/>
        </w:rPr>
        <w:t>北京建筑材料检验研究院股份有限公司</w:t>
      </w:r>
    </w:p>
    <w:p>
      <w:pPr>
        <w:pStyle w:val="8"/>
        <w:snapToGrid w:val="0"/>
        <w:spacing w:line="480" w:lineRule="auto"/>
        <w:ind w:firstLine="2520" w:firstLineChars="900"/>
        <w:jc w:val="both"/>
        <w:rPr>
          <w:sz w:val="28"/>
        </w:rPr>
      </w:pPr>
    </w:p>
    <w:p>
      <w:pPr>
        <w:pStyle w:val="8"/>
        <w:snapToGrid w:val="0"/>
        <w:spacing w:line="480" w:lineRule="auto"/>
        <w:ind w:firstLine="560"/>
        <w:jc w:val="both"/>
        <w:rPr>
          <w:rFonts w:hAnsi="宋体"/>
          <w:kern w:val="0"/>
          <w:sz w:val="28"/>
          <w:szCs w:val="28"/>
        </w:rPr>
      </w:pPr>
      <w:r>
        <w:rPr>
          <w:rFonts w:ascii="黑体" w:hAnsi="黑体" w:eastAsia="黑体"/>
          <w:kern w:val="0"/>
          <w:sz w:val="28"/>
          <w:szCs w:val="28"/>
        </w:rPr>
        <w:t>参加起草单位</w:t>
      </w:r>
      <w:r>
        <w:rPr>
          <w:rFonts w:hAnsi="宋体"/>
          <w:b/>
          <w:kern w:val="0"/>
          <w:sz w:val="28"/>
          <w:szCs w:val="28"/>
        </w:rPr>
        <w:t>：</w:t>
      </w:r>
    </w:p>
    <w:p>
      <w:pPr>
        <w:spacing w:line="360" w:lineRule="auto"/>
        <w:rPr>
          <w:sz w:val="24"/>
        </w:rPr>
      </w:pPr>
    </w:p>
    <w:p>
      <w:pPr>
        <w:spacing w:line="360" w:lineRule="auto"/>
        <w:rPr>
          <w:rFonts w:hAnsi="Arial"/>
          <w:sz w:val="28"/>
          <w:szCs w:val="28"/>
        </w:rPr>
      </w:pPr>
    </w:p>
    <w:p>
      <w:pPr>
        <w:spacing w:line="360" w:lineRule="auto"/>
        <w:rPr>
          <w:rFonts w:hAnsi="Arial"/>
          <w:sz w:val="28"/>
          <w:szCs w:val="28"/>
        </w:rPr>
      </w:pPr>
    </w:p>
    <w:p>
      <w:pPr>
        <w:spacing w:line="360" w:lineRule="auto"/>
        <w:rPr>
          <w:rFonts w:hAnsi="Arial"/>
          <w:sz w:val="28"/>
          <w:szCs w:val="28"/>
        </w:rPr>
      </w:pPr>
    </w:p>
    <w:p>
      <w:pPr>
        <w:spacing w:line="360" w:lineRule="auto"/>
        <w:ind w:firstLine="480"/>
        <w:jc w:val="center"/>
        <w:rPr>
          <w:rFonts w:ascii="Times New Roman" w:hAnsi="宋体" w:eastAsia="宋体" w:cs="Times New Roman"/>
          <w:sz w:val="28"/>
          <w:szCs w:val="28"/>
        </w:rPr>
      </w:pPr>
      <w:r>
        <w:rPr>
          <w:rFonts w:ascii="Times New Roman" w:hAnsi="宋体" w:eastAsia="宋体" w:cs="Times New Roman"/>
          <w:sz w:val="28"/>
          <w:szCs w:val="28"/>
        </w:rPr>
        <w:t>本</w:t>
      </w:r>
      <w:r>
        <w:rPr>
          <w:rFonts w:hint="eastAsia" w:ascii="Times New Roman" w:hAnsi="宋体" w:eastAsia="宋体" w:cs="Times New Roman"/>
          <w:sz w:val="28"/>
          <w:szCs w:val="28"/>
        </w:rPr>
        <w:t>标准</w:t>
      </w:r>
      <w:r>
        <w:rPr>
          <w:rFonts w:ascii="Times New Roman" w:hAnsi="宋体" w:eastAsia="宋体" w:cs="Times New Roman"/>
          <w:sz w:val="28"/>
          <w:szCs w:val="28"/>
        </w:rPr>
        <w:t>委托</w:t>
      </w:r>
      <w:r>
        <w:rPr>
          <w:rFonts w:hint="eastAsia" w:ascii="Times New Roman" w:hAnsi="宋体" w:eastAsia="宋体" w:cs="Times New Roman"/>
          <w:sz w:val="28"/>
          <w:szCs w:val="28"/>
        </w:rPr>
        <w:t>全国建材工业</w:t>
      </w:r>
      <w:r>
        <w:rPr>
          <w:rFonts w:ascii="Times New Roman" w:hAnsi="宋体" w:eastAsia="宋体" w:cs="Times New Roman"/>
          <w:sz w:val="28"/>
          <w:szCs w:val="28"/>
        </w:rPr>
        <w:t>计量技术委员会负责解释</w:t>
      </w:r>
    </w:p>
    <w:p>
      <w:pPr>
        <w:rPr>
          <w:rFonts w:eastAsia="黑体"/>
          <w:sz w:val="28"/>
          <w:szCs w:val="28"/>
        </w:rPr>
      </w:pPr>
    </w:p>
    <w:p>
      <w:pPr>
        <w:rPr>
          <w:rFonts w:eastAsia="黑体"/>
          <w:sz w:val="28"/>
          <w:szCs w:val="28"/>
        </w:rPr>
      </w:pPr>
    </w:p>
    <w:p>
      <w:pPr>
        <w:rPr>
          <w:rFonts w:eastAsia="黑体"/>
          <w:sz w:val="28"/>
          <w:szCs w:val="28"/>
        </w:rPr>
      </w:pPr>
    </w:p>
    <w:p>
      <w:pPr>
        <w:spacing w:line="360" w:lineRule="auto"/>
        <w:rPr>
          <w:rFonts w:hAnsi="Arial" w:eastAsia="黑体"/>
          <w:sz w:val="28"/>
          <w:szCs w:val="28"/>
        </w:rPr>
      </w:pPr>
    </w:p>
    <w:p>
      <w:pPr>
        <w:spacing w:line="360" w:lineRule="auto"/>
        <w:ind w:firstLine="2520" w:firstLineChars="900"/>
        <w:rPr>
          <w:rFonts w:hAnsi="Arial" w:eastAsia="黑体"/>
          <w:sz w:val="28"/>
          <w:szCs w:val="28"/>
        </w:rPr>
      </w:pPr>
    </w:p>
    <w:p>
      <w:pPr>
        <w:spacing w:line="360" w:lineRule="auto"/>
        <w:ind w:firstLine="2520" w:firstLineChars="900"/>
        <w:rPr>
          <w:rFonts w:hAnsi="Arial" w:eastAsia="黑体"/>
          <w:sz w:val="28"/>
          <w:szCs w:val="28"/>
        </w:rPr>
      </w:pPr>
    </w:p>
    <w:p>
      <w:pPr>
        <w:spacing w:line="360" w:lineRule="auto"/>
        <w:ind w:firstLine="2520" w:firstLineChars="900"/>
        <w:rPr>
          <w:rFonts w:hAnsi="Arial" w:eastAsia="黑体"/>
          <w:sz w:val="28"/>
          <w:szCs w:val="28"/>
        </w:rPr>
      </w:pPr>
      <w:r>
        <w:rPr>
          <w:rFonts w:hAnsi="Arial" w:eastAsia="黑体"/>
          <w:sz w:val="28"/>
          <w:szCs w:val="28"/>
        </w:rPr>
        <w:t>本规范主要起草人：</w:t>
      </w:r>
    </w:p>
    <w:p>
      <w:pPr>
        <w:spacing w:line="360" w:lineRule="auto"/>
        <w:ind w:firstLine="482"/>
        <w:jc w:val="center"/>
        <w:rPr>
          <w:rFonts w:hAnsi="Arial" w:eastAsia="黑体"/>
          <w:sz w:val="28"/>
          <w:szCs w:val="28"/>
        </w:rPr>
      </w:pPr>
    </w:p>
    <w:p>
      <w:pPr>
        <w:spacing w:line="360" w:lineRule="auto"/>
        <w:ind w:firstLine="2520" w:firstLineChars="900"/>
        <w:rPr>
          <w:rFonts w:hAnsi="宋体"/>
          <w:sz w:val="28"/>
          <w:szCs w:val="28"/>
        </w:rPr>
      </w:pPr>
      <w:r>
        <w:rPr>
          <w:rFonts w:hAnsi="Arial" w:eastAsia="黑体"/>
          <w:sz w:val="28"/>
          <w:szCs w:val="28"/>
        </w:rPr>
        <w:t>参加起草人：</w:t>
      </w:r>
    </w:p>
    <w:p>
      <w:pPr>
        <w:spacing w:line="360" w:lineRule="auto"/>
        <w:rPr>
          <w:rFonts w:hAnsi="Arial" w:eastAsia="黑体"/>
          <w:sz w:val="28"/>
          <w:szCs w:val="28"/>
        </w:rPr>
      </w:pPr>
    </w:p>
    <w:p>
      <w:pPr>
        <w:spacing w:line="360" w:lineRule="auto"/>
        <w:ind w:firstLine="482"/>
        <w:rPr>
          <w:rFonts w:hAnsi="Arial" w:eastAsia="黑体"/>
          <w:color w:val="FF0000"/>
          <w:sz w:val="28"/>
          <w:szCs w:val="28"/>
        </w:rPr>
      </w:pPr>
    </w:p>
    <w:p>
      <w:pPr>
        <w:spacing w:line="360" w:lineRule="auto"/>
        <w:ind w:firstLine="482"/>
        <w:rPr>
          <w:rFonts w:hAnsi="Arial" w:eastAsia="黑体"/>
          <w:color w:val="FF0000"/>
          <w:sz w:val="28"/>
          <w:szCs w:val="28"/>
        </w:rPr>
      </w:pPr>
    </w:p>
    <w:p>
      <w:pPr>
        <w:spacing w:line="480" w:lineRule="auto"/>
        <w:ind w:firstLine="1321" w:firstLineChars="472"/>
        <w:rPr>
          <w:rFonts w:asciiTheme="majorEastAsia" w:hAnsiTheme="majorEastAsia" w:eastAsiaTheme="majorEastAsia" w:cstheme="majorEastAsia"/>
          <w:sz w:val="28"/>
          <w:szCs w:val="28"/>
        </w:rPr>
      </w:pPr>
    </w:p>
    <w:p>
      <w:pPr>
        <w:spacing w:line="360" w:lineRule="auto"/>
        <w:ind w:firstLine="480"/>
        <w:rPr>
          <w:sz w:val="24"/>
        </w:rPr>
      </w:pPr>
    </w:p>
    <w:p>
      <w:pPr>
        <w:spacing w:line="360" w:lineRule="auto"/>
        <w:rPr>
          <w:rFonts w:eastAsia="黑体"/>
          <w:sz w:val="30"/>
          <w:szCs w:val="30"/>
        </w:rPr>
      </w:pPr>
    </w:p>
    <w:p>
      <w:pPr>
        <w:jc w:val="both"/>
        <w:rPr>
          <w:rFonts w:eastAsia="黑体"/>
          <w:sz w:val="24"/>
          <w:szCs w:val="24"/>
        </w:rPr>
      </w:pPr>
    </w:p>
    <w:p>
      <w:pPr>
        <w:jc w:val="center"/>
        <w:rPr>
          <w:rFonts w:eastAsia="黑体"/>
          <w:sz w:val="24"/>
          <w:szCs w:val="24"/>
        </w:rPr>
        <w:sectPr>
          <w:headerReference r:id="rId4" w:type="default"/>
          <w:footerReference r:id="rId5" w:type="default"/>
          <w:pgSz w:w="11906" w:h="16838"/>
          <w:pgMar w:top="1588" w:right="1418" w:bottom="1418" w:left="1418" w:header="709" w:footer="709" w:gutter="0"/>
          <w:cols w:space="708" w:num="1"/>
          <w:titlePg/>
          <w:docGrid w:linePitch="360" w:charSpace="0"/>
        </w:sectPr>
      </w:pPr>
    </w:p>
    <w:p>
      <w:pPr>
        <w:tabs>
          <w:tab w:val="right" w:leader="dot" w:pos="9060"/>
        </w:tabs>
        <w:jc w:val="center"/>
        <w:rPr>
          <w:rFonts w:ascii="Tahoma" w:hAnsi="Tahoma" w:eastAsia="微软雅黑" w:cstheme="minorBidi"/>
          <w:sz w:val="22"/>
          <w:szCs w:val="22"/>
          <w:lang w:val="zh-CN" w:eastAsia="zh-CN" w:bidi="ar-SA"/>
        </w:rPr>
      </w:pPr>
      <w:r>
        <w:rPr>
          <w:rFonts w:hint="eastAsia" w:ascii="黑体" w:hAnsi="黑体" w:eastAsia="黑体"/>
          <w:b/>
          <w:sz w:val="44"/>
          <w:szCs w:val="44"/>
          <w:lang w:val="zh-CN"/>
        </w:rPr>
        <w:t>目录</w:t>
      </w:r>
      <w:r>
        <w:rPr>
          <w:rFonts w:eastAsia="微软雅黑"/>
          <w:sz w:val="44"/>
          <w:szCs w:val="44"/>
          <w:lang w:val="zh-CN"/>
        </w:rPr>
        <w:fldChar w:fldCharType="begin"/>
      </w:r>
      <w:r>
        <w:rPr>
          <w:rFonts w:eastAsia="微软雅黑"/>
          <w:sz w:val="44"/>
          <w:szCs w:val="44"/>
          <w:lang w:val="zh-CN"/>
        </w:rPr>
        <w:instrText xml:space="preserve"> TOC \o "1-3" \h \z \u </w:instrText>
      </w:r>
      <w:r>
        <w:rPr>
          <w:rFonts w:eastAsia="微软雅黑"/>
          <w:sz w:val="44"/>
          <w:szCs w:val="44"/>
          <w:lang w:val="zh-CN"/>
        </w:rPr>
        <w:fldChar w:fldCharType="separate"/>
      </w:r>
    </w:p>
    <w:p>
      <w:pPr>
        <w:pStyle w:val="12"/>
        <w:tabs>
          <w:tab w:val="right" w:leader="dot" w:pos="9070"/>
        </w:tabs>
      </w:pPr>
      <w:r>
        <w:rPr>
          <w:rFonts w:eastAsia="微软雅黑"/>
          <w:lang w:val="zh-CN"/>
        </w:rPr>
        <w:fldChar w:fldCharType="begin"/>
      </w:r>
      <w:r>
        <w:rPr>
          <w:rFonts w:eastAsia="微软雅黑"/>
          <w:lang w:val="zh-CN"/>
        </w:rPr>
        <w:instrText xml:space="preserve"> HYPERLINK \l _Toc24011 </w:instrText>
      </w:r>
      <w:r>
        <w:rPr>
          <w:rFonts w:eastAsia="微软雅黑"/>
          <w:lang w:val="zh-CN"/>
        </w:rPr>
        <w:fldChar w:fldCharType="separate"/>
      </w:r>
      <w:r>
        <w:rPr>
          <w:rFonts w:hint="eastAsia" w:ascii="Tahoma" w:hAnsi="Arial" w:eastAsia="黑体" w:cstheme="minorBidi"/>
          <w:kern w:val="0"/>
          <w:szCs w:val="44"/>
        </w:rPr>
        <w:t>引言</w:t>
      </w:r>
      <w:r>
        <w:tab/>
      </w:r>
      <w:r>
        <w:fldChar w:fldCharType="begin"/>
      </w:r>
      <w:r>
        <w:instrText xml:space="preserve"> PAGEREF _Toc24011 \h </w:instrText>
      </w:r>
      <w:r>
        <w:fldChar w:fldCharType="separate"/>
      </w:r>
      <w:r>
        <w:t>II</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_Toc3047 </w:instrText>
      </w:r>
      <w:r>
        <w:rPr>
          <w:rFonts w:eastAsia="微软雅黑"/>
          <w:lang w:val="zh-CN"/>
        </w:rPr>
        <w:fldChar w:fldCharType="separate"/>
      </w:r>
      <w:r>
        <w:rPr>
          <w:rFonts w:hint="eastAsia" w:ascii="黑体" w:hAnsi="黑体" w:eastAsia="黑体"/>
          <w:szCs w:val="24"/>
        </w:rPr>
        <w:t>1范围</w:t>
      </w:r>
      <w:r>
        <w:tab/>
      </w:r>
      <w:r>
        <w:fldChar w:fldCharType="begin"/>
      </w:r>
      <w:r>
        <w:instrText xml:space="preserve"> PAGEREF _Toc3047 \h </w:instrText>
      </w:r>
      <w:r>
        <w:fldChar w:fldCharType="separate"/>
      </w:r>
      <w:r>
        <w:t>1</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_Toc6360 </w:instrText>
      </w:r>
      <w:r>
        <w:rPr>
          <w:rFonts w:eastAsia="微软雅黑"/>
          <w:lang w:val="zh-CN"/>
        </w:rPr>
        <w:fldChar w:fldCharType="separate"/>
      </w:r>
      <w:r>
        <w:rPr>
          <w:rFonts w:hint="eastAsia" w:ascii="黑体" w:hAnsi="黑体" w:eastAsia="黑体" w:cs="Times New Roman"/>
          <w:kern w:val="2"/>
          <w:szCs w:val="24"/>
        </w:rPr>
        <w:t>2</w:t>
      </w:r>
      <w:r>
        <w:rPr>
          <w:rFonts w:hint="eastAsia" w:ascii="黑体" w:hAnsi="黑体" w:eastAsia="黑体"/>
          <w:szCs w:val="24"/>
        </w:rPr>
        <w:t>引用文件</w:t>
      </w:r>
      <w:r>
        <w:tab/>
      </w:r>
      <w:r>
        <w:fldChar w:fldCharType="begin"/>
      </w:r>
      <w:r>
        <w:instrText xml:space="preserve"> PAGEREF _Toc6360 \h </w:instrText>
      </w:r>
      <w:r>
        <w:fldChar w:fldCharType="separate"/>
      </w:r>
      <w:r>
        <w:t>1</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_Toc24806 </w:instrText>
      </w:r>
      <w:r>
        <w:rPr>
          <w:rFonts w:eastAsia="微软雅黑"/>
          <w:lang w:val="zh-CN"/>
        </w:rPr>
        <w:fldChar w:fldCharType="separate"/>
      </w:r>
      <w:r>
        <w:rPr>
          <w:rFonts w:hint="eastAsia" w:ascii="黑体" w:hAnsi="黑体" w:eastAsia="黑体"/>
          <w:szCs w:val="24"/>
        </w:rPr>
        <w:t>3概述</w:t>
      </w:r>
      <w:r>
        <w:tab/>
      </w:r>
      <w:r>
        <w:fldChar w:fldCharType="begin"/>
      </w:r>
      <w:r>
        <w:instrText xml:space="preserve"> PAGEREF _Toc24806 \h </w:instrText>
      </w:r>
      <w:r>
        <w:fldChar w:fldCharType="separate"/>
      </w:r>
      <w:r>
        <w:t>1</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_Toc24075 </w:instrText>
      </w:r>
      <w:r>
        <w:rPr>
          <w:rFonts w:eastAsia="微软雅黑"/>
          <w:lang w:val="zh-CN"/>
        </w:rPr>
        <w:fldChar w:fldCharType="separate"/>
      </w:r>
      <w:r>
        <w:rPr>
          <w:rFonts w:hint="eastAsia" w:ascii="黑体" w:hAnsi="黑体" w:eastAsia="黑体"/>
        </w:rPr>
        <w:t>4</w:t>
      </w:r>
      <w:r>
        <w:rPr>
          <w:rFonts w:hint="eastAsia" w:ascii="黑体" w:hAnsi="黑体" w:eastAsia="黑体"/>
          <w:szCs w:val="24"/>
        </w:rPr>
        <w:t>计量特性</w:t>
      </w:r>
      <w:r>
        <w:tab/>
      </w:r>
      <w:r>
        <w:fldChar w:fldCharType="begin"/>
      </w:r>
      <w:r>
        <w:instrText xml:space="preserve"> PAGEREF _Toc24075 \h </w:instrText>
      </w:r>
      <w:r>
        <w:fldChar w:fldCharType="separate"/>
      </w:r>
      <w:r>
        <w:t>2</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_Toc16602 </w:instrText>
      </w:r>
      <w:r>
        <w:rPr>
          <w:rFonts w:eastAsia="微软雅黑"/>
          <w:lang w:val="zh-CN"/>
        </w:rPr>
        <w:fldChar w:fldCharType="separate"/>
      </w:r>
      <w:r>
        <w:rPr>
          <w:rFonts w:hint="eastAsia" w:ascii="宋体" w:hAnsi="宋体" w:eastAsia="宋体" w:cs="Times New Roman"/>
          <w:kern w:val="2"/>
          <w:szCs w:val="24"/>
        </w:rPr>
        <w:t>4.1最大烟密度示值误差</w:t>
      </w:r>
      <w:r>
        <w:tab/>
      </w:r>
      <w:r>
        <w:fldChar w:fldCharType="begin"/>
      </w:r>
      <w:r>
        <w:instrText xml:space="preserve"> PAGEREF _Toc16602 \h </w:instrText>
      </w:r>
      <w:r>
        <w:fldChar w:fldCharType="separate"/>
      </w:r>
      <w:r>
        <w:t>2</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_Toc15140 </w:instrText>
      </w:r>
      <w:r>
        <w:rPr>
          <w:rFonts w:eastAsia="微软雅黑"/>
          <w:lang w:val="zh-CN"/>
        </w:rPr>
        <w:fldChar w:fldCharType="separate"/>
      </w:r>
      <w:r>
        <w:rPr>
          <w:rFonts w:hint="eastAsia" w:ascii="宋体" w:hAnsi="宋体" w:eastAsia="宋体" w:cs="Times New Roman"/>
          <w:kern w:val="2"/>
          <w:szCs w:val="24"/>
        </w:rPr>
        <w:t>4.2总产烟量示值误差</w:t>
      </w:r>
      <w:r>
        <w:tab/>
      </w:r>
      <w:r>
        <w:fldChar w:fldCharType="begin"/>
      </w:r>
      <w:r>
        <w:instrText xml:space="preserve"> PAGEREF _Toc15140 \h </w:instrText>
      </w:r>
      <w:r>
        <w:fldChar w:fldCharType="separate"/>
      </w:r>
      <w:r>
        <w:t>2</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_Toc4049 </w:instrText>
      </w:r>
      <w:r>
        <w:rPr>
          <w:rFonts w:eastAsia="微软雅黑"/>
          <w:lang w:val="zh-CN"/>
        </w:rPr>
        <w:fldChar w:fldCharType="separate"/>
      </w:r>
      <w:r>
        <w:rPr>
          <w:rFonts w:hint="eastAsia" w:ascii="黑体" w:hAnsi="黑体" w:eastAsia="黑体" w:cs="Times New Roman"/>
          <w:kern w:val="2"/>
          <w:szCs w:val="24"/>
        </w:rPr>
        <w:t>5校准条件</w:t>
      </w:r>
      <w:r>
        <w:tab/>
      </w:r>
      <w:r>
        <w:fldChar w:fldCharType="begin"/>
      </w:r>
      <w:r>
        <w:instrText xml:space="preserve"> PAGEREF _Toc4049 \h </w:instrText>
      </w:r>
      <w:r>
        <w:fldChar w:fldCharType="separate"/>
      </w:r>
      <w:r>
        <w:t>2</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_Toc1052 </w:instrText>
      </w:r>
      <w:r>
        <w:rPr>
          <w:rFonts w:eastAsia="微软雅黑"/>
          <w:lang w:val="zh-CN"/>
        </w:rPr>
        <w:fldChar w:fldCharType="separate"/>
      </w:r>
      <w:r>
        <w:rPr>
          <w:rFonts w:hint="eastAsia" w:ascii="宋体" w:hAnsi="宋体" w:eastAsia="宋体" w:cs="Times New Roman"/>
          <w:kern w:val="2"/>
          <w:szCs w:val="24"/>
        </w:rPr>
        <w:t>5.1 一般通用要求</w:t>
      </w:r>
      <w:r>
        <w:tab/>
      </w:r>
      <w:r>
        <w:fldChar w:fldCharType="begin"/>
      </w:r>
      <w:r>
        <w:instrText xml:space="preserve"> PAGEREF _Toc1052 \h </w:instrText>
      </w:r>
      <w:r>
        <w:fldChar w:fldCharType="separate"/>
      </w:r>
      <w:r>
        <w:t>2</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_Toc22904 </w:instrText>
      </w:r>
      <w:r>
        <w:rPr>
          <w:rFonts w:eastAsia="微软雅黑"/>
          <w:lang w:val="zh-CN"/>
        </w:rPr>
        <w:fldChar w:fldCharType="separate"/>
      </w:r>
      <w:r>
        <w:rPr>
          <w:rFonts w:hint="eastAsia" w:ascii="宋体" w:hAnsi="宋体" w:eastAsia="宋体" w:cs="Times New Roman"/>
          <w:kern w:val="2"/>
          <w:szCs w:val="24"/>
        </w:rPr>
        <w:t>5.2环境条件</w:t>
      </w:r>
      <w:r>
        <w:tab/>
      </w:r>
      <w:r>
        <w:fldChar w:fldCharType="begin"/>
      </w:r>
      <w:r>
        <w:instrText xml:space="preserve"> PAGEREF _Toc22904 \h </w:instrText>
      </w:r>
      <w:r>
        <w:fldChar w:fldCharType="separate"/>
      </w:r>
      <w:r>
        <w:t>3</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_Toc26393 </w:instrText>
      </w:r>
      <w:r>
        <w:rPr>
          <w:rFonts w:eastAsia="微软雅黑"/>
          <w:lang w:val="zh-CN"/>
        </w:rPr>
        <w:fldChar w:fldCharType="separate"/>
      </w:r>
      <w:r>
        <w:rPr>
          <w:rFonts w:hint="eastAsia" w:ascii="宋体" w:hAnsi="宋体" w:eastAsia="宋体" w:cs="Times New Roman"/>
          <w:kern w:val="2"/>
          <w:szCs w:val="24"/>
        </w:rPr>
        <w:t>5.3校准用计量器具</w:t>
      </w:r>
      <w:r>
        <w:tab/>
      </w:r>
      <w:r>
        <w:fldChar w:fldCharType="begin"/>
      </w:r>
      <w:r>
        <w:instrText xml:space="preserve"> PAGEREF _Toc26393 \h </w:instrText>
      </w:r>
      <w:r>
        <w:fldChar w:fldCharType="separate"/>
      </w:r>
      <w:r>
        <w:t>3</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_Toc23532 </w:instrText>
      </w:r>
      <w:r>
        <w:rPr>
          <w:rFonts w:eastAsia="微软雅黑"/>
          <w:lang w:val="zh-CN"/>
        </w:rPr>
        <w:fldChar w:fldCharType="separate"/>
      </w:r>
      <w:r>
        <w:rPr>
          <w:rFonts w:hint="eastAsia" w:ascii="黑体" w:hAnsi="黑体" w:eastAsia="黑体" w:cstheme="majorBidi"/>
          <w:szCs w:val="24"/>
        </w:rPr>
        <w:t>6 校准项目和校准方法</w:t>
      </w:r>
      <w:r>
        <w:tab/>
      </w:r>
      <w:r>
        <w:fldChar w:fldCharType="begin"/>
      </w:r>
      <w:r>
        <w:instrText xml:space="preserve"> PAGEREF _Toc23532 \h </w:instrText>
      </w:r>
      <w:r>
        <w:fldChar w:fldCharType="separate"/>
      </w:r>
      <w:r>
        <w:t>3</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_Toc20228 </w:instrText>
      </w:r>
      <w:r>
        <w:rPr>
          <w:rFonts w:eastAsia="微软雅黑"/>
          <w:lang w:val="zh-CN"/>
        </w:rPr>
        <w:fldChar w:fldCharType="separate"/>
      </w:r>
      <w:r>
        <w:rPr>
          <w:rFonts w:hint="eastAsia" w:ascii="宋体" w:hAnsi="宋体" w:eastAsia="宋体" w:cs="Times New Roman"/>
          <w:bCs/>
          <w:kern w:val="2"/>
          <w:szCs w:val="24"/>
        </w:rPr>
        <w:t>6.1校准项目</w:t>
      </w:r>
      <w:r>
        <w:tab/>
      </w:r>
      <w:r>
        <w:fldChar w:fldCharType="begin"/>
      </w:r>
      <w:r>
        <w:instrText xml:space="preserve"> PAGEREF _Toc20228 \h </w:instrText>
      </w:r>
      <w:r>
        <w:fldChar w:fldCharType="separate"/>
      </w:r>
      <w:r>
        <w:t>3</w:t>
      </w:r>
      <w:r>
        <w:fldChar w:fldCharType="end"/>
      </w:r>
      <w:r>
        <w:rPr>
          <w:rFonts w:eastAsia="微软雅黑"/>
          <w:lang w:val="zh-CN"/>
        </w:rPr>
        <w:fldChar w:fldCharType="end"/>
      </w:r>
    </w:p>
    <w:p>
      <w:pPr>
        <w:pStyle w:val="13"/>
        <w:tabs>
          <w:tab w:val="right" w:leader="dot" w:pos="9070"/>
        </w:tabs>
      </w:pPr>
      <w:r>
        <w:rPr>
          <w:rFonts w:eastAsia="微软雅黑"/>
          <w:lang w:val="zh-CN"/>
        </w:rPr>
        <w:fldChar w:fldCharType="begin"/>
      </w:r>
      <w:r>
        <w:rPr>
          <w:rFonts w:eastAsia="微软雅黑"/>
          <w:lang w:val="zh-CN"/>
        </w:rPr>
        <w:instrText xml:space="preserve"> HYPERLINK \l _Toc17265 </w:instrText>
      </w:r>
      <w:r>
        <w:rPr>
          <w:rFonts w:eastAsia="微软雅黑"/>
          <w:lang w:val="zh-CN"/>
        </w:rPr>
        <w:fldChar w:fldCharType="separate"/>
      </w:r>
      <w:r>
        <w:rPr>
          <w:rFonts w:hint="eastAsia" w:ascii="宋体" w:hAnsi="宋体" w:eastAsia="宋体" w:cs="Times New Roman"/>
          <w:kern w:val="2"/>
          <w:szCs w:val="24"/>
        </w:rPr>
        <w:t>6.</w:t>
      </w:r>
      <w:bookmarkStart w:id="73" w:name="_GoBack"/>
      <w:bookmarkEnd w:id="73"/>
      <w:r>
        <w:rPr>
          <w:rFonts w:hint="eastAsia" w:ascii="宋体" w:hAnsi="宋体" w:eastAsia="宋体" w:cs="Times New Roman"/>
          <w:kern w:val="2"/>
          <w:szCs w:val="24"/>
        </w:rPr>
        <w:t>2校准方法</w:t>
      </w:r>
      <w:r>
        <w:tab/>
      </w:r>
      <w:r>
        <w:fldChar w:fldCharType="begin"/>
      </w:r>
      <w:r>
        <w:instrText xml:space="preserve"> PAGEREF _Toc17265 \h </w:instrText>
      </w:r>
      <w:r>
        <w:fldChar w:fldCharType="separate"/>
      </w:r>
      <w:r>
        <w:t>3</w:t>
      </w:r>
      <w:r>
        <w:fldChar w:fldCharType="end"/>
      </w:r>
      <w:r>
        <w:rPr>
          <w:rFonts w:eastAsia="微软雅黑"/>
          <w:lang w:val="zh-CN"/>
        </w:rPr>
        <w:fldChar w:fldCharType="end"/>
      </w:r>
    </w:p>
    <w:p>
      <w:pPr>
        <w:pStyle w:val="6"/>
        <w:tabs>
          <w:tab w:val="right" w:leader="dot" w:pos="9070"/>
        </w:tabs>
        <w:ind w:left="0" w:leftChars="0" w:firstLine="0" w:firstLineChars="0"/>
      </w:pPr>
      <w:r>
        <w:rPr>
          <w:rFonts w:eastAsia="微软雅黑"/>
          <w:lang w:val="zh-CN"/>
        </w:rPr>
        <w:fldChar w:fldCharType="begin"/>
      </w:r>
      <w:r>
        <w:rPr>
          <w:rFonts w:eastAsia="微软雅黑"/>
          <w:lang w:val="zh-CN"/>
        </w:rPr>
        <w:instrText xml:space="preserve"> HYPERLINK \l _Toc13326 </w:instrText>
      </w:r>
      <w:r>
        <w:rPr>
          <w:rFonts w:eastAsia="微软雅黑"/>
          <w:lang w:val="zh-CN"/>
        </w:rPr>
        <w:fldChar w:fldCharType="separate"/>
      </w:r>
      <w:r>
        <w:rPr>
          <w:rFonts w:hint="eastAsia" w:ascii="黑体" w:hAnsi="黑体" w:eastAsia="黑体" w:cs="Times New Roman"/>
          <w:kern w:val="2"/>
          <w:szCs w:val="24"/>
        </w:rPr>
        <w:t>7  校准结果表达</w:t>
      </w:r>
      <w:r>
        <w:tab/>
      </w:r>
      <w:r>
        <w:fldChar w:fldCharType="begin"/>
      </w:r>
      <w:r>
        <w:instrText xml:space="preserve"> PAGEREF _Toc13326 \h </w:instrText>
      </w:r>
      <w:r>
        <w:fldChar w:fldCharType="separate"/>
      </w:r>
      <w:r>
        <w:t>5</w:t>
      </w:r>
      <w:r>
        <w:fldChar w:fldCharType="end"/>
      </w:r>
      <w:r>
        <w:rPr>
          <w:rFonts w:eastAsia="微软雅黑"/>
          <w:lang w:val="zh-CN"/>
        </w:rPr>
        <w:fldChar w:fldCharType="end"/>
      </w:r>
    </w:p>
    <w:p>
      <w:pPr>
        <w:pStyle w:val="6"/>
        <w:tabs>
          <w:tab w:val="right" w:leader="dot" w:pos="9070"/>
        </w:tabs>
        <w:ind w:left="0" w:leftChars="0" w:firstLine="0" w:firstLineChars="0"/>
      </w:pPr>
      <w:r>
        <w:rPr>
          <w:rFonts w:eastAsia="微软雅黑"/>
          <w:lang w:val="zh-CN"/>
        </w:rPr>
        <w:fldChar w:fldCharType="begin"/>
      </w:r>
      <w:r>
        <w:rPr>
          <w:rFonts w:eastAsia="微软雅黑"/>
          <w:lang w:val="zh-CN"/>
        </w:rPr>
        <w:instrText xml:space="preserve"> HYPERLINK \l _Toc2683 </w:instrText>
      </w:r>
      <w:r>
        <w:rPr>
          <w:rFonts w:eastAsia="微软雅黑"/>
          <w:lang w:val="zh-CN"/>
        </w:rPr>
        <w:fldChar w:fldCharType="separate"/>
      </w:r>
      <w:r>
        <w:rPr>
          <w:rFonts w:hint="eastAsia" w:ascii="黑体" w:hAnsi="黑体" w:eastAsia="黑体" w:cs="Times New Roman"/>
          <w:kern w:val="2"/>
          <w:szCs w:val="24"/>
        </w:rPr>
        <w:t>8  复校时间间隔</w:t>
      </w:r>
      <w:r>
        <w:tab/>
      </w:r>
      <w:r>
        <w:fldChar w:fldCharType="begin"/>
      </w:r>
      <w:r>
        <w:instrText xml:space="preserve"> PAGEREF _Toc2683 \h </w:instrText>
      </w:r>
      <w:r>
        <w:fldChar w:fldCharType="separate"/>
      </w:r>
      <w:r>
        <w:t>6</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_Toc28275 </w:instrText>
      </w:r>
      <w:r>
        <w:rPr>
          <w:rFonts w:eastAsia="微软雅黑"/>
          <w:lang w:val="zh-CN"/>
        </w:rPr>
        <w:fldChar w:fldCharType="separate"/>
      </w:r>
      <w:r>
        <w:rPr>
          <w:rFonts w:ascii="黑体" w:hAnsi="黑体" w:eastAsia="黑体"/>
          <w:szCs w:val="28"/>
        </w:rPr>
        <w:t>附录</w:t>
      </w:r>
      <w:r>
        <w:rPr>
          <w:rFonts w:hint="eastAsia" w:ascii="黑体" w:hAnsi="黑体" w:eastAsia="黑体"/>
          <w:szCs w:val="28"/>
        </w:rPr>
        <w:t>A</w:t>
      </w:r>
      <w:r>
        <w:rPr>
          <w:rFonts w:eastAsia="微软雅黑"/>
          <w:lang w:val="zh-CN"/>
        </w:rPr>
        <w:fldChar w:fldCharType="end"/>
      </w:r>
      <w:r>
        <w:rPr>
          <w:rFonts w:eastAsia="微软雅黑"/>
          <w:lang w:val="zh-CN"/>
        </w:rPr>
        <w:fldChar w:fldCharType="begin"/>
      </w:r>
      <w:r>
        <w:rPr>
          <w:rFonts w:eastAsia="微软雅黑"/>
          <w:lang w:val="zh-CN"/>
        </w:rPr>
        <w:instrText xml:space="preserve"> HYPERLINK \l _Toc3380 </w:instrText>
      </w:r>
      <w:r>
        <w:rPr>
          <w:rFonts w:eastAsia="微软雅黑"/>
          <w:lang w:val="zh-CN"/>
        </w:rPr>
        <w:fldChar w:fldCharType="separate"/>
      </w:r>
      <w:r>
        <w:rPr>
          <w:rFonts w:hint="eastAsia" w:hAnsi="黑体"/>
          <w:szCs w:val="28"/>
        </w:rPr>
        <w:t>建筑材料燃烧或分解的烟密度测试装置</w:t>
      </w:r>
      <w:r>
        <w:rPr>
          <w:rFonts w:hAnsi="黑体"/>
          <w:szCs w:val="28"/>
        </w:rPr>
        <w:t>校准证书内页参考格式</w:t>
      </w:r>
      <w:r>
        <w:tab/>
      </w:r>
      <w:r>
        <w:fldChar w:fldCharType="begin"/>
      </w:r>
      <w:r>
        <w:instrText xml:space="preserve"> PAGEREF _Toc3380 \h </w:instrText>
      </w:r>
      <w:r>
        <w:fldChar w:fldCharType="separate"/>
      </w:r>
      <w:r>
        <w:t>7</w:t>
      </w:r>
      <w:r>
        <w:fldChar w:fldCharType="end"/>
      </w:r>
      <w:r>
        <w:rPr>
          <w:rFonts w:eastAsia="微软雅黑"/>
          <w:lang w:val="zh-CN"/>
        </w:rPr>
        <w:fldChar w:fldCharType="end"/>
      </w:r>
    </w:p>
    <w:p>
      <w:pPr>
        <w:pStyle w:val="12"/>
        <w:tabs>
          <w:tab w:val="right" w:pos="2400"/>
          <w:tab w:val="right" w:leader="dot" w:pos="9070"/>
        </w:tabs>
      </w:pPr>
      <w:r>
        <w:rPr>
          <w:rFonts w:eastAsia="微软雅黑"/>
          <w:lang w:val="zh-CN"/>
        </w:rPr>
        <w:fldChar w:fldCharType="begin"/>
      </w:r>
      <w:r>
        <w:rPr>
          <w:rFonts w:eastAsia="微软雅黑"/>
          <w:lang w:val="zh-CN"/>
        </w:rPr>
        <w:instrText xml:space="preserve"> HYPERLINK \l _Toc28264 </w:instrText>
      </w:r>
      <w:r>
        <w:rPr>
          <w:rFonts w:eastAsia="微软雅黑"/>
          <w:lang w:val="zh-CN"/>
        </w:rPr>
        <w:fldChar w:fldCharType="separate"/>
      </w:r>
      <w:r>
        <w:rPr>
          <w:rFonts w:ascii="黑体" w:hAnsi="黑体" w:eastAsia="黑体"/>
          <w:szCs w:val="28"/>
        </w:rPr>
        <w:t xml:space="preserve">附录 </w:t>
      </w:r>
      <w:r>
        <w:rPr>
          <w:rFonts w:hint="eastAsia" w:ascii="黑体" w:hAnsi="黑体" w:eastAsia="黑体"/>
          <w:szCs w:val="28"/>
        </w:rPr>
        <w:t>B</w:t>
      </w:r>
      <w:r>
        <w:rPr>
          <w:rFonts w:eastAsia="微软雅黑"/>
          <w:lang w:val="zh-CN"/>
        </w:rPr>
        <w:fldChar w:fldCharType="end"/>
      </w:r>
      <w:r>
        <w:rPr>
          <w:rFonts w:eastAsia="微软雅黑"/>
          <w:lang w:val="zh-CN"/>
        </w:rPr>
        <w:fldChar w:fldCharType="begin"/>
      </w:r>
      <w:r>
        <w:rPr>
          <w:rFonts w:eastAsia="微软雅黑"/>
          <w:lang w:val="zh-CN"/>
        </w:rPr>
        <w:instrText xml:space="preserve"> HYPERLINK \l _Toc31257 </w:instrText>
      </w:r>
      <w:r>
        <w:rPr>
          <w:rFonts w:eastAsia="微软雅黑"/>
          <w:lang w:val="zh-CN"/>
        </w:rPr>
        <w:fldChar w:fldCharType="separate"/>
      </w:r>
      <w:r>
        <w:rPr>
          <w:rFonts w:hint="eastAsia" w:ascii="Times New Roman"/>
          <w:szCs w:val="28"/>
        </w:rPr>
        <w:t>建筑材料燃烧或分解的烟密度测试装置</w:t>
      </w:r>
      <w:r>
        <w:rPr>
          <w:rFonts w:ascii="Times New Roman"/>
          <w:szCs w:val="28"/>
        </w:rPr>
        <w:t>校准原始记录表参考格式</w:t>
      </w:r>
      <w:r>
        <w:tab/>
      </w:r>
      <w:r>
        <w:fldChar w:fldCharType="begin"/>
      </w:r>
      <w:r>
        <w:instrText xml:space="preserve"> PAGEREF _Toc31257 \h </w:instrText>
      </w:r>
      <w:r>
        <w:fldChar w:fldCharType="separate"/>
      </w:r>
      <w:r>
        <w:t>8</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_Toc32330 </w:instrText>
      </w:r>
      <w:r>
        <w:rPr>
          <w:rFonts w:eastAsia="微软雅黑"/>
          <w:lang w:val="zh-CN"/>
        </w:rPr>
        <w:fldChar w:fldCharType="separate"/>
      </w:r>
      <w:r>
        <w:rPr>
          <w:rFonts w:ascii="黑体" w:hAnsi="黑体" w:eastAsia="黑体"/>
          <w:szCs w:val="28"/>
        </w:rPr>
        <w:t xml:space="preserve">附录 </w:t>
      </w:r>
      <w:r>
        <w:rPr>
          <w:rFonts w:hint="eastAsia" w:ascii="黑体" w:hAnsi="黑体" w:eastAsia="黑体"/>
          <w:szCs w:val="28"/>
        </w:rPr>
        <w:t>C</w:t>
      </w:r>
      <w:r>
        <w:rPr>
          <w:rFonts w:eastAsia="微软雅黑"/>
          <w:lang w:val="zh-CN"/>
        </w:rPr>
        <w:fldChar w:fldCharType="end"/>
      </w:r>
      <w:r>
        <w:rPr>
          <w:rFonts w:eastAsia="微软雅黑"/>
          <w:lang w:val="zh-CN"/>
        </w:rPr>
        <w:fldChar w:fldCharType="begin"/>
      </w:r>
      <w:r>
        <w:rPr>
          <w:rFonts w:eastAsia="微软雅黑"/>
          <w:lang w:val="zh-CN"/>
        </w:rPr>
        <w:instrText xml:space="preserve"> HYPERLINK \l _Toc11703 </w:instrText>
      </w:r>
      <w:r>
        <w:rPr>
          <w:rFonts w:eastAsia="微软雅黑"/>
          <w:lang w:val="zh-CN"/>
        </w:rPr>
        <w:fldChar w:fldCharType="separate"/>
      </w:r>
      <w:r>
        <w:rPr>
          <w:rFonts w:hint="eastAsia" w:hAnsi="黑体"/>
          <w:szCs w:val="28"/>
          <w:lang w:val="en-US" w:eastAsia="zh-CN"/>
        </w:rPr>
        <w:t>最大烟密度</w:t>
      </w:r>
      <w:r>
        <w:rPr>
          <w:rFonts w:hint="eastAsia" w:hAnsi="黑体"/>
          <w:szCs w:val="28"/>
        </w:rPr>
        <w:t>示值误差</w:t>
      </w:r>
      <w:r>
        <w:rPr>
          <w:rFonts w:hint="eastAsia" w:ascii="Times New Roman"/>
          <w:szCs w:val="28"/>
        </w:rPr>
        <w:t>校准结果</w:t>
      </w:r>
      <w:r>
        <w:rPr>
          <w:rFonts w:ascii="Times New Roman"/>
          <w:szCs w:val="28"/>
        </w:rPr>
        <w:t>的测量不确定度评定示例</w:t>
      </w:r>
      <w:r>
        <w:tab/>
      </w:r>
      <w:r>
        <w:fldChar w:fldCharType="begin"/>
      </w:r>
      <w:r>
        <w:instrText xml:space="preserve"> PAGEREF _Toc11703 \h </w:instrText>
      </w:r>
      <w:r>
        <w:fldChar w:fldCharType="separate"/>
      </w:r>
      <w:r>
        <w:t>10</w:t>
      </w:r>
      <w:r>
        <w:fldChar w:fldCharType="end"/>
      </w:r>
      <w:r>
        <w:rPr>
          <w:rFonts w:eastAsia="微软雅黑"/>
          <w:lang w:val="zh-CN"/>
        </w:rPr>
        <w:fldChar w:fldCharType="end"/>
      </w:r>
    </w:p>
    <w:p>
      <w:pPr>
        <w:pStyle w:val="12"/>
        <w:tabs>
          <w:tab w:val="right" w:leader="dot" w:pos="9070"/>
        </w:tabs>
      </w:pPr>
      <w:r>
        <w:rPr>
          <w:rFonts w:eastAsia="微软雅黑"/>
          <w:lang w:val="zh-CN"/>
        </w:rPr>
        <w:fldChar w:fldCharType="begin"/>
      </w:r>
      <w:r>
        <w:rPr>
          <w:rFonts w:eastAsia="微软雅黑"/>
          <w:lang w:val="zh-CN"/>
        </w:rPr>
        <w:instrText xml:space="preserve"> HYPERLINK \l _Toc20916 </w:instrText>
      </w:r>
      <w:r>
        <w:rPr>
          <w:rFonts w:eastAsia="微软雅黑"/>
          <w:lang w:val="zh-CN"/>
        </w:rPr>
        <w:fldChar w:fldCharType="separate"/>
      </w:r>
      <w:r>
        <w:rPr>
          <w:rFonts w:ascii="黑体" w:hAnsi="黑体" w:eastAsia="黑体"/>
          <w:szCs w:val="28"/>
        </w:rPr>
        <w:t xml:space="preserve">附录 </w:t>
      </w:r>
      <w:r>
        <w:rPr>
          <w:rFonts w:hint="eastAsia" w:ascii="黑体" w:hAnsi="黑体" w:eastAsia="黑体"/>
          <w:szCs w:val="28"/>
        </w:rPr>
        <w:t>D</w:t>
      </w:r>
      <w:r>
        <w:rPr>
          <w:rFonts w:eastAsia="微软雅黑"/>
          <w:lang w:val="zh-CN"/>
        </w:rPr>
        <w:fldChar w:fldCharType="end"/>
      </w:r>
      <w:r>
        <w:rPr>
          <w:rFonts w:eastAsia="微软雅黑"/>
          <w:lang w:val="zh-CN"/>
        </w:rPr>
        <w:fldChar w:fldCharType="begin"/>
      </w:r>
      <w:r>
        <w:rPr>
          <w:rFonts w:eastAsia="微软雅黑"/>
          <w:lang w:val="zh-CN"/>
        </w:rPr>
        <w:instrText xml:space="preserve"> HYPERLINK \l _Toc8927 </w:instrText>
      </w:r>
      <w:r>
        <w:rPr>
          <w:rFonts w:eastAsia="微软雅黑"/>
          <w:lang w:val="zh-CN"/>
        </w:rPr>
        <w:fldChar w:fldCharType="separate"/>
      </w:r>
      <w:r>
        <w:rPr>
          <w:rFonts w:hint="eastAsia" w:hAnsi="黑体"/>
          <w:szCs w:val="28"/>
          <w:lang w:val="en-US" w:eastAsia="zh-CN"/>
        </w:rPr>
        <w:t>总产烟量</w:t>
      </w:r>
      <w:r>
        <w:rPr>
          <w:rFonts w:hint="eastAsia" w:hAnsi="黑体"/>
          <w:szCs w:val="28"/>
        </w:rPr>
        <w:t>示值误差</w:t>
      </w:r>
      <w:r>
        <w:rPr>
          <w:rFonts w:hint="eastAsia" w:ascii="Times New Roman"/>
          <w:szCs w:val="28"/>
        </w:rPr>
        <w:t>校准结果</w:t>
      </w:r>
      <w:r>
        <w:rPr>
          <w:rFonts w:ascii="Times New Roman"/>
          <w:szCs w:val="28"/>
        </w:rPr>
        <w:t>的测量不确定度评定示例</w:t>
      </w:r>
      <w:r>
        <w:tab/>
      </w:r>
      <w:r>
        <w:fldChar w:fldCharType="begin"/>
      </w:r>
      <w:r>
        <w:instrText xml:space="preserve"> PAGEREF _Toc8927 \h </w:instrText>
      </w:r>
      <w:r>
        <w:fldChar w:fldCharType="separate"/>
      </w:r>
      <w:r>
        <w:t>13</w:t>
      </w:r>
      <w:r>
        <w:fldChar w:fldCharType="end"/>
      </w:r>
      <w:r>
        <w:rPr>
          <w:rFonts w:eastAsia="微软雅黑"/>
          <w:lang w:val="zh-CN"/>
        </w:rPr>
        <w:fldChar w:fldCharType="end"/>
      </w:r>
    </w:p>
    <w:p>
      <w:pPr>
        <w:pStyle w:val="12"/>
        <w:tabs>
          <w:tab w:val="right" w:leader="dot" w:pos="9060"/>
        </w:tabs>
        <w:jc w:val="center"/>
        <w:rPr>
          <w:rFonts w:asciiTheme="minorHAnsi" w:hAnsiTheme="minorHAnsi"/>
          <w:kern w:val="2"/>
          <w:sz w:val="21"/>
        </w:rPr>
      </w:pPr>
      <w:r>
        <w:rPr>
          <w:rFonts w:eastAsia="微软雅黑"/>
          <w:lang w:val="zh-CN"/>
        </w:rPr>
        <w:fldChar w:fldCharType="end"/>
      </w:r>
    </w:p>
    <w:p>
      <w:pPr>
        <w:rPr>
          <w:rFonts w:eastAsia="微软雅黑"/>
          <w:lang w:val="zh-CN"/>
        </w:rPr>
      </w:pPr>
    </w:p>
    <w:p>
      <w:pPr>
        <w:pStyle w:val="2"/>
        <w:spacing w:line="360" w:lineRule="auto"/>
        <w:ind w:firstLine="0"/>
        <w:jc w:val="center"/>
        <w:rPr>
          <w:rFonts w:hint="eastAsia" w:ascii="Tahoma" w:hAnsi="Arial" w:eastAsia="黑体" w:cstheme="minorBidi"/>
          <w:kern w:val="0"/>
          <w:sz w:val="44"/>
          <w:szCs w:val="44"/>
        </w:rPr>
      </w:pPr>
      <w:bookmarkStart w:id="0" w:name="_Toc24011"/>
    </w:p>
    <w:p>
      <w:pPr>
        <w:pStyle w:val="2"/>
        <w:spacing w:line="360" w:lineRule="auto"/>
        <w:ind w:firstLine="0"/>
        <w:jc w:val="center"/>
        <w:rPr>
          <w:rFonts w:ascii="Tahoma" w:hAnsi="Arial" w:eastAsia="黑体" w:cstheme="minorBidi"/>
          <w:kern w:val="0"/>
          <w:sz w:val="44"/>
          <w:szCs w:val="44"/>
        </w:rPr>
      </w:pPr>
      <w:r>
        <w:rPr>
          <w:rFonts w:hint="eastAsia" w:ascii="Tahoma" w:hAnsi="Arial" w:eastAsia="黑体" w:cstheme="minorBidi"/>
          <w:kern w:val="0"/>
          <w:sz w:val="44"/>
          <w:szCs w:val="44"/>
        </w:rPr>
        <w:t>引言</w:t>
      </w:r>
      <w:bookmarkEnd w:id="0"/>
    </w:p>
    <w:p>
      <w:pPr>
        <w:spacing w:line="360" w:lineRule="auto"/>
        <w:ind w:firstLine="480" w:firstLineChars="200"/>
        <w:rPr>
          <w:sz w:val="24"/>
        </w:rPr>
      </w:pPr>
      <w:r>
        <w:rPr>
          <w:rFonts w:hint="eastAsia"/>
          <w:sz w:val="24"/>
        </w:rPr>
        <w:t>本规范以JJF1071-2010《国家计量校准规范编写规则》、JJF1001-2011《通用计量术语及定义》和JJF1059.1-2012《测量不确定度评定与表示》为基础进行制定。</w:t>
      </w:r>
    </w:p>
    <w:p>
      <w:pPr>
        <w:spacing w:line="360" w:lineRule="auto"/>
        <w:ind w:firstLine="480" w:firstLineChars="200"/>
        <w:rPr>
          <w:sz w:val="24"/>
        </w:rPr>
      </w:pPr>
      <w:r>
        <w:rPr>
          <w:rFonts w:hint="eastAsia"/>
          <w:sz w:val="24"/>
        </w:rPr>
        <w:t>本规范技术指标基于符合GB/T 8626-2007《建筑材料燃烧或分解的烟密度试验方法》中</w:t>
      </w:r>
      <w:r>
        <w:rPr>
          <w:rFonts w:hint="eastAsia"/>
          <w:sz w:val="24"/>
          <w:lang w:val="en-US" w:eastAsia="zh-CN"/>
        </w:rPr>
        <w:t>建筑材料燃烧或分解的烟密度</w:t>
      </w:r>
      <w:r>
        <w:rPr>
          <w:rFonts w:hint="eastAsia"/>
          <w:sz w:val="24"/>
        </w:rPr>
        <w:t>测试装置主要技术参数试验测试的相关内容。</w:t>
      </w:r>
    </w:p>
    <w:p>
      <w:pPr>
        <w:spacing w:after="0" w:line="360" w:lineRule="auto"/>
        <w:ind w:firstLine="480" w:firstLineChars="200"/>
      </w:pPr>
      <w:r>
        <w:rPr>
          <w:rFonts w:hint="eastAsia"/>
          <w:sz w:val="24"/>
        </w:rPr>
        <w:t>本规范为首次发布。</w:t>
      </w: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sectPr>
          <w:footerReference r:id="rId6" w:type="default"/>
          <w:pgSz w:w="11906" w:h="16838"/>
          <w:pgMar w:top="1588" w:right="1418" w:bottom="1418" w:left="1418" w:header="709" w:footer="709" w:gutter="0"/>
          <w:pgNumType w:fmt="upperRoman" w:start="1"/>
          <w:cols w:space="708" w:num="1"/>
          <w:docGrid w:linePitch="360" w:charSpace="0"/>
        </w:sectPr>
      </w:pPr>
    </w:p>
    <w:p>
      <w:pPr>
        <w:spacing w:after="0" w:line="400" w:lineRule="exact"/>
      </w:pPr>
    </w:p>
    <w:p>
      <w:pPr>
        <w:spacing w:after="0" w:line="400" w:lineRule="exact"/>
        <w:jc w:val="center"/>
        <w:rPr>
          <w:rFonts w:ascii="黑体" w:hAnsi="黑体" w:eastAsia="黑体"/>
          <w:sz w:val="32"/>
          <w:szCs w:val="32"/>
        </w:rPr>
      </w:pPr>
      <w:r>
        <w:rPr>
          <w:rFonts w:hint="eastAsia" w:ascii="黑体" w:hAnsi="黑体" w:eastAsia="黑体"/>
          <w:sz w:val="32"/>
          <w:szCs w:val="32"/>
        </w:rPr>
        <w:t>建筑材料燃烧或分解的烟密度测试装置校准规范</w:t>
      </w:r>
      <w:bookmarkStart w:id="1" w:name="_Toc24292285"/>
    </w:p>
    <w:p>
      <w:pPr>
        <w:spacing w:after="0" w:line="400" w:lineRule="exact"/>
        <w:outlineLvl w:val="0"/>
        <w:rPr>
          <w:rFonts w:ascii="黑体" w:hAnsi="黑体" w:eastAsia="黑体"/>
          <w:sz w:val="24"/>
          <w:szCs w:val="24"/>
        </w:rPr>
      </w:pPr>
      <w:bookmarkStart w:id="2" w:name="_Toc3047"/>
      <w:r>
        <w:rPr>
          <w:rFonts w:hint="eastAsia" w:ascii="黑体" w:hAnsi="黑体" w:eastAsia="黑体"/>
          <w:sz w:val="24"/>
          <w:szCs w:val="24"/>
        </w:rPr>
        <w:t>1范围</w:t>
      </w:r>
      <w:bookmarkEnd w:id="1"/>
      <w:bookmarkEnd w:id="2"/>
    </w:p>
    <w:p>
      <w:pPr>
        <w:widowControl w:val="0"/>
        <w:adjustRightInd/>
        <w:snapToGrid/>
        <w:spacing w:after="0" w:line="360" w:lineRule="auto"/>
        <w:ind w:firstLine="480"/>
        <w:jc w:val="both"/>
        <w:rPr>
          <w:rFonts w:cs="Times New Roman" w:asciiTheme="minorEastAsia" w:hAnsiTheme="minorEastAsia"/>
          <w:kern w:val="2"/>
          <w:sz w:val="24"/>
          <w:szCs w:val="24"/>
        </w:rPr>
      </w:pPr>
      <w:bookmarkStart w:id="3" w:name="_Toc24292286"/>
      <w:r>
        <w:rPr>
          <w:rFonts w:hint="eastAsia" w:cs="Times New Roman" w:asciiTheme="minorEastAsia" w:hAnsiTheme="minorEastAsia"/>
          <w:kern w:val="2"/>
          <w:sz w:val="24"/>
          <w:szCs w:val="24"/>
        </w:rPr>
        <w:t>本规范适用于建筑材料燃烧或分解的烟密度测试装置的校准。</w:t>
      </w:r>
    </w:p>
    <w:p>
      <w:pPr>
        <w:widowControl w:val="0"/>
        <w:adjustRightInd/>
        <w:snapToGrid/>
        <w:spacing w:after="0" w:line="360" w:lineRule="auto"/>
        <w:jc w:val="both"/>
        <w:outlineLvl w:val="0"/>
        <w:rPr>
          <w:rFonts w:ascii="黑体" w:hAnsi="黑体" w:eastAsia="黑体" w:cs="Times New Roman"/>
          <w:kern w:val="2"/>
          <w:sz w:val="24"/>
          <w:szCs w:val="24"/>
        </w:rPr>
      </w:pPr>
      <w:bookmarkStart w:id="4" w:name="_Toc6360"/>
      <w:r>
        <w:rPr>
          <w:rFonts w:hint="eastAsia" w:ascii="黑体" w:hAnsi="黑体" w:eastAsia="黑体" w:cs="Times New Roman"/>
          <w:kern w:val="2"/>
          <w:sz w:val="24"/>
          <w:szCs w:val="24"/>
        </w:rPr>
        <w:t>2</w:t>
      </w:r>
      <w:r>
        <w:rPr>
          <w:rFonts w:hint="eastAsia" w:ascii="黑体" w:hAnsi="黑体" w:eastAsia="黑体"/>
          <w:sz w:val="24"/>
          <w:szCs w:val="24"/>
        </w:rPr>
        <w:t>引用文件</w:t>
      </w:r>
      <w:bookmarkEnd w:id="3"/>
      <w:bookmarkEnd w:id="4"/>
      <w:bookmarkStart w:id="5" w:name="_Toc24292287"/>
    </w:p>
    <w:p>
      <w:pPr>
        <w:spacing w:line="360" w:lineRule="auto"/>
        <w:ind w:firstLine="600" w:firstLineChars="250"/>
        <w:rPr>
          <w:rFonts w:hint="eastAsia" w:eastAsiaTheme="minorEastAsia"/>
          <w:sz w:val="24"/>
          <w:lang w:eastAsia="zh-CN"/>
        </w:rPr>
      </w:pPr>
      <w:r>
        <w:rPr>
          <w:rFonts w:hint="eastAsia" w:asciiTheme="minorEastAsia" w:hAnsiTheme="minorEastAsia"/>
          <w:sz w:val="24"/>
        </w:rPr>
        <w:t>GB/T 8626-2007</w:t>
      </w:r>
      <w:r>
        <w:rPr>
          <w:rFonts w:hint="eastAsia" w:asciiTheme="minorEastAsia" w:hAnsiTheme="minorEastAsia"/>
          <w:sz w:val="24"/>
          <w:lang w:val="en-US" w:eastAsia="zh-CN"/>
        </w:rPr>
        <w:t xml:space="preserve"> </w:t>
      </w:r>
      <w:r>
        <w:rPr>
          <w:rFonts w:hint="eastAsia" w:asciiTheme="minorEastAsia" w:hAnsiTheme="minorEastAsia"/>
          <w:sz w:val="24"/>
        </w:rPr>
        <w:t>建筑材料燃烧或分解的烟密度试验方法</w:t>
      </w:r>
      <w:r>
        <w:rPr>
          <w:rFonts w:hint="eastAsia" w:asciiTheme="minorEastAsia" w:hAnsiTheme="minorEastAsia"/>
          <w:sz w:val="24"/>
          <w:lang w:val="en-US" w:eastAsia="zh-CN"/>
        </w:rPr>
        <w:t xml:space="preserve"> </w:t>
      </w:r>
    </w:p>
    <w:p>
      <w:pPr>
        <w:spacing w:line="360" w:lineRule="auto"/>
        <w:ind w:firstLine="480" w:firstLineChars="200"/>
        <w:jc w:val="both"/>
        <w:rPr>
          <w:rFonts w:ascii="黑体" w:hAnsi="黑体" w:eastAsia="黑体"/>
          <w:sz w:val="24"/>
          <w:szCs w:val="24"/>
        </w:rPr>
      </w:pPr>
      <w:r>
        <w:rPr>
          <w:rFonts w:hint="eastAsia" w:hAnsi="宋体" w:eastAsia="宋体" w:cs="Times New Roman"/>
          <w:sz w:val="24"/>
          <w:szCs w:val="24"/>
        </w:rPr>
        <w:t>凡是注日期的引用文件，仅注日期的版本适用于本规范；凡是不注日期的引用文件，其最新版本（包括所有的修改单）适用于本规范。</w:t>
      </w:r>
    </w:p>
    <w:p>
      <w:pPr>
        <w:spacing w:line="360" w:lineRule="auto"/>
        <w:outlineLvl w:val="0"/>
        <w:rPr>
          <w:rFonts w:eastAsia="黑体"/>
          <w:sz w:val="24"/>
        </w:rPr>
      </w:pPr>
      <w:bookmarkStart w:id="6" w:name="_Toc24806"/>
      <w:r>
        <w:rPr>
          <w:rFonts w:hint="eastAsia" w:ascii="黑体" w:hAnsi="黑体" w:eastAsia="黑体"/>
          <w:sz w:val="24"/>
          <w:szCs w:val="24"/>
        </w:rPr>
        <w:t>3概述</w:t>
      </w:r>
      <w:bookmarkEnd w:id="5"/>
      <w:bookmarkEnd w:id="6"/>
      <w:bookmarkStart w:id="7" w:name="_Toc24292288"/>
    </w:p>
    <w:p>
      <w:pPr>
        <w:spacing w:line="360" w:lineRule="auto"/>
        <w:ind w:firstLine="480" w:firstLineChars="200"/>
        <w:jc w:val="both"/>
        <w:rPr>
          <w:rFonts w:hint="default" w:cs="Times New Roman" w:asciiTheme="minorEastAsia" w:hAnsiTheme="minorEastAsia" w:eastAsiaTheme="minorEastAsia"/>
          <w:kern w:val="2"/>
          <w:sz w:val="24"/>
          <w:szCs w:val="24"/>
          <w:lang w:val="en-US" w:eastAsia="zh-CN"/>
        </w:rPr>
      </w:pPr>
      <w:r>
        <w:rPr>
          <w:rFonts w:hint="eastAsia" w:cs="Times New Roman" w:asciiTheme="minorEastAsia" w:hAnsiTheme="minorEastAsia"/>
          <w:kern w:val="2"/>
          <w:sz w:val="24"/>
          <w:szCs w:val="24"/>
        </w:rPr>
        <w:t>建筑材料燃烧或分解的烟密度测试装置</w:t>
      </w:r>
      <w:r>
        <w:rPr>
          <w:rFonts w:hint="eastAsia" w:cs="Times New Roman" w:asciiTheme="minorEastAsia" w:hAnsiTheme="minorEastAsia"/>
          <w:kern w:val="2"/>
          <w:sz w:val="24"/>
          <w:szCs w:val="24"/>
          <w:lang w:val="en-US" w:eastAsia="zh-CN"/>
        </w:rPr>
        <w:t>是测量建筑材料在燃烧或分解的试验条件下静态产烟量的测试装置。其原理是通过测量材料燃烧产生的烟气中固体尘埃对光的反射而造成的光通量的损失来评价烟密度的大小，主要性能参数为最大烟密度、总产烟量、烟密度等级。</w:t>
      </w:r>
    </w:p>
    <w:p>
      <w:pPr>
        <w:spacing w:line="360" w:lineRule="auto"/>
        <w:ind w:firstLine="480" w:firstLineChars="200"/>
        <w:jc w:val="both"/>
        <w:rPr>
          <w:rFonts w:hAnsi="宋体" w:eastAsia="宋体" w:cs="Times New Roman"/>
          <w:sz w:val="24"/>
          <w:szCs w:val="24"/>
        </w:rPr>
      </w:pPr>
      <w:r>
        <w:rPr>
          <w:rFonts w:hint="eastAsia" w:cs="Times New Roman" w:asciiTheme="minorEastAsia" w:hAnsiTheme="minorEastAsia"/>
          <w:kern w:val="2"/>
          <w:sz w:val="24"/>
          <w:szCs w:val="24"/>
        </w:rPr>
        <w:t>建筑材料燃烧或分解的烟密度测试装置</w:t>
      </w:r>
      <w:r>
        <w:rPr>
          <w:rFonts w:hint="eastAsia" w:hAnsi="宋体" w:eastAsia="宋体" w:cs="Times New Roman"/>
          <w:sz w:val="24"/>
          <w:szCs w:val="24"/>
        </w:rPr>
        <w:t>主要由烟箱、试样支架、点火系统、光电系统、计时装置、求积仪器等组成，装置示意图如图1。</w:t>
      </w:r>
    </w:p>
    <w:p>
      <w:pPr>
        <w:spacing w:line="360" w:lineRule="auto"/>
        <w:ind w:firstLine="480" w:firstLineChars="200"/>
        <w:jc w:val="both"/>
        <w:rPr>
          <w:rFonts w:hint="eastAsia" w:asciiTheme="minorEastAsia" w:hAnsiTheme="minorEastAsia"/>
          <w:sz w:val="24"/>
        </w:rPr>
      </w:pPr>
      <w:r>
        <w:rPr>
          <w:rFonts w:hint="eastAsia" w:cs="Times New Roman" w:asciiTheme="minorEastAsia" w:hAnsiTheme="minorEastAsia"/>
          <w:kern w:val="2"/>
          <w:sz w:val="24"/>
          <w:szCs w:val="24"/>
        </w:rPr>
        <w:t>建筑材料燃烧或分解的烟密度测试装置以光吸收数据与时间关系的曲线最高点作为最大烟密度</w:t>
      </w:r>
      <w:r>
        <w:rPr>
          <w:rFonts w:hint="eastAsia" w:cs="Times New Roman" w:asciiTheme="minorEastAsia" w:hAnsiTheme="minorEastAsia"/>
          <w:kern w:val="2"/>
          <w:sz w:val="24"/>
          <w:szCs w:val="24"/>
          <w:lang w:eastAsia="zh-CN"/>
        </w:rPr>
        <w:t>，</w:t>
      </w:r>
      <w:r>
        <w:rPr>
          <w:rFonts w:hint="eastAsia" w:cs="Times New Roman" w:asciiTheme="minorEastAsia" w:hAnsiTheme="minorEastAsia"/>
          <w:kern w:val="2"/>
          <w:sz w:val="24"/>
          <w:szCs w:val="24"/>
        </w:rPr>
        <w:t>以曲线与其下方坐标轴所围的面积为总产烟量。烟密度等级是由总产烟量通过计算得出</w:t>
      </w:r>
      <w:r>
        <w:rPr>
          <w:rFonts w:hint="eastAsia" w:cs="Times New Roman" w:asciiTheme="minorEastAsia" w:hAnsiTheme="minorEastAsia"/>
          <w:kern w:val="2"/>
          <w:sz w:val="24"/>
          <w:szCs w:val="24"/>
          <w:lang w:eastAsia="zh-CN"/>
        </w:rPr>
        <w:t>。</w:t>
      </w:r>
      <w:r>
        <w:rPr>
          <w:rFonts w:hint="eastAsia" w:asciiTheme="minorEastAsia" w:hAnsiTheme="minorEastAsia"/>
          <w:sz w:val="24"/>
        </w:rPr>
        <w:t>因此可</w:t>
      </w:r>
      <w:r>
        <w:rPr>
          <w:rFonts w:hint="eastAsia" w:asciiTheme="minorEastAsia" w:hAnsiTheme="minorEastAsia"/>
          <w:sz w:val="24"/>
          <w:lang w:val="en-US" w:eastAsia="zh-CN"/>
        </w:rPr>
        <w:t>将一定光吸收率的标准滤光片模拟试样受火后燃烧或分解的烟气，以其在标准试验条件下的</w:t>
      </w:r>
      <w:r>
        <w:rPr>
          <w:rFonts w:hint="eastAsia" w:asciiTheme="minorEastAsia" w:hAnsiTheme="minorEastAsia"/>
          <w:sz w:val="24"/>
        </w:rPr>
        <w:t>最大烟密度示值误差与总产烟量的示值误差作为计量特性。</w:t>
      </w:r>
    </w:p>
    <w:p>
      <w:pPr>
        <w:spacing w:line="360" w:lineRule="auto"/>
        <w:ind w:firstLine="480" w:firstLineChars="200"/>
        <w:jc w:val="both"/>
        <w:rPr>
          <w:rFonts w:hAnsi="宋体" w:eastAsia="宋体" w:cs="Times New Roman"/>
          <w:sz w:val="24"/>
          <w:szCs w:val="24"/>
        </w:rPr>
      </w:pPr>
    </w:p>
    <w:p>
      <w:pPr>
        <w:spacing w:line="360" w:lineRule="auto"/>
        <w:jc w:val="center"/>
        <w:rPr>
          <w:rFonts w:hAnsi="宋体" w:eastAsia="宋体" w:cs="Times New Roman"/>
          <w:color w:val="FF0000"/>
          <w:sz w:val="24"/>
          <w:szCs w:val="24"/>
        </w:rPr>
      </w:pPr>
      <w:r>
        <w:rPr>
          <w:rFonts w:ascii="宋体" w:hAnsi="宋体" w:eastAsia="宋体" w:cs="宋体"/>
          <w:sz w:val="24"/>
          <w:szCs w:val="24"/>
        </w:rPr>
        <w:drawing>
          <wp:inline distT="0" distB="0" distL="114300" distR="114300">
            <wp:extent cx="4251325" cy="3505835"/>
            <wp:effectExtent l="0" t="0" r="15875" b="18415"/>
            <wp:docPr id="2" name="图片 4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1" descr="IMG_256"/>
                    <pic:cNvPicPr>
                      <a:picLocks noChangeAspect="1"/>
                    </pic:cNvPicPr>
                  </pic:nvPicPr>
                  <pic:blipFill>
                    <a:blip r:embed="rId13"/>
                    <a:stretch>
                      <a:fillRect/>
                    </a:stretch>
                  </pic:blipFill>
                  <pic:spPr>
                    <a:xfrm>
                      <a:off x="0" y="0"/>
                      <a:ext cx="4251325" cy="3505835"/>
                    </a:xfrm>
                    <a:prstGeom prst="rect">
                      <a:avLst/>
                    </a:prstGeom>
                    <a:noFill/>
                    <a:ln w="9525">
                      <a:noFill/>
                    </a:ln>
                  </pic:spPr>
                </pic:pic>
              </a:graphicData>
            </a:graphic>
          </wp:inline>
        </w:drawing>
      </w:r>
    </w:p>
    <w:p>
      <w:pPr>
        <w:spacing w:line="360" w:lineRule="auto"/>
        <w:ind w:firstLine="480" w:firstLineChars="200"/>
        <w:jc w:val="center"/>
        <w:rPr>
          <w:rFonts w:hint="eastAsia" w:hAnsi="宋体" w:eastAsia="宋体" w:cs="Times New Roman"/>
          <w:color w:val="000000" w:themeColor="text1"/>
          <w:sz w:val="24"/>
          <w:szCs w:val="24"/>
        </w:rPr>
      </w:pPr>
      <w:r>
        <w:rPr>
          <w:rFonts w:hint="eastAsia" w:hAnsi="宋体" w:eastAsia="宋体" w:cs="Times New Roman"/>
          <w:color w:val="000000" w:themeColor="text1"/>
          <w:sz w:val="24"/>
          <w:szCs w:val="24"/>
        </w:rPr>
        <w:t xml:space="preserve">图1  装置示意图    </w:t>
      </w:r>
    </w:p>
    <w:p>
      <w:pPr>
        <w:spacing w:line="360" w:lineRule="auto"/>
        <w:jc w:val="center"/>
        <w:rPr>
          <w:rFonts w:hint="eastAsia" w:asciiTheme="minorEastAsia" w:hAnsiTheme="minorEastAsia" w:eastAsiaTheme="minorEastAsia" w:cstheme="minorEastAsia"/>
          <w:color w:val="000000" w:themeColor="text1"/>
          <w:kern w:val="2"/>
          <w:sz w:val="18"/>
          <w:szCs w:val="18"/>
          <w:lang w:val="en-US" w:eastAsia="zh-CN"/>
        </w:rPr>
      </w:pPr>
      <w:r>
        <w:rPr>
          <w:rFonts w:hint="eastAsia" w:asciiTheme="minorEastAsia" w:hAnsiTheme="minorEastAsia" w:eastAsiaTheme="minorEastAsia" w:cstheme="minorEastAsia"/>
          <w:color w:val="000000" w:themeColor="text1"/>
          <w:kern w:val="2"/>
          <w:sz w:val="18"/>
          <w:szCs w:val="18"/>
          <w:lang w:val="en-US" w:eastAsia="zh-CN"/>
        </w:rPr>
        <w:t>1—</w:t>
      </w:r>
      <w:r>
        <w:rPr>
          <w:rFonts w:hint="eastAsia" w:asciiTheme="minorEastAsia" w:hAnsiTheme="minorEastAsia" w:cstheme="minorEastAsia"/>
          <w:color w:val="000000" w:themeColor="text1"/>
          <w:kern w:val="2"/>
          <w:sz w:val="18"/>
          <w:szCs w:val="18"/>
          <w:lang w:val="en-US" w:eastAsia="zh-CN"/>
        </w:rPr>
        <w:t>排风机口</w:t>
      </w:r>
      <w:r>
        <w:rPr>
          <w:rFonts w:hint="eastAsia" w:asciiTheme="minorEastAsia" w:hAnsiTheme="minorEastAsia" w:eastAsiaTheme="minorEastAsia" w:cstheme="minorEastAsia"/>
          <w:color w:val="000000" w:themeColor="text1"/>
          <w:kern w:val="2"/>
          <w:sz w:val="18"/>
          <w:szCs w:val="18"/>
          <w:lang w:val="en-US" w:eastAsia="zh-CN"/>
        </w:rPr>
        <w:t xml:space="preserve">  2—</w:t>
      </w:r>
      <w:r>
        <w:rPr>
          <w:rFonts w:hint="eastAsia" w:asciiTheme="minorEastAsia" w:hAnsiTheme="minorEastAsia" w:cstheme="minorEastAsia"/>
          <w:color w:val="000000" w:themeColor="text1"/>
          <w:kern w:val="2"/>
          <w:sz w:val="18"/>
          <w:szCs w:val="18"/>
          <w:lang w:val="en-US" w:eastAsia="zh-CN"/>
        </w:rPr>
        <w:t>测量系统</w:t>
      </w:r>
      <w:r>
        <w:rPr>
          <w:rFonts w:hint="eastAsia" w:asciiTheme="minorEastAsia" w:hAnsiTheme="minorEastAsia" w:eastAsiaTheme="minorEastAsia" w:cstheme="minorEastAsia"/>
          <w:color w:val="000000" w:themeColor="text1"/>
          <w:kern w:val="2"/>
          <w:sz w:val="18"/>
          <w:szCs w:val="18"/>
          <w:lang w:val="en-US" w:eastAsia="zh-CN"/>
        </w:rPr>
        <w:t xml:space="preserve">  3—</w:t>
      </w:r>
      <w:r>
        <w:rPr>
          <w:rFonts w:hint="eastAsia" w:asciiTheme="minorEastAsia" w:hAnsiTheme="minorEastAsia" w:cstheme="minorEastAsia"/>
          <w:color w:val="000000" w:themeColor="text1"/>
          <w:kern w:val="2"/>
          <w:sz w:val="18"/>
          <w:szCs w:val="18"/>
          <w:lang w:val="en-US" w:eastAsia="zh-CN"/>
        </w:rPr>
        <w:t>压力指示器</w:t>
      </w:r>
      <w:r>
        <w:rPr>
          <w:rFonts w:hint="eastAsia" w:asciiTheme="minorEastAsia" w:hAnsiTheme="minorEastAsia" w:eastAsiaTheme="minorEastAsia" w:cstheme="minorEastAsia"/>
          <w:color w:val="000000" w:themeColor="text1"/>
          <w:kern w:val="2"/>
          <w:sz w:val="18"/>
          <w:szCs w:val="18"/>
          <w:lang w:val="en-US" w:eastAsia="zh-CN"/>
        </w:rPr>
        <w:t xml:space="preserve">  4—</w:t>
      </w:r>
      <w:r>
        <w:rPr>
          <w:rFonts w:hint="eastAsia" w:asciiTheme="minorEastAsia" w:hAnsiTheme="minorEastAsia" w:cstheme="minorEastAsia"/>
          <w:color w:val="000000" w:themeColor="text1"/>
          <w:kern w:val="2"/>
          <w:sz w:val="18"/>
          <w:szCs w:val="18"/>
          <w:lang w:val="en-US" w:eastAsia="zh-CN"/>
        </w:rPr>
        <w:t>丙烷气连接口</w:t>
      </w:r>
      <w:r>
        <w:rPr>
          <w:rFonts w:hint="eastAsia" w:asciiTheme="minorEastAsia" w:hAnsiTheme="minorEastAsia" w:eastAsiaTheme="minorEastAsia" w:cstheme="minorEastAsia"/>
          <w:color w:val="000000" w:themeColor="text1"/>
          <w:kern w:val="2"/>
          <w:sz w:val="18"/>
          <w:szCs w:val="18"/>
          <w:lang w:val="en-US" w:eastAsia="zh-CN"/>
        </w:rPr>
        <w:t xml:space="preserve">  5—</w:t>
      </w:r>
      <w:r>
        <w:rPr>
          <w:rFonts w:hint="eastAsia" w:asciiTheme="minorEastAsia" w:hAnsiTheme="minorEastAsia" w:cstheme="minorEastAsia"/>
          <w:color w:val="000000" w:themeColor="text1"/>
          <w:kern w:val="2"/>
          <w:sz w:val="18"/>
          <w:szCs w:val="18"/>
          <w:lang w:val="en-US" w:eastAsia="zh-CN"/>
        </w:rPr>
        <w:t>燃烧器</w:t>
      </w:r>
      <w:r>
        <w:rPr>
          <w:rFonts w:hint="eastAsia" w:asciiTheme="minorEastAsia" w:hAnsiTheme="minorEastAsia" w:eastAsiaTheme="minorEastAsia" w:cstheme="minorEastAsia"/>
          <w:color w:val="000000" w:themeColor="text1"/>
          <w:kern w:val="2"/>
          <w:sz w:val="18"/>
          <w:szCs w:val="18"/>
          <w:lang w:val="en-US" w:eastAsia="zh-CN"/>
        </w:rPr>
        <w:t xml:space="preserve"> 6—</w:t>
      </w:r>
      <w:r>
        <w:rPr>
          <w:rFonts w:hint="eastAsia" w:asciiTheme="minorEastAsia" w:hAnsiTheme="minorEastAsia" w:cstheme="minorEastAsia"/>
          <w:color w:val="000000" w:themeColor="text1"/>
          <w:kern w:val="2"/>
          <w:sz w:val="18"/>
          <w:szCs w:val="18"/>
          <w:lang w:val="en-US" w:eastAsia="zh-CN"/>
        </w:rPr>
        <w:t>出烟孔</w:t>
      </w:r>
      <w:r>
        <w:rPr>
          <w:rFonts w:hint="eastAsia" w:asciiTheme="minorEastAsia" w:hAnsiTheme="minorEastAsia" w:eastAsiaTheme="minorEastAsia" w:cstheme="minorEastAsia"/>
          <w:color w:val="000000" w:themeColor="text1"/>
          <w:kern w:val="2"/>
          <w:sz w:val="18"/>
          <w:szCs w:val="18"/>
          <w:lang w:val="en-US" w:eastAsia="zh-CN"/>
        </w:rPr>
        <w:t xml:space="preserve">  7—</w:t>
      </w:r>
      <w:r>
        <w:rPr>
          <w:rFonts w:hint="eastAsia" w:asciiTheme="minorEastAsia" w:hAnsiTheme="minorEastAsia" w:cstheme="minorEastAsia"/>
          <w:color w:val="000000" w:themeColor="text1"/>
          <w:kern w:val="2"/>
          <w:sz w:val="18"/>
          <w:szCs w:val="18"/>
          <w:lang w:val="en-US" w:eastAsia="zh-CN"/>
        </w:rPr>
        <w:t>灭火盆</w:t>
      </w:r>
    </w:p>
    <w:p>
      <w:pPr>
        <w:spacing w:line="360" w:lineRule="auto"/>
        <w:jc w:val="center"/>
        <w:rPr>
          <w:rFonts w:hint="eastAsia" w:asciiTheme="minorEastAsia" w:hAnsiTheme="minorEastAsia" w:eastAsiaTheme="minorEastAsia" w:cstheme="minorEastAsia"/>
          <w:color w:val="000000" w:themeColor="text1"/>
          <w:kern w:val="2"/>
          <w:sz w:val="18"/>
          <w:szCs w:val="18"/>
          <w:lang w:val="en-US"/>
        </w:rPr>
      </w:pPr>
      <w:r>
        <w:rPr>
          <w:rFonts w:hint="eastAsia" w:asciiTheme="minorEastAsia" w:hAnsiTheme="minorEastAsia" w:eastAsiaTheme="minorEastAsia" w:cstheme="minorEastAsia"/>
          <w:color w:val="000000" w:themeColor="text1"/>
          <w:kern w:val="2"/>
          <w:sz w:val="18"/>
          <w:szCs w:val="18"/>
          <w:lang w:val="en-US" w:eastAsia="zh-CN"/>
        </w:rPr>
        <w:t>8—</w:t>
      </w:r>
      <w:r>
        <w:rPr>
          <w:rFonts w:hint="eastAsia" w:asciiTheme="minorEastAsia" w:hAnsiTheme="minorEastAsia" w:cstheme="minorEastAsia"/>
          <w:color w:val="000000" w:themeColor="text1"/>
          <w:kern w:val="2"/>
          <w:sz w:val="18"/>
          <w:szCs w:val="18"/>
          <w:lang w:val="en-US" w:eastAsia="zh-CN"/>
        </w:rPr>
        <w:t>样品架</w:t>
      </w:r>
      <w:r>
        <w:rPr>
          <w:rFonts w:hint="eastAsia" w:asciiTheme="minorEastAsia" w:hAnsiTheme="minorEastAsia" w:eastAsiaTheme="minorEastAsia" w:cstheme="minorEastAsia"/>
          <w:color w:val="000000" w:themeColor="text1"/>
          <w:kern w:val="2"/>
          <w:sz w:val="18"/>
          <w:szCs w:val="18"/>
          <w:lang w:val="en-US" w:eastAsia="zh-CN"/>
        </w:rPr>
        <w:t xml:space="preserve">  9—</w:t>
      </w:r>
      <w:r>
        <w:rPr>
          <w:rFonts w:hint="eastAsia" w:asciiTheme="minorEastAsia" w:hAnsiTheme="minorEastAsia" w:cstheme="minorEastAsia"/>
          <w:color w:val="000000" w:themeColor="text1"/>
          <w:kern w:val="2"/>
          <w:sz w:val="18"/>
          <w:szCs w:val="18"/>
          <w:lang w:val="en-US" w:eastAsia="zh-CN"/>
        </w:rPr>
        <w:t>光电系统</w:t>
      </w:r>
      <w:r>
        <w:rPr>
          <w:rFonts w:hint="eastAsia" w:asciiTheme="minorEastAsia" w:hAnsiTheme="minorEastAsia" w:eastAsiaTheme="minorEastAsia" w:cstheme="minorEastAsia"/>
          <w:color w:val="000000" w:themeColor="text1"/>
          <w:kern w:val="2"/>
          <w:sz w:val="18"/>
          <w:szCs w:val="18"/>
          <w:lang w:val="en-US" w:eastAsia="zh-CN"/>
        </w:rPr>
        <w:t xml:space="preserve">  10—</w:t>
      </w:r>
      <w:r>
        <w:rPr>
          <w:rFonts w:hint="eastAsia" w:asciiTheme="minorEastAsia" w:hAnsiTheme="minorEastAsia" w:cstheme="minorEastAsia"/>
          <w:color w:val="000000" w:themeColor="text1"/>
          <w:kern w:val="2"/>
          <w:sz w:val="18"/>
          <w:szCs w:val="18"/>
          <w:lang w:val="en-US" w:eastAsia="zh-CN"/>
        </w:rPr>
        <w:t>计时器</w:t>
      </w:r>
      <w:r>
        <w:rPr>
          <w:rFonts w:hint="eastAsia" w:asciiTheme="minorEastAsia" w:hAnsiTheme="minorEastAsia" w:eastAsiaTheme="minorEastAsia" w:cstheme="minorEastAsia"/>
          <w:color w:val="000000" w:themeColor="text1"/>
          <w:kern w:val="2"/>
          <w:sz w:val="18"/>
          <w:szCs w:val="18"/>
          <w:lang w:val="en-US" w:eastAsia="zh-CN"/>
        </w:rPr>
        <w:t xml:space="preserve">  11—</w:t>
      </w:r>
      <w:r>
        <w:rPr>
          <w:rFonts w:hint="eastAsia" w:asciiTheme="minorEastAsia" w:hAnsiTheme="minorEastAsia" w:cstheme="minorEastAsia"/>
          <w:color w:val="000000" w:themeColor="text1"/>
          <w:kern w:val="2"/>
          <w:sz w:val="18"/>
          <w:szCs w:val="18"/>
          <w:lang w:val="en-US" w:eastAsia="zh-CN"/>
        </w:rPr>
        <w:t>烟箱</w:t>
      </w:r>
    </w:p>
    <w:p>
      <w:pPr>
        <w:widowControl w:val="0"/>
        <w:adjustRightInd/>
        <w:snapToGrid/>
        <w:spacing w:after="0" w:line="360" w:lineRule="auto"/>
        <w:jc w:val="both"/>
        <w:outlineLvl w:val="0"/>
        <w:rPr>
          <w:rFonts w:ascii="黑体" w:hAnsi="黑体" w:eastAsia="黑体"/>
          <w:sz w:val="24"/>
        </w:rPr>
      </w:pPr>
      <w:bookmarkStart w:id="8" w:name="_Toc24075"/>
      <w:r>
        <w:rPr>
          <w:rFonts w:hint="eastAsia" w:ascii="黑体" w:hAnsi="黑体" w:eastAsia="黑体"/>
          <w:sz w:val="24"/>
        </w:rPr>
        <w:t>4</w:t>
      </w:r>
      <w:r>
        <w:rPr>
          <w:rFonts w:hint="eastAsia" w:ascii="黑体" w:hAnsi="黑体" w:eastAsia="黑体"/>
          <w:sz w:val="24"/>
          <w:szCs w:val="24"/>
        </w:rPr>
        <w:t>计量特性</w:t>
      </w:r>
      <w:bookmarkEnd w:id="7"/>
      <w:bookmarkEnd w:id="8"/>
    </w:p>
    <w:p>
      <w:pPr>
        <w:spacing w:line="360" w:lineRule="auto"/>
        <w:outlineLvl w:val="1"/>
        <w:rPr>
          <w:rFonts w:ascii="宋体" w:hAnsi="宋体" w:eastAsia="宋体" w:cs="Times New Roman"/>
          <w:kern w:val="2"/>
          <w:sz w:val="24"/>
          <w:szCs w:val="24"/>
        </w:rPr>
      </w:pPr>
      <w:bookmarkStart w:id="9" w:name="_Toc16602"/>
      <w:r>
        <w:rPr>
          <w:rFonts w:hint="eastAsia" w:ascii="宋体" w:hAnsi="宋体" w:eastAsia="宋体" w:cs="Times New Roman"/>
          <w:kern w:val="2"/>
          <w:sz w:val="24"/>
          <w:szCs w:val="24"/>
        </w:rPr>
        <w:t>4.1最大烟密度示值误差</w:t>
      </w:r>
      <w:bookmarkEnd w:id="9"/>
    </w:p>
    <w:p>
      <w:pPr>
        <w:spacing w:line="360" w:lineRule="auto"/>
        <w:jc w:val="both"/>
        <w:rPr>
          <w:rFonts w:hint="eastAsia"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         用</w:t>
      </w:r>
      <w:r>
        <w:rPr>
          <w:rFonts w:hint="eastAsia" w:ascii="Times New Roman" w:hAnsi="Times New Roman" w:eastAsia="宋体" w:cs="Times New Roman"/>
          <w:kern w:val="2"/>
          <w:sz w:val="24"/>
          <w:szCs w:val="24"/>
          <w:lang w:val="en-US" w:eastAsia="zh-CN"/>
        </w:rPr>
        <w:t>透光</w:t>
      </w:r>
      <w:r>
        <w:rPr>
          <w:rFonts w:hint="eastAsia" w:ascii="Times New Roman" w:hAnsi="Times New Roman" w:eastAsia="宋体" w:cs="Times New Roman"/>
          <w:kern w:val="2"/>
          <w:sz w:val="24"/>
          <w:szCs w:val="24"/>
        </w:rPr>
        <w:t>率为50%的</w:t>
      </w:r>
      <w:r>
        <w:rPr>
          <w:rFonts w:hint="eastAsia" w:ascii="Times New Roman" w:hAnsi="Times New Roman" w:eastAsia="宋体" w:cs="Times New Roman"/>
          <w:kern w:val="2"/>
          <w:sz w:val="24"/>
          <w:szCs w:val="24"/>
          <w:lang w:val="en-US" w:eastAsia="zh-CN"/>
        </w:rPr>
        <w:t>标准</w:t>
      </w:r>
      <w:r>
        <w:rPr>
          <w:rFonts w:hint="eastAsia" w:ascii="Times New Roman" w:hAnsi="Times New Roman" w:eastAsia="宋体" w:cs="Times New Roman"/>
          <w:kern w:val="2"/>
          <w:sz w:val="24"/>
          <w:szCs w:val="24"/>
        </w:rPr>
        <w:t>滤光片，其最大烟密度示值误差不应大于3%。</w:t>
      </w:r>
    </w:p>
    <w:p>
      <w:pPr>
        <w:spacing w:line="360" w:lineRule="auto"/>
        <w:outlineLvl w:val="1"/>
        <w:rPr>
          <w:rFonts w:ascii="宋体" w:hAnsi="宋体" w:eastAsia="宋体" w:cs="Times New Roman"/>
          <w:color w:val="FF0000"/>
          <w:kern w:val="2"/>
          <w:sz w:val="24"/>
          <w:szCs w:val="24"/>
        </w:rPr>
      </w:pPr>
      <w:bookmarkStart w:id="10" w:name="_Toc15140"/>
      <w:r>
        <w:rPr>
          <w:rFonts w:hint="eastAsia" w:ascii="宋体" w:hAnsi="宋体" w:eastAsia="宋体" w:cs="Times New Roman"/>
          <w:kern w:val="2"/>
          <w:sz w:val="24"/>
          <w:szCs w:val="24"/>
        </w:rPr>
        <w:t>4.2总产烟量示值误差</w:t>
      </w:r>
      <w:bookmarkEnd w:id="10"/>
    </w:p>
    <w:p>
      <w:pPr>
        <w:spacing w:line="360" w:lineRule="auto"/>
        <w:ind w:firstLine="480" w:firstLineChars="200"/>
        <w:jc w:val="both"/>
        <w:rPr>
          <w:rFonts w:hint="eastAsia" w:ascii="Times New Roman" w:hAnsi="Times New Roman" w:eastAsia="宋体" w:cs="Times New Roman"/>
          <w:kern w:val="2"/>
          <w:sz w:val="24"/>
          <w:szCs w:val="24"/>
        </w:rPr>
      </w:pPr>
      <w:r>
        <w:rPr>
          <w:rFonts w:hint="eastAsia" w:ascii="Times New Roman" w:hAnsi="Times New Roman" w:eastAsia="宋体" w:cs="Times New Roman"/>
          <w:kern w:val="2"/>
          <w:sz w:val="24"/>
          <w:szCs w:val="24"/>
        </w:rPr>
        <w:t>分别用</w:t>
      </w:r>
      <w:r>
        <w:rPr>
          <w:rFonts w:hint="eastAsia" w:ascii="Times New Roman" w:hAnsi="Times New Roman" w:eastAsia="宋体" w:cs="Times New Roman"/>
          <w:kern w:val="2"/>
          <w:sz w:val="24"/>
          <w:szCs w:val="24"/>
          <w:lang w:val="en-US" w:eastAsia="zh-CN"/>
        </w:rPr>
        <w:t>透光</w:t>
      </w:r>
      <w:r>
        <w:rPr>
          <w:rFonts w:hint="eastAsia" w:ascii="Times New Roman" w:hAnsi="Times New Roman" w:eastAsia="宋体" w:cs="Times New Roman"/>
          <w:kern w:val="2"/>
          <w:sz w:val="24"/>
          <w:szCs w:val="24"/>
        </w:rPr>
        <w:t>率为25%、50%、75%的</w:t>
      </w:r>
      <w:r>
        <w:rPr>
          <w:rFonts w:hint="eastAsia" w:ascii="Times New Roman" w:hAnsi="Times New Roman" w:eastAsia="宋体" w:cs="Times New Roman"/>
          <w:kern w:val="2"/>
          <w:sz w:val="24"/>
          <w:szCs w:val="24"/>
          <w:lang w:val="en-US" w:eastAsia="zh-CN"/>
        </w:rPr>
        <w:t>标准</w:t>
      </w:r>
      <w:r>
        <w:rPr>
          <w:rFonts w:hint="eastAsia" w:ascii="Times New Roman" w:hAnsi="Times New Roman" w:eastAsia="宋体" w:cs="Times New Roman"/>
          <w:kern w:val="2"/>
          <w:sz w:val="24"/>
          <w:szCs w:val="24"/>
        </w:rPr>
        <w:t>滤光片，其总产烟量示值误差不应大于5%。</w:t>
      </w:r>
    </w:p>
    <w:p>
      <w:pPr>
        <w:spacing w:line="360" w:lineRule="auto"/>
        <w:outlineLvl w:val="0"/>
        <w:rPr>
          <w:rFonts w:ascii="黑体" w:hAnsi="黑体" w:eastAsia="黑体" w:cs="Times New Roman"/>
          <w:kern w:val="2"/>
          <w:sz w:val="24"/>
          <w:szCs w:val="24"/>
        </w:rPr>
      </w:pPr>
      <w:bookmarkStart w:id="11" w:name="_Toc4049"/>
      <w:r>
        <w:rPr>
          <w:rFonts w:hint="eastAsia" w:ascii="黑体" w:hAnsi="黑体" w:eastAsia="黑体" w:cs="Times New Roman"/>
          <w:kern w:val="2"/>
          <w:sz w:val="24"/>
          <w:szCs w:val="24"/>
        </w:rPr>
        <w:t>5校准条件</w:t>
      </w:r>
      <w:bookmarkEnd w:id="11"/>
    </w:p>
    <w:p>
      <w:pPr>
        <w:spacing w:line="360" w:lineRule="auto"/>
        <w:outlineLvl w:val="1"/>
        <w:rPr>
          <w:rFonts w:ascii="宋体" w:hAnsi="宋体" w:eastAsia="宋体" w:cs="Times New Roman"/>
          <w:kern w:val="2"/>
          <w:sz w:val="24"/>
          <w:szCs w:val="24"/>
        </w:rPr>
      </w:pPr>
      <w:bookmarkStart w:id="12" w:name="_Toc1052"/>
      <w:r>
        <w:rPr>
          <w:rFonts w:hint="eastAsia" w:ascii="宋体" w:hAnsi="宋体" w:eastAsia="宋体" w:cs="Times New Roman"/>
          <w:kern w:val="2"/>
          <w:sz w:val="24"/>
          <w:szCs w:val="24"/>
        </w:rPr>
        <w:t>5.1 一般通用要求</w:t>
      </w:r>
      <w:bookmarkEnd w:id="12"/>
    </w:p>
    <w:p>
      <w:pPr>
        <w:spacing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构成建筑材料燃烧或分解的烟密度测试装置的烟箱、试样支架、点火系统、光电系统、计时装置、求积仪器等应符合GB/T 8627-2007的要求。</w:t>
      </w:r>
    </w:p>
    <w:p>
      <w:pPr>
        <w:spacing w:line="360" w:lineRule="auto"/>
        <w:outlineLvl w:val="1"/>
        <w:rPr>
          <w:rFonts w:ascii="宋体" w:hAnsi="宋体" w:eastAsia="宋体" w:cs="Times New Roman"/>
          <w:kern w:val="2"/>
          <w:sz w:val="24"/>
          <w:szCs w:val="24"/>
        </w:rPr>
      </w:pPr>
      <w:bookmarkStart w:id="13" w:name="_Toc22904"/>
      <w:r>
        <w:rPr>
          <w:rFonts w:hint="eastAsia" w:ascii="宋体" w:hAnsi="宋体" w:eastAsia="宋体" w:cs="Times New Roman"/>
          <w:kern w:val="2"/>
          <w:sz w:val="24"/>
          <w:szCs w:val="24"/>
        </w:rPr>
        <w:t>5.2环境条件</w:t>
      </w:r>
      <w:bookmarkEnd w:id="13"/>
    </w:p>
    <w:p>
      <w:pPr>
        <w:spacing w:line="360" w:lineRule="auto"/>
        <w:ind w:firstLine="480" w:firstLineChars="200"/>
        <w:rPr>
          <w:sz w:val="24"/>
        </w:rPr>
      </w:pPr>
      <w:r>
        <w:rPr>
          <w:rFonts w:hint="eastAsia"/>
          <w:sz w:val="24"/>
        </w:rPr>
        <w:t>温度：（</w:t>
      </w:r>
      <w:r>
        <w:rPr>
          <w:rFonts w:hint="eastAsia"/>
          <w:sz w:val="24"/>
          <w:lang w:val="en-US" w:eastAsia="zh-CN"/>
        </w:rPr>
        <w:t>23±2</w:t>
      </w:r>
      <w:r>
        <w:rPr>
          <w:rFonts w:hint="eastAsia"/>
          <w:sz w:val="24"/>
        </w:rPr>
        <w:t>）℃。</w:t>
      </w:r>
    </w:p>
    <w:p>
      <w:pPr>
        <w:spacing w:line="360" w:lineRule="auto"/>
        <w:rPr>
          <w:sz w:val="24"/>
        </w:rPr>
      </w:pPr>
      <w:r>
        <w:rPr>
          <w:rFonts w:hint="eastAsia"/>
          <w:sz w:val="24"/>
        </w:rPr>
        <w:t xml:space="preserve">       </w:t>
      </w:r>
      <w:r>
        <w:rPr>
          <w:rFonts w:hint="eastAsia"/>
          <w:sz w:val="24"/>
          <w:lang w:val="en-US" w:eastAsia="zh-CN"/>
        </w:rPr>
        <w:t>相对</w:t>
      </w:r>
      <w:r>
        <w:rPr>
          <w:rFonts w:hint="eastAsia"/>
          <w:sz w:val="24"/>
        </w:rPr>
        <w:t>湿度：</w:t>
      </w:r>
      <w:r>
        <w:rPr>
          <w:rFonts w:hint="eastAsia"/>
          <w:sz w:val="24"/>
          <w:lang w:eastAsia="zh-CN"/>
        </w:rPr>
        <w:t>（</w:t>
      </w:r>
      <w:r>
        <w:rPr>
          <w:rFonts w:hint="eastAsia"/>
          <w:sz w:val="24"/>
          <w:lang w:val="en-US" w:eastAsia="zh-CN"/>
        </w:rPr>
        <w:t>50±5</w:t>
      </w:r>
      <w:r>
        <w:rPr>
          <w:rFonts w:hint="eastAsia"/>
          <w:sz w:val="24"/>
          <w:lang w:eastAsia="zh-CN"/>
        </w:rPr>
        <w:t>）</w:t>
      </w:r>
      <w:r>
        <w:rPr>
          <w:rFonts w:hint="eastAsia"/>
          <w:sz w:val="24"/>
        </w:rPr>
        <w:t>%。</w:t>
      </w:r>
    </w:p>
    <w:p>
      <w:pPr>
        <w:spacing w:line="360" w:lineRule="auto"/>
        <w:rPr>
          <w:rFonts w:ascii="仿宋" w:hAnsi="仿宋" w:eastAsia="仿宋" w:cs="仿宋"/>
        </w:rPr>
      </w:pPr>
      <w:r>
        <w:rPr>
          <w:rFonts w:hint="eastAsia"/>
          <w:sz w:val="24"/>
        </w:rPr>
        <w:t xml:space="preserve">       气压：（86～106）kPa。</w:t>
      </w:r>
    </w:p>
    <w:p>
      <w:pPr>
        <w:spacing w:line="360" w:lineRule="auto"/>
        <w:outlineLvl w:val="1"/>
        <w:rPr>
          <w:rFonts w:hint="eastAsia" w:ascii="宋体" w:hAnsi="宋体" w:eastAsia="宋体" w:cs="Times New Roman"/>
          <w:kern w:val="2"/>
          <w:sz w:val="24"/>
          <w:szCs w:val="24"/>
        </w:rPr>
      </w:pPr>
      <w:bookmarkStart w:id="14" w:name="_Toc26393"/>
      <w:r>
        <w:rPr>
          <w:rFonts w:hint="eastAsia" w:ascii="宋体" w:hAnsi="宋体" w:eastAsia="宋体" w:cs="Times New Roman"/>
          <w:kern w:val="2"/>
          <w:sz w:val="24"/>
          <w:szCs w:val="24"/>
        </w:rPr>
        <w:t>5.3校准用计量器具</w:t>
      </w:r>
      <w:bookmarkEnd w:id="14"/>
    </w:p>
    <w:p>
      <w:pPr>
        <w:spacing w:line="360" w:lineRule="auto"/>
        <w:outlineLvl w:val="1"/>
        <w:rPr>
          <w:rFonts w:hint="default" w:ascii="黑体" w:hAnsi="黑体" w:cs="Times New Roman" w:eastAsiaTheme="minorEastAsia"/>
          <w:kern w:val="2"/>
          <w:sz w:val="24"/>
          <w:szCs w:val="24"/>
          <w:lang w:val="en-US" w:eastAsia="zh-CN"/>
        </w:rPr>
      </w:pPr>
      <w:bookmarkStart w:id="15" w:name="_Toc26569"/>
      <w:r>
        <w:rPr>
          <w:rFonts w:hint="eastAsia" w:ascii="宋体" w:hAnsi="宋体" w:eastAsia="宋体" w:cs="Times New Roman"/>
          <w:kern w:val="2"/>
          <w:sz w:val="24"/>
          <w:szCs w:val="24"/>
          <w:lang w:val="en-US" w:eastAsia="zh-CN"/>
        </w:rPr>
        <w:t>标准滤光片技术要求：透光率标称值为</w:t>
      </w:r>
      <w:r>
        <w:rPr>
          <w:rFonts w:hint="eastAsia"/>
        </w:rPr>
        <w:t>25%、50%、75%</w:t>
      </w:r>
      <w:bookmarkStart w:id="16" w:name="_Toc42525442"/>
      <w:r>
        <w:rPr>
          <w:rFonts w:hint="eastAsia"/>
          <w:lang w:val="en-US" w:eastAsia="zh-CN"/>
        </w:rPr>
        <w:t>的滤光片。</w:t>
      </w:r>
      <w:bookmarkEnd w:id="15"/>
    </w:p>
    <w:bookmarkEnd w:id="16"/>
    <w:p>
      <w:pPr>
        <w:spacing w:line="360" w:lineRule="auto"/>
        <w:jc w:val="both"/>
        <w:rPr>
          <w:rFonts w:hint="eastAsia" w:cs="Times New Roman" w:asciiTheme="minorEastAsia" w:hAnsiTheme="minorEastAsia"/>
          <w:kern w:val="2"/>
          <w:sz w:val="24"/>
          <w:szCs w:val="24"/>
        </w:rPr>
      </w:pPr>
      <w:r>
        <w:rPr>
          <w:rFonts w:hint="eastAsia" w:cs="Times New Roman" w:asciiTheme="minorEastAsia" w:hAnsiTheme="minorEastAsia"/>
          <w:kern w:val="2"/>
          <w:sz w:val="24"/>
          <w:szCs w:val="24"/>
        </w:rPr>
        <w:t>5.4试剂材料</w:t>
      </w:r>
    </w:p>
    <w:p>
      <w:pPr>
        <w:spacing w:line="360" w:lineRule="auto"/>
        <w:outlineLvl w:val="1"/>
        <w:rPr>
          <w:rFonts w:ascii="Times New Roman" w:hAnsi="Times New Roman" w:eastAsia="宋体" w:cs="Times New Roman"/>
          <w:kern w:val="2"/>
          <w:sz w:val="24"/>
          <w:szCs w:val="24"/>
        </w:rPr>
      </w:pPr>
      <w:bookmarkStart w:id="17" w:name="_Toc12533"/>
      <w:r>
        <w:rPr>
          <w:rFonts w:hint="eastAsia" w:ascii="宋体" w:hAnsi="宋体" w:eastAsia="宋体" w:cs="Times New Roman"/>
          <w:kern w:val="2"/>
          <w:sz w:val="24"/>
          <w:szCs w:val="24"/>
          <w:lang w:val="en-US" w:eastAsia="zh-CN"/>
        </w:rPr>
        <w:t>丙烷：含量（%）：≥95.0，总热值：23000cal/L。</w:t>
      </w:r>
      <w:bookmarkEnd w:id="17"/>
    </w:p>
    <w:p>
      <w:pPr>
        <w:spacing w:line="360" w:lineRule="auto"/>
        <w:outlineLvl w:val="0"/>
        <w:rPr>
          <w:rFonts w:ascii="黑体" w:hAnsi="黑体" w:eastAsia="黑体" w:cstheme="majorBidi"/>
          <w:sz w:val="24"/>
          <w:szCs w:val="24"/>
        </w:rPr>
      </w:pPr>
      <w:bookmarkStart w:id="18" w:name="_Toc24292289"/>
      <w:bookmarkStart w:id="19" w:name="_Toc23532"/>
      <w:r>
        <w:rPr>
          <w:rFonts w:hint="eastAsia" w:ascii="黑体" w:hAnsi="黑体" w:eastAsia="黑体" w:cstheme="majorBidi"/>
          <w:sz w:val="24"/>
          <w:szCs w:val="24"/>
        </w:rPr>
        <w:t>6 校准项目和校准方法</w:t>
      </w:r>
      <w:bookmarkEnd w:id="18"/>
      <w:bookmarkEnd w:id="19"/>
      <w:bookmarkStart w:id="20" w:name="_Toc24292290"/>
    </w:p>
    <w:p>
      <w:pPr>
        <w:spacing w:line="360" w:lineRule="auto"/>
        <w:outlineLvl w:val="1"/>
        <w:rPr>
          <w:rFonts w:ascii="宋体" w:hAnsi="宋体" w:eastAsia="宋体" w:cs="Times New Roman"/>
          <w:bCs/>
          <w:kern w:val="2"/>
          <w:sz w:val="24"/>
          <w:szCs w:val="24"/>
        </w:rPr>
      </w:pPr>
      <w:bookmarkStart w:id="21" w:name="_Toc20228"/>
      <w:r>
        <w:rPr>
          <w:rFonts w:hint="eastAsia" w:ascii="宋体" w:hAnsi="宋体" w:eastAsia="宋体" w:cs="Times New Roman"/>
          <w:bCs/>
          <w:kern w:val="2"/>
          <w:sz w:val="24"/>
          <w:szCs w:val="24"/>
        </w:rPr>
        <w:t>6.1校准项目</w:t>
      </w:r>
      <w:bookmarkEnd w:id="21"/>
    </w:p>
    <w:p>
      <w:pPr>
        <w:spacing w:line="360" w:lineRule="auto"/>
        <w:rPr>
          <w:rFonts w:ascii="宋体" w:hAnsi="宋体" w:eastAsia="宋体" w:cs="Times New Roman"/>
          <w:sz w:val="24"/>
          <w:szCs w:val="24"/>
        </w:rPr>
      </w:pPr>
      <w:bookmarkStart w:id="22" w:name="_Toc9323"/>
      <w:r>
        <w:rPr>
          <w:rFonts w:hint="eastAsia" w:ascii="宋体" w:hAnsi="宋体" w:eastAsia="宋体" w:cs="Times New Roman"/>
          <w:bCs/>
          <w:kern w:val="2"/>
          <w:sz w:val="24"/>
          <w:szCs w:val="24"/>
        </w:rPr>
        <w:t>6.1.1</w:t>
      </w:r>
      <w:bookmarkEnd w:id="22"/>
      <w:r>
        <w:rPr>
          <w:rFonts w:hint="eastAsia" w:ascii="宋体" w:hAnsi="宋体" w:eastAsia="宋体" w:cs="Times New Roman"/>
          <w:kern w:val="2"/>
          <w:sz w:val="24"/>
          <w:szCs w:val="24"/>
          <w:lang w:val="en-US" w:eastAsia="zh-CN"/>
        </w:rPr>
        <w:t>最大烟密度</w:t>
      </w:r>
      <w:r>
        <w:rPr>
          <w:rFonts w:hint="eastAsia" w:ascii="宋体" w:hAnsi="宋体" w:eastAsia="宋体" w:cs="Times New Roman"/>
          <w:kern w:val="2"/>
          <w:sz w:val="24"/>
          <w:szCs w:val="24"/>
        </w:rPr>
        <w:t>示值误差</w:t>
      </w:r>
    </w:p>
    <w:p>
      <w:pPr>
        <w:spacing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校准试验中的</w:t>
      </w:r>
      <w:r>
        <w:rPr>
          <w:rFonts w:hint="eastAsia" w:ascii="Times New Roman" w:hAnsi="Times New Roman" w:eastAsia="宋体" w:cs="Times New Roman"/>
          <w:kern w:val="2"/>
          <w:sz w:val="24"/>
          <w:szCs w:val="24"/>
          <w:lang w:val="en-US" w:eastAsia="zh-CN"/>
        </w:rPr>
        <w:t>最大烟密度的</w:t>
      </w:r>
      <w:r>
        <w:rPr>
          <w:rFonts w:hint="eastAsia" w:ascii="Times New Roman" w:hAnsi="Times New Roman" w:eastAsia="宋体" w:cs="Times New Roman"/>
          <w:kern w:val="2"/>
          <w:sz w:val="24"/>
          <w:szCs w:val="24"/>
        </w:rPr>
        <w:t>示值与</w:t>
      </w:r>
      <w:r>
        <w:rPr>
          <w:rFonts w:hint="eastAsia" w:ascii="Times New Roman" w:hAnsi="Times New Roman" w:eastAsia="宋体" w:cs="Times New Roman"/>
          <w:kern w:val="2"/>
          <w:sz w:val="24"/>
          <w:szCs w:val="24"/>
          <w:lang w:val="en-US" w:eastAsia="zh-CN"/>
        </w:rPr>
        <w:t>透光</w:t>
      </w:r>
      <w:r>
        <w:rPr>
          <w:rFonts w:hint="eastAsia" w:ascii="Times New Roman" w:hAnsi="Times New Roman" w:eastAsia="宋体" w:cs="Times New Roman"/>
          <w:kern w:val="2"/>
          <w:sz w:val="24"/>
          <w:szCs w:val="24"/>
        </w:rPr>
        <w:t>率为50%的滤光片</w:t>
      </w:r>
      <w:r>
        <w:rPr>
          <w:rFonts w:hint="eastAsia" w:ascii="Times New Roman" w:hAnsi="Times New Roman" w:eastAsia="宋体" w:cs="Times New Roman"/>
          <w:kern w:val="2"/>
          <w:sz w:val="24"/>
          <w:szCs w:val="24"/>
          <w:lang w:val="en-US" w:eastAsia="zh-CN"/>
        </w:rPr>
        <w:t>标称</w:t>
      </w:r>
      <w:r>
        <w:rPr>
          <w:rFonts w:hint="eastAsia" w:ascii="Times New Roman" w:hAnsi="Times New Roman" w:eastAsia="宋体" w:cs="Times New Roman"/>
          <w:kern w:val="2"/>
          <w:sz w:val="24"/>
          <w:szCs w:val="24"/>
        </w:rPr>
        <w:t>值的误差。</w:t>
      </w:r>
    </w:p>
    <w:p>
      <w:pPr>
        <w:spacing w:line="360" w:lineRule="auto"/>
        <w:rPr>
          <w:rFonts w:ascii="宋体" w:hAnsi="宋体" w:eastAsia="宋体" w:cs="Times New Roman"/>
          <w:bCs/>
          <w:kern w:val="2"/>
          <w:sz w:val="24"/>
          <w:szCs w:val="24"/>
        </w:rPr>
      </w:pPr>
      <w:bookmarkStart w:id="23" w:name="_Toc31362"/>
      <w:r>
        <w:rPr>
          <w:rFonts w:hint="eastAsia" w:ascii="宋体" w:hAnsi="宋体" w:eastAsia="宋体" w:cs="Times New Roman"/>
          <w:bCs/>
          <w:kern w:val="2"/>
          <w:sz w:val="24"/>
          <w:szCs w:val="24"/>
        </w:rPr>
        <w:t>6.1.2产烟总量示值误差</w:t>
      </w:r>
      <w:bookmarkEnd w:id="23"/>
    </w:p>
    <w:p>
      <w:pPr>
        <w:spacing w:line="360" w:lineRule="auto"/>
        <w:ind w:firstLine="480" w:firstLineChars="200"/>
        <w:jc w:val="both"/>
        <w:rPr>
          <w:rFonts w:ascii="宋体" w:hAnsi="宋体" w:eastAsia="宋体" w:cs="Times New Roman"/>
          <w:bCs/>
          <w:kern w:val="2"/>
          <w:sz w:val="24"/>
          <w:szCs w:val="24"/>
        </w:rPr>
      </w:pPr>
      <w:r>
        <w:rPr>
          <w:rFonts w:hint="eastAsia" w:ascii="Times New Roman" w:hAnsi="Times New Roman" w:eastAsia="宋体" w:cs="Times New Roman"/>
          <w:kern w:val="2"/>
          <w:sz w:val="24"/>
          <w:szCs w:val="24"/>
        </w:rPr>
        <w:t>校准试验中</w:t>
      </w:r>
      <w:r>
        <w:rPr>
          <w:rFonts w:hint="eastAsia" w:ascii="宋体" w:hAnsi="宋体" w:eastAsia="宋体" w:cs="Times New Roman"/>
          <w:kern w:val="2"/>
          <w:sz w:val="24"/>
          <w:szCs w:val="24"/>
        </w:rPr>
        <w:t>总产烟量</w:t>
      </w:r>
      <w:r>
        <w:rPr>
          <w:rFonts w:hint="eastAsia" w:ascii="Times New Roman" w:hAnsi="Times New Roman" w:eastAsia="宋体" w:cs="Times New Roman"/>
          <w:kern w:val="2"/>
          <w:sz w:val="24"/>
          <w:szCs w:val="24"/>
        </w:rPr>
        <w:t>示值与</w:t>
      </w:r>
      <w:r>
        <w:rPr>
          <w:rFonts w:hint="eastAsia" w:ascii="Times New Roman" w:hAnsi="Times New Roman" w:eastAsia="宋体" w:cs="Times New Roman"/>
          <w:kern w:val="2"/>
          <w:sz w:val="24"/>
          <w:szCs w:val="24"/>
          <w:lang w:val="en-US" w:eastAsia="zh-CN"/>
        </w:rPr>
        <w:t>透光率</w:t>
      </w:r>
      <w:r>
        <w:rPr>
          <w:rFonts w:hint="eastAsia" w:ascii="Times New Roman" w:hAnsi="Times New Roman" w:eastAsia="宋体" w:cs="Times New Roman"/>
          <w:kern w:val="2"/>
          <w:sz w:val="24"/>
          <w:szCs w:val="24"/>
        </w:rPr>
        <w:t>为</w:t>
      </w:r>
      <w:r>
        <w:rPr>
          <w:rFonts w:hint="eastAsia" w:ascii="Times New Roman" w:hAnsi="Times New Roman" w:eastAsia="宋体" w:cs="Times New Roman"/>
          <w:kern w:val="2"/>
          <w:sz w:val="24"/>
          <w:szCs w:val="24"/>
          <w:lang w:val="en-US" w:eastAsia="zh-CN"/>
        </w:rPr>
        <w:t>25</w:t>
      </w:r>
      <w:r>
        <w:rPr>
          <w:rFonts w:hint="eastAsia" w:ascii="Times New Roman" w:hAnsi="Times New Roman" w:eastAsia="宋体" w:cs="Times New Roman"/>
          <w:kern w:val="2"/>
          <w:sz w:val="24"/>
          <w:szCs w:val="24"/>
        </w:rPr>
        <w:t>%</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rPr>
        <w:t>50%</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75</w:t>
      </w:r>
      <w:r>
        <w:rPr>
          <w:rFonts w:hint="eastAsia" w:ascii="Times New Roman" w:hAnsi="Times New Roman" w:eastAsia="宋体" w:cs="Times New Roman"/>
          <w:kern w:val="2"/>
          <w:sz w:val="24"/>
          <w:szCs w:val="24"/>
        </w:rPr>
        <w:t>%的滤光片</w:t>
      </w:r>
      <w:r>
        <w:rPr>
          <w:rFonts w:hint="eastAsia" w:ascii="Times New Roman" w:hAnsi="Times New Roman" w:eastAsia="宋体" w:cs="Times New Roman"/>
          <w:kern w:val="2"/>
          <w:sz w:val="24"/>
          <w:szCs w:val="24"/>
          <w:lang w:val="en-US" w:eastAsia="zh-CN"/>
        </w:rPr>
        <w:t>的总产烟量的标称值</w:t>
      </w:r>
      <w:r>
        <w:rPr>
          <w:rFonts w:hint="eastAsia" w:ascii="Times New Roman" w:hAnsi="Times New Roman" w:eastAsia="宋体" w:cs="Times New Roman"/>
          <w:kern w:val="2"/>
          <w:sz w:val="24"/>
          <w:szCs w:val="24"/>
        </w:rPr>
        <w:t>的误差。</w:t>
      </w:r>
    </w:p>
    <w:p>
      <w:pPr>
        <w:spacing w:line="360" w:lineRule="auto"/>
        <w:outlineLvl w:val="1"/>
        <w:rPr>
          <w:rFonts w:ascii="宋体" w:hAnsi="宋体" w:eastAsia="宋体" w:cs="Times New Roman"/>
          <w:kern w:val="2"/>
          <w:sz w:val="24"/>
          <w:szCs w:val="24"/>
        </w:rPr>
      </w:pPr>
      <w:bookmarkStart w:id="24" w:name="_Toc17265"/>
      <w:r>
        <w:rPr>
          <w:rFonts w:hint="eastAsia" w:ascii="宋体" w:hAnsi="宋体" w:eastAsia="宋体" w:cs="Times New Roman"/>
          <w:kern w:val="2"/>
          <w:sz w:val="24"/>
          <w:szCs w:val="24"/>
        </w:rPr>
        <w:t>6. 2校准方法</w:t>
      </w:r>
      <w:bookmarkEnd w:id="24"/>
    </w:p>
    <w:p>
      <w:pPr>
        <w:spacing w:line="360" w:lineRule="auto"/>
        <w:rPr>
          <w:rFonts w:ascii="宋体" w:hAnsi="宋体" w:eastAsia="宋体" w:cs="Times New Roman"/>
          <w:kern w:val="2"/>
          <w:sz w:val="24"/>
          <w:szCs w:val="24"/>
        </w:rPr>
      </w:pPr>
      <w:bookmarkStart w:id="25" w:name="_Toc12748"/>
      <w:r>
        <w:rPr>
          <w:rFonts w:hint="eastAsia" w:ascii="宋体" w:hAnsi="宋体" w:eastAsia="宋体" w:cs="Times New Roman"/>
          <w:kern w:val="2"/>
          <w:sz w:val="24"/>
          <w:szCs w:val="24"/>
        </w:rPr>
        <w:t>6.2.1外观检查</w:t>
      </w:r>
      <w:bookmarkEnd w:id="25"/>
    </w:p>
    <w:p>
      <w:pPr>
        <w:spacing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检查建筑材料燃烧或分解的烟密度测试</w:t>
      </w:r>
      <w:r>
        <w:rPr>
          <w:rFonts w:hint="eastAsia" w:hAnsi="宋体" w:eastAsia="宋体" w:cs="Times New Roman"/>
          <w:sz w:val="24"/>
          <w:szCs w:val="24"/>
        </w:rPr>
        <w:t>装置</w:t>
      </w:r>
      <w:r>
        <w:rPr>
          <w:rFonts w:hint="eastAsia" w:ascii="Times New Roman" w:hAnsi="Times New Roman" w:eastAsia="宋体" w:cs="Times New Roman"/>
          <w:kern w:val="2"/>
          <w:sz w:val="24"/>
          <w:szCs w:val="24"/>
        </w:rPr>
        <w:t>是否齐套、完整；记录设备型号、制造厂、制造时间和编号等标志信息。通过目测法，检查各调节旋钮、按钮、开关等是否正常工作；各电源线、信号线及各插件是否紧密配合，接触良好；各指示灯、显示器是否显示正常，并做好相应记录。</w:t>
      </w:r>
    </w:p>
    <w:p>
      <w:pPr>
        <w:spacing w:line="360" w:lineRule="auto"/>
        <w:rPr>
          <w:rFonts w:ascii="宋体" w:hAnsi="宋体" w:eastAsia="宋体" w:cs="Times New Roman"/>
          <w:kern w:val="2"/>
          <w:sz w:val="24"/>
          <w:szCs w:val="24"/>
        </w:rPr>
      </w:pPr>
      <w:bookmarkStart w:id="26" w:name="_Toc16444"/>
      <w:r>
        <w:rPr>
          <w:rFonts w:hint="eastAsia" w:ascii="宋体" w:hAnsi="宋体" w:eastAsia="宋体" w:cs="Times New Roman"/>
          <w:kern w:val="2"/>
          <w:sz w:val="24"/>
          <w:szCs w:val="24"/>
        </w:rPr>
        <w:t>6.2.2校准前准备</w:t>
      </w:r>
      <w:bookmarkEnd w:id="26"/>
    </w:p>
    <w:p>
      <w:pPr>
        <w:spacing w:line="360" w:lineRule="auto"/>
        <w:ind w:firstLine="480" w:firstLineChars="200"/>
        <w:rPr>
          <w:rFonts w:ascii="Times New Roman" w:hAnsi="Times New Roman" w:eastAsia="宋体" w:cs="Times New Roman"/>
          <w:kern w:val="2"/>
          <w:sz w:val="24"/>
          <w:szCs w:val="24"/>
        </w:rPr>
      </w:pPr>
      <w:bookmarkStart w:id="27" w:name="_Toc22512"/>
      <w:r>
        <w:rPr>
          <w:rFonts w:hint="eastAsia" w:ascii="Times New Roman" w:hAnsi="Times New Roman" w:eastAsia="宋体" w:cs="Times New Roman"/>
          <w:kern w:val="2"/>
          <w:sz w:val="24"/>
          <w:szCs w:val="24"/>
        </w:rPr>
        <w:t>a)打开光源、安全出口标志、排风机电源；</w:t>
      </w:r>
    </w:p>
    <w:p>
      <w:pPr>
        <w:spacing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b)打开丙烷气，点燃点火器，调整丙烷压力到276kPa，并立即点燃点火器；</w:t>
      </w:r>
    </w:p>
    <w:p>
      <w:pPr>
        <w:spacing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c)设置温度补偿，调整光源使光吸收率为0%。</w:t>
      </w:r>
    </w:p>
    <w:p>
      <w:pPr>
        <w:spacing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d)</w:t>
      </w:r>
      <w:r>
        <w:rPr>
          <w:rFonts w:hint="eastAsia" w:ascii="Times New Roman" w:hAnsi="Times New Roman" w:eastAsia="宋体" w:cs="Times New Roman"/>
          <w:kern w:val="2"/>
          <w:sz w:val="24"/>
          <w:szCs w:val="24"/>
          <w:lang w:val="en-US" w:eastAsia="zh-CN"/>
        </w:rPr>
        <w:t>分别用完全透光的遮光板及完全不透光的遮光板来标定0%及100%的吸收率</w:t>
      </w:r>
      <w:r>
        <w:rPr>
          <w:rFonts w:hint="eastAsia" w:ascii="Times New Roman" w:hAnsi="Times New Roman" w:eastAsia="宋体" w:cs="Times New Roman"/>
          <w:kern w:val="2"/>
          <w:sz w:val="24"/>
          <w:szCs w:val="24"/>
        </w:rPr>
        <w:t>。</w:t>
      </w:r>
    </w:p>
    <w:p>
      <w:pPr>
        <w:spacing w:line="360" w:lineRule="auto"/>
        <w:rPr>
          <w:rFonts w:ascii="宋体" w:hAnsi="宋体" w:eastAsia="宋体" w:cs="Times New Roman"/>
          <w:kern w:val="2"/>
          <w:sz w:val="24"/>
          <w:szCs w:val="24"/>
        </w:rPr>
      </w:pPr>
      <w:r>
        <w:rPr>
          <w:rFonts w:hint="eastAsia" w:ascii="宋体" w:hAnsi="宋体" w:eastAsia="宋体" w:cs="Times New Roman"/>
          <w:kern w:val="2"/>
          <w:sz w:val="24"/>
          <w:szCs w:val="24"/>
        </w:rPr>
        <w:t>6.2.3校准步骤</w:t>
      </w:r>
      <w:bookmarkEnd w:id="27"/>
    </w:p>
    <w:p>
      <w:pPr>
        <w:spacing w:line="360" w:lineRule="auto"/>
        <w:rPr>
          <w:rFonts w:ascii="Times New Roman" w:hAnsi="Times New Roman" w:eastAsia="宋体" w:cs="Times New Roman"/>
          <w:kern w:val="2"/>
          <w:sz w:val="24"/>
          <w:szCs w:val="24"/>
        </w:rPr>
      </w:pPr>
      <w:r>
        <w:rPr>
          <w:rFonts w:hint="eastAsia" w:ascii="宋体" w:hAnsi="宋体" w:eastAsia="宋体" w:cs="Times New Roman"/>
          <w:kern w:val="2"/>
          <w:sz w:val="24"/>
          <w:szCs w:val="24"/>
        </w:rPr>
        <w:t xml:space="preserve">6.2.3.1 </w:t>
      </w:r>
      <w:r>
        <w:rPr>
          <w:rFonts w:hint="eastAsia" w:ascii="宋体" w:hAnsi="宋体" w:eastAsia="宋体" w:cs="Times New Roman"/>
          <w:sz w:val="24"/>
          <w:szCs w:val="24"/>
          <w:lang w:val="en-US" w:eastAsia="zh-CN"/>
        </w:rPr>
        <w:t>最大烟密度</w:t>
      </w:r>
      <w:r>
        <w:rPr>
          <w:rFonts w:hint="eastAsia" w:ascii="宋体" w:hAnsi="宋体" w:eastAsia="宋体" w:cs="Times New Roman"/>
          <w:sz w:val="24"/>
          <w:szCs w:val="24"/>
        </w:rPr>
        <w:t>示值误差</w:t>
      </w:r>
    </w:p>
    <w:p>
      <w:pPr>
        <w:spacing w:line="360" w:lineRule="auto"/>
        <w:ind w:firstLine="600" w:firstLineChars="25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a)将</w:t>
      </w:r>
      <w:r>
        <w:rPr>
          <w:rFonts w:hint="eastAsia" w:ascii="Times New Roman" w:hAnsi="Times New Roman" w:eastAsia="宋体" w:cs="Times New Roman"/>
          <w:kern w:val="2"/>
          <w:sz w:val="24"/>
          <w:szCs w:val="24"/>
          <w:lang w:val="en-US" w:eastAsia="zh-CN"/>
        </w:rPr>
        <w:t>透光率为</w:t>
      </w:r>
      <w:r>
        <w:rPr>
          <w:rFonts w:hint="eastAsia" w:ascii="Times New Roman" w:hAnsi="Times New Roman" w:eastAsia="宋体" w:cs="Times New Roman"/>
          <w:kern w:val="2"/>
          <w:sz w:val="24"/>
          <w:szCs w:val="24"/>
        </w:rPr>
        <w:t>50%的标准滤光片放置于烟箱中；</w:t>
      </w:r>
    </w:p>
    <w:p>
      <w:pPr>
        <w:spacing w:line="360" w:lineRule="auto"/>
        <w:ind w:firstLine="600" w:firstLineChars="25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b)计时器调至零点；</w:t>
      </w:r>
    </w:p>
    <w:p>
      <w:pPr>
        <w:spacing w:line="360" w:lineRule="auto"/>
        <w:ind w:firstLine="600" w:firstLineChars="250"/>
        <w:rPr>
          <w:rFonts w:hint="eastAsia" w:ascii="Times New Roman" w:hAnsi="Times New Roman" w:eastAsia="宋体" w:cs="Times New Roman"/>
          <w:kern w:val="2"/>
          <w:sz w:val="24"/>
          <w:szCs w:val="24"/>
        </w:rPr>
      </w:pPr>
      <w:r>
        <w:rPr>
          <w:rFonts w:hint="eastAsia" w:ascii="Times New Roman" w:hAnsi="Times New Roman" w:eastAsia="宋体" w:cs="Times New Roman"/>
          <w:kern w:val="2"/>
          <w:sz w:val="24"/>
          <w:szCs w:val="24"/>
        </w:rPr>
        <w:t>c)以15s的间隔记录光吸收率，记录4min；</w:t>
      </w:r>
    </w:p>
    <w:p>
      <w:pPr>
        <w:spacing w:line="360" w:lineRule="auto"/>
        <w:ind w:firstLine="600" w:firstLineChars="25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d)</w:t>
      </w:r>
      <w:r>
        <w:rPr>
          <w:rFonts w:hint="eastAsia" w:ascii="Times New Roman" w:hAnsi="Times New Roman" w:eastAsia="宋体" w:cs="Times New Roman"/>
          <w:kern w:val="2"/>
          <w:sz w:val="24"/>
          <w:szCs w:val="24"/>
          <w:lang w:val="en-US" w:eastAsia="zh-CN"/>
        </w:rPr>
        <w:t>自动</w:t>
      </w:r>
      <w:r>
        <w:rPr>
          <w:rFonts w:hint="eastAsia" w:ascii="Times New Roman" w:hAnsi="Times New Roman" w:eastAsia="宋体" w:cs="Times New Roman"/>
          <w:kern w:val="2"/>
          <w:sz w:val="24"/>
          <w:szCs w:val="24"/>
        </w:rPr>
        <w:t>绘制光吸收数据与时间关系曲线，读取曲线最高点为最大烟密度</w:t>
      </w:r>
      <w:r>
        <w:rPr>
          <w:rFonts w:hint="eastAsia" w:ascii="Times New Roman" w:hAnsi="Times New Roman" w:eastAsia="宋体" w:cs="Times New Roman"/>
          <w:kern w:val="2"/>
          <w:sz w:val="24"/>
          <w:szCs w:val="24"/>
          <w:lang w:val="en-US" w:eastAsia="zh-CN"/>
        </w:rPr>
        <w:t>示值</w:t>
      </w:r>
      <w:r>
        <w:rPr>
          <w:rFonts w:hint="eastAsia" w:ascii="Times New Roman" w:hAnsi="Times New Roman" w:eastAsia="宋体" w:cs="Times New Roman"/>
          <w:kern w:val="2"/>
          <w:sz w:val="24"/>
          <w:szCs w:val="24"/>
        </w:rPr>
        <w:t>。</w:t>
      </w:r>
    </w:p>
    <w:p>
      <w:pPr>
        <w:spacing w:line="360" w:lineRule="auto"/>
        <w:ind w:firstLine="600" w:firstLineChars="25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e) </w:t>
      </w:r>
      <w:r>
        <w:rPr>
          <w:rFonts w:hint="eastAsia" w:ascii="Times New Roman" w:hAnsi="Times New Roman" w:eastAsia="宋体" w:cs="Times New Roman"/>
          <w:kern w:val="2"/>
          <w:sz w:val="24"/>
          <w:szCs w:val="24"/>
          <w:lang w:val="en-US" w:eastAsia="zh-CN"/>
        </w:rPr>
        <w:t>重复上述步骤三次</w:t>
      </w:r>
      <w:r>
        <w:rPr>
          <w:rFonts w:hint="eastAsia" w:ascii="Times New Roman" w:hAnsi="Times New Roman" w:eastAsia="宋体" w:cs="Times New Roman"/>
          <w:kern w:val="2"/>
          <w:sz w:val="24"/>
          <w:szCs w:val="24"/>
        </w:rPr>
        <w:t>，</w:t>
      </w:r>
      <w:r>
        <w:rPr>
          <w:rFonts w:hint="eastAsia" w:ascii="Times New Roman" w:hAnsi="Times New Roman" w:eastAsia="宋体" w:cs="Times New Roman"/>
          <w:kern w:val="2"/>
          <w:sz w:val="24"/>
          <w:szCs w:val="24"/>
          <w:lang w:val="en-US" w:eastAsia="zh-CN"/>
        </w:rPr>
        <w:t>并</w:t>
      </w:r>
      <w:r>
        <w:rPr>
          <w:rFonts w:hint="eastAsia" w:ascii="Times New Roman" w:hAnsi="Times New Roman" w:eastAsia="宋体" w:cs="Times New Roman"/>
          <w:kern w:val="2"/>
          <w:sz w:val="24"/>
          <w:szCs w:val="24"/>
        </w:rPr>
        <w:t>计算</w:t>
      </w:r>
      <w:r>
        <w:rPr>
          <w:rFonts w:hint="eastAsia" w:ascii="Times New Roman" w:hAnsi="Times New Roman" w:eastAsia="宋体" w:cs="Times New Roman"/>
          <w:kern w:val="2"/>
          <w:sz w:val="24"/>
          <w:szCs w:val="24"/>
          <w:lang w:val="en-US" w:eastAsia="zh-CN"/>
        </w:rPr>
        <w:t>最大烟密度平均值</w:t>
      </w:r>
      <w:r>
        <w:rPr>
          <w:rFonts w:hint="eastAsia" w:ascii="Times New Roman" w:hAnsi="Times New Roman" w:eastAsia="宋体" w:cs="Times New Roman"/>
          <w:kern w:val="2"/>
          <w:sz w:val="24"/>
          <w:szCs w:val="24"/>
        </w:rPr>
        <w:t>。</w:t>
      </w:r>
    </w:p>
    <w:p>
      <w:pPr>
        <w:spacing w:line="360" w:lineRule="auto"/>
        <w:rPr>
          <w:rFonts w:ascii="宋体" w:hAnsi="宋体" w:eastAsia="宋体" w:cs="Times New Roman"/>
          <w:sz w:val="24"/>
          <w:szCs w:val="24"/>
          <w:highlight w:val="none"/>
        </w:rPr>
      </w:pPr>
      <w:r>
        <w:rPr>
          <w:rFonts w:hint="eastAsia" w:ascii="宋体" w:hAnsi="宋体" w:eastAsia="宋体" w:cs="Times New Roman"/>
          <w:kern w:val="2"/>
          <w:sz w:val="24"/>
          <w:szCs w:val="24"/>
          <w:highlight w:val="none"/>
        </w:rPr>
        <w:t xml:space="preserve">6.2.3.2 </w:t>
      </w:r>
      <w:r>
        <w:rPr>
          <w:rFonts w:hint="eastAsia" w:ascii="宋体" w:hAnsi="宋体" w:eastAsia="宋体" w:cs="Times New Roman"/>
          <w:sz w:val="24"/>
          <w:szCs w:val="24"/>
          <w:highlight w:val="none"/>
          <w:lang w:val="en-US" w:eastAsia="zh-CN"/>
        </w:rPr>
        <w:t>总产烟量</w:t>
      </w:r>
      <w:r>
        <w:rPr>
          <w:rFonts w:hint="eastAsia" w:ascii="宋体" w:hAnsi="宋体" w:eastAsia="宋体" w:cs="Times New Roman"/>
          <w:sz w:val="24"/>
          <w:szCs w:val="24"/>
          <w:highlight w:val="none"/>
        </w:rPr>
        <w:t>示值误差</w:t>
      </w:r>
    </w:p>
    <w:p>
      <w:pPr>
        <w:spacing w:line="360" w:lineRule="auto"/>
        <w:ind w:firstLine="600" w:firstLineChars="250"/>
        <w:rPr>
          <w:rFonts w:ascii="Times New Roman" w:hAnsi="Times New Roman" w:eastAsia="宋体" w:cs="Times New Roman"/>
          <w:kern w:val="2"/>
          <w:sz w:val="24"/>
          <w:szCs w:val="24"/>
        </w:rPr>
      </w:pPr>
      <w:r>
        <w:rPr>
          <w:rFonts w:ascii="Times New Roman" w:hAnsi="Times New Roman" w:eastAsia="宋体" w:cs="Times New Roman"/>
          <w:kern w:val="2"/>
          <w:sz w:val="24"/>
          <w:szCs w:val="24"/>
        </w:rPr>
        <w:t>a)</w:t>
      </w:r>
      <w:r>
        <w:rPr>
          <w:rFonts w:hint="eastAsia" w:ascii="Times New Roman" w:hAnsi="Times New Roman" w:eastAsia="宋体" w:cs="Times New Roman"/>
          <w:kern w:val="2"/>
          <w:sz w:val="24"/>
          <w:szCs w:val="24"/>
        </w:rPr>
        <w:t>分别将</w:t>
      </w:r>
      <w:r>
        <w:rPr>
          <w:rFonts w:hint="eastAsia" w:ascii="Times New Roman" w:hAnsi="Times New Roman" w:eastAsia="宋体" w:cs="Times New Roman"/>
          <w:kern w:val="2"/>
          <w:sz w:val="24"/>
          <w:szCs w:val="24"/>
          <w:lang w:val="en-US" w:eastAsia="zh-CN"/>
        </w:rPr>
        <w:t>不同透光率的标准滤光片（</w:t>
      </w:r>
      <w:r>
        <w:rPr>
          <w:rFonts w:hint="eastAsia" w:ascii="Times New Roman" w:hAnsi="Times New Roman" w:eastAsia="宋体" w:cs="Times New Roman"/>
          <w:kern w:val="2"/>
          <w:sz w:val="24"/>
          <w:szCs w:val="24"/>
        </w:rPr>
        <w:t>25%、50%、75%</w:t>
      </w:r>
      <w:r>
        <w:rPr>
          <w:rFonts w:hint="eastAsia" w:ascii="Times New Roman" w:hAnsi="Times New Roman" w:eastAsia="宋体" w:cs="Times New Roman"/>
          <w:kern w:val="2"/>
          <w:sz w:val="24"/>
          <w:szCs w:val="24"/>
          <w:lang w:val="en-US" w:eastAsia="zh-CN"/>
        </w:rPr>
        <w:t>）</w:t>
      </w:r>
      <w:r>
        <w:rPr>
          <w:rFonts w:hint="eastAsia" w:ascii="Times New Roman" w:hAnsi="Times New Roman" w:eastAsia="宋体" w:cs="Times New Roman"/>
          <w:kern w:val="2"/>
          <w:sz w:val="24"/>
          <w:szCs w:val="24"/>
        </w:rPr>
        <w:t>放置于烟箱中；</w:t>
      </w:r>
    </w:p>
    <w:p>
      <w:pPr>
        <w:spacing w:line="360" w:lineRule="auto"/>
        <w:ind w:firstLine="600" w:firstLineChars="250"/>
        <w:rPr>
          <w:rFonts w:ascii="Times New Roman" w:hAnsi="Times New Roman" w:eastAsia="宋体" w:cs="Times New Roman"/>
          <w:kern w:val="2"/>
          <w:sz w:val="24"/>
          <w:szCs w:val="24"/>
        </w:rPr>
      </w:pPr>
      <w:r>
        <w:rPr>
          <w:rFonts w:ascii="Times New Roman" w:hAnsi="Times New Roman" w:eastAsia="宋体" w:cs="Times New Roman"/>
          <w:kern w:val="2"/>
          <w:sz w:val="24"/>
          <w:szCs w:val="24"/>
        </w:rPr>
        <w:t>b)</w:t>
      </w:r>
      <w:r>
        <w:rPr>
          <w:rFonts w:hint="eastAsia" w:ascii="Times New Roman" w:hAnsi="Times New Roman" w:eastAsia="宋体" w:cs="Times New Roman"/>
          <w:kern w:val="2"/>
          <w:sz w:val="24"/>
          <w:szCs w:val="24"/>
        </w:rPr>
        <w:t>计时器调至零点；</w:t>
      </w:r>
    </w:p>
    <w:p>
      <w:pPr>
        <w:spacing w:line="360" w:lineRule="auto"/>
        <w:ind w:firstLine="600" w:firstLineChars="250"/>
        <w:rPr>
          <w:rFonts w:hint="eastAsia" w:ascii="Times New Roman" w:hAnsi="Times New Roman" w:eastAsia="宋体" w:cs="Times New Roman"/>
          <w:kern w:val="2"/>
          <w:sz w:val="24"/>
          <w:szCs w:val="24"/>
        </w:rPr>
      </w:pPr>
      <w:r>
        <w:rPr>
          <w:rFonts w:ascii="Times New Roman" w:hAnsi="Times New Roman" w:eastAsia="宋体" w:cs="Times New Roman"/>
          <w:kern w:val="2"/>
          <w:sz w:val="24"/>
          <w:szCs w:val="24"/>
        </w:rPr>
        <w:t>c)</w:t>
      </w:r>
      <w:r>
        <w:rPr>
          <w:rFonts w:hint="eastAsia" w:ascii="Times New Roman" w:hAnsi="Times New Roman" w:eastAsia="宋体" w:cs="Times New Roman"/>
          <w:kern w:val="2"/>
          <w:sz w:val="24"/>
          <w:szCs w:val="24"/>
        </w:rPr>
        <w:t>关闭排风机，关闭烟箱门，开启计时器；</w:t>
      </w:r>
    </w:p>
    <w:p>
      <w:pPr>
        <w:spacing w:line="360" w:lineRule="auto"/>
        <w:ind w:firstLine="600" w:firstLineChars="250"/>
        <w:rPr>
          <w:rFonts w:ascii="Times New Roman" w:hAnsi="Times New Roman" w:eastAsia="宋体" w:cs="Times New Roman"/>
          <w:kern w:val="2"/>
          <w:sz w:val="24"/>
          <w:szCs w:val="24"/>
        </w:rPr>
      </w:pPr>
      <w:r>
        <w:rPr>
          <w:rFonts w:ascii="Times New Roman" w:hAnsi="Times New Roman" w:eastAsia="宋体" w:cs="Times New Roman"/>
          <w:kern w:val="2"/>
          <w:sz w:val="24"/>
          <w:szCs w:val="24"/>
        </w:rPr>
        <w:t>d)</w:t>
      </w:r>
      <w:r>
        <w:rPr>
          <w:rFonts w:hint="eastAsia" w:ascii="Times New Roman" w:hAnsi="Times New Roman" w:eastAsia="宋体" w:cs="Times New Roman"/>
          <w:kern w:val="2"/>
          <w:sz w:val="24"/>
          <w:szCs w:val="24"/>
        </w:rPr>
        <w:t>以15s的间隔记录光吸收率，记录4min；</w:t>
      </w:r>
    </w:p>
    <w:p>
      <w:pPr>
        <w:spacing w:line="360" w:lineRule="auto"/>
        <w:ind w:firstLine="600" w:firstLineChars="250"/>
        <w:rPr>
          <w:rFonts w:ascii="Times New Roman" w:hAnsi="Times New Roman" w:eastAsia="宋体" w:cs="Times New Roman"/>
          <w:kern w:val="2"/>
          <w:sz w:val="24"/>
          <w:szCs w:val="24"/>
        </w:rPr>
      </w:pPr>
      <w:r>
        <w:rPr>
          <w:rFonts w:ascii="Times New Roman" w:hAnsi="Times New Roman" w:eastAsia="宋体" w:cs="Times New Roman"/>
          <w:kern w:val="2"/>
          <w:sz w:val="24"/>
          <w:szCs w:val="24"/>
        </w:rPr>
        <w:t>e)</w:t>
      </w:r>
      <w:r>
        <w:rPr>
          <w:rFonts w:hint="eastAsia" w:ascii="Times New Roman" w:hAnsi="Times New Roman" w:eastAsia="宋体" w:cs="Times New Roman"/>
          <w:kern w:val="2"/>
          <w:sz w:val="24"/>
          <w:szCs w:val="24"/>
          <w:lang w:val="en-US" w:eastAsia="zh-CN"/>
        </w:rPr>
        <w:t>自动</w:t>
      </w:r>
      <w:r>
        <w:rPr>
          <w:rFonts w:hint="eastAsia" w:ascii="Times New Roman" w:hAnsi="Times New Roman" w:eastAsia="宋体" w:cs="Times New Roman"/>
          <w:kern w:val="2"/>
          <w:sz w:val="24"/>
          <w:szCs w:val="24"/>
        </w:rPr>
        <w:t>绘制光吸收数据与时间关系曲线，读取曲线与其下方坐标轴所围面积为总产烟量</w:t>
      </w:r>
      <w:r>
        <w:rPr>
          <w:rFonts w:hint="eastAsia" w:ascii="Times New Roman" w:hAnsi="Times New Roman" w:eastAsia="宋体" w:cs="Times New Roman"/>
          <w:kern w:val="2"/>
          <w:sz w:val="24"/>
          <w:szCs w:val="24"/>
          <w:lang w:val="en-US" w:eastAsia="zh-CN"/>
        </w:rPr>
        <w:t>示值</w:t>
      </w:r>
      <w:r>
        <w:rPr>
          <w:rFonts w:hint="eastAsia" w:ascii="Times New Roman" w:hAnsi="Times New Roman" w:eastAsia="宋体" w:cs="Times New Roman"/>
          <w:kern w:val="2"/>
          <w:sz w:val="24"/>
          <w:szCs w:val="24"/>
        </w:rPr>
        <w:t>。</w:t>
      </w:r>
    </w:p>
    <w:p>
      <w:pPr>
        <w:spacing w:line="360" w:lineRule="auto"/>
        <w:ind w:firstLine="600" w:firstLineChars="250"/>
        <w:rPr>
          <w:rFonts w:ascii="宋体" w:hAnsi="宋体" w:eastAsia="宋体" w:cs="Times New Roman"/>
          <w:sz w:val="24"/>
          <w:szCs w:val="24"/>
        </w:rPr>
      </w:pPr>
      <w:r>
        <w:rPr>
          <w:rFonts w:ascii="Times New Roman" w:hAnsi="Times New Roman" w:eastAsia="宋体" w:cs="Times New Roman"/>
          <w:kern w:val="2"/>
          <w:sz w:val="24"/>
          <w:szCs w:val="24"/>
        </w:rPr>
        <w:t xml:space="preserve">f) </w:t>
      </w:r>
      <w:r>
        <w:rPr>
          <w:rFonts w:hint="eastAsia" w:ascii="Times New Roman" w:hAnsi="Times New Roman" w:eastAsia="宋体" w:cs="Times New Roman"/>
          <w:kern w:val="2"/>
          <w:sz w:val="24"/>
          <w:szCs w:val="24"/>
        </w:rPr>
        <w:t xml:space="preserve"> </w:t>
      </w:r>
      <w:r>
        <w:rPr>
          <w:rFonts w:hint="eastAsia" w:ascii="Times New Roman" w:hAnsi="Times New Roman" w:eastAsia="宋体" w:cs="Times New Roman"/>
          <w:kern w:val="2"/>
          <w:sz w:val="24"/>
          <w:szCs w:val="24"/>
          <w:lang w:val="en-US" w:eastAsia="zh-CN"/>
        </w:rPr>
        <w:t>重复上述步骤三次</w:t>
      </w:r>
      <w:r>
        <w:rPr>
          <w:rFonts w:hint="eastAsia" w:ascii="Times New Roman" w:hAnsi="Times New Roman" w:eastAsia="宋体" w:cs="Times New Roman"/>
          <w:kern w:val="2"/>
          <w:sz w:val="24"/>
          <w:szCs w:val="24"/>
        </w:rPr>
        <w:t>，</w:t>
      </w:r>
      <w:r>
        <w:rPr>
          <w:rFonts w:hint="eastAsia" w:ascii="Times New Roman" w:hAnsi="Times New Roman" w:eastAsia="宋体" w:cs="Times New Roman"/>
          <w:kern w:val="2"/>
          <w:sz w:val="24"/>
          <w:szCs w:val="24"/>
          <w:lang w:val="en-US" w:eastAsia="zh-CN"/>
        </w:rPr>
        <w:t>并</w:t>
      </w:r>
      <w:r>
        <w:rPr>
          <w:rFonts w:hint="eastAsia" w:ascii="Times New Roman" w:hAnsi="Times New Roman" w:eastAsia="宋体" w:cs="Times New Roman"/>
          <w:kern w:val="2"/>
          <w:sz w:val="24"/>
          <w:szCs w:val="24"/>
        </w:rPr>
        <w:t>计算</w:t>
      </w:r>
      <w:r>
        <w:rPr>
          <w:rFonts w:hint="eastAsia" w:ascii="Times New Roman" w:hAnsi="Times New Roman" w:eastAsia="宋体" w:cs="Times New Roman"/>
          <w:kern w:val="2"/>
          <w:sz w:val="24"/>
          <w:szCs w:val="24"/>
          <w:lang w:val="en-US" w:eastAsia="zh-CN"/>
        </w:rPr>
        <w:t>总产烟量平均值</w:t>
      </w:r>
      <w:r>
        <w:rPr>
          <w:rFonts w:hint="eastAsia" w:ascii="Times New Roman" w:hAnsi="Times New Roman" w:eastAsia="宋体" w:cs="Times New Roman"/>
          <w:kern w:val="2"/>
          <w:sz w:val="24"/>
          <w:szCs w:val="24"/>
        </w:rPr>
        <w:t>。</w:t>
      </w:r>
    </w:p>
    <w:p>
      <w:pPr>
        <w:spacing w:line="360" w:lineRule="auto"/>
        <w:rPr>
          <w:rFonts w:ascii="宋体" w:hAnsi="宋体" w:eastAsia="宋体" w:cs="Times New Roman"/>
          <w:kern w:val="2"/>
          <w:sz w:val="24"/>
          <w:szCs w:val="24"/>
          <w:highlight w:val="none"/>
        </w:rPr>
      </w:pPr>
      <w:bookmarkStart w:id="28" w:name="_Toc18429"/>
      <w:r>
        <w:rPr>
          <w:rFonts w:hint="eastAsia" w:ascii="宋体" w:hAnsi="宋体" w:eastAsia="宋体" w:cs="Times New Roman"/>
          <w:kern w:val="2"/>
          <w:sz w:val="24"/>
          <w:szCs w:val="24"/>
          <w:highlight w:val="none"/>
        </w:rPr>
        <w:t>6.2.4数据处理</w:t>
      </w:r>
      <w:bookmarkEnd w:id="28"/>
    </w:p>
    <w:p>
      <w:pPr>
        <w:spacing w:line="360" w:lineRule="auto"/>
        <w:outlineLvl w:val="3"/>
        <w:rPr>
          <w:rFonts w:ascii="宋体" w:hAnsi="宋体" w:eastAsia="宋体" w:cs="Times New Roman"/>
          <w:kern w:val="2"/>
          <w:sz w:val="24"/>
          <w:szCs w:val="24"/>
        </w:rPr>
      </w:pPr>
      <w:r>
        <w:rPr>
          <w:rFonts w:hint="eastAsia" w:ascii="宋体" w:hAnsi="宋体" w:eastAsia="宋体" w:cs="Times New Roman"/>
          <w:kern w:val="2"/>
          <w:sz w:val="24"/>
          <w:szCs w:val="24"/>
        </w:rPr>
        <w:t>6.2.4.1</w:t>
      </w:r>
      <w:r>
        <w:rPr>
          <w:rFonts w:hint="eastAsia" w:ascii="宋体" w:hAnsi="宋体" w:eastAsia="宋体" w:cs="Times New Roman"/>
          <w:kern w:val="2"/>
          <w:sz w:val="24"/>
          <w:szCs w:val="24"/>
          <w:lang w:val="en-US" w:eastAsia="zh-CN"/>
        </w:rPr>
        <w:t>最大烟密度</w:t>
      </w:r>
      <w:r>
        <w:rPr>
          <w:rFonts w:hint="eastAsia" w:ascii="宋体" w:hAnsi="宋体" w:eastAsia="宋体" w:cs="Times New Roman"/>
          <w:kern w:val="2"/>
          <w:sz w:val="24"/>
          <w:szCs w:val="24"/>
        </w:rPr>
        <w:t>示值误差</w:t>
      </w:r>
    </w:p>
    <w:p>
      <w:pPr>
        <w:spacing w:line="360" w:lineRule="auto"/>
        <w:ind w:firstLine="480" w:firstLineChars="200"/>
        <w:rPr>
          <w:rFonts w:ascii="Times New Roman" w:hAnsi="Times New Roman" w:eastAsia="宋体" w:cs="Times New Roman"/>
          <w:kern w:val="2"/>
          <w:sz w:val="24"/>
          <w:szCs w:val="24"/>
        </w:rPr>
      </w:pPr>
      <w:r>
        <w:rPr>
          <w:rFonts w:hint="eastAsia" w:ascii="宋体" w:hAnsi="宋体" w:eastAsia="宋体" w:cs="Times New Roman"/>
          <w:kern w:val="2"/>
          <w:sz w:val="24"/>
          <w:szCs w:val="24"/>
          <w:lang w:val="en-US" w:eastAsia="zh-CN"/>
        </w:rPr>
        <w:t>最大烟密度</w:t>
      </w:r>
      <w:r>
        <w:rPr>
          <w:rFonts w:hint="eastAsia" w:ascii="Times New Roman" w:hAnsi="Times New Roman" w:eastAsia="宋体" w:cs="Times New Roman"/>
          <w:kern w:val="2"/>
          <w:sz w:val="24"/>
          <w:szCs w:val="24"/>
        </w:rPr>
        <w:t>的</w:t>
      </w:r>
      <w:r>
        <w:rPr>
          <w:rFonts w:hint="eastAsia" w:ascii="Times New Roman" w:hAnsi="Times New Roman" w:eastAsia="宋体" w:cs="Times New Roman"/>
          <w:kern w:val="2"/>
          <w:sz w:val="24"/>
          <w:szCs w:val="24"/>
          <w:lang w:val="en-US" w:eastAsia="zh-CN"/>
        </w:rPr>
        <w:t>标称</w:t>
      </w:r>
      <w:r>
        <w:rPr>
          <w:rFonts w:hint="eastAsia" w:ascii="Times New Roman" w:hAnsi="Times New Roman" w:eastAsia="宋体" w:cs="Times New Roman"/>
          <w:kern w:val="2"/>
          <w:sz w:val="24"/>
          <w:szCs w:val="24"/>
        </w:rPr>
        <w:t>值</w:t>
      </w:r>
      <w:r>
        <w:rPr>
          <w:rFonts w:ascii="Times New Roman" w:hAnsi="Times New Roman" w:eastAsia="宋体" w:cs="Times New Roman"/>
          <w:kern w:val="2"/>
          <w:sz w:val="24"/>
          <w:szCs w:val="24"/>
        </w:rPr>
        <w:t>与</w:t>
      </w:r>
      <w:r>
        <w:rPr>
          <w:rFonts w:hint="eastAsia" w:ascii="Times New Roman" w:hAnsi="Times New Roman" w:eastAsia="宋体" w:cs="Times New Roman"/>
          <w:kern w:val="2"/>
          <w:sz w:val="24"/>
          <w:szCs w:val="24"/>
        </w:rPr>
        <w:t>测试的示值误差</w:t>
      </w:r>
      <w:r>
        <w:rPr>
          <w:rFonts w:ascii="Times New Roman" w:hAnsi="Times New Roman" w:eastAsia="宋体" w:cs="Times New Roman"/>
          <w:kern w:val="2"/>
          <w:sz w:val="24"/>
          <w:szCs w:val="24"/>
        </w:rPr>
        <w:t>按照公式（1）计算</w:t>
      </w:r>
      <w:r>
        <w:rPr>
          <w:rFonts w:hint="eastAsia" w:ascii="Times New Roman" w:hAnsi="Times New Roman" w:eastAsia="宋体" w:cs="Times New Roman"/>
          <w:kern w:val="2"/>
          <w:sz w:val="24"/>
          <w:szCs w:val="24"/>
        </w:rPr>
        <w:t>；</w:t>
      </w:r>
    </w:p>
    <w:p>
      <w:pPr>
        <w:jc w:val="right"/>
        <w:rPr>
          <w:rFonts w:ascii="Times New Roman" w:hAnsi="Times New Roman" w:cs="Times New Roman"/>
          <w:bCs/>
          <w:color w:val="000000"/>
          <w:sz w:val="21"/>
          <w:szCs w:val="21"/>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r>
          <m:rPr/>
          <w:rPr>
            <w:rFonts w:ascii="Cambria Math" w:hAnsi="Cambria Math" w:cs="Times New Roman"/>
            <w:color w:val="000000"/>
            <w:sz w:val="21"/>
            <w:szCs w:val="21"/>
          </w:rPr>
          <m:t>=</m:t>
        </m:r>
        <m:d>
          <m:dPr>
            <m:begChr m:val="|"/>
            <m:endChr m:val="|"/>
            <m:ctrlPr>
              <w:rPr>
                <w:rFonts w:ascii="Cambria Math" w:hAnsi="Cambria Math" w:cs="Times New Roman"/>
                <w:i/>
                <w:iCs/>
                <w:color w:val="000000"/>
                <w:sz w:val="21"/>
                <w:szCs w:val="21"/>
              </w:rPr>
            </m:ctrlPr>
          </m:dPr>
          <m:e>
            <m:acc>
              <m:accPr>
                <m:chr m:val="̅"/>
                <m:ctrlPr>
                  <w:rPr>
                    <w:rFonts w:ascii="Cambria Math" w:hAnsi="Cambria Math" w:cs="Times New Roman"/>
                    <w:i/>
                    <w:iCs/>
                    <w:color w:val="000000"/>
                    <w:sz w:val="21"/>
                    <w:szCs w:val="21"/>
                  </w:rPr>
                </m:ctrlPr>
              </m:accPr>
              <m:e>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acc>
            <m:r>
              <m:rPr/>
              <w:rPr>
                <w:rFonts w:ascii="Cambria Math" w:hAnsi="Cambria Math" w:cs="Times New Roman"/>
                <w:color w:val="000000"/>
                <w:sz w:val="21"/>
                <w:szCs w:val="21"/>
              </w:rPr>
              <m:t>−</m:t>
            </m:r>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rPr>
                  <m:t>s</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d>
      </m:oMath>
      <w:r>
        <w:rPr>
          <w:rFonts w:ascii="Times New Roman" w:hAnsi="Times New Roman" w:cs="Times New Roman"/>
          <w:bCs/>
          <w:color w:val="000000"/>
          <w:sz w:val="21"/>
          <w:szCs w:val="21"/>
        </w:rPr>
        <w:t>………………………………………（</w:t>
      </w:r>
      <w:r>
        <w:rPr>
          <w:rFonts w:hint="eastAsia" w:cs="Times New Roman"/>
          <w:bCs/>
          <w:color w:val="000000"/>
          <w:sz w:val="21"/>
          <w:szCs w:val="21"/>
        </w:rPr>
        <w:t>1</w:t>
      </w:r>
      <w:r>
        <w:rPr>
          <w:rFonts w:ascii="Times New Roman" w:hAnsi="Times New Roman" w:cs="Times New Roman"/>
          <w:bCs/>
          <w:color w:val="000000"/>
          <w:sz w:val="21"/>
          <w:szCs w:val="21"/>
        </w:rPr>
        <w:t>）</w:t>
      </w:r>
    </w:p>
    <w:p>
      <w:pPr>
        <w:ind w:firstLine="420"/>
        <w:jc w:val="both"/>
        <w:rPr>
          <w:rFonts w:ascii="宋体" w:hAnsi="宋体" w:eastAsia="宋体" w:cs="Times New Roman"/>
          <w:bCs/>
          <w:color w:val="000000"/>
          <w:sz w:val="24"/>
          <w:szCs w:val="24"/>
        </w:rPr>
      </w:pPr>
      <w:r>
        <w:rPr>
          <w:rFonts w:ascii="宋体" w:hAnsi="宋体" w:eastAsia="宋体" w:cs="Times New Roman"/>
          <w:bCs/>
          <w:color w:val="000000"/>
          <w:sz w:val="24"/>
          <w:szCs w:val="24"/>
        </w:rPr>
        <w:t>式中：</w:t>
      </w:r>
    </w:p>
    <w:p>
      <w:pPr>
        <w:ind w:firstLine="420"/>
        <w:jc w:val="both"/>
        <w:rPr>
          <w:rFonts w:ascii="宋体" w:hAnsi="宋体" w:eastAsia="宋体" w:cs="Times New Roman"/>
          <w:bCs/>
          <w:color w:val="000000"/>
          <w:sz w:val="24"/>
          <w:szCs w:val="24"/>
        </w:rPr>
      </w:pPr>
      <m:oMath>
        <m:acc>
          <m:accPr>
            <m:chr m:val="̅"/>
            <m:ctrlPr>
              <w:rPr>
                <w:rFonts w:ascii="Cambria Math" w:hAnsi="Cambria Math" w:cs="Times New Roman"/>
                <w:i/>
                <w:iCs/>
                <w:color w:val="000000"/>
                <w:sz w:val="21"/>
                <w:szCs w:val="21"/>
              </w:rPr>
            </m:ctrlPr>
          </m:accPr>
          <m:e>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acc>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3次</w:t>
      </w:r>
      <w:r>
        <w:rPr>
          <w:rFonts w:hint="eastAsia" w:ascii="宋体" w:hAnsi="宋体" w:eastAsia="宋体" w:cs="Times New Roman"/>
          <w:bCs/>
          <w:color w:val="000000"/>
          <w:sz w:val="24"/>
          <w:szCs w:val="24"/>
          <w:highlight w:val="none"/>
        </w:rPr>
        <w:t>测量的</w:t>
      </w:r>
      <w:r>
        <w:rPr>
          <w:rFonts w:hint="eastAsia" w:ascii="宋体" w:hAnsi="宋体" w:eastAsia="宋体" w:cs="Times New Roman"/>
          <w:bCs/>
          <w:color w:val="000000"/>
          <w:sz w:val="24"/>
          <w:szCs w:val="24"/>
          <w:highlight w:val="none"/>
          <w:lang w:val="en-US" w:eastAsia="zh-CN"/>
        </w:rPr>
        <w:t>最大烟密度</w:t>
      </w:r>
      <w:r>
        <w:rPr>
          <w:rFonts w:hint="eastAsia" w:ascii="宋体" w:hAnsi="宋体" w:eastAsia="宋体" w:cs="Times New Roman"/>
          <w:bCs/>
          <w:color w:val="000000"/>
          <w:sz w:val="24"/>
          <w:szCs w:val="24"/>
          <w:highlight w:val="none"/>
        </w:rPr>
        <w:t>示值</w:t>
      </w:r>
      <w:r>
        <w:rPr>
          <w:rFonts w:hint="eastAsia" w:ascii="宋体" w:hAnsi="宋体" w:eastAsia="宋体" w:cs="Times New Roman"/>
          <w:bCs/>
          <w:color w:val="000000"/>
          <w:sz w:val="24"/>
          <w:szCs w:val="24"/>
          <w:highlight w:val="none"/>
          <w:lang w:val="en-US" w:eastAsia="zh-CN"/>
        </w:rPr>
        <w:t>的平均值</w:t>
      </w:r>
      <w:r>
        <w:rPr>
          <w:rFonts w:hint="eastAsia" w:ascii="宋体" w:hAnsi="宋体" w:eastAsia="宋体" w:cs="Times New Roman"/>
          <w:bCs/>
          <w:color w:val="000000"/>
          <w:sz w:val="24"/>
          <w:szCs w:val="24"/>
          <w:highlight w:val="none"/>
          <w:lang w:eastAsia="zh-CN"/>
        </w:rPr>
        <w:t>，</w:t>
      </w:r>
      <w:r>
        <w:rPr>
          <w:rFonts w:hint="eastAsia" w:ascii="宋体" w:hAnsi="宋体" w:eastAsia="宋体" w:cs="Times New Roman"/>
          <w:bCs/>
          <w:color w:val="000000"/>
          <w:sz w:val="24"/>
          <w:szCs w:val="24"/>
          <w:highlight w:val="none"/>
          <w:lang w:val="en-US" w:eastAsia="zh-CN"/>
        </w:rPr>
        <w:t>%</w:t>
      </w:r>
      <w:r>
        <w:rPr>
          <w:rFonts w:hint="eastAsia" w:ascii="宋体" w:hAnsi="宋体" w:eastAsia="宋体" w:cs="Times New Roman"/>
          <w:kern w:val="2"/>
          <w:sz w:val="24"/>
          <w:szCs w:val="24"/>
          <w:highlight w:val="none"/>
        </w:rPr>
        <w:t>；</w:t>
      </w:r>
    </w:p>
    <w:p>
      <w:pPr>
        <w:ind w:firstLine="420"/>
        <w:jc w:val="both"/>
        <w:rPr>
          <w:rFonts w:ascii="宋体" w:hAnsi="宋体" w:eastAsia="宋体" w:cs="Times New Roman"/>
          <w:bCs/>
          <w:color w:val="000000"/>
          <w:sz w:val="24"/>
          <w:szCs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rPr>
              <m:t>s</m:t>
            </m:r>
            <m:ctrlPr>
              <w:rPr>
                <w:rFonts w:ascii="Cambria Math" w:hAnsi="Cambria Math" w:cs="Times New Roman"/>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标准滤光片的标称值50，%</w:t>
      </w:r>
      <w:r>
        <w:rPr>
          <w:rFonts w:hint="eastAsia" w:ascii="宋体" w:hAnsi="宋体" w:eastAsia="宋体" w:cs="Times New Roman"/>
          <w:bCs/>
          <w:color w:val="000000"/>
          <w:sz w:val="24"/>
          <w:szCs w:val="24"/>
        </w:rPr>
        <w:t>；</w:t>
      </w:r>
    </w:p>
    <w:p>
      <w:pPr>
        <w:ind w:firstLine="420"/>
        <w:jc w:val="both"/>
        <w:rPr>
          <w:rFonts w:hint="eastAsia" w:ascii="宋体" w:hAnsi="宋体" w:eastAsia="宋体" w:cs="Times New Roman"/>
          <w:bCs/>
          <w:color w:val="000000"/>
          <w:sz w:val="24"/>
          <w:szCs w:val="24"/>
          <w:lang w:val="en-US" w:eastAsia="zh-CN"/>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rPr>
        <w:t>测量的</w:t>
      </w:r>
      <w:r>
        <w:rPr>
          <w:rFonts w:hint="eastAsia" w:ascii="宋体" w:hAnsi="宋体" w:eastAsia="宋体" w:cs="Times New Roman"/>
          <w:kern w:val="2"/>
          <w:sz w:val="24"/>
          <w:szCs w:val="24"/>
          <w:lang w:val="en-US" w:eastAsia="zh-CN"/>
        </w:rPr>
        <w:t>最大烟密度</w:t>
      </w:r>
      <w:r>
        <w:rPr>
          <w:rFonts w:hint="eastAsia" w:ascii="宋体" w:hAnsi="宋体" w:eastAsia="宋体" w:cs="Times New Roman"/>
          <w:kern w:val="2"/>
          <w:sz w:val="24"/>
          <w:szCs w:val="24"/>
        </w:rPr>
        <w:t>示值</w:t>
      </w:r>
      <w:r>
        <w:rPr>
          <w:rFonts w:hint="eastAsia" w:ascii="宋体" w:hAnsi="宋体" w:eastAsia="宋体" w:cs="Times New Roman"/>
          <w:bCs/>
          <w:color w:val="000000"/>
          <w:sz w:val="24"/>
          <w:szCs w:val="24"/>
          <w:highlight w:val="none"/>
        </w:rPr>
        <w:t>误差</w:t>
      </w:r>
      <w:r>
        <w:rPr>
          <w:rFonts w:hint="eastAsia" w:ascii="宋体" w:hAnsi="宋体" w:eastAsia="宋体" w:cs="Times New Roman"/>
          <w:bCs/>
          <w:color w:val="000000"/>
          <w:sz w:val="24"/>
          <w:szCs w:val="24"/>
          <w:highlight w:val="none"/>
          <w:lang w:val="en-US" w:eastAsia="zh-CN"/>
        </w:rPr>
        <w:t>,%</w:t>
      </w:r>
    </w:p>
    <w:bookmarkEnd w:id="20"/>
    <w:p>
      <w:pPr>
        <w:spacing w:line="360" w:lineRule="auto"/>
        <w:outlineLvl w:val="2"/>
        <w:rPr>
          <w:rFonts w:ascii="宋体" w:hAnsi="宋体" w:eastAsia="宋体" w:cs="Times New Roman"/>
          <w:kern w:val="2"/>
          <w:sz w:val="24"/>
          <w:szCs w:val="24"/>
        </w:rPr>
      </w:pPr>
      <w:bookmarkStart w:id="29" w:name="_Toc42525461"/>
      <w:bookmarkStart w:id="30" w:name="_Toc4555"/>
      <w:bookmarkStart w:id="31" w:name="_Toc106786443"/>
      <w:bookmarkStart w:id="32" w:name="_Toc104409970"/>
      <w:bookmarkStart w:id="33" w:name="_Toc16381"/>
      <w:r>
        <w:rPr>
          <w:rFonts w:hint="eastAsia" w:ascii="宋体" w:hAnsi="宋体" w:eastAsia="宋体" w:cs="Times New Roman"/>
          <w:kern w:val="2"/>
          <w:sz w:val="24"/>
          <w:szCs w:val="24"/>
        </w:rPr>
        <w:t>6.2.4.2</w:t>
      </w:r>
      <w:bookmarkEnd w:id="29"/>
      <w:r>
        <w:rPr>
          <w:rFonts w:hint="eastAsia" w:ascii="宋体" w:hAnsi="宋体" w:eastAsia="宋体" w:cs="Times New Roman"/>
          <w:kern w:val="2"/>
          <w:sz w:val="24"/>
          <w:szCs w:val="24"/>
          <w:lang w:val="en-US" w:eastAsia="zh-CN"/>
        </w:rPr>
        <w:t>总产烟量</w:t>
      </w:r>
      <w:r>
        <w:rPr>
          <w:rFonts w:hint="eastAsia" w:ascii="宋体" w:hAnsi="宋体" w:eastAsia="宋体" w:cs="Times New Roman"/>
          <w:kern w:val="2"/>
          <w:sz w:val="24"/>
          <w:szCs w:val="24"/>
        </w:rPr>
        <w:t>的示值误差</w:t>
      </w:r>
      <w:bookmarkEnd w:id="30"/>
      <w:bookmarkEnd w:id="31"/>
      <w:bookmarkEnd w:id="32"/>
      <w:bookmarkEnd w:id="33"/>
    </w:p>
    <w:p>
      <w:pPr>
        <w:spacing w:line="360" w:lineRule="auto"/>
        <w:ind w:firstLine="480" w:firstLineChars="200"/>
        <w:rPr>
          <w:rFonts w:asciiTheme="minorEastAsia" w:hAnsiTheme="minorEastAsia" w:cstheme="minorEastAsia"/>
          <w:kern w:val="2"/>
          <w:sz w:val="24"/>
          <w:szCs w:val="24"/>
        </w:rPr>
      </w:pPr>
      <w:bookmarkStart w:id="34" w:name="_Toc24292291"/>
      <w:r>
        <w:rPr>
          <w:rFonts w:hint="eastAsia" w:asciiTheme="minorEastAsia" w:hAnsiTheme="minorEastAsia" w:cstheme="minorEastAsia"/>
          <w:kern w:val="2"/>
          <w:sz w:val="24"/>
          <w:szCs w:val="24"/>
          <w:lang w:val="en-US" w:eastAsia="zh-CN"/>
        </w:rPr>
        <w:t>总产烟量</w:t>
      </w:r>
      <w:r>
        <w:rPr>
          <w:rFonts w:hint="eastAsia" w:asciiTheme="minorEastAsia" w:hAnsiTheme="minorEastAsia" w:cstheme="minorEastAsia"/>
          <w:kern w:val="2"/>
          <w:sz w:val="24"/>
          <w:szCs w:val="24"/>
        </w:rPr>
        <w:t>的</w:t>
      </w:r>
      <w:r>
        <w:rPr>
          <w:rFonts w:hint="eastAsia" w:asciiTheme="minorEastAsia" w:hAnsiTheme="minorEastAsia" w:cstheme="minorEastAsia"/>
          <w:kern w:val="2"/>
          <w:sz w:val="24"/>
          <w:szCs w:val="24"/>
          <w:lang w:val="en-US" w:eastAsia="zh-CN"/>
        </w:rPr>
        <w:t>标称</w:t>
      </w:r>
      <w:r>
        <w:rPr>
          <w:rFonts w:hint="eastAsia" w:asciiTheme="minorEastAsia" w:hAnsiTheme="minorEastAsia" w:cstheme="minorEastAsia"/>
          <w:kern w:val="2"/>
          <w:sz w:val="24"/>
          <w:szCs w:val="24"/>
        </w:rPr>
        <w:t>值与测试值之差，</w:t>
      </w:r>
      <w:r>
        <w:rPr>
          <w:rFonts w:asciiTheme="minorEastAsia" w:hAnsiTheme="minorEastAsia" w:cstheme="minorEastAsia"/>
          <w:kern w:val="2"/>
          <w:sz w:val="24"/>
          <w:szCs w:val="24"/>
        </w:rPr>
        <w:t>按照公式（</w:t>
      </w:r>
      <w:r>
        <w:rPr>
          <w:rFonts w:hint="eastAsia" w:asciiTheme="minorEastAsia" w:hAnsiTheme="minorEastAsia" w:cstheme="minorEastAsia"/>
          <w:kern w:val="2"/>
          <w:sz w:val="24"/>
          <w:szCs w:val="24"/>
          <w:lang w:val="en-US" w:eastAsia="zh-CN"/>
        </w:rPr>
        <w:t>2</w:t>
      </w:r>
      <w:r>
        <w:rPr>
          <w:rFonts w:asciiTheme="minorEastAsia" w:hAnsiTheme="minorEastAsia" w:cstheme="minorEastAsia"/>
          <w:kern w:val="2"/>
          <w:sz w:val="24"/>
          <w:szCs w:val="24"/>
        </w:rPr>
        <w:t>）计算</w:t>
      </w:r>
      <w:r>
        <w:rPr>
          <w:rFonts w:hint="eastAsia" w:asciiTheme="minorEastAsia" w:hAnsiTheme="minorEastAsia" w:cstheme="minorEastAsia"/>
          <w:kern w:val="2"/>
          <w:sz w:val="24"/>
          <w:szCs w:val="24"/>
        </w:rPr>
        <w:t>。</w:t>
      </w:r>
    </w:p>
    <w:p>
      <w:pPr>
        <w:jc w:val="right"/>
        <w:rPr>
          <w:rFonts w:ascii="Times New Roman" w:hAnsi="Times New Roman" w:cs="Times New Roman"/>
          <w:bCs/>
          <w:color w:val="000000"/>
          <w:sz w:val="21"/>
          <w:szCs w:val="21"/>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r>
          <m:rPr/>
          <w:rPr>
            <w:rFonts w:ascii="Cambria Math" w:hAnsi="Cambria Math" w:cs="Times New Roman"/>
            <w:color w:val="000000"/>
            <w:sz w:val="21"/>
            <w:szCs w:val="21"/>
          </w:rPr>
          <m:t>=</m:t>
        </m:r>
        <m:d>
          <m:dPr>
            <m:begChr m:val="|"/>
            <m:endChr m:val="|"/>
            <m:ctrlPr>
              <w:rPr>
                <w:rFonts w:ascii="Cambria Math" w:hAnsi="Cambria Math" w:cs="Times New Roman"/>
                <w:i/>
                <w:iCs/>
                <w:color w:val="000000"/>
                <w:sz w:val="21"/>
                <w:szCs w:val="21"/>
              </w:rPr>
            </m:ctrlPr>
          </m:dPr>
          <m:e>
            <m:acc>
              <m:accPr>
                <m:chr m:val="̅"/>
                <m:ctrlPr>
                  <w:rPr>
                    <w:rFonts w:ascii="Cambria Math" w:hAnsi="Cambria Math" w:cs="Times New Roman"/>
                    <w:i/>
                    <w:iCs/>
                    <w:color w:val="000000"/>
                    <w:sz w:val="21"/>
                    <w:szCs w:val="21"/>
                  </w:rPr>
                </m:ctrlPr>
              </m:accPr>
              <m:e>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acc>
            <m:r>
              <m:rPr/>
              <w:rPr>
                <w:rFonts w:ascii="Cambria Math" w:hAnsi="Cambria Math" w:cs="Times New Roman"/>
                <w:color w:val="000000"/>
                <w:sz w:val="21"/>
                <w:szCs w:val="21"/>
              </w:rPr>
              <m:t>−</m:t>
            </m:r>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rPr>
                  <m:t>s</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d>
      </m:oMath>
      <w:r>
        <w:rPr>
          <w:rFonts w:ascii="Times New Roman" w:hAnsi="Times New Roman" w:cs="Times New Roman"/>
          <w:bCs/>
          <w:color w:val="000000"/>
          <w:sz w:val="21"/>
          <w:szCs w:val="21"/>
        </w:rPr>
        <w:t>………………………………………（</w:t>
      </w:r>
      <w:r>
        <w:rPr>
          <w:rFonts w:hint="eastAsia" w:cs="Times New Roman"/>
          <w:bCs/>
          <w:color w:val="000000"/>
          <w:sz w:val="21"/>
          <w:szCs w:val="21"/>
          <w:lang w:val="en-US" w:eastAsia="zh-CN"/>
        </w:rPr>
        <w:t>2</w:t>
      </w:r>
      <w:r>
        <w:rPr>
          <w:rFonts w:ascii="Times New Roman" w:hAnsi="Times New Roman" w:cs="Times New Roman"/>
          <w:bCs/>
          <w:color w:val="000000"/>
          <w:sz w:val="21"/>
          <w:szCs w:val="21"/>
        </w:rPr>
        <w:t>）</w:t>
      </w:r>
    </w:p>
    <w:p>
      <w:pPr>
        <w:jc w:val="right"/>
        <w:rPr>
          <w:rFonts w:ascii="Times New Roman" w:hAnsi="Times New Roman" w:cs="Times New Roman"/>
          <w:bCs/>
          <w:color w:val="000000"/>
          <w:sz w:val="21"/>
          <w:szCs w:val="21"/>
        </w:rPr>
      </w:pPr>
    </w:p>
    <w:p>
      <w:pPr>
        <w:ind w:firstLine="420"/>
        <w:jc w:val="both"/>
        <w:rPr>
          <w:rFonts w:ascii="宋体" w:hAnsi="宋体" w:eastAsia="宋体" w:cs="Times New Roman"/>
          <w:kern w:val="2"/>
          <w:sz w:val="24"/>
          <w:szCs w:val="24"/>
        </w:rPr>
      </w:pPr>
      <w:r>
        <w:rPr>
          <w:rFonts w:ascii="宋体" w:hAnsi="宋体" w:eastAsia="宋体" w:cs="Times New Roman"/>
          <w:kern w:val="2"/>
          <w:sz w:val="24"/>
          <w:szCs w:val="24"/>
        </w:rPr>
        <w:t>式中：</w:t>
      </w:r>
    </w:p>
    <w:p>
      <w:pPr>
        <w:ind w:firstLine="420"/>
        <w:jc w:val="both"/>
        <w:rPr>
          <w:rFonts w:ascii="宋体" w:hAnsi="宋体" w:eastAsia="宋体" w:cs="Times New Roman"/>
          <w:bCs/>
          <w:color w:val="000000"/>
          <w:sz w:val="24"/>
          <w:szCs w:val="24"/>
        </w:rPr>
      </w:pPr>
      <m:oMath>
        <m:acc>
          <m:accPr>
            <m:chr m:val="̅"/>
            <m:ctrlPr>
              <w:rPr>
                <w:rFonts w:ascii="Cambria Math" w:hAnsi="Cambria Math" w:cs="Times New Roman"/>
                <w:i/>
                <w:iCs/>
                <w:color w:val="000000"/>
                <w:sz w:val="21"/>
                <w:szCs w:val="21"/>
              </w:rPr>
            </m:ctrlPr>
          </m:accPr>
          <m:e>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i/>
                    <w:iCs/>
                    <w:color w:val="000000"/>
                    <w:sz w:val="21"/>
                    <w:szCs w:val="21"/>
                  </w:rPr>
                </m:ctrlPr>
              </m:sub>
            </m:sSub>
            <m:ctrlPr>
              <w:rPr>
                <w:rFonts w:ascii="Cambria Math" w:hAnsi="Cambria Math" w:cs="Times New Roman"/>
                <w:i/>
                <w:iCs/>
                <w:color w:val="000000"/>
                <w:sz w:val="21"/>
                <w:szCs w:val="21"/>
              </w:rPr>
            </m:ctrlPr>
          </m:e>
        </m:acc>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3次</w:t>
      </w:r>
      <w:r>
        <w:rPr>
          <w:rFonts w:hint="eastAsia" w:ascii="宋体" w:hAnsi="宋体" w:eastAsia="宋体" w:cs="Times New Roman"/>
          <w:bCs/>
          <w:color w:val="000000"/>
          <w:sz w:val="24"/>
          <w:szCs w:val="24"/>
          <w:highlight w:val="none"/>
        </w:rPr>
        <w:t>测量的</w:t>
      </w:r>
      <w:r>
        <w:rPr>
          <w:rFonts w:hint="eastAsia" w:ascii="宋体" w:hAnsi="宋体" w:eastAsia="宋体" w:cs="Times New Roman"/>
          <w:bCs/>
          <w:color w:val="000000"/>
          <w:sz w:val="24"/>
          <w:szCs w:val="24"/>
          <w:highlight w:val="none"/>
          <w:lang w:val="en-US" w:eastAsia="zh-CN"/>
        </w:rPr>
        <w:t>总产烟量</w:t>
      </w:r>
      <w:r>
        <w:rPr>
          <w:rFonts w:hint="eastAsia" w:ascii="宋体" w:hAnsi="宋体" w:eastAsia="宋体" w:cs="Times New Roman"/>
          <w:bCs/>
          <w:color w:val="000000"/>
          <w:sz w:val="24"/>
          <w:szCs w:val="24"/>
          <w:highlight w:val="none"/>
        </w:rPr>
        <w:t>示值</w:t>
      </w:r>
      <w:r>
        <w:rPr>
          <w:rFonts w:hint="eastAsia" w:ascii="宋体" w:hAnsi="宋体" w:eastAsia="宋体" w:cs="Times New Roman"/>
          <w:bCs/>
          <w:color w:val="000000"/>
          <w:sz w:val="24"/>
          <w:szCs w:val="24"/>
          <w:highlight w:val="none"/>
          <w:lang w:val="en-US" w:eastAsia="zh-CN"/>
        </w:rPr>
        <w:t>的平均值，%</w:t>
      </w:r>
      <w:r>
        <w:rPr>
          <w:rFonts w:hint="eastAsia" w:ascii="宋体" w:hAnsi="宋体" w:eastAsia="宋体" w:cs="Times New Roman"/>
          <w:bCs/>
          <w:color w:val="000000"/>
          <w:sz w:val="18"/>
          <w:szCs w:val="18"/>
          <w:highlight w:val="none"/>
          <w:lang w:val="en-US" w:eastAsia="zh-CN"/>
        </w:rPr>
        <w:t>·</w:t>
      </w:r>
      <w:r>
        <w:rPr>
          <w:rFonts w:hint="eastAsia" w:ascii="宋体" w:hAnsi="宋体" w:eastAsia="宋体" w:cs="Times New Roman"/>
          <w:bCs/>
          <w:color w:val="000000"/>
          <w:sz w:val="24"/>
          <w:szCs w:val="24"/>
          <w:highlight w:val="none"/>
          <w:lang w:val="en-US" w:eastAsia="zh-CN"/>
        </w:rPr>
        <w:t>min</w:t>
      </w:r>
      <w:r>
        <w:rPr>
          <w:rFonts w:hint="eastAsia" w:ascii="宋体" w:hAnsi="宋体" w:eastAsia="宋体" w:cs="Times New Roman"/>
          <w:bCs/>
          <w:color w:val="000000"/>
          <w:sz w:val="24"/>
          <w:szCs w:val="24"/>
        </w:rPr>
        <w:t>；</w:t>
      </w:r>
    </w:p>
    <w:p>
      <w:pPr>
        <w:ind w:firstLine="420"/>
        <w:jc w:val="both"/>
        <w:rPr>
          <w:rFonts w:ascii="宋体" w:hAnsi="宋体" w:eastAsia="宋体" w:cs="Times New Roman"/>
          <w:bCs/>
          <w:color w:val="000000"/>
          <w:sz w:val="24"/>
          <w:szCs w:val="24"/>
        </w:rPr>
      </w:pPr>
      <m:oMath>
        <m:r>
          <m:rPr/>
          <w:rPr>
            <w:rFonts w:hint="default" w:ascii="Cambria Math" w:hAnsi="Cambria Math" w:cs="Times New Roman"/>
            <w:color w:val="000000"/>
            <w:sz w:val="21"/>
            <w:szCs w:val="21"/>
            <w:lang w:val="en-US" w:eastAsia="zh-CN"/>
          </w:rPr>
          <m:t>Y</m:t>
        </m:r>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标准滤光片模拟测量总产烟量的标称值，%</w:t>
      </w:r>
      <w:r>
        <w:rPr>
          <w:rFonts w:hint="eastAsia" w:ascii="宋体" w:hAnsi="宋体" w:eastAsia="宋体" w:cs="Times New Roman"/>
          <w:bCs/>
          <w:color w:val="000000"/>
          <w:sz w:val="18"/>
          <w:szCs w:val="18"/>
          <w:highlight w:val="none"/>
          <w:lang w:val="en-US" w:eastAsia="zh-CN"/>
        </w:rPr>
        <w:t>·</w:t>
      </w:r>
      <w:r>
        <w:rPr>
          <w:rFonts w:hint="eastAsia" w:ascii="宋体" w:hAnsi="宋体" w:eastAsia="宋体" w:cs="Times New Roman"/>
          <w:bCs/>
          <w:color w:val="000000"/>
          <w:sz w:val="24"/>
          <w:szCs w:val="24"/>
          <w:highlight w:val="none"/>
          <w:lang w:val="en-US" w:eastAsia="zh-CN"/>
        </w:rPr>
        <w:t>min</w:t>
      </w:r>
      <w:r>
        <w:rPr>
          <w:rFonts w:hint="eastAsia" w:ascii="宋体" w:hAnsi="宋体" w:eastAsia="宋体" w:cs="Times New Roman"/>
          <w:bCs/>
          <w:color w:val="000000"/>
          <w:sz w:val="24"/>
          <w:szCs w:val="24"/>
        </w:rPr>
        <w:t>；</w:t>
      </w:r>
    </w:p>
    <w:p>
      <w:pPr>
        <w:ind w:firstLine="420"/>
        <w:jc w:val="both"/>
        <w:rPr>
          <w:rFonts w:hint="eastAsia" w:ascii="宋体" w:hAnsi="宋体" w:eastAsia="宋体" w:cs="Times New Roman"/>
          <w:bCs/>
          <w:color w:val="000000"/>
          <w:sz w:val="24"/>
          <w:szCs w:val="24"/>
          <w:lang w:val="en-US" w:eastAsia="zh-CN"/>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rPr>
        <w:t>测量的</w:t>
      </w:r>
      <w:r>
        <w:rPr>
          <w:rFonts w:hint="eastAsia" w:ascii="宋体" w:hAnsi="宋体" w:eastAsia="宋体" w:cs="Times New Roman"/>
          <w:bCs/>
          <w:color w:val="000000"/>
          <w:sz w:val="24"/>
          <w:szCs w:val="24"/>
          <w:highlight w:val="none"/>
          <w:lang w:val="en-US" w:eastAsia="zh-CN"/>
        </w:rPr>
        <w:t>总产烟量的</w:t>
      </w:r>
      <w:r>
        <w:rPr>
          <w:rFonts w:hint="eastAsia" w:ascii="宋体" w:hAnsi="宋体" w:eastAsia="宋体" w:cs="Times New Roman"/>
          <w:kern w:val="2"/>
          <w:sz w:val="24"/>
          <w:szCs w:val="24"/>
        </w:rPr>
        <w:t>示值</w:t>
      </w:r>
      <w:r>
        <w:rPr>
          <w:rFonts w:hint="eastAsia" w:ascii="宋体" w:hAnsi="宋体" w:eastAsia="宋体" w:cs="Times New Roman"/>
          <w:bCs/>
          <w:color w:val="000000"/>
          <w:sz w:val="24"/>
          <w:szCs w:val="24"/>
          <w:highlight w:val="none"/>
        </w:rPr>
        <w:t>误差</w:t>
      </w:r>
      <w:r>
        <w:rPr>
          <w:rFonts w:hint="eastAsia" w:ascii="宋体" w:hAnsi="宋体" w:eastAsia="宋体" w:cs="Times New Roman"/>
          <w:bCs/>
          <w:color w:val="000000"/>
          <w:sz w:val="24"/>
          <w:szCs w:val="24"/>
          <w:highlight w:val="none"/>
          <w:lang w:val="en-US" w:eastAsia="zh-CN"/>
        </w:rPr>
        <w:t>,%</w:t>
      </w:r>
      <w:r>
        <w:rPr>
          <w:rFonts w:hint="eastAsia" w:ascii="宋体" w:hAnsi="宋体" w:eastAsia="宋体" w:cs="Times New Roman"/>
          <w:bCs/>
          <w:color w:val="000000"/>
          <w:sz w:val="18"/>
          <w:szCs w:val="18"/>
          <w:highlight w:val="none"/>
          <w:lang w:val="en-US" w:eastAsia="zh-CN"/>
        </w:rPr>
        <w:t>·</w:t>
      </w:r>
      <w:r>
        <w:rPr>
          <w:rFonts w:hint="eastAsia" w:ascii="宋体" w:hAnsi="宋体" w:eastAsia="宋体" w:cs="Times New Roman"/>
          <w:bCs/>
          <w:color w:val="000000"/>
          <w:sz w:val="24"/>
          <w:szCs w:val="24"/>
          <w:highlight w:val="none"/>
          <w:lang w:val="en-US" w:eastAsia="zh-CN"/>
        </w:rPr>
        <w:t>min</w:t>
      </w:r>
    </w:p>
    <w:p>
      <w:pPr>
        <w:spacing w:line="360" w:lineRule="auto"/>
        <w:outlineLvl w:val="2"/>
        <w:rPr>
          <w:rFonts w:ascii="黑体" w:hAnsi="黑体" w:eastAsia="黑体" w:cs="Times New Roman"/>
          <w:kern w:val="2"/>
          <w:sz w:val="24"/>
          <w:szCs w:val="24"/>
        </w:rPr>
      </w:pPr>
      <w:bookmarkStart w:id="35" w:name="_Toc13326"/>
      <w:r>
        <w:rPr>
          <w:rFonts w:hint="eastAsia" w:ascii="黑体" w:hAnsi="黑体" w:eastAsia="黑体" w:cs="Times New Roman"/>
          <w:kern w:val="2"/>
          <w:sz w:val="24"/>
          <w:szCs w:val="24"/>
        </w:rPr>
        <w:t>7  校准结果表达</w:t>
      </w:r>
      <w:bookmarkEnd w:id="34"/>
      <w:bookmarkEnd w:id="35"/>
    </w:p>
    <w:p>
      <w:pPr>
        <w:ind w:firstLine="480" w:firstLineChars="200"/>
        <w:rPr>
          <w:sz w:val="24"/>
        </w:rPr>
        <w:sectPr>
          <w:footerReference r:id="rId7" w:type="default"/>
          <w:pgSz w:w="11850" w:h="16783"/>
          <w:pgMar w:top="1440" w:right="1797" w:bottom="1440" w:left="1797" w:header="851" w:footer="992" w:gutter="0"/>
          <w:pgNumType w:start="1"/>
          <w:cols w:space="720" w:num="1"/>
          <w:docGrid w:type="lines" w:linePitch="312" w:charSpace="0"/>
        </w:sectPr>
      </w:pPr>
    </w:p>
    <w:p>
      <w:pPr>
        <w:ind w:firstLine="480" w:firstLineChars="200"/>
        <w:rPr>
          <w:sz w:val="24"/>
        </w:rPr>
      </w:pPr>
      <w:r>
        <w:rPr>
          <w:sz w:val="24"/>
        </w:rPr>
        <w:t>校准结果应在校准证书或校准报告上反映。校准证书应至少包括以下信息：</w:t>
      </w:r>
    </w:p>
    <w:p>
      <w:pPr>
        <w:numPr>
          <w:ilvl w:val="0"/>
          <w:numId w:val="2"/>
        </w:numPr>
        <w:ind w:firstLine="480" w:firstLineChars="200"/>
        <w:rPr>
          <w:sz w:val="24"/>
        </w:rPr>
      </w:pPr>
      <w:r>
        <w:rPr>
          <w:sz w:val="24"/>
        </w:rPr>
        <w:t>标题：“校准证书”或“校准报告”；</w:t>
      </w:r>
    </w:p>
    <w:p>
      <w:pPr>
        <w:numPr>
          <w:ilvl w:val="0"/>
          <w:numId w:val="2"/>
        </w:numPr>
        <w:ind w:firstLine="480" w:firstLineChars="200"/>
        <w:rPr>
          <w:sz w:val="24"/>
        </w:rPr>
      </w:pPr>
      <w:r>
        <w:rPr>
          <w:sz w:val="24"/>
        </w:rPr>
        <w:t>实验室名称和地址；</w:t>
      </w:r>
    </w:p>
    <w:p>
      <w:pPr>
        <w:numPr>
          <w:ilvl w:val="0"/>
          <w:numId w:val="2"/>
        </w:numPr>
        <w:ind w:firstLine="480" w:firstLineChars="200"/>
        <w:rPr>
          <w:sz w:val="24"/>
        </w:rPr>
      </w:pPr>
      <w:r>
        <w:rPr>
          <w:sz w:val="24"/>
        </w:rPr>
        <w:t>进行校准的地点（如果不在实验室内进行校准）；</w:t>
      </w:r>
    </w:p>
    <w:p>
      <w:pPr>
        <w:numPr>
          <w:ilvl w:val="0"/>
          <w:numId w:val="2"/>
        </w:numPr>
        <w:ind w:firstLine="480" w:firstLineChars="200"/>
        <w:rPr>
          <w:sz w:val="24"/>
        </w:rPr>
      </w:pPr>
      <w:r>
        <w:rPr>
          <w:sz w:val="24"/>
        </w:rPr>
        <w:t>证书或报告的唯一性标识（如编号），每页及总页数的标识；</w:t>
      </w:r>
    </w:p>
    <w:p>
      <w:pPr>
        <w:numPr>
          <w:ilvl w:val="0"/>
          <w:numId w:val="2"/>
        </w:numPr>
        <w:ind w:firstLine="480" w:firstLineChars="200"/>
        <w:rPr>
          <w:sz w:val="24"/>
        </w:rPr>
      </w:pPr>
      <w:r>
        <w:rPr>
          <w:sz w:val="24"/>
        </w:rPr>
        <w:t>送校单位的名称和地址；</w:t>
      </w:r>
    </w:p>
    <w:p>
      <w:pPr>
        <w:numPr>
          <w:ilvl w:val="0"/>
          <w:numId w:val="2"/>
        </w:numPr>
        <w:ind w:firstLine="480" w:firstLineChars="200"/>
        <w:rPr>
          <w:sz w:val="24"/>
        </w:rPr>
      </w:pPr>
      <w:r>
        <w:rPr>
          <w:sz w:val="24"/>
        </w:rPr>
        <w:t>被校对象的描述和明确标识；</w:t>
      </w:r>
    </w:p>
    <w:p>
      <w:pPr>
        <w:numPr>
          <w:ilvl w:val="0"/>
          <w:numId w:val="2"/>
        </w:numPr>
        <w:ind w:firstLine="480" w:firstLineChars="200"/>
        <w:rPr>
          <w:sz w:val="24"/>
        </w:rPr>
        <w:sectPr>
          <w:footerReference r:id="rId8" w:type="default"/>
          <w:type w:val="continuous"/>
          <w:pgSz w:w="11850" w:h="16783"/>
          <w:pgMar w:top="1440" w:right="1797" w:bottom="1440" w:left="1797" w:header="851" w:footer="992" w:gutter="0"/>
          <w:pgNumType w:start="7"/>
          <w:cols w:space="720" w:num="1"/>
          <w:docGrid w:type="lines" w:linePitch="312" w:charSpace="0"/>
        </w:sectPr>
      </w:pPr>
    </w:p>
    <w:p>
      <w:pPr>
        <w:numPr>
          <w:ilvl w:val="0"/>
          <w:numId w:val="2"/>
        </w:numPr>
        <w:ind w:firstLine="480" w:firstLineChars="200"/>
        <w:rPr>
          <w:sz w:val="24"/>
        </w:rPr>
      </w:pPr>
      <w:r>
        <w:rPr>
          <w:sz w:val="24"/>
        </w:rPr>
        <w:t>进行校准的日期，如果与校准结果的有效性和应用有关时，应说明被校对象的接收日期；</w:t>
      </w:r>
    </w:p>
    <w:p>
      <w:pPr>
        <w:numPr>
          <w:ilvl w:val="0"/>
          <w:numId w:val="2"/>
        </w:numPr>
        <w:ind w:firstLine="480" w:firstLineChars="200"/>
        <w:rPr>
          <w:sz w:val="24"/>
        </w:rPr>
      </w:pPr>
      <w:r>
        <w:rPr>
          <w:sz w:val="24"/>
        </w:rPr>
        <w:t>校准所依据的技术规范的标识，包括名称和代号；</w:t>
      </w:r>
    </w:p>
    <w:p>
      <w:pPr>
        <w:numPr>
          <w:ilvl w:val="0"/>
          <w:numId w:val="2"/>
        </w:numPr>
        <w:ind w:firstLine="480" w:firstLineChars="200"/>
        <w:rPr>
          <w:sz w:val="24"/>
        </w:rPr>
      </w:pPr>
      <w:r>
        <w:rPr>
          <w:sz w:val="24"/>
        </w:rPr>
        <w:t>校准所用测量标准的溯源性及有效性说明；</w:t>
      </w:r>
    </w:p>
    <w:p>
      <w:pPr>
        <w:numPr>
          <w:ilvl w:val="0"/>
          <w:numId w:val="2"/>
        </w:numPr>
        <w:ind w:firstLine="480" w:firstLineChars="200"/>
        <w:rPr>
          <w:sz w:val="24"/>
        </w:rPr>
      </w:pPr>
      <w:r>
        <w:rPr>
          <w:sz w:val="24"/>
        </w:rPr>
        <w:t>校准环境的描述；</w:t>
      </w:r>
    </w:p>
    <w:p>
      <w:pPr>
        <w:numPr>
          <w:ilvl w:val="0"/>
          <w:numId w:val="2"/>
        </w:numPr>
        <w:ind w:firstLine="480" w:firstLineChars="200"/>
        <w:rPr>
          <w:sz w:val="24"/>
        </w:rPr>
      </w:pPr>
      <w:r>
        <w:rPr>
          <w:sz w:val="24"/>
        </w:rPr>
        <w:t>校准结果及测量不确定度的说明；</w:t>
      </w:r>
    </w:p>
    <w:p>
      <w:pPr>
        <w:numPr>
          <w:ilvl w:val="0"/>
          <w:numId w:val="2"/>
        </w:numPr>
        <w:ind w:firstLine="480" w:firstLineChars="200"/>
        <w:rPr>
          <w:sz w:val="24"/>
        </w:rPr>
      </w:pPr>
      <w:r>
        <w:rPr>
          <w:sz w:val="24"/>
        </w:rPr>
        <w:t>对校准规范的偏离的说明；</w:t>
      </w:r>
    </w:p>
    <w:p>
      <w:pPr>
        <w:numPr>
          <w:ilvl w:val="0"/>
          <w:numId w:val="2"/>
        </w:numPr>
        <w:ind w:firstLine="480" w:firstLineChars="200"/>
        <w:rPr>
          <w:sz w:val="24"/>
        </w:rPr>
      </w:pPr>
      <w:r>
        <w:rPr>
          <w:sz w:val="24"/>
        </w:rPr>
        <w:t>校准证书或校准报告签发人的签名、职务或等效标识；</w:t>
      </w:r>
    </w:p>
    <w:p>
      <w:pPr>
        <w:numPr>
          <w:ilvl w:val="0"/>
          <w:numId w:val="2"/>
        </w:numPr>
        <w:ind w:firstLine="480" w:firstLineChars="200"/>
        <w:rPr>
          <w:sz w:val="24"/>
        </w:rPr>
      </w:pPr>
      <w:r>
        <w:rPr>
          <w:sz w:val="24"/>
        </w:rPr>
        <w:t>校准结果仅对被校对象有效的声明；</w:t>
      </w:r>
    </w:p>
    <w:p>
      <w:pPr>
        <w:outlineLvl w:val="0"/>
        <w:rPr>
          <w:sz w:val="24"/>
        </w:rPr>
      </w:pPr>
      <w:bookmarkStart w:id="36" w:name="_Toc24679"/>
      <w:bookmarkStart w:id="37" w:name="_Toc106786446"/>
      <w:bookmarkStart w:id="38" w:name="_Toc30000"/>
      <w:r>
        <w:rPr>
          <w:sz w:val="24"/>
        </w:rPr>
        <w:t>未经实验室书面批准，不得部分复制校准证书或校准报告的声明。</w:t>
      </w:r>
      <w:bookmarkEnd w:id="36"/>
      <w:bookmarkEnd w:id="37"/>
      <w:bookmarkEnd w:id="38"/>
    </w:p>
    <w:p>
      <w:pPr>
        <w:spacing w:line="360" w:lineRule="auto"/>
        <w:outlineLvl w:val="2"/>
        <w:rPr>
          <w:rFonts w:ascii="黑体" w:hAnsi="黑体" w:eastAsia="黑体" w:cs="Times New Roman"/>
          <w:kern w:val="2"/>
          <w:sz w:val="24"/>
          <w:szCs w:val="24"/>
        </w:rPr>
      </w:pPr>
      <w:bookmarkStart w:id="39" w:name="_Toc2683"/>
      <w:r>
        <w:rPr>
          <w:rFonts w:hint="eastAsia" w:ascii="黑体" w:hAnsi="黑体" w:eastAsia="黑体" w:cs="Times New Roman"/>
          <w:kern w:val="2"/>
          <w:sz w:val="24"/>
          <w:szCs w:val="24"/>
        </w:rPr>
        <w:t>8   复校时间间隔</w:t>
      </w:r>
      <w:bookmarkEnd w:id="39"/>
    </w:p>
    <w:p>
      <w:pPr>
        <w:ind w:firstLine="420" w:firstLineChars="175"/>
        <w:rPr>
          <w:sz w:val="24"/>
        </w:rPr>
      </w:pPr>
      <w:r>
        <w:rPr>
          <w:sz w:val="24"/>
        </w:rPr>
        <w:t>由于复校时间间隔的长短是由仪器的使用情况、使用者、仪器本身质量等诸因素所决定的，因此，送校单位也可根据实际使用情况自主决定复校时间间隔。</w:t>
      </w:r>
    </w:p>
    <w:p>
      <w:pPr>
        <w:ind w:firstLine="420" w:firstLineChars="175"/>
        <w:rPr>
          <w:sz w:val="24"/>
        </w:rPr>
        <w:sectPr>
          <w:footerReference r:id="rId9" w:type="default"/>
          <w:pgSz w:w="11850" w:h="16783"/>
          <w:pgMar w:top="1440" w:right="1797" w:bottom="1440" w:left="1797" w:header="851" w:footer="992" w:gutter="0"/>
          <w:pgNumType w:start="6"/>
          <w:cols w:space="720" w:num="1"/>
          <w:docGrid w:type="lines" w:linePitch="312" w:charSpace="0"/>
        </w:sectPr>
      </w:pPr>
    </w:p>
    <w:p>
      <w:pPr>
        <w:ind w:firstLine="420" w:firstLineChars="175"/>
        <w:rPr>
          <w:sz w:val="24"/>
        </w:rPr>
        <w:sectPr>
          <w:type w:val="continuous"/>
          <w:pgSz w:w="11850" w:h="16783"/>
          <w:pgMar w:top="1440" w:right="1797" w:bottom="1440" w:left="1797" w:header="851" w:footer="992" w:gutter="0"/>
          <w:pgNumType w:start="1"/>
          <w:cols w:space="720" w:num="1"/>
          <w:docGrid w:type="lines" w:linePitch="312" w:charSpace="0"/>
        </w:sectPr>
      </w:pPr>
      <w:r>
        <w:rPr>
          <w:sz w:val="24"/>
        </w:rPr>
        <w:t>建议复校时间间隔不超过1年</w:t>
      </w:r>
      <w:r>
        <w:rPr>
          <w:rFonts w:hint="eastAsia"/>
          <w:sz w:val="24"/>
        </w:rPr>
        <w:t>。</w:t>
      </w:r>
    </w:p>
    <w:p>
      <w:pPr>
        <w:numPr>
          <w:ilvl w:val="0"/>
          <w:numId w:val="2"/>
        </w:numPr>
        <w:ind w:firstLine="480" w:firstLineChars="200"/>
        <w:rPr>
          <w:sz w:val="24"/>
        </w:rPr>
        <w:sectPr>
          <w:type w:val="continuous"/>
          <w:pgSz w:w="11850" w:h="16783"/>
          <w:pgMar w:top="1440" w:right="1797" w:bottom="1440" w:left="1797" w:header="851" w:footer="992" w:gutter="0"/>
          <w:pgNumType w:start="1"/>
          <w:cols w:space="720" w:num="1"/>
          <w:docGrid w:type="lines" w:linePitch="312" w:charSpace="0"/>
        </w:sectPr>
      </w:pPr>
    </w:p>
    <w:p>
      <w:pPr>
        <w:outlineLvl w:val="0"/>
        <w:rPr>
          <w:rFonts w:ascii="黑体" w:hAnsi="黑体" w:eastAsia="黑体"/>
          <w:color w:val="000000"/>
          <w:sz w:val="28"/>
          <w:szCs w:val="28"/>
        </w:rPr>
      </w:pPr>
      <w:bookmarkStart w:id="40" w:name="_Toc42525465"/>
      <w:bookmarkStart w:id="41" w:name="_Toc28275"/>
      <w:r>
        <w:rPr>
          <w:rFonts w:ascii="黑体" w:hAnsi="黑体" w:eastAsia="黑体"/>
          <w:color w:val="000000"/>
          <w:sz w:val="28"/>
          <w:szCs w:val="28"/>
        </w:rPr>
        <w:t>附录</w:t>
      </w:r>
      <w:bookmarkEnd w:id="40"/>
      <w:bookmarkStart w:id="42" w:name="_Toc203968426"/>
      <w:r>
        <w:rPr>
          <w:rFonts w:hint="eastAsia" w:ascii="黑体" w:hAnsi="黑体" w:eastAsia="黑体"/>
          <w:color w:val="000000"/>
          <w:sz w:val="28"/>
          <w:szCs w:val="28"/>
        </w:rPr>
        <w:t>A</w:t>
      </w:r>
      <w:bookmarkEnd w:id="41"/>
    </w:p>
    <w:p>
      <w:pPr>
        <w:pStyle w:val="31"/>
        <w:numPr>
          <w:ilvl w:val="1"/>
          <w:numId w:val="0"/>
        </w:numPr>
        <w:spacing w:beforeLines="0" w:afterLines="0" w:line="360" w:lineRule="auto"/>
        <w:jc w:val="center"/>
        <w:outlineLvl w:val="9"/>
        <w:rPr>
          <w:rFonts w:hAnsi="黑体"/>
          <w:sz w:val="28"/>
          <w:szCs w:val="28"/>
        </w:rPr>
      </w:pPr>
      <w:bookmarkStart w:id="43" w:name="_Toc43798814"/>
      <w:bookmarkStart w:id="44" w:name="_Toc498864556"/>
      <w:bookmarkStart w:id="45" w:name="_Toc1226"/>
      <w:bookmarkStart w:id="46" w:name="_Toc42525466"/>
      <w:bookmarkStart w:id="47" w:name="_Toc3380"/>
      <w:r>
        <w:rPr>
          <w:rFonts w:hint="eastAsia" w:hAnsi="黑体"/>
          <w:sz w:val="28"/>
          <w:szCs w:val="28"/>
        </w:rPr>
        <w:t>建筑材料燃烧或分解的烟密度测试装置</w:t>
      </w:r>
      <w:r>
        <w:rPr>
          <w:rFonts w:hAnsi="黑体"/>
          <w:sz w:val="28"/>
          <w:szCs w:val="28"/>
        </w:rPr>
        <w:t>校准证书内页参考格式</w:t>
      </w:r>
      <w:bookmarkEnd w:id="43"/>
      <w:bookmarkEnd w:id="44"/>
      <w:bookmarkEnd w:id="45"/>
      <w:bookmarkEnd w:id="46"/>
      <w:bookmarkEnd w:id="47"/>
    </w:p>
    <w:bookmarkEnd w:id="42"/>
    <w:p>
      <w:pPr>
        <w:spacing w:beforeLines="50" w:line="360" w:lineRule="auto"/>
        <w:jc w:val="center"/>
        <w:rPr>
          <w:rFonts w:eastAsia="黑体"/>
          <w:bCs/>
          <w:sz w:val="28"/>
          <w:szCs w:val="28"/>
        </w:rPr>
      </w:pPr>
      <w:bookmarkStart w:id="48" w:name="_Toc204076589"/>
      <w:bookmarkEnd w:id="48"/>
      <w:bookmarkStart w:id="49" w:name="_Toc204076546"/>
      <w:bookmarkEnd w:id="49"/>
      <w:r>
        <w:rPr>
          <w:rFonts w:eastAsia="黑体"/>
          <w:bCs/>
          <w:sz w:val="28"/>
          <w:szCs w:val="28"/>
        </w:rPr>
        <w:t>校准结果</w:t>
      </w:r>
    </w:p>
    <w:tbl>
      <w:tblPr>
        <w:tblStyle w:val="14"/>
        <w:tblW w:w="9498"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2624"/>
        <w:gridCol w:w="3047"/>
        <w:gridCol w:w="382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Merge w:val="restart"/>
            <w:vAlign w:val="center"/>
          </w:tcPr>
          <w:p>
            <w:pPr>
              <w:jc w:val="center"/>
              <w:rPr>
                <w:rFonts w:eastAsia="黑体"/>
                <w:bCs/>
                <w:sz w:val="24"/>
              </w:rPr>
            </w:pPr>
            <w:bookmarkStart w:id="50" w:name="_Toc402726961"/>
            <w:bookmarkStart w:id="51" w:name="_Toc498864558"/>
            <w:r>
              <w:rPr>
                <w:rFonts w:hint="eastAsia" w:eastAsia="黑体"/>
                <w:bCs/>
                <w:sz w:val="24"/>
              </w:rPr>
              <w:t>校准用</w:t>
            </w:r>
          </w:p>
          <w:p>
            <w:pPr>
              <w:jc w:val="center"/>
              <w:rPr>
                <w:rFonts w:eastAsia="黑体"/>
                <w:bCs/>
                <w:sz w:val="24"/>
              </w:rPr>
            </w:pPr>
            <w:r>
              <w:rPr>
                <w:rFonts w:hint="eastAsia" w:eastAsia="黑体"/>
                <w:bCs/>
                <w:sz w:val="24"/>
              </w:rPr>
              <w:t>计量标准装置</w:t>
            </w:r>
          </w:p>
        </w:tc>
        <w:tc>
          <w:tcPr>
            <w:tcW w:w="6874" w:type="dxa"/>
            <w:gridSpan w:val="2"/>
            <w:vAlign w:val="center"/>
          </w:tcPr>
          <w:p>
            <w:pPr>
              <w:rPr>
                <w:rFonts w:eastAsia="黑体"/>
                <w:sz w:val="24"/>
              </w:rPr>
            </w:pPr>
            <w:r>
              <w:rPr>
                <w:rFonts w:hint="eastAsia" w:eastAsia="黑体"/>
                <w:sz w:val="24"/>
              </w:rPr>
              <w:t>计量标准器名称：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Merge w:val="continue"/>
            <w:vAlign w:val="center"/>
          </w:tcPr>
          <w:p>
            <w:pPr>
              <w:jc w:val="center"/>
              <w:rPr>
                <w:rFonts w:eastAsia="黑体"/>
                <w:bCs/>
                <w:sz w:val="24"/>
              </w:rPr>
            </w:pPr>
          </w:p>
        </w:tc>
        <w:tc>
          <w:tcPr>
            <w:tcW w:w="6874" w:type="dxa"/>
            <w:gridSpan w:val="2"/>
            <w:vAlign w:val="center"/>
          </w:tcPr>
          <w:p>
            <w:pPr>
              <w:rPr>
                <w:rFonts w:eastAsia="黑体"/>
                <w:sz w:val="24"/>
              </w:rPr>
            </w:pPr>
            <w:r>
              <w:rPr>
                <w:rFonts w:hint="eastAsia" w:eastAsia="黑体"/>
                <w:sz w:val="24"/>
              </w:rPr>
              <w:t>计量标准器编号：</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Merge w:val="continue"/>
            <w:vAlign w:val="center"/>
          </w:tcPr>
          <w:p>
            <w:pPr>
              <w:jc w:val="center"/>
              <w:rPr>
                <w:rFonts w:eastAsia="黑体"/>
                <w:bCs/>
                <w:sz w:val="24"/>
              </w:rPr>
            </w:pPr>
          </w:p>
        </w:tc>
        <w:tc>
          <w:tcPr>
            <w:tcW w:w="6874" w:type="dxa"/>
            <w:gridSpan w:val="2"/>
            <w:vAlign w:val="center"/>
          </w:tcPr>
          <w:p>
            <w:pPr>
              <w:rPr>
                <w:rFonts w:eastAsia="黑体"/>
                <w:sz w:val="24"/>
              </w:rPr>
            </w:pPr>
            <w:r>
              <w:rPr>
                <w:rFonts w:hint="eastAsia" w:eastAsia="黑体"/>
                <w:sz w:val="24"/>
              </w:rPr>
              <w:t>准确度等级：</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Merge w:val="continue"/>
            <w:vAlign w:val="center"/>
          </w:tcPr>
          <w:p>
            <w:pPr>
              <w:jc w:val="center"/>
              <w:rPr>
                <w:rFonts w:eastAsia="黑体"/>
                <w:bCs/>
                <w:sz w:val="24"/>
              </w:rPr>
            </w:pPr>
          </w:p>
        </w:tc>
        <w:tc>
          <w:tcPr>
            <w:tcW w:w="6874" w:type="dxa"/>
            <w:gridSpan w:val="2"/>
            <w:vAlign w:val="center"/>
          </w:tcPr>
          <w:p>
            <w:pPr>
              <w:rPr>
                <w:rFonts w:eastAsia="黑体"/>
                <w:sz w:val="24"/>
              </w:rPr>
            </w:pPr>
            <w:r>
              <w:rPr>
                <w:rFonts w:hint="eastAsia" w:eastAsia="黑体"/>
                <w:sz w:val="24"/>
              </w:rPr>
              <w:t>有效期至：</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624" w:type="dxa"/>
            <w:vAlign w:val="center"/>
          </w:tcPr>
          <w:p>
            <w:pPr>
              <w:jc w:val="center"/>
              <w:rPr>
                <w:rFonts w:eastAsia="黑体"/>
                <w:bCs/>
                <w:sz w:val="24"/>
              </w:rPr>
            </w:pPr>
            <w:r>
              <w:rPr>
                <w:rFonts w:hint="eastAsia" w:eastAsia="黑体"/>
                <w:sz w:val="24"/>
              </w:rPr>
              <w:t>计量所依据的技术规范</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01" w:hRule="atLeast"/>
          <w:jc w:val="center"/>
        </w:trPr>
        <w:tc>
          <w:tcPr>
            <w:tcW w:w="2624" w:type="dxa"/>
            <w:vAlign w:val="center"/>
          </w:tcPr>
          <w:p>
            <w:pPr>
              <w:jc w:val="center"/>
              <w:rPr>
                <w:rFonts w:eastAsia="黑体"/>
                <w:bCs/>
                <w:sz w:val="24"/>
              </w:rPr>
            </w:pPr>
            <w:r>
              <w:rPr>
                <w:rFonts w:hint="eastAsia" w:eastAsia="黑体"/>
                <w:sz w:val="24"/>
              </w:rPr>
              <w:t>溯源性说明</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9" w:hRule="atLeast"/>
          <w:jc w:val="center"/>
        </w:trPr>
        <w:tc>
          <w:tcPr>
            <w:tcW w:w="2624" w:type="dxa"/>
            <w:vAlign w:val="center"/>
          </w:tcPr>
          <w:p>
            <w:pPr>
              <w:jc w:val="center"/>
              <w:rPr>
                <w:rFonts w:eastAsia="黑体"/>
                <w:bCs/>
                <w:sz w:val="24"/>
              </w:rPr>
            </w:pPr>
            <w:r>
              <w:rPr>
                <w:rFonts w:hint="eastAsia" w:eastAsia="黑体"/>
                <w:sz w:val="24"/>
              </w:rPr>
              <w:t>校准地点</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Align w:val="center"/>
          </w:tcPr>
          <w:p>
            <w:pPr>
              <w:jc w:val="center"/>
              <w:rPr>
                <w:rFonts w:eastAsia="黑体"/>
                <w:sz w:val="24"/>
              </w:rPr>
            </w:pPr>
            <w:r>
              <w:rPr>
                <w:rFonts w:hint="eastAsia" w:eastAsia="黑体"/>
                <w:sz w:val="24"/>
              </w:rPr>
              <w:t>校准环境</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Align w:val="center"/>
          </w:tcPr>
          <w:p>
            <w:pPr>
              <w:jc w:val="center"/>
              <w:rPr>
                <w:rFonts w:eastAsia="黑体"/>
                <w:bCs/>
                <w:sz w:val="24"/>
              </w:rPr>
            </w:pPr>
            <w:r>
              <w:rPr>
                <w:rFonts w:eastAsia="黑体"/>
                <w:sz w:val="24"/>
              </w:rPr>
              <w:t>外观</w:t>
            </w:r>
            <w:r>
              <w:rPr>
                <w:rFonts w:eastAsia="黑体"/>
                <w:bCs/>
                <w:sz w:val="24"/>
              </w:rPr>
              <w:t>检查结果</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2624" w:type="dxa"/>
            <w:vAlign w:val="center"/>
          </w:tcPr>
          <w:p>
            <w:pPr>
              <w:jc w:val="center"/>
              <w:rPr>
                <w:rFonts w:eastAsia="黑体"/>
                <w:bCs/>
                <w:sz w:val="24"/>
              </w:rPr>
            </w:pPr>
            <w:r>
              <w:rPr>
                <w:rFonts w:hint="eastAsia" w:eastAsia="黑体"/>
                <w:sz w:val="24"/>
              </w:rPr>
              <w:t>功能</w:t>
            </w:r>
            <w:r>
              <w:rPr>
                <w:rFonts w:eastAsia="黑体"/>
                <w:bCs/>
                <w:sz w:val="24"/>
              </w:rPr>
              <w:t>检查结果</w:t>
            </w:r>
          </w:p>
        </w:tc>
        <w:tc>
          <w:tcPr>
            <w:tcW w:w="6874" w:type="dxa"/>
            <w:gridSpan w:val="2"/>
            <w:vAlign w:val="center"/>
          </w:tcPr>
          <w:p>
            <w:pP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68" w:hRule="atLeast"/>
          <w:jc w:val="center"/>
        </w:trPr>
        <w:tc>
          <w:tcPr>
            <w:tcW w:w="2624" w:type="dxa"/>
            <w:vMerge w:val="restart"/>
            <w:vAlign w:val="center"/>
          </w:tcPr>
          <w:p>
            <w:pPr>
              <w:jc w:val="center"/>
              <w:rPr>
                <w:rFonts w:eastAsia="黑体"/>
                <w:sz w:val="24"/>
              </w:rPr>
            </w:pPr>
            <w:r>
              <w:rPr>
                <w:rFonts w:eastAsia="黑体"/>
                <w:sz w:val="24"/>
              </w:rPr>
              <w:t>校准结果</w:t>
            </w:r>
          </w:p>
        </w:tc>
        <w:tc>
          <w:tcPr>
            <w:tcW w:w="3047" w:type="dxa"/>
            <w:tcBorders>
              <w:bottom w:val="single" w:color="auto" w:sz="4" w:space="0"/>
            </w:tcBorders>
            <w:vAlign w:val="center"/>
          </w:tcPr>
          <w:p>
            <w:pPr>
              <w:jc w:val="center"/>
              <w:rPr>
                <w:rFonts w:eastAsia="黑体"/>
                <w:sz w:val="24"/>
              </w:rPr>
            </w:pPr>
            <w:r>
              <w:rPr>
                <w:rFonts w:hint="eastAsia" w:eastAsia="黑体"/>
                <w:sz w:val="24"/>
                <w:lang w:val="en-US" w:eastAsia="zh-CN"/>
              </w:rPr>
              <w:t>最大烟密度</w:t>
            </w:r>
            <w:r>
              <w:rPr>
                <w:rFonts w:hint="eastAsia" w:eastAsia="黑体"/>
                <w:sz w:val="24"/>
              </w:rPr>
              <w:t>示值误差</w:t>
            </w:r>
          </w:p>
        </w:tc>
        <w:tc>
          <w:tcPr>
            <w:tcW w:w="3827" w:type="dxa"/>
            <w:tcBorders>
              <w:bottom w:val="single" w:color="auto" w:sz="4" w:space="0"/>
            </w:tcBorders>
            <w:vAlign w:val="center"/>
          </w:tcPr>
          <w:p>
            <w:pPr>
              <w:jc w:val="cente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9" w:hRule="atLeast"/>
          <w:jc w:val="center"/>
        </w:trPr>
        <w:tc>
          <w:tcPr>
            <w:tcW w:w="2624" w:type="dxa"/>
            <w:vMerge w:val="continue"/>
            <w:vAlign w:val="center"/>
          </w:tcPr>
          <w:p>
            <w:pPr>
              <w:jc w:val="center"/>
              <w:rPr>
                <w:rFonts w:eastAsia="黑体"/>
                <w:sz w:val="24"/>
              </w:rPr>
            </w:pPr>
          </w:p>
        </w:tc>
        <w:tc>
          <w:tcPr>
            <w:tcW w:w="3047" w:type="dxa"/>
            <w:tcBorders>
              <w:top w:val="single" w:color="auto" w:sz="4" w:space="0"/>
            </w:tcBorders>
            <w:vAlign w:val="center"/>
          </w:tcPr>
          <w:p>
            <w:pPr>
              <w:jc w:val="center"/>
              <w:rPr>
                <w:rFonts w:hint="eastAsia" w:eastAsia="黑体"/>
                <w:sz w:val="24"/>
                <w:lang w:val="en-US" w:eastAsia="zh-CN"/>
              </w:rPr>
            </w:pPr>
            <w:r>
              <w:rPr>
                <w:rFonts w:hint="eastAsia" w:eastAsia="黑体"/>
                <w:sz w:val="24"/>
                <w:lang w:val="en-US" w:eastAsia="zh-CN"/>
              </w:rPr>
              <w:t>最大烟密度示值误差校准结果的测量不确定度</w:t>
            </w:r>
          </w:p>
        </w:tc>
        <w:tc>
          <w:tcPr>
            <w:tcW w:w="3827" w:type="dxa"/>
            <w:tcBorders>
              <w:top w:val="single" w:color="auto" w:sz="4" w:space="0"/>
            </w:tcBorders>
            <w:vAlign w:val="center"/>
          </w:tcPr>
          <w:p>
            <w:pPr>
              <w:jc w:val="cente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369" w:hRule="atLeast"/>
          <w:jc w:val="center"/>
        </w:trPr>
        <w:tc>
          <w:tcPr>
            <w:tcW w:w="2624" w:type="dxa"/>
            <w:vMerge w:val="continue"/>
            <w:vAlign w:val="center"/>
          </w:tcPr>
          <w:p>
            <w:pPr>
              <w:jc w:val="center"/>
              <w:rPr>
                <w:rFonts w:eastAsia="黑体"/>
                <w:sz w:val="24"/>
              </w:rPr>
            </w:pPr>
          </w:p>
        </w:tc>
        <w:tc>
          <w:tcPr>
            <w:tcW w:w="3047" w:type="dxa"/>
            <w:tcBorders>
              <w:bottom w:val="single" w:color="auto" w:sz="4" w:space="0"/>
            </w:tcBorders>
            <w:vAlign w:val="center"/>
          </w:tcPr>
          <w:p>
            <w:pPr>
              <w:jc w:val="center"/>
              <w:rPr>
                <w:rFonts w:eastAsia="黑体"/>
                <w:sz w:val="24"/>
              </w:rPr>
            </w:pPr>
            <w:r>
              <w:rPr>
                <w:rFonts w:hint="eastAsia" w:eastAsia="黑体"/>
                <w:sz w:val="24"/>
                <w:lang w:val="en-US" w:eastAsia="zh-CN"/>
              </w:rPr>
              <w:t>总产烟量</w:t>
            </w:r>
            <w:r>
              <w:rPr>
                <w:rFonts w:hint="eastAsia" w:eastAsia="黑体"/>
                <w:sz w:val="24"/>
              </w:rPr>
              <w:t>示值误差</w:t>
            </w:r>
          </w:p>
        </w:tc>
        <w:tc>
          <w:tcPr>
            <w:tcW w:w="3827" w:type="dxa"/>
            <w:tcBorders>
              <w:bottom w:val="single" w:color="auto" w:sz="4" w:space="0"/>
            </w:tcBorders>
            <w:vAlign w:val="center"/>
          </w:tcPr>
          <w:p>
            <w:pPr>
              <w:jc w:val="center"/>
              <w:rPr>
                <w:rFonts w:eastAsia="黑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264" w:hRule="atLeast"/>
          <w:jc w:val="center"/>
        </w:trPr>
        <w:tc>
          <w:tcPr>
            <w:tcW w:w="2624" w:type="dxa"/>
            <w:vMerge w:val="continue"/>
            <w:vAlign w:val="center"/>
          </w:tcPr>
          <w:p>
            <w:pPr>
              <w:jc w:val="center"/>
              <w:rPr>
                <w:rFonts w:eastAsia="黑体"/>
                <w:sz w:val="24"/>
              </w:rPr>
            </w:pPr>
            <w:bookmarkStart w:id="52" w:name="_Toc42525467"/>
          </w:p>
        </w:tc>
        <w:tc>
          <w:tcPr>
            <w:tcW w:w="3047" w:type="dxa"/>
            <w:tcBorders>
              <w:top w:val="single" w:color="auto" w:sz="4" w:space="0"/>
            </w:tcBorders>
            <w:vAlign w:val="center"/>
          </w:tcPr>
          <w:p>
            <w:pPr>
              <w:jc w:val="center"/>
              <w:rPr>
                <w:rFonts w:hint="eastAsia" w:eastAsia="黑体"/>
                <w:sz w:val="24"/>
                <w:lang w:val="en-US" w:eastAsia="zh-CN"/>
              </w:rPr>
            </w:pPr>
            <w:r>
              <w:rPr>
                <w:rFonts w:hint="eastAsia" w:eastAsia="黑体"/>
                <w:sz w:val="24"/>
                <w:lang w:val="en-US" w:eastAsia="zh-CN"/>
              </w:rPr>
              <w:t>总产烟量示值误差校准结果的测量不确定度</w:t>
            </w:r>
          </w:p>
        </w:tc>
        <w:tc>
          <w:tcPr>
            <w:tcW w:w="3827" w:type="dxa"/>
            <w:tcBorders>
              <w:top w:val="single" w:color="auto" w:sz="4" w:space="0"/>
            </w:tcBorders>
            <w:vAlign w:val="center"/>
          </w:tcPr>
          <w:p>
            <w:pPr>
              <w:jc w:val="center"/>
              <w:rPr>
                <w:rFonts w:eastAsia="黑体"/>
                <w:sz w:val="24"/>
              </w:rPr>
            </w:pPr>
          </w:p>
        </w:tc>
      </w:tr>
    </w:tbl>
    <w:p>
      <w:pPr>
        <w:outlineLvl w:val="0"/>
        <w:rPr>
          <w:rFonts w:ascii="黑体" w:hAnsi="黑体" w:eastAsia="黑体"/>
          <w:b/>
          <w:color w:val="000000"/>
          <w:sz w:val="28"/>
          <w:szCs w:val="28"/>
        </w:rPr>
      </w:pPr>
    </w:p>
    <w:p>
      <w:pPr>
        <w:outlineLvl w:val="0"/>
        <w:rPr>
          <w:rFonts w:ascii="黑体" w:hAnsi="黑体" w:eastAsia="黑体"/>
          <w:b/>
          <w:color w:val="000000"/>
          <w:sz w:val="28"/>
          <w:szCs w:val="28"/>
        </w:rPr>
      </w:pPr>
    </w:p>
    <w:p>
      <w:pPr>
        <w:outlineLvl w:val="0"/>
        <w:rPr>
          <w:rFonts w:ascii="黑体" w:hAnsi="黑体" w:eastAsia="黑体"/>
          <w:color w:val="000000"/>
          <w:sz w:val="28"/>
          <w:szCs w:val="28"/>
        </w:rPr>
      </w:pPr>
      <w:bookmarkStart w:id="53" w:name="_Toc28264"/>
      <w:r>
        <w:rPr>
          <w:rFonts w:ascii="黑体" w:hAnsi="黑体" w:eastAsia="黑体"/>
          <w:color w:val="000000"/>
          <w:sz w:val="28"/>
          <w:szCs w:val="28"/>
        </w:rPr>
        <w:t xml:space="preserve">附录 </w:t>
      </w:r>
      <w:bookmarkEnd w:id="50"/>
      <w:bookmarkEnd w:id="52"/>
      <w:r>
        <w:rPr>
          <w:rFonts w:hint="eastAsia" w:ascii="黑体" w:hAnsi="黑体" w:eastAsia="黑体"/>
          <w:color w:val="000000"/>
          <w:sz w:val="28"/>
          <w:szCs w:val="28"/>
        </w:rPr>
        <w:tab/>
      </w:r>
      <w:r>
        <w:rPr>
          <w:rFonts w:hint="eastAsia" w:ascii="黑体" w:hAnsi="黑体" w:eastAsia="黑体"/>
          <w:color w:val="000000"/>
          <w:sz w:val="28"/>
          <w:szCs w:val="28"/>
        </w:rPr>
        <w:t>B</w:t>
      </w:r>
      <w:bookmarkEnd w:id="53"/>
    </w:p>
    <w:p>
      <w:pPr>
        <w:pStyle w:val="31"/>
        <w:numPr>
          <w:ilvl w:val="1"/>
          <w:numId w:val="0"/>
        </w:numPr>
        <w:spacing w:beforeLines="0" w:afterLines="0" w:line="360" w:lineRule="auto"/>
        <w:jc w:val="center"/>
        <w:outlineLvl w:val="0"/>
        <w:rPr>
          <w:rFonts w:ascii="Times New Roman"/>
          <w:sz w:val="28"/>
          <w:szCs w:val="28"/>
        </w:rPr>
      </w:pPr>
      <w:bookmarkStart w:id="54" w:name="_Toc42525468"/>
      <w:bookmarkStart w:id="55" w:name="_Toc70240041"/>
      <w:bookmarkStart w:id="56" w:name="_Toc498864557"/>
      <w:bookmarkStart w:id="57" w:name="_Toc16758"/>
      <w:bookmarkStart w:id="58" w:name="_Toc43798816"/>
      <w:bookmarkStart w:id="59" w:name="_Toc31257"/>
      <w:r>
        <w:rPr>
          <w:rFonts w:hint="eastAsia" w:ascii="Times New Roman"/>
          <w:sz w:val="28"/>
          <w:szCs w:val="28"/>
        </w:rPr>
        <w:t>建筑材料燃烧或分解的烟密度测试装置</w:t>
      </w:r>
      <w:r>
        <w:rPr>
          <w:rFonts w:ascii="Times New Roman"/>
          <w:sz w:val="28"/>
          <w:szCs w:val="28"/>
        </w:rPr>
        <w:t>校准原始记录表参考格式</w:t>
      </w:r>
      <w:bookmarkEnd w:id="54"/>
      <w:bookmarkEnd w:id="55"/>
      <w:bookmarkEnd w:id="56"/>
      <w:bookmarkEnd w:id="57"/>
      <w:bookmarkEnd w:id="58"/>
      <w:bookmarkEnd w:id="59"/>
    </w:p>
    <w:p>
      <w:pPr>
        <w:pStyle w:val="31"/>
        <w:numPr>
          <w:ilvl w:val="1"/>
          <w:numId w:val="0"/>
        </w:numPr>
        <w:spacing w:beforeLines="0" w:afterLines="0" w:line="360" w:lineRule="auto"/>
        <w:jc w:val="center"/>
        <w:outlineLvl w:val="0"/>
        <w:rPr>
          <w:rFonts w:ascii="黑体" w:hAnsi="黑体" w:eastAsia="黑体"/>
          <w:sz w:val="28"/>
          <w:szCs w:val="28"/>
        </w:rPr>
      </w:pPr>
      <w:bookmarkStart w:id="60" w:name="_Toc21005"/>
      <w:r>
        <w:rPr>
          <w:rFonts w:hint="eastAsia" w:ascii="Times New Roman"/>
          <w:sz w:val="28"/>
          <w:szCs w:val="28"/>
        </w:rPr>
        <w:t>建筑材料燃烧或分解的烟密度测试装置</w:t>
      </w:r>
      <w:r>
        <w:rPr>
          <w:rFonts w:ascii="黑体" w:hAnsi="黑体" w:eastAsia="黑体"/>
          <w:sz w:val="28"/>
          <w:szCs w:val="28"/>
        </w:rPr>
        <w:t>校准原始记录表</w:t>
      </w:r>
      <w:bookmarkEnd w:id="60"/>
    </w:p>
    <w:tbl>
      <w:tblPr>
        <w:tblStyle w:val="14"/>
        <w:tblW w:w="10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920"/>
        <w:gridCol w:w="71"/>
        <w:gridCol w:w="852"/>
        <w:gridCol w:w="990"/>
        <w:gridCol w:w="1614"/>
        <w:gridCol w:w="5"/>
        <w:gridCol w:w="476"/>
        <w:gridCol w:w="1446"/>
        <w:gridCol w:w="716"/>
        <w:gridCol w:w="5"/>
        <w:gridCol w:w="1093"/>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Align w:val="center"/>
          </w:tcPr>
          <w:p>
            <w:pPr>
              <w:jc w:val="center"/>
              <w:rPr>
                <w:rFonts w:ascii="黑体" w:hAnsi="黑体" w:eastAsia="黑体"/>
                <w:szCs w:val="21"/>
              </w:rPr>
            </w:pPr>
            <w:r>
              <w:rPr>
                <w:rFonts w:ascii="黑体" w:hAnsi="黑体" w:eastAsia="黑体"/>
                <w:szCs w:val="21"/>
              </w:rPr>
              <w:t>校准依据</w:t>
            </w:r>
          </w:p>
        </w:tc>
        <w:tc>
          <w:tcPr>
            <w:tcW w:w="8582" w:type="dxa"/>
            <w:gridSpan w:val="10"/>
            <w:vAlign w:val="center"/>
          </w:tcPr>
          <w:p>
            <w:pP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restart"/>
            <w:vAlign w:val="center"/>
          </w:tcPr>
          <w:p>
            <w:pPr>
              <w:jc w:val="center"/>
              <w:rPr>
                <w:rFonts w:ascii="黑体" w:hAnsi="黑体" w:eastAsia="黑体"/>
                <w:szCs w:val="21"/>
              </w:rPr>
            </w:pPr>
            <w:r>
              <w:rPr>
                <w:rFonts w:ascii="黑体" w:hAnsi="黑体" w:eastAsia="黑体"/>
                <w:szCs w:val="21"/>
              </w:rPr>
              <w:t>校准用</w:t>
            </w:r>
          </w:p>
          <w:p>
            <w:pPr>
              <w:jc w:val="center"/>
              <w:rPr>
                <w:rFonts w:ascii="黑体" w:hAnsi="黑体" w:eastAsia="黑体"/>
                <w:szCs w:val="21"/>
              </w:rPr>
            </w:pPr>
            <w:r>
              <w:rPr>
                <w:rFonts w:ascii="黑体" w:hAnsi="黑体" w:eastAsia="黑体"/>
                <w:szCs w:val="21"/>
              </w:rPr>
              <w:t>计量标准</w:t>
            </w:r>
          </w:p>
          <w:p>
            <w:pPr>
              <w:jc w:val="center"/>
              <w:rPr>
                <w:rFonts w:ascii="黑体" w:hAnsi="黑体" w:eastAsia="黑体"/>
                <w:szCs w:val="21"/>
              </w:rPr>
            </w:pPr>
            <w:r>
              <w:rPr>
                <w:rFonts w:ascii="黑体" w:hAnsi="黑体" w:eastAsia="黑体"/>
                <w:szCs w:val="21"/>
              </w:rPr>
              <w:t>装置</w:t>
            </w:r>
          </w:p>
        </w:tc>
        <w:tc>
          <w:tcPr>
            <w:tcW w:w="1842" w:type="dxa"/>
            <w:gridSpan w:val="2"/>
            <w:vAlign w:val="center"/>
          </w:tcPr>
          <w:p>
            <w:pPr>
              <w:jc w:val="center"/>
              <w:rPr>
                <w:rFonts w:ascii="黑体" w:hAnsi="黑体" w:eastAsia="黑体"/>
                <w:szCs w:val="21"/>
              </w:rPr>
            </w:pPr>
            <w:r>
              <w:rPr>
                <w:rFonts w:ascii="黑体" w:hAnsi="黑体" w:eastAsia="黑体"/>
                <w:szCs w:val="21"/>
              </w:rPr>
              <w:t>计量标准器名称</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计量标准器编号</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准确度等级</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有效期至</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Align w:val="center"/>
          </w:tcPr>
          <w:p>
            <w:pPr>
              <w:jc w:val="center"/>
              <w:rPr>
                <w:rFonts w:ascii="黑体" w:hAnsi="黑体" w:eastAsia="黑体"/>
                <w:szCs w:val="21"/>
              </w:rPr>
            </w:pPr>
            <w:r>
              <w:rPr>
                <w:rFonts w:ascii="黑体" w:hAnsi="黑体" w:eastAsia="黑体"/>
                <w:szCs w:val="21"/>
              </w:rPr>
              <w:t>溯源性说明</w:t>
            </w:r>
          </w:p>
        </w:tc>
        <w:tc>
          <w:tcPr>
            <w:tcW w:w="8582" w:type="dxa"/>
            <w:gridSpan w:val="10"/>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restart"/>
            <w:vAlign w:val="center"/>
          </w:tcPr>
          <w:p>
            <w:pPr>
              <w:jc w:val="center"/>
              <w:rPr>
                <w:rFonts w:ascii="黑体" w:hAnsi="黑体" w:eastAsia="黑体"/>
                <w:szCs w:val="21"/>
              </w:rPr>
            </w:pPr>
            <w:r>
              <w:rPr>
                <w:rFonts w:ascii="黑体" w:hAnsi="黑体" w:eastAsia="黑体"/>
                <w:szCs w:val="21"/>
              </w:rPr>
              <w:t>校准条件</w:t>
            </w:r>
          </w:p>
        </w:tc>
        <w:tc>
          <w:tcPr>
            <w:tcW w:w="1842" w:type="dxa"/>
            <w:gridSpan w:val="2"/>
            <w:vAlign w:val="center"/>
          </w:tcPr>
          <w:p>
            <w:pPr>
              <w:jc w:val="center"/>
              <w:rPr>
                <w:rFonts w:ascii="黑体" w:hAnsi="黑体" w:eastAsia="黑体"/>
                <w:szCs w:val="21"/>
              </w:rPr>
            </w:pPr>
            <w:r>
              <w:rPr>
                <w:rFonts w:ascii="黑体" w:hAnsi="黑体" w:eastAsia="黑体"/>
                <w:szCs w:val="21"/>
              </w:rPr>
              <w:t>校准地点</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hint="eastAsia" w:ascii="黑体" w:hAnsi="黑体" w:eastAsia="黑体"/>
                <w:szCs w:val="21"/>
              </w:rPr>
              <w:t>校准环境</w:t>
            </w:r>
          </w:p>
        </w:tc>
        <w:tc>
          <w:tcPr>
            <w:tcW w:w="3541" w:type="dxa"/>
            <w:gridSpan w:val="4"/>
          </w:tcPr>
          <w:p>
            <w:pPr>
              <w:jc w:val="center"/>
              <w:rPr>
                <w:rFonts w:ascii="黑体" w:hAnsi="黑体" w:eastAsia="黑体"/>
                <w:szCs w:val="21"/>
              </w:rPr>
            </w:pPr>
            <w:r>
              <w:rPr>
                <w:rFonts w:ascii="黑体" w:hAnsi="黑体" w:eastAsia="黑体"/>
                <w:szCs w:val="21"/>
              </w:rPr>
              <w:t>温度</w:t>
            </w:r>
            <w:r>
              <w:rPr>
                <w:rFonts w:hint="eastAsia" w:ascii="黑体" w:hAnsi="黑体" w:eastAsia="黑体"/>
                <w:szCs w:val="21"/>
              </w:rPr>
              <w:t xml:space="preserve">：        </w:t>
            </w:r>
            <w:r>
              <w:rPr>
                <w:rFonts w:ascii="黑体" w:hAnsi="黑体" w:eastAsia="黑体"/>
                <w:szCs w:val="21"/>
              </w:rPr>
              <w:t>℃</w:t>
            </w:r>
          </w:p>
        </w:tc>
        <w:tc>
          <w:tcPr>
            <w:tcW w:w="3199" w:type="dxa"/>
            <w:gridSpan w:val="4"/>
          </w:tcPr>
          <w:p>
            <w:pPr>
              <w:jc w:val="center"/>
              <w:rPr>
                <w:rFonts w:ascii="黑体" w:hAnsi="黑体" w:eastAsia="黑体"/>
                <w:szCs w:val="21"/>
              </w:rPr>
            </w:pPr>
            <w:r>
              <w:rPr>
                <w:rFonts w:hint="eastAsia" w:ascii="黑体" w:hAnsi="黑体" w:eastAsia="黑体"/>
                <w:szCs w:val="21"/>
                <w:lang w:val="en-US" w:eastAsia="zh-CN"/>
              </w:rPr>
              <w:t>相对</w:t>
            </w:r>
            <w:r>
              <w:rPr>
                <w:rFonts w:ascii="黑体" w:hAnsi="黑体" w:eastAsia="黑体"/>
                <w:szCs w:val="21"/>
              </w:rPr>
              <w:t>湿度</w:t>
            </w:r>
            <w:r>
              <w:rPr>
                <w:rFonts w:hint="eastAsia" w:ascii="黑体" w:hAnsi="黑体" w:eastAsia="黑体"/>
                <w:szCs w:val="21"/>
              </w:rPr>
              <w:t xml:space="preserve">：        </w:t>
            </w:r>
            <w:r>
              <w:rPr>
                <w:rFonts w:hint="eastAsia" w:ascii="黑体" w:hAnsi="黑体" w:eastAsia="黑体"/>
                <w:szCs w:val="21"/>
                <w:lang w:val="en-US" w:eastAsia="zh-CN"/>
              </w:rPr>
              <w:t>%</w:t>
            </w:r>
            <w:r>
              <w:rPr>
                <w:rFonts w:ascii="黑体" w:hAnsi="黑体" w:eastAsia="黑体"/>
                <w:szCs w:val="21"/>
              </w:rPr>
              <w:t>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restart"/>
            <w:vAlign w:val="center"/>
          </w:tcPr>
          <w:p>
            <w:pPr>
              <w:rPr>
                <w:rFonts w:ascii="黑体" w:hAnsi="黑体" w:eastAsia="黑体"/>
                <w:szCs w:val="21"/>
              </w:rPr>
            </w:pPr>
          </w:p>
          <w:p>
            <w:pPr>
              <w:jc w:val="center"/>
              <w:rPr>
                <w:rFonts w:ascii="黑体" w:hAnsi="黑体" w:eastAsia="黑体"/>
                <w:szCs w:val="21"/>
              </w:rPr>
            </w:pPr>
            <w:r>
              <w:rPr>
                <w:rFonts w:ascii="黑体" w:hAnsi="黑体" w:eastAsia="黑体"/>
                <w:szCs w:val="21"/>
              </w:rPr>
              <w:t>校</w:t>
            </w:r>
          </w:p>
          <w:p>
            <w:pPr>
              <w:jc w:val="center"/>
              <w:rPr>
                <w:rFonts w:ascii="黑体" w:hAnsi="黑体" w:eastAsia="黑体"/>
                <w:szCs w:val="21"/>
              </w:rPr>
            </w:pPr>
          </w:p>
          <w:p>
            <w:pPr>
              <w:jc w:val="center"/>
              <w:rPr>
                <w:rFonts w:ascii="黑体" w:hAnsi="黑体" w:eastAsia="黑体"/>
                <w:szCs w:val="21"/>
              </w:rPr>
            </w:pPr>
            <w:r>
              <w:rPr>
                <w:rFonts w:ascii="黑体" w:hAnsi="黑体" w:eastAsia="黑体"/>
                <w:szCs w:val="21"/>
              </w:rPr>
              <w:t>准</w:t>
            </w:r>
          </w:p>
          <w:p>
            <w:pPr>
              <w:jc w:val="center"/>
              <w:rPr>
                <w:rFonts w:ascii="黑体" w:hAnsi="黑体" w:eastAsia="黑体"/>
                <w:szCs w:val="21"/>
              </w:rPr>
            </w:pPr>
          </w:p>
          <w:p>
            <w:pPr>
              <w:jc w:val="center"/>
              <w:rPr>
                <w:rFonts w:ascii="黑体" w:hAnsi="黑体" w:eastAsia="黑体"/>
                <w:szCs w:val="21"/>
              </w:rPr>
            </w:pPr>
            <w:r>
              <w:rPr>
                <w:rFonts w:ascii="黑体" w:hAnsi="黑体" w:eastAsia="黑体"/>
                <w:szCs w:val="21"/>
              </w:rPr>
              <w:t>过</w:t>
            </w:r>
          </w:p>
          <w:p>
            <w:pPr>
              <w:rPr>
                <w:rFonts w:ascii="黑体" w:hAnsi="黑体" w:eastAsia="黑体"/>
                <w:szCs w:val="21"/>
              </w:rPr>
            </w:pPr>
          </w:p>
          <w:p>
            <w:pPr>
              <w:jc w:val="center"/>
              <w:rPr>
                <w:rFonts w:ascii="黑体" w:hAnsi="黑体" w:eastAsia="黑体"/>
                <w:szCs w:val="21"/>
              </w:rPr>
            </w:pPr>
            <w:r>
              <w:rPr>
                <w:rFonts w:ascii="黑体" w:hAnsi="黑体" w:eastAsia="黑体"/>
                <w:szCs w:val="21"/>
              </w:rPr>
              <w:t>程</w:t>
            </w:r>
          </w:p>
        </w:tc>
        <w:tc>
          <w:tcPr>
            <w:tcW w:w="991" w:type="dxa"/>
            <w:gridSpan w:val="2"/>
            <w:vMerge w:val="restart"/>
            <w:vAlign w:val="center"/>
          </w:tcPr>
          <w:p>
            <w:pPr>
              <w:jc w:val="center"/>
              <w:rPr>
                <w:rFonts w:ascii="黑体" w:hAnsi="黑体" w:eastAsia="黑体"/>
                <w:szCs w:val="21"/>
              </w:rPr>
            </w:pPr>
            <w:r>
              <w:rPr>
                <w:rFonts w:ascii="黑体" w:hAnsi="黑体" w:eastAsia="黑体"/>
                <w:szCs w:val="21"/>
              </w:rPr>
              <w:t>基本</w:t>
            </w:r>
          </w:p>
          <w:p>
            <w:pPr>
              <w:jc w:val="center"/>
              <w:rPr>
                <w:rFonts w:ascii="黑体" w:hAnsi="黑体" w:eastAsia="黑体"/>
                <w:szCs w:val="21"/>
              </w:rPr>
            </w:pPr>
            <w:r>
              <w:rPr>
                <w:rFonts w:ascii="黑体" w:hAnsi="黑体" w:eastAsia="黑体"/>
                <w:szCs w:val="21"/>
              </w:rPr>
              <w:t>信息</w:t>
            </w:r>
          </w:p>
        </w:tc>
        <w:tc>
          <w:tcPr>
            <w:tcW w:w="1842" w:type="dxa"/>
            <w:gridSpan w:val="2"/>
            <w:vAlign w:val="center"/>
          </w:tcPr>
          <w:p>
            <w:pPr>
              <w:jc w:val="center"/>
              <w:rPr>
                <w:rFonts w:ascii="黑体" w:hAnsi="黑体" w:eastAsia="黑体"/>
                <w:szCs w:val="21"/>
              </w:rPr>
            </w:pPr>
            <w:r>
              <w:rPr>
                <w:rFonts w:ascii="黑体" w:hAnsi="黑体" w:eastAsia="黑体"/>
                <w:szCs w:val="21"/>
              </w:rPr>
              <w:t>证书编号</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rPr>
                <w:rFonts w:ascii="黑体" w:hAnsi="黑体" w:eastAsia="黑体"/>
                <w:szCs w:val="21"/>
              </w:rPr>
            </w:pPr>
          </w:p>
        </w:tc>
        <w:tc>
          <w:tcPr>
            <w:tcW w:w="991" w:type="dxa"/>
            <w:gridSpan w:val="2"/>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校准样品名称</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rPr>
                <w:rFonts w:ascii="黑体" w:hAnsi="黑体" w:eastAsia="黑体"/>
                <w:szCs w:val="21"/>
              </w:rPr>
            </w:pPr>
          </w:p>
        </w:tc>
        <w:tc>
          <w:tcPr>
            <w:tcW w:w="991" w:type="dxa"/>
            <w:gridSpan w:val="2"/>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委托单位</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rPr>
                <w:rFonts w:ascii="黑体" w:hAnsi="黑体" w:eastAsia="黑体"/>
                <w:szCs w:val="21"/>
              </w:rPr>
            </w:pPr>
          </w:p>
        </w:tc>
        <w:tc>
          <w:tcPr>
            <w:tcW w:w="991" w:type="dxa"/>
            <w:gridSpan w:val="2"/>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制造单位</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rPr>
                <w:rFonts w:ascii="黑体" w:hAnsi="黑体" w:eastAsia="黑体"/>
                <w:szCs w:val="21"/>
              </w:rPr>
            </w:pPr>
          </w:p>
        </w:tc>
        <w:tc>
          <w:tcPr>
            <w:tcW w:w="991" w:type="dxa"/>
            <w:gridSpan w:val="2"/>
            <w:vMerge w:val="continue"/>
            <w:vAlign w:val="center"/>
          </w:tcPr>
          <w:p>
            <w:pPr>
              <w:jc w:val="center"/>
              <w:rPr>
                <w:rFonts w:ascii="黑体" w:hAnsi="黑体" w:eastAsia="黑体"/>
                <w:szCs w:val="21"/>
              </w:rPr>
            </w:pPr>
          </w:p>
        </w:tc>
        <w:tc>
          <w:tcPr>
            <w:tcW w:w="1842" w:type="dxa"/>
            <w:gridSpan w:val="2"/>
            <w:vAlign w:val="center"/>
          </w:tcPr>
          <w:p>
            <w:pPr>
              <w:jc w:val="center"/>
              <w:rPr>
                <w:rFonts w:ascii="黑体" w:hAnsi="黑体" w:eastAsia="黑体"/>
                <w:szCs w:val="21"/>
              </w:rPr>
            </w:pPr>
            <w:r>
              <w:rPr>
                <w:rFonts w:ascii="黑体" w:hAnsi="黑体" w:eastAsia="黑体"/>
                <w:szCs w:val="21"/>
              </w:rPr>
              <w:t>型号规格</w:t>
            </w:r>
          </w:p>
        </w:tc>
        <w:tc>
          <w:tcPr>
            <w:tcW w:w="6740" w:type="dxa"/>
            <w:gridSpan w:val="8"/>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jc w:val="center"/>
              <w:rPr>
                <w:rFonts w:ascii="黑体" w:hAnsi="黑体" w:eastAsia="黑体"/>
                <w:szCs w:val="21"/>
              </w:rPr>
            </w:pPr>
          </w:p>
        </w:tc>
        <w:tc>
          <w:tcPr>
            <w:tcW w:w="1843" w:type="dxa"/>
            <w:gridSpan w:val="3"/>
            <w:vAlign w:val="center"/>
          </w:tcPr>
          <w:p>
            <w:pPr>
              <w:ind w:firstLine="110" w:firstLineChars="50"/>
              <w:jc w:val="center"/>
              <w:rPr>
                <w:rFonts w:ascii="黑体" w:hAnsi="黑体" w:eastAsia="黑体"/>
                <w:szCs w:val="21"/>
              </w:rPr>
            </w:pPr>
            <w:r>
              <w:rPr>
                <w:rFonts w:ascii="黑体" w:hAnsi="黑体" w:eastAsia="黑体"/>
                <w:szCs w:val="21"/>
              </w:rPr>
              <w:t>外观检查</w:t>
            </w:r>
          </w:p>
        </w:tc>
        <w:tc>
          <w:tcPr>
            <w:tcW w:w="7730" w:type="dxa"/>
            <w:gridSpan w:val="9"/>
            <w:vAlign w:val="center"/>
          </w:tcPr>
          <w:p>
            <w:pPr>
              <w:ind w:firstLine="110" w:firstLineChars="50"/>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4" w:type="dxa"/>
            <w:vMerge w:val="continue"/>
            <w:vAlign w:val="center"/>
          </w:tcPr>
          <w:p>
            <w:pPr>
              <w:jc w:val="center"/>
              <w:rPr>
                <w:rFonts w:ascii="黑体" w:hAnsi="黑体" w:eastAsia="黑体"/>
                <w:szCs w:val="21"/>
              </w:rPr>
            </w:pPr>
          </w:p>
        </w:tc>
        <w:tc>
          <w:tcPr>
            <w:tcW w:w="1843" w:type="dxa"/>
            <w:gridSpan w:val="3"/>
            <w:vAlign w:val="center"/>
          </w:tcPr>
          <w:p>
            <w:pPr>
              <w:ind w:firstLine="110" w:firstLineChars="50"/>
              <w:jc w:val="center"/>
              <w:rPr>
                <w:rFonts w:ascii="黑体" w:hAnsi="黑体" w:eastAsia="黑体"/>
                <w:szCs w:val="21"/>
              </w:rPr>
            </w:pPr>
            <w:r>
              <w:rPr>
                <w:rFonts w:hint="eastAsia" w:ascii="黑体" w:hAnsi="黑体" w:eastAsia="黑体"/>
                <w:szCs w:val="21"/>
              </w:rPr>
              <w:t>功能</w:t>
            </w:r>
            <w:r>
              <w:rPr>
                <w:rFonts w:ascii="黑体" w:hAnsi="黑体" w:eastAsia="黑体"/>
                <w:szCs w:val="21"/>
              </w:rPr>
              <w:t>检查</w:t>
            </w:r>
          </w:p>
        </w:tc>
        <w:tc>
          <w:tcPr>
            <w:tcW w:w="7730" w:type="dxa"/>
            <w:gridSpan w:val="9"/>
            <w:vAlign w:val="center"/>
          </w:tcPr>
          <w:p>
            <w:pPr>
              <w:ind w:firstLine="110" w:firstLineChars="50"/>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564" w:type="dxa"/>
            <w:vMerge w:val="continue"/>
            <w:vAlign w:val="center"/>
          </w:tcPr>
          <w:p>
            <w:pPr>
              <w:jc w:val="center"/>
              <w:rPr>
                <w:rFonts w:ascii="黑体" w:hAnsi="黑体" w:eastAsia="黑体"/>
                <w:szCs w:val="21"/>
              </w:rPr>
            </w:pPr>
          </w:p>
        </w:tc>
        <w:tc>
          <w:tcPr>
            <w:tcW w:w="1843" w:type="dxa"/>
            <w:gridSpan w:val="3"/>
            <w:vMerge w:val="restart"/>
            <w:vAlign w:val="center"/>
          </w:tcPr>
          <w:p>
            <w:pPr>
              <w:jc w:val="center"/>
              <w:rPr>
                <w:rFonts w:ascii="黑体" w:hAnsi="黑体" w:eastAsia="黑体"/>
                <w:szCs w:val="21"/>
              </w:rPr>
            </w:pPr>
            <w:r>
              <w:rPr>
                <w:rFonts w:hint="eastAsia" w:ascii="黑体" w:hAnsi="黑体" w:eastAsia="黑体"/>
                <w:szCs w:val="21"/>
                <w:lang w:val="en-US" w:eastAsia="zh-CN"/>
              </w:rPr>
              <w:t>最大烟密度</w:t>
            </w:r>
            <w:r>
              <w:rPr>
                <w:rFonts w:hint="eastAsia" w:ascii="黑体" w:hAnsi="黑体" w:eastAsia="黑体"/>
                <w:szCs w:val="21"/>
              </w:rPr>
              <w:t>示值误差</w:t>
            </w:r>
            <w:r>
              <w:rPr>
                <w:rFonts w:ascii="黑体" w:hAnsi="黑体" w:eastAsia="黑体"/>
                <w:szCs w:val="21"/>
              </w:rPr>
              <w:t>校准</w:t>
            </w:r>
          </w:p>
        </w:tc>
        <w:tc>
          <w:tcPr>
            <w:tcW w:w="7730" w:type="dxa"/>
            <w:gridSpan w:val="9"/>
            <w:vAlign w:val="center"/>
          </w:tcPr>
          <w:p>
            <w:pPr>
              <w:jc w:val="center"/>
              <w:rPr>
                <w:rFonts w:hint="default" w:ascii="黑体" w:hAnsi="黑体" w:eastAsia="黑体"/>
                <w:sz w:val="24"/>
                <w:lang w:val="en-US" w:eastAsia="zh-CN"/>
              </w:rPr>
            </w:pPr>
            <w:r>
              <w:rPr>
                <w:rFonts w:hint="eastAsia" w:ascii="黑体" w:hAnsi="黑体" w:eastAsia="黑体"/>
                <w:szCs w:val="21"/>
                <w:lang w:val="en-US" w:eastAsia="zh-CN"/>
              </w:rPr>
              <w:t>最大烟密度测试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2604" w:type="dxa"/>
            <w:gridSpan w:val="2"/>
            <w:vAlign w:val="center"/>
          </w:tcPr>
          <w:p>
            <w:pPr>
              <w:jc w:val="center"/>
              <w:rPr>
                <w:rFonts w:hint="eastAsia" w:ascii="黑体" w:hAnsi="黑体" w:eastAsiaTheme="minorEastAsia"/>
                <w:sz w:val="24"/>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1</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643" w:type="dxa"/>
            <w:gridSpan w:val="4"/>
            <w:vAlign w:val="center"/>
          </w:tcPr>
          <w:p>
            <w:pPr>
              <w:jc w:val="center"/>
              <w:rPr>
                <w:rFonts w:ascii="黑体" w:hAnsi="黑体" w:eastAsia="黑体"/>
                <w:sz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2</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483" w:type="dxa"/>
            <w:gridSpan w:val="3"/>
            <w:vAlign w:val="center"/>
          </w:tcPr>
          <w:p>
            <w:pPr>
              <w:jc w:val="center"/>
              <w:rPr>
                <w:rFonts w:ascii="黑体" w:hAnsi="黑体" w:eastAsia="黑体"/>
                <w:sz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3</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ascii="黑体" w:hAnsi="黑体" w:eastAsia="黑体"/>
                <w:szCs w:val="21"/>
              </w:rPr>
            </w:pPr>
          </w:p>
        </w:tc>
        <w:tc>
          <w:tcPr>
            <w:tcW w:w="5247" w:type="dxa"/>
            <w:gridSpan w:val="6"/>
            <w:vAlign w:val="center"/>
          </w:tcPr>
          <w:p>
            <w:pPr>
              <w:jc w:val="center"/>
              <w:rPr>
                <w:rFonts w:hint="default" w:ascii="黑体" w:hAnsi="黑体" w:eastAsia="黑体"/>
                <w:szCs w:val="21"/>
                <w:lang w:val="en-US" w:eastAsia="zh-CN"/>
              </w:rPr>
            </w:pPr>
            <w:r>
              <w:rPr>
                <w:rFonts w:hint="eastAsia" w:ascii="黑体" w:hAnsi="黑体" w:eastAsia="黑体"/>
                <w:szCs w:val="21"/>
                <w:lang w:val="en-US" w:eastAsia="zh-CN"/>
              </w:rPr>
              <w:t>最大烟密度示值误差</w:t>
            </w:r>
          </w:p>
        </w:tc>
        <w:tc>
          <w:tcPr>
            <w:tcW w:w="2483" w:type="dxa"/>
            <w:gridSpan w:val="3"/>
            <w:vAlign w:val="center"/>
          </w:tcPr>
          <w:p>
            <w:pPr>
              <w:jc w:val="center"/>
              <w:rPr>
                <w:rFonts w:ascii="黑体" w:hAns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ascii="黑体" w:hAnsi="黑体" w:eastAsia="黑体"/>
                <w:szCs w:val="21"/>
              </w:rPr>
            </w:pPr>
          </w:p>
        </w:tc>
        <w:tc>
          <w:tcPr>
            <w:tcW w:w="5247" w:type="dxa"/>
            <w:gridSpan w:val="6"/>
            <w:vAlign w:val="center"/>
          </w:tcPr>
          <w:p>
            <w:pPr>
              <w:jc w:val="center"/>
              <w:rPr>
                <w:rFonts w:hint="default" w:ascii="黑体" w:hAnsi="黑体" w:eastAsia="黑体"/>
                <w:szCs w:val="21"/>
                <w:lang w:val="en-US" w:eastAsia="zh-CN"/>
              </w:rPr>
            </w:pPr>
            <w:r>
              <w:rPr>
                <w:rFonts w:hint="eastAsia" w:ascii="黑体" w:hAnsi="黑体" w:eastAsia="黑体"/>
                <w:szCs w:val="21"/>
                <w:lang w:val="en-US" w:eastAsia="zh-CN"/>
              </w:rPr>
              <w:t>最大烟密度示值误差校准结果测量不确定度</w:t>
            </w:r>
          </w:p>
        </w:tc>
        <w:tc>
          <w:tcPr>
            <w:tcW w:w="2483" w:type="dxa"/>
            <w:gridSpan w:val="3"/>
            <w:vAlign w:val="center"/>
          </w:tcPr>
          <w:p>
            <w:pPr>
              <w:rPr>
                <w:rFonts w:ascii="黑体" w:hAns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restart"/>
            <w:vAlign w:val="center"/>
          </w:tcPr>
          <w:p>
            <w:pPr>
              <w:jc w:val="center"/>
              <w:rPr>
                <w:rFonts w:ascii="黑体" w:hAnsi="黑体" w:eastAsia="黑体"/>
                <w:szCs w:val="21"/>
              </w:rPr>
            </w:pPr>
            <w:r>
              <w:rPr>
                <w:rFonts w:hint="eastAsia" w:ascii="黑体" w:hAnsi="黑体" w:eastAsia="黑体"/>
                <w:szCs w:val="21"/>
                <w:lang w:val="en-US" w:eastAsia="zh-CN"/>
              </w:rPr>
              <w:t>总产烟量</w:t>
            </w:r>
            <w:r>
              <w:rPr>
                <w:rFonts w:hint="eastAsia" w:ascii="黑体" w:hAnsi="黑体" w:eastAsia="黑体"/>
                <w:szCs w:val="21"/>
              </w:rPr>
              <w:t>示值误差校准</w:t>
            </w:r>
          </w:p>
        </w:tc>
        <w:tc>
          <w:tcPr>
            <w:tcW w:w="7730" w:type="dxa"/>
            <w:gridSpan w:val="9"/>
            <w:vAlign w:val="center"/>
          </w:tcPr>
          <w:p>
            <w:pPr>
              <w:jc w:val="center"/>
              <w:rPr>
                <w:rFonts w:ascii="黑体" w:hAnsi="黑体" w:eastAsia="黑体"/>
                <w:i/>
                <w:sz w:val="24"/>
              </w:rPr>
            </w:pPr>
            <w:r>
              <w:rPr>
                <w:rFonts w:hint="eastAsia" w:ascii="黑体" w:hAnsi="黑体" w:eastAsia="黑体"/>
                <w:szCs w:val="21"/>
                <w:lang w:val="en-US" w:eastAsia="zh-CN"/>
              </w:rPr>
              <w:t>总产烟量测试（透光率25%滤光片）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2604" w:type="dxa"/>
            <w:gridSpan w:val="2"/>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1</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643" w:type="dxa"/>
            <w:gridSpan w:val="4"/>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2</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483" w:type="dxa"/>
            <w:gridSpan w:val="3"/>
            <w:vAlign w:val="center"/>
          </w:tcPr>
          <w:p>
            <w:pPr>
              <w:jc w:val="center"/>
              <w:rPr>
                <w:rFonts w:ascii="黑体" w:hAnsi="黑体" w:eastAsia="黑体"/>
                <w:i/>
                <w:sz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3</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5247" w:type="dxa"/>
            <w:gridSpan w:val="6"/>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总产烟量示值误差</w:t>
            </w:r>
          </w:p>
        </w:tc>
        <w:tc>
          <w:tcPr>
            <w:tcW w:w="2483" w:type="dxa"/>
            <w:gridSpan w:val="3"/>
            <w:vAlign w:val="center"/>
          </w:tcPr>
          <w:p>
            <w:pPr>
              <w:jc w:val="center"/>
              <w:rPr>
                <w:rFonts w:ascii="黑体" w:hAnsi="黑体" w:eastAsia="黑体"/>
                <w:i/>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5247" w:type="dxa"/>
            <w:gridSpan w:val="6"/>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总产烟量校准结果测量不确定度</w:t>
            </w:r>
          </w:p>
        </w:tc>
        <w:tc>
          <w:tcPr>
            <w:tcW w:w="2483" w:type="dxa"/>
            <w:gridSpan w:val="3"/>
            <w:vAlign w:val="center"/>
          </w:tcPr>
          <w:p>
            <w:pPr>
              <w:jc w:val="center"/>
              <w:rPr>
                <w:rFonts w:ascii="黑体" w:hAnsi="黑体" w:eastAsia="黑体"/>
                <w:i/>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7730" w:type="dxa"/>
            <w:gridSpan w:val="9"/>
            <w:vAlign w:val="center"/>
          </w:tcPr>
          <w:p>
            <w:pPr>
              <w:jc w:val="center"/>
              <w:rPr>
                <w:rFonts w:ascii="黑体" w:hAnsi="黑体" w:eastAsia="黑体"/>
                <w:i/>
                <w:sz w:val="24"/>
              </w:rPr>
            </w:pPr>
            <w:r>
              <w:rPr>
                <w:rFonts w:hint="eastAsia" w:ascii="黑体" w:hAnsi="黑体" w:eastAsia="黑体"/>
                <w:szCs w:val="21"/>
                <w:lang w:val="en-US" w:eastAsia="zh-CN"/>
              </w:rPr>
              <w:t>总产烟量测试（透光率50%滤光片）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2609" w:type="dxa"/>
            <w:gridSpan w:val="3"/>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1</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643" w:type="dxa"/>
            <w:gridSpan w:val="4"/>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2</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478" w:type="dxa"/>
            <w:gridSpan w:val="2"/>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3</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5252" w:type="dxa"/>
            <w:gridSpan w:val="7"/>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总产烟量示值误差</w:t>
            </w:r>
          </w:p>
        </w:tc>
        <w:tc>
          <w:tcPr>
            <w:tcW w:w="2478" w:type="dxa"/>
            <w:gridSpan w:val="2"/>
            <w:vAlign w:val="center"/>
          </w:tcPr>
          <w:p>
            <w:pPr>
              <w:jc w:val="center"/>
              <w:rPr>
                <w:rFonts w:hint="eastAsia" w:ascii="黑体" w:hAnsi="黑体" w:eastAsia="黑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5252" w:type="dxa"/>
            <w:gridSpan w:val="7"/>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总产烟量校准结果测量不确定度</w:t>
            </w:r>
          </w:p>
        </w:tc>
        <w:tc>
          <w:tcPr>
            <w:tcW w:w="2478" w:type="dxa"/>
            <w:gridSpan w:val="2"/>
            <w:vAlign w:val="center"/>
          </w:tcPr>
          <w:p>
            <w:pPr>
              <w:jc w:val="center"/>
              <w:rPr>
                <w:rFonts w:hint="eastAsia" w:ascii="黑体" w:hAnsi="黑体" w:eastAsia="黑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7730" w:type="dxa"/>
            <w:gridSpan w:val="9"/>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总产烟量测试（透光率75%滤光片）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2604" w:type="dxa"/>
            <w:gridSpan w:val="2"/>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1</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643" w:type="dxa"/>
            <w:gridSpan w:val="4"/>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2</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c>
          <w:tcPr>
            <w:tcW w:w="2483" w:type="dxa"/>
            <w:gridSpan w:val="3"/>
            <w:vAlign w:val="center"/>
          </w:tcPr>
          <w:p>
            <w:pPr>
              <w:jc w:val="center"/>
              <w:rPr>
                <w:rFonts w:hint="eastAsia" w:ascii="黑体" w:hAnsi="黑体" w:eastAsia="黑体"/>
                <w:szCs w:val="21"/>
                <w:lang w:val="en-US" w:eastAsia="zh-CN"/>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Y</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lang w:val="en-US" w:eastAsia="zh-CN"/>
                    </w:rPr>
                    <m:t>3</m:t>
                  </m:r>
                  <m:ctrlPr>
                    <w:rPr>
                      <w:rFonts w:ascii="Cambria Math" w:hAnsi="Cambria Math" w:cs="Times New Roman"/>
                      <w:i/>
                      <w:iCs/>
                      <w:color w:val="000000"/>
                      <w:sz w:val="21"/>
                      <w:szCs w:val="21"/>
                    </w:rPr>
                  </m:ctrlPr>
                </m:sub>
              </m:sSub>
            </m:oMath>
            <w:r>
              <w:rPr>
                <w:rFonts w:hint="eastAsia" w:hAnsi="Cambria Math" w:cs="Times New Roman"/>
                <w:i w:val="0"/>
                <w:i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hint="eastAsia" w:ascii="黑体" w:hAnsi="黑体" w:eastAsia="黑体"/>
                <w:szCs w:val="21"/>
                <w:lang w:val="en-US" w:eastAsia="zh-CN"/>
              </w:rPr>
            </w:pPr>
          </w:p>
        </w:tc>
        <w:tc>
          <w:tcPr>
            <w:tcW w:w="5247" w:type="dxa"/>
            <w:gridSpan w:val="6"/>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总产烟量示值误差</w:t>
            </w:r>
          </w:p>
        </w:tc>
        <w:tc>
          <w:tcPr>
            <w:tcW w:w="2483" w:type="dxa"/>
            <w:gridSpan w:val="3"/>
            <w:vAlign w:val="center"/>
          </w:tcPr>
          <w:p>
            <w:pPr>
              <w:jc w:val="center"/>
              <w:rPr>
                <w:rFonts w:hint="eastAsia" w:ascii="黑体" w:hAnsi="黑体" w:eastAsia="黑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4" w:type="dxa"/>
            <w:vMerge w:val="continue"/>
            <w:vAlign w:val="center"/>
          </w:tcPr>
          <w:p>
            <w:pPr>
              <w:jc w:val="center"/>
              <w:rPr>
                <w:rFonts w:ascii="黑体" w:hAnsi="黑体" w:eastAsia="黑体"/>
                <w:szCs w:val="21"/>
              </w:rPr>
            </w:pPr>
          </w:p>
        </w:tc>
        <w:tc>
          <w:tcPr>
            <w:tcW w:w="1843" w:type="dxa"/>
            <w:gridSpan w:val="3"/>
            <w:vMerge w:val="continue"/>
            <w:vAlign w:val="center"/>
          </w:tcPr>
          <w:p>
            <w:pPr>
              <w:jc w:val="center"/>
              <w:rPr>
                <w:rFonts w:ascii="黑体" w:hAnsi="黑体" w:eastAsia="黑体"/>
                <w:szCs w:val="21"/>
              </w:rPr>
            </w:pPr>
          </w:p>
        </w:tc>
        <w:tc>
          <w:tcPr>
            <w:tcW w:w="5247" w:type="dxa"/>
            <w:gridSpan w:val="6"/>
            <w:vAlign w:val="center"/>
          </w:tcPr>
          <w:p>
            <w:pPr>
              <w:jc w:val="center"/>
              <w:rPr>
                <w:rFonts w:hint="eastAsia" w:ascii="黑体" w:hAnsi="黑体" w:eastAsia="黑体"/>
                <w:szCs w:val="21"/>
                <w:lang w:val="en-US" w:eastAsia="zh-CN"/>
              </w:rPr>
            </w:pPr>
            <w:r>
              <w:rPr>
                <w:rFonts w:hint="eastAsia" w:ascii="黑体" w:hAnsi="黑体" w:eastAsia="黑体"/>
                <w:szCs w:val="21"/>
                <w:lang w:val="en-US" w:eastAsia="zh-CN"/>
              </w:rPr>
              <w:t>总产烟量校准结果测量不确定度</w:t>
            </w:r>
          </w:p>
        </w:tc>
        <w:tc>
          <w:tcPr>
            <w:tcW w:w="2483" w:type="dxa"/>
            <w:gridSpan w:val="3"/>
            <w:vAlign w:val="center"/>
          </w:tcPr>
          <w:p>
            <w:pPr>
              <w:jc w:val="center"/>
              <w:rPr>
                <w:rFonts w:hint="eastAsia" w:ascii="黑体" w:hAnsi="黑体" w:eastAsia="黑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4" w:type="dxa"/>
            <w:gridSpan w:val="2"/>
            <w:vAlign w:val="center"/>
          </w:tcPr>
          <w:p>
            <w:pPr>
              <w:jc w:val="center"/>
              <w:rPr>
                <w:rFonts w:ascii="黑体" w:hAnsi="黑体" w:eastAsia="黑体"/>
                <w:szCs w:val="21"/>
              </w:rPr>
            </w:pPr>
            <w:r>
              <w:rPr>
                <w:rFonts w:ascii="黑体" w:hAnsi="黑体" w:eastAsia="黑体"/>
                <w:szCs w:val="21"/>
              </w:rPr>
              <w:t>校准日期</w:t>
            </w:r>
          </w:p>
        </w:tc>
        <w:tc>
          <w:tcPr>
            <w:tcW w:w="923" w:type="dxa"/>
            <w:gridSpan w:val="2"/>
            <w:vAlign w:val="center"/>
          </w:tcPr>
          <w:p>
            <w:pPr>
              <w:jc w:val="center"/>
              <w:rPr>
                <w:rFonts w:ascii="黑体" w:hAnsi="黑体" w:eastAsia="黑体"/>
                <w:szCs w:val="21"/>
              </w:rPr>
            </w:pPr>
            <w:r>
              <w:rPr>
                <w:rFonts w:hint="eastAsia" w:ascii="黑体" w:hAnsi="黑体" w:eastAsia="黑体"/>
                <w:szCs w:val="21"/>
              </w:rPr>
              <w:t xml:space="preserve">  </w:t>
            </w:r>
          </w:p>
        </w:tc>
        <w:tc>
          <w:tcPr>
            <w:tcW w:w="3085" w:type="dxa"/>
            <w:gridSpan w:val="4"/>
            <w:vAlign w:val="center"/>
          </w:tcPr>
          <w:p>
            <w:pPr>
              <w:jc w:val="center"/>
              <w:rPr>
                <w:rFonts w:ascii="黑体" w:hAnsi="黑体" w:eastAsia="黑体"/>
                <w:szCs w:val="21"/>
              </w:rPr>
            </w:pPr>
            <w:r>
              <w:rPr>
                <w:rFonts w:ascii="黑体" w:hAnsi="黑体" w:eastAsia="黑体"/>
                <w:szCs w:val="21"/>
              </w:rPr>
              <w:t>校准员</w:t>
            </w:r>
          </w:p>
        </w:tc>
        <w:tc>
          <w:tcPr>
            <w:tcW w:w="2162" w:type="dxa"/>
            <w:gridSpan w:val="2"/>
            <w:vAlign w:val="center"/>
          </w:tcPr>
          <w:p>
            <w:pPr>
              <w:jc w:val="center"/>
              <w:rPr>
                <w:rFonts w:ascii="黑体" w:hAnsi="黑体" w:eastAsia="黑体"/>
                <w:szCs w:val="21"/>
              </w:rPr>
            </w:pPr>
          </w:p>
        </w:tc>
        <w:tc>
          <w:tcPr>
            <w:tcW w:w="1098" w:type="dxa"/>
            <w:gridSpan w:val="2"/>
            <w:vAlign w:val="center"/>
          </w:tcPr>
          <w:p>
            <w:pPr>
              <w:jc w:val="center"/>
              <w:rPr>
                <w:rFonts w:ascii="黑体" w:hAnsi="黑体" w:eastAsia="黑体"/>
                <w:szCs w:val="21"/>
              </w:rPr>
            </w:pPr>
            <w:r>
              <w:rPr>
                <w:rFonts w:ascii="黑体" w:hAnsi="黑体" w:eastAsia="黑体"/>
                <w:szCs w:val="21"/>
              </w:rPr>
              <w:t>核验员</w:t>
            </w:r>
          </w:p>
        </w:tc>
        <w:tc>
          <w:tcPr>
            <w:tcW w:w="1385" w:type="dxa"/>
            <w:vAlign w:val="center"/>
          </w:tcPr>
          <w:p>
            <w:pPr>
              <w:jc w:val="center"/>
              <w:rPr>
                <w:rFonts w:ascii="黑体" w:hAnsi="黑体" w:eastAsia="黑体"/>
                <w:szCs w:val="21"/>
              </w:rPr>
            </w:pPr>
          </w:p>
        </w:tc>
      </w:tr>
      <w:bookmarkEnd w:id="51"/>
    </w:tbl>
    <w:p>
      <w:pPr>
        <w:outlineLvl w:val="0"/>
        <w:rPr>
          <w:rFonts w:ascii="黑体" w:hAnsi="黑体" w:eastAsia="黑体"/>
          <w:b/>
          <w:color w:val="000000"/>
          <w:sz w:val="28"/>
          <w:szCs w:val="28"/>
        </w:rPr>
      </w:pPr>
      <w:bookmarkStart w:id="61" w:name="_Toc30215"/>
      <w:bookmarkStart w:id="62" w:name="_Toc70240043"/>
      <w:bookmarkStart w:id="63" w:name="_Toc20244"/>
      <w:bookmarkStart w:id="64" w:name="_Toc43736181"/>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p>
    <w:p>
      <w:pPr>
        <w:outlineLvl w:val="0"/>
        <w:rPr>
          <w:rFonts w:ascii="黑体" w:hAnsi="黑体" w:eastAsia="黑体"/>
          <w:color w:val="000000"/>
          <w:sz w:val="28"/>
          <w:szCs w:val="28"/>
        </w:rPr>
      </w:pPr>
      <w:bookmarkStart w:id="65" w:name="_Toc32330"/>
      <w:r>
        <w:rPr>
          <w:rFonts w:ascii="黑体" w:hAnsi="黑体" w:eastAsia="黑体"/>
          <w:color w:val="000000"/>
          <w:sz w:val="28"/>
          <w:szCs w:val="28"/>
        </w:rPr>
        <w:t xml:space="preserve">附录 </w:t>
      </w:r>
      <w:r>
        <w:rPr>
          <w:rFonts w:hint="eastAsia" w:ascii="黑体" w:hAnsi="黑体" w:eastAsia="黑体"/>
          <w:color w:val="000000"/>
          <w:sz w:val="28"/>
          <w:szCs w:val="28"/>
        </w:rPr>
        <w:t>C</w:t>
      </w:r>
      <w:bookmarkEnd w:id="65"/>
    </w:p>
    <w:p>
      <w:pPr>
        <w:pStyle w:val="31"/>
        <w:numPr>
          <w:ilvl w:val="1"/>
          <w:numId w:val="0"/>
        </w:numPr>
        <w:spacing w:beforeLines="0" w:afterLines="0" w:line="360" w:lineRule="auto"/>
        <w:ind w:firstLine="140" w:firstLineChars="50"/>
        <w:jc w:val="center"/>
        <w:outlineLvl w:val="0"/>
        <w:rPr>
          <w:rFonts w:ascii="Times New Roman"/>
          <w:color w:val="000000"/>
          <w:sz w:val="28"/>
          <w:szCs w:val="28"/>
        </w:rPr>
      </w:pPr>
      <w:bookmarkStart w:id="66" w:name="_Toc11703"/>
      <w:r>
        <w:rPr>
          <w:rFonts w:hint="eastAsia" w:hAnsi="黑体"/>
          <w:sz w:val="28"/>
          <w:szCs w:val="28"/>
          <w:lang w:val="en-US" w:eastAsia="zh-CN"/>
        </w:rPr>
        <w:t>最大烟密度</w:t>
      </w:r>
      <w:r>
        <w:rPr>
          <w:rFonts w:hint="eastAsia" w:hAnsi="黑体"/>
          <w:sz w:val="28"/>
          <w:szCs w:val="28"/>
        </w:rPr>
        <w:t>示值误差</w:t>
      </w:r>
      <w:r>
        <w:rPr>
          <w:rFonts w:hint="eastAsia" w:ascii="Times New Roman"/>
          <w:color w:val="000000"/>
          <w:sz w:val="28"/>
          <w:szCs w:val="28"/>
        </w:rPr>
        <w:t>校准结果</w:t>
      </w:r>
      <w:r>
        <w:rPr>
          <w:rFonts w:ascii="Times New Roman"/>
          <w:color w:val="000000"/>
          <w:sz w:val="28"/>
          <w:szCs w:val="28"/>
        </w:rPr>
        <w:t>的测量不确定度评定示例</w:t>
      </w:r>
      <w:bookmarkEnd w:id="61"/>
      <w:bookmarkEnd w:id="62"/>
      <w:bookmarkEnd w:id="63"/>
      <w:bookmarkEnd w:id="64"/>
      <w:bookmarkEnd w:id="66"/>
    </w:p>
    <w:p>
      <w:pPr>
        <w:topLinePunct/>
        <w:spacing w:before="156" w:beforeLines="50" w:after="156" w:afterLines="50" w:line="300" w:lineRule="auto"/>
        <w:rPr>
          <w:rFonts w:hint="eastAsia" w:ascii="黑体" w:hAnsi="黑体" w:eastAsia="黑体"/>
          <w:sz w:val="24"/>
        </w:rPr>
      </w:pPr>
      <w:r>
        <w:rPr>
          <w:rFonts w:ascii="黑体" w:hAnsi="黑体" w:eastAsia="黑体"/>
          <w:sz w:val="24"/>
        </w:rPr>
        <w:t xml:space="preserve">C.1  </w:t>
      </w:r>
      <w:r>
        <w:rPr>
          <w:rFonts w:hint="eastAsia" w:ascii="黑体" w:hAnsi="黑体" w:eastAsia="黑体"/>
          <w:sz w:val="24"/>
        </w:rPr>
        <w:t>校准方法</w:t>
      </w:r>
    </w:p>
    <w:p>
      <w:pPr>
        <w:topLinePunct/>
        <w:spacing w:line="300" w:lineRule="auto"/>
        <w:ind w:firstLine="480" w:firstLineChars="200"/>
        <w:rPr>
          <w:rFonts w:ascii="宋体" w:hAnsi="宋体"/>
          <w:sz w:val="24"/>
        </w:rPr>
      </w:pPr>
      <w:r>
        <w:rPr>
          <w:rFonts w:hint="eastAsia" w:ascii="宋体" w:hAnsi="宋体"/>
          <w:sz w:val="24"/>
        </w:rPr>
        <w:t>按本规范第</w:t>
      </w:r>
      <w:r>
        <w:rPr>
          <w:rFonts w:ascii="宋体" w:hAnsi="宋体"/>
          <w:sz w:val="24"/>
        </w:rPr>
        <w:t>6.2</w:t>
      </w:r>
      <w:r>
        <w:rPr>
          <w:rFonts w:hint="eastAsia" w:ascii="宋体" w:hAnsi="宋体"/>
          <w:sz w:val="24"/>
        </w:rPr>
        <w:t>条的规定进行。</w:t>
      </w:r>
    </w:p>
    <w:p>
      <w:pPr>
        <w:topLinePunct/>
        <w:spacing w:before="156" w:beforeLines="50" w:after="156" w:afterLines="50" w:line="300" w:lineRule="auto"/>
        <w:rPr>
          <w:rFonts w:hint="eastAsia" w:ascii="黑体" w:hAnsi="黑体" w:eastAsia="黑体"/>
          <w:sz w:val="24"/>
        </w:rPr>
      </w:pPr>
      <w:r>
        <w:rPr>
          <w:rFonts w:ascii="黑体" w:hAnsi="黑体" w:eastAsia="黑体"/>
          <w:sz w:val="24"/>
        </w:rPr>
        <w:t xml:space="preserve">C.2  </w:t>
      </w:r>
      <w:r>
        <w:rPr>
          <w:rFonts w:hint="eastAsia" w:ascii="黑体" w:hAnsi="黑体" w:eastAsia="黑体"/>
          <w:sz w:val="24"/>
        </w:rPr>
        <w:t>校准环境</w:t>
      </w:r>
    </w:p>
    <w:p>
      <w:pPr>
        <w:topLinePunct/>
        <w:spacing w:line="300" w:lineRule="auto"/>
        <w:ind w:firstLine="480" w:firstLineChars="200"/>
        <w:rPr>
          <w:rFonts w:ascii="宋体" w:hAnsi="宋体"/>
          <w:sz w:val="24"/>
        </w:rPr>
      </w:pPr>
      <w:r>
        <w:rPr>
          <w:rFonts w:hint="eastAsia" w:ascii="宋体" w:hAnsi="宋体"/>
          <w:sz w:val="24"/>
        </w:rPr>
        <w:t>温度(</w:t>
      </w:r>
      <w:r>
        <w:rPr>
          <w:rFonts w:hint="eastAsia" w:ascii="宋体" w:hAnsi="宋体"/>
          <w:color w:val="000000"/>
          <w:sz w:val="24"/>
          <w:lang w:val="en-US" w:eastAsia="zh-CN"/>
        </w:rPr>
        <w:t>23±2</w:t>
      </w:r>
      <w:r>
        <w:rPr>
          <w:rFonts w:hint="eastAsia" w:ascii="宋体" w:hAnsi="宋体"/>
          <w:sz w:val="24"/>
        </w:rPr>
        <w:t>)</w:t>
      </w:r>
      <w:r>
        <w:rPr>
          <w:rFonts w:ascii="宋体" w:hAnsi="宋体"/>
          <w:sz w:val="24"/>
        </w:rPr>
        <w:t>℃</w:t>
      </w:r>
      <w:r>
        <w:rPr>
          <w:rFonts w:hint="eastAsia" w:ascii="宋体" w:hAnsi="宋体"/>
          <w:sz w:val="24"/>
        </w:rPr>
        <w:t>、相对湿度</w:t>
      </w:r>
      <w:r>
        <w:rPr>
          <w:rFonts w:hint="eastAsia" w:ascii="宋体" w:hAnsi="宋体"/>
          <w:sz w:val="24"/>
          <w:lang w:eastAsia="zh-CN"/>
        </w:rPr>
        <w:t>（</w:t>
      </w:r>
      <w:r>
        <w:rPr>
          <w:rFonts w:hint="eastAsia" w:ascii="宋体" w:hAnsi="宋体"/>
          <w:sz w:val="24"/>
          <w:lang w:val="en-US" w:eastAsia="zh-CN"/>
        </w:rPr>
        <w:t>50±5</w:t>
      </w:r>
      <w:r>
        <w:rPr>
          <w:rFonts w:hint="eastAsia" w:ascii="宋体" w:hAnsi="宋体"/>
          <w:sz w:val="24"/>
          <w:lang w:eastAsia="zh-CN"/>
        </w:rPr>
        <w:t>）</w:t>
      </w:r>
      <w:r>
        <w:rPr>
          <w:rFonts w:hint="eastAsia" w:ascii="宋体" w:hAnsi="宋体"/>
          <w:sz w:val="24"/>
        </w:rPr>
        <w:t>％。</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C.3  </w:t>
      </w:r>
      <w:r>
        <w:rPr>
          <w:rFonts w:hint="eastAsia" w:ascii="黑体" w:hAnsi="黑体" w:eastAsia="黑体"/>
          <w:sz w:val="24"/>
        </w:rPr>
        <w:t>计量标准及主要技术指标</w:t>
      </w:r>
    </w:p>
    <w:p>
      <w:pPr>
        <w:topLinePunct/>
        <w:spacing w:line="300" w:lineRule="auto"/>
        <w:ind w:firstLine="480" w:firstLineChars="200"/>
        <w:rPr>
          <w:rFonts w:ascii="宋体" w:hAnsi="宋体"/>
          <w:sz w:val="24"/>
        </w:rPr>
      </w:pPr>
      <w:r>
        <w:rPr>
          <w:rFonts w:hint="eastAsia" w:ascii="宋体" w:hAnsi="宋体"/>
          <w:sz w:val="24"/>
          <w:lang w:val="en-US" w:eastAsia="zh-CN"/>
        </w:rPr>
        <w:t>标准滤光片</w:t>
      </w:r>
      <w:r>
        <w:rPr>
          <w:rFonts w:hint="eastAsia" w:ascii="宋体" w:hAnsi="宋体"/>
          <w:sz w:val="24"/>
        </w:rPr>
        <w:t>：</w:t>
      </w:r>
      <w:r>
        <w:rPr>
          <w:rFonts w:hint="eastAsia" w:ascii="宋体" w:hAnsi="宋体"/>
          <w:sz w:val="24"/>
          <w:lang w:val="en-US" w:eastAsia="zh-CN"/>
        </w:rPr>
        <w:t>透光率标称值50%的滤光片</w:t>
      </w:r>
      <w:r>
        <w:rPr>
          <w:rFonts w:hint="eastAsia" w:ascii="宋体" w:hAnsi="宋体"/>
          <w:sz w:val="24"/>
        </w:rPr>
        <w:t>。</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C.4  </w:t>
      </w:r>
      <w:r>
        <w:rPr>
          <w:rFonts w:hint="eastAsia" w:ascii="黑体" w:hAnsi="黑体" w:eastAsia="黑体"/>
          <w:sz w:val="24"/>
        </w:rPr>
        <w:t>测量对象</w:t>
      </w:r>
    </w:p>
    <w:p>
      <w:pPr>
        <w:topLinePunct/>
        <w:spacing w:line="300" w:lineRule="auto"/>
        <w:ind w:firstLine="480" w:firstLineChars="200"/>
        <w:rPr>
          <w:rFonts w:ascii="宋体" w:hAnsi="宋体"/>
          <w:sz w:val="24"/>
        </w:rPr>
      </w:pPr>
      <w:r>
        <w:rPr>
          <w:rFonts w:hint="eastAsia" w:ascii="宋体" w:hAnsi="宋体"/>
          <w:sz w:val="24"/>
          <w:lang w:val="en-US" w:eastAsia="zh-CN"/>
        </w:rPr>
        <w:t>透光率标称值50%的滤光模拟试样燃烧或分解后烟气的最大烟密度</w:t>
      </w:r>
      <w:r>
        <w:rPr>
          <w:rFonts w:hint="eastAsia" w:ascii="宋体" w:hAnsi="宋体"/>
          <w:spacing w:val="8"/>
          <w:sz w:val="24"/>
        </w:rPr>
        <w:t>示值与</w:t>
      </w:r>
      <w:r>
        <w:rPr>
          <w:rFonts w:hint="eastAsia" w:ascii="宋体" w:hAnsi="宋体"/>
          <w:spacing w:val="8"/>
          <w:sz w:val="24"/>
          <w:lang w:val="en-US" w:eastAsia="zh-CN"/>
        </w:rPr>
        <w:t>其标称值</w:t>
      </w:r>
      <w:r>
        <w:rPr>
          <w:rFonts w:hint="eastAsia" w:ascii="宋体" w:hAnsi="宋体"/>
          <w:spacing w:val="8"/>
          <w:sz w:val="24"/>
        </w:rPr>
        <w:t>的</w:t>
      </w:r>
      <w:r>
        <w:rPr>
          <w:rFonts w:hint="eastAsia" w:ascii="宋体" w:hAnsi="宋体"/>
          <w:sz w:val="24"/>
        </w:rPr>
        <w:t>差值。</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C.5  </w:t>
      </w:r>
      <w:r>
        <w:rPr>
          <w:rFonts w:hint="eastAsia" w:ascii="黑体" w:hAnsi="黑体" w:eastAsia="黑体"/>
          <w:sz w:val="24"/>
        </w:rPr>
        <w:t>数学模型</w:t>
      </w:r>
    </w:p>
    <w:p>
      <w:pPr>
        <w:topLinePunct/>
        <w:spacing w:line="300" w:lineRule="auto"/>
        <w:ind w:firstLine="480" w:firstLineChars="200"/>
        <w:rPr>
          <w:rFonts w:ascii="宋体" w:hAnsi="宋体"/>
          <w:sz w:val="24"/>
        </w:rPr>
      </w:pPr>
      <w:r>
        <w:rPr>
          <w:rFonts w:hint="eastAsia" w:ascii="宋体" w:hAnsi="宋体" w:cs="宋体"/>
          <w:sz w:val="24"/>
          <w:lang w:val="en-US" w:eastAsia="zh-CN"/>
        </w:rPr>
        <w:t>最大烟密度</w:t>
      </w:r>
      <w:r>
        <w:rPr>
          <w:rFonts w:hint="eastAsia" w:ascii="宋体" w:hAnsi="宋体"/>
          <w:sz w:val="24"/>
        </w:rPr>
        <w:t>的示值误差按照公式(</w:t>
      </w:r>
      <w:r>
        <w:rPr>
          <w:rFonts w:ascii="宋体" w:hAnsi="宋体"/>
          <w:sz w:val="24"/>
        </w:rPr>
        <w:t>C.1</w:t>
      </w:r>
      <w:r>
        <w:rPr>
          <w:rFonts w:hint="eastAsia" w:ascii="宋体" w:hAnsi="宋体"/>
          <w:sz w:val="24"/>
        </w:rPr>
        <w:t>)计算：</w:t>
      </w:r>
    </w:p>
    <w:p>
      <w:pPr>
        <w:pStyle w:val="38"/>
        <w:topLinePunct/>
        <w:autoSpaceDE/>
        <w:autoSpaceDN/>
      </w:pPr>
      <w:r>
        <w:tab/>
      </w:r>
      <w:r>
        <w:rPr>
          <w:position w:val="-14"/>
        </w:rPr>
        <w:object>
          <v:shape id="_x0000_i1025" o:spt="75" type="#_x0000_t75" style="height:20pt;width:61.05pt;" o:ole="t" filled="f" o:preferrelative="t" stroked="f" coordsize="21600,21600">
            <v:path/>
            <v:fill on="f" focussize="0,0"/>
            <v:stroke on="f"/>
            <v:imagedata r:id="rId15" o:title=""/>
            <o:lock v:ext="edit" aspectratio="t"/>
            <w10:wrap type="none"/>
            <w10:anchorlock/>
          </v:shape>
          <o:OLEObject Type="Embed" ProgID="Equation.3" ShapeID="_x0000_i1025" DrawAspect="Content" ObjectID="_1468075725" r:id="rId14">
            <o:LockedField>false</o:LockedField>
          </o:OLEObject>
        </w:object>
      </w:r>
      <w:r>
        <w:rPr>
          <w:color w:val="FFFFFF"/>
        </w:rPr>
        <w:tab/>
      </w:r>
      <w:r>
        <w:rPr>
          <w:sz w:val="24"/>
          <w:szCs w:val="24"/>
        </w:rPr>
        <w:t>(</w:t>
      </w:r>
      <w:r>
        <w:rPr>
          <w:rFonts w:hint="eastAsia"/>
          <w:sz w:val="24"/>
          <w:szCs w:val="24"/>
        </w:rPr>
        <w:t>C.1</w:t>
      </w:r>
      <w:r>
        <w:rPr>
          <w:sz w:val="24"/>
          <w:szCs w:val="24"/>
        </w:rPr>
        <w:t>)</w:t>
      </w:r>
    </w:p>
    <w:p>
      <w:pPr>
        <w:topLinePunct/>
        <w:spacing w:line="300" w:lineRule="auto"/>
        <w:ind w:firstLine="480" w:firstLineChars="200"/>
        <w:rPr>
          <w:rFonts w:ascii="宋体" w:hAnsi="宋体"/>
          <w:bCs/>
          <w:color w:val="000000"/>
          <w:sz w:val="24"/>
        </w:rPr>
      </w:pPr>
      <w:r>
        <w:rPr>
          <w:rFonts w:hint="eastAsia" w:ascii="宋体" w:hAnsi="宋体"/>
          <w:bCs/>
          <w:color w:val="000000"/>
          <w:sz w:val="24"/>
        </w:rPr>
        <w:t>式中：</w:t>
      </w:r>
    </w:p>
    <w:p>
      <w:pPr>
        <w:ind w:firstLine="420"/>
        <w:jc w:val="both"/>
        <w:rPr>
          <w:rFonts w:ascii="宋体" w:hAnsi="宋体" w:eastAsia="宋体" w:cs="Times New Roman"/>
          <w:bCs/>
          <w:color w:val="000000"/>
          <w:sz w:val="24"/>
          <w:szCs w:val="24"/>
        </w:rPr>
      </w:pPr>
      <m:oMath>
        <m:sSub>
          <m:sSubPr>
            <m:ctrlPr>
              <w:rPr>
                <w:rFonts w:ascii="Cambria Math" w:hAnsi="Cambria Math" w:cs="Times New Roman"/>
                <w:bCs/>
                <w:i/>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bCs/>
                <w:i/>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最大烟密度测试</w:t>
      </w:r>
      <w:r>
        <w:rPr>
          <w:rFonts w:hint="eastAsia" w:ascii="宋体" w:hAnsi="宋体" w:eastAsia="宋体" w:cs="Times New Roman"/>
          <w:bCs/>
          <w:color w:val="000000"/>
          <w:sz w:val="24"/>
          <w:szCs w:val="24"/>
          <w:highlight w:val="none"/>
        </w:rPr>
        <w:t>示值</w:t>
      </w:r>
      <w:r>
        <w:rPr>
          <w:rFonts w:hint="eastAsia" w:ascii="宋体" w:hAnsi="宋体" w:eastAsia="宋体" w:cs="Times New Roman"/>
          <w:bCs/>
          <w:color w:val="000000"/>
          <w:sz w:val="24"/>
          <w:szCs w:val="24"/>
          <w:highlight w:val="none"/>
          <w:lang w:eastAsia="zh-CN"/>
        </w:rPr>
        <w:t>，</w:t>
      </w:r>
      <w:r>
        <w:rPr>
          <w:rFonts w:hint="eastAsia" w:ascii="宋体" w:hAnsi="宋体" w:eastAsia="宋体" w:cs="Times New Roman"/>
          <w:bCs/>
          <w:color w:val="000000"/>
          <w:sz w:val="24"/>
          <w:szCs w:val="24"/>
          <w:highlight w:val="none"/>
          <w:lang w:val="en-US" w:eastAsia="zh-CN"/>
        </w:rPr>
        <w:t>%</w:t>
      </w:r>
      <w:r>
        <w:rPr>
          <w:rFonts w:hint="eastAsia" w:ascii="宋体" w:hAnsi="宋体" w:eastAsia="宋体" w:cs="Times New Roman"/>
          <w:kern w:val="2"/>
          <w:sz w:val="24"/>
          <w:szCs w:val="24"/>
          <w:highlight w:val="none"/>
        </w:rPr>
        <w:t>；</w:t>
      </w:r>
    </w:p>
    <w:p>
      <w:pPr>
        <w:ind w:firstLine="420"/>
        <w:jc w:val="both"/>
        <w:rPr>
          <w:rFonts w:ascii="宋体" w:hAnsi="宋体" w:eastAsia="宋体" w:cs="Times New Roman"/>
          <w:bCs/>
          <w:color w:val="000000"/>
          <w:sz w:val="24"/>
          <w:szCs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rPr>
              <m:t>s</m:t>
            </m:r>
            <m:ctrlPr>
              <w:rPr>
                <w:rFonts w:ascii="Cambria Math" w:hAnsi="Cambria Math" w:cs="Times New Roman"/>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标准滤光片的标称值50，%</w:t>
      </w:r>
      <w:r>
        <w:rPr>
          <w:rFonts w:hint="eastAsia" w:ascii="宋体" w:hAnsi="宋体" w:eastAsia="宋体" w:cs="Times New Roman"/>
          <w:bCs/>
          <w:color w:val="000000"/>
          <w:sz w:val="24"/>
          <w:szCs w:val="24"/>
        </w:rPr>
        <w:t>；</w:t>
      </w:r>
    </w:p>
    <w:p>
      <w:pPr>
        <w:ind w:firstLine="420"/>
        <w:jc w:val="both"/>
        <w:rPr>
          <w:rFonts w:hint="eastAsia" w:ascii="宋体" w:hAnsi="宋体" w:eastAsia="宋体" w:cs="Times New Roman"/>
          <w:bCs/>
          <w:color w:val="000000"/>
          <w:sz w:val="24"/>
          <w:szCs w:val="24"/>
          <w:lang w:val="en-US" w:eastAsia="zh-CN"/>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rPr>
        <w:t>测量的</w:t>
      </w:r>
      <w:r>
        <w:rPr>
          <w:rFonts w:hint="eastAsia" w:ascii="宋体" w:hAnsi="宋体" w:eastAsia="宋体" w:cs="Times New Roman"/>
          <w:kern w:val="2"/>
          <w:sz w:val="24"/>
          <w:szCs w:val="24"/>
          <w:lang w:val="en-US" w:eastAsia="zh-CN"/>
        </w:rPr>
        <w:t>最大烟密度</w:t>
      </w:r>
      <w:r>
        <w:rPr>
          <w:rFonts w:hint="eastAsia" w:ascii="宋体" w:hAnsi="宋体" w:eastAsia="宋体" w:cs="Times New Roman"/>
          <w:kern w:val="2"/>
          <w:sz w:val="24"/>
          <w:szCs w:val="24"/>
        </w:rPr>
        <w:t>示值</w:t>
      </w:r>
      <w:r>
        <w:rPr>
          <w:rFonts w:hint="eastAsia" w:ascii="宋体" w:hAnsi="宋体" w:eastAsia="宋体" w:cs="Times New Roman"/>
          <w:bCs/>
          <w:color w:val="000000"/>
          <w:sz w:val="24"/>
          <w:szCs w:val="24"/>
          <w:highlight w:val="none"/>
        </w:rPr>
        <w:t>误差</w:t>
      </w:r>
      <w:r>
        <w:rPr>
          <w:rFonts w:hint="eastAsia" w:ascii="宋体" w:hAnsi="宋体" w:eastAsia="宋体" w:cs="Times New Roman"/>
          <w:bCs/>
          <w:color w:val="000000"/>
          <w:sz w:val="24"/>
          <w:szCs w:val="24"/>
          <w:highlight w:val="none"/>
          <w:lang w:val="en-US" w:eastAsia="zh-CN"/>
        </w:rPr>
        <w:t>,%</w:t>
      </w:r>
    </w:p>
    <w:p>
      <w:pPr>
        <w:topLinePunct/>
        <w:spacing w:before="156" w:beforeLines="50" w:after="156" w:afterLines="50" w:line="300" w:lineRule="auto"/>
        <w:rPr>
          <w:rFonts w:ascii="黑体" w:hAnsi="黑体" w:eastAsia="黑体"/>
          <w:sz w:val="24"/>
        </w:rPr>
      </w:pPr>
      <w:r>
        <w:rPr>
          <w:rFonts w:ascii="黑体" w:hAnsi="黑体" w:eastAsia="黑体"/>
          <w:sz w:val="24"/>
        </w:rPr>
        <w:t>C.6</w:t>
      </w:r>
      <w:r>
        <w:rPr>
          <w:rFonts w:hint="eastAsia" w:ascii="黑体" w:hAnsi="黑体" w:eastAsia="黑体"/>
          <w:sz w:val="24"/>
        </w:rPr>
        <w:t xml:space="preserve">  测量不确定度分量</w:t>
      </w:r>
    </w:p>
    <w:p>
      <w:pPr>
        <w:topLinePunct/>
        <w:spacing w:line="300" w:lineRule="auto"/>
        <w:rPr>
          <w:sz w:val="24"/>
        </w:rPr>
      </w:pPr>
      <w:r>
        <w:rPr>
          <w:rFonts w:ascii="宋体" w:hAnsi="宋体"/>
          <w:color w:val="auto"/>
          <w:sz w:val="24"/>
        </w:rPr>
        <w:t>C.6.1</w:t>
      </w:r>
      <w:r>
        <w:rPr>
          <w:rFonts w:hint="eastAsia" w:ascii="宋体" w:hAnsi="宋体"/>
          <w:color w:val="auto"/>
          <w:sz w:val="24"/>
        </w:rPr>
        <w:t xml:space="preserve"> </w:t>
      </w:r>
      <w:r>
        <w:rPr>
          <w:rFonts w:hint="eastAsia" w:ascii="宋体" w:hAnsi="宋体"/>
          <w:color w:val="FF0000"/>
          <w:sz w:val="24"/>
        </w:rPr>
        <w:t xml:space="preserve"> </w:t>
      </w:r>
      <w:r>
        <w:rPr>
          <w:rFonts w:hint="eastAsia"/>
          <w:sz w:val="24"/>
        </w:rPr>
        <w:t>测量重复性引入的标准不确定度分量，</w:t>
      </w:r>
      <w:r>
        <w:rPr>
          <w:i/>
          <w:sz w:val="24"/>
        </w:rPr>
        <w:t>u</w:t>
      </w:r>
      <w:r>
        <w:rPr>
          <w:sz w:val="24"/>
          <w:vertAlign w:val="subscript"/>
        </w:rPr>
        <w:t>1</w:t>
      </w:r>
      <w:r>
        <w:rPr>
          <w:color w:val="FF6600"/>
          <w:sz w:val="24"/>
        </w:rPr>
        <w:fldChar w:fldCharType="begin"/>
      </w:r>
      <w:r>
        <w:rPr>
          <w:color w:val="FF6600"/>
          <w:sz w:val="24"/>
        </w:rPr>
        <w:instrText xml:space="preserve"> QUOTE </w:instrText>
      </w:r>
      <w:r>
        <w:rPr>
          <w:rFonts w:hint="eastAsia"/>
          <w:color w:val="FF6600"/>
        </w:rPr>
        <w:pict>
          <v:shape id="_x0000_i1026"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4B8D&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494B8D&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6" chromakey="#FFFFFF" o:title=""/>
            <o:lock v:ext="edit" aspectratio="t"/>
            <w10:wrap type="none"/>
            <w10:anchorlock/>
          </v:shape>
        </w:pict>
      </w:r>
      <w:r>
        <w:rPr>
          <w:color w:val="FF6600"/>
          <w:sz w:val="24"/>
        </w:rPr>
        <w:instrText xml:space="preserve"> </w:instrText>
      </w:r>
      <w:r>
        <w:rPr>
          <w:color w:val="FF6600"/>
          <w:sz w:val="24"/>
        </w:rPr>
        <w:fldChar w:fldCharType="separate"/>
      </w:r>
      <w:r>
        <w:rPr>
          <w:color w:val="FF6600"/>
          <w:sz w:val="24"/>
        </w:rPr>
        <w:fldChar w:fldCharType="end"/>
      </w:r>
    </w:p>
    <w:p>
      <w:pPr>
        <w:topLinePunct/>
        <w:spacing w:line="300" w:lineRule="auto"/>
        <w:ind w:firstLine="480" w:firstLineChars="200"/>
        <w:rPr>
          <w:rFonts w:hint="eastAsia" w:ascii="宋体" w:hAnsi="宋体"/>
          <w:sz w:val="24"/>
        </w:rPr>
      </w:pPr>
      <w:r>
        <w:rPr>
          <w:rFonts w:hint="eastAsia" w:ascii="宋体" w:hAnsi="宋体"/>
          <w:sz w:val="24"/>
        </w:rPr>
        <w:t>对</w:t>
      </w:r>
      <w:r>
        <w:rPr>
          <w:rFonts w:hint="eastAsia" w:ascii="Times New Roman" w:hAnsi="Times New Roman" w:eastAsia="宋体" w:cs="Times New Roman"/>
          <w:kern w:val="2"/>
          <w:sz w:val="24"/>
          <w:szCs w:val="24"/>
        </w:rPr>
        <w:t>建筑材料燃烧或分解的烟密度测试</w:t>
      </w:r>
      <w:r>
        <w:rPr>
          <w:rFonts w:hint="eastAsia" w:hAnsi="宋体" w:eastAsia="宋体" w:cs="Times New Roman"/>
          <w:sz w:val="24"/>
          <w:szCs w:val="24"/>
        </w:rPr>
        <w:t>装置</w:t>
      </w:r>
      <w:r>
        <w:rPr>
          <w:rFonts w:hint="eastAsia" w:hAnsi="宋体" w:eastAsia="宋体" w:cs="Times New Roman"/>
          <w:sz w:val="24"/>
          <w:szCs w:val="24"/>
          <w:lang w:val="en-US" w:eastAsia="zh-CN"/>
        </w:rPr>
        <w:t>最大烟密度</w:t>
      </w:r>
      <w:r>
        <w:rPr>
          <w:rFonts w:hint="eastAsia" w:ascii="宋体" w:hAnsi="宋体"/>
          <w:spacing w:val="-2"/>
          <w:kern w:val="24"/>
          <w:sz w:val="24"/>
        </w:rPr>
        <w:t>进行</w:t>
      </w:r>
      <w:r>
        <w:rPr>
          <w:rFonts w:ascii="宋体" w:hAnsi="宋体"/>
          <w:spacing w:val="-2"/>
          <w:kern w:val="24"/>
          <w:sz w:val="24"/>
        </w:rPr>
        <w:t>10</w:t>
      </w:r>
      <w:r>
        <w:rPr>
          <w:rFonts w:hint="eastAsia" w:ascii="宋体" w:hAnsi="宋体"/>
          <w:spacing w:val="-2"/>
          <w:kern w:val="24"/>
          <w:sz w:val="24"/>
        </w:rPr>
        <w:t>次重复独立测算，误差结</w:t>
      </w:r>
      <w:r>
        <w:rPr>
          <w:rFonts w:hint="eastAsia" w:ascii="宋体" w:hAnsi="宋体"/>
          <w:sz w:val="24"/>
        </w:rPr>
        <w:t>果下表：</w:t>
      </w:r>
    </w:p>
    <w:p>
      <w:pPr>
        <w:topLinePunct/>
        <w:spacing w:line="360" w:lineRule="auto"/>
        <w:ind w:firstLine="220" w:firstLineChars="100"/>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C.1</w:t>
      </w:r>
      <w:r>
        <w:rPr>
          <w:rFonts w:hint="eastAsia" w:ascii="黑体" w:hAnsi="黑体" w:eastAsia="黑体"/>
          <w:color w:val="000000"/>
          <w:szCs w:val="21"/>
        </w:rPr>
        <w:t xml:space="preserve">  </w:t>
      </w:r>
      <w:r>
        <w:rPr>
          <w:rFonts w:hint="eastAsia" w:ascii="黑体" w:hAnsi="黑体" w:eastAsia="黑体"/>
          <w:szCs w:val="21"/>
          <w:lang w:val="en-US" w:eastAsia="zh-CN"/>
        </w:rPr>
        <w:t>最大烟密度</w:t>
      </w:r>
      <w:r>
        <w:rPr>
          <w:rFonts w:hint="eastAsia" w:ascii="黑体" w:hAnsi="黑体" w:eastAsia="黑体"/>
          <w:szCs w:val="21"/>
        </w:rPr>
        <w:t>示值差值结果表</w:t>
      </w:r>
    </w:p>
    <w:tbl>
      <w:tblPr>
        <w:tblStyle w:val="1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753"/>
        <w:gridCol w:w="754"/>
        <w:gridCol w:w="756"/>
        <w:gridCol w:w="756"/>
        <w:gridCol w:w="756"/>
        <w:gridCol w:w="756"/>
        <w:gridCol w:w="756"/>
        <w:gridCol w:w="756"/>
        <w:gridCol w:w="756"/>
        <w:gridCol w:w="7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1"/>
            <w:noWrap w:val="0"/>
            <w:tcMar>
              <w:left w:w="28" w:type="dxa"/>
              <w:right w:w="28" w:type="dxa"/>
            </w:tcMar>
            <w:vAlign w:val="center"/>
          </w:tcPr>
          <w:p>
            <w:pPr>
              <w:topLinePunct/>
              <w:jc w:val="center"/>
              <w:rPr>
                <w:rFonts w:ascii="宋体" w:hAnsi="宋体"/>
                <w:szCs w:val="21"/>
              </w:rPr>
            </w:pPr>
            <w:r>
              <w:rPr>
                <w:rFonts w:hint="eastAsia" w:ascii="宋体" w:hAnsi="宋体"/>
                <w:szCs w:val="21"/>
              </w:rPr>
              <w:t>进行</w:t>
            </w:r>
            <w:r>
              <w:rPr>
                <w:i/>
                <w:szCs w:val="21"/>
              </w:rPr>
              <w:t>n</w:t>
            </w:r>
            <w:r>
              <w:rPr>
                <w:rFonts w:hint="eastAsia" w:ascii="宋体" w:hAnsi="宋体"/>
                <w:szCs w:val="21"/>
              </w:rPr>
              <w:t>＝</w:t>
            </w:r>
            <w:r>
              <w:rPr>
                <w:rFonts w:ascii="宋体" w:hAnsi="宋体"/>
                <w:szCs w:val="21"/>
              </w:rPr>
              <w:t>10</w:t>
            </w:r>
            <w:r>
              <w:rPr>
                <w:rFonts w:hint="eastAsia" w:ascii="宋体" w:hAnsi="宋体"/>
                <w:szCs w:val="21"/>
              </w:rPr>
              <w:t>次独立重复测试的结果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1" w:type="pct"/>
            <w:noWrap w:val="0"/>
            <w:tcMar>
              <w:left w:w="28" w:type="dxa"/>
              <w:right w:w="28" w:type="dxa"/>
            </w:tcMar>
            <w:vAlign w:val="center"/>
          </w:tcPr>
          <w:p>
            <w:pPr>
              <w:topLinePunct/>
              <w:jc w:val="center"/>
              <w:rPr>
                <w:rFonts w:ascii="宋体" w:hAnsi="宋体"/>
                <w:szCs w:val="21"/>
              </w:rPr>
            </w:pPr>
            <w:r>
              <w:rPr>
                <w:rFonts w:hint="eastAsia" w:ascii="宋体" w:hAnsi="宋体"/>
                <w:szCs w:val="21"/>
              </w:rPr>
              <w:t>次数</w:t>
            </w:r>
          </w:p>
        </w:tc>
        <w:tc>
          <w:tcPr>
            <w:tcW w:w="413" w:type="pct"/>
            <w:noWrap w:val="0"/>
            <w:tcMar>
              <w:left w:w="28" w:type="dxa"/>
              <w:right w:w="28" w:type="dxa"/>
            </w:tcMar>
            <w:vAlign w:val="center"/>
          </w:tcPr>
          <w:p>
            <w:pPr>
              <w:topLinePunct/>
              <w:jc w:val="center"/>
              <w:rPr>
                <w:rFonts w:ascii="宋体" w:hAnsi="宋体"/>
                <w:szCs w:val="21"/>
              </w:rPr>
            </w:pPr>
            <w:r>
              <w:rPr>
                <w:rFonts w:ascii="宋体" w:hAnsi="宋体"/>
                <w:szCs w:val="21"/>
              </w:rPr>
              <w:t>1</w:t>
            </w:r>
          </w:p>
        </w:tc>
        <w:tc>
          <w:tcPr>
            <w:tcW w:w="413" w:type="pct"/>
            <w:noWrap w:val="0"/>
            <w:tcMar>
              <w:left w:w="28" w:type="dxa"/>
              <w:right w:w="28" w:type="dxa"/>
            </w:tcMar>
            <w:vAlign w:val="center"/>
          </w:tcPr>
          <w:p>
            <w:pPr>
              <w:topLinePunct/>
              <w:jc w:val="center"/>
              <w:rPr>
                <w:rFonts w:ascii="宋体" w:hAnsi="宋体"/>
                <w:szCs w:val="21"/>
              </w:rPr>
            </w:pPr>
            <w:r>
              <w:rPr>
                <w:rFonts w:ascii="宋体" w:hAnsi="宋体"/>
                <w:szCs w:val="21"/>
              </w:rPr>
              <w:t>2</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3</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4</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5</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6</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7</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8</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9</w:t>
            </w:r>
          </w:p>
        </w:tc>
        <w:tc>
          <w:tcPr>
            <w:tcW w:w="412" w:type="pct"/>
            <w:noWrap w:val="0"/>
            <w:tcMar>
              <w:left w:w="28" w:type="dxa"/>
              <w:right w:w="28" w:type="dxa"/>
            </w:tcMar>
            <w:vAlign w:val="center"/>
          </w:tcPr>
          <w:p>
            <w:pPr>
              <w:topLinePunct/>
              <w:jc w:val="center"/>
              <w:rPr>
                <w:rFonts w:ascii="宋体" w:hAnsi="宋体"/>
                <w:szCs w:val="21"/>
              </w:rPr>
            </w:pPr>
            <w:r>
              <w:rPr>
                <w:rFonts w:ascii="宋体" w:hAnsi="宋体"/>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1"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最大烟密度示值</w:t>
            </w:r>
            <w:r>
              <w:rPr>
                <w:rFonts w:hint="eastAsia" w:ascii="宋体" w:hAnsi="宋体"/>
                <w:szCs w:val="21"/>
              </w:rPr>
              <w:t>(</w:t>
            </w:r>
            <w:r>
              <w:rPr>
                <w:rFonts w:hint="eastAsia" w:ascii="宋体" w:hAnsi="宋体"/>
                <w:szCs w:val="21"/>
                <w:lang w:val="en-US" w:eastAsia="zh-CN"/>
              </w:rPr>
              <w:t>%</w:t>
            </w:r>
            <w:r>
              <w:rPr>
                <w:rFonts w:hint="eastAsia" w:ascii="宋体" w:hAnsi="宋体"/>
                <w:szCs w:val="21"/>
              </w:rPr>
              <w:t>)</w:t>
            </w:r>
          </w:p>
        </w:tc>
        <w:tc>
          <w:tcPr>
            <w:tcW w:w="413"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w:t>
            </w:r>
            <w:r>
              <w:rPr>
                <w:rFonts w:ascii="宋体" w:hAnsi="宋体"/>
                <w:szCs w:val="21"/>
              </w:rPr>
              <w:t>1.12</w:t>
            </w:r>
          </w:p>
        </w:tc>
        <w:tc>
          <w:tcPr>
            <w:tcW w:w="413"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50</w:t>
            </w:r>
            <w:r>
              <w:rPr>
                <w:rFonts w:ascii="宋体" w:hAnsi="宋体"/>
                <w:szCs w:val="21"/>
              </w:rPr>
              <w:t>.73</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50</w:t>
            </w:r>
            <w:r>
              <w:rPr>
                <w:rFonts w:ascii="宋体" w:hAnsi="宋体"/>
                <w:szCs w:val="21"/>
              </w:rPr>
              <w:t>.56</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w:t>
            </w:r>
            <w:r>
              <w:rPr>
                <w:rFonts w:ascii="宋体" w:hAnsi="宋体"/>
                <w:szCs w:val="21"/>
              </w:rPr>
              <w:t>1.</w:t>
            </w:r>
            <w:r>
              <w:rPr>
                <w:rFonts w:hint="eastAsia" w:ascii="宋体" w:hAnsi="宋体"/>
                <w:szCs w:val="21"/>
                <w:lang w:val="en-US" w:eastAsia="zh-CN"/>
              </w:rPr>
              <w:t>1</w:t>
            </w:r>
            <w:r>
              <w:rPr>
                <w:rFonts w:ascii="宋体" w:hAnsi="宋体"/>
                <w:szCs w:val="21"/>
              </w:rPr>
              <w:t>5</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w:t>
            </w:r>
            <w:r>
              <w:rPr>
                <w:rFonts w:ascii="宋体" w:hAnsi="宋体"/>
                <w:szCs w:val="21"/>
              </w:rPr>
              <w:t>1.06</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50</w:t>
            </w:r>
            <w:r>
              <w:rPr>
                <w:rFonts w:ascii="宋体" w:hAnsi="宋体"/>
                <w:szCs w:val="21"/>
              </w:rPr>
              <w:t>.74</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49</w:t>
            </w:r>
            <w:r>
              <w:rPr>
                <w:rFonts w:ascii="宋体" w:hAnsi="宋体"/>
                <w:szCs w:val="21"/>
              </w:rPr>
              <w:t>.71</w:t>
            </w:r>
          </w:p>
        </w:tc>
        <w:tc>
          <w:tcPr>
            <w:tcW w:w="414"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51</w:t>
            </w:r>
            <w:r>
              <w:rPr>
                <w:rFonts w:ascii="宋体" w:hAnsi="宋体"/>
                <w:szCs w:val="21"/>
              </w:rPr>
              <w:t>.</w:t>
            </w:r>
            <w:r>
              <w:rPr>
                <w:rFonts w:hint="eastAsia" w:ascii="宋体" w:hAnsi="宋体"/>
                <w:szCs w:val="21"/>
                <w:lang w:val="en-US" w:eastAsia="zh-CN"/>
              </w:rPr>
              <w:t>2</w:t>
            </w:r>
            <w:r>
              <w:rPr>
                <w:rFonts w:ascii="宋体" w:hAnsi="宋体"/>
                <w:szCs w:val="21"/>
              </w:rPr>
              <w:t>2</w:t>
            </w:r>
          </w:p>
        </w:tc>
        <w:tc>
          <w:tcPr>
            <w:tcW w:w="414"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49</w:t>
            </w:r>
            <w:r>
              <w:rPr>
                <w:rFonts w:ascii="宋体" w:hAnsi="宋体"/>
                <w:szCs w:val="21"/>
              </w:rPr>
              <w:t>.</w:t>
            </w:r>
            <w:r>
              <w:rPr>
                <w:rFonts w:hint="eastAsia" w:ascii="宋体" w:hAnsi="宋体"/>
                <w:szCs w:val="21"/>
                <w:lang w:val="en-US" w:eastAsia="zh-CN"/>
              </w:rPr>
              <w:t>52</w:t>
            </w:r>
          </w:p>
        </w:tc>
        <w:tc>
          <w:tcPr>
            <w:tcW w:w="412"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50</w:t>
            </w:r>
            <w:r>
              <w:rPr>
                <w:rFonts w:ascii="宋体" w:hAnsi="宋体"/>
                <w:szCs w:val="21"/>
              </w:rPr>
              <w:t>.</w:t>
            </w:r>
            <w:r>
              <w:rPr>
                <w:rFonts w:hint="eastAsia" w:ascii="宋体" w:hAnsi="宋体"/>
                <w:szCs w:val="21"/>
                <w:lang w:val="en-US" w:eastAsia="zh-CN"/>
              </w:rPr>
              <w:t>48</w:t>
            </w:r>
          </w:p>
        </w:tc>
      </w:tr>
    </w:tbl>
    <w:p>
      <w:pPr>
        <w:topLinePunct/>
        <w:spacing w:before="156" w:beforeLines="50" w:line="300" w:lineRule="auto"/>
        <w:ind w:firstLine="480" w:firstLineChars="200"/>
        <w:rPr>
          <w:rFonts w:ascii="宋体" w:hAnsi="宋体"/>
          <w:sz w:val="24"/>
        </w:rPr>
      </w:pPr>
      <w:r>
        <w:rPr>
          <w:rFonts w:hint="eastAsia" w:ascii="宋体" w:hAnsi="宋体"/>
          <w:sz w:val="24"/>
        </w:rPr>
        <w:t>采用</w:t>
      </w:r>
      <w:r>
        <w:rPr>
          <w:rFonts w:ascii="宋体" w:hAnsi="宋体"/>
          <w:sz w:val="24"/>
        </w:rPr>
        <w:t>A</w:t>
      </w:r>
      <w:r>
        <w:rPr>
          <w:rFonts w:hint="eastAsia" w:ascii="宋体" w:hAnsi="宋体"/>
          <w:sz w:val="24"/>
        </w:rPr>
        <w:t>类方法评定，用贝塞尔公式计算试验标准偏差：</w:t>
      </w:r>
    </w:p>
    <w:p>
      <w:pPr>
        <w:topLinePunct/>
        <w:spacing w:line="300" w:lineRule="auto"/>
        <w:jc w:val="center"/>
        <w:rPr>
          <w:rFonts w:hint="eastAsia" w:eastAsiaTheme="minorEastAsia"/>
          <w:sz w:val="24"/>
          <w:lang w:val="en-US" w:eastAsia="zh-CN"/>
        </w:rPr>
      </w:pPr>
      <w:r>
        <w:rPr>
          <w:rFonts w:ascii="宋体" w:hAnsi="宋体"/>
          <w:sz w:val="24"/>
        </w:rPr>
        <w:fldChar w:fldCharType="begin"/>
      </w:r>
      <w:r>
        <w:rPr>
          <w:rFonts w:ascii="宋体" w:hAnsi="宋体"/>
          <w:sz w:val="24"/>
        </w:rPr>
        <w:instrText xml:space="preserve"> QUOTE </w:instrText>
      </w:r>
      <w:r>
        <w:rPr>
          <w:rFonts w:hint="eastAsia"/>
          <w:sz w:val="24"/>
        </w:rPr>
        <w:pict>
          <v:shape id="_x0000_i1027"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247F&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55247F&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6" chromakey="#FFFFFF" o:title=""/>
            <o:lock v:ext="edit" aspectratio="t"/>
            <w10:wrap type="none"/>
            <w10:anchorlock/>
          </v:shape>
        </w:pict>
      </w:r>
      <w:r>
        <w:rPr>
          <w:rFonts w:ascii="宋体" w:hAnsi="宋体"/>
          <w:sz w:val="24"/>
        </w:rPr>
        <w:instrText xml:space="preserve"> </w:instrText>
      </w:r>
      <w:r>
        <w:rPr>
          <w:rFonts w:ascii="宋体" w:hAnsi="宋体"/>
          <w:sz w:val="24"/>
        </w:rPr>
        <w:fldChar w:fldCharType="separate"/>
      </w:r>
      <w:r>
        <w:rPr>
          <w:rFonts w:ascii="宋体" w:hAnsi="宋体"/>
          <w:sz w:val="24"/>
        </w:rPr>
        <w:fldChar w:fldCharType="end"/>
      </w:r>
      <w:r>
        <w:rPr>
          <w:rFonts w:ascii="宋体" w:hAnsi="宋体"/>
          <w:position w:val="-26"/>
          <w:sz w:val="24"/>
        </w:rPr>
        <w:object>
          <v:shape id="_x0000_i1028" o:spt="75" type="#_x0000_t75" style="height:35pt;width:166.15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6" r:id="rId17">
            <o:LockedField>false</o:LockedField>
          </o:OLEObject>
        </w:object>
      </w:r>
      <w:r>
        <w:rPr>
          <w:rFonts w:hint="eastAsia" w:ascii="宋体" w:hAnsi="宋体"/>
          <w:sz w:val="24"/>
          <w:lang w:val="en-US" w:eastAsia="zh-CN"/>
        </w:rPr>
        <w:t>%</w:t>
      </w:r>
    </w:p>
    <w:p>
      <w:pPr>
        <w:topLinePunct/>
        <w:spacing w:line="300" w:lineRule="auto"/>
        <w:rPr>
          <w:rFonts w:ascii="宋体" w:hAnsi="宋体"/>
          <w:color w:val="auto"/>
          <w:sz w:val="24"/>
        </w:rPr>
      </w:pPr>
      <w:r>
        <w:rPr>
          <w:rFonts w:ascii="宋体" w:hAnsi="宋体"/>
          <w:color w:val="auto"/>
          <w:sz w:val="24"/>
        </w:rPr>
        <w:t>C.6.2</w:t>
      </w:r>
      <w:r>
        <w:rPr>
          <w:rFonts w:hint="eastAsia" w:ascii="宋体" w:hAnsi="宋体"/>
          <w:color w:val="auto"/>
          <w:sz w:val="24"/>
        </w:rPr>
        <w:t xml:space="preserve">  由</w:t>
      </w:r>
      <w:r>
        <w:rPr>
          <w:rFonts w:hint="eastAsia" w:ascii="宋体" w:hAnsi="宋体"/>
          <w:color w:val="auto"/>
          <w:sz w:val="24"/>
          <w:lang w:val="en-US" w:eastAsia="zh-CN"/>
        </w:rPr>
        <w:t>滤光片最大允许误差引入的</w:t>
      </w:r>
      <w:r>
        <w:rPr>
          <w:rFonts w:hint="eastAsia" w:ascii="宋体" w:hAnsi="宋体"/>
          <w:color w:val="auto"/>
          <w:sz w:val="24"/>
        </w:rPr>
        <w:t>标准不确定度分量，</w:t>
      </w:r>
      <w:r>
        <w:rPr>
          <w:i/>
          <w:color w:val="auto"/>
          <w:sz w:val="24"/>
        </w:rPr>
        <w:t>u</w:t>
      </w:r>
      <w:r>
        <w:rPr>
          <w:rFonts w:hint="eastAsia"/>
          <w:color w:val="auto"/>
          <w:sz w:val="24"/>
          <w:vertAlign w:val="subscript"/>
          <w:lang w:val="en-US" w:eastAsia="zh-CN"/>
        </w:rPr>
        <w:t>1</w:t>
      </w:r>
      <w:r>
        <w:rPr>
          <w:rFonts w:ascii="宋体" w:hAnsi="宋体"/>
          <w:color w:val="auto"/>
          <w:sz w:val="24"/>
        </w:rPr>
        <w:fldChar w:fldCharType="begin"/>
      </w:r>
      <w:r>
        <w:rPr>
          <w:rFonts w:ascii="宋体" w:hAnsi="宋体"/>
          <w:color w:val="auto"/>
          <w:sz w:val="24"/>
        </w:rPr>
        <w:instrText xml:space="preserve"> QUOTE </w:instrText>
      </w:r>
      <w:r>
        <w:rPr>
          <w:rFonts w:hint="eastAsia" w:ascii="宋体" w:hAnsi="宋体"/>
          <w:color w:val="auto"/>
          <w:sz w:val="24"/>
        </w:rPr>
        <w:pict>
          <v:shape id="_x0000_i1029"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11B9&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F611B9&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9" chromakey="#FFFFFF" o:title=""/>
            <o:lock v:ext="edit" aspectratio="t"/>
            <w10:wrap type="none"/>
            <w10:anchorlock/>
          </v:shape>
        </w:pict>
      </w:r>
      <w:r>
        <w:rPr>
          <w:rFonts w:ascii="宋体" w:hAnsi="宋体"/>
          <w:color w:val="auto"/>
          <w:sz w:val="24"/>
        </w:rPr>
        <w:instrText xml:space="preserve"> </w:instrText>
      </w:r>
      <w:r>
        <w:rPr>
          <w:rFonts w:ascii="宋体" w:hAnsi="宋体"/>
          <w:color w:val="auto"/>
          <w:sz w:val="24"/>
        </w:rPr>
        <w:fldChar w:fldCharType="separate"/>
      </w:r>
      <w:r>
        <w:rPr>
          <w:rFonts w:ascii="宋体" w:hAnsi="宋体"/>
          <w:color w:val="auto"/>
          <w:sz w:val="24"/>
        </w:rPr>
        <w:fldChar w:fldCharType="end"/>
      </w:r>
    </w:p>
    <w:p>
      <w:pPr>
        <w:topLinePunct/>
        <w:spacing w:line="300" w:lineRule="auto"/>
        <w:ind w:firstLine="480" w:firstLineChars="200"/>
        <w:rPr>
          <w:rFonts w:ascii="宋体" w:hAnsi="宋体"/>
          <w:sz w:val="24"/>
        </w:rPr>
      </w:pPr>
      <w:r>
        <w:rPr>
          <w:rFonts w:hint="eastAsia" w:ascii="宋体" w:hAnsi="宋体"/>
          <w:color w:val="auto"/>
          <w:sz w:val="24"/>
          <w:lang w:val="en-US" w:eastAsia="zh-CN"/>
        </w:rPr>
        <w:t>标准滤光片最大允许误差0.3%</w:t>
      </w:r>
      <w:r>
        <w:rPr>
          <w:rFonts w:hint="eastAsia" w:ascii="宋体" w:hAnsi="宋体"/>
          <w:color w:val="auto"/>
          <w:sz w:val="24"/>
        </w:rPr>
        <w:t>，引入测量不确定</w:t>
      </w:r>
      <w:r>
        <w:rPr>
          <w:i/>
          <w:color w:val="auto"/>
          <w:sz w:val="24"/>
        </w:rPr>
        <w:t>u</w:t>
      </w:r>
      <w:r>
        <w:rPr>
          <w:rFonts w:hint="eastAsia"/>
          <w:color w:val="auto"/>
          <w:sz w:val="24"/>
          <w:vertAlign w:val="subscript"/>
          <w:lang w:val="en-US" w:eastAsia="zh-CN"/>
        </w:rPr>
        <w:t>1</w:t>
      </w:r>
      <w:r>
        <w:rPr>
          <w:rFonts w:ascii="宋体" w:hAnsi="宋体"/>
          <w:sz w:val="24"/>
        </w:rPr>
        <w:fldChar w:fldCharType="begin"/>
      </w:r>
      <w:r>
        <w:rPr>
          <w:rFonts w:ascii="宋体" w:hAnsi="宋体"/>
          <w:sz w:val="24"/>
        </w:rPr>
        <w:instrText xml:space="preserve"> QUOTE </w:instrText>
      </w:r>
      <w:r>
        <w:rPr>
          <w:rFonts w:hint="eastAsia" w:ascii="宋体" w:hAnsi="宋体"/>
          <w:sz w:val="24"/>
        </w:rPr>
        <w:pict>
          <v:shape id="_x0000_i1030"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18EC&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DB18EC&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9" chromakey="#FFFFFF" o:title=""/>
            <o:lock v:ext="edit" aspectratio="t"/>
            <w10:wrap type="none"/>
            <w10:anchorlock/>
          </v:shape>
        </w:pict>
      </w:r>
      <w:r>
        <w:rPr>
          <w:rFonts w:ascii="宋体" w:hAnsi="宋体"/>
          <w:sz w:val="24"/>
        </w:rPr>
        <w:instrText xml:space="preserve"> </w:instrText>
      </w:r>
      <w:r>
        <w:rPr>
          <w:rFonts w:ascii="宋体" w:hAnsi="宋体"/>
          <w:sz w:val="24"/>
        </w:rPr>
        <w:fldChar w:fldCharType="separate"/>
      </w:r>
      <w:r>
        <w:rPr>
          <w:rFonts w:ascii="宋体" w:hAnsi="宋体"/>
          <w:sz w:val="24"/>
        </w:rPr>
        <w:fldChar w:fldCharType="end"/>
      </w:r>
      <w:r>
        <w:rPr>
          <w:rFonts w:hint="eastAsia" w:ascii="宋体" w:hAnsi="宋体"/>
          <w:sz w:val="24"/>
        </w:rPr>
        <w:t>，并视为均匀分布，因此：</w:t>
      </w:r>
    </w:p>
    <w:p>
      <w:pPr>
        <w:topLinePunct/>
        <w:spacing w:line="300" w:lineRule="auto"/>
        <w:jc w:val="center"/>
        <w:rPr>
          <w:rFonts w:hint="eastAsia" w:eastAsiaTheme="minorEastAsia"/>
          <w:sz w:val="24"/>
          <w:lang w:eastAsia="zh-CN"/>
        </w:rPr>
      </w:pPr>
      <w:r>
        <w:rPr>
          <w:position w:val="-28"/>
          <w:sz w:val="24"/>
        </w:rPr>
        <w:object>
          <v:shape id="_x0000_i1065" o:spt="75" alt="" type="#_x0000_t75" style="height:33pt;width:75pt;" o:ole="t" filled="f" o:preferrelative="t" stroked="f" coordsize="21600,21600">
            <v:path/>
            <v:fill on="f" focussize="0,0"/>
            <v:stroke on="f"/>
            <v:imagedata r:id="rId21" o:title=""/>
            <o:lock v:ext="edit" aspectratio="t"/>
            <w10:wrap type="none"/>
            <w10:anchorlock/>
          </v:shape>
          <o:OLEObject Type="Embed" ProgID="Equation.3" ShapeID="_x0000_i1065" DrawAspect="Content" ObjectID="_1468075727" r:id="rId20">
            <o:LockedField>false</o:LockedField>
          </o:OLEObject>
        </w:object>
      </w:r>
      <w:r>
        <w:rPr>
          <w:rFonts w:hint="eastAsia" w:ascii="宋体" w:hAnsi="宋体"/>
          <w:sz w:val="24"/>
          <w:lang w:val="en-US" w:eastAsia="zh-CN"/>
        </w:rPr>
        <w:t>%</w:t>
      </w:r>
    </w:p>
    <w:p>
      <w:pPr>
        <w:topLinePunct/>
        <w:spacing w:line="300" w:lineRule="auto"/>
        <w:rPr>
          <w:rFonts w:hint="eastAsia" w:ascii="宋体" w:eastAsiaTheme="minorEastAsia"/>
          <w:kern w:val="0"/>
          <w:sz w:val="24"/>
          <w:lang w:val="en-US" w:eastAsia="zh-CN"/>
        </w:rPr>
      </w:pPr>
      <w:r>
        <w:rPr>
          <w:rFonts w:ascii="宋体" w:hAnsi="宋体"/>
          <w:sz w:val="24"/>
        </w:rPr>
        <w:t>C.6.3</w:t>
      </w:r>
      <w:r>
        <w:rPr>
          <w:rFonts w:hint="eastAsia" w:ascii="宋体" w:hAnsi="宋体"/>
          <w:sz w:val="24"/>
        </w:rPr>
        <w:t xml:space="preserve">  由</w:t>
      </w:r>
      <w:r>
        <w:rPr>
          <w:rFonts w:hint="eastAsia" w:ascii="宋体" w:hAnsi="宋体"/>
          <w:sz w:val="24"/>
          <w:lang w:val="en-US" w:eastAsia="zh-CN"/>
        </w:rPr>
        <w:t>光传感器</w:t>
      </w:r>
      <w:r>
        <w:rPr>
          <w:rFonts w:hint="eastAsia" w:ascii="宋体" w:hAnsi="宋体"/>
          <w:sz w:val="24"/>
        </w:rPr>
        <w:t>测量误差引入的标准不确定度分量，</w:t>
      </w:r>
      <w:r>
        <w:rPr>
          <w:i/>
          <w:sz w:val="24"/>
        </w:rPr>
        <w:t>u</w:t>
      </w:r>
      <w:r>
        <w:rPr>
          <w:rFonts w:hint="eastAsia"/>
          <w:sz w:val="24"/>
          <w:vertAlign w:val="subscript"/>
          <w:lang w:val="en-US" w:eastAsia="zh-CN"/>
        </w:rPr>
        <w:t>2</w:t>
      </w:r>
    </w:p>
    <w:p>
      <w:pPr>
        <w:pStyle w:val="30"/>
        <w:tabs>
          <w:tab w:val="center" w:pos="4201"/>
          <w:tab w:val="right" w:leader="dot" w:pos="9298"/>
        </w:tabs>
        <w:topLinePunct/>
        <w:autoSpaceDE/>
        <w:autoSpaceDN/>
        <w:spacing w:line="300" w:lineRule="auto"/>
        <w:ind w:firstLine="480"/>
        <w:rPr>
          <w:sz w:val="24"/>
          <w:szCs w:val="24"/>
        </w:rPr>
      </w:pPr>
      <w:r>
        <w:rPr>
          <w:rFonts w:hint="eastAsia"/>
          <w:sz w:val="24"/>
          <w:szCs w:val="24"/>
        </w:rPr>
        <w:t>由</w:t>
      </w:r>
      <w:r>
        <w:rPr>
          <w:rFonts w:hint="eastAsia"/>
          <w:sz w:val="24"/>
          <w:szCs w:val="24"/>
          <w:lang w:val="en-US" w:eastAsia="zh-CN"/>
        </w:rPr>
        <w:t>光传感器测量</w:t>
      </w:r>
      <w:r>
        <w:rPr>
          <w:rFonts w:hint="eastAsia"/>
          <w:sz w:val="24"/>
          <w:szCs w:val="24"/>
        </w:rPr>
        <w:t>误差引入标准不确定度分量</w:t>
      </w:r>
      <w:r>
        <w:rPr>
          <w:rFonts w:ascii="Times New Roman"/>
          <w:i/>
          <w:sz w:val="24"/>
          <w:szCs w:val="24"/>
        </w:rPr>
        <w:t>u</w:t>
      </w:r>
      <w:r>
        <w:rPr>
          <w:rFonts w:ascii="Times New Roman"/>
          <w:sz w:val="24"/>
          <w:szCs w:val="24"/>
          <w:vertAlign w:val="subscript"/>
        </w:rPr>
        <w:t>3</w:t>
      </w:r>
      <w:r>
        <w:rPr>
          <w:sz w:val="24"/>
          <w:szCs w:val="24"/>
        </w:rPr>
        <w:fldChar w:fldCharType="begin"/>
      </w:r>
      <w:r>
        <w:rPr>
          <w:sz w:val="24"/>
          <w:szCs w:val="24"/>
        </w:rPr>
        <w:instrText xml:space="preserve"> QUOTE </w:instrText>
      </w:r>
      <w:r>
        <w:rPr>
          <w:rFonts w:hint="eastAsia"/>
          <w:sz w:val="24"/>
          <w:szCs w:val="24"/>
        </w:rPr>
        <w:pict>
          <v:shape id="_x0000_i1034"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96E&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CC396E&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3&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2" chromakey="#FFFFFF" o:title=""/>
            <o:lock v:ext="edit" aspectratio="t"/>
            <w10:wrap type="none"/>
            <w10:anchorlock/>
          </v:shape>
        </w:pict>
      </w:r>
      <w:r>
        <w:rPr>
          <w:sz w:val="24"/>
          <w:szCs w:val="24"/>
        </w:rPr>
        <w:instrText xml:space="preserve"> </w:instrText>
      </w:r>
      <w:r>
        <w:rPr>
          <w:sz w:val="24"/>
          <w:szCs w:val="24"/>
        </w:rPr>
        <w:fldChar w:fldCharType="separate"/>
      </w:r>
      <w:r>
        <w:rPr>
          <w:sz w:val="24"/>
          <w:szCs w:val="24"/>
        </w:rPr>
        <w:fldChar w:fldCharType="end"/>
      </w:r>
      <w:r>
        <w:rPr>
          <w:rFonts w:hint="eastAsia"/>
          <w:sz w:val="24"/>
          <w:szCs w:val="24"/>
        </w:rPr>
        <w:t>，并视为均匀分布，因此：</w:t>
      </w:r>
    </w:p>
    <w:p>
      <w:pPr>
        <w:topLinePunct/>
        <w:jc w:val="center"/>
        <w:rPr>
          <w:rFonts w:hint="eastAsia" w:eastAsiaTheme="minorEastAsia"/>
          <w:sz w:val="24"/>
          <w:lang w:eastAsia="zh-CN"/>
        </w:rPr>
      </w:pPr>
      <w:r>
        <w:rPr>
          <w:position w:val="-28"/>
          <w:sz w:val="24"/>
        </w:rPr>
        <w:object>
          <v:shape id="_x0000_i1035" o:spt="75" alt="" type="#_x0000_t75" style="height:33pt;width:73.2pt;" o:ole="t" filled="f" o:preferrelative="t" stroked="f" coordsize="21600,21600">
            <v:path/>
            <v:fill on="f" focussize="0,0"/>
            <v:stroke on="f"/>
            <v:imagedata r:id="rId24" o:title=""/>
            <o:lock v:ext="edit" aspectratio="t"/>
            <w10:wrap type="none"/>
            <w10:anchorlock/>
          </v:shape>
          <o:OLEObject Type="Embed" ProgID="Equation.3" ShapeID="_x0000_i1035" DrawAspect="Content" ObjectID="_1468075728" r:id="rId23">
            <o:LockedField>false</o:LockedField>
          </o:OLEObject>
        </w:object>
      </w:r>
      <w:r>
        <w:rPr>
          <w:rFonts w:hint="eastAsia" w:ascii="宋体" w:hAnsi="宋体"/>
          <w:sz w:val="24"/>
          <w:lang w:val="en-US" w:eastAsia="zh-CN"/>
        </w:rPr>
        <w:t>%</w:t>
      </w:r>
    </w:p>
    <w:p>
      <w:pPr>
        <w:topLinePunct/>
        <w:spacing w:line="300" w:lineRule="auto"/>
        <w:rPr>
          <w:rFonts w:ascii="宋体" w:hAnsi="宋体"/>
          <w:sz w:val="24"/>
        </w:rPr>
      </w:pPr>
      <w:r>
        <w:rPr>
          <w:rFonts w:ascii="宋体" w:hAnsi="宋体"/>
          <w:sz w:val="24"/>
        </w:rPr>
        <w:t>C.6.4</w:t>
      </w:r>
      <w:r>
        <w:rPr>
          <w:rFonts w:hint="eastAsia" w:ascii="宋体" w:hAnsi="宋体"/>
          <w:sz w:val="24"/>
        </w:rPr>
        <w:t xml:space="preserve">  环境及其他影响</w:t>
      </w:r>
    </w:p>
    <w:p>
      <w:pPr>
        <w:topLinePunct/>
        <w:spacing w:line="300" w:lineRule="auto"/>
        <w:ind w:firstLine="480" w:firstLineChars="200"/>
        <w:rPr>
          <w:rFonts w:ascii="宋体" w:hAnsi="宋体"/>
          <w:sz w:val="24"/>
        </w:rPr>
      </w:pPr>
      <w:r>
        <w:rPr>
          <w:rFonts w:hint="eastAsia" w:ascii="宋体" w:hAnsi="宋体"/>
          <w:sz w:val="24"/>
        </w:rPr>
        <w:t>由于校准控制在规定的外界环境条件进行，环境对测量结果的影响在此可忽略不计，其他装置配件等对测量结果的影响可忽略不计。</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C.7 </w:t>
      </w:r>
      <w:r>
        <w:rPr>
          <w:rFonts w:hint="eastAsia" w:ascii="黑体" w:hAnsi="黑体" w:eastAsia="黑体"/>
          <w:sz w:val="24"/>
        </w:rPr>
        <w:t xml:space="preserve"> 不确定度汇总一览表</w:t>
      </w:r>
    </w:p>
    <w:p>
      <w:pPr>
        <w:topLinePunct/>
        <w:spacing w:line="360" w:lineRule="auto"/>
        <w:ind w:firstLine="220" w:firstLineChars="100"/>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C.2</w:t>
      </w:r>
      <w:r>
        <w:rPr>
          <w:rFonts w:hint="eastAsia" w:ascii="黑体" w:hAnsi="黑体" w:eastAsia="黑体"/>
          <w:color w:val="000000"/>
          <w:szCs w:val="21"/>
        </w:rPr>
        <w:t xml:space="preserve">  </w:t>
      </w:r>
      <w:r>
        <w:rPr>
          <w:rFonts w:hint="eastAsia" w:ascii="黑体" w:hAnsi="黑体" w:eastAsia="黑体"/>
          <w:szCs w:val="21"/>
        </w:rPr>
        <w:t>不确定度汇总一览表</w:t>
      </w:r>
    </w:p>
    <w:tbl>
      <w:tblPr>
        <w:tblStyle w:val="14"/>
        <w:tblW w:w="5000"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2420"/>
        <w:gridCol w:w="3539"/>
        <w:gridCol w:w="316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rFonts w:hint="eastAsia" w:ascii="宋体" w:hAnsi="宋体"/>
                <w:szCs w:val="21"/>
              </w:rPr>
            </w:pPr>
            <w:r>
              <w:rPr>
                <w:rFonts w:hint="eastAsia" w:ascii="宋体" w:hAnsi="宋体"/>
                <w:szCs w:val="21"/>
              </w:rPr>
              <w:t>标准不确定度分量</w:t>
            </w:r>
            <w:r>
              <w:rPr>
                <w:i/>
                <w:szCs w:val="21"/>
              </w:rPr>
              <w:fldChar w:fldCharType="begin"/>
            </w:r>
            <w:r>
              <w:rPr>
                <w:i/>
                <w:szCs w:val="21"/>
              </w:rPr>
              <w:instrText xml:space="preserve"> QUOTE </w:instrText>
            </w:r>
            <w:r>
              <w:rPr>
                <w:i/>
                <w:szCs w:val="21"/>
              </w:rPr>
              <w:pict>
                <v:shape id="_x0000_i1036" o:spt="75" type="#_x0000_t75" style="height:14.25pt;width:12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0A6&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8C60A6&quot;&gt;&lt;m:oMathPara&gt;&lt;m:oMath&gt;&lt;m:sSub&gt;&lt;m:sSubPr&gt;&lt;m:ctrlPr&gt;&lt;w:rPr&gt;&lt;w:rFonts w:ascii=&quot;Cambria Math&quot; w:fareast=&quot;宋体&quot; w:h-ansi=&quot;Cambria Math&quot; w:cs=&quot;Times New Roman&quot;/&gt;&lt;wx:font wx:val=&quot;Cambria Math&quot;/&gt;&lt;w:i/&gt;&lt;w:sz-cs w:val=&quot;21&quot;/&gt;&lt;/w:rPr&gt;&lt;/m:ctrlPr&gt;&lt;/m:sSubPr&gt;&lt;m:e&gt;&lt;m:r&gt;&lt;w:rPr&gt;&lt;w:rFonts w:ascii=&quot;Cambria Math&quot; w:h-ansi=&quot;Cambria Math&quot;/&gt;&lt;wx:font wx:val=&quot;Cambria Math&quot;/&gt;&lt;w:i/&gt;&lt;w:sz-cs w:val=&quot;21&quot;/&gt;&lt;/w:rPr&gt;&lt;m:t&gt;u&lt;/m:t&gt;&lt;/m:r&gt;&lt;m:ctrlPr&gt;&lt;w:rPr&gt;&lt;w:rFonts w:ascii=&quot;Cambria Math&quot; w:h-ansi=&quot;Cambria Math&quot;/&gt;&lt;wx:font wx:val=&quot;Cambria Math&quot;/&gt;&lt;w:i/&gt;&lt;w:sz-cs w:val=&quot;21&quot;/&gt;&lt;/w:rPr&gt;&lt;/m:ctrlPr&gt;&lt;/m:e&gt;&lt;m:sub&gt;&lt;m:r&gt;&lt;w:rPr&gt;&lt;w:rFonts w:ascii=&quot;Cambria Math&quot;/&gt;&lt;wx:font wx:val=&quot;Cambria Math&quot;/&gt;&lt;w:i/&gt;&lt;w:sz-cs w:val=&quot;21&quot;/&gt;&lt;/w:rPr&gt;&lt;m:t&gt;i&lt;/m:t&gt;&lt;/m:r&gt;&lt;m:ctrlPr&gt;&lt;w:rPr&gt;&lt;w:rFonts w:ascii=&quot;Cambria Math&quot; w:h-ansi=&quot;Cambria Math&quot;/&gt;&lt;wx:font wx:val=&quot;Cambria Math&quot;/&gt;&lt;w:i/&gt;&lt;w:sz-cs w:val=&quot;21&quot;/&gt;&lt;/w:rPr&gt;&lt;/m:ctrlP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5" chromakey="#FFFFFF" o:title=""/>
                  <o:lock v:ext="edit" aspectratio="t"/>
                  <w10:wrap type="none"/>
                  <w10:anchorlock/>
                </v:shape>
              </w:pict>
            </w:r>
            <w:r>
              <w:rPr>
                <w:i/>
                <w:szCs w:val="21"/>
              </w:rPr>
              <w:instrText xml:space="preserve"> </w:instrText>
            </w:r>
            <w:r>
              <w:rPr>
                <w:i/>
                <w:szCs w:val="21"/>
              </w:rPr>
              <w:fldChar w:fldCharType="separate"/>
            </w:r>
            <w:r>
              <w:rPr>
                <w:i/>
                <w:szCs w:val="21"/>
              </w:rPr>
              <w:fldChar w:fldCharType="end"/>
            </w:r>
            <w:r>
              <w:rPr>
                <w:i/>
                <w:szCs w:val="21"/>
              </w:rPr>
              <w:t>u</w:t>
            </w:r>
            <w:r>
              <w:rPr>
                <w:szCs w:val="21"/>
                <w:vertAlign w:val="subscript"/>
              </w:rPr>
              <w:t>i</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不确定度来源</w:t>
            </w:r>
          </w:p>
        </w:tc>
        <w:tc>
          <w:tcPr>
            <w:tcW w:w="1735" w:type="pct"/>
            <w:noWrap w:val="0"/>
            <w:tcMar>
              <w:left w:w="28" w:type="dxa"/>
              <w:right w:w="28" w:type="dxa"/>
            </w:tcMar>
            <w:vAlign w:val="center"/>
          </w:tcPr>
          <w:p>
            <w:pPr>
              <w:topLinePunct/>
              <w:jc w:val="center"/>
              <w:rPr>
                <w:rFonts w:hint="eastAsia" w:ascii="宋体" w:hAnsi="宋体"/>
                <w:szCs w:val="21"/>
              </w:rPr>
            </w:pPr>
            <w:r>
              <w:rPr>
                <w:rFonts w:hint="eastAsia" w:ascii="宋体" w:hAnsi="宋体"/>
                <w:szCs w:val="21"/>
              </w:rPr>
              <w:t>不确定度分量(</w:t>
            </w:r>
            <w:r>
              <w:rPr>
                <w:rFonts w:hint="eastAsia" w:ascii="宋体" w:hAnsi="宋体"/>
                <w:szCs w:val="21"/>
                <w:lang w:val="en-US"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1</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示值重复性</w:t>
            </w:r>
          </w:p>
        </w:tc>
        <w:tc>
          <w:tcPr>
            <w:tcW w:w="1735"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ascii="宋体" w:hAnsi="宋体"/>
                <w:szCs w:val="21"/>
              </w:rPr>
              <w:t>0.</w:t>
            </w:r>
            <w:r>
              <w:rPr>
                <w:rFonts w:hint="eastAsia" w:ascii="宋体" w:hAnsi="宋体"/>
                <w:szCs w:val="21"/>
                <w:lang w:val="en-US" w:eastAsia="zh-CN"/>
              </w:rPr>
              <w:t>59</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2</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color w:val="auto"/>
                <w:sz w:val="24"/>
                <w:lang w:val="en-US" w:eastAsia="zh-CN"/>
              </w:rPr>
              <w:t>滤光片最大允许误差</w:t>
            </w:r>
          </w:p>
        </w:tc>
        <w:tc>
          <w:tcPr>
            <w:tcW w:w="1735"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ascii="宋体" w:hAnsi="宋体"/>
                <w:szCs w:val="21"/>
              </w:rPr>
              <w:t>0.</w:t>
            </w:r>
            <w:r>
              <w:rPr>
                <w:rFonts w:hint="eastAsia" w:ascii="宋体" w:hAnsi="宋体"/>
                <w:szCs w:val="21"/>
                <w:lang w:val="en-US" w:eastAsia="zh-CN"/>
              </w:rPr>
              <w:t>17</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3</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 w:val="24"/>
                <w:lang w:val="en-US" w:eastAsia="zh-CN"/>
              </w:rPr>
              <w:t>光传感器</w:t>
            </w:r>
            <w:r>
              <w:rPr>
                <w:rFonts w:hint="eastAsia" w:ascii="宋体" w:hAnsi="宋体"/>
                <w:sz w:val="24"/>
              </w:rPr>
              <w:t>测量误差</w:t>
            </w:r>
          </w:p>
        </w:tc>
        <w:tc>
          <w:tcPr>
            <w:tcW w:w="1735" w:type="pct"/>
            <w:noWrap w:val="0"/>
            <w:tcMar>
              <w:left w:w="28" w:type="dxa"/>
              <w:right w:w="28" w:type="dxa"/>
            </w:tcMar>
            <w:vAlign w:val="center"/>
          </w:tcPr>
          <w:p>
            <w:pPr>
              <w:topLinePunct/>
              <w:jc w:val="center"/>
              <w:rPr>
                <w:rFonts w:hint="eastAsia" w:ascii="宋体" w:hAnsi="宋体" w:eastAsiaTheme="minorEastAsia"/>
                <w:szCs w:val="21"/>
                <w:lang w:val="en-US" w:eastAsia="zh-CN"/>
              </w:rPr>
            </w:pPr>
            <w:r>
              <w:rPr>
                <w:rFonts w:ascii="宋体" w:hAnsi="宋体"/>
                <w:szCs w:val="21"/>
              </w:rPr>
              <w:t>0.0</w:t>
            </w:r>
            <w:r>
              <w:rPr>
                <w:rFonts w:hint="eastAsia" w:ascii="宋体" w:hAnsi="宋体"/>
                <w:szCs w:val="21"/>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rFonts w:ascii="宋体" w:hAnsi="宋体"/>
                <w:szCs w:val="21"/>
              </w:rPr>
            </w:pP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环境以及其他影响</w:t>
            </w:r>
          </w:p>
        </w:tc>
        <w:tc>
          <w:tcPr>
            <w:tcW w:w="1735" w:type="pct"/>
            <w:noWrap w:val="0"/>
            <w:tcMar>
              <w:left w:w="28" w:type="dxa"/>
              <w:right w:w="28" w:type="dxa"/>
            </w:tcMar>
            <w:vAlign w:val="center"/>
          </w:tcPr>
          <w:p>
            <w:pPr>
              <w:topLinePunct/>
              <w:jc w:val="center"/>
              <w:rPr>
                <w:rFonts w:ascii="宋体" w:hAnsi="宋体"/>
                <w:szCs w:val="21"/>
              </w:rPr>
            </w:pPr>
            <w:r>
              <w:rPr>
                <w:rFonts w:hint="eastAsia" w:ascii="宋体" w:hAnsi="宋体"/>
                <w:szCs w:val="21"/>
              </w:rPr>
              <w:t>忽略</w:t>
            </w:r>
          </w:p>
        </w:tc>
      </w:tr>
    </w:tbl>
    <w:p>
      <w:pPr>
        <w:topLinePunct/>
        <w:spacing w:before="156" w:beforeLines="50" w:after="156" w:afterLines="50" w:line="300" w:lineRule="auto"/>
        <w:rPr>
          <w:rFonts w:ascii="黑体" w:hAnsi="黑体" w:eastAsia="黑体"/>
          <w:sz w:val="24"/>
        </w:rPr>
      </w:pPr>
      <w:r>
        <w:rPr>
          <w:rFonts w:ascii="黑体" w:hAnsi="黑体" w:eastAsia="黑体"/>
          <w:sz w:val="24"/>
        </w:rPr>
        <w:t>C.8</w:t>
      </w:r>
      <w:r>
        <w:rPr>
          <w:rFonts w:hint="eastAsia" w:ascii="黑体" w:hAnsi="黑体" w:eastAsia="黑体"/>
          <w:sz w:val="24"/>
        </w:rPr>
        <w:t xml:space="preserve">  合成标准不确定度，</w:t>
      </w:r>
      <w:r>
        <w:rPr>
          <w:rFonts w:eastAsia="黑体"/>
          <w:b w:val="0"/>
          <w:bCs/>
          <w:i/>
          <w:sz w:val="24"/>
        </w:rPr>
        <w:t>u</w:t>
      </w:r>
      <w:r>
        <w:rPr>
          <w:rFonts w:eastAsia="黑体"/>
          <w:b/>
          <w:sz w:val="24"/>
          <w:vertAlign w:val="subscript"/>
        </w:rPr>
        <w:t>c</w:t>
      </w:r>
      <w:r>
        <w:rPr>
          <w:rFonts w:ascii="黑体" w:hAnsi="黑体" w:eastAsia="黑体"/>
          <w:sz w:val="24"/>
        </w:rPr>
        <w:fldChar w:fldCharType="begin"/>
      </w:r>
      <w:r>
        <w:rPr>
          <w:rFonts w:ascii="黑体" w:hAnsi="黑体" w:eastAsia="黑体"/>
          <w:sz w:val="24"/>
        </w:rPr>
        <w:instrText xml:space="preserve"> QUOTE </w:instrText>
      </w:r>
      <w:r>
        <w:rPr>
          <w:rFonts w:hint="eastAsia" w:ascii="黑体" w:hAnsi="黑体" w:eastAsia="黑体"/>
          <w:sz w:val="24"/>
        </w:rPr>
        <w:pict>
          <v:shape id="_x0000_i1037" o:spt="75" type="#_x0000_t75" style="height:14.25pt;width:14.2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1586&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631586&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 w:h-ansi=&quot;Cambria Math&quot;/&gt;&lt;wx:font wx:val=&quot;Cambria Math&quot;/&gt;&lt;w:i/&gt;&lt;w:sz w:val=&quot;24&quot;/&gt;&lt;/w:rPr&gt;&lt;m:t&gt;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黑体" w:hAnsi="黑体" w:eastAsia="黑体"/>
          <w:sz w:val="24"/>
        </w:rPr>
        <w:instrText xml:space="preserve"> </w:instrText>
      </w:r>
      <w:r>
        <w:rPr>
          <w:rFonts w:ascii="黑体" w:hAnsi="黑体" w:eastAsia="黑体"/>
          <w:sz w:val="24"/>
        </w:rPr>
        <w:fldChar w:fldCharType="separate"/>
      </w:r>
      <w:r>
        <w:rPr>
          <w:rFonts w:ascii="黑体" w:hAnsi="黑体" w:eastAsia="黑体"/>
          <w:sz w:val="24"/>
        </w:rPr>
        <w:fldChar w:fldCharType="end"/>
      </w:r>
    </w:p>
    <w:p>
      <w:pPr>
        <w:tabs>
          <w:tab w:val="left" w:pos="1490"/>
        </w:tabs>
        <w:topLinePunct/>
        <w:spacing w:before="156" w:beforeLines="50" w:line="360" w:lineRule="auto"/>
        <w:jc w:val="center"/>
        <w:rPr>
          <w:rFonts w:hint="eastAsia" w:eastAsiaTheme="minorEastAsia"/>
          <w:sz w:val="24"/>
          <w:lang w:eastAsia="zh-CN"/>
        </w:rPr>
      </w:pPr>
      <w:r>
        <w:rPr>
          <w:sz w:val="24"/>
        </w:rPr>
        <w:fldChar w:fldCharType="begin"/>
      </w:r>
      <w:r>
        <w:rPr>
          <w:sz w:val="24"/>
        </w:rPr>
        <w:instrText xml:space="preserve"> QUOTE </w:instrText>
      </w:r>
      <w:r>
        <w:rPr>
          <w:rFonts w:hint="eastAsia"/>
        </w:rPr>
        <w:pict>
          <v:shape id="_x0000_i1038" o:spt="75" type="#_x0000_t75" style="height:29.25pt;width:113.2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0FF8&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EF0FF8&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 w:h-ansi=&quot;Cambria Math&quot;/&gt;&lt;wx:font wx:val=&quot;Cambria Math&quot;/&gt;&lt;w:i/&gt;&lt;w:sz w:val=&quot;24&quot;/&gt;&lt;/w:rPr&gt;&lt;m:t&gt;c&lt;/m:t&gt;&lt;/m:r&gt;&lt;/m:sub&gt;&lt;/m:sSub&gt;&lt;m:r&gt;&lt;w:rPr&gt;&lt;w:rFonts w:ascii=&quot;Cambria Math&quot;/&gt;&lt;wx:font wx:val=&quot;Cambria Math&quot;/&gt;&lt;w:i/&gt;&lt;w:sz w:val=&quot;24&quot;/&gt;&lt;/w:rPr&gt;&lt;m:t&gt;=&lt;/m:t&gt;&lt;/m:r&gt;&lt;m:rad&gt;&lt;m:radPr&gt;&lt;m:degHide m:val=&quot;on&quot;/&gt;&lt;m:ctrlPr&gt;&lt;w:rPr&gt;&lt;w:rFonts w:ascii=&quot;Cambria Math&quot; w:h-ansi=&quot;Cambria Math&quot;/&gt;&lt;wx:font wx:val=&quot;Cambria Math&quot;/&gt;&lt;w:i/&gt;&lt;w:sz w:val=&quot;24&quot;/&gt;&lt;/w:rPr&gt;&lt;/m:ctrlPr&gt;&lt;/m:radPr&gt;&lt;m:deg/&gt;&lt;m:e&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up&gt;&lt;m:r&gt;&lt;w:rPr&gt;&lt;w:rFonts w:ascii=&quot;Cambria Math&quot;/&gt;&lt;wx:font wx:val=&quot;Cambria Math&quot;/&gt;&lt;w:i/&gt;&lt;w:sz w:val=&quot;24&quot;/&gt;&lt;/w:rPr&gt;&lt;m:t&gt;2&lt;/m:t&gt;&lt;/m:r&gt;&lt;/m:sup&gt;&lt;/m:sSubSup&gt;&lt;m:r&gt;&lt;w:rPr&gt;&lt;w:rFonts w:ascii=&quot;Cambria Math&quot;/&gt;&lt;wx:font wx:val=&quot;Cambria Math&quot;/&gt;&lt;w:i/&gt;&lt;w:sz w:val=&quot;24&quot;/&gt;&lt;/w:rPr&gt;&lt;m:t&gt;+&lt;/m:t&gt;&lt;/m:r&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up&gt;&lt;m:r&gt;&lt;w:rPr&gt;&lt;w:rFonts w:ascii=&quot;Cambria Math&quot;/&gt;&lt;wx:font wx:val=&quot;Cambria Math&quot;/&gt;&lt;w:i/&gt;&lt;w:sz w:val=&quot;24&quot;/&gt;&lt;/w:rPr&gt;&lt;m:t&gt;2&lt;/m:t&gt;&lt;/m:r&gt;&lt;/m:sup&gt;&lt;/m:sSubSup&gt;&lt;m:r&gt;&lt;w:rPr&gt;&lt;w:rFonts w:ascii=&quot;Cambria Math&quot;/&gt;&lt;wx:font wx:val=&quot;Cambria Math&quot;/&gt;&lt;w:i/&gt;&lt;w:sz w:val=&quot;24&quot;/&gt;&lt;/w:rPr&gt;&lt;m:t&gt;+&lt;/m:t&gt;&lt;/m:r&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3&lt;/m:t&gt;&lt;/m:r&gt;&lt;/m:sub&gt;&lt;m:sup&gt;&lt;m:r&gt;&lt;w:rPr&gt;&lt;w:rFonts w:ascii=&quot;Cambria Math&quot;/&gt;&lt;wx:font wx:val=&quot;Cambria Math&quot;/&gt;&lt;w:i/&gt;&lt;w:sz w:val=&quot;24&quot;/&gt;&lt;/w:rPr&gt;&lt;m:t&gt;2&lt;/m:t&gt;&lt;/m:r&gt;&lt;/m:sup&gt;&lt;/m:sSubSup&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7" chromakey="#FFFFFF" o:title=""/>
            <o:lock v:ext="edit" aspectratio="t"/>
            <w10:wrap type="none"/>
            <w10:anchorlock/>
          </v:shape>
        </w:pict>
      </w:r>
      <w:r>
        <w:rPr>
          <w:sz w:val="24"/>
        </w:rPr>
        <w:instrText xml:space="preserve"> </w:instrText>
      </w:r>
      <w:r>
        <w:rPr>
          <w:sz w:val="24"/>
        </w:rPr>
        <w:fldChar w:fldCharType="separate"/>
      </w:r>
      <w:r>
        <w:rPr>
          <w:position w:val="-14"/>
        </w:rPr>
        <w:object>
          <v:shape id="_x0000_i1039" o:spt="75" alt="" type="#_x0000_t75" style="height:23pt;width:124.1pt;" o:ole="t" filled="f" o:preferrelative="t" stroked="f" coordsize="21600,21600">
            <v:path/>
            <v:fill on="f" focussize="0,0"/>
            <v:stroke on="f"/>
            <v:imagedata r:id="rId29" o:title=""/>
            <o:lock v:ext="edit" aspectratio="t"/>
            <w10:wrap type="none"/>
            <w10:anchorlock/>
          </v:shape>
          <o:OLEObject Type="Embed" ProgID="Equation.3" ShapeID="_x0000_i1039" DrawAspect="Content" ObjectID="_1468075729" r:id="rId28">
            <o:LockedField>false</o:LockedField>
          </o:OLEObject>
        </w:object>
      </w:r>
      <w:r>
        <w:rPr>
          <w:sz w:val="24"/>
        </w:rPr>
        <w:fldChar w:fldCharType="end"/>
      </w:r>
      <w:r>
        <w:rPr>
          <w:rFonts w:hint="eastAsia" w:ascii="宋体" w:hAnsi="宋体"/>
          <w:sz w:val="24"/>
          <w:lang w:val="en-US" w:eastAsia="zh-CN"/>
        </w:rPr>
        <w:t>%</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C.9  </w:t>
      </w:r>
      <w:r>
        <w:rPr>
          <w:rFonts w:hint="eastAsia" w:ascii="黑体" w:hAnsi="黑体" w:eastAsia="黑体"/>
          <w:sz w:val="24"/>
        </w:rPr>
        <w:t>扩展不确定度，</w:t>
      </w:r>
      <w:r>
        <w:rPr>
          <w:rFonts w:eastAsia="黑体"/>
          <w:b w:val="0"/>
          <w:bCs/>
          <w:i/>
          <w:sz w:val="24"/>
        </w:rPr>
        <w:t>U</w:t>
      </w:r>
      <w:r>
        <w:rPr>
          <w:rFonts w:ascii="黑体" w:hAnsi="黑体" w:eastAsia="黑体"/>
          <w:sz w:val="24"/>
        </w:rPr>
        <w:fldChar w:fldCharType="begin"/>
      </w:r>
      <w:r>
        <w:rPr>
          <w:rFonts w:ascii="黑体" w:hAnsi="黑体" w:eastAsia="黑体"/>
          <w:sz w:val="24"/>
        </w:rPr>
        <w:instrText xml:space="preserve"> QUOTE </w:instrText>
      </w:r>
      <w:r>
        <w:rPr>
          <w:rFonts w:hint="eastAsia" w:ascii="黑体" w:hAnsi="黑体" w:eastAsia="黑体"/>
          <w:sz w:val="24"/>
        </w:rPr>
        <w:pict>
          <v:shape id="_x0000_i1040" o:spt="75" type="#_x0000_t75" style="height:14.25pt;width:13.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0C78&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270C78&quot;&gt;&lt;m:oMathPara&gt;&lt;m:oMath&gt;&lt;m:r&gt;&lt;w:rPr&gt;&lt;w:rFonts w:ascii=&quot;Cambria Math&quot; w:h-ansi=&quot;Cambria Math&quot;/&gt;&lt;wx:font wx:val=&quot;Cambria Math&quot;/&gt;&lt;w:i/&gt;&lt;w:sz w:val=&quot;24&quot;/&gt;&lt;/w:rPr&gt;&lt;m:t&gt;U&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0" chromakey="#FFFFFF" o:title=""/>
            <o:lock v:ext="edit" aspectratio="t"/>
            <w10:wrap type="none"/>
            <w10:anchorlock/>
          </v:shape>
        </w:pict>
      </w:r>
      <w:r>
        <w:rPr>
          <w:rFonts w:ascii="黑体" w:hAnsi="黑体" w:eastAsia="黑体"/>
          <w:sz w:val="24"/>
        </w:rPr>
        <w:instrText xml:space="preserve"> </w:instrText>
      </w:r>
      <w:r>
        <w:rPr>
          <w:rFonts w:ascii="黑体" w:hAnsi="黑体" w:eastAsia="黑体"/>
          <w:sz w:val="24"/>
        </w:rPr>
        <w:fldChar w:fldCharType="separate"/>
      </w:r>
      <w:r>
        <w:rPr>
          <w:rFonts w:ascii="黑体" w:hAnsi="黑体" w:eastAsia="黑体"/>
          <w:sz w:val="24"/>
        </w:rPr>
        <w:fldChar w:fldCharType="end"/>
      </w:r>
    </w:p>
    <w:p>
      <w:pPr>
        <w:topLinePunct/>
        <w:spacing w:line="300" w:lineRule="auto"/>
        <w:ind w:firstLine="480" w:firstLineChars="200"/>
        <w:rPr>
          <w:sz w:val="24"/>
        </w:rPr>
      </w:pPr>
      <w:r>
        <w:rPr>
          <w:rFonts w:hint="eastAsia"/>
          <w:sz w:val="24"/>
        </w:rPr>
        <w:t>取</w:t>
      </w:r>
      <w:r>
        <w:rPr>
          <w:rFonts w:hint="eastAsia" w:ascii="宋体" w:hAnsi="宋体"/>
          <w:sz w:val="24"/>
        </w:rPr>
        <w:t>包含</w:t>
      </w:r>
      <w:r>
        <w:rPr>
          <w:rFonts w:hint="eastAsia"/>
          <w:sz w:val="24"/>
        </w:rPr>
        <w:t>因子</w:t>
      </w:r>
      <w:r>
        <w:rPr>
          <w:i/>
          <w:sz w:val="24"/>
        </w:rPr>
        <w:t>k</w:t>
      </w:r>
      <w:r>
        <w:rPr>
          <w:rFonts w:hint="eastAsia" w:ascii="宋体" w:hAnsi="宋体"/>
          <w:sz w:val="24"/>
        </w:rPr>
        <w:t>＝</w:t>
      </w:r>
      <w:r>
        <w:rPr>
          <w:rFonts w:ascii="宋体" w:hAnsi="宋体"/>
          <w:sz w:val="24"/>
        </w:rPr>
        <w:t>2</w:t>
      </w:r>
      <w:r>
        <w:rPr>
          <w:rFonts w:hint="eastAsia" w:ascii="宋体" w:hAnsi="宋体"/>
          <w:sz w:val="24"/>
        </w:rPr>
        <w:t>，</w:t>
      </w:r>
      <w:r>
        <w:rPr>
          <w:rFonts w:hint="eastAsia" w:ascii="宋体" w:hAnsi="宋体"/>
          <w:sz w:val="24"/>
          <w:lang w:val="en-US" w:eastAsia="zh-CN"/>
        </w:rPr>
        <w:t>最大烟密度</w:t>
      </w:r>
      <w:r>
        <w:rPr>
          <w:rFonts w:hint="eastAsia" w:ascii="宋体" w:hAnsi="宋体"/>
          <w:sz w:val="24"/>
        </w:rPr>
        <w:t>示值误差的测量结果扩展不确定度：</w:t>
      </w:r>
    </w:p>
    <w:p>
      <w:pPr>
        <w:tabs>
          <w:tab w:val="left" w:pos="1490"/>
        </w:tabs>
        <w:topLinePunct/>
        <w:spacing w:line="300" w:lineRule="auto"/>
        <w:jc w:val="center"/>
        <w:rPr>
          <w:sz w:val="24"/>
        </w:rPr>
      </w:pPr>
      <w:r>
        <w:rPr>
          <w:position w:val="-12"/>
        </w:rPr>
        <w:object>
          <v:shape id="_x0000_i1066" o:spt="75" alt="" type="#_x0000_t75" style="height:18pt;width:73pt;" o:ole="t" filled="f" o:preferrelative="t" stroked="f" coordsize="21600,21600">
            <v:path/>
            <v:fill on="f" focussize="0,0"/>
            <v:stroke on="f"/>
            <v:imagedata r:id="rId32" o:title=""/>
            <o:lock v:ext="edit" aspectratio="t"/>
            <w10:wrap type="none"/>
            <w10:anchorlock/>
          </v:shape>
          <o:OLEObject Type="Embed" ProgID="Equation.3" ShapeID="_x0000_i1066" DrawAspect="Content" ObjectID="_1468075730" r:id="rId31">
            <o:LockedField>false</o:LockedField>
          </o:OLEObject>
        </w:object>
      </w:r>
      <w:r>
        <w:rPr>
          <w:rFonts w:hint="eastAsia" w:ascii="宋体" w:hAnsi="宋体"/>
          <w:sz w:val="24"/>
          <w:lang w:val="en-US" w:eastAsia="zh-CN"/>
        </w:rPr>
        <w:t>%</w:t>
      </w: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tabs>
          <w:tab w:val="left" w:pos="1490"/>
        </w:tabs>
        <w:spacing w:beforeLines="50" w:line="360" w:lineRule="auto"/>
        <w:rPr>
          <w:rFonts w:asciiTheme="minorEastAsia" w:hAnsiTheme="minorEastAsia"/>
          <w:sz w:val="24"/>
          <w:szCs w:val="24"/>
        </w:rPr>
      </w:pPr>
    </w:p>
    <w:p>
      <w:pPr>
        <w:outlineLvl w:val="0"/>
        <w:rPr>
          <w:rFonts w:ascii="黑体" w:hAnsi="黑体" w:eastAsia="黑体"/>
          <w:color w:val="000000"/>
          <w:sz w:val="28"/>
          <w:szCs w:val="28"/>
        </w:rPr>
      </w:pPr>
      <w:bookmarkStart w:id="67" w:name="_Toc20916"/>
      <w:bookmarkStart w:id="68" w:name="_Toc16442"/>
      <w:r>
        <w:rPr>
          <w:rFonts w:ascii="黑体" w:hAnsi="黑体" w:eastAsia="黑体"/>
          <w:color w:val="000000"/>
          <w:sz w:val="28"/>
          <w:szCs w:val="28"/>
        </w:rPr>
        <w:t xml:space="preserve">附录 </w:t>
      </w:r>
      <w:r>
        <w:rPr>
          <w:rFonts w:hint="eastAsia" w:ascii="黑体" w:hAnsi="黑体" w:eastAsia="黑体"/>
          <w:color w:val="000000"/>
          <w:sz w:val="28"/>
          <w:szCs w:val="28"/>
        </w:rPr>
        <w:t>D</w:t>
      </w:r>
      <w:bookmarkEnd w:id="67"/>
    </w:p>
    <w:bookmarkEnd w:id="68"/>
    <w:p>
      <w:pPr>
        <w:pStyle w:val="31"/>
        <w:numPr>
          <w:ilvl w:val="1"/>
          <w:numId w:val="0"/>
        </w:numPr>
        <w:spacing w:beforeLines="0" w:afterLines="0" w:line="360" w:lineRule="auto"/>
        <w:ind w:firstLine="140" w:firstLineChars="50"/>
        <w:jc w:val="center"/>
        <w:outlineLvl w:val="0"/>
        <w:rPr>
          <w:rFonts w:ascii="Times New Roman"/>
          <w:color w:val="000000"/>
          <w:sz w:val="28"/>
          <w:szCs w:val="28"/>
        </w:rPr>
      </w:pPr>
      <w:bookmarkStart w:id="69" w:name="_Toc8927"/>
      <w:r>
        <w:rPr>
          <w:rFonts w:hint="eastAsia" w:hAnsi="黑体"/>
          <w:sz w:val="28"/>
          <w:szCs w:val="28"/>
          <w:lang w:val="en-US" w:eastAsia="zh-CN"/>
        </w:rPr>
        <w:t>总产烟量</w:t>
      </w:r>
      <w:r>
        <w:rPr>
          <w:rFonts w:hint="eastAsia" w:hAnsi="黑体"/>
          <w:sz w:val="28"/>
          <w:szCs w:val="28"/>
        </w:rPr>
        <w:t>示值误差</w:t>
      </w:r>
      <w:r>
        <w:rPr>
          <w:rFonts w:hint="eastAsia" w:ascii="Times New Roman"/>
          <w:color w:val="000000"/>
          <w:sz w:val="28"/>
          <w:szCs w:val="28"/>
        </w:rPr>
        <w:t>校准结果</w:t>
      </w:r>
      <w:r>
        <w:rPr>
          <w:rFonts w:ascii="Times New Roman"/>
          <w:color w:val="000000"/>
          <w:sz w:val="28"/>
          <w:szCs w:val="28"/>
        </w:rPr>
        <w:t>的测量不确定度评定示例</w:t>
      </w:r>
      <w:bookmarkEnd w:id="69"/>
    </w:p>
    <w:p>
      <w:pPr>
        <w:topLinePunct/>
        <w:spacing w:before="156" w:beforeLines="50" w:after="156" w:afterLines="50" w:line="300" w:lineRule="auto"/>
        <w:rPr>
          <w:rFonts w:hint="eastAsia" w:ascii="黑体" w:hAnsi="黑体" w:eastAsia="黑体"/>
          <w:sz w:val="24"/>
        </w:rPr>
      </w:pPr>
      <w:r>
        <w:rPr>
          <w:rFonts w:hint="eastAsia" w:ascii="黑体" w:hAnsi="黑体" w:eastAsia="黑体"/>
          <w:sz w:val="24"/>
          <w:lang w:val="en-US" w:eastAsia="zh-CN"/>
        </w:rPr>
        <w:t>D</w:t>
      </w:r>
      <w:r>
        <w:rPr>
          <w:rFonts w:ascii="黑体" w:hAnsi="黑体" w:eastAsia="黑体"/>
          <w:sz w:val="24"/>
        </w:rPr>
        <w:t xml:space="preserve">.1  </w:t>
      </w:r>
      <w:r>
        <w:rPr>
          <w:rFonts w:hint="eastAsia" w:ascii="黑体" w:hAnsi="黑体" w:eastAsia="黑体"/>
          <w:sz w:val="24"/>
        </w:rPr>
        <w:t>校准方法</w:t>
      </w:r>
    </w:p>
    <w:p>
      <w:pPr>
        <w:topLinePunct/>
        <w:spacing w:line="300" w:lineRule="auto"/>
        <w:ind w:firstLine="480" w:firstLineChars="200"/>
        <w:rPr>
          <w:rFonts w:ascii="宋体" w:hAnsi="宋体"/>
          <w:sz w:val="24"/>
        </w:rPr>
      </w:pPr>
      <w:r>
        <w:rPr>
          <w:rFonts w:hint="eastAsia" w:ascii="宋体" w:hAnsi="宋体"/>
          <w:sz w:val="24"/>
        </w:rPr>
        <w:t>按本规范第</w:t>
      </w:r>
      <w:r>
        <w:rPr>
          <w:rFonts w:ascii="宋体" w:hAnsi="宋体"/>
          <w:sz w:val="24"/>
        </w:rPr>
        <w:t>6.2</w:t>
      </w:r>
      <w:r>
        <w:rPr>
          <w:rFonts w:hint="eastAsia" w:ascii="宋体" w:hAnsi="宋体"/>
          <w:sz w:val="24"/>
        </w:rPr>
        <w:t>条的规定进行。</w:t>
      </w:r>
    </w:p>
    <w:p>
      <w:pPr>
        <w:topLinePunct/>
        <w:spacing w:before="156" w:beforeLines="50" w:after="156" w:afterLines="50" w:line="300" w:lineRule="auto"/>
        <w:rPr>
          <w:rFonts w:hint="eastAsia" w:ascii="黑体" w:hAnsi="黑体" w:eastAsia="黑体"/>
          <w:sz w:val="24"/>
        </w:rPr>
      </w:pPr>
      <w:r>
        <w:rPr>
          <w:rFonts w:hint="eastAsia" w:ascii="黑体" w:hAnsi="黑体" w:eastAsia="黑体"/>
          <w:sz w:val="24"/>
          <w:lang w:val="en-US" w:eastAsia="zh-CN"/>
        </w:rPr>
        <w:t>D</w:t>
      </w:r>
      <w:r>
        <w:rPr>
          <w:rFonts w:ascii="黑体" w:hAnsi="黑体" w:eastAsia="黑体"/>
          <w:sz w:val="24"/>
        </w:rPr>
        <w:t xml:space="preserve">.2  </w:t>
      </w:r>
      <w:r>
        <w:rPr>
          <w:rFonts w:hint="eastAsia" w:ascii="黑体" w:hAnsi="黑体" w:eastAsia="黑体"/>
          <w:sz w:val="24"/>
        </w:rPr>
        <w:t>校准环境</w:t>
      </w:r>
    </w:p>
    <w:p>
      <w:pPr>
        <w:topLinePunct/>
        <w:spacing w:line="300" w:lineRule="auto"/>
        <w:ind w:firstLine="480" w:firstLineChars="200"/>
        <w:rPr>
          <w:rFonts w:hint="eastAsia" w:ascii="宋体" w:hAnsi="宋体"/>
          <w:sz w:val="24"/>
        </w:rPr>
      </w:pPr>
      <w:r>
        <w:rPr>
          <w:rFonts w:hint="eastAsia" w:ascii="宋体" w:hAnsi="宋体"/>
          <w:sz w:val="24"/>
        </w:rPr>
        <w:t>温度(</w:t>
      </w:r>
      <w:r>
        <w:rPr>
          <w:rFonts w:ascii="宋体" w:hAnsi="宋体"/>
          <w:color w:val="000000"/>
          <w:sz w:val="24"/>
        </w:rPr>
        <w:t>15</w:t>
      </w:r>
      <w:r>
        <w:rPr>
          <w:rFonts w:hint="eastAsia" w:ascii="宋体" w:hAnsi="宋体"/>
          <w:color w:val="000000"/>
          <w:sz w:val="24"/>
        </w:rPr>
        <w:t>～</w:t>
      </w:r>
      <w:r>
        <w:rPr>
          <w:rFonts w:ascii="宋体" w:hAnsi="宋体"/>
          <w:color w:val="000000"/>
          <w:sz w:val="24"/>
        </w:rPr>
        <w:t>35</w:t>
      </w:r>
      <w:r>
        <w:rPr>
          <w:rFonts w:hint="eastAsia" w:ascii="宋体" w:hAnsi="宋体"/>
          <w:sz w:val="24"/>
        </w:rPr>
        <w:t>)</w:t>
      </w:r>
      <w:r>
        <w:rPr>
          <w:rFonts w:ascii="宋体" w:hAnsi="宋体"/>
          <w:sz w:val="24"/>
        </w:rPr>
        <w:t>℃</w:t>
      </w:r>
      <w:r>
        <w:rPr>
          <w:rFonts w:hint="eastAsia" w:ascii="宋体" w:hAnsi="宋体"/>
          <w:sz w:val="24"/>
        </w:rPr>
        <w:t>、相对湿度不大于</w:t>
      </w:r>
      <w:r>
        <w:rPr>
          <w:rFonts w:ascii="宋体" w:hAnsi="宋体"/>
          <w:sz w:val="24"/>
        </w:rPr>
        <w:t>85</w:t>
      </w:r>
      <w:r>
        <w:rPr>
          <w:rFonts w:hint="eastAsia" w:ascii="宋体" w:hAnsi="宋体"/>
          <w:sz w:val="24"/>
        </w:rPr>
        <w:t>％。</w:t>
      </w:r>
    </w:p>
    <w:p>
      <w:pPr>
        <w:topLinePunct/>
        <w:spacing w:before="156" w:beforeLines="50" w:after="156" w:afterLines="50" w:line="300" w:lineRule="auto"/>
        <w:rPr>
          <w:rFonts w:hint="eastAsia" w:ascii="宋体" w:hAnsi="宋体"/>
          <w:sz w:val="24"/>
        </w:rPr>
      </w:pPr>
      <w:r>
        <w:rPr>
          <w:rFonts w:hint="eastAsia" w:ascii="黑体" w:hAnsi="黑体" w:eastAsia="黑体"/>
          <w:sz w:val="24"/>
          <w:lang w:val="en-US" w:eastAsia="zh-CN"/>
        </w:rPr>
        <w:t>D</w:t>
      </w:r>
      <w:r>
        <w:rPr>
          <w:rFonts w:ascii="黑体" w:hAnsi="黑体" w:eastAsia="黑体"/>
          <w:sz w:val="24"/>
        </w:rPr>
        <w:t xml:space="preserve">.3  </w:t>
      </w:r>
      <w:r>
        <w:rPr>
          <w:rFonts w:hint="eastAsia" w:ascii="黑体" w:hAnsi="黑体" w:eastAsia="黑体"/>
          <w:sz w:val="24"/>
        </w:rPr>
        <w:t>计量标准及主要技术指标</w:t>
      </w:r>
    </w:p>
    <w:p>
      <w:pPr>
        <w:topLinePunct/>
        <w:spacing w:line="300" w:lineRule="auto"/>
        <w:ind w:firstLine="480" w:firstLineChars="200"/>
        <w:rPr>
          <w:rFonts w:ascii="宋体" w:hAnsi="宋体"/>
          <w:sz w:val="24"/>
        </w:rPr>
      </w:pPr>
      <w:r>
        <w:rPr>
          <w:rFonts w:hint="eastAsia" w:ascii="宋体" w:hAnsi="宋体"/>
          <w:sz w:val="24"/>
          <w:lang w:val="en-US" w:eastAsia="zh-CN"/>
        </w:rPr>
        <w:t>标准滤光片</w:t>
      </w:r>
      <w:r>
        <w:rPr>
          <w:rFonts w:hint="eastAsia" w:ascii="宋体" w:hAnsi="宋体"/>
          <w:sz w:val="24"/>
        </w:rPr>
        <w:t>：</w:t>
      </w:r>
      <w:r>
        <w:rPr>
          <w:rFonts w:hint="eastAsia" w:ascii="宋体" w:hAnsi="宋体"/>
          <w:sz w:val="24"/>
          <w:lang w:val="en-US" w:eastAsia="zh-CN"/>
        </w:rPr>
        <w:t>透光率标称值50%的滤光片</w:t>
      </w:r>
      <w:r>
        <w:rPr>
          <w:rFonts w:hint="eastAsia" w:ascii="宋体" w:hAnsi="宋体"/>
          <w:sz w:val="24"/>
        </w:rPr>
        <w:t>。</w:t>
      </w:r>
    </w:p>
    <w:p>
      <w:pPr>
        <w:topLinePunct/>
        <w:spacing w:before="156" w:beforeLines="50" w:after="156" w:afterLines="50" w:line="300" w:lineRule="auto"/>
        <w:rPr>
          <w:rFonts w:ascii="黑体" w:hAnsi="黑体" w:eastAsia="黑体"/>
          <w:sz w:val="24"/>
        </w:rPr>
      </w:pPr>
      <w:r>
        <w:rPr>
          <w:rFonts w:hint="eastAsia" w:ascii="黑体" w:hAnsi="黑体" w:eastAsia="黑体"/>
          <w:sz w:val="24"/>
          <w:lang w:val="en-US" w:eastAsia="zh-CN"/>
        </w:rPr>
        <w:t>D</w:t>
      </w:r>
      <w:r>
        <w:rPr>
          <w:rFonts w:ascii="黑体" w:hAnsi="黑体" w:eastAsia="黑体"/>
          <w:sz w:val="24"/>
        </w:rPr>
        <w:t xml:space="preserve">.4  </w:t>
      </w:r>
      <w:r>
        <w:rPr>
          <w:rFonts w:hint="eastAsia" w:ascii="黑体" w:hAnsi="黑体" w:eastAsia="黑体"/>
          <w:sz w:val="24"/>
        </w:rPr>
        <w:t>测量对象</w:t>
      </w:r>
    </w:p>
    <w:p>
      <w:pPr>
        <w:topLinePunct/>
        <w:spacing w:line="300" w:lineRule="auto"/>
        <w:ind w:firstLine="480" w:firstLineChars="200"/>
        <w:rPr>
          <w:rFonts w:ascii="宋体" w:hAnsi="宋体"/>
          <w:sz w:val="24"/>
        </w:rPr>
      </w:pPr>
      <w:r>
        <w:rPr>
          <w:rFonts w:hint="eastAsia" w:ascii="宋体" w:hAnsi="宋体"/>
          <w:sz w:val="24"/>
          <w:lang w:val="en-US" w:eastAsia="zh-CN"/>
        </w:rPr>
        <w:t>透光率标称值50%的滤光模拟试样燃烧或分解后烟气的总产烟量</w:t>
      </w:r>
      <w:r>
        <w:rPr>
          <w:rFonts w:hint="eastAsia" w:ascii="宋体" w:hAnsi="宋体"/>
          <w:spacing w:val="8"/>
          <w:sz w:val="24"/>
        </w:rPr>
        <w:t>示值与</w:t>
      </w:r>
      <w:r>
        <w:rPr>
          <w:rFonts w:hint="eastAsia" w:ascii="宋体" w:hAnsi="宋体"/>
          <w:spacing w:val="8"/>
          <w:sz w:val="24"/>
          <w:lang w:val="en-US" w:eastAsia="zh-CN"/>
        </w:rPr>
        <w:t>其标称值</w:t>
      </w:r>
      <w:r>
        <w:rPr>
          <w:rFonts w:hint="eastAsia" w:ascii="宋体" w:hAnsi="宋体"/>
          <w:spacing w:val="8"/>
          <w:sz w:val="24"/>
        </w:rPr>
        <w:t>的</w:t>
      </w:r>
      <w:r>
        <w:rPr>
          <w:rFonts w:hint="eastAsia" w:ascii="宋体" w:hAnsi="宋体"/>
          <w:sz w:val="24"/>
        </w:rPr>
        <w:t>差值。</w:t>
      </w:r>
    </w:p>
    <w:p>
      <w:pPr>
        <w:topLinePunct/>
        <w:spacing w:before="156" w:beforeLines="50" w:after="156" w:afterLines="50" w:line="300" w:lineRule="auto"/>
        <w:rPr>
          <w:rFonts w:ascii="黑体" w:hAnsi="黑体" w:eastAsia="黑体"/>
          <w:sz w:val="24"/>
        </w:rPr>
      </w:pPr>
      <w:r>
        <w:rPr>
          <w:rFonts w:hint="eastAsia" w:ascii="黑体" w:hAnsi="黑体" w:eastAsia="黑体"/>
          <w:sz w:val="24"/>
          <w:lang w:val="en-US" w:eastAsia="zh-CN"/>
        </w:rPr>
        <w:t>D</w:t>
      </w:r>
      <w:r>
        <w:rPr>
          <w:rFonts w:ascii="黑体" w:hAnsi="黑体" w:eastAsia="黑体"/>
          <w:sz w:val="24"/>
        </w:rPr>
        <w:t xml:space="preserve">.5  </w:t>
      </w:r>
      <w:r>
        <w:rPr>
          <w:rFonts w:hint="eastAsia" w:ascii="黑体" w:hAnsi="黑体" w:eastAsia="黑体"/>
          <w:sz w:val="24"/>
        </w:rPr>
        <w:t>数学模型</w:t>
      </w:r>
    </w:p>
    <w:p>
      <w:pPr>
        <w:topLinePunct/>
        <w:spacing w:line="300" w:lineRule="auto"/>
        <w:ind w:firstLine="480" w:firstLineChars="200"/>
        <w:rPr>
          <w:rFonts w:ascii="宋体" w:hAnsi="宋体"/>
          <w:sz w:val="24"/>
        </w:rPr>
      </w:pPr>
      <w:r>
        <w:rPr>
          <w:rFonts w:hint="eastAsia" w:ascii="宋体" w:hAnsi="宋体"/>
          <w:sz w:val="24"/>
          <w:lang w:val="en-US" w:eastAsia="zh-CN"/>
        </w:rPr>
        <w:t>总产烟量</w:t>
      </w:r>
      <w:r>
        <w:rPr>
          <w:rFonts w:hint="eastAsia" w:ascii="宋体" w:hAnsi="宋体"/>
          <w:sz w:val="24"/>
        </w:rPr>
        <w:t>的示值误差按照公式(</w:t>
      </w:r>
      <w:r>
        <w:rPr>
          <w:rFonts w:hint="eastAsia" w:ascii="宋体" w:hAnsi="宋体"/>
          <w:sz w:val="24"/>
          <w:lang w:val="en-US" w:eastAsia="zh-CN"/>
        </w:rPr>
        <w:t>D</w:t>
      </w:r>
      <w:r>
        <w:rPr>
          <w:rFonts w:ascii="宋体" w:hAnsi="宋体"/>
          <w:sz w:val="24"/>
        </w:rPr>
        <w:t>.1</w:t>
      </w:r>
      <w:r>
        <w:rPr>
          <w:rFonts w:hint="eastAsia" w:ascii="宋体" w:hAnsi="宋体"/>
          <w:sz w:val="24"/>
        </w:rPr>
        <w:t>)计算：</w:t>
      </w:r>
    </w:p>
    <w:p>
      <w:pPr>
        <w:pStyle w:val="38"/>
        <w:topLinePunct/>
        <w:autoSpaceDE/>
        <w:autoSpaceDN/>
      </w:pPr>
      <w:r>
        <w:tab/>
      </w:r>
      <w:r>
        <w:rPr>
          <w:position w:val="-14"/>
        </w:rPr>
        <w:object>
          <v:shape id="_x0000_i1067" o:spt="75" alt="" type="#_x0000_t75" style="height:20pt;width:57.1pt;" o:ole="t" filled="f" o:preferrelative="t" stroked="f" coordsize="21600,21600">
            <v:path/>
            <v:fill on="f" focussize="0,0"/>
            <v:stroke on="f"/>
            <v:imagedata r:id="rId34" o:title=""/>
            <o:lock v:ext="edit" aspectratio="t"/>
            <w10:wrap type="none"/>
            <w10:anchorlock/>
          </v:shape>
          <o:OLEObject Type="Embed" ProgID="Equation.3" ShapeID="_x0000_i1067" DrawAspect="Content" ObjectID="_1468075731" r:id="rId33">
            <o:LockedField>false</o:LockedField>
          </o:OLEObject>
        </w:object>
      </w:r>
      <w:r>
        <w:rPr>
          <w:color w:val="FFFFFF"/>
        </w:rPr>
        <w:tab/>
      </w:r>
      <w:r>
        <w:rPr>
          <w:sz w:val="24"/>
          <w:szCs w:val="24"/>
        </w:rPr>
        <w:t>(</w:t>
      </w:r>
      <w:r>
        <w:rPr>
          <w:rFonts w:hint="eastAsia"/>
          <w:sz w:val="24"/>
          <w:szCs w:val="24"/>
          <w:lang w:val="en-US" w:eastAsia="zh-CN"/>
        </w:rPr>
        <w:t>D</w:t>
      </w:r>
      <w:r>
        <w:rPr>
          <w:rFonts w:hint="eastAsia"/>
          <w:sz w:val="24"/>
          <w:szCs w:val="24"/>
        </w:rPr>
        <w:t>.1</w:t>
      </w:r>
      <w:r>
        <w:rPr>
          <w:sz w:val="24"/>
          <w:szCs w:val="24"/>
        </w:rPr>
        <w:t>)</w:t>
      </w:r>
    </w:p>
    <w:p>
      <w:pPr>
        <w:topLinePunct/>
        <w:spacing w:line="300" w:lineRule="auto"/>
        <w:ind w:firstLine="480" w:firstLineChars="200"/>
        <w:rPr>
          <w:rFonts w:ascii="宋体" w:hAnsi="宋体"/>
          <w:bCs/>
          <w:color w:val="000000"/>
          <w:sz w:val="24"/>
        </w:rPr>
      </w:pPr>
      <w:r>
        <w:rPr>
          <w:rFonts w:hint="eastAsia" w:ascii="宋体" w:hAnsi="宋体"/>
          <w:bCs/>
          <w:color w:val="000000"/>
          <w:sz w:val="24"/>
        </w:rPr>
        <w:t>式中：</w:t>
      </w:r>
    </w:p>
    <w:p>
      <w:pPr>
        <w:ind w:firstLine="420"/>
        <w:jc w:val="both"/>
        <w:rPr>
          <w:rFonts w:ascii="宋体" w:hAnsi="宋体" w:eastAsia="宋体" w:cs="Times New Roman"/>
          <w:bCs/>
          <w:color w:val="000000"/>
          <w:sz w:val="24"/>
          <w:szCs w:val="24"/>
        </w:rPr>
      </w:pPr>
      <m:oMath>
        <m:sSub>
          <m:sSubPr>
            <m:ctrlPr>
              <w:rPr>
                <w:rFonts w:ascii="Cambria Math" w:hAnsi="Cambria Math" w:cs="Times New Roman"/>
                <w:bCs/>
                <w:i/>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color w:val="000000"/>
                <w:sz w:val="21"/>
                <w:szCs w:val="21"/>
              </w:rPr>
            </m:ctrlPr>
          </m:e>
          <m:sub>
            <m:r>
              <m:rPr/>
              <w:rPr>
                <w:rFonts w:hint="default" w:ascii="Cambria Math" w:hAnsi="Cambria Math" w:cs="Times New Roman"/>
                <w:color w:val="000000"/>
                <w:sz w:val="21"/>
                <w:szCs w:val="21"/>
                <w:lang w:val="en-US" w:eastAsia="zh-CN"/>
              </w:rPr>
              <m:t>t</m:t>
            </m:r>
            <m:ctrlPr>
              <w:rPr>
                <w:rFonts w:ascii="Cambria Math" w:hAnsi="Cambria Math" w:cs="Times New Roman"/>
                <w:bCs/>
                <w:i/>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总产烟量测试</w:t>
      </w:r>
      <w:r>
        <w:rPr>
          <w:rFonts w:hint="eastAsia" w:ascii="宋体" w:hAnsi="宋体" w:eastAsia="宋体" w:cs="Times New Roman"/>
          <w:bCs/>
          <w:color w:val="000000"/>
          <w:sz w:val="24"/>
          <w:szCs w:val="24"/>
          <w:highlight w:val="none"/>
        </w:rPr>
        <w:t>示值</w:t>
      </w:r>
      <w:r>
        <w:rPr>
          <w:rFonts w:hint="eastAsia" w:ascii="宋体" w:hAnsi="宋体" w:eastAsia="宋体" w:cs="Times New Roman"/>
          <w:kern w:val="2"/>
          <w:sz w:val="24"/>
          <w:szCs w:val="24"/>
          <w:highlight w:val="none"/>
        </w:rPr>
        <w:t>；</w:t>
      </w:r>
    </w:p>
    <w:p>
      <w:pPr>
        <w:ind w:firstLine="420"/>
        <w:jc w:val="both"/>
        <w:rPr>
          <w:rFonts w:ascii="宋体" w:hAnsi="宋体" w:eastAsia="宋体" w:cs="Times New Roman"/>
          <w:bCs/>
          <w:color w:val="000000"/>
          <w:sz w:val="24"/>
          <w:szCs w:val="24"/>
        </w:rPr>
      </w:pPr>
      <m:oMath>
        <m:sSub>
          <m:sSubPr>
            <m:ctrlPr>
              <w:rPr>
                <w:rFonts w:ascii="Cambria Math" w:hAnsi="Cambria Math" w:cs="Times New Roman"/>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i/>
                <w:iCs/>
                <w:color w:val="000000"/>
                <w:sz w:val="21"/>
                <w:szCs w:val="21"/>
              </w:rPr>
            </m:ctrlPr>
          </m:e>
          <m:sub>
            <m:r>
              <m:rPr/>
              <w:rPr>
                <w:rFonts w:hint="default" w:ascii="Cambria Math" w:hAnsi="Cambria Math" w:cs="Times New Roman"/>
                <w:color w:val="000000"/>
                <w:sz w:val="21"/>
                <w:szCs w:val="21"/>
              </w:rPr>
              <m:t>s</m:t>
            </m:r>
            <m:ctrlPr>
              <w:rPr>
                <w:rFonts w:ascii="Cambria Math" w:hAnsi="Cambria Math" w:cs="Times New Roman"/>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lang w:val="en-US" w:eastAsia="zh-CN"/>
        </w:rPr>
        <w:t>总产烟量的标称值</w:t>
      </w:r>
      <w:r>
        <w:rPr>
          <w:rFonts w:hint="eastAsia" w:ascii="宋体" w:hAnsi="宋体" w:eastAsia="宋体" w:cs="Times New Roman"/>
          <w:bCs/>
          <w:color w:val="000000"/>
          <w:sz w:val="24"/>
          <w:szCs w:val="24"/>
        </w:rPr>
        <w:t>；</w:t>
      </w:r>
    </w:p>
    <w:p>
      <w:pPr>
        <w:ind w:firstLine="420"/>
        <w:jc w:val="both"/>
        <w:rPr>
          <w:rFonts w:hint="eastAsia" w:ascii="宋体" w:hAnsi="宋体" w:eastAsia="宋体" w:cs="Times New Roman"/>
          <w:bCs/>
          <w:color w:val="000000"/>
          <w:sz w:val="24"/>
          <w:szCs w:val="24"/>
          <w:lang w:val="en-US" w:eastAsia="zh-CN"/>
        </w:rPr>
      </w:pPr>
      <m:oMath>
        <m:sSub>
          <m:sSubPr>
            <m:ctrlPr>
              <w:rPr>
                <w:rFonts w:ascii="Cambria Math" w:hAnsi="Cambria Math" w:cs="Times New Roman"/>
                <w:bCs/>
                <w:i/>
                <w:iCs/>
                <w:color w:val="000000"/>
                <w:sz w:val="21"/>
                <w:szCs w:val="21"/>
              </w:rPr>
            </m:ctrlPr>
          </m:sSubPr>
          <m:e>
            <m:r>
              <m:rPr/>
              <w:rPr>
                <w:rFonts w:hint="default" w:ascii="Cambria Math" w:hAnsi="Cambria Math" w:cs="Times New Roman"/>
                <w:color w:val="000000"/>
                <w:sz w:val="21"/>
                <w:szCs w:val="21"/>
                <w:lang w:val="en-US" w:eastAsia="zh-CN"/>
              </w:rPr>
              <m:t>S</m:t>
            </m:r>
            <m:ctrlPr>
              <w:rPr>
                <w:rFonts w:ascii="Cambria Math" w:hAnsi="Cambria Math" w:cs="Times New Roman"/>
                <w:bCs/>
                <w:i/>
                <w:iCs/>
                <w:color w:val="000000"/>
                <w:sz w:val="21"/>
                <w:szCs w:val="21"/>
              </w:rPr>
            </m:ctrlPr>
          </m:e>
          <m:sub>
            <m:r>
              <m:rPr/>
              <w:rPr>
                <w:rFonts w:hint="default" w:ascii="Cambria Math" w:hAnsi="Cambria Math" w:cs="Times New Roman"/>
                <w:color w:val="000000"/>
                <w:sz w:val="21"/>
                <w:szCs w:val="21"/>
              </w:rPr>
              <m:t>i</m:t>
            </m:r>
            <m:ctrlPr>
              <w:rPr>
                <w:rFonts w:ascii="Cambria Math" w:hAnsi="Cambria Math" w:cs="Times New Roman"/>
                <w:bCs/>
                <w:i/>
                <w:iCs/>
                <w:color w:val="000000"/>
                <w:sz w:val="21"/>
                <w:szCs w:val="21"/>
              </w:rPr>
            </m:ctrlPr>
          </m:sub>
        </m:sSub>
      </m:oMath>
      <w:r>
        <w:rPr>
          <w:rFonts w:ascii="Times New Roman" w:hAnsi="Times New Roman" w:cs="Times New Roman"/>
          <w:bCs/>
          <w:color w:val="000000"/>
          <w:sz w:val="21"/>
          <w:szCs w:val="21"/>
        </w:rPr>
        <w:t>——</w:t>
      </w:r>
      <w:r>
        <w:rPr>
          <w:rFonts w:hint="eastAsia" w:ascii="宋体" w:hAnsi="宋体" w:eastAsia="宋体" w:cs="Times New Roman"/>
          <w:bCs/>
          <w:color w:val="000000"/>
          <w:sz w:val="24"/>
          <w:szCs w:val="24"/>
          <w:highlight w:val="none"/>
        </w:rPr>
        <w:t>测量的</w:t>
      </w:r>
      <w:r>
        <w:rPr>
          <w:rFonts w:hint="eastAsia" w:ascii="宋体" w:hAnsi="宋体" w:eastAsia="宋体" w:cs="Times New Roman"/>
          <w:kern w:val="2"/>
          <w:sz w:val="24"/>
          <w:szCs w:val="24"/>
          <w:lang w:val="en-US" w:eastAsia="zh-CN"/>
        </w:rPr>
        <w:t>最大烟密度</w:t>
      </w:r>
      <w:r>
        <w:rPr>
          <w:rFonts w:hint="eastAsia" w:ascii="宋体" w:hAnsi="宋体" w:eastAsia="宋体" w:cs="Times New Roman"/>
          <w:kern w:val="2"/>
          <w:sz w:val="24"/>
          <w:szCs w:val="24"/>
        </w:rPr>
        <w:t>示值</w:t>
      </w:r>
      <w:r>
        <w:rPr>
          <w:rFonts w:hint="eastAsia" w:ascii="宋体" w:hAnsi="宋体" w:eastAsia="宋体" w:cs="Times New Roman"/>
          <w:bCs/>
          <w:color w:val="000000"/>
          <w:sz w:val="24"/>
          <w:szCs w:val="24"/>
          <w:highlight w:val="none"/>
        </w:rPr>
        <w:t>误差</w:t>
      </w:r>
    </w:p>
    <w:p>
      <w:pPr>
        <w:topLinePunct/>
        <w:spacing w:before="156" w:beforeLines="50" w:after="156" w:afterLines="50" w:line="300" w:lineRule="auto"/>
        <w:rPr>
          <w:rFonts w:ascii="黑体" w:hAnsi="黑体" w:eastAsia="黑体"/>
          <w:sz w:val="24"/>
        </w:rPr>
      </w:pPr>
      <w:r>
        <w:rPr>
          <w:rFonts w:ascii="黑体" w:hAnsi="黑体" w:eastAsia="黑体"/>
          <w:sz w:val="24"/>
        </w:rPr>
        <w:t>C.6</w:t>
      </w:r>
      <w:r>
        <w:rPr>
          <w:rFonts w:hint="eastAsia" w:ascii="黑体" w:hAnsi="黑体" w:eastAsia="黑体"/>
          <w:sz w:val="24"/>
        </w:rPr>
        <w:t xml:space="preserve">  测量不确定度分量</w:t>
      </w:r>
    </w:p>
    <w:p>
      <w:pPr>
        <w:topLinePunct/>
        <w:spacing w:line="300" w:lineRule="auto"/>
        <w:rPr>
          <w:sz w:val="24"/>
        </w:rPr>
      </w:pPr>
      <w:r>
        <w:rPr>
          <w:rFonts w:ascii="宋体" w:hAnsi="宋体"/>
          <w:color w:val="auto"/>
          <w:sz w:val="24"/>
        </w:rPr>
        <w:t>C.6.1</w:t>
      </w:r>
      <w:r>
        <w:rPr>
          <w:rFonts w:hint="eastAsia" w:ascii="宋体" w:hAnsi="宋体"/>
          <w:color w:val="auto"/>
          <w:sz w:val="24"/>
        </w:rPr>
        <w:t xml:space="preserve"> </w:t>
      </w:r>
      <w:r>
        <w:rPr>
          <w:rFonts w:hint="eastAsia" w:ascii="宋体" w:hAnsi="宋体"/>
          <w:color w:val="FF0000"/>
          <w:sz w:val="24"/>
        </w:rPr>
        <w:t xml:space="preserve"> </w:t>
      </w:r>
      <w:r>
        <w:rPr>
          <w:rFonts w:hint="eastAsia"/>
          <w:sz w:val="24"/>
        </w:rPr>
        <w:t>测量重复性引入的标准不确定度分量，</w:t>
      </w:r>
      <w:r>
        <w:rPr>
          <w:i/>
          <w:sz w:val="24"/>
        </w:rPr>
        <w:t>u</w:t>
      </w:r>
      <w:r>
        <w:rPr>
          <w:sz w:val="24"/>
          <w:vertAlign w:val="subscript"/>
        </w:rPr>
        <w:t>1</w:t>
      </w:r>
      <w:r>
        <w:rPr>
          <w:color w:val="FF6600"/>
          <w:sz w:val="24"/>
        </w:rPr>
        <w:fldChar w:fldCharType="begin"/>
      </w:r>
      <w:r>
        <w:rPr>
          <w:color w:val="FF6600"/>
          <w:sz w:val="24"/>
        </w:rPr>
        <w:instrText xml:space="preserve"> QUOTE </w:instrText>
      </w:r>
      <w:r>
        <w:rPr>
          <w:rFonts w:hint="eastAsia"/>
          <w:color w:val="FF6600"/>
        </w:rPr>
        <w:pict>
          <v:shape id="_x0000_i1068"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4B8D&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494B8D&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6" chromakey="#FFFFFF" o:title=""/>
            <o:lock v:ext="edit" aspectratio="t"/>
            <w10:wrap type="none"/>
            <w10:anchorlock/>
          </v:shape>
        </w:pict>
      </w:r>
      <w:r>
        <w:rPr>
          <w:color w:val="FF6600"/>
          <w:sz w:val="24"/>
        </w:rPr>
        <w:instrText xml:space="preserve"> </w:instrText>
      </w:r>
      <w:r>
        <w:rPr>
          <w:color w:val="FF6600"/>
          <w:sz w:val="24"/>
        </w:rPr>
        <w:fldChar w:fldCharType="separate"/>
      </w:r>
      <w:r>
        <w:rPr>
          <w:color w:val="FF6600"/>
          <w:sz w:val="24"/>
        </w:rPr>
        <w:fldChar w:fldCharType="end"/>
      </w:r>
    </w:p>
    <w:p>
      <w:pPr>
        <w:topLinePunct/>
        <w:spacing w:line="300" w:lineRule="auto"/>
        <w:ind w:firstLine="480" w:firstLineChars="200"/>
        <w:rPr>
          <w:rFonts w:hint="eastAsia" w:ascii="宋体" w:hAnsi="宋体"/>
          <w:sz w:val="24"/>
        </w:rPr>
      </w:pPr>
      <w:r>
        <w:rPr>
          <w:rFonts w:hint="eastAsia" w:ascii="宋体" w:hAnsi="宋体"/>
          <w:sz w:val="24"/>
        </w:rPr>
        <w:t>对</w:t>
      </w:r>
      <w:r>
        <w:rPr>
          <w:rFonts w:hint="eastAsia" w:ascii="Times New Roman" w:hAnsi="Times New Roman" w:eastAsia="宋体" w:cs="Times New Roman"/>
          <w:kern w:val="2"/>
          <w:sz w:val="24"/>
          <w:szCs w:val="24"/>
        </w:rPr>
        <w:t>建筑材料燃烧或分解的烟密度测试</w:t>
      </w:r>
      <w:r>
        <w:rPr>
          <w:rFonts w:hint="eastAsia" w:hAnsi="宋体" w:eastAsia="宋体" w:cs="Times New Roman"/>
          <w:sz w:val="24"/>
          <w:szCs w:val="24"/>
        </w:rPr>
        <w:t>装置</w:t>
      </w:r>
      <w:r>
        <w:rPr>
          <w:rFonts w:hint="eastAsia" w:hAnsi="宋体" w:eastAsia="宋体" w:cs="Times New Roman"/>
          <w:sz w:val="24"/>
          <w:szCs w:val="24"/>
          <w:lang w:val="en-US" w:eastAsia="zh-CN"/>
        </w:rPr>
        <w:t>总产烟量</w:t>
      </w:r>
      <w:r>
        <w:rPr>
          <w:rFonts w:hint="eastAsia" w:ascii="宋体" w:hAnsi="宋体"/>
          <w:spacing w:val="-2"/>
          <w:kern w:val="24"/>
          <w:sz w:val="24"/>
        </w:rPr>
        <w:t>进行</w:t>
      </w:r>
      <w:r>
        <w:rPr>
          <w:rFonts w:ascii="宋体" w:hAnsi="宋体"/>
          <w:spacing w:val="-2"/>
          <w:kern w:val="24"/>
          <w:sz w:val="24"/>
        </w:rPr>
        <w:t>10</w:t>
      </w:r>
      <w:r>
        <w:rPr>
          <w:rFonts w:hint="eastAsia" w:ascii="宋体" w:hAnsi="宋体"/>
          <w:spacing w:val="-2"/>
          <w:kern w:val="24"/>
          <w:sz w:val="24"/>
        </w:rPr>
        <w:t>次重复独立测算，误差结</w:t>
      </w:r>
      <w:r>
        <w:rPr>
          <w:rFonts w:hint="eastAsia" w:ascii="宋体" w:hAnsi="宋体"/>
          <w:sz w:val="24"/>
        </w:rPr>
        <w:t>果下表：</w:t>
      </w:r>
    </w:p>
    <w:p>
      <w:pPr>
        <w:topLinePunct/>
        <w:spacing w:line="360" w:lineRule="auto"/>
        <w:ind w:firstLine="220" w:firstLineChars="100"/>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C.1</w:t>
      </w:r>
      <w:r>
        <w:rPr>
          <w:rFonts w:hint="eastAsia" w:ascii="黑体" w:hAnsi="黑体" w:eastAsia="黑体"/>
          <w:color w:val="000000"/>
          <w:szCs w:val="21"/>
        </w:rPr>
        <w:t xml:space="preserve">  </w:t>
      </w:r>
      <w:r>
        <w:rPr>
          <w:rFonts w:hint="eastAsia" w:ascii="黑体" w:hAnsi="黑体" w:eastAsia="黑体"/>
          <w:szCs w:val="21"/>
          <w:lang w:val="en-US" w:eastAsia="zh-CN"/>
        </w:rPr>
        <w:t>最大烟密度</w:t>
      </w:r>
      <w:r>
        <w:rPr>
          <w:rFonts w:hint="eastAsia" w:ascii="黑体" w:hAnsi="黑体" w:eastAsia="黑体"/>
          <w:szCs w:val="21"/>
        </w:rPr>
        <w:t>示值差值结果表</w:t>
      </w:r>
    </w:p>
    <w:tbl>
      <w:tblPr>
        <w:tblStyle w:val="1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753"/>
        <w:gridCol w:w="754"/>
        <w:gridCol w:w="756"/>
        <w:gridCol w:w="756"/>
        <w:gridCol w:w="756"/>
        <w:gridCol w:w="756"/>
        <w:gridCol w:w="756"/>
        <w:gridCol w:w="756"/>
        <w:gridCol w:w="756"/>
        <w:gridCol w:w="7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1"/>
            <w:noWrap w:val="0"/>
            <w:tcMar>
              <w:left w:w="28" w:type="dxa"/>
              <w:right w:w="28" w:type="dxa"/>
            </w:tcMar>
            <w:vAlign w:val="center"/>
          </w:tcPr>
          <w:p>
            <w:pPr>
              <w:topLinePunct/>
              <w:jc w:val="center"/>
              <w:rPr>
                <w:rFonts w:ascii="宋体" w:hAnsi="宋体"/>
                <w:szCs w:val="21"/>
              </w:rPr>
            </w:pPr>
            <w:r>
              <w:rPr>
                <w:rFonts w:hint="eastAsia" w:ascii="宋体" w:hAnsi="宋体"/>
                <w:szCs w:val="21"/>
              </w:rPr>
              <w:t>进行</w:t>
            </w:r>
            <w:r>
              <w:rPr>
                <w:i/>
                <w:szCs w:val="21"/>
              </w:rPr>
              <w:t>n</w:t>
            </w:r>
            <w:r>
              <w:rPr>
                <w:rFonts w:hint="eastAsia" w:ascii="宋体" w:hAnsi="宋体"/>
                <w:szCs w:val="21"/>
              </w:rPr>
              <w:t>＝</w:t>
            </w:r>
            <w:r>
              <w:rPr>
                <w:rFonts w:ascii="宋体" w:hAnsi="宋体"/>
                <w:szCs w:val="21"/>
              </w:rPr>
              <w:t>10</w:t>
            </w:r>
            <w:r>
              <w:rPr>
                <w:rFonts w:hint="eastAsia" w:ascii="宋体" w:hAnsi="宋体"/>
                <w:szCs w:val="21"/>
              </w:rPr>
              <w:t>次独立重复测试的结果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1" w:type="pct"/>
            <w:noWrap w:val="0"/>
            <w:tcMar>
              <w:left w:w="28" w:type="dxa"/>
              <w:right w:w="28" w:type="dxa"/>
            </w:tcMar>
            <w:vAlign w:val="center"/>
          </w:tcPr>
          <w:p>
            <w:pPr>
              <w:topLinePunct/>
              <w:jc w:val="center"/>
              <w:rPr>
                <w:rFonts w:ascii="宋体" w:hAnsi="宋体"/>
                <w:szCs w:val="21"/>
              </w:rPr>
            </w:pPr>
            <w:r>
              <w:rPr>
                <w:rFonts w:hint="eastAsia" w:ascii="宋体" w:hAnsi="宋体"/>
                <w:szCs w:val="21"/>
              </w:rPr>
              <w:t>次数</w:t>
            </w:r>
          </w:p>
        </w:tc>
        <w:tc>
          <w:tcPr>
            <w:tcW w:w="413" w:type="pct"/>
            <w:noWrap w:val="0"/>
            <w:tcMar>
              <w:left w:w="28" w:type="dxa"/>
              <w:right w:w="28" w:type="dxa"/>
            </w:tcMar>
            <w:vAlign w:val="center"/>
          </w:tcPr>
          <w:p>
            <w:pPr>
              <w:topLinePunct/>
              <w:jc w:val="center"/>
              <w:rPr>
                <w:rFonts w:ascii="宋体" w:hAnsi="宋体"/>
                <w:szCs w:val="21"/>
              </w:rPr>
            </w:pPr>
            <w:r>
              <w:rPr>
                <w:rFonts w:ascii="宋体" w:hAnsi="宋体"/>
                <w:szCs w:val="21"/>
              </w:rPr>
              <w:t>1</w:t>
            </w:r>
          </w:p>
        </w:tc>
        <w:tc>
          <w:tcPr>
            <w:tcW w:w="413" w:type="pct"/>
            <w:noWrap w:val="0"/>
            <w:tcMar>
              <w:left w:w="28" w:type="dxa"/>
              <w:right w:w="28" w:type="dxa"/>
            </w:tcMar>
            <w:vAlign w:val="center"/>
          </w:tcPr>
          <w:p>
            <w:pPr>
              <w:topLinePunct/>
              <w:jc w:val="center"/>
              <w:rPr>
                <w:rFonts w:ascii="宋体" w:hAnsi="宋体"/>
                <w:szCs w:val="21"/>
              </w:rPr>
            </w:pPr>
            <w:r>
              <w:rPr>
                <w:rFonts w:ascii="宋体" w:hAnsi="宋体"/>
                <w:szCs w:val="21"/>
              </w:rPr>
              <w:t>2</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3</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4</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5</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6</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7</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8</w:t>
            </w:r>
          </w:p>
        </w:tc>
        <w:tc>
          <w:tcPr>
            <w:tcW w:w="414" w:type="pct"/>
            <w:noWrap w:val="0"/>
            <w:tcMar>
              <w:left w:w="28" w:type="dxa"/>
              <w:right w:w="28" w:type="dxa"/>
            </w:tcMar>
            <w:vAlign w:val="center"/>
          </w:tcPr>
          <w:p>
            <w:pPr>
              <w:topLinePunct/>
              <w:jc w:val="center"/>
              <w:rPr>
                <w:rFonts w:ascii="宋体" w:hAnsi="宋体"/>
                <w:szCs w:val="21"/>
              </w:rPr>
            </w:pPr>
            <w:r>
              <w:rPr>
                <w:rFonts w:ascii="宋体" w:hAnsi="宋体"/>
                <w:szCs w:val="21"/>
              </w:rPr>
              <w:t>9</w:t>
            </w:r>
          </w:p>
        </w:tc>
        <w:tc>
          <w:tcPr>
            <w:tcW w:w="412" w:type="pct"/>
            <w:noWrap w:val="0"/>
            <w:tcMar>
              <w:left w:w="28" w:type="dxa"/>
              <w:right w:w="28" w:type="dxa"/>
            </w:tcMar>
            <w:vAlign w:val="center"/>
          </w:tcPr>
          <w:p>
            <w:pPr>
              <w:topLinePunct/>
              <w:jc w:val="center"/>
              <w:rPr>
                <w:rFonts w:ascii="宋体" w:hAnsi="宋体"/>
                <w:szCs w:val="21"/>
              </w:rPr>
            </w:pPr>
            <w:r>
              <w:rPr>
                <w:rFonts w:ascii="宋体" w:hAnsi="宋体"/>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1" w:type="pct"/>
            <w:noWrap w:val="0"/>
            <w:tcMar>
              <w:left w:w="28" w:type="dxa"/>
              <w:right w:w="28" w:type="dxa"/>
            </w:tcMar>
            <w:vAlign w:val="center"/>
          </w:tcPr>
          <w:p>
            <w:pPr>
              <w:topLinePunct/>
              <w:jc w:val="center"/>
              <w:rPr>
                <w:rFonts w:ascii="宋体" w:hAnsi="宋体"/>
                <w:szCs w:val="21"/>
              </w:rPr>
            </w:pPr>
            <w:r>
              <w:rPr>
                <w:rFonts w:hint="eastAsia" w:ascii="宋体" w:hAnsi="宋体"/>
                <w:szCs w:val="21"/>
                <w:lang w:val="en-US" w:eastAsia="zh-CN"/>
              </w:rPr>
              <w:t>总产烟量示值</w:t>
            </w:r>
          </w:p>
        </w:tc>
        <w:tc>
          <w:tcPr>
            <w:tcW w:w="413" w:type="pct"/>
            <w:noWrap w:val="0"/>
            <w:tcMar>
              <w:left w:w="28" w:type="dxa"/>
              <w:right w:w="28" w:type="dxa"/>
            </w:tcMar>
            <w:vAlign w:val="center"/>
          </w:tcPr>
          <w:p>
            <w:pPr>
              <w:topLinePunct/>
              <w:jc w:val="center"/>
              <w:rPr>
                <w:rFonts w:hint="default" w:ascii="宋体" w:hAnsi="宋体"/>
                <w:szCs w:val="21"/>
                <w:lang w:val="en-US"/>
              </w:rPr>
            </w:pPr>
            <w:r>
              <w:rPr>
                <w:rFonts w:hint="eastAsia" w:ascii="宋体" w:hAnsi="宋体"/>
                <w:szCs w:val="21"/>
                <w:lang w:val="en-US" w:eastAsia="zh-CN"/>
              </w:rPr>
              <w:t>2.014</w:t>
            </w:r>
          </w:p>
        </w:tc>
        <w:tc>
          <w:tcPr>
            <w:tcW w:w="413" w:type="pct"/>
            <w:noWrap w:val="0"/>
            <w:tcMar>
              <w:left w:w="28" w:type="dxa"/>
              <w:right w:w="28" w:type="dxa"/>
            </w:tcMar>
            <w:vAlign w:val="center"/>
          </w:tcPr>
          <w:p>
            <w:pPr>
              <w:topLinePunct/>
              <w:jc w:val="center"/>
              <w:rPr>
                <w:rFonts w:hint="default" w:ascii="宋体" w:hAnsi="宋体"/>
                <w:szCs w:val="21"/>
                <w:lang w:val="en-US"/>
              </w:rPr>
            </w:pPr>
            <w:r>
              <w:rPr>
                <w:rFonts w:hint="eastAsia" w:ascii="宋体" w:hAnsi="宋体"/>
                <w:szCs w:val="21"/>
                <w:lang w:val="en-US" w:eastAsia="zh-CN"/>
              </w:rPr>
              <w:t>2.025</w:t>
            </w:r>
          </w:p>
        </w:tc>
        <w:tc>
          <w:tcPr>
            <w:tcW w:w="414"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1.981</w:t>
            </w:r>
          </w:p>
        </w:tc>
        <w:tc>
          <w:tcPr>
            <w:tcW w:w="414" w:type="pct"/>
            <w:noWrap w:val="0"/>
            <w:tcMar>
              <w:left w:w="28" w:type="dxa"/>
              <w:right w:w="28" w:type="dxa"/>
            </w:tcMar>
            <w:vAlign w:val="center"/>
          </w:tcPr>
          <w:p>
            <w:pPr>
              <w:topLinePunct/>
              <w:jc w:val="center"/>
              <w:rPr>
                <w:rFonts w:hint="default" w:ascii="宋体" w:hAnsi="宋体"/>
                <w:szCs w:val="21"/>
                <w:lang w:val="en-US"/>
              </w:rPr>
            </w:pPr>
            <w:r>
              <w:rPr>
                <w:rFonts w:hint="eastAsia" w:ascii="宋体" w:hAnsi="宋体"/>
                <w:szCs w:val="21"/>
                <w:lang w:val="en-US" w:eastAsia="zh-CN"/>
              </w:rPr>
              <w:t>2.049</w:t>
            </w:r>
          </w:p>
        </w:tc>
        <w:tc>
          <w:tcPr>
            <w:tcW w:w="414" w:type="pct"/>
            <w:noWrap w:val="0"/>
            <w:tcMar>
              <w:left w:w="28" w:type="dxa"/>
              <w:right w:w="28" w:type="dxa"/>
            </w:tcMar>
            <w:vAlign w:val="center"/>
          </w:tcPr>
          <w:p>
            <w:pPr>
              <w:topLinePunct/>
              <w:jc w:val="center"/>
              <w:rPr>
                <w:rFonts w:hint="default" w:ascii="宋体" w:hAnsi="宋体"/>
                <w:szCs w:val="21"/>
                <w:lang w:val="en-US"/>
              </w:rPr>
            </w:pPr>
            <w:r>
              <w:rPr>
                <w:rFonts w:hint="eastAsia" w:ascii="宋体" w:hAnsi="宋体"/>
                <w:szCs w:val="21"/>
                <w:lang w:val="en-US" w:eastAsia="zh-CN"/>
              </w:rPr>
              <w:t>1.976</w:t>
            </w:r>
          </w:p>
        </w:tc>
        <w:tc>
          <w:tcPr>
            <w:tcW w:w="414"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2.052</w:t>
            </w:r>
          </w:p>
        </w:tc>
        <w:tc>
          <w:tcPr>
            <w:tcW w:w="414" w:type="pct"/>
            <w:noWrap w:val="0"/>
            <w:tcMar>
              <w:left w:w="28" w:type="dxa"/>
              <w:right w:w="28" w:type="dxa"/>
            </w:tcMar>
            <w:vAlign w:val="center"/>
          </w:tcPr>
          <w:p>
            <w:pPr>
              <w:topLinePunct/>
              <w:jc w:val="center"/>
              <w:rPr>
                <w:rFonts w:hint="default" w:ascii="宋体" w:hAnsi="宋体"/>
                <w:szCs w:val="21"/>
                <w:lang w:val="en-US"/>
              </w:rPr>
            </w:pPr>
            <w:r>
              <w:rPr>
                <w:rFonts w:hint="eastAsia" w:ascii="宋体" w:hAnsi="宋体"/>
                <w:szCs w:val="21"/>
                <w:lang w:val="en-US" w:eastAsia="zh-CN"/>
              </w:rPr>
              <w:t>2.042</w:t>
            </w:r>
          </w:p>
        </w:tc>
        <w:tc>
          <w:tcPr>
            <w:tcW w:w="414"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2.055</w:t>
            </w:r>
          </w:p>
        </w:tc>
        <w:tc>
          <w:tcPr>
            <w:tcW w:w="414"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2.009</w:t>
            </w:r>
          </w:p>
        </w:tc>
        <w:tc>
          <w:tcPr>
            <w:tcW w:w="412"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hint="eastAsia" w:ascii="宋体" w:hAnsi="宋体"/>
                <w:szCs w:val="21"/>
                <w:lang w:val="en-US" w:eastAsia="zh-CN"/>
              </w:rPr>
              <w:t>1.972</w:t>
            </w:r>
          </w:p>
        </w:tc>
      </w:tr>
    </w:tbl>
    <w:p>
      <w:pPr>
        <w:topLinePunct/>
        <w:spacing w:before="156" w:beforeLines="50" w:line="300" w:lineRule="auto"/>
        <w:ind w:firstLine="480" w:firstLineChars="200"/>
        <w:rPr>
          <w:rFonts w:ascii="宋体" w:hAnsi="宋体"/>
          <w:sz w:val="24"/>
        </w:rPr>
      </w:pPr>
      <w:r>
        <w:rPr>
          <w:rFonts w:hint="eastAsia" w:ascii="宋体" w:hAnsi="宋体"/>
          <w:sz w:val="24"/>
        </w:rPr>
        <w:t>采用</w:t>
      </w:r>
      <w:r>
        <w:rPr>
          <w:rFonts w:ascii="宋体" w:hAnsi="宋体"/>
          <w:sz w:val="24"/>
        </w:rPr>
        <w:t>A</w:t>
      </w:r>
      <w:r>
        <w:rPr>
          <w:rFonts w:hint="eastAsia" w:ascii="宋体" w:hAnsi="宋体"/>
          <w:sz w:val="24"/>
        </w:rPr>
        <w:t>类方法评定，用贝塞尔公式计算试验标准偏差：</w:t>
      </w:r>
    </w:p>
    <w:p>
      <w:pPr>
        <w:topLinePunct/>
        <w:spacing w:line="300" w:lineRule="auto"/>
        <w:jc w:val="center"/>
        <w:rPr>
          <w:rFonts w:hint="eastAsia" w:eastAsiaTheme="minorEastAsia"/>
          <w:sz w:val="24"/>
          <w:lang w:val="en-US" w:eastAsia="zh-CN"/>
        </w:rPr>
      </w:pPr>
      <w:r>
        <w:rPr>
          <w:rFonts w:ascii="宋体" w:hAnsi="宋体"/>
          <w:sz w:val="24"/>
        </w:rPr>
        <w:fldChar w:fldCharType="begin"/>
      </w:r>
      <w:r>
        <w:rPr>
          <w:rFonts w:ascii="宋体" w:hAnsi="宋体"/>
          <w:sz w:val="24"/>
        </w:rPr>
        <w:instrText xml:space="preserve"> QUOTE </w:instrText>
      </w:r>
      <w:r>
        <w:rPr>
          <w:rFonts w:hint="eastAsia"/>
          <w:sz w:val="24"/>
        </w:rPr>
        <w:pict>
          <v:shape id="_x0000_i1069"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247F&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55247F&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6" chromakey="#FFFFFF" o:title=""/>
            <o:lock v:ext="edit" aspectratio="t"/>
            <w10:wrap type="none"/>
            <w10:anchorlock/>
          </v:shape>
        </w:pict>
      </w:r>
      <w:r>
        <w:rPr>
          <w:rFonts w:ascii="宋体" w:hAnsi="宋体"/>
          <w:sz w:val="24"/>
        </w:rPr>
        <w:instrText xml:space="preserve"> </w:instrText>
      </w:r>
      <w:r>
        <w:rPr>
          <w:rFonts w:ascii="宋体" w:hAnsi="宋体"/>
          <w:sz w:val="24"/>
        </w:rPr>
        <w:fldChar w:fldCharType="separate"/>
      </w:r>
      <w:r>
        <w:rPr>
          <w:rFonts w:ascii="宋体" w:hAnsi="宋体"/>
          <w:sz w:val="24"/>
        </w:rPr>
        <w:fldChar w:fldCharType="end"/>
      </w:r>
      <w:r>
        <w:rPr>
          <w:rFonts w:ascii="宋体" w:hAnsi="宋体"/>
          <w:position w:val="-26"/>
          <w:sz w:val="24"/>
        </w:rPr>
        <w:object>
          <v:shape id="_x0000_i1070" o:spt="75" alt="" type="#_x0000_t75" style="height:35pt;width:172.2pt;" o:ole="t" filled="f" o:preferrelative="t" stroked="f" coordsize="21600,21600">
            <v:path/>
            <v:fill on="f" focussize="0,0"/>
            <v:stroke on="f"/>
            <v:imagedata r:id="rId36" o:title=""/>
            <o:lock v:ext="edit" aspectratio="t"/>
            <w10:wrap type="none"/>
            <w10:anchorlock/>
          </v:shape>
          <o:OLEObject Type="Embed" ProgID="Equation.3" ShapeID="_x0000_i1070" DrawAspect="Content" ObjectID="_1468075732" r:id="rId35">
            <o:LockedField>false</o:LockedField>
          </o:OLEObject>
        </w:object>
      </w:r>
    </w:p>
    <w:p>
      <w:pPr>
        <w:topLinePunct/>
        <w:spacing w:line="300" w:lineRule="auto"/>
        <w:rPr>
          <w:rFonts w:ascii="宋体" w:hAnsi="宋体"/>
          <w:color w:val="auto"/>
          <w:sz w:val="24"/>
        </w:rPr>
      </w:pPr>
      <w:r>
        <w:rPr>
          <w:rFonts w:ascii="宋体" w:hAnsi="宋体"/>
          <w:color w:val="auto"/>
          <w:sz w:val="24"/>
        </w:rPr>
        <w:t>C.6.2</w:t>
      </w:r>
      <w:r>
        <w:rPr>
          <w:rFonts w:hint="eastAsia" w:ascii="宋体" w:hAnsi="宋体"/>
          <w:color w:val="auto"/>
          <w:sz w:val="24"/>
        </w:rPr>
        <w:t xml:space="preserve">  由</w:t>
      </w:r>
      <w:r>
        <w:rPr>
          <w:rFonts w:hint="eastAsia" w:ascii="宋体" w:hAnsi="宋体"/>
          <w:color w:val="auto"/>
          <w:sz w:val="24"/>
          <w:lang w:val="en-US" w:eastAsia="zh-CN"/>
        </w:rPr>
        <w:t>滤光片最大允许误差引入的</w:t>
      </w:r>
      <w:r>
        <w:rPr>
          <w:rFonts w:hint="eastAsia" w:ascii="宋体" w:hAnsi="宋体"/>
          <w:color w:val="auto"/>
          <w:sz w:val="24"/>
        </w:rPr>
        <w:t>标准不确定度分量，</w:t>
      </w:r>
      <w:r>
        <w:rPr>
          <w:i/>
          <w:color w:val="auto"/>
          <w:sz w:val="24"/>
        </w:rPr>
        <w:t>u</w:t>
      </w:r>
      <w:r>
        <w:rPr>
          <w:rFonts w:hint="eastAsia"/>
          <w:color w:val="auto"/>
          <w:sz w:val="24"/>
          <w:vertAlign w:val="subscript"/>
          <w:lang w:val="en-US" w:eastAsia="zh-CN"/>
        </w:rPr>
        <w:t>1</w:t>
      </w:r>
      <w:r>
        <w:rPr>
          <w:rFonts w:ascii="宋体" w:hAnsi="宋体"/>
          <w:color w:val="auto"/>
          <w:sz w:val="24"/>
        </w:rPr>
        <w:fldChar w:fldCharType="begin"/>
      </w:r>
      <w:r>
        <w:rPr>
          <w:rFonts w:ascii="宋体" w:hAnsi="宋体"/>
          <w:color w:val="auto"/>
          <w:sz w:val="24"/>
        </w:rPr>
        <w:instrText xml:space="preserve"> QUOTE </w:instrText>
      </w:r>
      <w:r>
        <w:rPr>
          <w:rFonts w:hint="eastAsia" w:ascii="宋体" w:hAnsi="宋体"/>
          <w:color w:val="auto"/>
          <w:sz w:val="24"/>
        </w:rPr>
        <w:pict>
          <v:shape id="_x0000_i1071"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11B9&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F611B9&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9" chromakey="#FFFFFF" o:title=""/>
            <o:lock v:ext="edit" aspectratio="t"/>
            <w10:wrap type="none"/>
            <w10:anchorlock/>
          </v:shape>
        </w:pict>
      </w:r>
      <w:r>
        <w:rPr>
          <w:rFonts w:ascii="宋体" w:hAnsi="宋体"/>
          <w:color w:val="auto"/>
          <w:sz w:val="24"/>
        </w:rPr>
        <w:instrText xml:space="preserve"> </w:instrText>
      </w:r>
      <w:r>
        <w:rPr>
          <w:rFonts w:ascii="宋体" w:hAnsi="宋体"/>
          <w:color w:val="auto"/>
          <w:sz w:val="24"/>
        </w:rPr>
        <w:fldChar w:fldCharType="separate"/>
      </w:r>
      <w:r>
        <w:rPr>
          <w:rFonts w:ascii="宋体" w:hAnsi="宋体"/>
          <w:color w:val="auto"/>
          <w:sz w:val="24"/>
        </w:rPr>
        <w:fldChar w:fldCharType="end"/>
      </w:r>
    </w:p>
    <w:p>
      <w:pPr>
        <w:topLinePunct/>
        <w:spacing w:line="300" w:lineRule="auto"/>
        <w:ind w:firstLine="480" w:firstLineChars="200"/>
        <w:rPr>
          <w:rFonts w:ascii="宋体" w:hAnsi="宋体"/>
          <w:sz w:val="24"/>
        </w:rPr>
      </w:pPr>
      <w:r>
        <w:rPr>
          <w:rFonts w:hint="eastAsia" w:ascii="宋体" w:hAnsi="宋体"/>
          <w:color w:val="auto"/>
          <w:sz w:val="24"/>
          <w:lang w:val="en-US" w:eastAsia="zh-CN"/>
        </w:rPr>
        <w:t>标准滤光片最大允许误差0.3%</w:t>
      </w:r>
      <w:r>
        <w:rPr>
          <w:rFonts w:hint="eastAsia" w:ascii="宋体" w:hAnsi="宋体"/>
          <w:color w:val="auto"/>
          <w:sz w:val="24"/>
        </w:rPr>
        <w:t>，引入测量不确定</w:t>
      </w:r>
      <w:r>
        <w:rPr>
          <w:i/>
          <w:color w:val="auto"/>
          <w:sz w:val="24"/>
        </w:rPr>
        <w:t>u</w:t>
      </w:r>
      <w:r>
        <w:rPr>
          <w:rFonts w:hint="eastAsia"/>
          <w:color w:val="auto"/>
          <w:sz w:val="24"/>
          <w:vertAlign w:val="subscript"/>
          <w:lang w:val="en-US" w:eastAsia="zh-CN"/>
        </w:rPr>
        <w:t>1</w:t>
      </w:r>
      <w:r>
        <w:rPr>
          <w:rFonts w:ascii="宋体" w:hAnsi="宋体"/>
          <w:sz w:val="24"/>
        </w:rPr>
        <w:fldChar w:fldCharType="begin"/>
      </w:r>
      <w:r>
        <w:rPr>
          <w:rFonts w:ascii="宋体" w:hAnsi="宋体"/>
          <w:sz w:val="24"/>
        </w:rPr>
        <w:instrText xml:space="preserve"> QUOTE </w:instrText>
      </w:r>
      <w:r>
        <w:rPr>
          <w:rFonts w:hint="eastAsia" w:ascii="宋体" w:hAnsi="宋体"/>
          <w:sz w:val="24"/>
        </w:rPr>
        <w:pict>
          <v:shape id="_x0000_i1072"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18EC&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DB18EC&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19" chromakey="#FFFFFF" o:title=""/>
            <o:lock v:ext="edit" aspectratio="t"/>
            <w10:wrap type="none"/>
            <w10:anchorlock/>
          </v:shape>
        </w:pict>
      </w:r>
      <w:r>
        <w:rPr>
          <w:rFonts w:ascii="宋体" w:hAnsi="宋体"/>
          <w:sz w:val="24"/>
        </w:rPr>
        <w:instrText xml:space="preserve"> </w:instrText>
      </w:r>
      <w:r>
        <w:rPr>
          <w:rFonts w:ascii="宋体" w:hAnsi="宋体"/>
          <w:sz w:val="24"/>
        </w:rPr>
        <w:fldChar w:fldCharType="separate"/>
      </w:r>
      <w:r>
        <w:rPr>
          <w:rFonts w:ascii="宋体" w:hAnsi="宋体"/>
          <w:sz w:val="24"/>
        </w:rPr>
        <w:fldChar w:fldCharType="end"/>
      </w:r>
      <w:r>
        <w:rPr>
          <w:rFonts w:hint="eastAsia" w:ascii="宋体" w:hAnsi="宋体"/>
          <w:sz w:val="24"/>
        </w:rPr>
        <w:t>，并视为均匀分布，因此：</w:t>
      </w:r>
    </w:p>
    <w:p>
      <w:pPr>
        <w:topLinePunct/>
        <w:spacing w:line="300" w:lineRule="auto"/>
        <w:jc w:val="center"/>
        <w:rPr>
          <w:rFonts w:hint="eastAsia" w:eastAsiaTheme="minorEastAsia"/>
          <w:sz w:val="24"/>
          <w:lang w:eastAsia="zh-CN"/>
        </w:rPr>
      </w:pPr>
      <w:r>
        <w:rPr>
          <w:position w:val="-28"/>
          <w:sz w:val="24"/>
        </w:rPr>
        <w:object>
          <v:shape id="_x0000_i1082" o:spt="75" alt="" type="#_x0000_t75" style="height:33pt;width:117pt;" o:ole="t" filled="f" o:preferrelative="t" stroked="f" coordsize="21600,21600">
            <v:path/>
            <v:fill on="f" focussize="0,0"/>
            <v:stroke on="f"/>
            <v:imagedata r:id="rId38" o:title=""/>
            <o:lock v:ext="edit" aspectratio="t"/>
            <w10:wrap type="none"/>
            <w10:anchorlock/>
          </v:shape>
          <o:OLEObject Type="Embed" ProgID="Equation.3" ShapeID="_x0000_i1082" DrawAspect="Content" ObjectID="_1468075733" r:id="rId37">
            <o:LockedField>false</o:LockedField>
          </o:OLEObject>
        </w:object>
      </w:r>
    </w:p>
    <w:p>
      <w:pPr>
        <w:topLinePunct/>
        <w:spacing w:line="300" w:lineRule="auto"/>
        <w:rPr>
          <w:rFonts w:hint="eastAsia" w:ascii="宋体" w:eastAsiaTheme="minorEastAsia"/>
          <w:kern w:val="0"/>
          <w:sz w:val="24"/>
          <w:lang w:val="en-US" w:eastAsia="zh-CN"/>
        </w:rPr>
      </w:pPr>
      <w:r>
        <w:rPr>
          <w:rFonts w:ascii="宋体" w:hAnsi="宋体"/>
          <w:sz w:val="24"/>
        </w:rPr>
        <w:t>C.6.3</w:t>
      </w:r>
      <w:r>
        <w:rPr>
          <w:rFonts w:hint="eastAsia" w:ascii="宋体" w:hAnsi="宋体"/>
          <w:sz w:val="24"/>
        </w:rPr>
        <w:t xml:space="preserve">  由</w:t>
      </w:r>
      <w:r>
        <w:rPr>
          <w:rFonts w:hint="eastAsia" w:ascii="宋体" w:hAnsi="宋体"/>
          <w:sz w:val="24"/>
          <w:lang w:val="en-US" w:eastAsia="zh-CN"/>
        </w:rPr>
        <w:t>光传感器</w:t>
      </w:r>
      <w:r>
        <w:rPr>
          <w:rFonts w:hint="eastAsia" w:ascii="宋体" w:hAnsi="宋体"/>
          <w:sz w:val="24"/>
        </w:rPr>
        <w:t>测量误差引入的标准不确定度分量，</w:t>
      </w:r>
      <w:r>
        <w:rPr>
          <w:i/>
          <w:sz w:val="24"/>
        </w:rPr>
        <w:t>u</w:t>
      </w:r>
      <w:r>
        <w:rPr>
          <w:rFonts w:hint="eastAsia"/>
          <w:sz w:val="24"/>
          <w:vertAlign w:val="subscript"/>
          <w:lang w:val="en-US" w:eastAsia="zh-CN"/>
        </w:rPr>
        <w:t>2</w:t>
      </w:r>
    </w:p>
    <w:p>
      <w:pPr>
        <w:pStyle w:val="30"/>
        <w:tabs>
          <w:tab w:val="center" w:pos="4201"/>
          <w:tab w:val="right" w:leader="dot" w:pos="9298"/>
        </w:tabs>
        <w:topLinePunct/>
        <w:autoSpaceDE/>
        <w:autoSpaceDN/>
        <w:spacing w:line="300" w:lineRule="auto"/>
        <w:ind w:firstLine="480"/>
        <w:rPr>
          <w:sz w:val="24"/>
          <w:szCs w:val="24"/>
        </w:rPr>
      </w:pPr>
      <w:r>
        <w:rPr>
          <w:rFonts w:hint="eastAsia"/>
          <w:sz w:val="24"/>
          <w:szCs w:val="24"/>
        </w:rPr>
        <w:t>由</w:t>
      </w:r>
      <w:r>
        <w:rPr>
          <w:rFonts w:hint="eastAsia"/>
          <w:sz w:val="24"/>
          <w:szCs w:val="24"/>
          <w:lang w:val="en-US" w:eastAsia="zh-CN"/>
        </w:rPr>
        <w:t>光传感器测量</w:t>
      </w:r>
      <w:r>
        <w:rPr>
          <w:rFonts w:hint="eastAsia"/>
          <w:sz w:val="24"/>
          <w:szCs w:val="24"/>
        </w:rPr>
        <w:t>误差引入标准不确定度分量</w:t>
      </w:r>
      <w:r>
        <w:rPr>
          <w:rFonts w:ascii="Times New Roman"/>
          <w:i/>
          <w:sz w:val="24"/>
          <w:szCs w:val="24"/>
        </w:rPr>
        <w:t>u</w:t>
      </w:r>
      <w:r>
        <w:rPr>
          <w:rFonts w:ascii="Times New Roman"/>
          <w:sz w:val="24"/>
          <w:szCs w:val="24"/>
          <w:vertAlign w:val="subscript"/>
        </w:rPr>
        <w:t>3</w:t>
      </w:r>
      <w:r>
        <w:rPr>
          <w:sz w:val="24"/>
          <w:szCs w:val="24"/>
        </w:rPr>
        <w:fldChar w:fldCharType="begin"/>
      </w:r>
      <w:r>
        <w:rPr>
          <w:sz w:val="24"/>
          <w:szCs w:val="24"/>
        </w:rPr>
        <w:instrText xml:space="preserve"> QUOTE </w:instrText>
      </w:r>
      <w:r>
        <w:rPr>
          <w:rFonts w:hint="eastAsia"/>
          <w:sz w:val="24"/>
          <w:szCs w:val="24"/>
        </w:rPr>
        <w:pict>
          <v:shape id="_x0000_i1074" o:spt="75" type="#_x0000_t75" style="height:14.25pt;width:15.7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96E&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CC396E&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3&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2" chromakey="#FFFFFF" o:title=""/>
            <o:lock v:ext="edit" aspectratio="t"/>
            <w10:wrap type="none"/>
            <w10:anchorlock/>
          </v:shape>
        </w:pict>
      </w:r>
      <w:r>
        <w:rPr>
          <w:sz w:val="24"/>
          <w:szCs w:val="24"/>
        </w:rPr>
        <w:instrText xml:space="preserve"> </w:instrText>
      </w:r>
      <w:r>
        <w:rPr>
          <w:sz w:val="24"/>
          <w:szCs w:val="24"/>
        </w:rPr>
        <w:fldChar w:fldCharType="separate"/>
      </w:r>
      <w:r>
        <w:rPr>
          <w:sz w:val="24"/>
          <w:szCs w:val="24"/>
        </w:rPr>
        <w:fldChar w:fldCharType="end"/>
      </w:r>
      <w:r>
        <w:rPr>
          <w:rFonts w:hint="eastAsia"/>
          <w:sz w:val="24"/>
          <w:szCs w:val="24"/>
        </w:rPr>
        <w:t>，并视为均匀分布，因此：</w:t>
      </w:r>
    </w:p>
    <w:p>
      <w:pPr>
        <w:topLinePunct/>
        <w:jc w:val="center"/>
        <w:rPr>
          <w:rFonts w:hint="eastAsia" w:eastAsiaTheme="minorEastAsia"/>
          <w:sz w:val="24"/>
          <w:lang w:eastAsia="zh-CN"/>
        </w:rPr>
      </w:pPr>
      <w:r>
        <w:rPr>
          <w:position w:val="-28"/>
          <w:sz w:val="24"/>
        </w:rPr>
        <w:object>
          <v:shape id="_x0000_i1075" o:spt="75" alt="" type="#_x0000_t75" style="height:33pt;width:114.2pt;" o:ole="t" filled="f" o:preferrelative="t" stroked="f" coordsize="21600,21600">
            <v:path/>
            <v:fill on="f" focussize="0,0"/>
            <v:stroke on="f"/>
            <v:imagedata r:id="rId40" o:title=""/>
            <o:lock v:ext="edit" aspectratio="t"/>
            <w10:wrap type="none"/>
            <w10:anchorlock/>
          </v:shape>
          <o:OLEObject Type="Embed" ProgID="Equation.3" ShapeID="_x0000_i1075" DrawAspect="Content" ObjectID="_1468075734" r:id="rId39">
            <o:LockedField>false</o:LockedField>
          </o:OLEObject>
        </w:object>
      </w:r>
    </w:p>
    <w:p>
      <w:pPr>
        <w:topLinePunct/>
        <w:spacing w:line="300" w:lineRule="auto"/>
        <w:rPr>
          <w:rFonts w:ascii="宋体" w:hAnsi="宋体"/>
          <w:sz w:val="24"/>
        </w:rPr>
      </w:pPr>
      <w:r>
        <w:rPr>
          <w:rFonts w:ascii="宋体" w:hAnsi="宋体"/>
          <w:sz w:val="24"/>
        </w:rPr>
        <w:t>C.6.4</w:t>
      </w:r>
      <w:r>
        <w:rPr>
          <w:rFonts w:hint="eastAsia" w:ascii="宋体" w:hAnsi="宋体"/>
          <w:sz w:val="24"/>
        </w:rPr>
        <w:t xml:space="preserve">  环境及其他影响</w:t>
      </w:r>
    </w:p>
    <w:p>
      <w:pPr>
        <w:topLinePunct/>
        <w:spacing w:line="300" w:lineRule="auto"/>
        <w:ind w:firstLine="480" w:firstLineChars="200"/>
        <w:rPr>
          <w:rFonts w:ascii="宋体" w:hAnsi="宋体"/>
          <w:sz w:val="24"/>
        </w:rPr>
      </w:pPr>
      <w:r>
        <w:rPr>
          <w:rFonts w:hint="eastAsia" w:ascii="宋体" w:hAnsi="宋体"/>
          <w:sz w:val="24"/>
        </w:rPr>
        <w:t>由于校准控制在规定的外界环境条件进行，环境对测量结果的影响在此可忽略不计，其他装置配件等对测量结果的影响可忽略不计。</w:t>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C.7 </w:t>
      </w:r>
      <w:r>
        <w:rPr>
          <w:rFonts w:hint="eastAsia" w:ascii="黑体" w:hAnsi="黑体" w:eastAsia="黑体"/>
          <w:sz w:val="24"/>
        </w:rPr>
        <w:t xml:space="preserve"> 不确定度汇总一览表</w:t>
      </w:r>
    </w:p>
    <w:p>
      <w:pPr>
        <w:topLinePunct/>
        <w:spacing w:line="360" w:lineRule="auto"/>
        <w:ind w:firstLine="220" w:firstLineChars="100"/>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C.2</w:t>
      </w:r>
      <w:r>
        <w:rPr>
          <w:rFonts w:hint="eastAsia" w:ascii="黑体" w:hAnsi="黑体" w:eastAsia="黑体"/>
          <w:color w:val="000000"/>
          <w:szCs w:val="21"/>
        </w:rPr>
        <w:t xml:space="preserve">  </w:t>
      </w:r>
      <w:r>
        <w:rPr>
          <w:rFonts w:hint="eastAsia" w:ascii="黑体" w:hAnsi="黑体" w:eastAsia="黑体"/>
          <w:szCs w:val="21"/>
        </w:rPr>
        <w:t>不确定度汇总一览表</w:t>
      </w:r>
    </w:p>
    <w:tbl>
      <w:tblPr>
        <w:tblStyle w:val="14"/>
        <w:tblW w:w="5000"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2420"/>
        <w:gridCol w:w="3539"/>
        <w:gridCol w:w="316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rFonts w:hint="eastAsia" w:ascii="宋体" w:hAnsi="宋体"/>
                <w:szCs w:val="21"/>
              </w:rPr>
            </w:pPr>
            <w:r>
              <w:rPr>
                <w:rFonts w:hint="eastAsia" w:ascii="宋体" w:hAnsi="宋体"/>
                <w:szCs w:val="21"/>
              </w:rPr>
              <w:t>标准不确定度分量</w:t>
            </w:r>
            <w:r>
              <w:rPr>
                <w:i/>
                <w:szCs w:val="21"/>
              </w:rPr>
              <w:fldChar w:fldCharType="begin"/>
            </w:r>
            <w:r>
              <w:rPr>
                <w:i/>
                <w:szCs w:val="21"/>
              </w:rPr>
              <w:instrText xml:space="preserve"> QUOTE </w:instrText>
            </w:r>
            <w:r>
              <w:rPr>
                <w:i/>
                <w:szCs w:val="21"/>
              </w:rPr>
              <w:pict>
                <v:shape id="_x0000_i1076" o:spt="75" type="#_x0000_t75" style="height:14.25pt;width:12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0A6&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8C60A6&quot;&gt;&lt;m:oMathPara&gt;&lt;m:oMath&gt;&lt;m:sSub&gt;&lt;m:sSubPr&gt;&lt;m:ctrlPr&gt;&lt;w:rPr&gt;&lt;w:rFonts w:ascii=&quot;Cambria Math&quot; w:fareast=&quot;宋体&quot; w:h-ansi=&quot;Cambria Math&quot; w:cs=&quot;Times New Roman&quot;/&gt;&lt;wx:font wx:val=&quot;Cambria Math&quot;/&gt;&lt;w:i/&gt;&lt;w:sz-cs w:val=&quot;21&quot;/&gt;&lt;/w:rPr&gt;&lt;/m:ctrlPr&gt;&lt;/m:sSubPr&gt;&lt;m:e&gt;&lt;m:r&gt;&lt;w:rPr&gt;&lt;w:rFonts w:ascii=&quot;Cambria Math&quot; w:h-ansi=&quot;Cambria Math&quot;/&gt;&lt;wx:font wx:val=&quot;Cambria Math&quot;/&gt;&lt;w:i/&gt;&lt;w:sz-cs w:val=&quot;21&quot;/&gt;&lt;/w:rPr&gt;&lt;m:t&gt;u&lt;/m:t&gt;&lt;/m:r&gt;&lt;m:ctrlPr&gt;&lt;w:rPr&gt;&lt;w:rFonts w:ascii=&quot;Cambria Math&quot; w:h-ansi=&quot;Cambria Math&quot;/&gt;&lt;wx:font wx:val=&quot;Cambria Math&quot;/&gt;&lt;w:i/&gt;&lt;w:sz-cs w:val=&quot;21&quot;/&gt;&lt;/w:rPr&gt;&lt;/m:ctrlPr&gt;&lt;/m:e&gt;&lt;m:sub&gt;&lt;m:r&gt;&lt;w:rPr&gt;&lt;w:rFonts w:ascii=&quot;Cambria Math&quot;/&gt;&lt;wx:font wx:val=&quot;Cambria Math&quot;/&gt;&lt;w:i/&gt;&lt;w:sz-cs w:val=&quot;21&quot;/&gt;&lt;/w:rPr&gt;&lt;m:t&gt;i&lt;/m:t&gt;&lt;/m:r&gt;&lt;m:ctrlPr&gt;&lt;w:rPr&gt;&lt;w:rFonts w:ascii=&quot;Cambria Math&quot; w:h-ansi=&quot;Cambria Math&quot;/&gt;&lt;wx:font wx:val=&quot;Cambria Math&quot;/&gt;&lt;w:i/&gt;&lt;w:sz-cs w:val=&quot;21&quot;/&gt;&lt;/w:rPr&gt;&lt;/m:ctrlP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5" chromakey="#FFFFFF" o:title=""/>
                  <o:lock v:ext="edit" aspectratio="t"/>
                  <w10:wrap type="none"/>
                  <w10:anchorlock/>
                </v:shape>
              </w:pict>
            </w:r>
            <w:r>
              <w:rPr>
                <w:i/>
                <w:szCs w:val="21"/>
              </w:rPr>
              <w:instrText xml:space="preserve"> </w:instrText>
            </w:r>
            <w:r>
              <w:rPr>
                <w:i/>
                <w:szCs w:val="21"/>
              </w:rPr>
              <w:fldChar w:fldCharType="separate"/>
            </w:r>
            <w:r>
              <w:rPr>
                <w:i/>
                <w:szCs w:val="21"/>
              </w:rPr>
              <w:fldChar w:fldCharType="end"/>
            </w:r>
            <w:r>
              <w:rPr>
                <w:i/>
                <w:szCs w:val="21"/>
              </w:rPr>
              <w:t>u</w:t>
            </w:r>
            <w:r>
              <w:rPr>
                <w:szCs w:val="21"/>
                <w:vertAlign w:val="subscript"/>
              </w:rPr>
              <w:t>i</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不确定度来源</w:t>
            </w:r>
          </w:p>
        </w:tc>
        <w:tc>
          <w:tcPr>
            <w:tcW w:w="1735" w:type="pct"/>
            <w:noWrap w:val="0"/>
            <w:tcMar>
              <w:left w:w="28" w:type="dxa"/>
              <w:right w:w="28" w:type="dxa"/>
            </w:tcMar>
            <w:vAlign w:val="center"/>
          </w:tcPr>
          <w:p>
            <w:pPr>
              <w:topLinePunct/>
              <w:jc w:val="center"/>
              <w:rPr>
                <w:rFonts w:hint="eastAsia" w:ascii="宋体" w:hAnsi="宋体"/>
                <w:szCs w:val="21"/>
              </w:rPr>
            </w:pPr>
            <w:r>
              <w:rPr>
                <w:rFonts w:hint="eastAsia" w:ascii="宋体" w:hAnsi="宋体"/>
                <w:szCs w:val="21"/>
              </w:rPr>
              <w:t>不确定度分量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1</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示值重复性</w:t>
            </w:r>
          </w:p>
        </w:tc>
        <w:tc>
          <w:tcPr>
            <w:tcW w:w="1735"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ascii="宋体" w:hAnsi="宋体"/>
                <w:szCs w:val="21"/>
              </w:rPr>
              <w:t>0.</w:t>
            </w:r>
            <w:r>
              <w:rPr>
                <w:rFonts w:hint="eastAsia" w:ascii="宋体" w:hAnsi="宋体"/>
                <w:szCs w:val="21"/>
                <w:lang w:val="en-US" w:eastAsia="zh-CN"/>
              </w:rPr>
              <w:t>032</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2</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color w:val="auto"/>
                <w:sz w:val="24"/>
                <w:lang w:val="en-US" w:eastAsia="zh-CN"/>
              </w:rPr>
              <w:t>滤光片最大允许误差</w:t>
            </w:r>
          </w:p>
        </w:tc>
        <w:tc>
          <w:tcPr>
            <w:tcW w:w="1735"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ascii="宋体" w:hAnsi="宋体"/>
                <w:szCs w:val="21"/>
              </w:rPr>
              <w:t>0.</w:t>
            </w:r>
            <w:r>
              <w:rPr>
                <w:rFonts w:hint="eastAsia" w:ascii="宋体" w:hAnsi="宋体"/>
                <w:szCs w:val="21"/>
                <w:lang w:val="en-US" w:eastAsia="zh-CN"/>
              </w:rPr>
              <w:t>014</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i/>
                <w:szCs w:val="21"/>
              </w:rPr>
            </w:pPr>
            <w:r>
              <w:rPr>
                <w:i/>
                <w:szCs w:val="21"/>
              </w:rPr>
              <w:t>u</w:t>
            </w:r>
            <w:r>
              <w:rPr>
                <w:szCs w:val="21"/>
                <w:vertAlign w:val="subscript"/>
              </w:rPr>
              <w:t>3</w:t>
            </w: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 w:val="24"/>
                <w:lang w:val="en-US" w:eastAsia="zh-CN"/>
              </w:rPr>
              <w:t>光传感器</w:t>
            </w:r>
            <w:r>
              <w:rPr>
                <w:rFonts w:hint="eastAsia" w:ascii="宋体" w:hAnsi="宋体"/>
                <w:sz w:val="24"/>
              </w:rPr>
              <w:t>测量误差</w:t>
            </w:r>
          </w:p>
        </w:tc>
        <w:tc>
          <w:tcPr>
            <w:tcW w:w="1735" w:type="pct"/>
            <w:noWrap w:val="0"/>
            <w:tcMar>
              <w:left w:w="28" w:type="dxa"/>
              <w:right w:w="28" w:type="dxa"/>
            </w:tcMar>
            <w:vAlign w:val="center"/>
          </w:tcPr>
          <w:p>
            <w:pPr>
              <w:topLinePunct/>
              <w:jc w:val="center"/>
              <w:rPr>
                <w:rFonts w:hint="default" w:ascii="宋体" w:hAnsi="宋体" w:eastAsiaTheme="minorEastAsia"/>
                <w:szCs w:val="21"/>
                <w:lang w:val="en-US" w:eastAsia="zh-CN"/>
              </w:rPr>
            </w:pPr>
            <w:r>
              <w:rPr>
                <w:rFonts w:ascii="宋体" w:hAnsi="宋体"/>
                <w:szCs w:val="21"/>
              </w:rPr>
              <w:t>0.0</w:t>
            </w:r>
            <w:r>
              <w:rPr>
                <w:rFonts w:hint="eastAsia" w:ascii="宋体" w:hAnsi="宋体"/>
                <w:szCs w:val="21"/>
                <w:lang w:val="en-US" w:eastAsia="zh-CN"/>
              </w:rPr>
              <w:t>05</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326" w:type="pct"/>
            <w:noWrap w:val="0"/>
            <w:tcMar>
              <w:left w:w="28" w:type="dxa"/>
              <w:right w:w="28" w:type="dxa"/>
            </w:tcMar>
            <w:vAlign w:val="center"/>
          </w:tcPr>
          <w:p>
            <w:pPr>
              <w:topLinePunct/>
              <w:jc w:val="center"/>
              <w:rPr>
                <w:rFonts w:ascii="宋体" w:hAnsi="宋体"/>
                <w:szCs w:val="21"/>
              </w:rPr>
            </w:pPr>
          </w:p>
        </w:tc>
        <w:tc>
          <w:tcPr>
            <w:tcW w:w="1939" w:type="pct"/>
            <w:noWrap w:val="0"/>
            <w:tcMar>
              <w:left w:w="28" w:type="dxa"/>
              <w:right w:w="28" w:type="dxa"/>
            </w:tcMar>
            <w:vAlign w:val="center"/>
          </w:tcPr>
          <w:p>
            <w:pPr>
              <w:topLinePunct/>
              <w:jc w:val="center"/>
              <w:rPr>
                <w:rFonts w:ascii="宋体" w:hAnsi="宋体"/>
                <w:szCs w:val="21"/>
              </w:rPr>
            </w:pPr>
            <w:r>
              <w:rPr>
                <w:rFonts w:hint="eastAsia" w:ascii="宋体" w:hAnsi="宋体"/>
                <w:szCs w:val="21"/>
              </w:rPr>
              <w:t>环境以及其他影响</w:t>
            </w:r>
          </w:p>
        </w:tc>
        <w:tc>
          <w:tcPr>
            <w:tcW w:w="1735" w:type="pct"/>
            <w:noWrap w:val="0"/>
            <w:tcMar>
              <w:left w:w="28" w:type="dxa"/>
              <w:right w:w="28" w:type="dxa"/>
            </w:tcMar>
            <w:vAlign w:val="center"/>
          </w:tcPr>
          <w:p>
            <w:pPr>
              <w:topLinePunct/>
              <w:jc w:val="center"/>
              <w:rPr>
                <w:rFonts w:ascii="宋体" w:hAnsi="宋体"/>
                <w:szCs w:val="21"/>
              </w:rPr>
            </w:pPr>
            <w:r>
              <w:rPr>
                <w:rFonts w:hint="eastAsia" w:ascii="宋体" w:hAnsi="宋体"/>
                <w:szCs w:val="21"/>
              </w:rPr>
              <w:t>忽略</w:t>
            </w:r>
          </w:p>
        </w:tc>
      </w:tr>
    </w:tbl>
    <w:p>
      <w:pPr>
        <w:topLinePunct/>
        <w:spacing w:before="156" w:beforeLines="50" w:after="156" w:afterLines="50" w:line="300" w:lineRule="auto"/>
        <w:rPr>
          <w:rFonts w:ascii="黑体" w:hAnsi="黑体" w:eastAsia="黑体"/>
          <w:sz w:val="24"/>
        </w:rPr>
      </w:pPr>
      <w:r>
        <w:rPr>
          <w:rFonts w:ascii="黑体" w:hAnsi="黑体" w:eastAsia="黑体"/>
          <w:sz w:val="24"/>
        </w:rPr>
        <w:t>C.8</w:t>
      </w:r>
      <w:r>
        <w:rPr>
          <w:rFonts w:hint="eastAsia" w:ascii="黑体" w:hAnsi="黑体" w:eastAsia="黑体"/>
          <w:sz w:val="24"/>
        </w:rPr>
        <w:t xml:space="preserve">  合成标准不确定度，</w:t>
      </w:r>
      <w:r>
        <w:rPr>
          <w:rFonts w:eastAsia="黑体"/>
          <w:b w:val="0"/>
          <w:bCs/>
          <w:i/>
          <w:sz w:val="24"/>
        </w:rPr>
        <w:t>u</w:t>
      </w:r>
      <w:r>
        <w:rPr>
          <w:rFonts w:eastAsia="黑体"/>
          <w:b/>
          <w:sz w:val="24"/>
          <w:vertAlign w:val="subscript"/>
        </w:rPr>
        <w:t>c</w:t>
      </w:r>
      <w:r>
        <w:rPr>
          <w:rFonts w:ascii="黑体" w:hAnsi="黑体" w:eastAsia="黑体"/>
          <w:sz w:val="24"/>
        </w:rPr>
        <w:fldChar w:fldCharType="begin"/>
      </w:r>
      <w:r>
        <w:rPr>
          <w:rFonts w:ascii="黑体" w:hAnsi="黑体" w:eastAsia="黑体"/>
          <w:sz w:val="24"/>
        </w:rPr>
        <w:instrText xml:space="preserve"> QUOTE </w:instrText>
      </w:r>
      <w:r>
        <w:rPr>
          <w:rFonts w:hint="eastAsia" w:ascii="黑体" w:hAnsi="黑体" w:eastAsia="黑体"/>
          <w:sz w:val="24"/>
        </w:rPr>
        <w:pict>
          <v:shape id="_x0000_i1077" o:spt="75" type="#_x0000_t75" style="height:14.25pt;width:14.2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1586&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631586&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 w:h-ansi=&quot;Cambria Math&quot;/&gt;&lt;wx:font wx:val=&quot;Cambria Math&quot;/&gt;&lt;w:i/&gt;&lt;w:sz w:val=&quot;24&quot;/&gt;&lt;/w:rPr&gt;&lt;m:t&gt;c&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6" chromakey="#FFFFFF" o:title=""/>
            <o:lock v:ext="edit" aspectratio="t"/>
            <w10:wrap type="none"/>
            <w10:anchorlock/>
          </v:shape>
        </w:pict>
      </w:r>
      <w:r>
        <w:rPr>
          <w:rFonts w:ascii="黑体" w:hAnsi="黑体" w:eastAsia="黑体"/>
          <w:sz w:val="24"/>
        </w:rPr>
        <w:instrText xml:space="preserve"> </w:instrText>
      </w:r>
      <w:r>
        <w:rPr>
          <w:rFonts w:ascii="黑体" w:hAnsi="黑体" w:eastAsia="黑体"/>
          <w:sz w:val="24"/>
        </w:rPr>
        <w:fldChar w:fldCharType="separate"/>
      </w:r>
      <w:r>
        <w:rPr>
          <w:rFonts w:ascii="黑体" w:hAnsi="黑体" w:eastAsia="黑体"/>
          <w:sz w:val="24"/>
        </w:rPr>
        <w:fldChar w:fldCharType="end"/>
      </w:r>
    </w:p>
    <w:p>
      <w:pPr>
        <w:tabs>
          <w:tab w:val="left" w:pos="1490"/>
        </w:tabs>
        <w:topLinePunct/>
        <w:spacing w:before="156" w:beforeLines="50" w:line="360" w:lineRule="auto"/>
        <w:jc w:val="center"/>
        <w:rPr>
          <w:rFonts w:hint="eastAsia" w:eastAsiaTheme="minorEastAsia"/>
          <w:sz w:val="24"/>
          <w:lang w:eastAsia="zh-CN"/>
        </w:rPr>
      </w:pPr>
      <w:r>
        <w:rPr>
          <w:sz w:val="24"/>
        </w:rPr>
        <w:fldChar w:fldCharType="begin"/>
      </w:r>
      <w:r>
        <w:rPr>
          <w:sz w:val="24"/>
        </w:rPr>
        <w:instrText xml:space="preserve"> QUOTE </w:instrText>
      </w:r>
      <w:r>
        <w:rPr>
          <w:rFonts w:hint="eastAsia"/>
        </w:rPr>
        <w:pict>
          <v:shape id="_x0000_i1078" o:spt="75" type="#_x0000_t75" style="height:29.25pt;width:113.2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0FF8&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EF0FF8&quot;&gt;&lt;m:oMathPara&gt;&lt;m:oMath&gt;&lt;m:sSub&gt;&lt;m:sSubPr&gt;&lt;m:ctrlPr&gt;&lt;w:rPr&gt;&lt;w:rFonts w:ascii=&quot;Cambria Math&quot; w:h-ansi=&quot;Cambria Math&quot;/&gt;&lt;wx:font wx:val=&quot;Cambria Math&quot;/&gt;&lt;w:i/&gt;&lt;w:sz w:val=&quot;24&quot;/&gt;&lt;/w:rPr&gt;&lt;/m:ctrlPr&gt;&lt;/m:sSubPr&gt;&lt;m:e&gt;&lt;m:r&gt;&lt;w:rPr&gt;&lt;w:rFonts w:ascii=&quot;Cambria Math&quot; w:h-ansi=&quot;Cambria Math&quot;/&gt;&lt;wx:font wx:val=&quot;Cambria Math&quot;/&gt;&lt;w:i/&gt;&lt;w:sz w:val=&quot;24&quot;/&gt;&lt;/w:rPr&gt;&lt;m:t&gt;u&lt;/m:t&gt;&lt;/m:r&gt;&lt;/m:e&gt;&lt;m:sub&gt;&lt;m:r&gt;&lt;w:rPr&gt;&lt;w:rFonts w:ascii=&quot;Cambria Math&quot; w:h-ansi=&quot;Cambria Math&quot;/&gt;&lt;wx:font wx:val=&quot;Cambria Math&quot;/&gt;&lt;w:i/&gt;&lt;w:sz w:val=&quot;24&quot;/&gt;&lt;/w:rPr&gt;&lt;m:t&gt;c&lt;/m:t&gt;&lt;/m:r&gt;&lt;/m:sub&gt;&lt;/m:sSub&gt;&lt;m:r&gt;&lt;w:rPr&gt;&lt;w:rFonts w:ascii=&quot;Cambria Math&quot;/&gt;&lt;wx:font wx:val=&quot;Cambria Math&quot;/&gt;&lt;w:i/&gt;&lt;w:sz w:val=&quot;24&quot;/&gt;&lt;/w:rPr&gt;&lt;m:t&gt;=&lt;/m:t&gt;&lt;/m:r&gt;&lt;m:rad&gt;&lt;m:radPr&gt;&lt;m:degHide m:val=&quot;on&quot;/&gt;&lt;m:ctrlPr&gt;&lt;w:rPr&gt;&lt;w:rFonts w:ascii=&quot;Cambria Math&quot; w:h-ansi=&quot;Cambria Math&quot;/&gt;&lt;wx:font wx:val=&quot;Cambria Math&quot;/&gt;&lt;w:i/&gt;&lt;w:sz w:val=&quot;24&quot;/&gt;&lt;/w:rPr&gt;&lt;/m:ctrlPr&gt;&lt;/m:radPr&gt;&lt;m:deg/&gt;&lt;m:e&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1&lt;/m:t&gt;&lt;/m:r&gt;&lt;/m:sub&gt;&lt;m:sup&gt;&lt;m:r&gt;&lt;w:rPr&gt;&lt;w:rFonts w:ascii=&quot;Cambria Math&quot;/&gt;&lt;wx:font wx:val=&quot;Cambria Math&quot;/&gt;&lt;w:i/&gt;&lt;w:sz w:val=&quot;24&quot;/&gt;&lt;/w:rPr&gt;&lt;m:t&gt;2&lt;/m:t&gt;&lt;/m:r&gt;&lt;/m:sup&gt;&lt;/m:sSubSup&gt;&lt;m:r&gt;&lt;w:rPr&gt;&lt;w:rFonts w:ascii=&quot;Cambria Math&quot;/&gt;&lt;wx:font wx:val=&quot;Cambria Math&quot;/&gt;&lt;w:i/&gt;&lt;w:sz w:val=&quot;24&quot;/&gt;&lt;/w:rPr&gt;&lt;m:t&gt;+&lt;/m:t&gt;&lt;/m:r&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2&lt;/m:t&gt;&lt;/m:r&gt;&lt;/m:sub&gt;&lt;m:sup&gt;&lt;m:r&gt;&lt;w:rPr&gt;&lt;w:rFonts w:ascii=&quot;Cambria Math&quot;/&gt;&lt;wx:font wx:val=&quot;Cambria Math&quot;/&gt;&lt;w:i/&gt;&lt;w:sz w:val=&quot;24&quot;/&gt;&lt;/w:rPr&gt;&lt;m:t&gt;2&lt;/m:t&gt;&lt;/m:r&gt;&lt;/m:sup&gt;&lt;/m:sSubSup&gt;&lt;m:r&gt;&lt;w:rPr&gt;&lt;w:rFonts w:ascii=&quot;Cambria Math&quot;/&gt;&lt;wx:font wx:val=&quot;Cambria Math&quot;/&gt;&lt;w:i/&gt;&lt;w:sz w:val=&quot;24&quot;/&gt;&lt;/w:rPr&gt;&lt;m:t&gt;+&lt;/m:t&gt;&lt;/m:r&gt;&lt;m:sSubSup&gt;&lt;m:sSubSupPr&gt;&lt;m:ctrlPr&gt;&lt;w:rPr&gt;&lt;w:rFonts w:ascii=&quot;Cambria Math&quot; w:h-ansi=&quot;Cambria Math&quot;/&gt;&lt;wx:font wx:val=&quot;Cambria Math&quot;/&gt;&lt;w:i/&gt;&lt;w:sz w:val=&quot;24&quot;/&gt;&lt;/w:rPr&gt;&lt;/m:ctrlPr&gt;&lt;/m:sSubSupPr&gt;&lt;m:e&gt;&lt;m:r&gt;&lt;w:rPr&gt;&lt;w:rFonts w:ascii=&quot;Cambria Math&quot; w:h-ansi=&quot;Cambria Math&quot;/&gt;&lt;wx:font wx:val=&quot;Cambria Math&quot;/&gt;&lt;w:i/&gt;&lt;w:sz w:val=&quot;24&quot;/&gt;&lt;/w:rPr&gt;&lt;m:t&gt;u&lt;/m:t&gt;&lt;/m:r&gt;&lt;/m:e&gt;&lt;m:sub&gt;&lt;m:r&gt;&lt;w:rPr&gt;&lt;w:rFonts w:ascii=&quot;Cambria Math&quot;/&gt;&lt;wx:font wx:val=&quot;Cambria Math&quot;/&gt;&lt;w:i/&gt;&lt;w:sz w:val=&quot;24&quot;/&gt;&lt;/w:rPr&gt;&lt;m:t&gt;3&lt;/m:t&gt;&lt;/m:r&gt;&lt;/m:sub&gt;&lt;m:sup&gt;&lt;m:r&gt;&lt;w:rPr&gt;&lt;w:rFonts w:ascii=&quot;Cambria Math&quot;/&gt;&lt;wx:font wx:val=&quot;Cambria Math&quot;/&gt;&lt;w:i/&gt;&lt;w:sz w:val=&quot;24&quot;/&gt;&lt;/w:rPr&gt;&lt;m:t&gt;2&lt;/m:t&gt;&lt;/m:r&gt;&lt;/m:sup&gt;&lt;/m:sSubSup&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27" chromakey="#FFFFFF" o:title=""/>
            <o:lock v:ext="edit" aspectratio="t"/>
            <w10:wrap type="none"/>
            <w10:anchorlock/>
          </v:shape>
        </w:pict>
      </w:r>
      <w:r>
        <w:rPr>
          <w:sz w:val="24"/>
        </w:rPr>
        <w:instrText xml:space="preserve"> </w:instrText>
      </w:r>
      <w:r>
        <w:rPr>
          <w:sz w:val="24"/>
        </w:rPr>
        <w:fldChar w:fldCharType="separate"/>
      </w:r>
      <w:r>
        <w:rPr>
          <w:position w:val="-14"/>
        </w:rPr>
        <w:object>
          <v:shape id="_x0000_i1079" o:spt="75" alt="" type="#_x0000_t75" style="height:23pt;width:130.15pt;" o:ole="t" filled="f" o:preferrelative="t" stroked="f" coordsize="21600,21600">
            <v:path/>
            <v:fill on="f" focussize="0,0"/>
            <v:stroke on="f"/>
            <v:imagedata r:id="rId42" o:title=""/>
            <o:lock v:ext="edit" aspectratio="t"/>
            <w10:wrap type="none"/>
            <w10:anchorlock/>
          </v:shape>
          <o:OLEObject Type="Embed" ProgID="Equation.3" ShapeID="_x0000_i1079" DrawAspect="Content" ObjectID="_1468075735" r:id="rId41">
            <o:LockedField>false</o:LockedField>
          </o:OLEObject>
        </w:object>
      </w:r>
      <w:r>
        <w:rPr>
          <w:sz w:val="24"/>
        </w:rPr>
        <w:fldChar w:fldCharType="end"/>
      </w:r>
    </w:p>
    <w:p>
      <w:pPr>
        <w:topLinePunct/>
        <w:spacing w:before="156" w:beforeLines="50" w:after="156" w:afterLines="50" w:line="300" w:lineRule="auto"/>
        <w:rPr>
          <w:rFonts w:ascii="黑体" w:hAnsi="黑体" w:eastAsia="黑体"/>
          <w:sz w:val="24"/>
        </w:rPr>
      </w:pPr>
      <w:r>
        <w:rPr>
          <w:rFonts w:ascii="黑体" w:hAnsi="黑体" w:eastAsia="黑体"/>
          <w:sz w:val="24"/>
        </w:rPr>
        <w:t xml:space="preserve">C.9  </w:t>
      </w:r>
      <w:r>
        <w:rPr>
          <w:rFonts w:hint="eastAsia" w:ascii="黑体" w:hAnsi="黑体" w:eastAsia="黑体"/>
          <w:sz w:val="24"/>
        </w:rPr>
        <w:t>扩展不确定度，</w:t>
      </w:r>
      <w:r>
        <w:rPr>
          <w:rFonts w:eastAsia="黑体"/>
          <w:b w:val="0"/>
          <w:bCs/>
          <w:i/>
          <w:sz w:val="24"/>
        </w:rPr>
        <w:t>U</w:t>
      </w:r>
      <w:r>
        <w:rPr>
          <w:rFonts w:ascii="黑体" w:hAnsi="黑体" w:eastAsia="黑体"/>
          <w:sz w:val="24"/>
        </w:rPr>
        <w:fldChar w:fldCharType="begin"/>
      </w:r>
      <w:r>
        <w:rPr>
          <w:rFonts w:ascii="黑体" w:hAnsi="黑体" w:eastAsia="黑体"/>
          <w:sz w:val="24"/>
        </w:rPr>
        <w:instrText xml:space="preserve"> QUOTE </w:instrText>
      </w:r>
      <w:r>
        <w:rPr>
          <w:rFonts w:hint="eastAsia" w:ascii="黑体" w:hAnsi="黑体" w:eastAsia="黑体"/>
          <w:sz w:val="24"/>
        </w:rPr>
        <w:pict>
          <v:shape id="_x0000_i1080" o:spt="75" type="#_x0000_t75" style="height:14.25pt;width:13.5pt;" filled="f" stroked="f" coordsize="21600,21600" equationxml="&lt;?xml version=&quot;1.0&quot; encoding=&quot;UTF-8&quot; standalone=&quot;yes&quot;?&gt;&#13;&#13;&lt;?mso-application progid=&quot;Word.Document&quot;?&gt;&#13;&#13;&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720&quot;/&gt;&lt;w:drawingGridHorizontalSpacing w:val=&quot;110&quot;/&gt;&lt;w:characterSpacingControl w:val=&quot;DontCompress&quot;/&gt;&lt;w:validateAgainstSchema/&gt;&lt;w:saveInvalidXML w:val=&quot;off&quot;/&gt;&lt;w:ignoreMixedContent w:val=&quot;off&quot;/&gt;&lt;w:alwaysShowPlaceholderText w:val=&quot;off&quot;/&gt;&lt;w:compat&gt;&lt;w:doNotExpandShiftReturn/&gt;&lt;w:breakWrappedTables/&gt;&lt;w:snapToGridInCell/&gt;&lt;w:dontGrowAutofit/&gt;&lt;w:useFELayout/&gt;&lt;/w:compat&gt;&lt;w:docVars&gt;&lt;w:docVar w:name=&quot;commondata&quot; w:val=&quot;eyJoZGlkIjoiODEzMmI4YTQyZjVhYmY0Y2I4MjQ3MWEwMzJmMGU2N2IifQ==&quot;/&gt;&lt;/w:docVars&gt;&lt;wsp:rsids&gt;&lt;wsp:rsidRoot wsp:val=&quot;00D31D50&quot;/&gt;&lt;wsp:rsid wsp:val=&quot;000009FD&quot;/&gt;&lt;wsp:rsid wsp:val=&quot;00001A01&quot;/&gt;&lt;wsp:rsid wsp:val=&quot;00001FE2&quot;/&gt;&lt;wsp:rsid wsp:val=&quot;00002307&quot;/&gt;&lt;wsp:rsid wsp:val=&quot;0000236E&quot;/&gt;&lt;wsp:rsid wsp:val=&quot;00002CF7&quot;/&gt;&lt;wsp:rsid wsp:val=&quot;000030B2&quot;/&gt;&lt;wsp:rsid wsp:val=&quot;00003F42&quot;/&gt;&lt;wsp:rsid wsp:val=&quot;000050E7&quot;/&gt;&lt;wsp:rsid wsp:val=&quot;00007213&quot;/&gt;&lt;wsp:rsid wsp:val=&quot;00014B42&quot;/&gt;&lt;wsp:rsid wsp:val=&quot;00016B07&quot;/&gt;&lt;wsp:rsid wsp:val=&quot;00017000&quot;/&gt;&lt;wsp:rsid wsp:val=&quot;0001760A&quot;/&gt;&lt;wsp:rsid wsp:val=&quot;00017909&quot;/&gt;&lt;wsp:rsid wsp:val=&quot;00020EAB&quot;/&gt;&lt;wsp:rsid wsp:val=&quot;00022442&quot;/&gt;&lt;wsp:rsid wsp:val=&quot;000225BD&quot;/&gt;&lt;wsp:rsid wsp:val=&quot;00025477&quot;/&gt;&lt;wsp:rsid wsp:val=&quot;000264D7&quot;/&gt;&lt;wsp:rsid wsp:val=&quot;00032AE0&quot;/&gt;&lt;wsp:rsid wsp:val=&quot;0003495D&quot;/&gt;&lt;wsp:rsid wsp:val=&quot;00035936&quot;/&gt;&lt;wsp:rsid wsp:val=&quot;00036AD9&quot;/&gt;&lt;wsp:rsid wsp:val=&quot;00036D2C&quot;/&gt;&lt;wsp:rsid wsp:val=&quot;00041250&quot;/&gt;&lt;wsp:rsid wsp:val=&quot;00043AD0&quot;/&gt;&lt;wsp:rsid wsp:val=&quot;00045BB7&quot;/&gt;&lt;wsp:rsid wsp:val=&quot;00046288&quot;/&gt;&lt;wsp:rsid wsp:val=&quot;00051D1C&quot;/&gt;&lt;wsp:rsid wsp:val=&quot;0005538D&quot;/&gt;&lt;wsp:rsid wsp:val=&quot;0005669E&quot;/&gt;&lt;wsp:rsid wsp:val=&quot;00056983&quot;/&gt;&lt;wsp:rsid wsp:val=&quot;00057B9F&quot;/&gt;&lt;wsp:rsid wsp:val=&quot;00057FDA&quot;/&gt;&lt;wsp:rsid wsp:val=&quot;00060D41&quot;/&gt;&lt;wsp:rsid wsp:val=&quot;0006139C&quot;/&gt;&lt;wsp:rsid wsp:val=&quot;00065572&quot;/&gt;&lt;wsp:rsid wsp:val=&quot;00065F53&quot;/&gt;&lt;wsp:rsid wsp:val=&quot;00066C81&quot;/&gt;&lt;wsp:rsid wsp:val=&quot;00066F34&quot;/&gt;&lt;wsp:rsid wsp:val=&quot;000723AD&quot;/&gt;&lt;wsp:rsid wsp:val=&quot;000729DD&quot;/&gt;&lt;wsp:rsid wsp:val=&quot;000739E7&quot;/&gt;&lt;wsp:rsid wsp:val=&quot;00073A81&quot;/&gt;&lt;wsp:rsid wsp:val=&quot;00075F84&quot;/&gt;&lt;wsp:rsid wsp:val=&quot;0007797D&quot;/&gt;&lt;wsp:rsid wsp:val=&quot;00082065&quot;/&gt;&lt;wsp:rsid wsp:val=&quot;00091F98&quot;/&gt;&lt;wsp:rsid wsp:val=&quot;00092013&quot;/&gt;&lt;wsp:rsid wsp:val=&quot;0009341D&quot;/&gt;&lt;wsp:rsid wsp:val=&quot;000942B7&quot;/&gt;&lt;wsp:rsid wsp:val=&quot;0009609D&quot;/&gt;&lt;wsp:rsid wsp:val=&quot;000976C7&quot;/&gt;&lt;wsp:rsid wsp:val=&quot;0009772C&quot;/&gt;&lt;wsp:rsid wsp:val=&quot;000A1B05&quot;/&gt;&lt;wsp:rsid wsp:val=&quot;000A41CB&quot;/&gt;&lt;wsp:rsid wsp:val=&quot;000A5C8B&quot;/&gt;&lt;wsp:rsid wsp:val=&quot;000B464C&quot;/&gt;&lt;wsp:rsid wsp:val=&quot;000B6383&quot;/&gt;&lt;wsp:rsid wsp:val=&quot;000B7FD3&quot;/&gt;&lt;wsp:rsid wsp:val=&quot;000C0FB2&quot;/&gt;&lt;wsp:rsid wsp:val=&quot;000C0FFE&quot;/&gt;&lt;wsp:rsid wsp:val=&quot;000C12C3&quot;/&gt;&lt;wsp:rsid wsp:val=&quot;000C2746&quot;/&gt;&lt;wsp:rsid wsp:val=&quot;000C3383&quot;/&gt;&lt;wsp:rsid wsp:val=&quot;000C7FCD&quot;/&gt;&lt;wsp:rsid wsp:val=&quot;000D1C04&quot;/&gt;&lt;wsp:rsid wsp:val=&quot;000D401D&quot;/&gt;&lt;wsp:rsid wsp:val=&quot;000D402D&quot;/&gt;&lt;wsp:rsid wsp:val=&quot;000D457B&quot;/&gt;&lt;wsp:rsid wsp:val=&quot;000D4925&quot;/&gt;&lt;wsp:rsid wsp:val=&quot;000D5CF0&quot;/&gt;&lt;wsp:rsid wsp:val=&quot;000E4067&quot;/&gt;&lt;wsp:rsid wsp:val=&quot;000E736D&quot;/&gt;&lt;wsp:rsid wsp:val=&quot;000F3D07&quot;/&gt;&lt;wsp:rsid wsp:val=&quot;000F400A&quot;/&gt;&lt;wsp:rsid wsp:val=&quot;000F40FA&quot;/&gt;&lt;wsp:rsid wsp:val=&quot;000F445A&quot;/&gt;&lt;wsp:rsid wsp:val=&quot;000F6C29&quot;/&gt;&lt;wsp:rsid wsp:val=&quot;000F783B&quot;/&gt;&lt;wsp:rsid wsp:val=&quot;000F7EA3&quot;/&gt;&lt;wsp:rsid wsp:val=&quot;00100229&quot;/&gt;&lt;wsp:rsid wsp:val=&quot;00103127&quot;/&gt;&lt;wsp:rsid wsp:val=&quot;00106099&quot;/&gt;&lt;wsp:rsid wsp:val=&quot;00110F84&quot;/&gt;&lt;wsp:rsid wsp:val=&quot;001174B5&quot;/&gt;&lt;wsp:rsid wsp:val=&quot;00120C31&quot;/&gt;&lt;wsp:rsid wsp:val=&quot;00122038&quot;/&gt;&lt;wsp:rsid wsp:val=&quot;0012234E&quot;/&gt;&lt;wsp:rsid wsp:val=&quot;00124E7F&quot;/&gt;&lt;wsp:rsid wsp:val=&quot;00126303&quot;/&gt;&lt;wsp:rsid wsp:val=&quot;001270E4&quot;/&gt;&lt;wsp:rsid wsp:val=&quot;00127119&quot;/&gt;&lt;wsp:rsid wsp:val=&quot;001275E9&quot;/&gt;&lt;wsp:rsid wsp:val=&quot;00135AB7&quot;/&gt;&lt;wsp:rsid wsp:val=&quot;001367A4&quot;/&gt;&lt;wsp:rsid wsp:val=&quot;00137049&quot;/&gt;&lt;wsp:rsid wsp:val=&quot;00140031&quot;/&gt;&lt;wsp:rsid wsp:val=&quot;0014353B&quot;/&gt;&lt;wsp:rsid wsp:val=&quot;00145987&quot;/&gt;&lt;wsp:rsid wsp:val=&quot;00147942&quot;/&gt;&lt;wsp:rsid wsp:val=&quot;0015459B&quot;/&gt;&lt;wsp:rsid wsp:val=&quot;001546F3&quot;/&gt;&lt;wsp:rsid wsp:val=&quot;00155C34&quot;/&gt;&lt;wsp:rsid wsp:val=&quot;00157D1A&quot;/&gt;&lt;wsp:rsid wsp:val=&quot;00160EAB&quot;/&gt;&lt;wsp:rsid wsp:val=&quot;0016270D&quot;/&gt;&lt;wsp:rsid wsp:val=&quot;00164C33&quot;/&gt;&lt;wsp:rsid wsp:val=&quot;00166970&quot;/&gt;&lt;wsp:rsid wsp:val=&quot;00167618&quot;/&gt;&lt;wsp:rsid wsp:val=&quot;00170BC8&quot;/&gt;&lt;wsp:rsid wsp:val=&quot;00170D35&quot;/&gt;&lt;wsp:rsid wsp:val=&quot;00171067&quot;/&gt;&lt;wsp:rsid wsp:val=&quot;00171D85&quot;/&gt;&lt;wsp:rsid wsp:val=&quot;0017259F&quot;/&gt;&lt;wsp:rsid wsp:val=&quot;00174FE2&quot;/&gt;&lt;wsp:rsid wsp:val=&quot;001759D6&quot;/&gt;&lt;wsp:rsid wsp:val=&quot;0017617F&quot;/&gt;&lt;wsp:rsid wsp:val=&quot;001800DC&quot;/&gt;&lt;wsp:rsid wsp:val=&quot;0018181D&quot;/&gt;&lt;wsp:rsid wsp:val=&quot;001819D3&quot;/&gt;&lt;wsp:rsid wsp:val=&quot;00182B03&quot;/&gt;&lt;wsp:rsid wsp:val=&quot;00185057&quot;/&gt;&lt;wsp:rsid wsp:val=&quot;00185E4B&quot;/&gt;&lt;wsp:rsid wsp:val=&quot;00187AE3&quot;/&gt;&lt;wsp:rsid wsp:val=&quot;00190407&quot;/&gt;&lt;wsp:rsid wsp:val=&quot;00192442&quot;/&gt;&lt;wsp:rsid wsp:val=&quot;00193A36&quot;/&gt;&lt;wsp:rsid wsp:val=&quot;0019407D&quot;/&gt;&lt;wsp:rsid wsp:val=&quot;00194AB0&quot;/&gt;&lt;wsp:rsid wsp:val=&quot;00194FD1&quot;/&gt;&lt;wsp:rsid wsp:val=&quot;00197544&quot;/&gt;&lt;wsp:rsid wsp:val=&quot;001A1430&quot;/&gt;&lt;wsp:rsid wsp:val=&quot;001A1467&quot;/&gt;&lt;wsp:rsid wsp:val=&quot;001A4313&quot;/&gt;&lt;wsp:rsid wsp:val=&quot;001A5C96&quot;/&gt;&lt;wsp:rsid wsp:val=&quot;001A7C0E&quot;/&gt;&lt;wsp:rsid wsp:val=&quot;001B0284&quot;/&gt;&lt;wsp:rsid wsp:val=&quot;001B0DD5&quot;/&gt;&lt;wsp:rsid wsp:val=&quot;001B0EAD&quot;/&gt;&lt;wsp:rsid wsp:val=&quot;001B146E&quot;/&gt;&lt;wsp:rsid wsp:val=&quot;001B4926&quot;/&gt;&lt;wsp:rsid wsp:val=&quot;001B5A15&quot;/&gt;&lt;wsp:rsid wsp:val=&quot;001B7877&quot;/&gt;&lt;wsp:rsid wsp:val=&quot;001B7E52&quot;/&gt;&lt;wsp:rsid wsp:val=&quot;001C15C6&quot;/&gt;&lt;wsp:rsid wsp:val=&quot;001C1F16&quot;/&gt;&lt;wsp:rsid wsp:val=&quot;001C2309&quot;/&gt;&lt;wsp:rsid wsp:val=&quot;001C23E1&quot;/&gt;&lt;wsp:rsid wsp:val=&quot;001C281E&quot;/&gt;&lt;wsp:rsid wsp:val=&quot;001C368B&quot;/&gt;&lt;wsp:rsid wsp:val=&quot;001C7D55&quot;/&gt;&lt;wsp:rsid wsp:val=&quot;001D2783&quot;/&gt;&lt;wsp:rsid wsp:val=&quot;001D3107&quot;/&gt;&lt;wsp:rsid wsp:val=&quot;001D5775&quot;/&gt;&lt;wsp:rsid wsp:val=&quot;001D616A&quot;/&gt;&lt;wsp:rsid wsp:val=&quot;001E090C&quot;/&gt;&lt;wsp:rsid wsp:val=&quot;001E1B65&quot;/&gt;&lt;wsp:rsid wsp:val=&quot;001E3D0E&quot;/&gt;&lt;wsp:rsid wsp:val=&quot;001E5535&quot;/&gt;&lt;wsp:rsid wsp:val=&quot;001E7FB2&quot;/&gt;&lt;wsp:rsid wsp:val=&quot;001F0A2B&quot;/&gt;&lt;wsp:rsid wsp:val=&quot;001F1D46&quot;/&gt;&lt;wsp:rsid wsp:val=&quot;001F1EAA&quot;/&gt;&lt;wsp:rsid wsp:val=&quot;001F2758&quot;/&gt;&lt;wsp:rsid wsp:val=&quot;001F6E50&quot;/&gt;&lt;wsp:rsid wsp:val=&quot;001F7E8E&quot;/&gt;&lt;wsp:rsid wsp:val=&quot;00202EE1&quot;/&gt;&lt;wsp:rsid wsp:val=&quot;002035BC&quot;/&gt;&lt;wsp:rsid wsp:val=&quot;00204602&quot;/&gt;&lt;wsp:rsid wsp:val=&quot;00205589&quot;/&gt;&lt;wsp:rsid wsp:val=&quot;0021445C&quot;/&gt;&lt;wsp:rsid wsp:val=&quot;00215049&quot;/&gt;&lt;wsp:rsid wsp:val=&quot;00216AB8&quot;/&gt;&lt;wsp:rsid wsp:val=&quot;002177DF&quot;/&gt;&lt;wsp:rsid wsp:val=&quot;00217E1C&quot;/&gt;&lt;wsp:rsid wsp:val=&quot;00220C7E&quot;/&gt;&lt;wsp:rsid wsp:val=&quot;002214AD&quot;/&gt;&lt;wsp:rsid wsp:val=&quot;0022252A&quot;/&gt;&lt;wsp:rsid wsp:val=&quot;00222AF8&quot;/&gt;&lt;wsp:rsid wsp:val=&quot;002314BF&quot;/&gt;&lt;wsp:rsid wsp:val=&quot;002346F2&quot;/&gt;&lt;wsp:rsid wsp:val=&quot;0023479A&quot;/&gt;&lt;wsp:rsid wsp:val=&quot;0023559B&quot;/&gt;&lt;wsp:rsid wsp:val=&quot;00241D31&quot;/&gt;&lt;wsp:rsid wsp:val=&quot;00243A3F&quot;/&gt;&lt;wsp:rsid wsp:val=&quot;00243CF6&quot;/&gt;&lt;wsp:rsid wsp:val=&quot;002466DE&quot;/&gt;&lt;wsp:rsid wsp:val=&quot;00252709&quot;/&gt;&lt;wsp:rsid wsp:val=&quot;00255606&quot;/&gt;&lt;wsp:rsid wsp:val=&quot;002559DC&quot;/&gt;&lt;wsp:rsid wsp:val=&quot;00256395&quot;/&gt;&lt;wsp:rsid wsp:val=&quot;0025790A&quot;/&gt;&lt;wsp:rsid wsp:val=&quot;00260548&quot;/&gt;&lt;wsp:rsid wsp:val=&quot;002615F3&quot;/&gt;&lt;wsp:rsid wsp:val=&quot;00265307&quot;/&gt;&lt;wsp:rsid wsp:val=&quot;002655DF&quot;/&gt;&lt;wsp:rsid wsp:val=&quot;0026795C&quot;/&gt;&lt;wsp:rsid wsp:val=&quot;002679DA&quot;/&gt;&lt;wsp:rsid wsp:val=&quot;002708FE&quot;/&gt;&lt;wsp:rsid wsp:val=&quot;00270C78&quot;/&gt;&lt;wsp:rsid wsp:val=&quot;00271F51&quot;/&gt;&lt;wsp:rsid wsp:val=&quot;0027423D&quot;/&gt;&lt;wsp:rsid wsp:val=&quot;00274EF7&quot;/&gt;&lt;wsp:rsid wsp:val=&quot;002753F7&quot;/&gt;&lt;wsp:rsid wsp:val=&quot;00282D17&quot;/&gt;&lt;wsp:rsid wsp:val=&quot;002844C2&quot;/&gt;&lt;wsp:rsid wsp:val=&quot;00287E64&quot;/&gt;&lt;wsp:rsid wsp:val=&quot;00290077&quot;/&gt;&lt;wsp:rsid wsp:val=&quot;002942DF&quot;/&gt;&lt;wsp:rsid wsp:val=&quot;0029678A&quot;/&gt;&lt;wsp:rsid wsp:val=&quot;002A41C2&quot;/&gt;&lt;wsp:rsid wsp:val=&quot;002A5BA9&quot;/&gt;&lt;wsp:rsid wsp:val=&quot;002A5CCA&quot;/&gt;&lt;wsp:rsid wsp:val=&quot;002A5E6C&quot;/&gt;&lt;wsp:rsid wsp:val=&quot;002A66B1&quot;/&gt;&lt;wsp:rsid wsp:val=&quot;002A7E44&quot;/&gt;&lt;wsp:rsid wsp:val=&quot;002B0775&quot;/&gt;&lt;wsp:rsid wsp:val=&quot;002B654B&quot;/&gt;&lt;wsp:rsid wsp:val=&quot;002B7B09&quot;/&gt;&lt;wsp:rsid wsp:val=&quot;002C02A2&quot;/&gt;&lt;wsp:rsid wsp:val=&quot;002C0924&quot;/&gt;&lt;wsp:rsid wsp:val=&quot;002C0C46&quot;/&gt;&lt;wsp:rsid wsp:val=&quot;002C144F&quot;/&gt;&lt;wsp:rsid wsp:val=&quot;002C2226&quot;/&gt;&lt;wsp:rsid wsp:val=&quot;002C3D09&quot;/&gt;&lt;wsp:rsid wsp:val=&quot;002C4A26&quot;/&gt;&lt;wsp:rsid wsp:val=&quot;002C7A27&quot;/&gt;&lt;wsp:rsid wsp:val=&quot;002D051B&quot;/&gt;&lt;wsp:rsid wsp:val=&quot;002D05E9&quot;/&gt;&lt;wsp:rsid wsp:val=&quot;002D4426&quot;/&gt;&lt;wsp:rsid wsp:val=&quot;002D5039&quot;/&gt;&lt;wsp:rsid wsp:val=&quot;002D5EDA&quot;/&gt;&lt;wsp:rsid wsp:val=&quot;002E2AA2&quot;/&gt;&lt;wsp:rsid wsp:val=&quot;002E2D74&quot;/&gt;&lt;wsp:rsid wsp:val=&quot;002E3021&quot;/&gt;&lt;wsp:rsid wsp:val=&quot;002E3716&quot;/&gt;&lt;wsp:rsid wsp:val=&quot;002E4D8D&quot;/&gt;&lt;wsp:rsid wsp:val=&quot;002E6EC9&quot;/&gt;&lt;wsp:rsid wsp:val=&quot;002E735E&quot;/&gt;&lt;wsp:rsid wsp:val=&quot;002E73E7&quot;/&gt;&lt;wsp:rsid wsp:val=&quot;002F0079&quot;/&gt;&lt;wsp:rsid wsp:val=&quot;002F0AF1&quot;/&gt;&lt;wsp:rsid wsp:val=&quot;002F13CB&quot;/&gt;&lt;wsp:rsid wsp:val=&quot;002F3007&quot;/&gt;&lt;wsp:rsid wsp:val=&quot;002F3333&quot;/&gt;&lt;wsp:rsid wsp:val=&quot;002F6A88&quot;/&gt;&lt;wsp:rsid wsp:val=&quot;00300428&quot;/&gt;&lt;wsp:rsid wsp:val=&quot;00301365&quot;/&gt;&lt;wsp:rsid wsp:val=&quot;0030252B&quot;/&gt;&lt;wsp:rsid wsp:val=&quot;0030352E&quot;/&gt;&lt;wsp:rsid wsp:val=&quot;00303F66&quot;/&gt;&lt;wsp:rsid wsp:val=&quot;00310C29&quot;/&gt;&lt;wsp:rsid wsp:val=&quot;00311377&quot;/&gt;&lt;wsp:rsid wsp:val=&quot;003128DE&quot;/&gt;&lt;wsp:rsid wsp:val=&quot;00312FD2&quot;/&gt;&lt;wsp:rsid wsp:val=&quot;00315212&quot;/&gt;&lt;wsp:rsid wsp:val=&quot;0031651A&quot;/&gt;&lt;wsp:rsid wsp:val=&quot;003173CE&quot;/&gt;&lt;wsp:rsid wsp:val=&quot;003200AE&quot;/&gt;&lt;wsp:rsid wsp:val=&quot;00320C95&quot;/&gt;&lt;wsp:rsid wsp:val=&quot;00321180&quot;/&gt;&lt;wsp:rsid wsp:val=&quot;00321BA8&quot;/&gt;&lt;wsp:rsid wsp:val=&quot;00322F9C&quot;/&gt;&lt;wsp:rsid wsp:val=&quot;00323B43&quot;/&gt;&lt;wsp:rsid wsp:val=&quot;003240DF&quot;/&gt;&lt;wsp:rsid wsp:val=&quot;003259CB&quot;/&gt;&lt;wsp:rsid wsp:val=&quot;00326A04&quot;/&gt;&lt;wsp:rsid wsp:val=&quot;00326F94&quot;/&gt;&lt;wsp:rsid wsp:val=&quot;00330EA6&quot;/&gt;&lt;wsp:rsid wsp:val=&quot;0033109E&quot;/&gt;&lt;wsp:rsid wsp:val=&quot;003314D4&quot;/&gt;&lt;wsp:rsid wsp:val=&quot;00331858&quot;/&gt;&lt;wsp:rsid wsp:val=&quot;00331F4C&quot;/&gt;&lt;wsp:rsid wsp:val=&quot;003335BA&quot;/&gt;&lt;wsp:rsid wsp:val=&quot;003354C4&quot;/&gt;&lt;wsp:rsid wsp:val=&quot;00341639&quot;/&gt;&lt;wsp:rsid wsp:val=&quot;0034184F&quot;/&gt;&lt;wsp:rsid wsp:val=&quot;00341BC0&quot;/&gt;&lt;wsp:rsid wsp:val=&quot;0034226C&quot;/&gt;&lt;wsp:rsid wsp:val=&quot;00342536&quot;/&gt;&lt;wsp:rsid wsp:val=&quot;0034333A&quot;/&gt;&lt;wsp:rsid wsp:val=&quot;0034333F&quot;/&gt;&lt;wsp:rsid wsp:val=&quot;00343504&quot;/&gt;&lt;wsp:rsid wsp:val=&quot;003444FC&quot;/&gt;&lt;wsp:rsid wsp:val=&quot;00345808&quot;/&gt;&lt;wsp:rsid wsp:val=&quot;00353B21&quot;/&gt;&lt;wsp:rsid wsp:val=&quot;00353DB2&quot;/&gt;&lt;wsp:rsid wsp:val=&quot;003543B7&quot;/&gt;&lt;wsp:rsid wsp:val=&quot;00357C76&quot;/&gt;&lt;wsp:rsid wsp:val=&quot;0036307A&quot;/&gt;&lt;wsp:rsid wsp:val=&quot;00363E3E&quot;/&gt;&lt;wsp:rsid wsp:val=&quot;003645E6&quot;/&gt;&lt;wsp:rsid wsp:val=&quot;00364AE8&quot;/&gt;&lt;wsp:rsid wsp:val=&quot;00366848&quot;/&gt;&lt;wsp:rsid wsp:val=&quot;00366E00&quot;/&gt;&lt;wsp:rsid wsp:val=&quot;00367C58&quot;/&gt;&lt;wsp:rsid wsp:val=&quot;00371278&quot;/&gt;&lt;wsp:rsid wsp:val=&quot;00371666&quot;/&gt;&lt;wsp:rsid wsp:val=&quot;003717C2&quot;/&gt;&lt;wsp:rsid wsp:val=&quot;003755AC&quot;/&gt;&lt;wsp:rsid wsp:val=&quot;00375ABD&quot;/&gt;&lt;wsp:rsid wsp:val=&quot;00381B3A&quot;/&gt;&lt;wsp:rsid wsp:val=&quot;00382C87&quot;/&gt;&lt;wsp:rsid wsp:val=&quot;00395527&quot;/&gt;&lt;wsp:rsid wsp:val=&quot;0039691A&quot;/&gt;&lt;wsp:rsid wsp:val=&quot;003971FE&quot;/&gt;&lt;wsp:rsid wsp:val=&quot;003973E5&quot;/&gt;&lt;wsp:rsid wsp:val=&quot;003A0C51&quot;/&gt;&lt;wsp:rsid wsp:val=&quot;003A10BC&quot;/&gt;&lt;wsp:rsid wsp:val=&quot;003A113E&quot;/&gt;&lt;wsp:rsid wsp:val=&quot;003A630B&quot;/&gt;&lt;wsp:rsid wsp:val=&quot;003B19CB&quot;/&gt;&lt;wsp:rsid wsp:val=&quot;003B3BAB&quot;/&gt;&lt;wsp:rsid wsp:val=&quot;003B4226&quot;/&gt;&lt;wsp:rsid wsp:val=&quot;003B438A&quot;/&gt;&lt;wsp:rsid wsp:val=&quot;003B5FA3&quot;/&gt;&lt;wsp:rsid wsp:val=&quot;003C0621&quot;/&gt;&lt;wsp:rsid wsp:val=&quot;003C086C&quot;/&gt;&lt;wsp:rsid wsp:val=&quot;003C0ABE&quot;/&gt;&lt;wsp:rsid wsp:val=&quot;003C15B5&quot;/&gt;&lt;wsp:rsid wsp:val=&quot;003C1BAF&quot;/&gt;&lt;wsp:rsid wsp:val=&quot;003C35FF&quot;/&gt;&lt;wsp:rsid wsp:val=&quot;003C4161&quot;/&gt;&lt;wsp:rsid wsp:val=&quot;003C4644&quot;/&gt;&lt;wsp:rsid wsp:val=&quot;003C571A&quot;/&gt;&lt;wsp:rsid wsp:val=&quot;003C57BD&quot;/&gt;&lt;wsp:rsid wsp:val=&quot;003C6D0D&quot;/&gt;&lt;wsp:rsid wsp:val=&quot;003D042E&quot;/&gt;&lt;wsp:rsid wsp:val=&quot;003D19ED&quot;/&gt;&lt;wsp:rsid wsp:val=&quot;003D221F&quot;/&gt;&lt;wsp:rsid wsp:val=&quot;003D2BA3&quot;/&gt;&lt;wsp:rsid wsp:val=&quot;003D37D8&quot;/&gt;&lt;wsp:rsid wsp:val=&quot;003D6DFB&quot;/&gt;&lt;wsp:rsid wsp:val=&quot;003E0338&quot;/&gt;&lt;wsp:rsid wsp:val=&quot;003E0E08&quot;/&gt;&lt;wsp:rsid wsp:val=&quot;003E3035&quot;/&gt;&lt;wsp:rsid wsp:val=&quot;003E349C&quot;/&gt;&lt;wsp:rsid wsp:val=&quot;003F4C78&quot;/&gt;&lt;wsp:rsid wsp:val=&quot;003F6233&quot;/&gt;&lt;wsp:rsid wsp:val=&quot;003F690B&quot;/&gt;&lt;wsp:rsid wsp:val=&quot;003F7CC2&quot;/&gt;&lt;wsp:rsid wsp:val=&quot;00401374&quot;/&gt;&lt;wsp:rsid wsp:val=&quot;00402AB1&quot;/&gt;&lt;wsp:rsid wsp:val=&quot;00403ACB&quot;/&gt;&lt;wsp:rsid wsp:val=&quot;00404D77&quot;/&gt;&lt;wsp:rsid wsp:val=&quot;00406388&quot;/&gt;&lt;wsp:rsid wsp:val=&quot;004079B7&quot;/&gt;&lt;wsp:rsid wsp:val=&quot;004155BC&quot;/&gt;&lt;wsp:rsid wsp:val=&quot;00417DB0&quot;/&gt;&lt;wsp:rsid wsp:val=&quot;004208F0&quot;/&gt;&lt;wsp:rsid wsp:val=&quot;00422BB0&quot;/&gt;&lt;wsp:rsid wsp:val=&quot;00426133&quot;/&gt;&lt;wsp:rsid wsp:val=&quot;00426F41&quot;/&gt;&lt;wsp:rsid wsp:val=&quot;004276ED&quot;/&gt;&lt;wsp:rsid wsp:val=&quot;00427966&quot;/&gt;&lt;wsp:rsid wsp:val=&quot;00430071&quot;/&gt;&lt;wsp:rsid wsp:val=&quot;0043014D&quot;/&gt;&lt;wsp:rsid wsp:val=&quot;00430F48&quot;/&gt;&lt;wsp:rsid wsp:val=&quot;004314EF&quot;/&gt;&lt;wsp:rsid wsp:val=&quot;004340A5&quot;/&gt;&lt;wsp:rsid wsp:val=&quot;00434CD5&quot;/&gt;&lt;wsp:rsid wsp:val=&quot;004358AB&quot;/&gt;&lt;wsp:rsid wsp:val=&quot;00436A46&quot;/&gt;&lt;wsp:rsid wsp:val=&quot;004401DA&quot;/&gt;&lt;wsp:rsid wsp:val=&quot;004410EA&quot;/&gt;&lt;wsp:rsid wsp:val=&quot;00443CF9&quot;/&gt;&lt;wsp:rsid wsp:val=&quot;00444A5E&quot;/&gt;&lt;wsp:rsid wsp:val=&quot;00445D63&quot;/&gt;&lt;wsp:rsid wsp:val=&quot;004471AD&quot;/&gt;&lt;wsp:rsid wsp:val=&quot;00450B58&quot;/&gt;&lt;wsp:rsid wsp:val=&quot;004520DD&quot;/&gt;&lt;wsp:rsid wsp:val=&quot;004544AB&quot;/&gt;&lt;wsp:rsid wsp:val=&quot;0046544E&quot;/&gt;&lt;wsp:rsid wsp:val=&quot;00466356&quot;/&gt;&lt;wsp:rsid wsp:val=&quot;00471AAB&quot;/&gt;&lt;wsp:rsid wsp:val=&quot;00473184&quot;/&gt;&lt;wsp:rsid wsp:val=&quot;00473DD2&quot;/&gt;&lt;wsp:rsid wsp:val=&quot;004752CD&quot;/&gt;&lt;wsp:rsid wsp:val=&quot;00475C70&quot;/&gt;&lt;wsp:rsid wsp:val=&quot;00475DF2&quot;/&gt;&lt;wsp:rsid wsp:val=&quot;00480CE3&quot;/&gt;&lt;wsp:rsid wsp:val=&quot;00482B80&quot;/&gt;&lt;wsp:rsid wsp:val=&quot;004837AC&quot;/&gt;&lt;wsp:rsid wsp:val=&quot;004840B8&quot;/&gt;&lt;wsp:rsid wsp:val=&quot;00484339&quot;/&gt;&lt;wsp:rsid wsp:val=&quot;00484542&quot;/&gt;&lt;wsp:rsid wsp:val=&quot;00485815&quot;/&gt;&lt;wsp:rsid wsp:val=&quot;00487FF8&quot;/&gt;&lt;wsp:rsid wsp:val=&quot;00490F02&quot;/&gt;&lt;wsp:rsid wsp:val=&quot;004917A9&quot;/&gt;&lt;wsp:rsid wsp:val=&quot;0049206E&quot;/&gt;&lt;wsp:rsid wsp:val=&quot;004929B6&quot;/&gt;&lt;wsp:rsid wsp:val=&quot;00492F0F&quot;/&gt;&lt;wsp:rsid wsp:val=&quot;00495415&quot;/&gt;&lt;wsp:rsid wsp:val=&quot;00496E17&quot;/&gt;&lt;wsp:rsid wsp:val=&quot;00496E34&quot;/&gt;&lt;wsp:rsid wsp:val=&quot;00497A8C&quot;/&gt;&lt;wsp:rsid wsp:val=&quot;00497E3C&quot;/&gt;&lt;wsp:rsid wsp:val=&quot;004A09F6&quot;/&gt;&lt;wsp:rsid wsp:val=&quot;004A14B8&quot;/&gt;&lt;wsp:rsid wsp:val=&quot;004A193E&quot;/&gt;&lt;wsp:rsid wsp:val=&quot;004A4986&quot;/&gt;&lt;wsp:rsid wsp:val=&quot;004A59EF&quot;/&gt;&lt;wsp:rsid wsp:val=&quot;004A7560&quot;/&gt;&lt;wsp:rsid wsp:val=&quot;004B108B&quot;/&gt;&lt;wsp:rsid wsp:val=&quot;004B5A4E&quot;/&gt;&lt;wsp:rsid wsp:val=&quot;004B7261&quot;/&gt;&lt;wsp:rsid wsp:val=&quot;004B79CB&quot;/&gt;&lt;wsp:rsid wsp:val=&quot;004C2821&quot;/&gt;&lt;wsp:rsid wsp:val=&quot;004C3107&quot;/&gt;&lt;wsp:rsid wsp:val=&quot;004C623F&quot;/&gt;&lt;wsp:rsid wsp:val=&quot;004D0885&quot;/&gt;&lt;wsp:rsid wsp:val=&quot;004D1BD6&quot;/&gt;&lt;wsp:rsid wsp:val=&quot;004D1C10&quot;/&gt;&lt;wsp:rsid wsp:val=&quot;004D2653&quot;/&gt;&lt;wsp:rsid wsp:val=&quot;004D4C1C&quot;/&gt;&lt;wsp:rsid wsp:val=&quot;004D64CD&quot;/&gt;&lt;wsp:rsid wsp:val=&quot;004D79DF&quot;/&gt;&lt;wsp:rsid wsp:val=&quot;004D7C91&quot;/&gt;&lt;wsp:rsid wsp:val=&quot;004E076A&quot;/&gt;&lt;wsp:rsid wsp:val=&quot;004E3695&quot;/&gt;&lt;wsp:rsid wsp:val=&quot;004E435A&quot;/&gt;&lt;wsp:rsid wsp:val=&quot;004E6B99&quot;/&gt;&lt;wsp:rsid wsp:val=&quot;004F35C1&quot;/&gt;&lt;wsp:rsid wsp:val=&quot;004F4B8C&quot;/&gt;&lt;wsp:rsid wsp:val=&quot;004F51E0&quot;/&gt;&lt;wsp:rsid wsp:val=&quot;004F6CE8&quot;/&gt;&lt;wsp:rsid wsp:val=&quot;00500AB2&quot;/&gt;&lt;wsp:rsid wsp:val=&quot;00500E74&quot;/&gt;&lt;wsp:rsid wsp:val=&quot;00501C07&quot;/&gt;&lt;wsp:rsid wsp:val=&quot;005026C9&quot;/&gt;&lt;wsp:rsid wsp:val=&quot;00503455&quot;/&gt;&lt;wsp:rsid wsp:val=&quot;00503DBB&quot;/&gt;&lt;wsp:rsid wsp:val=&quot;00504CEB&quot;/&gt;&lt;wsp:rsid wsp:val=&quot;00505011&quot;/&gt;&lt;wsp:rsid wsp:val=&quot;00505E7C&quot;/&gt;&lt;wsp:rsid wsp:val=&quot;005062B0&quot;/&gt;&lt;wsp:rsid wsp:val=&quot;00512C63&quot;/&gt;&lt;wsp:rsid wsp:val=&quot;005140E9&quot;/&gt;&lt;wsp:rsid wsp:val=&quot;00515356&quot;/&gt;&lt;wsp:rsid wsp:val=&quot;00520C1B&quot;/&gt;&lt;wsp:rsid wsp:val=&quot;00521B4A&quot;/&gt;&lt;wsp:rsid wsp:val=&quot;00522A84&quot;/&gt;&lt;wsp:rsid wsp:val=&quot;00523862&quot;/&gt;&lt;wsp:rsid wsp:val=&quot;00523D60&quot;/&gt;&lt;wsp:rsid wsp:val=&quot;00524293&quot;/&gt;&lt;wsp:rsid wsp:val=&quot;00525381&quot;/&gt;&lt;wsp:rsid wsp:val=&quot;00526001&quot;/&gt;&lt;wsp:rsid wsp:val=&quot;0052612E&quot;/&gt;&lt;wsp:rsid wsp:val=&quot;005316CF&quot;/&gt;&lt;wsp:rsid wsp:val=&quot;0053285D&quot;/&gt;&lt;wsp:rsid wsp:val=&quot;0053443C&quot;/&gt;&lt;wsp:rsid wsp:val=&quot;00534727&quot;/&gt;&lt;wsp:rsid wsp:val=&quot;005421F6&quot;/&gt;&lt;wsp:rsid wsp:val=&quot;005423EB&quot;/&gt;&lt;wsp:rsid wsp:val=&quot;005429EB&quot;/&gt;&lt;wsp:rsid wsp:val=&quot;00544D49&quot;/&gt;&lt;wsp:rsid wsp:val=&quot;00547D99&quot;/&gt;&lt;wsp:rsid wsp:val=&quot;00550330&quot;/&gt;&lt;wsp:rsid wsp:val=&quot;005517BE&quot;/&gt;&lt;wsp:rsid wsp:val=&quot;00555328&quot;/&gt;&lt;wsp:rsid wsp:val=&quot;00555AE4&quot;/&gt;&lt;wsp:rsid wsp:val=&quot;00556752&quot;/&gt;&lt;wsp:rsid wsp:val=&quot;005570B0&quot;/&gt;&lt;wsp:rsid wsp:val=&quot;00557E74&quot;/&gt;&lt;wsp:rsid wsp:val=&quot;005605DA&quot;/&gt;&lt;wsp:rsid wsp:val=&quot;00560B7F&quot;/&gt;&lt;wsp:rsid wsp:val=&quot;00564B39&quot;/&gt;&lt;wsp:rsid wsp:val=&quot;0056549B&quot;/&gt;&lt;wsp:rsid wsp:val=&quot;00566753&quot;/&gt;&lt;wsp:rsid wsp:val=&quot;00566F63&quot;/&gt;&lt;wsp:rsid wsp:val=&quot;005703A1&quot;/&gt;&lt;wsp:rsid wsp:val=&quot;005704A8&quot;/&gt;&lt;wsp:rsid wsp:val=&quot;00571137&quot;/&gt;&lt;wsp:rsid wsp:val=&quot;005731B1&quot;/&gt;&lt;wsp:rsid wsp:val=&quot;00573EC4&quot;/&gt;&lt;wsp:rsid wsp:val=&quot;00573FB4&quot;/&gt;&lt;wsp:rsid wsp:val=&quot;00574A18&quot;/&gt;&lt;wsp:rsid wsp:val=&quot;005759D1&quot;/&gt;&lt;wsp:rsid wsp:val=&quot;00577047&quot;/&gt;&lt;wsp:rsid wsp:val=&quot;005776FD&quot;/&gt;&lt;wsp:rsid wsp:val=&quot;005802BE&quot;/&gt;&lt;wsp:rsid wsp:val=&quot;00581771&quot;/&gt;&lt;wsp:rsid wsp:val=&quot;00582842&quot;/&gt;&lt;wsp:rsid wsp:val=&quot;00583127&quot;/&gt;&lt;wsp:rsid wsp:val=&quot;00583497&quot;/&gt;&lt;wsp:rsid wsp:val=&quot;00585730&quot;/&gt;&lt;wsp:rsid wsp:val=&quot;00585E4C&quot;/&gt;&lt;wsp:rsid wsp:val=&quot;0058610A&quot;/&gt;&lt;wsp:rsid wsp:val=&quot;00586C92&quot;/&gt;&lt;wsp:rsid wsp:val=&quot;00587AC1&quot;/&gt;&lt;wsp:rsid wsp:val=&quot;00592551&quot;/&gt;&lt;wsp:rsid wsp:val=&quot;005A09E4&quot;/&gt;&lt;wsp:rsid wsp:val=&quot;005A29C0&quot;/&gt;&lt;wsp:rsid wsp:val=&quot;005A3524&quot;/&gt;&lt;wsp:rsid wsp:val=&quot;005A4904&quot;/&gt;&lt;wsp:rsid wsp:val=&quot;005A61BB&quot;/&gt;&lt;wsp:rsid wsp:val=&quot;005A6B29&quot;/&gt;&lt;wsp:rsid wsp:val=&quot;005B0157&quot;/&gt;&lt;wsp:rsid wsp:val=&quot;005B6A22&quot;/&gt;&lt;wsp:rsid wsp:val=&quot;005C3764&quot;/&gt;&lt;wsp:rsid wsp:val=&quot;005C3B7C&quot;/&gt;&lt;wsp:rsid wsp:val=&quot;005C3B93&quot;/&gt;&lt;wsp:rsid wsp:val=&quot;005C3C58&quot;/&gt;&lt;wsp:rsid wsp:val=&quot;005C4DDE&quot;/&gt;&lt;wsp:rsid wsp:val=&quot;005D1094&quot;/&gt;&lt;wsp:rsid wsp:val=&quot;005D1496&quot;/&gt;&lt;wsp:rsid wsp:val=&quot;005D2AA2&quot;/&gt;&lt;wsp:rsid wsp:val=&quot;005D4FAC&quot;/&gt;&lt;wsp:rsid wsp:val=&quot;005D6706&quot;/&gt;&lt;wsp:rsid wsp:val=&quot;005D6BF4&quot;/&gt;&lt;wsp:rsid wsp:val=&quot;005D7A09&quot;/&gt;&lt;wsp:rsid wsp:val=&quot;005E09DB&quot;/&gt;&lt;wsp:rsid wsp:val=&quot;005E33A3&quot;/&gt;&lt;wsp:rsid wsp:val=&quot;005E5437&quot;/&gt;&lt;wsp:rsid wsp:val=&quot;005E7CE3&quot;/&gt;&lt;wsp:rsid wsp:val=&quot;005F2FDA&quot;/&gt;&lt;wsp:rsid wsp:val=&quot;005F3183&quot;/&gt;&lt;wsp:rsid wsp:val=&quot;005F3D4A&quot;/&gt;&lt;wsp:rsid wsp:val=&quot;005F53E8&quot;/&gt;&lt;wsp:rsid wsp:val=&quot;005F6730&quot;/&gt;&lt;wsp:rsid wsp:val=&quot;005F6C6C&quot;/&gt;&lt;wsp:rsid wsp:val=&quot;005F6F50&quot;/&gt;&lt;wsp:rsid wsp:val=&quot;006005D7&quot;/&gt;&lt;wsp:rsid wsp:val=&quot;00602972&quot;/&gt;&lt;wsp:rsid wsp:val=&quot;0060321C&quot;/&gt;&lt;wsp:rsid wsp:val=&quot;00605793&quot;/&gt;&lt;wsp:rsid wsp:val=&quot;006057E2&quot;/&gt;&lt;wsp:rsid wsp:val=&quot;006068AA&quot;/&gt;&lt;wsp:rsid wsp:val=&quot;0061001B&quot;/&gt;&lt;wsp:rsid wsp:val=&quot;00611D76&quot;/&gt;&lt;wsp:rsid wsp:val=&quot;006121F8&quot;/&gt;&lt;wsp:rsid wsp:val=&quot;00612501&quot;/&gt;&lt;wsp:rsid wsp:val=&quot;006128C6&quot;/&gt;&lt;wsp:rsid wsp:val=&quot;00613672&quot;/&gt;&lt;wsp:rsid wsp:val=&quot;00613F98&quot;/&gt;&lt;wsp:rsid wsp:val=&quot;00614C05&quot;/&gt;&lt;wsp:rsid wsp:val=&quot;00614C65&quot;/&gt;&lt;wsp:rsid wsp:val=&quot;00615D7E&quot;/&gt;&lt;wsp:rsid wsp:val=&quot;00620C8C&quot;/&gt;&lt;wsp:rsid wsp:val=&quot;00620FA9&quot;/&gt;&lt;wsp:rsid wsp:val=&quot;00622540&quot;/&gt;&lt;wsp:rsid wsp:val=&quot;0062473B&quot;/&gt;&lt;wsp:rsid wsp:val=&quot;00624A3C&quot;/&gt;&lt;wsp:rsid wsp:val=&quot;00626752&quot;/&gt;&lt;wsp:rsid wsp:val=&quot;00630C0D&quot;/&gt;&lt;wsp:rsid wsp:val=&quot;006356DB&quot;/&gt;&lt;wsp:rsid wsp:val=&quot;00636663&quot;/&gt;&lt;wsp:rsid wsp:val=&quot;006379EC&quot;/&gt;&lt;wsp:rsid wsp:val=&quot;00640CE8&quot;/&gt;&lt;wsp:rsid wsp:val=&quot;00642DC2&quot;/&gt;&lt;wsp:rsid wsp:val=&quot;006449FB&quot;/&gt;&lt;wsp:rsid wsp:val=&quot;00647CE6&quot;/&gt;&lt;wsp:rsid wsp:val=&quot;00650B70&quot;/&gt;&lt;wsp:rsid wsp:val=&quot;00651155&quot;/&gt;&lt;wsp:rsid wsp:val=&quot;0065198A&quot;/&gt;&lt;wsp:rsid wsp:val=&quot;006528DC&quot;/&gt;&lt;wsp:rsid wsp:val=&quot;006530D0&quot;/&gt;&lt;wsp:rsid wsp:val=&quot;00653726&quot;/&gt;&lt;wsp:rsid wsp:val=&quot;006621A6&quot;/&gt;&lt;wsp:rsid wsp:val=&quot;00664561&quot;/&gt;&lt;wsp:rsid wsp:val=&quot;006655A7&quot;/&gt;&lt;wsp:rsid wsp:val=&quot;00665633&quot;/&gt;&lt;wsp:rsid wsp:val=&quot;00665FA5&quot;/&gt;&lt;wsp:rsid wsp:val=&quot;006661DD&quot;/&gt;&lt;wsp:rsid wsp:val=&quot;00670AC8&quot;/&gt;&lt;wsp:rsid wsp:val=&quot;00671E6B&quot;/&gt;&lt;wsp:rsid wsp:val=&quot;006739D0&quot;/&gt;&lt;wsp:rsid wsp:val=&quot;00674FE3&quot;/&gt;&lt;wsp:rsid wsp:val=&quot;0067684A&quot;/&gt;&lt;wsp:rsid wsp:val=&quot;00677448&quot;/&gt;&lt;wsp:rsid wsp:val=&quot;00683233&quot;/&gt;&lt;wsp:rsid wsp:val=&quot;00686759&quot;/&gt;&lt;wsp:rsid wsp:val=&quot;0069001B&quot;/&gt;&lt;wsp:rsid wsp:val=&quot;00690133&quot;/&gt;&lt;wsp:rsid wsp:val=&quot;006926B4&quot;/&gt;&lt;wsp:rsid wsp:val=&quot;00692C57&quot;/&gt;&lt;wsp:rsid wsp:val=&quot;00693498&quot;/&gt;&lt;wsp:rsid wsp:val=&quot;00696646&quot;/&gt;&lt;wsp:rsid wsp:val=&quot;006975DE&quot;/&gt;&lt;wsp:rsid wsp:val=&quot;006A278E&quot;/&gt;&lt;wsp:rsid wsp:val=&quot;006A3325&quot;/&gt;&lt;wsp:rsid wsp:val=&quot;006A3385&quot;/&gt;&lt;wsp:rsid wsp:val=&quot;006A40CF&quot;/&gt;&lt;wsp:rsid wsp:val=&quot;006B0235&quot;/&gt;&lt;wsp:rsid wsp:val=&quot;006B08F3&quot;/&gt;&lt;wsp:rsid wsp:val=&quot;006B1979&quot;/&gt;&lt;wsp:rsid wsp:val=&quot;006B2ED5&quot;/&gt;&lt;wsp:rsid wsp:val=&quot;006B35B5&quot;/&gt;&lt;wsp:rsid wsp:val=&quot;006B4177&quot;/&gt;&lt;wsp:rsid wsp:val=&quot;006B55D6&quot;/&gt;&lt;wsp:rsid wsp:val=&quot;006B57CE&quot;/&gt;&lt;wsp:rsid wsp:val=&quot;006C6492&quot;/&gt;&lt;wsp:rsid wsp:val=&quot;006D17DF&quot;/&gt;&lt;wsp:rsid wsp:val=&quot;006D3710&quot;/&gt;&lt;wsp:rsid wsp:val=&quot;006D425D&quot;/&gt;&lt;wsp:rsid wsp:val=&quot;006D5A59&quot;/&gt;&lt;wsp:rsid wsp:val=&quot;006E0722&quot;/&gt;&lt;wsp:rsid wsp:val=&quot;006E0972&quot;/&gt;&lt;wsp:rsid wsp:val=&quot;006E1AB6&quot;/&gt;&lt;wsp:rsid wsp:val=&quot;006E23A5&quot;/&gt;&lt;wsp:rsid wsp:val=&quot;006E3609&quot;/&gt;&lt;wsp:rsid wsp:val=&quot;006E5DD7&quot;/&gt;&lt;wsp:rsid wsp:val=&quot;006E6693&quot;/&gt;&lt;wsp:rsid wsp:val=&quot;006E67C7&quot;/&gt;&lt;wsp:rsid wsp:val=&quot;006E7C8B&quot;/&gt;&lt;wsp:rsid wsp:val=&quot;006F0443&quot;/&gt;&lt;wsp:rsid wsp:val=&quot;006F1CC9&quot;/&gt;&lt;wsp:rsid wsp:val=&quot;006F1CEE&quot;/&gt;&lt;wsp:rsid wsp:val=&quot;006F20A9&quot;/&gt;&lt;wsp:rsid wsp:val=&quot;006F2625&quot;/&gt;&lt;wsp:rsid wsp:val=&quot;006F2C40&quot;/&gt;&lt;wsp:rsid wsp:val=&quot;006F3275&quot;/&gt;&lt;wsp:rsid wsp:val=&quot;006F355A&quot;/&gt;&lt;wsp:rsid wsp:val=&quot;006F479F&quot;/&gt;&lt;wsp:rsid wsp:val=&quot;006F47A4&quot;/&gt;&lt;wsp:rsid wsp:val=&quot;006F624E&quot;/&gt;&lt;wsp:rsid wsp:val=&quot;006F7971&quot;/&gt;&lt;wsp:rsid wsp:val=&quot;0070260B&quot;/&gt;&lt;wsp:rsid wsp:val=&quot;007033F1&quot;/&gt;&lt;wsp:rsid wsp:val=&quot;00703713&quot;/&gt;&lt;wsp:rsid wsp:val=&quot;007078BC&quot;/&gt;&lt;wsp:rsid wsp:val=&quot;007113EB&quot;/&gt;&lt;wsp:rsid wsp:val=&quot;00713715&quot;/&gt;&lt;wsp:rsid wsp:val=&quot;00714836&quot;/&gt;&lt;wsp:rsid wsp:val=&quot;007155E5&quot;/&gt;&lt;wsp:rsid wsp:val=&quot;00715BE5&quot;/&gt;&lt;wsp:rsid wsp:val=&quot;007200F5&quot;/&gt;&lt;wsp:rsid wsp:val=&quot;0072185E&quot;/&gt;&lt;wsp:rsid wsp:val=&quot;0072375C&quot;/&gt;&lt;wsp:rsid wsp:val=&quot;00723AF0&quot;/&gt;&lt;wsp:rsid wsp:val=&quot;00725D06&quot;/&gt;&lt;wsp:rsid wsp:val=&quot;00726ADC&quot;/&gt;&lt;wsp:rsid wsp:val=&quot;00730123&quot;/&gt;&lt;wsp:rsid wsp:val=&quot;00730218&quot;/&gt;&lt;wsp:rsid wsp:val=&quot;00730D32&quot;/&gt;&lt;wsp:rsid wsp:val=&quot;00730FF9&quot;/&gt;&lt;wsp:rsid wsp:val=&quot;0073131A&quot;/&gt;&lt;wsp:rsid wsp:val=&quot;00733624&quot;/&gt;&lt;wsp:rsid wsp:val=&quot;007338DF&quot;/&gt;&lt;wsp:rsid wsp:val=&quot;00734385&quot;/&gt;&lt;wsp:rsid wsp:val=&quot;00735801&quot;/&gt;&lt;wsp:rsid wsp:val=&quot;00735E4F&quot;/&gt;&lt;wsp:rsid wsp:val=&quot;00737C02&quot;/&gt;&lt;wsp:rsid wsp:val=&quot;00742854&quot;/&gt;&lt;wsp:rsid wsp:val=&quot;00742C57&quot;/&gt;&lt;wsp:rsid wsp:val=&quot;00745F07&quot;/&gt;&lt;wsp:rsid wsp:val=&quot;007460C9&quot;/&gt;&lt;wsp:rsid wsp:val=&quot;00746F77&quot;/&gt;&lt;wsp:rsid wsp:val=&quot;00747637&quot;/&gt;&lt;wsp:rsid wsp:val=&quot;0075019C&quot;/&gt;&lt;wsp:rsid wsp:val=&quot;0075024F&quot;/&gt;&lt;wsp:rsid wsp:val=&quot;007518B3&quot;/&gt;&lt;wsp:rsid wsp:val=&quot;00751DBD&quot;/&gt;&lt;wsp:rsid wsp:val=&quot;00752619&quot;/&gt;&lt;wsp:rsid wsp:val=&quot;00754F4B&quot;/&gt;&lt;wsp:rsid wsp:val=&quot;00756A88&quot;/&gt;&lt;wsp:rsid wsp:val=&quot;007570AB&quot;/&gt;&lt;wsp:rsid wsp:val=&quot;0076050B&quot;/&gt;&lt;wsp:rsid wsp:val=&quot;00760BEC&quot;/&gt;&lt;wsp:rsid wsp:val=&quot;00763600&quot;/&gt;&lt;wsp:rsid wsp:val=&quot;00763EFD&quot;/&gt;&lt;wsp:rsid wsp:val=&quot;00764E64&quot;/&gt;&lt;wsp:rsid wsp:val=&quot;00765113&quot;/&gt;&lt;wsp:rsid wsp:val=&quot;00766FE3&quot;/&gt;&lt;wsp:rsid wsp:val=&quot;00770524&quot;/&gt;&lt;wsp:rsid wsp:val=&quot;00770BDF&quot;/&gt;&lt;wsp:rsid wsp:val=&quot;00773988&quot;/&gt;&lt;wsp:rsid wsp:val=&quot;0077632D&quot;/&gt;&lt;wsp:rsid wsp:val=&quot;0077654A&quot;/&gt;&lt;wsp:rsid wsp:val=&quot;00777DE5&quot;/&gt;&lt;wsp:rsid wsp:val=&quot;00780745&quot;/&gt;&lt;wsp:rsid wsp:val=&quot;00784373&quot;/&gt;&lt;wsp:rsid wsp:val=&quot;00784A2D&quot;/&gt;&lt;wsp:rsid wsp:val=&quot;007860A5&quot;/&gt;&lt;wsp:rsid wsp:val=&quot;0078662A&quot;/&gt;&lt;wsp:rsid wsp:val=&quot;0079015D&quot;/&gt;&lt;wsp:rsid wsp:val=&quot;0079123C&quot;/&gt;&lt;wsp:rsid wsp:val=&quot;00795897&quot;/&gt;&lt;wsp:rsid wsp:val=&quot;00797938&quot;/&gt;&lt;wsp:rsid wsp:val=&quot;007A1866&quot;/&gt;&lt;wsp:rsid wsp:val=&quot;007A1BEE&quot;/&gt;&lt;wsp:rsid wsp:val=&quot;007A652D&quot;/&gt;&lt;wsp:rsid wsp:val=&quot;007A793F&quot;/&gt;&lt;wsp:rsid wsp:val=&quot;007B1259&quot;/&gt;&lt;wsp:rsid wsp:val=&quot;007B1CC5&quot;/&gt;&lt;wsp:rsid wsp:val=&quot;007B29C2&quot;/&gt;&lt;wsp:rsid wsp:val=&quot;007B3929&quot;/&gt;&lt;wsp:rsid wsp:val=&quot;007B3D6F&quot;/&gt;&lt;wsp:rsid wsp:val=&quot;007B4395&quot;/&gt;&lt;wsp:rsid wsp:val=&quot;007B5281&quot;/&gt;&lt;wsp:rsid wsp:val=&quot;007B6EA8&quot;/&gt;&lt;wsp:rsid wsp:val=&quot;007B7C8C&quot;/&gt;&lt;wsp:rsid wsp:val=&quot;007C55BC&quot;/&gt;&lt;wsp:rsid wsp:val=&quot;007C69C9&quot;/&gt;&lt;wsp:rsid wsp:val=&quot;007D0446&quot;/&gt;&lt;wsp:rsid wsp:val=&quot;007D1361&quot;/&gt;&lt;wsp:rsid wsp:val=&quot;007D1403&quot;/&gt;&lt;wsp:rsid wsp:val=&quot;007D1E45&quot;/&gt;&lt;wsp:rsid wsp:val=&quot;007D251B&quot;/&gt;&lt;wsp:rsid wsp:val=&quot;007D27C5&quot;/&gt;&lt;wsp:rsid wsp:val=&quot;007D4478&quot;/&gt;&lt;wsp:rsid wsp:val=&quot;007D489A&quot;/&gt;&lt;wsp:rsid wsp:val=&quot;007D5504&quot;/&gt;&lt;wsp:rsid wsp:val=&quot;007D6009&quot;/&gt;&lt;wsp:rsid wsp:val=&quot;007D6A1B&quot;/&gt;&lt;wsp:rsid wsp:val=&quot;007D7BEA&quot;/&gt;&lt;wsp:rsid wsp:val=&quot;007D7C43&quot;/&gt;&lt;wsp:rsid wsp:val=&quot;007D7FB3&quot;/&gt;&lt;wsp:rsid wsp:val=&quot;007E331E&quot;/&gt;&lt;wsp:rsid wsp:val=&quot;007E4044&quot;/&gt;&lt;wsp:rsid wsp:val=&quot;007E4343&quot;/&gt;&lt;wsp:rsid wsp:val=&quot;007E563D&quot;/&gt;&lt;wsp:rsid wsp:val=&quot;007E56C5&quot;/&gt;&lt;wsp:rsid wsp:val=&quot;007E7017&quot;/&gt;&lt;wsp:rsid wsp:val=&quot;007E71D4&quot;/&gt;&lt;wsp:rsid wsp:val=&quot;007E7705&quot;/&gt;&lt;wsp:rsid wsp:val=&quot;007F06DF&quot;/&gt;&lt;wsp:rsid wsp:val=&quot;007F0DD8&quot;/&gt;&lt;wsp:rsid wsp:val=&quot;007F58D9&quot;/&gt;&lt;wsp:rsid wsp:val=&quot;007F5D6E&quot;/&gt;&lt;wsp:rsid wsp:val=&quot;00801950&quot;/&gt;&lt;wsp:rsid wsp:val=&quot;00803900&quot;/&gt;&lt;wsp:rsid wsp:val=&quot;0080409F&quot;/&gt;&lt;wsp:rsid wsp:val=&quot;00804A79&quot;/&gt;&lt;wsp:rsid wsp:val=&quot;00804D3F&quot;/&gt;&lt;wsp:rsid wsp:val=&quot;00810CBB&quot;/&gt;&lt;wsp:rsid wsp:val=&quot;00812E2E&quot;/&gt;&lt;wsp:rsid wsp:val=&quot;008138B5&quot;/&gt;&lt;wsp:rsid wsp:val=&quot;00815DA2&quot;/&gt;&lt;wsp:rsid wsp:val=&quot;00821C36&quot;/&gt;&lt;wsp:rsid wsp:val=&quot;008255BF&quot;/&gt;&lt;wsp:rsid wsp:val=&quot;00826679&quot;/&gt;&lt;wsp:rsid wsp:val=&quot;0082697E&quot;/&gt;&lt;wsp:rsid wsp:val=&quot;0082754E&quot;/&gt;&lt;wsp:rsid wsp:val=&quot;00827C57&quot;/&gt;&lt;wsp:rsid wsp:val=&quot;008327F7&quot;/&gt;&lt;wsp:rsid wsp:val=&quot;00832814&quot;/&gt;&lt;wsp:rsid wsp:val=&quot;00832AB7&quot;/&gt;&lt;wsp:rsid wsp:val=&quot;00832E6F&quot;/&gt;&lt;wsp:rsid wsp:val=&quot;00834093&quot;/&gt;&lt;wsp:rsid wsp:val=&quot;00834226&quot;/&gt;&lt;wsp:rsid wsp:val=&quot;00834C65&quot;/&gt;&lt;wsp:rsid wsp:val=&quot;0083510F&quot;/&gt;&lt;wsp:rsid wsp:val=&quot;0083580E&quot;/&gt;&lt;wsp:rsid wsp:val=&quot;008361BF&quot;/&gt;&lt;wsp:rsid wsp:val=&quot;00836ED7&quot;/&gt;&lt;wsp:rsid wsp:val=&quot;0084178C&quot;/&gt;&lt;wsp:rsid wsp:val=&quot;00841D33&quot;/&gt;&lt;wsp:rsid wsp:val=&quot;0084245D&quot;/&gt;&lt;wsp:rsid wsp:val=&quot;008426A6&quot;/&gt;&lt;wsp:rsid wsp:val=&quot;008430D5&quot;/&gt;&lt;wsp:rsid wsp:val=&quot;008431AE&quot;/&gt;&lt;wsp:rsid wsp:val=&quot;00843F1E&quot;/&gt;&lt;wsp:rsid wsp:val=&quot;00845B3B&quot;/&gt;&lt;wsp:rsid wsp:val=&quot;00847EAF&quot;/&gt;&lt;wsp:rsid wsp:val=&quot;00851A55&quot;/&gt;&lt;wsp:rsid wsp:val=&quot;008527AF&quot;/&gt;&lt;wsp:rsid wsp:val=&quot;00854B78&quot;/&gt;&lt;wsp:rsid wsp:val=&quot;00856817&quot;/&gt;&lt;wsp:rsid wsp:val=&quot;00863B98&quot;/&gt;&lt;wsp:rsid wsp:val=&quot;00863F44&quot;/&gt;&lt;wsp:rsid wsp:val=&quot;00864AE8&quot;/&gt;&lt;wsp:rsid wsp:val=&quot;00870AD6&quot;/&gt;&lt;wsp:rsid wsp:val=&quot;0087403D&quot;/&gt;&lt;wsp:rsid wsp:val=&quot;00874A12&quot;/&gt;&lt;wsp:rsid wsp:val=&quot;00875D4D&quot;/&gt;&lt;wsp:rsid wsp:val=&quot;00875FCB&quot;/&gt;&lt;wsp:rsid wsp:val=&quot;00882888&quot;/&gt;&lt;wsp:rsid wsp:val=&quot;00882BF8&quot;/&gt;&lt;wsp:rsid wsp:val=&quot;00884261&quot;/&gt;&lt;wsp:rsid wsp:val=&quot;00885011&quot;/&gt;&lt;wsp:rsid wsp:val=&quot;008920B9&quot;/&gt;&lt;wsp:rsid wsp:val=&quot;0089525D&quot;/&gt;&lt;wsp:rsid wsp:val=&quot;0089570C&quot;/&gt;&lt;wsp:rsid wsp:val=&quot;00895879&quot;/&gt;&lt;wsp:rsid wsp:val=&quot;00897347&quot;/&gt;&lt;wsp:rsid wsp:val=&quot;008A2611&quot;/&gt;&lt;wsp:rsid wsp:val=&quot;008A3FFD&quot;/&gt;&lt;wsp:rsid wsp:val=&quot;008A4269&quot;/&gt;&lt;wsp:rsid wsp:val=&quot;008B0E1F&quot;/&gt;&lt;wsp:rsid wsp:val=&quot;008B12D4&quot;/&gt;&lt;wsp:rsid wsp:val=&quot;008B4CA4&quot;/&gt;&lt;wsp:rsid wsp:val=&quot;008B4FF5&quot;/&gt;&lt;wsp:rsid wsp:val=&quot;008B71BE&quot;/&gt;&lt;wsp:rsid wsp:val=&quot;008B7236&quot;/&gt;&lt;wsp:rsid wsp:val=&quot;008B753B&quot;/&gt;&lt;wsp:rsid wsp:val=&quot;008B7726&quot;/&gt;&lt;wsp:rsid wsp:val=&quot;008C163D&quot;/&gt;&lt;wsp:rsid wsp:val=&quot;008C1BCF&quot;/&gt;&lt;wsp:rsid wsp:val=&quot;008C283B&quot;/&gt;&lt;wsp:rsid wsp:val=&quot;008C2F38&quot;/&gt;&lt;wsp:rsid wsp:val=&quot;008C3CD8&quot;/&gt;&lt;wsp:rsid wsp:val=&quot;008C498C&quot;/&gt;&lt;wsp:rsid wsp:val=&quot;008C4CBD&quot;/&gt;&lt;wsp:rsid wsp:val=&quot;008C4DD1&quot;/&gt;&lt;wsp:rsid wsp:val=&quot;008C54B4&quot;/&gt;&lt;wsp:rsid wsp:val=&quot;008C6B31&quot;/&gt;&lt;wsp:rsid wsp:val=&quot;008D413D&quot;/&gt;&lt;wsp:rsid wsp:val=&quot;008E0EE3&quot;/&gt;&lt;wsp:rsid wsp:val=&quot;008E0FFF&quot;/&gt;&lt;wsp:rsid wsp:val=&quot;008E1395&quot;/&gt;&lt;wsp:rsid wsp:val=&quot;008E2E6D&quot;/&gt;&lt;wsp:rsid wsp:val=&quot;008E378D&quot;/&gt;&lt;wsp:rsid wsp:val=&quot;008F1059&quot;/&gt;&lt;wsp:rsid wsp:val=&quot;008F2B88&quot;/&gt;&lt;wsp:rsid wsp:val=&quot;008F40A7&quot;/&gt;&lt;wsp:rsid wsp:val=&quot;008F49DE&quot;/&gt;&lt;wsp:rsid wsp:val=&quot;008F4F96&quot;/&gt;&lt;wsp:rsid wsp:val=&quot;008F63C7&quot;/&gt;&lt;wsp:rsid wsp:val=&quot;008F6618&quot;/&gt;&lt;wsp:rsid wsp:val=&quot;008F72FD&quot;/&gt;&lt;wsp:rsid wsp:val=&quot;008F7EE1&quot;/&gt;&lt;wsp:rsid wsp:val=&quot;00900B7A&quot;/&gt;&lt;wsp:rsid wsp:val=&quot;0090150A&quot;/&gt;&lt;wsp:rsid wsp:val=&quot;009017B6&quot;/&gt;&lt;wsp:rsid wsp:val=&quot;00901986&quot;/&gt;&lt;wsp:rsid wsp:val=&quot;00901C95&quot;/&gt;&lt;wsp:rsid wsp:val=&quot;009020A0&quot;/&gt;&lt;wsp:rsid wsp:val=&quot;00904284&quot;/&gt;&lt;wsp:rsid wsp:val=&quot;00904624&quot;/&gt;&lt;wsp:rsid wsp:val=&quot;00905817&quot;/&gt;&lt;wsp:rsid wsp:val=&quot;00905B25&quot;/&gt;&lt;wsp:rsid wsp:val=&quot;00906CE5&quot;/&gt;&lt;wsp:rsid wsp:val=&quot;00907884&quot;/&gt;&lt;wsp:rsid wsp:val=&quot;009103A0&quot;/&gt;&lt;wsp:rsid wsp:val=&quot;00913631&quot;/&gt;&lt;wsp:rsid wsp:val=&quot;00914954&quot;/&gt;&lt;wsp:rsid wsp:val=&quot;009162F2&quot;/&gt;&lt;wsp:rsid wsp:val=&quot;009165BE&quot;/&gt;&lt;wsp:rsid wsp:val=&quot;00916B31&quot;/&gt;&lt;wsp:rsid wsp:val=&quot;009211BC&quot;/&gt;&lt;wsp:rsid wsp:val=&quot;009217FD&quot;/&gt;&lt;wsp:rsid wsp:val=&quot;00922287&quot;/&gt;&lt;wsp:rsid wsp:val=&quot;009225D5&quot;/&gt;&lt;wsp:rsid wsp:val=&quot;00923D3F&quot;/&gt;&lt;wsp:rsid wsp:val=&quot;00925122&quot;/&gt;&lt;wsp:rsid wsp:val=&quot;0092658C&quot;/&gt;&lt;wsp:rsid wsp:val=&quot;009267CF&quot;/&gt;&lt;wsp:rsid wsp:val=&quot;0093025E&quot;/&gt;&lt;wsp:rsid wsp:val=&quot;0093026B&quot;/&gt;&lt;wsp:rsid wsp:val=&quot;0093190E&quot;/&gt;&lt;wsp:rsid wsp:val=&quot;00934312&quot;/&gt;&lt;wsp:rsid wsp:val=&quot;0094029B&quot;/&gt;&lt;wsp:rsid wsp:val=&quot;009418AB&quot;/&gt;&lt;wsp:rsid wsp:val=&quot;0094404E&quot;/&gt;&lt;wsp:rsid wsp:val=&quot;00946045&quot;/&gt;&lt;wsp:rsid wsp:val=&quot;0094630C&quot;/&gt;&lt;wsp:rsid wsp:val=&quot;00946F8D&quot;/&gt;&lt;wsp:rsid wsp:val=&quot;0094705D&quot;/&gt;&lt;wsp:rsid wsp:val=&quot;009477B5&quot;/&gt;&lt;wsp:rsid wsp:val=&quot;00950828&quot;/&gt;&lt;wsp:rsid wsp:val=&quot;009547A7&quot;/&gt;&lt;wsp:rsid wsp:val=&quot;009552DC&quot;/&gt;&lt;wsp:rsid wsp:val=&quot;00955853&quot;/&gt;&lt;wsp:rsid wsp:val=&quot;00955CFC&quot;/&gt;&lt;wsp:rsid wsp:val=&quot;009608EE&quot;/&gt;&lt;wsp:rsid wsp:val=&quot;009638B7&quot;/&gt;&lt;wsp:rsid wsp:val=&quot;00965038&quot;/&gt;&lt;wsp:rsid wsp:val=&quot;009659AC&quot;/&gt;&lt;wsp:rsid wsp:val=&quot;009671E6&quot;/&gt;&lt;wsp:rsid wsp:val=&quot;00970940&quot;/&gt;&lt;wsp:rsid wsp:val=&quot;009719F1&quot;/&gt;&lt;wsp:rsid wsp:val=&quot;00972567&quot;/&gt;&lt;wsp:rsid wsp:val=&quot;009727E8&quot;/&gt;&lt;wsp:rsid wsp:val=&quot;00974322&quot;/&gt;&lt;wsp:rsid wsp:val=&quot;0097557A&quot;/&gt;&lt;wsp:rsid wsp:val=&quot;00977920&quot;/&gt;&lt;wsp:rsid wsp:val=&quot;00977AFA&quot;/&gt;&lt;wsp:rsid wsp:val=&quot;00977D10&quot;/&gt;&lt;wsp:rsid wsp:val=&quot;00980455&quot;/&gt;&lt;wsp:rsid wsp:val=&quot;00980764&quot;/&gt;&lt;wsp:rsid wsp:val=&quot;00981A93&quot;/&gt;&lt;wsp:rsid wsp:val=&quot;0098280B&quot;/&gt;&lt;wsp:rsid wsp:val=&quot;009831FA&quot;/&gt;&lt;wsp:rsid wsp:val=&quot;0098422D&quot;/&gt;&lt;wsp:rsid wsp:val=&quot;00984FCD&quot;/&gt;&lt;wsp:rsid wsp:val=&quot;00985512&quot;/&gt;&lt;wsp:rsid wsp:val=&quot;00986982&quot;/&gt;&lt;wsp:rsid wsp:val=&quot;009902ED&quot;/&gt;&lt;wsp:rsid wsp:val=&quot;00991655&quot;/&gt;&lt;wsp:rsid wsp:val=&quot;009928DE&quot;/&gt;&lt;wsp:rsid wsp:val=&quot;009929A7&quot;/&gt;&lt;wsp:rsid wsp:val=&quot;00992E49&quot;/&gt;&lt;wsp:rsid wsp:val=&quot;00995A3E&quot;/&gt;&lt;wsp:rsid wsp:val=&quot;00996E59&quot;/&gt;&lt;wsp:rsid wsp:val=&quot;00997BCA&quot;/&gt;&lt;wsp:rsid wsp:val=&quot;00997F67&quot;/&gt;&lt;wsp:rsid wsp:val=&quot;009A263B&quot;/&gt;&lt;wsp:rsid wsp:val=&quot;009A33B5&quot;/&gt;&lt;wsp:rsid wsp:val=&quot;009A3FBC&quot;/&gt;&lt;wsp:rsid wsp:val=&quot;009A56D7&quot;/&gt;&lt;wsp:rsid wsp:val=&quot;009A5D4E&quot;/&gt;&lt;wsp:rsid wsp:val=&quot;009A5F34&quot;/&gt;&lt;wsp:rsid wsp:val=&quot;009A76EB&quot;/&gt;&lt;wsp:rsid wsp:val=&quot;009A7D1A&quot;/&gt;&lt;wsp:rsid wsp:val=&quot;009B409F&quot;/&gt;&lt;wsp:rsid wsp:val=&quot;009B417B&quot;/&gt;&lt;wsp:rsid wsp:val=&quot;009B43C0&quot;/&gt;&lt;wsp:rsid wsp:val=&quot;009B45BE&quot;/&gt;&lt;wsp:rsid wsp:val=&quot;009B471B&quot;/&gt;&lt;wsp:rsid wsp:val=&quot;009B6366&quot;/&gt;&lt;wsp:rsid wsp:val=&quot;009B63B6&quot;/&gt;&lt;wsp:rsid wsp:val=&quot;009B6612&quot;/&gt;&lt;wsp:rsid wsp:val=&quot;009B665D&quot;/&gt;&lt;wsp:rsid wsp:val=&quot;009C0222&quot;/&gt;&lt;wsp:rsid wsp:val=&quot;009C0D7B&quot;/&gt;&lt;wsp:rsid wsp:val=&quot;009C15FF&quot;/&gt;&lt;wsp:rsid wsp:val=&quot;009C1E1C&quot;/&gt;&lt;wsp:rsid wsp:val=&quot;009C1EDC&quot;/&gt;&lt;wsp:rsid wsp:val=&quot;009C44D2&quot;/&gt;&lt;wsp:rsid wsp:val=&quot;009C480C&quot;/&gt;&lt;wsp:rsid wsp:val=&quot;009C4C18&quot;/&gt;&lt;wsp:rsid wsp:val=&quot;009C611F&quot;/&gt;&lt;wsp:rsid wsp:val=&quot;009C63B5&quot;/&gt;&lt;wsp:rsid wsp:val=&quot;009C6DB6&quot;/&gt;&lt;wsp:rsid wsp:val=&quot;009C79DC&quot;/&gt;&lt;wsp:rsid wsp:val=&quot;009C7FAC&quot;/&gt;&lt;wsp:rsid wsp:val=&quot;009D0CF1&quot;/&gt;&lt;wsp:rsid wsp:val=&quot;009D10B9&quot;/&gt;&lt;wsp:rsid wsp:val=&quot;009D4424&quot;/&gt;&lt;wsp:rsid wsp:val=&quot;009D4A40&quot;/&gt;&lt;wsp:rsid wsp:val=&quot;009D6534&quot;/&gt;&lt;wsp:rsid wsp:val=&quot;009D6890&quot;/&gt;&lt;wsp:rsid wsp:val=&quot;009D6F8C&quot;/&gt;&lt;wsp:rsid wsp:val=&quot;009D71E8&quot;/&gt;&lt;wsp:rsid wsp:val=&quot;009D7F4E&quot;/&gt;&lt;wsp:rsid wsp:val=&quot;009E0590&quot;/&gt;&lt;wsp:rsid wsp:val=&quot;009E4532&quot;/&gt;&lt;wsp:rsid wsp:val=&quot;009F10BF&quot;/&gt;&lt;wsp:rsid wsp:val=&quot;009F22C9&quot;/&gt;&lt;wsp:rsid wsp:val=&quot;009F3A2B&quot;/&gt;&lt;wsp:rsid wsp:val=&quot;009F50EE&quot;/&gt;&lt;wsp:rsid wsp:val=&quot;009F56FD&quot;/&gt;&lt;wsp:rsid wsp:val=&quot;009F5D69&quot;/&gt;&lt;wsp:rsid wsp:val=&quot;00A004DD&quot;/&gt;&lt;wsp:rsid wsp:val=&quot;00A005B3&quot;/&gt;&lt;wsp:rsid wsp:val=&quot;00A065EF&quot;/&gt;&lt;wsp:rsid wsp:val=&quot;00A07F58&quot;/&gt;&lt;wsp:rsid wsp:val=&quot;00A11D9B&quot;/&gt;&lt;wsp:rsid wsp:val=&quot;00A135EE&quot;/&gt;&lt;wsp:rsid wsp:val=&quot;00A146B3&quot;/&gt;&lt;wsp:rsid wsp:val=&quot;00A15438&quot;/&gt;&lt;wsp:rsid wsp:val=&quot;00A16652&quot;/&gt;&lt;wsp:rsid wsp:val=&quot;00A23527&quot;/&gt;&lt;wsp:rsid wsp:val=&quot;00A2383E&quot;/&gt;&lt;wsp:rsid wsp:val=&quot;00A23B12&quot;/&gt;&lt;wsp:rsid wsp:val=&quot;00A24D0F&quot;/&gt;&lt;wsp:rsid wsp:val=&quot;00A24EAD&quot;/&gt;&lt;wsp:rsid wsp:val=&quot;00A2521E&quot;/&gt;&lt;wsp:rsid wsp:val=&quot;00A2557C&quot;/&gt;&lt;wsp:rsid wsp:val=&quot;00A26810&quot;/&gt;&lt;wsp:rsid wsp:val=&quot;00A31EE1&quot;/&gt;&lt;wsp:rsid wsp:val=&quot;00A340C8&quot;/&gt;&lt;wsp:rsid wsp:val=&quot;00A3455C&quot;/&gt;&lt;wsp:rsid wsp:val=&quot;00A35E24&quot;/&gt;&lt;wsp:rsid wsp:val=&quot;00A37B83&quot;/&gt;&lt;wsp:rsid wsp:val=&quot;00A41F63&quot;/&gt;&lt;wsp:rsid wsp:val=&quot;00A42A25&quot;/&gt;&lt;wsp:rsid wsp:val=&quot;00A432A8&quot;/&gt;&lt;wsp:rsid wsp:val=&quot;00A44232&quot;/&gt;&lt;wsp:rsid wsp:val=&quot;00A4578C&quot;/&gt;&lt;wsp:rsid wsp:val=&quot;00A46D31&quot;/&gt;&lt;wsp:rsid wsp:val=&quot;00A50AB7&quot;/&gt;&lt;wsp:rsid wsp:val=&quot;00A50E15&quot;/&gt;&lt;wsp:rsid wsp:val=&quot;00A52E5B&quot;/&gt;&lt;wsp:rsid wsp:val=&quot;00A535CA&quot;/&gt;&lt;wsp:rsid wsp:val=&quot;00A536AF&quot;/&gt;&lt;wsp:rsid wsp:val=&quot;00A54589&quot;/&gt;&lt;wsp:rsid wsp:val=&quot;00A56BC0&quot;/&gt;&lt;wsp:rsid wsp:val=&quot;00A62FC7&quot;/&gt;&lt;wsp:rsid wsp:val=&quot;00A635A9&quot;/&gt;&lt;wsp:rsid wsp:val=&quot;00A636EC&quot;/&gt;&lt;wsp:rsid wsp:val=&quot;00A652E2&quot;/&gt;&lt;wsp:rsid wsp:val=&quot;00A65C72&quot;/&gt;&lt;wsp:rsid wsp:val=&quot;00A67877&quot;/&gt;&lt;wsp:rsid wsp:val=&quot;00A67CB5&quot;/&gt;&lt;wsp:rsid wsp:val=&quot;00A707AC&quot;/&gt;&lt;wsp:rsid wsp:val=&quot;00A70D2C&quot;/&gt;&lt;wsp:rsid wsp:val=&quot;00A80656&quot;/&gt;&lt;wsp:rsid wsp:val=&quot;00A80962&quot;/&gt;&lt;wsp:rsid wsp:val=&quot;00A82073&quot;/&gt;&lt;wsp:rsid wsp:val=&quot;00A862AF&quot;/&gt;&lt;wsp:rsid wsp:val=&quot;00A866F4&quot;/&gt;&lt;wsp:rsid wsp:val=&quot;00A912C9&quot;/&gt;&lt;wsp:rsid wsp:val=&quot;00A92BBF&quot;/&gt;&lt;wsp:rsid wsp:val=&quot;00A931C3&quot;/&gt;&lt;wsp:rsid wsp:val=&quot;00A939BC&quot;/&gt;&lt;wsp:rsid wsp:val=&quot;00A95714&quot;/&gt;&lt;wsp:rsid wsp:val=&quot;00A97A7E&quot;/&gt;&lt;wsp:rsid wsp:val=&quot;00AA33F1&quot;/&gt;&lt;wsp:rsid wsp:val=&quot;00AA5763&quot;/&gt;&lt;wsp:rsid wsp:val=&quot;00AA6A52&quot;/&gt;&lt;wsp:rsid wsp:val=&quot;00AA6CE0&quot;/&gt;&lt;wsp:rsid wsp:val=&quot;00AA7501&quot;/&gt;&lt;wsp:rsid wsp:val=&quot;00AB3650&quot;/&gt;&lt;wsp:rsid wsp:val=&quot;00AB40F7&quot;/&gt;&lt;wsp:rsid wsp:val=&quot;00AB4A92&quot;/&gt;&lt;wsp:rsid wsp:val=&quot;00AB7665&quot;/&gt;&lt;wsp:rsid wsp:val=&quot;00AC00C7&quot;/&gt;&lt;wsp:rsid wsp:val=&quot;00AC068B&quot;/&gt;&lt;wsp:rsid wsp:val=&quot;00AC143C&quot;/&gt;&lt;wsp:rsid wsp:val=&quot;00AC5034&quot;/&gt;&lt;wsp:rsid wsp:val=&quot;00AC6EAA&quot;/&gt;&lt;wsp:rsid wsp:val=&quot;00AC74BA&quot;/&gt;&lt;wsp:rsid wsp:val=&quot;00AD0A67&quot;/&gt;&lt;wsp:rsid wsp:val=&quot;00AD29C5&quot;/&gt;&lt;wsp:rsid wsp:val=&quot;00AD3086&quot;/&gt;&lt;wsp:rsid wsp:val=&quot;00AD3732&quot;/&gt;&lt;wsp:rsid wsp:val=&quot;00AD45CB&quot;/&gt;&lt;wsp:rsid wsp:val=&quot;00AD5F7B&quot;/&gt;&lt;wsp:rsid wsp:val=&quot;00AD6C3C&quot;/&gt;&lt;wsp:rsid wsp:val=&quot;00AD71C8&quot;/&gt;&lt;wsp:rsid wsp:val=&quot;00AE15F4&quot;/&gt;&lt;wsp:rsid wsp:val=&quot;00AE1739&quot;/&gt;&lt;wsp:rsid wsp:val=&quot;00AE2423&quot;/&gt;&lt;wsp:rsid wsp:val=&quot;00AE2AD2&quot;/&gt;&lt;wsp:rsid wsp:val=&quot;00AE4CF1&quot;/&gt;&lt;wsp:rsid wsp:val=&quot;00AE6CF6&quot;/&gt;&lt;wsp:rsid wsp:val=&quot;00AF04EF&quot;/&gt;&lt;wsp:rsid wsp:val=&quot;00AF18FE&quot;/&gt;&lt;wsp:rsid wsp:val=&quot;00AF306C&quot;/&gt;&lt;wsp:rsid wsp:val=&quot;00AF388A&quot;/&gt;&lt;wsp:rsid wsp:val=&quot;00AF394F&quot;/&gt;&lt;wsp:rsid wsp:val=&quot;00AF6909&quot;/&gt;&lt;wsp:rsid wsp:val=&quot;00B00B60&quot;/&gt;&lt;wsp:rsid wsp:val=&quot;00B0117D&quot;/&gt;&lt;wsp:rsid wsp:val=&quot;00B0126B&quot;/&gt;&lt;wsp:rsid wsp:val=&quot;00B03BE7&quot;/&gt;&lt;wsp:rsid wsp:val=&quot;00B06453&quot;/&gt;&lt;wsp:rsid wsp:val=&quot;00B1053C&quot;/&gt;&lt;wsp:rsid wsp:val=&quot;00B11405&quot;/&gt;&lt;wsp:rsid wsp:val=&quot;00B15225&quot;/&gt;&lt;wsp:rsid wsp:val=&quot;00B173EC&quot;/&gt;&lt;wsp:rsid wsp:val=&quot;00B17B36&quot;/&gt;&lt;wsp:rsid wsp:val=&quot;00B20184&quot;/&gt;&lt;wsp:rsid wsp:val=&quot;00B21A01&quot;/&gt;&lt;wsp:rsid wsp:val=&quot;00B23D0D&quot;/&gt;&lt;wsp:rsid wsp:val=&quot;00B24A10&quot;/&gt;&lt;wsp:rsid wsp:val=&quot;00B2505C&quot;/&gt;&lt;wsp:rsid wsp:val=&quot;00B278DB&quot;/&gt;&lt;wsp:rsid wsp:val=&quot;00B30C45&quot;/&gt;&lt;wsp:rsid wsp:val=&quot;00B313C8&quot;/&gt;&lt;wsp:rsid wsp:val=&quot;00B315E2&quot;/&gt;&lt;wsp:rsid wsp:val=&quot;00B34486&quot;/&gt;&lt;wsp:rsid wsp:val=&quot;00B351D8&quot;/&gt;&lt;wsp:rsid wsp:val=&quot;00B3536B&quot;/&gt;&lt;wsp:rsid wsp:val=&quot;00B35ACD&quot;/&gt;&lt;wsp:rsid wsp:val=&quot;00B365BB&quot;/&gt;&lt;wsp:rsid wsp:val=&quot;00B418F0&quot;/&gt;&lt;wsp:rsid wsp:val=&quot;00B42633&quot;/&gt;&lt;wsp:rsid wsp:val=&quot;00B4336C&quot;/&gt;&lt;wsp:rsid wsp:val=&quot;00B44BF7&quot;/&gt;&lt;wsp:rsid wsp:val=&quot;00B4530F&quot;/&gt;&lt;wsp:rsid wsp:val=&quot;00B46079&quot;/&gt;&lt;wsp:rsid wsp:val=&quot;00B50CFA&quot;/&gt;&lt;wsp:rsid wsp:val=&quot;00B514C6&quot;/&gt;&lt;wsp:rsid wsp:val=&quot;00B53D80&quot;/&gt;&lt;wsp:rsid wsp:val=&quot;00B56DB3&quot;/&gt;&lt;wsp:rsid wsp:val=&quot;00B6019E&quot;/&gt;&lt;wsp:rsid wsp:val=&quot;00B64226&quot;/&gt;&lt;wsp:rsid wsp:val=&quot;00B66259&quot;/&gt;&lt;wsp:rsid wsp:val=&quot;00B701CC&quot;/&gt;&lt;wsp:rsid wsp:val=&quot;00B705B2&quot;/&gt;&lt;wsp:rsid wsp:val=&quot;00B70E6E&quot;/&gt;&lt;wsp:rsid wsp:val=&quot;00B71093&quot;/&gt;&lt;wsp:rsid wsp:val=&quot;00B74D68&quot;/&gt;&lt;wsp:rsid wsp:val=&quot;00B74EAB&quot;/&gt;&lt;wsp:rsid wsp:val=&quot;00B75010&quot;/&gt;&lt;wsp:rsid wsp:val=&quot;00B77AFE&quot;/&gt;&lt;wsp:rsid wsp:val=&quot;00B811C6&quot;/&gt;&lt;wsp:rsid wsp:val=&quot;00B81A0B&quot;/&gt;&lt;wsp:rsid wsp:val=&quot;00B83AE2&quot;/&gt;&lt;wsp:rsid wsp:val=&quot;00B85041&quot;/&gt;&lt;wsp:rsid wsp:val=&quot;00B86DA1&quot;/&gt;&lt;wsp:rsid wsp:val=&quot;00B87A83&quot;/&gt;&lt;wsp:rsid wsp:val=&quot;00B9022D&quot;/&gt;&lt;wsp:rsid wsp:val=&quot;00B90460&quot;/&gt;&lt;wsp:rsid wsp:val=&quot;00B92CB6&quot;/&gt;&lt;wsp:rsid wsp:val=&quot;00B93B2F&quot;/&gt;&lt;wsp:rsid wsp:val=&quot;00B946CC&quot;/&gt;&lt;wsp:rsid wsp:val=&quot;00B974AF&quot;/&gt;&lt;wsp:rsid wsp:val=&quot;00BA19F4&quot;/&gt;&lt;wsp:rsid wsp:val=&quot;00BA5382&quot;/&gt;&lt;wsp:rsid wsp:val=&quot;00BA53DF&quot;/&gt;&lt;wsp:rsid wsp:val=&quot;00BB0DF5&quot;/&gt;&lt;wsp:rsid wsp:val=&quot;00BB23B6&quot;/&gt;&lt;wsp:rsid wsp:val=&quot;00BB3BC7&quot;/&gt;&lt;wsp:rsid wsp:val=&quot;00BB42AC&quot;/&gt;&lt;wsp:rsid wsp:val=&quot;00BB5199&quot;/&gt;&lt;wsp:rsid wsp:val=&quot;00BB651A&quot;/&gt;&lt;wsp:rsid wsp:val=&quot;00BB6A36&quot;/&gt;&lt;wsp:rsid wsp:val=&quot;00BB70CA&quot;/&gt;&lt;wsp:rsid wsp:val=&quot;00BB7429&quot;/&gt;&lt;wsp:rsid wsp:val=&quot;00BC2325&quot;/&gt;&lt;wsp:rsid wsp:val=&quot;00BC2B46&quot;/&gt;&lt;wsp:rsid wsp:val=&quot;00BC5633&quot;/&gt;&lt;wsp:rsid wsp:val=&quot;00BC6581&quot;/&gt;&lt;wsp:rsid wsp:val=&quot;00BC69FB&quot;/&gt;&lt;wsp:rsid wsp:val=&quot;00BD0B43&quot;/&gt;&lt;wsp:rsid wsp:val=&quot;00BD19E7&quot;/&gt;&lt;wsp:rsid wsp:val=&quot;00BD4BC6&quot;/&gt;&lt;wsp:rsid wsp:val=&quot;00BD5130&quot;/&gt;&lt;wsp:rsid wsp:val=&quot;00BD527A&quot;/&gt;&lt;wsp:rsid wsp:val=&quot;00BD539A&quot;/&gt;&lt;wsp:rsid wsp:val=&quot;00BD543A&quot;/&gt;&lt;wsp:rsid wsp:val=&quot;00BD5C36&quot;/&gt;&lt;wsp:rsid wsp:val=&quot;00BE0847&quot;/&gt;&lt;wsp:rsid wsp:val=&quot;00BE0C07&quot;/&gt;&lt;wsp:rsid wsp:val=&quot;00BE34C8&quot;/&gt;&lt;wsp:rsid wsp:val=&quot;00BE43E0&quot;/&gt;&lt;wsp:rsid wsp:val=&quot;00BE494C&quot;/&gt;&lt;wsp:rsid wsp:val=&quot;00BE5B37&quot;/&gt;&lt;wsp:rsid wsp:val=&quot;00BE5F27&quot;/&gt;&lt;wsp:rsid wsp:val=&quot;00BE6373&quot;/&gt;&lt;wsp:rsid wsp:val=&quot;00BE71FF&quot;/&gt;&lt;wsp:rsid wsp:val=&quot;00BF27C7&quot;/&gt;&lt;wsp:rsid wsp:val=&quot;00BF2C1D&quot;/&gt;&lt;wsp:rsid wsp:val=&quot;00BF5879&quot;/&gt;&lt;wsp:rsid wsp:val=&quot;00BF5F5C&quot;/&gt;&lt;wsp:rsid wsp:val=&quot;00C02F23&quot;/&gt;&lt;wsp:rsid wsp:val=&quot;00C05011&quot;/&gt;&lt;wsp:rsid wsp:val=&quot;00C06DE2&quot;/&gt;&lt;wsp:rsid wsp:val=&quot;00C06FAD&quot;/&gt;&lt;wsp:rsid wsp:val=&quot;00C079AE&quot;/&gt;&lt;wsp:rsid wsp:val=&quot;00C115AA&quot;/&gt;&lt;wsp:rsid wsp:val=&quot;00C11C57&quot;/&gt;&lt;wsp:rsid wsp:val=&quot;00C12809&quot;/&gt;&lt;wsp:rsid wsp:val=&quot;00C1360A&quot;/&gt;&lt;wsp:rsid wsp:val=&quot;00C149E6&quot;/&gt;&lt;wsp:rsid wsp:val=&quot;00C14A0B&quot;/&gt;&lt;wsp:rsid wsp:val=&quot;00C1575B&quot;/&gt;&lt;wsp:rsid wsp:val=&quot;00C1640D&quot;/&gt;&lt;wsp:rsid wsp:val=&quot;00C16E47&quot;/&gt;&lt;wsp:rsid wsp:val=&quot;00C175F6&quot;/&gt;&lt;wsp:rsid wsp:val=&quot;00C22DA1&quot;/&gt;&lt;wsp:rsid wsp:val=&quot;00C26250&quot;/&gt;&lt;wsp:rsid wsp:val=&quot;00C341D0&quot;/&gt;&lt;wsp:rsid wsp:val=&quot;00C3437B&quot;/&gt;&lt;wsp:rsid wsp:val=&quot;00C41DE7&quot;/&gt;&lt;wsp:rsid wsp:val=&quot;00C43506&quot;/&gt;&lt;wsp:rsid wsp:val=&quot;00C4394D&quot;/&gt;&lt;wsp:rsid wsp:val=&quot;00C5157C&quot;/&gt;&lt;wsp:rsid wsp:val=&quot;00C519A7&quot;/&gt;&lt;wsp:rsid wsp:val=&quot;00C531AC&quot;/&gt;&lt;wsp:rsid wsp:val=&quot;00C538F4&quot;/&gt;&lt;wsp:rsid wsp:val=&quot;00C576E2&quot;/&gt;&lt;wsp:rsid wsp:val=&quot;00C57ADA&quot;/&gt;&lt;wsp:rsid wsp:val=&quot;00C61A86&quot;/&gt;&lt;wsp:rsid wsp:val=&quot;00C62678&quot;/&gt;&lt;wsp:rsid wsp:val=&quot;00C64152&quot;/&gt;&lt;wsp:rsid wsp:val=&quot;00C64683&quot;/&gt;&lt;wsp:rsid wsp:val=&quot;00C65951&quot;/&gt;&lt;wsp:rsid wsp:val=&quot;00C65E6E&quot;/&gt;&lt;wsp:rsid wsp:val=&quot;00C66C04&quot;/&gt;&lt;wsp:rsid wsp:val=&quot;00C6716B&quot;/&gt;&lt;wsp:rsid wsp:val=&quot;00C677DB&quot;/&gt;&lt;wsp:rsid wsp:val=&quot;00C70803&quot;/&gt;&lt;wsp:rsid wsp:val=&quot;00C70B61&quot;/&gt;&lt;wsp:rsid wsp:val=&quot;00C712EC&quot;/&gt;&lt;wsp:rsid wsp:val=&quot;00C729B7&quot;/&gt;&lt;wsp:rsid wsp:val=&quot;00C73860&quot;/&gt;&lt;wsp:rsid wsp:val=&quot;00C764AD&quot;/&gt;&lt;wsp:rsid wsp:val=&quot;00C77710&quot;/&gt;&lt;wsp:rsid wsp:val=&quot;00C83561&quot;/&gt;&lt;wsp:rsid wsp:val=&quot;00C83D9B&quot;/&gt;&lt;wsp:rsid wsp:val=&quot;00C83E1C&quot;/&gt;&lt;wsp:rsid wsp:val=&quot;00C85E84&quot;/&gt;&lt;wsp:rsid wsp:val=&quot;00C86603&quot;/&gt;&lt;wsp:rsid wsp:val=&quot;00C87DD7&quot;/&gt;&lt;wsp:rsid wsp:val=&quot;00C90B38&quot;/&gt;&lt;wsp:rsid wsp:val=&quot;00C921D6&quot;/&gt;&lt;wsp:rsid wsp:val=&quot;00C951F1&quot;/&gt;&lt;wsp:rsid wsp:val=&quot;00C9534A&quot;/&gt;&lt;wsp:rsid wsp:val=&quot;00C97760&quot;/&gt;&lt;wsp:rsid wsp:val=&quot;00C9799D&quot;/&gt;&lt;wsp:rsid wsp:val=&quot;00CA0673&quot;/&gt;&lt;wsp:rsid wsp:val=&quot;00CA17F3&quot;/&gt;&lt;wsp:rsid wsp:val=&quot;00CA3EBF&quot;/&gt;&lt;wsp:rsid wsp:val=&quot;00CA4570&quot;/&gt;&lt;wsp:rsid wsp:val=&quot;00CA6258&quot;/&gt;&lt;wsp:rsid wsp:val=&quot;00CA7020&quot;/&gt;&lt;wsp:rsid wsp:val=&quot;00CB423A&quot;/&gt;&lt;wsp:rsid wsp:val=&quot;00CB64EB&quot;/&gt;&lt;wsp:rsid wsp:val=&quot;00CC035B&quot;/&gt;&lt;wsp:rsid wsp:val=&quot;00CC3E8B&quot;/&gt;&lt;wsp:rsid wsp:val=&quot;00CC4B5C&quot;/&gt;&lt;wsp:rsid wsp:val=&quot;00CC5271&quot;/&gt;&lt;wsp:rsid wsp:val=&quot;00CD0A12&quot;/&gt;&lt;wsp:rsid wsp:val=&quot;00CD207F&quot;/&gt;&lt;wsp:rsid wsp:val=&quot;00CD3833&quot;/&gt;&lt;wsp:rsid wsp:val=&quot;00CD4341&quot;/&gt;&lt;wsp:rsid wsp:val=&quot;00CD7077&quot;/&gt;&lt;wsp:rsid wsp:val=&quot;00CD74D9&quot;/&gt;&lt;wsp:rsid wsp:val=&quot;00CE5CE4&quot;/&gt;&lt;wsp:rsid wsp:val=&quot;00CE6114&quot;/&gt;&lt;wsp:rsid wsp:val=&quot;00CE65C3&quot;/&gt;&lt;wsp:rsid wsp:val=&quot;00CE6B88&quot;/&gt;&lt;wsp:rsid wsp:val=&quot;00CE6D40&quot;/&gt;&lt;wsp:rsid wsp:val=&quot;00CF0E48&quot;/&gt;&lt;wsp:rsid wsp:val=&quot;00CF1525&quot;/&gt;&lt;wsp:rsid wsp:val=&quot;00CF16CD&quot;/&gt;&lt;wsp:rsid wsp:val=&quot;00CF283F&quot;/&gt;&lt;wsp:rsid wsp:val=&quot;00CF56DA&quot;/&gt;&lt;wsp:rsid wsp:val=&quot;00CF58EA&quot;/&gt;&lt;wsp:rsid wsp:val=&quot;00CF6827&quot;/&gt;&lt;wsp:rsid wsp:val=&quot;00D005DF&quot;/&gt;&lt;wsp:rsid wsp:val=&quot;00D00A88&quot;/&gt;&lt;wsp:rsid wsp:val=&quot;00D01F6C&quot;/&gt;&lt;wsp:rsid wsp:val=&quot;00D0254C&quot;/&gt;&lt;wsp:rsid wsp:val=&quot;00D039A1&quot;/&gt;&lt;wsp:rsid wsp:val=&quot;00D04A1D&quot;/&gt;&lt;wsp:rsid wsp:val=&quot;00D0561C&quot;/&gt;&lt;wsp:rsid wsp:val=&quot;00D067D0&quot;/&gt;&lt;wsp:rsid wsp:val=&quot;00D077E3&quot;/&gt;&lt;wsp:rsid wsp:val=&quot;00D07C9D&quot;/&gt;&lt;wsp:rsid wsp:val=&quot;00D10AE6&quot;/&gt;&lt;wsp:rsid wsp:val=&quot;00D12C33&quot;/&gt;&lt;wsp:rsid wsp:val=&quot;00D13960&quot;/&gt;&lt;wsp:rsid wsp:val=&quot;00D13AEB&quot;/&gt;&lt;wsp:rsid wsp:val=&quot;00D164C7&quot;/&gt;&lt;wsp:rsid wsp:val=&quot;00D16C9B&quot;/&gt;&lt;wsp:rsid wsp:val=&quot;00D17D71&quot;/&gt;&lt;wsp:rsid wsp:val=&quot;00D20006&quot;/&gt;&lt;wsp:rsid wsp:val=&quot;00D23E49&quot;/&gt;&lt;wsp:rsid wsp:val=&quot;00D245FE&quot;/&gt;&lt;wsp:rsid wsp:val=&quot;00D256FA&quot;/&gt;&lt;wsp:rsid wsp:val=&quot;00D26311&quot;/&gt;&lt;wsp:rsid wsp:val=&quot;00D31D50&quot;/&gt;&lt;wsp:rsid wsp:val=&quot;00D33965&quot;/&gt;&lt;wsp:rsid wsp:val=&quot;00D37F97&quot;/&gt;&lt;wsp:rsid wsp:val=&quot;00D401D6&quot;/&gt;&lt;wsp:rsid wsp:val=&quot;00D46293&quot;/&gt;&lt;wsp:rsid wsp:val=&quot;00D47288&quot;/&gt;&lt;wsp:rsid wsp:val=&quot;00D47689&quot;/&gt;&lt;wsp:rsid wsp:val=&quot;00D478BE&quot;/&gt;&lt;wsp:rsid wsp:val=&quot;00D51475&quot;/&gt;&lt;wsp:rsid wsp:val=&quot;00D53646&quot;/&gt;&lt;wsp:rsid wsp:val=&quot;00D54627&quot;/&gt;&lt;wsp:rsid wsp:val=&quot;00D57C27&quot;/&gt;&lt;wsp:rsid wsp:val=&quot;00D61B8B&quot;/&gt;&lt;wsp:rsid wsp:val=&quot;00D62509&quot;/&gt;&lt;wsp:rsid wsp:val=&quot;00D62751&quot;/&gt;&lt;wsp:rsid wsp:val=&quot;00D669CA&quot;/&gt;&lt;wsp:rsid wsp:val=&quot;00D67951&quot;/&gt;&lt;wsp:rsid wsp:val=&quot;00D70648&quot;/&gt;&lt;wsp:rsid wsp:val=&quot;00D71A2A&quot;/&gt;&lt;wsp:rsid wsp:val=&quot;00D731BB&quot;/&gt;&lt;wsp:rsid wsp:val=&quot;00D8318C&quot;/&gt;&lt;wsp:rsid wsp:val=&quot;00D8495A&quot;/&gt;&lt;wsp:rsid wsp:val=&quot;00D84EEF&quot;/&gt;&lt;wsp:rsid wsp:val=&quot;00D87083&quot;/&gt;&lt;wsp:rsid wsp:val=&quot;00D90ACF&quot;/&gt;&lt;wsp:rsid wsp:val=&quot;00D92D1F&quot;/&gt;&lt;wsp:rsid wsp:val=&quot;00D9417C&quot;/&gt;&lt;wsp:rsid wsp:val=&quot;00D94CD3&quot;/&gt;&lt;wsp:rsid wsp:val=&quot;00D97E3D&quot;/&gt;&lt;wsp:rsid wsp:val=&quot;00DA3C73&quot;/&gt;&lt;wsp:rsid wsp:val=&quot;00DA60FA&quot;/&gt;&lt;wsp:rsid wsp:val=&quot;00DB0871&quot;/&gt;&lt;wsp:rsid wsp:val=&quot;00DB22C4&quot;/&gt;&lt;wsp:rsid wsp:val=&quot;00DB641B&quot;/&gt;&lt;wsp:rsid wsp:val=&quot;00DB69DE&quot;/&gt;&lt;wsp:rsid wsp:val=&quot;00DC14B0&quot;/&gt;&lt;wsp:rsid wsp:val=&quot;00DC46B2&quot;/&gt;&lt;wsp:rsid wsp:val=&quot;00DC73EE&quot;/&gt;&lt;wsp:rsid wsp:val=&quot;00DC7B7B&quot;/&gt;&lt;wsp:rsid wsp:val=&quot;00DD0709&quot;/&gt;&lt;wsp:rsid wsp:val=&quot;00DD0ED2&quot;/&gt;&lt;wsp:rsid wsp:val=&quot;00DD10A7&quot;/&gt;&lt;wsp:rsid wsp:val=&quot;00DD12D2&quot;/&gt;&lt;wsp:rsid wsp:val=&quot;00DD1A8C&quot;/&gt;&lt;wsp:rsid wsp:val=&quot;00DD1C49&quot;/&gt;&lt;wsp:rsid wsp:val=&quot;00DD1CC3&quot;/&gt;&lt;wsp:rsid wsp:val=&quot;00DD3B03&quot;/&gt;&lt;wsp:rsid wsp:val=&quot;00DE0D62&quot;/&gt;&lt;wsp:rsid wsp:val=&quot;00DE1345&quot;/&gt;&lt;wsp:rsid wsp:val=&quot;00DE2098&quot;/&gt;&lt;wsp:rsid wsp:val=&quot;00DE33DC&quot;/&gt;&lt;wsp:rsid wsp:val=&quot;00DE3A6B&quot;/&gt;&lt;wsp:rsid wsp:val=&quot;00DE4753&quot;/&gt;&lt;wsp:rsid wsp:val=&quot;00DE79B9&quot;/&gt;&lt;wsp:rsid wsp:val=&quot;00DF21FC&quot;/&gt;&lt;wsp:rsid wsp:val=&quot;00DF2B16&quot;/&gt;&lt;wsp:rsid wsp:val=&quot;00DF4931&quot;/&gt;&lt;wsp:rsid wsp:val=&quot;00DF60F1&quot;/&gt;&lt;wsp:rsid wsp:val=&quot;00DF6901&quot;/&gt;&lt;wsp:rsid wsp:val=&quot;00DF70C9&quot;/&gt;&lt;wsp:rsid wsp:val=&quot;00DF7F79&quot;/&gt;&lt;wsp:rsid wsp:val=&quot;00E0094C&quot;/&gt;&lt;wsp:rsid wsp:val=&quot;00E07A8E&quot;/&gt;&lt;wsp:rsid wsp:val=&quot;00E14384&quot;/&gt;&lt;wsp:rsid wsp:val=&quot;00E17236&quot;/&gt;&lt;wsp:rsid wsp:val=&quot;00E206F0&quot;/&gt;&lt;wsp:rsid wsp:val=&quot;00E212B6&quot;/&gt;&lt;wsp:rsid wsp:val=&quot;00E238A7&quot;/&gt;&lt;wsp:rsid wsp:val=&quot;00E254F2&quot;/&gt;&lt;wsp:rsid wsp:val=&quot;00E25734&quot;/&gt;&lt;wsp:rsid wsp:val=&quot;00E260C2&quot;/&gt;&lt;wsp:rsid wsp:val=&quot;00E26428&quot;/&gt;&lt;wsp:rsid wsp:val=&quot;00E26809&quot;/&gt;&lt;wsp:rsid wsp:val=&quot;00E31E8B&quot;/&gt;&lt;wsp:rsid wsp:val=&quot;00E351D6&quot;/&gt;&lt;wsp:rsid wsp:val=&quot;00E35795&quot;/&gt;&lt;wsp:rsid wsp:val=&quot;00E376CC&quot;/&gt;&lt;wsp:rsid wsp:val=&quot;00E37798&quot;/&gt;&lt;wsp:rsid wsp:val=&quot;00E42866&quot;/&gt;&lt;wsp:rsid wsp:val=&quot;00E43B36&quot;/&gt;&lt;wsp:rsid wsp:val=&quot;00E44768&quot;/&gt;&lt;wsp:rsid wsp:val=&quot;00E452B9&quot;/&gt;&lt;wsp:rsid wsp:val=&quot;00E47B03&quot;/&gt;&lt;wsp:rsid wsp:val=&quot;00E47F96&quot;/&gt;&lt;wsp:rsid wsp:val=&quot;00E51324&quot;/&gt;&lt;wsp:rsid wsp:val=&quot;00E51B24&quot;/&gt;&lt;wsp:rsid wsp:val=&quot;00E51C73&quot;/&gt;&lt;wsp:rsid wsp:val=&quot;00E52178&quot;/&gt;&lt;wsp:rsid wsp:val=&quot;00E541DE&quot;/&gt;&lt;wsp:rsid wsp:val=&quot;00E5482D&quot;/&gt;&lt;wsp:rsid wsp:val=&quot;00E56619&quot;/&gt;&lt;wsp:rsid wsp:val=&quot;00E6026B&quot;/&gt;&lt;wsp:rsid wsp:val=&quot;00E6046A&quot;/&gt;&lt;wsp:rsid wsp:val=&quot;00E61125&quot;/&gt;&lt;wsp:rsid wsp:val=&quot;00E6180D&quot;/&gt;&lt;wsp:rsid wsp:val=&quot;00E621E5&quot;/&gt;&lt;wsp:rsid wsp:val=&quot;00E6393F&quot;/&gt;&lt;wsp:rsid wsp:val=&quot;00E63FC5&quot;/&gt;&lt;wsp:rsid wsp:val=&quot;00E64004&quot;/&gt;&lt;wsp:rsid wsp:val=&quot;00E6436E&quot;/&gt;&lt;wsp:rsid wsp:val=&quot;00E64A90&quot;/&gt;&lt;wsp:rsid wsp:val=&quot;00E656F9&quot;/&gt;&lt;wsp:rsid wsp:val=&quot;00E6679F&quot;/&gt;&lt;wsp:rsid wsp:val=&quot;00E66E09&quot;/&gt;&lt;wsp:rsid wsp:val=&quot;00E6717B&quot;/&gt;&lt;wsp:rsid wsp:val=&quot;00E70FBF&quot;/&gt;&lt;wsp:rsid wsp:val=&quot;00E72091&quot;/&gt;&lt;wsp:rsid wsp:val=&quot;00E771D9&quot;/&gt;&lt;wsp:rsid wsp:val=&quot;00E827FA&quot;/&gt;&lt;wsp:rsid wsp:val=&quot;00E831DB&quot;/&gt;&lt;wsp:rsid wsp:val=&quot;00E84374&quot;/&gt;&lt;wsp:rsid wsp:val=&quot;00E84A7C&quot;/&gt;&lt;wsp:rsid wsp:val=&quot;00E87099&quot;/&gt;&lt;wsp:rsid wsp:val=&quot;00E87AD4&quot;/&gt;&lt;wsp:rsid wsp:val=&quot;00E922C6&quot;/&gt;&lt;wsp:rsid wsp:val=&quot;00E97D4A&quot;/&gt;&lt;wsp:rsid wsp:val=&quot;00EA3545&quot;/&gt;&lt;wsp:rsid wsp:val=&quot;00EB194E&quot;/&gt;&lt;wsp:rsid wsp:val=&quot;00EB2ACE&quot;/&gt;&lt;wsp:rsid wsp:val=&quot;00EC3821&quot;/&gt;&lt;wsp:rsid wsp:val=&quot;00EC3B0E&quot;/&gt;&lt;wsp:rsid wsp:val=&quot;00EC3DF6&quot;/&gt;&lt;wsp:rsid wsp:val=&quot;00EC408D&quot;/&gt;&lt;wsp:rsid wsp:val=&quot;00EC443A&quot;/&gt;&lt;wsp:rsid wsp:val=&quot;00EC596A&quot;/&gt;&lt;wsp:rsid wsp:val=&quot;00EC68EA&quot;/&gt;&lt;wsp:rsid wsp:val=&quot;00ED1327&quot;/&gt;&lt;wsp:rsid wsp:val=&quot;00ED13D6&quot;/&gt;&lt;wsp:rsid wsp:val=&quot;00ED230A&quot;/&gt;&lt;wsp:rsid wsp:val=&quot;00ED2BDE&quot;/&gt;&lt;wsp:rsid wsp:val=&quot;00ED2C2C&quot;/&gt;&lt;wsp:rsid wsp:val=&quot;00ED32E5&quot;/&gt;&lt;wsp:rsid wsp:val=&quot;00ED3364&quot;/&gt;&lt;wsp:rsid wsp:val=&quot;00ED33F4&quot;/&gt;&lt;wsp:rsid wsp:val=&quot;00ED3B5E&quot;/&gt;&lt;wsp:rsid wsp:val=&quot;00ED3FC8&quot;/&gt;&lt;wsp:rsid wsp:val=&quot;00ED4BAE&quot;/&gt;&lt;wsp:rsid wsp:val=&quot;00ED5E52&quot;/&gt;&lt;wsp:rsid wsp:val=&quot;00ED6ED8&quot;/&gt;&lt;wsp:rsid wsp:val=&quot;00EE11F4&quot;/&gt;&lt;wsp:rsid wsp:val=&quot;00EE177F&quot;/&gt;&lt;wsp:rsid wsp:val=&quot;00EE194D&quot;/&gt;&lt;wsp:rsid wsp:val=&quot;00EE2964&quot;/&gt;&lt;wsp:rsid wsp:val=&quot;00EE2E1B&quot;/&gt;&lt;wsp:rsid wsp:val=&quot;00EE3974&quot;/&gt;&lt;wsp:rsid wsp:val=&quot;00EE557E&quot;/&gt;&lt;wsp:rsid wsp:val=&quot;00EF2025&quot;/&gt;&lt;wsp:rsid wsp:val=&quot;00EF289F&quot;/&gt;&lt;wsp:rsid wsp:val=&quot;00EF396F&quot;/&gt;&lt;wsp:rsid wsp:val=&quot;00EF3ECB&quot;/&gt;&lt;wsp:rsid wsp:val=&quot;00EF7A27&quot;/&gt;&lt;wsp:rsid wsp:val=&quot;00F00945&quot;/&gt;&lt;wsp:rsid wsp:val=&quot;00F01781&quot;/&gt;&lt;wsp:rsid wsp:val=&quot;00F01EBA&quot;/&gt;&lt;wsp:rsid wsp:val=&quot;00F02505&quot;/&gt;&lt;wsp:rsid wsp:val=&quot;00F02B52&quot;/&gt;&lt;wsp:rsid wsp:val=&quot;00F03034&quot;/&gt;&lt;wsp:rsid wsp:val=&quot;00F03C6C&quot;/&gt;&lt;wsp:rsid wsp:val=&quot;00F05011&quot;/&gt;&lt;wsp:rsid wsp:val=&quot;00F060FC&quot;/&gt;&lt;wsp:rsid wsp:val=&quot;00F105BC&quot;/&gt;&lt;wsp:rsid wsp:val=&quot;00F118AC&quot;/&gt;&lt;wsp:rsid wsp:val=&quot;00F12374&quot;/&gt;&lt;wsp:rsid wsp:val=&quot;00F13ABD&quot;/&gt;&lt;wsp:rsid wsp:val=&quot;00F1428C&quot;/&gt;&lt;wsp:rsid wsp:val=&quot;00F168EF&quot;/&gt;&lt;wsp:rsid wsp:val=&quot;00F17F19&quot;/&gt;&lt;wsp:rsid wsp:val=&quot;00F203F2&quot;/&gt;&lt;wsp:rsid wsp:val=&quot;00F20D10&quot;/&gt;&lt;wsp:rsid wsp:val=&quot;00F22C2C&quot;/&gt;&lt;wsp:rsid wsp:val=&quot;00F23054&quot;/&gt;&lt;wsp:rsid wsp:val=&quot;00F24B3D&quot;/&gt;&lt;wsp:rsid wsp:val=&quot;00F25245&quot;/&gt;&lt;wsp:rsid wsp:val=&quot;00F301DE&quot;/&gt;&lt;wsp:rsid wsp:val=&quot;00F30B10&quot;/&gt;&lt;wsp:rsid wsp:val=&quot;00F31E52&quot;/&gt;&lt;wsp:rsid wsp:val=&quot;00F33591&quot;/&gt;&lt;wsp:rsid wsp:val=&quot;00F3461A&quot;/&gt;&lt;wsp:rsid wsp:val=&quot;00F3545C&quot;/&gt;&lt;wsp:rsid wsp:val=&quot;00F40430&quot;/&gt;&lt;wsp:rsid wsp:val=&quot;00F41051&quot;/&gt;&lt;wsp:rsid wsp:val=&quot;00F41109&quot;/&gt;&lt;wsp:rsid wsp:val=&quot;00F4163E&quot;/&gt;&lt;wsp:rsid wsp:val=&quot;00F42356&quot;/&gt;&lt;wsp:rsid wsp:val=&quot;00F42C55&quot;/&gt;&lt;wsp:rsid wsp:val=&quot;00F44E11&quot;/&gt;&lt;wsp:rsid wsp:val=&quot;00F45F48&quot;/&gt;&lt;wsp:rsid wsp:val=&quot;00F46EE1&quot;/&gt;&lt;wsp:rsid wsp:val=&quot;00F509EE&quot;/&gt;&lt;wsp:rsid wsp:val=&quot;00F51C6A&quot;/&gt;&lt;wsp:rsid wsp:val=&quot;00F52F8A&quot;/&gt;&lt;wsp:rsid wsp:val=&quot;00F53032&quot;/&gt;&lt;wsp:rsid wsp:val=&quot;00F53F60&quot;/&gt;&lt;wsp:rsid wsp:val=&quot;00F541FD&quot;/&gt;&lt;wsp:rsid wsp:val=&quot;00F5498F&quot;/&gt;&lt;wsp:rsid wsp:val=&quot;00F575EC&quot;/&gt;&lt;wsp:rsid wsp:val=&quot;00F57EDA&quot;/&gt;&lt;wsp:rsid wsp:val=&quot;00F6074E&quot;/&gt;&lt;wsp:rsid wsp:val=&quot;00F6276D&quot;/&gt;&lt;wsp:rsid wsp:val=&quot;00F62B75&quot;/&gt;&lt;wsp:rsid wsp:val=&quot;00F65B9E&quot;/&gt;&lt;wsp:rsid wsp:val=&quot;00F663FC&quot;/&gt;&lt;wsp:rsid wsp:val=&quot;00F66452&quot;/&gt;&lt;wsp:rsid wsp:val=&quot;00F7142F&quot;/&gt;&lt;wsp:rsid wsp:val=&quot;00F724FD&quot;/&gt;&lt;wsp:rsid wsp:val=&quot;00F7296B&quot;/&gt;&lt;wsp:rsid wsp:val=&quot;00F73891&quot;/&gt;&lt;wsp:rsid wsp:val=&quot;00F76A17&quot;/&gt;&lt;wsp:rsid wsp:val=&quot;00F808C6&quot;/&gt;&lt;wsp:rsid wsp:val=&quot;00F92A70&quot;/&gt;&lt;wsp:rsid wsp:val=&quot;00F93347&quot;/&gt;&lt;wsp:rsid wsp:val=&quot;00F93819&quot;/&gt;&lt;wsp:rsid wsp:val=&quot;00F96120&quot;/&gt;&lt;wsp:rsid wsp:val=&quot;00F97932&quot;/&gt;&lt;wsp:rsid wsp:val=&quot;00FA0247&quot;/&gt;&lt;wsp:rsid wsp:val=&quot;00FA0460&quot;/&gt;&lt;wsp:rsid wsp:val=&quot;00FA1074&quot;/&gt;&lt;wsp:rsid wsp:val=&quot;00FA1ADC&quot;/&gt;&lt;wsp:rsid wsp:val=&quot;00FA3C28&quot;/&gt;&lt;wsp:rsid wsp:val=&quot;00FA3D79&quot;/&gt;&lt;wsp:rsid wsp:val=&quot;00FA4109&quot;/&gt;&lt;wsp:rsid wsp:val=&quot;00FA4520&quot;/&gt;&lt;wsp:rsid wsp:val=&quot;00FA47CC&quot;/&gt;&lt;wsp:rsid wsp:val=&quot;00FA5169&quot;/&gt;&lt;wsp:rsid wsp:val=&quot;00FA5753&quot;/&gt;&lt;wsp:rsid wsp:val=&quot;00FA6826&quot;/&gt;&lt;wsp:rsid wsp:val=&quot;00FA708C&quot;/&gt;&lt;wsp:rsid wsp:val=&quot;00FA79A2&quot;/&gt;&lt;wsp:rsid wsp:val=&quot;00FB3785&quot;/&gt;&lt;wsp:rsid wsp:val=&quot;00FB3F16&quot;/&gt;&lt;wsp:rsid wsp:val=&quot;00FB6924&quot;/&gt;&lt;wsp:rsid wsp:val=&quot;00FB6990&quot;/&gt;&lt;wsp:rsid wsp:val=&quot;00FB6B6C&quot;/&gt;&lt;wsp:rsid wsp:val=&quot;00FC0528&quot;/&gt;&lt;wsp:rsid wsp:val=&quot;00FC10B9&quot;/&gt;&lt;wsp:rsid wsp:val=&quot;00FC157D&quot;/&gt;&lt;wsp:rsid wsp:val=&quot;00FC2842&quot;/&gt;&lt;wsp:rsid wsp:val=&quot;00FC2BDC&quot;/&gt;&lt;wsp:rsid wsp:val=&quot;00FC7B0B&quot;/&gt;&lt;wsp:rsid wsp:val=&quot;00FD1F23&quot;/&gt;&lt;wsp:rsid wsp:val=&quot;00FD2660&quot;/&gt;&lt;wsp:rsid wsp:val=&quot;00FD5D1E&quot;/&gt;&lt;wsp:rsid wsp:val=&quot;00FD68DC&quot;/&gt;&lt;wsp:rsid wsp:val=&quot;00FD6BF9&quot;/&gt;&lt;wsp:rsid wsp:val=&quot;00FD7178&quot;/&gt;&lt;wsp:rsid wsp:val=&quot;00FD7252&quot;/&gt;&lt;wsp:rsid wsp:val=&quot;00FD78D1&quot;/&gt;&lt;wsp:rsid wsp:val=&quot;00FE0BDD&quot;/&gt;&lt;wsp:rsid wsp:val=&quot;00FE14A5&quot;/&gt;&lt;wsp:rsid wsp:val=&quot;00FE1B45&quot;/&gt;&lt;wsp:rsid wsp:val=&quot;00FE3BD5&quot;/&gt;&lt;wsp:rsid wsp:val=&quot;00FE52A4&quot;/&gt;&lt;wsp:rsid wsp:val=&quot;00FE60CE&quot;/&gt;&lt;wsp:rsid wsp:val=&quot;00FF1465&quot;/&gt;&lt;wsp:rsid wsp:val=&quot;00FF2E35&quot;/&gt;&lt;wsp:rsid wsp:val=&quot;00FF66BE&quot;/&gt;&lt;wsp:rsid wsp:val=&quot;013D3934&quot;/&gt;&lt;wsp:rsid wsp:val=&quot;02AA3829&quot;/&gt;&lt;wsp:rsid wsp:val=&quot;02D056A8&quot;/&gt;&lt;wsp:rsid wsp:val=&quot;02DC2156&quot;/&gt;&lt;wsp:rsid wsp:val=&quot;03437DC8&quot;/&gt;&lt;wsp:rsid wsp:val=&quot;038B5232&quot;/&gt;&lt;wsp:rsid wsp:val=&quot;04136DA5&quot;/&gt;&lt;wsp:rsid wsp:val=&quot;042D106A&quot;/&gt;&lt;wsp:rsid wsp:val=&quot;04B213C1&quot;/&gt;&lt;wsp:rsid wsp:val=&quot;05191CE9&quot;/&gt;&lt;wsp:rsid wsp:val=&quot;05C0330C&quot;/&gt;&lt;wsp:rsid wsp:val=&quot;060C6CAE&quot;/&gt;&lt;wsp:rsid wsp:val=&quot;06277ED4&quot;/&gt;&lt;wsp:rsid wsp:val=&quot;06B25D04&quot;/&gt;&lt;wsp:rsid wsp:val=&quot;07520C39&quot;/&gt;&lt;wsp:rsid wsp:val=&quot;079B2C73&quot;/&gt;&lt;wsp:rsid wsp:val=&quot;079C1EB4&quot;/&gt;&lt;wsp:rsid wsp:val=&quot;07B471FE&quot;/&gt;&lt;wsp:rsid wsp:val=&quot;08DB234B&quot;/&gt;&lt;wsp:rsid wsp:val=&quot;09124EA5&quot;/&gt;&lt;wsp:rsid wsp:val=&quot;09DB507A&quot;/&gt;&lt;wsp:rsid wsp:val=&quot;0AF9577A&quot;/&gt;&lt;wsp:rsid wsp:val=&quot;0BB1141A&quot;/&gt;&lt;wsp:rsid wsp:val=&quot;0BFB1A27&quot;/&gt;&lt;wsp:rsid wsp:val=&quot;0C61616F&quot;/&gt;&lt;wsp:rsid wsp:val=&quot;0CE72DC5&quot;/&gt;&lt;wsp:rsid wsp:val=&quot;0D2C195F&quot;/&gt;&lt;wsp:rsid wsp:val=&quot;0D6A4C52&quot;/&gt;&lt;wsp:rsid wsp:val=&quot;0E605AEC&quot;/&gt;&lt;wsp:rsid wsp:val=&quot;101C2508&quot;/&gt;&lt;wsp:rsid wsp:val=&quot;1065342A&quot;/&gt;&lt;wsp:rsid wsp:val=&quot;10671734&quot;/&gt;&lt;wsp:rsid wsp:val=&quot;10C60F86&quot;/&gt;&lt;wsp:rsid wsp:val=&quot;11A82BC2&quot;/&gt;&lt;wsp:rsid wsp:val=&quot;128809C1&quot;/&gt;&lt;wsp:rsid wsp:val=&quot;12A947A9&quot;/&gt;&lt;wsp:rsid wsp:val=&quot;130736EC&quot;/&gt;&lt;wsp:rsid wsp:val=&quot;130D1EB8&quot;/&gt;&lt;wsp:rsid wsp:val=&quot;13272F7A&quot;/&gt;&lt;wsp:rsid wsp:val=&quot;134A7C24&quot;/&gt;&lt;wsp:rsid wsp:val=&quot;13A10F0F&quot;/&gt;&lt;wsp:rsid wsp:val=&quot;14045069&quot;/&gt;&lt;wsp:rsid wsp:val=&quot;140E53AF&quot;/&gt;&lt;wsp:rsid wsp:val=&quot;140E56A2&quot;/&gt;&lt;wsp:rsid wsp:val=&quot;15FC0073&quot;/&gt;&lt;wsp:rsid wsp:val=&quot;162350D4&quot;/&gt;&lt;wsp:rsid wsp:val=&quot;16C1005C&quot;/&gt;&lt;wsp:rsid wsp:val=&quot;17631DDD&quot;/&gt;&lt;wsp:rsid wsp:val=&quot;17CE0969&quot;/&gt;&lt;wsp:rsid wsp:val=&quot;186E6D83&quot;/&gt;&lt;wsp:rsid wsp:val=&quot;18CE3F9E&quot;/&gt;&lt;wsp:rsid wsp:val=&quot;18D1560C&quot;/&gt;&lt;wsp:rsid wsp:val=&quot;19D823A1&quot;/&gt;&lt;wsp:rsid wsp:val=&quot;1A177AC0&quot;/&gt;&lt;wsp:rsid wsp:val=&quot;1A362EE1&quot;/&gt;&lt;wsp:rsid wsp:val=&quot;1A530AF8&quot;/&gt;&lt;wsp:rsid wsp:val=&quot;1ADB5989&quot;/&gt;&lt;wsp:rsid wsp:val=&quot;1B812682&quot;/&gt;&lt;wsp:rsid wsp:val=&quot;1C2E5379&quot;/&gt;&lt;wsp:rsid wsp:val=&quot;1C4032FE&quot;/&gt;&lt;wsp:rsid wsp:val=&quot;1C6D18B0&quot;/&gt;&lt;wsp:rsid wsp:val=&quot;1CB6536F&quot;/&gt;&lt;wsp:rsid wsp:val=&quot;1CBE1816&quot;/&gt;&lt;wsp:rsid wsp:val=&quot;1DB2495E&quot;/&gt;&lt;wsp:rsid wsp:val=&quot;1DCD7327&quot;/&gt;&lt;wsp:rsid wsp:val=&quot;1E366767&quot;/&gt;&lt;wsp:rsid wsp:val=&quot;1E864C15&quot;/&gt;&lt;wsp:rsid wsp:val=&quot;1F04738C&quot;/&gt;&lt;wsp:rsid wsp:val=&quot;1F592B4C&quot;/&gt;&lt;wsp:rsid wsp:val=&quot;1F8E3F06&quot;/&gt;&lt;wsp:rsid wsp:val=&quot;1FF62A0F&quot;/&gt;&lt;wsp:rsid wsp:val=&quot;202577F1&quot;/&gt;&lt;wsp:rsid wsp:val=&quot;206E7158&quot;/&gt;&lt;wsp:rsid wsp:val=&quot;20C566DF&quot;/&gt;&lt;wsp:rsid wsp:val=&quot;223E15F6&quot;/&gt;&lt;wsp:rsid wsp:val=&quot;22453191&quot;/&gt;&lt;wsp:rsid wsp:val=&quot;226C6811&quot;/&gt;&lt;wsp:rsid wsp:val=&quot;227E0B02&quot;/&gt;&lt;wsp:rsid wsp:val=&quot;22AC447B&quot;/&gt;&lt;wsp:rsid wsp:val=&quot;240837FD&quot;/&gt;&lt;wsp:rsid wsp:val=&quot;24C525F3&quot;/&gt;&lt;wsp:rsid wsp:val=&quot;258E158F&quot;/&gt;&lt;wsp:rsid wsp:val=&quot;25C67EF9&quot;/&gt;&lt;wsp:rsid wsp:val=&quot;2629481B&quot;/&gt;&lt;wsp:rsid wsp:val=&quot;26636554&quot;/&gt;&lt;wsp:rsid wsp:val=&quot;26646A24&quot;/&gt;&lt;wsp:rsid wsp:val=&quot;283B362D&quot;/&gt;&lt;wsp:rsid wsp:val=&quot;28EB2EE5&quot;/&gt;&lt;wsp:rsid wsp:val=&quot;29C33BDF&quot;/&gt;&lt;wsp:rsid wsp:val=&quot;2A0E0F1F&quot;/&gt;&lt;wsp:rsid wsp:val=&quot;2C1005F7&quot;/&gt;&lt;wsp:rsid wsp:val=&quot;2C466ED8&quot;/&gt;&lt;wsp:rsid wsp:val=&quot;2C9A244F&quot;/&gt;&lt;wsp:rsid wsp:val=&quot;2CAD095C&quot;/&gt;&lt;wsp:rsid wsp:val=&quot;2D1D5812&quot;/&gt;&lt;wsp:rsid wsp:val=&quot;2D7B7CF2&quot;/&gt;&lt;wsp:rsid wsp:val=&quot;2E532787&quot;/&gt;&lt;wsp:rsid wsp:val=&quot;2E953036&quot;/&gt;&lt;wsp:rsid wsp:val=&quot;2EDD022C&quot;/&gt;&lt;wsp:rsid wsp:val=&quot;2FEF03A3&quot;/&gt;&lt;wsp:rsid wsp:val=&quot;30AC2F63&quot;/&gt;&lt;wsp:rsid wsp:val=&quot;31271F3F&quot;/&gt;&lt;wsp:rsid wsp:val=&quot;314F3970&quot;/&gt;&lt;wsp:rsid wsp:val=&quot;31550EF8&quot;/&gt;&lt;wsp:rsid wsp:val=&quot;317C4033&quot;/&gt;&lt;wsp:rsid wsp:val=&quot;31910CF1&quot;/&gt;&lt;wsp:rsid wsp:val=&quot;31DC4D2F&quot;/&gt;&lt;wsp:rsid wsp:val=&quot;322411E2&quot;/&gt;&lt;wsp:rsid wsp:val=&quot;32770680&quot;/&gt;&lt;wsp:rsid wsp:val=&quot;329B5FE3&quot;/&gt;&lt;wsp:rsid wsp:val=&quot;32EA3B58&quot;/&gt;&lt;wsp:rsid wsp:val=&quot;33240E2C&quot;/&gt;&lt;wsp:rsid wsp:val=&quot;33E06810&quot;/&gt;&lt;wsp:rsid wsp:val=&quot;344A08AC&quot;/&gt;&lt;wsp:rsid wsp:val=&quot;345179FF&quot;/&gt;&lt;wsp:rsid wsp:val=&quot;349124F1&quot;/&gt;&lt;wsp:rsid wsp:val=&quot;35596ADD&quot;/&gt;&lt;wsp:rsid wsp:val=&quot;356279EA&quot;/&gt;&lt;wsp:rsid wsp:val=&quot;356367AE&quot;/&gt;&lt;wsp:rsid wsp:val=&quot;35EC7961&quot;/&gt;&lt;wsp:rsid wsp:val=&quot;36050AA1&quot;/&gt;&lt;wsp:rsid wsp:val=&quot;362269FA&quot;/&gt;&lt;wsp:rsid wsp:val=&quot;36524CFB&quot;/&gt;&lt;wsp:rsid wsp:val=&quot;36722908&quot;/&gt;&lt;wsp:rsid wsp:val=&quot;36A87541&quot;/&gt;&lt;wsp:rsid wsp:val=&quot;36CF0DBE&quot;/&gt;&lt;wsp:rsid wsp:val=&quot;3769460F&quot;/&gt;&lt;wsp:rsid wsp:val=&quot;377232CA&quot;/&gt;&lt;wsp:rsid wsp:val=&quot;377F4883&quot;/&gt;&lt;wsp:rsid wsp:val=&quot;38431D54&quot;/&gt;&lt;wsp:rsid wsp:val=&quot;387168C2&quot;/&gt;&lt;wsp:rsid wsp:val=&quot;389306B3&quot;/&gt;&lt;wsp:rsid wsp:val=&quot;39CD76B2&quot;/&gt;&lt;wsp:rsid wsp:val=&quot;3A0172F2&quot;/&gt;&lt;wsp:rsid wsp:val=&quot;3A3A2339&quot;/&gt;&lt;wsp:rsid wsp:val=&quot;3A9C399E&quot;/&gt;&lt;wsp:rsid wsp:val=&quot;3B610D6C&quot;/&gt;&lt;wsp:rsid wsp:val=&quot;3B673D85&quot;/&gt;&lt;wsp:rsid wsp:val=&quot;3BBD41F8&quot;/&gt;&lt;wsp:rsid wsp:val=&quot;3C683B38&quot;/&gt;&lt;wsp:rsid wsp:val=&quot;3C746980&quot;/&gt;&lt;wsp:rsid wsp:val=&quot;3C7B2D8D&quot;/&gt;&lt;wsp:rsid wsp:val=&quot;3CBF1452&quot;/&gt;&lt;wsp:rsid wsp:val=&quot;3D5365DD&quot;/&gt;&lt;wsp:rsid wsp:val=&quot;3D6437AD&quot;/&gt;&lt;wsp:rsid wsp:val=&quot;3D644491&quot;/&gt;&lt;wsp:rsid wsp:val=&quot;3EED3580&quot;/&gt;&lt;wsp:rsid wsp:val=&quot;3F3D549F&quot;/&gt;&lt;wsp:rsid wsp:val=&quot;3FC65601&quot;/&gt;&lt;wsp:rsid wsp:val=&quot;400074F9&quot;/&gt;&lt;wsp:rsid wsp:val=&quot;40B43AD6&quot;/&gt;&lt;wsp:rsid wsp:val=&quot;40D13866&quot;/&gt;&lt;wsp:rsid wsp:val=&quot;428E0070&quot;/&gt;&lt;wsp:rsid wsp:val=&quot;42AA72D4&quot;/&gt;&lt;wsp:rsid wsp:val=&quot;42C6119D&quot;/&gt;&lt;wsp:rsid wsp:val=&quot;42D53EF1&quot;/&gt;&lt;wsp:rsid wsp:val=&quot;435E1912&quot;/&gt;&lt;wsp:rsid wsp:val=&quot;438229E4&quot;/&gt;&lt;wsp:rsid wsp:val=&quot;44330ECF&quot;/&gt;&lt;wsp:rsid wsp:val=&quot;458022DE&quot;/&gt;&lt;wsp:rsid wsp:val=&quot;469D4D26&quot;/&gt;&lt;wsp:rsid wsp:val=&quot;46A023EA&quot;/&gt;&lt;wsp:rsid wsp:val=&quot;47283F37&quot;/&gt;&lt;wsp:rsid wsp:val=&quot;47573505&quot;/&gt;&lt;wsp:rsid wsp:val=&quot;47AD384F&quot;/&gt;&lt;wsp:rsid wsp:val=&quot;47E706B4&quot;/&gt;&lt;wsp:rsid wsp:val=&quot;48290E23&quot;/&gt;&lt;wsp:rsid wsp:val=&quot;49326564&quot;/&gt;&lt;wsp:rsid wsp:val=&quot;4A4C4707&quot;/&gt;&lt;wsp:rsid wsp:val=&quot;4A8A3813&quot;/&gt;&lt;wsp:rsid wsp:val=&quot;4BDD5003&quot;/&gt;&lt;wsp:rsid wsp:val=&quot;4C681932&quot;/&gt;&lt;wsp:rsid wsp:val=&quot;4D08279D&quot;/&gt;&lt;wsp:rsid wsp:val=&quot;4D6C0DAE&quot;/&gt;&lt;wsp:rsid wsp:val=&quot;4E1468D3&quot;/&gt;&lt;wsp:rsid wsp:val=&quot;4F306FED&quot;/&gt;&lt;wsp:rsid wsp:val=&quot;4F345833&quot;/&gt;&lt;wsp:rsid wsp:val=&quot;500E594C&quot;/&gt;&lt;wsp:rsid wsp:val=&quot;50AF1CEA&quot;/&gt;&lt;wsp:rsid wsp:val=&quot;516A6D37&quot;/&gt;&lt;wsp:rsid wsp:val=&quot;520A2CE4&quot;/&gt;&lt;wsp:rsid wsp:val=&quot;525D5400&quot;/&gt;&lt;wsp:rsid wsp:val=&quot;52BB69ED&quot;/&gt;&lt;wsp:rsid wsp:val=&quot;52CA7A63&quot;/&gt;&lt;wsp:rsid wsp:val=&quot;533C1191&quot;/&gt;&lt;wsp:rsid wsp:val=&quot;533C1BC8&quot;/&gt;&lt;wsp:rsid wsp:val=&quot;534914D2&quot;/&gt;&lt;wsp:rsid wsp:val=&quot;53832F11&quot;/&gt;&lt;wsp:rsid wsp:val=&quot;53AE0572&quot;/&gt;&lt;wsp:rsid wsp:val=&quot;53B8041D&quot;/&gt;&lt;wsp:rsid wsp:val=&quot;5479220D&quot;/&gt;&lt;wsp:rsid wsp:val=&quot;54C871E5&quot;/&gt;&lt;wsp:rsid wsp:val=&quot;54FB1902&quot;/&gt;&lt;wsp:rsid wsp:val=&quot;55256612&quot;/&gt;&lt;wsp:rsid wsp:val=&quot;55F14746&quot;/&gt;&lt;wsp:rsid wsp:val=&quot;56300E82&quot;/&gt;&lt;wsp:rsid wsp:val=&quot;56382932&quot;/&gt;&lt;wsp:rsid wsp:val=&quot;564725B8&quot;/&gt;&lt;wsp:rsid wsp:val=&quot;56905D0D&quot;/&gt;&lt;wsp:rsid wsp:val=&quot;56B516F9&quot;/&gt;&lt;wsp:rsid wsp:val=&quot;56C9110C&quot;/&gt;&lt;wsp:rsid wsp:val=&quot;56E301FF&quot;/&gt;&lt;wsp:rsid wsp:val=&quot;57E26080&quot;/&gt;&lt;wsp:rsid wsp:val=&quot;585B279E&quot;/&gt;&lt;wsp:rsid wsp:val=&quot;585D3F0C&quot;/&gt;&lt;wsp:rsid wsp:val=&quot;587F1C21&quot;/&gt;&lt;wsp:rsid wsp:val=&quot;5A935858&quot;/&gt;&lt;wsp:rsid wsp:val=&quot;5AB4642C&quot;/&gt;&lt;wsp:rsid wsp:val=&quot;5AE53F9E&quot;/&gt;&lt;wsp:rsid wsp:val=&quot;5B13515F&quot;/&gt;&lt;wsp:rsid wsp:val=&quot;5B446FC3&quot;/&gt;&lt;wsp:rsid wsp:val=&quot;5C9A59DF&quot;/&gt;&lt;wsp:rsid wsp:val=&quot;5D582E65&quot;/&gt;&lt;wsp:rsid wsp:val=&quot;5EE62167&quot;/&gt;&lt;wsp:rsid wsp:val=&quot;5F1B0545&quot;/&gt;&lt;wsp:rsid wsp:val=&quot;5F763B05&quot;/&gt;&lt;wsp:rsid wsp:val=&quot;5FF53172&quot;/&gt;&lt;wsp:rsid wsp:val=&quot;60051EB2&quot;/&gt;&lt;wsp:rsid wsp:val=&quot;601E438A&quot;/&gt;&lt;wsp:rsid wsp:val=&quot;60207518&quot;/&gt;&lt;wsp:rsid wsp:val=&quot;610C6F7A&quot;/&gt;&lt;wsp:rsid wsp:val=&quot;615001C0&quot;/&gt;&lt;wsp:rsid wsp:val=&quot;61563AF5&quot;/&gt;&lt;wsp:rsid wsp:val=&quot;61910951&quot;/&gt;&lt;wsp:rsid wsp:val=&quot;61B25832&quot;/&gt;&lt;wsp:rsid wsp:val=&quot;61E91312&quot;/&gt;&lt;wsp:rsid wsp:val=&quot;62675A80&quot;/&gt;&lt;wsp:rsid wsp:val=&quot;629653A5&quot;/&gt;&lt;wsp:rsid wsp:val=&quot;62D61A5A&quot;/&gt;&lt;wsp:rsid wsp:val=&quot;62E71659&quot;/&gt;&lt;wsp:rsid wsp:val=&quot;63194C9E&quot;/&gt;&lt;wsp:rsid wsp:val=&quot;641809B3&quot;/&gt;&lt;wsp:rsid wsp:val=&quot;64EE6A20&quot;/&gt;&lt;wsp:rsid wsp:val=&quot;67237331&quot;/&gt;&lt;wsp:rsid wsp:val=&quot;67D769E9&quot;/&gt;&lt;wsp:rsid wsp:val=&quot;6846757A&quot;/&gt;&lt;wsp:rsid wsp:val=&quot;68534DEC&quot;/&gt;&lt;wsp:rsid wsp:val=&quot;68A8293F&quot;/&gt;&lt;wsp:rsid wsp:val=&quot;690259CF&quot;/&gt;&lt;wsp:rsid wsp:val=&quot;6A28185C&quot;/&gt;&lt;wsp:rsid wsp:val=&quot;6A2C1008&quot;/&gt;&lt;wsp:rsid wsp:val=&quot;6A5C35F6&quot;/&gt;&lt;wsp:rsid wsp:val=&quot;6AB843A1&quot;/&gt;&lt;wsp:rsid wsp:val=&quot;6B326497&quot;/&gt;&lt;wsp:rsid wsp:val=&quot;6BE91CB2&quot;/&gt;&lt;wsp:rsid wsp:val=&quot;6C010981&quot;/&gt;&lt;wsp:rsid wsp:val=&quot;6C0256BF&quot;/&gt;&lt;wsp:rsid wsp:val=&quot;6CAA7AFE&quot;/&gt;&lt;wsp:rsid wsp:val=&quot;6D5525ED&quot;/&gt;&lt;wsp:rsid wsp:val=&quot;6E3F2DEC&quot;/&gt;&lt;wsp:rsid wsp:val=&quot;6E562753&quot;/&gt;&lt;wsp:rsid wsp:val=&quot;6E8E261D&quot;/&gt;&lt;wsp:rsid wsp:val=&quot;6EE659C9&quot;/&gt;&lt;wsp:rsid wsp:val=&quot;6F7A7875&quot;/&gt;&lt;wsp:rsid wsp:val=&quot;6FF92AFA&quot;/&gt;&lt;wsp:rsid wsp:val=&quot;7042325A&quot;/&gt;&lt;wsp:rsid wsp:val=&quot;7089035B&quot;/&gt;&lt;wsp:rsid wsp:val=&quot;70A06FE8&quot;/&gt;&lt;wsp:rsid wsp:val=&quot;70B7060E&quot;/&gt;&lt;wsp:rsid wsp:val=&quot;70EF01F6&quot;/&gt;&lt;wsp:rsid wsp:val=&quot;717F6475&quot;/&gt;&lt;wsp:rsid wsp:val=&quot;71D2495D&quot;/&gt;&lt;wsp:rsid wsp:val=&quot;72CA64A6&quot;/&gt;&lt;wsp:rsid wsp:val=&quot;736E377E&quot;/&gt;&lt;wsp:rsid wsp:val=&quot;739F2FC5&quot;/&gt;&lt;wsp:rsid wsp:val=&quot;740F0761&quot;/&gt;&lt;wsp:rsid wsp:val=&quot;743D707D&quot;/&gt;&lt;wsp:rsid wsp:val=&quot;74510FF3&quot;/&gt;&lt;wsp:rsid wsp:val=&quot;7488127C&quot;/&gt;&lt;wsp:rsid wsp:val=&quot;75664928&quot;/&gt;&lt;wsp:rsid wsp:val=&quot;76AD5163&quot;/&gt;&lt;wsp:rsid wsp:val=&quot;7773065F&quot;/&gt;&lt;wsp:rsid wsp:val=&quot;779C21A8&quot;/&gt;&lt;wsp:rsid wsp:val=&quot;77B2201E&quot;/&gt;&lt;wsp:rsid wsp:val=&quot;77F550B4&quot;/&gt;&lt;wsp:rsid wsp:val=&quot;78014561&quot;/&gt;&lt;wsp:rsid wsp:val=&quot;78EB4105&quot;/&gt;&lt;wsp:rsid wsp:val=&quot;78ED1F0F&quot;/&gt;&lt;wsp:rsid wsp:val=&quot;79070348&quot;/&gt;&lt;wsp:rsid wsp:val=&quot;79492020&quot;/&gt;&lt;wsp:rsid wsp:val=&quot;7A33598C&quot;/&gt;&lt;wsp:rsid wsp:val=&quot;7A66025B&quot;/&gt;&lt;wsp:rsid wsp:val=&quot;7A8145AB&quot;/&gt;&lt;wsp:rsid wsp:val=&quot;7B9E4E40&quot;/&gt;&lt;wsp:rsid wsp:val=&quot;7BF03D54&quot;/&gt;&lt;wsp:rsid wsp:val=&quot;7C043437&quot;/&gt;&lt;wsp:rsid wsp:val=&quot;7C914409&quot;/&gt;&lt;wsp:rsid wsp:val=&quot;7C9B57CF&quot;/&gt;&lt;wsp:rsid wsp:val=&quot;7CC353FF&quot;/&gt;&lt;wsp:rsid wsp:val=&quot;7CD41031&quot;/&gt;&lt;wsp:rsid wsp:val=&quot;7CFC1507&quot;/&gt;&lt;wsp:rsid wsp:val=&quot;7D042996&quot;/&gt;&lt;wsp:rsid wsp:val=&quot;7E071973&quot;/&gt;&lt;wsp:rsid wsp:val=&quot;7E5974B5&quot;/&gt;&lt;wsp:rsid wsp:val=&quot;7EF50554&quot;/&gt;&lt;wsp:rsid wsp:val=&quot;7F121106&quot;/&gt;&lt;wsp:rsid wsp:val=&quot;7FDD2BBE&quot;/&gt;&lt;wsp:rsid wsp:val=&quot;7FF13411&quot;/&gt;&lt;/wsp:rsids&gt;&lt;/w:docPr&gt;&lt;w:body&gt;&lt;w:p wsp:rsidR=&quot;00000000&quot; wsp:rsidRDefault=&quot;00270C78&quot;&gt;&lt;m:oMathPara&gt;&lt;m:oMath&gt;&lt;m:r&gt;&lt;w:rPr&gt;&lt;w:rFonts w:ascii=&quot;Cambria Math&quot; w:h-ansi=&quot;Cambria Math&quot;/&gt;&lt;wx:font wx:val=&quot;Cambria Math&quot;/&gt;&lt;w:i/&gt;&lt;w:sz w:val=&quot;24&quot;/&gt;&lt;/w:rPr&gt;&lt;m:t&gt;U&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30" chromakey="#FFFFFF" o:title=""/>
            <o:lock v:ext="edit" aspectratio="t"/>
            <w10:wrap type="none"/>
            <w10:anchorlock/>
          </v:shape>
        </w:pict>
      </w:r>
      <w:r>
        <w:rPr>
          <w:rFonts w:ascii="黑体" w:hAnsi="黑体" w:eastAsia="黑体"/>
          <w:sz w:val="24"/>
        </w:rPr>
        <w:instrText xml:space="preserve"> </w:instrText>
      </w:r>
      <w:r>
        <w:rPr>
          <w:rFonts w:ascii="黑体" w:hAnsi="黑体" w:eastAsia="黑体"/>
          <w:sz w:val="24"/>
        </w:rPr>
        <w:fldChar w:fldCharType="separate"/>
      </w:r>
      <w:r>
        <w:rPr>
          <w:rFonts w:ascii="黑体" w:hAnsi="黑体" w:eastAsia="黑体"/>
          <w:sz w:val="24"/>
        </w:rPr>
        <w:fldChar w:fldCharType="end"/>
      </w:r>
    </w:p>
    <w:p>
      <w:pPr>
        <w:topLinePunct/>
        <w:spacing w:line="300" w:lineRule="auto"/>
        <w:ind w:firstLine="480" w:firstLineChars="200"/>
        <w:rPr>
          <w:sz w:val="24"/>
        </w:rPr>
      </w:pPr>
      <w:r>
        <w:rPr>
          <w:rFonts w:hint="eastAsia"/>
          <w:sz w:val="24"/>
        </w:rPr>
        <w:t>取</w:t>
      </w:r>
      <w:r>
        <w:rPr>
          <w:rFonts w:hint="eastAsia" w:ascii="宋体" w:hAnsi="宋体"/>
          <w:sz w:val="24"/>
        </w:rPr>
        <w:t>包含</w:t>
      </w:r>
      <w:r>
        <w:rPr>
          <w:rFonts w:hint="eastAsia"/>
          <w:sz w:val="24"/>
        </w:rPr>
        <w:t>因子</w:t>
      </w:r>
      <w:r>
        <w:rPr>
          <w:i/>
          <w:sz w:val="24"/>
        </w:rPr>
        <w:t>k</w:t>
      </w:r>
      <w:r>
        <w:rPr>
          <w:rFonts w:hint="eastAsia" w:ascii="宋体" w:hAnsi="宋体"/>
          <w:sz w:val="24"/>
        </w:rPr>
        <w:t>＝</w:t>
      </w:r>
      <w:r>
        <w:rPr>
          <w:rFonts w:ascii="宋体" w:hAnsi="宋体"/>
          <w:sz w:val="24"/>
        </w:rPr>
        <w:t>2</w:t>
      </w:r>
      <w:r>
        <w:rPr>
          <w:rFonts w:hint="eastAsia" w:ascii="宋体" w:hAnsi="宋体"/>
          <w:sz w:val="24"/>
        </w:rPr>
        <w:t>，</w:t>
      </w:r>
      <w:r>
        <w:rPr>
          <w:rFonts w:hint="eastAsia" w:ascii="宋体" w:hAnsi="宋体"/>
          <w:sz w:val="24"/>
          <w:lang w:val="en-US" w:eastAsia="zh-CN"/>
        </w:rPr>
        <w:t>总产烟量</w:t>
      </w:r>
      <w:r>
        <w:rPr>
          <w:rFonts w:hint="eastAsia" w:ascii="宋体" w:hAnsi="宋体"/>
          <w:sz w:val="24"/>
        </w:rPr>
        <w:t>示值误差的测量结果扩展不确定度：</w:t>
      </w:r>
    </w:p>
    <w:p>
      <w:pPr>
        <w:tabs>
          <w:tab w:val="left" w:pos="1490"/>
        </w:tabs>
        <w:topLinePunct/>
        <w:spacing w:line="300" w:lineRule="auto"/>
        <w:jc w:val="center"/>
        <w:rPr>
          <w:sz w:val="24"/>
        </w:rPr>
      </w:pPr>
      <w:r>
        <w:rPr>
          <w:position w:val="-12"/>
        </w:rPr>
        <w:object>
          <v:shape id="_x0000_i1081" o:spt="75" alt="" type="#_x0000_t75" style="height:18pt;width:74pt;" o:ole="t" filled="f" o:preferrelative="t" stroked="f" coordsize="21600,21600">
            <v:path/>
            <v:fill on="f" focussize="0,0"/>
            <v:stroke on="f"/>
            <v:imagedata r:id="rId44" o:title=""/>
            <o:lock v:ext="edit" aspectratio="t"/>
            <w10:wrap type="none"/>
            <w10:anchorlock/>
          </v:shape>
          <o:OLEObject Type="Embed" ProgID="Equation.3" ShapeID="_x0000_i1081" DrawAspect="Content" ObjectID="_1468075736" r:id="rId43">
            <o:LockedField>false</o:LockedField>
          </o:OLEObject>
        </w:object>
      </w:r>
    </w:p>
    <w:sectPr>
      <w:footerReference r:id="rId10" w:type="default"/>
      <w:pgSz w:w="11906" w:h="16838"/>
      <w:pgMar w:top="1588" w:right="1418" w:bottom="1418" w:left="1418" w:header="709" w:footer="709" w:gutter="0"/>
      <w:pgNumType w:start="7"/>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TZhongsong">
    <w:altName w:val="Segoe Print"/>
    <w:panose1 w:val="00000000000000000000"/>
    <w:charset w:val="00"/>
    <w:family w:val="roman"/>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KaiTi_GB2312">
    <w:altName w:val="楷体"/>
    <w:panose1 w:val="02010609060101010101"/>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01396"/>
      <w:showingPlcHdr/>
    </w:sdtPr>
    <w:sdtContent>
      <w:p>
        <w:pPr>
          <w:pStyle w:val="10"/>
          <w:jc w:val="center"/>
        </w:pP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01388"/>
    </w:sdtPr>
    <w:sdtContent>
      <w:p>
        <w:pPr>
          <w:pStyle w:val="10"/>
          <w:jc w:val="center"/>
        </w:pPr>
        <w:r>
          <w:fldChar w:fldCharType="begin"/>
        </w:r>
        <w:r>
          <w:instrText xml:space="preserve"> PAGE   \* MERGEFORMAT </w:instrText>
        </w:r>
        <w:r>
          <w:fldChar w:fldCharType="separate"/>
        </w:r>
        <w:r>
          <w:rPr>
            <w:lang w:val="zh-CN"/>
          </w:rPr>
          <w:t>II</w:t>
        </w:r>
        <w:r>
          <w:rPr>
            <w:lang w:val="zh-CN"/>
          </w:rPr>
          <w:fldChar w:fldCharType="end"/>
        </w:r>
      </w:p>
    </w:sdtContent>
  </w:sdt>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文本框 1048" o:spid="_x0000_s2049" o:spt="202" type="#_x0000_t202" style="position:absolute;left:0pt;margin-top:0pt;height:144pt;width:144pt;mso-position-horizontal:right;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PAGE  </w:instrText>
                </w:r>
                <w:r>
                  <w:fldChar w:fldCharType="separate"/>
                </w:r>
                <w:r>
                  <w:t>10</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2051" o:spid="_x0000_s2051" o:spt="202" type="#_x0000_t202" style="position:absolute;left:0pt;margin-top:0pt;height:144pt;width:144pt;mso-position-horizontal:right;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PAGE  </w:instrText>
                </w:r>
                <w:r>
                  <w:fldChar w:fldCharType="separate"/>
                </w:r>
                <w:r>
                  <w:t>10</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2052" o:spid="_x0000_s2052" o:spt="202" type="#_x0000_t202" style="position:absolute;left:0pt;margin-top:0pt;height:144pt;width:144pt;mso-position-horizontal:right;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PAGE  </w:instrText>
                </w:r>
                <w:r>
                  <w:fldChar w:fldCharType="separate"/>
                </w:r>
                <w:r>
                  <w:t>10</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2050" o:spid="_x0000_s2050"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6" w:space="10"/>
      </w:pBdr>
    </w:pPr>
    <w:r>
      <w:rPr>
        <w:rFonts w:hint="eastAsia"/>
      </w:rPr>
      <w:t>JJF(建材)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2"/>
    <w:multiLevelType w:val="multilevel"/>
    <w:tmpl w:val="00000012"/>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1"/>
      <w:suff w:val="nothing"/>
      <w:lvlText w:val="%1%2　"/>
      <w:lvlJc w:val="left"/>
      <w:pPr>
        <w:ind w:left="210" w:firstLine="0"/>
      </w:pPr>
      <w:rPr>
        <w:rFonts w:hint="eastAsia" w:ascii="黑体" w:hAnsi="Times New Roman" w:eastAsia="黑体"/>
        <w:b w:val="0"/>
        <w:i w:val="0"/>
        <w:sz w:val="24"/>
        <w:szCs w:val="24"/>
      </w:rPr>
    </w:lvl>
    <w:lvl w:ilvl="2" w:tentative="0">
      <w:start w:val="1"/>
      <w:numFmt w:val="decimal"/>
      <w:suff w:val="nothing"/>
      <w:lvlText w:val="%1%2.%3　"/>
      <w:lvlJc w:val="left"/>
      <w:pPr>
        <w:ind w:left="357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91E9CCB"/>
    <w:multiLevelType w:val="singleLevel"/>
    <w:tmpl w:val="591E9CCB"/>
    <w:lvl w:ilvl="0" w:tentative="0">
      <w:start w:val="1"/>
      <w:numFmt w:val="low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ODEzMmI4YTQyZjVhYmY0Y2I4MjQ3MWEwMzJmMGU2N2IifQ=="/>
  </w:docVars>
  <w:rsids>
    <w:rsidRoot w:val="00D31D50"/>
    <w:rsid w:val="000009FD"/>
    <w:rsid w:val="00001A01"/>
    <w:rsid w:val="00001FE2"/>
    <w:rsid w:val="00002307"/>
    <w:rsid w:val="0000236E"/>
    <w:rsid w:val="00002CF7"/>
    <w:rsid w:val="000030B2"/>
    <w:rsid w:val="00003F42"/>
    <w:rsid w:val="000050E7"/>
    <w:rsid w:val="00007213"/>
    <w:rsid w:val="00014B42"/>
    <w:rsid w:val="00016B07"/>
    <w:rsid w:val="00017000"/>
    <w:rsid w:val="0001760A"/>
    <w:rsid w:val="00017909"/>
    <w:rsid w:val="00020EAB"/>
    <w:rsid w:val="00022442"/>
    <w:rsid w:val="000225BD"/>
    <w:rsid w:val="00025477"/>
    <w:rsid w:val="000264D7"/>
    <w:rsid w:val="00032AE0"/>
    <w:rsid w:val="0003495D"/>
    <w:rsid w:val="00035936"/>
    <w:rsid w:val="00036AD9"/>
    <w:rsid w:val="00036D2C"/>
    <w:rsid w:val="00041250"/>
    <w:rsid w:val="00043AD0"/>
    <w:rsid w:val="00045BB7"/>
    <w:rsid w:val="00046288"/>
    <w:rsid w:val="00051D1C"/>
    <w:rsid w:val="0005538D"/>
    <w:rsid w:val="00056983"/>
    <w:rsid w:val="00057B9F"/>
    <w:rsid w:val="00057FDA"/>
    <w:rsid w:val="00060D41"/>
    <w:rsid w:val="0006139C"/>
    <w:rsid w:val="00065572"/>
    <w:rsid w:val="00065F53"/>
    <w:rsid w:val="00066C81"/>
    <w:rsid w:val="00066F34"/>
    <w:rsid w:val="000729DD"/>
    <w:rsid w:val="000739E7"/>
    <w:rsid w:val="00073A81"/>
    <w:rsid w:val="00075F84"/>
    <w:rsid w:val="0007797D"/>
    <w:rsid w:val="00082065"/>
    <w:rsid w:val="00091F98"/>
    <w:rsid w:val="00092013"/>
    <w:rsid w:val="0009341D"/>
    <w:rsid w:val="0009609D"/>
    <w:rsid w:val="000976C7"/>
    <w:rsid w:val="0009772C"/>
    <w:rsid w:val="000A1B05"/>
    <w:rsid w:val="000A41CB"/>
    <w:rsid w:val="000A5C8B"/>
    <w:rsid w:val="000B464C"/>
    <w:rsid w:val="000B6383"/>
    <w:rsid w:val="000B7FD3"/>
    <w:rsid w:val="000C0FB2"/>
    <w:rsid w:val="000C0FFE"/>
    <w:rsid w:val="000C12C3"/>
    <w:rsid w:val="000C2746"/>
    <w:rsid w:val="000C3383"/>
    <w:rsid w:val="000C7FCD"/>
    <w:rsid w:val="000D1C04"/>
    <w:rsid w:val="000D401D"/>
    <w:rsid w:val="000D402D"/>
    <w:rsid w:val="000D457B"/>
    <w:rsid w:val="000D4925"/>
    <w:rsid w:val="000D5CF0"/>
    <w:rsid w:val="000E4067"/>
    <w:rsid w:val="000E736D"/>
    <w:rsid w:val="000F3D07"/>
    <w:rsid w:val="000F400A"/>
    <w:rsid w:val="000F40FA"/>
    <w:rsid w:val="000F445A"/>
    <w:rsid w:val="000F6C29"/>
    <w:rsid w:val="000F783B"/>
    <w:rsid w:val="000F7EA3"/>
    <w:rsid w:val="00100229"/>
    <w:rsid w:val="00103127"/>
    <w:rsid w:val="00106099"/>
    <w:rsid w:val="00110F84"/>
    <w:rsid w:val="001174B5"/>
    <w:rsid w:val="00120C31"/>
    <w:rsid w:val="00122038"/>
    <w:rsid w:val="0012234E"/>
    <w:rsid w:val="00124E7F"/>
    <w:rsid w:val="00126303"/>
    <w:rsid w:val="001270E4"/>
    <w:rsid w:val="00127119"/>
    <w:rsid w:val="001275E9"/>
    <w:rsid w:val="00135AB7"/>
    <w:rsid w:val="001367A4"/>
    <w:rsid w:val="00137049"/>
    <w:rsid w:val="00140031"/>
    <w:rsid w:val="0014353B"/>
    <w:rsid w:val="00145987"/>
    <w:rsid w:val="00147942"/>
    <w:rsid w:val="001546F3"/>
    <w:rsid w:val="00155C34"/>
    <w:rsid w:val="00157D1A"/>
    <w:rsid w:val="00160EAB"/>
    <w:rsid w:val="0016270D"/>
    <w:rsid w:val="00164C33"/>
    <w:rsid w:val="00166970"/>
    <w:rsid w:val="00167618"/>
    <w:rsid w:val="00170BC8"/>
    <w:rsid w:val="00170D35"/>
    <w:rsid w:val="00171067"/>
    <w:rsid w:val="00171D85"/>
    <w:rsid w:val="0017259F"/>
    <w:rsid w:val="00174FE2"/>
    <w:rsid w:val="001759D6"/>
    <w:rsid w:val="0017617F"/>
    <w:rsid w:val="001800DC"/>
    <w:rsid w:val="0018181D"/>
    <w:rsid w:val="001819D3"/>
    <w:rsid w:val="00182B03"/>
    <w:rsid w:val="00185E4B"/>
    <w:rsid w:val="00187AE3"/>
    <w:rsid w:val="00190407"/>
    <w:rsid w:val="00193A36"/>
    <w:rsid w:val="0019407D"/>
    <w:rsid w:val="00194AB0"/>
    <w:rsid w:val="00194FD1"/>
    <w:rsid w:val="00197544"/>
    <w:rsid w:val="001A1430"/>
    <w:rsid w:val="001A1467"/>
    <w:rsid w:val="001A4313"/>
    <w:rsid w:val="001A5C96"/>
    <w:rsid w:val="001A7C0E"/>
    <w:rsid w:val="001B0284"/>
    <w:rsid w:val="001B0DD5"/>
    <w:rsid w:val="001B0EAD"/>
    <w:rsid w:val="001B146E"/>
    <w:rsid w:val="001B4926"/>
    <w:rsid w:val="001B5A15"/>
    <w:rsid w:val="001B7877"/>
    <w:rsid w:val="001B7E52"/>
    <w:rsid w:val="001C15C6"/>
    <w:rsid w:val="001C1F16"/>
    <w:rsid w:val="001C2309"/>
    <w:rsid w:val="001C23E1"/>
    <w:rsid w:val="001C281E"/>
    <w:rsid w:val="001C368B"/>
    <w:rsid w:val="001C7D55"/>
    <w:rsid w:val="001D2783"/>
    <w:rsid w:val="001D5775"/>
    <w:rsid w:val="001D616A"/>
    <w:rsid w:val="001E090C"/>
    <w:rsid w:val="001E1B65"/>
    <w:rsid w:val="001E3D0E"/>
    <w:rsid w:val="001E5535"/>
    <w:rsid w:val="001E7FB2"/>
    <w:rsid w:val="001F0A2B"/>
    <w:rsid w:val="001F1D46"/>
    <w:rsid w:val="001F1EAA"/>
    <w:rsid w:val="001F2758"/>
    <w:rsid w:val="001F6E50"/>
    <w:rsid w:val="001F7E8E"/>
    <w:rsid w:val="00202EE1"/>
    <w:rsid w:val="002035BC"/>
    <w:rsid w:val="00204602"/>
    <w:rsid w:val="00205589"/>
    <w:rsid w:val="0021445C"/>
    <w:rsid w:val="00215049"/>
    <w:rsid w:val="00216AB8"/>
    <w:rsid w:val="002177DF"/>
    <w:rsid w:val="00217E1C"/>
    <w:rsid w:val="00220C7E"/>
    <w:rsid w:val="002214AD"/>
    <w:rsid w:val="0022252A"/>
    <w:rsid w:val="00222AF8"/>
    <w:rsid w:val="002314BF"/>
    <w:rsid w:val="002346F2"/>
    <w:rsid w:val="0023479A"/>
    <w:rsid w:val="0023559B"/>
    <w:rsid w:val="00241D31"/>
    <w:rsid w:val="00243A3F"/>
    <w:rsid w:val="00243CF6"/>
    <w:rsid w:val="002466DE"/>
    <w:rsid w:val="00255606"/>
    <w:rsid w:val="002559DC"/>
    <w:rsid w:val="00256395"/>
    <w:rsid w:val="0025790A"/>
    <w:rsid w:val="00260548"/>
    <w:rsid w:val="002615F3"/>
    <w:rsid w:val="00265307"/>
    <w:rsid w:val="002655DF"/>
    <w:rsid w:val="0026795C"/>
    <w:rsid w:val="002679DA"/>
    <w:rsid w:val="002708FE"/>
    <w:rsid w:val="00271F51"/>
    <w:rsid w:val="0027423D"/>
    <w:rsid w:val="00274EF7"/>
    <w:rsid w:val="002753F7"/>
    <w:rsid w:val="00282D17"/>
    <w:rsid w:val="002844C2"/>
    <w:rsid w:val="00287E64"/>
    <w:rsid w:val="00290077"/>
    <w:rsid w:val="002942DF"/>
    <w:rsid w:val="0029678A"/>
    <w:rsid w:val="002A41C2"/>
    <w:rsid w:val="002A5BA9"/>
    <w:rsid w:val="002A5CCA"/>
    <w:rsid w:val="002A5E6C"/>
    <w:rsid w:val="002A66B1"/>
    <w:rsid w:val="002A7E44"/>
    <w:rsid w:val="002B0775"/>
    <w:rsid w:val="002B654B"/>
    <w:rsid w:val="002B7B09"/>
    <w:rsid w:val="002C02A2"/>
    <w:rsid w:val="002C0C46"/>
    <w:rsid w:val="002C2226"/>
    <w:rsid w:val="002C3D09"/>
    <w:rsid w:val="002C4A26"/>
    <w:rsid w:val="002C7A27"/>
    <w:rsid w:val="002D05E9"/>
    <w:rsid w:val="002D4426"/>
    <w:rsid w:val="002D5039"/>
    <w:rsid w:val="002E2AA2"/>
    <w:rsid w:val="002E2D74"/>
    <w:rsid w:val="002E3021"/>
    <w:rsid w:val="002E3716"/>
    <w:rsid w:val="002E4D8D"/>
    <w:rsid w:val="002E6EC9"/>
    <w:rsid w:val="002E735E"/>
    <w:rsid w:val="002E73E7"/>
    <w:rsid w:val="002F0079"/>
    <w:rsid w:val="002F0AF1"/>
    <w:rsid w:val="002F13CB"/>
    <w:rsid w:val="002F3007"/>
    <w:rsid w:val="002F3333"/>
    <w:rsid w:val="002F6A88"/>
    <w:rsid w:val="00300428"/>
    <w:rsid w:val="00301365"/>
    <w:rsid w:val="0030252B"/>
    <w:rsid w:val="0030352E"/>
    <w:rsid w:val="00303F66"/>
    <w:rsid w:val="00310C29"/>
    <w:rsid w:val="00311377"/>
    <w:rsid w:val="003128DE"/>
    <w:rsid w:val="00312FD2"/>
    <w:rsid w:val="00315212"/>
    <w:rsid w:val="0031651A"/>
    <w:rsid w:val="003173CE"/>
    <w:rsid w:val="003200AE"/>
    <w:rsid w:val="00320C95"/>
    <w:rsid w:val="00321180"/>
    <w:rsid w:val="00321BA8"/>
    <w:rsid w:val="00322F9C"/>
    <w:rsid w:val="00323B43"/>
    <w:rsid w:val="003240DF"/>
    <w:rsid w:val="003259CB"/>
    <w:rsid w:val="00326A04"/>
    <w:rsid w:val="00326F94"/>
    <w:rsid w:val="00330EA6"/>
    <w:rsid w:val="0033109E"/>
    <w:rsid w:val="003314D4"/>
    <w:rsid w:val="00331858"/>
    <w:rsid w:val="003335BA"/>
    <w:rsid w:val="003354C4"/>
    <w:rsid w:val="00341639"/>
    <w:rsid w:val="0034184F"/>
    <w:rsid w:val="00341BC0"/>
    <w:rsid w:val="0034226C"/>
    <w:rsid w:val="00342536"/>
    <w:rsid w:val="0034333A"/>
    <w:rsid w:val="0034333F"/>
    <w:rsid w:val="00343504"/>
    <w:rsid w:val="003444FC"/>
    <w:rsid w:val="00345808"/>
    <w:rsid w:val="00353B21"/>
    <w:rsid w:val="00353DB2"/>
    <w:rsid w:val="003543B7"/>
    <w:rsid w:val="00357C76"/>
    <w:rsid w:val="0036307A"/>
    <w:rsid w:val="00363E3E"/>
    <w:rsid w:val="003645E6"/>
    <w:rsid w:val="00364AE8"/>
    <w:rsid w:val="00366848"/>
    <w:rsid w:val="00366E00"/>
    <w:rsid w:val="00367C58"/>
    <w:rsid w:val="00371278"/>
    <w:rsid w:val="00371666"/>
    <w:rsid w:val="003717C2"/>
    <w:rsid w:val="003755AC"/>
    <w:rsid w:val="00375ABD"/>
    <w:rsid w:val="00381B3A"/>
    <w:rsid w:val="00382C87"/>
    <w:rsid w:val="00395527"/>
    <w:rsid w:val="0039691A"/>
    <w:rsid w:val="003971FE"/>
    <w:rsid w:val="003973E5"/>
    <w:rsid w:val="003A10BC"/>
    <w:rsid w:val="003A113E"/>
    <w:rsid w:val="003A630B"/>
    <w:rsid w:val="003B19CB"/>
    <w:rsid w:val="003B3BAB"/>
    <w:rsid w:val="003B4226"/>
    <w:rsid w:val="003B438A"/>
    <w:rsid w:val="003B5FA3"/>
    <w:rsid w:val="003C0621"/>
    <w:rsid w:val="003C086C"/>
    <w:rsid w:val="003C0ABE"/>
    <w:rsid w:val="003C15B5"/>
    <w:rsid w:val="003C1BAF"/>
    <w:rsid w:val="003C35FF"/>
    <w:rsid w:val="003C4161"/>
    <w:rsid w:val="003C4644"/>
    <w:rsid w:val="003C571A"/>
    <w:rsid w:val="003C57BD"/>
    <w:rsid w:val="003C6D0D"/>
    <w:rsid w:val="003D042E"/>
    <w:rsid w:val="003D19ED"/>
    <w:rsid w:val="003D221F"/>
    <w:rsid w:val="003D2BA3"/>
    <w:rsid w:val="003D37D8"/>
    <w:rsid w:val="003D6DFB"/>
    <w:rsid w:val="003E0338"/>
    <w:rsid w:val="003E0E08"/>
    <w:rsid w:val="003E3035"/>
    <w:rsid w:val="003E349C"/>
    <w:rsid w:val="003F4C78"/>
    <w:rsid w:val="003F6233"/>
    <w:rsid w:val="003F690B"/>
    <w:rsid w:val="003F7CC2"/>
    <w:rsid w:val="00401374"/>
    <w:rsid w:val="00402AB1"/>
    <w:rsid w:val="00403ACB"/>
    <w:rsid w:val="00404D77"/>
    <w:rsid w:val="00406388"/>
    <w:rsid w:val="004079B7"/>
    <w:rsid w:val="004155BC"/>
    <w:rsid w:val="00417DB0"/>
    <w:rsid w:val="004208F0"/>
    <w:rsid w:val="00422BB0"/>
    <w:rsid w:val="00426133"/>
    <w:rsid w:val="00426F41"/>
    <w:rsid w:val="004276ED"/>
    <w:rsid w:val="00427966"/>
    <w:rsid w:val="00430071"/>
    <w:rsid w:val="0043014D"/>
    <w:rsid w:val="00430F48"/>
    <w:rsid w:val="004314EF"/>
    <w:rsid w:val="004340A5"/>
    <w:rsid w:val="00434CD5"/>
    <w:rsid w:val="004358AB"/>
    <w:rsid w:val="00436A46"/>
    <w:rsid w:val="004401DA"/>
    <w:rsid w:val="004410EA"/>
    <w:rsid w:val="00443CF9"/>
    <w:rsid w:val="00444A5E"/>
    <w:rsid w:val="00445D63"/>
    <w:rsid w:val="004471AD"/>
    <w:rsid w:val="00450B58"/>
    <w:rsid w:val="004520DD"/>
    <w:rsid w:val="004544AB"/>
    <w:rsid w:val="0046544E"/>
    <w:rsid w:val="00466356"/>
    <w:rsid w:val="00471AAB"/>
    <w:rsid w:val="00473DD2"/>
    <w:rsid w:val="004752CD"/>
    <w:rsid w:val="00475C70"/>
    <w:rsid w:val="00475DF2"/>
    <w:rsid w:val="00480CE3"/>
    <w:rsid w:val="00482B80"/>
    <w:rsid w:val="004837AC"/>
    <w:rsid w:val="004840B8"/>
    <w:rsid w:val="00484339"/>
    <w:rsid w:val="00484542"/>
    <w:rsid w:val="00485815"/>
    <w:rsid w:val="00487FF8"/>
    <w:rsid w:val="00490F02"/>
    <w:rsid w:val="004917A9"/>
    <w:rsid w:val="0049206E"/>
    <w:rsid w:val="004929B6"/>
    <w:rsid w:val="00492F0F"/>
    <w:rsid w:val="00495415"/>
    <w:rsid w:val="00496E17"/>
    <w:rsid w:val="00496E34"/>
    <w:rsid w:val="00497A8C"/>
    <w:rsid w:val="00497E3C"/>
    <w:rsid w:val="004A09F6"/>
    <w:rsid w:val="004A14B8"/>
    <w:rsid w:val="004A193E"/>
    <w:rsid w:val="004A4986"/>
    <w:rsid w:val="004A59EF"/>
    <w:rsid w:val="004A7560"/>
    <w:rsid w:val="004B108B"/>
    <w:rsid w:val="004B5A4E"/>
    <w:rsid w:val="004B7261"/>
    <w:rsid w:val="004B79CB"/>
    <w:rsid w:val="004C2821"/>
    <w:rsid w:val="004C3107"/>
    <w:rsid w:val="004C623F"/>
    <w:rsid w:val="004D0885"/>
    <w:rsid w:val="004D1BD6"/>
    <w:rsid w:val="004D1C10"/>
    <w:rsid w:val="004D2653"/>
    <w:rsid w:val="004D4C1C"/>
    <w:rsid w:val="004D64CD"/>
    <w:rsid w:val="004D79DF"/>
    <w:rsid w:val="004D7C91"/>
    <w:rsid w:val="004E076A"/>
    <w:rsid w:val="004E3695"/>
    <w:rsid w:val="004E435A"/>
    <w:rsid w:val="004E6B99"/>
    <w:rsid w:val="004F35C1"/>
    <w:rsid w:val="004F4B8C"/>
    <w:rsid w:val="004F51E0"/>
    <w:rsid w:val="004F6CE8"/>
    <w:rsid w:val="00500AB2"/>
    <w:rsid w:val="00500E74"/>
    <w:rsid w:val="00501C07"/>
    <w:rsid w:val="005026C9"/>
    <w:rsid w:val="00503455"/>
    <w:rsid w:val="00503DBB"/>
    <w:rsid w:val="00504CEB"/>
    <w:rsid w:val="00505011"/>
    <w:rsid w:val="00505E7C"/>
    <w:rsid w:val="005062B0"/>
    <w:rsid w:val="00512C63"/>
    <w:rsid w:val="005140E9"/>
    <w:rsid w:val="00515356"/>
    <w:rsid w:val="00520C1B"/>
    <w:rsid w:val="00521B4A"/>
    <w:rsid w:val="00522A84"/>
    <w:rsid w:val="00523862"/>
    <w:rsid w:val="00523D60"/>
    <w:rsid w:val="00524293"/>
    <w:rsid w:val="00525381"/>
    <w:rsid w:val="00526001"/>
    <w:rsid w:val="0052612E"/>
    <w:rsid w:val="005316CF"/>
    <w:rsid w:val="0053285D"/>
    <w:rsid w:val="0053443C"/>
    <w:rsid w:val="00534727"/>
    <w:rsid w:val="005421F6"/>
    <w:rsid w:val="005423EB"/>
    <w:rsid w:val="005429EB"/>
    <w:rsid w:val="00544D49"/>
    <w:rsid w:val="00547D99"/>
    <w:rsid w:val="00555328"/>
    <w:rsid w:val="00555AE4"/>
    <w:rsid w:val="00556752"/>
    <w:rsid w:val="005570B0"/>
    <w:rsid w:val="00557E74"/>
    <w:rsid w:val="005605DA"/>
    <w:rsid w:val="00560B7F"/>
    <w:rsid w:val="00564B39"/>
    <w:rsid w:val="0056549B"/>
    <w:rsid w:val="00566753"/>
    <w:rsid w:val="00566F63"/>
    <w:rsid w:val="005703A1"/>
    <w:rsid w:val="005704A8"/>
    <w:rsid w:val="00571137"/>
    <w:rsid w:val="005731B1"/>
    <w:rsid w:val="00573EC4"/>
    <w:rsid w:val="00573FB4"/>
    <w:rsid w:val="00574A18"/>
    <w:rsid w:val="005759D1"/>
    <w:rsid w:val="00577047"/>
    <w:rsid w:val="005776FD"/>
    <w:rsid w:val="005802BE"/>
    <w:rsid w:val="00581771"/>
    <w:rsid w:val="00582842"/>
    <w:rsid w:val="00583127"/>
    <w:rsid w:val="00583497"/>
    <w:rsid w:val="00585730"/>
    <w:rsid w:val="00585E4C"/>
    <w:rsid w:val="0058610A"/>
    <w:rsid w:val="00586C92"/>
    <w:rsid w:val="00587AC1"/>
    <w:rsid w:val="00592551"/>
    <w:rsid w:val="005A29C0"/>
    <w:rsid w:val="005A3524"/>
    <w:rsid w:val="005A4904"/>
    <w:rsid w:val="005A61BB"/>
    <w:rsid w:val="005A6B29"/>
    <w:rsid w:val="005B0157"/>
    <w:rsid w:val="005B6A22"/>
    <w:rsid w:val="005C3764"/>
    <w:rsid w:val="005C3B7C"/>
    <w:rsid w:val="005C3B93"/>
    <w:rsid w:val="005C3C58"/>
    <w:rsid w:val="005C4DDE"/>
    <w:rsid w:val="005D1094"/>
    <w:rsid w:val="005D1496"/>
    <w:rsid w:val="005D2AA2"/>
    <w:rsid w:val="005D4FAC"/>
    <w:rsid w:val="005D6706"/>
    <w:rsid w:val="005D6BF4"/>
    <w:rsid w:val="005E09DB"/>
    <w:rsid w:val="005E33A3"/>
    <w:rsid w:val="005E5437"/>
    <w:rsid w:val="005E7CE3"/>
    <w:rsid w:val="005F2FDA"/>
    <w:rsid w:val="005F3183"/>
    <w:rsid w:val="005F3D4A"/>
    <w:rsid w:val="005F53E8"/>
    <w:rsid w:val="005F6730"/>
    <w:rsid w:val="005F6C6C"/>
    <w:rsid w:val="005F6F50"/>
    <w:rsid w:val="006005D7"/>
    <w:rsid w:val="00602972"/>
    <w:rsid w:val="0060321C"/>
    <w:rsid w:val="00605793"/>
    <w:rsid w:val="006057E2"/>
    <w:rsid w:val="006068AA"/>
    <w:rsid w:val="0061001B"/>
    <w:rsid w:val="00611D76"/>
    <w:rsid w:val="006121F8"/>
    <w:rsid w:val="00612501"/>
    <w:rsid w:val="006128C6"/>
    <w:rsid w:val="00613672"/>
    <w:rsid w:val="00613F98"/>
    <w:rsid w:val="00614C05"/>
    <w:rsid w:val="00614C65"/>
    <w:rsid w:val="00615D7E"/>
    <w:rsid w:val="00620C8C"/>
    <w:rsid w:val="00620FA9"/>
    <w:rsid w:val="00622540"/>
    <w:rsid w:val="0062473B"/>
    <w:rsid w:val="00624A3C"/>
    <w:rsid w:val="00626752"/>
    <w:rsid w:val="00630C0D"/>
    <w:rsid w:val="006356DB"/>
    <w:rsid w:val="006379EC"/>
    <w:rsid w:val="00640CE8"/>
    <w:rsid w:val="00642DC2"/>
    <w:rsid w:val="006449FB"/>
    <w:rsid w:val="00647CE6"/>
    <w:rsid w:val="00650B70"/>
    <w:rsid w:val="00651155"/>
    <w:rsid w:val="0065198A"/>
    <w:rsid w:val="006528DC"/>
    <w:rsid w:val="006530D0"/>
    <w:rsid w:val="00653726"/>
    <w:rsid w:val="006621A6"/>
    <w:rsid w:val="00664561"/>
    <w:rsid w:val="006655A7"/>
    <w:rsid w:val="00665633"/>
    <w:rsid w:val="006661DD"/>
    <w:rsid w:val="00670AC8"/>
    <w:rsid w:val="00671E6B"/>
    <w:rsid w:val="006739D0"/>
    <w:rsid w:val="00674FE3"/>
    <w:rsid w:val="0067684A"/>
    <w:rsid w:val="00683233"/>
    <w:rsid w:val="00686759"/>
    <w:rsid w:val="0069001B"/>
    <w:rsid w:val="00690133"/>
    <w:rsid w:val="006926B4"/>
    <w:rsid w:val="00692C57"/>
    <w:rsid w:val="00693498"/>
    <w:rsid w:val="00696646"/>
    <w:rsid w:val="006975DE"/>
    <w:rsid w:val="006A278E"/>
    <w:rsid w:val="006A3325"/>
    <w:rsid w:val="006A3385"/>
    <w:rsid w:val="006A40CF"/>
    <w:rsid w:val="006B08F3"/>
    <w:rsid w:val="006B1979"/>
    <w:rsid w:val="006B2ED5"/>
    <w:rsid w:val="006B35B5"/>
    <w:rsid w:val="006B4177"/>
    <w:rsid w:val="006B55D6"/>
    <w:rsid w:val="006B57CE"/>
    <w:rsid w:val="006C6492"/>
    <w:rsid w:val="006D17DF"/>
    <w:rsid w:val="006D3710"/>
    <w:rsid w:val="006D425D"/>
    <w:rsid w:val="006D5A59"/>
    <w:rsid w:val="006E0722"/>
    <w:rsid w:val="006E0972"/>
    <w:rsid w:val="006E1AB6"/>
    <w:rsid w:val="006E23A5"/>
    <w:rsid w:val="006E3609"/>
    <w:rsid w:val="006E5DD7"/>
    <w:rsid w:val="006E6693"/>
    <w:rsid w:val="006E67C7"/>
    <w:rsid w:val="006E7C8B"/>
    <w:rsid w:val="006F0443"/>
    <w:rsid w:val="006F1CC9"/>
    <w:rsid w:val="006F1CEE"/>
    <w:rsid w:val="006F20A9"/>
    <w:rsid w:val="006F2625"/>
    <w:rsid w:val="006F2C40"/>
    <w:rsid w:val="006F3275"/>
    <w:rsid w:val="006F355A"/>
    <w:rsid w:val="006F479F"/>
    <w:rsid w:val="006F47A4"/>
    <w:rsid w:val="006F624E"/>
    <w:rsid w:val="006F7971"/>
    <w:rsid w:val="0070260B"/>
    <w:rsid w:val="007033F1"/>
    <w:rsid w:val="00703713"/>
    <w:rsid w:val="007078BC"/>
    <w:rsid w:val="007113EB"/>
    <w:rsid w:val="00713715"/>
    <w:rsid w:val="00714836"/>
    <w:rsid w:val="007155E5"/>
    <w:rsid w:val="00715BE5"/>
    <w:rsid w:val="007200F5"/>
    <w:rsid w:val="0072185E"/>
    <w:rsid w:val="0072375C"/>
    <w:rsid w:val="00723AF0"/>
    <w:rsid w:val="00725D06"/>
    <w:rsid w:val="00726ADC"/>
    <w:rsid w:val="00730123"/>
    <w:rsid w:val="00730218"/>
    <w:rsid w:val="00730D32"/>
    <w:rsid w:val="00730FF9"/>
    <w:rsid w:val="0073131A"/>
    <w:rsid w:val="00733624"/>
    <w:rsid w:val="007338DF"/>
    <w:rsid w:val="00734385"/>
    <w:rsid w:val="00735801"/>
    <w:rsid w:val="00735E4F"/>
    <w:rsid w:val="00737C02"/>
    <w:rsid w:val="00742854"/>
    <w:rsid w:val="00742C57"/>
    <w:rsid w:val="00745F07"/>
    <w:rsid w:val="007460C9"/>
    <w:rsid w:val="00746F77"/>
    <w:rsid w:val="00747637"/>
    <w:rsid w:val="0075019C"/>
    <w:rsid w:val="0075024F"/>
    <w:rsid w:val="007518B3"/>
    <w:rsid w:val="00751DBD"/>
    <w:rsid w:val="00752619"/>
    <w:rsid w:val="00754F4B"/>
    <w:rsid w:val="00756A88"/>
    <w:rsid w:val="007570AB"/>
    <w:rsid w:val="0076050B"/>
    <w:rsid w:val="00760BEC"/>
    <w:rsid w:val="00763600"/>
    <w:rsid w:val="00764E64"/>
    <w:rsid w:val="00765113"/>
    <w:rsid w:val="00766FE3"/>
    <w:rsid w:val="00770524"/>
    <w:rsid w:val="00770BDF"/>
    <w:rsid w:val="00773988"/>
    <w:rsid w:val="0077632D"/>
    <w:rsid w:val="0077654A"/>
    <w:rsid w:val="00777DE5"/>
    <w:rsid w:val="00780745"/>
    <w:rsid w:val="00784373"/>
    <w:rsid w:val="00784A2D"/>
    <w:rsid w:val="007860A5"/>
    <w:rsid w:val="0078662A"/>
    <w:rsid w:val="0079015D"/>
    <w:rsid w:val="0079123C"/>
    <w:rsid w:val="00795897"/>
    <w:rsid w:val="00797938"/>
    <w:rsid w:val="007A1866"/>
    <w:rsid w:val="007A1BEE"/>
    <w:rsid w:val="007A652D"/>
    <w:rsid w:val="007A793F"/>
    <w:rsid w:val="007B1259"/>
    <w:rsid w:val="007B1CC5"/>
    <w:rsid w:val="007B29C2"/>
    <w:rsid w:val="007B3929"/>
    <w:rsid w:val="007B3D6F"/>
    <w:rsid w:val="007B4395"/>
    <w:rsid w:val="007B5281"/>
    <w:rsid w:val="007B6EA8"/>
    <w:rsid w:val="007B7C8C"/>
    <w:rsid w:val="007C55BC"/>
    <w:rsid w:val="007C69C9"/>
    <w:rsid w:val="007D0446"/>
    <w:rsid w:val="007D1361"/>
    <w:rsid w:val="007D1403"/>
    <w:rsid w:val="007D1E45"/>
    <w:rsid w:val="007D251B"/>
    <w:rsid w:val="007D27C5"/>
    <w:rsid w:val="007D4478"/>
    <w:rsid w:val="007D489A"/>
    <w:rsid w:val="007D5504"/>
    <w:rsid w:val="007D6009"/>
    <w:rsid w:val="007D6A1B"/>
    <w:rsid w:val="007D7BEA"/>
    <w:rsid w:val="007D7C43"/>
    <w:rsid w:val="007D7FB3"/>
    <w:rsid w:val="007E331E"/>
    <w:rsid w:val="007E4044"/>
    <w:rsid w:val="007E4343"/>
    <w:rsid w:val="007E56C5"/>
    <w:rsid w:val="007E7017"/>
    <w:rsid w:val="007E71D4"/>
    <w:rsid w:val="007E7705"/>
    <w:rsid w:val="007F06DF"/>
    <w:rsid w:val="007F0DD8"/>
    <w:rsid w:val="007F58D9"/>
    <w:rsid w:val="007F5D6E"/>
    <w:rsid w:val="00801950"/>
    <w:rsid w:val="00803900"/>
    <w:rsid w:val="0080409F"/>
    <w:rsid w:val="00804A79"/>
    <w:rsid w:val="00804D3F"/>
    <w:rsid w:val="00810CBB"/>
    <w:rsid w:val="00812E2E"/>
    <w:rsid w:val="008138B5"/>
    <w:rsid w:val="00815DA2"/>
    <w:rsid w:val="00821C36"/>
    <w:rsid w:val="00826679"/>
    <w:rsid w:val="0082754E"/>
    <w:rsid w:val="00827C57"/>
    <w:rsid w:val="008327F7"/>
    <w:rsid w:val="00832814"/>
    <w:rsid w:val="00832AB7"/>
    <w:rsid w:val="00832E6F"/>
    <w:rsid w:val="00834093"/>
    <w:rsid w:val="00834226"/>
    <w:rsid w:val="00834C65"/>
    <w:rsid w:val="0083510F"/>
    <w:rsid w:val="0083580E"/>
    <w:rsid w:val="008361BF"/>
    <w:rsid w:val="00836ED7"/>
    <w:rsid w:val="0084178C"/>
    <w:rsid w:val="00841D33"/>
    <w:rsid w:val="0084245D"/>
    <w:rsid w:val="008426A6"/>
    <w:rsid w:val="008430D5"/>
    <w:rsid w:val="008431AE"/>
    <w:rsid w:val="00845B3B"/>
    <w:rsid w:val="00847EAF"/>
    <w:rsid w:val="00851A55"/>
    <w:rsid w:val="008527AF"/>
    <w:rsid w:val="00854B78"/>
    <w:rsid w:val="00856817"/>
    <w:rsid w:val="00863B98"/>
    <w:rsid w:val="00863F44"/>
    <w:rsid w:val="00864AE8"/>
    <w:rsid w:val="00870AD6"/>
    <w:rsid w:val="0087403D"/>
    <w:rsid w:val="00874A12"/>
    <w:rsid w:val="00875D4D"/>
    <w:rsid w:val="00875FCB"/>
    <w:rsid w:val="00882888"/>
    <w:rsid w:val="00882BF8"/>
    <w:rsid w:val="00884261"/>
    <w:rsid w:val="00885011"/>
    <w:rsid w:val="008920B9"/>
    <w:rsid w:val="0089525D"/>
    <w:rsid w:val="0089570C"/>
    <w:rsid w:val="00895879"/>
    <w:rsid w:val="00897347"/>
    <w:rsid w:val="008A2611"/>
    <w:rsid w:val="008A3FFD"/>
    <w:rsid w:val="008A4269"/>
    <w:rsid w:val="008B0E1F"/>
    <w:rsid w:val="008B12D4"/>
    <w:rsid w:val="008B4CA4"/>
    <w:rsid w:val="008B4FF5"/>
    <w:rsid w:val="008B71BE"/>
    <w:rsid w:val="008B7236"/>
    <w:rsid w:val="008B753B"/>
    <w:rsid w:val="008B7726"/>
    <w:rsid w:val="008C163D"/>
    <w:rsid w:val="008C1BCF"/>
    <w:rsid w:val="008C283B"/>
    <w:rsid w:val="008C2F38"/>
    <w:rsid w:val="008C3CD8"/>
    <w:rsid w:val="008C498C"/>
    <w:rsid w:val="008C4CBD"/>
    <w:rsid w:val="008C4DD1"/>
    <w:rsid w:val="008C54B4"/>
    <w:rsid w:val="008C6B31"/>
    <w:rsid w:val="008D413D"/>
    <w:rsid w:val="008E0EE3"/>
    <w:rsid w:val="008E0FFF"/>
    <w:rsid w:val="008E1395"/>
    <w:rsid w:val="008E2E6D"/>
    <w:rsid w:val="008E378D"/>
    <w:rsid w:val="008F1059"/>
    <w:rsid w:val="008F2B88"/>
    <w:rsid w:val="008F40A7"/>
    <w:rsid w:val="008F49DE"/>
    <w:rsid w:val="008F4F96"/>
    <w:rsid w:val="008F63C7"/>
    <w:rsid w:val="008F6618"/>
    <w:rsid w:val="008F72FD"/>
    <w:rsid w:val="008F7EE1"/>
    <w:rsid w:val="0090150A"/>
    <w:rsid w:val="009017B6"/>
    <w:rsid w:val="00901986"/>
    <w:rsid w:val="00901C95"/>
    <w:rsid w:val="00904284"/>
    <w:rsid w:val="00904624"/>
    <w:rsid w:val="00905817"/>
    <w:rsid w:val="00905B25"/>
    <w:rsid w:val="00906CE5"/>
    <w:rsid w:val="00907884"/>
    <w:rsid w:val="009103A0"/>
    <w:rsid w:val="00913631"/>
    <w:rsid w:val="00914954"/>
    <w:rsid w:val="009162F2"/>
    <w:rsid w:val="009165BE"/>
    <w:rsid w:val="00916B31"/>
    <w:rsid w:val="009217FD"/>
    <w:rsid w:val="00922287"/>
    <w:rsid w:val="009225D5"/>
    <w:rsid w:val="00923D3F"/>
    <w:rsid w:val="00925122"/>
    <w:rsid w:val="0092658C"/>
    <w:rsid w:val="009267CF"/>
    <w:rsid w:val="0093025E"/>
    <w:rsid w:val="0093026B"/>
    <w:rsid w:val="0093190E"/>
    <w:rsid w:val="00934312"/>
    <w:rsid w:val="0094029B"/>
    <w:rsid w:val="009418AB"/>
    <w:rsid w:val="0094404E"/>
    <w:rsid w:val="00946045"/>
    <w:rsid w:val="0094630C"/>
    <w:rsid w:val="00946F8D"/>
    <w:rsid w:val="0094705D"/>
    <w:rsid w:val="009477B5"/>
    <w:rsid w:val="00950828"/>
    <w:rsid w:val="009547A7"/>
    <w:rsid w:val="009552DC"/>
    <w:rsid w:val="00955853"/>
    <w:rsid w:val="00955CFC"/>
    <w:rsid w:val="009608EE"/>
    <w:rsid w:val="009659AC"/>
    <w:rsid w:val="009671E6"/>
    <w:rsid w:val="00970940"/>
    <w:rsid w:val="009719F1"/>
    <w:rsid w:val="00972567"/>
    <w:rsid w:val="009727E8"/>
    <w:rsid w:val="00974322"/>
    <w:rsid w:val="0097557A"/>
    <w:rsid w:val="00977920"/>
    <w:rsid w:val="00977AFA"/>
    <w:rsid w:val="00977D10"/>
    <w:rsid w:val="00980455"/>
    <w:rsid w:val="00980764"/>
    <w:rsid w:val="00981A93"/>
    <w:rsid w:val="0098280B"/>
    <w:rsid w:val="009831FA"/>
    <w:rsid w:val="0098422D"/>
    <w:rsid w:val="00984FCD"/>
    <w:rsid w:val="00985512"/>
    <w:rsid w:val="00986982"/>
    <w:rsid w:val="009902ED"/>
    <w:rsid w:val="00991655"/>
    <w:rsid w:val="009928DE"/>
    <w:rsid w:val="009929A7"/>
    <w:rsid w:val="00992E49"/>
    <w:rsid w:val="00995A3E"/>
    <w:rsid w:val="00996E59"/>
    <w:rsid w:val="00997BCA"/>
    <w:rsid w:val="00997F67"/>
    <w:rsid w:val="009A263B"/>
    <w:rsid w:val="009A33B5"/>
    <w:rsid w:val="009A3FBC"/>
    <w:rsid w:val="009A56D7"/>
    <w:rsid w:val="009A5D4E"/>
    <w:rsid w:val="009A5F34"/>
    <w:rsid w:val="009A76EB"/>
    <w:rsid w:val="009A7D1A"/>
    <w:rsid w:val="009B409F"/>
    <w:rsid w:val="009B417B"/>
    <w:rsid w:val="009B45BE"/>
    <w:rsid w:val="009B471B"/>
    <w:rsid w:val="009B6366"/>
    <w:rsid w:val="009B63B6"/>
    <w:rsid w:val="009B6612"/>
    <w:rsid w:val="009B665D"/>
    <w:rsid w:val="009C0222"/>
    <w:rsid w:val="009C0D7B"/>
    <w:rsid w:val="009C15FF"/>
    <w:rsid w:val="009C1E1C"/>
    <w:rsid w:val="009C1EDC"/>
    <w:rsid w:val="009C44D2"/>
    <w:rsid w:val="009C480C"/>
    <w:rsid w:val="009C4C18"/>
    <w:rsid w:val="009C611F"/>
    <w:rsid w:val="009C63B5"/>
    <w:rsid w:val="009C6DB6"/>
    <w:rsid w:val="009C79DC"/>
    <w:rsid w:val="009C7FAC"/>
    <w:rsid w:val="009D0CF1"/>
    <w:rsid w:val="009D10B9"/>
    <w:rsid w:val="009D4424"/>
    <w:rsid w:val="009D4A40"/>
    <w:rsid w:val="009D6534"/>
    <w:rsid w:val="009D6890"/>
    <w:rsid w:val="009D6F8C"/>
    <w:rsid w:val="009D71E8"/>
    <w:rsid w:val="009D7F4E"/>
    <w:rsid w:val="009E0590"/>
    <w:rsid w:val="009E4532"/>
    <w:rsid w:val="009F10BF"/>
    <w:rsid w:val="009F22C9"/>
    <w:rsid w:val="009F3A2B"/>
    <w:rsid w:val="009F50EE"/>
    <w:rsid w:val="009F56FD"/>
    <w:rsid w:val="009F5D69"/>
    <w:rsid w:val="00A004DD"/>
    <w:rsid w:val="00A005B3"/>
    <w:rsid w:val="00A065EF"/>
    <w:rsid w:val="00A07F58"/>
    <w:rsid w:val="00A11D9B"/>
    <w:rsid w:val="00A135EE"/>
    <w:rsid w:val="00A146B3"/>
    <w:rsid w:val="00A16652"/>
    <w:rsid w:val="00A23527"/>
    <w:rsid w:val="00A2383E"/>
    <w:rsid w:val="00A23B12"/>
    <w:rsid w:val="00A24D0F"/>
    <w:rsid w:val="00A24EAD"/>
    <w:rsid w:val="00A2521E"/>
    <w:rsid w:val="00A2557C"/>
    <w:rsid w:val="00A31EE1"/>
    <w:rsid w:val="00A340C8"/>
    <w:rsid w:val="00A3455C"/>
    <w:rsid w:val="00A35E24"/>
    <w:rsid w:val="00A37B83"/>
    <w:rsid w:val="00A41F63"/>
    <w:rsid w:val="00A42A25"/>
    <w:rsid w:val="00A432A8"/>
    <w:rsid w:val="00A44232"/>
    <w:rsid w:val="00A4578C"/>
    <w:rsid w:val="00A46D31"/>
    <w:rsid w:val="00A50AB7"/>
    <w:rsid w:val="00A50E15"/>
    <w:rsid w:val="00A52E5B"/>
    <w:rsid w:val="00A535CA"/>
    <w:rsid w:val="00A536AF"/>
    <w:rsid w:val="00A54589"/>
    <w:rsid w:val="00A56BC0"/>
    <w:rsid w:val="00A62FC7"/>
    <w:rsid w:val="00A635A9"/>
    <w:rsid w:val="00A636EC"/>
    <w:rsid w:val="00A652E2"/>
    <w:rsid w:val="00A65C72"/>
    <w:rsid w:val="00A67877"/>
    <w:rsid w:val="00A67CB5"/>
    <w:rsid w:val="00A707AC"/>
    <w:rsid w:val="00A70D2C"/>
    <w:rsid w:val="00A80656"/>
    <w:rsid w:val="00A80962"/>
    <w:rsid w:val="00A82073"/>
    <w:rsid w:val="00A862AF"/>
    <w:rsid w:val="00A866F4"/>
    <w:rsid w:val="00A912C9"/>
    <w:rsid w:val="00A92BBF"/>
    <w:rsid w:val="00A931C3"/>
    <w:rsid w:val="00A939BC"/>
    <w:rsid w:val="00A95714"/>
    <w:rsid w:val="00A97A7E"/>
    <w:rsid w:val="00AA33F1"/>
    <w:rsid w:val="00AA5763"/>
    <w:rsid w:val="00AA6A52"/>
    <w:rsid w:val="00AA6CE0"/>
    <w:rsid w:val="00AA7501"/>
    <w:rsid w:val="00AB3650"/>
    <w:rsid w:val="00AB40F7"/>
    <w:rsid w:val="00AB4A92"/>
    <w:rsid w:val="00AB7665"/>
    <w:rsid w:val="00AC00C7"/>
    <w:rsid w:val="00AC068B"/>
    <w:rsid w:val="00AC143C"/>
    <w:rsid w:val="00AC5034"/>
    <w:rsid w:val="00AC6EAA"/>
    <w:rsid w:val="00AC74BA"/>
    <w:rsid w:val="00AD0A67"/>
    <w:rsid w:val="00AD29C5"/>
    <w:rsid w:val="00AD3086"/>
    <w:rsid w:val="00AD3732"/>
    <w:rsid w:val="00AD45CB"/>
    <w:rsid w:val="00AD5F7B"/>
    <w:rsid w:val="00AD6C3C"/>
    <w:rsid w:val="00AD71C8"/>
    <w:rsid w:val="00AE1739"/>
    <w:rsid w:val="00AE2423"/>
    <w:rsid w:val="00AE2AD2"/>
    <w:rsid w:val="00AE4CF1"/>
    <w:rsid w:val="00AE6CF6"/>
    <w:rsid w:val="00AF04EF"/>
    <w:rsid w:val="00AF18FE"/>
    <w:rsid w:val="00AF306C"/>
    <w:rsid w:val="00AF388A"/>
    <w:rsid w:val="00AF394F"/>
    <w:rsid w:val="00AF6909"/>
    <w:rsid w:val="00B00B60"/>
    <w:rsid w:val="00B0117D"/>
    <w:rsid w:val="00B0126B"/>
    <w:rsid w:val="00B03BE7"/>
    <w:rsid w:val="00B06453"/>
    <w:rsid w:val="00B1053C"/>
    <w:rsid w:val="00B11405"/>
    <w:rsid w:val="00B15225"/>
    <w:rsid w:val="00B173EC"/>
    <w:rsid w:val="00B17B36"/>
    <w:rsid w:val="00B20184"/>
    <w:rsid w:val="00B21A01"/>
    <w:rsid w:val="00B23D0D"/>
    <w:rsid w:val="00B24A10"/>
    <w:rsid w:val="00B2505C"/>
    <w:rsid w:val="00B278DB"/>
    <w:rsid w:val="00B30C45"/>
    <w:rsid w:val="00B313C8"/>
    <w:rsid w:val="00B315E2"/>
    <w:rsid w:val="00B34486"/>
    <w:rsid w:val="00B351D8"/>
    <w:rsid w:val="00B3536B"/>
    <w:rsid w:val="00B35ACD"/>
    <w:rsid w:val="00B365BB"/>
    <w:rsid w:val="00B418F0"/>
    <w:rsid w:val="00B42633"/>
    <w:rsid w:val="00B4336C"/>
    <w:rsid w:val="00B44BF7"/>
    <w:rsid w:val="00B4530F"/>
    <w:rsid w:val="00B46079"/>
    <w:rsid w:val="00B50CFA"/>
    <w:rsid w:val="00B514C6"/>
    <w:rsid w:val="00B53D80"/>
    <w:rsid w:val="00B56DB3"/>
    <w:rsid w:val="00B6019E"/>
    <w:rsid w:val="00B64226"/>
    <w:rsid w:val="00B66259"/>
    <w:rsid w:val="00B701CC"/>
    <w:rsid w:val="00B705B2"/>
    <w:rsid w:val="00B70E6E"/>
    <w:rsid w:val="00B71093"/>
    <w:rsid w:val="00B74D68"/>
    <w:rsid w:val="00B74EAB"/>
    <w:rsid w:val="00B75010"/>
    <w:rsid w:val="00B77AFE"/>
    <w:rsid w:val="00B811C6"/>
    <w:rsid w:val="00B83AE2"/>
    <w:rsid w:val="00B85041"/>
    <w:rsid w:val="00B86DA1"/>
    <w:rsid w:val="00B87A83"/>
    <w:rsid w:val="00B9022D"/>
    <w:rsid w:val="00B90460"/>
    <w:rsid w:val="00B92CB6"/>
    <w:rsid w:val="00B93B2F"/>
    <w:rsid w:val="00B946CC"/>
    <w:rsid w:val="00B974AF"/>
    <w:rsid w:val="00BA19F4"/>
    <w:rsid w:val="00BA5382"/>
    <w:rsid w:val="00BA53DF"/>
    <w:rsid w:val="00BB0DF5"/>
    <w:rsid w:val="00BB23B6"/>
    <w:rsid w:val="00BB3BC7"/>
    <w:rsid w:val="00BB42AC"/>
    <w:rsid w:val="00BB5199"/>
    <w:rsid w:val="00BB651A"/>
    <w:rsid w:val="00BB6A36"/>
    <w:rsid w:val="00BB70CA"/>
    <w:rsid w:val="00BB7429"/>
    <w:rsid w:val="00BC2325"/>
    <w:rsid w:val="00BC2B46"/>
    <w:rsid w:val="00BC5633"/>
    <w:rsid w:val="00BC6581"/>
    <w:rsid w:val="00BC69FB"/>
    <w:rsid w:val="00BD0B43"/>
    <w:rsid w:val="00BD19E7"/>
    <w:rsid w:val="00BD4BC6"/>
    <w:rsid w:val="00BD5130"/>
    <w:rsid w:val="00BD527A"/>
    <w:rsid w:val="00BD539A"/>
    <w:rsid w:val="00BD543A"/>
    <w:rsid w:val="00BD5C36"/>
    <w:rsid w:val="00BE0847"/>
    <w:rsid w:val="00BE0C07"/>
    <w:rsid w:val="00BE34C8"/>
    <w:rsid w:val="00BE43E0"/>
    <w:rsid w:val="00BE494C"/>
    <w:rsid w:val="00BE5B37"/>
    <w:rsid w:val="00BE5F27"/>
    <w:rsid w:val="00BE6373"/>
    <w:rsid w:val="00BE71FF"/>
    <w:rsid w:val="00BF27C7"/>
    <w:rsid w:val="00BF2C1D"/>
    <w:rsid w:val="00BF5879"/>
    <w:rsid w:val="00BF5F5C"/>
    <w:rsid w:val="00C02F23"/>
    <w:rsid w:val="00C05011"/>
    <w:rsid w:val="00C06DE2"/>
    <w:rsid w:val="00C06FAD"/>
    <w:rsid w:val="00C079AE"/>
    <w:rsid w:val="00C115AA"/>
    <w:rsid w:val="00C11C57"/>
    <w:rsid w:val="00C12809"/>
    <w:rsid w:val="00C1360A"/>
    <w:rsid w:val="00C149E6"/>
    <w:rsid w:val="00C14A0B"/>
    <w:rsid w:val="00C1575B"/>
    <w:rsid w:val="00C1640D"/>
    <w:rsid w:val="00C16E47"/>
    <w:rsid w:val="00C175F6"/>
    <w:rsid w:val="00C22DA1"/>
    <w:rsid w:val="00C26250"/>
    <w:rsid w:val="00C341D0"/>
    <w:rsid w:val="00C3437B"/>
    <w:rsid w:val="00C41DE7"/>
    <w:rsid w:val="00C43506"/>
    <w:rsid w:val="00C4394D"/>
    <w:rsid w:val="00C5157C"/>
    <w:rsid w:val="00C519A7"/>
    <w:rsid w:val="00C531AC"/>
    <w:rsid w:val="00C538F4"/>
    <w:rsid w:val="00C576E2"/>
    <w:rsid w:val="00C57ADA"/>
    <w:rsid w:val="00C61A86"/>
    <w:rsid w:val="00C62678"/>
    <w:rsid w:val="00C64152"/>
    <w:rsid w:val="00C64683"/>
    <w:rsid w:val="00C65951"/>
    <w:rsid w:val="00C65E6E"/>
    <w:rsid w:val="00C66C04"/>
    <w:rsid w:val="00C6716B"/>
    <w:rsid w:val="00C677DB"/>
    <w:rsid w:val="00C70803"/>
    <w:rsid w:val="00C70B61"/>
    <w:rsid w:val="00C729B7"/>
    <w:rsid w:val="00C73860"/>
    <w:rsid w:val="00C764AD"/>
    <w:rsid w:val="00C77710"/>
    <w:rsid w:val="00C83561"/>
    <w:rsid w:val="00C83D9B"/>
    <w:rsid w:val="00C83E1C"/>
    <w:rsid w:val="00C85E84"/>
    <w:rsid w:val="00C86603"/>
    <w:rsid w:val="00C87DD7"/>
    <w:rsid w:val="00C90B38"/>
    <w:rsid w:val="00C921D6"/>
    <w:rsid w:val="00C951F1"/>
    <w:rsid w:val="00C9534A"/>
    <w:rsid w:val="00C97760"/>
    <w:rsid w:val="00C9799D"/>
    <w:rsid w:val="00CA0673"/>
    <w:rsid w:val="00CA17F3"/>
    <w:rsid w:val="00CA3EBF"/>
    <w:rsid w:val="00CA4570"/>
    <w:rsid w:val="00CA6258"/>
    <w:rsid w:val="00CA7020"/>
    <w:rsid w:val="00CB423A"/>
    <w:rsid w:val="00CB64EB"/>
    <w:rsid w:val="00CC035B"/>
    <w:rsid w:val="00CC3E8B"/>
    <w:rsid w:val="00CC4B5C"/>
    <w:rsid w:val="00CC5271"/>
    <w:rsid w:val="00CD0A12"/>
    <w:rsid w:val="00CD207F"/>
    <w:rsid w:val="00CD3833"/>
    <w:rsid w:val="00CD4341"/>
    <w:rsid w:val="00CD7077"/>
    <w:rsid w:val="00CD74D9"/>
    <w:rsid w:val="00CE5CE4"/>
    <w:rsid w:val="00CE6114"/>
    <w:rsid w:val="00CE65C3"/>
    <w:rsid w:val="00CE6B88"/>
    <w:rsid w:val="00CE6D40"/>
    <w:rsid w:val="00CF1525"/>
    <w:rsid w:val="00CF16CD"/>
    <w:rsid w:val="00CF283F"/>
    <w:rsid w:val="00CF56DA"/>
    <w:rsid w:val="00CF58EA"/>
    <w:rsid w:val="00CF6827"/>
    <w:rsid w:val="00D005DF"/>
    <w:rsid w:val="00D00A88"/>
    <w:rsid w:val="00D01F6C"/>
    <w:rsid w:val="00D039A1"/>
    <w:rsid w:val="00D04A1D"/>
    <w:rsid w:val="00D0561C"/>
    <w:rsid w:val="00D067D0"/>
    <w:rsid w:val="00D077E3"/>
    <w:rsid w:val="00D07C9D"/>
    <w:rsid w:val="00D10AE6"/>
    <w:rsid w:val="00D12C33"/>
    <w:rsid w:val="00D13960"/>
    <w:rsid w:val="00D13AEB"/>
    <w:rsid w:val="00D164C7"/>
    <w:rsid w:val="00D16C9B"/>
    <w:rsid w:val="00D17D71"/>
    <w:rsid w:val="00D20006"/>
    <w:rsid w:val="00D23E49"/>
    <w:rsid w:val="00D245FE"/>
    <w:rsid w:val="00D256FA"/>
    <w:rsid w:val="00D26311"/>
    <w:rsid w:val="00D31D50"/>
    <w:rsid w:val="00D33965"/>
    <w:rsid w:val="00D37E0B"/>
    <w:rsid w:val="00D37F97"/>
    <w:rsid w:val="00D401D6"/>
    <w:rsid w:val="00D46293"/>
    <w:rsid w:val="00D47288"/>
    <w:rsid w:val="00D47689"/>
    <w:rsid w:val="00D478BE"/>
    <w:rsid w:val="00D51475"/>
    <w:rsid w:val="00D53646"/>
    <w:rsid w:val="00D54627"/>
    <w:rsid w:val="00D57C27"/>
    <w:rsid w:val="00D61B8B"/>
    <w:rsid w:val="00D62751"/>
    <w:rsid w:val="00D669CA"/>
    <w:rsid w:val="00D67951"/>
    <w:rsid w:val="00D70648"/>
    <w:rsid w:val="00D71A2A"/>
    <w:rsid w:val="00D731BB"/>
    <w:rsid w:val="00D8318C"/>
    <w:rsid w:val="00D8495A"/>
    <w:rsid w:val="00D84EEF"/>
    <w:rsid w:val="00D87083"/>
    <w:rsid w:val="00D90ACF"/>
    <w:rsid w:val="00D92D1F"/>
    <w:rsid w:val="00D9417C"/>
    <w:rsid w:val="00D94CD3"/>
    <w:rsid w:val="00D97E3D"/>
    <w:rsid w:val="00DA3C73"/>
    <w:rsid w:val="00DA60FA"/>
    <w:rsid w:val="00DB0871"/>
    <w:rsid w:val="00DB22C4"/>
    <w:rsid w:val="00DB641B"/>
    <w:rsid w:val="00DB69DE"/>
    <w:rsid w:val="00DC14B0"/>
    <w:rsid w:val="00DC46B2"/>
    <w:rsid w:val="00DC7B7B"/>
    <w:rsid w:val="00DD0709"/>
    <w:rsid w:val="00DD0ED2"/>
    <w:rsid w:val="00DD10A7"/>
    <w:rsid w:val="00DD12D2"/>
    <w:rsid w:val="00DD1A8C"/>
    <w:rsid w:val="00DD1C49"/>
    <w:rsid w:val="00DD1CC3"/>
    <w:rsid w:val="00DD3B03"/>
    <w:rsid w:val="00DE0D62"/>
    <w:rsid w:val="00DE1345"/>
    <w:rsid w:val="00DE2098"/>
    <w:rsid w:val="00DE33DC"/>
    <w:rsid w:val="00DE3A6B"/>
    <w:rsid w:val="00DE4753"/>
    <w:rsid w:val="00DE79B9"/>
    <w:rsid w:val="00DF2B16"/>
    <w:rsid w:val="00DF4931"/>
    <w:rsid w:val="00DF60F1"/>
    <w:rsid w:val="00DF6901"/>
    <w:rsid w:val="00DF70C9"/>
    <w:rsid w:val="00DF7F79"/>
    <w:rsid w:val="00E0094C"/>
    <w:rsid w:val="00E07A8E"/>
    <w:rsid w:val="00E14384"/>
    <w:rsid w:val="00E17236"/>
    <w:rsid w:val="00E206F0"/>
    <w:rsid w:val="00E212B6"/>
    <w:rsid w:val="00E238A7"/>
    <w:rsid w:val="00E254F2"/>
    <w:rsid w:val="00E25734"/>
    <w:rsid w:val="00E260C2"/>
    <w:rsid w:val="00E26428"/>
    <w:rsid w:val="00E26809"/>
    <w:rsid w:val="00E351D6"/>
    <w:rsid w:val="00E35795"/>
    <w:rsid w:val="00E376CC"/>
    <w:rsid w:val="00E37798"/>
    <w:rsid w:val="00E42866"/>
    <w:rsid w:val="00E43B36"/>
    <w:rsid w:val="00E44768"/>
    <w:rsid w:val="00E452B9"/>
    <w:rsid w:val="00E47B03"/>
    <w:rsid w:val="00E47F96"/>
    <w:rsid w:val="00E51324"/>
    <w:rsid w:val="00E51B24"/>
    <w:rsid w:val="00E52178"/>
    <w:rsid w:val="00E541DE"/>
    <w:rsid w:val="00E5482D"/>
    <w:rsid w:val="00E56619"/>
    <w:rsid w:val="00E6026B"/>
    <w:rsid w:val="00E6046A"/>
    <w:rsid w:val="00E61125"/>
    <w:rsid w:val="00E6180D"/>
    <w:rsid w:val="00E621E5"/>
    <w:rsid w:val="00E6393F"/>
    <w:rsid w:val="00E63FC5"/>
    <w:rsid w:val="00E64004"/>
    <w:rsid w:val="00E6436E"/>
    <w:rsid w:val="00E64A90"/>
    <w:rsid w:val="00E656F9"/>
    <w:rsid w:val="00E6679F"/>
    <w:rsid w:val="00E66E09"/>
    <w:rsid w:val="00E6717B"/>
    <w:rsid w:val="00E70FBF"/>
    <w:rsid w:val="00E72091"/>
    <w:rsid w:val="00E771D9"/>
    <w:rsid w:val="00E831DB"/>
    <w:rsid w:val="00E84374"/>
    <w:rsid w:val="00E84A7C"/>
    <w:rsid w:val="00E87099"/>
    <w:rsid w:val="00E922C6"/>
    <w:rsid w:val="00E97D4A"/>
    <w:rsid w:val="00EA3545"/>
    <w:rsid w:val="00EB194E"/>
    <w:rsid w:val="00EB2ACE"/>
    <w:rsid w:val="00EC3821"/>
    <w:rsid w:val="00EC3B0E"/>
    <w:rsid w:val="00EC3DF6"/>
    <w:rsid w:val="00EC408D"/>
    <w:rsid w:val="00EC443A"/>
    <w:rsid w:val="00EC596A"/>
    <w:rsid w:val="00EC68EA"/>
    <w:rsid w:val="00ED1327"/>
    <w:rsid w:val="00ED13D6"/>
    <w:rsid w:val="00ED230A"/>
    <w:rsid w:val="00ED2BDE"/>
    <w:rsid w:val="00ED2C2C"/>
    <w:rsid w:val="00ED32E5"/>
    <w:rsid w:val="00ED3364"/>
    <w:rsid w:val="00ED33F4"/>
    <w:rsid w:val="00ED3B5E"/>
    <w:rsid w:val="00ED3FC8"/>
    <w:rsid w:val="00ED4BAE"/>
    <w:rsid w:val="00ED5E52"/>
    <w:rsid w:val="00ED6ED8"/>
    <w:rsid w:val="00EE177F"/>
    <w:rsid w:val="00EE194D"/>
    <w:rsid w:val="00EE2964"/>
    <w:rsid w:val="00EE2E1B"/>
    <w:rsid w:val="00EE3974"/>
    <w:rsid w:val="00EE557E"/>
    <w:rsid w:val="00EF2025"/>
    <w:rsid w:val="00EF289F"/>
    <w:rsid w:val="00EF396F"/>
    <w:rsid w:val="00EF3ECB"/>
    <w:rsid w:val="00EF7A27"/>
    <w:rsid w:val="00F00945"/>
    <w:rsid w:val="00F01781"/>
    <w:rsid w:val="00F01EBA"/>
    <w:rsid w:val="00F02505"/>
    <w:rsid w:val="00F02B52"/>
    <w:rsid w:val="00F03034"/>
    <w:rsid w:val="00F03C6C"/>
    <w:rsid w:val="00F05011"/>
    <w:rsid w:val="00F060FC"/>
    <w:rsid w:val="00F105BC"/>
    <w:rsid w:val="00F118AC"/>
    <w:rsid w:val="00F12374"/>
    <w:rsid w:val="00F13ABD"/>
    <w:rsid w:val="00F1428C"/>
    <w:rsid w:val="00F168EF"/>
    <w:rsid w:val="00F17F19"/>
    <w:rsid w:val="00F203F2"/>
    <w:rsid w:val="00F20D10"/>
    <w:rsid w:val="00F22C2C"/>
    <w:rsid w:val="00F23054"/>
    <w:rsid w:val="00F24B3D"/>
    <w:rsid w:val="00F25245"/>
    <w:rsid w:val="00F301DE"/>
    <w:rsid w:val="00F30B10"/>
    <w:rsid w:val="00F31E52"/>
    <w:rsid w:val="00F33591"/>
    <w:rsid w:val="00F3461A"/>
    <w:rsid w:val="00F3545C"/>
    <w:rsid w:val="00F40430"/>
    <w:rsid w:val="00F41051"/>
    <w:rsid w:val="00F41109"/>
    <w:rsid w:val="00F4163E"/>
    <w:rsid w:val="00F42356"/>
    <w:rsid w:val="00F44E11"/>
    <w:rsid w:val="00F45F48"/>
    <w:rsid w:val="00F46EE1"/>
    <w:rsid w:val="00F509EE"/>
    <w:rsid w:val="00F51C6A"/>
    <w:rsid w:val="00F52F8A"/>
    <w:rsid w:val="00F53032"/>
    <w:rsid w:val="00F53F60"/>
    <w:rsid w:val="00F541FD"/>
    <w:rsid w:val="00F5498F"/>
    <w:rsid w:val="00F57EDA"/>
    <w:rsid w:val="00F6074E"/>
    <w:rsid w:val="00F6276D"/>
    <w:rsid w:val="00F62B75"/>
    <w:rsid w:val="00F65B9E"/>
    <w:rsid w:val="00F663FC"/>
    <w:rsid w:val="00F66452"/>
    <w:rsid w:val="00F7142F"/>
    <w:rsid w:val="00F724FD"/>
    <w:rsid w:val="00F7296B"/>
    <w:rsid w:val="00F73891"/>
    <w:rsid w:val="00F76A17"/>
    <w:rsid w:val="00F808C6"/>
    <w:rsid w:val="00F92A70"/>
    <w:rsid w:val="00F93347"/>
    <w:rsid w:val="00F93819"/>
    <w:rsid w:val="00F96120"/>
    <w:rsid w:val="00F97932"/>
    <w:rsid w:val="00FA0247"/>
    <w:rsid w:val="00FA0460"/>
    <w:rsid w:val="00FA1074"/>
    <w:rsid w:val="00FA1ADC"/>
    <w:rsid w:val="00FA3C28"/>
    <w:rsid w:val="00FA3D79"/>
    <w:rsid w:val="00FA4109"/>
    <w:rsid w:val="00FA4520"/>
    <w:rsid w:val="00FA47CC"/>
    <w:rsid w:val="00FA5169"/>
    <w:rsid w:val="00FA5753"/>
    <w:rsid w:val="00FA6826"/>
    <w:rsid w:val="00FA708C"/>
    <w:rsid w:val="00FA79A2"/>
    <w:rsid w:val="00FB3F16"/>
    <w:rsid w:val="00FB6924"/>
    <w:rsid w:val="00FB6990"/>
    <w:rsid w:val="00FB6B6C"/>
    <w:rsid w:val="00FC0528"/>
    <w:rsid w:val="00FC10B9"/>
    <w:rsid w:val="00FC157D"/>
    <w:rsid w:val="00FC2842"/>
    <w:rsid w:val="00FC2BDC"/>
    <w:rsid w:val="00FC7B0B"/>
    <w:rsid w:val="00FD1F23"/>
    <w:rsid w:val="00FD2660"/>
    <w:rsid w:val="00FD5D1E"/>
    <w:rsid w:val="00FD68DC"/>
    <w:rsid w:val="00FD6BF9"/>
    <w:rsid w:val="00FD7178"/>
    <w:rsid w:val="00FD7252"/>
    <w:rsid w:val="00FD78D1"/>
    <w:rsid w:val="00FE0BDD"/>
    <w:rsid w:val="00FE14A5"/>
    <w:rsid w:val="00FE1B45"/>
    <w:rsid w:val="00FE3BD5"/>
    <w:rsid w:val="00FE52A4"/>
    <w:rsid w:val="00FE60CE"/>
    <w:rsid w:val="00FF2E35"/>
    <w:rsid w:val="00FF66BE"/>
    <w:rsid w:val="013D3934"/>
    <w:rsid w:val="02AA3829"/>
    <w:rsid w:val="02D056A8"/>
    <w:rsid w:val="02DD2F85"/>
    <w:rsid w:val="03437DC8"/>
    <w:rsid w:val="038B5232"/>
    <w:rsid w:val="03A20742"/>
    <w:rsid w:val="04074FB1"/>
    <w:rsid w:val="04114082"/>
    <w:rsid w:val="05123C0E"/>
    <w:rsid w:val="05191CE9"/>
    <w:rsid w:val="053022E6"/>
    <w:rsid w:val="05C0330C"/>
    <w:rsid w:val="05E64CD2"/>
    <w:rsid w:val="060C6CAE"/>
    <w:rsid w:val="062F6A41"/>
    <w:rsid w:val="066C37F1"/>
    <w:rsid w:val="066E27C6"/>
    <w:rsid w:val="069B7C33"/>
    <w:rsid w:val="06A50AB1"/>
    <w:rsid w:val="06B25D04"/>
    <w:rsid w:val="079B2C73"/>
    <w:rsid w:val="07E37AE3"/>
    <w:rsid w:val="08022BB7"/>
    <w:rsid w:val="08DB234B"/>
    <w:rsid w:val="09124EA5"/>
    <w:rsid w:val="09293C1C"/>
    <w:rsid w:val="09DB4F16"/>
    <w:rsid w:val="09DB507A"/>
    <w:rsid w:val="0A692E90"/>
    <w:rsid w:val="0AAF3874"/>
    <w:rsid w:val="0AF9577A"/>
    <w:rsid w:val="0BB1141A"/>
    <w:rsid w:val="0BF2316A"/>
    <w:rsid w:val="0C4E2CC4"/>
    <w:rsid w:val="0C61616F"/>
    <w:rsid w:val="0CE72DC5"/>
    <w:rsid w:val="0D2C195F"/>
    <w:rsid w:val="0E884F40"/>
    <w:rsid w:val="101C2508"/>
    <w:rsid w:val="1065342A"/>
    <w:rsid w:val="10671734"/>
    <w:rsid w:val="10C60F86"/>
    <w:rsid w:val="11A82BC2"/>
    <w:rsid w:val="128809C1"/>
    <w:rsid w:val="1299596E"/>
    <w:rsid w:val="12A947A9"/>
    <w:rsid w:val="13100D73"/>
    <w:rsid w:val="134A7C24"/>
    <w:rsid w:val="13737F6D"/>
    <w:rsid w:val="13A10F0F"/>
    <w:rsid w:val="140E53AF"/>
    <w:rsid w:val="145E0C1D"/>
    <w:rsid w:val="15107A3E"/>
    <w:rsid w:val="158A3C94"/>
    <w:rsid w:val="15FC0073"/>
    <w:rsid w:val="162350D4"/>
    <w:rsid w:val="162B2D81"/>
    <w:rsid w:val="16C1005C"/>
    <w:rsid w:val="17631DDD"/>
    <w:rsid w:val="17641D15"/>
    <w:rsid w:val="1785507B"/>
    <w:rsid w:val="179F530F"/>
    <w:rsid w:val="17CE0969"/>
    <w:rsid w:val="18B03A11"/>
    <w:rsid w:val="19265A82"/>
    <w:rsid w:val="19573E8D"/>
    <w:rsid w:val="197728C3"/>
    <w:rsid w:val="199C10ED"/>
    <w:rsid w:val="19D823A1"/>
    <w:rsid w:val="1A2C26F6"/>
    <w:rsid w:val="1A362EE1"/>
    <w:rsid w:val="1A3D7527"/>
    <w:rsid w:val="1A530AF8"/>
    <w:rsid w:val="1ADB5989"/>
    <w:rsid w:val="1B0911B7"/>
    <w:rsid w:val="1B812682"/>
    <w:rsid w:val="1C6D18B0"/>
    <w:rsid w:val="1CB05D8E"/>
    <w:rsid w:val="1CBE1816"/>
    <w:rsid w:val="1D9C4C7C"/>
    <w:rsid w:val="1DB2495E"/>
    <w:rsid w:val="1DCD7327"/>
    <w:rsid w:val="1E864C15"/>
    <w:rsid w:val="1EE241F9"/>
    <w:rsid w:val="1F04738C"/>
    <w:rsid w:val="1F1620F4"/>
    <w:rsid w:val="1F8E3F06"/>
    <w:rsid w:val="1FAF67D1"/>
    <w:rsid w:val="1FD46237"/>
    <w:rsid w:val="200F6219"/>
    <w:rsid w:val="201E74B3"/>
    <w:rsid w:val="202577F1"/>
    <w:rsid w:val="206E7158"/>
    <w:rsid w:val="223E15F6"/>
    <w:rsid w:val="22453191"/>
    <w:rsid w:val="226C6811"/>
    <w:rsid w:val="227E0B02"/>
    <w:rsid w:val="22AC447B"/>
    <w:rsid w:val="240837FD"/>
    <w:rsid w:val="240B5FA0"/>
    <w:rsid w:val="247E2C16"/>
    <w:rsid w:val="258E158F"/>
    <w:rsid w:val="25C67EF9"/>
    <w:rsid w:val="26123616"/>
    <w:rsid w:val="2629481B"/>
    <w:rsid w:val="26646A24"/>
    <w:rsid w:val="27620A8F"/>
    <w:rsid w:val="283B362D"/>
    <w:rsid w:val="28D45C12"/>
    <w:rsid w:val="28EB2EE5"/>
    <w:rsid w:val="297168A5"/>
    <w:rsid w:val="29C33BDF"/>
    <w:rsid w:val="2A0E0F1F"/>
    <w:rsid w:val="2AE15CAC"/>
    <w:rsid w:val="2C466ED8"/>
    <w:rsid w:val="2C9A244F"/>
    <w:rsid w:val="2CAD095C"/>
    <w:rsid w:val="2D045C82"/>
    <w:rsid w:val="2D1D5812"/>
    <w:rsid w:val="2D662A0E"/>
    <w:rsid w:val="2E532787"/>
    <w:rsid w:val="2E6A5A75"/>
    <w:rsid w:val="2ECA1EE2"/>
    <w:rsid w:val="2EDD022C"/>
    <w:rsid w:val="2F8A06C1"/>
    <w:rsid w:val="2FEF03A3"/>
    <w:rsid w:val="30A37CAF"/>
    <w:rsid w:val="30AC2F63"/>
    <w:rsid w:val="310B3A83"/>
    <w:rsid w:val="31225C8A"/>
    <w:rsid w:val="31271F3F"/>
    <w:rsid w:val="31411253"/>
    <w:rsid w:val="315A40C3"/>
    <w:rsid w:val="317C4033"/>
    <w:rsid w:val="31910CF1"/>
    <w:rsid w:val="319A0963"/>
    <w:rsid w:val="31DC4D2F"/>
    <w:rsid w:val="322411E2"/>
    <w:rsid w:val="32770680"/>
    <w:rsid w:val="328C0BF4"/>
    <w:rsid w:val="32BC3287"/>
    <w:rsid w:val="32E035C8"/>
    <w:rsid w:val="33E06810"/>
    <w:rsid w:val="344A08AC"/>
    <w:rsid w:val="345179FF"/>
    <w:rsid w:val="35596ADD"/>
    <w:rsid w:val="356367AE"/>
    <w:rsid w:val="35EC7961"/>
    <w:rsid w:val="363E2205"/>
    <w:rsid w:val="36524CFB"/>
    <w:rsid w:val="36722908"/>
    <w:rsid w:val="36914A2B"/>
    <w:rsid w:val="36A87541"/>
    <w:rsid w:val="36CF0DBE"/>
    <w:rsid w:val="37227431"/>
    <w:rsid w:val="3769460F"/>
    <w:rsid w:val="38201F82"/>
    <w:rsid w:val="391D07F7"/>
    <w:rsid w:val="39A03EED"/>
    <w:rsid w:val="39CD76B2"/>
    <w:rsid w:val="3A0172F2"/>
    <w:rsid w:val="3A3A2339"/>
    <w:rsid w:val="3A706705"/>
    <w:rsid w:val="3A8D375B"/>
    <w:rsid w:val="3A9B7C26"/>
    <w:rsid w:val="3A9C399E"/>
    <w:rsid w:val="3AFF7496"/>
    <w:rsid w:val="3B530501"/>
    <w:rsid w:val="3B5F7A63"/>
    <w:rsid w:val="3B610D6C"/>
    <w:rsid w:val="3B9E42F1"/>
    <w:rsid w:val="3BBD41F8"/>
    <w:rsid w:val="3C027831"/>
    <w:rsid w:val="3C7B2D8D"/>
    <w:rsid w:val="3CB1383A"/>
    <w:rsid w:val="3CBF1452"/>
    <w:rsid w:val="3D5365DD"/>
    <w:rsid w:val="3D6437AD"/>
    <w:rsid w:val="3D644491"/>
    <w:rsid w:val="3EED3580"/>
    <w:rsid w:val="3F3D549F"/>
    <w:rsid w:val="3FC65601"/>
    <w:rsid w:val="400074F9"/>
    <w:rsid w:val="40D13866"/>
    <w:rsid w:val="41D103D1"/>
    <w:rsid w:val="42AA72D4"/>
    <w:rsid w:val="42C6119D"/>
    <w:rsid w:val="42E94442"/>
    <w:rsid w:val="435E1912"/>
    <w:rsid w:val="438229E4"/>
    <w:rsid w:val="445B21D4"/>
    <w:rsid w:val="458022DE"/>
    <w:rsid w:val="45C67B21"/>
    <w:rsid w:val="46A00372"/>
    <w:rsid w:val="46A023EA"/>
    <w:rsid w:val="46A41C10"/>
    <w:rsid w:val="47283F37"/>
    <w:rsid w:val="473531B0"/>
    <w:rsid w:val="47573505"/>
    <w:rsid w:val="47AD384F"/>
    <w:rsid w:val="47DB3D58"/>
    <w:rsid w:val="4A4C4707"/>
    <w:rsid w:val="4AE5660E"/>
    <w:rsid w:val="4B157580"/>
    <w:rsid w:val="4BDD5003"/>
    <w:rsid w:val="4C194E4E"/>
    <w:rsid w:val="4C871DB8"/>
    <w:rsid w:val="4CA02E7A"/>
    <w:rsid w:val="4D08279D"/>
    <w:rsid w:val="4D267823"/>
    <w:rsid w:val="4D6C0DAE"/>
    <w:rsid w:val="4E0F4E9D"/>
    <w:rsid w:val="4E1468D3"/>
    <w:rsid w:val="4F345833"/>
    <w:rsid w:val="500E594C"/>
    <w:rsid w:val="516A6D37"/>
    <w:rsid w:val="51F15F26"/>
    <w:rsid w:val="520A2CE4"/>
    <w:rsid w:val="525D5400"/>
    <w:rsid w:val="526D1A50"/>
    <w:rsid w:val="52BB69ED"/>
    <w:rsid w:val="52CA7A63"/>
    <w:rsid w:val="533C1191"/>
    <w:rsid w:val="533C1BC8"/>
    <w:rsid w:val="534914D2"/>
    <w:rsid w:val="53832F11"/>
    <w:rsid w:val="53B8041D"/>
    <w:rsid w:val="53CC6C4A"/>
    <w:rsid w:val="54065CB8"/>
    <w:rsid w:val="5479220D"/>
    <w:rsid w:val="54C871E5"/>
    <w:rsid w:val="54FB1902"/>
    <w:rsid w:val="55801A9A"/>
    <w:rsid w:val="558F6181"/>
    <w:rsid w:val="56300E82"/>
    <w:rsid w:val="56B516F9"/>
    <w:rsid w:val="56C9110C"/>
    <w:rsid w:val="56E301FF"/>
    <w:rsid w:val="573C7C43"/>
    <w:rsid w:val="57680A38"/>
    <w:rsid w:val="57E26080"/>
    <w:rsid w:val="58474AF1"/>
    <w:rsid w:val="585B279E"/>
    <w:rsid w:val="587F1C21"/>
    <w:rsid w:val="59417DFE"/>
    <w:rsid w:val="597C6A1D"/>
    <w:rsid w:val="5A2C0443"/>
    <w:rsid w:val="5A935858"/>
    <w:rsid w:val="5AB4642C"/>
    <w:rsid w:val="5AE53F9E"/>
    <w:rsid w:val="5B446FC3"/>
    <w:rsid w:val="5C1C5B60"/>
    <w:rsid w:val="5CE70651"/>
    <w:rsid w:val="5D961C01"/>
    <w:rsid w:val="5DAA7A9B"/>
    <w:rsid w:val="5E1216FE"/>
    <w:rsid w:val="5E331DA0"/>
    <w:rsid w:val="5E5D506F"/>
    <w:rsid w:val="5E6301AB"/>
    <w:rsid w:val="5E7303EE"/>
    <w:rsid w:val="5EE62167"/>
    <w:rsid w:val="5F1B0545"/>
    <w:rsid w:val="5F1D2E7B"/>
    <w:rsid w:val="5FF53172"/>
    <w:rsid w:val="60051EB2"/>
    <w:rsid w:val="60207518"/>
    <w:rsid w:val="610C6F7A"/>
    <w:rsid w:val="615001C0"/>
    <w:rsid w:val="61563AF5"/>
    <w:rsid w:val="61910951"/>
    <w:rsid w:val="61B25832"/>
    <w:rsid w:val="61F623AC"/>
    <w:rsid w:val="62675A80"/>
    <w:rsid w:val="627B1F67"/>
    <w:rsid w:val="629653A5"/>
    <w:rsid w:val="62D61A5A"/>
    <w:rsid w:val="62E71659"/>
    <w:rsid w:val="63194C9E"/>
    <w:rsid w:val="6377272F"/>
    <w:rsid w:val="6568514A"/>
    <w:rsid w:val="665F0ED1"/>
    <w:rsid w:val="67237331"/>
    <w:rsid w:val="67D769E9"/>
    <w:rsid w:val="68534DEC"/>
    <w:rsid w:val="687C4343"/>
    <w:rsid w:val="68A8293F"/>
    <w:rsid w:val="699A48EC"/>
    <w:rsid w:val="69D52D09"/>
    <w:rsid w:val="6A28185C"/>
    <w:rsid w:val="6A2C1008"/>
    <w:rsid w:val="6A5C35F6"/>
    <w:rsid w:val="6AB843A1"/>
    <w:rsid w:val="6B326497"/>
    <w:rsid w:val="6BE91CB2"/>
    <w:rsid w:val="6C010981"/>
    <w:rsid w:val="6C0256BF"/>
    <w:rsid w:val="6CA51767"/>
    <w:rsid w:val="6CAA7AFE"/>
    <w:rsid w:val="6D5525ED"/>
    <w:rsid w:val="6DAC1227"/>
    <w:rsid w:val="6E3F2DEC"/>
    <w:rsid w:val="6E562753"/>
    <w:rsid w:val="6E8E261D"/>
    <w:rsid w:val="6F4A1393"/>
    <w:rsid w:val="6F683873"/>
    <w:rsid w:val="6F7A7875"/>
    <w:rsid w:val="6FE50ADF"/>
    <w:rsid w:val="6FF92AFA"/>
    <w:rsid w:val="705362D1"/>
    <w:rsid w:val="70A06FE8"/>
    <w:rsid w:val="70C7280E"/>
    <w:rsid w:val="716819E6"/>
    <w:rsid w:val="717F6475"/>
    <w:rsid w:val="71D2495D"/>
    <w:rsid w:val="7240454E"/>
    <w:rsid w:val="72712A3F"/>
    <w:rsid w:val="731F06ED"/>
    <w:rsid w:val="736E377E"/>
    <w:rsid w:val="74485A21"/>
    <w:rsid w:val="74510FF3"/>
    <w:rsid w:val="7488127C"/>
    <w:rsid w:val="74C50E20"/>
    <w:rsid w:val="768076F4"/>
    <w:rsid w:val="7773065F"/>
    <w:rsid w:val="777B322D"/>
    <w:rsid w:val="779C21A8"/>
    <w:rsid w:val="77A1399A"/>
    <w:rsid w:val="77AA4F8E"/>
    <w:rsid w:val="77B2201E"/>
    <w:rsid w:val="78014561"/>
    <w:rsid w:val="786F7A21"/>
    <w:rsid w:val="78EB4105"/>
    <w:rsid w:val="78ED1F0F"/>
    <w:rsid w:val="79070348"/>
    <w:rsid w:val="7A33598C"/>
    <w:rsid w:val="7A66025B"/>
    <w:rsid w:val="7B51165F"/>
    <w:rsid w:val="7B9E4E40"/>
    <w:rsid w:val="7BE55F4A"/>
    <w:rsid w:val="7BF03D54"/>
    <w:rsid w:val="7C043437"/>
    <w:rsid w:val="7C3A20F4"/>
    <w:rsid w:val="7C9B57CF"/>
    <w:rsid w:val="7CC353FF"/>
    <w:rsid w:val="7CFC1507"/>
    <w:rsid w:val="7D042996"/>
    <w:rsid w:val="7E5974B5"/>
    <w:rsid w:val="7FDD2B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Theme="minorEastAsia" w:cstheme="minorBidi"/>
      <w:sz w:val="22"/>
      <w:szCs w:val="22"/>
      <w:lang w:val="en-US" w:eastAsia="zh-CN" w:bidi="ar-SA"/>
    </w:rPr>
  </w:style>
  <w:style w:type="paragraph" w:styleId="2">
    <w:name w:val="heading 1"/>
    <w:basedOn w:val="1"/>
    <w:next w:val="1"/>
    <w:link w:val="20"/>
    <w:qFormat/>
    <w:uiPriority w:val="0"/>
    <w:pPr>
      <w:keepNext/>
      <w:widowControl w:val="0"/>
      <w:adjustRightInd/>
      <w:snapToGrid/>
      <w:spacing w:after="0"/>
      <w:ind w:firstLine="7455"/>
      <w:jc w:val="both"/>
      <w:outlineLvl w:val="0"/>
    </w:pPr>
    <w:rPr>
      <w:rFonts w:ascii="Times New Roman" w:hAnsi="Times New Roman" w:eastAsia="宋体" w:cs="Times New Roman"/>
      <w:kern w:val="2"/>
      <w:sz w:val="48"/>
      <w:szCs w:val="20"/>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6"/>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6">
    <w:name w:val="toc 3"/>
    <w:basedOn w:val="1"/>
    <w:next w:val="1"/>
    <w:autoRedefine/>
    <w:unhideWhenUsed/>
    <w:qFormat/>
    <w:uiPriority w:val="39"/>
    <w:pPr>
      <w:ind w:left="840" w:leftChars="400"/>
    </w:pPr>
  </w:style>
  <w:style w:type="paragraph" w:styleId="7">
    <w:name w:val="Date"/>
    <w:basedOn w:val="1"/>
    <w:next w:val="1"/>
    <w:link w:val="32"/>
    <w:autoRedefine/>
    <w:semiHidden/>
    <w:unhideWhenUsed/>
    <w:qFormat/>
    <w:uiPriority w:val="99"/>
    <w:pPr>
      <w:ind w:left="100" w:leftChars="2500"/>
    </w:pPr>
  </w:style>
  <w:style w:type="paragraph" w:styleId="8">
    <w:name w:val="Body Text Indent 2"/>
    <w:basedOn w:val="1"/>
    <w:link w:val="28"/>
    <w:autoRedefine/>
    <w:qFormat/>
    <w:uiPriority w:val="0"/>
    <w:pPr>
      <w:widowControl w:val="0"/>
      <w:adjustRightInd/>
      <w:snapToGrid/>
      <w:spacing w:after="0"/>
      <w:ind w:firstLine="600" w:firstLineChars="200"/>
    </w:pPr>
    <w:rPr>
      <w:rFonts w:ascii="Times New Roman" w:hAnsi="Times New Roman" w:eastAsia="宋体" w:cs="Times New Roman"/>
      <w:kern w:val="2"/>
      <w:sz w:val="30"/>
      <w:szCs w:val="24"/>
    </w:rPr>
  </w:style>
  <w:style w:type="paragraph" w:styleId="9">
    <w:name w:val="Balloon Text"/>
    <w:basedOn w:val="1"/>
    <w:link w:val="23"/>
    <w:autoRedefine/>
    <w:semiHidden/>
    <w:unhideWhenUsed/>
    <w:qFormat/>
    <w:uiPriority w:val="99"/>
    <w:pPr>
      <w:spacing w:after="0"/>
    </w:pPr>
    <w:rPr>
      <w:sz w:val="18"/>
      <w:szCs w:val="18"/>
    </w:rPr>
  </w:style>
  <w:style w:type="paragraph" w:styleId="10">
    <w:name w:val="footer"/>
    <w:basedOn w:val="1"/>
    <w:link w:val="19"/>
    <w:autoRedefine/>
    <w:unhideWhenUsed/>
    <w:qFormat/>
    <w:uiPriority w:val="99"/>
    <w:pPr>
      <w:tabs>
        <w:tab w:val="center" w:pos="4153"/>
        <w:tab w:val="right" w:pos="8306"/>
      </w:tabs>
    </w:pPr>
    <w:rPr>
      <w:sz w:val="18"/>
      <w:szCs w:val="18"/>
    </w:rPr>
  </w:style>
  <w:style w:type="paragraph" w:styleId="11">
    <w:name w:val="header"/>
    <w:basedOn w:val="1"/>
    <w:link w:val="18"/>
    <w:autoRedefine/>
    <w:unhideWhenUsed/>
    <w:qFormat/>
    <w:uiPriority w:val="99"/>
    <w:pPr>
      <w:pBdr>
        <w:bottom w:val="single" w:color="auto" w:sz="6" w:space="1"/>
      </w:pBdr>
      <w:tabs>
        <w:tab w:val="center" w:pos="4153"/>
        <w:tab w:val="right" w:pos="8306"/>
      </w:tabs>
      <w:jc w:val="center"/>
    </w:pPr>
    <w:rPr>
      <w:sz w:val="18"/>
      <w:szCs w:val="18"/>
    </w:rPr>
  </w:style>
  <w:style w:type="paragraph" w:styleId="12">
    <w:name w:val="toc 1"/>
    <w:basedOn w:val="1"/>
    <w:next w:val="1"/>
    <w:autoRedefine/>
    <w:unhideWhenUsed/>
    <w:qFormat/>
    <w:uiPriority w:val="39"/>
  </w:style>
  <w:style w:type="paragraph" w:styleId="13">
    <w:name w:val="toc 2"/>
    <w:basedOn w:val="1"/>
    <w:next w:val="1"/>
    <w:autoRedefine/>
    <w:unhideWhenUsed/>
    <w:qFormat/>
    <w:uiPriority w:val="39"/>
    <w:pPr>
      <w:ind w:left="420" w:leftChars="200"/>
    </w:p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autoRedefine/>
    <w:unhideWhenUsed/>
    <w:qFormat/>
    <w:uiPriority w:val="99"/>
    <w:rPr>
      <w:color w:val="0000FF" w:themeColor="hyperlink"/>
      <w:u w:val="single"/>
    </w:rPr>
  </w:style>
  <w:style w:type="character" w:customStyle="1" w:styleId="18">
    <w:name w:val="页眉 Char"/>
    <w:basedOn w:val="16"/>
    <w:link w:val="11"/>
    <w:autoRedefine/>
    <w:qFormat/>
    <w:uiPriority w:val="99"/>
    <w:rPr>
      <w:rFonts w:ascii="Tahoma" w:hAnsi="Tahoma"/>
      <w:sz w:val="18"/>
      <w:szCs w:val="18"/>
    </w:rPr>
  </w:style>
  <w:style w:type="character" w:customStyle="1" w:styleId="19">
    <w:name w:val="页脚 Char"/>
    <w:basedOn w:val="16"/>
    <w:link w:val="10"/>
    <w:autoRedefine/>
    <w:qFormat/>
    <w:uiPriority w:val="99"/>
    <w:rPr>
      <w:rFonts w:ascii="Tahoma" w:hAnsi="Tahoma"/>
      <w:sz w:val="18"/>
      <w:szCs w:val="18"/>
    </w:rPr>
  </w:style>
  <w:style w:type="character" w:customStyle="1" w:styleId="20">
    <w:name w:val="标题 1 Char"/>
    <w:basedOn w:val="16"/>
    <w:link w:val="2"/>
    <w:autoRedefine/>
    <w:qFormat/>
    <w:uiPriority w:val="0"/>
    <w:rPr>
      <w:rFonts w:ascii="Times New Roman" w:hAnsi="Times New Roman" w:eastAsia="宋体" w:cs="Times New Roman"/>
      <w:kern w:val="2"/>
      <w:sz w:val="48"/>
      <w:szCs w:val="20"/>
    </w:rPr>
  </w:style>
  <w:style w:type="paragraph" w:customStyle="1" w:styleId="21">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styleId="22">
    <w:name w:val="List Paragraph"/>
    <w:basedOn w:val="1"/>
    <w:autoRedefine/>
    <w:qFormat/>
    <w:uiPriority w:val="34"/>
    <w:pPr>
      <w:ind w:firstLine="420" w:firstLineChars="200"/>
    </w:pPr>
  </w:style>
  <w:style w:type="character" w:customStyle="1" w:styleId="23">
    <w:name w:val="批注框文本 Char"/>
    <w:basedOn w:val="16"/>
    <w:link w:val="9"/>
    <w:autoRedefine/>
    <w:semiHidden/>
    <w:qFormat/>
    <w:uiPriority w:val="99"/>
    <w:rPr>
      <w:rFonts w:ascii="Tahoma" w:hAnsi="Tahoma"/>
      <w:sz w:val="18"/>
      <w:szCs w:val="18"/>
    </w:rPr>
  </w:style>
  <w:style w:type="character" w:customStyle="1" w:styleId="24">
    <w:name w:val="标题 2 Char"/>
    <w:basedOn w:val="16"/>
    <w:link w:val="3"/>
    <w:autoRedefine/>
    <w:qFormat/>
    <w:uiPriority w:val="9"/>
    <w:rPr>
      <w:rFonts w:asciiTheme="majorHAnsi" w:hAnsiTheme="majorHAnsi" w:eastAsiaTheme="majorEastAsia" w:cstheme="majorBidi"/>
      <w:b/>
      <w:bCs/>
      <w:sz w:val="32"/>
      <w:szCs w:val="32"/>
    </w:rPr>
  </w:style>
  <w:style w:type="character" w:customStyle="1" w:styleId="25">
    <w:name w:val="标题 3 Char"/>
    <w:basedOn w:val="16"/>
    <w:link w:val="4"/>
    <w:autoRedefine/>
    <w:qFormat/>
    <w:uiPriority w:val="9"/>
    <w:rPr>
      <w:rFonts w:ascii="Tahoma" w:hAnsi="Tahoma"/>
      <w:b/>
      <w:bCs/>
      <w:sz w:val="32"/>
      <w:szCs w:val="32"/>
    </w:rPr>
  </w:style>
  <w:style w:type="character" w:customStyle="1" w:styleId="26">
    <w:name w:val="标题 4 Char"/>
    <w:basedOn w:val="16"/>
    <w:link w:val="5"/>
    <w:autoRedefine/>
    <w:qFormat/>
    <w:uiPriority w:val="9"/>
    <w:rPr>
      <w:rFonts w:asciiTheme="majorHAnsi" w:hAnsiTheme="majorHAnsi" w:eastAsiaTheme="majorEastAsia" w:cstheme="majorBidi"/>
      <w:b/>
      <w:bCs/>
      <w:sz w:val="28"/>
      <w:szCs w:val="28"/>
    </w:rPr>
  </w:style>
  <w:style w:type="paragraph" w:customStyle="1" w:styleId="27">
    <w:name w:val="TOC 标题1"/>
    <w:basedOn w:val="2"/>
    <w:next w:val="1"/>
    <w:autoRedefine/>
    <w:semiHidden/>
    <w:unhideWhenUsed/>
    <w:qFormat/>
    <w:uiPriority w:val="39"/>
    <w:pPr>
      <w:keepLines/>
      <w:widowControl/>
      <w:spacing w:before="480" w:line="276" w:lineRule="auto"/>
      <w:ind w:firstLine="0"/>
      <w:jc w:val="left"/>
      <w:outlineLvl w:val="9"/>
    </w:pPr>
    <w:rPr>
      <w:rFonts w:asciiTheme="majorHAnsi" w:hAnsiTheme="majorHAnsi" w:eastAsiaTheme="majorEastAsia" w:cstheme="majorBidi"/>
      <w:b/>
      <w:bCs/>
      <w:color w:val="366091" w:themeColor="accent1" w:themeShade="BF"/>
      <w:kern w:val="0"/>
      <w:sz w:val="28"/>
      <w:szCs w:val="28"/>
    </w:rPr>
  </w:style>
  <w:style w:type="character" w:customStyle="1" w:styleId="28">
    <w:name w:val="正文文本缩进 2 Char"/>
    <w:basedOn w:val="16"/>
    <w:link w:val="8"/>
    <w:autoRedefine/>
    <w:qFormat/>
    <w:uiPriority w:val="0"/>
    <w:rPr>
      <w:rFonts w:ascii="Times New Roman" w:hAnsi="Times New Roman" w:eastAsia="宋体" w:cs="Times New Roman"/>
      <w:kern w:val="2"/>
      <w:sz w:val="30"/>
      <w:szCs w:val="24"/>
    </w:rPr>
  </w:style>
  <w:style w:type="character" w:customStyle="1" w:styleId="29">
    <w:name w:val="段 Char Char"/>
    <w:basedOn w:val="16"/>
    <w:link w:val="30"/>
    <w:autoRedefine/>
    <w:qFormat/>
    <w:uiPriority w:val="0"/>
    <w:rPr>
      <w:rFonts w:ascii="宋体"/>
      <w:sz w:val="21"/>
    </w:rPr>
  </w:style>
  <w:style w:type="paragraph" w:customStyle="1" w:styleId="30">
    <w:name w:val="段"/>
    <w:link w:val="29"/>
    <w:autoRedefine/>
    <w:qFormat/>
    <w:uiPriority w:val="0"/>
    <w:pPr>
      <w:autoSpaceDE w:val="0"/>
      <w:autoSpaceDN w:val="0"/>
      <w:ind w:firstLine="200" w:firstLineChars="200"/>
      <w:jc w:val="both"/>
    </w:pPr>
    <w:rPr>
      <w:rFonts w:ascii="宋体" w:hAnsiTheme="minorHAnsi" w:eastAsiaTheme="minorEastAsia" w:cstheme="minorBidi"/>
      <w:sz w:val="21"/>
      <w:szCs w:val="22"/>
      <w:lang w:val="en-US" w:eastAsia="zh-CN" w:bidi="ar-SA"/>
    </w:rPr>
  </w:style>
  <w:style w:type="paragraph" w:customStyle="1" w:styleId="31">
    <w:name w:val="章标题"/>
    <w:next w:val="30"/>
    <w:link w:val="35"/>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character" w:customStyle="1" w:styleId="32">
    <w:name w:val="日期 Char"/>
    <w:basedOn w:val="16"/>
    <w:link w:val="7"/>
    <w:autoRedefine/>
    <w:semiHidden/>
    <w:qFormat/>
    <w:uiPriority w:val="99"/>
    <w:rPr>
      <w:rFonts w:ascii="Tahoma" w:hAnsi="Tahoma"/>
    </w:rPr>
  </w:style>
  <w:style w:type="paragraph" w:styleId="33">
    <w:name w:val="No Spacing"/>
    <w:autoRedefine/>
    <w:qFormat/>
    <w:uiPriority w:val="1"/>
    <w:pPr>
      <w:adjustRightInd w:val="0"/>
      <w:snapToGrid w:val="0"/>
    </w:pPr>
    <w:rPr>
      <w:rFonts w:ascii="Tahoma" w:hAnsi="Tahoma" w:eastAsiaTheme="minorEastAsia" w:cstheme="minorBidi"/>
      <w:sz w:val="22"/>
      <w:szCs w:val="22"/>
      <w:lang w:val="en-US" w:eastAsia="zh-CN" w:bidi="ar-SA"/>
    </w:rPr>
  </w:style>
  <w:style w:type="character" w:styleId="34">
    <w:name w:val="Placeholder Text"/>
    <w:basedOn w:val="16"/>
    <w:autoRedefine/>
    <w:unhideWhenUsed/>
    <w:qFormat/>
    <w:uiPriority w:val="99"/>
    <w:rPr>
      <w:color w:val="808080"/>
    </w:rPr>
  </w:style>
  <w:style w:type="character" w:customStyle="1" w:styleId="35">
    <w:name w:val="章标题 Char"/>
    <w:basedOn w:val="16"/>
    <w:link w:val="31"/>
    <w:autoRedefine/>
    <w:qFormat/>
    <w:uiPriority w:val="0"/>
    <w:rPr>
      <w:rFonts w:ascii="黑体" w:hAnsi="Times New Roman" w:eastAsia="黑体" w:cs="Times New Roman"/>
      <w:sz w:val="21"/>
    </w:rPr>
  </w:style>
  <w:style w:type="paragraph" w:customStyle="1" w:styleId="36">
    <w:name w:val="一级条标题 Char Char Char"/>
    <w:basedOn w:val="31"/>
    <w:next w:val="30"/>
    <w:link w:val="37"/>
    <w:autoRedefine/>
    <w:qFormat/>
    <w:uiPriority w:val="0"/>
    <w:pPr>
      <w:numPr>
        <w:ilvl w:val="0"/>
        <w:numId w:val="0"/>
      </w:numPr>
      <w:spacing w:beforeLines="0" w:afterLines="0"/>
      <w:ind w:left="3570"/>
      <w:outlineLvl w:val="2"/>
    </w:pPr>
  </w:style>
  <w:style w:type="character" w:customStyle="1" w:styleId="37">
    <w:name w:val="一级条标题 Char Char Char Char"/>
    <w:basedOn w:val="35"/>
    <w:link w:val="36"/>
    <w:autoRedefine/>
    <w:qFormat/>
    <w:uiPriority w:val="0"/>
    <w:rPr>
      <w:rFonts w:ascii="黑体" w:hAnsi="Times New Roman" w:eastAsia="黑体" w:cs="Times New Roman"/>
      <w:sz w:val="21"/>
    </w:rPr>
  </w:style>
  <w:style w:type="paragraph" w:customStyle="1" w:styleId="38">
    <w:name w:val="正文公式编号制表符"/>
    <w:basedOn w:val="30"/>
    <w:next w:val="30"/>
    <w:autoRedefine/>
    <w:qFormat/>
    <w:uiPriority w:val="0"/>
    <w:pPr>
      <w:tabs>
        <w:tab w:val="center" w:pos="4201"/>
        <w:tab w:val="right" w:leader="dot" w:pos="9298"/>
      </w:tabs>
      <w:ind w:firstLine="0" w:firstLineChars="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21.wmf"/><Relationship Id="rId43" Type="http://schemas.openxmlformats.org/officeDocument/2006/relationships/oleObject" Target="embeddings/oleObject12.bin"/><Relationship Id="rId42" Type="http://schemas.openxmlformats.org/officeDocument/2006/relationships/image" Target="media/image20.wmf"/><Relationship Id="rId41" Type="http://schemas.openxmlformats.org/officeDocument/2006/relationships/oleObject" Target="embeddings/oleObject11.bin"/><Relationship Id="rId40" Type="http://schemas.openxmlformats.org/officeDocument/2006/relationships/image" Target="media/image19.wmf"/><Relationship Id="rId4" Type="http://schemas.openxmlformats.org/officeDocument/2006/relationships/header" Target="header1.xml"/><Relationship Id="rId39" Type="http://schemas.openxmlformats.org/officeDocument/2006/relationships/oleObject" Target="embeddings/oleObject10.bin"/><Relationship Id="rId38" Type="http://schemas.openxmlformats.org/officeDocument/2006/relationships/image" Target="media/image18.wmf"/><Relationship Id="rId37" Type="http://schemas.openxmlformats.org/officeDocument/2006/relationships/oleObject" Target="embeddings/oleObject9.bin"/><Relationship Id="rId36" Type="http://schemas.openxmlformats.org/officeDocument/2006/relationships/image" Target="media/image17.wmf"/><Relationship Id="rId35" Type="http://schemas.openxmlformats.org/officeDocument/2006/relationships/oleObject" Target="embeddings/oleObject8.bin"/><Relationship Id="rId34" Type="http://schemas.openxmlformats.org/officeDocument/2006/relationships/image" Target="media/image16.wmf"/><Relationship Id="rId33" Type="http://schemas.openxmlformats.org/officeDocument/2006/relationships/oleObject" Target="embeddings/oleObject7.bin"/><Relationship Id="rId32" Type="http://schemas.openxmlformats.org/officeDocument/2006/relationships/image" Target="media/image15.wmf"/><Relationship Id="rId31" Type="http://schemas.openxmlformats.org/officeDocument/2006/relationships/oleObject" Target="embeddings/oleObject6.bin"/><Relationship Id="rId30" Type="http://schemas.openxmlformats.org/officeDocument/2006/relationships/image" Target="media/image14.png"/><Relationship Id="rId3" Type="http://schemas.openxmlformats.org/officeDocument/2006/relationships/footnotes" Target="footnotes.xml"/><Relationship Id="rId29" Type="http://schemas.openxmlformats.org/officeDocument/2006/relationships/image" Target="media/image13.wmf"/><Relationship Id="rId28" Type="http://schemas.openxmlformats.org/officeDocument/2006/relationships/oleObject" Target="embeddings/oleObject5.bin"/><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wmf"/><Relationship Id="rId23" Type="http://schemas.openxmlformats.org/officeDocument/2006/relationships/oleObject" Target="embeddings/oleObject4.bin"/><Relationship Id="rId22" Type="http://schemas.openxmlformats.org/officeDocument/2006/relationships/image" Target="media/image8.png"/><Relationship Id="rId21" Type="http://schemas.openxmlformats.org/officeDocument/2006/relationships/image" Target="media/image7.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wmf"/><Relationship Id="rId17" Type="http://schemas.openxmlformats.org/officeDocument/2006/relationships/oleObject" Target="embeddings/oleObject2.bin"/><Relationship Id="rId16" Type="http://schemas.openxmlformats.org/officeDocument/2006/relationships/image" Target="media/image4.png"/><Relationship Id="rId15" Type="http://schemas.openxmlformats.org/officeDocument/2006/relationships/image" Target="media/image3.wmf"/><Relationship Id="rId14" Type="http://schemas.openxmlformats.org/officeDocument/2006/relationships/oleObject" Target="embeddings/oleObject1.bin"/><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2050"/>
    <customShpInfo spid="_x0000_s1026"/>
    <customShpInfo spid="_x0000_s1030"/>
    <customShpInfo spid="_x0000_s1029"/>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F81948-EF48-432D-9FBB-DCECF3A3B2F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4195</Words>
  <Characters>5094</Characters>
  <Lines>55</Lines>
  <Paragraphs>15</Paragraphs>
  <TotalTime>25</TotalTime>
  <ScaleCrop>false</ScaleCrop>
  <LinksUpToDate>false</LinksUpToDate>
  <CharactersWithSpaces>5268</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2023-02-04T02:42:00Z</dcterms:created>
  <dc:creator>win7</dc:creator>
  <cp:lastModifiedBy>China东</cp:lastModifiedBy>
  <dcterms:modified xsi:type="dcterms:W3CDTF">2024-10-28T05:57:55Z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22F9C6526D1747E1B50C479FFAB7DF96_12</vt:lpwstr>
  </property>
</Properties>
</file>