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C7C9E">
      <w:pPr>
        <w:jc w:val="center"/>
        <w:rPr>
          <w:rFonts w:ascii="Times New Roman" w:hAnsi="Times New Roman" w:eastAsia="黑体" w:cs="Times New Roman"/>
          <w:color w:val="000000"/>
          <w:sz w:val="52"/>
          <w:szCs w:val="24"/>
        </w:rPr>
      </w:pPr>
    </w:p>
    <w:p w14:paraId="081BB1FC">
      <w:pPr>
        <w:jc w:val="center"/>
        <w:rPr>
          <w:rFonts w:ascii="Times New Roman" w:hAnsi="Times New Roman" w:eastAsia="黑体" w:cs="Times New Roman"/>
          <w:color w:val="000000"/>
          <w:sz w:val="52"/>
          <w:szCs w:val="24"/>
        </w:rPr>
      </w:pPr>
    </w:p>
    <w:p w14:paraId="0C47C0BE">
      <w:pPr>
        <w:jc w:val="center"/>
        <w:rPr>
          <w:rFonts w:ascii="Times New Roman" w:hAnsi="Times New Roman" w:eastAsia="黑体" w:cs="Times New Roman"/>
          <w:color w:val="000000"/>
          <w:sz w:val="52"/>
          <w:szCs w:val="24"/>
        </w:rPr>
      </w:pPr>
    </w:p>
    <w:p w14:paraId="3C1B9B0A">
      <w:pPr>
        <w:jc w:val="center"/>
        <w:rPr>
          <w:rFonts w:ascii="Times New Roman" w:hAnsi="Times New Roman" w:eastAsia="黑体" w:cs="Times New Roman"/>
          <w:color w:val="000000"/>
          <w:sz w:val="52"/>
          <w:szCs w:val="24"/>
        </w:rPr>
      </w:pPr>
    </w:p>
    <w:p w14:paraId="4C4F29B0">
      <w:pPr>
        <w:jc w:val="center"/>
        <w:rPr>
          <w:rFonts w:ascii="Times New Roman" w:hAnsi="Times New Roman" w:eastAsia="黑体" w:cs="Times New Roman"/>
          <w:color w:val="000000"/>
          <w:sz w:val="52"/>
          <w:szCs w:val="24"/>
        </w:rPr>
      </w:pPr>
    </w:p>
    <w:p w14:paraId="7A8CD67F">
      <w:pPr>
        <w:jc w:val="center"/>
        <w:rPr>
          <w:rFonts w:ascii="Times New Roman" w:hAnsi="Times New Roman" w:eastAsia="黑体" w:cs="Times New Roman"/>
          <w:color w:val="000000"/>
          <w:sz w:val="52"/>
          <w:szCs w:val="24"/>
        </w:rPr>
      </w:pPr>
    </w:p>
    <w:p w14:paraId="47038BE9">
      <w:pPr>
        <w:jc w:val="center"/>
        <w:rPr>
          <w:rFonts w:ascii="Times New Roman" w:hAnsi="Times New Roman" w:eastAsia="黑体" w:cs="Times New Roman"/>
          <w:color w:val="000000"/>
          <w:sz w:val="52"/>
          <w:szCs w:val="24"/>
        </w:rPr>
      </w:pPr>
      <w:bookmarkStart w:id="5" w:name="_GoBack"/>
      <w:r>
        <w:rPr>
          <w:rFonts w:hint="eastAsia" w:ascii="Times New Roman" w:hAnsi="Times New Roman" w:eastAsia="黑体" w:cs="Times New Roman"/>
          <w:color w:val="000000"/>
          <w:sz w:val="52"/>
          <w:szCs w:val="24"/>
        </w:rPr>
        <w:t>建材产品气味评价用原始气体嗅辨仪校准规范</w:t>
      </w:r>
      <w:bookmarkEnd w:id="5"/>
    </w:p>
    <w:p w14:paraId="7CC81C2A">
      <w:pPr>
        <w:widowControl/>
        <w:spacing w:line="360" w:lineRule="auto"/>
        <w:jc w:val="center"/>
        <w:rPr>
          <w:rFonts w:hint="eastAsia" w:ascii="Times New Roman" w:hAnsi="Times New Roman" w:eastAsia="黑体" w:cs="Times New Roman"/>
          <w:color w:val="000000"/>
          <w:sz w:val="28"/>
          <w:szCs w:val="28"/>
        </w:rPr>
      </w:pPr>
      <w:r>
        <w:rPr>
          <w:rFonts w:hint="eastAsia" w:ascii="Times New Roman" w:hAnsi="Times New Roman" w:eastAsia="黑体" w:cs="Times New Roman"/>
          <w:color w:val="000000"/>
          <w:sz w:val="28"/>
          <w:szCs w:val="28"/>
        </w:rPr>
        <w:t>Calibration specification for olfactometer of undiluted gaseous sample for odour determination of building products</w:t>
      </w:r>
    </w:p>
    <w:p w14:paraId="02759CE6">
      <w:pPr>
        <w:widowControl/>
        <w:spacing w:line="360" w:lineRule="auto"/>
        <w:jc w:val="center"/>
        <w:rPr>
          <w:rFonts w:ascii="Times New Roman" w:hAnsi="Times New Roman" w:eastAsia="宋体" w:cs="Times New Roman"/>
          <w:b/>
          <w:color w:val="000000"/>
          <w:kern w:val="0"/>
          <w:sz w:val="32"/>
          <w:szCs w:val="32"/>
        </w:rPr>
      </w:pPr>
      <w:r>
        <w:rPr>
          <w:rFonts w:hint="eastAsia" w:ascii="Times New Roman" w:hAnsi="Times New Roman" w:eastAsia="宋体" w:cs="Times New Roman"/>
          <w:b/>
          <w:color w:val="000000"/>
          <w:kern w:val="0"/>
          <w:sz w:val="32"/>
          <w:szCs w:val="32"/>
        </w:rPr>
        <w:t>编制说明</w:t>
      </w:r>
    </w:p>
    <w:p w14:paraId="02E36F86">
      <w:pPr>
        <w:widowControl/>
        <w:spacing w:line="360" w:lineRule="auto"/>
        <w:jc w:val="center"/>
        <w:rPr>
          <w:rFonts w:ascii="Times New Roman" w:hAnsi="Times New Roman" w:eastAsia="宋体" w:cs="Times New Roman"/>
          <w:b/>
          <w:color w:val="000000"/>
          <w:kern w:val="0"/>
          <w:sz w:val="44"/>
          <w:szCs w:val="44"/>
        </w:rPr>
      </w:pPr>
    </w:p>
    <w:p w14:paraId="70F9C271">
      <w:pPr>
        <w:widowControl/>
        <w:spacing w:line="360" w:lineRule="auto"/>
        <w:jc w:val="center"/>
        <w:rPr>
          <w:rFonts w:ascii="Times New Roman" w:hAnsi="Times New Roman" w:eastAsia="宋体" w:cs="Times New Roman"/>
          <w:b/>
          <w:color w:val="000000"/>
          <w:kern w:val="0"/>
          <w:sz w:val="44"/>
          <w:szCs w:val="44"/>
        </w:rPr>
      </w:pPr>
    </w:p>
    <w:p w14:paraId="5E2E02BF">
      <w:pPr>
        <w:widowControl/>
        <w:spacing w:line="360" w:lineRule="auto"/>
        <w:jc w:val="center"/>
        <w:rPr>
          <w:rFonts w:ascii="Times New Roman" w:hAnsi="Times New Roman" w:eastAsia="宋体" w:cs="Times New Roman"/>
          <w:b/>
          <w:color w:val="000000"/>
          <w:kern w:val="0"/>
          <w:sz w:val="44"/>
          <w:szCs w:val="44"/>
        </w:rPr>
      </w:pPr>
    </w:p>
    <w:p w14:paraId="73414E81">
      <w:pPr>
        <w:widowControl/>
        <w:spacing w:line="360" w:lineRule="auto"/>
        <w:jc w:val="center"/>
        <w:rPr>
          <w:rFonts w:ascii="Times New Roman" w:hAnsi="Times New Roman" w:eastAsia="宋体" w:cs="Times New Roman"/>
          <w:b/>
          <w:color w:val="000000"/>
          <w:kern w:val="0"/>
          <w:sz w:val="44"/>
          <w:szCs w:val="44"/>
        </w:rPr>
      </w:pPr>
    </w:p>
    <w:p w14:paraId="4617FE5D">
      <w:pPr>
        <w:widowControl/>
        <w:spacing w:line="360" w:lineRule="auto"/>
        <w:jc w:val="center"/>
        <w:rPr>
          <w:rFonts w:ascii="Times New Roman" w:hAnsi="Times New Roman" w:eastAsia="宋体" w:cs="Times New Roman"/>
          <w:b/>
          <w:color w:val="000000"/>
          <w:kern w:val="0"/>
          <w:sz w:val="44"/>
          <w:szCs w:val="44"/>
        </w:rPr>
      </w:pPr>
    </w:p>
    <w:p w14:paraId="18B70CC7">
      <w:pPr>
        <w:widowControl/>
        <w:spacing w:line="360" w:lineRule="auto"/>
        <w:jc w:val="center"/>
        <w:rPr>
          <w:rFonts w:ascii="Times New Roman" w:hAnsi="Times New Roman" w:eastAsia="宋体" w:cs="Times New Roman"/>
          <w:b/>
          <w:color w:val="000000"/>
          <w:kern w:val="0"/>
          <w:sz w:val="44"/>
          <w:szCs w:val="44"/>
        </w:rPr>
      </w:pPr>
    </w:p>
    <w:p w14:paraId="7FBD243A">
      <w:pPr>
        <w:widowControl/>
        <w:spacing w:line="360" w:lineRule="auto"/>
        <w:jc w:val="center"/>
        <w:rPr>
          <w:rFonts w:ascii="Times New Roman" w:hAnsi="Times New Roman" w:eastAsia="宋体" w:cs="Times New Roman"/>
          <w:b/>
          <w:color w:val="000000"/>
          <w:kern w:val="0"/>
          <w:sz w:val="44"/>
          <w:szCs w:val="44"/>
        </w:rPr>
      </w:pPr>
    </w:p>
    <w:p w14:paraId="0F01894E">
      <w:pPr>
        <w:widowControl/>
        <w:spacing w:line="360" w:lineRule="auto"/>
        <w:jc w:val="center"/>
        <w:rPr>
          <w:rFonts w:ascii="Times New Roman" w:hAnsi="Times New Roman" w:eastAsia="宋体" w:cs="Times New Roman"/>
          <w:b/>
          <w:color w:val="000000"/>
          <w:kern w:val="0"/>
          <w:sz w:val="44"/>
          <w:szCs w:val="44"/>
        </w:rPr>
      </w:pPr>
    </w:p>
    <w:p w14:paraId="5D57EECA">
      <w:pPr>
        <w:widowControl/>
        <w:spacing w:line="360" w:lineRule="auto"/>
        <w:jc w:val="center"/>
        <w:rPr>
          <w:rFonts w:ascii="Times New Roman" w:hAnsi="Times New Roman" w:eastAsia="宋体" w:cs="Times New Roman"/>
          <w:b/>
          <w:color w:val="000000"/>
          <w:kern w:val="0"/>
          <w:sz w:val="44"/>
          <w:szCs w:val="44"/>
        </w:rPr>
      </w:pPr>
    </w:p>
    <w:p w14:paraId="08270E52">
      <w:pPr>
        <w:widowControl/>
        <w:spacing w:line="360" w:lineRule="auto"/>
        <w:rPr>
          <w:rFonts w:ascii="Times New Roman" w:hAnsi="Times New Roman" w:eastAsia="宋体" w:cs="Times New Roman"/>
          <w:b/>
          <w:color w:val="000000"/>
          <w:kern w:val="0"/>
          <w:sz w:val="44"/>
          <w:szCs w:val="44"/>
        </w:rPr>
      </w:pPr>
    </w:p>
    <w:p w14:paraId="396CABDD">
      <w:pPr>
        <w:widowControl/>
        <w:spacing w:line="360" w:lineRule="auto"/>
        <w:jc w:val="center"/>
        <w:rPr>
          <w:rFonts w:ascii="Times New Roman" w:hAnsi="Times New Roman" w:eastAsia="宋体" w:cs="Times New Roman"/>
          <w:b/>
          <w:color w:val="000000"/>
          <w:kern w:val="0"/>
          <w:sz w:val="28"/>
          <w:szCs w:val="28"/>
        </w:rPr>
      </w:pPr>
      <w:r>
        <w:rPr>
          <w:rFonts w:ascii="Times New Roman" w:hAnsi="Times New Roman" w:eastAsia="宋体" w:cs="Times New Roman"/>
          <w:b/>
          <w:color w:val="000000"/>
          <w:kern w:val="0"/>
          <w:sz w:val="28"/>
          <w:szCs w:val="28"/>
        </w:rPr>
        <w:t>标准编制组</w:t>
      </w:r>
    </w:p>
    <w:p w14:paraId="70DCFD0D">
      <w:pPr>
        <w:widowControl/>
        <w:spacing w:line="360" w:lineRule="auto"/>
        <w:jc w:val="center"/>
        <w:rPr>
          <w:rFonts w:ascii="Times New Roman" w:hAnsi="Times New Roman" w:eastAsia="宋体" w:cs="Times New Roman"/>
          <w:b/>
          <w:color w:val="000000"/>
          <w:kern w:val="0"/>
          <w:sz w:val="28"/>
          <w:szCs w:val="28"/>
        </w:rPr>
        <w:sectPr>
          <w:pgSz w:w="11906" w:h="16838"/>
          <w:pgMar w:top="567" w:right="1134" w:bottom="1134" w:left="1417" w:header="851" w:footer="992" w:gutter="0"/>
          <w:pgNumType w:start="1"/>
          <w:cols w:space="720" w:num="1"/>
          <w:docGrid w:type="lines" w:linePitch="312" w:charSpace="0"/>
        </w:sectPr>
      </w:pPr>
      <w:r>
        <w:rPr>
          <w:rFonts w:ascii="Times New Roman" w:hAnsi="Times New Roman" w:eastAsia="宋体" w:cs="Times New Roman"/>
          <w:b/>
          <w:color w:val="000000"/>
          <w:kern w:val="0"/>
          <w:sz w:val="28"/>
          <w:szCs w:val="28"/>
        </w:rPr>
        <w:t>202</w:t>
      </w:r>
      <w:r>
        <w:rPr>
          <w:rFonts w:hint="eastAsia" w:ascii="Times New Roman" w:hAnsi="Times New Roman" w:eastAsia="宋体" w:cs="Times New Roman"/>
          <w:b/>
          <w:color w:val="000000"/>
          <w:kern w:val="0"/>
          <w:sz w:val="28"/>
          <w:szCs w:val="28"/>
          <w:lang w:val="en-US" w:eastAsia="zh-CN"/>
        </w:rPr>
        <w:t>4</w:t>
      </w:r>
      <w:r>
        <w:rPr>
          <w:rFonts w:ascii="Times New Roman" w:hAnsi="Times New Roman" w:eastAsia="宋体" w:cs="Times New Roman"/>
          <w:b/>
          <w:color w:val="000000"/>
          <w:kern w:val="0"/>
          <w:sz w:val="28"/>
          <w:szCs w:val="28"/>
        </w:rPr>
        <w:t>年</w:t>
      </w:r>
      <w:r>
        <w:rPr>
          <w:rFonts w:hint="eastAsia" w:ascii="Times New Roman" w:hAnsi="Times New Roman" w:eastAsia="宋体" w:cs="Times New Roman"/>
          <w:b/>
          <w:color w:val="000000"/>
          <w:kern w:val="0"/>
          <w:sz w:val="28"/>
          <w:szCs w:val="28"/>
          <w:lang w:val="en-US" w:eastAsia="zh-CN"/>
        </w:rPr>
        <w:t>10</w:t>
      </w:r>
      <w:r>
        <w:rPr>
          <w:rFonts w:ascii="Times New Roman" w:hAnsi="Times New Roman" w:eastAsia="宋体" w:cs="Times New Roman"/>
          <w:b/>
          <w:color w:val="000000"/>
          <w:kern w:val="0"/>
          <w:sz w:val="28"/>
          <w:szCs w:val="28"/>
        </w:rPr>
        <w:t>月</w:t>
      </w:r>
    </w:p>
    <w:p w14:paraId="78DD3988">
      <w:pPr>
        <w:widowControl/>
        <w:spacing w:line="360" w:lineRule="auto"/>
        <w:jc w:val="center"/>
        <w:rPr>
          <w:rFonts w:ascii="Times New Roman" w:hAnsi="Times New Roman" w:eastAsia="宋体" w:cs="Times New Roman"/>
          <w:b/>
          <w:color w:val="000000"/>
          <w:kern w:val="0"/>
          <w:sz w:val="28"/>
          <w:szCs w:val="28"/>
        </w:rPr>
      </w:pPr>
    </w:p>
    <w:p w14:paraId="31C941BC">
      <w:pPr>
        <w:spacing w:before="240" w:after="60" w:line="360" w:lineRule="auto"/>
        <w:jc w:val="center"/>
        <w:outlineLvl w:val="0"/>
        <w:rPr>
          <w:rFonts w:ascii="等线 Light" w:hAnsi="等线 Light" w:eastAsia="宋体" w:cs="Times New Roman"/>
          <w:b/>
          <w:bCs/>
          <w:sz w:val="32"/>
          <w:szCs w:val="32"/>
        </w:rPr>
      </w:pPr>
      <w:r>
        <w:rPr>
          <w:rFonts w:ascii="等线 Light" w:hAnsi="等线 Light" w:eastAsia="宋体" w:cs="Times New Roman"/>
          <w:b/>
          <w:bCs/>
          <w:sz w:val="32"/>
          <w:szCs w:val="32"/>
        </w:rPr>
        <w:t>《</w:t>
      </w:r>
      <w:r>
        <w:rPr>
          <w:rFonts w:hint="eastAsia" w:ascii="等线 Light" w:hAnsi="等线 Light" w:eastAsia="宋体" w:cs="Times New Roman"/>
          <w:b/>
          <w:bCs/>
          <w:sz w:val="32"/>
          <w:szCs w:val="32"/>
        </w:rPr>
        <w:t>建材产品气味评价用原始气体嗅辨仪校准规范</w:t>
      </w:r>
      <w:r>
        <w:rPr>
          <w:rFonts w:ascii="等线 Light" w:hAnsi="等线 Light" w:eastAsia="宋体" w:cs="Times New Roman"/>
          <w:b/>
          <w:bCs/>
          <w:sz w:val="32"/>
          <w:szCs w:val="32"/>
        </w:rPr>
        <w:t>》</w:t>
      </w:r>
    </w:p>
    <w:p w14:paraId="26D513DC">
      <w:pPr>
        <w:spacing w:before="240" w:after="60" w:line="360" w:lineRule="auto"/>
        <w:jc w:val="center"/>
        <w:outlineLvl w:val="0"/>
        <w:rPr>
          <w:rFonts w:ascii="等线 Light" w:hAnsi="等线 Light" w:eastAsia="宋体" w:cs="Times New Roman"/>
          <w:b/>
          <w:bCs/>
          <w:sz w:val="32"/>
          <w:szCs w:val="32"/>
        </w:rPr>
      </w:pPr>
      <w:r>
        <w:rPr>
          <w:rFonts w:ascii="等线 Light" w:hAnsi="等线 Light" w:eastAsia="宋体" w:cs="Times New Roman"/>
          <w:b/>
          <w:bCs/>
          <w:sz w:val="32"/>
          <w:szCs w:val="32"/>
        </w:rPr>
        <w:t>编制说明</w:t>
      </w:r>
    </w:p>
    <w:p w14:paraId="1C7C4B96">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工作简况（任务来源、项目的必要性和解决的主要问题、主要工作过程、主要参加单位和工作组成员及其所做的工作等）</w:t>
      </w:r>
    </w:p>
    <w:p w14:paraId="65FBB19B">
      <w:pPr>
        <w:pStyle w:val="3"/>
        <w:numPr>
          <w:ilvl w:val="1"/>
          <w:numId w:val="2"/>
        </w:numPr>
        <w:spacing w:before="0" w:after="0" w:line="440" w:lineRule="exact"/>
        <w:rPr>
          <w:rFonts w:ascii="宋体" w:hAnsi="宋体" w:eastAsia="宋体"/>
          <w:sz w:val="21"/>
          <w:szCs w:val="21"/>
        </w:rPr>
      </w:pPr>
      <w:r>
        <w:rPr>
          <w:rFonts w:ascii="宋体" w:hAnsi="宋体" w:eastAsia="宋体"/>
          <w:sz w:val="21"/>
          <w:szCs w:val="21"/>
        </w:rPr>
        <w:t>任务来源</w:t>
      </w:r>
    </w:p>
    <w:p w14:paraId="536B75C2">
      <w:pPr>
        <w:widowControl/>
        <w:spacing w:line="360" w:lineRule="auto"/>
        <w:ind w:firstLine="420"/>
        <w:jc w:val="left"/>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本标准于</w:t>
      </w:r>
      <w:r>
        <w:rPr>
          <w:rFonts w:hint="eastAsia" w:ascii="Times New Roman" w:hAnsi="Times New Roman" w:eastAsia="宋体" w:cs="Times New Roman"/>
          <w:kern w:val="0"/>
          <w:szCs w:val="21"/>
          <w:highlight w:val="none"/>
          <w:lang w:val="en-US" w:eastAsia="zh-CN"/>
        </w:rPr>
        <w:t>2023</w:t>
      </w:r>
      <w:r>
        <w:rPr>
          <w:rFonts w:ascii="Times New Roman" w:hAnsi="Times New Roman" w:eastAsia="宋体" w:cs="Times New Roman"/>
          <w:kern w:val="0"/>
          <w:szCs w:val="21"/>
          <w:highlight w:val="none"/>
        </w:rPr>
        <w:t>年获得</w:t>
      </w:r>
      <w:r>
        <w:rPr>
          <w:rFonts w:hint="eastAsia" w:ascii="Times New Roman" w:hAnsi="Times New Roman" w:eastAsia="宋体" w:cs="Times New Roman"/>
          <w:kern w:val="0"/>
          <w:szCs w:val="21"/>
          <w:highlight w:val="none"/>
        </w:rPr>
        <w:t>中华人民共和国工业和信息化部</w:t>
      </w:r>
      <w:r>
        <w:rPr>
          <w:rFonts w:ascii="Times New Roman" w:hAnsi="Times New Roman" w:eastAsia="宋体" w:cs="Times New Roman"/>
          <w:kern w:val="0"/>
          <w:szCs w:val="21"/>
          <w:highlight w:val="none"/>
        </w:rPr>
        <w:t>立项，计划编号JJFZ（建材）0</w:t>
      </w:r>
      <w:r>
        <w:rPr>
          <w:rFonts w:hint="eastAsia" w:ascii="Times New Roman" w:hAnsi="Times New Roman" w:eastAsia="宋体" w:cs="Times New Roman"/>
          <w:kern w:val="0"/>
          <w:szCs w:val="21"/>
          <w:highlight w:val="none"/>
          <w:lang w:val="en-US" w:eastAsia="zh-CN"/>
        </w:rPr>
        <w:t>10</w:t>
      </w:r>
      <w:r>
        <w:rPr>
          <w:rFonts w:ascii="Times New Roman" w:hAnsi="Times New Roman" w:eastAsia="宋体" w:cs="Times New Roman"/>
          <w:kern w:val="0"/>
          <w:szCs w:val="21"/>
          <w:highlight w:val="none"/>
        </w:rPr>
        <w:t>-20</w:t>
      </w:r>
      <w:r>
        <w:rPr>
          <w:rFonts w:hint="eastAsia" w:ascii="Times New Roman" w:hAnsi="Times New Roman" w:eastAsia="宋体" w:cs="Times New Roman"/>
          <w:kern w:val="0"/>
          <w:szCs w:val="21"/>
          <w:highlight w:val="none"/>
          <w:lang w:val="en-US" w:eastAsia="zh-CN"/>
        </w:rPr>
        <w:t>23</w:t>
      </w:r>
      <w:r>
        <w:rPr>
          <w:rFonts w:ascii="Times New Roman" w:hAnsi="Times New Roman" w:eastAsia="宋体" w:cs="Times New Roman"/>
          <w:kern w:val="0"/>
          <w:szCs w:val="21"/>
          <w:highlight w:val="none"/>
        </w:rPr>
        <w:t>，由中国建筑材料联合会归口</w:t>
      </w:r>
      <w:r>
        <w:rPr>
          <w:rFonts w:hint="eastAsia" w:ascii="Times New Roman" w:hAnsi="Times New Roman" w:eastAsia="宋体" w:cs="Times New Roman"/>
          <w:kern w:val="0"/>
          <w:szCs w:val="21"/>
          <w:highlight w:val="none"/>
        </w:rPr>
        <w:t>，预计2</w:t>
      </w:r>
      <w:r>
        <w:rPr>
          <w:rFonts w:ascii="Times New Roman" w:hAnsi="Times New Roman" w:eastAsia="宋体" w:cs="Times New Roman"/>
          <w:kern w:val="0"/>
          <w:szCs w:val="21"/>
          <w:highlight w:val="none"/>
        </w:rPr>
        <w:t>02</w:t>
      </w:r>
      <w:r>
        <w:rPr>
          <w:rFonts w:hint="eastAsia" w:ascii="Times New Roman" w:hAnsi="Times New Roman" w:eastAsia="宋体" w:cs="Times New Roman"/>
          <w:kern w:val="0"/>
          <w:szCs w:val="21"/>
          <w:highlight w:val="none"/>
          <w:lang w:val="en-US" w:eastAsia="zh-CN"/>
        </w:rPr>
        <w:t>5</w:t>
      </w:r>
      <w:r>
        <w:rPr>
          <w:rFonts w:hint="eastAsia" w:ascii="Times New Roman" w:hAnsi="Times New Roman" w:eastAsia="宋体" w:cs="Times New Roman"/>
          <w:kern w:val="0"/>
          <w:szCs w:val="21"/>
          <w:highlight w:val="none"/>
        </w:rPr>
        <w:t>年完成</w:t>
      </w:r>
      <w:r>
        <w:rPr>
          <w:rFonts w:ascii="Times New Roman" w:hAnsi="Times New Roman" w:eastAsia="宋体" w:cs="Times New Roman"/>
          <w:kern w:val="0"/>
          <w:szCs w:val="21"/>
          <w:highlight w:val="none"/>
        </w:rPr>
        <w:t>。</w:t>
      </w:r>
    </w:p>
    <w:p w14:paraId="05ADF9DF">
      <w:pPr>
        <w:pStyle w:val="3"/>
        <w:numPr>
          <w:ilvl w:val="1"/>
          <w:numId w:val="2"/>
        </w:numPr>
        <w:spacing w:before="0" w:after="0" w:line="440" w:lineRule="exact"/>
        <w:rPr>
          <w:rFonts w:ascii="宋体" w:hAnsi="宋体" w:eastAsia="宋体"/>
          <w:sz w:val="21"/>
          <w:szCs w:val="21"/>
        </w:rPr>
      </w:pPr>
      <w:r>
        <w:rPr>
          <w:rFonts w:ascii="宋体" w:hAnsi="宋体" w:eastAsia="宋体"/>
          <w:sz w:val="21"/>
          <w:szCs w:val="21"/>
        </w:rPr>
        <w:t>项目的必要性和解决的主要问题</w:t>
      </w:r>
    </w:p>
    <w:p w14:paraId="6BFCB003">
      <w:pPr>
        <w:widowControl/>
        <w:spacing w:line="360" w:lineRule="auto"/>
        <w:ind w:firstLine="420"/>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中国制造2025》战略任务和重点中指出，加强计量科技基础及前沿技术研究，建立一批制造业发展急需的高准确度、高稳定性计量基标准，提升与制造业相关的国家量传溯源能力；2016年，国务院决定实施《装备制造业标准化和质量提升规划》，引领中国制造升级。此次提出的标准不仅可以填补气味评价相关辅助设备的校准规范的空白，加强气味评价辅助设备计量科技基础及技术的研究，同时将对建筑材料行业的规范和绿色化发展产生积极的影响。</w:t>
      </w:r>
    </w:p>
    <w:p w14:paraId="6E12B2D4">
      <w:pPr>
        <w:widowControl/>
        <w:spacing w:line="360" w:lineRule="auto"/>
        <w:ind w:firstLine="420"/>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随着工业发展和城市化进程的加快，建筑室内环境中气味污染问题日益严重，而长期处于气味污染环境中不仅会损害人类身体健康，还会导致不同程度的精神伤害。调查研究表明，大面积室内装饰装修材料的使用是室内气味污染的主要内源因素。由于大部分有毒有害化合物属于高活性致味物质，因此普遍存在建材产品有害物质含量或有害物质释放量符合产品标准要求但仍能感觉到较大的气味的情况。</w:t>
      </w:r>
    </w:p>
    <w:p w14:paraId="4BB43882">
      <w:pPr>
        <w:widowControl/>
        <w:spacing w:line="360" w:lineRule="auto"/>
        <w:ind w:firstLine="420"/>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国内外很多针对建材产品气味评价的指标，如气味强度、气味愉悦度、气味可接受度等，都需要气味评价员直接进行嗅闻然后评价。为了保证采集的气体在提供给气味评价员时尽可能减少人为操作以及环境带来的误差，目前采用原始气体嗅辨仪进行辅助嗅辨已经被广泛接受。原始气体嗅辨仪利用气压平衡原理，可以实现供气设备在不接触气味样本的前提下，进行定时定流量供气。随着建材产品的气味性能越来越受到消费者和厂家的关注，相关生产企业、科研院所和第三方检验机构都在配备气味相关评价设备。虽然目前还没有国内生产该设备的企业，但是气味评价相关市场需求量会越来越大，生产厂家可预见会大量增加。</w:t>
      </w:r>
    </w:p>
    <w:p w14:paraId="2D1F5EED">
      <w:pPr>
        <w:widowControl/>
        <w:spacing w:line="360" w:lineRule="auto"/>
        <w:ind w:firstLine="420"/>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对于气味污染的评价和控制需要借助科学的气体采样技术。负压采气箱可以实现定量定时采集，可以大幅度提升采气效率、减少人力成本、保证采气的科学性。</w:t>
      </w:r>
    </w:p>
    <w:p w14:paraId="12049604">
      <w:pPr>
        <w:widowControl/>
        <w:spacing w:line="360" w:lineRule="auto"/>
        <w:ind w:firstLine="420"/>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由于现有标准体系中并无负压采气箱的相关计量校准规范，各机构在使用负压采气箱时无法进行校准。在建材产品的测试方法中，负压采气箱的密闭性、流量示值误差、流量重复性、流量稳定性、计时误差等参数是影响彩旗准确性的关键参数，而这些参数的计量尚无标准可参考依据，无法客观地反映不同设备厂家生产的负压采气箱性能的优劣，从而导致负压采气箱产品性能参差不齐。为了规范建材产品用负压采气箱生产市场并促进其生产技术的进步，急需制定本计量校准规范。</w:t>
      </w:r>
    </w:p>
    <w:p w14:paraId="5AC3E839">
      <w:pPr>
        <w:widowControl/>
        <w:spacing w:line="360" w:lineRule="auto"/>
        <w:ind w:firstLine="420"/>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根据ISO 16000-28：2020、ISO 1600-30：2014中对气味扩散装置的性能进行了规定，原始气体嗅辨仪是常见的气味扩散装置，性能指标主要有：</w:t>
      </w:r>
      <w:r>
        <w:rPr>
          <w:rFonts w:hint="eastAsia" w:ascii="Times New Roman" w:hAnsi="Times New Roman" w:eastAsia="宋体" w:cs="Times New Roman"/>
          <w:color w:val="000000"/>
          <w:kern w:val="0"/>
          <w:szCs w:val="21"/>
          <w:highlight w:val="none"/>
          <w:lang w:val="en-US" w:eastAsia="zh-CN"/>
        </w:rPr>
        <w:t>输出流量</w:t>
      </w:r>
      <w:r>
        <w:rPr>
          <w:rFonts w:hint="eastAsia" w:ascii="Times New Roman" w:hAnsi="Times New Roman" w:eastAsia="宋体" w:cs="Times New Roman"/>
          <w:color w:val="000000"/>
          <w:kern w:val="0"/>
          <w:szCs w:val="21"/>
          <w:highlight w:val="none"/>
        </w:rPr>
        <w:t>和嗅辨杯开口角度。但是并没有规定计量校准方法，指标也不够全面，噪声、</w:t>
      </w:r>
      <w:r>
        <w:rPr>
          <w:rFonts w:hint="eastAsia" w:ascii="Times New Roman" w:hAnsi="Times New Roman" w:eastAsia="宋体" w:cs="Times New Roman"/>
          <w:color w:val="000000"/>
          <w:kern w:val="0"/>
          <w:szCs w:val="21"/>
          <w:highlight w:val="none"/>
          <w:lang w:val="en-US" w:eastAsia="zh-CN"/>
        </w:rPr>
        <w:t>输出流量重复性</w:t>
      </w:r>
      <w:r>
        <w:rPr>
          <w:rFonts w:hint="eastAsia" w:ascii="Times New Roman" w:hAnsi="Times New Roman" w:eastAsia="宋体" w:cs="Times New Roman"/>
          <w:color w:val="000000"/>
          <w:kern w:val="0"/>
          <w:szCs w:val="21"/>
          <w:highlight w:val="none"/>
        </w:rPr>
        <w:t>、设备气味、等直接影响气味评价结果的关键参数并没有进行要求，且计量方法也没有规定。由于气味评价员在嗅闻过程中，与原始气体嗅辨仪距离较近设备本身的运行噪声、气味会对气味评价员造成影响。</w:t>
      </w:r>
      <w:r>
        <w:rPr>
          <w:rFonts w:hint="eastAsia" w:ascii="Times New Roman" w:hAnsi="Times New Roman" w:eastAsia="宋体" w:cs="Times New Roman"/>
          <w:color w:val="000000"/>
          <w:kern w:val="0"/>
          <w:szCs w:val="21"/>
          <w:highlight w:val="none"/>
          <w:lang w:val="en-US" w:eastAsia="zh-CN"/>
        </w:rPr>
        <w:t>输出流量重复性</w:t>
      </w:r>
      <w:r>
        <w:rPr>
          <w:rFonts w:hint="eastAsia" w:ascii="Times New Roman" w:hAnsi="Times New Roman" w:eastAsia="宋体" w:cs="Times New Roman"/>
          <w:color w:val="000000"/>
          <w:kern w:val="0"/>
          <w:szCs w:val="21"/>
          <w:highlight w:val="none"/>
        </w:rPr>
        <w:t>则是保证每个气味评价员评价时的条件一致，排除稳定性干扰。这些参数的计量尚无标准可参考依据，无法客观地反映不同设备厂家生产的原始气体嗅辨仪的优劣，不利于建材领域气味评价的规范化。为了规范建材产品用原始气体嗅辨仪生产市场，急需制定本计量校准规范。</w:t>
      </w:r>
    </w:p>
    <w:p w14:paraId="7F3ADA4D">
      <w:pPr>
        <w:widowControl/>
        <w:spacing w:line="360" w:lineRule="auto"/>
        <w:ind w:firstLine="420"/>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本标准中将对建材产品用原始气体嗅辨仪的关键特性参数进行综合考虑，</w:t>
      </w:r>
      <w:r>
        <w:rPr>
          <w:rFonts w:hint="eastAsia" w:ascii="Times New Roman" w:hAnsi="Times New Roman" w:eastAsia="宋体" w:cs="Times New Roman"/>
          <w:color w:val="000000"/>
          <w:kern w:val="0"/>
          <w:szCs w:val="21"/>
          <w:highlight w:val="none"/>
          <w:lang w:val="en-US" w:eastAsia="zh-CN"/>
        </w:rPr>
        <w:t>规范中</w:t>
      </w:r>
      <w:r>
        <w:rPr>
          <w:rFonts w:hint="eastAsia" w:ascii="Times New Roman" w:hAnsi="Times New Roman" w:eastAsia="宋体" w:cs="Times New Roman"/>
          <w:color w:val="000000"/>
          <w:kern w:val="0"/>
          <w:szCs w:val="21"/>
          <w:highlight w:val="none"/>
        </w:rPr>
        <w:t>对</w:t>
      </w:r>
      <w:r>
        <w:rPr>
          <w:rFonts w:hint="eastAsia" w:ascii="Times New Roman" w:hAnsi="Times New Roman" w:eastAsia="宋体" w:cs="Times New Roman"/>
          <w:color w:val="000000"/>
          <w:kern w:val="0"/>
          <w:szCs w:val="21"/>
          <w:highlight w:val="none"/>
          <w:lang w:val="en-US" w:eastAsia="zh-CN"/>
        </w:rPr>
        <w:t>嗅辨杯开口角度、运行噪声、气味、输出流量、输出流量稳定性等计量特性要求、校准条件、校准项目和校准方法、校准结果表达方式和复校时间间隔。在附录中给出了校准记录参考格式、校准证书（内页）参考格式。</w:t>
      </w:r>
      <w:r>
        <w:rPr>
          <w:rFonts w:hint="eastAsia" w:ascii="Times New Roman" w:hAnsi="Times New Roman" w:eastAsia="宋体" w:cs="Times New Roman"/>
          <w:color w:val="000000"/>
          <w:kern w:val="0"/>
          <w:szCs w:val="21"/>
          <w:highlight w:val="none"/>
        </w:rPr>
        <w:t>本标准不仅可以提前补充原始气体嗅辨仪计量规范的空白，同时将对促进建材产品气味评价技术向更科学更准确方向发展产生积极的影响。</w:t>
      </w:r>
    </w:p>
    <w:p w14:paraId="1D33EEEF">
      <w:pPr>
        <w:pStyle w:val="3"/>
        <w:numPr>
          <w:ilvl w:val="1"/>
          <w:numId w:val="2"/>
        </w:numPr>
        <w:spacing w:before="0" w:after="0" w:line="440" w:lineRule="exact"/>
        <w:rPr>
          <w:rFonts w:ascii="宋体" w:hAnsi="宋体" w:eastAsia="宋体"/>
          <w:sz w:val="21"/>
          <w:szCs w:val="21"/>
        </w:rPr>
      </w:pPr>
      <w:r>
        <w:rPr>
          <w:rFonts w:ascii="宋体" w:hAnsi="宋体" w:eastAsia="宋体"/>
          <w:sz w:val="21"/>
          <w:szCs w:val="21"/>
        </w:rPr>
        <w:t>主要工作过程</w:t>
      </w:r>
    </w:p>
    <w:p w14:paraId="07628725">
      <w:pPr>
        <w:widowControl/>
        <w:spacing w:line="360" w:lineRule="auto"/>
        <w:ind w:firstLine="420"/>
        <w:rPr>
          <w:rFonts w:ascii="Times New Roman" w:hAnsi="Times New Roman" w:eastAsia="宋体" w:cs="Times New Roman"/>
          <w:kern w:val="0"/>
          <w:szCs w:val="21"/>
          <w:highlight w:val="none"/>
        </w:rPr>
      </w:pPr>
      <w:r>
        <w:rPr>
          <w:rFonts w:ascii="Times New Roman" w:hAnsi="Times New Roman" w:eastAsia="宋体" w:cs="Times New Roman"/>
          <w:kern w:val="0"/>
          <w:szCs w:val="21"/>
          <w:highlight w:val="none"/>
        </w:rPr>
        <w:t>本标准的编制经历了以下阶段：</w:t>
      </w:r>
    </w:p>
    <w:p w14:paraId="07D5E5F4">
      <w:pPr>
        <w:widowControl/>
        <w:spacing w:line="360" w:lineRule="auto"/>
        <w:ind w:firstLine="420" w:firstLineChars="200"/>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（1）资料的收集（20</w:t>
      </w:r>
      <w:r>
        <w:rPr>
          <w:rFonts w:hint="eastAsia" w:ascii="Times New Roman" w:hAnsi="Times New Roman" w:eastAsia="宋体" w:cs="Times New Roman"/>
          <w:color w:val="000000"/>
          <w:kern w:val="0"/>
          <w:szCs w:val="21"/>
          <w:highlight w:val="none"/>
          <w:lang w:val="en-US" w:eastAsia="zh-CN"/>
        </w:rPr>
        <w:t>23</w:t>
      </w:r>
      <w:r>
        <w:rPr>
          <w:rFonts w:ascii="Times New Roman" w:hAnsi="Times New Roman" w:eastAsia="宋体" w:cs="Times New Roman"/>
          <w:color w:val="000000"/>
          <w:kern w:val="0"/>
          <w:szCs w:val="21"/>
          <w:highlight w:val="none"/>
        </w:rPr>
        <w:t>年</w:t>
      </w:r>
      <w:r>
        <w:rPr>
          <w:rFonts w:hint="eastAsia" w:ascii="Times New Roman" w:hAnsi="Times New Roman" w:eastAsia="宋体" w:cs="Times New Roman"/>
          <w:color w:val="000000"/>
          <w:kern w:val="0"/>
          <w:szCs w:val="21"/>
          <w:highlight w:val="none"/>
          <w:lang w:val="en-US" w:eastAsia="zh-CN"/>
        </w:rPr>
        <w:t>8</w:t>
      </w:r>
      <w:r>
        <w:rPr>
          <w:rFonts w:ascii="Times New Roman" w:hAnsi="Times New Roman" w:eastAsia="宋体" w:cs="Times New Roman"/>
          <w:color w:val="000000"/>
          <w:kern w:val="0"/>
          <w:szCs w:val="21"/>
          <w:highlight w:val="none"/>
        </w:rPr>
        <w:t>月至20</w:t>
      </w:r>
      <w:r>
        <w:rPr>
          <w:rFonts w:hint="eastAsia" w:ascii="Times New Roman" w:hAnsi="Times New Roman" w:eastAsia="宋体" w:cs="Times New Roman"/>
          <w:color w:val="000000"/>
          <w:kern w:val="0"/>
          <w:szCs w:val="21"/>
          <w:highlight w:val="none"/>
          <w:lang w:val="en-US" w:eastAsia="zh-CN"/>
        </w:rPr>
        <w:t>23</w:t>
      </w:r>
      <w:r>
        <w:rPr>
          <w:rFonts w:ascii="Times New Roman" w:hAnsi="Times New Roman" w:eastAsia="宋体" w:cs="Times New Roman"/>
          <w:color w:val="000000"/>
          <w:kern w:val="0"/>
          <w:szCs w:val="21"/>
          <w:highlight w:val="none"/>
        </w:rPr>
        <w:t>年</w:t>
      </w:r>
      <w:r>
        <w:rPr>
          <w:rFonts w:hint="eastAsia" w:ascii="Times New Roman" w:hAnsi="Times New Roman" w:eastAsia="宋体" w:cs="Times New Roman"/>
          <w:color w:val="000000"/>
          <w:kern w:val="0"/>
          <w:szCs w:val="21"/>
          <w:highlight w:val="none"/>
          <w:lang w:val="en-US" w:eastAsia="zh-CN"/>
        </w:rPr>
        <w:t>10</w:t>
      </w:r>
      <w:r>
        <w:rPr>
          <w:rFonts w:ascii="Times New Roman" w:hAnsi="Times New Roman" w:eastAsia="宋体" w:cs="Times New Roman"/>
          <w:color w:val="000000"/>
          <w:kern w:val="0"/>
          <w:szCs w:val="21"/>
          <w:highlight w:val="none"/>
        </w:rPr>
        <w:t>月）</w:t>
      </w:r>
    </w:p>
    <w:p w14:paraId="0CD2076B">
      <w:pPr>
        <w:widowControl/>
        <w:spacing w:line="360" w:lineRule="auto"/>
        <w:ind w:firstLine="420" w:firstLineChars="200"/>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接受标准编制任务后，牵头单位及时与</w:t>
      </w:r>
      <w:r>
        <w:rPr>
          <w:rFonts w:hint="eastAsia" w:ascii="Times New Roman" w:hAnsi="Times New Roman" w:eastAsia="宋体" w:cs="Times New Roman"/>
          <w:color w:val="000000"/>
          <w:kern w:val="0"/>
          <w:szCs w:val="21"/>
          <w:highlight w:val="none"/>
          <w:lang w:val="en-US" w:eastAsia="zh-CN"/>
        </w:rPr>
        <w:t>国内外</w:t>
      </w:r>
      <w:r>
        <w:rPr>
          <w:rFonts w:ascii="Times New Roman" w:hAnsi="Times New Roman" w:eastAsia="宋体" w:cs="Times New Roman"/>
          <w:color w:val="000000"/>
          <w:kern w:val="0"/>
          <w:szCs w:val="21"/>
          <w:highlight w:val="none"/>
        </w:rPr>
        <w:t>主要</w:t>
      </w:r>
      <w:r>
        <w:rPr>
          <w:rFonts w:hint="eastAsia" w:ascii="Times New Roman" w:hAnsi="Times New Roman" w:eastAsia="宋体" w:cs="Times New Roman"/>
          <w:color w:val="000000"/>
          <w:kern w:val="0"/>
          <w:szCs w:val="21"/>
          <w:highlight w:val="none"/>
          <w:lang w:val="en-US" w:eastAsia="zh-CN"/>
        </w:rPr>
        <w:t>原始气体嗅辨仪</w:t>
      </w:r>
      <w:r>
        <w:rPr>
          <w:rFonts w:ascii="Times New Roman" w:hAnsi="Times New Roman" w:eastAsia="宋体" w:cs="Times New Roman"/>
          <w:color w:val="000000"/>
          <w:kern w:val="0"/>
          <w:szCs w:val="21"/>
          <w:highlight w:val="none"/>
        </w:rPr>
        <w:t>生产企业、检测机构进行了沟通和联系，并进行了资料的收集工作。</w:t>
      </w:r>
    </w:p>
    <w:p w14:paraId="4FDC3A44">
      <w:pPr>
        <w:widowControl/>
        <w:spacing w:line="360" w:lineRule="auto"/>
        <w:ind w:firstLine="420" w:firstLineChars="200"/>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（2）标准草案的起草（20</w:t>
      </w:r>
      <w:r>
        <w:rPr>
          <w:rFonts w:hint="eastAsia" w:ascii="Times New Roman" w:hAnsi="Times New Roman" w:eastAsia="宋体" w:cs="Times New Roman"/>
          <w:color w:val="000000"/>
          <w:kern w:val="0"/>
          <w:szCs w:val="21"/>
          <w:highlight w:val="none"/>
          <w:lang w:val="en-US" w:eastAsia="zh-CN"/>
        </w:rPr>
        <w:t>23</w:t>
      </w:r>
      <w:r>
        <w:rPr>
          <w:rFonts w:ascii="Times New Roman" w:hAnsi="Times New Roman" w:eastAsia="宋体" w:cs="Times New Roman"/>
          <w:color w:val="000000"/>
          <w:kern w:val="0"/>
          <w:szCs w:val="21"/>
          <w:highlight w:val="none"/>
        </w:rPr>
        <w:t>年</w:t>
      </w:r>
      <w:r>
        <w:rPr>
          <w:rFonts w:hint="eastAsia" w:ascii="Times New Roman" w:hAnsi="Times New Roman" w:eastAsia="宋体" w:cs="Times New Roman"/>
          <w:color w:val="000000"/>
          <w:kern w:val="0"/>
          <w:szCs w:val="21"/>
          <w:highlight w:val="none"/>
          <w:lang w:val="en-US" w:eastAsia="zh-CN"/>
        </w:rPr>
        <w:t>10</w:t>
      </w:r>
      <w:r>
        <w:rPr>
          <w:rFonts w:ascii="Times New Roman" w:hAnsi="Times New Roman" w:eastAsia="宋体" w:cs="Times New Roman"/>
          <w:color w:val="000000"/>
          <w:kern w:val="0"/>
          <w:szCs w:val="21"/>
          <w:highlight w:val="none"/>
        </w:rPr>
        <w:t>月至20</w:t>
      </w:r>
      <w:r>
        <w:rPr>
          <w:rFonts w:hint="eastAsia" w:ascii="Times New Roman" w:hAnsi="Times New Roman" w:eastAsia="宋体" w:cs="Times New Roman"/>
          <w:color w:val="000000"/>
          <w:kern w:val="0"/>
          <w:szCs w:val="21"/>
          <w:highlight w:val="none"/>
          <w:lang w:val="en-US" w:eastAsia="zh-CN"/>
        </w:rPr>
        <w:t>23</w:t>
      </w:r>
      <w:r>
        <w:rPr>
          <w:rFonts w:ascii="Times New Roman" w:hAnsi="Times New Roman" w:eastAsia="宋体" w:cs="Times New Roman"/>
          <w:color w:val="000000"/>
          <w:kern w:val="0"/>
          <w:szCs w:val="21"/>
          <w:highlight w:val="none"/>
        </w:rPr>
        <w:t>年12月）</w:t>
      </w:r>
    </w:p>
    <w:p w14:paraId="734A2D5C">
      <w:pPr>
        <w:widowControl/>
        <w:spacing w:line="360" w:lineRule="auto"/>
        <w:ind w:firstLine="420" w:firstLineChars="200"/>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本标准起草小组在充分收集、认真研究国内外相关标准及资料的基础上，通过邮件、信函等方式向相关方广泛征询标准编制的意见建议。初步拟定</w:t>
      </w:r>
      <w:r>
        <w:rPr>
          <w:rFonts w:hint="eastAsia" w:ascii="Times New Roman" w:hAnsi="Times New Roman" w:eastAsia="宋体" w:cs="Times New Roman"/>
          <w:color w:val="000000"/>
          <w:kern w:val="0"/>
          <w:szCs w:val="21"/>
          <w:highlight w:val="none"/>
        </w:rPr>
        <w:t>建材产品气味评价用原始气体嗅辨仪校准规范</w:t>
      </w:r>
      <w:r>
        <w:rPr>
          <w:rFonts w:ascii="Times New Roman" w:hAnsi="Times New Roman" w:eastAsia="宋体" w:cs="Times New Roman"/>
          <w:color w:val="000000"/>
          <w:kern w:val="0"/>
          <w:szCs w:val="21"/>
          <w:highlight w:val="none"/>
        </w:rPr>
        <w:t>初稿，确定了</w:t>
      </w:r>
      <w:r>
        <w:rPr>
          <w:rFonts w:hint="eastAsia" w:ascii="Times New Roman" w:hAnsi="Times New Roman" w:eastAsia="宋体" w:cs="Times New Roman"/>
          <w:color w:val="000000"/>
          <w:kern w:val="0"/>
          <w:szCs w:val="21"/>
          <w:highlight w:val="none"/>
          <w:lang w:val="en-US" w:eastAsia="zh-CN"/>
        </w:rPr>
        <w:t>原始气体嗅辨仪</w:t>
      </w:r>
      <w:r>
        <w:rPr>
          <w:rFonts w:ascii="Times New Roman" w:hAnsi="Times New Roman" w:eastAsia="宋体" w:cs="Times New Roman"/>
          <w:color w:val="000000"/>
          <w:kern w:val="0"/>
          <w:szCs w:val="21"/>
          <w:highlight w:val="none"/>
        </w:rPr>
        <w:t>校准的参数和实验方法，校准设备，为测量仪器的计量特性提供一种可复现的评价手段。</w:t>
      </w:r>
    </w:p>
    <w:p w14:paraId="5F97E429">
      <w:pPr>
        <w:widowControl/>
        <w:numPr>
          <w:ilvl w:val="0"/>
          <w:numId w:val="3"/>
        </w:numPr>
        <w:spacing w:line="360" w:lineRule="auto"/>
        <w:ind w:firstLine="420" w:firstLineChars="200"/>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lang w:val="en-US" w:eastAsia="zh-CN"/>
        </w:rPr>
        <w:t>验证实验</w:t>
      </w:r>
      <w:r>
        <w:rPr>
          <w:rFonts w:ascii="Times New Roman" w:hAnsi="Times New Roman" w:eastAsia="宋体" w:cs="Times New Roman"/>
          <w:color w:val="000000"/>
          <w:kern w:val="0"/>
          <w:szCs w:val="21"/>
          <w:highlight w:val="none"/>
        </w:rPr>
        <w:t>（20</w:t>
      </w:r>
      <w:r>
        <w:rPr>
          <w:rFonts w:hint="eastAsia" w:ascii="Times New Roman" w:hAnsi="Times New Roman" w:eastAsia="宋体" w:cs="Times New Roman"/>
          <w:color w:val="000000"/>
          <w:kern w:val="0"/>
          <w:szCs w:val="21"/>
          <w:highlight w:val="none"/>
          <w:lang w:val="en-US" w:eastAsia="zh-CN"/>
        </w:rPr>
        <w:t>24</w:t>
      </w:r>
      <w:r>
        <w:rPr>
          <w:rFonts w:ascii="Times New Roman" w:hAnsi="Times New Roman" w:eastAsia="宋体" w:cs="Times New Roman"/>
          <w:color w:val="000000"/>
          <w:kern w:val="0"/>
          <w:szCs w:val="21"/>
          <w:highlight w:val="none"/>
        </w:rPr>
        <w:t>年1月至202</w:t>
      </w:r>
      <w:r>
        <w:rPr>
          <w:rFonts w:hint="eastAsia" w:ascii="Times New Roman" w:hAnsi="Times New Roman" w:eastAsia="宋体" w:cs="Times New Roman"/>
          <w:color w:val="000000"/>
          <w:kern w:val="0"/>
          <w:szCs w:val="21"/>
          <w:highlight w:val="none"/>
          <w:lang w:val="en-US" w:eastAsia="zh-CN"/>
        </w:rPr>
        <w:t>4</w:t>
      </w:r>
      <w:r>
        <w:rPr>
          <w:rFonts w:ascii="Times New Roman" w:hAnsi="Times New Roman" w:eastAsia="宋体" w:cs="Times New Roman"/>
          <w:color w:val="000000"/>
          <w:kern w:val="0"/>
          <w:szCs w:val="21"/>
          <w:highlight w:val="none"/>
        </w:rPr>
        <w:t>年3月）</w:t>
      </w:r>
    </w:p>
    <w:p w14:paraId="554D777B">
      <w:pPr>
        <w:widowControl/>
        <w:numPr>
          <w:numId w:val="0"/>
        </w:numPr>
        <w:spacing w:line="360" w:lineRule="auto"/>
        <w:ind w:firstLine="420" w:firstLineChars="200"/>
        <w:rPr>
          <w:rFonts w:hint="default" w:ascii="Times New Roman" w:hAnsi="Times New Roman" w:eastAsia="宋体" w:cs="Times New Roman"/>
          <w:color w:val="000000"/>
          <w:kern w:val="0"/>
          <w:szCs w:val="21"/>
          <w:highlight w:val="none"/>
          <w:lang w:val="en-US" w:eastAsia="zh-CN"/>
        </w:rPr>
      </w:pPr>
      <w:r>
        <w:rPr>
          <w:rFonts w:hint="eastAsia" w:ascii="Times New Roman" w:hAnsi="Times New Roman" w:eastAsia="宋体" w:cs="Times New Roman"/>
          <w:color w:val="000000"/>
          <w:kern w:val="0"/>
          <w:szCs w:val="21"/>
          <w:highlight w:val="none"/>
          <w:lang w:val="en-US" w:eastAsia="zh-CN"/>
        </w:rPr>
        <w:t>通过购买国内外相关设备和自主研发原始气体嗅辨仪，并根据讨论稿的校准方法和校准项目对部分代表性产品进行了验证试验，结合验证实验对讨论稿进行了补充和修改。</w:t>
      </w:r>
    </w:p>
    <w:p w14:paraId="5FE7E287">
      <w:pPr>
        <w:widowControl/>
        <w:spacing w:line="360" w:lineRule="auto"/>
        <w:ind w:left="420"/>
        <w:rPr>
          <w:rFonts w:hint="eastAsia" w:ascii="Times New Roman" w:hAnsi="Times New Roman" w:eastAsia="宋体" w:cs="Times New Roman"/>
          <w:kern w:val="0"/>
          <w:szCs w:val="21"/>
          <w:highlight w:val="none"/>
          <w:lang w:eastAsia="zh-CN"/>
        </w:rPr>
      </w:pPr>
      <w:r>
        <w:rPr>
          <w:rFonts w:ascii="Times New Roman" w:hAnsi="Times New Roman" w:eastAsia="宋体" w:cs="Times New Roman"/>
          <w:color w:val="000000"/>
          <w:kern w:val="0"/>
          <w:szCs w:val="21"/>
          <w:highlight w:val="none"/>
        </w:rPr>
        <w:t>（4）标准讨论会</w:t>
      </w:r>
      <w:r>
        <w:rPr>
          <w:rFonts w:ascii="Times New Roman" w:hAnsi="Times New Roman" w:eastAsia="宋体" w:cs="Times New Roman"/>
          <w:color w:val="000000"/>
          <w:kern w:val="0"/>
          <w:szCs w:val="21"/>
          <w:highlight w:val="none"/>
        </w:rPr>
        <w:t>（20</w:t>
      </w:r>
      <w:r>
        <w:rPr>
          <w:rFonts w:hint="eastAsia" w:ascii="Times New Roman" w:hAnsi="Times New Roman" w:eastAsia="宋体" w:cs="Times New Roman"/>
          <w:color w:val="000000"/>
          <w:kern w:val="0"/>
          <w:szCs w:val="21"/>
          <w:highlight w:val="none"/>
          <w:lang w:val="en-US" w:eastAsia="zh-CN"/>
        </w:rPr>
        <w:t>24</w:t>
      </w:r>
      <w:r>
        <w:rPr>
          <w:rFonts w:ascii="Times New Roman" w:hAnsi="Times New Roman" w:eastAsia="宋体" w:cs="Times New Roman"/>
          <w:color w:val="000000"/>
          <w:kern w:val="0"/>
          <w:szCs w:val="21"/>
          <w:highlight w:val="none"/>
        </w:rPr>
        <w:t>年</w:t>
      </w:r>
      <w:r>
        <w:rPr>
          <w:rFonts w:hint="eastAsia" w:ascii="Times New Roman" w:hAnsi="Times New Roman" w:eastAsia="宋体" w:cs="Times New Roman"/>
          <w:color w:val="000000"/>
          <w:kern w:val="0"/>
          <w:szCs w:val="21"/>
          <w:highlight w:val="none"/>
          <w:lang w:val="en-US" w:eastAsia="zh-CN"/>
        </w:rPr>
        <w:t>4</w:t>
      </w:r>
      <w:r>
        <w:rPr>
          <w:rFonts w:ascii="Times New Roman" w:hAnsi="Times New Roman" w:eastAsia="宋体" w:cs="Times New Roman"/>
          <w:color w:val="000000"/>
          <w:kern w:val="0"/>
          <w:szCs w:val="21"/>
          <w:highlight w:val="none"/>
        </w:rPr>
        <w:t>月</w:t>
      </w:r>
      <w:r>
        <w:rPr>
          <w:rFonts w:hint="eastAsia" w:ascii="Times New Roman" w:hAnsi="Times New Roman" w:eastAsia="宋体" w:cs="Times New Roman"/>
          <w:color w:val="000000"/>
          <w:kern w:val="0"/>
          <w:szCs w:val="21"/>
          <w:highlight w:val="none"/>
          <w:lang w:eastAsia="zh-CN"/>
        </w:rPr>
        <w:t>）</w:t>
      </w:r>
    </w:p>
    <w:p w14:paraId="19987511">
      <w:pPr>
        <w:widowControl/>
        <w:spacing w:line="360" w:lineRule="auto"/>
        <w:ind w:firstLine="420" w:firstLineChars="200"/>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lang w:val="en-US" w:eastAsia="zh-CN"/>
        </w:rPr>
        <w:t>召开标准启动会，邀请相关行业专家</w:t>
      </w:r>
      <w:r>
        <w:rPr>
          <w:rFonts w:ascii="Times New Roman" w:hAnsi="Times New Roman" w:eastAsia="宋体" w:cs="Times New Roman"/>
          <w:color w:val="000000"/>
          <w:kern w:val="0"/>
          <w:szCs w:val="21"/>
          <w:highlight w:val="none"/>
        </w:rPr>
        <w:t>对标准讨论稿的使用范围、原理、计量特性、校准条件、校准项目和校准方法、校准结果反映形式及内容、复校时间间隔、校准不确定度示例等具体内容</w:t>
      </w:r>
      <w:r>
        <w:rPr>
          <w:rFonts w:ascii="Times New Roman" w:hAnsi="Times New Roman" w:eastAsia="宋体" w:cs="Times New Roman"/>
          <w:kern w:val="0"/>
          <w:szCs w:val="21"/>
          <w:highlight w:val="none"/>
        </w:rPr>
        <w:t>进行了认真审议</w:t>
      </w:r>
      <w:r>
        <w:rPr>
          <w:rFonts w:hint="eastAsia" w:ascii="Times New Roman" w:hAnsi="Times New Roman" w:eastAsia="宋体" w:cs="Times New Roman"/>
          <w:kern w:val="0"/>
          <w:szCs w:val="21"/>
          <w:highlight w:val="none"/>
          <w:lang w:eastAsia="zh-CN"/>
        </w:rPr>
        <w:t>，</w:t>
      </w:r>
      <w:r>
        <w:rPr>
          <w:rFonts w:hint="eastAsia" w:ascii="Times New Roman" w:hAnsi="Times New Roman" w:eastAsia="宋体" w:cs="Times New Roman"/>
          <w:kern w:val="0"/>
          <w:szCs w:val="21"/>
          <w:highlight w:val="none"/>
          <w:lang w:val="en-US" w:eastAsia="zh-CN"/>
        </w:rPr>
        <w:t>根据意见对讨论稿进行了修改</w:t>
      </w:r>
      <w:r>
        <w:rPr>
          <w:rFonts w:ascii="Times New Roman" w:hAnsi="Times New Roman" w:eastAsia="宋体" w:cs="Times New Roman"/>
          <w:color w:val="000000"/>
          <w:kern w:val="0"/>
          <w:szCs w:val="21"/>
          <w:highlight w:val="none"/>
        </w:rPr>
        <w:t>。</w:t>
      </w:r>
    </w:p>
    <w:p w14:paraId="05910D69">
      <w:pPr>
        <w:spacing w:line="360" w:lineRule="auto"/>
        <w:ind w:firstLine="420" w:firstLineChars="200"/>
        <w:rPr>
          <w:rFonts w:ascii="Times New Roman" w:hAnsi="Times New Roman" w:eastAsia="宋体" w:cs="Times New Roman"/>
          <w:kern w:val="0"/>
          <w:szCs w:val="21"/>
          <w:highlight w:val="none"/>
        </w:rPr>
      </w:pPr>
      <w:r>
        <w:rPr>
          <w:rFonts w:hint="eastAsia" w:ascii="Times New Roman" w:hAnsi="Times New Roman" w:eastAsia="宋体" w:cs="Times New Roman"/>
          <w:kern w:val="0"/>
          <w:szCs w:val="21"/>
          <w:highlight w:val="none"/>
        </w:rPr>
        <w:t>（5）标准征求意见稿</w:t>
      </w:r>
      <w:r>
        <w:rPr>
          <w:rFonts w:ascii="Times New Roman" w:hAnsi="Times New Roman" w:eastAsia="宋体" w:cs="Times New Roman"/>
          <w:color w:val="000000"/>
          <w:kern w:val="0"/>
          <w:szCs w:val="21"/>
          <w:highlight w:val="none"/>
        </w:rPr>
        <w:t>（20</w:t>
      </w:r>
      <w:r>
        <w:rPr>
          <w:rFonts w:hint="eastAsia" w:ascii="Times New Roman" w:hAnsi="Times New Roman" w:eastAsia="宋体" w:cs="Times New Roman"/>
          <w:color w:val="000000"/>
          <w:kern w:val="0"/>
          <w:szCs w:val="21"/>
          <w:highlight w:val="none"/>
          <w:lang w:val="en-US" w:eastAsia="zh-CN"/>
        </w:rPr>
        <w:t>24</w:t>
      </w:r>
      <w:r>
        <w:rPr>
          <w:rFonts w:ascii="Times New Roman" w:hAnsi="Times New Roman" w:eastAsia="宋体" w:cs="Times New Roman"/>
          <w:color w:val="000000"/>
          <w:kern w:val="0"/>
          <w:szCs w:val="21"/>
          <w:highlight w:val="none"/>
        </w:rPr>
        <w:t>年</w:t>
      </w:r>
      <w:r>
        <w:rPr>
          <w:rFonts w:hint="eastAsia" w:ascii="Times New Roman" w:hAnsi="Times New Roman" w:eastAsia="宋体" w:cs="Times New Roman"/>
          <w:color w:val="000000"/>
          <w:kern w:val="0"/>
          <w:szCs w:val="21"/>
          <w:highlight w:val="none"/>
          <w:lang w:val="en-US" w:eastAsia="zh-CN"/>
        </w:rPr>
        <w:t>4</w:t>
      </w:r>
      <w:r>
        <w:rPr>
          <w:rFonts w:ascii="Times New Roman" w:hAnsi="Times New Roman" w:eastAsia="宋体" w:cs="Times New Roman"/>
          <w:color w:val="000000"/>
          <w:kern w:val="0"/>
          <w:szCs w:val="21"/>
          <w:highlight w:val="none"/>
        </w:rPr>
        <w:t>月</w:t>
      </w:r>
      <w:r>
        <w:rPr>
          <w:rFonts w:hint="eastAsia" w:ascii="Times New Roman" w:hAnsi="Times New Roman" w:eastAsia="宋体" w:cs="Times New Roman"/>
          <w:color w:val="000000"/>
          <w:kern w:val="0"/>
          <w:szCs w:val="21"/>
          <w:highlight w:val="none"/>
          <w:lang w:val="en-US" w:eastAsia="zh-CN"/>
        </w:rPr>
        <w:t>至2024年10月</w:t>
      </w:r>
      <w:r>
        <w:rPr>
          <w:rFonts w:hint="eastAsia" w:ascii="Times New Roman" w:hAnsi="Times New Roman" w:eastAsia="宋体" w:cs="Times New Roman"/>
          <w:color w:val="000000"/>
          <w:kern w:val="0"/>
          <w:szCs w:val="21"/>
          <w:highlight w:val="none"/>
          <w:lang w:eastAsia="zh-CN"/>
        </w:rPr>
        <w:t>）</w:t>
      </w:r>
    </w:p>
    <w:p w14:paraId="5F080B87">
      <w:pPr>
        <w:spacing w:line="360" w:lineRule="auto"/>
        <w:ind w:firstLine="420" w:firstLineChars="200"/>
        <w:rPr>
          <w:rFonts w:ascii="Times New Roman" w:hAnsi="Times New Roman" w:eastAsia="宋体" w:cs="Times New Roman"/>
          <w:kern w:val="0"/>
          <w:szCs w:val="21"/>
          <w:highlight w:val="none"/>
        </w:rPr>
      </w:pPr>
      <w:r>
        <w:rPr>
          <w:rFonts w:hint="eastAsia" w:ascii="Times New Roman" w:hAnsi="Times New Roman" w:eastAsia="宋体" w:cs="Times New Roman"/>
          <w:kern w:val="0"/>
          <w:szCs w:val="21"/>
          <w:highlight w:val="none"/>
          <w:lang w:val="en-US" w:eastAsia="zh-CN"/>
        </w:rPr>
        <w:t>根据启动会专家意见补充了部分验证实验</w:t>
      </w:r>
      <w:r>
        <w:rPr>
          <w:rFonts w:hint="eastAsia" w:ascii="Times New Roman" w:hAnsi="Times New Roman" w:eastAsia="宋体" w:cs="Times New Roman"/>
          <w:kern w:val="0"/>
          <w:szCs w:val="21"/>
          <w:highlight w:val="none"/>
        </w:rPr>
        <w:t>，形成本校准规范征求意见稿</w:t>
      </w:r>
      <w:r>
        <w:rPr>
          <w:rFonts w:hint="eastAsia" w:ascii="Times New Roman" w:hAnsi="Times New Roman" w:eastAsia="宋体" w:cs="Times New Roman"/>
          <w:kern w:val="0"/>
          <w:szCs w:val="21"/>
          <w:highlight w:val="none"/>
          <w:lang w:val="en-US" w:eastAsia="zh-CN"/>
        </w:rPr>
        <w:t>和编制说明</w:t>
      </w:r>
      <w:r>
        <w:rPr>
          <w:rFonts w:ascii="Times New Roman" w:hAnsi="Times New Roman" w:eastAsia="宋体" w:cs="Times New Roman"/>
          <w:kern w:val="0"/>
          <w:szCs w:val="21"/>
          <w:highlight w:val="none"/>
        </w:rPr>
        <w:t>。</w:t>
      </w:r>
    </w:p>
    <w:p w14:paraId="559C493F">
      <w:pPr>
        <w:pStyle w:val="3"/>
        <w:numPr>
          <w:ilvl w:val="1"/>
          <w:numId w:val="2"/>
        </w:numPr>
        <w:spacing w:before="0" w:after="0" w:line="440" w:lineRule="exact"/>
        <w:rPr>
          <w:rFonts w:ascii="宋体" w:hAnsi="宋体" w:eastAsia="宋体"/>
          <w:sz w:val="21"/>
          <w:szCs w:val="21"/>
        </w:rPr>
      </w:pPr>
      <w:r>
        <w:rPr>
          <w:rFonts w:ascii="宋体" w:hAnsi="宋体" w:eastAsia="宋体"/>
          <w:sz w:val="21"/>
          <w:szCs w:val="21"/>
        </w:rPr>
        <w:t xml:space="preserve"> 主要参加单位和工作组成员及其所做的工作</w:t>
      </w:r>
    </w:p>
    <w:p w14:paraId="6D82BF19">
      <w:pPr>
        <w:spacing w:line="520" w:lineRule="exact"/>
        <w:ind w:firstLine="489" w:firstLineChars="233"/>
        <w:rPr>
          <w:rFonts w:ascii="Calibri" w:hAnsi="Calibri" w:eastAsia="宋体" w:cs="黑体"/>
          <w:szCs w:val="21"/>
          <w:highlight w:val="none"/>
        </w:rPr>
      </w:pPr>
      <w:r>
        <w:rPr>
          <w:rFonts w:ascii="Calibri" w:hAnsi="Calibri" w:eastAsia="宋体" w:cs="黑体"/>
          <w:szCs w:val="21"/>
          <w:highlight w:val="none"/>
        </w:rPr>
        <w:t>本校准规范的主要起草单位</w:t>
      </w:r>
      <w:r>
        <w:rPr>
          <w:rFonts w:hint="eastAsia" w:ascii="Calibri" w:hAnsi="Calibri" w:eastAsia="宋体" w:cs="黑体"/>
          <w:szCs w:val="21"/>
          <w:highlight w:val="none"/>
        </w:rPr>
        <w:t>见表1</w:t>
      </w:r>
      <w:r>
        <w:rPr>
          <w:rFonts w:ascii="Calibri" w:hAnsi="Calibri" w:eastAsia="宋体" w:cs="黑体"/>
          <w:szCs w:val="21"/>
          <w:highlight w:val="none"/>
        </w:rPr>
        <w:t>。工作组主要成员对校准规范的内容进行了分任务撰写，对校准规范中的计量特性参数和校准方法进行了讨论确定，对校准方法的合理性进行数据测量及评定。</w:t>
      </w:r>
    </w:p>
    <w:p w14:paraId="02807B38">
      <w:pPr>
        <w:pStyle w:val="6"/>
        <w:keepNext/>
        <w:jc w:val="center"/>
        <w:rPr>
          <w:highlight w:val="none"/>
        </w:rPr>
      </w:pPr>
      <w:r>
        <w:rPr>
          <w:highlight w:val="none"/>
        </w:rPr>
        <w:t>表</w:t>
      </w:r>
      <w:r>
        <w:rPr>
          <w:highlight w:val="none"/>
        </w:rPr>
        <w:fldChar w:fldCharType="begin"/>
      </w:r>
      <w:r>
        <w:rPr>
          <w:highlight w:val="none"/>
        </w:rPr>
        <w:instrText xml:space="preserve"> SEQ 表格 \* ARABIC </w:instrText>
      </w:r>
      <w:r>
        <w:rPr>
          <w:highlight w:val="none"/>
        </w:rPr>
        <w:fldChar w:fldCharType="separate"/>
      </w:r>
      <w:r>
        <w:rPr>
          <w:highlight w:val="none"/>
        </w:rPr>
        <w:t>1</w:t>
      </w:r>
      <w:r>
        <w:rPr>
          <w:highlight w:val="none"/>
        </w:rPr>
        <w:fldChar w:fldCharType="end"/>
      </w:r>
      <w:r>
        <w:rPr>
          <w:rFonts w:hint="eastAsia" w:ascii="Calibri" w:hAnsi="Calibri" w:eastAsia="宋体" w:cs="黑体"/>
          <w:szCs w:val="21"/>
          <w:highlight w:val="none"/>
        </w:rPr>
        <w:t>标准主要参加单位及完成工作情况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685"/>
        <w:gridCol w:w="4814"/>
      </w:tblGrid>
      <w:tr w14:paraId="3DF2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30AA0B32">
            <w:pPr>
              <w:spacing w:line="520" w:lineRule="exact"/>
              <w:jc w:val="center"/>
              <w:rPr>
                <w:rFonts w:ascii="Calibri" w:hAnsi="Calibri" w:eastAsia="宋体" w:cs="黑体"/>
                <w:szCs w:val="21"/>
                <w:highlight w:val="none"/>
              </w:rPr>
            </w:pPr>
            <w:r>
              <w:rPr>
                <w:rFonts w:hint="eastAsia" w:ascii="Calibri" w:hAnsi="Calibri" w:eastAsia="宋体" w:cs="黑体"/>
                <w:szCs w:val="21"/>
                <w:highlight w:val="none"/>
              </w:rPr>
              <w:t>序号</w:t>
            </w:r>
          </w:p>
        </w:tc>
        <w:tc>
          <w:tcPr>
            <w:tcW w:w="3685" w:type="dxa"/>
          </w:tcPr>
          <w:p w14:paraId="2DC963B0">
            <w:pPr>
              <w:spacing w:line="520" w:lineRule="exact"/>
              <w:jc w:val="left"/>
              <w:rPr>
                <w:rFonts w:ascii="Calibri" w:hAnsi="Calibri" w:eastAsia="宋体" w:cs="黑体"/>
                <w:szCs w:val="21"/>
                <w:highlight w:val="none"/>
              </w:rPr>
            </w:pPr>
            <w:r>
              <w:rPr>
                <w:rFonts w:hint="eastAsia" w:ascii="Calibri" w:hAnsi="Calibri" w:eastAsia="宋体" w:cs="黑体"/>
                <w:szCs w:val="21"/>
                <w:highlight w:val="none"/>
              </w:rPr>
              <w:t>单位名称</w:t>
            </w:r>
          </w:p>
        </w:tc>
        <w:tc>
          <w:tcPr>
            <w:tcW w:w="4814" w:type="dxa"/>
          </w:tcPr>
          <w:p w14:paraId="6CE7FD69">
            <w:pPr>
              <w:spacing w:line="520" w:lineRule="exact"/>
              <w:jc w:val="left"/>
              <w:rPr>
                <w:rFonts w:ascii="Calibri" w:hAnsi="Calibri" w:eastAsia="宋体" w:cs="黑体"/>
                <w:szCs w:val="21"/>
                <w:highlight w:val="none"/>
              </w:rPr>
            </w:pPr>
            <w:r>
              <w:rPr>
                <w:rFonts w:hint="eastAsia" w:ascii="Calibri" w:hAnsi="Calibri" w:eastAsia="宋体" w:cs="黑体"/>
                <w:szCs w:val="21"/>
                <w:highlight w:val="none"/>
              </w:rPr>
              <w:t>主要工作</w:t>
            </w:r>
          </w:p>
        </w:tc>
      </w:tr>
      <w:tr w14:paraId="316B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447E7272">
            <w:pPr>
              <w:spacing w:line="520" w:lineRule="exact"/>
              <w:jc w:val="center"/>
              <w:rPr>
                <w:rFonts w:ascii="Calibri" w:hAnsi="Calibri" w:eastAsia="宋体" w:cs="黑体"/>
                <w:szCs w:val="21"/>
                <w:highlight w:val="none"/>
              </w:rPr>
            </w:pPr>
            <w:r>
              <w:rPr>
                <w:rFonts w:hint="eastAsia" w:ascii="Calibri" w:hAnsi="Calibri" w:eastAsia="宋体" w:cs="黑体"/>
                <w:szCs w:val="21"/>
                <w:highlight w:val="none"/>
              </w:rPr>
              <w:t>1</w:t>
            </w:r>
          </w:p>
        </w:tc>
        <w:tc>
          <w:tcPr>
            <w:tcW w:w="3685" w:type="dxa"/>
          </w:tcPr>
          <w:p w14:paraId="36C1A33B">
            <w:pPr>
              <w:spacing w:line="520" w:lineRule="exact"/>
              <w:rPr>
                <w:rFonts w:ascii="Calibri" w:hAnsi="Calibri" w:eastAsia="宋体" w:cs="黑体"/>
                <w:szCs w:val="21"/>
                <w:highlight w:val="none"/>
              </w:rPr>
            </w:pPr>
            <w:r>
              <w:rPr>
                <w:rFonts w:hint="eastAsia" w:ascii="Calibri" w:hAnsi="Calibri" w:eastAsia="宋体" w:cs="黑体"/>
                <w:szCs w:val="21"/>
                <w:highlight w:val="none"/>
              </w:rPr>
              <w:t>中国建材检验认证集团股份有限公司</w:t>
            </w:r>
          </w:p>
        </w:tc>
        <w:tc>
          <w:tcPr>
            <w:tcW w:w="4814" w:type="dxa"/>
          </w:tcPr>
          <w:p w14:paraId="78010B91">
            <w:pPr>
              <w:spacing w:line="520" w:lineRule="exact"/>
              <w:rPr>
                <w:rFonts w:ascii="Calibri" w:hAnsi="Calibri" w:eastAsia="宋体" w:cs="黑体"/>
                <w:szCs w:val="21"/>
                <w:highlight w:val="none"/>
              </w:rPr>
            </w:pPr>
            <w:r>
              <w:rPr>
                <w:rFonts w:hint="eastAsia" w:ascii="Calibri" w:hAnsi="Calibri" w:eastAsia="宋体" w:cs="黑体"/>
                <w:szCs w:val="21"/>
                <w:highlight w:val="none"/>
              </w:rPr>
              <w:t>文本起草编制，</w:t>
            </w:r>
            <w:r>
              <w:rPr>
                <w:rFonts w:hint="eastAsia" w:ascii="Calibri" w:hAnsi="Calibri" w:eastAsia="宋体" w:cs="黑体"/>
                <w:szCs w:val="21"/>
                <w:highlight w:val="none"/>
                <w:lang w:val="en-US" w:eastAsia="zh-CN"/>
              </w:rPr>
              <w:t>原始气体嗅辨仪</w:t>
            </w:r>
            <w:r>
              <w:rPr>
                <w:rFonts w:hint="eastAsia" w:ascii="Calibri" w:hAnsi="Calibri" w:eastAsia="宋体" w:cs="黑体"/>
                <w:szCs w:val="21"/>
                <w:highlight w:val="none"/>
              </w:rPr>
              <w:t>性能参数测试</w:t>
            </w:r>
          </w:p>
        </w:tc>
      </w:tr>
      <w:tr w14:paraId="7696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0202BE65">
            <w:pPr>
              <w:spacing w:line="520" w:lineRule="exact"/>
              <w:jc w:val="center"/>
              <w:rPr>
                <w:rFonts w:ascii="Calibri" w:hAnsi="Calibri" w:eastAsia="宋体" w:cs="黑体"/>
                <w:szCs w:val="21"/>
                <w:highlight w:val="none"/>
              </w:rPr>
            </w:pPr>
            <w:r>
              <w:rPr>
                <w:rFonts w:hint="eastAsia" w:ascii="Calibri" w:hAnsi="Calibri" w:eastAsia="宋体" w:cs="黑体"/>
                <w:szCs w:val="21"/>
                <w:highlight w:val="none"/>
              </w:rPr>
              <w:t>2</w:t>
            </w:r>
          </w:p>
        </w:tc>
        <w:tc>
          <w:tcPr>
            <w:tcW w:w="3685" w:type="dxa"/>
          </w:tcPr>
          <w:p w14:paraId="61FFDFDA">
            <w:pPr>
              <w:spacing w:line="520" w:lineRule="exact"/>
              <w:rPr>
                <w:rFonts w:ascii="Calibri" w:hAnsi="Calibri" w:eastAsia="宋体" w:cs="黑体"/>
                <w:szCs w:val="21"/>
                <w:highlight w:val="none"/>
              </w:rPr>
            </w:pPr>
            <w:r>
              <w:rPr>
                <w:rFonts w:hint="eastAsia" w:ascii="Calibri" w:hAnsi="Calibri" w:eastAsia="宋体" w:cs="黑体"/>
                <w:szCs w:val="21"/>
                <w:highlight w:val="none"/>
              </w:rPr>
              <w:t>北京市劳动保护研究所</w:t>
            </w:r>
          </w:p>
        </w:tc>
        <w:tc>
          <w:tcPr>
            <w:tcW w:w="4814" w:type="dxa"/>
          </w:tcPr>
          <w:p w14:paraId="736080E9">
            <w:pPr>
              <w:spacing w:line="520" w:lineRule="exact"/>
              <w:rPr>
                <w:rFonts w:ascii="Calibri" w:hAnsi="Calibri" w:eastAsia="宋体" w:cs="黑体"/>
                <w:szCs w:val="21"/>
                <w:highlight w:val="none"/>
              </w:rPr>
            </w:pPr>
            <w:r>
              <w:rPr>
                <w:rFonts w:hint="eastAsia" w:ascii="Calibri" w:hAnsi="Calibri" w:eastAsia="宋体" w:cs="黑体"/>
                <w:szCs w:val="21"/>
                <w:highlight w:val="none"/>
              </w:rPr>
              <w:t>文本编制，部分</w:t>
            </w:r>
            <w:r>
              <w:rPr>
                <w:rFonts w:hint="eastAsia" w:ascii="Calibri" w:hAnsi="Calibri" w:eastAsia="宋体" w:cs="黑体"/>
                <w:szCs w:val="21"/>
                <w:highlight w:val="none"/>
                <w:lang w:val="en-US" w:eastAsia="zh-CN"/>
              </w:rPr>
              <w:t>原始气体嗅辨仪</w:t>
            </w:r>
            <w:r>
              <w:rPr>
                <w:rFonts w:hint="eastAsia" w:ascii="Calibri" w:hAnsi="Calibri" w:eastAsia="宋体" w:cs="黑体"/>
                <w:szCs w:val="21"/>
                <w:highlight w:val="none"/>
              </w:rPr>
              <w:t>参数测试</w:t>
            </w:r>
          </w:p>
        </w:tc>
      </w:tr>
      <w:tr w14:paraId="26A0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3D807E96">
            <w:pPr>
              <w:spacing w:line="520" w:lineRule="exact"/>
              <w:jc w:val="center"/>
              <w:rPr>
                <w:rFonts w:ascii="Calibri" w:hAnsi="Calibri" w:eastAsia="宋体" w:cs="黑体"/>
                <w:szCs w:val="21"/>
                <w:highlight w:val="none"/>
              </w:rPr>
            </w:pPr>
          </w:p>
        </w:tc>
        <w:tc>
          <w:tcPr>
            <w:tcW w:w="3685" w:type="dxa"/>
          </w:tcPr>
          <w:p w14:paraId="351722A9">
            <w:pPr>
              <w:spacing w:line="520" w:lineRule="exact"/>
              <w:rPr>
                <w:rFonts w:ascii="Calibri" w:hAnsi="Calibri" w:eastAsia="宋体" w:cs="黑体"/>
                <w:szCs w:val="21"/>
                <w:highlight w:val="none"/>
              </w:rPr>
            </w:pPr>
          </w:p>
        </w:tc>
        <w:tc>
          <w:tcPr>
            <w:tcW w:w="4814" w:type="dxa"/>
          </w:tcPr>
          <w:p w14:paraId="3893C037">
            <w:pPr>
              <w:spacing w:line="520" w:lineRule="exact"/>
              <w:rPr>
                <w:rFonts w:ascii="Calibri" w:hAnsi="Calibri" w:eastAsia="宋体" w:cs="黑体"/>
                <w:szCs w:val="21"/>
                <w:highlight w:val="none"/>
              </w:rPr>
            </w:pPr>
          </w:p>
        </w:tc>
      </w:tr>
    </w:tbl>
    <w:p w14:paraId="7C8D4DEB">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编写的目的、依据、原则、主要计量特性等内容；</w:t>
      </w:r>
    </w:p>
    <w:p w14:paraId="54647711">
      <w:pPr>
        <w:widowControl/>
        <w:spacing w:line="360" w:lineRule="auto"/>
        <w:ind w:firstLine="630" w:firstLineChars="300"/>
        <w:rPr>
          <w:rFonts w:ascii="Times New Roman" w:hAnsi="Times New Roman" w:eastAsia="黑体" w:cs="Times New Roman"/>
          <w:color w:val="000000"/>
          <w:kern w:val="0"/>
          <w:szCs w:val="21"/>
        </w:rPr>
      </w:pPr>
      <w:r>
        <w:rPr>
          <w:rFonts w:ascii="Times New Roman" w:hAnsi="Times New Roman" w:eastAsia="黑体" w:cs="Times New Roman"/>
          <w:color w:val="000000"/>
          <w:kern w:val="0"/>
          <w:szCs w:val="21"/>
        </w:rPr>
        <w:t>国家标准编制原则和确定国家标准主要内容（技术指标、参数、公式、性能要求、试验方法、检验规则等）的论据（包括试验、统计数据）</w:t>
      </w:r>
    </w:p>
    <w:p w14:paraId="23567030">
      <w:pPr>
        <w:pStyle w:val="3"/>
        <w:numPr>
          <w:ilvl w:val="1"/>
          <w:numId w:val="1"/>
        </w:numPr>
        <w:spacing w:before="0" w:after="0" w:line="440" w:lineRule="exact"/>
        <w:rPr>
          <w:rFonts w:ascii="宋体" w:hAnsi="宋体" w:eastAsia="宋体"/>
          <w:sz w:val="21"/>
          <w:szCs w:val="21"/>
        </w:rPr>
      </w:pPr>
      <w:bookmarkStart w:id="0" w:name="_Hlt423091078"/>
      <w:r>
        <w:rPr>
          <w:rFonts w:ascii="宋体" w:hAnsi="宋体" w:eastAsia="宋体"/>
          <w:sz w:val="21"/>
          <w:szCs w:val="21"/>
        </w:rPr>
        <w:t>编写的目的</w:t>
      </w:r>
    </w:p>
    <w:p w14:paraId="4E32AA5D">
      <w:pPr>
        <w:spacing w:line="520" w:lineRule="exact"/>
        <w:ind w:firstLine="489" w:firstLineChars="233"/>
        <w:rPr>
          <w:rFonts w:ascii="Calibri" w:hAnsi="Calibri" w:eastAsia="宋体" w:cs="黑体"/>
          <w:szCs w:val="21"/>
          <w:highlight w:val="none"/>
        </w:rPr>
      </w:pPr>
      <w:r>
        <w:rPr>
          <w:rFonts w:ascii="Calibri" w:hAnsi="Calibri" w:eastAsia="宋体" w:cs="黑体"/>
          <w:szCs w:val="21"/>
          <w:highlight w:val="none"/>
        </w:rPr>
        <w:t>本标准的撰写目的主要为了解决</w:t>
      </w:r>
      <w:r>
        <w:rPr>
          <w:rFonts w:hint="eastAsia" w:ascii="Calibri" w:hAnsi="Calibri" w:eastAsia="宋体" w:cs="黑体"/>
          <w:szCs w:val="21"/>
          <w:highlight w:val="none"/>
        </w:rPr>
        <w:t>建材产品</w:t>
      </w:r>
      <w:r>
        <w:rPr>
          <w:rFonts w:hint="eastAsia" w:ascii="Calibri" w:hAnsi="Calibri" w:eastAsia="宋体" w:cs="黑体"/>
          <w:szCs w:val="21"/>
          <w:highlight w:val="none"/>
          <w:lang w:val="en-US" w:eastAsia="zh-CN"/>
        </w:rPr>
        <w:t>气味评价</w:t>
      </w:r>
      <w:r>
        <w:rPr>
          <w:rFonts w:hint="eastAsia" w:ascii="Calibri" w:hAnsi="Calibri" w:eastAsia="宋体" w:cs="黑体"/>
          <w:szCs w:val="21"/>
          <w:highlight w:val="none"/>
        </w:rPr>
        <w:t>用</w:t>
      </w:r>
      <w:r>
        <w:rPr>
          <w:rFonts w:hint="eastAsia" w:ascii="Calibri" w:hAnsi="Calibri" w:eastAsia="宋体" w:cs="黑体"/>
          <w:szCs w:val="21"/>
          <w:highlight w:val="none"/>
          <w:lang w:val="en-US" w:eastAsia="zh-CN"/>
        </w:rPr>
        <w:t>原始气体嗅辨仪</w:t>
      </w:r>
      <w:r>
        <w:rPr>
          <w:rFonts w:ascii="Calibri" w:hAnsi="Calibri" w:eastAsia="宋体" w:cs="黑体"/>
          <w:szCs w:val="21"/>
          <w:highlight w:val="none"/>
        </w:rPr>
        <w:t>校准过程的统一规范，使得</w:t>
      </w:r>
      <w:r>
        <w:rPr>
          <w:rFonts w:hint="eastAsia" w:ascii="Calibri" w:hAnsi="Calibri" w:eastAsia="宋体" w:cs="黑体"/>
          <w:szCs w:val="21"/>
          <w:highlight w:val="none"/>
        </w:rPr>
        <w:t>建材产品</w:t>
      </w:r>
      <w:r>
        <w:rPr>
          <w:rFonts w:hint="eastAsia" w:ascii="Calibri" w:hAnsi="Calibri" w:eastAsia="宋体" w:cs="黑体"/>
          <w:szCs w:val="21"/>
          <w:highlight w:val="none"/>
          <w:lang w:val="en-US" w:eastAsia="zh-CN"/>
        </w:rPr>
        <w:t>气味评价</w:t>
      </w:r>
      <w:r>
        <w:rPr>
          <w:rFonts w:hint="eastAsia" w:ascii="Calibri" w:hAnsi="Calibri" w:eastAsia="宋体" w:cs="黑体"/>
          <w:szCs w:val="21"/>
          <w:highlight w:val="none"/>
        </w:rPr>
        <w:t>用</w:t>
      </w:r>
      <w:r>
        <w:rPr>
          <w:rFonts w:hint="eastAsia" w:ascii="Calibri" w:hAnsi="Calibri" w:eastAsia="宋体" w:cs="黑体"/>
          <w:szCs w:val="21"/>
          <w:highlight w:val="none"/>
          <w:lang w:val="en-US" w:eastAsia="zh-CN"/>
        </w:rPr>
        <w:t>原始气体嗅辨仪</w:t>
      </w:r>
      <w:r>
        <w:rPr>
          <w:rFonts w:ascii="Calibri" w:hAnsi="Calibri" w:eastAsia="宋体" w:cs="黑体"/>
          <w:szCs w:val="21"/>
          <w:highlight w:val="none"/>
        </w:rPr>
        <w:t>通过统一条件的校准过程，可以达到检测水平的一致。</w:t>
      </w:r>
    </w:p>
    <w:p w14:paraId="5DD9DD30">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技术依据</w:t>
      </w:r>
    </w:p>
    <w:p w14:paraId="30DA7169">
      <w:pPr>
        <w:widowControl/>
        <w:spacing w:line="360" w:lineRule="auto"/>
        <w:ind w:firstLine="367" w:firstLineChars="175"/>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（1）本规范依据JJF</w:t>
      </w:r>
      <w:r>
        <w:rPr>
          <w:rFonts w:hint="eastAsia" w:ascii="Times New Roman" w:hAnsi="Times New Roman" w:eastAsia="宋体" w:cs="Times New Roman"/>
          <w:color w:val="000000"/>
          <w:kern w:val="0"/>
          <w:szCs w:val="21"/>
          <w:highlight w:val="none"/>
          <w:lang w:val="en-US" w:eastAsia="zh-CN"/>
        </w:rPr>
        <w:t xml:space="preserve"> </w:t>
      </w:r>
      <w:r>
        <w:rPr>
          <w:rFonts w:ascii="Times New Roman" w:hAnsi="Times New Roman" w:eastAsia="宋体" w:cs="Times New Roman"/>
          <w:color w:val="000000"/>
          <w:kern w:val="0"/>
          <w:szCs w:val="21"/>
          <w:highlight w:val="none"/>
        </w:rPr>
        <w:t>1071-2010《国家计量校准规范编写规则》、JJF</w:t>
      </w:r>
      <w:r>
        <w:rPr>
          <w:rFonts w:hint="eastAsia" w:ascii="Times New Roman" w:hAnsi="Times New Roman" w:eastAsia="宋体" w:cs="Times New Roman"/>
          <w:color w:val="000000"/>
          <w:kern w:val="0"/>
          <w:szCs w:val="21"/>
          <w:highlight w:val="none"/>
          <w:lang w:val="en-US" w:eastAsia="zh-CN"/>
        </w:rPr>
        <w:t xml:space="preserve"> </w:t>
      </w:r>
      <w:r>
        <w:rPr>
          <w:rFonts w:ascii="Times New Roman" w:hAnsi="Times New Roman" w:eastAsia="宋体" w:cs="Times New Roman"/>
          <w:color w:val="000000"/>
          <w:kern w:val="0"/>
          <w:szCs w:val="21"/>
          <w:highlight w:val="none"/>
        </w:rPr>
        <w:t>1001-2011《通用计量术语及定义》和JJF</w:t>
      </w:r>
      <w:r>
        <w:rPr>
          <w:rFonts w:hint="eastAsia" w:ascii="Times New Roman" w:hAnsi="Times New Roman" w:eastAsia="宋体" w:cs="Times New Roman"/>
          <w:color w:val="000000"/>
          <w:kern w:val="0"/>
          <w:szCs w:val="21"/>
          <w:highlight w:val="none"/>
          <w:lang w:val="en-US" w:eastAsia="zh-CN"/>
        </w:rPr>
        <w:t xml:space="preserve"> </w:t>
      </w:r>
      <w:r>
        <w:rPr>
          <w:rFonts w:ascii="Times New Roman" w:hAnsi="Times New Roman" w:eastAsia="宋体" w:cs="Times New Roman"/>
          <w:color w:val="000000"/>
          <w:kern w:val="0"/>
          <w:szCs w:val="21"/>
          <w:highlight w:val="none"/>
        </w:rPr>
        <w:t>1059.1-2012《测量不确定度评定与表示》的规定而制定。</w:t>
      </w:r>
    </w:p>
    <w:p w14:paraId="30B92AA6">
      <w:pPr>
        <w:spacing w:line="520" w:lineRule="exact"/>
        <w:ind w:firstLine="489" w:firstLineChars="233"/>
        <w:rPr>
          <w:rFonts w:ascii="Calibri" w:hAnsi="Calibri" w:eastAsia="宋体" w:cs="黑体"/>
          <w:szCs w:val="21"/>
          <w:highlight w:val="none"/>
        </w:rPr>
      </w:pPr>
      <w:r>
        <w:rPr>
          <w:rFonts w:ascii="Calibri" w:hAnsi="Calibri" w:eastAsia="宋体" w:cs="黑体"/>
          <w:szCs w:val="21"/>
          <w:highlight w:val="none"/>
        </w:rPr>
        <w:t>（2）</w:t>
      </w:r>
      <w:r>
        <w:rPr>
          <w:rFonts w:hint="eastAsia" w:ascii="Calibri" w:hAnsi="Calibri" w:eastAsia="宋体" w:cs="黑体"/>
          <w:szCs w:val="21"/>
          <w:highlight w:val="none"/>
          <w:lang w:val="en-US" w:eastAsia="zh-CN"/>
        </w:rPr>
        <w:t>本规范参考了JJG 33-2002 《万能角度尺》</w:t>
      </w:r>
      <w:r>
        <w:rPr>
          <w:rFonts w:hint="eastAsia" w:ascii="Calibri" w:hAnsi="Calibri" w:eastAsia="宋体" w:cs="黑体"/>
          <w:szCs w:val="21"/>
          <w:highlight w:val="none"/>
        </w:rPr>
        <w:t>、JJG 640-20</w:t>
      </w:r>
      <w:r>
        <w:rPr>
          <w:rFonts w:hint="eastAsia" w:ascii="Calibri" w:hAnsi="Calibri" w:eastAsia="宋体" w:cs="黑体"/>
          <w:szCs w:val="21"/>
          <w:highlight w:val="none"/>
          <w:lang w:val="en-US" w:eastAsia="zh-CN"/>
        </w:rPr>
        <w:t>16 《差压式流量计》</w:t>
      </w:r>
      <w:r>
        <w:rPr>
          <w:rFonts w:hint="eastAsia" w:ascii="Calibri" w:hAnsi="Calibri" w:eastAsia="宋体" w:cs="黑体"/>
          <w:szCs w:val="21"/>
          <w:highlight w:val="none"/>
        </w:rPr>
        <w:t>、</w:t>
      </w:r>
      <w:r>
        <w:rPr>
          <w:rFonts w:hint="eastAsia" w:ascii="Calibri" w:hAnsi="Calibri" w:eastAsia="宋体" w:cs="黑体"/>
          <w:szCs w:val="21"/>
          <w:highlight w:val="none"/>
          <w:lang w:val="en-US" w:eastAsia="zh-CN"/>
        </w:rPr>
        <w:t>JJG 188-2017《声级计》、</w:t>
      </w:r>
      <w:r>
        <w:rPr>
          <w:rFonts w:hint="eastAsia" w:ascii="Calibri" w:hAnsi="Calibri" w:eastAsia="宋体" w:cs="黑体"/>
          <w:szCs w:val="21"/>
          <w:highlight w:val="none"/>
        </w:rPr>
        <w:t>GB/T 43353-2023</w:t>
      </w:r>
      <w:r>
        <w:rPr>
          <w:rFonts w:hint="eastAsia" w:ascii="Calibri" w:hAnsi="Calibri" w:eastAsia="宋体" w:cs="黑体"/>
          <w:szCs w:val="21"/>
          <w:highlight w:val="none"/>
          <w:lang w:eastAsia="zh-CN"/>
        </w:rPr>
        <w:t>《</w:t>
      </w:r>
      <w:r>
        <w:rPr>
          <w:rFonts w:hint="eastAsia" w:ascii="Calibri" w:hAnsi="Calibri" w:eastAsia="宋体" w:cs="黑体"/>
          <w:szCs w:val="21"/>
          <w:highlight w:val="none"/>
        </w:rPr>
        <w:t>建材产品的气味释放测试 环境测试舱法</w:t>
      </w:r>
      <w:r>
        <w:rPr>
          <w:rFonts w:hint="eastAsia" w:ascii="Calibri" w:hAnsi="Calibri" w:eastAsia="宋体" w:cs="黑体"/>
          <w:szCs w:val="21"/>
          <w:highlight w:val="none"/>
          <w:lang w:eastAsia="zh-CN"/>
        </w:rPr>
        <w:t>》</w:t>
      </w:r>
      <w:r>
        <w:rPr>
          <w:rFonts w:ascii="Calibri" w:hAnsi="Calibri" w:eastAsia="宋体" w:cs="黑体"/>
          <w:szCs w:val="21"/>
          <w:highlight w:val="none"/>
        </w:rPr>
        <w:t>的相关内容。</w:t>
      </w:r>
    </w:p>
    <w:p w14:paraId="2FC002EC">
      <w:pPr>
        <w:spacing w:line="520" w:lineRule="exact"/>
        <w:ind w:firstLine="489" w:firstLineChars="233"/>
        <w:rPr>
          <w:rFonts w:ascii="Calibri" w:hAnsi="Calibri" w:eastAsia="宋体" w:cs="黑体"/>
          <w:szCs w:val="21"/>
          <w:highlight w:val="none"/>
        </w:rPr>
      </w:pPr>
      <w:r>
        <w:rPr>
          <w:rFonts w:ascii="Calibri" w:hAnsi="Calibri" w:eastAsia="宋体" w:cs="黑体"/>
          <w:szCs w:val="21"/>
          <w:highlight w:val="none"/>
        </w:rPr>
        <w:t>（3）本规范注重科学性、先进性，并努力保证标准技术要求的科学性和可操作性。</w:t>
      </w:r>
    </w:p>
    <w:p w14:paraId="7FA0D8BF">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原则</w:t>
      </w:r>
    </w:p>
    <w:p w14:paraId="1DD6F59A">
      <w:pPr>
        <w:widowControl/>
        <w:spacing w:line="360" w:lineRule="auto"/>
        <w:ind w:firstLine="367" w:firstLineChars="175"/>
        <w:rPr>
          <w:rFonts w:ascii="Times New Roman" w:hAnsi="Times New Roman" w:eastAsia="宋体" w:cs="Times New Roman"/>
          <w:color w:val="000000"/>
          <w:kern w:val="0"/>
          <w:szCs w:val="21"/>
          <w:highlight w:val="none"/>
        </w:rPr>
      </w:pPr>
      <w:r>
        <w:rPr>
          <w:rFonts w:ascii="Times New Roman" w:hAnsi="Times New Roman" w:eastAsia="宋体" w:cs="Times New Roman"/>
          <w:color w:val="000000"/>
          <w:kern w:val="0"/>
          <w:szCs w:val="21"/>
          <w:highlight w:val="none"/>
        </w:rPr>
        <w:t>在本标准的编写过程中注意贯彻协调一致的原则，与已发布的相关国家标准、行业标准和规范相协调。既考虑相关规范标准，更注重检测仪器实际检测应用情况和检测水平。在充分考虑我国</w:t>
      </w:r>
      <w:r>
        <w:rPr>
          <w:rFonts w:hint="eastAsia" w:ascii="Times New Roman" w:hAnsi="Times New Roman" w:eastAsia="宋体" w:cs="Times New Roman"/>
          <w:color w:val="000000"/>
          <w:kern w:val="0"/>
          <w:szCs w:val="21"/>
          <w:highlight w:val="none"/>
        </w:rPr>
        <w:t>环境测试舱</w:t>
      </w:r>
      <w:r>
        <w:rPr>
          <w:rFonts w:ascii="Times New Roman" w:hAnsi="Times New Roman" w:eastAsia="宋体" w:cs="Times New Roman"/>
          <w:color w:val="000000"/>
          <w:kern w:val="0"/>
          <w:szCs w:val="21"/>
          <w:highlight w:val="none"/>
        </w:rPr>
        <w:t>实际</w:t>
      </w:r>
      <w:r>
        <w:rPr>
          <w:rFonts w:hint="eastAsia" w:ascii="Times New Roman" w:hAnsi="Times New Roman" w:eastAsia="宋体" w:cs="Times New Roman"/>
          <w:color w:val="000000"/>
          <w:kern w:val="0"/>
          <w:szCs w:val="21"/>
          <w:highlight w:val="none"/>
        </w:rPr>
        <w:t>生产</w:t>
      </w:r>
      <w:r>
        <w:rPr>
          <w:rFonts w:ascii="Times New Roman" w:hAnsi="Times New Roman" w:eastAsia="宋体" w:cs="Times New Roman"/>
          <w:color w:val="000000"/>
          <w:kern w:val="0"/>
          <w:szCs w:val="21"/>
          <w:highlight w:val="none"/>
        </w:rPr>
        <w:t>水平的基础上，既要突出标准的“科学性”、“前瞻性”和“适用性”，也要考虑到各类检测仪器测试的“可行性”和“便捷性”。</w:t>
      </w:r>
    </w:p>
    <w:p w14:paraId="76EBB65E">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主要计量特性</w:t>
      </w:r>
    </w:p>
    <w:p w14:paraId="0CEC0787">
      <w:pPr>
        <w:widowControl/>
        <w:spacing w:line="360" w:lineRule="auto"/>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本规范的主要计量特性为：</w:t>
      </w:r>
      <w:r>
        <w:rPr>
          <w:rFonts w:hint="eastAsia" w:ascii="Times New Roman" w:hAnsi="Times New Roman" w:eastAsia="宋体" w:cs="Times New Roman"/>
          <w:color w:val="000000"/>
          <w:kern w:val="0"/>
          <w:szCs w:val="21"/>
          <w:lang w:val="en-US" w:eastAsia="zh-CN"/>
        </w:rPr>
        <w:t>嗅辨杯开口角度（单侧）</w:t>
      </w:r>
      <w:r>
        <w:rPr>
          <w:rFonts w:hint="eastAsia"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lang w:val="en-US" w:eastAsia="zh-CN"/>
        </w:rPr>
        <w:t>运行噪声</w:t>
      </w:r>
      <w:r>
        <w:rPr>
          <w:rFonts w:hint="eastAsia"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lang w:val="en-US" w:eastAsia="zh-CN"/>
        </w:rPr>
        <w:t>输出流量</w:t>
      </w:r>
      <w:r>
        <w:rPr>
          <w:rFonts w:hint="eastAsia"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lang w:val="en-US" w:eastAsia="zh-CN"/>
        </w:rPr>
        <w:t>气味等</w:t>
      </w:r>
      <w:r>
        <w:rPr>
          <w:rFonts w:hint="eastAsia" w:ascii="Times New Roman" w:hAnsi="Times New Roman" w:eastAsia="宋体" w:cs="Times New Roman"/>
          <w:color w:val="000000"/>
          <w:kern w:val="0"/>
          <w:szCs w:val="21"/>
        </w:rPr>
        <w:t>。</w:t>
      </w:r>
    </w:p>
    <w:p w14:paraId="65E68C5D">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对产业发展的支撑作用</w:t>
      </w:r>
    </w:p>
    <w:p w14:paraId="5137604B">
      <w:pPr>
        <w:widowControl/>
        <w:spacing w:line="360" w:lineRule="auto"/>
        <w:ind w:firstLine="367" w:firstLineChars="175"/>
        <w:rPr>
          <w:rFonts w:hint="eastAsia"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建材产品的气味评价需要依靠气味评价人员进行试验，人员在试验过程中，受到设备的影响会造成结果的偏离。因此气味评价设备在使用过程中的各项参数需要进行规范，如，</w:t>
      </w:r>
      <w:r>
        <w:rPr>
          <w:rFonts w:hint="eastAsia" w:ascii="Times New Roman" w:hAnsi="Times New Roman" w:eastAsia="宋体" w:cs="Times New Roman"/>
          <w:color w:val="000000"/>
          <w:kern w:val="0"/>
          <w:szCs w:val="21"/>
          <w:highlight w:val="none"/>
          <w:lang w:val="en-US" w:eastAsia="zh-CN"/>
        </w:rPr>
        <w:t>输出流量</w:t>
      </w:r>
      <w:r>
        <w:rPr>
          <w:rFonts w:hint="eastAsia" w:ascii="Times New Roman" w:hAnsi="Times New Roman" w:eastAsia="宋体" w:cs="Times New Roman"/>
          <w:color w:val="000000"/>
          <w:kern w:val="0"/>
          <w:szCs w:val="21"/>
          <w:highlight w:val="none"/>
        </w:rPr>
        <w:t>、</w:t>
      </w:r>
      <w:r>
        <w:rPr>
          <w:rFonts w:hint="eastAsia" w:ascii="Times New Roman" w:hAnsi="Times New Roman" w:eastAsia="宋体" w:cs="Times New Roman"/>
          <w:color w:val="000000"/>
          <w:kern w:val="0"/>
          <w:szCs w:val="21"/>
          <w:highlight w:val="none"/>
          <w:lang w:val="en-US" w:eastAsia="zh-CN"/>
        </w:rPr>
        <w:t>输出流量重复性、</w:t>
      </w:r>
      <w:r>
        <w:rPr>
          <w:rFonts w:hint="eastAsia" w:ascii="Times New Roman" w:hAnsi="Times New Roman" w:eastAsia="宋体" w:cs="Times New Roman"/>
          <w:color w:val="000000"/>
          <w:kern w:val="0"/>
          <w:szCs w:val="21"/>
          <w:highlight w:val="none"/>
        </w:rPr>
        <w:t>设备气味、设备噪音等是气味评价的关键因素。国内目前生产相关设备的较少，建材产品气味评价处于起步且快速发展阶段。因此，为了促进建材产品气味评价相关设备规范化发展，促进建材行业气味评价领域应用技术的进步，实现各建材产品气味评价数据的可比，客观真实的反映建材产品的环保特性，急需制定建材产品气味评价</w:t>
      </w:r>
      <w:r>
        <w:rPr>
          <w:rFonts w:hint="eastAsia" w:ascii="Times New Roman" w:hAnsi="Times New Roman" w:eastAsia="宋体" w:cs="Times New Roman"/>
          <w:color w:val="000000"/>
          <w:kern w:val="0"/>
          <w:szCs w:val="21"/>
          <w:highlight w:val="none"/>
          <w:lang w:val="en-US" w:eastAsia="zh-CN"/>
        </w:rPr>
        <w:t>用原始气体嗅辨仪</w:t>
      </w:r>
      <w:r>
        <w:rPr>
          <w:rFonts w:hint="eastAsia" w:ascii="Times New Roman" w:hAnsi="Times New Roman" w:eastAsia="宋体" w:cs="Times New Roman"/>
          <w:color w:val="000000"/>
          <w:kern w:val="0"/>
          <w:szCs w:val="21"/>
          <w:highlight w:val="none"/>
        </w:rPr>
        <w:t>的校准规范。</w:t>
      </w:r>
    </w:p>
    <w:p w14:paraId="6D60AE68">
      <w:pPr>
        <w:widowControl/>
        <w:spacing w:line="360" w:lineRule="auto"/>
        <w:ind w:firstLine="367" w:firstLineChars="175"/>
        <w:rPr>
          <w:rFonts w:ascii="Times New Roman" w:hAnsi="Times New Roman" w:eastAsia="宋体" w:cs="Times New Roman"/>
          <w:color w:val="000000"/>
          <w:kern w:val="0"/>
          <w:szCs w:val="21"/>
          <w:highlight w:val="none"/>
        </w:rPr>
      </w:pPr>
      <w:r>
        <w:rPr>
          <w:rFonts w:hint="eastAsia" w:ascii="Times New Roman" w:hAnsi="Times New Roman" w:eastAsia="宋体" w:cs="Times New Roman"/>
          <w:color w:val="000000"/>
          <w:kern w:val="0"/>
          <w:szCs w:val="21"/>
          <w:highlight w:val="none"/>
        </w:rPr>
        <w:t>本次计量技术规范</w:t>
      </w:r>
      <w:r>
        <w:rPr>
          <w:rFonts w:hint="eastAsia" w:ascii="Times New Roman" w:hAnsi="Times New Roman" w:eastAsia="宋体" w:cs="Times New Roman"/>
          <w:color w:val="000000"/>
          <w:kern w:val="0"/>
          <w:szCs w:val="21"/>
          <w:highlight w:val="none"/>
          <w:lang w:val="en-US" w:eastAsia="zh-CN"/>
        </w:rPr>
        <w:t>的编制目的是</w:t>
      </w:r>
      <w:r>
        <w:rPr>
          <w:rFonts w:hint="eastAsia" w:ascii="Times New Roman" w:hAnsi="Times New Roman" w:eastAsia="宋体" w:cs="Times New Roman"/>
          <w:color w:val="000000"/>
          <w:kern w:val="0"/>
          <w:szCs w:val="21"/>
          <w:highlight w:val="none"/>
        </w:rPr>
        <w:t>为</w:t>
      </w:r>
      <w:r>
        <w:rPr>
          <w:rFonts w:hint="eastAsia" w:ascii="Times New Roman" w:hAnsi="Times New Roman" w:eastAsia="宋体" w:cs="Times New Roman"/>
          <w:color w:val="000000"/>
          <w:kern w:val="0"/>
          <w:szCs w:val="21"/>
          <w:highlight w:val="none"/>
          <w:lang w:val="en-US" w:eastAsia="zh-CN"/>
        </w:rPr>
        <w:t>规范</w:t>
      </w:r>
      <w:r>
        <w:rPr>
          <w:rFonts w:hint="eastAsia" w:ascii="Times New Roman" w:hAnsi="Times New Roman" w:eastAsia="宋体" w:cs="Times New Roman"/>
          <w:color w:val="000000"/>
          <w:kern w:val="0"/>
          <w:szCs w:val="21"/>
          <w:highlight w:val="none"/>
        </w:rPr>
        <w:t>建材行业气味评价领域气味评价用辅助设备的日常质控或定期校准</w:t>
      </w:r>
      <w:r>
        <w:rPr>
          <w:rFonts w:hint="eastAsia" w:ascii="Times New Roman" w:hAnsi="Times New Roman" w:eastAsia="宋体" w:cs="Times New Roman"/>
          <w:color w:val="000000"/>
          <w:kern w:val="0"/>
          <w:szCs w:val="21"/>
          <w:highlight w:val="none"/>
          <w:lang w:val="en-US" w:eastAsia="zh-CN"/>
        </w:rPr>
        <w:t>工作</w:t>
      </w:r>
      <w:r>
        <w:rPr>
          <w:rFonts w:hint="eastAsia" w:ascii="Times New Roman" w:hAnsi="Times New Roman" w:eastAsia="宋体" w:cs="Times New Roman"/>
          <w:color w:val="000000"/>
          <w:kern w:val="0"/>
          <w:szCs w:val="21"/>
          <w:highlight w:val="none"/>
        </w:rPr>
        <w:t>，填补了原始气体嗅辨仪气味评价辅助设备计量规范的空白，加强气味评价辅助设备的计量科技基础及技术的研究，对规范建材产品气味评价设备生产市场，并对建筑材料行业的规范和绿色化发展产生积极的影响。</w:t>
      </w:r>
    </w:p>
    <w:p w14:paraId="3F27D104">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对所规定的关键技术条款、检定/校准条件、检定/校准方法的有关说明</w:t>
      </w:r>
    </w:p>
    <w:bookmarkEnd w:id="0"/>
    <w:p w14:paraId="28AD5FAE">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关键技术条款的说明</w:t>
      </w:r>
    </w:p>
    <w:p w14:paraId="25CF9246">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校准条件的说明</w:t>
      </w:r>
    </w:p>
    <w:p w14:paraId="2D3E074B">
      <w:pPr>
        <w:pStyle w:val="4"/>
        <w:spacing w:before="0" w:after="0" w:line="440" w:lineRule="exact"/>
        <w:rPr>
          <w:rFonts w:ascii="宋体" w:hAnsi="宋体" w:eastAsia="宋体"/>
          <w:sz w:val="21"/>
          <w:szCs w:val="21"/>
        </w:rPr>
      </w:pPr>
      <w:r>
        <w:rPr>
          <w:rFonts w:hint="eastAsia" w:ascii="宋体" w:hAnsi="宋体" w:eastAsia="宋体"/>
          <w:sz w:val="21"/>
          <w:szCs w:val="21"/>
        </w:rPr>
        <w:t>4.2.1</w:t>
      </w:r>
      <w:r>
        <w:rPr>
          <w:rFonts w:ascii="宋体" w:hAnsi="宋体" w:eastAsia="宋体"/>
          <w:sz w:val="21"/>
          <w:szCs w:val="21"/>
        </w:rPr>
        <w:t>环境条件</w:t>
      </w:r>
    </w:p>
    <w:p w14:paraId="0B274510">
      <w:pPr>
        <w:widowControl/>
        <w:spacing w:line="360" w:lineRule="auto"/>
        <w:ind w:firstLine="420" w:firstLineChars="200"/>
        <w:jc w:val="left"/>
        <w:rPr>
          <w:rFonts w:ascii="Times New Roman" w:hAnsi="Times New Roman" w:eastAsia="宋体" w:cs="Times New Roman"/>
          <w:kern w:val="0"/>
          <w:szCs w:val="21"/>
        </w:rPr>
      </w:pPr>
      <w:r>
        <w:rPr>
          <w:rFonts w:ascii="Times New Roman" w:hAnsi="Times New Roman" w:eastAsia="宋体" w:cs="Times New Roman"/>
          <w:kern w:val="0"/>
          <w:szCs w:val="21"/>
        </w:rPr>
        <w:t>为了确保校准活动中测量标准、被校仪器的正常工作，测量环境温度应符合常规实验室规定条件，本规范中环境条件要求温度为</w:t>
      </w:r>
      <w:r>
        <w:rPr>
          <w:rFonts w:hint="eastAsia" w:ascii="Times New Roman" w:hAnsi="Times New Roman" w:eastAsia="宋体" w:cs="Times New Roman"/>
          <w:kern w:val="0"/>
          <w:szCs w:val="21"/>
          <w:lang w:eastAsia="zh-CN"/>
        </w:rPr>
        <w:t>（</w:t>
      </w:r>
      <w:r>
        <w:rPr>
          <w:rFonts w:ascii="Times New Roman" w:hAnsi="Times New Roman" w:cs="Times New Roman"/>
          <w:color w:val="000000"/>
          <w:sz w:val="24"/>
        </w:rPr>
        <w:t>15 ~ 35</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w:t>
      </w:r>
      <w:r>
        <w:rPr>
          <w:rFonts w:ascii="Times New Roman" w:hAnsi="Times New Roman" w:eastAsia="宋体" w:cs="Times New Roman"/>
          <w:kern w:val="0"/>
          <w:szCs w:val="21"/>
        </w:rPr>
        <w:t>，相对湿度为</w:t>
      </w:r>
      <w:r>
        <w:rPr>
          <w:rFonts w:ascii="Times New Roman" w:hAnsi="Times New Roman" w:cs="Times New Roman"/>
          <w:color w:val="000000"/>
          <w:sz w:val="24"/>
        </w:rPr>
        <w:t>≤85%</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本规范对于被校准仪器的气味有要求，需要借助专业的气味评价人员进行评价，评价过程中环境噪声对于人员的嗅觉感受存在明显影响，因此环境噪声要求应</w:t>
      </w:r>
      <w:r>
        <w:rPr>
          <w:rFonts w:hint="eastAsia" w:ascii="Times New Roman" w:hAnsi="Times New Roman" w:eastAsia="宋体" w:cs="Times New Roman"/>
          <w:kern w:val="0"/>
          <w:szCs w:val="21"/>
          <w:lang w:eastAsia="zh-CN"/>
        </w:rPr>
        <w:t>≤45 dB(A)，</w:t>
      </w:r>
      <w:r>
        <w:rPr>
          <w:rFonts w:ascii="Times New Roman" w:hAnsi="Times New Roman" w:eastAsia="宋体" w:cs="Times New Roman"/>
          <w:kern w:val="0"/>
          <w:szCs w:val="21"/>
        </w:rPr>
        <w:t>检测仪器周边应无明显机械振动。</w:t>
      </w:r>
    </w:p>
    <w:p w14:paraId="6FB8BD49">
      <w:pPr>
        <w:pStyle w:val="3"/>
        <w:numPr>
          <w:ilvl w:val="1"/>
          <w:numId w:val="1"/>
        </w:numPr>
        <w:spacing w:before="0" w:after="0" w:line="440" w:lineRule="exact"/>
        <w:rPr>
          <w:rFonts w:ascii="宋体" w:hAnsi="宋体" w:eastAsia="宋体"/>
          <w:sz w:val="21"/>
          <w:szCs w:val="21"/>
        </w:rPr>
      </w:pPr>
      <w:r>
        <w:rPr>
          <w:rFonts w:ascii="宋体" w:hAnsi="宋体" w:eastAsia="宋体"/>
          <w:sz w:val="21"/>
          <w:szCs w:val="21"/>
        </w:rPr>
        <w:t>校准方法的说明</w:t>
      </w:r>
    </w:p>
    <w:p w14:paraId="775D8718">
      <w:pPr>
        <w:pStyle w:val="4"/>
        <w:spacing w:before="0" w:after="0" w:line="440" w:lineRule="exact"/>
        <w:rPr>
          <w:rFonts w:hint="default" w:ascii="宋体" w:hAnsi="宋体" w:eastAsia="宋体"/>
          <w:sz w:val="21"/>
          <w:szCs w:val="21"/>
          <w:lang w:val="en-US" w:eastAsia="zh-CN"/>
        </w:rPr>
      </w:pPr>
      <w:bookmarkStart w:id="1" w:name="_Toc25252753"/>
      <w:r>
        <w:rPr>
          <w:rFonts w:hint="eastAsia" w:ascii="宋体" w:hAnsi="宋体" w:eastAsia="宋体"/>
          <w:sz w:val="21"/>
          <w:szCs w:val="21"/>
        </w:rPr>
        <w:t>4.3.1</w:t>
      </w:r>
      <w:bookmarkEnd w:id="1"/>
      <w:r>
        <w:rPr>
          <w:rFonts w:hint="eastAsia" w:ascii="宋体" w:hAnsi="宋体" w:eastAsia="宋体"/>
          <w:sz w:val="21"/>
          <w:szCs w:val="21"/>
          <w:lang w:val="en-US" w:eastAsia="zh-CN"/>
        </w:rPr>
        <w:t>开口角度</w:t>
      </w:r>
    </w:p>
    <w:p w14:paraId="4D230D52">
      <w:pPr>
        <w:rPr>
          <w:rFonts w:ascii="Times New Roman" w:hAnsi="Times New Roman" w:eastAsia="宋体" w:cs="Times New Roman"/>
          <w:kern w:val="0"/>
          <w:szCs w:val="21"/>
        </w:rPr>
      </w:pPr>
      <w:r>
        <w:rPr>
          <w:rFonts w:hint="eastAsia" w:ascii="Times New Roman" w:hAnsi="Times New Roman" w:eastAsia="宋体" w:cs="Times New Roman"/>
          <w:kern w:val="0"/>
          <w:szCs w:val="21"/>
        </w:rPr>
        <w:t>4</w:t>
      </w:r>
      <w:r>
        <w:rPr>
          <w:rFonts w:ascii="Times New Roman" w:hAnsi="Times New Roman" w:eastAsia="宋体" w:cs="Times New Roman"/>
          <w:kern w:val="0"/>
          <w:szCs w:val="21"/>
        </w:rPr>
        <w:t>.3.1.1</w:t>
      </w:r>
      <w:r>
        <w:rPr>
          <w:rFonts w:hint="eastAsia" w:ascii="Times New Roman" w:hAnsi="Times New Roman" w:eastAsia="宋体" w:cs="Times New Roman"/>
          <w:kern w:val="0"/>
          <w:szCs w:val="21"/>
        </w:rPr>
        <w:t>方法确定</w:t>
      </w:r>
    </w:p>
    <w:p w14:paraId="32CDC4FB">
      <w:pPr>
        <w:spacing w:line="360" w:lineRule="auto"/>
        <w:ind w:firstLine="420" w:firstLineChars="200"/>
        <w:jc w:val="left"/>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原始气体嗅辨仪的嗅辨杯开口角度（单侧）可以通过使用万能角度尺进行直接测定，万能角度尺应符合JJG 33-2002的要求。</w:t>
      </w:r>
    </w:p>
    <w:p w14:paraId="693D9A85">
      <w:pPr>
        <w:spacing w:line="360" w:lineRule="auto"/>
        <w:ind w:firstLine="420" w:firstLineChars="200"/>
        <w:jc w:val="left"/>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嗅辨杯的开口角度在ISO 16000-28和GB/T 43353-2023中均有明确要求，规定为12°，主要基于于优化嗅觉测试和气味物质分布的考虑，具体原因如下：</w:t>
      </w:r>
    </w:p>
    <w:p w14:paraId="1BB3363D">
      <w:pPr>
        <w:numPr>
          <w:ilvl w:val="0"/>
          <w:numId w:val="4"/>
        </w:numPr>
        <w:spacing w:line="360" w:lineRule="auto"/>
        <w:ind w:left="425" w:leftChars="0" w:hanging="425" w:firstLineChars="0"/>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气味物质浓度分布</w:t>
      </w:r>
      <w:r>
        <w:rPr>
          <w:rFonts w:hint="default" w:ascii="Times New Roman" w:hAnsi="Times New Roman" w:eastAsia="宋体" w:cs="Times New Roman"/>
          <w:kern w:val="0"/>
          <w:szCs w:val="21"/>
          <w:lang w:val="en-US" w:eastAsia="zh-CN"/>
        </w:rPr>
        <w:t>控制：12°的开口角度有助于使气味</w:t>
      </w:r>
      <w:r>
        <w:rPr>
          <w:rFonts w:hint="eastAsia" w:ascii="Times New Roman" w:hAnsi="Times New Roman" w:eastAsia="宋体" w:cs="Times New Roman"/>
          <w:kern w:val="0"/>
          <w:szCs w:val="21"/>
          <w:lang w:val="en-US" w:eastAsia="zh-CN"/>
        </w:rPr>
        <w:t>样本</w:t>
      </w:r>
      <w:r>
        <w:rPr>
          <w:rFonts w:hint="default" w:ascii="Times New Roman" w:hAnsi="Times New Roman" w:eastAsia="宋体" w:cs="Times New Roman"/>
          <w:kern w:val="0"/>
          <w:szCs w:val="21"/>
          <w:lang w:val="en-US" w:eastAsia="zh-CN"/>
        </w:rPr>
        <w:t>在</w:t>
      </w:r>
      <w:r>
        <w:rPr>
          <w:rFonts w:hint="eastAsia" w:ascii="Times New Roman" w:hAnsi="Times New Roman" w:eastAsia="宋体" w:cs="Times New Roman"/>
          <w:kern w:val="0"/>
          <w:szCs w:val="21"/>
          <w:lang w:val="en-US" w:eastAsia="zh-CN"/>
        </w:rPr>
        <w:t>嗅辨杯内保持层流的流动形式</w:t>
      </w:r>
      <w:r>
        <w:rPr>
          <w:rFonts w:hint="default" w:ascii="Times New Roman" w:hAnsi="Times New Roman" w:eastAsia="宋体" w:cs="Times New Roman"/>
          <w:kern w:val="0"/>
          <w:szCs w:val="21"/>
          <w:lang w:val="en-US" w:eastAsia="zh-CN"/>
        </w:rPr>
        <w:t>，</w:t>
      </w:r>
      <w:r>
        <w:rPr>
          <w:rFonts w:hint="eastAsia" w:ascii="Times New Roman" w:hAnsi="Times New Roman" w:eastAsia="宋体" w:cs="Times New Roman"/>
          <w:kern w:val="0"/>
          <w:szCs w:val="21"/>
          <w:lang w:val="en-US" w:eastAsia="zh-CN"/>
        </w:rPr>
        <w:t>保证在嗅辨杯的不同位点浓度基本一致</w:t>
      </w:r>
      <w:r>
        <w:rPr>
          <w:rFonts w:hint="default" w:ascii="Times New Roman" w:hAnsi="Times New Roman" w:eastAsia="宋体" w:cs="Times New Roman"/>
          <w:kern w:val="0"/>
          <w:szCs w:val="21"/>
          <w:lang w:val="en-US" w:eastAsia="zh-CN"/>
        </w:rPr>
        <w:t>，从而提升嗅辨的准确性和一致性。</w:t>
      </w:r>
    </w:p>
    <w:p w14:paraId="5EA2220A">
      <w:pPr>
        <w:numPr>
          <w:ilvl w:val="0"/>
          <w:numId w:val="4"/>
        </w:numPr>
        <w:spacing w:line="360" w:lineRule="auto"/>
        <w:ind w:left="425" w:leftChars="0" w:hanging="425" w:firstLineChars="0"/>
        <w:jc w:val="left"/>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减少外界干扰：12°的角度设计可以有效减少外界空气对杯内气味的干扰，避免环境中</w:t>
      </w:r>
      <w:r>
        <w:rPr>
          <w:rFonts w:hint="eastAsia" w:ascii="Times New Roman" w:hAnsi="Times New Roman" w:eastAsia="宋体" w:cs="Times New Roman"/>
          <w:kern w:val="0"/>
          <w:szCs w:val="21"/>
          <w:lang w:val="en-US" w:eastAsia="zh-CN"/>
        </w:rPr>
        <w:t>空气对于气味样本的稀释。</w:t>
      </w:r>
    </w:p>
    <w:p w14:paraId="527FEB3D">
      <w:pPr>
        <w:numPr>
          <w:ilvl w:val="0"/>
          <w:numId w:val="4"/>
        </w:numPr>
        <w:spacing w:line="360" w:lineRule="auto"/>
        <w:ind w:left="425" w:leftChars="0" w:hanging="425" w:firstLineChars="0"/>
        <w:jc w:val="left"/>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符合人体工学：12°的开口角度符合人体鼻腔的嗅闻角度，使测试者在嗅闻时更加自然和舒适，从而</w:t>
      </w:r>
      <w:r>
        <w:rPr>
          <w:rFonts w:hint="eastAsia" w:ascii="Times New Roman" w:hAnsi="Times New Roman" w:eastAsia="宋体" w:cs="Times New Roman"/>
          <w:kern w:val="0"/>
          <w:szCs w:val="21"/>
          <w:lang w:val="en-US" w:eastAsia="zh-CN"/>
        </w:rPr>
        <w:t>减轻</w:t>
      </w:r>
      <w:r>
        <w:rPr>
          <w:rFonts w:hint="default" w:ascii="Times New Roman" w:hAnsi="Times New Roman" w:eastAsia="宋体" w:cs="Times New Roman"/>
          <w:kern w:val="0"/>
          <w:szCs w:val="21"/>
          <w:lang w:val="en-US" w:eastAsia="zh-CN"/>
        </w:rPr>
        <w:t>因为不适姿势导致的嗅觉误差或疲劳。</w:t>
      </w:r>
    </w:p>
    <w:p w14:paraId="18E66C07">
      <w:pPr>
        <w:numPr>
          <w:ilvl w:val="0"/>
          <w:numId w:val="4"/>
        </w:numPr>
        <w:spacing w:line="360" w:lineRule="auto"/>
        <w:ind w:left="425" w:leftChars="0" w:hanging="425" w:firstLineChars="0"/>
        <w:jc w:val="left"/>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测试重复性和可靠性：标准化的12°角度有助于不同批次的气味测试结果具有更好的可重复性和可靠性，尤其是在涉及多个测试者或重复测试时。</w:t>
      </w:r>
    </w:p>
    <w:p w14:paraId="71E27190">
      <w:pPr>
        <w:numPr>
          <w:numId w:val="0"/>
        </w:numPr>
        <w:spacing w:line="360" w:lineRule="auto"/>
        <w:ind w:leftChars="0" w:firstLine="420" w:firstLineChars="200"/>
        <w:jc w:val="left"/>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目前国内外标准中对于原始气体嗅辨仪的流量要求，均为0.6L/s至1.0L/s，在该流量下，通过计算雷诺数(Re)可以判断流体的流动形式。</w:t>
      </w:r>
    </w:p>
    <w:p w14:paraId="15C1E838">
      <w:pPr>
        <w:numPr>
          <w:numId w:val="0"/>
        </w:numPr>
        <w:spacing w:line="360" w:lineRule="auto"/>
        <w:ind w:leftChars="0" w:firstLine="420" w:firstLineChars="200"/>
        <w:jc w:val="left"/>
        <m:rPr/>
        <w:rPr>
          <w:rFonts w:hAnsi="Cambria Math" w:cs="Times New Roman"/>
          <w:i w:val="0"/>
          <w:kern w:val="0"/>
          <w:szCs w:val="21"/>
          <w:lang w:val="en-US"/>
        </w:rPr>
      </w:pPr>
      <m:oMathPara>
        <m:oMath>
          <m:r>
            <m:rPr/>
            <w:rPr>
              <w:rFonts w:hint="default" w:ascii="Cambria Math" w:hAnsi="Cambria Math" w:cs="Times New Roman"/>
              <w:kern w:val="0"/>
              <w:szCs w:val="21"/>
              <w:lang w:val="en-US" w:eastAsia="zh-CN"/>
            </w:rPr>
            <m:t>Re</m:t>
          </m:r>
          <m:r>
            <m:rPr/>
            <w:rPr>
              <w:rFonts w:ascii="Cambria Math" w:hAnsi="Cambria Math" w:cs="Times New Roman"/>
              <w:kern w:val="0"/>
              <w:szCs w:val="21"/>
              <w:lang w:val="en-US"/>
            </w:rPr>
            <m:t>=</m:t>
          </m:r>
          <m:f>
            <m:fPr>
              <m:ctrlPr>
                <m:rPr/>
                <w:rPr>
                  <w:rFonts w:ascii="Cambria Math" w:hAnsi="Cambria Math" w:cs="Times New Roman"/>
                  <w:i/>
                  <w:kern w:val="0"/>
                  <w:szCs w:val="21"/>
                  <w:lang w:val="en-US"/>
                </w:rPr>
              </m:ctrlPr>
            </m:fPr>
            <m:num>
              <m:r>
                <m:rPr/>
                <w:rPr>
                  <w:rFonts w:ascii="Cambria Math" w:hAnsi="Cambria Math" w:cs="Times New Roman"/>
                  <w:kern w:val="0"/>
                  <w:szCs w:val="21"/>
                  <w:lang w:val="en-US"/>
                </w:rPr>
                <m:t>ρ×υ×</m:t>
              </m:r>
              <m:r>
                <m:rPr/>
                <w:rPr>
                  <w:rFonts w:hint="default" w:ascii="Cambria Math" w:hAnsi="Cambria Math" w:cs="Times New Roman"/>
                  <w:kern w:val="0"/>
                  <w:szCs w:val="21"/>
                  <w:lang w:val="en-US" w:eastAsia="zh-CN"/>
                </w:rPr>
                <m:t>D</m:t>
              </m:r>
              <m:ctrlPr>
                <m:rPr/>
                <w:rPr>
                  <w:rFonts w:ascii="Cambria Math" w:hAnsi="Cambria Math" w:cs="Times New Roman"/>
                  <w:i/>
                  <w:kern w:val="0"/>
                  <w:szCs w:val="21"/>
                  <w:lang w:val="en-US"/>
                </w:rPr>
              </m:ctrlPr>
            </m:num>
            <m:den>
              <m:r>
                <m:rPr/>
                <w:rPr>
                  <w:rFonts w:ascii="Cambria Math" w:hAnsi="Cambria Math" w:cs="Times New Roman"/>
                  <w:kern w:val="0"/>
                  <w:szCs w:val="21"/>
                  <w:lang w:val="en-US"/>
                </w:rPr>
                <m:t>μ</m:t>
              </m:r>
              <m:ctrlPr>
                <m:rPr/>
                <w:rPr>
                  <w:rFonts w:ascii="Cambria Math" w:hAnsi="Cambria Math" w:cs="Times New Roman"/>
                  <w:i/>
                  <w:kern w:val="0"/>
                  <w:szCs w:val="21"/>
                  <w:lang w:val="en-US"/>
                </w:rPr>
              </m:ctrlPr>
            </m:den>
          </m:f>
        </m:oMath>
      </m:oMathPara>
    </w:p>
    <w:p w14:paraId="18F2CBBA">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其中：</w:t>
      </w:r>
    </w:p>
    <w:p w14:paraId="69E725EF">
      <w:pPr>
        <w:keepNext w:val="0"/>
        <w:keepLines w:val="0"/>
        <w:pageBreakBefore w:val="0"/>
        <w:numPr>
          <w:numId w:val="0"/>
        </w:numPr>
        <w:kinsoku/>
        <w:wordWrap/>
        <w:overflowPunct/>
        <w:topLinePunct w:val="0"/>
        <w:autoSpaceDE/>
        <w:autoSpaceDN/>
        <w:bidi w:val="0"/>
        <w:adjustRightInd/>
        <w:snapToGrid/>
        <w:spacing w:beforeAutospacing="0" w:afterAutospacing="0" w:line="360" w:lineRule="auto"/>
        <w:ind w:left="0" w:leftChars="0" w:firstLine="420" w:firstLineChars="200"/>
        <w:jc w:val="left"/>
        <w:textAlignment w:val="auto"/>
        <w:rPr>
          <w:rFonts w:hint="default" w:ascii="Times New Roman" w:hAnsi="Times New Roman" w:eastAsia="宋体" w:cs="Times New Roman"/>
          <w:kern w:val="0"/>
          <w:szCs w:val="21"/>
          <w:lang w:val="en-US" w:eastAsia="zh-CN"/>
        </w:rPr>
      </w:pPr>
      <m:oMath>
        <m:r>
          <m:rPr>
            <m:sty m:val="p"/>
          </m:rPr>
          <w:rPr>
            <w:rFonts w:hint="default" w:ascii="Cambria Math" w:hAnsi="Cambria Math" w:eastAsia="宋体" w:cs="Times New Roman"/>
            <w:kern w:val="0"/>
            <w:szCs w:val="21"/>
            <w:lang w:val="en-US" w:eastAsia="zh-CN"/>
          </w:rPr>
          <m:t>ρ</m:t>
        </m:r>
      </m:oMath>
      <w:r>
        <w:rPr>
          <w:rFonts w:hint="default" w:ascii="Times New Roman" w:hAnsi="Times New Roman" w:eastAsia="宋体" w:cs="Times New Roman"/>
          <w:kern w:val="0"/>
          <w:szCs w:val="21"/>
          <w:lang w:val="en-US" w:eastAsia="zh-CN"/>
        </w:rPr>
        <w:t>是气体的密度（单位：kg/m³）</w:t>
      </w:r>
    </w:p>
    <w:p w14:paraId="24BCDF73">
      <w:pPr>
        <w:keepNext w:val="0"/>
        <w:keepLines w:val="0"/>
        <w:pageBreakBefore w:val="0"/>
        <w:numPr>
          <w:numId w:val="0"/>
        </w:numPr>
        <w:kinsoku/>
        <w:wordWrap/>
        <w:overflowPunct/>
        <w:topLinePunct w:val="0"/>
        <w:autoSpaceDE/>
        <w:autoSpaceDN/>
        <w:bidi w:val="0"/>
        <w:adjustRightInd/>
        <w:snapToGrid/>
        <w:spacing w:beforeAutospacing="0" w:afterAutospacing="0" w:line="360" w:lineRule="auto"/>
        <w:ind w:left="0" w:leftChars="0" w:firstLine="420" w:firstLineChars="200"/>
        <w:jc w:val="left"/>
        <w:textAlignment w:val="auto"/>
        <w:rPr>
          <w:rFonts w:hint="default" w:ascii="Times New Roman" w:hAnsi="Times New Roman" w:eastAsia="宋体" w:cs="Times New Roman"/>
          <w:kern w:val="0"/>
          <w:szCs w:val="21"/>
          <w:lang w:val="en-US" w:eastAsia="zh-CN"/>
        </w:rPr>
      </w:pPr>
      <m:oMath>
        <m:r>
          <m:rPr>
            <m:sty m:val="p"/>
          </m:rPr>
          <w:rPr>
            <w:rFonts w:hint="default" w:ascii="Cambria Math" w:hAnsi="Cambria Math" w:eastAsia="宋体" w:cs="Times New Roman"/>
            <w:kern w:val="0"/>
            <w:szCs w:val="21"/>
            <w:lang w:val="en-US" w:eastAsia="zh-CN"/>
          </w:rPr>
          <m:t>υ</m:t>
        </m:r>
      </m:oMath>
      <w:r>
        <w:rPr>
          <w:rFonts w:hint="default" w:ascii="Times New Roman" w:hAnsi="Times New Roman" w:eastAsia="宋体" w:cs="Times New Roman"/>
          <w:kern w:val="0"/>
          <w:szCs w:val="21"/>
          <w:lang w:val="en-US" w:eastAsia="zh-CN"/>
        </w:rPr>
        <w:t>是气体的流速（单位：m/s）</w:t>
      </w:r>
    </w:p>
    <w:p w14:paraId="6EAD8C3D">
      <w:pPr>
        <w:keepNext w:val="0"/>
        <w:keepLines w:val="0"/>
        <w:pageBreakBefore w:val="0"/>
        <w:numPr>
          <w:numId w:val="0"/>
        </w:numPr>
        <w:kinsoku/>
        <w:wordWrap/>
        <w:overflowPunct/>
        <w:topLinePunct w:val="0"/>
        <w:autoSpaceDE/>
        <w:autoSpaceDN/>
        <w:bidi w:val="0"/>
        <w:adjustRightInd/>
        <w:snapToGrid/>
        <w:spacing w:beforeAutospacing="0" w:afterAutospacing="0" w:line="360" w:lineRule="auto"/>
        <w:ind w:left="0" w:leftChars="0" w:firstLine="420" w:firstLineChars="200"/>
        <w:jc w:val="left"/>
        <w:textAlignment w:val="auto"/>
        <w:rPr>
          <w:rFonts w:hint="default" w:ascii="Times New Roman" w:hAnsi="Times New Roman" w:eastAsia="宋体" w:cs="Times New Roman"/>
          <w:kern w:val="0"/>
          <w:szCs w:val="21"/>
          <w:lang w:val="en-US" w:eastAsia="zh-CN"/>
        </w:rPr>
      </w:pPr>
      <m:oMath>
        <m:r>
          <m:rPr>
            <m:sty m:val="p"/>
          </m:rPr>
          <w:rPr>
            <w:rFonts w:hint="default" w:ascii="Cambria Math" w:hAnsi="Cambria Math" w:eastAsia="宋体" w:cs="Times New Roman"/>
            <w:kern w:val="0"/>
            <w:szCs w:val="21"/>
            <w:lang w:val="en-US" w:eastAsia="zh-CN"/>
          </w:rPr>
          <m:t>D</m:t>
        </m:r>
      </m:oMath>
      <w:r>
        <w:rPr>
          <w:rFonts w:hint="default" w:ascii="Times New Roman" w:hAnsi="Times New Roman" w:eastAsia="宋体" w:cs="Times New Roman"/>
          <w:kern w:val="0"/>
          <w:szCs w:val="21"/>
          <w:lang w:val="en-US" w:eastAsia="zh-CN"/>
        </w:rPr>
        <w:t>是嗅辨杯的开口直径（单位：m）</w:t>
      </w:r>
    </w:p>
    <w:p w14:paraId="19DD80AF">
      <w:pPr>
        <w:keepNext w:val="0"/>
        <w:keepLines w:val="0"/>
        <w:pageBreakBefore w:val="0"/>
        <w:numPr>
          <w:numId w:val="0"/>
        </w:numPr>
        <w:kinsoku/>
        <w:wordWrap/>
        <w:overflowPunct/>
        <w:topLinePunct w:val="0"/>
        <w:autoSpaceDE/>
        <w:autoSpaceDN/>
        <w:bidi w:val="0"/>
        <w:adjustRightInd/>
        <w:snapToGrid/>
        <w:spacing w:beforeAutospacing="0" w:afterAutospacing="0" w:line="360" w:lineRule="auto"/>
        <w:ind w:left="0" w:leftChars="0" w:firstLine="420" w:firstLineChars="200"/>
        <w:jc w:val="left"/>
        <w:textAlignment w:val="auto"/>
        <w:rPr>
          <w:rFonts w:hint="default" w:ascii="Times New Roman" w:hAnsi="Times New Roman" w:eastAsia="宋体" w:cs="Times New Roman"/>
          <w:kern w:val="0"/>
          <w:szCs w:val="21"/>
          <w:lang w:val="en-US" w:eastAsia="zh-CN"/>
        </w:rPr>
      </w:pPr>
      <m:oMath>
        <m:r>
          <m:rPr>
            <m:sty m:val="p"/>
          </m:rPr>
          <w:rPr>
            <w:rFonts w:hint="default" w:ascii="Cambria Math" w:hAnsi="Cambria Math" w:eastAsia="宋体" w:cs="Times New Roman"/>
            <w:kern w:val="0"/>
            <w:szCs w:val="21"/>
            <w:lang w:val="en-US" w:eastAsia="zh-CN"/>
          </w:rPr>
          <m:t>μ</m:t>
        </m:r>
      </m:oMath>
      <w:r>
        <w:rPr>
          <w:rFonts w:hint="default" w:ascii="Times New Roman" w:hAnsi="Times New Roman" w:eastAsia="宋体" w:cs="Times New Roman"/>
          <w:kern w:val="0"/>
          <w:szCs w:val="21"/>
          <w:lang w:val="en-US" w:eastAsia="zh-CN"/>
        </w:rPr>
        <w:t>是气体的动力粘度（单位：Pa·s 或 N·s/m²）</w:t>
      </w:r>
    </w:p>
    <w:p w14:paraId="5F2EFF91">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对于空气，常温下的气体密度</w:t>
      </w:r>
      <m:oMath>
        <m:r>
          <m:rPr>
            <m:sty m:val="p"/>
          </m:rPr>
          <w:rPr>
            <w:rFonts w:hint="default" w:ascii="Cambria Math" w:hAnsi="Cambria Math" w:eastAsia="宋体" w:cs="Times New Roman"/>
            <w:kern w:val="0"/>
            <w:sz w:val="21"/>
            <w:szCs w:val="21"/>
            <w:lang w:val="en-US" w:eastAsia="zh-CN" w:bidi="ar-SA"/>
          </w:rPr>
          <m:t>ρ</m:t>
        </m:r>
      </m:oMath>
      <w:r>
        <w:rPr>
          <w:rFonts w:hint="eastAsia" w:ascii="Times New Roman" w:hAnsi="Times New Roman" w:eastAsia="宋体" w:cs="Times New Roman"/>
          <w:kern w:val="0"/>
          <w:sz w:val="21"/>
          <w:szCs w:val="21"/>
          <w:lang w:val="en-US" w:eastAsia="zh-CN" w:bidi="ar-SA"/>
        </w:rPr>
        <w:t>≈1.2 kg/m3，动力粘度μ≈1.8×10</w:t>
      </w:r>
      <w:r>
        <w:rPr>
          <w:rFonts w:hint="eastAsia" w:ascii="Times New Roman" w:hAnsi="Times New Roman" w:eastAsia="宋体" w:cs="Times New Roman"/>
          <w:kern w:val="0"/>
          <w:sz w:val="21"/>
          <w:szCs w:val="21"/>
          <w:vertAlign w:val="superscript"/>
          <w:lang w:val="en-US" w:eastAsia="zh-CN" w:bidi="ar-SA"/>
        </w:rPr>
        <w:t>−5</w:t>
      </w:r>
      <w:r>
        <w:rPr>
          <w:rFonts w:hint="eastAsia" w:ascii="Times New Roman" w:hAnsi="Times New Roman" w:eastAsia="宋体" w:cs="Times New Roman"/>
          <w:kern w:val="0"/>
          <w:sz w:val="21"/>
          <w:szCs w:val="21"/>
          <w:lang w:val="en-US" w:eastAsia="zh-CN" w:bidi="ar-SA"/>
        </w:rPr>
        <w:t> Pa</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s。国内外相关设备嗅辨杯高度一般为15cm至30cm，在开口角度（双侧）为12°的设计下，开口直径为：</w:t>
      </w:r>
    </w:p>
    <w:p w14:paraId="0209B7CE">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Dmin​=2×0.15m×tan(6°)=0.052m</w:t>
      </w:r>
    </w:p>
    <w:p w14:paraId="7696D676">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Dmax​=2×0.30m×tan(6∘)=0.104m</w:t>
      </w:r>
    </w:p>
    <w:p w14:paraId="0D055A80">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m:rPr/>
        <w:rPr>
          <w:rFonts w:hint="eastAsia" w:ascii="Times New Roman" w:hAnsi="Times New Roman" w:eastAsia="宋体" w:cs="Times New Roman"/>
          <w:kern w:val="0"/>
          <w:sz w:val="21"/>
          <w:szCs w:val="21"/>
          <w:lang w:val="en-US" w:eastAsia="zh-CN" w:bidi="ar-SA"/>
        </w:rPr>
      </w:pPr>
      <w:r>
        <m:rPr/>
        <w:rPr>
          <w:rFonts w:hint="eastAsia" w:ascii="Times New Roman" w:hAnsi="Times New Roman" w:eastAsia="宋体" w:cs="Times New Roman"/>
          <w:kern w:val="0"/>
          <w:sz w:val="21"/>
          <w:szCs w:val="21"/>
          <w:lang w:val="en-US" w:eastAsia="zh-CN" w:bidi="ar-SA"/>
        </w:rPr>
        <w:t>在0.6L/s至1.0L/s气体流量下的气体流速：</w:t>
      </w:r>
    </w:p>
    <w:p w14:paraId="2113A355">
      <w:pPr>
        <w:numPr>
          <w:ilvl w:val="0"/>
          <w:numId w:val="0"/>
        </w:numPr>
        <w:spacing w:line="360" w:lineRule="auto"/>
        <w:ind w:leftChars="0" w:firstLine="420" w:firstLineChars="200"/>
        <w:jc w:val="left"/>
        <w:rPr>
          <w:rFonts w:hAnsi="Cambria Math" w:cs="Times New Roman"/>
          <w:i w:val="0"/>
          <w:kern w:val="0"/>
          <w:szCs w:val="21"/>
          <w:lang w:val="en-US"/>
        </w:rPr>
      </w:pPr>
      <m:oMathPara>
        <m:oMath>
          <m:r>
            <m:rPr/>
            <w:rPr>
              <w:rFonts w:ascii="Cambria Math" w:hAnsi="Cambria Math" w:cs="Times New Roman"/>
              <w:kern w:val="0"/>
              <w:szCs w:val="21"/>
              <w:lang w:val="en-US"/>
            </w:rPr>
            <m:t>υ=</m:t>
          </m:r>
          <m:f>
            <m:fPr>
              <m:ctrlPr>
                <w:rPr>
                  <w:rFonts w:ascii="Cambria Math" w:hAnsi="Cambria Math" w:cs="Times New Roman"/>
                  <w:i/>
                  <w:kern w:val="0"/>
                  <w:szCs w:val="21"/>
                  <w:lang w:val="en-US"/>
                </w:rPr>
              </m:ctrlPr>
            </m:fPr>
            <m:num>
              <m:r>
                <m:rPr/>
                <w:rPr>
                  <w:rFonts w:hint="default" w:ascii="Cambria Math" w:hAnsi="Cambria Math" w:cs="Times New Roman"/>
                  <w:kern w:val="0"/>
                  <w:szCs w:val="21"/>
                  <w:lang w:val="en-US" w:eastAsia="zh-CN"/>
                </w:rPr>
                <m:t>Q</m:t>
              </m:r>
              <m:ctrlPr>
                <w:rPr>
                  <w:rFonts w:ascii="Cambria Math" w:hAnsi="Cambria Math" w:cs="Times New Roman"/>
                  <w:i/>
                  <w:kern w:val="0"/>
                  <w:szCs w:val="21"/>
                  <w:lang w:val="en-US"/>
                </w:rPr>
              </m:ctrlPr>
            </m:num>
            <m:den>
              <m:r>
                <m:rPr/>
                <w:rPr>
                  <w:rFonts w:ascii="Cambria Math" w:hAnsi="Cambria Math" w:cs="Times New Roman"/>
                  <w:kern w:val="0"/>
                  <w:szCs w:val="21"/>
                  <w:lang w:val="en-US"/>
                </w:rPr>
                <m:t>π×</m:t>
              </m:r>
              <m:sSup>
                <m:sSupPr>
                  <m:ctrlPr>
                    <m:rPr/>
                    <w:rPr>
                      <w:rFonts w:ascii="Cambria Math" w:hAnsi="Cambria Math" w:cs="Times New Roman"/>
                      <w:i/>
                      <w:kern w:val="0"/>
                      <w:szCs w:val="21"/>
                      <w:lang w:val="en-US"/>
                    </w:rPr>
                  </m:ctrlPr>
                </m:sSupPr>
                <m:e>
                  <m:d>
                    <m:dPr>
                      <m:ctrlPr>
                        <w:rPr>
                          <w:rFonts w:ascii="Cambria Math" w:hAnsi="Cambria Math" w:cs="Times New Roman"/>
                          <w:i/>
                          <w:kern w:val="0"/>
                          <w:szCs w:val="21"/>
                          <w:lang w:val="en-US"/>
                        </w:rPr>
                      </m:ctrlPr>
                    </m:dPr>
                    <m:e>
                      <m:r>
                        <m:rPr/>
                        <w:rPr>
                          <w:rFonts w:hint="default" w:ascii="Cambria Math" w:hAnsi="Cambria Math" w:cs="Times New Roman"/>
                          <w:kern w:val="0"/>
                          <w:szCs w:val="21"/>
                          <w:lang w:val="en-US" w:eastAsia="zh-CN"/>
                        </w:rPr>
                        <m:t>D/2</m:t>
                      </m:r>
                      <m:ctrlPr>
                        <w:rPr>
                          <w:rFonts w:ascii="Cambria Math" w:hAnsi="Cambria Math" w:cs="Times New Roman"/>
                          <w:i/>
                          <w:kern w:val="0"/>
                          <w:szCs w:val="21"/>
                          <w:lang w:val="en-US"/>
                        </w:rPr>
                      </m:ctrlPr>
                    </m:e>
                  </m:d>
                  <m:ctrlPr>
                    <m:rPr/>
                    <w:rPr>
                      <w:rFonts w:ascii="Cambria Math" w:hAnsi="Cambria Math" w:cs="Times New Roman"/>
                      <w:i/>
                      <w:kern w:val="0"/>
                      <w:szCs w:val="21"/>
                      <w:lang w:val="en-US"/>
                    </w:rPr>
                  </m:ctrlPr>
                </m:e>
                <m:sup>
                  <m:r>
                    <m:rPr/>
                    <w:rPr>
                      <w:rFonts w:hint="default" w:ascii="Cambria Math" w:hAnsi="Cambria Math" w:cs="Times New Roman"/>
                      <w:kern w:val="0"/>
                      <w:szCs w:val="21"/>
                      <w:lang w:val="en-US" w:eastAsia="zh-CN"/>
                    </w:rPr>
                    <m:t>2</m:t>
                  </m:r>
                  <m:ctrlPr>
                    <m:rPr/>
                    <w:rPr>
                      <w:rFonts w:ascii="Cambria Math" w:hAnsi="Cambria Math" w:cs="Times New Roman"/>
                      <w:i/>
                      <w:kern w:val="0"/>
                      <w:szCs w:val="21"/>
                      <w:lang w:val="en-US"/>
                    </w:rPr>
                  </m:ctrlPr>
                </m:sup>
              </m:sSup>
              <m:ctrlPr>
                <w:rPr>
                  <w:rFonts w:ascii="Cambria Math" w:hAnsi="Cambria Math" w:cs="Times New Roman"/>
                  <w:i/>
                  <w:kern w:val="0"/>
                  <w:szCs w:val="21"/>
                  <w:lang w:val="en-US"/>
                </w:rPr>
              </m:ctrlPr>
            </m:den>
          </m:f>
        </m:oMath>
      </m:oMathPara>
    </w:p>
    <w:p w14:paraId="4E238CE3">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m:rPr/>
        <w:rPr>
          <w:rFonts w:hint="eastAsia" w:ascii="Times New Roman" w:hAnsi="Times New Roman" w:eastAsia="宋体" w:cs="Times New Roman"/>
          <w:kern w:val="0"/>
          <w:sz w:val="21"/>
          <w:szCs w:val="21"/>
          <w:lang w:val="en-US" w:eastAsia="zh-CN" w:bidi="ar-SA"/>
        </w:rPr>
      </w:pPr>
      <w:r>
        <m:rPr/>
        <w:rPr>
          <w:rFonts w:hint="default" w:ascii="Times New Roman" w:hAnsi="Times New Roman" w:eastAsia="宋体" w:cs="Times New Roman"/>
          <w:kern w:val="0"/>
          <w:sz w:val="21"/>
          <w:szCs w:val="21"/>
          <w:lang w:val="en-US" w:eastAsia="zh-CN" w:bidi="ar-SA"/>
        </w:rPr>
        <w:t>当流量为 0.6 L/s 时，气流速度为 0.12 m/s，当流量为1.0 L/s 时，气流速度为0.20 m/s，</w:t>
      </w:r>
      <w:r>
        <m:rPr/>
        <w:rPr>
          <w:rFonts w:hint="eastAsia" w:ascii="Times New Roman" w:hAnsi="Times New Roman" w:eastAsia="宋体" w:cs="Times New Roman"/>
          <w:kern w:val="0"/>
          <w:sz w:val="21"/>
          <w:szCs w:val="21"/>
          <w:lang w:val="en-US" w:eastAsia="zh-CN" w:bidi="ar-SA"/>
        </w:rPr>
        <w:t>以最大气流速度计算，12°开口角度下，开口直径在50cm至100cm之间的流体雷诺数（Re）为666.7至1333.3，Re＜2000时，气流形式为层流，图1为CFD模拟气流流动行为。可以保证气味样本均匀稳定的呈送给嗅辨员，因此该计量性能指标设置合理。</w:t>
      </w:r>
    </w:p>
    <w:p w14:paraId="0438C7B7">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20" w:firstLineChars="200"/>
        <w:jc w:val="left"/>
        <w:textAlignment w:val="auto"/>
        <m:rPr/>
        <w:rPr>
          <w:rFonts w:hint="default" w:ascii="Times New Roman" w:hAnsi="Times New Roman" w:eastAsia="宋体" w:cs="Times New Roman"/>
          <w:kern w:val="0"/>
          <w:sz w:val="21"/>
          <w:szCs w:val="21"/>
          <w:lang w:val="en-US" w:eastAsia="zh-CN" w:bidi="ar-SA"/>
        </w:rPr>
      </w:pPr>
      <w:r>
        <m:rPr/>
        <w:rPr>
          <w:rFonts w:hint="eastAsia" w:ascii="Times New Roman" w:hAnsi="Times New Roman" w:eastAsia="宋体" w:cs="Times New Roman"/>
          <w:kern w:val="0"/>
          <w:sz w:val="21"/>
          <w:szCs w:val="21"/>
          <w:lang w:val="en-US" w:eastAsia="zh-CN" w:bidi="ar-SA"/>
        </w:rPr>
        <w:t>开口角度10°的计算方式相同，此处省略，也可满足层流的气流流动形式的要求。</w:t>
      </w:r>
    </w:p>
    <w:p w14:paraId="1EABA30D">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auto"/>
      </w:pPr>
      <w:r>
        <w:drawing>
          <wp:inline distT="0" distB="0" distL="114300" distR="114300">
            <wp:extent cx="2807335" cy="1993900"/>
            <wp:effectExtent l="0" t="0" r="12065" b="635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5"/>
                    <a:stretch>
                      <a:fillRect/>
                    </a:stretch>
                  </pic:blipFill>
                  <pic:spPr>
                    <a:xfrm>
                      <a:off x="0" y="0"/>
                      <a:ext cx="2807335" cy="1993900"/>
                    </a:xfrm>
                    <a:prstGeom prst="rect">
                      <a:avLst/>
                    </a:prstGeom>
                    <a:noFill/>
                    <a:ln>
                      <a:noFill/>
                    </a:ln>
                  </pic:spPr>
                </pic:pic>
              </a:graphicData>
            </a:graphic>
          </wp:inline>
        </w:drawing>
      </w:r>
    </w:p>
    <w:p w14:paraId="3658508B">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图1.层流状态下嗅辨杯中的气流行为</w:t>
      </w:r>
    </w:p>
    <w:p w14:paraId="50D0B10D">
      <w:pPr>
        <w:rPr>
          <w:rFonts w:ascii="Times New Roman" w:hAnsi="Times New Roman" w:eastAsia="宋体" w:cs="Times New Roman"/>
          <w:kern w:val="0"/>
          <w:szCs w:val="21"/>
        </w:rPr>
      </w:pPr>
      <w:r>
        <w:rPr>
          <w:rFonts w:hint="eastAsia" w:ascii="Times New Roman" w:hAnsi="Times New Roman" w:eastAsia="宋体" w:cs="Times New Roman"/>
          <w:kern w:val="0"/>
          <w:szCs w:val="21"/>
        </w:rPr>
        <w:t>4</w:t>
      </w:r>
      <w:r>
        <w:rPr>
          <w:rFonts w:ascii="Times New Roman" w:hAnsi="Times New Roman" w:eastAsia="宋体" w:cs="Times New Roman"/>
          <w:kern w:val="0"/>
          <w:szCs w:val="21"/>
        </w:rPr>
        <w:t>.3.1.2</w:t>
      </w:r>
      <w:r>
        <w:rPr>
          <w:rFonts w:hint="eastAsia" w:ascii="Times New Roman" w:hAnsi="Times New Roman" w:eastAsia="宋体" w:cs="Times New Roman"/>
          <w:kern w:val="0"/>
          <w:szCs w:val="21"/>
        </w:rPr>
        <w:t>验证试验数据汇总</w:t>
      </w:r>
    </w:p>
    <w:p w14:paraId="33FD0C7F">
      <w:pPr>
        <w:pStyle w:val="6"/>
        <w:keepNext/>
        <w:jc w:val="center"/>
        <w:rPr>
          <w:rFonts w:ascii="Times New Roman" w:hAnsi="Times New Roman" w:eastAsia="宋体" w:cs="Times New Roman"/>
        </w:rPr>
      </w:pPr>
      <w:r>
        <w:rPr>
          <w:rFonts w:ascii="Times New Roman" w:hAnsi="宋体" w:eastAsia="宋体" w:cs="Times New Roman"/>
        </w:rPr>
        <w:t>表</w:t>
      </w:r>
      <w:r>
        <w:rPr>
          <w:rFonts w:ascii="Times New Roman" w:hAnsi="Times New Roman" w:eastAsia="宋体" w:cs="Times New Roman"/>
        </w:rPr>
        <w:fldChar w:fldCharType="begin"/>
      </w:r>
      <w:r>
        <w:rPr>
          <w:rFonts w:ascii="Times New Roman" w:hAnsi="Times New Roman" w:eastAsia="宋体" w:cs="Times New Roman"/>
        </w:rPr>
        <w:instrText xml:space="preserve"> SEQ </w:instrText>
      </w:r>
      <w:r>
        <w:rPr>
          <w:rFonts w:ascii="Times New Roman" w:hAnsi="宋体" w:eastAsia="宋体" w:cs="Times New Roman"/>
        </w:rPr>
        <w:instrText xml:space="preserve">表格</w:instrText>
      </w:r>
      <w:r>
        <w:rPr>
          <w:rFonts w:ascii="Times New Roman" w:hAnsi="Times New Roman" w:eastAsia="宋体" w:cs="Times New Roman"/>
        </w:rPr>
        <w:instrText xml:space="preserve"> \* ARABIC </w:instrText>
      </w:r>
      <w:r>
        <w:rPr>
          <w:rFonts w:ascii="Times New Roman" w:hAnsi="Times New Roman" w:eastAsia="宋体" w:cs="Times New Roman"/>
        </w:rPr>
        <w:fldChar w:fldCharType="separate"/>
      </w:r>
      <w:r>
        <w:rPr>
          <w:rFonts w:ascii="Times New Roman" w:hAnsi="Times New Roman" w:eastAsia="宋体" w:cs="Times New Roman"/>
        </w:rPr>
        <w:t>2</w:t>
      </w:r>
      <w:r>
        <w:rPr>
          <w:rFonts w:ascii="Times New Roman" w:hAnsi="Times New Roman" w:eastAsia="宋体" w:cs="Times New Roman"/>
        </w:rPr>
        <w:fldChar w:fldCharType="end"/>
      </w:r>
      <w:r>
        <w:rPr>
          <w:rFonts w:ascii="Times New Roman" w:hAnsi="宋体" w:eastAsia="宋体" w:cs="Times New Roman"/>
        </w:rPr>
        <w:t>不同品牌</w:t>
      </w:r>
      <w:r>
        <w:rPr>
          <w:rFonts w:ascii="Times New Roman" w:hAnsi="Times New Roman" w:eastAsia="宋体" w:cs="Times New Roman"/>
        </w:rPr>
        <w:t>1m</w:t>
      </w:r>
      <w:r>
        <w:rPr>
          <w:rFonts w:ascii="Times New Roman" w:hAnsi="Times New Roman" w:eastAsia="宋体" w:cs="Times New Roman"/>
          <w:vertAlign w:val="superscript"/>
        </w:rPr>
        <w:t>3</w:t>
      </w:r>
      <w:r>
        <w:rPr>
          <w:rFonts w:ascii="Times New Roman" w:hAnsi="宋体" w:eastAsia="宋体" w:cs="Times New Roman"/>
        </w:rPr>
        <w:t>环境测试舱容积测试结果</w:t>
      </w:r>
    </w:p>
    <w:tbl>
      <w:tblPr>
        <w:tblStyle w:val="1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3"/>
        <w:gridCol w:w="2182"/>
        <w:gridCol w:w="1636"/>
        <w:gridCol w:w="1638"/>
        <w:gridCol w:w="1640"/>
      </w:tblGrid>
      <w:tr w14:paraId="4B3C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292" w:type="pct"/>
            <w:vAlign w:val="center"/>
          </w:tcPr>
          <w:p w14:paraId="27167667">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原始气体嗅辨仪</w:t>
            </w:r>
          </w:p>
        </w:tc>
        <w:tc>
          <w:tcPr>
            <w:tcW w:w="1140" w:type="pct"/>
            <w:vAlign w:val="center"/>
          </w:tcPr>
          <w:p w14:paraId="35093595">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国外</w:t>
            </w:r>
            <w:r>
              <w:rPr>
                <w:rFonts w:hint="eastAsia" w:ascii="宋体" w:hAnsi="宋体" w:eastAsia="宋体" w:cs="宋体"/>
                <w:kern w:val="0"/>
                <w:szCs w:val="21"/>
              </w:rPr>
              <w:t>品牌A设备</w:t>
            </w:r>
          </w:p>
        </w:tc>
        <w:tc>
          <w:tcPr>
            <w:tcW w:w="855" w:type="pct"/>
            <w:vAlign w:val="center"/>
          </w:tcPr>
          <w:p w14:paraId="1232EC63">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国外</w:t>
            </w:r>
            <w:r>
              <w:rPr>
                <w:rFonts w:hint="eastAsia" w:ascii="宋体" w:hAnsi="宋体" w:eastAsia="宋体" w:cs="宋体"/>
                <w:kern w:val="0"/>
                <w:szCs w:val="21"/>
              </w:rPr>
              <w:t>品牌B设备</w:t>
            </w:r>
          </w:p>
        </w:tc>
        <w:tc>
          <w:tcPr>
            <w:tcW w:w="1637" w:type="dxa"/>
            <w:vAlign w:val="center"/>
          </w:tcPr>
          <w:p w14:paraId="63CDF36E">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国内</w:t>
            </w:r>
            <w:r>
              <w:rPr>
                <w:rFonts w:hint="eastAsia" w:ascii="宋体" w:hAnsi="宋体" w:eastAsia="宋体" w:cs="宋体"/>
                <w:kern w:val="0"/>
                <w:szCs w:val="21"/>
              </w:rPr>
              <w:t>品牌</w:t>
            </w:r>
            <w:r>
              <w:rPr>
                <w:rFonts w:hint="eastAsia" w:ascii="宋体" w:hAnsi="宋体" w:eastAsia="宋体" w:cs="宋体"/>
                <w:kern w:val="0"/>
                <w:szCs w:val="21"/>
                <w:lang w:val="en-US" w:eastAsia="zh-CN"/>
              </w:rPr>
              <w:t>C</w:t>
            </w:r>
            <w:r>
              <w:rPr>
                <w:rFonts w:hint="eastAsia" w:ascii="宋体" w:hAnsi="宋体" w:eastAsia="宋体" w:cs="宋体"/>
                <w:kern w:val="0"/>
                <w:szCs w:val="21"/>
              </w:rPr>
              <w:t>设备</w:t>
            </w:r>
          </w:p>
        </w:tc>
        <w:tc>
          <w:tcPr>
            <w:tcW w:w="1638" w:type="dxa"/>
            <w:vAlign w:val="center"/>
          </w:tcPr>
          <w:p w14:paraId="3C66118F">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国内</w:t>
            </w:r>
            <w:r>
              <w:rPr>
                <w:rFonts w:hint="eastAsia" w:ascii="宋体" w:hAnsi="宋体" w:eastAsia="宋体" w:cs="宋体"/>
                <w:kern w:val="0"/>
                <w:szCs w:val="21"/>
              </w:rPr>
              <w:t>品牌</w:t>
            </w:r>
            <w:r>
              <w:rPr>
                <w:rFonts w:hint="eastAsia" w:ascii="宋体" w:hAnsi="宋体" w:eastAsia="宋体" w:cs="宋体"/>
                <w:kern w:val="0"/>
                <w:szCs w:val="21"/>
                <w:lang w:val="en-US" w:eastAsia="zh-CN"/>
              </w:rPr>
              <w:t>D</w:t>
            </w:r>
            <w:r>
              <w:rPr>
                <w:rFonts w:hint="eastAsia" w:ascii="宋体" w:hAnsi="宋体" w:eastAsia="宋体" w:cs="宋体"/>
                <w:kern w:val="0"/>
                <w:szCs w:val="21"/>
              </w:rPr>
              <w:t>设备</w:t>
            </w:r>
          </w:p>
        </w:tc>
      </w:tr>
      <w:tr w14:paraId="5D73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292" w:type="pct"/>
            <w:tcBorders/>
            <w:vAlign w:val="center"/>
          </w:tcPr>
          <w:p w14:paraId="39999ABD">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嗅辨杯开口角度（双侧）</w:t>
            </w:r>
          </w:p>
        </w:tc>
        <w:tc>
          <w:tcPr>
            <w:tcW w:w="1140" w:type="pct"/>
            <w:vAlign w:val="center"/>
          </w:tcPr>
          <w:p w14:paraId="33A95360">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11.9</w:t>
            </w:r>
          </w:p>
        </w:tc>
        <w:tc>
          <w:tcPr>
            <w:tcW w:w="855" w:type="pct"/>
            <w:vAlign w:val="center"/>
          </w:tcPr>
          <w:p w14:paraId="5EFC3ECB">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10.7</w:t>
            </w:r>
          </w:p>
        </w:tc>
        <w:tc>
          <w:tcPr>
            <w:tcW w:w="1637" w:type="dxa"/>
            <w:vAlign w:val="center"/>
          </w:tcPr>
          <w:p w14:paraId="30FD849F">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12.0</w:t>
            </w:r>
          </w:p>
        </w:tc>
        <w:tc>
          <w:tcPr>
            <w:tcW w:w="1638" w:type="dxa"/>
            <w:vAlign w:val="center"/>
          </w:tcPr>
          <w:p w14:paraId="074F3499">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11.8</w:t>
            </w:r>
          </w:p>
        </w:tc>
      </w:tr>
      <w:tr w14:paraId="16EE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292" w:type="pct"/>
            <w:tcBorders/>
            <w:vAlign w:val="center"/>
          </w:tcPr>
          <w:p w14:paraId="096E7B7E">
            <w:pPr>
              <w:widowControl/>
              <w:jc w:val="center"/>
              <w:rPr>
                <w:rFonts w:hint="default" w:ascii="宋体" w:hAnsi="宋体" w:eastAsia="宋体" w:cs="宋体"/>
                <w:kern w:val="0"/>
                <w:szCs w:val="21"/>
                <w:lang w:val="en-US" w:eastAsia="zh-CN"/>
              </w:rPr>
            </w:pPr>
            <w:bookmarkStart w:id="2" w:name="_Toc25252754"/>
            <w:r>
              <w:rPr>
                <w:rFonts w:hint="eastAsia" w:ascii="宋体" w:hAnsi="宋体" w:eastAsia="宋体" w:cs="宋体"/>
                <w:kern w:val="0"/>
                <w:szCs w:val="21"/>
                <w:lang w:val="en-US" w:eastAsia="zh-CN"/>
              </w:rPr>
              <w:t>偏差/°</w:t>
            </w:r>
          </w:p>
        </w:tc>
        <w:tc>
          <w:tcPr>
            <w:tcW w:w="1140" w:type="pct"/>
            <w:vAlign w:val="center"/>
          </w:tcPr>
          <w:p w14:paraId="720DA0A4">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855" w:type="pct"/>
            <w:vAlign w:val="center"/>
          </w:tcPr>
          <w:p w14:paraId="499C1A6C">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w:t>
            </w:r>
          </w:p>
        </w:tc>
        <w:tc>
          <w:tcPr>
            <w:tcW w:w="1637" w:type="dxa"/>
            <w:vAlign w:val="center"/>
          </w:tcPr>
          <w:p w14:paraId="54F337A1">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w:t>
            </w:r>
          </w:p>
        </w:tc>
        <w:tc>
          <w:tcPr>
            <w:tcW w:w="1638" w:type="dxa"/>
            <w:vAlign w:val="center"/>
          </w:tcPr>
          <w:p w14:paraId="0D41B8F4">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r>
    </w:tbl>
    <w:p w14:paraId="754526B0">
      <w:pPr>
        <w:ind w:firstLine="420" w:firstLineChars="20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rPr>
        <w:t>总结表</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中数据，大部分品牌设备</w:t>
      </w:r>
      <w:r>
        <w:rPr>
          <w:rFonts w:hint="eastAsia" w:ascii="Times New Roman" w:hAnsi="Times New Roman" w:eastAsia="宋体" w:cs="Times New Roman"/>
          <w:kern w:val="0"/>
          <w:szCs w:val="21"/>
          <w:lang w:val="en-US" w:eastAsia="zh-CN"/>
        </w:rPr>
        <w:t>嗅辨杯开口角度均能控制在（10～12）°以内</w:t>
      </w:r>
      <w:r>
        <w:rPr>
          <w:rFonts w:hint="eastAsia"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经过计算在该开口角度下，气流形式呈层流状态。</w:t>
      </w:r>
    </w:p>
    <w:p w14:paraId="06AE1B3E">
      <w:pPr>
        <w:pStyle w:val="4"/>
        <w:spacing w:before="0" w:after="0" w:line="440" w:lineRule="exact"/>
        <w:rPr>
          <w:rFonts w:hint="default" w:ascii="宋体" w:hAnsi="宋体" w:eastAsia="宋体"/>
          <w:sz w:val="21"/>
          <w:szCs w:val="21"/>
          <w:lang w:val="en-US" w:eastAsia="zh-CN"/>
        </w:rPr>
      </w:pPr>
      <w:r>
        <w:rPr>
          <w:rFonts w:hint="eastAsia" w:ascii="宋体" w:hAnsi="宋体" w:eastAsia="宋体"/>
          <w:sz w:val="21"/>
          <w:szCs w:val="21"/>
        </w:rPr>
        <w:t>4</w:t>
      </w:r>
      <w:r>
        <w:rPr>
          <w:rFonts w:ascii="宋体" w:hAnsi="宋体" w:eastAsia="宋体"/>
          <w:sz w:val="21"/>
          <w:szCs w:val="21"/>
        </w:rPr>
        <w:t>.3.2</w:t>
      </w:r>
      <w:bookmarkEnd w:id="2"/>
      <w:r>
        <w:rPr>
          <w:rFonts w:hint="eastAsia" w:ascii="宋体" w:hAnsi="宋体" w:eastAsia="宋体"/>
          <w:sz w:val="21"/>
          <w:szCs w:val="21"/>
          <w:lang w:val="en-US" w:eastAsia="zh-CN"/>
        </w:rPr>
        <w:t>运行噪声</w:t>
      </w:r>
    </w:p>
    <w:p w14:paraId="43139A26">
      <w:pPr>
        <w:rPr>
          <w:rFonts w:ascii="Times New Roman" w:hAnsi="Times New Roman" w:eastAsia="宋体" w:cs="Times New Roman"/>
          <w:kern w:val="0"/>
          <w:szCs w:val="21"/>
        </w:rPr>
      </w:pPr>
      <w:r>
        <w:rPr>
          <w:rFonts w:hint="eastAsia" w:ascii="Times New Roman" w:hAnsi="Times New Roman" w:eastAsia="宋体" w:cs="Times New Roman"/>
          <w:kern w:val="0"/>
          <w:szCs w:val="21"/>
        </w:rPr>
        <w:t>4</w:t>
      </w:r>
      <w:r>
        <w:rPr>
          <w:rFonts w:ascii="Times New Roman" w:hAnsi="Times New Roman" w:eastAsia="宋体" w:cs="Times New Roman"/>
          <w:kern w:val="0"/>
          <w:szCs w:val="21"/>
        </w:rPr>
        <w:t>.3.2.</w:t>
      </w:r>
      <w:r>
        <w:rPr>
          <w:rFonts w:hint="eastAsia" w:ascii="Times New Roman" w:hAnsi="Times New Roman" w:eastAsia="宋体" w:cs="Times New Roman"/>
          <w:kern w:val="0"/>
          <w:szCs w:val="21"/>
        </w:rPr>
        <w:t>1方法确定</w:t>
      </w:r>
    </w:p>
    <w:p w14:paraId="4D6DBC9E">
      <w:pPr>
        <w:ind w:firstLine="630" w:firstLineChars="3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使用准确度等级为1级的</w:t>
      </w:r>
      <w:r>
        <w:rPr>
          <w:rFonts w:hint="eastAsia" w:ascii="Times New Roman" w:hAnsi="Times New Roman" w:eastAsia="宋体" w:cs="Times New Roman"/>
          <w:kern w:val="0"/>
          <w:szCs w:val="21"/>
        </w:rPr>
        <w:t>声级计</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并</w:t>
      </w:r>
      <w:r>
        <w:rPr>
          <w:rFonts w:hint="eastAsia" w:ascii="Times New Roman" w:hAnsi="Times New Roman" w:eastAsia="宋体" w:cs="Times New Roman"/>
          <w:kern w:val="0"/>
          <w:szCs w:val="21"/>
        </w:rPr>
        <w:t>设置为“A”计权模式。开启原始气体嗅辨仪，并将声级计放置于距离原始气体嗅辨仪出气口（原始气体嗅辨仪与嗅辨杯接口处）上方沿垂直中心线40cm处，待读数稳定后，读取声级计显示的数据。</w:t>
      </w:r>
    </w:p>
    <w:p w14:paraId="635D346F">
      <w:pPr>
        <w:ind w:firstLine="630" w:firstLineChars="30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国内外相关气味评价标准如ISO 16000-28、ISO 16000-30、GB/T 43353、T/CBMF 119、HJ 865中均对气味评价开展的环境噪声有一定要求，需要避免实验过程中产生对结果评价有负面影响的噪声，本规范设置60分贝的噪声要求主要基于60dB(A)的噪声水平通常被认为是相对舒适的范围，接近于交谈或背景音乐。超过这个水平，可能会造成不适，从而影响操作人员的集中力和工作效率。另外由于气味评价人员开展工作时会在嗅辨杯的上方进行嗅闻，嗅辨杯的高度一般为(15～30)cm之间，因此本规范要求测量</w:t>
      </w:r>
      <w:r>
        <w:rPr>
          <w:rFonts w:hint="eastAsia" w:ascii="Times New Roman" w:hAnsi="Times New Roman" w:eastAsia="宋体" w:cs="Times New Roman"/>
          <w:kern w:val="0"/>
          <w:szCs w:val="21"/>
        </w:rPr>
        <w:t>出气口（原始气体嗅辨仪与嗅辨杯接口处）上方沿垂直中心线40cm处</w:t>
      </w:r>
      <w:r>
        <w:rPr>
          <w:rFonts w:hint="eastAsia" w:ascii="Times New Roman" w:hAnsi="Times New Roman" w:eastAsia="宋体" w:cs="Times New Roman"/>
          <w:kern w:val="0"/>
          <w:szCs w:val="21"/>
          <w:lang w:val="en-US" w:eastAsia="zh-CN"/>
        </w:rPr>
        <w:t>的噪声。</w:t>
      </w:r>
    </w:p>
    <w:p w14:paraId="6B97123E">
      <w:pPr>
        <w:rPr>
          <w:rFonts w:ascii="Times New Roman" w:hAnsi="Times New Roman" w:eastAsia="宋体" w:cs="Times New Roman"/>
          <w:kern w:val="0"/>
          <w:szCs w:val="21"/>
        </w:rPr>
      </w:pPr>
      <w:r>
        <w:rPr>
          <w:rFonts w:hint="eastAsia" w:ascii="Times New Roman" w:hAnsi="Times New Roman" w:eastAsia="宋体" w:cs="Times New Roman"/>
          <w:kern w:val="0"/>
          <w:szCs w:val="21"/>
        </w:rPr>
        <w:t>4</w:t>
      </w:r>
      <w:r>
        <w:rPr>
          <w:rFonts w:ascii="Times New Roman" w:hAnsi="Times New Roman" w:eastAsia="宋体" w:cs="Times New Roman"/>
          <w:kern w:val="0"/>
          <w:szCs w:val="21"/>
        </w:rPr>
        <w:t>.3.2.2</w:t>
      </w:r>
      <w:r>
        <w:rPr>
          <w:rFonts w:hint="eastAsia" w:ascii="Times New Roman" w:hAnsi="Times New Roman" w:eastAsia="宋体" w:cs="Times New Roman"/>
          <w:kern w:val="0"/>
          <w:szCs w:val="21"/>
        </w:rPr>
        <w:t>验证试验数据汇总</w:t>
      </w:r>
    </w:p>
    <w:p w14:paraId="7CE324B8">
      <w:pPr>
        <w:widowControl/>
        <w:ind w:firstLine="420"/>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分别于不同噪声环境下，按照GB/T 43353中气味强度阶段法对500ug/m</w:t>
      </w:r>
      <w:r>
        <w:rPr>
          <w:rFonts w:hint="eastAsia" w:ascii="宋体" w:hAnsi="宋体" w:eastAsia="宋体" w:cs="宋体"/>
          <w:kern w:val="0"/>
          <w:szCs w:val="21"/>
          <w:vertAlign w:val="superscript"/>
          <w:lang w:val="en-US" w:eastAsia="zh-CN"/>
        </w:rPr>
        <w:t>3</w:t>
      </w:r>
      <w:r>
        <w:rPr>
          <w:rFonts w:hint="eastAsia" w:ascii="宋体" w:hAnsi="宋体" w:eastAsia="宋体" w:cs="宋体"/>
          <w:kern w:val="0"/>
          <w:szCs w:val="21"/>
          <w:lang w:val="en-US" w:eastAsia="zh-CN"/>
        </w:rPr>
        <w:t>正丁醇标准气体进行气味强度评价，并以34.4</w:t>
      </w:r>
      <w:r>
        <w:rPr>
          <w:rFonts w:hint="eastAsia" w:ascii="宋体" w:hAnsi="宋体" w:eastAsia="宋体" w:cs="宋体"/>
          <w:kern w:val="0"/>
          <w:szCs w:val="21"/>
          <w:vertAlign w:val="baseline"/>
          <w:lang w:val="en-US" w:eastAsia="zh-CN"/>
        </w:rPr>
        <w:t>dB(A)环境下测试结果计算偏差，</w:t>
      </w:r>
      <w:r>
        <w:rPr>
          <w:rFonts w:hint="eastAsia" w:ascii="宋体" w:hAnsi="宋体" w:eastAsia="宋体" w:cs="宋体"/>
          <w:kern w:val="0"/>
          <w:szCs w:val="21"/>
          <w:lang w:val="en-US" w:eastAsia="zh-CN"/>
        </w:rPr>
        <w:t>结果如下：</w:t>
      </w:r>
    </w:p>
    <w:p w14:paraId="1840D7AE">
      <w:pPr>
        <w:widowControl/>
        <w:ind w:firstLine="420"/>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表3 噪声对气味强度的影响试验</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361"/>
        <w:gridCol w:w="1011"/>
        <w:gridCol w:w="1011"/>
        <w:gridCol w:w="1011"/>
        <w:gridCol w:w="1011"/>
        <w:gridCol w:w="1011"/>
        <w:gridCol w:w="1011"/>
        <w:gridCol w:w="1011"/>
      </w:tblGrid>
      <w:tr w14:paraId="1F1DB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2" w:hRule="atLeast"/>
        </w:trPr>
        <w:tc>
          <w:tcPr>
            <w:tcW w:w="2361" w:type="dxa"/>
          </w:tcPr>
          <w:p w14:paraId="7254E216">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环境噪声测量值/dB(A)</w:t>
            </w:r>
          </w:p>
        </w:tc>
        <w:tc>
          <w:tcPr>
            <w:tcW w:w="1011" w:type="dxa"/>
          </w:tcPr>
          <w:p w14:paraId="3F6336B3">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34.4</w:t>
            </w:r>
          </w:p>
        </w:tc>
        <w:tc>
          <w:tcPr>
            <w:tcW w:w="1011" w:type="dxa"/>
          </w:tcPr>
          <w:p w14:paraId="49A2E77B">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41.5</w:t>
            </w:r>
          </w:p>
        </w:tc>
        <w:tc>
          <w:tcPr>
            <w:tcW w:w="1011" w:type="dxa"/>
          </w:tcPr>
          <w:p w14:paraId="13B22989">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52.7</w:t>
            </w:r>
          </w:p>
        </w:tc>
        <w:tc>
          <w:tcPr>
            <w:tcW w:w="1011" w:type="dxa"/>
          </w:tcPr>
          <w:p w14:paraId="2B5BC91A">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60.5</w:t>
            </w:r>
          </w:p>
        </w:tc>
        <w:tc>
          <w:tcPr>
            <w:tcW w:w="1011" w:type="dxa"/>
          </w:tcPr>
          <w:p w14:paraId="6854E9F1">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75.1</w:t>
            </w:r>
          </w:p>
        </w:tc>
        <w:tc>
          <w:tcPr>
            <w:tcW w:w="1011" w:type="dxa"/>
          </w:tcPr>
          <w:p w14:paraId="7FEBB95C">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80.6</w:t>
            </w:r>
          </w:p>
        </w:tc>
        <w:tc>
          <w:tcPr>
            <w:tcW w:w="1011" w:type="dxa"/>
          </w:tcPr>
          <w:p w14:paraId="14D4A6E4">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102.5</w:t>
            </w:r>
          </w:p>
        </w:tc>
      </w:tr>
      <w:tr w14:paraId="38C0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3" w:hRule="atLeast"/>
        </w:trPr>
        <w:tc>
          <w:tcPr>
            <w:tcW w:w="2361" w:type="dxa"/>
          </w:tcPr>
          <w:p w14:paraId="1D6EEB78">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气味强度评价结果/级</w:t>
            </w:r>
          </w:p>
        </w:tc>
        <w:tc>
          <w:tcPr>
            <w:tcW w:w="1011" w:type="dxa"/>
          </w:tcPr>
          <w:p w14:paraId="2D0D6276">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4.0</w:t>
            </w:r>
          </w:p>
        </w:tc>
        <w:tc>
          <w:tcPr>
            <w:tcW w:w="1011" w:type="dxa"/>
          </w:tcPr>
          <w:p w14:paraId="5148F907">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4.0</w:t>
            </w:r>
          </w:p>
        </w:tc>
        <w:tc>
          <w:tcPr>
            <w:tcW w:w="1011" w:type="dxa"/>
          </w:tcPr>
          <w:p w14:paraId="1CF0B236">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4.5</w:t>
            </w:r>
          </w:p>
        </w:tc>
        <w:tc>
          <w:tcPr>
            <w:tcW w:w="1011" w:type="dxa"/>
          </w:tcPr>
          <w:p w14:paraId="728A5E34">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3.5</w:t>
            </w:r>
          </w:p>
        </w:tc>
        <w:tc>
          <w:tcPr>
            <w:tcW w:w="1011" w:type="dxa"/>
          </w:tcPr>
          <w:p w14:paraId="7BC67540">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3.0</w:t>
            </w:r>
          </w:p>
        </w:tc>
        <w:tc>
          <w:tcPr>
            <w:tcW w:w="1011" w:type="dxa"/>
          </w:tcPr>
          <w:p w14:paraId="57FD834A">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3.0</w:t>
            </w:r>
          </w:p>
        </w:tc>
        <w:tc>
          <w:tcPr>
            <w:tcW w:w="1011" w:type="dxa"/>
          </w:tcPr>
          <w:p w14:paraId="186E6460">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2.5</w:t>
            </w:r>
          </w:p>
        </w:tc>
      </w:tr>
      <w:tr w14:paraId="01C2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43" w:hRule="atLeast"/>
        </w:trPr>
        <w:tc>
          <w:tcPr>
            <w:tcW w:w="2361" w:type="dxa"/>
          </w:tcPr>
          <w:p w14:paraId="1D5425B7">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偏差/级</w:t>
            </w:r>
          </w:p>
        </w:tc>
        <w:tc>
          <w:tcPr>
            <w:tcW w:w="1011" w:type="dxa"/>
          </w:tcPr>
          <w:p w14:paraId="16415705">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w:t>
            </w:r>
          </w:p>
        </w:tc>
        <w:tc>
          <w:tcPr>
            <w:tcW w:w="1011" w:type="dxa"/>
          </w:tcPr>
          <w:p w14:paraId="78E7E273">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0.0</w:t>
            </w:r>
          </w:p>
        </w:tc>
        <w:tc>
          <w:tcPr>
            <w:tcW w:w="1011" w:type="dxa"/>
          </w:tcPr>
          <w:p w14:paraId="61D54888">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+0.5</w:t>
            </w:r>
          </w:p>
        </w:tc>
        <w:tc>
          <w:tcPr>
            <w:tcW w:w="1011" w:type="dxa"/>
          </w:tcPr>
          <w:p w14:paraId="34E0BD8A">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-0.5</w:t>
            </w:r>
          </w:p>
        </w:tc>
        <w:tc>
          <w:tcPr>
            <w:tcW w:w="1011" w:type="dxa"/>
          </w:tcPr>
          <w:p w14:paraId="50EB1D06">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-1.0</w:t>
            </w:r>
          </w:p>
        </w:tc>
        <w:tc>
          <w:tcPr>
            <w:tcW w:w="1011" w:type="dxa"/>
          </w:tcPr>
          <w:p w14:paraId="28469A6C">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-1.0</w:t>
            </w:r>
          </w:p>
        </w:tc>
        <w:tc>
          <w:tcPr>
            <w:tcW w:w="1011" w:type="dxa"/>
          </w:tcPr>
          <w:p w14:paraId="5E4C7D21">
            <w:pPr>
              <w:widowControl/>
              <w:jc w:val="left"/>
              <w:rPr>
                <w:rFonts w:hint="default" w:ascii="宋体" w:hAnsi="宋体" w:eastAsia="宋体" w:cs="宋体"/>
                <w:kern w:val="0"/>
                <w:szCs w:val="21"/>
                <w:vertAlign w:val="baseline"/>
                <w:lang w:val="en-US" w:eastAsia="zh-CN"/>
              </w:rPr>
            </w:pPr>
            <w:r>
              <w:rPr>
                <w:rFonts w:hint="eastAsia" w:ascii="宋体" w:hAnsi="宋体" w:eastAsia="宋体" w:cs="宋体"/>
                <w:kern w:val="0"/>
                <w:szCs w:val="21"/>
                <w:vertAlign w:val="baseline"/>
                <w:lang w:val="en-US" w:eastAsia="zh-CN"/>
              </w:rPr>
              <w:t>-1.5</w:t>
            </w:r>
          </w:p>
        </w:tc>
      </w:tr>
    </w:tbl>
    <w:p w14:paraId="03E623F7">
      <w:pPr>
        <w:widowControl/>
        <w:ind w:firstLine="420"/>
        <w:jc w:val="left"/>
        <w:rPr>
          <w:rFonts w:ascii="宋体" w:hAnsi="宋体" w:eastAsia="宋体" w:cs="宋体"/>
          <w:kern w:val="0"/>
          <w:szCs w:val="21"/>
        </w:rPr>
      </w:pPr>
      <w:r>
        <w:rPr>
          <w:rFonts w:hint="eastAsia" w:ascii="宋体" w:hAnsi="宋体" w:eastAsia="宋体" w:cs="宋体"/>
          <w:kern w:val="0"/>
          <w:szCs w:val="21"/>
          <w:lang w:val="en-US" w:eastAsia="zh-CN"/>
        </w:rPr>
        <w:t>通过结果可以看出当在环境噪声60dB(A)以内的条件下，气味强度评价结果偏差可以控制在±0.5之内，精密度满足GB/T 43353、GB 36246等标准中气味强度结果精密度要求，当噪声大于60dB(A)，评价结果出现下降，偏差绝对值大于1.0，对于测试可靠性有显著影响。</w:t>
      </w:r>
    </w:p>
    <w:p w14:paraId="29973E54">
      <w:pPr>
        <w:widowControl/>
        <w:ind w:firstLine="420"/>
        <w:jc w:val="left"/>
        <w:rPr>
          <w:rFonts w:ascii="宋体" w:hAnsi="宋体" w:eastAsia="宋体" w:cs="宋体"/>
          <w:kern w:val="0"/>
          <w:szCs w:val="21"/>
        </w:rPr>
      </w:pPr>
      <w:r>
        <w:rPr>
          <w:rFonts w:ascii="宋体" w:hAnsi="宋体" w:eastAsia="宋体" w:cs="宋体"/>
          <w:kern w:val="0"/>
          <w:szCs w:val="21"/>
        </w:rPr>
        <w:t>随机选取不同</w:t>
      </w:r>
      <w:r>
        <w:rPr>
          <w:rFonts w:hint="eastAsia" w:ascii="宋体" w:hAnsi="宋体" w:eastAsia="宋体" w:cs="宋体"/>
          <w:kern w:val="0"/>
          <w:szCs w:val="21"/>
          <w:lang w:val="en-US" w:eastAsia="zh-CN"/>
        </w:rPr>
        <w:t>国内外</w:t>
      </w:r>
      <w:r>
        <w:rPr>
          <w:rFonts w:ascii="宋体" w:hAnsi="宋体" w:eastAsia="宋体" w:cs="宋体"/>
          <w:kern w:val="0"/>
          <w:szCs w:val="21"/>
        </w:rPr>
        <w:t>品牌生产的</w:t>
      </w:r>
      <w:r>
        <w:rPr>
          <w:rFonts w:hint="eastAsia" w:ascii="宋体" w:hAnsi="宋体" w:eastAsia="宋体" w:cs="宋体"/>
          <w:kern w:val="0"/>
          <w:szCs w:val="21"/>
          <w:lang w:val="en-US" w:eastAsia="zh-CN"/>
        </w:rPr>
        <w:t>原始气体嗅辨仪</w:t>
      </w:r>
      <w:r>
        <w:rPr>
          <w:rFonts w:ascii="宋体" w:hAnsi="宋体" w:eastAsia="宋体" w:cs="宋体"/>
          <w:kern w:val="0"/>
          <w:szCs w:val="21"/>
        </w:rPr>
        <w:t>产品</w:t>
      </w:r>
      <w:r>
        <w:rPr>
          <w:rFonts w:hint="eastAsia" w:ascii="宋体" w:hAnsi="宋体" w:eastAsia="宋体" w:cs="宋体"/>
          <w:kern w:val="0"/>
          <w:szCs w:val="21"/>
        </w:rPr>
        <w:t>，</w:t>
      </w:r>
      <w:r>
        <w:rPr>
          <w:rFonts w:hint="eastAsia" w:ascii="宋体" w:hAnsi="宋体" w:eastAsia="宋体" w:cs="宋体"/>
          <w:kern w:val="0"/>
          <w:szCs w:val="21"/>
          <w:lang w:val="en-US" w:eastAsia="zh-CN"/>
        </w:rPr>
        <w:t>开启设备后，按照本规范方法进行噪声测量，分别测量2次，结果如下</w:t>
      </w:r>
      <w:r>
        <w:rPr>
          <w:rFonts w:hint="eastAsia" w:ascii="宋体" w:hAnsi="宋体" w:eastAsia="宋体" w:cs="宋体"/>
          <w:kern w:val="0"/>
          <w:szCs w:val="21"/>
        </w:rPr>
        <w:t>：</w:t>
      </w:r>
    </w:p>
    <w:p w14:paraId="47DE3956">
      <w:pPr>
        <w:pStyle w:val="6"/>
        <w:keepNext/>
        <w:jc w:val="center"/>
        <w:rPr>
          <w:rFonts w:ascii="Times New Roman" w:hAnsi="宋体" w:eastAsia="宋体" w:cs="Times New Roman"/>
        </w:rPr>
      </w:pPr>
      <w:r>
        <w:rPr>
          <w:rFonts w:ascii="Times New Roman" w:hAnsi="宋体" w:eastAsia="宋体" w:cs="Times New Roman"/>
        </w:rPr>
        <w:t>表</w:t>
      </w:r>
      <w:r>
        <w:rPr>
          <w:rFonts w:hint="eastAsia" w:ascii="Times New Roman" w:hAnsi="宋体" w:eastAsia="宋体" w:cs="Times New Roman"/>
          <w:lang w:val="en-US" w:eastAsia="zh-CN"/>
        </w:rPr>
        <w:t>4</w:t>
      </w:r>
      <w:r>
        <w:rPr>
          <w:rFonts w:ascii="Times New Roman" w:hAnsi="宋体" w:eastAsia="宋体" w:cs="Times New Roman"/>
        </w:rPr>
        <w:t>不同品牌</w:t>
      </w:r>
      <w:r>
        <w:rPr>
          <w:rFonts w:hint="eastAsia" w:ascii="Times New Roman" w:hAnsi="宋体" w:eastAsia="宋体" w:cs="Times New Roman"/>
        </w:rPr>
        <w:t>1m</w:t>
      </w:r>
      <w:r>
        <w:rPr>
          <w:rFonts w:hint="eastAsia" w:ascii="Times New Roman" w:hAnsi="宋体" w:eastAsia="宋体" w:cs="Times New Roman"/>
          <w:vertAlign w:val="superscript"/>
        </w:rPr>
        <w:t>3</w:t>
      </w:r>
      <w:r>
        <w:rPr>
          <w:rFonts w:ascii="Times New Roman" w:hAnsi="宋体" w:eastAsia="宋体" w:cs="Times New Roman"/>
        </w:rPr>
        <w:t>环境测试舱温湿度</w:t>
      </w:r>
      <w:r>
        <w:rPr>
          <w:rFonts w:hint="eastAsia" w:ascii="Times New Roman" w:hAnsi="宋体" w:eastAsia="宋体" w:cs="Times New Roman"/>
        </w:rPr>
        <w:t>计量测试结果</w:t>
      </w:r>
    </w:p>
    <w:tbl>
      <w:tblPr>
        <w:tblStyle w:val="14"/>
        <w:tblW w:w="47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880"/>
        <w:gridCol w:w="880"/>
        <w:gridCol w:w="880"/>
        <w:gridCol w:w="880"/>
        <w:gridCol w:w="880"/>
        <w:gridCol w:w="880"/>
        <w:gridCol w:w="880"/>
        <w:gridCol w:w="884"/>
      </w:tblGrid>
      <w:tr w14:paraId="3681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17" w:hRule="atLeast"/>
          <w:jc w:val="center"/>
        </w:trPr>
        <w:tc>
          <w:tcPr>
            <w:tcW w:w="1128" w:type="pct"/>
            <w:vAlign w:val="center"/>
          </w:tcPr>
          <w:p w14:paraId="28284C20">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原始气体嗅辨仪</w:t>
            </w:r>
          </w:p>
        </w:tc>
        <w:tc>
          <w:tcPr>
            <w:tcW w:w="967" w:type="pct"/>
            <w:gridSpan w:val="2"/>
            <w:vAlign w:val="center"/>
          </w:tcPr>
          <w:p w14:paraId="777C1C24">
            <w:pPr>
              <w:widowControl/>
              <w:jc w:val="center"/>
              <w:rPr>
                <w:rFonts w:ascii="宋体" w:hAnsi="宋体" w:eastAsia="宋体" w:cs="宋体"/>
                <w:kern w:val="0"/>
                <w:szCs w:val="21"/>
              </w:rPr>
            </w:pPr>
            <w:r>
              <w:rPr>
                <w:rFonts w:hint="eastAsia" w:ascii="宋体" w:hAnsi="宋体" w:eastAsia="宋体" w:cs="宋体"/>
                <w:kern w:val="0"/>
                <w:szCs w:val="21"/>
              </w:rPr>
              <w:t>品牌A设备</w:t>
            </w:r>
          </w:p>
        </w:tc>
        <w:tc>
          <w:tcPr>
            <w:tcW w:w="967" w:type="pct"/>
            <w:gridSpan w:val="2"/>
            <w:vAlign w:val="center"/>
          </w:tcPr>
          <w:p w14:paraId="691C57F1">
            <w:pPr>
              <w:widowControl/>
              <w:jc w:val="center"/>
              <w:rPr>
                <w:rFonts w:ascii="宋体" w:hAnsi="宋体" w:eastAsia="宋体" w:cs="宋体"/>
                <w:kern w:val="0"/>
                <w:szCs w:val="21"/>
              </w:rPr>
            </w:pPr>
            <w:r>
              <w:rPr>
                <w:rFonts w:hint="eastAsia" w:ascii="宋体" w:hAnsi="宋体" w:eastAsia="宋体" w:cs="宋体"/>
                <w:kern w:val="0"/>
                <w:szCs w:val="21"/>
              </w:rPr>
              <w:t>品牌B设备</w:t>
            </w:r>
          </w:p>
        </w:tc>
        <w:tc>
          <w:tcPr>
            <w:tcW w:w="967" w:type="pct"/>
            <w:gridSpan w:val="2"/>
            <w:vAlign w:val="center"/>
          </w:tcPr>
          <w:p w14:paraId="5698595A">
            <w:pPr>
              <w:widowControl/>
              <w:jc w:val="center"/>
              <w:rPr>
                <w:rFonts w:ascii="宋体" w:hAnsi="宋体" w:eastAsia="宋体" w:cs="宋体"/>
                <w:kern w:val="0"/>
                <w:szCs w:val="21"/>
              </w:rPr>
            </w:pPr>
            <w:r>
              <w:rPr>
                <w:rFonts w:hint="eastAsia" w:ascii="宋体" w:hAnsi="宋体" w:eastAsia="宋体" w:cs="宋体"/>
                <w:kern w:val="0"/>
                <w:szCs w:val="21"/>
              </w:rPr>
              <w:t>品牌C设备</w:t>
            </w:r>
          </w:p>
        </w:tc>
        <w:tc>
          <w:tcPr>
            <w:tcW w:w="969" w:type="pct"/>
            <w:gridSpan w:val="2"/>
            <w:vAlign w:val="center"/>
          </w:tcPr>
          <w:p w14:paraId="5DEE2D81">
            <w:pPr>
              <w:widowControl/>
              <w:jc w:val="center"/>
              <w:rPr>
                <w:rFonts w:ascii="宋体" w:hAnsi="宋体" w:eastAsia="宋体" w:cs="宋体"/>
                <w:kern w:val="0"/>
                <w:szCs w:val="21"/>
              </w:rPr>
            </w:pPr>
            <w:r>
              <w:rPr>
                <w:rFonts w:hint="eastAsia" w:ascii="宋体" w:hAnsi="宋体" w:eastAsia="宋体" w:cs="宋体"/>
                <w:kern w:val="0"/>
                <w:szCs w:val="21"/>
              </w:rPr>
              <w:t>品牌D设备</w:t>
            </w:r>
          </w:p>
        </w:tc>
      </w:tr>
      <w:tr w14:paraId="7D14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128" w:type="pct"/>
            <w:vAlign w:val="center"/>
          </w:tcPr>
          <w:p w14:paraId="58FC1BF6">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运行噪声</w:t>
            </w:r>
          </w:p>
        </w:tc>
        <w:tc>
          <w:tcPr>
            <w:tcW w:w="483" w:type="pct"/>
            <w:vAlign w:val="center"/>
          </w:tcPr>
          <w:p w14:paraId="18F954F5">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54.8</w:t>
            </w:r>
          </w:p>
        </w:tc>
        <w:tc>
          <w:tcPr>
            <w:tcW w:w="483" w:type="pct"/>
            <w:vAlign w:val="center"/>
          </w:tcPr>
          <w:p w14:paraId="19F7E25A">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55.1</w:t>
            </w:r>
          </w:p>
        </w:tc>
        <w:tc>
          <w:tcPr>
            <w:tcW w:w="483" w:type="pct"/>
            <w:vAlign w:val="center"/>
          </w:tcPr>
          <w:p w14:paraId="530F540C">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50.1</w:t>
            </w:r>
          </w:p>
        </w:tc>
        <w:tc>
          <w:tcPr>
            <w:tcW w:w="483" w:type="pct"/>
            <w:vAlign w:val="center"/>
          </w:tcPr>
          <w:p w14:paraId="441F5787">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49.5</w:t>
            </w:r>
          </w:p>
        </w:tc>
        <w:tc>
          <w:tcPr>
            <w:tcW w:w="483" w:type="pct"/>
            <w:vAlign w:val="center"/>
          </w:tcPr>
          <w:p w14:paraId="532A8FC8">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53.2</w:t>
            </w:r>
          </w:p>
        </w:tc>
        <w:tc>
          <w:tcPr>
            <w:tcW w:w="483" w:type="pct"/>
            <w:vAlign w:val="center"/>
          </w:tcPr>
          <w:p w14:paraId="2F52D0AE">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53.6</w:t>
            </w:r>
          </w:p>
        </w:tc>
        <w:tc>
          <w:tcPr>
            <w:tcW w:w="483" w:type="pct"/>
            <w:vAlign w:val="center"/>
          </w:tcPr>
          <w:p w14:paraId="27BBABE6">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54.9</w:t>
            </w:r>
          </w:p>
        </w:tc>
        <w:tc>
          <w:tcPr>
            <w:tcW w:w="485" w:type="pct"/>
            <w:vAlign w:val="center"/>
          </w:tcPr>
          <w:p w14:paraId="174C9B98">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54.8</w:t>
            </w:r>
          </w:p>
        </w:tc>
      </w:tr>
    </w:tbl>
    <w:p w14:paraId="63F25F3D">
      <w:pPr>
        <w:rPr>
          <w:rFonts w:ascii="Times New Roman" w:hAnsi="Times New Roman" w:eastAsia="宋体" w:cs="Times New Roman"/>
          <w:kern w:val="0"/>
          <w:szCs w:val="21"/>
        </w:rPr>
      </w:pPr>
      <w:bookmarkStart w:id="3" w:name="_Toc25252755"/>
      <w:r>
        <w:rPr>
          <w:rFonts w:hint="eastAsia" w:ascii="Times New Roman" w:hAnsi="Times New Roman" w:eastAsia="宋体" w:cs="Times New Roman"/>
          <w:kern w:val="0"/>
          <w:szCs w:val="21"/>
          <w:lang w:val="en-US" w:eastAsia="zh-CN"/>
        </w:rPr>
        <w:t>可以看出，国内外大部分品牌产品均能满足运行噪声低于60dB(A)的要求。</w:t>
      </w:r>
    </w:p>
    <w:p w14:paraId="2C376209">
      <w:pPr>
        <w:pStyle w:val="4"/>
        <w:spacing w:before="0" w:after="0" w:line="440" w:lineRule="exact"/>
        <w:rPr>
          <w:rFonts w:hint="eastAsia" w:ascii="宋体" w:hAnsi="宋体" w:eastAsia="宋体"/>
          <w:sz w:val="21"/>
          <w:szCs w:val="21"/>
          <w:lang w:eastAsia="zh-CN"/>
        </w:rPr>
      </w:pPr>
      <w:r>
        <w:rPr>
          <w:rFonts w:hint="eastAsia" w:ascii="宋体" w:hAnsi="宋体" w:eastAsia="宋体"/>
          <w:sz w:val="21"/>
          <w:szCs w:val="21"/>
        </w:rPr>
        <w:t>4</w:t>
      </w:r>
      <w:r>
        <w:rPr>
          <w:rFonts w:ascii="宋体" w:hAnsi="宋体" w:eastAsia="宋体"/>
          <w:sz w:val="21"/>
          <w:szCs w:val="21"/>
        </w:rPr>
        <w:t>.3.3</w:t>
      </w:r>
      <w:bookmarkEnd w:id="3"/>
      <w:r>
        <w:rPr>
          <w:rFonts w:hint="eastAsia" w:ascii="宋体" w:hAnsi="宋体" w:eastAsia="宋体"/>
          <w:sz w:val="21"/>
          <w:szCs w:val="21"/>
          <w:lang w:val="en-US" w:eastAsia="zh-CN"/>
        </w:rPr>
        <w:t>气味</w:t>
      </w:r>
    </w:p>
    <w:p w14:paraId="08DFA000">
      <w:pPr>
        <w:spacing w:line="360" w:lineRule="auto"/>
        <w:ind w:left="0" w:leftChars="0" w:firstLine="0" w:firstLineChars="0"/>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4.3.3.1方法确认</w:t>
      </w:r>
    </w:p>
    <w:p w14:paraId="4612B415">
      <w:pPr>
        <w:spacing w:line="360" w:lineRule="auto"/>
        <w:ind w:firstLine="420" w:firstLineChars="200"/>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由于本规范是针对气味评价用装置，设备本身可能会释放某些气味，这会干扰被测气味的准确评估，因此必须对此进行严格控制。在国内外相关标准（GB/T 43353-2023、T/CBMF 118.1、T/CBMF 120、ISO 16000-28、ISO 16000-30以及ISO 16000-44）中都要求使用原始气体嗅辨仪开展气味评价工作，但是对于设备本身的气味并没有进行规定，本规范的制定是对以上标准顺利开展的有效补充。原始气体嗅辨仪的工作环境温度一般要求为（23±2）℃或（25±3）℃，本标准选择较高的温度，在该环境温度下放置24h后，将桶盖微微打开，按照GB/T 43353-2023中9.5规定的方法进行气味强度的评价，需要由经过嗅觉筛选和训练的专业气味评价人员开展测试。该方法成熟可靠，精密度已经经过验证。</w:t>
      </w:r>
    </w:p>
    <w:p w14:paraId="48069642">
      <w:pPr>
        <w:spacing w:line="360" w:lineRule="auto"/>
        <w:ind w:firstLine="420" w:firstLineChars="200"/>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对于气味指标要求限值设置为0.5级的考虑主要是基于，本规范的目标是保证原始气体嗅辨仪本身气味不会影响测试过程，因此需要要求气味达到气味评价小组的阈值，即仅有50%的人能够识别到散发的气味，也就是一半的人员结果为0级，另外一般的人员结果为1级，统计计算即为0.5级。</w:t>
      </w:r>
    </w:p>
    <w:p w14:paraId="2AEE0EDA">
      <w:pPr>
        <w:spacing w:line="360" w:lineRule="auto"/>
        <w:ind w:left="0" w:leftChars="0" w:firstLine="0" w:firstLineChars="0"/>
        <w:jc w:val="left"/>
        <w:rPr>
          <w:rFonts w:ascii="Times New Roman" w:hAnsi="Times New Roman" w:eastAsia="宋体" w:cs="Times New Roman"/>
          <w:kern w:val="0"/>
          <w:szCs w:val="21"/>
        </w:rPr>
      </w:pPr>
      <w:bookmarkStart w:id="4" w:name="_Toc25252756"/>
      <w:r>
        <w:rPr>
          <w:rFonts w:hint="eastAsia" w:ascii="Times New Roman" w:hAnsi="Times New Roman" w:eastAsia="宋体" w:cs="Times New Roman"/>
          <w:kern w:val="0"/>
          <w:szCs w:val="21"/>
        </w:rPr>
        <w:t>4.3.3.</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验证试验数据汇总</w:t>
      </w:r>
    </w:p>
    <w:p w14:paraId="37703AAF">
      <w:pPr>
        <w:pStyle w:val="6"/>
        <w:keepNext/>
        <w:jc w:val="center"/>
        <w:rPr>
          <w:rFonts w:ascii="Times New Roman" w:hAnsi="宋体" w:eastAsia="宋体" w:cs="Times New Roman"/>
        </w:rPr>
      </w:pPr>
      <w:r>
        <w:rPr>
          <w:rFonts w:ascii="Times New Roman" w:hAnsi="宋体" w:eastAsia="宋体" w:cs="Times New Roman"/>
        </w:rPr>
        <w:t>表</w:t>
      </w:r>
      <w:r>
        <w:rPr>
          <w:rFonts w:hint="eastAsia" w:ascii="Times New Roman" w:hAnsi="宋体" w:eastAsia="宋体" w:cs="Times New Roman"/>
          <w:lang w:val="en-US" w:eastAsia="zh-CN"/>
        </w:rPr>
        <w:t>5</w:t>
      </w:r>
      <w:r>
        <w:rPr>
          <w:rFonts w:ascii="Times New Roman" w:hAnsi="宋体" w:eastAsia="宋体" w:cs="Times New Roman"/>
        </w:rPr>
        <w:t>不同</w:t>
      </w:r>
      <w:r>
        <w:rPr>
          <w:rFonts w:hint="eastAsia" w:ascii="Times New Roman" w:hAnsi="宋体" w:eastAsia="宋体" w:cs="Times New Roman"/>
        </w:rPr>
        <w:t>品牌</w:t>
      </w:r>
      <w:r>
        <w:rPr>
          <w:rFonts w:ascii="Times New Roman" w:hAnsi="宋体" w:eastAsia="宋体" w:cs="Times New Roman"/>
        </w:rPr>
        <w:t>环境测试舱</w:t>
      </w:r>
      <w:r>
        <w:rPr>
          <w:rFonts w:hint="eastAsia" w:ascii="Times New Roman" w:hAnsi="宋体" w:eastAsia="宋体" w:cs="Times New Roman"/>
        </w:rPr>
        <w:t>回收率测试结果</w:t>
      </w:r>
    </w:p>
    <w:tbl>
      <w:tblPr>
        <w:tblStyle w:val="1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1649"/>
        <w:gridCol w:w="1563"/>
        <w:gridCol w:w="1437"/>
        <w:gridCol w:w="1532"/>
        <w:gridCol w:w="1498"/>
      </w:tblGrid>
      <w:tr w14:paraId="342A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83" w:type="pct"/>
          </w:tcPr>
          <w:p w14:paraId="36CF40CD">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原始气体嗅辨仪</w:t>
            </w:r>
          </w:p>
        </w:tc>
        <w:tc>
          <w:tcPr>
            <w:tcW w:w="862" w:type="pct"/>
          </w:tcPr>
          <w:p w14:paraId="7F87B1CA">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国外</w:t>
            </w:r>
            <w:r>
              <w:rPr>
                <w:rFonts w:hint="eastAsia" w:ascii="宋体" w:hAnsi="宋体" w:eastAsia="宋体" w:cs="宋体"/>
                <w:kern w:val="0"/>
                <w:szCs w:val="21"/>
              </w:rPr>
              <w:t>品牌A设备</w:t>
            </w:r>
          </w:p>
        </w:tc>
        <w:tc>
          <w:tcPr>
            <w:tcW w:w="817" w:type="pct"/>
          </w:tcPr>
          <w:p w14:paraId="1E776DBD">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国外</w:t>
            </w:r>
            <w:r>
              <w:rPr>
                <w:rFonts w:hint="eastAsia" w:ascii="宋体" w:hAnsi="宋体" w:eastAsia="宋体" w:cs="宋体"/>
                <w:kern w:val="0"/>
                <w:szCs w:val="21"/>
              </w:rPr>
              <w:t>品牌B设备</w:t>
            </w:r>
          </w:p>
        </w:tc>
        <w:tc>
          <w:tcPr>
            <w:tcW w:w="751" w:type="pct"/>
          </w:tcPr>
          <w:p w14:paraId="7915ABAD">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国内</w:t>
            </w:r>
            <w:r>
              <w:rPr>
                <w:rFonts w:hint="eastAsia" w:ascii="宋体" w:hAnsi="宋体" w:eastAsia="宋体" w:cs="宋体"/>
                <w:kern w:val="0"/>
                <w:szCs w:val="21"/>
              </w:rPr>
              <w:t>品牌C设备</w:t>
            </w:r>
          </w:p>
        </w:tc>
        <w:tc>
          <w:tcPr>
            <w:tcW w:w="801" w:type="pct"/>
          </w:tcPr>
          <w:p w14:paraId="4432F600">
            <w:pPr>
              <w:widowControl/>
              <w:jc w:val="center"/>
              <w:rPr>
                <w:rFonts w:ascii="宋体" w:hAnsi="宋体" w:eastAsia="宋体" w:cs="宋体"/>
                <w:kern w:val="0"/>
                <w:szCs w:val="21"/>
              </w:rPr>
            </w:pPr>
            <w:r>
              <w:rPr>
                <w:rFonts w:hint="eastAsia" w:ascii="宋体" w:hAnsi="宋体" w:eastAsia="宋体" w:cs="宋体"/>
                <w:kern w:val="0"/>
                <w:szCs w:val="21"/>
                <w:lang w:val="en-US" w:eastAsia="zh-CN"/>
              </w:rPr>
              <w:t>国内</w:t>
            </w:r>
            <w:r>
              <w:rPr>
                <w:rFonts w:hint="eastAsia" w:ascii="宋体" w:hAnsi="宋体" w:eastAsia="宋体" w:cs="宋体"/>
                <w:kern w:val="0"/>
                <w:szCs w:val="21"/>
              </w:rPr>
              <w:t>品牌D设备</w:t>
            </w:r>
          </w:p>
        </w:tc>
        <w:tc>
          <w:tcPr>
            <w:tcW w:w="783" w:type="pct"/>
          </w:tcPr>
          <w:p w14:paraId="48186E26">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国内</w:t>
            </w:r>
            <w:r>
              <w:rPr>
                <w:rFonts w:hint="eastAsia" w:ascii="宋体" w:hAnsi="宋体" w:eastAsia="宋体" w:cs="宋体"/>
                <w:kern w:val="0"/>
                <w:szCs w:val="21"/>
              </w:rPr>
              <w:t>品牌D设备</w:t>
            </w:r>
          </w:p>
        </w:tc>
      </w:tr>
      <w:tr w14:paraId="324F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83" w:type="pct"/>
          </w:tcPr>
          <w:p w14:paraId="233331C0">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材质</w:t>
            </w:r>
          </w:p>
        </w:tc>
        <w:tc>
          <w:tcPr>
            <w:tcW w:w="862" w:type="pct"/>
          </w:tcPr>
          <w:p w14:paraId="232720F3">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不锈钢</w:t>
            </w:r>
          </w:p>
        </w:tc>
        <w:tc>
          <w:tcPr>
            <w:tcW w:w="817" w:type="pct"/>
          </w:tcPr>
          <w:p w14:paraId="376A7250">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聚碳酸酯（PC）</w:t>
            </w:r>
          </w:p>
        </w:tc>
        <w:tc>
          <w:tcPr>
            <w:tcW w:w="751" w:type="pct"/>
          </w:tcPr>
          <w:p w14:paraId="1D4611AB">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亚克力</w:t>
            </w:r>
          </w:p>
        </w:tc>
        <w:tc>
          <w:tcPr>
            <w:tcW w:w="801" w:type="pct"/>
          </w:tcPr>
          <w:p w14:paraId="477B3E4E">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食品级聚氯乙烯（PVC）</w:t>
            </w:r>
          </w:p>
        </w:tc>
        <w:tc>
          <w:tcPr>
            <w:tcW w:w="783" w:type="pct"/>
          </w:tcPr>
          <w:p w14:paraId="0A785E78">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食品级聚丙烯（PP）</w:t>
            </w:r>
          </w:p>
        </w:tc>
      </w:tr>
      <w:tr w14:paraId="5BD8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3" w:type="pct"/>
          </w:tcPr>
          <w:p w14:paraId="64858EA5">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气味强度</w:t>
            </w:r>
          </w:p>
        </w:tc>
        <w:tc>
          <w:tcPr>
            <w:tcW w:w="862" w:type="pct"/>
          </w:tcPr>
          <w:p w14:paraId="68993E14">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817" w:type="pct"/>
          </w:tcPr>
          <w:p w14:paraId="5E2A5F36">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w:t>
            </w:r>
          </w:p>
        </w:tc>
        <w:tc>
          <w:tcPr>
            <w:tcW w:w="751" w:type="pct"/>
          </w:tcPr>
          <w:p w14:paraId="6CA0DBCD">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w:t>
            </w:r>
          </w:p>
        </w:tc>
        <w:tc>
          <w:tcPr>
            <w:tcW w:w="801" w:type="pct"/>
          </w:tcPr>
          <w:p w14:paraId="60F145CA">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783" w:type="pct"/>
          </w:tcPr>
          <w:p w14:paraId="6474D39D">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w:t>
            </w:r>
          </w:p>
        </w:tc>
      </w:tr>
    </w:tbl>
    <w:p w14:paraId="61E95420">
      <w:pPr>
        <w:spacing w:line="360" w:lineRule="auto"/>
        <w:ind w:firstLine="420" w:firstLineChars="200"/>
        <w:jc w:val="left"/>
        <w:rPr>
          <w:rFonts w:ascii="Times New Roman" w:hAnsi="Times New Roman" w:eastAsia="宋体" w:cs="Times New Roman"/>
          <w:kern w:val="0"/>
          <w:szCs w:val="21"/>
        </w:rPr>
      </w:pPr>
      <w:r>
        <w:rPr>
          <w:rFonts w:hint="eastAsia" w:ascii="宋体" w:hAnsi="宋体" w:eastAsia="宋体" w:cs="宋体"/>
          <w:kern w:val="0"/>
          <w:szCs w:val="21"/>
          <w:lang w:val="en-US" w:eastAsia="zh-CN"/>
        </w:rPr>
        <w:t>可以看出大部分品牌产品的气味可以满足本规范的要求，指标要求设置合理。</w:t>
      </w:r>
    </w:p>
    <w:p w14:paraId="7CD1B47C">
      <w:pPr>
        <w:pStyle w:val="4"/>
        <w:spacing w:before="0" w:after="0" w:line="440" w:lineRule="exact"/>
        <w:rPr>
          <w:rFonts w:hint="default" w:ascii="宋体" w:hAnsi="宋体" w:eastAsia="宋体"/>
          <w:sz w:val="21"/>
          <w:szCs w:val="21"/>
          <w:lang w:val="en-US" w:eastAsia="zh-CN"/>
        </w:rPr>
      </w:pPr>
      <w:r>
        <w:rPr>
          <w:rFonts w:hint="eastAsia" w:ascii="宋体" w:hAnsi="宋体" w:eastAsia="宋体"/>
          <w:sz w:val="21"/>
          <w:szCs w:val="21"/>
        </w:rPr>
        <w:t>4</w:t>
      </w:r>
      <w:r>
        <w:rPr>
          <w:rFonts w:ascii="宋体" w:hAnsi="宋体" w:eastAsia="宋体"/>
          <w:sz w:val="21"/>
          <w:szCs w:val="21"/>
        </w:rPr>
        <w:t>.3.4</w:t>
      </w:r>
      <w:bookmarkEnd w:id="4"/>
      <w:r>
        <w:rPr>
          <w:rFonts w:hint="eastAsia" w:ascii="宋体" w:hAnsi="宋体" w:eastAsia="宋体"/>
          <w:sz w:val="21"/>
          <w:szCs w:val="21"/>
          <w:lang w:val="en-US" w:eastAsia="zh-CN"/>
        </w:rPr>
        <w:t>输出流量及输出流量重复性</w:t>
      </w:r>
    </w:p>
    <w:p w14:paraId="6A0DD1A2">
      <w:pPr>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4.3.4.1方法确定</w:t>
      </w:r>
    </w:p>
    <w:p w14:paraId="6A367C25">
      <w:pPr>
        <w:spacing w:line="360" w:lineRule="auto"/>
        <w:ind w:firstLine="420" w:firstLineChars="200"/>
        <w:jc w:val="left"/>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在GB/T 43353和ISO 16000-28中对于原始气体嗅辨仪的输出流量要求均为42L/min至60L/min的范围内，在该流量下，可以保证气味评价人员在吸入气味样本时，不会收到环境空气的影响，另外不会由于呼吸的深浅程度造成结果的偏差。通过规定统一的输出流量范围，可以进一步规范行业气味评价技术发展，对于结果的可比性和可靠性提升具有重要意义。</w:t>
      </w:r>
    </w:p>
    <w:p w14:paraId="349F013C">
      <w:pPr>
        <w:spacing w:line="360" w:lineRule="auto"/>
        <w:ind w:firstLine="420" w:firstLineChars="200"/>
        <w:jc w:val="lef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由于气味评价过程中，一般需要多名（5至15名）气味评价人员多次进行评价，因此装置的输出流量重复性对于结果的可靠性影响较大，因此本规范需要对其进行严格规定。</w:t>
      </w:r>
    </w:p>
    <w:p w14:paraId="2414837B">
      <w:pPr>
        <w:spacing w:line="360" w:lineRule="auto"/>
        <w:ind w:firstLine="420" w:firstLineChars="200"/>
        <w:jc w:val="left"/>
        <w:rPr>
          <w:rFonts w:hint="default" w:ascii="宋体" w:hAnsi="宋体" w:cs="Times New Roman" w:eastAsiaTheme="minorEastAsia"/>
          <w:kern w:val="0"/>
          <w:szCs w:val="21"/>
          <w:lang w:val="en-US" w:eastAsia="zh-CN"/>
        </w:rPr>
      </w:pPr>
      <w:r>
        <w:rPr>
          <w:rFonts w:hint="eastAsia" w:ascii="宋体" w:hAnsi="宋体" w:eastAsia="宋体" w:cs="Times New Roman"/>
          <w:kern w:val="0"/>
          <w:szCs w:val="21"/>
          <w:lang w:val="en-US" w:eastAsia="zh-CN"/>
        </w:rPr>
        <w:t>本规范选择使用差压式流量计，可适用于各流量段，当被测介质流经差压件时，在其两侧产生差压(当差压件一端直通大气且只有单一取压孔的特殊差压测量模块称为孔口测量模块)，由差压与流量的关系，通过测量差压确定流体的流量，并通过装置显示仪显示出来，选择准确度等级为0.5和1.0级的，符合JJG 640-2016《差压式流量计》的校准设备。</w:t>
      </w:r>
    </w:p>
    <w:p w14:paraId="2C54CFDC">
      <w:pPr>
        <w:spacing w:line="360" w:lineRule="auto"/>
        <w:ind w:firstLine="420" w:firstLineChars="200"/>
        <w:jc w:val="lef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综合参考JJG 956-2013等采气或供气设备的计量校准规范，</w:t>
      </w:r>
      <w:r>
        <w:rPr>
          <w:rFonts w:hint="eastAsia" w:ascii="宋体" w:hAnsi="宋体" w:eastAsia="宋体" w:cs="Times New Roman"/>
          <w:kern w:val="0"/>
          <w:szCs w:val="21"/>
        </w:rPr>
        <w:t>将</w:t>
      </w:r>
      <w:r>
        <w:rPr>
          <w:rFonts w:hint="eastAsia" w:ascii="宋体" w:hAnsi="宋体" w:eastAsia="宋体" w:cs="Times New Roman"/>
          <w:kern w:val="0"/>
          <w:szCs w:val="21"/>
          <w:lang w:val="en-US" w:eastAsia="zh-CN"/>
        </w:rPr>
        <w:t>规范</w:t>
      </w:r>
      <w:r>
        <w:rPr>
          <w:rFonts w:hint="eastAsia" w:ascii="宋体" w:hAnsi="宋体" w:eastAsia="宋体" w:cs="Times New Roman"/>
          <w:kern w:val="0"/>
          <w:szCs w:val="21"/>
        </w:rPr>
        <w:t>中涉及方法汇总如下：</w:t>
      </w:r>
    </w:p>
    <w:p w14:paraId="255539C9">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（1）将充有一定体积气体的气袋连接至原始气体嗅辨仪，取下嗅辨杯，按照图</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原始气体嗅辨仪校准系统示意图进行连接，保证原始气体嗅辨仪差压达到额定要求。取压口到原始气体嗅辨仪的距离一般应不超过15cm，取压管的长度应尽量缩短以减少管线带来的压损。</w:t>
      </w:r>
    </w:p>
    <w:p w14:paraId="1D2616D6">
      <w:pPr>
        <w:spacing w:line="360" w:lineRule="auto"/>
        <w:ind w:firstLine="480" w:firstLineChars="200"/>
        <w:jc w:val="left"/>
        <w:rPr>
          <w:rFonts w:hint="eastAsia" w:ascii="宋体" w:hAnsi="宋体" w:eastAsia="宋体" w:cs="Times New Roman"/>
          <w:kern w:val="0"/>
          <w:szCs w:val="21"/>
        </w:rPr>
      </w:pPr>
      <w:r>
        <w:rPr>
          <w:rFonts w:hint="eastAsia" w:ascii="宋体" w:hAnsi="宋体"/>
          <w:color w:val="000000"/>
          <w:sz w:val="24"/>
        </w:rPr>
        <w:drawing>
          <wp:inline distT="0" distB="0" distL="114300" distR="114300">
            <wp:extent cx="5238115" cy="1612265"/>
            <wp:effectExtent l="0" t="0" r="635" b="6985"/>
            <wp:docPr id="24" name="图片 24" descr="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片1(1)"/>
                    <pic:cNvPicPr>
                      <a:picLocks noChangeAspect="1"/>
                    </pic:cNvPicPr>
                  </pic:nvPicPr>
                  <pic:blipFill>
                    <a:blip r:embed="rId6"/>
                    <a:stretch>
                      <a:fillRect/>
                    </a:stretch>
                  </pic:blipFill>
                  <pic:spPr>
                    <a:xfrm>
                      <a:off x="0" y="0"/>
                      <a:ext cx="5238115" cy="1612265"/>
                    </a:xfrm>
                    <a:prstGeom prst="rect">
                      <a:avLst/>
                    </a:prstGeom>
                  </pic:spPr>
                </pic:pic>
              </a:graphicData>
            </a:graphic>
          </wp:inline>
        </w:drawing>
      </w:r>
    </w:p>
    <w:p w14:paraId="57E26204">
      <w:pPr>
        <w:spacing w:line="360" w:lineRule="auto"/>
        <w:ind w:left="0" w:leftChars="0" w:firstLine="0" w:firstLineChars="0"/>
        <w:jc w:val="center"/>
        <w:rPr>
          <w:rFonts w:hint="eastAsia" w:ascii="宋体" w:hAnsi="宋体" w:eastAsia="宋体" w:cs="Times New Roman"/>
          <w:kern w:val="0"/>
          <w:szCs w:val="21"/>
        </w:rPr>
      </w:pPr>
      <w:r>
        <w:rPr>
          <w:rFonts w:hint="eastAsia" w:ascii="宋体" w:hAnsi="宋体" w:eastAsia="宋体" w:cs="Times New Roman"/>
          <w:kern w:val="0"/>
          <w:szCs w:val="21"/>
        </w:rPr>
        <w:t>图</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 xml:space="preserve"> 原始气体嗅辨仪校准系统连接示意图</w:t>
      </w:r>
    </w:p>
    <w:p w14:paraId="36B9CF4C">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2）连接完成后在确定各连接处不漏气的情况下打开气源，将稳压气源的压力调节到与额定压力相近，再利用调压阀进行压力调节，保证被校表前压或差压达到额定压力，稳定一段时间后开始进行校准。校准过程中，温度和压力的波动需满足</w:t>
      </w:r>
      <w:r>
        <w:rPr>
          <w:rFonts w:hint="eastAsia" w:ascii="宋体" w:hAnsi="宋体" w:eastAsia="宋体" w:cs="Times New Roman"/>
          <w:kern w:val="0"/>
          <w:szCs w:val="21"/>
          <w:lang w:val="en-US" w:eastAsia="zh-CN"/>
        </w:rPr>
        <w:t>规范</w:t>
      </w:r>
      <w:r>
        <w:rPr>
          <w:rFonts w:hint="eastAsia" w:ascii="宋体" w:hAnsi="宋体" w:eastAsia="宋体" w:cs="Times New Roman"/>
          <w:kern w:val="0"/>
          <w:szCs w:val="21"/>
        </w:rPr>
        <w:t>6.2.2 的要求。</w:t>
      </w:r>
    </w:p>
    <w:p w14:paraId="037C408A">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（3）待流量稳定后记录流量测量标准装置的读数及各个测量仪表的数值。</w:t>
      </w:r>
    </w:p>
    <w:p w14:paraId="1169D978">
      <w:pPr>
        <w:spacing w:line="360" w:lineRule="auto"/>
        <w:ind w:firstLine="420" w:firstLineChars="200"/>
        <w:jc w:val="left"/>
        <w:rPr>
          <w:rFonts w:hint="eastAsia" w:ascii="宋体" w:hAnsi="宋体" w:eastAsia="宋体" w:cs="Times New Roman"/>
          <w:kern w:val="0"/>
          <w:szCs w:val="21"/>
        </w:rPr>
      </w:pPr>
      <w:r>
        <w:rPr>
          <w:rFonts w:hint="eastAsia" w:ascii="宋体" w:hAnsi="宋体" w:eastAsia="宋体" w:cs="Times New Roman"/>
          <w:kern w:val="0"/>
          <w:szCs w:val="21"/>
        </w:rPr>
        <w:t>（4）至少重复进行6次流量值的校准</w:t>
      </w:r>
      <w:r>
        <w:rPr>
          <w:rFonts w:hint="eastAsia" w:ascii="宋体" w:hAnsi="宋体" w:eastAsia="宋体" w:cs="Times New Roman"/>
          <w:kern w:val="0"/>
          <w:szCs w:val="21"/>
          <w:lang w:eastAsia="zh-CN"/>
        </w:rPr>
        <w:t>，</w:t>
      </w:r>
      <w:r>
        <w:rPr>
          <w:rFonts w:hint="eastAsia" w:ascii="宋体" w:hAnsi="宋体" w:eastAsia="宋体" w:cs="Times New Roman"/>
          <w:kern w:val="0"/>
          <w:szCs w:val="21"/>
          <w:lang w:val="en-US" w:eastAsia="zh-CN"/>
        </w:rPr>
        <w:t>然后计算流量平均值和重复性。</w:t>
      </w:r>
    </w:p>
    <w:p w14:paraId="05BCAA76">
      <w:pPr>
        <w:spacing w:line="360" w:lineRule="auto"/>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4.3.4.2验证试验数据汇总</w:t>
      </w:r>
    </w:p>
    <w:p w14:paraId="435BF6A5">
      <w:pPr>
        <w:pStyle w:val="6"/>
        <w:keepNext/>
        <w:jc w:val="center"/>
        <w:rPr>
          <w:rFonts w:hint="eastAsia" w:ascii="Times New Roman" w:hAnsi="宋体" w:eastAsia="宋体" w:cs="Times New Roman"/>
          <w:lang w:val="en-US" w:eastAsia="zh-CN"/>
        </w:rPr>
      </w:pPr>
      <w:r>
        <w:rPr>
          <w:rFonts w:ascii="Times New Roman" w:hAnsi="宋体" w:eastAsia="宋体" w:cs="Times New Roman"/>
        </w:rPr>
        <w:t>表</w:t>
      </w:r>
      <w:r>
        <w:rPr>
          <w:rFonts w:hint="eastAsia" w:ascii="Times New Roman" w:hAnsi="宋体" w:eastAsia="宋体" w:cs="Times New Roman"/>
          <w:lang w:val="en-US" w:eastAsia="zh-CN"/>
        </w:rPr>
        <w:t xml:space="preserve">6 </w:t>
      </w:r>
      <w:r>
        <w:rPr>
          <w:rFonts w:ascii="Times New Roman" w:hAnsi="宋体" w:eastAsia="宋体" w:cs="Times New Roman"/>
        </w:rPr>
        <w:t>不同品牌</w:t>
      </w:r>
      <w:r>
        <w:rPr>
          <w:rFonts w:hint="eastAsia" w:ascii="Times New Roman" w:hAnsi="宋体" w:eastAsia="宋体" w:cs="Times New Roman"/>
          <w:lang w:val="en-US" w:eastAsia="zh-CN"/>
        </w:rPr>
        <w:t>产品输出流量及输出流量稳定性结果</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914"/>
        <w:gridCol w:w="1914"/>
        <w:gridCol w:w="1914"/>
        <w:gridCol w:w="1914"/>
        <w:gridCol w:w="1915"/>
      </w:tblGrid>
      <w:tr w14:paraId="4392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2A941469">
            <w:pPr>
              <w:jc w:val="left"/>
              <w:rPr>
                <w:rFonts w:hint="eastAsia"/>
                <w:vertAlign w:val="baseline"/>
                <w:lang w:val="en-US" w:eastAsia="zh-CN"/>
              </w:rPr>
            </w:pPr>
          </w:p>
        </w:tc>
        <w:tc>
          <w:tcPr>
            <w:tcW w:w="7657" w:type="dxa"/>
            <w:gridSpan w:val="4"/>
            <w:vAlign w:val="center"/>
          </w:tcPr>
          <w:p w14:paraId="246C9EEB">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输出流量测试结果/(L/min)</w:t>
            </w:r>
          </w:p>
        </w:tc>
      </w:tr>
      <w:tr w14:paraId="7ED8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4F727CA7">
            <w:pPr>
              <w:jc w:val="center"/>
              <w:rPr>
                <w:rFonts w:hint="default"/>
                <w:vertAlign w:val="baseline"/>
                <w:lang w:val="en-US" w:eastAsia="zh-CN"/>
              </w:rPr>
            </w:pPr>
            <w:r>
              <w:rPr>
                <w:rFonts w:hint="eastAsia"/>
                <w:vertAlign w:val="baseline"/>
                <w:lang w:val="en-US" w:eastAsia="zh-CN"/>
              </w:rPr>
              <w:t>测试次数</w:t>
            </w:r>
          </w:p>
        </w:tc>
        <w:tc>
          <w:tcPr>
            <w:tcW w:w="1914" w:type="dxa"/>
            <w:vAlign w:val="center"/>
          </w:tcPr>
          <w:p w14:paraId="66C6C82D">
            <w:pPr>
              <w:widowControl/>
              <w:jc w:val="center"/>
              <w:rPr>
                <w:rFonts w:hint="default"/>
                <w:vertAlign w:val="baseline"/>
                <w:lang w:val="en-US" w:eastAsia="zh-CN"/>
              </w:rPr>
            </w:pPr>
            <w:r>
              <w:rPr>
                <w:rFonts w:hint="eastAsia" w:ascii="宋体" w:hAnsi="宋体" w:eastAsia="宋体" w:cs="宋体"/>
                <w:kern w:val="0"/>
                <w:sz w:val="18"/>
                <w:szCs w:val="18"/>
              </w:rPr>
              <w:t>品牌A设备</w:t>
            </w:r>
          </w:p>
        </w:tc>
        <w:tc>
          <w:tcPr>
            <w:tcW w:w="1914" w:type="dxa"/>
            <w:vAlign w:val="center"/>
          </w:tcPr>
          <w:p w14:paraId="2291B8EC">
            <w:pPr>
              <w:widowControl/>
              <w:jc w:val="center"/>
              <w:rPr>
                <w:rFonts w:hint="default"/>
                <w:vertAlign w:val="baseline"/>
                <w:lang w:val="en-US" w:eastAsia="zh-CN"/>
              </w:rPr>
            </w:pPr>
            <w:r>
              <w:rPr>
                <w:rFonts w:hint="eastAsia" w:ascii="宋体" w:hAnsi="宋体" w:eastAsia="宋体" w:cs="宋体"/>
                <w:kern w:val="0"/>
                <w:sz w:val="18"/>
                <w:szCs w:val="18"/>
              </w:rPr>
              <w:t>品牌B设备</w:t>
            </w:r>
          </w:p>
        </w:tc>
        <w:tc>
          <w:tcPr>
            <w:tcW w:w="1914" w:type="dxa"/>
            <w:vAlign w:val="center"/>
          </w:tcPr>
          <w:p w14:paraId="610D7886">
            <w:pPr>
              <w:widowControl/>
              <w:jc w:val="center"/>
              <w:rPr>
                <w:rFonts w:hint="default"/>
                <w:vertAlign w:val="baseline"/>
                <w:lang w:val="en-US" w:eastAsia="zh-CN"/>
              </w:rPr>
            </w:pPr>
            <w:r>
              <w:rPr>
                <w:rFonts w:hint="eastAsia" w:ascii="宋体" w:hAnsi="宋体" w:eastAsia="宋体" w:cs="宋体"/>
                <w:kern w:val="0"/>
                <w:sz w:val="18"/>
                <w:szCs w:val="18"/>
              </w:rPr>
              <w:t>品牌C设备</w:t>
            </w:r>
          </w:p>
        </w:tc>
        <w:tc>
          <w:tcPr>
            <w:tcW w:w="1915" w:type="dxa"/>
            <w:vAlign w:val="center"/>
          </w:tcPr>
          <w:p w14:paraId="68D39D32">
            <w:pPr>
              <w:widowControl/>
              <w:jc w:val="center"/>
              <w:rPr>
                <w:rFonts w:hint="default"/>
                <w:vertAlign w:val="baseline"/>
                <w:lang w:val="en-US" w:eastAsia="zh-CN"/>
              </w:rPr>
            </w:pPr>
            <w:r>
              <w:rPr>
                <w:rFonts w:hint="eastAsia" w:ascii="宋体" w:hAnsi="宋体" w:eastAsia="宋体" w:cs="宋体"/>
                <w:kern w:val="0"/>
                <w:sz w:val="18"/>
                <w:szCs w:val="18"/>
              </w:rPr>
              <w:t>品牌D设备</w:t>
            </w:r>
          </w:p>
        </w:tc>
      </w:tr>
      <w:tr w14:paraId="1DC2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5EB50DEF">
            <w:pPr>
              <w:jc w:val="center"/>
              <w:rPr>
                <w:rFonts w:hint="default"/>
                <w:vertAlign w:val="baseline"/>
                <w:lang w:val="en-US" w:eastAsia="zh-CN"/>
              </w:rPr>
            </w:pPr>
            <w:r>
              <w:rPr>
                <w:rFonts w:hint="eastAsia"/>
                <w:vertAlign w:val="baseline"/>
                <w:lang w:val="en-US" w:eastAsia="zh-CN"/>
              </w:rPr>
              <w:t>1</w:t>
            </w:r>
          </w:p>
        </w:tc>
        <w:tc>
          <w:tcPr>
            <w:tcW w:w="1914" w:type="dxa"/>
            <w:vAlign w:val="center"/>
          </w:tcPr>
          <w:p w14:paraId="1CF11C6F">
            <w:pPr>
              <w:jc w:val="center"/>
              <w:rPr>
                <w:rFonts w:hint="default"/>
                <w:vertAlign w:val="baseline"/>
                <w:lang w:val="en-US" w:eastAsia="zh-CN"/>
              </w:rPr>
            </w:pPr>
            <w:r>
              <w:rPr>
                <w:rFonts w:hint="eastAsia"/>
                <w:vertAlign w:val="baseline"/>
                <w:lang w:val="en-US" w:eastAsia="zh-CN"/>
              </w:rPr>
              <w:t>54.2</w:t>
            </w:r>
          </w:p>
        </w:tc>
        <w:tc>
          <w:tcPr>
            <w:tcW w:w="1914" w:type="dxa"/>
            <w:vAlign w:val="center"/>
          </w:tcPr>
          <w:p w14:paraId="725C3E70">
            <w:pPr>
              <w:jc w:val="center"/>
              <w:rPr>
                <w:rFonts w:hint="default"/>
                <w:vertAlign w:val="baseline"/>
                <w:lang w:val="en-US" w:eastAsia="zh-CN"/>
              </w:rPr>
            </w:pPr>
            <w:r>
              <w:rPr>
                <w:rFonts w:hint="eastAsia"/>
                <w:vertAlign w:val="baseline"/>
                <w:lang w:val="en-US" w:eastAsia="zh-CN"/>
              </w:rPr>
              <w:t>47.2</w:t>
            </w:r>
          </w:p>
        </w:tc>
        <w:tc>
          <w:tcPr>
            <w:tcW w:w="1914" w:type="dxa"/>
            <w:vAlign w:val="center"/>
          </w:tcPr>
          <w:p w14:paraId="10DC5315">
            <w:pPr>
              <w:jc w:val="center"/>
              <w:rPr>
                <w:rFonts w:hint="default"/>
                <w:vertAlign w:val="baseline"/>
                <w:lang w:val="en-US" w:eastAsia="zh-CN"/>
              </w:rPr>
            </w:pPr>
            <w:r>
              <w:rPr>
                <w:rFonts w:hint="eastAsia"/>
                <w:vertAlign w:val="baseline"/>
                <w:lang w:val="en-US" w:eastAsia="zh-CN"/>
              </w:rPr>
              <w:t>45.1</w:t>
            </w:r>
          </w:p>
        </w:tc>
        <w:tc>
          <w:tcPr>
            <w:tcW w:w="1915" w:type="dxa"/>
            <w:vAlign w:val="center"/>
          </w:tcPr>
          <w:p w14:paraId="5C2B1AD0">
            <w:pPr>
              <w:jc w:val="center"/>
              <w:rPr>
                <w:rFonts w:hint="default"/>
                <w:vertAlign w:val="baseline"/>
                <w:lang w:val="en-US" w:eastAsia="zh-CN"/>
              </w:rPr>
            </w:pPr>
            <w:r>
              <w:rPr>
                <w:rFonts w:hint="eastAsia"/>
                <w:vertAlign w:val="baseline"/>
                <w:lang w:val="en-US" w:eastAsia="zh-CN"/>
              </w:rPr>
              <w:t>54.6</w:t>
            </w:r>
          </w:p>
        </w:tc>
      </w:tr>
      <w:tr w14:paraId="022B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17F947B4">
            <w:pPr>
              <w:jc w:val="center"/>
              <w:rPr>
                <w:rFonts w:hint="default"/>
                <w:vertAlign w:val="baseline"/>
                <w:lang w:val="en-US" w:eastAsia="zh-CN"/>
              </w:rPr>
            </w:pPr>
            <w:r>
              <w:rPr>
                <w:rFonts w:hint="eastAsia"/>
                <w:vertAlign w:val="baseline"/>
                <w:lang w:val="en-US" w:eastAsia="zh-CN"/>
              </w:rPr>
              <w:t>2</w:t>
            </w:r>
          </w:p>
        </w:tc>
        <w:tc>
          <w:tcPr>
            <w:tcW w:w="1914" w:type="dxa"/>
            <w:vAlign w:val="center"/>
          </w:tcPr>
          <w:p w14:paraId="4CC38607">
            <w:pPr>
              <w:jc w:val="center"/>
              <w:rPr>
                <w:rFonts w:hint="default"/>
                <w:vertAlign w:val="baseline"/>
                <w:lang w:val="en-US" w:eastAsia="zh-CN"/>
              </w:rPr>
            </w:pPr>
            <w:r>
              <w:rPr>
                <w:rFonts w:hint="eastAsia"/>
                <w:vertAlign w:val="baseline"/>
                <w:lang w:val="en-US" w:eastAsia="zh-CN"/>
              </w:rPr>
              <w:t>54.4</w:t>
            </w:r>
          </w:p>
        </w:tc>
        <w:tc>
          <w:tcPr>
            <w:tcW w:w="1914" w:type="dxa"/>
            <w:vAlign w:val="center"/>
          </w:tcPr>
          <w:p w14:paraId="674C75FB">
            <w:pPr>
              <w:jc w:val="center"/>
              <w:rPr>
                <w:rFonts w:hint="default"/>
                <w:vertAlign w:val="baseline"/>
                <w:lang w:val="en-US" w:eastAsia="zh-CN"/>
              </w:rPr>
            </w:pPr>
            <w:r>
              <w:rPr>
                <w:rFonts w:hint="eastAsia"/>
                <w:vertAlign w:val="baseline"/>
                <w:lang w:val="en-US" w:eastAsia="zh-CN"/>
              </w:rPr>
              <w:t>47.8</w:t>
            </w:r>
          </w:p>
        </w:tc>
        <w:tc>
          <w:tcPr>
            <w:tcW w:w="1914" w:type="dxa"/>
            <w:vAlign w:val="center"/>
          </w:tcPr>
          <w:p w14:paraId="57F3BA48">
            <w:pPr>
              <w:jc w:val="center"/>
              <w:rPr>
                <w:rFonts w:hint="default"/>
                <w:vertAlign w:val="baseline"/>
                <w:lang w:val="en-US" w:eastAsia="zh-CN"/>
              </w:rPr>
            </w:pPr>
            <w:r>
              <w:rPr>
                <w:rFonts w:hint="eastAsia"/>
                <w:vertAlign w:val="baseline"/>
                <w:lang w:val="en-US" w:eastAsia="zh-CN"/>
              </w:rPr>
              <w:t>45.5</w:t>
            </w:r>
          </w:p>
        </w:tc>
        <w:tc>
          <w:tcPr>
            <w:tcW w:w="1915" w:type="dxa"/>
            <w:vAlign w:val="center"/>
          </w:tcPr>
          <w:p w14:paraId="16CD4DBF">
            <w:pPr>
              <w:jc w:val="center"/>
              <w:rPr>
                <w:rFonts w:hint="default"/>
                <w:vertAlign w:val="baseline"/>
                <w:lang w:val="en-US" w:eastAsia="zh-CN"/>
              </w:rPr>
            </w:pPr>
            <w:r>
              <w:rPr>
                <w:rFonts w:hint="eastAsia"/>
                <w:vertAlign w:val="baseline"/>
                <w:lang w:val="en-US" w:eastAsia="zh-CN"/>
              </w:rPr>
              <w:t>54.1</w:t>
            </w:r>
          </w:p>
        </w:tc>
      </w:tr>
      <w:tr w14:paraId="16A7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56A95D51">
            <w:pPr>
              <w:jc w:val="center"/>
              <w:rPr>
                <w:rFonts w:hint="default"/>
                <w:vertAlign w:val="baseline"/>
                <w:lang w:val="en-US" w:eastAsia="zh-CN"/>
              </w:rPr>
            </w:pPr>
            <w:r>
              <w:rPr>
                <w:rFonts w:hint="eastAsia"/>
                <w:vertAlign w:val="baseline"/>
                <w:lang w:val="en-US" w:eastAsia="zh-CN"/>
              </w:rPr>
              <w:t>3</w:t>
            </w:r>
          </w:p>
        </w:tc>
        <w:tc>
          <w:tcPr>
            <w:tcW w:w="1914" w:type="dxa"/>
            <w:vAlign w:val="center"/>
          </w:tcPr>
          <w:p w14:paraId="2218F0A0">
            <w:pPr>
              <w:jc w:val="center"/>
              <w:rPr>
                <w:rFonts w:hint="default"/>
                <w:vertAlign w:val="baseline"/>
                <w:lang w:val="en-US" w:eastAsia="zh-CN"/>
              </w:rPr>
            </w:pPr>
            <w:r>
              <w:rPr>
                <w:rFonts w:hint="eastAsia"/>
                <w:vertAlign w:val="baseline"/>
                <w:lang w:val="en-US" w:eastAsia="zh-CN"/>
              </w:rPr>
              <w:t>53.7</w:t>
            </w:r>
          </w:p>
        </w:tc>
        <w:tc>
          <w:tcPr>
            <w:tcW w:w="1914" w:type="dxa"/>
            <w:vAlign w:val="center"/>
          </w:tcPr>
          <w:p w14:paraId="46D0C7D7">
            <w:pPr>
              <w:jc w:val="center"/>
              <w:rPr>
                <w:rFonts w:hint="default"/>
                <w:vertAlign w:val="baseline"/>
                <w:lang w:val="en-US" w:eastAsia="zh-CN"/>
              </w:rPr>
            </w:pPr>
            <w:r>
              <w:rPr>
                <w:rFonts w:hint="eastAsia"/>
                <w:vertAlign w:val="baseline"/>
                <w:lang w:val="en-US" w:eastAsia="zh-CN"/>
              </w:rPr>
              <w:t>48.1</w:t>
            </w:r>
          </w:p>
        </w:tc>
        <w:tc>
          <w:tcPr>
            <w:tcW w:w="1914" w:type="dxa"/>
            <w:vAlign w:val="center"/>
          </w:tcPr>
          <w:p w14:paraId="3C0C79B4">
            <w:pPr>
              <w:jc w:val="center"/>
              <w:rPr>
                <w:rFonts w:hint="default"/>
                <w:vertAlign w:val="baseline"/>
                <w:lang w:val="en-US" w:eastAsia="zh-CN"/>
              </w:rPr>
            </w:pPr>
            <w:r>
              <w:rPr>
                <w:rFonts w:hint="eastAsia"/>
                <w:vertAlign w:val="baseline"/>
                <w:lang w:val="en-US" w:eastAsia="zh-CN"/>
              </w:rPr>
              <w:t>45.5</w:t>
            </w:r>
          </w:p>
        </w:tc>
        <w:tc>
          <w:tcPr>
            <w:tcW w:w="1915" w:type="dxa"/>
            <w:vAlign w:val="center"/>
          </w:tcPr>
          <w:p w14:paraId="35E2D990">
            <w:pPr>
              <w:jc w:val="center"/>
              <w:rPr>
                <w:rFonts w:hint="default"/>
                <w:vertAlign w:val="baseline"/>
                <w:lang w:val="en-US" w:eastAsia="zh-CN"/>
              </w:rPr>
            </w:pPr>
            <w:r>
              <w:rPr>
                <w:rFonts w:hint="eastAsia"/>
                <w:vertAlign w:val="baseline"/>
                <w:lang w:val="en-US" w:eastAsia="zh-CN"/>
              </w:rPr>
              <w:t>53.9</w:t>
            </w:r>
          </w:p>
        </w:tc>
      </w:tr>
      <w:tr w14:paraId="4DB1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010A4C23">
            <w:pPr>
              <w:jc w:val="center"/>
              <w:rPr>
                <w:rFonts w:hint="default"/>
                <w:vertAlign w:val="baseline"/>
                <w:lang w:val="en-US" w:eastAsia="zh-CN"/>
              </w:rPr>
            </w:pPr>
            <w:r>
              <w:rPr>
                <w:rFonts w:hint="eastAsia"/>
                <w:vertAlign w:val="baseline"/>
                <w:lang w:val="en-US" w:eastAsia="zh-CN"/>
              </w:rPr>
              <w:t>4</w:t>
            </w:r>
          </w:p>
        </w:tc>
        <w:tc>
          <w:tcPr>
            <w:tcW w:w="1914" w:type="dxa"/>
            <w:vAlign w:val="center"/>
          </w:tcPr>
          <w:p w14:paraId="492FEDC3">
            <w:pPr>
              <w:jc w:val="center"/>
              <w:rPr>
                <w:rFonts w:hint="default"/>
                <w:vertAlign w:val="baseline"/>
                <w:lang w:val="en-US" w:eastAsia="zh-CN"/>
              </w:rPr>
            </w:pPr>
            <w:r>
              <w:rPr>
                <w:rFonts w:hint="eastAsia"/>
                <w:vertAlign w:val="baseline"/>
                <w:lang w:val="en-US" w:eastAsia="zh-CN"/>
              </w:rPr>
              <w:t>52.9</w:t>
            </w:r>
          </w:p>
        </w:tc>
        <w:tc>
          <w:tcPr>
            <w:tcW w:w="1914" w:type="dxa"/>
            <w:vAlign w:val="center"/>
          </w:tcPr>
          <w:p w14:paraId="1F3040EF">
            <w:pPr>
              <w:jc w:val="center"/>
              <w:rPr>
                <w:rFonts w:hint="default"/>
                <w:vertAlign w:val="baseline"/>
                <w:lang w:val="en-US" w:eastAsia="zh-CN"/>
              </w:rPr>
            </w:pPr>
            <w:r>
              <w:rPr>
                <w:rFonts w:hint="eastAsia"/>
                <w:vertAlign w:val="baseline"/>
                <w:lang w:val="en-US" w:eastAsia="zh-CN"/>
              </w:rPr>
              <w:t>48.0</w:t>
            </w:r>
          </w:p>
        </w:tc>
        <w:tc>
          <w:tcPr>
            <w:tcW w:w="1914" w:type="dxa"/>
            <w:vAlign w:val="center"/>
          </w:tcPr>
          <w:p w14:paraId="24501062">
            <w:pPr>
              <w:jc w:val="center"/>
              <w:rPr>
                <w:rFonts w:hint="default"/>
                <w:vertAlign w:val="baseline"/>
                <w:lang w:val="en-US" w:eastAsia="zh-CN"/>
              </w:rPr>
            </w:pPr>
            <w:r>
              <w:rPr>
                <w:rFonts w:hint="eastAsia"/>
                <w:vertAlign w:val="baseline"/>
                <w:lang w:val="en-US" w:eastAsia="zh-CN"/>
              </w:rPr>
              <w:t>45.9</w:t>
            </w:r>
          </w:p>
        </w:tc>
        <w:tc>
          <w:tcPr>
            <w:tcW w:w="1915" w:type="dxa"/>
            <w:vAlign w:val="center"/>
          </w:tcPr>
          <w:p w14:paraId="1AF58B0E">
            <w:pPr>
              <w:jc w:val="center"/>
              <w:rPr>
                <w:rFonts w:hint="default"/>
                <w:vertAlign w:val="baseline"/>
                <w:lang w:val="en-US" w:eastAsia="zh-CN"/>
              </w:rPr>
            </w:pPr>
            <w:r>
              <w:rPr>
                <w:rFonts w:hint="eastAsia"/>
                <w:vertAlign w:val="baseline"/>
                <w:lang w:val="en-US" w:eastAsia="zh-CN"/>
              </w:rPr>
              <w:t>54.1</w:t>
            </w:r>
          </w:p>
        </w:tc>
      </w:tr>
      <w:tr w14:paraId="5268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3F9B6786">
            <w:pPr>
              <w:jc w:val="center"/>
              <w:rPr>
                <w:rFonts w:hint="default"/>
                <w:vertAlign w:val="baseline"/>
                <w:lang w:val="en-US" w:eastAsia="zh-CN"/>
              </w:rPr>
            </w:pPr>
            <w:r>
              <w:rPr>
                <w:rFonts w:hint="eastAsia"/>
                <w:vertAlign w:val="baseline"/>
                <w:lang w:val="en-US" w:eastAsia="zh-CN"/>
              </w:rPr>
              <w:t>5</w:t>
            </w:r>
          </w:p>
        </w:tc>
        <w:tc>
          <w:tcPr>
            <w:tcW w:w="1914" w:type="dxa"/>
            <w:vAlign w:val="center"/>
          </w:tcPr>
          <w:p w14:paraId="1DF9187D">
            <w:pPr>
              <w:jc w:val="center"/>
              <w:rPr>
                <w:rFonts w:hint="default"/>
                <w:vertAlign w:val="baseline"/>
                <w:lang w:val="en-US" w:eastAsia="zh-CN"/>
              </w:rPr>
            </w:pPr>
            <w:r>
              <w:rPr>
                <w:rFonts w:hint="eastAsia"/>
                <w:vertAlign w:val="baseline"/>
                <w:lang w:val="en-US" w:eastAsia="zh-CN"/>
              </w:rPr>
              <w:t>54.6</w:t>
            </w:r>
          </w:p>
        </w:tc>
        <w:tc>
          <w:tcPr>
            <w:tcW w:w="1914" w:type="dxa"/>
            <w:vAlign w:val="center"/>
          </w:tcPr>
          <w:p w14:paraId="5F276434">
            <w:pPr>
              <w:jc w:val="center"/>
              <w:rPr>
                <w:rFonts w:hint="default"/>
                <w:vertAlign w:val="baseline"/>
                <w:lang w:val="en-US" w:eastAsia="zh-CN"/>
              </w:rPr>
            </w:pPr>
            <w:r>
              <w:rPr>
                <w:rFonts w:hint="eastAsia"/>
                <w:vertAlign w:val="baseline"/>
                <w:lang w:val="en-US" w:eastAsia="zh-CN"/>
              </w:rPr>
              <w:t>47.9</w:t>
            </w:r>
          </w:p>
        </w:tc>
        <w:tc>
          <w:tcPr>
            <w:tcW w:w="1914" w:type="dxa"/>
            <w:vAlign w:val="center"/>
          </w:tcPr>
          <w:p w14:paraId="4A4884CF">
            <w:pPr>
              <w:jc w:val="center"/>
              <w:rPr>
                <w:rFonts w:hint="default"/>
                <w:vertAlign w:val="baseline"/>
                <w:lang w:val="en-US" w:eastAsia="zh-CN"/>
              </w:rPr>
            </w:pPr>
            <w:r>
              <w:rPr>
                <w:rFonts w:hint="eastAsia"/>
                <w:vertAlign w:val="baseline"/>
                <w:lang w:val="en-US" w:eastAsia="zh-CN"/>
              </w:rPr>
              <w:t>44.8</w:t>
            </w:r>
          </w:p>
        </w:tc>
        <w:tc>
          <w:tcPr>
            <w:tcW w:w="1915" w:type="dxa"/>
            <w:vAlign w:val="center"/>
          </w:tcPr>
          <w:p w14:paraId="7B0CB83B">
            <w:pPr>
              <w:jc w:val="center"/>
              <w:rPr>
                <w:rFonts w:hint="default"/>
                <w:vertAlign w:val="baseline"/>
                <w:lang w:val="en-US" w:eastAsia="zh-CN"/>
              </w:rPr>
            </w:pPr>
            <w:r>
              <w:rPr>
                <w:rFonts w:hint="eastAsia"/>
                <w:vertAlign w:val="baseline"/>
                <w:lang w:val="en-US" w:eastAsia="zh-CN"/>
              </w:rPr>
              <w:t>53.6</w:t>
            </w:r>
          </w:p>
        </w:tc>
      </w:tr>
      <w:tr w14:paraId="1ACB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448601C1">
            <w:pPr>
              <w:jc w:val="center"/>
              <w:rPr>
                <w:rFonts w:hint="default"/>
                <w:vertAlign w:val="baseline"/>
                <w:lang w:val="en-US" w:eastAsia="zh-CN"/>
              </w:rPr>
            </w:pPr>
            <w:r>
              <w:rPr>
                <w:rFonts w:hint="eastAsia"/>
                <w:vertAlign w:val="baseline"/>
                <w:lang w:val="en-US" w:eastAsia="zh-CN"/>
              </w:rPr>
              <w:t>6</w:t>
            </w:r>
          </w:p>
        </w:tc>
        <w:tc>
          <w:tcPr>
            <w:tcW w:w="1914" w:type="dxa"/>
            <w:vAlign w:val="center"/>
          </w:tcPr>
          <w:p w14:paraId="67806635">
            <w:pPr>
              <w:jc w:val="center"/>
              <w:rPr>
                <w:rFonts w:hint="default"/>
                <w:vertAlign w:val="baseline"/>
                <w:lang w:val="en-US" w:eastAsia="zh-CN"/>
              </w:rPr>
            </w:pPr>
            <w:r>
              <w:rPr>
                <w:rFonts w:hint="eastAsia"/>
                <w:vertAlign w:val="baseline"/>
                <w:lang w:val="en-US" w:eastAsia="zh-CN"/>
              </w:rPr>
              <w:t>53.6</w:t>
            </w:r>
          </w:p>
        </w:tc>
        <w:tc>
          <w:tcPr>
            <w:tcW w:w="1914" w:type="dxa"/>
            <w:vAlign w:val="center"/>
          </w:tcPr>
          <w:p w14:paraId="341601F2">
            <w:pPr>
              <w:jc w:val="center"/>
              <w:rPr>
                <w:rFonts w:hint="default"/>
                <w:vertAlign w:val="baseline"/>
                <w:lang w:val="en-US" w:eastAsia="zh-CN"/>
              </w:rPr>
            </w:pPr>
            <w:r>
              <w:rPr>
                <w:rFonts w:hint="eastAsia"/>
                <w:vertAlign w:val="baseline"/>
                <w:lang w:val="en-US" w:eastAsia="zh-CN"/>
              </w:rPr>
              <w:t>47.5</w:t>
            </w:r>
          </w:p>
        </w:tc>
        <w:tc>
          <w:tcPr>
            <w:tcW w:w="1914" w:type="dxa"/>
            <w:vAlign w:val="center"/>
          </w:tcPr>
          <w:p w14:paraId="21246318">
            <w:pPr>
              <w:jc w:val="center"/>
              <w:rPr>
                <w:rFonts w:hint="default"/>
                <w:vertAlign w:val="baseline"/>
                <w:lang w:val="en-US" w:eastAsia="zh-CN"/>
              </w:rPr>
            </w:pPr>
            <w:r>
              <w:rPr>
                <w:rFonts w:hint="eastAsia"/>
                <w:vertAlign w:val="baseline"/>
                <w:lang w:val="en-US" w:eastAsia="zh-CN"/>
              </w:rPr>
              <w:t>45.5</w:t>
            </w:r>
          </w:p>
        </w:tc>
        <w:tc>
          <w:tcPr>
            <w:tcW w:w="1915" w:type="dxa"/>
            <w:vAlign w:val="center"/>
          </w:tcPr>
          <w:p w14:paraId="7FCD0C60">
            <w:pPr>
              <w:jc w:val="center"/>
              <w:rPr>
                <w:rFonts w:hint="default"/>
                <w:vertAlign w:val="baseline"/>
                <w:lang w:val="en-US" w:eastAsia="zh-CN"/>
              </w:rPr>
            </w:pPr>
            <w:r>
              <w:rPr>
                <w:rFonts w:hint="eastAsia"/>
                <w:vertAlign w:val="baseline"/>
                <w:lang w:val="en-US" w:eastAsia="zh-CN"/>
              </w:rPr>
              <w:t>55.0</w:t>
            </w:r>
          </w:p>
        </w:tc>
      </w:tr>
      <w:tr w14:paraId="291D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14" w:type="dxa"/>
            <w:vAlign w:val="center"/>
          </w:tcPr>
          <w:p w14:paraId="76B60DBB">
            <w:pPr>
              <w:jc w:val="center"/>
              <w:rPr>
                <w:rFonts w:hint="default"/>
                <w:vertAlign w:val="baseline"/>
                <w:lang w:val="en-US" w:eastAsia="zh-CN"/>
              </w:rPr>
            </w:pPr>
            <w:r>
              <w:rPr>
                <w:rFonts w:hint="eastAsia"/>
                <w:vertAlign w:val="baseline"/>
                <w:lang w:val="en-US" w:eastAsia="zh-CN"/>
              </w:rPr>
              <w:t>重复性结果</w:t>
            </w:r>
          </w:p>
        </w:tc>
        <w:tc>
          <w:tcPr>
            <w:tcW w:w="1914" w:type="dxa"/>
            <w:vAlign w:val="center"/>
          </w:tcPr>
          <w:p w14:paraId="79065968">
            <w:pPr>
              <w:jc w:val="center"/>
              <w:rPr>
                <w:rFonts w:hint="default"/>
                <w:vertAlign w:val="baseline"/>
                <w:lang w:val="en-US" w:eastAsia="zh-CN"/>
              </w:rPr>
            </w:pPr>
            <w:r>
              <w:rPr>
                <w:rFonts w:hint="eastAsia"/>
                <w:vertAlign w:val="baseline"/>
                <w:lang w:val="en-US" w:eastAsia="zh-CN"/>
              </w:rPr>
              <w:t>1.06%</w:t>
            </w:r>
          </w:p>
        </w:tc>
        <w:tc>
          <w:tcPr>
            <w:tcW w:w="1914" w:type="dxa"/>
            <w:vAlign w:val="center"/>
          </w:tcPr>
          <w:p w14:paraId="02EB8025">
            <w:pPr>
              <w:jc w:val="center"/>
              <w:rPr>
                <w:rFonts w:hint="default"/>
                <w:vertAlign w:val="baseline"/>
                <w:lang w:val="en-US" w:eastAsia="zh-CN"/>
              </w:rPr>
            </w:pPr>
            <w:r>
              <w:rPr>
                <w:rFonts w:hint="eastAsia"/>
                <w:vertAlign w:val="baseline"/>
                <w:lang w:val="en-US" w:eastAsia="zh-CN"/>
              </w:rPr>
              <w:t>0.65%</w:t>
            </w:r>
          </w:p>
        </w:tc>
        <w:tc>
          <w:tcPr>
            <w:tcW w:w="1914" w:type="dxa"/>
            <w:vAlign w:val="center"/>
          </w:tcPr>
          <w:p w14:paraId="2FEBCF9B">
            <w:pPr>
              <w:jc w:val="center"/>
              <w:rPr>
                <w:rFonts w:hint="default"/>
                <w:vertAlign w:val="baseline"/>
                <w:lang w:val="en-US" w:eastAsia="zh-CN"/>
              </w:rPr>
            </w:pPr>
            <w:r>
              <w:rPr>
                <w:rFonts w:hint="eastAsia"/>
                <w:vertAlign w:val="baseline"/>
                <w:lang w:val="en-US" w:eastAsia="zh-CN"/>
              </w:rPr>
              <w:t>0.77%</w:t>
            </w:r>
          </w:p>
        </w:tc>
        <w:tc>
          <w:tcPr>
            <w:tcW w:w="1915" w:type="dxa"/>
            <w:vAlign w:val="center"/>
          </w:tcPr>
          <w:p w14:paraId="12710691">
            <w:pPr>
              <w:jc w:val="center"/>
              <w:rPr>
                <w:rFonts w:hint="default"/>
                <w:vertAlign w:val="baseline"/>
                <w:lang w:val="en-US" w:eastAsia="zh-CN"/>
              </w:rPr>
            </w:pPr>
            <w:r>
              <w:rPr>
                <w:rFonts w:hint="eastAsia"/>
                <w:vertAlign w:val="baseline"/>
                <w:lang w:val="en-US" w:eastAsia="zh-CN"/>
              </w:rPr>
              <w:t>0.85%</w:t>
            </w:r>
          </w:p>
        </w:tc>
      </w:tr>
    </w:tbl>
    <w:p w14:paraId="776EC134">
      <w:pPr>
        <w:rPr>
          <w:rFonts w:hint="default"/>
          <w:lang w:val="en-US" w:eastAsia="zh-CN"/>
        </w:rPr>
      </w:pPr>
      <w:r>
        <w:rPr>
          <w:rFonts w:hint="eastAsia"/>
          <w:lang w:val="en-US" w:eastAsia="zh-CN"/>
        </w:rPr>
        <w:t>通过结果可以看出以上品牌设备在输出流量和输出流量重复性上均能满足本规范的要求。</w:t>
      </w:r>
    </w:p>
    <w:p w14:paraId="1443F388">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重大分歧意见的处理经过和依据；</w:t>
      </w:r>
    </w:p>
    <w:p w14:paraId="762C2C63">
      <w:pPr>
        <w:widowControl/>
        <w:spacing w:line="360" w:lineRule="auto"/>
        <w:ind w:firstLine="42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无。</w:t>
      </w:r>
    </w:p>
    <w:p w14:paraId="5A69859C">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行业计量技术规范中涉及专利的声明</w:t>
      </w:r>
    </w:p>
    <w:p w14:paraId="59B8EDE0">
      <w:pPr>
        <w:widowControl/>
        <w:spacing w:line="360" w:lineRule="auto"/>
        <w:ind w:firstLine="42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本规范未涉及专利等知识产权问题。</w:t>
      </w:r>
    </w:p>
    <w:p w14:paraId="1A6C5DDE">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与现行相关法规、规章及相关计量技术规范的协调性；</w:t>
      </w:r>
    </w:p>
    <w:p w14:paraId="2D2A54EE">
      <w:pPr>
        <w:widowControl/>
        <w:spacing w:line="360" w:lineRule="auto"/>
        <w:ind w:firstLine="42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本规范与有关的现行法规、规章及相关计量技术规范没有冲突。</w:t>
      </w:r>
    </w:p>
    <w:p w14:paraId="72E81D90">
      <w:pPr>
        <w:pStyle w:val="2"/>
        <w:numPr>
          <w:ilvl w:val="0"/>
          <w:numId w:val="1"/>
        </w:numPr>
        <w:spacing w:before="0" w:after="0" w:line="440" w:lineRule="exact"/>
        <w:rPr>
          <w:rFonts w:ascii="宋体" w:hAnsi="宋体" w:eastAsia="宋体"/>
          <w:sz w:val="21"/>
          <w:szCs w:val="21"/>
        </w:rPr>
      </w:pPr>
      <w:r>
        <w:rPr>
          <w:rFonts w:ascii="宋体" w:hAnsi="宋体" w:eastAsia="宋体"/>
          <w:sz w:val="21"/>
          <w:szCs w:val="21"/>
        </w:rPr>
        <w:t>其他应予说明的事项。</w:t>
      </w:r>
    </w:p>
    <w:p w14:paraId="309DA9CC">
      <w:pPr>
        <w:widowControl/>
        <w:spacing w:line="360" w:lineRule="auto"/>
        <w:ind w:firstLine="42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无。</w:t>
      </w:r>
    </w:p>
    <w:p w14:paraId="128CC0FE">
      <w:pPr>
        <w:widowControl/>
        <w:tabs>
          <w:tab w:val="center" w:pos="4201"/>
          <w:tab w:val="right" w:leader="dot" w:pos="9298"/>
        </w:tabs>
        <w:wordWrap w:val="0"/>
        <w:autoSpaceDE w:val="0"/>
        <w:autoSpaceDN w:val="0"/>
        <w:spacing w:line="360" w:lineRule="auto"/>
        <w:jc w:val="right"/>
        <w:rPr>
          <w:rFonts w:ascii="Times New Roman" w:hAnsi="Times New Roman" w:eastAsia="黑体" w:cs="Times New Roman"/>
          <w:kern w:val="0"/>
          <w:szCs w:val="21"/>
        </w:rPr>
      </w:pPr>
      <w:r>
        <w:rPr>
          <w:rFonts w:ascii="Times New Roman" w:hAnsi="Times New Roman" w:eastAsia="黑体" w:cs="Times New Roman"/>
          <w:kern w:val="0"/>
          <w:szCs w:val="21"/>
        </w:rPr>
        <w:t>　　　标准编制小组　　　　　　</w:t>
      </w:r>
    </w:p>
    <w:p w14:paraId="7491B91D">
      <w:pPr>
        <w:wordWrap w:val="0"/>
        <w:spacing w:line="360" w:lineRule="auto"/>
        <w:jc w:val="right"/>
        <w:rPr>
          <w:rFonts w:ascii="Times New Roman" w:hAnsi="Times New Roman" w:eastAsia="宋体" w:cs="Times New Roman"/>
          <w:szCs w:val="21"/>
        </w:rPr>
      </w:pPr>
      <w:r>
        <w:rPr>
          <w:rFonts w:hint="eastAsia" w:ascii="Times New Roman" w:hAnsi="Times New Roman" w:eastAsia="黑体" w:cs="Times New Roman"/>
          <w:szCs w:val="21"/>
        </w:rPr>
        <w:t>20</w:t>
      </w:r>
      <w:r>
        <w:rPr>
          <w:rFonts w:ascii="Times New Roman" w:hAnsi="Times New Roman" w:eastAsia="黑体" w:cs="Times New Roman"/>
          <w:szCs w:val="21"/>
        </w:rPr>
        <w:t>2</w:t>
      </w:r>
      <w:r>
        <w:rPr>
          <w:rFonts w:hint="eastAsia" w:ascii="Times New Roman" w:hAnsi="Times New Roman" w:eastAsia="黑体" w:cs="Times New Roman"/>
          <w:szCs w:val="21"/>
          <w:lang w:val="en-US" w:eastAsia="zh-CN"/>
        </w:rPr>
        <w:t>4</w:t>
      </w:r>
      <w:r>
        <w:rPr>
          <w:rFonts w:ascii="Times New Roman" w:hAnsi="Times New Roman" w:eastAsia="黑体" w:cs="Times New Roman"/>
          <w:szCs w:val="21"/>
        </w:rPr>
        <w:t>年</w:t>
      </w:r>
      <w:r>
        <w:rPr>
          <w:rFonts w:hint="eastAsia" w:ascii="Times New Roman" w:hAnsi="Times New Roman" w:eastAsia="黑体" w:cs="Times New Roman"/>
          <w:szCs w:val="21"/>
          <w:lang w:val="en-US" w:eastAsia="zh-CN"/>
        </w:rPr>
        <w:t>10</w:t>
      </w:r>
      <w:r>
        <w:rPr>
          <w:rFonts w:ascii="Times New Roman" w:hAnsi="Times New Roman" w:eastAsia="黑体" w:cs="Times New Roman"/>
          <w:szCs w:val="21"/>
        </w:rPr>
        <w:t>月　　　</w:t>
      </w:r>
    </w:p>
    <w:sectPr>
      <w:footerReference r:id="rId3" w:type="default"/>
      <w:pgSz w:w="11906" w:h="16838"/>
      <w:pgMar w:top="567" w:right="1134" w:bottom="1134"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9232226"/>
      <w:docPartObj>
        <w:docPartGallery w:val="AutoText"/>
      </w:docPartObj>
    </w:sdtPr>
    <w:sdtContent>
      <w:p w14:paraId="747BE420">
        <w:pPr>
          <w:pStyle w:val="10"/>
          <w:jc w:val="center"/>
        </w:pPr>
        <w:r>
          <w:fldChar w:fldCharType="begin"/>
        </w:r>
        <w:r>
          <w:instrText xml:space="preserve">PAGE   \* MERGEFORMAT</w:instrText>
        </w:r>
        <w:r>
          <w:fldChar w:fldCharType="separate"/>
        </w:r>
        <w:r>
          <w:rPr>
            <w:lang w:val="zh-CN"/>
          </w:rPr>
          <w:t>12</w:t>
        </w:r>
        <w:r>
          <w:rPr>
            <w:lang w:val="zh-CN"/>
          </w:rPr>
          <w:fldChar w:fldCharType="end"/>
        </w:r>
      </w:p>
    </w:sdtContent>
  </w:sdt>
  <w:p w14:paraId="5D4EDC89">
    <w:pPr>
      <w:pStyle w:val="10"/>
      <w:tabs>
        <w:tab w:val="center" w:pos="4677"/>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15373"/>
    <w:multiLevelType w:val="singleLevel"/>
    <w:tmpl w:val="2D715373"/>
    <w:lvl w:ilvl="0" w:tentative="0">
      <w:start w:val="3"/>
      <w:numFmt w:val="decimal"/>
      <w:suff w:val="nothing"/>
      <w:lvlText w:val="（%1）"/>
      <w:lvlJc w:val="left"/>
    </w:lvl>
  </w:abstractNum>
  <w:abstractNum w:abstractNumId="1">
    <w:nsid w:val="42D0635F"/>
    <w:multiLevelType w:val="multilevel"/>
    <w:tmpl w:val="42D0635F"/>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55E6A1F"/>
    <w:multiLevelType w:val="singleLevel"/>
    <w:tmpl w:val="455E6A1F"/>
    <w:lvl w:ilvl="0" w:tentative="0">
      <w:start w:val="1"/>
      <w:numFmt w:val="decimal"/>
      <w:lvlText w:val="(%1)"/>
      <w:lvlJc w:val="left"/>
      <w:pPr>
        <w:ind w:left="425" w:hanging="425"/>
      </w:pPr>
      <w:rPr>
        <w:rFonts w:hint="default"/>
      </w:rPr>
    </w:lvl>
  </w:abstractNum>
  <w:abstractNum w:abstractNumId="3">
    <w:nsid w:val="79A9280A"/>
    <w:multiLevelType w:val="multilevel"/>
    <w:tmpl w:val="79A9280A"/>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xMTJkMTEwNzZjNDE1ZmRiZDYzNDg0ZjllYjdkMGEifQ=="/>
  </w:docVars>
  <w:rsids>
    <w:rsidRoot w:val="00F35ECC"/>
    <w:rsid w:val="000120FD"/>
    <w:rsid w:val="00012685"/>
    <w:rsid w:val="0001515C"/>
    <w:rsid w:val="000158DC"/>
    <w:rsid w:val="0002332C"/>
    <w:rsid w:val="000311E5"/>
    <w:rsid w:val="000325A1"/>
    <w:rsid w:val="000346E8"/>
    <w:rsid w:val="00041808"/>
    <w:rsid w:val="000423A5"/>
    <w:rsid w:val="00042668"/>
    <w:rsid w:val="0005375E"/>
    <w:rsid w:val="000766FD"/>
    <w:rsid w:val="00077273"/>
    <w:rsid w:val="00080022"/>
    <w:rsid w:val="000908DB"/>
    <w:rsid w:val="0009391E"/>
    <w:rsid w:val="00094956"/>
    <w:rsid w:val="00095D99"/>
    <w:rsid w:val="0009790C"/>
    <w:rsid w:val="000A599E"/>
    <w:rsid w:val="000C7DE4"/>
    <w:rsid w:val="000D0062"/>
    <w:rsid w:val="000D42A8"/>
    <w:rsid w:val="000E061A"/>
    <w:rsid w:val="000E2BE4"/>
    <w:rsid w:val="000E2FC7"/>
    <w:rsid w:val="000E7CB3"/>
    <w:rsid w:val="000F133C"/>
    <w:rsid w:val="000F39C5"/>
    <w:rsid w:val="000F4014"/>
    <w:rsid w:val="000F6EE2"/>
    <w:rsid w:val="00100ED7"/>
    <w:rsid w:val="00107860"/>
    <w:rsid w:val="00115B1D"/>
    <w:rsid w:val="00115E66"/>
    <w:rsid w:val="00155CF1"/>
    <w:rsid w:val="00165903"/>
    <w:rsid w:val="00170547"/>
    <w:rsid w:val="001760A4"/>
    <w:rsid w:val="001775CA"/>
    <w:rsid w:val="00186C86"/>
    <w:rsid w:val="0019106A"/>
    <w:rsid w:val="001A14EA"/>
    <w:rsid w:val="001B1385"/>
    <w:rsid w:val="001D0FDE"/>
    <w:rsid w:val="001D48CD"/>
    <w:rsid w:val="001D5113"/>
    <w:rsid w:val="001D534A"/>
    <w:rsid w:val="001D63B2"/>
    <w:rsid w:val="001E632B"/>
    <w:rsid w:val="001F1236"/>
    <w:rsid w:val="001F4606"/>
    <w:rsid w:val="001F46EC"/>
    <w:rsid w:val="002040D3"/>
    <w:rsid w:val="0021240A"/>
    <w:rsid w:val="00214472"/>
    <w:rsid w:val="00214890"/>
    <w:rsid w:val="00215405"/>
    <w:rsid w:val="002451DC"/>
    <w:rsid w:val="002626A2"/>
    <w:rsid w:val="002626B4"/>
    <w:rsid w:val="00277B1E"/>
    <w:rsid w:val="00281746"/>
    <w:rsid w:val="00281ABE"/>
    <w:rsid w:val="002A2E82"/>
    <w:rsid w:val="002A53AD"/>
    <w:rsid w:val="002A71E3"/>
    <w:rsid w:val="002B3EB0"/>
    <w:rsid w:val="002B6CD7"/>
    <w:rsid w:val="002C0E6C"/>
    <w:rsid w:val="002D36A6"/>
    <w:rsid w:val="002F131F"/>
    <w:rsid w:val="00300FEF"/>
    <w:rsid w:val="00322960"/>
    <w:rsid w:val="0032733C"/>
    <w:rsid w:val="00342244"/>
    <w:rsid w:val="003438D7"/>
    <w:rsid w:val="00346B11"/>
    <w:rsid w:val="00346C22"/>
    <w:rsid w:val="0034700D"/>
    <w:rsid w:val="00362449"/>
    <w:rsid w:val="00362C14"/>
    <w:rsid w:val="0037272A"/>
    <w:rsid w:val="00372C79"/>
    <w:rsid w:val="003944BB"/>
    <w:rsid w:val="003A305D"/>
    <w:rsid w:val="003A4627"/>
    <w:rsid w:val="003C140A"/>
    <w:rsid w:val="003C4919"/>
    <w:rsid w:val="003D0D95"/>
    <w:rsid w:val="003D7417"/>
    <w:rsid w:val="003E1972"/>
    <w:rsid w:val="003E2D1A"/>
    <w:rsid w:val="003F0E64"/>
    <w:rsid w:val="00411E44"/>
    <w:rsid w:val="00413A7B"/>
    <w:rsid w:val="00415E36"/>
    <w:rsid w:val="00420690"/>
    <w:rsid w:val="00420E0C"/>
    <w:rsid w:val="00421C49"/>
    <w:rsid w:val="00432779"/>
    <w:rsid w:val="00432D39"/>
    <w:rsid w:val="004426D4"/>
    <w:rsid w:val="004454E7"/>
    <w:rsid w:val="00445BF1"/>
    <w:rsid w:val="00452EE0"/>
    <w:rsid w:val="004535AB"/>
    <w:rsid w:val="00461839"/>
    <w:rsid w:val="00470B36"/>
    <w:rsid w:val="004727BB"/>
    <w:rsid w:val="004733BA"/>
    <w:rsid w:val="00474719"/>
    <w:rsid w:val="004769B9"/>
    <w:rsid w:val="00482DAB"/>
    <w:rsid w:val="00484B80"/>
    <w:rsid w:val="004872B2"/>
    <w:rsid w:val="00490C08"/>
    <w:rsid w:val="0049771D"/>
    <w:rsid w:val="00497FE2"/>
    <w:rsid w:val="004B590A"/>
    <w:rsid w:val="004B649C"/>
    <w:rsid w:val="004C5E10"/>
    <w:rsid w:val="004D0F35"/>
    <w:rsid w:val="004D125D"/>
    <w:rsid w:val="004D22BA"/>
    <w:rsid w:val="004D6EEC"/>
    <w:rsid w:val="004D78AA"/>
    <w:rsid w:val="004D7D1F"/>
    <w:rsid w:val="004E1A84"/>
    <w:rsid w:val="004E2389"/>
    <w:rsid w:val="004E2F50"/>
    <w:rsid w:val="004E54D5"/>
    <w:rsid w:val="004F03FD"/>
    <w:rsid w:val="004F6FA9"/>
    <w:rsid w:val="00515D02"/>
    <w:rsid w:val="0052442C"/>
    <w:rsid w:val="00525CCB"/>
    <w:rsid w:val="00530EF1"/>
    <w:rsid w:val="00532D34"/>
    <w:rsid w:val="00540870"/>
    <w:rsid w:val="00550F99"/>
    <w:rsid w:val="00552457"/>
    <w:rsid w:val="0055684A"/>
    <w:rsid w:val="00560E96"/>
    <w:rsid w:val="00561A60"/>
    <w:rsid w:val="005773EA"/>
    <w:rsid w:val="00577A08"/>
    <w:rsid w:val="00580649"/>
    <w:rsid w:val="00581018"/>
    <w:rsid w:val="0058114E"/>
    <w:rsid w:val="00582ECE"/>
    <w:rsid w:val="00586251"/>
    <w:rsid w:val="005866C1"/>
    <w:rsid w:val="00593B66"/>
    <w:rsid w:val="005940F9"/>
    <w:rsid w:val="00595AB8"/>
    <w:rsid w:val="005A7C72"/>
    <w:rsid w:val="005B4695"/>
    <w:rsid w:val="005B51C0"/>
    <w:rsid w:val="005C0950"/>
    <w:rsid w:val="005D28E9"/>
    <w:rsid w:val="005D692D"/>
    <w:rsid w:val="005E0BB6"/>
    <w:rsid w:val="005E2755"/>
    <w:rsid w:val="005E5577"/>
    <w:rsid w:val="005F1AAB"/>
    <w:rsid w:val="00611953"/>
    <w:rsid w:val="00625F8B"/>
    <w:rsid w:val="00633068"/>
    <w:rsid w:val="00642A6E"/>
    <w:rsid w:val="00644409"/>
    <w:rsid w:val="00666E61"/>
    <w:rsid w:val="006860A9"/>
    <w:rsid w:val="00690255"/>
    <w:rsid w:val="00694029"/>
    <w:rsid w:val="00695811"/>
    <w:rsid w:val="006A4358"/>
    <w:rsid w:val="006A55BC"/>
    <w:rsid w:val="006B0DB3"/>
    <w:rsid w:val="006B7A69"/>
    <w:rsid w:val="006C220F"/>
    <w:rsid w:val="006D2A50"/>
    <w:rsid w:val="006D2E21"/>
    <w:rsid w:val="006E2FAB"/>
    <w:rsid w:val="006F21CC"/>
    <w:rsid w:val="006F4798"/>
    <w:rsid w:val="00700734"/>
    <w:rsid w:val="00702E6A"/>
    <w:rsid w:val="00705D33"/>
    <w:rsid w:val="00720F0F"/>
    <w:rsid w:val="0072119C"/>
    <w:rsid w:val="00726301"/>
    <w:rsid w:val="00727013"/>
    <w:rsid w:val="007323AC"/>
    <w:rsid w:val="00740081"/>
    <w:rsid w:val="00740606"/>
    <w:rsid w:val="00742C42"/>
    <w:rsid w:val="007458AC"/>
    <w:rsid w:val="00764B0B"/>
    <w:rsid w:val="00764D1D"/>
    <w:rsid w:val="00767892"/>
    <w:rsid w:val="007752EA"/>
    <w:rsid w:val="00780AE0"/>
    <w:rsid w:val="00781303"/>
    <w:rsid w:val="007A4B0D"/>
    <w:rsid w:val="007B0F87"/>
    <w:rsid w:val="007C0488"/>
    <w:rsid w:val="007C17C7"/>
    <w:rsid w:val="007D3F92"/>
    <w:rsid w:val="007D5782"/>
    <w:rsid w:val="007D7854"/>
    <w:rsid w:val="007E1CBA"/>
    <w:rsid w:val="007E76DA"/>
    <w:rsid w:val="007E783D"/>
    <w:rsid w:val="007F128E"/>
    <w:rsid w:val="007F43E3"/>
    <w:rsid w:val="008173B2"/>
    <w:rsid w:val="00820463"/>
    <w:rsid w:val="0082135F"/>
    <w:rsid w:val="00822268"/>
    <w:rsid w:val="00832B49"/>
    <w:rsid w:val="00833F8F"/>
    <w:rsid w:val="00837448"/>
    <w:rsid w:val="008435DC"/>
    <w:rsid w:val="00843A1B"/>
    <w:rsid w:val="00843EC4"/>
    <w:rsid w:val="00844313"/>
    <w:rsid w:val="00844720"/>
    <w:rsid w:val="0085176B"/>
    <w:rsid w:val="008650B4"/>
    <w:rsid w:val="00866473"/>
    <w:rsid w:val="00871CAC"/>
    <w:rsid w:val="00881098"/>
    <w:rsid w:val="008823B1"/>
    <w:rsid w:val="00892D7E"/>
    <w:rsid w:val="00893726"/>
    <w:rsid w:val="00896B61"/>
    <w:rsid w:val="008B01C7"/>
    <w:rsid w:val="008B5A2E"/>
    <w:rsid w:val="008C0851"/>
    <w:rsid w:val="008C7F6A"/>
    <w:rsid w:val="009005D8"/>
    <w:rsid w:val="00904623"/>
    <w:rsid w:val="009111DF"/>
    <w:rsid w:val="009152D7"/>
    <w:rsid w:val="00915735"/>
    <w:rsid w:val="0092109F"/>
    <w:rsid w:val="009336F6"/>
    <w:rsid w:val="00936B59"/>
    <w:rsid w:val="009378A5"/>
    <w:rsid w:val="00944CDB"/>
    <w:rsid w:val="00952836"/>
    <w:rsid w:val="00961F3F"/>
    <w:rsid w:val="009626E1"/>
    <w:rsid w:val="0096282B"/>
    <w:rsid w:val="00981771"/>
    <w:rsid w:val="0098236D"/>
    <w:rsid w:val="009835C1"/>
    <w:rsid w:val="00985B7F"/>
    <w:rsid w:val="009870A0"/>
    <w:rsid w:val="00990E68"/>
    <w:rsid w:val="0099668B"/>
    <w:rsid w:val="00996AD3"/>
    <w:rsid w:val="009D3521"/>
    <w:rsid w:val="009E415E"/>
    <w:rsid w:val="009E7CB5"/>
    <w:rsid w:val="00A0080D"/>
    <w:rsid w:val="00A113DD"/>
    <w:rsid w:val="00A203A6"/>
    <w:rsid w:val="00A3036F"/>
    <w:rsid w:val="00A316E0"/>
    <w:rsid w:val="00A32D22"/>
    <w:rsid w:val="00A440A4"/>
    <w:rsid w:val="00A45286"/>
    <w:rsid w:val="00A51C98"/>
    <w:rsid w:val="00A740FA"/>
    <w:rsid w:val="00A76BFF"/>
    <w:rsid w:val="00A770F1"/>
    <w:rsid w:val="00A926CC"/>
    <w:rsid w:val="00A937F5"/>
    <w:rsid w:val="00A978A0"/>
    <w:rsid w:val="00AA4C69"/>
    <w:rsid w:val="00AA5D2A"/>
    <w:rsid w:val="00AA67A7"/>
    <w:rsid w:val="00AA6C5F"/>
    <w:rsid w:val="00AB2622"/>
    <w:rsid w:val="00AC082A"/>
    <w:rsid w:val="00AE565F"/>
    <w:rsid w:val="00AF7C6C"/>
    <w:rsid w:val="00B023D9"/>
    <w:rsid w:val="00B03D26"/>
    <w:rsid w:val="00B03E8B"/>
    <w:rsid w:val="00B1134C"/>
    <w:rsid w:val="00B163F6"/>
    <w:rsid w:val="00B16FC5"/>
    <w:rsid w:val="00B1791C"/>
    <w:rsid w:val="00B2001D"/>
    <w:rsid w:val="00B21F2F"/>
    <w:rsid w:val="00B22CAE"/>
    <w:rsid w:val="00B326D5"/>
    <w:rsid w:val="00B346E6"/>
    <w:rsid w:val="00B445BE"/>
    <w:rsid w:val="00B46478"/>
    <w:rsid w:val="00B5249A"/>
    <w:rsid w:val="00B61027"/>
    <w:rsid w:val="00B81871"/>
    <w:rsid w:val="00B85AF4"/>
    <w:rsid w:val="00B85DCB"/>
    <w:rsid w:val="00B876C0"/>
    <w:rsid w:val="00B947BC"/>
    <w:rsid w:val="00BA0746"/>
    <w:rsid w:val="00BB3B3F"/>
    <w:rsid w:val="00BC606D"/>
    <w:rsid w:val="00BD5389"/>
    <w:rsid w:val="00BD5A3B"/>
    <w:rsid w:val="00BE0040"/>
    <w:rsid w:val="00BE2C92"/>
    <w:rsid w:val="00BE303B"/>
    <w:rsid w:val="00BE58E6"/>
    <w:rsid w:val="00C03619"/>
    <w:rsid w:val="00C03F17"/>
    <w:rsid w:val="00C0663B"/>
    <w:rsid w:val="00C10F74"/>
    <w:rsid w:val="00C2244C"/>
    <w:rsid w:val="00C234CB"/>
    <w:rsid w:val="00C265AC"/>
    <w:rsid w:val="00C47C84"/>
    <w:rsid w:val="00C557E7"/>
    <w:rsid w:val="00C62582"/>
    <w:rsid w:val="00C6505F"/>
    <w:rsid w:val="00C67A24"/>
    <w:rsid w:val="00C7441B"/>
    <w:rsid w:val="00C7481B"/>
    <w:rsid w:val="00C82F7A"/>
    <w:rsid w:val="00C914FD"/>
    <w:rsid w:val="00CA3C9B"/>
    <w:rsid w:val="00CB14AB"/>
    <w:rsid w:val="00CB238A"/>
    <w:rsid w:val="00CB3057"/>
    <w:rsid w:val="00CB68FB"/>
    <w:rsid w:val="00CC04E0"/>
    <w:rsid w:val="00CC22C0"/>
    <w:rsid w:val="00CC33E3"/>
    <w:rsid w:val="00CD327C"/>
    <w:rsid w:val="00CD54D7"/>
    <w:rsid w:val="00CE6842"/>
    <w:rsid w:val="00CF3379"/>
    <w:rsid w:val="00CF6D6B"/>
    <w:rsid w:val="00D01B2A"/>
    <w:rsid w:val="00D12622"/>
    <w:rsid w:val="00D15A04"/>
    <w:rsid w:val="00D2200D"/>
    <w:rsid w:val="00D2290B"/>
    <w:rsid w:val="00D2781A"/>
    <w:rsid w:val="00D30854"/>
    <w:rsid w:val="00D32591"/>
    <w:rsid w:val="00D32E76"/>
    <w:rsid w:val="00D3652F"/>
    <w:rsid w:val="00D42D70"/>
    <w:rsid w:val="00D44C2E"/>
    <w:rsid w:val="00D5323D"/>
    <w:rsid w:val="00D539CE"/>
    <w:rsid w:val="00D62C51"/>
    <w:rsid w:val="00D64DED"/>
    <w:rsid w:val="00D65300"/>
    <w:rsid w:val="00D667B2"/>
    <w:rsid w:val="00D67871"/>
    <w:rsid w:val="00D73261"/>
    <w:rsid w:val="00D75DC1"/>
    <w:rsid w:val="00D83F02"/>
    <w:rsid w:val="00D87D4E"/>
    <w:rsid w:val="00D87F90"/>
    <w:rsid w:val="00D9003D"/>
    <w:rsid w:val="00D966C1"/>
    <w:rsid w:val="00D9674E"/>
    <w:rsid w:val="00DA2359"/>
    <w:rsid w:val="00DB19A0"/>
    <w:rsid w:val="00DB5134"/>
    <w:rsid w:val="00DB5A84"/>
    <w:rsid w:val="00DB6720"/>
    <w:rsid w:val="00DC120F"/>
    <w:rsid w:val="00DD1411"/>
    <w:rsid w:val="00DE228D"/>
    <w:rsid w:val="00E0766C"/>
    <w:rsid w:val="00E131BA"/>
    <w:rsid w:val="00E13D0F"/>
    <w:rsid w:val="00E14778"/>
    <w:rsid w:val="00E174DF"/>
    <w:rsid w:val="00E24F89"/>
    <w:rsid w:val="00E25DE8"/>
    <w:rsid w:val="00E27FC6"/>
    <w:rsid w:val="00E3760C"/>
    <w:rsid w:val="00E608FF"/>
    <w:rsid w:val="00E71738"/>
    <w:rsid w:val="00E736AD"/>
    <w:rsid w:val="00E7452F"/>
    <w:rsid w:val="00E7581C"/>
    <w:rsid w:val="00E82C50"/>
    <w:rsid w:val="00E83FBB"/>
    <w:rsid w:val="00E850D4"/>
    <w:rsid w:val="00E86917"/>
    <w:rsid w:val="00E90DE2"/>
    <w:rsid w:val="00E95362"/>
    <w:rsid w:val="00EA27B3"/>
    <w:rsid w:val="00EA3772"/>
    <w:rsid w:val="00EA4AC1"/>
    <w:rsid w:val="00EB4FB6"/>
    <w:rsid w:val="00EB76AF"/>
    <w:rsid w:val="00EE3C6C"/>
    <w:rsid w:val="00F01045"/>
    <w:rsid w:val="00F037C3"/>
    <w:rsid w:val="00F1069C"/>
    <w:rsid w:val="00F14650"/>
    <w:rsid w:val="00F1606F"/>
    <w:rsid w:val="00F179B2"/>
    <w:rsid w:val="00F264D5"/>
    <w:rsid w:val="00F31C49"/>
    <w:rsid w:val="00F3351B"/>
    <w:rsid w:val="00F35ECC"/>
    <w:rsid w:val="00F36D84"/>
    <w:rsid w:val="00F4050F"/>
    <w:rsid w:val="00F4193C"/>
    <w:rsid w:val="00F468FB"/>
    <w:rsid w:val="00F46DB4"/>
    <w:rsid w:val="00F57F39"/>
    <w:rsid w:val="00F629FE"/>
    <w:rsid w:val="00F63C27"/>
    <w:rsid w:val="00F6734E"/>
    <w:rsid w:val="00F726D3"/>
    <w:rsid w:val="00FA3F2A"/>
    <w:rsid w:val="00FB0404"/>
    <w:rsid w:val="00FB0D2A"/>
    <w:rsid w:val="00FB66E2"/>
    <w:rsid w:val="00FC29DB"/>
    <w:rsid w:val="00FD2D1F"/>
    <w:rsid w:val="00FD2F0A"/>
    <w:rsid w:val="00FD33B6"/>
    <w:rsid w:val="00FD53FA"/>
    <w:rsid w:val="00FE1026"/>
    <w:rsid w:val="00FF5F1B"/>
    <w:rsid w:val="602C78C4"/>
    <w:rsid w:val="642F7A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Document Map"/>
    <w:basedOn w:val="1"/>
    <w:link w:val="24"/>
    <w:semiHidden/>
    <w:unhideWhenUsed/>
    <w:uiPriority w:val="99"/>
    <w:rPr>
      <w:rFonts w:ascii="宋体" w:eastAsia="宋体"/>
      <w:sz w:val="18"/>
      <w:szCs w:val="18"/>
    </w:rPr>
  </w:style>
  <w:style w:type="paragraph" w:styleId="8">
    <w:name w:val="annotation text"/>
    <w:basedOn w:val="1"/>
    <w:link w:val="28"/>
    <w:uiPriority w:val="0"/>
    <w:pPr>
      <w:jc w:val="left"/>
    </w:pPr>
    <w:rPr>
      <w:rFonts w:ascii="Times New Roman" w:hAnsi="Times New Roman" w:eastAsia="宋体" w:cs="Times New Roman"/>
      <w:szCs w:val="24"/>
    </w:rPr>
  </w:style>
  <w:style w:type="paragraph" w:styleId="9">
    <w:name w:val="Balloon Text"/>
    <w:basedOn w:val="1"/>
    <w:link w:val="27"/>
    <w:semiHidden/>
    <w:unhideWhenUsed/>
    <w:qFormat/>
    <w:uiPriority w:val="99"/>
    <w:rPr>
      <w:sz w:val="18"/>
      <w:szCs w:val="18"/>
    </w:rPr>
  </w:style>
  <w:style w:type="paragraph" w:styleId="10">
    <w:name w:val="footer"/>
    <w:basedOn w:val="1"/>
    <w:link w:val="18"/>
    <w:unhideWhenUsed/>
    <w:uiPriority w:val="99"/>
    <w:pPr>
      <w:tabs>
        <w:tab w:val="center" w:pos="4153"/>
        <w:tab w:val="right" w:pos="8306"/>
      </w:tabs>
      <w:snapToGrid w:val="0"/>
      <w:jc w:val="left"/>
    </w:pPr>
    <w:rPr>
      <w:sz w:val="18"/>
      <w:szCs w:val="18"/>
    </w:rPr>
  </w:style>
  <w:style w:type="paragraph" w:styleId="11">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14">
    <w:name w:val="Table Grid"/>
    <w:basedOn w:val="13"/>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21"/>
      <w:szCs w:val="21"/>
    </w:rPr>
  </w:style>
  <w:style w:type="character" w:customStyle="1" w:styleId="17">
    <w:name w:val="页眉 Char"/>
    <w:basedOn w:val="15"/>
    <w:link w:val="11"/>
    <w:qFormat/>
    <w:uiPriority w:val="99"/>
    <w:rPr>
      <w:sz w:val="18"/>
      <w:szCs w:val="18"/>
    </w:rPr>
  </w:style>
  <w:style w:type="character" w:customStyle="1" w:styleId="18">
    <w:name w:val="页脚 Char"/>
    <w:basedOn w:val="15"/>
    <w:link w:val="10"/>
    <w:qFormat/>
    <w:uiPriority w:val="99"/>
    <w:rPr>
      <w:sz w:val="18"/>
      <w:szCs w:val="18"/>
    </w:rPr>
  </w:style>
  <w:style w:type="character" w:customStyle="1" w:styleId="19">
    <w:name w:val="标题 2 Char"/>
    <w:basedOn w:val="15"/>
    <w:link w:val="3"/>
    <w:qFormat/>
    <w:uiPriority w:val="9"/>
    <w:rPr>
      <w:rFonts w:asciiTheme="majorHAnsi" w:hAnsiTheme="majorHAnsi" w:eastAsiaTheme="majorEastAsia" w:cstheme="majorBidi"/>
      <w:b/>
      <w:bCs/>
      <w:sz w:val="32"/>
      <w:szCs w:val="32"/>
    </w:rPr>
  </w:style>
  <w:style w:type="character" w:customStyle="1" w:styleId="20">
    <w:name w:val="标题 1 Char"/>
    <w:basedOn w:val="15"/>
    <w:link w:val="2"/>
    <w:uiPriority w:val="9"/>
    <w:rPr>
      <w:b/>
      <w:bCs/>
      <w:kern w:val="44"/>
      <w:sz w:val="44"/>
      <w:szCs w:val="44"/>
    </w:rPr>
  </w:style>
  <w:style w:type="paragraph" w:styleId="21">
    <w:name w:val="List Paragraph"/>
    <w:basedOn w:val="1"/>
    <w:qFormat/>
    <w:uiPriority w:val="34"/>
    <w:pPr>
      <w:ind w:firstLine="420" w:firstLineChars="200"/>
    </w:pPr>
  </w:style>
  <w:style w:type="character" w:customStyle="1" w:styleId="22">
    <w:name w:val="标题 3 Char"/>
    <w:basedOn w:val="15"/>
    <w:link w:val="4"/>
    <w:uiPriority w:val="9"/>
    <w:rPr>
      <w:b/>
      <w:bCs/>
      <w:sz w:val="32"/>
      <w:szCs w:val="32"/>
    </w:rPr>
  </w:style>
  <w:style w:type="character" w:customStyle="1" w:styleId="23">
    <w:name w:val="标题 4 Char"/>
    <w:basedOn w:val="15"/>
    <w:link w:val="5"/>
    <w:qFormat/>
    <w:uiPriority w:val="9"/>
    <w:rPr>
      <w:rFonts w:asciiTheme="majorHAnsi" w:hAnsiTheme="majorHAnsi" w:eastAsiaTheme="majorEastAsia" w:cstheme="majorBidi"/>
      <w:b/>
      <w:bCs/>
      <w:sz w:val="28"/>
      <w:szCs w:val="28"/>
    </w:rPr>
  </w:style>
  <w:style w:type="character" w:customStyle="1" w:styleId="24">
    <w:name w:val="文档结构图 Char"/>
    <w:basedOn w:val="15"/>
    <w:link w:val="7"/>
    <w:semiHidden/>
    <w:qFormat/>
    <w:uiPriority w:val="99"/>
    <w:rPr>
      <w:rFonts w:ascii="宋体" w:eastAsia="宋体"/>
      <w:sz w:val="18"/>
      <w:szCs w:val="18"/>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2"/>
      <w:lang w:val="en-US" w:eastAsia="zh-CN" w:bidi="ar-SA"/>
    </w:rPr>
  </w:style>
  <w:style w:type="character" w:styleId="26">
    <w:name w:val="Placeholder Text"/>
    <w:basedOn w:val="15"/>
    <w:semiHidden/>
    <w:qFormat/>
    <w:uiPriority w:val="99"/>
    <w:rPr>
      <w:color w:val="808080"/>
    </w:rPr>
  </w:style>
  <w:style w:type="character" w:customStyle="1" w:styleId="27">
    <w:name w:val="批注框文本 Char"/>
    <w:basedOn w:val="15"/>
    <w:link w:val="9"/>
    <w:semiHidden/>
    <w:qFormat/>
    <w:uiPriority w:val="99"/>
    <w:rPr>
      <w:sz w:val="18"/>
      <w:szCs w:val="18"/>
    </w:rPr>
  </w:style>
  <w:style w:type="character" w:customStyle="1" w:styleId="28">
    <w:name w:val="批注文字 Char"/>
    <w:basedOn w:val="15"/>
    <w:link w:val="8"/>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2C673-E4FF-42B0-92B4-1E11E8C13A5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9</Pages>
  <Words>9320</Words>
  <Characters>11952</Characters>
  <Lines>95</Lines>
  <Paragraphs>26</Paragraphs>
  <TotalTime>4</TotalTime>
  <ScaleCrop>false</ScaleCrop>
  <LinksUpToDate>false</LinksUpToDate>
  <CharactersWithSpaces>12087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2021-06-08T11:33:00Z</dcterms:created>
  <dc:creator>zwy-ctctz@outlook.com</dc:creator>
  <cp:lastModifiedBy>裴一朴</cp:lastModifiedBy>
  <cp:lastPrinted>2021-11-16T02:11:00Z</cp:lastPrinted>
  <dcterms:modified xsi:type="dcterms:W3CDTF">2024-10-25T08:58:57Z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30CE3653A05D43C08FB8A1A31D38E83B_13</vt:lpwstr>
  </property>
</Properties>
</file>