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310" w:firstLineChars="1100"/>
      </w:pPr>
      <w:r>
        <w:rPr>
          <w:position w:val="-4"/>
        </w:rPr>
        <w:object>
          <v:shape id="_x0000_i1025" o:spt="75" type="#_x0000_t75" style="height:14.2pt;width:9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hint="eastAsia"/>
        </w:rPr>
        <w:t xml:space="preserve">                                 </w:t>
      </w:r>
      <w:r>
        <w:rPr>
          <w:sz w:val="144"/>
          <w:szCs w:val="144"/>
        </w:rPr>
        <w:t xml:space="preserve">JJF </w:t>
      </w:r>
    </w:p>
    <w:p>
      <w:pPr>
        <w:rPr>
          <w:b/>
          <w:bCs/>
          <w:color w:val="000000"/>
          <w:sz w:val="36"/>
          <w:szCs w:val="36"/>
        </w:rPr>
      </w:pPr>
      <w:r>
        <w:rPr>
          <w:rFonts w:hint="eastAsia"/>
          <w:b/>
          <w:bCs/>
          <w:color w:val="000000"/>
          <w:sz w:val="36"/>
          <w:szCs w:val="36"/>
        </w:rPr>
        <w:t>中华人民共和国工业和信息化部建材计量技术规范</w:t>
      </w:r>
    </w:p>
    <w:p>
      <w:pPr>
        <w:rPr>
          <w:rFonts w:ascii="黑体" w:eastAsia="黑体"/>
          <w:b/>
          <w:color w:val="000000"/>
          <w:sz w:val="28"/>
        </w:rPr>
      </w:pPr>
      <w:r>
        <w:rPr>
          <w:color w:val="000000"/>
        </w:rPr>
        <w:t xml:space="preserve">                                             </w:t>
      </w:r>
      <w:r>
        <w:rPr>
          <w:color w:val="000000"/>
          <w:sz w:val="24"/>
        </w:rPr>
        <w:t xml:space="preserve"> </w:t>
      </w:r>
      <w:r>
        <w:rPr>
          <w:rFonts w:ascii="黑体" w:eastAsia="黑体"/>
          <w:b/>
          <w:color w:val="000000"/>
          <w:sz w:val="28"/>
        </w:rPr>
        <w:t>JJF</w:t>
      </w:r>
      <w:r>
        <w:rPr>
          <w:rFonts w:hint="eastAsia" w:ascii="黑体" w:eastAsia="黑体"/>
          <w:b/>
          <w:color w:val="000000"/>
          <w:sz w:val="28"/>
        </w:rPr>
        <w:t>（建材）</w:t>
      </w:r>
      <w:r>
        <w:rPr>
          <w:rFonts w:hint="eastAsia" w:ascii="黑体" w:hAnsi="宋体" w:eastAsia="黑体"/>
          <w:b/>
          <w:color w:val="000000"/>
          <w:sz w:val="28"/>
        </w:rPr>
        <w:t>××—××××</w:t>
      </w:r>
    </w:p>
    <w:p>
      <w:pPr>
        <w:pBdr>
          <w:bottom w:val="single" w:color="auto" w:sz="6" w:space="0"/>
        </w:pBdr>
        <w:rPr>
          <w:color w:val="000000"/>
        </w:rPr>
      </w:pPr>
    </w:p>
    <w:p>
      <w:pPr>
        <w:rPr>
          <w:color w:val="000000"/>
        </w:rPr>
      </w:pPr>
    </w:p>
    <w:p>
      <w:pPr>
        <w:jc w:val="center"/>
        <w:rPr>
          <w:rFonts w:eastAsia="黑体"/>
          <w:color w:val="000000"/>
        </w:rPr>
      </w:pPr>
    </w:p>
    <w:p>
      <w:pPr>
        <w:jc w:val="center"/>
        <w:rPr>
          <w:rFonts w:eastAsia="黑体"/>
          <w:color w:val="000000"/>
          <w:sz w:val="52"/>
        </w:rPr>
      </w:pPr>
      <w:bookmarkStart w:id="0" w:name="OLE_LINK1"/>
      <w:r>
        <w:rPr>
          <w:rFonts w:hint="eastAsia" w:eastAsia="黑体"/>
          <w:color w:val="000000"/>
          <w:sz w:val="52"/>
        </w:rPr>
        <w:t>建材产品气味评价用原始气体嗅辨仪校准规范</w:t>
      </w:r>
      <w:bookmarkEnd w:id="0"/>
    </w:p>
    <w:p>
      <w:pPr>
        <w:jc w:val="center"/>
        <w:rPr>
          <w:rFonts w:eastAsia="黑体"/>
          <w:color w:val="000000"/>
          <w:sz w:val="28"/>
          <w:szCs w:val="28"/>
        </w:rPr>
      </w:pPr>
      <w:r>
        <w:rPr>
          <w:rFonts w:hint="eastAsia" w:eastAsia="黑体"/>
          <w:color w:val="000000"/>
          <w:sz w:val="28"/>
          <w:szCs w:val="28"/>
        </w:rPr>
        <w:t xml:space="preserve">Calibration </w:t>
      </w:r>
      <w:r>
        <w:rPr>
          <w:rFonts w:hint="eastAsia" w:eastAsia="黑体"/>
          <w:color w:val="000000"/>
          <w:sz w:val="28"/>
          <w:szCs w:val="28"/>
          <w:lang w:val="en-US" w:eastAsia="zh-CN"/>
        </w:rPr>
        <w:t>S</w:t>
      </w:r>
      <w:r>
        <w:rPr>
          <w:rFonts w:hint="eastAsia" w:eastAsia="黑体"/>
          <w:color w:val="000000"/>
          <w:sz w:val="28"/>
          <w:szCs w:val="28"/>
        </w:rPr>
        <w:t xml:space="preserve">pecification for </w:t>
      </w:r>
      <w:r>
        <w:rPr>
          <w:rFonts w:hint="eastAsia" w:eastAsia="黑体"/>
          <w:color w:val="000000"/>
          <w:sz w:val="28"/>
          <w:szCs w:val="28"/>
          <w:lang w:val="en-US" w:eastAsia="zh-CN"/>
        </w:rPr>
        <w:t>O</w:t>
      </w:r>
      <w:r>
        <w:rPr>
          <w:rFonts w:hint="eastAsia" w:eastAsia="黑体"/>
          <w:color w:val="000000"/>
          <w:sz w:val="28"/>
          <w:szCs w:val="28"/>
        </w:rPr>
        <w:t xml:space="preserve">lfactometer of </w:t>
      </w:r>
      <w:r>
        <w:rPr>
          <w:rFonts w:hint="eastAsia" w:eastAsia="黑体"/>
          <w:color w:val="000000"/>
          <w:sz w:val="28"/>
          <w:szCs w:val="28"/>
          <w:lang w:val="en-US" w:eastAsia="zh-CN"/>
        </w:rPr>
        <w:t>U</w:t>
      </w:r>
      <w:r>
        <w:rPr>
          <w:rFonts w:hint="eastAsia" w:eastAsia="黑体"/>
          <w:color w:val="000000"/>
          <w:sz w:val="28"/>
          <w:szCs w:val="28"/>
        </w:rPr>
        <w:t xml:space="preserve">ndiluted </w:t>
      </w:r>
      <w:r>
        <w:rPr>
          <w:rFonts w:hint="eastAsia" w:eastAsia="黑体"/>
          <w:color w:val="000000"/>
          <w:sz w:val="28"/>
          <w:szCs w:val="28"/>
          <w:lang w:val="en-US" w:eastAsia="zh-CN"/>
        </w:rPr>
        <w:t>G</w:t>
      </w:r>
      <w:r>
        <w:rPr>
          <w:rFonts w:hint="eastAsia" w:eastAsia="黑体"/>
          <w:color w:val="000000"/>
          <w:sz w:val="28"/>
          <w:szCs w:val="28"/>
        </w:rPr>
        <w:t xml:space="preserve">aseous </w:t>
      </w:r>
      <w:r>
        <w:rPr>
          <w:rFonts w:hint="eastAsia" w:eastAsia="黑体"/>
          <w:color w:val="000000"/>
          <w:sz w:val="28"/>
          <w:szCs w:val="28"/>
          <w:lang w:val="en-US" w:eastAsia="zh-CN"/>
        </w:rPr>
        <w:t>S</w:t>
      </w:r>
      <w:r>
        <w:rPr>
          <w:rFonts w:hint="eastAsia" w:eastAsia="黑体"/>
          <w:color w:val="000000"/>
          <w:sz w:val="28"/>
          <w:szCs w:val="28"/>
        </w:rPr>
        <w:t xml:space="preserve">ample for </w:t>
      </w:r>
      <w:r>
        <w:rPr>
          <w:rFonts w:hint="eastAsia" w:eastAsia="黑体"/>
          <w:color w:val="000000"/>
          <w:sz w:val="28"/>
          <w:szCs w:val="28"/>
          <w:lang w:val="en-US" w:eastAsia="zh-CN"/>
        </w:rPr>
        <w:t>O</w:t>
      </w:r>
      <w:r>
        <w:rPr>
          <w:rFonts w:hint="eastAsia" w:eastAsia="黑体"/>
          <w:color w:val="000000"/>
          <w:sz w:val="28"/>
          <w:szCs w:val="28"/>
        </w:rPr>
        <w:t xml:space="preserve">dour </w:t>
      </w:r>
      <w:r>
        <w:rPr>
          <w:rFonts w:hint="eastAsia" w:eastAsia="黑体"/>
          <w:color w:val="000000"/>
          <w:sz w:val="28"/>
          <w:szCs w:val="28"/>
          <w:lang w:val="en-US" w:eastAsia="zh-CN"/>
        </w:rPr>
        <w:t>D</w:t>
      </w:r>
      <w:r>
        <w:rPr>
          <w:rFonts w:hint="eastAsia" w:eastAsia="黑体"/>
          <w:color w:val="000000"/>
          <w:sz w:val="28"/>
          <w:szCs w:val="28"/>
        </w:rPr>
        <w:t xml:space="preserve">etermination of </w:t>
      </w:r>
      <w:r>
        <w:rPr>
          <w:rFonts w:hint="eastAsia" w:eastAsia="黑体"/>
          <w:color w:val="000000"/>
          <w:sz w:val="28"/>
          <w:szCs w:val="28"/>
          <w:lang w:val="en-US" w:eastAsia="zh-CN"/>
        </w:rPr>
        <w:t>B</w:t>
      </w:r>
      <w:r>
        <w:rPr>
          <w:rFonts w:hint="eastAsia" w:eastAsia="黑体"/>
          <w:color w:val="000000"/>
          <w:sz w:val="28"/>
          <w:szCs w:val="28"/>
        </w:rPr>
        <w:t xml:space="preserve">uilding </w:t>
      </w:r>
      <w:r>
        <w:rPr>
          <w:rFonts w:hint="eastAsia" w:eastAsia="黑体"/>
          <w:color w:val="000000"/>
          <w:sz w:val="28"/>
          <w:szCs w:val="28"/>
          <w:lang w:val="en-US" w:eastAsia="zh-CN"/>
        </w:rPr>
        <w:t>P</w:t>
      </w:r>
      <w:r>
        <w:rPr>
          <w:rFonts w:hint="eastAsia" w:eastAsia="黑体"/>
          <w:color w:val="000000"/>
          <w:sz w:val="28"/>
          <w:szCs w:val="28"/>
        </w:rPr>
        <w:t>roducts</w:t>
      </w:r>
    </w:p>
    <w:p>
      <w:pPr>
        <w:jc w:val="center"/>
        <w:rPr>
          <w:rFonts w:eastAsia="黑体"/>
          <w:color w:val="000000"/>
          <w:sz w:val="28"/>
          <w:szCs w:val="28"/>
        </w:rPr>
      </w:pPr>
      <w:r>
        <w:rPr>
          <w:rFonts w:hint="eastAsia" w:eastAsia="黑体"/>
          <w:color w:val="000000"/>
          <w:sz w:val="28"/>
          <w:szCs w:val="28"/>
        </w:rPr>
        <w:t>（</w:t>
      </w:r>
      <w:r>
        <w:rPr>
          <w:rFonts w:hint="eastAsia" w:eastAsia="黑体"/>
          <w:color w:val="000000"/>
          <w:sz w:val="28"/>
          <w:szCs w:val="28"/>
          <w:lang w:val="en-US" w:eastAsia="zh-CN"/>
        </w:rPr>
        <w:t>征求意见</w:t>
      </w:r>
      <w:r>
        <w:rPr>
          <w:rFonts w:hint="eastAsia" w:eastAsia="黑体"/>
          <w:color w:val="000000"/>
          <w:sz w:val="28"/>
          <w:szCs w:val="28"/>
        </w:rPr>
        <w:t>稿）</w:t>
      </w:r>
    </w:p>
    <w:p>
      <w:pPr>
        <w:jc w:val="center"/>
        <w:rPr>
          <w:rFonts w:ascii="黑体" w:eastAsia="黑体"/>
          <w:color w:val="000000"/>
          <w:sz w:val="28"/>
        </w:rPr>
      </w:pPr>
    </w:p>
    <w:p>
      <w:pPr>
        <w:jc w:val="center"/>
        <w:rPr>
          <w:rFonts w:ascii="黑体" w:eastAsia="黑体"/>
          <w:color w:val="000000"/>
          <w:sz w:val="28"/>
        </w:rPr>
      </w:pPr>
    </w:p>
    <w:p>
      <w:pPr>
        <w:jc w:val="center"/>
        <w:rPr>
          <w:rFonts w:ascii="黑体" w:eastAsia="黑体"/>
          <w:color w:val="000000"/>
          <w:sz w:val="28"/>
        </w:rPr>
      </w:pPr>
    </w:p>
    <w:p>
      <w:pPr>
        <w:jc w:val="center"/>
        <w:rPr>
          <w:rFonts w:ascii="黑体" w:eastAsia="黑体"/>
          <w:color w:val="000000"/>
          <w:sz w:val="28"/>
        </w:rPr>
      </w:pPr>
    </w:p>
    <w:p>
      <w:pPr>
        <w:jc w:val="center"/>
        <w:rPr>
          <w:rFonts w:ascii="黑体" w:eastAsia="黑体"/>
          <w:color w:val="000000"/>
          <w:sz w:val="28"/>
        </w:rPr>
      </w:pPr>
    </w:p>
    <w:p>
      <w:pPr>
        <w:pBdr>
          <w:bottom w:val="single" w:color="auto" w:sz="6" w:space="1"/>
        </w:pBdr>
        <w:jc w:val="center"/>
        <w:rPr>
          <w:rFonts w:ascii="黑体" w:eastAsia="黑体"/>
          <w:b/>
          <w:color w:val="000000"/>
          <w:sz w:val="28"/>
        </w:rPr>
      </w:pPr>
      <w:r>
        <w:rPr>
          <w:rFonts w:hint="eastAsia" w:ascii="黑体" w:hAnsi="宋体" w:eastAsia="黑体"/>
          <w:b/>
          <w:color w:val="000000"/>
          <w:sz w:val="28"/>
        </w:rPr>
        <w:t>××××-××-××</w:t>
      </w:r>
      <w:r>
        <w:rPr>
          <w:rFonts w:hint="eastAsia" w:ascii="黑体" w:eastAsia="黑体"/>
          <w:b/>
          <w:color w:val="000000"/>
          <w:sz w:val="28"/>
        </w:rPr>
        <w:t xml:space="preserve"> 发布           </w:t>
      </w:r>
      <w:r>
        <w:rPr>
          <w:rFonts w:hint="eastAsia" w:ascii="黑体" w:hAnsi="宋体" w:eastAsia="黑体"/>
          <w:b/>
          <w:color w:val="000000"/>
          <w:sz w:val="28"/>
        </w:rPr>
        <w:t>××××-××-××</w:t>
      </w:r>
      <w:r>
        <w:rPr>
          <w:rFonts w:hint="eastAsia" w:ascii="黑体" w:eastAsia="黑体"/>
          <w:b/>
          <w:color w:val="000000"/>
          <w:sz w:val="28"/>
        </w:rPr>
        <w:t>实施</w:t>
      </w:r>
    </w:p>
    <w:p>
      <w:pPr>
        <w:jc w:val="center"/>
        <w:rPr>
          <w:rFonts w:ascii="宋体" w:hAnsi="宋体"/>
          <w:color w:val="000000"/>
          <w:sz w:val="36"/>
          <w:szCs w:val="36"/>
        </w:rPr>
      </w:pPr>
    </w:p>
    <w:p>
      <w:pPr>
        <w:jc w:val="center"/>
        <w:rPr>
          <w:color w:val="000000"/>
          <w:sz w:val="24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>中华人民共和国工业和信息化部</w:t>
      </w:r>
      <w:r>
        <w:rPr>
          <w:rFonts w:eastAsia="华文中宋"/>
          <w:color w:val="000000"/>
          <w:sz w:val="44"/>
        </w:rPr>
        <w:t xml:space="preserve"> </w:t>
      </w:r>
      <w:r>
        <w:rPr>
          <w:color w:val="000000"/>
        </w:rPr>
        <w:t xml:space="preserve"> </w:t>
      </w:r>
      <w:r>
        <w:rPr>
          <w:rFonts w:hint="eastAsia" w:eastAsia="黑体"/>
          <w:color w:val="000000"/>
          <w:sz w:val="28"/>
        </w:rPr>
        <w:t>发</w:t>
      </w:r>
      <w:r>
        <w:rPr>
          <w:rFonts w:eastAsia="黑体"/>
          <w:color w:val="000000"/>
          <w:sz w:val="28"/>
        </w:rPr>
        <w:t xml:space="preserve"> </w:t>
      </w:r>
      <w:r>
        <w:rPr>
          <w:rFonts w:hint="eastAsia" w:eastAsia="黑体"/>
          <w:color w:val="000000"/>
          <w:sz w:val="28"/>
        </w:rPr>
        <w:t>布</w:t>
      </w:r>
    </w:p>
    <w:p>
      <w:pPr>
        <w:rPr>
          <w:color w:val="000000"/>
        </w:rPr>
        <w:sectPr>
          <w:pgSz w:w="11850" w:h="16783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p>
      <w:pPr>
        <w:rPr>
          <w:color w:val="000000"/>
        </w:rPr>
      </w:pPr>
    </w:p>
    <w:p>
      <w:pPr>
        <w:jc w:val="left"/>
        <w:rPr>
          <w:rFonts w:eastAsia="黑体"/>
          <w:color w:val="000000"/>
          <w:sz w:val="52"/>
        </w:rPr>
      </w:pPr>
      <w:r>
        <w:rPr>
          <w:rFonts w:hint="eastAsia" w:eastAsia="黑体"/>
          <w:color w:val="000000"/>
          <w:sz w:val="52"/>
        </w:rPr>
        <w:br w:type="page"/>
      </w:r>
      <w:r>
        <w:rPr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3298825</wp:posOffset>
                </wp:positionH>
                <wp:positionV relativeFrom="paragraph">
                  <wp:posOffset>70485</wp:posOffset>
                </wp:positionV>
                <wp:extent cx="1905000" cy="813435"/>
                <wp:effectExtent l="0" t="0" r="0" b="0"/>
                <wp:wrapNone/>
                <wp:docPr id="1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ap="rnd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JJF（建材）</w:t>
                            </w:r>
                            <w:r>
                              <w:rPr>
                                <w:rFonts w:hint="eastAsia" w:hAnsi="宋体"/>
                              </w:rPr>
                              <w:t>××</w:t>
                            </w:r>
                            <w:r>
                              <w:rPr>
                                <w:rFonts w:hint="eastAsia"/>
                                <w:lang w:val="en-GB"/>
                              </w:rPr>
                              <w:t>—</w:t>
                            </w:r>
                            <w:r>
                              <w:rPr>
                                <w:rFonts w:hint="eastAsia" w:hAnsi="宋体"/>
                                <w:lang w:val="en-GB"/>
                              </w:rPr>
                              <w:t>××××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92" o:spid="_x0000_s1026" o:spt="1" style="position:absolute;left:0pt;margin-left:259.75pt;margin-top:5.55pt;height:64.05pt;width:150pt;z-index:251659264;mso-width-relative:page;mso-height-relative:page;" fillcolor="#FFFFFF" filled="t" stroked="t" coordsize="21600,21600" o:gfxdata="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BPnvRtUAAAAKAQAADwAAAAAAAAABACAA&#10;AAAiAAAAZHJzL2Rvd25yZXYueG1sUEsBAhQAFAAAAAgAh07iQIxM2eMQAgAAOgQAAA4AAAAAAAAA&#10;AQAgAAAAJAEAAGRycy9lMm9Eb2MueG1sUEsFBgAAAAAGAAYAWQEAAKYFAAAAAA==&#10;">
                <v:fill on="t" focussize="0,0"/>
                <v:stroke weight="4.5pt" color="#000000" joinstyle="miter" dashstyle="1 1" endcap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JJF（建材）</w:t>
                      </w:r>
                      <w:r>
                        <w:rPr>
                          <w:rFonts w:hint="eastAsia" w:hAnsi="宋体"/>
                        </w:rPr>
                        <w:t>××</w:t>
                      </w:r>
                      <w:r>
                        <w:rPr>
                          <w:rFonts w:hint="eastAsia"/>
                          <w:lang w:val="en-GB"/>
                        </w:rPr>
                        <w:t>—</w:t>
                      </w:r>
                      <w:r>
                        <w:rPr>
                          <w:rFonts w:hint="eastAsia" w:hAnsi="宋体"/>
                          <w:lang w:val="en-GB"/>
                        </w:rPr>
                        <w:t>××××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eastAsia="黑体"/>
          <w:color w:val="000000"/>
          <w:sz w:val="52"/>
        </w:rPr>
        <w:t>建材产品气味评价用原</w:t>
      </w:r>
    </w:p>
    <w:p>
      <w:pPr>
        <w:jc w:val="left"/>
        <w:rPr>
          <w:color w:val="000000"/>
        </w:rPr>
      </w:pPr>
      <w:r>
        <w:rPr>
          <w:rFonts w:hint="eastAsia" w:eastAsia="黑体"/>
          <w:color w:val="000000"/>
          <w:sz w:val="52"/>
        </w:rPr>
        <w:t>始气体嗅辨仪校准规范</w:t>
      </w:r>
      <w:r>
        <w:rPr>
          <w:color w:val="000000"/>
        </w:rPr>
        <w:t xml:space="preserve">                                                              </w:t>
      </w:r>
    </w:p>
    <w:p>
      <w:pPr>
        <w:rPr>
          <w:rFonts w:ascii="黑体"/>
          <w:b/>
          <w:color w:val="000000"/>
          <w:sz w:val="28"/>
          <w:szCs w:val="20"/>
        </w:rPr>
      </w:pPr>
      <w:r>
        <w:rPr>
          <w:rFonts w:hint="eastAsia" w:ascii="黑体"/>
          <w:b/>
          <w:color w:val="000000"/>
          <w:sz w:val="28"/>
          <w:szCs w:val="20"/>
        </w:rPr>
        <w:t xml:space="preserve">Calibration </w:t>
      </w:r>
      <w:r>
        <w:rPr>
          <w:rFonts w:hint="eastAsia" w:ascii="黑体"/>
          <w:b/>
          <w:color w:val="000000"/>
          <w:sz w:val="28"/>
          <w:szCs w:val="20"/>
          <w:lang w:val="en-US" w:eastAsia="zh-CN"/>
        </w:rPr>
        <w:t>S</w:t>
      </w:r>
      <w:r>
        <w:rPr>
          <w:rFonts w:hint="eastAsia" w:ascii="黑体"/>
          <w:b/>
          <w:color w:val="000000"/>
          <w:sz w:val="28"/>
          <w:szCs w:val="20"/>
        </w:rPr>
        <w:t xml:space="preserve">pecification for </w:t>
      </w:r>
      <w:r>
        <w:rPr>
          <w:rFonts w:hint="eastAsia" w:ascii="黑体"/>
          <w:b/>
          <w:color w:val="000000"/>
          <w:sz w:val="28"/>
          <w:szCs w:val="20"/>
          <w:lang w:val="en-US" w:eastAsia="zh-CN"/>
        </w:rPr>
        <w:t>O</w:t>
      </w:r>
      <w:r>
        <w:rPr>
          <w:rFonts w:hint="eastAsia" w:ascii="黑体"/>
          <w:b/>
          <w:color w:val="000000"/>
          <w:sz w:val="28"/>
          <w:szCs w:val="20"/>
        </w:rPr>
        <w:t xml:space="preserve">lfactometer of </w:t>
      </w:r>
      <w:r>
        <w:rPr>
          <w:rFonts w:hint="eastAsia" w:ascii="黑体"/>
          <w:b/>
          <w:color w:val="000000"/>
          <w:sz w:val="28"/>
          <w:szCs w:val="20"/>
          <w:lang w:val="en-US" w:eastAsia="zh-CN"/>
        </w:rPr>
        <w:t>U</w:t>
      </w:r>
      <w:r>
        <w:rPr>
          <w:rFonts w:hint="eastAsia" w:ascii="黑体"/>
          <w:b/>
          <w:color w:val="000000"/>
          <w:sz w:val="28"/>
          <w:szCs w:val="20"/>
        </w:rPr>
        <w:t xml:space="preserve">ndiluted </w:t>
      </w:r>
      <w:r>
        <w:rPr>
          <w:rFonts w:hint="eastAsia" w:ascii="黑体"/>
          <w:b/>
          <w:color w:val="000000"/>
          <w:sz w:val="28"/>
          <w:szCs w:val="20"/>
          <w:lang w:val="en-US" w:eastAsia="zh-CN"/>
        </w:rPr>
        <w:t>G</w:t>
      </w:r>
      <w:r>
        <w:rPr>
          <w:rFonts w:hint="eastAsia" w:ascii="黑体"/>
          <w:b/>
          <w:color w:val="000000"/>
          <w:sz w:val="28"/>
          <w:szCs w:val="20"/>
        </w:rPr>
        <w:t xml:space="preserve">aseous </w:t>
      </w:r>
      <w:r>
        <w:rPr>
          <w:rFonts w:hint="eastAsia" w:ascii="黑体"/>
          <w:b/>
          <w:color w:val="000000"/>
          <w:sz w:val="28"/>
          <w:szCs w:val="20"/>
          <w:lang w:val="en-US" w:eastAsia="zh-CN"/>
        </w:rPr>
        <w:t>S</w:t>
      </w:r>
      <w:r>
        <w:rPr>
          <w:rFonts w:hint="eastAsia" w:ascii="黑体"/>
          <w:b/>
          <w:color w:val="000000"/>
          <w:sz w:val="28"/>
          <w:szCs w:val="20"/>
        </w:rPr>
        <w:t xml:space="preserve">ample for </w:t>
      </w:r>
      <w:r>
        <w:rPr>
          <w:rFonts w:hint="eastAsia" w:ascii="黑体"/>
          <w:b/>
          <w:color w:val="000000"/>
          <w:sz w:val="28"/>
          <w:szCs w:val="20"/>
          <w:lang w:val="en-US" w:eastAsia="zh-CN"/>
        </w:rPr>
        <w:t>O</w:t>
      </w:r>
      <w:r>
        <w:rPr>
          <w:rFonts w:hint="eastAsia" w:ascii="黑体"/>
          <w:b/>
          <w:color w:val="000000"/>
          <w:sz w:val="28"/>
          <w:szCs w:val="20"/>
        </w:rPr>
        <w:t xml:space="preserve">dour </w:t>
      </w:r>
      <w:r>
        <w:rPr>
          <w:rFonts w:hint="eastAsia" w:ascii="黑体"/>
          <w:b/>
          <w:color w:val="000000"/>
          <w:sz w:val="28"/>
          <w:szCs w:val="20"/>
          <w:lang w:val="en-US" w:eastAsia="zh-CN"/>
        </w:rPr>
        <w:t>D</w:t>
      </w:r>
      <w:r>
        <w:rPr>
          <w:rFonts w:hint="eastAsia" w:ascii="黑体"/>
          <w:b/>
          <w:color w:val="000000"/>
          <w:sz w:val="28"/>
          <w:szCs w:val="20"/>
        </w:rPr>
        <w:t xml:space="preserve">etermination of </w:t>
      </w:r>
      <w:r>
        <w:rPr>
          <w:rFonts w:hint="eastAsia" w:ascii="黑体"/>
          <w:b/>
          <w:color w:val="000000"/>
          <w:sz w:val="28"/>
          <w:szCs w:val="20"/>
          <w:lang w:val="en-US" w:eastAsia="zh-CN"/>
        </w:rPr>
        <w:t>B</w:t>
      </w:r>
      <w:r>
        <w:rPr>
          <w:rFonts w:hint="eastAsia" w:ascii="黑体"/>
          <w:b/>
          <w:color w:val="000000"/>
          <w:sz w:val="28"/>
          <w:szCs w:val="20"/>
        </w:rPr>
        <w:t xml:space="preserve">uilding </w:t>
      </w:r>
      <w:r>
        <w:rPr>
          <w:rFonts w:hint="eastAsia" w:ascii="黑体"/>
          <w:b/>
          <w:color w:val="000000"/>
          <w:sz w:val="28"/>
          <w:szCs w:val="20"/>
          <w:lang w:val="en-US" w:eastAsia="zh-CN"/>
        </w:rPr>
        <w:t>P</w:t>
      </w:r>
      <w:r>
        <w:rPr>
          <w:rFonts w:hint="eastAsia" w:ascii="黑体"/>
          <w:b/>
          <w:color w:val="000000"/>
          <w:sz w:val="28"/>
          <w:szCs w:val="20"/>
        </w:rPr>
        <w:t>roducts</w:t>
      </w:r>
    </w:p>
    <w:p>
      <w:pPr>
        <w:ind w:firstLine="560" w:firstLineChars="200"/>
        <w:rPr>
          <w:color w:val="000000"/>
          <w:sz w:val="28"/>
        </w:rPr>
      </w:pPr>
      <w:r>
        <w:rPr>
          <w:rFonts w:hint="eastAsia"/>
          <w:color w:val="000000"/>
          <w:sz w:val="28"/>
        </w:rPr>
        <w:t xml:space="preserve"> </w:t>
      </w:r>
      <w:bookmarkStart w:id="30" w:name="_GoBack"/>
      <w:bookmarkEnd w:id="30"/>
    </w:p>
    <w:p>
      <w:pPr>
        <w:spacing w:line="360" w:lineRule="auto"/>
        <w:rPr>
          <w:rFonts w:eastAsia="黑体"/>
          <w:color w:val="000000"/>
          <w:sz w:val="28"/>
        </w:rPr>
      </w:pPr>
    </w:p>
    <w:p>
      <w:pPr>
        <w:spacing w:line="360" w:lineRule="auto"/>
        <w:rPr>
          <w:rFonts w:eastAsia="黑体"/>
          <w:color w:val="000000"/>
          <w:sz w:val="28"/>
        </w:rPr>
      </w:pPr>
    </w:p>
    <w:p>
      <w:pPr>
        <w:spacing w:line="360" w:lineRule="auto"/>
        <w:rPr>
          <w:rFonts w:eastAsia="黑体"/>
          <w:color w:val="000000"/>
          <w:sz w:val="28"/>
        </w:rPr>
      </w:pPr>
    </w:p>
    <w:p>
      <w:pPr>
        <w:spacing w:line="360" w:lineRule="auto"/>
        <w:ind w:firstLine="829" w:firstLineChars="295"/>
        <w:rPr>
          <w:rFonts w:eastAsia="黑体"/>
          <w:color w:val="000000"/>
          <w:sz w:val="28"/>
        </w:rPr>
      </w:pPr>
      <w:r>
        <w:rPr>
          <w:rFonts w:hint="eastAsia" w:eastAsia="黑体"/>
          <w:b/>
          <w:bCs/>
          <w:color w:val="000000"/>
          <w:sz w:val="28"/>
        </w:rPr>
        <w:t>归</w:t>
      </w:r>
      <w:r>
        <w:rPr>
          <w:rFonts w:eastAsia="黑体"/>
          <w:b/>
          <w:bCs/>
          <w:color w:val="000000"/>
          <w:sz w:val="28"/>
        </w:rPr>
        <w:t xml:space="preserve"> </w:t>
      </w:r>
      <w:r>
        <w:rPr>
          <w:rFonts w:hint="eastAsia" w:eastAsia="黑体"/>
          <w:b/>
          <w:bCs/>
          <w:color w:val="000000"/>
          <w:sz w:val="28"/>
        </w:rPr>
        <w:t>口</w:t>
      </w:r>
      <w:r>
        <w:rPr>
          <w:rFonts w:eastAsia="黑体"/>
          <w:b/>
          <w:bCs/>
          <w:color w:val="000000"/>
          <w:sz w:val="28"/>
        </w:rPr>
        <w:t xml:space="preserve"> </w:t>
      </w:r>
      <w:r>
        <w:rPr>
          <w:rFonts w:hint="eastAsia" w:eastAsia="黑体"/>
          <w:b/>
          <w:bCs/>
          <w:color w:val="000000"/>
          <w:sz w:val="28"/>
        </w:rPr>
        <w:t>单</w:t>
      </w:r>
      <w:r>
        <w:rPr>
          <w:rFonts w:eastAsia="黑体"/>
          <w:b/>
          <w:bCs/>
          <w:color w:val="000000"/>
          <w:sz w:val="28"/>
        </w:rPr>
        <w:t xml:space="preserve"> </w:t>
      </w:r>
      <w:r>
        <w:rPr>
          <w:rFonts w:hint="eastAsia" w:eastAsia="黑体"/>
          <w:b/>
          <w:bCs/>
          <w:color w:val="000000"/>
          <w:sz w:val="28"/>
        </w:rPr>
        <w:t>位</w:t>
      </w:r>
      <w:r>
        <w:rPr>
          <w:rFonts w:eastAsia="黑体"/>
          <w:b/>
          <w:bCs/>
          <w:color w:val="000000"/>
          <w:sz w:val="28"/>
        </w:rPr>
        <w:t xml:space="preserve"> </w:t>
      </w:r>
      <w:r>
        <w:rPr>
          <w:rFonts w:hint="eastAsia" w:eastAsia="黑体"/>
          <w:b/>
          <w:bCs/>
          <w:color w:val="000000"/>
          <w:sz w:val="28"/>
        </w:rPr>
        <w:t>：</w:t>
      </w:r>
      <w:r>
        <w:rPr>
          <w:rFonts w:hint="eastAsia"/>
          <w:color w:val="000000"/>
          <w:sz w:val="28"/>
        </w:rPr>
        <w:t>全国建材工业计量技术委员会</w:t>
      </w:r>
    </w:p>
    <w:p>
      <w:pPr>
        <w:rPr>
          <w:rFonts w:hint="eastAsia" w:eastAsia="黑体"/>
          <w:b/>
          <w:bCs/>
          <w:color w:val="000000"/>
          <w:sz w:val="28"/>
        </w:rPr>
      </w:pPr>
      <w:r>
        <w:rPr>
          <w:rFonts w:hint="eastAsia" w:eastAsia="黑体"/>
          <w:b/>
          <w:bCs/>
          <w:color w:val="000000"/>
          <w:sz w:val="28"/>
        </w:rPr>
        <w:br w:type="page"/>
      </w:r>
    </w:p>
    <w:p>
      <w:pPr>
        <w:spacing w:line="360" w:lineRule="auto"/>
        <w:ind w:firstLine="829" w:firstLineChars="295"/>
        <w:rPr>
          <w:color w:val="000000"/>
          <w:sz w:val="28"/>
        </w:rPr>
      </w:pPr>
      <w:r>
        <w:rPr>
          <w:rFonts w:hint="eastAsia" w:eastAsia="黑体"/>
          <w:b/>
          <w:bCs/>
          <w:color w:val="000000"/>
          <w:sz w:val="28"/>
        </w:rPr>
        <w:t>主要起草单位：</w:t>
      </w:r>
      <w:r>
        <w:rPr>
          <w:rFonts w:hint="eastAsia"/>
          <w:color w:val="000000"/>
          <w:sz w:val="28"/>
        </w:rPr>
        <w:t xml:space="preserve">中国国检测试控股集团股份有限公司 </w:t>
      </w:r>
    </w:p>
    <w:p>
      <w:pPr>
        <w:spacing w:line="360" w:lineRule="auto"/>
        <w:ind w:firstLine="838" w:firstLineChars="298"/>
        <w:rPr>
          <w:rFonts w:ascii="仿宋_GB2312"/>
          <w:color w:val="000000"/>
          <w:sz w:val="28"/>
          <w:szCs w:val="32"/>
        </w:rPr>
      </w:pPr>
      <w:r>
        <w:rPr>
          <w:rFonts w:hint="eastAsia" w:eastAsia="黑体"/>
          <w:b/>
          <w:bCs/>
          <w:color w:val="000000"/>
          <w:sz w:val="28"/>
        </w:rPr>
        <w:t>参加起草单位：</w:t>
      </w:r>
      <w:r>
        <w:rPr>
          <w:rFonts w:hint="eastAsia" w:ascii="仿宋_GB2312"/>
          <w:color w:val="000000"/>
          <w:sz w:val="28"/>
          <w:szCs w:val="32"/>
        </w:rPr>
        <w:t>××—××××</w:t>
      </w:r>
    </w:p>
    <w:p>
      <w:pPr>
        <w:spacing w:line="360" w:lineRule="auto"/>
        <w:ind w:firstLine="834" w:firstLineChars="298"/>
        <w:rPr>
          <w:rFonts w:ascii="仿宋_GB2312"/>
          <w:color w:val="000000"/>
          <w:sz w:val="28"/>
          <w:szCs w:val="32"/>
        </w:rPr>
      </w:pPr>
      <w:r>
        <w:rPr>
          <w:rFonts w:hint="eastAsia" w:ascii="仿宋_GB2312"/>
          <w:color w:val="000000"/>
          <w:sz w:val="28"/>
          <w:szCs w:val="32"/>
        </w:rPr>
        <w:t xml:space="preserve">              ××—××××</w:t>
      </w:r>
    </w:p>
    <w:p>
      <w:pPr>
        <w:jc w:val="center"/>
        <w:rPr>
          <w:color w:val="000000"/>
          <w:sz w:val="24"/>
        </w:rPr>
      </w:pPr>
      <w:r>
        <w:rPr>
          <w:rFonts w:hint="eastAsia"/>
          <w:color w:val="000000"/>
          <w:szCs w:val="28"/>
        </w:rPr>
        <w:t xml:space="preserve">         </w:t>
      </w:r>
    </w:p>
    <w:p>
      <w:pPr>
        <w:spacing w:line="360" w:lineRule="auto"/>
        <w:ind w:firstLine="315" w:firstLineChars="150"/>
        <w:rPr>
          <w:color w:val="000000"/>
        </w:rPr>
      </w:pPr>
      <w:r>
        <w:rPr>
          <w:color w:val="000000"/>
        </w:rPr>
        <w:br w:type="page"/>
      </w:r>
    </w:p>
    <w:p>
      <w:pPr>
        <w:spacing w:line="600" w:lineRule="exact"/>
        <w:ind w:firstLine="722" w:firstLineChars="257"/>
        <w:rPr>
          <w:rFonts w:ascii="黑体" w:eastAsia="黑体"/>
          <w:color w:val="000000"/>
          <w:sz w:val="28"/>
          <w:szCs w:val="28"/>
        </w:rPr>
      </w:pPr>
      <w:r>
        <w:rPr>
          <w:rFonts w:hint="eastAsia" w:ascii="黑体" w:eastAsia="黑体"/>
          <w:b/>
          <w:bCs/>
          <w:color w:val="000000"/>
          <w:sz w:val="28"/>
          <w:szCs w:val="28"/>
        </w:rPr>
        <w:t>本规范主要起草人</w:t>
      </w:r>
      <w:r>
        <w:rPr>
          <w:rFonts w:hint="eastAsia" w:ascii="黑体" w:eastAsia="黑体"/>
          <w:color w:val="000000"/>
          <w:sz w:val="28"/>
          <w:szCs w:val="28"/>
        </w:rPr>
        <w:t>：</w:t>
      </w:r>
    </w:p>
    <w:p>
      <w:pPr>
        <w:spacing w:line="360" w:lineRule="auto"/>
        <w:ind w:firstLine="2791" w:firstLineChars="997"/>
        <w:rPr>
          <w:rFonts w:ascii="仿宋_GB2312"/>
          <w:color w:val="000000"/>
          <w:sz w:val="28"/>
          <w:szCs w:val="32"/>
        </w:rPr>
      </w:pPr>
      <w:r>
        <w:rPr>
          <w:rFonts w:hint="eastAsia" w:ascii="仿宋_GB2312"/>
          <w:color w:val="000000"/>
          <w:sz w:val="28"/>
          <w:szCs w:val="32"/>
        </w:rPr>
        <w:t>××—××××</w:t>
      </w:r>
    </w:p>
    <w:p>
      <w:pPr>
        <w:spacing w:line="360" w:lineRule="auto"/>
        <w:ind w:firstLine="2791" w:firstLineChars="997"/>
        <w:rPr>
          <w:rFonts w:ascii="仿宋_GB2312"/>
          <w:color w:val="000000"/>
          <w:sz w:val="28"/>
          <w:szCs w:val="32"/>
        </w:rPr>
      </w:pPr>
      <w:r>
        <w:rPr>
          <w:rFonts w:hint="eastAsia" w:ascii="仿宋_GB2312"/>
          <w:color w:val="000000"/>
          <w:sz w:val="28"/>
          <w:szCs w:val="32"/>
        </w:rPr>
        <w:t>××—××××</w:t>
      </w:r>
    </w:p>
    <w:p>
      <w:pPr>
        <w:spacing w:line="360" w:lineRule="auto"/>
        <w:ind w:firstLine="2791" w:firstLineChars="997"/>
        <w:rPr>
          <w:rFonts w:ascii="仿宋_GB2312"/>
          <w:color w:val="000000"/>
          <w:sz w:val="28"/>
          <w:szCs w:val="32"/>
        </w:rPr>
      </w:pPr>
      <w:r>
        <w:rPr>
          <w:rFonts w:hint="eastAsia" w:ascii="仿宋_GB2312"/>
          <w:color w:val="000000"/>
          <w:sz w:val="28"/>
          <w:szCs w:val="32"/>
        </w:rPr>
        <w:t>××—××××</w:t>
      </w:r>
    </w:p>
    <w:p>
      <w:pPr>
        <w:spacing w:line="600" w:lineRule="exact"/>
        <w:ind w:firstLine="722" w:firstLineChars="257"/>
        <w:rPr>
          <w:rFonts w:ascii="仿宋_GB2312"/>
          <w:color w:val="000000"/>
          <w:sz w:val="28"/>
          <w:szCs w:val="32"/>
        </w:rPr>
      </w:pPr>
      <w:r>
        <w:rPr>
          <w:rFonts w:hint="eastAsia" w:ascii="黑体" w:eastAsia="黑体"/>
          <w:b/>
          <w:bCs/>
          <w:color w:val="000000"/>
          <w:sz w:val="28"/>
          <w:szCs w:val="28"/>
        </w:rPr>
        <w:t>参加起草人</w:t>
      </w:r>
      <w:r>
        <w:rPr>
          <w:rFonts w:hint="eastAsia" w:ascii="黑体" w:eastAsia="黑体"/>
          <w:color w:val="000000"/>
          <w:sz w:val="28"/>
          <w:szCs w:val="28"/>
        </w:rPr>
        <w:t>：</w:t>
      </w:r>
    </w:p>
    <w:p>
      <w:pPr>
        <w:spacing w:line="360" w:lineRule="auto"/>
        <w:ind w:firstLine="2791" w:firstLineChars="997"/>
        <w:rPr>
          <w:rFonts w:ascii="仿宋_GB2312"/>
          <w:color w:val="000000"/>
          <w:sz w:val="28"/>
          <w:szCs w:val="32"/>
        </w:rPr>
      </w:pPr>
      <w:r>
        <w:rPr>
          <w:rFonts w:hint="eastAsia" w:ascii="仿宋_GB2312"/>
          <w:color w:val="000000"/>
          <w:sz w:val="28"/>
          <w:szCs w:val="32"/>
        </w:rPr>
        <w:t>××—××××</w:t>
      </w:r>
    </w:p>
    <w:p>
      <w:pPr>
        <w:spacing w:line="360" w:lineRule="auto"/>
        <w:ind w:firstLine="2791" w:firstLineChars="997"/>
        <w:rPr>
          <w:rFonts w:ascii="仿宋_GB2312"/>
          <w:color w:val="000000"/>
          <w:sz w:val="28"/>
          <w:szCs w:val="32"/>
        </w:rPr>
      </w:pPr>
      <w:r>
        <w:rPr>
          <w:rFonts w:hint="eastAsia" w:ascii="仿宋_GB2312"/>
          <w:color w:val="000000"/>
          <w:sz w:val="28"/>
          <w:szCs w:val="32"/>
        </w:rPr>
        <w:t>××—××××</w:t>
      </w:r>
    </w:p>
    <w:p>
      <w:pPr>
        <w:spacing w:line="360" w:lineRule="auto"/>
        <w:ind w:firstLine="2791" w:firstLineChars="997"/>
        <w:rPr>
          <w:rFonts w:ascii="仿宋_GB2312"/>
          <w:color w:val="000000"/>
          <w:sz w:val="28"/>
          <w:szCs w:val="32"/>
        </w:rPr>
      </w:pPr>
      <w:r>
        <w:rPr>
          <w:rFonts w:hint="eastAsia" w:ascii="仿宋_GB2312"/>
          <w:color w:val="000000"/>
          <w:sz w:val="28"/>
          <w:szCs w:val="32"/>
        </w:rPr>
        <w:t>××—××××</w:t>
      </w:r>
    </w:p>
    <w:p>
      <w:pPr>
        <w:spacing w:line="360" w:lineRule="auto"/>
        <w:ind w:firstLine="2791" w:firstLineChars="997"/>
        <w:rPr>
          <w:rFonts w:ascii="仿宋_GB2312"/>
          <w:color w:val="000000"/>
          <w:sz w:val="28"/>
          <w:szCs w:val="32"/>
        </w:rPr>
      </w:pPr>
    </w:p>
    <w:p>
      <w:pPr>
        <w:spacing w:line="360" w:lineRule="auto"/>
        <w:ind w:firstLine="2791" w:firstLineChars="997"/>
        <w:rPr>
          <w:rFonts w:ascii="仿宋_GB2312"/>
          <w:color w:val="000000"/>
          <w:sz w:val="28"/>
          <w:szCs w:val="32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  <w:sectPr>
          <w:headerReference r:id="rId3" w:type="default"/>
          <w:footerReference r:id="rId4" w:type="default"/>
          <w:footerReference r:id="rId5" w:type="even"/>
          <w:pgSz w:w="11850" w:h="16783"/>
          <w:pgMar w:top="1440" w:right="1797" w:bottom="1440" w:left="1797" w:header="851" w:footer="992" w:gutter="0"/>
          <w:pgNumType w:start="1"/>
          <w:cols w:space="720" w:num="1"/>
          <w:docGrid w:type="lines" w:linePitch="481" w:charSpace="-5735"/>
        </w:sectPr>
      </w:pPr>
    </w:p>
    <w:p>
      <w:pPr>
        <w:pStyle w:val="19"/>
        <w:jc w:val="center"/>
        <w:rPr>
          <w:shd w:val="clear" w:color="auto" w:fill="auto"/>
        </w:rPr>
      </w:pPr>
      <w:r>
        <w:rPr>
          <w:shd w:val="clear" w:color="auto" w:fill="auto"/>
        </w:rPr>
        <w:t>目录</w:t>
      </w:r>
    </w:p>
    <w:p>
      <w:pPr>
        <w:pStyle w:val="19"/>
        <w:tabs>
          <w:tab w:val="right" w:leader="dot" w:pos="8256"/>
          <w:tab w:val="clear" w:pos="440"/>
          <w:tab w:val="clear" w:pos="8296"/>
        </w:tabs>
      </w:pPr>
      <w:r>
        <w:rPr>
          <w:shd w:val="clear" w:color="auto" w:fill="auto"/>
        </w:rPr>
        <w:fldChar w:fldCharType="begin"/>
      </w:r>
      <w:r>
        <w:rPr>
          <w:shd w:val="clear" w:color="auto" w:fill="auto"/>
        </w:rPr>
        <w:instrText xml:space="preserve"> TOC \o "1-3" \h \z \u </w:instrText>
      </w:r>
      <w:r>
        <w:rPr>
          <w:shd w:val="clear" w:color="auto" w:fill="auto"/>
        </w:rPr>
        <w:fldChar w:fldCharType="separate"/>
      </w:r>
      <w:r>
        <w:fldChar w:fldCharType="begin"/>
      </w:r>
      <w:r>
        <w:instrText xml:space="preserve"> HYPERLINK \l "_Toc3858" </w:instrText>
      </w:r>
      <w:r>
        <w:fldChar w:fldCharType="separate"/>
      </w:r>
      <w:r>
        <w:rPr>
          <w:rFonts w:hint="eastAsia" w:ascii="黑体" w:hAnsi="黑体" w:eastAsia="黑体"/>
          <w:szCs w:val="44"/>
        </w:rPr>
        <w:t>引言</w:t>
      </w:r>
      <w:r>
        <w:tab/>
      </w:r>
      <w:r>
        <w:fldChar w:fldCharType="begin"/>
      </w:r>
      <w:r>
        <w:instrText xml:space="preserve"> PAGEREF _Toc3858 \h </w:instrText>
      </w:r>
      <w:r>
        <w:fldChar w:fldCharType="separate"/>
      </w:r>
      <w:r>
        <w:t>III</w:t>
      </w:r>
      <w:r>
        <w:fldChar w:fldCharType="end"/>
      </w:r>
      <w:r>
        <w:fldChar w:fldCharType="end"/>
      </w:r>
    </w:p>
    <w:p>
      <w:pPr>
        <w:pStyle w:val="19"/>
        <w:tabs>
          <w:tab w:val="right" w:leader="dot" w:pos="8256"/>
          <w:tab w:val="clear" w:pos="440"/>
          <w:tab w:val="clear" w:pos="8296"/>
        </w:tabs>
      </w:pPr>
      <w:r>
        <w:fldChar w:fldCharType="begin"/>
      </w:r>
      <w:r>
        <w:instrText xml:space="preserve"> HYPERLINK \l "_Toc20620" </w:instrText>
      </w:r>
      <w:r>
        <w:fldChar w:fldCharType="separate"/>
      </w:r>
      <w:r>
        <w:rPr>
          <w:rFonts w:hint="eastAsia" w:ascii="黑体" w:hAnsi="黑体" w:eastAsia="黑体" w:cs="黑体"/>
          <w:bCs/>
          <w:kern w:val="44"/>
          <w:szCs w:val="21"/>
        </w:rPr>
        <w:t xml:space="preserve">1 </w:t>
      </w:r>
      <w:r>
        <w:rPr>
          <w:rFonts w:hint="eastAsia" w:ascii="黑体" w:hAnsi="黑体" w:eastAsia="黑体" w:cs="黑体"/>
          <w:kern w:val="44"/>
        </w:rPr>
        <w:t>范围</w:t>
      </w:r>
      <w:r>
        <w:tab/>
      </w:r>
      <w:r>
        <w:fldChar w:fldCharType="begin"/>
      </w:r>
      <w:r>
        <w:instrText xml:space="preserve"> PAGEREF _Toc20620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9"/>
        <w:tabs>
          <w:tab w:val="right" w:leader="dot" w:pos="8256"/>
          <w:tab w:val="clear" w:pos="440"/>
          <w:tab w:val="clear" w:pos="8296"/>
        </w:tabs>
      </w:pPr>
      <w:r>
        <w:fldChar w:fldCharType="begin"/>
      </w:r>
      <w:r>
        <w:instrText xml:space="preserve"> HYPERLINK \l "_Toc28655" </w:instrText>
      </w:r>
      <w:r>
        <w:fldChar w:fldCharType="separate"/>
      </w:r>
      <w:r>
        <w:rPr>
          <w:rFonts w:hint="eastAsia" w:ascii="黑体" w:hAnsi="黑体" w:eastAsia="黑体" w:cs="黑体"/>
          <w:bCs/>
          <w:kern w:val="44"/>
          <w:szCs w:val="21"/>
        </w:rPr>
        <w:t xml:space="preserve">2 </w:t>
      </w:r>
      <w:r>
        <w:rPr>
          <w:rFonts w:hint="eastAsia" w:ascii="黑体" w:hAnsi="黑体" w:eastAsia="黑体" w:cs="黑体"/>
          <w:kern w:val="44"/>
        </w:rPr>
        <w:t>引用文件</w:t>
      </w:r>
      <w:r>
        <w:tab/>
      </w:r>
      <w:r>
        <w:fldChar w:fldCharType="begin"/>
      </w:r>
      <w:r>
        <w:instrText xml:space="preserve"> PAGEREF _Toc28655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9"/>
        <w:tabs>
          <w:tab w:val="right" w:leader="dot" w:pos="8256"/>
          <w:tab w:val="clear" w:pos="440"/>
          <w:tab w:val="clear" w:pos="8296"/>
        </w:tabs>
      </w:pPr>
      <w:r>
        <w:fldChar w:fldCharType="begin"/>
      </w:r>
      <w:r>
        <w:instrText xml:space="preserve"> HYPERLINK \l "_Toc8513" </w:instrText>
      </w:r>
      <w:r>
        <w:fldChar w:fldCharType="separate"/>
      </w:r>
      <w:r>
        <w:rPr>
          <w:rFonts w:hint="eastAsia" w:ascii="黑体" w:hAnsi="黑体" w:eastAsia="黑体" w:cs="黑体"/>
          <w:bCs/>
          <w:kern w:val="44"/>
          <w:szCs w:val="21"/>
        </w:rPr>
        <w:t xml:space="preserve">3 </w:t>
      </w:r>
      <w:r>
        <w:rPr>
          <w:rFonts w:hint="eastAsia" w:ascii="黑体" w:hAnsi="黑体" w:eastAsia="黑体" w:cs="黑体"/>
          <w:bCs/>
          <w:kern w:val="44"/>
        </w:rPr>
        <w:t>术语和计量单位</w:t>
      </w:r>
      <w:r>
        <w:tab/>
      </w:r>
      <w:r>
        <w:fldChar w:fldCharType="begin"/>
      </w:r>
      <w:r>
        <w:instrText xml:space="preserve"> PAGEREF _Toc8513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9"/>
        <w:tabs>
          <w:tab w:val="right" w:leader="dot" w:pos="8256"/>
          <w:tab w:val="clear" w:pos="440"/>
          <w:tab w:val="clear" w:pos="8296"/>
        </w:tabs>
      </w:pPr>
      <w:r>
        <w:fldChar w:fldCharType="begin"/>
      </w:r>
      <w:r>
        <w:instrText xml:space="preserve"> HYPERLINK \l "_Toc28843" </w:instrText>
      </w:r>
      <w:r>
        <w:fldChar w:fldCharType="separate"/>
      </w:r>
      <w:r>
        <w:rPr>
          <w:rFonts w:hint="eastAsia" w:ascii="黑体" w:hAnsi="黑体" w:eastAsia="黑体"/>
          <w:bCs/>
          <w:szCs w:val="21"/>
          <w:lang w:val="en-US"/>
        </w:rPr>
        <w:t xml:space="preserve">4 </w:t>
      </w:r>
      <w:r>
        <w:rPr>
          <w:rFonts w:hint="eastAsia" w:ascii="黑体" w:hAnsi="黑体" w:eastAsia="黑体"/>
          <w:lang w:val="en-US"/>
        </w:rPr>
        <w:t>概述</w:t>
      </w:r>
      <w:r>
        <w:tab/>
      </w:r>
      <w:r>
        <w:fldChar w:fldCharType="begin"/>
      </w:r>
      <w:r>
        <w:instrText xml:space="preserve"> PAGEREF _Toc28843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9"/>
        <w:tabs>
          <w:tab w:val="right" w:leader="dot" w:pos="8256"/>
          <w:tab w:val="clear" w:pos="440"/>
          <w:tab w:val="clear" w:pos="8296"/>
        </w:tabs>
      </w:pPr>
      <w:r>
        <w:fldChar w:fldCharType="begin"/>
      </w:r>
      <w:r>
        <w:instrText xml:space="preserve"> HYPERLINK \l "_Toc30027" </w:instrText>
      </w:r>
      <w:r>
        <w:fldChar w:fldCharType="separate"/>
      </w:r>
      <w:r>
        <w:rPr>
          <w:rFonts w:hint="eastAsia" w:ascii="黑体" w:hAnsi="黑体" w:eastAsia="黑体"/>
          <w:bCs/>
          <w:szCs w:val="21"/>
        </w:rPr>
        <w:t xml:space="preserve">5 </w:t>
      </w:r>
      <w:r>
        <w:rPr>
          <w:rFonts w:ascii="黑体" w:hAnsi="黑体" w:eastAsia="黑体"/>
        </w:rPr>
        <w:t>计量特性</w:t>
      </w:r>
      <w:r>
        <w:tab/>
      </w:r>
      <w:r>
        <w:fldChar w:fldCharType="begin"/>
      </w:r>
      <w:r>
        <w:instrText xml:space="preserve"> PAGEREF _Toc30027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9"/>
        <w:tabs>
          <w:tab w:val="right" w:leader="dot" w:pos="8256"/>
          <w:tab w:val="clear" w:pos="440"/>
          <w:tab w:val="clear" w:pos="8296"/>
        </w:tabs>
      </w:pPr>
      <w:r>
        <w:fldChar w:fldCharType="begin"/>
      </w:r>
      <w:r>
        <w:instrText xml:space="preserve"> HYPERLINK \l "_Toc723" </w:instrText>
      </w:r>
      <w:r>
        <w:fldChar w:fldCharType="separate"/>
      </w:r>
      <w:r>
        <w:rPr>
          <w:rFonts w:hint="eastAsia" w:ascii="黑体" w:hAnsi="黑体" w:eastAsia="黑体"/>
          <w:bCs/>
          <w:szCs w:val="21"/>
        </w:rPr>
        <w:t xml:space="preserve">6 </w:t>
      </w:r>
      <w:r>
        <w:rPr>
          <w:rFonts w:hint="eastAsia" w:ascii="黑体" w:hAnsi="黑体" w:eastAsia="黑体"/>
        </w:rPr>
        <w:t>校准条件</w:t>
      </w:r>
      <w:r>
        <w:tab/>
      </w:r>
      <w:r>
        <w:fldChar w:fldCharType="begin"/>
      </w:r>
      <w:r>
        <w:instrText xml:space="preserve"> PAGEREF _Toc723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9"/>
        <w:tabs>
          <w:tab w:val="right" w:leader="dot" w:pos="8256"/>
          <w:tab w:val="clear" w:pos="440"/>
          <w:tab w:val="clear" w:pos="8296"/>
        </w:tabs>
      </w:pPr>
      <w:r>
        <w:fldChar w:fldCharType="begin"/>
      </w:r>
      <w:r>
        <w:instrText xml:space="preserve"> HYPERLINK \l "_Toc21004" </w:instrText>
      </w:r>
      <w:r>
        <w:fldChar w:fldCharType="separate"/>
      </w:r>
      <w:r>
        <w:rPr>
          <w:rFonts w:hint="eastAsia" w:ascii="黑体" w:hAnsi="黑体" w:eastAsia="黑体"/>
          <w:bCs/>
          <w:szCs w:val="21"/>
        </w:rPr>
        <w:t xml:space="preserve">7 </w:t>
      </w:r>
      <w:r>
        <w:rPr>
          <w:rFonts w:hint="eastAsia" w:ascii="黑体" w:hAnsi="黑体" w:eastAsia="黑体"/>
        </w:rPr>
        <w:t>校准项目和校准方法</w:t>
      </w:r>
      <w:r>
        <w:tab/>
      </w:r>
      <w:r>
        <w:fldChar w:fldCharType="begin"/>
      </w:r>
      <w:r>
        <w:instrText xml:space="preserve"> PAGEREF _Toc21004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9"/>
        <w:tabs>
          <w:tab w:val="right" w:leader="dot" w:pos="8256"/>
          <w:tab w:val="clear" w:pos="440"/>
          <w:tab w:val="clear" w:pos="8296"/>
        </w:tabs>
      </w:pPr>
      <w:r>
        <w:fldChar w:fldCharType="begin"/>
      </w:r>
      <w:r>
        <w:instrText xml:space="preserve"> HYPERLINK \l "_Toc26352" </w:instrText>
      </w:r>
      <w:r>
        <w:fldChar w:fldCharType="separate"/>
      </w:r>
      <w:r>
        <w:rPr>
          <w:rFonts w:hint="eastAsia" w:ascii="黑体" w:hAnsi="黑体" w:eastAsia="黑体"/>
          <w:bCs/>
          <w:szCs w:val="21"/>
        </w:rPr>
        <w:t xml:space="preserve">8 </w:t>
      </w:r>
      <w:r>
        <w:rPr>
          <w:rFonts w:hint="eastAsia" w:ascii="黑体" w:hAnsi="黑体" w:eastAsia="黑体"/>
        </w:rPr>
        <w:t>校准结果</w:t>
      </w:r>
      <w:r>
        <w:tab/>
      </w:r>
      <w:r>
        <w:fldChar w:fldCharType="begin"/>
      </w:r>
      <w:r>
        <w:instrText xml:space="preserve"> PAGEREF _Toc26352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9"/>
        <w:tabs>
          <w:tab w:val="right" w:leader="dot" w:pos="8256"/>
          <w:tab w:val="clear" w:pos="440"/>
          <w:tab w:val="clear" w:pos="8296"/>
        </w:tabs>
      </w:pPr>
      <w:r>
        <w:fldChar w:fldCharType="begin"/>
      </w:r>
      <w:r>
        <w:instrText xml:space="preserve"> HYPERLINK \l "_Toc25616" </w:instrText>
      </w:r>
      <w:r>
        <w:fldChar w:fldCharType="separate"/>
      </w:r>
      <w:r>
        <w:rPr>
          <w:rFonts w:hint="eastAsia" w:ascii="黑体" w:hAnsi="黑体" w:eastAsia="黑体"/>
          <w:bCs/>
          <w:szCs w:val="21"/>
        </w:rPr>
        <w:t xml:space="preserve">9 </w:t>
      </w:r>
      <w:r>
        <w:rPr>
          <w:rFonts w:hint="eastAsia" w:ascii="黑体" w:hAnsi="黑体" w:eastAsia="黑体"/>
        </w:rPr>
        <w:t>复校时间间隔</w:t>
      </w:r>
      <w:r>
        <w:tab/>
      </w:r>
      <w:r>
        <w:fldChar w:fldCharType="begin"/>
      </w:r>
      <w:r>
        <w:instrText xml:space="preserve"> PAGEREF _Toc25616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9"/>
        <w:tabs>
          <w:tab w:val="right" w:leader="dot" w:pos="8256"/>
          <w:tab w:val="clear" w:pos="440"/>
          <w:tab w:val="clear" w:pos="8296"/>
        </w:tabs>
      </w:pPr>
      <w:r>
        <w:fldChar w:fldCharType="begin"/>
      </w:r>
      <w:r>
        <w:instrText xml:space="preserve"> HYPERLINK \l "_Toc14872" </w:instrText>
      </w:r>
      <w:r>
        <w:fldChar w:fldCharType="separate"/>
      </w:r>
      <w:r>
        <w:rPr>
          <w:rFonts w:hint="eastAsia" w:ascii="黑体" w:hAnsi="黑体" w:eastAsia="黑体"/>
          <w:lang w:bidi="ar"/>
        </w:rPr>
        <w:t>附录</w:t>
      </w:r>
      <w:r>
        <w:rPr>
          <w:rFonts w:ascii="黑体" w:hAnsi="黑体" w:eastAsia="黑体"/>
          <w:lang w:bidi="ar"/>
        </w:rPr>
        <w:t>A</w:t>
      </w:r>
      <w:r>
        <w:tab/>
      </w:r>
      <w:r>
        <w:fldChar w:fldCharType="begin"/>
      </w:r>
      <w:r>
        <w:instrText xml:space="preserve"> PAGEREF _Toc14872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9"/>
        <w:tabs>
          <w:tab w:val="right" w:leader="dot" w:pos="8256"/>
          <w:tab w:val="clear" w:pos="440"/>
          <w:tab w:val="clear" w:pos="8296"/>
        </w:tabs>
      </w:pPr>
      <w:r>
        <w:fldChar w:fldCharType="begin"/>
      </w:r>
      <w:r>
        <w:instrText xml:space="preserve"> HYPERLINK \l "_Toc29303" </w:instrText>
      </w:r>
      <w:r>
        <w:fldChar w:fldCharType="separate"/>
      </w:r>
      <w:r>
        <w:rPr>
          <w:rFonts w:hint="eastAsia" w:ascii="黑体" w:hAnsi="黑体" w:eastAsia="黑体"/>
          <w:lang w:bidi="ar"/>
        </w:rPr>
        <w:t>附录</w:t>
      </w:r>
      <w:r>
        <w:rPr>
          <w:rFonts w:ascii="黑体" w:hAnsi="黑体" w:eastAsia="黑体"/>
          <w:lang w:bidi="ar"/>
        </w:rPr>
        <w:t>B</w:t>
      </w:r>
      <w:r>
        <w:tab/>
      </w:r>
      <w:r>
        <w:fldChar w:fldCharType="begin"/>
      </w:r>
      <w:r>
        <w:instrText xml:space="preserve"> PAGEREF _Toc29303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9"/>
        <w:tabs>
          <w:tab w:val="right" w:leader="dot" w:pos="8256"/>
          <w:tab w:val="clear" w:pos="440"/>
          <w:tab w:val="clear" w:pos="8296"/>
        </w:tabs>
      </w:pPr>
      <w:r>
        <w:fldChar w:fldCharType="begin"/>
      </w:r>
      <w:r>
        <w:instrText xml:space="preserve"> HYPERLINK \l "_Toc29161" </w:instrText>
      </w:r>
      <w:r>
        <w:fldChar w:fldCharType="separate"/>
      </w:r>
      <w:r>
        <w:rPr>
          <w:rFonts w:hint="eastAsia" w:ascii="黑体" w:hAnsi="黑体" w:eastAsia="黑体"/>
          <w:lang w:bidi="ar"/>
        </w:rPr>
        <w:t>附录C</w:t>
      </w:r>
      <w:r>
        <w:tab/>
      </w:r>
      <w:r>
        <w:fldChar w:fldCharType="begin"/>
      </w:r>
      <w:r>
        <w:instrText xml:space="preserve"> PAGEREF _Toc29161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snapToGrid w:val="0"/>
        <w:jc w:val="left"/>
        <w:rPr>
          <w:rFonts w:ascii="宋体" w:hAnsi="宋体"/>
          <w:b/>
          <w:bCs/>
          <w:sz w:val="24"/>
          <w:shd w:val="pct10" w:color="auto" w:fill="FFFFFF"/>
          <w:lang w:val="zh-CN"/>
        </w:rPr>
      </w:pPr>
      <w:r>
        <w:rPr>
          <w:rFonts w:ascii="宋体" w:hAnsi="宋体"/>
          <w:bCs/>
          <w:lang w:val="zh-CN"/>
        </w:rPr>
        <w:fldChar w:fldCharType="end"/>
      </w:r>
    </w:p>
    <w:p>
      <w:pPr>
        <w:spacing w:line="240" w:lineRule="atLeast"/>
      </w:pPr>
      <w:r>
        <w:rPr>
          <w:lang w:val="zh-CN"/>
        </w:rPr>
        <w:br w:type="page"/>
      </w:r>
    </w:p>
    <w:p>
      <w:pPr>
        <w:pStyle w:val="2"/>
        <w:rPr>
          <w:rFonts w:ascii="黑体" w:hAnsi="黑体" w:eastAsia="黑体"/>
          <w:sz w:val="44"/>
          <w:szCs w:val="44"/>
        </w:rPr>
      </w:pPr>
      <w:bookmarkStart w:id="1" w:name="_Toc3858"/>
      <w:r>
        <w:rPr>
          <w:rFonts w:hint="eastAsia" w:ascii="黑体" w:hAnsi="黑体" w:eastAsia="黑体"/>
          <w:sz w:val="44"/>
          <w:szCs w:val="44"/>
        </w:rPr>
        <w:t>引言</w:t>
      </w:r>
      <w:bookmarkEnd w:id="1"/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本规范依据JJF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1071-2010《国家计量校准规范编写规则》，JJF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1001-2011《通用计量术语及定义》和JJF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1059.1-2012《测量不确定度评定与表示》的规定而制定。</w:t>
      </w:r>
    </w:p>
    <w:p>
      <w:pPr>
        <w:ind w:firstLine="495"/>
        <w:rPr>
          <w:rFonts w:ascii="宋体" w:hAnsi="宋体"/>
          <w:color w:val="000000"/>
          <w:sz w:val="24"/>
        </w:rPr>
      </w:pPr>
    </w:p>
    <w:p>
      <w:pPr>
        <w:spacing w:line="240" w:lineRule="atLeast"/>
        <w:ind w:firstLine="495"/>
        <w:rPr>
          <w:rFonts w:ascii="宋体" w:hAnsi="宋体"/>
          <w:color w:val="000000"/>
          <w:sz w:val="24"/>
        </w:rPr>
        <w:sectPr>
          <w:pgSz w:w="11850" w:h="16783"/>
          <w:pgMar w:top="1440" w:right="1797" w:bottom="1440" w:left="1797" w:header="851" w:footer="992" w:gutter="0"/>
          <w:pgNumType w:fmt="upperRoman" w:start="1"/>
          <w:cols w:space="720" w:num="1"/>
          <w:docGrid w:type="lines" w:linePitch="481" w:charSpace="-5735"/>
        </w:sectPr>
      </w:pPr>
    </w:p>
    <w:p>
      <w:pPr>
        <w:jc w:val="center"/>
        <w:rPr>
          <w:rFonts w:ascii="黑体" w:eastAsia="黑体"/>
          <w:color w:val="000000"/>
          <w:sz w:val="32"/>
          <w:szCs w:val="32"/>
        </w:rPr>
      </w:pPr>
      <w:bookmarkStart w:id="2" w:name="_Hlk22810739"/>
      <w:r>
        <w:rPr>
          <w:rFonts w:hint="eastAsia" w:ascii="黑体" w:eastAsia="黑体"/>
          <w:color w:val="000000"/>
          <w:sz w:val="32"/>
          <w:szCs w:val="32"/>
        </w:rPr>
        <w:t>建材产品挥发物检测用环境测试舱校准规范</w:t>
      </w:r>
    </w:p>
    <w:bookmarkEnd w:id="2"/>
    <w:p>
      <w:pPr>
        <w:pStyle w:val="2"/>
        <w:numPr>
          <w:ilvl w:val="0"/>
          <w:numId w:val="5"/>
        </w:numPr>
        <w:jc w:val="left"/>
        <w:rPr>
          <w:rFonts w:ascii="黑体" w:hAnsi="黑体" w:eastAsia="黑体" w:cs="黑体"/>
          <w:kern w:val="44"/>
          <w:sz w:val="24"/>
          <w:szCs w:val="24"/>
        </w:rPr>
      </w:pPr>
      <w:bookmarkStart w:id="3" w:name="_Toc20620"/>
      <w:r>
        <w:rPr>
          <w:rFonts w:hint="eastAsia" w:ascii="黑体" w:hAnsi="黑体" w:eastAsia="黑体" w:cs="黑体"/>
          <w:kern w:val="44"/>
          <w:sz w:val="24"/>
          <w:szCs w:val="24"/>
        </w:rPr>
        <w:t>范围</w:t>
      </w:r>
      <w:bookmarkEnd w:id="3"/>
    </w:p>
    <w:p>
      <w:pPr>
        <w:ind w:firstLine="42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本规范适用于建材产品气味评价用原始气体嗅辨仪的校准。</w:t>
      </w:r>
    </w:p>
    <w:p>
      <w:pPr>
        <w:pStyle w:val="2"/>
        <w:numPr>
          <w:ilvl w:val="0"/>
          <w:numId w:val="5"/>
        </w:numPr>
        <w:jc w:val="left"/>
        <w:rPr>
          <w:rFonts w:ascii="黑体" w:hAnsi="黑体" w:eastAsia="黑体" w:cs="黑体"/>
          <w:kern w:val="44"/>
          <w:sz w:val="24"/>
          <w:szCs w:val="24"/>
        </w:rPr>
      </w:pPr>
      <w:bookmarkStart w:id="4" w:name="_Toc28655"/>
      <w:r>
        <w:rPr>
          <w:rFonts w:hint="eastAsia" w:ascii="黑体" w:hAnsi="黑体" w:eastAsia="黑体" w:cs="黑体"/>
          <w:kern w:val="44"/>
          <w:sz w:val="24"/>
          <w:szCs w:val="24"/>
        </w:rPr>
        <w:t>引用文件</w:t>
      </w:r>
      <w:bookmarkEnd w:id="4"/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本规范引用下列</w:t>
      </w:r>
      <w:r>
        <w:rPr>
          <w:rFonts w:ascii="宋体" w:hAnsi="宋体"/>
          <w:color w:val="000000"/>
          <w:sz w:val="24"/>
        </w:rPr>
        <w:t>文件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JJG 33-2002 万能角度尺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JJG 640-2016 差压式流量计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JJG 188-2017声级计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bookmarkStart w:id="5" w:name="_Hlk37341835"/>
      <w:r>
        <w:rPr>
          <w:rFonts w:hint="eastAsia" w:ascii="宋体" w:hAnsi="宋体"/>
          <w:color w:val="000000"/>
          <w:sz w:val="24"/>
        </w:rPr>
        <w:t>JJF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1001-2011通用计量术语及定义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JJF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1059.1-2012测量不确定度评定与表示</w:t>
      </w:r>
    </w:p>
    <w:bookmarkEnd w:id="5"/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JJF 1701-2010</w:t>
      </w:r>
      <w:r>
        <w:rPr>
          <w:rFonts w:hint="eastAsia" w:ascii="宋体" w:hAnsi="宋体"/>
          <w:color w:val="000000"/>
          <w:sz w:val="24"/>
        </w:rPr>
        <w:t xml:space="preserve"> 国家计量校准规范编写规则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G</w:t>
      </w:r>
      <w:r>
        <w:rPr>
          <w:rFonts w:ascii="宋体" w:hAnsi="宋体"/>
          <w:color w:val="000000"/>
          <w:sz w:val="24"/>
        </w:rPr>
        <w:t xml:space="preserve">B/T </w:t>
      </w:r>
      <w:r>
        <w:rPr>
          <w:rFonts w:hint="eastAsia" w:ascii="宋体" w:hAnsi="宋体"/>
          <w:color w:val="000000"/>
          <w:sz w:val="24"/>
        </w:rPr>
        <w:t>43353-2023建材产品的气味释放测试 环境测试舱法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凡是注日期的引用文件，仅注日期的版本适用于本规范；凡是不注日期的引用文件，其最新版本（包括所有的修改单）适用于本规范。</w:t>
      </w:r>
    </w:p>
    <w:p>
      <w:pPr>
        <w:pStyle w:val="2"/>
        <w:numPr>
          <w:ilvl w:val="0"/>
          <w:numId w:val="5"/>
        </w:numPr>
        <w:jc w:val="left"/>
        <w:rPr>
          <w:rFonts w:ascii="黑体" w:hAnsi="黑体" w:eastAsia="黑体" w:cs="黑体"/>
          <w:b/>
          <w:bCs/>
          <w:kern w:val="44"/>
          <w:sz w:val="24"/>
          <w:szCs w:val="24"/>
        </w:rPr>
      </w:pPr>
      <w:bookmarkStart w:id="6" w:name="_Toc8513"/>
      <w:r>
        <w:rPr>
          <w:rFonts w:hint="eastAsia" w:ascii="黑体" w:hAnsi="黑体" w:eastAsia="黑体" w:cs="黑体"/>
          <w:b/>
          <w:bCs/>
          <w:kern w:val="44"/>
          <w:sz w:val="24"/>
          <w:szCs w:val="24"/>
        </w:rPr>
        <w:t>术语和计量单位</w:t>
      </w:r>
      <w:bookmarkEnd w:id="6"/>
    </w:p>
    <w:p>
      <w:pPr>
        <w:pStyle w:val="3"/>
        <w:ind w:right="840"/>
        <w:rPr>
          <w:rFonts w:ascii="宋体" w:hAnsi="宋体"/>
          <w:sz w:val="24"/>
        </w:rPr>
      </w:pPr>
      <w:bookmarkStart w:id="7" w:name="_Toc28172"/>
      <w:r>
        <w:rPr>
          <w:rFonts w:hint="eastAsia" w:ascii="宋体" w:hAnsi="宋体"/>
          <w:sz w:val="24"/>
        </w:rPr>
        <w:t>3.1 术语</w:t>
      </w:r>
    </w:p>
    <w:p>
      <w:pPr>
        <w:pStyle w:val="3"/>
        <w:ind w:right="84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.1</w:t>
      </w:r>
      <w:r>
        <w:rPr>
          <w:rFonts w:hint="eastAsia" w:ascii="宋体" w:hAnsi="宋体"/>
          <w:sz w:val="24"/>
        </w:rPr>
        <w:t>.1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原始气体嗅辨仪</w:t>
      </w:r>
      <w:bookmarkEnd w:id="7"/>
    </w:p>
    <w:p>
      <w:pPr>
        <w:ind w:firstLine="480" w:firstLineChars="200"/>
        <w:rPr>
          <w:rFonts w:ascii="仿宋" w:hAnsi="仿宋" w:eastAsia="仿宋" w:cs="宋体"/>
          <w:kern w:val="0"/>
          <w:szCs w:val="21"/>
          <w:lang w:bidi="ar"/>
        </w:rPr>
      </w:pPr>
      <w:r>
        <w:rPr>
          <w:rFonts w:hint="eastAsia" w:ascii="宋体" w:hAnsi="宋体"/>
          <w:color w:val="000000"/>
          <w:sz w:val="24"/>
        </w:rPr>
        <w:t>由嗅辨杯、</w:t>
      </w:r>
      <w:r>
        <w:rPr>
          <w:rFonts w:hint="eastAsia" w:ascii="宋体" w:hAnsi="宋体"/>
          <w:color w:val="000000"/>
          <w:sz w:val="24"/>
          <w:lang w:val="en-US" w:eastAsia="zh-CN"/>
        </w:rPr>
        <w:t>箱</w:t>
      </w:r>
      <w:r>
        <w:rPr>
          <w:rFonts w:hint="eastAsia" w:ascii="宋体" w:hAnsi="宋体"/>
          <w:color w:val="000000"/>
          <w:sz w:val="24"/>
        </w:rPr>
        <w:t>体、流量控制系统、空气压缩机等组成，具有受控的操作参数，用于将建材产品释放的气味样本直接呈送给实验人员的试验设备。</w:t>
      </w:r>
    </w:p>
    <w:p>
      <w:pPr>
        <w:pStyle w:val="3"/>
        <w:ind w:right="840"/>
        <w:rPr>
          <w:rFonts w:ascii="宋体" w:hAnsi="宋体"/>
          <w:sz w:val="21"/>
          <w:szCs w:val="21"/>
        </w:rPr>
      </w:pPr>
      <w:bookmarkStart w:id="8" w:name="_Toc30677"/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1.</w:t>
      </w:r>
      <w:r>
        <w:rPr>
          <w:rFonts w:ascii="宋体" w:hAnsi="宋体"/>
          <w:sz w:val="24"/>
        </w:rPr>
        <w:t>2</w:t>
      </w:r>
      <w:r>
        <w:rPr>
          <w:rFonts w:ascii="宋体" w:hAnsi="宋体"/>
          <w:sz w:val="21"/>
          <w:szCs w:val="21"/>
        </w:rPr>
        <w:t xml:space="preserve"> </w:t>
      </w:r>
      <w:r>
        <w:rPr>
          <w:rFonts w:hint="eastAsia" w:ascii="宋体" w:hAnsi="宋体"/>
          <w:color w:val="000000"/>
          <w:sz w:val="24"/>
        </w:rPr>
        <w:t>气味</w:t>
      </w:r>
      <w:bookmarkEnd w:id="8"/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嗅闻某些挥发性物质时，嗅觉器官所感受到的感官特性。</w:t>
      </w:r>
    </w:p>
    <w:p>
      <w:pPr>
        <w:ind w:firstLine="420" w:firstLineChars="200"/>
        <w:rPr>
          <w:rFonts w:ascii="宋体" w:hAnsi="宋体"/>
          <w:color w:val="000000"/>
          <w:sz w:val="24"/>
        </w:rPr>
      </w:pPr>
      <w:r>
        <w:rPr>
          <w:rFonts w:hint="eastAsia" w:ascii="仿宋" w:hAnsi="仿宋" w:eastAsia="仿宋" w:cs="宋体"/>
          <w:kern w:val="0"/>
          <w:szCs w:val="21"/>
          <w:lang w:bidi="ar"/>
        </w:rPr>
        <w:t>注：改写自</w:t>
      </w:r>
      <w:r>
        <w:rPr>
          <w:rFonts w:ascii="仿宋" w:hAnsi="仿宋" w:eastAsia="仿宋" w:cs="宋体"/>
          <w:kern w:val="0"/>
          <w:szCs w:val="21"/>
          <w:lang w:bidi="ar"/>
        </w:rPr>
        <w:t xml:space="preserve">GB/T </w:t>
      </w:r>
      <w:r>
        <w:rPr>
          <w:rFonts w:hint="eastAsia" w:ascii="仿宋" w:hAnsi="仿宋" w:eastAsia="仿宋" w:cs="宋体"/>
          <w:kern w:val="0"/>
          <w:szCs w:val="21"/>
          <w:lang w:bidi="ar"/>
        </w:rPr>
        <w:t>10221</w:t>
      </w:r>
      <w:r>
        <w:rPr>
          <w:rFonts w:ascii="仿宋" w:hAnsi="仿宋" w:eastAsia="仿宋" w:cs="宋体"/>
          <w:kern w:val="0"/>
          <w:szCs w:val="21"/>
          <w:lang w:bidi="ar"/>
        </w:rPr>
        <w:t>-20</w:t>
      </w:r>
      <w:r>
        <w:rPr>
          <w:rFonts w:hint="eastAsia" w:ascii="仿宋" w:hAnsi="仿宋" w:eastAsia="仿宋" w:cs="宋体"/>
          <w:kern w:val="0"/>
          <w:szCs w:val="21"/>
          <w:lang w:bidi="ar"/>
        </w:rPr>
        <w:t>21，一般性术语5.18。</w:t>
      </w:r>
    </w:p>
    <w:p>
      <w:pPr>
        <w:pStyle w:val="3"/>
        <w:ind w:right="840"/>
        <w:rPr>
          <w:rFonts w:ascii="宋体" w:hAnsi="宋体"/>
          <w:sz w:val="24"/>
        </w:rPr>
      </w:pPr>
      <w:bookmarkStart w:id="9" w:name="_Toc4780"/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1.</w:t>
      </w:r>
      <w:r>
        <w:rPr>
          <w:rFonts w:ascii="宋体" w:hAnsi="宋体"/>
          <w:sz w:val="24"/>
        </w:rPr>
        <w:t xml:space="preserve">3 </w:t>
      </w:r>
      <w:r>
        <w:rPr>
          <w:rFonts w:hint="eastAsia" w:ascii="宋体" w:hAnsi="宋体"/>
          <w:sz w:val="24"/>
        </w:rPr>
        <w:t>气味评价员</w:t>
      </w:r>
      <w:bookmarkEnd w:id="9"/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根据规定的方法进行气味测试的人员。</w:t>
      </w:r>
    </w:p>
    <w:p>
      <w:pPr>
        <w:ind w:firstLine="420" w:firstLineChars="200"/>
        <w:rPr>
          <w:rFonts w:ascii="宋体" w:hAnsi="宋体"/>
          <w:color w:val="000000"/>
          <w:sz w:val="24"/>
        </w:rPr>
      </w:pPr>
      <w:r>
        <w:rPr>
          <w:rFonts w:hint="eastAsia" w:ascii="仿宋" w:hAnsi="仿宋" w:eastAsia="仿宋" w:cs="宋体"/>
          <w:kern w:val="0"/>
          <w:szCs w:val="21"/>
          <w:lang w:bidi="ar"/>
        </w:rPr>
        <w:t>注：改写自</w:t>
      </w:r>
      <w:r>
        <w:rPr>
          <w:rFonts w:ascii="仿宋" w:hAnsi="仿宋" w:eastAsia="仿宋" w:cs="宋体"/>
          <w:kern w:val="0"/>
          <w:szCs w:val="21"/>
          <w:lang w:bidi="ar"/>
        </w:rPr>
        <w:t xml:space="preserve">GB/T </w:t>
      </w:r>
      <w:r>
        <w:rPr>
          <w:rFonts w:hint="eastAsia" w:ascii="仿宋" w:hAnsi="仿宋" w:eastAsia="仿宋" w:cs="宋体"/>
          <w:kern w:val="0"/>
          <w:szCs w:val="21"/>
          <w:lang w:bidi="ar"/>
        </w:rPr>
        <w:t>43353</w:t>
      </w:r>
      <w:r>
        <w:rPr>
          <w:rFonts w:ascii="仿宋" w:hAnsi="仿宋" w:eastAsia="仿宋" w:cs="宋体"/>
          <w:kern w:val="0"/>
          <w:szCs w:val="21"/>
          <w:lang w:bidi="ar"/>
        </w:rPr>
        <w:t>-20</w:t>
      </w:r>
      <w:r>
        <w:rPr>
          <w:rFonts w:hint="eastAsia" w:ascii="仿宋" w:hAnsi="仿宋" w:eastAsia="仿宋" w:cs="宋体"/>
          <w:kern w:val="0"/>
          <w:szCs w:val="21"/>
          <w:lang w:bidi="ar"/>
        </w:rPr>
        <w:t>23，术语和定义3.4。</w:t>
      </w:r>
    </w:p>
    <w:p>
      <w:pPr>
        <w:pStyle w:val="3"/>
        <w:ind w:right="840"/>
      </w:pPr>
      <w:bookmarkStart w:id="10" w:name="_Toc16260"/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1.</w:t>
      </w:r>
      <w:r>
        <w:rPr>
          <w:rFonts w:ascii="宋体" w:hAnsi="宋体"/>
          <w:sz w:val="24"/>
        </w:rPr>
        <w:t xml:space="preserve">4 </w:t>
      </w:r>
      <w:r>
        <w:rPr>
          <w:rFonts w:hint="eastAsia" w:ascii="宋体" w:hAnsi="宋体"/>
          <w:sz w:val="24"/>
        </w:rPr>
        <w:t>气味强度</w:t>
      </w:r>
      <w:bookmarkEnd w:id="10"/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气味造成嗅觉刺激的强烈程度。</w:t>
      </w:r>
    </w:p>
    <w:p>
      <w:pPr>
        <w:ind w:firstLine="420" w:firstLineChars="200"/>
        <w:rPr>
          <w:rFonts w:ascii="仿宋" w:hAnsi="仿宋" w:eastAsia="仿宋" w:cs="宋体"/>
          <w:kern w:val="0"/>
          <w:szCs w:val="21"/>
          <w:lang w:bidi="ar"/>
        </w:rPr>
      </w:pPr>
      <w:r>
        <w:rPr>
          <w:rFonts w:hint="eastAsia" w:ascii="仿宋" w:hAnsi="仿宋" w:eastAsia="仿宋" w:cs="宋体"/>
          <w:kern w:val="0"/>
          <w:szCs w:val="21"/>
          <w:lang w:bidi="ar"/>
        </w:rPr>
        <w:t>注：改写自</w:t>
      </w:r>
      <w:r>
        <w:rPr>
          <w:rFonts w:ascii="仿宋" w:hAnsi="仿宋" w:eastAsia="仿宋" w:cs="宋体"/>
          <w:kern w:val="0"/>
          <w:szCs w:val="21"/>
          <w:lang w:bidi="ar"/>
        </w:rPr>
        <w:t xml:space="preserve">GB/T </w:t>
      </w:r>
      <w:r>
        <w:rPr>
          <w:rFonts w:hint="eastAsia" w:ascii="仿宋" w:hAnsi="仿宋" w:eastAsia="仿宋" w:cs="宋体"/>
          <w:kern w:val="0"/>
          <w:szCs w:val="21"/>
          <w:lang w:bidi="ar"/>
        </w:rPr>
        <w:t>43353</w:t>
      </w:r>
      <w:r>
        <w:rPr>
          <w:rFonts w:ascii="仿宋" w:hAnsi="仿宋" w:eastAsia="仿宋" w:cs="宋体"/>
          <w:kern w:val="0"/>
          <w:szCs w:val="21"/>
          <w:lang w:bidi="ar"/>
        </w:rPr>
        <w:t>-20</w:t>
      </w:r>
      <w:r>
        <w:rPr>
          <w:rFonts w:hint="eastAsia" w:ascii="仿宋" w:hAnsi="仿宋" w:eastAsia="仿宋" w:cs="宋体"/>
          <w:kern w:val="0"/>
          <w:szCs w:val="21"/>
          <w:lang w:bidi="ar"/>
        </w:rPr>
        <w:t>23，术语和定义3.10。</w:t>
      </w:r>
    </w:p>
    <w:p>
      <w:pPr>
        <w:pStyle w:val="3"/>
        <w:ind w:right="840"/>
        <w:rPr>
          <w:rFonts w:ascii="宋体" w:hAnsi="宋体"/>
          <w:sz w:val="24"/>
        </w:rPr>
      </w:pPr>
      <w:bookmarkStart w:id="11" w:name="_Toc3859"/>
      <w:r>
        <w:rPr>
          <w:rFonts w:hint="eastAsia" w:ascii="宋体" w:hAnsi="宋体"/>
          <w:sz w:val="24"/>
        </w:rPr>
        <w:t>3.1.5输出流</w:t>
      </w:r>
      <w:bookmarkEnd w:id="11"/>
      <w:r>
        <w:rPr>
          <w:rFonts w:hint="eastAsia" w:ascii="宋体" w:hAnsi="宋体"/>
          <w:sz w:val="24"/>
        </w:rPr>
        <w:t>量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在规定环境条件下,原始气体嗅辨仪正常工作时，嗅辨杯与原始气体嗅辨仪腔体接口处的气体流量。</w:t>
      </w:r>
    </w:p>
    <w:p>
      <w:pPr>
        <w:pStyle w:val="3"/>
        <w:ind w:right="84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3.2 计量单位</w:t>
      </w:r>
    </w:p>
    <w:p>
      <w:pPr>
        <w:pStyle w:val="3"/>
        <w:ind w:right="84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3.2.1 流量：升每分钟，符号L/min；或毫升每分钟，符号mL/min。</w:t>
      </w:r>
    </w:p>
    <w:p>
      <w:pPr>
        <w:pStyle w:val="3"/>
        <w:ind w:right="84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3.2.2 时间：秒，符号s。</w:t>
      </w:r>
    </w:p>
    <w:p>
      <w:pPr>
        <w:pStyle w:val="3"/>
        <w:ind w:right="84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3.2.3 温度：摄氏度，符号℃。</w:t>
      </w:r>
    </w:p>
    <w:p>
      <w:pPr>
        <w:pStyle w:val="3"/>
        <w:ind w:right="84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3.2.4 噪声：分贝，符号dB。</w:t>
      </w:r>
    </w:p>
    <w:p>
      <w:pPr>
        <w:pStyle w:val="2"/>
        <w:numPr>
          <w:ilvl w:val="0"/>
          <w:numId w:val="5"/>
        </w:numPr>
        <w:jc w:val="left"/>
        <w:rPr>
          <w:rFonts w:ascii="黑体" w:hAnsi="黑体" w:eastAsia="黑体"/>
          <w:sz w:val="24"/>
          <w:szCs w:val="24"/>
        </w:rPr>
      </w:pPr>
      <w:bookmarkStart w:id="12" w:name="_Toc28843"/>
      <w:r>
        <w:rPr>
          <w:rFonts w:hint="eastAsia" w:ascii="黑体" w:hAnsi="黑体" w:eastAsia="黑体"/>
          <w:sz w:val="24"/>
          <w:szCs w:val="24"/>
        </w:rPr>
        <w:t>概述</w:t>
      </w:r>
      <w:bookmarkEnd w:id="12"/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原始气体嗅辨仪可以将气味样本不经稀释、稳定地从样本容器输送给气味评价员，是由嗅辨杯、箱体、流量控制系统、空气压缩机等部件组成。原始气体嗅辨仪及嗅辨杯常见结构见图1和图2。</w:t>
      </w:r>
    </w:p>
    <w:p>
      <w:pPr>
        <w:jc w:val="center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drawing>
          <wp:inline distT="0" distB="0" distL="114300" distR="114300">
            <wp:extent cx="3775710" cy="3017520"/>
            <wp:effectExtent l="0" t="0" r="0" b="0"/>
            <wp:docPr id="20" name="图片 213" descr="作图专用PPT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13" descr="作图专用PPT_01"/>
                    <pic:cNvPicPr>
                      <a:picLocks noChangeAspect="1"/>
                    </pic:cNvPicPr>
                  </pic:nvPicPr>
                  <pic:blipFill>
                    <a:blip r:embed="rId11"/>
                    <a:srcRect l="19476" t="26843" r="18799" b="31378"/>
                    <a:stretch>
                      <a:fillRect/>
                    </a:stretch>
                  </pic:blipFill>
                  <pic:spPr>
                    <a:xfrm>
                      <a:off x="0" y="0"/>
                      <a:ext cx="3775710" cy="301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说明：</w:t>
      </w:r>
    </w:p>
    <w:tbl>
      <w:tblPr>
        <w:tblStyle w:val="2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6"/>
        <w:gridCol w:w="4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1——嗅辨杯</w:t>
            </w: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5——进气口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2——箱体</w:t>
            </w: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6——流量计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3——气袋接口</w:t>
            </w: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7——空气压缩机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4—</w:t>
            </w:r>
            <w:r>
              <w:rPr>
                <w:rFonts w:hint="eastAsia" w:ascii="宋体" w:hAnsi="宋体"/>
                <w:color w:val="000000"/>
                <w:sz w:val="24"/>
                <w:highlight w:val="none"/>
              </w:rPr>
              <w:t>—气袋</w:t>
            </w: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</w:tbl>
    <w:p>
      <w:pPr>
        <w:jc w:val="center"/>
        <w:rPr>
          <w:rFonts w:hint="eastAsia" w:ascii="黑体" w:hAnsi="黑体" w:eastAsia="黑体" w:cs="黑体"/>
          <w:color w:val="000000"/>
          <w:sz w:val="24"/>
        </w:rPr>
      </w:pPr>
      <w:r>
        <w:rPr>
          <w:rFonts w:hint="eastAsia" w:ascii="黑体" w:hAnsi="黑体" w:eastAsia="黑体" w:cs="黑体"/>
          <w:color w:val="000000"/>
          <w:sz w:val="24"/>
        </w:rPr>
        <w:t>图1</w:t>
      </w:r>
      <w:r>
        <w:rPr>
          <w:rFonts w:hint="eastAsia" w:ascii="黑体" w:hAnsi="黑体" w:eastAsia="黑体" w:cs="黑体"/>
          <w:color w:val="000000"/>
          <w:sz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000000"/>
          <w:sz w:val="24"/>
        </w:rPr>
        <w:t>原始气体嗅辨仪示意图</w:t>
      </w:r>
    </w:p>
    <w:p>
      <w:pPr>
        <w:jc w:val="center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drawing>
          <wp:inline distT="0" distB="0" distL="114300" distR="114300">
            <wp:extent cx="5045710" cy="2263140"/>
            <wp:effectExtent l="0" t="0" r="0" b="0"/>
            <wp:docPr id="21" name="图片 219" descr="作图专用PPT_01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9" descr="作图专用PPT_01(3)"/>
                    <pic:cNvPicPr>
                      <a:picLocks noChangeAspect="1"/>
                    </pic:cNvPicPr>
                  </pic:nvPicPr>
                  <pic:blipFill>
                    <a:blip r:embed="rId12"/>
                    <a:srcRect l="11786" t="32690" r="15504" b="39696"/>
                    <a:stretch>
                      <a:fillRect/>
                    </a:stretch>
                  </pic:blipFill>
                  <pic:spPr>
                    <a:xfrm>
                      <a:off x="0" y="0"/>
                      <a:ext cx="5045710" cy="226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黑体" w:hAnsi="黑体" w:eastAsia="黑体" w:cs="黑体"/>
          <w:color w:val="000000"/>
          <w:sz w:val="24"/>
        </w:rPr>
      </w:pPr>
      <w:r>
        <w:rPr>
          <w:rFonts w:hint="eastAsia" w:ascii="黑体" w:hAnsi="黑体" w:eastAsia="黑体" w:cs="黑体"/>
          <w:color w:val="000000"/>
          <w:sz w:val="24"/>
        </w:rPr>
        <w:t>图2嗅辨杯示意图</w:t>
      </w:r>
    </w:p>
    <w:p>
      <w:pPr>
        <w:pStyle w:val="2"/>
        <w:numPr>
          <w:ilvl w:val="0"/>
          <w:numId w:val="5"/>
        </w:numPr>
        <w:jc w:val="left"/>
        <w:rPr>
          <w:rFonts w:ascii="宋体" w:hAnsi="宋体"/>
          <w:sz w:val="24"/>
        </w:rPr>
      </w:pPr>
      <w:bookmarkStart w:id="13" w:name="_Toc30027"/>
      <w:r>
        <w:rPr>
          <w:rFonts w:ascii="黑体" w:hAnsi="黑体" w:eastAsia="黑体"/>
          <w:sz w:val="24"/>
          <w:szCs w:val="24"/>
        </w:rPr>
        <w:t>计量特性</w:t>
      </w:r>
      <w:bookmarkEnd w:id="13"/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hAnsi="宋体"/>
          <w:sz w:val="24"/>
        </w:rPr>
        <w:t>仪器计量性能均应满足表1要求。</w:t>
      </w:r>
    </w:p>
    <w:p>
      <w:pPr>
        <w:pStyle w:val="6"/>
        <w:keepNext/>
        <w:jc w:val="center"/>
        <w:rPr>
          <w:rFonts w:ascii="黑体" w:hAnsi="黑体"/>
          <w:sz w:val="21"/>
          <w:szCs w:val="21"/>
        </w:rPr>
      </w:pPr>
      <w:r>
        <w:rPr>
          <w:rFonts w:hint="eastAsia" w:ascii="黑体" w:hAnsi="黑体"/>
          <w:sz w:val="21"/>
          <w:szCs w:val="21"/>
        </w:rPr>
        <w:t>表 1</w:t>
      </w:r>
      <w:r>
        <w:rPr>
          <w:rFonts w:ascii="黑体" w:hAnsi="黑体"/>
          <w:sz w:val="21"/>
          <w:szCs w:val="21"/>
        </w:rPr>
        <w:t xml:space="preserve"> </w:t>
      </w:r>
      <w:r>
        <w:rPr>
          <w:rFonts w:hint="eastAsia" w:ascii="黑体" w:hAnsi="黑体"/>
          <w:sz w:val="21"/>
          <w:szCs w:val="21"/>
        </w:rPr>
        <w:t>原始气体嗅辨仪要求</w:t>
      </w:r>
    </w:p>
    <w:tbl>
      <w:tblPr>
        <w:tblStyle w:val="2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7"/>
        <w:gridCol w:w="39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50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396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计量性能要求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50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嗅辨杯开口角度（</w:t>
            </w:r>
            <w:r>
              <w:rPr>
                <w:rFonts w:hint="eastAsia"/>
                <w:lang w:val="en-US" w:eastAsia="zh-CN"/>
              </w:rPr>
              <w:t>双</w:t>
            </w:r>
            <w:r>
              <w:rPr>
                <w:rFonts w:hint="eastAsia"/>
              </w:rPr>
              <w:t>侧）</w:t>
            </w:r>
          </w:p>
        </w:tc>
        <w:tc>
          <w:tcPr>
            <w:tcW w:w="3964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（10～12）</w:t>
            </w:r>
            <w:r>
              <w:rPr>
                <w:rFonts w:hint="eastAsia"/>
              </w:rPr>
              <w:t>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507" w:type="dxa"/>
            <w:vAlign w:val="center"/>
          </w:tcPr>
          <w:p>
            <w:pPr>
              <w:jc w:val="center"/>
            </w:pPr>
            <w:bookmarkStart w:id="14" w:name="_Toc31255"/>
            <w:r>
              <w:rPr>
                <w:rFonts w:hint="eastAsia"/>
              </w:rPr>
              <w:t>运行噪声</w:t>
            </w:r>
          </w:p>
        </w:tc>
        <w:tc>
          <w:tcPr>
            <w:tcW w:w="396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≤60 dB(A)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50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气味</w:t>
            </w:r>
          </w:p>
        </w:tc>
        <w:tc>
          <w:tcPr>
            <w:tcW w:w="396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≤0.5级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50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输出流量</w:t>
            </w:r>
          </w:p>
        </w:tc>
        <w:tc>
          <w:tcPr>
            <w:tcW w:w="396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（42～60）L/min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50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输出流量重复性</w:t>
            </w:r>
          </w:p>
        </w:tc>
        <w:tc>
          <w:tcPr>
            <w:tcW w:w="396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  <w:lang w:val="en-US" w:eastAsia="zh-CN"/>
              </w:rPr>
              <w:t>2%</w:t>
            </w:r>
          </w:p>
        </w:tc>
      </w:tr>
      <w:bookmarkEnd w:id="14"/>
    </w:tbl>
    <w:p>
      <w:pPr>
        <w:pStyle w:val="2"/>
        <w:numPr>
          <w:ilvl w:val="0"/>
          <w:numId w:val="5"/>
        </w:numPr>
        <w:jc w:val="left"/>
        <w:rPr>
          <w:rFonts w:ascii="黑体" w:hAnsi="黑体" w:eastAsia="黑体"/>
          <w:sz w:val="24"/>
          <w:szCs w:val="24"/>
        </w:rPr>
      </w:pPr>
      <w:bookmarkStart w:id="15" w:name="_Toc723"/>
      <w:r>
        <w:rPr>
          <w:rFonts w:hint="eastAsia" w:ascii="黑体" w:hAnsi="黑体" w:eastAsia="黑体"/>
          <w:sz w:val="24"/>
          <w:szCs w:val="24"/>
        </w:rPr>
        <w:t>校准条件</w:t>
      </w:r>
      <w:bookmarkEnd w:id="15"/>
      <w:r>
        <w:rPr>
          <w:rFonts w:hint="eastAsia" w:ascii="黑体" w:hAnsi="黑体" w:eastAsia="黑体"/>
          <w:sz w:val="24"/>
          <w:szCs w:val="24"/>
        </w:rPr>
        <w:t>及设备</w:t>
      </w:r>
    </w:p>
    <w:p>
      <w:pPr>
        <w:pStyle w:val="3"/>
        <w:ind w:right="840"/>
        <w:rPr>
          <w:rFonts w:ascii="宋体" w:hAnsi="宋体"/>
          <w:sz w:val="24"/>
        </w:rPr>
      </w:pPr>
      <w:bookmarkStart w:id="16" w:name="_Toc25590"/>
      <w:r>
        <w:rPr>
          <w:rFonts w:hint="eastAsia" w:ascii="宋体" w:hAnsi="宋体"/>
          <w:sz w:val="24"/>
        </w:rPr>
        <w:t>6</w:t>
      </w:r>
      <w:r>
        <w:rPr>
          <w:rFonts w:ascii="宋体" w:hAnsi="宋体"/>
          <w:sz w:val="24"/>
        </w:rPr>
        <w:t xml:space="preserve">.1 </w:t>
      </w:r>
      <w:r>
        <w:rPr>
          <w:rFonts w:hint="eastAsia" w:ascii="宋体" w:hAnsi="宋体"/>
          <w:sz w:val="24"/>
        </w:rPr>
        <w:t>环境条件</w:t>
      </w:r>
      <w:bookmarkEnd w:id="16"/>
    </w:p>
    <w:p>
      <w:pPr>
        <w:ind w:firstLine="480" w:firstLineChars="200"/>
        <w:rPr>
          <w:color w:val="000000"/>
          <w:sz w:val="24"/>
        </w:rPr>
      </w:pPr>
      <w:r>
        <w:rPr>
          <w:color w:val="000000"/>
          <w:sz w:val="24"/>
        </w:rPr>
        <w:t>温度：</w:t>
      </w:r>
      <w:r>
        <w:rPr>
          <w:sz w:val="24"/>
        </w:rPr>
        <w:t>（15 ~ 35）</w:t>
      </w:r>
      <w:r>
        <w:rPr>
          <w:color w:val="000000"/>
          <w:sz w:val="24"/>
        </w:rPr>
        <w:t>℃；</w:t>
      </w:r>
    </w:p>
    <w:p>
      <w:pPr>
        <w:ind w:firstLine="480" w:firstLineChars="200"/>
        <w:rPr>
          <w:color w:val="000000"/>
          <w:sz w:val="24"/>
        </w:rPr>
      </w:pPr>
      <w:r>
        <w:rPr>
          <w:color w:val="000000"/>
          <w:sz w:val="24"/>
        </w:rPr>
        <w:t>相对湿度：≤85%</w:t>
      </w:r>
      <w:r>
        <w:rPr>
          <w:rFonts w:hint="eastAsia"/>
          <w:color w:val="000000"/>
          <w:sz w:val="24"/>
        </w:rPr>
        <w:t>；</w:t>
      </w:r>
    </w:p>
    <w:p>
      <w:pPr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环境噪声：</w:t>
      </w:r>
      <w:r>
        <w:rPr>
          <w:color w:val="000000"/>
          <w:sz w:val="24"/>
        </w:rPr>
        <w:t>≤</w:t>
      </w:r>
      <w:r>
        <w:rPr>
          <w:rFonts w:hint="eastAsia"/>
          <w:color w:val="000000"/>
          <w:sz w:val="24"/>
        </w:rPr>
        <w:t>45 d</w:t>
      </w:r>
      <w:r>
        <w:rPr>
          <w:color w:val="000000"/>
          <w:sz w:val="24"/>
        </w:rPr>
        <w:t>B(A)</w:t>
      </w:r>
      <w:r>
        <w:rPr>
          <w:rFonts w:hint="eastAsia"/>
          <w:color w:val="000000"/>
          <w:sz w:val="24"/>
        </w:rPr>
        <w:t>。</w:t>
      </w:r>
    </w:p>
    <w:p>
      <w:pPr>
        <w:pStyle w:val="3"/>
        <w:ind w:right="840"/>
        <w:rPr>
          <w:rFonts w:ascii="宋体" w:hAnsi="宋体"/>
          <w:sz w:val="24"/>
        </w:rPr>
      </w:pPr>
      <w:bookmarkStart w:id="17" w:name="_Toc17571"/>
      <w:r>
        <w:rPr>
          <w:rFonts w:hint="eastAsia" w:ascii="宋体" w:hAnsi="宋体"/>
          <w:sz w:val="24"/>
        </w:rPr>
        <w:t>6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校准仪器及其他设备</w:t>
      </w:r>
      <w:bookmarkEnd w:id="17"/>
    </w:p>
    <w:p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t>6.2.1各计量特性参数使用设备及要求见表2。</w:t>
      </w:r>
    </w:p>
    <w:p>
      <w:pPr>
        <w:pStyle w:val="6"/>
        <w:keepNext/>
        <w:jc w:val="center"/>
        <w:rPr>
          <w:rFonts w:ascii="黑体" w:hAnsi="黑体"/>
          <w:sz w:val="21"/>
          <w:szCs w:val="21"/>
        </w:rPr>
      </w:pPr>
      <w:r>
        <w:rPr>
          <w:rFonts w:hint="eastAsia" w:ascii="黑体" w:hAnsi="黑体"/>
          <w:sz w:val="21"/>
          <w:szCs w:val="21"/>
        </w:rPr>
        <w:t>表2 原始气体嗅辨仪各计量特性参数所用设备及要求</w:t>
      </w:r>
    </w:p>
    <w:tbl>
      <w:tblPr>
        <w:tblStyle w:val="26"/>
        <w:tblpPr w:leftFromText="180" w:rightFromText="180" w:vertAnchor="text" w:horzAnchor="page" w:tblpX="1691" w:tblpY="63"/>
        <w:tblOverlap w:val="never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2710"/>
        <w:gridCol w:w="1540"/>
        <w:gridCol w:w="3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19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2710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bookmarkStart w:id="18" w:name="_Hlk22659444"/>
            <w:r>
              <w:rPr>
                <w:rFonts w:ascii="宋体" w:hAnsi="宋体"/>
                <w:kern w:val="0"/>
                <w:szCs w:val="21"/>
                <w:lang w:bidi="ar"/>
              </w:rPr>
              <w:t>计量特性</w:t>
            </w:r>
          </w:p>
        </w:tc>
        <w:tc>
          <w:tcPr>
            <w:tcW w:w="1540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设备名称</w:t>
            </w:r>
          </w:p>
        </w:tc>
        <w:tc>
          <w:tcPr>
            <w:tcW w:w="3644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9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1</w:t>
            </w:r>
          </w:p>
        </w:tc>
        <w:tc>
          <w:tcPr>
            <w:tcW w:w="2710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/>
                <w:kern w:val="0"/>
                <w:szCs w:val="21"/>
                <w:lang w:bidi="ar"/>
              </w:rPr>
              <w:t>开口角度（</w:t>
            </w:r>
            <w:r>
              <w:rPr>
                <w:rFonts w:hint="eastAsia" w:ascii="宋体" w:hAnsi="宋体"/>
                <w:kern w:val="0"/>
                <w:szCs w:val="21"/>
                <w:lang w:val="en-US" w:eastAsia="zh-CN" w:bidi="ar"/>
              </w:rPr>
              <w:t>双</w:t>
            </w:r>
            <w:r>
              <w:rPr>
                <w:rFonts w:hint="eastAsia" w:ascii="宋体" w:hAnsi="宋体"/>
                <w:kern w:val="0"/>
                <w:szCs w:val="21"/>
                <w:lang w:bidi="ar"/>
              </w:rPr>
              <w:t>侧）</w:t>
            </w:r>
          </w:p>
        </w:tc>
        <w:tc>
          <w:tcPr>
            <w:tcW w:w="1540" w:type="dxa"/>
            <w:vAlign w:val="center"/>
          </w:tcPr>
          <w:p>
            <w:pPr>
              <w:widowControl/>
              <w:spacing w:line="240" w:lineRule="atLeast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/>
                <w:kern w:val="0"/>
                <w:szCs w:val="21"/>
                <w:lang w:bidi="ar"/>
              </w:rPr>
              <w:t>万能角度尺</w:t>
            </w:r>
          </w:p>
        </w:tc>
        <w:tc>
          <w:tcPr>
            <w:tcW w:w="3644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eastAsia="宋体"/>
                <w:kern w:val="0"/>
                <w:szCs w:val="21"/>
                <w:lang w:eastAsia="zh-CN" w:bidi="ar"/>
              </w:rPr>
            </w:pPr>
            <w:r>
              <w:rPr>
                <w:rFonts w:hint="eastAsia" w:ascii="宋体" w:hAnsi="宋体"/>
                <w:kern w:val="0"/>
                <w:szCs w:val="21"/>
                <w:lang w:bidi="ar"/>
              </w:rPr>
              <w:t>分度值：5′,测量范围：0°～330°，符合JJG 33-2002</w:t>
            </w:r>
            <w:r>
              <w:rPr>
                <w:rFonts w:hint="eastAsia" w:ascii="宋体" w:hAnsi="宋体"/>
                <w:kern w:val="0"/>
                <w:szCs w:val="21"/>
                <w:lang w:eastAsia="zh-CN" w:bidi="ar"/>
              </w:rPr>
              <w:t>《</w:t>
            </w:r>
            <w:r>
              <w:rPr>
                <w:rFonts w:hint="eastAsia" w:ascii="宋体" w:hAnsi="宋体"/>
                <w:kern w:val="0"/>
                <w:szCs w:val="21"/>
                <w:lang w:bidi="ar"/>
              </w:rPr>
              <w:t>万能角度尺</w:t>
            </w:r>
            <w:r>
              <w:rPr>
                <w:rFonts w:hint="eastAsia" w:ascii="宋体" w:hAnsi="宋体"/>
                <w:kern w:val="0"/>
                <w:szCs w:val="21"/>
                <w:lang w:eastAsia="zh-CN" w:bidi="ar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9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/>
                <w:kern w:val="0"/>
                <w:szCs w:val="21"/>
                <w:lang w:bidi="ar"/>
              </w:rPr>
              <w:t>2</w:t>
            </w:r>
          </w:p>
        </w:tc>
        <w:tc>
          <w:tcPr>
            <w:tcW w:w="2710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/>
                <w:kern w:val="0"/>
                <w:szCs w:val="21"/>
                <w:lang w:bidi="ar"/>
              </w:rPr>
              <w:t>噪声</w:t>
            </w:r>
          </w:p>
        </w:tc>
        <w:tc>
          <w:tcPr>
            <w:tcW w:w="1540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声级计</w:t>
            </w:r>
          </w:p>
        </w:tc>
        <w:tc>
          <w:tcPr>
            <w:tcW w:w="3644" w:type="dxa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  <w:highlight w:val="yellow"/>
                <w:lang w:bidi="ar"/>
              </w:rPr>
            </w:pPr>
            <w:r>
              <w:rPr>
                <w:kern w:val="0"/>
                <w:szCs w:val="21"/>
                <w:lang w:bidi="ar"/>
              </w:rPr>
              <w:t>准确度等级：1级、A计权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719" w:type="dxa"/>
            <w:vMerge w:val="restart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2710" w:type="dxa"/>
            <w:vMerge w:val="restart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/>
                <w:kern w:val="0"/>
                <w:szCs w:val="21"/>
                <w:lang w:bidi="ar"/>
              </w:rPr>
              <w:t>输出流量</w:t>
            </w:r>
            <w:r>
              <w:rPr>
                <w:rFonts w:hint="eastAsia" w:ascii="宋体" w:hAnsi="宋体"/>
                <w:kern w:val="0"/>
                <w:szCs w:val="21"/>
                <w:lang w:eastAsia="zh-CN" w:bidi="ar"/>
              </w:rPr>
              <w:t>、</w:t>
            </w:r>
            <w:r>
              <w:rPr>
                <w:rFonts w:hint="eastAsia" w:ascii="宋体" w:hAnsi="宋体"/>
                <w:kern w:val="0"/>
                <w:szCs w:val="21"/>
                <w:lang w:val="en-US" w:eastAsia="zh-CN" w:bidi="ar"/>
              </w:rPr>
              <w:t>输出流量稳定性</w:t>
            </w:r>
          </w:p>
        </w:tc>
        <w:tc>
          <w:tcPr>
            <w:tcW w:w="1540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/>
                <w:kern w:val="0"/>
                <w:szCs w:val="21"/>
                <w:lang w:bidi="ar"/>
              </w:rPr>
              <w:t>差压式流量计</w:t>
            </w:r>
          </w:p>
        </w:tc>
        <w:tc>
          <w:tcPr>
            <w:tcW w:w="3644" w:type="dxa"/>
            <w:vAlign w:val="center"/>
          </w:tcPr>
          <w:p>
            <w:pPr>
              <w:spacing w:line="240" w:lineRule="atLeast"/>
              <w:jc w:val="left"/>
              <w:rPr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准确度等级：0.5或1.0级,符合JJG 640-2016《差压式流量计》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719" w:type="dxa"/>
            <w:vMerge w:val="continue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10" w:type="dxa"/>
            <w:vMerge w:val="continue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</w:p>
        </w:tc>
        <w:tc>
          <w:tcPr>
            <w:tcW w:w="1540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/>
                <w:kern w:val="0"/>
                <w:szCs w:val="21"/>
                <w:lang w:bidi="ar"/>
              </w:rPr>
              <w:t>压力变送器</w:t>
            </w:r>
          </w:p>
        </w:tc>
        <w:tc>
          <w:tcPr>
            <w:tcW w:w="3644" w:type="dxa"/>
            <w:vAlign w:val="center"/>
          </w:tcPr>
          <w:p>
            <w:pPr>
              <w:spacing w:line="240" w:lineRule="atLeast"/>
              <w:jc w:val="left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/>
                <w:kern w:val="0"/>
                <w:szCs w:val="21"/>
                <w:lang w:bidi="ar"/>
              </w:rPr>
              <w:t>准确度等级优于0.2级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19" w:type="dxa"/>
            <w:vMerge w:val="continue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10" w:type="dxa"/>
            <w:vMerge w:val="continue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</w:p>
        </w:tc>
        <w:tc>
          <w:tcPr>
            <w:tcW w:w="1540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/>
                <w:kern w:val="0"/>
                <w:szCs w:val="21"/>
                <w:lang w:bidi="ar"/>
              </w:rPr>
              <w:t>温度测量仪表</w:t>
            </w:r>
          </w:p>
        </w:tc>
        <w:tc>
          <w:tcPr>
            <w:tcW w:w="3644" w:type="dxa"/>
            <w:vAlign w:val="center"/>
          </w:tcPr>
          <w:p>
            <w:pPr>
              <w:spacing w:line="240" w:lineRule="atLeast"/>
              <w:jc w:val="left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/>
                <w:kern w:val="0"/>
                <w:szCs w:val="21"/>
                <w:lang w:bidi="ar"/>
              </w:rPr>
              <w:t>MPE:±0.2℃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19" w:type="dxa"/>
            <w:vMerge w:val="continue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10" w:type="dxa"/>
            <w:vMerge w:val="continue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</w:p>
        </w:tc>
        <w:tc>
          <w:tcPr>
            <w:tcW w:w="1540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/>
                <w:kern w:val="0"/>
                <w:szCs w:val="21"/>
                <w:lang w:bidi="ar"/>
              </w:rPr>
              <w:t>气压表（计）</w:t>
            </w:r>
          </w:p>
        </w:tc>
        <w:tc>
          <w:tcPr>
            <w:tcW w:w="3644" w:type="dxa"/>
            <w:vAlign w:val="center"/>
          </w:tcPr>
          <w:p>
            <w:pPr>
              <w:spacing w:line="240" w:lineRule="atLeast"/>
              <w:jc w:val="left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/>
                <w:kern w:val="0"/>
                <w:szCs w:val="21"/>
                <w:lang w:bidi="ar"/>
              </w:rPr>
              <w:t>MPE:+250Pa</w:t>
            </w:r>
          </w:p>
        </w:tc>
      </w:tr>
      <w:bookmarkEnd w:id="18"/>
    </w:tbl>
    <w:p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t>6.2.2装置的测量范围应满足被校准定流量发生器的测量能力，且压力发生设备的压力值应连续可调。装置在一次测量过程中压力波动应不大于0.5%:温度波动应不大于0.5℃。</w:t>
      </w:r>
    </w:p>
    <w:p>
      <w:pPr>
        <w:pStyle w:val="2"/>
        <w:numPr>
          <w:ilvl w:val="0"/>
          <w:numId w:val="5"/>
        </w:numPr>
        <w:jc w:val="left"/>
        <w:rPr>
          <w:rFonts w:ascii="黑体" w:hAnsi="黑体" w:eastAsia="黑体"/>
          <w:sz w:val="24"/>
          <w:szCs w:val="24"/>
        </w:rPr>
      </w:pPr>
      <w:bookmarkStart w:id="19" w:name="_Toc21004"/>
      <w:r>
        <w:rPr>
          <w:rFonts w:hint="eastAsia" w:ascii="黑体" w:hAnsi="黑体" w:eastAsia="黑体"/>
          <w:sz w:val="24"/>
          <w:szCs w:val="24"/>
        </w:rPr>
        <w:t>校准项目和校准方法</w:t>
      </w:r>
      <w:bookmarkEnd w:id="19"/>
    </w:p>
    <w:p>
      <w:pPr>
        <w:pStyle w:val="3"/>
        <w:ind w:right="840"/>
        <w:rPr>
          <w:rFonts w:ascii="宋体" w:hAnsi="宋体"/>
          <w:sz w:val="24"/>
        </w:rPr>
      </w:pPr>
      <w:bookmarkStart w:id="20" w:name="_Toc26389"/>
      <w:r>
        <w:rPr>
          <w:rFonts w:hint="eastAsia" w:ascii="宋体" w:hAnsi="宋体"/>
          <w:sz w:val="24"/>
        </w:rPr>
        <w:t>7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 xml:space="preserve"> </w:t>
      </w:r>
      <w:bookmarkEnd w:id="20"/>
      <w:r>
        <w:rPr>
          <w:rFonts w:hint="eastAsia" w:ascii="宋体" w:hAnsi="宋体"/>
          <w:sz w:val="24"/>
        </w:rPr>
        <w:t>开口角度（单侧）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bookmarkStart w:id="21" w:name="_Hlk55805261"/>
      <w:r>
        <w:rPr>
          <w:rFonts w:hint="eastAsia"/>
          <w:color w:val="000000"/>
          <w:sz w:val="24"/>
        </w:rPr>
        <w:t>准确测量嗅辨杯的开口角度</w:t>
      </w:r>
      <w:r>
        <w:rPr>
          <w:rFonts w:hint="eastAsia" w:ascii="宋体" w:hAnsi="宋体"/>
          <w:color w:val="000000"/>
          <w:sz w:val="24"/>
        </w:rPr>
        <w:t>。</w:t>
      </w:r>
    </w:p>
    <w:p>
      <w:pPr>
        <w:pStyle w:val="3"/>
        <w:ind w:right="840"/>
        <w:rPr>
          <w:rFonts w:ascii="宋体" w:hAnsi="宋体"/>
          <w:sz w:val="24"/>
        </w:rPr>
      </w:pPr>
      <w:bookmarkStart w:id="22" w:name="_Toc8733"/>
      <w:r>
        <w:rPr>
          <w:rFonts w:hint="eastAsia" w:ascii="宋体" w:hAnsi="宋体"/>
          <w:sz w:val="24"/>
        </w:rPr>
        <w:t>7.2 噪声</w:t>
      </w:r>
      <w:bookmarkEnd w:id="22"/>
    </w:p>
    <w:p>
      <w:pPr>
        <w:ind w:firstLine="420" w:firstLineChars="175"/>
      </w:pPr>
      <w:r>
        <w:rPr>
          <w:rFonts w:hint="eastAsia" w:ascii="宋体" w:hAnsi="宋体"/>
          <w:color w:val="000000"/>
          <w:sz w:val="24"/>
        </w:rPr>
        <w:t>将声级计设置为“A”计权模式。开启原始气体嗅辨仪，并将声级计放置于距离原始气体嗅辨仪出气口（原始气体嗅辨仪与嗅辨杯接口处）上方沿垂直中心线40cm处，待读数稳定后，读取声级计显示的数据。</w:t>
      </w:r>
    </w:p>
    <w:bookmarkEnd w:id="21"/>
    <w:p>
      <w:pPr>
        <w:pStyle w:val="3"/>
        <w:ind w:right="840"/>
        <w:rPr>
          <w:rFonts w:ascii="宋体" w:hAnsi="宋体"/>
          <w:sz w:val="24"/>
        </w:rPr>
      </w:pPr>
      <w:bookmarkStart w:id="23" w:name="_Toc11464"/>
      <w:r>
        <w:rPr>
          <w:rFonts w:hint="eastAsia" w:ascii="宋体" w:hAnsi="宋体"/>
          <w:sz w:val="24"/>
        </w:rPr>
        <w:t>7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气味</w:t>
      </w:r>
      <w:bookmarkEnd w:id="23"/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/>
          <w:color w:val="000000"/>
          <w:sz w:val="24"/>
        </w:rPr>
        <w:t>关闭箱盖，将负压采气箱置于温度(25±3)℃无异味的室内环境中，静置24小时。将桶盖微微打开，按照GB/T 43353-2023中9.5规定的方法进行</w:t>
      </w:r>
      <w:r>
        <w:rPr>
          <w:rFonts w:hint="eastAsia" w:ascii="宋体" w:hAnsi="宋体"/>
          <w:color w:val="000000"/>
          <w:sz w:val="24"/>
        </w:rPr>
        <w:t>。</w:t>
      </w:r>
    </w:p>
    <w:p>
      <w:pPr>
        <w:pStyle w:val="3"/>
        <w:ind w:right="840"/>
        <w:rPr>
          <w:rFonts w:ascii="宋体" w:hAnsi="宋体"/>
          <w:sz w:val="24"/>
        </w:rPr>
      </w:pPr>
      <w:bookmarkStart w:id="24" w:name="_Toc6897"/>
      <w:r>
        <w:rPr>
          <w:rFonts w:hint="eastAsia" w:ascii="宋体" w:hAnsi="宋体"/>
          <w:sz w:val="24"/>
        </w:rPr>
        <w:t>7.4</w:t>
      </w:r>
      <w:bookmarkEnd w:id="24"/>
      <w:r>
        <w:rPr>
          <w:rFonts w:hint="eastAsia" w:ascii="宋体" w:hAnsi="宋体"/>
          <w:sz w:val="24"/>
        </w:rPr>
        <w:t>输出流量</w:t>
      </w:r>
    </w:p>
    <w:p>
      <w:pPr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7.4.1校准程序</w:t>
      </w:r>
    </w:p>
    <w:p>
      <w:pPr>
        <w:numPr>
          <w:ilvl w:val="0"/>
          <w:numId w:val="6"/>
        </w:numPr>
        <w:ind w:firstLine="420" w:firstLineChars="175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将充有一定体积气体的气袋连接至原始气体嗅辨仪，取下嗅辨杯，按照图3原始气体嗅辨仪校准系统示意图进行连接，保证原始气体嗅辨仪差压达到额定要求。取压口到原始气体嗅辨仪的距离一般应不超过15cm，取压管的长度应尽量缩短以减少管线带来的压损。</w:t>
      </w:r>
    </w:p>
    <w:p>
      <w:pPr>
        <w:ind w:left="8" w:hanging="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drawing>
          <wp:inline distT="0" distB="0" distL="114300" distR="114300">
            <wp:extent cx="5238115" cy="1612265"/>
            <wp:effectExtent l="0" t="0" r="635" b="6985"/>
            <wp:docPr id="24" name="图片 24" descr="图片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图片1(1)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8115" cy="1612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8" w:hanging="8"/>
        <w:jc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图3 原始气体嗅辨仪校准系统连接示意图</w:t>
      </w:r>
    </w:p>
    <w:p>
      <w:pPr>
        <w:ind w:firstLine="420" w:firstLineChars="175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2）连接完成后在确定各连接处不漏气的情况下打开气源，将稳压气源的压力调节到与额定压力相近，再利用调压阀进行压力调节，保证被校表前压或差压达到额定压力，稳定一段时间后开始进行校准。校准过程中，温度和压力的波动需满足6.2.2 的要求。</w:t>
      </w:r>
    </w:p>
    <w:p>
      <w:pPr>
        <w:ind w:firstLine="420" w:firstLineChars="175"/>
        <w:rPr>
          <w:rFonts w:hint="eastAsia" w:ascii="宋体" w:hAnsi="宋体" w:eastAsia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</w:rPr>
        <w:t>（3）</w:t>
      </w:r>
      <w:r>
        <w:rPr>
          <w:rFonts w:ascii="宋体" w:hAnsi="宋体"/>
          <w:color w:val="000000"/>
          <w:sz w:val="24"/>
        </w:rPr>
        <w:t>待流量稳定后记录流量测量标准装置的读数及各个测量仪表的数值</w:t>
      </w:r>
      <w:r>
        <w:rPr>
          <w:rFonts w:hint="eastAsia" w:ascii="宋体" w:hAnsi="宋体"/>
          <w:color w:val="000000"/>
          <w:sz w:val="24"/>
          <w:lang w:eastAsia="zh-CN"/>
        </w:rPr>
        <w:t>。</w:t>
      </w:r>
    </w:p>
    <w:p>
      <w:pPr>
        <w:ind w:firstLine="420" w:firstLineChars="175"/>
        <w:rPr>
          <w:rFonts w:hint="eastAsia" w:ascii="宋体" w:hAnsi="宋体" w:eastAsia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</w:rPr>
        <w:t>（4）</w:t>
      </w:r>
      <w:r>
        <w:rPr>
          <w:rFonts w:ascii="宋体" w:hAnsi="宋体"/>
          <w:color w:val="000000"/>
          <w:sz w:val="24"/>
        </w:rPr>
        <w:t>至少重复进行6次流量值的校准</w:t>
      </w:r>
      <w:r>
        <w:rPr>
          <w:rFonts w:hint="eastAsia" w:ascii="宋体" w:hAnsi="宋体"/>
          <w:color w:val="000000"/>
          <w:sz w:val="24"/>
          <w:lang w:eastAsia="zh-CN"/>
        </w:rPr>
        <w:t>。</w:t>
      </w:r>
    </w:p>
    <w:p>
      <w:pPr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7.4.2校准输出流量的计算</w:t>
      </w:r>
    </w:p>
    <w:p>
      <w:pPr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7.4.2.1校准输出流量q</w:t>
      </w:r>
      <w:r>
        <w:rPr>
          <w:rFonts w:hint="eastAsia" w:ascii="宋体" w:hAnsi="宋体"/>
          <w:color w:val="000000"/>
          <w:sz w:val="24"/>
          <w:vertAlign w:val="subscript"/>
        </w:rPr>
        <w:t>v</w:t>
      </w:r>
      <w:r>
        <w:rPr>
          <w:rFonts w:hint="eastAsia" w:ascii="宋体" w:hAnsi="宋体"/>
          <w:color w:val="000000"/>
          <w:sz w:val="24"/>
        </w:rPr>
        <w:t>按照公式（1）进行计算。</w:t>
      </w:r>
    </w:p>
    <w:tbl>
      <w:tblPr>
        <w:tblStyle w:val="27"/>
        <w:tblpPr w:leftFromText="180" w:rightFromText="180" w:vertAnchor="text" w:horzAnchor="page" w:tblpX="1846" w:tblpY="209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7"/>
        <w:gridCol w:w="4673"/>
        <w:gridCol w:w="20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6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hint="eastAsia" w:ascii="Cambria Math" w:hAnsi="Cambria Math"/>
                        <w:color w:val="000000"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color w:val="000000"/>
                        <w:sz w:val="24"/>
                      </w:rPr>
                      <m:t>q</m:t>
                    </m:r>
                    <m:ctrlPr>
                      <w:rPr>
                        <w:rFonts w:hint="eastAsia" w:ascii="Cambria Math" w:hAnsi="Cambria Math"/>
                        <w:color w:val="000000"/>
                        <w:sz w:val="24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4"/>
                      </w:rPr>
                      <m:t>v</m:t>
                    </m:r>
                    <m:ctrlPr>
                      <w:rPr>
                        <w:rFonts w:hint="eastAsia" w:ascii="Cambria Math" w:hAnsi="Cambria Math"/>
                        <w:color w:val="000000"/>
                        <w:sz w:val="24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color w:val="000000"/>
                        <w:sz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/>
                            <w:color w:val="000000"/>
                            <w:sz w:val="24"/>
                          </w:rPr>
                          <m:t>s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</m:ctrlP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/>
                            <w:color w:val="000000"/>
                            <w:sz w:val="24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color w:val="000000"/>
                        <w:sz w:val="24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</m:ctrlP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  <m:t>s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color w:val="000000"/>
                        <w:sz w:val="24"/>
                      </w:rPr>
                    </m:ctrlPr>
                  </m:den>
                </m:f>
                <m:sSub>
                  <m:sSubPr>
                    <m:ctrlPr>
                      <w:rPr>
                        <w:rFonts w:ascii="Cambria Math" w:hAnsi="Cambria Math"/>
                        <w:color w:val="000000"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color w:val="000000"/>
                        <w:sz w:val="24"/>
                      </w:rPr>
                      <m:t>q</m:t>
                    </m:r>
                    <m:ctrlPr>
                      <w:rPr>
                        <w:rFonts w:ascii="Cambria Math" w:hAnsi="Cambria Math"/>
                        <w:color w:val="000000"/>
                        <w:sz w:val="24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color w:val="000000"/>
                        <w:sz w:val="24"/>
                      </w:rPr>
                      <m:t>s</m:t>
                    </m:r>
                    <m:ctrlPr>
                      <w:rPr>
                        <w:rFonts w:ascii="Cambria Math" w:hAnsi="Cambria Math"/>
                        <w:color w:val="000000"/>
                        <w:sz w:val="24"/>
                      </w:rPr>
                    </m:ctrlPr>
                  </m:sub>
                </m:sSub>
              </m:oMath>
            </m:oMathPara>
          </w:p>
        </w:tc>
        <w:tc>
          <w:tcPr>
            <w:tcW w:w="2022" w:type="dxa"/>
            <w:vAlign w:val="center"/>
          </w:tcPr>
          <w:p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（1）</w:t>
            </w:r>
          </w:p>
        </w:tc>
      </w:tr>
    </w:tbl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式中：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m:oMath>
        <m:sSub>
          <m:sSubPr>
            <m:ctrlPr>
              <w:rPr>
                <w:rFonts w:hint="eastAsia" w:ascii="Cambria Math" w:hAnsi="Cambria Math"/>
                <w:color w:val="000000"/>
                <w:sz w:val="24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/>
                <w:color w:val="000000"/>
                <w:sz w:val="24"/>
              </w:rPr>
              <m:t>q</m:t>
            </m:r>
            <m:ctrlPr>
              <w:rPr>
                <w:rFonts w:hint="eastAsia" w:ascii="Cambria Math" w:hAnsi="Cambria Math"/>
                <w:color w:val="000000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4"/>
              </w:rPr>
              <m:t>v</m:t>
            </m:r>
            <m:ctrlPr>
              <w:rPr>
                <w:rFonts w:hint="eastAsia" w:ascii="Cambria Math" w:hAnsi="Cambria Math"/>
                <w:color w:val="000000"/>
                <w:sz w:val="24"/>
              </w:rPr>
            </m:ctrlPr>
          </m:sub>
        </m:sSub>
      </m:oMath>
      <w:r>
        <w:rPr>
          <w:rFonts w:hint="eastAsia" w:ascii="宋体" w:hAnsi="宋体"/>
          <w:color w:val="000000"/>
          <w:sz w:val="24"/>
        </w:rPr>
        <w:t>——原始气体嗅辨仪输出流量，L/min；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4"/>
              </w:rPr>
              <m:t>P</m:t>
            </m:r>
            <m:ctrlPr>
              <w:rPr>
                <w:rFonts w:ascii="Cambria Math" w:hAnsi="Cambria Math"/>
                <w:color w:val="000000"/>
                <w:sz w:val="24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/>
                <w:color w:val="000000"/>
                <w:sz w:val="24"/>
              </w:rPr>
              <m:t>s</m:t>
            </m:r>
            <m:ctrlPr>
              <w:rPr>
                <w:rFonts w:ascii="Cambria Math" w:hAnsi="Cambria Math"/>
                <w:color w:val="000000"/>
                <w:sz w:val="24"/>
              </w:rPr>
            </m:ctrlPr>
          </m:sub>
        </m:sSub>
      </m:oMath>
      <w:r>
        <w:rPr>
          <w:rFonts w:hint="eastAsia" w:ascii="宋体" w:hAnsi="宋体"/>
          <w:color w:val="000000"/>
          <w:sz w:val="24"/>
        </w:rPr>
        <w:t>——流量测量标准装置入口端的绝对压力，kPa；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4"/>
              </w:rPr>
              <m:t>P</m:t>
            </m:r>
            <m:ctrlPr>
              <w:rPr>
                <w:rFonts w:ascii="Cambria Math" w:hAnsi="Cambria Math"/>
                <w:color w:val="000000"/>
                <w:sz w:val="24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/>
                <w:color w:val="000000"/>
                <w:sz w:val="24"/>
              </w:rPr>
              <m:t>m</m:t>
            </m:r>
            <m:ctrlPr>
              <w:rPr>
                <w:rFonts w:ascii="Cambria Math" w:hAnsi="Cambria Math"/>
                <w:color w:val="000000"/>
                <w:sz w:val="24"/>
              </w:rPr>
            </m:ctrlPr>
          </m:sub>
        </m:sSub>
      </m:oMath>
      <w:r>
        <w:rPr>
          <w:rFonts w:hint="eastAsia" w:ascii="宋体" w:hAnsi="宋体"/>
          <w:color w:val="000000"/>
          <w:sz w:val="24"/>
        </w:rPr>
        <w:t>——原始气体嗅辨仪出口端的绝对压力，kPa；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4"/>
              </w:rPr>
              <m:t>T</m:t>
            </m:r>
            <m:ctrlPr>
              <w:rPr>
                <w:rFonts w:ascii="Cambria Math" w:hAnsi="Cambria Math"/>
                <w:color w:val="000000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4"/>
              </w:rPr>
              <m:t>s</m:t>
            </m:r>
            <m:ctrlPr>
              <w:rPr>
                <w:rFonts w:ascii="Cambria Math" w:hAnsi="Cambria Math"/>
                <w:color w:val="000000"/>
                <w:sz w:val="24"/>
              </w:rPr>
            </m:ctrlPr>
          </m:sub>
        </m:sSub>
      </m:oMath>
      <w:r>
        <w:rPr>
          <w:rFonts w:hint="eastAsia" w:ascii="宋体" w:hAnsi="宋体"/>
          <w:color w:val="000000"/>
          <w:sz w:val="24"/>
        </w:rPr>
        <w:t>——流量测量标准装置入口端的热力学温度，K；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4"/>
              </w:rPr>
              <m:t>T</m:t>
            </m:r>
            <m:ctrlPr>
              <w:rPr>
                <w:rFonts w:ascii="Cambria Math" w:hAnsi="Cambria Math"/>
                <w:color w:val="000000"/>
                <w:sz w:val="24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/>
                <w:color w:val="000000"/>
                <w:sz w:val="24"/>
              </w:rPr>
              <m:t>m</m:t>
            </m:r>
            <m:ctrlPr>
              <w:rPr>
                <w:rFonts w:ascii="Cambria Math" w:hAnsi="Cambria Math"/>
                <w:color w:val="000000"/>
                <w:sz w:val="24"/>
              </w:rPr>
            </m:ctrlPr>
          </m:sub>
        </m:sSub>
      </m:oMath>
      <w:r>
        <w:rPr>
          <w:rFonts w:hint="eastAsia" w:ascii="宋体" w:hAnsi="宋体"/>
          <w:color w:val="000000"/>
          <w:sz w:val="24"/>
        </w:rPr>
        <w:t>——原始气体嗅辨仪出口端的热力学温度，K；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m:oMath>
        <m:sSub>
          <m:sSubPr>
            <m:ctrlPr>
              <w:rPr>
                <w:rFonts w:hint="eastAsia" w:ascii="Cambria Math" w:hAnsi="Cambria Math"/>
                <w:color w:val="000000"/>
                <w:sz w:val="24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/>
                <w:color w:val="000000"/>
                <w:sz w:val="24"/>
              </w:rPr>
              <m:t>q</m:t>
            </m:r>
            <m:ctrlPr>
              <w:rPr>
                <w:rFonts w:hint="eastAsia" w:ascii="Cambria Math" w:hAnsi="Cambria Math"/>
                <w:color w:val="000000"/>
                <w:sz w:val="24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/>
                <w:color w:val="000000"/>
                <w:sz w:val="24"/>
              </w:rPr>
              <m:t>s</m:t>
            </m:r>
            <m:ctrlPr>
              <w:rPr>
                <w:rFonts w:hint="eastAsia" w:ascii="Cambria Math" w:hAnsi="Cambria Math"/>
                <w:color w:val="000000"/>
                <w:sz w:val="24"/>
              </w:rPr>
            </m:ctrlPr>
          </m:sub>
        </m:sSub>
      </m:oMath>
      <w:r>
        <w:rPr>
          <w:rFonts w:hint="eastAsia" w:ascii="宋体" w:hAnsi="宋体"/>
          <w:color w:val="000000"/>
          <w:sz w:val="24"/>
        </w:rPr>
        <w:t>——流量测量标准装置测量的流量值，L/min。</w:t>
      </w:r>
    </w:p>
    <w:p>
      <w:pPr>
        <w:rPr>
          <w:rFonts w:ascii="宋体" w:hAnsi="宋体"/>
          <w:color w:val="000000"/>
          <w:sz w:val="24"/>
        </w:rPr>
      </w:pPr>
      <w:bookmarkStart w:id="25" w:name="_Toc8612"/>
      <w:r>
        <w:rPr>
          <w:rFonts w:hint="eastAsia" w:ascii="宋体" w:hAnsi="宋体"/>
          <w:color w:val="000000"/>
          <w:sz w:val="24"/>
        </w:rPr>
        <w:t>7.</w:t>
      </w:r>
      <w:bookmarkEnd w:id="25"/>
      <w:r>
        <w:rPr>
          <w:rFonts w:hint="eastAsia" w:ascii="宋体" w:hAnsi="宋体"/>
          <w:color w:val="000000"/>
          <w:sz w:val="24"/>
        </w:rPr>
        <w:t>4.2.2平均校准输出流量按照公式（2）进行计算。</w:t>
      </w:r>
    </w:p>
    <w:tbl>
      <w:tblPr>
        <w:tblStyle w:val="2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8"/>
        <w:gridCol w:w="4671"/>
        <w:gridCol w:w="198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67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hint="eastAsia" w:ascii="Cambria Math" w:hAnsi="Cambria Math"/>
                            <w:color w:val="000000"/>
                            <w:sz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/>
                            <w:color w:val="000000"/>
                            <w:sz w:val="24"/>
                          </w:rPr>
                          <m:t>q</m:t>
                        </m:r>
                        <m:ctrlPr>
                          <w:rPr>
                            <w:rFonts w:hint="eastAsia" w:ascii="Cambria Math" w:hAnsi="Cambria Math"/>
                            <w:color w:val="000000"/>
                            <w:sz w:val="24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  <m:t>v</m:t>
                        </m:r>
                        <m:ctrlPr>
                          <w:rPr>
                            <w:rFonts w:hint="eastAsia" w:ascii="Cambria Math" w:hAnsi="Cambria Math"/>
                            <w:color w:val="000000"/>
                            <w:sz w:val="24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e>
                </m:acc>
                <m:r>
                  <m:rPr/>
                  <w:rPr>
                    <w:rFonts w:ascii="Cambria Math" w:hAnsi="Cambria Math"/>
                    <w:sz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/>
                        <w:sz w:val="24"/>
                      </w:rPr>
                      <m:t>1</m:t>
                    </m: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  <w:sz w:val="24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naryPr>
                  <m:sub>
                    <m:r>
                      <m:rPr/>
                      <w:rPr>
                        <w:rFonts w:ascii="Cambria Math" w:hAnsi="Cambria Math"/>
                        <w:sz w:val="24"/>
                      </w:rPr>
                      <m:t>i=1</m:t>
                    </m: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sz w:val="24"/>
                      </w:rPr>
                      <m:t>6</m:t>
                    </m: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sz w:val="24"/>
                          </w:rPr>
                          <m:t>q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sz w:val="24"/>
                          </w:rPr>
                          <m:t>vi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e>
                </m:nary>
              </m:oMath>
            </m:oMathPara>
          </w:p>
        </w:tc>
        <w:tc>
          <w:tcPr>
            <w:tcW w:w="1983" w:type="dxa"/>
            <w:vAlign w:val="center"/>
          </w:tcPr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</w:t>
            </w:r>
          </w:p>
        </w:tc>
      </w:tr>
    </w:tbl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式中：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4"/>
              </w:rPr>
            </m:ctrlPr>
          </m:accPr>
          <m:e>
            <m:sSub>
              <m:sSubPr>
                <m:ctrlPr>
                  <w:rPr>
                    <w:rFonts w:hint="eastAsia" w:ascii="Cambria Math" w:hAnsi="Cambria Math"/>
                    <w:color w:val="000000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hint="eastAsia" w:ascii="Cambria Math" w:hAnsi="Cambria Math"/>
                    <w:color w:val="000000"/>
                    <w:sz w:val="24"/>
                  </w:rPr>
                  <m:t>q</m:t>
                </m:r>
                <m:ctrlPr>
                  <w:rPr>
                    <w:rFonts w:hint="eastAsia" w:ascii="Cambria Math" w:hAnsi="Cambria Math"/>
                    <w:color w:val="000000"/>
                    <w:sz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4"/>
                  </w:rPr>
                  <m:t>v</m:t>
                </m:r>
                <m:ctrlPr>
                  <w:rPr>
                    <w:rFonts w:hint="eastAsia" w:ascii="Cambria Math" w:hAnsi="Cambria Math"/>
                    <w:color w:val="000000"/>
                    <w:sz w:val="24"/>
                  </w:rPr>
                </m:ctrlPr>
              </m:sub>
            </m:sSub>
            <m:ctrlPr>
              <w:rPr>
                <w:rFonts w:ascii="Cambria Math" w:hAnsi="Cambria Math"/>
                <w:i/>
                <w:sz w:val="24"/>
              </w:rPr>
            </m:ctrlPr>
          </m:e>
        </m:acc>
      </m:oMath>
      <w:r>
        <w:rPr>
          <w:rFonts w:hint="eastAsia" w:ascii="宋体" w:hAnsi="宋体"/>
          <w:color w:val="000000"/>
          <w:sz w:val="24"/>
        </w:rPr>
        <w:t>——原始气体嗅辨仪6次校准输出流量的平均值；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q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m:rPr/>
              <w:rPr>
                <w:rFonts w:ascii="Cambria Math" w:hAnsi="Cambria Math"/>
                <w:sz w:val="24"/>
              </w:rPr>
              <m:t>vi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</m:oMath>
      <w:r>
        <w:rPr>
          <w:rFonts w:hint="eastAsia" w:ascii="宋体" w:hAnsi="宋体"/>
          <w:color w:val="000000"/>
          <w:sz w:val="24"/>
        </w:rPr>
        <w:t>——第i次测量原始气体嗅辨仪的校准输出流量值。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7.4.2.3重复性按照</w:t>
      </w:r>
      <w:r>
        <w:rPr>
          <w:rFonts w:hint="eastAsia" w:ascii="宋体" w:hAnsi="宋体"/>
          <w:sz w:val="24"/>
        </w:rPr>
        <w:t>公式（3）进行计算。</w:t>
      </w:r>
    </w:p>
    <w:tbl>
      <w:tblPr>
        <w:tblStyle w:val="2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0"/>
        <w:gridCol w:w="4679"/>
        <w:gridCol w:w="198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18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679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m:oMath>
              <m:sSub>
                <m:sSubPr>
                  <m:ctrlPr>
                    <w:rPr>
                      <w:rFonts w:hint="default" w:ascii="Cambria Math" w:hAnsi="Cambria Math"/>
                      <w:i/>
                      <w:sz w:val="24"/>
                      <w:lang w:val="en-US" w:eastAsia="zh-CN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/>
                      <w:sz w:val="24"/>
                      <w:lang w:val="en-US" w:eastAsia="zh-CN"/>
                    </w:rPr>
                    <m:t>s</m:t>
                  </m:r>
                  <m:ctrlPr>
                    <w:rPr>
                      <w:rFonts w:hint="default" w:ascii="Cambria Math" w:hAnsi="Cambria Math"/>
                      <w:i/>
                      <w:sz w:val="24"/>
                      <w:lang w:val="en-US" w:eastAsia="zh-CN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/>
                      <w:sz w:val="24"/>
                      <w:lang w:val="en-US" w:eastAsia="zh-CN"/>
                    </w:rPr>
                    <m:t>r</m:t>
                  </m:r>
                  <m:ctrlPr>
                    <w:rPr>
                      <w:rFonts w:hint="default" w:ascii="Cambria Math" w:hAnsi="Cambria Math"/>
                      <w:i/>
                      <w:sz w:val="24"/>
                      <w:lang w:val="en-US" w:eastAsia="zh-CN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/>
                      <w:sz w:val="24"/>
                      <w:lang w:val="en-US" w:eastAsia="zh-CN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num>
                <m:den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hint="default" w:ascii="Cambria Math" w:hAnsi="Cambria Math"/>
                              <w:sz w:val="24"/>
                              <w:lang w:val="en-US" w:eastAsia="zh-CN"/>
                            </w:rPr>
                            <m:t>q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hint="default" w:ascii="Cambria Math" w:hAnsi="Cambria Math"/>
                              <w:sz w:val="24"/>
                              <w:lang w:val="en-US" w:eastAsia="zh-CN"/>
                            </w:rPr>
                            <m:t>v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en>
              </m:f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eg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fPr>
                    <m:num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naryPr>
                        <m:sub>
                          <m:r>
                            <m:rPr/>
                            <w:rPr>
                              <w:rFonts w:hint="default" w:ascii="Cambria Math" w:hAnsi="Cambria Math"/>
                              <w:sz w:val="24"/>
                              <w:lang w:val="en-US" w:eastAsia="zh-CN"/>
                            </w:rPr>
                            <m:t>i=1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sub>
                        <m:sup>
                          <m:r>
                            <m:rPr/>
                            <w:rPr>
                              <w:rFonts w:hint="default" w:ascii="Cambria Math" w:hAnsi="Cambria Math"/>
                              <w:sz w:val="24"/>
                              <w:lang w:val="en-US" w:eastAsia="zh-CN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sup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4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4"/>
                                          <w:lang w:val="en-US" w:eastAsia="zh-CN"/>
                                        </w:rPr>
                                        <m:t>q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4"/>
                                        </w:rPr>
                                      </m:ctrlPr>
                                    </m:e>
                                    <m:sub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4"/>
                                          <w:lang w:val="en-US" w:eastAsia="zh-CN"/>
                                        </w:rPr>
                                        <m:t>vi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4"/>
                                        </w:rPr>
                                      </m:ctrlPr>
                                    </m:sub>
                                  </m:sSub>
                                  <m:r>
                                    <m:rPr/>
                                    <w:rPr>
                                      <w:rFonts w:hint="default" w:ascii="Cambria Math" w:hAnsi="Cambria Math"/>
                                      <w:sz w:val="24"/>
                                      <w:lang w:val="en-US" w:eastAsia="zh-CN"/>
                                    </w:rPr>
                                    <m:t>−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hint="default" w:ascii="Cambria Math" w:hAnsi="Cambria Math"/>
                                          <w:i/>
                                          <w:sz w:val="24"/>
                                          <w:lang w:val="en-US" w:eastAsia="zh-CN"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hr m:val="̅"/>
                                          <m:ctrlPr>
                                            <w:rPr>
                                              <w:rFonts w:hint="default" w:ascii="Cambria Math" w:hAnsi="Cambria Math"/>
                                              <w:i/>
                                              <w:sz w:val="24"/>
                                              <w:lang w:val="en-US" w:eastAsia="zh-CN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m:rPr/>
                                            <w:rPr>
                                              <w:rFonts w:hint="default" w:ascii="Cambria Math" w:hAnsi="Cambria Math"/>
                                              <w:sz w:val="24"/>
                                              <w:lang w:val="en-US" w:eastAsia="zh-CN"/>
                                            </w:rPr>
                                            <m:t>q</m:t>
                                          </m:r>
                                          <m:ctrlPr>
                                            <w:rPr>
                                              <w:rFonts w:hint="default" w:ascii="Cambria Math" w:hAnsi="Cambria Math"/>
                                              <w:i/>
                                              <w:sz w:val="24"/>
                                              <w:lang w:val="en-US" w:eastAsia="zh-CN"/>
                                            </w:rPr>
                                          </m:ctrlPr>
                                        </m:e>
                                      </m:acc>
                                      <m:ctrlPr>
                                        <w:rPr>
                                          <w:rFonts w:hint="default" w:ascii="Cambria Math" w:hAnsi="Cambria Math"/>
                                          <w:i/>
                                          <w:sz w:val="24"/>
                                          <w:lang w:val="en-US" w:eastAsia="zh-CN"/>
                                        </w:rPr>
                                      </m:ctrlPr>
                                    </m:e>
                                    <m:sub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4"/>
                                          <w:lang w:val="en-US" w:eastAsia="zh-CN"/>
                                        </w:rPr>
                                        <m:t>v</m:t>
                                      </m:r>
                                      <m:ctrlPr>
                                        <w:rPr>
                                          <w:rFonts w:hint="default" w:ascii="Cambria Math" w:hAnsi="Cambria Math"/>
                                          <w:i/>
                                          <w:sz w:val="24"/>
                                          <w:lang w:val="en-US" w:eastAsia="zh-CN"/>
                                        </w:rPr>
                                      </m:ctrlPr>
                                    </m:sub>
                                  </m:sSub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</w:rPr>
                                  </m:ctrlPr>
                                </m:e>
                              </m:d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</w:rPr>
                              </m:ctrlPr>
                            </m:e>
                            <m:sup>
                              <m:r>
                                <m:rPr/>
                                <w:rPr>
                                  <w:rFonts w:hint="default" w:ascii="Cambria Math" w:hAnsi="Cambria Math"/>
                                  <w:sz w:val="24"/>
                                  <w:lang w:val="en-US" w:eastAsia="zh-CN"/>
                                </w:rPr>
                                <m:t>2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</w:rPr>
                              </m:ctrlPr>
                            </m:sup>
                          </m:sSup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e>
                      </m:nary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num>
                    <m:den>
                      <m:r>
                        <m:rPr/>
                        <w:rPr>
                          <w:rFonts w:hint="default" w:ascii="Cambria Math" w:hAnsi="Cambria Math"/>
                          <w:sz w:val="24"/>
                          <w:lang w:val="en-US" w:eastAsia="zh-CN"/>
                        </w:rPr>
                        <m:t>n−1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e>
              </m:rad>
              <m:r>
                <m:rPr/>
                <w:rPr>
                  <w:rFonts w:hint="default" w:ascii="Cambria Math" w:hAnsi="Cambria Math" w:cs="Cambria Math"/>
                  <w:sz w:val="24"/>
                </w:rPr>
                <m:t>×</m:t>
              </m:r>
              <m:r>
                <w:rPr>
                  <w:rFonts w:hint="default" w:ascii="Cambria Math" w:hAnsi="Cambria Math"/>
                  <w:sz w:val="24"/>
                  <w:lang w:val="en-US" w:eastAsia="zh-CN"/>
                </w:rPr>
                <m:t>1</m:t>
              </m:r>
            </m:oMath>
            <w:r>
              <w:rPr>
                <w:rFonts w:hint="eastAsia" w:hAnsi="Cambria Math"/>
                <w:i/>
                <w:sz w:val="24"/>
                <w:lang w:val="en-US" w:eastAsia="zh-CN"/>
              </w:rPr>
              <w:t>00%</w:t>
            </w:r>
          </w:p>
        </w:tc>
        <w:tc>
          <w:tcPr>
            <w:tcW w:w="1983" w:type="dxa"/>
            <w:vAlign w:val="center"/>
          </w:tcPr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</w:t>
            </w:r>
          </w:p>
        </w:tc>
      </w:tr>
    </w:tbl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式中：</w:t>
      </w:r>
    </w:p>
    <w:p>
      <w:pPr>
        <w:ind w:firstLine="420" w:firstLineChars="175"/>
        <w:rPr>
          <w:rFonts w:hint="eastAsia" w:ascii="宋体" w:hAnsi="宋体"/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/>
              <w:rPr>
                <w:rFonts w:hint="default" w:ascii="Cambria Math" w:hAnsi="Cambria Math"/>
                <w:sz w:val="24"/>
                <w:lang w:val="en-US" w:eastAsia="zh-CN"/>
              </w:rPr>
              <m:t>s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m:rPr/>
              <w:rPr>
                <w:rFonts w:ascii="Cambria Math" w:hAnsi="Cambria Math"/>
                <w:sz w:val="24"/>
              </w:rPr>
              <m:t>r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</m:oMath>
      <w:r>
        <w:rPr>
          <w:rFonts w:hint="eastAsia" w:ascii="宋体" w:hAnsi="宋体"/>
          <w:color w:val="000000"/>
          <w:sz w:val="24"/>
        </w:rPr>
        <w:t>——原始气体嗅辨仪校准输出流量的重复性；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4"/>
              </w:rPr>
            </m:ctrlPr>
          </m:accPr>
          <m:e>
            <m:sSub>
              <m:sSubPr>
                <m:ctrlPr>
                  <w:rPr>
                    <w:rFonts w:hint="eastAsia" w:ascii="Cambria Math" w:hAnsi="Cambria Math"/>
                    <w:color w:val="000000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hint="eastAsia" w:ascii="Cambria Math" w:hAnsi="Cambria Math"/>
                    <w:color w:val="000000"/>
                    <w:sz w:val="24"/>
                  </w:rPr>
                  <m:t>q</m:t>
                </m:r>
                <m:ctrlPr>
                  <w:rPr>
                    <w:rFonts w:hint="eastAsia" w:ascii="Cambria Math" w:hAnsi="Cambria Math"/>
                    <w:color w:val="000000"/>
                    <w:sz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4"/>
                  </w:rPr>
                  <m:t>v</m:t>
                </m:r>
                <m:ctrlPr>
                  <w:rPr>
                    <w:rFonts w:hint="eastAsia" w:ascii="Cambria Math" w:hAnsi="Cambria Math"/>
                    <w:color w:val="000000"/>
                    <w:sz w:val="24"/>
                  </w:rPr>
                </m:ctrlPr>
              </m:sub>
            </m:sSub>
            <m:ctrlPr>
              <w:rPr>
                <w:rFonts w:ascii="Cambria Math" w:hAnsi="Cambria Math"/>
                <w:i/>
                <w:sz w:val="24"/>
              </w:rPr>
            </m:ctrlPr>
          </m:e>
        </m:acc>
      </m:oMath>
      <w:r>
        <w:rPr>
          <w:rFonts w:hint="eastAsia" w:ascii="宋体" w:hAnsi="宋体"/>
          <w:color w:val="000000"/>
          <w:sz w:val="24"/>
        </w:rPr>
        <w:t>——原始气体嗅辨仪6次校准输出流量的平均值；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q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m:rPr/>
              <w:rPr>
                <w:rFonts w:ascii="Cambria Math" w:hAnsi="Cambria Math"/>
                <w:sz w:val="24"/>
              </w:rPr>
              <m:t>vi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</m:oMath>
      <w:r>
        <w:rPr>
          <w:rFonts w:hint="eastAsia" w:ascii="宋体" w:hAnsi="宋体"/>
          <w:color w:val="000000"/>
          <w:sz w:val="24"/>
        </w:rPr>
        <w:t>——第i次测量原始气体嗅辨仪的校准输出流量值。</w:t>
      </w:r>
    </w:p>
    <w:p>
      <w:pPr>
        <w:ind w:firstLine="420" w:firstLineChars="175"/>
        <w:rPr>
          <w:rFonts w:hint="eastAsia" w:ascii="宋体" w:hAnsi="宋体"/>
          <w:color w:val="000000"/>
          <w:sz w:val="24"/>
        </w:rPr>
      </w:pPr>
    </w:p>
    <w:p>
      <w:pPr>
        <w:pStyle w:val="2"/>
        <w:numPr>
          <w:ilvl w:val="0"/>
          <w:numId w:val="5"/>
        </w:numPr>
        <w:jc w:val="left"/>
        <w:rPr>
          <w:rFonts w:ascii="黑体" w:hAnsi="黑体" w:eastAsia="黑体"/>
          <w:sz w:val="24"/>
          <w:szCs w:val="24"/>
        </w:rPr>
      </w:pPr>
      <w:bookmarkStart w:id="26" w:name="_Toc26352"/>
      <w:r>
        <w:rPr>
          <w:rFonts w:hint="eastAsia" w:ascii="黑体" w:hAnsi="黑体" w:eastAsia="黑体"/>
          <w:sz w:val="24"/>
          <w:szCs w:val="24"/>
        </w:rPr>
        <w:t>校准结果</w:t>
      </w:r>
      <w:bookmarkEnd w:id="26"/>
    </w:p>
    <w:p>
      <w:pPr>
        <w:widowControl/>
        <w:ind w:firstLine="48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hint="eastAsia" w:ascii="宋体" w:hAnsi="宋体" w:cs="宋体"/>
          <w:kern w:val="0"/>
          <w:sz w:val="24"/>
          <w:lang w:bidi="ar"/>
        </w:rPr>
        <w:t>校准结果应在校准证书上反映。校准证书应至少包括以下信息：</w:t>
      </w:r>
    </w:p>
    <w:p>
      <w:pPr>
        <w:widowControl/>
        <w:numPr>
          <w:ilvl w:val="0"/>
          <w:numId w:val="7"/>
        </w:numPr>
        <w:ind w:firstLine="48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hint="eastAsia" w:ascii="宋体" w:hAnsi="宋体" w:cs="宋体"/>
          <w:kern w:val="0"/>
          <w:sz w:val="24"/>
          <w:lang w:bidi="ar"/>
        </w:rPr>
        <w:t>标题：“校准证书”；</w:t>
      </w:r>
    </w:p>
    <w:p>
      <w:pPr>
        <w:widowControl/>
        <w:numPr>
          <w:ilvl w:val="0"/>
          <w:numId w:val="7"/>
        </w:numPr>
        <w:ind w:firstLine="48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hint="eastAsia" w:ascii="宋体" w:hAnsi="宋体" w:cs="宋体"/>
          <w:kern w:val="0"/>
          <w:sz w:val="24"/>
          <w:lang w:bidi="ar"/>
        </w:rPr>
        <w:t>实验室名称和地址；</w:t>
      </w:r>
    </w:p>
    <w:p>
      <w:pPr>
        <w:widowControl/>
        <w:numPr>
          <w:ilvl w:val="0"/>
          <w:numId w:val="7"/>
        </w:numPr>
        <w:ind w:firstLine="48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hint="eastAsia" w:ascii="宋体" w:hAnsi="宋体" w:cs="宋体"/>
          <w:kern w:val="0"/>
          <w:sz w:val="24"/>
          <w:lang w:bidi="ar"/>
        </w:rPr>
        <w:t>进行校准的地点（如果与实验室的地址不同）；</w:t>
      </w:r>
    </w:p>
    <w:p>
      <w:pPr>
        <w:widowControl/>
        <w:numPr>
          <w:ilvl w:val="0"/>
          <w:numId w:val="7"/>
        </w:numPr>
        <w:ind w:firstLine="48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hint="eastAsia" w:ascii="宋体" w:hAnsi="宋体" w:cs="宋体"/>
          <w:kern w:val="0"/>
          <w:sz w:val="24"/>
          <w:lang w:bidi="ar"/>
        </w:rPr>
        <w:t>证书的唯一性标识（如编号），每页及总页数的标识；</w:t>
      </w:r>
    </w:p>
    <w:p>
      <w:pPr>
        <w:widowControl/>
        <w:numPr>
          <w:ilvl w:val="0"/>
          <w:numId w:val="7"/>
        </w:numPr>
        <w:ind w:firstLine="48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hint="eastAsia" w:ascii="宋体" w:hAnsi="宋体" w:cs="宋体"/>
          <w:kern w:val="0"/>
          <w:sz w:val="24"/>
          <w:lang w:bidi="ar"/>
        </w:rPr>
        <w:t>送校单位的名称和地址；</w:t>
      </w:r>
    </w:p>
    <w:p>
      <w:pPr>
        <w:widowControl/>
        <w:numPr>
          <w:ilvl w:val="0"/>
          <w:numId w:val="7"/>
        </w:numPr>
        <w:ind w:firstLine="48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hint="eastAsia" w:ascii="宋体" w:hAnsi="宋体" w:cs="宋体"/>
          <w:kern w:val="0"/>
          <w:sz w:val="24"/>
          <w:lang w:bidi="ar"/>
        </w:rPr>
        <w:t>被校对象的描述和明确标识；</w:t>
      </w:r>
    </w:p>
    <w:p>
      <w:pPr>
        <w:widowControl/>
        <w:numPr>
          <w:ilvl w:val="0"/>
          <w:numId w:val="7"/>
        </w:numPr>
        <w:ind w:firstLine="48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hint="eastAsia" w:ascii="宋体" w:hAnsi="宋体" w:cs="宋体"/>
          <w:kern w:val="0"/>
          <w:sz w:val="24"/>
          <w:lang w:bidi="ar"/>
        </w:rPr>
        <w:t>进行校准的日期，如果与校准结果的有效性和应用有关时，应说明被校对象的接收日期；</w:t>
      </w:r>
    </w:p>
    <w:p>
      <w:pPr>
        <w:widowControl/>
        <w:numPr>
          <w:ilvl w:val="0"/>
          <w:numId w:val="7"/>
        </w:numPr>
        <w:ind w:firstLine="48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hint="eastAsia" w:ascii="宋体" w:hAnsi="宋体" w:cs="宋体"/>
          <w:kern w:val="0"/>
          <w:sz w:val="24"/>
          <w:lang w:bidi="ar"/>
        </w:rPr>
        <w:t>校准所依据的技术规范的标识，包括名称和代号；</w:t>
      </w:r>
    </w:p>
    <w:p>
      <w:pPr>
        <w:widowControl/>
        <w:numPr>
          <w:ilvl w:val="0"/>
          <w:numId w:val="7"/>
        </w:numPr>
        <w:ind w:firstLine="48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hint="eastAsia" w:ascii="宋体" w:hAnsi="宋体" w:cs="宋体"/>
          <w:kern w:val="0"/>
          <w:sz w:val="24"/>
          <w:lang w:bidi="ar"/>
        </w:rPr>
        <w:t>本次校准所用测量标准的溯源性及有效性说明；</w:t>
      </w:r>
    </w:p>
    <w:p>
      <w:pPr>
        <w:widowControl/>
        <w:numPr>
          <w:ilvl w:val="0"/>
          <w:numId w:val="7"/>
        </w:numPr>
        <w:ind w:firstLine="48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hint="eastAsia" w:ascii="宋体" w:hAnsi="宋体" w:cs="宋体"/>
          <w:kern w:val="0"/>
          <w:sz w:val="24"/>
          <w:lang w:bidi="ar"/>
        </w:rPr>
        <w:t>校准环境的描述；</w:t>
      </w:r>
    </w:p>
    <w:p>
      <w:pPr>
        <w:widowControl/>
        <w:numPr>
          <w:ilvl w:val="0"/>
          <w:numId w:val="7"/>
        </w:numPr>
        <w:ind w:firstLine="48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hint="eastAsia" w:ascii="宋体" w:hAnsi="宋体" w:cs="宋体"/>
          <w:kern w:val="0"/>
          <w:sz w:val="24"/>
          <w:lang w:bidi="ar"/>
        </w:rPr>
        <w:t>校准结果及测量不确定度的说明；</w:t>
      </w:r>
    </w:p>
    <w:p>
      <w:pPr>
        <w:widowControl/>
        <w:numPr>
          <w:ilvl w:val="0"/>
          <w:numId w:val="7"/>
        </w:numPr>
        <w:ind w:firstLine="48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hint="eastAsia" w:ascii="宋体" w:hAnsi="宋体" w:cs="宋体"/>
          <w:kern w:val="0"/>
          <w:sz w:val="24"/>
          <w:lang w:bidi="ar"/>
        </w:rPr>
        <w:t>对校准规范的偏离的说明；</w:t>
      </w:r>
    </w:p>
    <w:p>
      <w:pPr>
        <w:widowControl/>
        <w:numPr>
          <w:ilvl w:val="0"/>
          <w:numId w:val="7"/>
        </w:numPr>
        <w:ind w:firstLine="48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hint="eastAsia" w:ascii="宋体" w:hAnsi="宋体" w:cs="宋体"/>
          <w:kern w:val="0"/>
          <w:sz w:val="24"/>
          <w:lang w:bidi="ar"/>
        </w:rPr>
        <w:t>校准证书或校准报告签发人的签名、职务或等效标识；</w:t>
      </w:r>
    </w:p>
    <w:p>
      <w:pPr>
        <w:widowControl/>
        <w:numPr>
          <w:ilvl w:val="0"/>
          <w:numId w:val="7"/>
        </w:numPr>
        <w:ind w:firstLine="48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hint="eastAsia" w:ascii="宋体" w:hAnsi="宋体" w:cs="宋体"/>
          <w:kern w:val="0"/>
          <w:sz w:val="24"/>
          <w:lang w:bidi="ar"/>
        </w:rPr>
        <w:t>校准结果仅对被校对象有效的声明；</w:t>
      </w:r>
    </w:p>
    <w:p>
      <w:pPr>
        <w:widowControl/>
        <w:numPr>
          <w:ilvl w:val="0"/>
          <w:numId w:val="7"/>
        </w:numPr>
        <w:ind w:firstLine="48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hint="eastAsia" w:ascii="宋体" w:hAnsi="宋体" w:cs="宋体"/>
          <w:kern w:val="0"/>
          <w:sz w:val="24"/>
          <w:lang w:bidi="ar"/>
        </w:rPr>
        <w:t>未经实验室书面批准，不得部分复制证书的声明。</w:t>
      </w:r>
    </w:p>
    <w:p>
      <w:pPr>
        <w:pStyle w:val="2"/>
        <w:numPr>
          <w:ilvl w:val="0"/>
          <w:numId w:val="5"/>
        </w:numPr>
        <w:jc w:val="left"/>
        <w:rPr>
          <w:rFonts w:ascii="黑体" w:hAnsi="黑体" w:eastAsia="黑体"/>
          <w:sz w:val="24"/>
          <w:szCs w:val="24"/>
        </w:rPr>
      </w:pPr>
      <w:bookmarkStart w:id="27" w:name="_Toc25616"/>
      <w:r>
        <w:rPr>
          <w:rFonts w:hint="eastAsia" w:ascii="黑体" w:hAnsi="黑体" w:eastAsia="黑体"/>
          <w:sz w:val="24"/>
          <w:szCs w:val="24"/>
        </w:rPr>
        <w:t>复校时间间隔</w:t>
      </w:r>
      <w:bookmarkEnd w:id="27"/>
    </w:p>
    <w:p>
      <w:pPr>
        <w:widowControl/>
        <w:ind w:firstLine="420" w:firstLineChars="175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hint="eastAsia" w:ascii="宋体" w:hAnsi="宋体" w:cs="宋体"/>
          <w:kern w:val="0"/>
          <w:sz w:val="24"/>
          <w:lang w:bidi="ar"/>
        </w:rPr>
        <w:t>建议复校时间间隔不超过1年。</w:t>
      </w:r>
    </w:p>
    <w:p>
      <w:pPr>
        <w:widowControl/>
        <w:ind w:firstLine="420" w:firstLineChars="175"/>
        <w:jc w:val="left"/>
        <w:rPr>
          <w:rFonts w:ascii="宋体" w:hAnsi="宋体" w:cs="宋体"/>
          <w:kern w:val="0"/>
          <w:sz w:val="24"/>
          <w:lang w:bidi="ar"/>
        </w:rPr>
        <w:sectPr>
          <w:footerReference r:id="rId6" w:type="default"/>
          <w:footerReference r:id="rId7" w:type="even"/>
          <w:pgSz w:w="11850" w:h="16783"/>
          <w:pgMar w:top="1440" w:right="1797" w:bottom="1440" w:left="1797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kern w:val="0"/>
          <w:sz w:val="24"/>
          <w:lang w:bidi="ar"/>
        </w:rPr>
        <w:t>由于复校时间间隔的长短是由设备的使用情况、使用者、设备本身质量等诸因素所决定的，因此，送校单位可根据实际使用情况自主决定复校时间间隔。</w:t>
      </w:r>
    </w:p>
    <w:p>
      <w:pPr>
        <w:pStyle w:val="2"/>
        <w:jc w:val="left"/>
        <w:rPr>
          <w:rFonts w:ascii="黑体" w:hAnsi="黑体" w:eastAsia="黑体"/>
          <w:lang w:bidi="ar"/>
        </w:rPr>
      </w:pPr>
      <w:bookmarkStart w:id="28" w:name="_Toc14872"/>
      <w:r>
        <w:rPr>
          <w:rFonts w:hint="eastAsia" w:ascii="黑体" w:hAnsi="黑体" w:eastAsia="黑体"/>
          <w:lang w:bidi="ar"/>
        </w:rPr>
        <w:t>附录</w:t>
      </w:r>
      <w:r>
        <w:rPr>
          <w:rFonts w:ascii="黑体" w:hAnsi="黑体" w:eastAsia="黑体"/>
          <w:lang w:bidi="ar"/>
        </w:rPr>
        <w:t>A</w:t>
      </w:r>
      <w:bookmarkEnd w:id="28"/>
    </w:p>
    <w:p>
      <w:pPr>
        <w:pStyle w:val="43"/>
        <w:ind w:firstLine="560"/>
        <w:jc w:val="center"/>
        <w:rPr>
          <w:rFonts w:ascii="黑体" w:hAnsi="黑体" w:eastAsia="黑体"/>
          <w:sz w:val="28"/>
          <w:szCs w:val="28"/>
          <w:lang w:bidi="ar"/>
        </w:rPr>
      </w:pPr>
      <w:r>
        <w:rPr>
          <w:rFonts w:hint="eastAsia" w:ascii="黑体" w:hAnsi="黑体" w:eastAsia="黑体"/>
          <w:sz w:val="28"/>
          <w:szCs w:val="28"/>
          <w:lang w:bidi="ar"/>
        </w:rPr>
        <w:t>建材产品气味评价用原始气体嗅辨仪校准记录参考格式</w:t>
      </w:r>
    </w:p>
    <w:p>
      <w:pPr>
        <w:widowControl/>
        <w:jc w:val="center"/>
        <w:rPr>
          <w:rFonts w:ascii="宋体" w:hAnsi="宋体" w:cs="宋体"/>
          <w:kern w:val="0"/>
          <w:szCs w:val="21"/>
          <w:lang w:bidi="ar"/>
        </w:rPr>
      </w:pPr>
    </w:p>
    <w:p>
      <w:pPr>
        <w:jc w:val="left"/>
        <w:rPr>
          <w:rFonts w:ascii="宋体" w:hAnsi="宋体"/>
          <w:kern w:val="0"/>
          <w:sz w:val="24"/>
          <w:lang w:bidi="ar"/>
        </w:rPr>
      </w:pPr>
      <w:r>
        <w:rPr>
          <w:rFonts w:hint="eastAsia" w:ascii="宋体" w:hAnsi="宋体"/>
          <w:kern w:val="0"/>
          <w:sz w:val="24"/>
          <w:lang w:bidi="ar"/>
        </w:rPr>
        <w:t>A</w:t>
      </w:r>
      <w:r>
        <w:rPr>
          <w:rFonts w:ascii="宋体" w:hAnsi="宋体"/>
          <w:kern w:val="0"/>
          <w:sz w:val="24"/>
          <w:lang w:bidi="ar"/>
        </w:rPr>
        <w:t>.1</w:t>
      </w:r>
      <w:r>
        <w:rPr>
          <w:rFonts w:hint="eastAsia" w:ascii="宋体" w:hAnsi="宋体"/>
          <w:kern w:val="0"/>
          <w:sz w:val="24"/>
          <w:lang w:bidi="ar"/>
        </w:rPr>
        <w:t>基本情况</w:t>
      </w:r>
    </w:p>
    <w:tbl>
      <w:tblPr>
        <w:tblStyle w:val="26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914"/>
        <w:gridCol w:w="1240"/>
        <w:gridCol w:w="927"/>
        <w:gridCol w:w="663"/>
        <w:gridCol w:w="385"/>
        <w:gridCol w:w="518"/>
        <w:gridCol w:w="186"/>
        <w:gridCol w:w="345"/>
        <w:gridCol w:w="678"/>
        <w:gridCol w:w="151"/>
        <w:gridCol w:w="6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校准申请单位</w:t>
            </w:r>
          </w:p>
        </w:tc>
        <w:tc>
          <w:tcPr>
            <w:tcW w:w="21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申请单位地址</w:t>
            </w:r>
          </w:p>
        </w:tc>
        <w:tc>
          <w:tcPr>
            <w:tcW w:w="18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制造单位</w:t>
            </w:r>
          </w:p>
        </w:tc>
        <w:tc>
          <w:tcPr>
            <w:tcW w:w="21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器具编号</w:t>
            </w:r>
          </w:p>
        </w:tc>
        <w:tc>
          <w:tcPr>
            <w:tcW w:w="18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校准日期</w:t>
            </w:r>
          </w:p>
        </w:tc>
        <w:tc>
          <w:tcPr>
            <w:tcW w:w="21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证书编号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校准员</w:t>
            </w:r>
          </w:p>
        </w:tc>
        <w:tc>
          <w:tcPr>
            <w:tcW w:w="17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核验员</w:t>
            </w:r>
          </w:p>
        </w:tc>
        <w:tc>
          <w:tcPr>
            <w:tcW w:w="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实验室名称</w:t>
            </w:r>
          </w:p>
        </w:tc>
        <w:tc>
          <w:tcPr>
            <w:tcW w:w="574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实验室地点</w:t>
            </w:r>
          </w:p>
        </w:tc>
        <w:tc>
          <w:tcPr>
            <w:tcW w:w="574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41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环境条件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温度</w:t>
            </w:r>
            <w:r>
              <w:rPr>
                <w:rFonts w:ascii="宋体" w:hAnsi="宋体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ja-JP"/>
              </w:rPr>
              <w:t>℃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  <w:r>
              <w:rPr>
                <w:rFonts w:ascii="宋体" w:hAnsi="宋体"/>
                <w:sz w:val="18"/>
                <w:szCs w:val="18"/>
              </w:rPr>
              <w:t>/%</w:t>
            </w:r>
          </w:p>
        </w:tc>
        <w:tc>
          <w:tcPr>
            <w:tcW w:w="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噪声/dB(A)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841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校准所用主要标准器具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2" w:hRule="atLeast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计量参数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检测依据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校准器具/标准品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测量范围</w:t>
            </w:r>
          </w:p>
        </w:tc>
        <w:tc>
          <w:tcPr>
            <w:tcW w:w="1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编号</w:t>
            </w:r>
          </w:p>
        </w:tc>
        <w:tc>
          <w:tcPr>
            <w:tcW w:w="10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准确度等级</w:t>
            </w:r>
            <w:r>
              <w:rPr>
                <w:rFonts w:ascii="宋体" w:hAnsi="宋体"/>
                <w:sz w:val="18"/>
                <w:szCs w:val="18"/>
              </w:rPr>
              <w:t>/</w:t>
            </w:r>
          </w:p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测量不确定度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证书号</w:t>
            </w:r>
          </w:p>
        </w:tc>
        <w:tc>
          <w:tcPr>
            <w:tcW w:w="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有效期至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1761" w:type="dxa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嗅辨杯开口角度（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双</w:t>
            </w:r>
            <w:r>
              <w:rPr>
                <w:rFonts w:hint="eastAsia" w:ascii="宋体" w:hAnsi="宋体"/>
                <w:sz w:val="18"/>
                <w:szCs w:val="18"/>
              </w:rPr>
              <w:t>侧）</w:t>
            </w:r>
          </w:p>
        </w:tc>
        <w:tc>
          <w:tcPr>
            <w:tcW w:w="914" w:type="dxa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gridSpan w:val="2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9" w:type="dxa"/>
            <w:gridSpan w:val="3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02" w:type="dxa"/>
            <w:gridSpan w:val="2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61" w:type="dxa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运行噪声</w:t>
            </w:r>
          </w:p>
        </w:tc>
        <w:tc>
          <w:tcPr>
            <w:tcW w:w="914" w:type="dxa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gridSpan w:val="2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9" w:type="dxa"/>
            <w:gridSpan w:val="3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02" w:type="dxa"/>
            <w:gridSpan w:val="2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61" w:type="dxa"/>
            <w:vMerge w:val="restart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输出流量</w:t>
            </w:r>
          </w:p>
        </w:tc>
        <w:tc>
          <w:tcPr>
            <w:tcW w:w="914" w:type="dxa"/>
            <w:vMerge w:val="restart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gridSpan w:val="2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9" w:type="dxa"/>
            <w:gridSpan w:val="3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02" w:type="dxa"/>
            <w:gridSpan w:val="2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61" w:type="dxa"/>
            <w:vMerge w:val="continue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gridSpan w:val="2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9" w:type="dxa"/>
            <w:gridSpan w:val="3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02" w:type="dxa"/>
            <w:gridSpan w:val="2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61" w:type="dxa"/>
            <w:vMerge w:val="continue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gridSpan w:val="2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9" w:type="dxa"/>
            <w:gridSpan w:val="3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02" w:type="dxa"/>
            <w:gridSpan w:val="2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61" w:type="dxa"/>
            <w:vMerge w:val="continue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gridSpan w:val="2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9" w:type="dxa"/>
            <w:gridSpan w:val="3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02" w:type="dxa"/>
            <w:gridSpan w:val="2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61" w:type="dxa"/>
            <w:vMerge w:val="continue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gridSpan w:val="2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9" w:type="dxa"/>
            <w:gridSpan w:val="3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02" w:type="dxa"/>
            <w:gridSpan w:val="2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61" w:type="dxa"/>
            <w:vMerge w:val="continue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gridSpan w:val="2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9" w:type="dxa"/>
            <w:gridSpan w:val="3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02" w:type="dxa"/>
            <w:gridSpan w:val="2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61" w:type="dxa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气味</w:t>
            </w:r>
          </w:p>
        </w:tc>
        <w:tc>
          <w:tcPr>
            <w:tcW w:w="914" w:type="dxa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gridSpan w:val="2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9" w:type="dxa"/>
            <w:gridSpan w:val="3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02" w:type="dxa"/>
            <w:gridSpan w:val="2"/>
            <w:vAlign w:val="center"/>
          </w:tcPr>
          <w:p>
            <w:pPr>
              <w:tabs>
                <w:tab w:val="right" w:pos="8306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jc w:val="left"/>
        <w:rPr>
          <w:rFonts w:hint="eastAsia" w:ascii="宋体" w:hAnsi="宋体"/>
          <w:kern w:val="0"/>
          <w:sz w:val="24"/>
          <w:lang w:bidi="ar"/>
        </w:rPr>
      </w:pPr>
    </w:p>
    <w:p>
      <w:pPr>
        <w:jc w:val="left"/>
        <w:rPr>
          <w:rFonts w:hint="eastAsia" w:ascii="宋体" w:hAnsi="宋体"/>
          <w:kern w:val="0"/>
          <w:sz w:val="24"/>
          <w:lang w:bidi="ar"/>
        </w:rPr>
      </w:pPr>
    </w:p>
    <w:p>
      <w:pPr>
        <w:jc w:val="left"/>
        <w:rPr>
          <w:rFonts w:hint="eastAsia" w:ascii="宋体" w:hAnsi="宋体"/>
          <w:kern w:val="0"/>
          <w:sz w:val="24"/>
          <w:lang w:bidi="ar"/>
        </w:rPr>
      </w:pPr>
    </w:p>
    <w:p>
      <w:pPr>
        <w:jc w:val="left"/>
        <w:rPr>
          <w:rFonts w:hint="eastAsia" w:ascii="宋体" w:hAnsi="宋体"/>
          <w:kern w:val="0"/>
          <w:sz w:val="24"/>
          <w:lang w:bidi="ar"/>
        </w:rPr>
      </w:pPr>
    </w:p>
    <w:p>
      <w:pPr>
        <w:rPr>
          <w:rFonts w:hint="eastAsia" w:ascii="宋体" w:hAnsi="宋体"/>
          <w:kern w:val="0"/>
          <w:sz w:val="24"/>
          <w:lang w:bidi="ar"/>
        </w:rPr>
      </w:pPr>
      <w:r>
        <w:rPr>
          <w:rFonts w:hint="eastAsia" w:ascii="宋体" w:hAnsi="宋体"/>
          <w:kern w:val="0"/>
          <w:sz w:val="24"/>
          <w:lang w:bidi="ar"/>
        </w:rPr>
        <w:br w:type="page"/>
      </w:r>
    </w:p>
    <w:p>
      <w:pPr>
        <w:jc w:val="left"/>
        <w:rPr>
          <w:rFonts w:ascii="宋体" w:hAnsi="宋体"/>
          <w:kern w:val="0"/>
          <w:sz w:val="24"/>
          <w:lang w:bidi="ar"/>
        </w:rPr>
      </w:pPr>
      <w:r>
        <w:rPr>
          <w:rFonts w:hint="eastAsia" w:ascii="宋体" w:hAnsi="宋体"/>
          <w:kern w:val="0"/>
          <w:sz w:val="24"/>
          <w:lang w:bidi="ar"/>
        </w:rPr>
        <w:t>A</w:t>
      </w:r>
      <w:r>
        <w:rPr>
          <w:rFonts w:ascii="宋体" w:hAnsi="宋体"/>
          <w:kern w:val="0"/>
          <w:sz w:val="24"/>
          <w:lang w:bidi="ar"/>
        </w:rPr>
        <w:t>.</w:t>
      </w:r>
      <w:r>
        <w:rPr>
          <w:rFonts w:hint="eastAsia" w:ascii="宋体" w:hAnsi="宋体"/>
          <w:kern w:val="0"/>
          <w:sz w:val="24"/>
          <w:lang w:bidi="ar"/>
        </w:rPr>
        <w:t>2校准结果</w:t>
      </w:r>
    </w:p>
    <w:tbl>
      <w:tblPr>
        <w:tblStyle w:val="27"/>
        <w:tblW w:w="8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"/>
        <w:gridCol w:w="630"/>
        <w:gridCol w:w="630"/>
        <w:gridCol w:w="615"/>
        <w:gridCol w:w="630"/>
        <w:gridCol w:w="613"/>
        <w:gridCol w:w="1045"/>
        <w:gridCol w:w="1261"/>
        <w:gridCol w:w="644"/>
        <w:gridCol w:w="1261"/>
        <w:gridCol w:w="6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8620" w:type="dxa"/>
            <w:gridSpan w:val="11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校准结果记录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4163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bidi="ar"/>
              </w:rPr>
              <w:t>嗅辨杯开口角度（单侧）/°</w:t>
            </w:r>
          </w:p>
        </w:tc>
        <w:tc>
          <w:tcPr>
            <w:tcW w:w="3814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4163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bidi="ar"/>
              </w:rPr>
              <w:t>噪声/dB</w:t>
            </w:r>
          </w:p>
        </w:tc>
        <w:tc>
          <w:tcPr>
            <w:tcW w:w="3814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4163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bidi="ar"/>
              </w:rPr>
              <w:t>气味/级</w:t>
            </w:r>
          </w:p>
        </w:tc>
        <w:tc>
          <w:tcPr>
            <w:tcW w:w="3814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8620" w:type="dxa"/>
            <w:gridSpan w:val="11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输出流量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64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校准次数</w:t>
            </w:r>
          </w:p>
        </w:tc>
        <w:tc>
          <w:tcPr>
            <w:tcW w:w="1875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被校仪器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标准装置</w:t>
            </w:r>
          </w:p>
        </w:tc>
        <w:tc>
          <w:tcPr>
            <w:tcW w:w="126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校准流量/（L/min）</w:t>
            </w:r>
          </w:p>
        </w:tc>
        <w:tc>
          <w:tcPr>
            <w:tcW w:w="64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重复性/%</w:t>
            </w:r>
          </w:p>
        </w:tc>
        <w:tc>
          <w:tcPr>
            <w:tcW w:w="126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平均校准流量/（L/min）</w:t>
            </w:r>
          </w:p>
        </w:tc>
        <w:tc>
          <w:tcPr>
            <w:tcW w:w="64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相对扩展不确定度/%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1" w:hRule="atLeast"/>
        </w:trPr>
        <w:tc>
          <w:tcPr>
            <w:tcW w:w="64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表前压力/kpa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表后压力/kpa</w:t>
            </w: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表后温度/℃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装置绝对压力</w:t>
            </w:r>
          </w:p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/kPa</w:t>
            </w:r>
          </w:p>
        </w:tc>
        <w:tc>
          <w:tcPr>
            <w:tcW w:w="61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装置温度/℃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实测流量/（L/min）</w:t>
            </w:r>
          </w:p>
        </w:tc>
        <w:tc>
          <w:tcPr>
            <w:tcW w:w="126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</w:tbl>
    <w:p>
      <w:pPr>
        <w:rPr>
          <w:kern w:val="0"/>
          <w:szCs w:val="21"/>
          <w:highlight w:val="yellow"/>
          <w:lang w:bidi="ar"/>
        </w:rPr>
      </w:pPr>
      <w:r>
        <w:rPr>
          <w:kern w:val="0"/>
          <w:szCs w:val="21"/>
          <w:highlight w:val="yellow"/>
          <w:lang w:bidi="ar"/>
        </w:rPr>
        <w:br w:type="page"/>
      </w:r>
    </w:p>
    <w:p>
      <w:pPr>
        <w:pStyle w:val="2"/>
        <w:jc w:val="left"/>
        <w:rPr>
          <w:rFonts w:ascii="黑体" w:hAnsi="黑体" w:eastAsia="黑体"/>
          <w:color w:val="000000"/>
          <w:sz w:val="30"/>
          <w:szCs w:val="30"/>
          <w:lang w:bidi="ar"/>
        </w:rPr>
      </w:pPr>
      <w:bookmarkStart w:id="29" w:name="_Toc29161"/>
      <w:r>
        <w:rPr>
          <w:rFonts w:hint="eastAsia" w:ascii="黑体" w:hAnsi="黑体" w:eastAsia="黑体"/>
          <w:lang w:bidi="ar"/>
        </w:rPr>
        <w:t>附录</w:t>
      </w:r>
      <w:bookmarkEnd w:id="29"/>
      <w:r>
        <w:rPr>
          <w:rFonts w:hint="eastAsia" w:ascii="黑体" w:hAnsi="黑体" w:eastAsia="黑体"/>
          <w:lang w:bidi="ar"/>
        </w:rPr>
        <w:t>B</w:t>
      </w:r>
    </w:p>
    <w:p>
      <w:pPr>
        <w:pStyle w:val="43"/>
        <w:ind w:firstLine="560"/>
        <w:jc w:val="center"/>
        <w:rPr>
          <w:rFonts w:ascii="黑体" w:hAnsi="黑体" w:eastAsia="黑体"/>
          <w:sz w:val="28"/>
          <w:szCs w:val="28"/>
          <w:lang w:bidi="ar"/>
        </w:rPr>
      </w:pPr>
      <w:r>
        <w:rPr>
          <w:rFonts w:hint="eastAsia" w:ascii="黑体" w:hAnsi="黑体" w:eastAsia="黑体"/>
          <w:sz w:val="28"/>
          <w:szCs w:val="28"/>
          <w:lang w:bidi="ar"/>
        </w:rPr>
        <w:t>原始气体嗅辨仪输出流量不确定度评定示例</w:t>
      </w:r>
    </w:p>
    <w:p>
      <w:pPr>
        <w:tabs>
          <w:tab w:val="right" w:pos="8306"/>
        </w:tabs>
        <w:rPr>
          <w:rFonts w:ascii="宋体" w:hAnsi="宋体" w:cs="等线"/>
          <w:sz w:val="24"/>
        </w:rPr>
      </w:pPr>
      <w:r>
        <w:rPr>
          <w:rFonts w:hint="eastAsia" w:ascii="宋体" w:hAnsi="宋体" w:cs="等线"/>
          <w:sz w:val="24"/>
        </w:rPr>
        <w:t>B</w:t>
      </w:r>
      <w:r>
        <w:rPr>
          <w:rFonts w:ascii="宋体" w:hAnsi="宋体" w:cs="等线"/>
          <w:sz w:val="24"/>
        </w:rPr>
        <w:t>.1</w:t>
      </w:r>
      <w:r>
        <w:rPr>
          <w:rFonts w:hint="eastAsia" w:ascii="宋体" w:hAnsi="宋体" w:cs="等线"/>
          <w:sz w:val="24"/>
        </w:rPr>
        <w:t>测量模型</w:t>
      </w:r>
    </w:p>
    <w:p>
      <w:pPr>
        <w:rPr>
          <w:rFonts w:ascii="宋体" w:hAnsi="宋体"/>
          <w:color w:val="000000"/>
          <w:sz w:val="24"/>
        </w:rPr>
      </w:pPr>
      <w:r>
        <w:rPr>
          <w:rFonts w:hint="eastAsia" w:ascii="宋体" w:hAnsi="宋体" w:cs="等线"/>
          <w:sz w:val="24"/>
        </w:rPr>
        <w:t>B</w:t>
      </w:r>
      <w:r>
        <w:rPr>
          <w:rFonts w:hint="eastAsia" w:ascii="宋体" w:hAnsi="宋体"/>
          <w:color w:val="000000"/>
          <w:sz w:val="24"/>
        </w:rPr>
        <w:t>.1.1 20℃下定流量发生器的校准流量计算公式为：</w:t>
      </w:r>
    </w:p>
    <w:tbl>
      <w:tblPr>
        <w:tblStyle w:val="27"/>
        <w:tblpPr w:leftFromText="180" w:rightFromText="180" w:vertAnchor="text" w:horzAnchor="page" w:tblpX="1846" w:tblpY="209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7"/>
        <w:gridCol w:w="4673"/>
        <w:gridCol w:w="20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6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hint="eastAsia" w:ascii="Cambria Math" w:hAnsi="Cambria Math"/>
                        <w:color w:val="000000"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color w:val="000000"/>
                        <w:sz w:val="24"/>
                      </w:rPr>
                      <m:t>q</m:t>
                    </m:r>
                    <m:ctrlPr>
                      <w:rPr>
                        <w:rFonts w:hint="eastAsia" w:ascii="Cambria Math" w:hAnsi="Cambria Math"/>
                        <w:color w:val="000000"/>
                        <w:sz w:val="24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4"/>
                      </w:rPr>
                      <m:t>v</m:t>
                    </m:r>
                    <m:ctrlPr>
                      <w:rPr>
                        <w:rFonts w:hint="eastAsia" w:ascii="Cambria Math" w:hAnsi="Cambria Math"/>
                        <w:color w:val="000000"/>
                        <w:sz w:val="24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color w:val="000000"/>
                        <w:sz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/>
                            <w:color w:val="000000"/>
                            <w:sz w:val="24"/>
                          </w:rPr>
                          <m:t>s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</m:ctrlP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/>
                            <w:color w:val="000000"/>
                            <w:sz w:val="24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color w:val="000000"/>
                        <w:sz w:val="24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</m:ctrlP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  <m:t>s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color w:val="000000"/>
                        <w:sz w:val="24"/>
                      </w:rPr>
                    </m:ctrlPr>
                  </m:den>
                </m:f>
                <m:sSub>
                  <m:sSubPr>
                    <m:ctrlPr>
                      <w:rPr>
                        <w:rFonts w:ascii="Cambria Math" w:hAnsi="Cambria Math"/>
                        <w:color w:val="000000"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color w:val="000000"/>
                        <w:sz w:val="24"/>
                      </w:rPr>
                      <m:t>q</m:t>
                    </m:r>
                    <m:ctrlPr>
                      <w:rPr>
                        <w:rFonts w:ascii="Cambria Math" w:hAnsi="Cambria Math"/>
                        <w:color w:val="000000"/>
                        <w:sz w:val="24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color w:val="000000"/>
                        <w:sz w:val="24"/>
                      </w:rPr>
                      <m:t>s</m:t>
                    </m:r>
                    <m:ctrlPr>
                      <w:rPr>
                        <w:rFonts w:ascii="Cambria Math" w:hAnsi="Cambria Math"/>
                        <w:color w:val="000000"/>
                        <w:sz w:val="24"/>
                      </w:rPr>
                    </m:ctrlPr>
                  </m:sub>
                </m:sSub>
              </m:oMath>
            </m:oMathPara>
          </w:p>
        </w:tc>
        <w:tc>
          <w:tcPr>
            <w:tcW w:w="2022" w:type="dxa"/>
            <w:vAlign w:val="center"/>
          </w:tcPr>
          <w:p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（1）</w:t>
            </w:r>
          </w:p>
        </w:tc>
      </w:tr>
    </w:tbl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式中：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m:oMath>
        <m:sSub>
          <m:sSubPr>
            <m:ctrlPr>
              <w:rPr>
                <w:rFonts w:hint="eastAsia" w:ascii="Cambria Math" w:hAnsi="Cambria Math"/>
                <w:color w:val="000000"/>
                <w:sz w:val="24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/>
                <w:color w:val="000000"/>
                <w:sz w:val="24"/>
              </w:rPr>
              <m:t>q</m:t>
            </m:r>
            <m:ctrlPr>
              <w:rPr>
                <w:rFonts w:hint="eastAsia" w:ascii="Cambria Math" w:hAnsi="Cambria Math"/>
                <w:color w:val="000000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4"/>
              </w:rPr>
              <m:t>v</m:t>
            </m:r>
            <m:ctrlPr>
              <w:rPr>
                <w:rFonts w:hint="eastAsia" w:ascii="Cambria Math" w:hAnsi="Cambria Math"/>
                <w:color w:val="000000"/>
                <w:sz w:val="24"/>
              </w:rPr>
            </m:ctrlPr>
          </m:sub>
        </m:sSub>
      </m:oMath>
      <w:r>
        <w:rPr>
          <w:rFonts w:hint="eastAsia" w:ascii="宋体" w:hAnsi="宋体"/>
          <w:color w:val="000000"/>
          <w:sz w:val="24"/>
        </w:rPr>
        <w:t>——原始气体嗅辨仪输出流量，L/min；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4"/>
              </w:rPr>
              <m:t>P</m:t>
            </m:r>
            <m:ctrlPr>
              <w:rPr>
                <w:rFonts w:ascii="Cambria Math" w:hAnsi="Cambria Math"/>
                <w:color w:val="000000"/>
                <w:sz w:val="24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/>
                <w:color w:val="000000"/>
                <w:sz w:val="24"/>
              </w:rPr>
              <m:t>s</m:t>
            </m:r>
            <m:ctrlPr>
              <w:rPr>
                <w:rFonts w:ascii="Cambria Math" w:hAnsi="Cambria Math"/>
                <w:color w:val="000000"/>
                <w:sz w:val="24"/>
              </w:rPr>
            </m:ctrlPr>
          </m:sub>
        </m:sSub>
      </m:oMath>
      <w:r>
        <w:rPr>
          <w:rFonts w:hint="eastAsia" w:ascii="宋体" w:hAnsi="宋体"/>
          <w:color w:val="000000"/>
          <w:sz w:val="24"/>
        </w:rPr>
        <w:t>——流量测量标准装置出口端的绝对压力，kPa；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4"/>
              </w:rPr>
              <m:t>P</m:t>
            </m:r>
            <m:ctrlPr>
              <w:rPr>
                <w:rFonts w:ascii="Cambria Math" w:hAnsi="Cambria Math"/>
                <w:color w:val="000000"/>
                <w:sz w:val="24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/>
                <w:color w:val="000000"/>
                <w:sz w:val="24"/>
              </w:rPr>
              <m:t>m</m:t>
            </m:r>
            <m:ctrlPr>
              <w:rPr>
                <w:rFonts w:ascii="Cambria Math" w:hAnsi="Cambria Math"/>
                <w:color w:val="000000"/>
                <w:sz w:val="24"/>
              </w:rPr>
            </m:ctrlPr>
          </m:sub>
        </m:sSub>
      </m:oMath>
      <w:r>
        <w:rPr>
          <w:rFonts w:hint="eastAsia" w:ascii="宋体" w:hAnsi="宋体"/>
          <w:color w:val="000000"/>
          <w:sz w:val="24"/>
        </w:rPr>
        <w:t>——原始气体嗅辨仪出口端的绝对压力，kPa；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4"/>
              </w:rPr>
              <m:t>T</m:t>
            </m:r>
            <m:ctrlPr>
              <w:rPr>
                <w:rFonts w:ascii="Cambria Math" w:hAnsi="Cambria Math"/>
                <w:color w:val="000000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4"/>
              </w:rPr>
              <m:t>s</m:t>
            </m:r>
            <m:ctrlPr>
              <w:rPr>
                <w:rFonts w:ascii="Cambria Math" w:hAnsi="Cambria Math"/>
                <w:color w:val="000000"/>
                <w:sz w:val="24"/>
              </w:rPr>
            </m:ctrlPr>
          </m:sub>
        </m:sSub>
      </m:oMath>
      <w:r>
        <w:rPr>
          <w:rFonts w:hint="eastAsia" w:ascii="宋体" w:hAnsi="宋体"/>
          <w:color w:val="000000"/>
          <w:sz w:val="24"/>
        </w:rPr>
        <w:t>——流量测量标准装置出口端的热力学温度，K；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4"/>
              </w:rPr>
              <m:t>T</m:t>
            </m:r>
            <m:ctrlPr>
              <w:rPr>
                <w:rFonts w:ascii="Cambria Math" w:hAnsi="Cambria Math"/>
                <w:color w:val="000000"/>
                <w:sz w:val="24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/>
                <w:color w:val="000000"/>
                <w:sz w:val="24"/>
              </w:rPr>
              <m:t>m</m:t>
            </m:r>
            <m:ctrlPr>
              <w:rPr>
                <w:rFonts w:ascii="Cambria Math" w:hAnsi="Cambria Math"/>
                <w:color w:val="000000"/>
                <w:sz w:val="24"/>
              </w:rPr>
            </m:ctrlPr>
          </m:sub>
        </m:sSub>
      </m:oMath>
      <w:r>
        <w:rPr>
          <w:rFonts w:hint="eastAsia" w:ascii="宋体" w:hAnsi="宋体"/>
          <w:color w:val="000000"/>
          <w:sz w:val="24"/>
        </w:rPr>
        <w:t>——原始气体嗅辨仪出口端的热力学温度，K；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m:oMath>
        <m:sSub>
          <m:sSubPr>
            <m:ctrlPr>
              <w:rPr>
                <w:rFonts w:hint="eastAsia" w:ascii="Cambria Math" w:hAnsi="Cambria Math"/>
                <w:color w:val="000000"/>
                <w:sz w:val="24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/>
                <w:color w:val="000000"/>
                <w:sz w:val="24"/>
              </w:rPr>
              <m:t>q</m:t>
            </m:r>
            <m:ctrlPr>
              <w:rPr>
                <w:rFonts w:hint="eastAsia" w:ascii="Cambria Math" w:hAnsi="Cambria Math"/>
                <w:color w:val="000000"/>
                <w:sz w:val="24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/>
                <w:color w:val="000000"/>
                <w:sz w:val="24"/>
              </w:rPr>
              <m:t>s</m:t>
            </m:r>
            <m:ctrlPr>
              <w:rPr>
                <w:rFonts w:hint="eastAsia" w:ascii="Cambria Math" w:hAnsi="Cambria Math"/>
                <w:color w:val="000000"/>
                <w:sz w:val="24"/>
              </w:rPr>
            </m:ctrlPr>
          </m:sub>
        </m:sSub>
      </m:oMath>
      <w:r>
        <w:rPr>
          <w:rFonts w:hint="eastAsia" w:ascii="宋体" w:hAnsi="宋体"/>
          <w:color w:val="000000"/>
          <w:sz w:val="24"/>
        </w:rPr>
        <w:t>——流量测量标准装置测量的流量值，L/min。</w:t>
      </w:r>
    </w:p>
    <w:p>
      <w:pPr>
        <w:rPr>
          <w:rFonts w:ascii="宋体" w:hAnsi="宋体"/>
          <w:color w:val="000000"/>
          <w:sz w:val="24"/>
        </w:rPr>
      </w:pPr>
      <w:r>
        <w:rPr>
          <w:rFonts w:hint="eastAsia" w:ascii="宋体" w:hAnsi="宋体" w:cs="等线"/>
          <w:sz w:val="24"/>
        </w:rPr>
        <w:t>B</w:t>
      </w:r>
      <w:r>
        <w:rPr>
          <w:rFonts w:hint="eastAsia" w:ascii="宋体" w:hAnsi="宋体"/>
          <w:color w:val="000000"/>
          <w:sz w:val="24"/>
        </w:rPr>
        <w:t>.1.2不确定度传播系数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由公式(1)式可得:</w:t>
      </w:r>
    </w:p>
    <w:tbl>
      <w:tblPr>
        <w:tblStyle w:val="27"/>
        <w:tblpPr w:leftFromText="180" w:rightFromText="180" w:vertAnchor="text" w:horzAnchor="page" w:tblpX="1846" w:tblpY="209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0"/>
        <w:gridCol w:w="7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1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 w:ascii="Cambria Math" w:hAnsi="Cambria Math"/>
                    <w:color w:val="000000"/>
                    <w:sz w:val="18"/>
                    <w:szCs w:val="18"/>
                  </w:rPr>
                  <m:t>u</m:t>
                </m:r>
                <m:d>
                  <m:dPr>
                    <m:ctrlPr>
                      <w:rPr>
                        <w:rFonts w:hint="eastAsia" w:ascii="Cambria Math" w:hAnsi="Cambria Math"/>
                        <w:color w:val="000000"/>
                        <w:sz w:val="18"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hint="eastAsia"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/>
                            <w:color w:val="000000"/>
                            <w:sz w:val="18"/>
                            <w:szCs w:val="18"/>
                          </w:rPr>
                          <m:t>q</m:t>
                        </m:r>
                        <m:ctrlPr>
                          <w:rPr>
                            <w:rFonts w:hint="eastAsia"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  <m:t>v</m:t>
                        </m:r>
                        <m:ctrlPr>
                          <w:rPr>
                            <w:rFonts w:hint="eastAsia"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ub>
                    </m:sSub>
                    <m:ctrlPr>
                      <w:rPr>
                        <w:rFonts w:hint="eastAsia" w:ascii="Cambria Math" w:hAnsi="Cambria Math"/>
                        <w:color w:val="000000"/>
                        <w:sz w:val="18"/>
                        <w:szCs w:val="18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18"/>
                    <w:szCs w:val="18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color w:val="000000"/>
                        <w:sz w:val="18"/>
                        <w:szCs w:val="18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  <w:color w:val="000000"/>
                        <w:sz w:val="18"/>
                        <w:szCs w:val="18"/>
                      </w:rPr>
                    </m:ctrlPr>
                  </m:deg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/>
                            <w:color w:val="000000"/>
                            <w:sz w:val="18"/>
                            <w:szCs w:val="18"/>
                          </w:rPr>
                          <m:t>c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/>
                            <w:color w:val="000000"/>
                            <w:sz w:val="18"/>
                            <w:szCs w:val="18"/>
                          </w:rPr>
                          <m:t>r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  <m:t>P</m:t>
                            </m:r>
                            <m:ctrl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/>
                                <w:color w:val="000000"/>
                                <w:sz w:val="18"/>
                                <w:szCs w:val="18"/>
                              </w:rPr>
                              <m:t>s</m:t>
                            </m:r>
                            <m:ctrl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e>
                    </m:d>
                    <m:sSubSup>
                      <m:sSubSupP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  <m:t>u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  <m:t>r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  <m:t>P</m:t>
                            </m:r>
                            <m:ctrl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/>
                                <w:color w:val="000000"/>
                                <w:sz w:val="18"/>
                                <w:szCs w:val="18"/>
                              </w:rPr>
                              <m:t>s</m:t>
                            </m:r>
                            <m:ctrl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18"/>
                        <w:szCs w:val="18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/>
                            <w:color w:val="000000"/>
                            <w:sz w:val="18"/>
                            <w:szCs w:val="18"/>
                          </w:rPr>
                          <m:t>c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/>
                            <w:color w:val="000000"/>
                            <w:sz w:val="18"/>
                            <w:szCs w:val="18"/>
                          </w:rPr>
                          <m:t>r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  <m:t>T</m:t>
                            </m:r>
                            <m:ctrl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/>
                                <w:color w:val="000000"/>
                                <w:sz w:val="18"/>
                                <w:szCs w:val="18"/>
                              </w:rPr>
                              <m:t>m</m:t>
                            </m:r>
                            <m:ctrl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e>
                    </m:d>
                    <m:sSubSup>
                      <m:sSubSupP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  <m:t>u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  <m:t>r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  <m:t>T</m:t>
                            </m:r>
                            <m:ctrl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/>
                                <w:color w:val="000000"/>
                                <w:sz w:val="18"/>
                                <w:szCs w:val="18"/>
                              </w:rPr>
                              <m:t>m</m:t>
                            </m:r>
                            <m:ctrl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18"/>
                        <w:szCs w:val="18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/>
                            <w:color w:val="000000"/>
                            <w:sz w:val="18"/>
                            <w:szCs w:val="18"/>
                          </w:rPr>
                          <m:t>c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/>
                            <w:color w:val="000000"/>
                            <w:sz w:val="18"/>
                            <w:szCs w:val="18"/>
                          </w:rPr>
                          <m:t>r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  <m:t>P</m:t>
                            </m:r>
                            <m:ctrl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  <m:t>m</m:t>
                            </m:r>
                            <m:ctrl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e>
                    </m:d>
                    <m:sSubSup>
                      <m:sSubSupP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  <m:t>u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  <m:t>r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  <m:t>P</m:t>
                            </m:r>
                            <m:ctrl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  <m:t>m</m:t>
                            </m:r>
                            <m:ctrl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18"/>
                        <w:szCs w:val="18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/>
                            <w:color w:val="000000"/>
                            <w:sz w:val="18"/>
                            <w:szCs w:val="18"/>
                          </w:rPr>
                          <m:t>c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/>
                            <w:color w:val="000000"/>
                            <w:sz w:val="18"/>
                            <w:szCs w:val="18"/>
                          </w:rPr>
                          <m:t>r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  <m:t>T</m:t>
                            </m:r>
                            <m:ctrl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  <m:t>s</m:t>
                            </m:r>
                            <m:ctrl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e>
                    </m:d>
                    <m:sSubSup>
                      <m:sSubSupP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  <m:t>u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  <m:t>r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  <m:t>T</m:t>
                            </m:r>
                            <m:ctrl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  <m:t>s</m:t>
                            </m:r>
                            <m:ctrl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18"/>
                        <w:szCs w:val="18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/>
                            <w:color w:val="000000"/>
                            <w:sz w:val="18"/>
                            <w:szCs w:val="18"/>
                          </w:rPr>
                          <m:t>c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/>
                            <w:color w:val="000000"/>
                            <w:sz w:val="18"/>
                            <w:szCs w:val="18"/>
                          </w:rPr>
                          <m:t>r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/>
                                <w:color w:val="000000"/>
                                <w:sz w:val="18"/>
                                <w:szCs w:val="18"/>
                              </w:rPr>
                              <m:t>q</m:t>
                            </m:r>
                            <m:ctrl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/>
                                <w:color w:val="000000"/>
                                <w:sz w:val="18"/>
                                <w:szCs w:val="18"/>
                              </w:rPr>
                              <m:t>s</m:t>
                            </m:r>
                            <m:ctrl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e>
                    </m:d>
                    <m:sSubSup>
                      <m:sSubSupP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  <m:t>u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  <m:t>r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/>
                                <w:color w:val="000000"/>
                                <w:sz w:val="18"/>
                                <w:szCs w:val="18"/>
                              </w:rPr>
                              <m:t>q</m:t>
                            </m:r>
                            <m:ctrl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/>
                                <w:color w:val="000000"/>
                                <w:sz w:val="18"/>
                                <w:szCs w:val="18"/>
                              </w:rPr>
                              <m:t>s</m:t>
                            </m:r>
                            <m:ctrl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18"/>
                        <w:szCs w:val="18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  <m:t>u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  <m:t>r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  <m:t>E</m:t>
                            </m:r>
                            <m:ctrl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  <m:t>r</m:t>
                            </m:r>
                            <m:ctrlPr>
                              <w:rPr>
                                <w:rFonts w:ascii="Cambria Math" w:hAnsi="Cambria Math"/>
                                <w:color w:val="000000"/>
                                <w:sz w:val="18"/>
                                <w:szCs w:val="18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color w:val="000000"/>
                            <w:sz w:val="18"/>
                            <w:szCs w:val="18"/>
                          </w:rPr>
                        </m:ctrlPr>
                      </m:e>
                    </m:d>
                    <m:ctrlPr>
                      <w:rPr>
                        <w:rFonts w:ascii="Cambria Math" w:hAnsi="Cambria Math"/>
                        <w:color w:val="000000"/>
                        <w:sz w:val="18"/>
                        <w:szCs w:val="18"/>
                      </w:rPr>
                    </m:ctrlPr>
                  </m:e>
                </m:rad>
              </m:oMath>
            </m:oMathPara>
          </w:p>
        </w:tc>
        <w:tc>
          <w:tcPr>
            <w:tcW w:w="762" w:type="dxa"/>
            <w:vAlign w:val="center"/>
          </w:tcPr>
          <w:p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（2）</w:t>
            </w:r>
          </w:p>
        </w:tc>
      </w:tr>
    </w:tbl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式中：</w:t>
      </w:r>
      <m:oMath>
        <m:sSub>
          <m:sSubPr>
            <m:ctrlPr>
              <w:rPr>
                <w:rFonts w:hint="eastAsia" w:ascii="Cambria Math" w:hAnsi="宋体"/>
                <w:color w:val="000000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宋体"/>
                <w:color w:val="000000"/>
                <w:sz w:val="24"/>
              </w:rPr>
              <m:t>c</m:t>
            </m:r>
            <m:ctrlPr>
              <w:rPr>
                <w:rFonts w:hint="eastAsia" w:ascii="Cambria Math" w:hAnsi="宋体"/>
                <w:color w:val="000000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宋体"/>
                <w:color w:val="000000"/>
                <w:sz w:val="24"/>
              </w:rPr>
              <m:t>r</m:t>
            </m:r>
            <m:ctrlPr>
              <w:rPr>
                <w:rFonts w:hint="eastAsia" w:ascii="Cambria Math" w:hAnsi="宋体"/>
                <w:color w:val="000000"/>
                <w:sz w:val="24"/>
              </w:rPr>
            </m:ctrlPr>
          </m:sub>
        </m:sSub>
        <m:d>
          <m:dPr>
            <m:ctrlPr>
              <w:rPr>
                <w:rFonts w:ascii="Cambria Math" w:hAnsi="Cambria Math"/>
                <w:color w:val="000000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4"/>
                  </w:rPr>
                  <m:t>P</m:t>
                </m: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/>
                    <w:color w:val="000000"/>
                    <w:sz w:val="24"/>
                  </w:rPr>
                  <m:t>s</m:t>
                </m: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sub>
            </m:sSub>
            <m:ctrlPr>
              <w:rPr>
                <w:rFonts w:ascii="Cambria Math" w:hAnsi="Cambria Math"/>
                <w:color w:val="000000"/>
                <w:sz w:val="24"/>
              </w:rPr>
            </m:ctrlPr>
          </m:e>
        </m:d>
        <m:r>
          <m:rPr>
            <m:sty m:val="p"/>
          </m:rPr>
          <w:rPr>
            <w:rFonts w:ascii="Cambria Math" w:hAnsi="Cambria Math"/>
            <w:color w:val="000000"/>
            <w:sz w:val="24"/>
          </w:rPr>
          <m:t>=1</m:t>
        </m:r>
      </m:oMath>
      <w:r>
        <w:rPr>
          <w:rFonts w:hint="eastAsia" w:hAnsi="Cambria Math"/>
          <w:color w:val="000000"/>
          <w:sz w:val="18"/>
          <w:szCs w:val="18"/>
        </w:rPr>
        <w:t>；</w:t>
      </w:r>
      <m:oMath>
        <m:sSub>
          <m:sSubPr>
            <m:ctrlPr>
              <w:rPr>
                <w:rFonts w:hint="eastAsia" w:ascii="Cambria Math" w:hAnsi="宋体"/>
                <w:color w:val="000000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宋体"/>
                <w:color w:val="000000"/>
                <w:sz w:val="24"/>
              </w:rPr>
              <m:t>c</m:t>
            </m:r>
            <m:ctrlPr>
              <w:rPr>
                <w:rFonts w:hint="eastAsia" w:ascii="Cambria Math" w:hAnsi="宋体"/>
                <w:color w:val="000000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宋体"/>
                <w:color w:val="000000"/>
                <w:sz w:val="24"/>
              </w:rPr>
              <m:t>r</m:t>
            </m:r>
            <m:ctrlPr>
              <w:rPr>
                <w:rFonts w:hint="eastAsia" w:ascii="Cambria Math" w:hAnsi="宋体"/>
                <w:color w:val="000000"/>
                <w:sz w:val="24"/>
              </w:rPr>
            </m:ctrlPr>
          </m:sub>
        </m:sSub>
        <m:d>
          <m:dPr>
            <m:ctrlPr>
              <w:rPr>
                <w:rFonts w:ascii="Cambria Math" w:hAnsi="Cambria Math"/>
                <w:color w:val="000000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4"/>
                  </w:rPr>
                  <m:t>T</m:t>
                </m: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/>
                    <w:color w:val="000000"/>
                    <w:sz w:val="24"/>
                  </w:rPr>
                  <m:t>m</m:t>
                </m: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sub>
            </m:sSub>
            <m:ctrlPr>
              <w:rPr>
                <w:rFonts w:ascii="Cambria Math" w:hAnsi="Cambria Math"/>
                <w:color w:val="000000"/>
                <w:sz w:val="24"/>
              </w:rPr>
            </m:ctrlPr>
          </m:e>
        </m:d>
        <m:r>
          <m:rPr>
            <m:sty m:val="p"/>
          </m:rPr>
          <w:rPr>
            <w:rFonts w:ascii="Cambria Math" w:hAnsi="Cambria Math"/>
            <w:color w:val="000000"/>
            <w:sz w:val="24"/>
            <w:szCs w:val="18"/>
          </w:rPr>
          <m:t>=1</m:t>
        </m:r>
      </m:oMath>
      <w:r>
        <w:rPr>
          <w:rFonts w:hint="eastAsia" w:hAnsi="Cambria Math"/>
          <w:color w:val="000000"/>
          <w:sz w:val="24"/>
          <w:szCs w:val="18"/>
        </w:rPr>
        <w:t>；</w:t>
      </w:r>
      <m:oMath>
        <m:sSub>
          <m:sSubPr>
            <m:ctrlPr>
              <w:rPr>
                <w:rFonts w:hint="eastAsia" w:ascii="Cambria Math" w:hAnsi="宋体"/>
                <w:color w:val="000000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宋体"/>
                <w:color w:val="000000"/>
                <w:sz w:val="24"/>
              </w:rPr>
              <m:t>c</m:t>
            </m:r>
            <m:ctrlPr>
              <w:rPr>
                <w:rFonts w:hint="eastAsia" w:ascii="Cambria Math" w:hAnsi="宋体"/>
                <w:color w:val="000000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宋体"/>
                <w:color w:val="000000"/>
                <w:sz w:val="24"/>
              </w:rPr>
              <m:t>r</m:t>
            </m:r>
            <m:ctrlPr>
              <w:rPr>
                <w:rFonts w:hint="eastAsia" w:ascii="Cambria Math" w:hAnsi="宋体"/>
                <w:color w:val="000000"/>
                <w:sz w:val="24"/>
              </w:rPr>
            </m:ctrlPr>
          </m:sub>
        </m:sSub>
        <m:d>
          <m:dPr>
            <m:ctrlPr>
              <w:rPr>
                <w:rFonts w:ascii="Cambria Math" w:hAnsi="Cambria Math"/>
                <w:color w:val="000000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4"/>
                  </w:rPr>
                  <m:t>P</m:t>
                </m: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4"/>
                  </w:rPr>
                  <m:t>m</m:t>
                </m: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sub>
            </m:sSub>
            <m:ctrlPr>
              <w:rPr>
                <w:rFonts w:ascii="Cambria Math" w:hAnsi="Cambria Math"/>
                <w:color w:val="000000"/>
                <w:sz w:val="24"/>
              </w:rPr>
            </m:ctrlPr>
          </m:e>
        </m:d>
        <m:r>
          <m:rPr>
            <m:sty m:val="p"/>
          </m:rPr>
          <w:rPr>
            <w:rFonts w:ascii="Cambria Math" w:hAnsi="Cambria Math"/>
            <w:color w:val="000000"/>
            <w:sz w:val="24"/>
            <w:szCs w:val="18"/>
          </w:rPr>
          <m:t>=−1</m:t>
        </m:r>
      </m:oMath>
      <w:r>
        <w:rPr>
          <w:rFonts w:hint="eastAsia" w:hAnsi="Cambria Math"/>
          <w:color w:val="000000"/>
          <w:sz w:val="24"/>
          <w:szCs w:val="18"/>
        </w:rPr>
        <w:t>；</w:t>
      </w:r>
      <m:oMath>
        <m:sSub>
          <m:sSubPr>
            <m:ctrlPr>
              <w:rPr>
                <w:rFonts w:hint="eastAsia" w:ascii="Cambria Math" w:hAnsi="宋体"/>
                <w:color w:val="000000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宋体"/>
                <w:color w:val="000000"/>
                <w:sz w:val="24"/>
              </w:rPr>
              <m:t>c</m:t>
            </m:r>
            <m:ctrlPr>
              <w:rPr>
                <w:rFonts w:hint="eastAsia" w:ascii="Cambria Math" w:hAnsi="宋体"/>
                <w:color w:val="000000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宋体"/>
                <w:color w:val="000000"/>
                <w:sz w:val="24"/>
              </w:rPr>
              <m:t>r</m:t>
            </m:r>
            <m:ctrlPr>
              <w:rPr>
                <w:rFonts w:hint="eastAsia" w:ascii="Cambria Math" w:hAnsi="宋体"/>
                <w:color w:val="000000"/>
                <w:sz w:val="24"/>
              </w:rPr>
            </m:ctrlPr>
          </m:sub>
        </m:sSub>
        <m:d>
          <m:dPr>
            <m:ctrlPr>
              <w:rPr>
                <w:rFonts w:ascii="Cambria Math" w:hAnsi="Cambria Math"/>
                <w:color w:val="000000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4"/>
                  </w:rPr>
                  <m:t>T</m:t>
                </m: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4"/>
                  </w:rPr>
                  <m:t>s</m:t>
                </m: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sub>
            </m:sSub>
            <m:ctrlPr>
              <w:rPr>
                <w:rFonts w:ascii="Cambria Math" w:hAnsi="Cambria Math"/>
                <w:color w:val="000000"/>
                <w:sz w:val="24"/>
              </w:rPr>
            </m:ctrlPr>
          </m:e>
        </m:d>
        <m:r>
          <m:rPr>
            <m:sty m:val="p"/>
          </m:rPr>
          <w:rPr>
            <w:rFonts w:ascii="Cambria Math" w:hAnsi="Cambria Math"/>
            <w:color w:val="000000"/>
            <w:sz w:val="24"/>
            <w:szCs w:val="18"/>
          </w:rPr>
          <m:t>=−1</m:t>
        </m:r>
      </m:oMath>
      <w:r>
        <w:rPr>
          <w:rFonts w:hint="eastAsia" w:hAnsi="Cambria Math"/>
          <w:color w:val="000000"/>
          <w:sz w:val="24"/>
          <w:szCs w:val="18"/>
        </w:rPr>
        <w:t>；</w:t>
      </w:r>
      <m:oMath>
        <m:sSub>
          <m:sSubPr>
            <m:ctrlPr>
              <w:rPr>
                <w:rFonts w:hint="eastAsia" w:ascii="Cambria Math" w:hAnsi="宋体"/>
                <w:color w:val="000000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宋体"/>
                <w:color w:val="000000"/>
                <w:sz w:val="24"/>
              </w:rPr>
              <m:t>c</m:t>
            </m:r>
            <m:ctrlPr>
              <w:rPr>
                <w:rFonts w:hint="eastAsia" w:ascii="Cambria Math" w:hAnsi="宋体"/>
                <w:color w:val="000000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宋体"/>
                <w:color w:val="000000"/>
                <w:sz w:val="24"/>
              </w:rPr>
              <m:t>r</m:t>
            </m:r>
            <m:ctrlPr>
              <w:rPr>
                <w:rFonts w:hint="eastAsia" w:ascii="Cambria Math" w:hAnsi="宋体"/>
                <w:color w:val="000000"/>
                <w:sz w:val="24"/>
              </w:rPr>
            </m:ctrlPr>
          </m:sub>
        </m:sSub>
        <m:d>
          <m:dPr>
            <m:ctrlPr>
              <w:rPr>
                <w:rFonts w:ascii="Cambria Math" w:hAnsi="Cambria Math"/>
                <w:color w:val="000000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hint="eastAsia" w:ascii="Cambria Math" w:hAnsi="Cambria Math"/>
                    <w:color w:val="000000"/>
                    <w:sz w:val="24"/>
                  </w:rPr>
                  <m:t>q</m:t>
                </m: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/>
                    <w:color w:val="000000"/>
                    <w:sz w:val="24"/>
                  </w:rPr>
                  <m:t>s</m:t>
                </m: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sub>
            </m:sSub>
            <m:ctrlPr>
              <w:rPr>
                <w:rFonts w:ascii="Cambria Math" w:hAnsi="Cambria Math"/>
                <w:color w:val="000000"/>
                <w:sz w:val="24"/>
              </w:rPr>
            </m:ctrlPr>
          </m:e>
        </m:d>
        <m:r>
          <m:rPr>
            <m:sty m:val="p"/>
          </m:rPr>
          <w:rPr>
            <w:rFonts w:ascii="Cambria Math" w:hAnsi="Cambria Math"/>
            <w:color w:val="000000"/>
            <w:sz w:val="24"/>
            <w:szCs w:val="18"/>
          </w:rPr>
          <m:t>=1</m:t>
        </m:r>
      </m:oMath>
    </w:p>
    <w:p>
      <w:pPr>
        <w:tabs>
          <w:tab w:val="right" w:pos="8306"/>
        </w:tabs>
        <w:rPr>
          <w:rFonts w:ascii="宋体" w:hAnsi="宋体" w:cs="等线"/>
          <w:sz w:val="24"/>
        </w:rPr>
      </w:pPr>
      <w:r>
        <w:rPr>
          <w:rFonts w:hint="eastAsia" w:ascii="宋体" w:hAnsi="宋体" w:cs="等线"/>
          <w:sz w:val="24"/>
        </w:rPr>
        <w:t>B</w:t>
      </w:r>
      <w:r>
        <w:rPr>
          <w:rFonts w:ascii="宋体" w:hAnsi="宋体" w:cs="等线"/>
          <w:sz w:val="24"/>
        </w:rPr>
        <w:t>.</w:t>
      </w:r>
      <w:r>
        <w:rPr>
          <w:rFonts w:hint="eastAsia" w:ascii="宋体" w:hAnsi="宋体" w:cs="等线"/>
          <w:sz w:val="24"/>
        </w:rPr>
        <w:t>2不确定度分量评定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以一个表前额定压力为400kPa，额定温度为20℃，标称流量为1.226 mL/min 的原始气体嗅辨仪的校准为例。用于流量测量的标准装置的准确度等级为1.0级。校准记录如下表所示:</w:t>
      </w:r>
    </w:p>
    <w:p>
      <w:pPr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（1）重复测量引入的不确定度</w:t>
      </w:r>
      <m:oMath>
        <m:sSub>
          <m:sSubPr>
            <m:ctrlPr>
              <w:rPr>
                <w:rFonts w:hint="eastAsia" w:ascii="Cambria Math" w:hAnsi="宋体"/>
                <w:color w:val="000000"/>
                <w:sz w:val="24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宋体"/>
                <w:color w:val="000000"/>
                <w:sz w:val="24"/>
              </w:rPr>
              <m:t>u</m:t>
            </m:r>
            <m:ctrlPr>
              <w:rPr>
                <w:rFonts w:hint="eastAsia" w:ascii="Cambria Math" w:hAnsi="宋体"/>
                <w:color w:val="000000"/>
                <w:sz w:val="24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宋体"/>
                <w:color w:val="000000"/>
                <w:sz w:val="24"/>
              </w:rPr>
              <m:t>r</m:t>
            </m:r>
            <m:ctrlPr>
              <w:rPr>
                <w:rFonts w:hint="eastAsia" w:ascii="Cambria Math" w:hAnsi="宋体"/>
                <w:color w:val="000000"/>
                <w:sz w:val="24"/>
              </w:rPr>
            </m:ctrlPr>
          </m:sub>
        </m:sSub>
        <m:d>
          <m:dPr>
            <m:ctrlPr>
              <w:rPr>
                <w:rFonts w:ascii="Cambria Math" w:hAnsi="Cambria Math"/>
                <w:color w:val="000000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4"/>
                  </w:rPr>
                  <m:t>E</m:t>
                </m: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4"/>
                  </w:rPr>
                  <m:t>r</m:t>
                </m: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sub>
            </m:sSub>
            <m:ctrlPr>
              <w:rPr>
                <w:rFonts w:ascii="Cambria Math" w:hAnsi="Cambria Math"/>
                <w:color w:val="000000"/>
                <w:sz w:val="24"/>
              </w:rPr>
            </m:ctrlPr>
          </m:e>
        </m:d>
      </m:oMath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由重复测量引入的不确定度属于A类不确定度。将原始气体嗅辨仪测量6次，校准结果为:</w:t>
      </w:r>
    </w:p>
    <w:tbl>
      <w:tblPr>
        <w:tblStyle w:val="2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964"/>
        <w:gridCol w:w="964"/>
        <w:gridCol w:w="964"/>
        <w:gridCol w:w="964"/>
        <w:gridCol w:w="964"/>
        <w:gridCol w:w="966"/>
        <w:gridCol w:w="960"/>
        <w:gridCol w:w="8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77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校准次数</w:t>
            </w:r>
          </w:p>
        </w:tc>
        <w:tc>
          <w:tcPr>
            <w:tcW w:w="289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被校仪器</w:t>
            </w:r>
          </w:p>
        </w:tc>
        <w:tc>
          <w:tcPr>
            <w:tcW w:w="289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标准装置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校准流量/（L/min）</w:t>
            </w:r>
          </w:p>
        </w:tc>
        <w:tc>
          <w:tcPr>
            <w:tcW w:w="87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重复性/%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1" w:hRule="atLeast"/>
        </w:trPr>
        <w:tc>
          <w:tcPr>
            <w:tcW w:w="77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表前压力/kpa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表后压力/kpa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表后温度/℃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装置绝对压力</w:t>
            </w:r>
          </w:p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/kPa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装置温度/℃</w:t>
            </w:r>
          </w:p>
        </w:tc>
        <w:tc>
          <w:tcPr>
            <w:tcW w:w="96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实测流量/（L/min）</w:t>
            </w:r>
          </w:p>
        </w:tc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772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500.008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101.251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101.049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96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42.1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42.1</w:t>
            </w:r>
          </w:p>
        </w:tc>
        <w:tc>
          <w:tcPr>
            <w:tcW w:w="87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772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500.004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101.258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101.042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96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42.1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42.2</w:t>
            </w:r>
          </w:p>
        </w:tc>
        <w:tc>
          <w:tcPr>
            <w:tcW w:w="87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772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500.001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101.252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101.043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96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42.2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42.2</w:t>
            </w:r>
          </w:p>
        </w:tc>
        <w:tc>
          <w:tcPr>
            <w:tcW w:w="87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772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500.007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101.258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101.043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96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42.1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42.1</w:t>
            </w:r>
          </w:p>
        </w:tc>
        <w:tc>
          <w:tcPr>
            <w:tcW w:w="87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772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500.001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101.254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101.041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96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42.0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42.0</w:t>
            </w:r>
          </w:p>
        </w:tc>
        <w:tc>
          <w:tcPr>
            <w:tcW w:w="87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772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500.009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101.259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101.042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96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42.0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42.1</w:t>
            </w:r>
          </w:p>
        </w:tc>
        <w:tc>
          <w:tcPr>
            <w:tcW w:w="87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</w:tbl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则由重复测量引入的不确定度为: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m:oMathPara>
        <m:oMath>
          <m:sSub>
            <m:sSubPr>
              <m:ctrlPr>
                <w:rPr>
                  <w:rFonts w:hint="eastAsia" w:ascii="Cambria Math" w:hAnsi="宋体"/>
                  <w:color w:val="000000"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hint="eastAsia" w:ascii="Cambria Math" w:hAnsi="宋体"/>
                  <w:color w:val="000000"/>
                  <w:sz w:val="24"/>
                </w:rPr>
                <m:t>u</m:t>
              </m:r>
              <m:ctrlPr>
                <w:rPr>
                  <w:rFonts w:hint="eastAsia" w:ascii="Cambria Math" w:hAnsi="宋体"/>
                  <w:color w:val="000000"/>
                  <w:sz w:val="24"/>
                </w:rPr>
              </m:ctrlPr>
            </m:e>
            <m:sub>
              <m:r>
                <m:rPr>
                  <m:sty m:val="p"/>
                </m:rPr>
                <w:rPr>
                  <w:rFonts w:hint="eastAsia" w:ascii="Cambria Math" w:hAnsi="宋体"/>
                  <w:color w:val="000000"/>
                  <w:sz w:val="24"/>
                </w:rPr>
                <m:t>r</m:t>
              </m:r>
              <m:ctrlPr>
                <w:rPr>
                  <w:rFonts w:hint="eastAsia" w:ascii="Cambria Math" w:hAnsi="宋体"/>
                  <w:color w:val="000000"/>
                  <w:sz w:val="24"/>
                </w:rPr>
              </m:ctrlPr>
            </m:sub>
          </m:sSub>
          <m:d>
            <m:dPr>
              <m:ctrlPr>
                <w:rPr>
                  <w:rFonts w:ascii="Cambria Math" w:hAnsi="Cambria Math"/>
                  <w:color w:val="000000"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4"/>
                    </w:rPr>
                    <m:t>E</m:t>
                  </m:r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4"/>
                    </w:rPr>
                    <m:t>r</m:t>
                  </m:r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sub>
              </m:sSub>
              <m:ctrlPr>
                <w:rPr>
                  <w:rFonts w:ascii="Cambria Math" w:hAnsi="Cambria Math"/>
                  <w:color w:val="000000"/>
                  <w:sz w:val="24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  <w:color w:val="000000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color w:val="000000"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4"/>
                    </w:rPr>
                    <m:t>E</m:t>
                  </m:r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/>
                      <w:color w:val="000000"/>
                      <w:sz w:val="24"/>
                    </w:rPr>
                    <m:t>r</m:t>
                  </m:r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sub>
              </m:sSub>
              <m:ctrlPr>
                <w:rPr>
                  <w:rFonts w:ascii="Cambria Math" w:hAnsi="Cambria Math"/>
                  <w:color w:val="000000"/>
                  <w:sz w:val="24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radPr>
                <m:deg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4"/>
                    </w:rPr>
                    <m:t>n</m:t>
                  </m:r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e>
              </m:rad>
              <m:ctrlPr>
                <w:rPr>
                  <w:rFonts w:ascii="Cambria Math" w:hAnsi="Cambria Math"/>
                  <w:color w:val="000000"/>
                  <w:sz w:val="24"/>
                </w:rPr>
              </m:ctrlPr>
            </m:den>
          </m:f>
          <m:r>
            <m:rPr>
              <m:sty m:val="p"/>
            </m:rPr>
            <w:rPr>
              <w:rFonts w:ascii="Cambria Math" w:hAnsi="Cambria Math"/>
              <w:color w:val="000000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color w:val="000000"/>
                  <w:sz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</w:rPr>
                <m:t>1.22%</m:t>
              </m:r>
              <m:ctrlPr>
                <w:rPr>
                  <w:rFonts w:ascii="Cambria Math" w:hAnsi="Cambria Math"/>
                  <w:color w:val="000000"/>
                  <w:sz w:val="24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radPr>
                <m:deg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4"/>
                    </w:rPr>
                    <m:t>6</m:t>
                  </m:r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e>
              </m:rad>
              <m:ctrlPr>
                <w:rPr>
                  <w:rFonts w:ascii="Cambria Math" w:hAnsi="Cambria Math"/>
                  <w:color w:val="000000"/>
                  <w:sz w:val="24"/>
                </w:rPr>
              </m:ctrlPr>
            </m:den>
          </m:f>
          <m:r>
            <m:rPr>
              <m:sty m:val="p"/>
            </m:rPr>
            <w:rPr>
              <w:rFonts w:ascii="Cambria Math" w:hAnsi="Cambria Math"/>
              <w:color w:val="000000"/>
              <w:sz w:val="24"/>
            </w:rPr>
            <m:t>=0.498%</m:t>
          </m:r>
        </m:oMath>
      </m:oMathPara>
    </w:p>
    <w:p>
      <w:pPr>
        <w:numPr>
          <w:ilvl w:val="0"/>
          <w:numId w:val="8"/>
        </w:numPr>
        <w:rPr>
          <w:rFonts w:hAnsi="Cambria Math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标准装置出口端压力测量的不确定度</w:t>
      </w:r>
      <m:oMath>
        <m:sSub>
          <m:sSubPr>
            <m:ctrlPr>
              <w:rPr>
                <w:rFonts w:hint="eastAsia" w:ascii="Cambria Math" w:hAnsi="宋体"/>
                <w:color w:val="000000"/>
                <w:sz w:val="24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宋体"/>
                <w:color w:val="000000"/>
                <w:sz w:val="24"/>
              </w:rPr>
              <m:t>u</m:t>
            </m:r>
            <m:ctrlPr>
              <w:rPr>
                <w:rFonts w:hint="eastAsia" w:ascii="Cambria Math" w:hAnsi="宋体"/>
                <w:color w:val="000000"/>
                <w:sz w:val="24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宋体"/>
                <w:color w:val="000000"/>
                <w:sz w:val="24"/>
              </w:rPr>
              <m:t>r</m:t>
            </m:r>
            <m:ctrlPr>
              <w:rPr>
                <w:rFonts w:hint="eastAsia" w:ascii="Cambria Math" w:hAnsi="宋体"/>
                <w:color w:val="000000"/>
                <w:sz w:val="24"/>
              </w:rPr>
            </m:ctrlPr>
          </m:sub>
        </m:sSub>
        <m:d>
          <m:dPr>
            <m:ctrlPr>
              <w:rPr>
                <w:rFonts w:ascii="Cambria Math" w:hAnsi="Cambria Math"/>
                <w:color w:val="000000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4"/>
                  </w:rPr>
                  <m:t>P</m:t>
                </m: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/>
                    <w:color w:val="000000"/>
                    <w:sz w:val="24"/>
                  </w:rPr>
                  <m:t>s</m:t>
                </m: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sub>
            </m:sSub>
            <m:ctrlPr>
              <w:rPr>
                <w:rFonts w:ascii="Cambria Math" w:hAnsi="Cambria Math"/>
                <w:color w:val="000000"/>
                <w:sz w:val="24"/>
              </w:rPr>
            </m:ctrlPr>
          </m:e>
        </m:d>
      </m:oMath>
    </w:p>
    <w:p>
      <w:pPr>
        <w:ind w:firstLine="480" w:firstLineChars="200"/>
        <w:rPr>
          <w:rFonts w:hAnsi="Cambria Math"/>
          <w:color w:val="000000"/>
          <w:sz w:val="24"/>
        </w:rPr>
      </w:pPr>
      <w:r>
        <w:rPr>
          <w:rFonts w:hAnsi="Cambria Math"/>
          <w:color w:val="000000"/>
          <w:sz w:val="24"/>
        </w:rPr>
        <w:t>标准装置出口端压力测量的不确定度属于B类不确定度，出口端压力利用压力变送器进行测量，此次测量中压力变送器的准确度等级为0.2级，假设服从均匀分布，则出口端压力测量引入的标准不确定度为:</w:t>
      </w:r>
    </w:p>
    <w:p>
      <w:pPr>
        <w:ind w:firstLine="480" w:firstLineChars="200"/>
        <w:rPr>
          <w:rFonts w:hAnsi="Cambria Math"/>
          <w:color w:val="000000"/>
          <w:sz w:val="24"/>
        </w:rPr>
      </w:pPr>
      <m:oMathPara>
        <m:oMath>
          <m:sSub>
            <m:sSubPr>
              <m:ctrlPr>
                <w:rPr>
                  <w:rFonts w:hint="eastAsia" w:ascii="Cambria Math" w:hAnsi="宋体"/>
                  <w:color w:val="000000"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hint="eastAsia" w:ascii="Cambria Math" w:hAnsi="宋体"/>
                  <w:color w:val="000000"/>
                  <w:sz w:val="24"/>
                </w:rPr>
                <m:t>u</m:t>
              </m:r>
              <m:ctrlPr>
                <w:rPr>
                  <w:rFonts w:hint="eastAsia" w:ascii="Cambria Math" w:hAnsi="宋体"/>
                  <w:color w:val="000000"/>
                  <w:sz w:val="24"/>
                </w:rPr>
              </m:ctrlPr>
            </m:e>
            <m:sub>
              <m:r>
                <m:rPr>
                  <m:sty m:val="p"/>
                </m:rPr>
                <w:rPr>
                  <w:rFonts w:hint="eastAsia" w:ascii="Cambria Math" w:hAnsi="宋体"/>
                  <w:color w:val="000000"/>
                  <w:sz w:val="24"/>
                </w:rPr>
                <m:t>r</m:t>
              </m:r>
              <m:ctrlPr>
                <w:rPr>
                  <w:rFonts w:hint="eastAsia" w:ascii="Cambria Math" w:hAnsi="宋体"/>
                  <w:color w:val="000000"/>
                  <w:sz w:val="24"/>
                </w:rPr>
              </m:ctrlPr>
            </m:sub>
          </m:sSub>
          <m:d>
            <m:dPr>
              <m:ctrlPr>
                <w:rPr>
                  <w:rFonts w:ascii="Cambria Math" w:hAnsi="Cambria Math"/>
                  <w:color w:val="000000"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4"/>
                    </w:rPr>
                    <m:t>P</m:t>
                  </m:r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/>
                      <w:color w:val="000000"/>
                      <w:sz w:val="24"/>
                    </w:rPr>
                    <m:t>s</m:t>
                  </m:r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sub>
              </m:sSub>
              <m:ctrlPr>
                <w:rPr>
                  <w:rFonts w:ascii="Cambria Math" w:hAnsi="Cambria Math"/>
                  <w:color w:val="000000"/>
                  <w:sz w:val="24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  <w:color w:val="000000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color w:val="000000"/>
                  <w:sz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</w:rPr>
                <m:t>0.2%</m:t>
              </m:r>
              <m:ctrlPr>
                <w:rPr>
                  <w:rFonts w:ascii="Cambria Math" w:hAnsi="Cambria Math"/>
                  <w:color w:val="000000"/>
                  <w:sz w:val="24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radPr>
                <m:deg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4"/>
                    </w:rPr>
                    <m:t>3</m:t>
                  </m:r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e>
              </m:rad>
              <m:ctrlPr>
                <w:rPr>
                  <w:rFonts w:ascii="Cambria Math" w:hAnsi="Cambria Math"/>
                  <w:color w:val="000000"/>
                  <w:sz w:val="24"/>
                </w:rPr>
              </m:ctrlPr>
            </m:den>
          </m:f>
          <m:r>
            <m:rPr>
              <m:sty m:val="p"/>
            </m:rPr>
            <w:rPr>
              <w:rFonts w:ascii="Cambria Math" w:hAnsi="Cambria Math"/>
              <w:color w:val="000000"/>
              <w:sz w:val="24"/>
            </w:rPr>
            <m:t>=0.116%</m:t>
          </m:r>
        </m:oMath>
      </m:oMathPara>
    </w:p>
    <w:p>
      <w:pPr>
        <w:numPr>
          <w:ilvl w:val="0"/>
          <w:numId w:val="8"/>
        </w:numPr>
        <w:rPr>
          <w:rFonts w:hAnsi="Cambria Math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原始气体嗅辨仪</w:t>
      </w:r>
      <w:r>
        <w:rPr>
          <w:rFonts w:ascii="宋体" w:hAnsi="宋体"/>
          <w:color w:val="000000"/>
          <w:sz w:val="24"/>
        </w:rPr>
        <w:t>出口</w:t>
      </w:r>
      <w:r>
        <w:rPr>
          <w:rFonts w:hAnsi="Cambria Math"/>
          <w:color w:val="000000"/>
          <w:sz w:val="24"/>
        </w:rPr>
        <w:t>端温度测量的不确定度</w:t>
      </w:r>
      <m:oMath>
        <m:sSub>
          <m:sSubPr>
            <m:ctrlPr>
              <w:rPr>
                <w:rFonts w:hint="eastAsia" w:ascii="Cambria Math" w:hAnsi="宋体"/>
                <w:color w:val="000000"/>
                <w:sz w:val="24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宋体"/>
                <w:color w:val="000000"/>
                <w:sz w:val="24"/>
              </w:rPr>
              <m:t>u</m:t>
            </m:r>
            <m:ctrlPr>
              <w:rPr>
                <w:rFonts w:hint="eastAsia" w:ascii="Cambria Math" w:hAnsi="宋体"/>
                <w:color w:val="000000"/>
                <w:sz w:val="24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宋体"/>
                <w:color w:val="000000"/>
                <w:sz w:val="24"/>
              </w:rPr>
              <m:t>r</m:t>
            </m:r>
            <m:ctrlPr>
              <w:rPr>
                <w:rFonts w:hint="eastAsia" w:ascii="Cambria Math" w:hAnsi="宋体"/>
                <w:color w:val="000000"/>
                <w:sz w:val="24"/>
              </w:rPr>
            </m:ctrlPr>
          </m:sub>
        </m:sSub>
        <m:d>
          <m:dPr>
            <m:ctrlPr>
              <w:rPr>
                <w:rFonts w:ascii="Cambria Math" w:hAnsi="Cambria Math"/>
                <w:color w:val="000000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4"/>
                  </w:rPr>
                  <m:t>T</m:t>
                </m: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/>
                    <w:color w:val="000000"/>
                    <w:sz w:val="24"/>
                  </w:rPr>
                  <m:t>m</m:t>
                </m: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sub>
            </m:sSub>
            <m:ctrlPr>
              <w:rPr>
                <w:rFonts w:ascii="Cambria Math" w:hAnsi="Cambria Math"/>
                <w:color w:val="000000"/>
                <w:sz w:val="24"/>
              </w:rPr>
            </m:ctrlPr>
          </m:e>
        </m:d>
      </m:oMath>
    </w:p>
    <w:p>
      <w:pPr>
        <w:ind w:firstLine="480" w:firstLineChars="200"/>
        <w:rPr>
          <w:rFonts w:hAnsi="Cambria Math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原始气体嗅辨仪</w:t>
      </w:r>
      <w:r>
        <w:rPr>
          <w:rFonts w:hAnsi="Cambria Math"/>
          <w:color w:val="000000"/>
          <w:sz w:val="24"/>
        </w:rPr>
        <w:t>出口端温度测量的不确定度属于B类不确定度，出口端温度利用温度变送器进行测量，此次测量中温度变送器最大允许误差为+0.2℃，假设服从均匀分布，则定流量发生器出口端温度测量引入的标准不确定度为:</w:t>
      </w:r>
    </w:p>
    <w:p>
      <w:pPr>
        <w:ind w:firstLine="480" w:firstLineChars="200"/>
        <w:rPr>
          <w:rFonts w:hAnsi="Cambria Math"/>
          <w:color w:val="000000"/>
          <w:sz w:val="24"/>
        </w:rPr>
      </w:pPr>
      <m:oMathPara>
        <m:oMath>
          <m:sSub>
            <m:sSubPr>
              <m:ctrlPr>
                <w:rPr>
                  <w:rFonts w:hint="eastAsia" w:ascii="Cambria Math" w:hAnsi="宋体"/>
                  <w:color w:val="000000"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hint="eastAsia" w:ascii="Cambria Math" w:hAnsi="宋体"/>
                  <w:color w:val="000000"/>
                  <w:sz w:val="24"/>
                </w:rPr>
                <m:t>u</m:t>
              </m:r>
              <m:ctrlPr>
                <w:rPr>
                  <w:rFonts w:hint="eastAsia" w:ascii="Cambria Math" w:hAnsi="宋体"/>
                  <w:color w:val="000000"/>
                  <w:sz w:val="24"/>
                </w:rPr>
              </m:ctrlPr>
            </m:e>
            <m:sub>
              <m:r>
                <m:rPr>
                  <m:sty m:val="p"/>
                </m:rPr>
                <w:rPr>
                  <w:rFonts w:hint="eastAsia" w:ascii="Cambria Math" w:hAnsi="宋体"/>
                  <w:color w:val="000000"/>
                  <w:sz w:val="24"/>
                </w:rPr>
                <m:t>r</m:t>
              </m:r>
              <m:ctrlPr>
                <w:rPr>
                  <w:rFonts w:hint="eastAsia" w:ascii="Cambria Math" w:hAnsi="宋体"/>
                  <w:color w:val="000000"/>
                  <w:sz w:val="24"/>
                </w:rPr>
              </m:ctrlPr>
            </m:sub>
          </m:sSub>
          <m:d>
            <m:dPr>
              <m:ctrlPr>
                <w:rPr>
                  <w:rFonts w:ascii="Cambria Math" w:hAnsi="Cambria Math"/>
                  <w:color w:val="000000"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4"/>
                    </w:rPr>
                    <m:t>T</m:t>
                  </m:r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/>
                      <w:color w:val="000000"/>
                      <w:sz w:val="24"/>
                    </w:rPr>
                    <m:t>s</m:t>
                  </m:r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sub>
              </m:sSub>
              <m:ctrlPr>
                <w:rPr>
                  <w:rFonts w:ascii="Cambria Math" w:hAnsi="Cambria Math"/>
                  <w:color w:val="000000"/>
                  <w:sz w:val="24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  <w:color w:val="000000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color w:val="000000"/>
                  <w:sz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</w:rPr>
                <m:t>0.2</m:t>
              </m:r>
              <m:ctrlPr>
                <w:rPr>
                  <w:rFonts w:ascii="Cambria Math" w:hAnsi="Cambria Math"/>
                  <w:color w:val="000000"/>
                  <w:sz w:val="24"/>
                </w:rPr>
              </m:ctrlPr>
            </m:num>
            <m:den>
              <m:r>
                <m:rPr>
                  <m:sty m:val="p"/>
                </m:rPr>
                <w:rPr>
                  <w:rFonts w:hint="eastAsia" w:ascii="Cambria Math" w:hAnsi="Cambria Math"/>
                  <w:color w:val="000000"/>
                  <w:sz w:val="24"/>
                </w:rPr>
                <m:t>（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</w:rPr>
                <m:t>20.2+273</m:t>
              </m:r>
              <m:r>
                <m:rPr>
                  <m:sty m:val="p"/>
                </m:rPr>
                <w:rPr>
                  <w:rFonts w:hint="eastAsia" w:ascii="Cambria Math" w:hAnsi="Cambria Math"/>
                  <w:color w:val="000000"/>
                  <w:sz w:val="24"/>
                </w:rPr>
                <m:t>）</m:t>
              </m:r>
              <m:rad>
                <m:radPr>
                  <m:degHide m:val="1"/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radPr>
                <m:deg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4"/>
                    </w:rPr>
                    <m:t>3</m:t>
                  </m:r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e>
              </m:rad>
              <m:ctrlPr>
                <w:rPr>
                  <w:rFonts w:ascii="Cambria Math" w:hAnsi="Cambria Math"/>
                  <w:color w:val="000000"/>
                  <w:sz w:val="24"/>
                </w:rPr>
              </m:ctrlPr>
            </m:den>
          </m:f>
          <m:r>
            <m:rPr>
              <m:sty m:val="p"/>
            </m:rPr>
            <w:rPr>
              <w:rFonts w:ascii="Cambria Math" w:hAnsi="Cambria Math"/>
              <w:color w:val="000000"/>
              <w:sz w:val="24"/>
            </w:rPr>
            <m:t>×100%=0.040%</m:t>
          </m:r>
        </m:oMath>
      </m:oMathPara>
    </w:p>
    <w:p>
      <w:pPr>
        <w:numPr>
          <w:ilvl w:val="0"/>
          <w:numId w:val="8"/>
        </w:numPr>
        <w:rPr>
          <w:rFonts w:hAnsi="Cambria Math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标准装置出口端压力测量的不确定度</w:t>
      </w:r>
      <m:oMath>
        <m:sSub>
          <m:sSubPr>
            <m:ctrlPr>
              <w:rPr>
                <w:rFonts w:hint="eastAsia" w:ascii="Cambria Math" w:hAnsi="宋体"/>
                <w:color w:val="000000"/>
                <w:sz w:val="24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宋体"/>
                <w:color w:val="000000"/>
                <w:sz w:val="24"/>
              </w:rPr>
              <m:t>u</m:t>
            </m:r>
            <m:ctrlPr>
              <w:rPr>
                <w:rFonts w:hint="eastAsia" w:ascii="Cambria Math" w:hAnsi="宋体"/>
                <w:color w:val="000000"/>
                <w:sz w:val="24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宋体"/>
                <w:color w:val="000000"/>
                <w:sz w:val="24"/>
              </w:rPr>
              <m:t>r</m:t>
            </m:r>
            <m:ctrlPr>
              <w:rPr>
                <w:rFonts w:hint="eastAsia" w:ascii="Cambria Math" w:hAnsi="宋体"/>
                <w:color w:val="000000"/>
                <w:sz w:val="24"/>
              </w:rPr>
            </m:ctrlPr>
          </m:sub>
        </m:sSub>
        <m:d>
          <m:dPr>
            <m:ctrlPr>
              <w:rPr>
                <w:rFonts w:ascii="Cambria Math" w:hAnsi="Cambria Math"/>
                <w:color w:val="000000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4"/>
                  </w:rPr>
                  <m:t>P</m:t>
                </m: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/>
                    <w:color w:val="000000"/>
                    <w:sz w:val="24"/>
                  </w:rPr>
                  <m:t>m</m:t>
                </m: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sub>
            </m:sSub>
            <m:ctrlPr>
              <w:rPr>
                <w:rFonts w:ascii="Cambria Math" w:hAnsi="Cambria Math"/>
                <w:color w:val="000000"/>
                <w:sz w:val="24"/>
              </w:rPr>
            </m:ctrlPr>
          </m:e>
        </m:d>
      </m:oMath>
    </w:p>
    <w:p>
      <w:pPr>
        <w:ind w:firstLine="480" w:firstLineChars="200"/>
        <w:rPr>
          <w:rFonts w:hAnsi="Cambria Math"/>
          <w:color w:val="000000"/>
          <w:sz w:val="24"/>
        </w:rPr>
      </w:pPr>
      <w:r>
        <w:rPr>
          <w:rFonts w:hAnsi="Cambria Math"/>
          <w:color w:val="000000"/>
          <w:sz w:val="24"/>
        </w:rPr>
        <w:t>定流量发生器出口端压力测量的不确定度属于B类不确定度，出口端压力利用压力变送器进行测量，此次测量中压力变送器的准确度等级为0.2级，假设服从均匀分布，则出口端压力测量引入的标准不确定度为:</w:t>
      </w:r>
    </w:p>
    <w:p>
      <w:pPr>
        <w:ind w:firstLine="480" w:firstLineChars="200"/>
        <w:rPr>
          <w:rFonts w:hAnsi="Cambria Math"/>
          <w:color w:val="000000"/>
          <w:sz w:val="24"/>
        </w:rPr>
      </w:pPr>
      <m:oMathPara>
        <m:oMath>
          <m:sSub>
            <m:sSubPr>
              <m:ctrlPr>
                <w:rPr>
                  <w:rFonts w:hint="eastAsia" w:ascii="Cambria Math" w:hAnsi="宋体"/>
                  <w:color w:val="000000"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hint="eastAsia" w:ascii="Cambria Math" w:hAnsi="宋体"/>
                  <w:color w:val="000000"/>
                  <w:sz w:val="24"/>
                </w:rPr>
                <m:t>u</m:t>
              </m:r>
              <m:ctrlPr>
                <w:rPr>
                  <w:rFonts w:hint="eastAsia" w:ascii="Cambria Math" w:hAnsi="宋体"/>
                  <w:color w:val="000000"/>
                  <w:sz w:val="24"/>
                </w:rPr>
              </m:ctrlPr>
            </m:e>
            <m:sub>
              <m:r>
                <m:rPr>
                  <m:sty m:val="p"/>
                </m:rPr>
                <w:rPr>
                  <w:rFonts w:hint="eastAsia" w:ascii="Cambria Math" w:hAnsi="宋体"/>
                  <w:color w:val="000000"/>
                  <w:sz w:val="24"/>
                </w:rPr>
                <m:t>r</m:t>
              </m:r>
              <m:ctrlPr>
                <w:rPr>
                  <w:rFonts w:hint="eastAsia" w:ascii="Cambria Math" w:hAnsi="宋体"/>
                  <w:color w:val="000000"/>
                  <w:sz w:val="24"/>
                </w:rPr>
              </m:ctrlPr>
            </m:sub>
          </m:sSub>
          <m:d>
            <m:dPr>
              <m:ctrlPr>
                <w:rPr>
                  <w:rFonts w:ascii="Cambria Math" w:hAnsi="Cambria Math"/>
                  <w:color w:val="000000"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4"/>
                    </w:rPr>
                    <m:t>P</m:t>
                  </m:r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4"/>
                    </w:rPr>
                    <m:t>m</m:t>
                  </m:r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sub>
              </m:sSub>
              <m:ctrlPr>
                <w:rPr>
                  <w:rFonts w:ascii="Cambria Math" w:hAnsi="Cambria Math"/>
                  <w:color w:val="000000"/>
                  <w:sz w:val="24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  <w:color w:val="000000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color w:val="000000"/>
                  <w:sz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</w:rPr>
                <m:t>0.2%</m:t>
              </m:r>
              <m:ctrlPr>
                <w:rPr>
                  <w:rFonts w:ascii="Cambria Math" w:hAnsi="Cambria Math"/>
                  <w:color w:val="000000"/>
                  <w:sz w:val="24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radPr>
                <m:deg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4"/>
                    </w:rPr>
                    <m:t>3</m:t>
                  </m:r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e>
              </m:rad>
              <m:ctrlPr>
                <w:rPr>
                  <w:rFonts w:ascii="Cambria Math" w:hAnsi="Cambria Math"/>
                  <w:color w:val="000000"/>
                  <w:sz w:val="24"/>
                </w:rPr>
              </m:ctrlPr>
            </m:den>
          </m:f>
          <m:r>
            <m:rPr>
              <m:sty m:val="p"/>
            </m:rPr>
            <w:rPr>
              <w:rFonts w:ascii="Cambria Math" w:hAnsi="Cambria Math"/>
              <w:color w:val="000000"/>
              <w:sz w:val="24"/>
            </w:rPr>
            <m:t>=0.116%</m:t>
          </m:r>
        </m:oMath>
      </m:oMathPara>
    </w:p>
    <w:p>
      <w:pPr>
        <w:numPr>
          <w:ilvl w:val="0"/>
          <w:numId w:val="8"/>
        </w:numPr>
        <w:rPr>
          <w:rFonts w:hAnsi="Cambria Math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标准装置</w:t>
      </w:r>
      <w:r>
        <w:rPr>
          <w:rFonts w:ascii="宋体" w:hAnsi="宋体"/>
          <w:color w:val="000000"/>
          <w:sz w:val="24"/>
        </w:rPr>
        <w:t>出口</w:t>
      </w:r>
      <w:r>
        <w:rPr>
          <w:rFonts w:hAnsi="Cambria Math"/>
          <w:color w:val="000000"/>
          <w:sz w:val="24"/>
        </w:rPr>
        <w:t>端</w:t>
      </w:r>
      <w:r>
        <w:rPr>
          <w:rFonts w:hint="eastAsia" w:hAnsi="Cambria Math"/>
          <w:color w:val="000000"/>
          <w:sz w:val="24"/>
        </w:rPr>
        <w:t>温度</w:t>
      </w:r>
      <w:r>
        <w:rPr>
          <w:rFonts w:hAnsi="Cambria Math"/>
          <w:color w:val="000000"/>
          <w:sz w:val="24"/>
        </w:rPr>
        <w:t>测量的不确定度</w:t>
      </w:r>
      <m:oMath>
        <m:sSub>
          <m:sSubPr>
            <m:ctrlPr>
              <w:rPr>
                <w:rFonts w:hint="eastAsia" w:ascii="Cambria Math" w:hAnsi="宋体"/>
                <w:color w:val="000000"/>
                <w:sz w:val="24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宋体"/>
                <w:color w:val="000000"/>
                <w:sz w:val="24"/>
              </w:rPr>
              <m:t>u</m:t>
            </m:r>
            <m:ctrlPr>
              <w:rPr>
                <w:rFonts w:hint="eastAsia" w:ascii="Cambria Math" w:hAnsi="宋体"/>
                <w:color w:val="000000"/>
                <w:sz w:val="24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宋体"/>
                <w:color w:val="000000"/>
                <w:sz w:val="24"/>
              </w:rPr>
              <m:t>r</m:t>
            </m:r>
            <m:ctrlPr>
              <w:rPr>
                <w:rFonts w:hint="eastAsia" w:ascii="Cambria Math" w:hAnsi="宋体"/>
                <w:color w:val="000000"/>
                <w:sz w:val="24"/>
              </w:rPr>
            </m:ctrlPr>
          </m:sub>
        </m:sSub>
        <m:d>
          <m:dPr>
            <m:ctrlPr>
              <w:rPr>
                <w:rFonts w:ascii="Cambria Math" w:hAnsi="Cambria Math"/>
                <w:color w:val="000000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4"/>
                  </w:rPr>
                  <m:t>T</m:t>
                </m: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/>
                    <w:color w:val="000000"/>
                    <w:sz w:val="24"/>
                  </w:rPr>
                  <m:t>s</m:t>
                </m: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sub>
            </m:sSub>
            <m:ctrlPr>
              <w:rPr>
                <w:rFonts w:ascii="Cambria Math" w:hAnsi="Cambria Math"/>
                <w:color w:val="000000"/>
                <w:sz w:val="24"/>
              </w:rPr>
            </m:ctrlPr>
          </m:e>
        </m:d>
      </m:oMath>
    </w:p>
    <w:p>
      <w:pPr>
        <w:ind w:firstLine="480" w:firstLineChars="200"/>
        <w:rPr>
          <w:rFonts w:hAnsi="Cambria Math"/>
          <w:color w:val="000000"/>
          <w:sz w:val="24"/>
        </w:rPr>
      </w:pPr>
      <w:r>
        <w:rPr>
          <w:rFonts w:hAnsi="Cambria Math"/>
          <w:color w:val="000000"/>
          <w:sz w:val="24"/>
        </w:rPr>
        <w:t>标准装置出口端出口端温度测量的不确定度属于B类不确定度，出口端温度利用温度变送器进行测量，此次测量中温度变送器最大允许误差为±0.2℃，假设服从均匀分布，则标准装置出口端出口端温度测量引入的标准不确定度为:</w:t>
      </w:r>
    </w:p>
    <w:p>
      <w:pPr>
        <w:ind w:firstLine="480" w:firstLineChars="200"/>
        <w:rPr>
          <w:rFonts w:hAnsi="Cambria Math"/>
          <w:color w:val="000000"/>
          <w:sz w:val="24"/>
        </w:rPr>
      </w:pPr>
      <m:oMathPara>
        <m:oMath>
          <m:sSub>
            <m:sSubPr>
              <m:ctrlPr>
                <w:rPr>
                  <w:rFonts w:hint="eastAsia" w:ascii="Cambria Math" w:hAnsi="宋体"/>
                  <w:color w:val="000000"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hint="eastAsia" w:ascii="Cambria Math" w:hAnsi="宋体"/>
                  <w:color w:val="000000"/>
                  <w:sz w:val="24"/>
                </w:rPr>
                <m:t>u</m:t>
              </m:r>
              <m:ctrlPr>
                <w:rPr>
                  <w:rFonts w:hint="eastAsia" w:ascii="Cambria Math" w:hAnsi="宋体"/>
                  <w:color w:val="000000"/>
                  <w:sz w:val="24"/>
                </w:rPr>
              </m:ctrlPr>
            </m:e>
            <m:sub>
              <m:r>
                <m:rPr>
                  <m:sty m:val="p"/>
                </m:rPr>
                <w:rPr>
                  <w:rFonts w:hint="eastAsia" w:ascii="Cambria Math" w:hAnsi="宋体"/>
                  <w:color w:val="000000"/>
                  <w:sz w:val="24"/>
                </w:rPr>
                <m:t>r</m:t>
              </m:r>
              <m:ctrlPr>
                <w:rPr>
                  <w:rFonts w:hint="eastAsia" w:ascii="Cambria Math" w:hAnsi="宋体"/>
                  <w:color w:val="000000"/>
                  <w:sz w:val="24"/>
                </w:rPr>
              </m:ctrlPr>
            </m:sub>
          </m:sSub>
          <m:d>
            <m:dPr>
              <m:ctrlPr>
                <w:rPr>
                  <w:rFonts w:ascii="Cambria Math" w:hAnsi="Cambria Math"/>
                  <w:color w:val="000000"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4"/>
                    </w:rPr>
                    <m:t>T</m:t>
                  </m:r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/>
                      <w:color w:val="000000"/>
                      <w:sz w:val="24"/>
                    </w:rPr>
                    <m:t>s</m:t>
                  </m:r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sub>
              </m:sSub>
              <m:ctrlPr>
                <w:rPr>
                  <w:rFonts w:ascii="Cambria Math" w:hAnsi="Cambria Math"/>
                  <w:color w:val="000000"/>
                  <w:sz w:val="24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  <w:color w:val="000000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color w:val="000000"/>
                  <w:sz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</w:rPr>
                <m:t>0.2</m:t>
              </m:r>
              <m:ctrlPr>
                <w:rPr>
                  <w:rFonts w:ascii="Cambria Math" w:hAnsi="Cambria Math"/>
                  <w:color w:val="000000"/>
                  <w:sz w:val="24"/>
                </w:rPr>
              </m:ctrlPr>
            </m:num>
            <m:den>
              <m:r>
                <m:rPr>
                  <m:sty m:val="p"/>
                </m:rPr>
                <w:rPr>
                  <w:rFonts w:hint="eastAsia" w:ascii="Cambria Math" w:hAnsi="Cambria Math"/>
                  <w:color w:val="000000"/>
                  <w:sz w:val="24"/>
                </w:rPr>
                <m:t>（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</w:rPr>
                <m:t>20.1+273</m:t>
              </m:r>
              <m:r>
                <m:rPr>
                  <m:sty m:val="p"/>
                </m:rPr>
                <w:rPr>
                  <w:rFonts w:hint="eastAsia" w:ascii="Cambria Math" w:hAnsi="Cambria Math"/>
                  <w:color w:val="000000"/>
                  <w:sz w:val="24"/>
                </w:rPr>
                <m:t>）</m:t>
              </m:r>
              <m:rad>
                <m:radPr>
                  <m:degHide m:val="1"/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radPr>
                <m:deg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4"/>
                    </w:rPr>
                    <m:t>3</m:t>
                  </m:r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e>
              </m:rad>
              <m:ctrlPr>
                <w:rPr>
                  <w:rFonts w:ascii="Cambria Math" w:hAnsi="Cambria Math"/>
                  <w:color w:val="000000"/>
                  <w:sz w:val="24"/>
                </w:rPr>
              </m:ctrlPr>
            </m:den>
          </m:f>
          <m:r>
            <m:rPr>
              <m:sty m:val="p"/>
            </m:rPr>
            <w:rPr>
              <w:rFonts w:ascii="Cambria Math" w:hAnsi="Cambria Math"/>
              <w:color w:val="000000"/>
              <w:sz w:val="24"/>
            </w:rPr>
            <m:t>×100%=0.040%</m:t>
          </m:r>
        </m:oMath>
      </m:oMathPara>
    </w:p>
    <w:p>
      <w:pPr>
        <w:numPr>
          <w:ilvl w:val="0"/>
          <w:numId w:val="8"/>
        </w:numPr>
        <w:rPr>
          <w:rFonts w:hAnsi="Cambria Math"/>
          <w:color w:val="000000"/>
          <w:sz w:val="24"/>
        </w:rPr>
      </w:pPr>
      <w:r>
        <w:rPr>
          <w:rFonts w:hAnsi="Cambria Math"/>
          <w:color w:val="000000"/>
          <w:sz w:val="24"/>
        </w:rPr>
        <w:t>标准装置引入的不确定度</w:t>
      </w:r>
      <m:oMath>
        <m:sSub>
          <m:sSubPr>
            <m:ctrlPr>
              <w:rPr>
                <w:rFonts w:hint="eastAsia" w:ascii="Cambria Math" w:hAnsi="宋体"/>
                <w:color w:val="000000"/>
                <w:sz w:val="24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宋体"/>
                <w:color w:val="000000"/>
                <w:sz w:val="24"/>
              </w:rPr>
              <m:t>u</m:t>
            </m:r>
            <m:ctrlPr>
              <w:rPr>
                <w:rFonts w:hint="eastAsia" w:ascii="Cambria Math" w:hAnsi="宋体"/>
                <w:color w:val="000000"/>
                <w:sz w:val="24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宋体"/>
                <w:color w:val="000000"/>
                <w:sz w:val="24"/>
              </w:rPr>
              <m:t>r</m:t>
            </m:r>
            <m:ctrlPr>
              <w:rPr>
                <w:rFonts w:hint="eastAsia" w:ascii="Cambria Math" w:hAnsi="宋体"/>
                <w:color w:val="000000"/>
                <w:sz w:val="24"/>
              </w:rPr>
            </m:ctrlPr>
          </m:sub>
        </m:sSub>
        <m:d>
          <m:dPr>
            <m:ctrlPr>
              <w:rPr>
                <w:rFonts w:ascii="Cambria Math" w:hAnsi="Cambria Math"/>
                <w:color w:val="000000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hint="eastAsia" w:ascii="Cambria Math" w:hAnsi="Cambria Math"/>
                    <w:color w:val="000000"/>
                    <w:sz w:val="24"/>
                  </w:rPr>
                  <m:t>q</m:t>
                </m: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/>
                    <w:color w:val="000000"/>
                    <w:sz w:val="24"/>
                  </w:rPr>
                  <m:t>s</m:t>
                </m: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sub>
            </m:sSub>
            <m:ctrlPr>
              <w:rPr>
                <w:rFonts w:ascii="Cambria Math" w:hAnsi="Cambria Math"/>
                <w:color w:val="000000"/>
                <w:sz w:val="24"/>
              </w:rPr>
            </m:ctrlPr>
          </m:e>
        </m:d>
      </m:oMath>
    </w:p>
    <w:p>
      <w:pPr>
        <w:ind w:firstLine="480" w:firstLineChars="200"/>
        <w:rPr>
          <w:rFonts w:hAnsi="Cambria Math"/>
          <w:color w:val="000000"/>
          <w:sz w:val="24"/>
        </w:rPr>
      </w:pPr>
      <w:r>
        <w:rPr>
          <w:rFonts w:hAnsi="Cambria Math"/>
          <w:color w:val="000000"/>
          <w:sz w:val="24"/>
        </w:rPr>
        <w:t>标准装置引入的不确定度属于B类不确定度。流量测量标准装置采用</w:t>
      </w:r>
      <w:r>
        <w:rPr>
          <w:rFonts w:hint="eastAsia" w:hAnsi="Cambria Math"/>
          <w:color w:val="000000"/>
          <w:sz w:val="24"/>
        </w:rPr>
        <w:t>差压</w:t>
      </w:r>
      <w:r>
        <w:rPr>
          <w:rFonts w:hAnsi="Cambria Math"/>
          <w:color w:val="000000"/>
          <w:sz w:val="24"/>
        </w:rPr>
        <w:t>式气体流量标准装置，准确度等级为1.0级，其扩展不确定度为1.0%，置信概率为95%，包含因子k</w:t>
      </w:r>
      <w:r>
        <w:rPr>
          <w:rFonts w:hint="eastAsia" w:hAnsi="Cambria Math"/>
          <w:color w:val="000000"/>
          <w:sz w:val="24"/>
        </w:rPr>
        <w:t>=</w:t>
      </w:r>
      <w:r>
        <w:rPr>
          <w:rFonts w:hAnsi="Cambria Math"/>
          <w:color w:val="000000"/>
          <w:sz w:val="24"/>
        </w:rPr>
        <w:t>2，其相对标准不确定度</w:t>
      </w:r>
      <w:r>
        <w:rPr>
          <w:rFonts w:hint="eastAsia" w:hAnsi="Cambria Math"/>
          <w:color w:val="000000"/>
          <w:sz w:val="24"/>
        </w:rPr>
        <w:t>：</w:t>
      </w:r>
    </w:p>
    <w:p>
      <w:pPr>
        <w:ind w:firstLine="480" w:firstLineChars="200"/>
        <w:rPr>
          <w:rFonts w:hAnsi="Cambria Math"/>
          <w:color w:val="000000"/>
          <w:sz w:val="24"/>
        </w:rPr>
      </w:pPr>
      <m:oMathPara>
        <m:oMath>
          <m:sSub>
            <m:sSubPr>
              <m:ctrlPr>
                <w:rPr>
                  <w:rFonts w:hint="eastAsia" w:ascii="Cambria Math" w:hAnsi="宋体"/>
                  <w:color w:val="000000"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hint="eastAsia" w:ascii="Cambria Math" w:hAnsi="宋体"/>
                  <w:color w:val="000000"/>
                  <w:sz w:val="24"/>
                </w:rPr>
                <m:t>u</m:t>
              </m:r>
              <m:ctrlPr>
                <w:rPr>
                  <w:rFonts w:hint="eastAsia" w:ascii="Cambria Math" w:hAnsi="宋体"/>
                  <w:color w:val="000000"/>
                  <w:sz w:val="24"/>
                </w:rPr>
              </m:ctrlPr>
            </m:e>
            <m:sub>
              <m:r>
                <m:rPr>
                  <m:sty m:val="p"/>
                </m:rPr>
                <w:rPr>
                  <w:rFonts w:hint="eastAsia" w:ascii="Cambria Math" w:hAnsi="宋体"/>
                  <w:color w:val="000000"/>
                  <w:sz w:val="24"/>
                </w:rPr>
                <m:t>r</m:t>
              </m:r>
              <m:ctrlPr>
                <w:rPr>
                  <w:rFonts w:hint="eastAsia" w:ascii="Cambria Math" w:hAnsi="宋体"/>
                  <w:color w:val="000000"/>
                  <w:sz w:val="24"/>
                </w:rPr>
              </m:ctrlPr>
            </m:sub>
          </m:sSub>
          <m:d>
            <m:dPr>
              <m:ctrlPr>
                <w:rPr>
                  <w:rFonts w:ascii="Cambria Math" w:hAnsi="Cambria Math"/>
                  <w:color w:val="000000"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hint="eastAsia" w:ascii="Cambria Math" w:hAnsi="Cambria Math"/>
                      <w:color w:val="000000"/>
                      <w:sz w:val="24"/>
                    </w:rPr>
                    <m:t>q</m:t>
                  </m:r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/>
                      <w:color w:val="000000"/>
                      <w:sz w:val="24"/>
                    </w:rPr>
                    <m:t>s</m:t>
                  </m:r>
                  <m:ctrlPr>
                    <w:rPr>
                      <w:rFonts w:ascii="Cambria Math" w:hAnsi="Cambria Math"/>
                      <w:color w:val="000000"/>
                      <w:sz w:val="24"/>
                    </w:rPr>
                  </m:ctrlPr>
                </m:sub>
              </m:sSub>
              <m:ctrlPr>
                <w:rPr>
                  <w:rFonts w:ascii="Cambria Math" w:hAnsi="Cambria Math"/>
                  <w:color w:val="000000"/>
                  <w:sz w:val="24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  <w:color w:val="000000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color w:val="000000"/>
                  <w:sz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</w:rPr>
                <m:t>1.0%</m:t>
              </m:r>
              <m:ctrlPr>
                <w:rPr>
                  <w:rFonts w:ascii="Cambria Math" w:hAnsi="Cambria Math"/>
                  <w:color w:val="000000"/>
                  <w:sz w:val="24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</w:rPr>
                <m:t>2</m:t>
              </m:r>
              <m:ctrlPr>
                <w:rPr>
                  <w:rFonts w:ascii="Cambria Math" w:hAnsi="Cambria Math"/>
                  <w:color w:val="000000"/>
                  <w:sz w:val="24"/>
                </w:rPr>
              </m:ctrlPr>
            </m:den>
          </m:f>
          <m:r>
            <m:rPr>
              <m:sty m:val="p"/>
            </m:rPr>
            <w:rPr>
              <w:rFonts w:ascii="Cambria Math" w:hAnsi="Cambria Math"/>
              <w:color w:val="000000"/>
              <w:sz w:val="24"/>
            </w:rPr>
            <m:t>=0.5%</m:t>
          </m:r>
        </m:oMath>
      </m:oMathPara>
    </w:p>
    <w:p>
      <w:pPr>
        <w:rPr>
          <w:rFonts w:ascii="宋体" w:hAnsi="宋体" w:cs="等线"/>
          <w:sz w:val="24"/>
        </w:rPr>
      </w:pPr>
      <w:r>
        <w:rPr>
          <w:rFonts w:hint="eastAsia" w:ascii="宋体" w:hAnsi="宋体" w:cs="等线"/>
          <w:sz w:val="24"/>
        </w:rPr>
        <w:t>B</w:t>
      </w:r>
      <w:r>
        <w:rPr>
          <w:rFonts w:ascii="宋体" w:hAnsi="宋体" w:cs="等线"/>
          <w:sz w:val="24"/>
        </w:rPr>
        <w:t>.</w:t>
      </w:r>
      <w:r>
        <w:rPr>
          <w:rFonts w:hint="eastAsia" w:ascii="宋体" w:hAnsi="宋体" w:cs="等线"/>
          <w:sz w:val="24"/>
        </w:rPr>
        <w:t>3合成标准不确定度</w:t>
      </w:r>
    </w:p>
    <w:p>
      <w:pPr>
        <w:rPr>
          <w:rFonts w:hAnsi="Cambria Math"/>
          <w:color w:val="000000"/>
          <w:sz w:val="18"/>
          <w:szCs w:val="18"/>
        </w:rPr>
      </w:pPr>
      <m:oMathPara>
        <m:oMath>
          <m:sSub>
            <m:sSubPr>
              <m:ctrlPr>
                <w:rPr>
                  <w:rFonts w:hint="eastAsia" w:ascii="Cambria Math" w:hAnsi="Cambria Math"/>
                  <w:color w:val="000000"/>
                  <w:sz w:val="18"/>
                  <w:szCs w:val="18"/>
                </w:rPr>
              </m:ctrlPr>
            </m:sSubPr>
            <m:e>
              <m:r>
                <m:rPr>
                  <m:sty m:val="p"/>
                </m:rPr>
                <w:rPr>
                  <w:rFonts w:hint="eastAsia" w:ascii="Cambria Math" w:hAnsi="Cambria Math"/>
                  <w:color w:val="000000"/>
                  <w:sz w:val="18"/>
                  <w:szCs w:val="18"/>
                </w:rPr>
                <m:t>u</m:t>
              </m:r>
              <m:ctrlPr>
                <w:rPr>
                  <w:rFonts w:hint="eastAsia" w:ascii="Cambria Math" w:hAnsi="Cambria Math"/>
                  <w:color w:val="000000"/>
                  <w:sz w:val="18"/>
                  <w:szCs w:val="18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18"/>
                  <w:szCs w:val="18"/>
                </w:rPr>
                <m:t>r</m:t>
              </m:r>
              <m:ctrlPr>
                <w:rPr>
                  <w:rFonts w:hint="eastAsia" w:ascii="Cambria Math" w:hAnsi="Cambria Math"/>
                  <w:color w:val="000000"/>
                  <w:sz w:val="18"/>
                  <w:szCs w:val="18"/>
                </w:rPr>
              </m:ctrlPr>
            </m:sub>
          </m:sSub>
          <m:d>
            <m:dPr>
              <m:ctrlPr>
                <w:rPr>
                  <w:rFonts w:hint="eastAsia" w:ascii="Cambria Math" w:hAnsi="Cambria Math"/>
                  <w:color w:val="000000"/>
                  <w:sz w:val="18"/>
                  <w:szCs w:val="18"/>
                </w:rPr>
              </m:ctrlPr>
            </m:dPr>
            <m:e>
              <m:sSub>
                <m:sSubPr>
                  <m:ctrlPr>
                    <w:rPr>
                      <w:rFonts w:hint="eastAsia" w:ascii="Cambria Math" w:hAnsi="Cambria Math"/>
                      <w:color w:val="00000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hint="eastAsia" w:ascii="Cambria Math" w:hAnsi="Cambria Math"/>
                      <w:color w:val="000000"/>
                      <w:sz w:val="18"/>
                      <w:szCs w:val="18"/>
                    </w:rPr>
                    <m:t>q</m:t>
                  </m:r>
                  <m:ctrlPr>
                    <w:rPr>
                      <w:rFonts w:hint="eastAsia" w:ascii="Cambria Math" w:hAnsi="Cambria Math"/>
                      <w:color w:val="00000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v</m:t>
                  </m:r>
                  <m:ctrlPr>
                    <w:rPr>
                      <w:rFonts w:hint="eastAsia" w:ascii="Cambria Math" w:hAnsi="Cambria Math"/>
                      <w:color w:val="000000"/>
                      <w:sz w:val="18"/>
                      <w:szCs w:val="18"/>
                    </w:rPr>
                  </m:ctrlPr>
                </m:sub>
              </m:sSub>
              <m:ctrlPr>
                <w:rPr>
                  <w:rFonts w:hint="eastAsia" w:ascii="Cambria Math" w:hAnsi="Cambria Math"/>
                  <w:color w:val="000000"/>
                  <w:sz w:val="18"/>
                  <w:szCs w:val="18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  <w:color w:val="000000"/>
              <w:sz w:val="18"/>
              <w:szCs w:val="1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color w:val="000000"/>
                  <w:sz w:val="18"/>
                  <w:szCs w:val="18"/>
                </w:rPr>
              </m:ctrlPr>
            </m:radPr>
            <m:deg>
              <m:ctrlPr>
                <w:rPr>
                  <w:rFonts w:ascii="Cambria Math" w:hAnsi="Cambria Math"/>
                  <w:color w:val="000000"/>
                  <w:sz w:val="18"/>
                  <w:szCs w:val="18"/>
                </w:rPr>
              </m:ctrlPr>
            </m:deg>
            <m:e>
              <m:sSubSup>
                <m:sSubSupP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hint="eastAsia" w:ascii="Cambria Math" w:hAnsi="Cambria Math"/>
                      <w:color w:val="000000"/>
                      <w:sz w:val="18"/>
                      <w:szCs w:val="18"/>
                    </w:rPr>
                    <m:t>c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/>
                      <w:color w:val="000000"/>
                      <w:sz w:val="18"/>
                      <w:szCs w:val="18"/>
                    </w:rPr>
                    <m:t>r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2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up>
              </m:sSubSup>
              <m:d>
                <m:dP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eastAsia" w:ascii="Cambria Math" w:hAnsi="Cambria Math"/>
                          <w:color w:val="000000"/>
                          <w:sz w:val="18"/>
                          <w:szCs w:val="18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e>
              </m:d>
              <m:sSubSup>
                <m:sSubSupP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u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r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2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up>
              </m:sSubSup>
              <m:d>
                <m:dP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eastAsia" w:ascii="Cambria Math" w:hAnsi="Cambria Math"/>
                          <w:color w:val="000000"/>
                          <w:sz w:val="18"/>
                          <w:szCs w:val="18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18"/>
                  <w:szCs w:val="18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hint="eastAsia" w:ascii="Cambria Math" w:hAnsi="Cambria Math"/>
                      <w:color w:val="000000"/>
                      <w:sz w:val="18"/>
                      <w:szCs w:val="18"/>
                    </w:rPr>
                    <m:t>c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/>
                      <w:color w:val="000000"/>
                      <w:sz w:val="18"/>
                      <w:szCs w:val="18"/>
                    </w:rPr>
                    <m:t>r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2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up>
              </m:sSubSup>
              <m:d>
                <m:dP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  <m:t>T</m:t>
                      </m:r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eastAsia" w:ascii="Cambria Math" w:hAnsi="Cambria Math"/>
                          <w:color w:val="000000"/>
                          <w:sz w:val="18"/>
                          <w:szCs w:val="18"/>
                        </w:rPr>
                        <m:t>m</m:t>
                      </m:r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e>
              </m:d>
              <m:sSubSup>
                <m:sSubSupP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u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r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2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up>
              </m:sSubSup>
              <m:d>
                <m:dP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  <m:t>T</m:t>
                      </m:r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eastAsia" w:ascii="Cambria Math" w:hAnsi="Cambria Math"/>
                          <w:color w:val="000000"/>
                          <w:sz w:val="18"/>
                          <w:szCs w:val="18"/>
                        </w:rPr>
                        <m:t>m</m:t>
                      </m:r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18"/>
                  <w:szCs w:val="18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hint="eastAsia" w:ascii="Cambria Math" w:hAnsi="Cambria Math"/>
                      <w:color w:val="000000"/>
                      <w:sz w:val="18"/>
                      <w:szCs w:val="18"/>
                    </w:rPr>
                    <m:t>c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/>
                      <w:color w:val="000000"/>
                      <w:sz w:val="18"/>
                      <w:szCs w:val="18"/>
                    </w:rPr>
                    <m:t>r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2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up>
              </m:sSubSup>
              <m:d>
                <m:dP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  <m:t>m</m:t>
                      </m:r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e>
              </m:d>
              <m:sSubSup>
                <m:sSubSupP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u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r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2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up>
              </m:sSubSup>
              <m:d>
                <m:dP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  <m:t>m</m:t>
                      </m:r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18"/>
                  <w:szCs w:val="18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hint="eastAsia" w:ascii="Cambria Math" w:hAnsi="Cambria Math"/>
                      <w:color w:val="000000"/>
                      <w:sz w:val="18"/>
                      <w:szCs w:val="18"/>
                    </w:rPr>
                    <m:t>c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/>
                      <w:color w:val="000000"/>
                      <w:sz w:val="18"/>
                      <w:szCs w:val="18"/>
                    </w:rPr>
                    <m:t>r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2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up>
              </m:sSubSup>
              <m:d>
                <m:dP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  <m:t>T</m:t>
                      </m:r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e>
              </m:d>
              <m:sSubSup>
                <m:sSubSupP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u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r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2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up>
              </m:sSubSup>
              <m:d>
                <m:dP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  <m:t>T</m:t>
                      </m:r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18"/>
                  <w:szCs w:val="18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hint="eastAsia" w:ascii="Cambria Math" w:hAnsi="Cambria Math"/>
                      <w:color w:val="000000"/>
                      <w:sz w:val="18"/>
                      <w:szCs w:val="18"/>
                    </w:rPr>
                    <m:t>c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/>
                      <w:color w:val="000000"/>
                      <w:sz w:val="18"/>
                      <w:szCs w:val="18"/>
                    </w:rPr>
                    <m:t>r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2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up>
              </m:sSubSup>
              <m:d>
                <m:dP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hint="eastAsia" w:ascii="Cambria Math" w:hAnsi="Cambria Math"/>
                          <w:color w:val="000000"/>
                          <w:sz w:val="18"/>
                          <w:szCs w:val="18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eastAsia" w:ascii="Cambria Math" w:hAnsi="Cambria Math"/>
                          <w:color w:val="000000"/>
                          <w:sz w:val="18"/>
                          <w:szCs w:val="18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e>
              </m:d>
              <m:sSubSup>
                <m:sSubSupP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u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r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2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up>
              </m:sSubSup>
              <m:d>
                <m:dP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hint="eastAsia" w:ascii="Cambria Math" w:hAnsi="Cambria Math"/>
                          <w:color w:val="000000"/>
                          <w:sz w:val="18"/>
                          <w:szCs w:val="18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eastAsia" w:ascii="Cambria Math" w:hAnsi="Cambria Math"/>
                          <w:color w:val="000000"/>
                          <w:sz w:val="18"/>
                          <w:szCs w:val="18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18"/>
                  <w:szCs w:val="18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u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r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2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up>
              </m:sSubSup>
              <m:d>
                <m:dP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  <m:t>E</m:t>
                      </m:r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  <m:t>r</m:t>
                      </m:r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e>
              </m:d>
              <m:ctrlPr>
                <w:rPr>
                  <w:rFonts w:ascii="Cambria Math" w:hAnsi="Cambria Math"/>
                  <w:color w:val="000000"/>
                  <w:sz w:val="18"/>
                  <w:szCs w:val="18"/>
                </w:rPr>
              </m:ctrlPr>
            </m:e>
          </m:rad>
        </m:oMath>
      </m:oMathPara>
    </w:p>
    <w:p>
      <w:pPr>
        <w:rPr>
          <w:rFonts w:hAnsi="Cambria Math"/>
          <w:color w:val="000000"/>
          <w:sz w:val="18"/>
          <w:szCs w:val="18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000000"/>
              <w:sz w:val="18"/>
              <w:szCs w:val="1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color w:val="000000"/>
                  <w:sz w:val="18"/>
                  <w:szCs w:val="18"/>
                </w:rPr>
              </m:ctrlPr>
            </m:radPr>
            <m:deg>
              <m:ctrlPr>
                <w:rPr>
                  <w:rFonts w:ascii="Cambria Math" w:hAnsi="Cambria Math"/>
                  <w:color w:val="000000"/>
                  <w:sz w:val="18"/>
                  <w:szCs w:val="18"/>
                </w:rPr>
              </m:ctrlPr>
            </m:deg>
            <m:e>
              <m:sSup>
                <m:sSupP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1.220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2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18"/>
                  <w:szCs w:val="1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0.116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2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18"/>
                  <w:szCs w:val="1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0.040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2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18"/>
                  <w:szCs w:val="1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0.116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2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18"/>
                  <w:szCs w:val="1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0.040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2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18"/>
                  <w:szCs w:val="1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0.5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2</m:t>
                  </m: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up>
              </m:sSup>
              <m:ctrlPr>
                <w:rPr>
                  <w:rFonts w:ascii="Cambria Math" w:hAnsi="Cambria Math"/>
                  <w:color w:val="000000"/>
                  <w:sz w:val="18"/>
                  <w:szCs w:val="18"/>
                </w:rPr>
              </m:ctrlPr>
            </m:e>
          </m:rad>
          <m:r>
            <m:rPr>
              <m:sty m:val="p"/>
            </m:rPr>
            <w:rPr>
              <w:rFonts w:ascii="Cambria Math" w:hAnsi="Cambria Math"/>
              <w:color w:val="000000"/>
              <w:sz w:val="18"/>
              <w:szCs w:val="18"/>
            </w:rPr>
            <m:t>=0.727%</m:t>
          </m:r>
        </m:oMath>
      </m:oMathPara>
    </w:p>
    <w:p>
      <w:pPr>
        <w:rPr>
          <w:rFonts w:ascii="宋体" w:hAnsi="宋体" w:cs="等线"/>
          <w:sz w:val="24"/>
        </w:rPr>
      </w:pPr>
      <w:r>
        <w:rPr>
          <w:rFonts w:hint="eastAsia" w:ascii="宋体" w:hAnsi="宋体" w:cs="等线"/>
          <w:sz w:val="24"/>
        </w:rPr>
        <w:t>B</w:t>
      </w:r>
      <w:r>
        <w:rPr>
          <w:rFonts w:ascii="宋体" w:hAnsi="宋体" w:cs="等线"/>
          <w:sz w:val="24"/>
        </w:rPr>
        <w:t>.</w:t>
      </w:r>
      <w:r>
        <w:rPr>
          <w:rFonts w:hint="eastAsia" w:ascii="宋体" w:hAnsi="宋体" w:cs="等线"/>
          <w:sz w:val="24"/>
        </w:rPr>
        <w:t>4扩展不确定度</w:t>
      </w:r>
    </w:p>
    <w:p>
      <w:pPr>
        <w:rPr>
          <w:rFonts w:ascii="宋体" w:hAnsi="宋体" w:cs="等线"/>
          <w:sz w:val="24"/>
        </w:rPr>
      </w:pPr>
      <w:r>
        <w:rPr>
          <w:rFonts w:ascii="宋体" w:hAnsi="宋体" w:cs="等线"/>
          <w:sz w:val="24"/>
        </w:rPr>
        <w:t>取包含因子k</w:t>
      </w:r>
      <w:r>
        <w:rPr>
          <w:rFonts w:hint="eastAsia" w:ascii="宋体" w:hAnsi="宋体" w:cs="等线"/>
          <w:sz w:val="24"/>
        </w:rPr>
        <w:t>=</w:t>
      </w:r>
      <w:r>
        <w:rPr>
          <w:rFonts w:ascii="宋体" w:hAnsi="宋体" w:cs="等线"/>
          <w:sz w:val="24"/>
        </w:rPr>
        <w:t>2，扩展不确定度为:</w:t>
      </w:r>
    </w:p>
    <w:p>
      <w:pPr>
        <w:rPr>
          <w:rFonts w:ascii="宋体" w:hAnsi="宋体"/>
          <w:sz w:val="24"/>
        </w:rPr>
      </w:pPr>
      <m:oMathPara>
        <m:oMath>
          <m:sSub>
            <m:sSubPr>
              <m:ctrlPr>
                <w:rPr>
                  <w:rFonts w:hint="eastAsia" w:ascii="Cambria Math" w:hAnsi="Cambria Math"/>
                  <w:color w:val="000000"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</w:rPr>
                <m:t>U</m:t>
              </m:r>
              <m:ctrlPr>
                <w:rPr>
                  <w:rFonts w:hint="eastAsia" w:ascii="Cambria Math" w:hAnsi="Cambria Math"/>
                  <w:color w:val="000000"/>
                  <w:sz w:val="24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</w:rPr>
                <m:t>R</m:t>
              </m:r>
              <m:ctrlPr>
                <w:rPr>
                  <w:rFonts w:hint="eastAsia" w:ascii="Cambria Math" w:hAnsi="Cambria Math"/>
                  <w:color w:val="000000"/>
                  <w:sz w:val="24"/>
                </w:rPr>
              </m:ctrlPr>
            </m:sub>
          </m:sSub>
          <m:d>
            <m:dPr>
              <m:ctrlPr>
                <w:rPr>
                  <w:rFonts w:hint="eastAsia" w:ascii="Cambria Math" w:hAnsi="Cambria Math"/>
                  <w:color w:val="000000"/>
                  <w:sz w:val="24"/>
                </w:rPr>
              </m:ctrlPr>
            </m:dPr>
            <m:e>
              <m:sSub>
                <m:sSubPr>
                  <m:ctrlPr>
                    <w:rPr>
                      <w:rFonts w:hint="eastAsia" w:ascii="Cambria Math" w:hAnsi="Cambria Math"/>
                      <w:color w:val="000000"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hint="eastAsia" w:ascii="Cambria Math" w:hAnsi="Cambria Math"/>
                      <w:color w:val="000000"/>
                      <w:sz w:val="24"/>
                    </w:rPr>
                    <m:t>q</m:t>
                  </m:r>
                  <m:ctrlPr>
                    <w:rPr>
                      <w:rFonts w:hint="eastAsia" w:ascii="Cambria Math" w:hAnsi="Cambria Math"/>
                      <w:color w:val="000000"/>
                      <w:sz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4"/>
                    </w:rPr>
                    <m:t>v</m:t>
                  </m:r>
                  <m:ctrlPr>
                    <w:rPr>
                      <w:rFonts w:hint="eastAsia" w:ascii="Cambria Math" w:hAnsi="Cambria Math"/>
                      <w:color w:val="000000"/>
                      <w:sz w:val="24"/>
                    </w:rPr>
                  </m:ctrlPr>
                </m:sub>
              </m:sSub>
              <m:ctrlPr>
                <w:rPr>
                  <w:rFonts w:hint="eastAsia" w:ascii="Cambria Math" w:hAnsi="Cambria Math"/>
                  <w:color w:val="000000"/>
                  <w:sz w:val="24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  <w:color w:val="000000"/>
              <w:sz w:val="24"/>
            </w:rPr>
            <m:t>=2</m:t>
          </m:r>
          <m:r>
            <m:rPr>
              <m:sty m:val="p"/>
            </m:rPr>
            <w:rPr>
              <w:rFonts w:ascii="Cambria Math" w:hAnsi="Cambria Math" w:cs="Cambria Math"/>
              <w:color w:val="000000"/>
              <w:sz w:val="24"/>
            </w:rPr>
            <m:t>×0.727%=1.46%</m:t>
          </m:r>
        </m:oMath>
      </m:oMathPara>
    </w:p>
    <w:sectPr>
      <w:pgSz w:w="11850" w:h="16783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framePr w:wrap="around" w:vAnchor="text" w:hAnchor="margin" w:xAlign="right" w:y="1"/>
      <w:rPr>
        <w:rStyle w:val="29"/>
      </w:rPr>
    </w:pPr>
    <w:r>
      <w:fldChar w:fldCharType="begin"/>
    </w:r>
    <w:r>
      <w:rPr>
        <w:rStyle w:val="29"/>
      </w:rPr>
      <w:instrText xml:space="preserve">PAGE  </w:instrText>
    </w:r>
    <w:r>
      <w:fldChar w:fldCharType="separate"/>
    </w:r>
    <w:r>
      <w:rPr>
        <w:rStyle w:val="29"/>
      </w:rPr>
      <w:t>II</w:t>
    </w:r>
    <w:r>
      <w:fldChar w:fldCharType="end"/>
    </w:r>
  </w:p>
  <w:p>
    <w:pPr>
      <w:pStyle w:val="1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framePr w:wrap="around" w:vAnchor="text" w:hAnchor="margin" w:xAlign="right" w:y="1"/>
      <w:rPr>
        <w:rStyle w:val="29"/>
      </w:rPr>
    </w:pPr>
    <w:r>
      <w:fldChar w:fldCharType="begin"/>
    </w:r>
    <w:r>
      <w:rPr>
        <w:rStyle w:val="29"/>
      </w:rPr>
      <w:instrText xml:space="preserve">PAGE  </w:instrText>
    </w:r>
    <w:r>
      <w:fldChar w:fldCharType="end"/>
    </w:r>
  </w:p>
  <w:p>
    <w:pPr>
      <w:pStyle w:val="1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framePr w:wrap="around" w:vAnchor="text" w:hAnchor="margin" w:xAlign="right" w:y="1"/>
      <w:rPr>
        <w:rStyle w:val="29"/>
      </w:rPr>
    </w:pPr>
    <w:r>
      <w:fldChar w:fldCharType="begin"/>
    </w:r>
    <w:r>
      <w:rPr>
        <w:rStyle w:val="29"/>
      </w:rPr>
      <w:instrText xml:space="preserve">PAGE  </w:instrText>
    </w:r>
    <w:r>
      <w:fldChar w:fldCharType="separate"/>
    </w:r>
    <w:r>
      <w:rPr>
        <w:rStyle w:val="29"/>
      </w:rPr>
      <w:t>4</w:t>
    </w:r>
    <w:r>
      <w:fldChar w:fldCharType="end"/>
    </w:r>
  </w:p>
  <w:p>
    <w:pPr>
      <w:pStyle w:val="1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framePr w:wrap="around" w:vAnchor="text" w:hAnchor="margin" w:xAlign="right" w:y="1"/>
      <w:rPr>
        <w:rStyle w:val="29"/>
      </w:rPr>
    </w:pPr>
    <w:r>
      <w:fldChar w:fldCharType="begin"/>
    </w:r>
    <w:r>
      <w:rPr>
        <w:rStyle w:val="29"/>
      </w:rPr>
      <w:instrText xml:space="preserve">PAGE  </w:instrText>
    </w:r>
    <w:r>
      <w:fldChar w:fldCharType="end"/>
    </w:r>
  </w:p>
  <w:p>
    <w:pPr>
      <w:pStyle w:val="17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</w:pPr>
    <w:r>
      <w:rPr>
        <w:rFonts w:ascii="黑体" w:eastAsia="黑体"/>
        <w:b/>
        <w:sz w:val="21"/>
      </w:rPr>
      <w:t>JJF</w:t>
    </w:r>
    <w:r>
      <w:rPr>
        <w:rFonts w:hint="eastAsia" w:ascii="黑体" w:eastAsia="黑体"/>
        <w:b/>
        <w:sz w:val="21"/>
      </w:rPr>
      <w:t>（建材）</w:t>
    </w:r>
    <w:r>
      <w:rPr>
        <w:rFonts w:hint="eastAsia" w:ascii="黑体" w:hAnsi="宋体" w:eastAsia="黑体"/>
        <w:b/>
        <w:sz w:val="21"/>
      </w:rPr>
      <w:t>××</w:t>
    </w:r>
    <w:r>
      <w:rPr>
        <w:rFonts w:hint="eastAsia" w:ascii="黑体" w:eastAsia="黑体"/>
        <w:b/>
        <w:sz w:val="21"/>
        <w:lang w:val="en-GB"/>
      </w:rPr>
      <w:t>—</w:t>
    </w:r>
    <w:r>
      <w:rPr>
        <w:rFonts w:hint="eastAsia" w:ascii="黑体" w:hAnsi="宋体" w:eastAsia="黑体"/>
        <w:b/>
        <w:sz w:val="21"/>
        <w:lang w:val="en-GB"/>
      </w:rPr>
      <w:t>××××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FAF74E"/>
    <w:multiLevelType w:val="singleLevel"/>
    <w:tmpl w:val="9DFAF74E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6A3B8B2"/>
    <w:multiLevelType w:val="singleLevel"/>
    <w:tmpl w:val="06A3B8B2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1FC91163"/>
    <w:multiLevelType w:val="multilevel"/>
    <w:tmpl w:val="1FC91163"/>
    <w:lvl w:ilvl="0" w:tentative="0">
      <w:start w:val="1"/>
      <w:numFmt w:val="decimal"/>
      <w:pStyle w:val="49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48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47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">
    <w:nsid w:val="497B46FA"/>
    <w:multiLevelType w:val="multilevel"/>
    <w:tmpl w:val="497B46FA"/>
    <w:lvl w:ilvl="0" w:tentative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bCs/>
        <w:spacing w:val="2"/>
        <w:w w:val="102"/>
        <w:sz w:val="21"/>
        <w:szCs w:val="21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  <w:spacing w:val="2"/>
        <w:w w:val="102"/>
        <w:sz w:val="21"/>
        <w:szCs w:val="21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  <w:spacing w:val="2"/>
        <w:w w:val="102"/>
        <w:sz w:val="21"/>
        <w:szCs w:val="21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  <w:rPr>
        <w:rFonts w:hint="default"/>
        <w:spacing w:val="2"/>
        <w:w w:val="102"/>
        <w:sz w:val="21"/>
        <w:szCs w:val="21"/>
      </w:rPr>
    </w:lvl>
    <w:lvl w:ilvl="4" w:tentative="0">
      <w:start w:val="1"/>
      <w:numFmt w:val="decimal"/>
      <w:lvlText w:val="%1.%2.%3.%4.%5."/>
      <w:lvlJc w:val="left"/>
      <w:pPr>
        <w:ind w:left="992" w:hanging="992"/>
      </w:pPr>
      <w:rPr>
        <w:rFonts w:hint="default"/>
        <w:spacing w:val="2"/>
        <w:w w:val="102"/>
        <w:sz w:val="21"/>
        <w:szCs w:val="21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abstractNum w:abstractNumId="4">
    <w:nsid w:val="591E9CCB"/>
    <w:multiLevelType w:val="singleLevel"/>
    <w:tmpl w:val="591E9CCB"/>
    <w:lvl w:ilvl="0" w:tentative="0">
      <w:start w:val="1"/>
      <w:numFmt w:val="lowerLetter"/>
      <w:suff w:val="space"/>
      <w:lvlText w:val="%1)"/>
      <w:lvlJc w:val="left"/>
    </w:lvl>
  </w:abstractNum>
  <w:abstractNum w:abstractNumId="5">
    <w:nsid w:val="60B55DC2"/>
    <w:multiLevelType w:val="multilevel"/>
    <w:tmpl w:val="60B55DC2"/>
    <w:lvl w:ilvl="0" w:tentative="0">
      <w:start w:val="1"/>
      <w:numFmt w:val="upperLetter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54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6">
    <w:nsid w:val="657D3FBC"/>
    <w:multiLevelType w:val="multilevel"/>
    <w:tmpl w:val="657D3FBC"/>
    <w:lvl w:ilvl="0" w:tentative="0">
      <w:start w:val="1"/>
      <w:numFmt w:val="upperLetter"/>
      <w:pStyle w:val="56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7">
    <w:nsid w:val="6DBF04F4"/>
    <w:multiLevelType w:val="multilevel"/>
    <w:tmpl w:val="6DBF04F4"/>
    <w:lvl w:ilvl="0" w:tentative="0">
      <w:start w:val="1"/>
      <w:numFmt w:val="none"/>
      <w:pStyle w:val="53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kMDNiODg2ODk5Yjk3OGRhMDE2MjQ0ZDI5ODk2ODIifQ=="/>
  </w:docVars>
  <w:rsids>
    <w:rsidRoot w:val="00172A27"/>
    <w:rsid w:val="00000A4C"/>
    <w:rsid w:val="00000DEC"/>
    <w:rsid w:val="00001A8C"/>
    <w:rsid w:val="00010AD0"/>
    <w:rsid w:val="00013C2C"/>
    <w:rsid w:val="00014AD5"/>
    <w:rsid w:val="0001789B"/>
    <w:rsid w:val="00023E0D"/>
    <w:rsid w:val="000240D7"/>
    <w:rsid w:val="00025B86"/>
    <w:rsid w:val="00026358"/>
    <w:rsid w:val="00030DC8"/>
    <w:rsid w:val="00032947"/>
    <w:rsid w:val="00034DDE"/>
    <w:rsid w:val="00035980"/>
    <w:rsid w:val="00037B5B"/>
    <w:rsid w:val="00037C71"/>
    <w:rsid w:val="000401D1"/>
    <w:rsid w:val="000439A5"/>
    <w:rsid w:val="00052F8B"/>
    <w:rsid w:val="00053DED"/>
    <w:rsid w:val="00056410"/>
    <w:rsid w:val="000654A8"/>
    <w:rsid w:val="000674DD"/>
    <w:rsid w:val="00067A17"/>
    <w:rsid w:val="00072BCE"/>
    <w:rsid w:val="00074E35"/>
    <w:rsid w:val="00080106"/>
    <w:rsid w:val="00080BDF"/>
    <w:rsid w:val="0008372D"/>
    <w:rsid w:val="00084AF8"/>
    <w:rsid w:val="00086062"/>
    <w:rsid w:val="00087083"/>
    <w:rsid w:val="0009015E"/>
    <w:rsid w:val="00091BEB"/>
    <w:rsid w:val="00093224"/>
    <w:rsid w:val="00093469"/>
    <w:rsid w:val="000A0574"/>
    <w:rsid w:val="000A0D40"/>
    <w:rsid w:val="000A233A"/>
    <w:rsid w:val="000B142F"/>
    <w:rsid w:val="000B1BE2"/>
    <w:rsid w:val="000B27E2"/>
    <w:rsid w:val="000B33FD"/>
    <w:rsid w:val="000B6C16"/>
    <w:rsid w:val="000B7BDC"/>
    <w:rsid w:val="000C0C21"/>
    <w:rsid w:val="000C4EF0"/>
    <w:rsid w:val="000C6B87"/>
    <w:rsid w:val="000C793B"/>
    <w:rsid w:val="000D0234"/>
    <w:rsid w:val="000D3351"/>
    <w:rsid w:val="000D7D52"/>
    <w:rsid w:val="000E1580"/>
    <w:rsid w:val="000E1839"/>
    <w:rsid w:val="000E2ACF"/>
    <w:rsid w:val="000F3190"/>
    <w:rsid w:val="000F3E8C"/>
    <w:rsid w:val="000F4368"/>
    <w:rsid w:val="000F4C48"/>
    <w:rsid w:val="000F7974"/>
    <w:rsid w:val="001024EE"/>
    <w:rsid w:val="001039F3"/>
    <w:rsid w:val="00105A50"/>
    <w:rsid w:val="00111222"/>
    <w:rsid w:val="00111398"/>
    <w:rsid w:val="00111C3B"/>
    <w:rsid w:val="00112204"/>
    <w:rsid w:val="00112F81"/>
    <w:rsid w:val="00115072"/>
    <w:rsid w:val="001151DB"/>
    <w:rsid w:val="001165FB"/>
    <w:rsid w:val="00117F7F"/>
    <w:rsid w:val="00121D34"/>
    <w:rsid w:val="00123421"/>
    <w:rsid w:val="001249FF"/>
    <w:rsid w:val="0012664B"/>
    <w:rsid w:val="00130338"/>
    <w:rsid w:val="00130C2C"/>
    <w:rsid w:val="00133A7F"/>
    <w:rsid w:val="00134959"/>
    <w:rsid w:val="00134B60"/>
    <w:rsid w:val="00135918"/>
    <w:rsid w:val="00144DE2"/>
    <w:rsid w:val="001453D2"/>
    <w:rsid w:val="00145F51"/>
    <w:rsid w:val="00146F83"/>
    <w:rsid w:val="0014785C"/>
    <w:rsid w:val="00150FA0"/>
    <w:rsid w:val="00151B28"/>
    <w:rsid w:val="001529EC"/>
    <w:rsid w:val="001557A0"/>
    <w:rsid w:val="00156166"/>
    <w:rsid w:val="001566CD"/>
    <w:rsid w:val="00161137"/>
    <w:rsid w:val="0016183F"/>
    <w:rsid w:val="00162293"/>
    <w:rsid w:val="0016457F"/>
    <w:rsid w:val="00172A27"/>
    <w:rsid w:val="001741CF"/>
    <w:rsid w:val="00181587"/>
    <w:rsid w:val="0018184F"/>
    <w:rsid w:val="00183657"/>
    <w:rsid w:val="001845A1"/>
    <w:rsid w:val="00197D71"/>
    <w:rsid w:val="001A2716"/>
    <w:rsid w:val="001A2C99"/>
    <w:rsid w:val="001A2F46"/>
    <w:rsid w:val="001B0FBD"/>
    <w:rsid w:val="001B23D0"/>
    <w:rsid w:val="001B355E"/>
    <w:rsid w:val="001B4E7F"/>
    <w:rsid w:val="001B5378"/>
    <w:rsid w:val="001B5A2F"/>
    <w:rsid w:val="001C1AA5"/>
    <w:rsid w:val="001C271C"/>
    <w:rsid w:val="001C532D"/>
    <w:rsid w:val="001C5F1D"/>
    <w:rsid w:val="001C6643"/>
    <w:rsid w:val="001D05D3"/>
    <w:rsid w:val="001D14F9"/>
    <w:rsid w:val="001D2CEB"/>
    <w:rsid w:val="001D38A4"/>
    <w:rsid w:val="001D4E5A"/>
    <w:rsid w:val="001D5910"/>
    <w:rsid w:val="001D7EA1"/>
    <w:rsid w:val="001E198B"/>
    <w:rsid w:val="001E2FE0"/>
    <w:rsid w:val="001E56FF"/>
    <w:rsid w:val="001E5B36"/>
    <w:rsid w:val="001F19D5"/>
    <w:rsid w:val="001F4E17"/>
    <w:rsid w:val="001F578E"/>
    <w:rsid w:val="002017A6"/>
    <w:rsid w:val="00202B7C"/>
    <w:rsid w:val="002075F0"/>
    <w:rsid w:val="00207B0C"/>
    <w:rsid w:val="0021078E"/>
    <w:rsid w:val="00212F0B"/>
    <w:rsid w:val="002142D7"/>
    <w:rsid w:val="00214CDA"/>
    <w:rsid w:val="002235FF"/>
    <w:rsid w:val="00223FDC"/>
    <w:rsid w:val="002247E0"/>
    <w:rsid w:val="0022551B"/>
    <w:rsid w:val="00225A5A"/>
    <w:rsid w:val="00225D5C"/>
    <w:rsid w:val="0022753E"/>
    <w:rsid w:val="002322C2"/>
    <w:rsid w:val="00232FE5"/>
    <w:rsid w:val="0023395B"/>
    <w:rsid w:val="002376F1"/>
    <w:rsid w:val="0024400E"/>
    <w:rsid w:val="00246F51"/>
    <w:rsid w:val="002500DB"/>
    <w:rsid w:val="00251BE2"/>
    <w:rsid w:val="002523F8"/>
    <w:rsid w:val="00253959"/>
    <w:rsid w:val="00257D39"/>
    <w:rsid w:val="002655B3"/>
    <w:rsid w:val="00272068"/>
    <w:rsid w:val="0027296B"/>
    <w:rsid w:val="002743B5"/>
    <w:rsid w:val="00274941"/>
    <w:rsid w:val="00274FAF"/>
    <w:rsid w:val="00275D83"/>
    <w:rsid w:val="00275F1D"/>
    <w:rsid w:val="0027601D"/>
    <w:rsid w:val="00276A02"/>
    <w:rsid w:val="00277954"/>
    <w:rsid w:val="00280E72"/>
    <w:rsid w:val="00280F7E"/>
    <w:rsid w:val="002817C1"/>
    <w:rsid w:val="00282421"/>
    <w:rsid w:val="00290678"/>
    <w:rsid w:val="002923AE"/>
    <w:rsid w:val="002952B7"/>
    <w:rsid w:val="002955DC"/>
    <w:rsid w:val="002B3808"/>
    <w:rsid w:val="002B427D"/>
    <w:rsid w:val="002B4C73"/>
    <w:rsid w:val="002B60B6"/>
    <w:rsid w:val="002B6960"/>
    <w:rsid w:val="002C08EA"/>
    <w:rsid w:val="002C0EDC"/>
    <w:rsid w:val="002C162B"/>
    <w:rsid w:val="002C4C5B"/>
    <w:rsid w:val="002D03DB"/>
    <w:rsid w:val="002D1729"/>
    <w:rsid w:val="002D4351"/>
    <w:rsid w:val="002D676B"/>
    <w:rsid w:val="002D6F28"/>
    <w:rsid w:val="002E1F27"/>
    <w:rsid w:val="002E20B3"/>
    <w:rsid w:val="002E2416"/>
    <w:rsid w:val="002E2ECB"/>
    <w:rsid w:val="002E31CA"/>
    <w:rsid w:val="002E33A0"/>
    <w:rsid w:val="002E3D58"/>
    <w:rsid w:val="002E5EF6"/>
    <w:rsid w:val="002F1A89"/>
    <w:rsid w:val="002F2A5B"/>
    <w:rsid w:val="002F2B98"/>
    <w:rsid w:val="002F3850"/>
    <w:rsid w:val="002F4857"/>
    <w:rsid w:val="002F544A"/>
    <w:rsid w:val="002F661B"/>
    <w:rsid w:val="00303E06"/>
    <w:rsid w:val="00306464"/>
    <w:rsid w:val="003079DD"/>
    <w:rsid w:val="003120AD"/>
    <w:rsid w:val="00315BAD"/>
    <w:rsid w:val="00320D32"/>
    <w:rsid w:val="0032277F"/>
    <w:rsid w:val="00325601"/>
    <w:rsid w:val="003333E4"/>
    <w:rsid w:val="00333B7C"/>
    <w:rsid w:val="00333BC9"/>
    <w:rsid w:val="003357EC"/>
    <w:rsid w:val="0033719D"/>
    <w:rsid w:val="00340889"/>
    <w:rsid w:val="003429D9"/>
    <w:rsid w:val="00343E1C"/>
    <w:rsid w:val="00350BA2"/>
    <w:rsid w:val="003517D0"/>
    <w:rsid w:val="00351C62"/>
    <w:rsid w:val="003546E8"/>
    <w:rsid w:val="00354D4F"/>
    <w:rsid w:val="003570BD"/>
    <w:rsid w:val="003613D5"/>
    <w:rsid w:val="00362302"/>
    <w:rsid w:val="00366A4A"/>
    <w:rsid w:val="00366CF1"/>
    <w:rsid w:val="00373D63"/>
    <w:rsid w:val="003745A6"/>
    <w:rsid w:val="003808C0"/>
    <w:rsid w:val="003812D9"/>
    <w:rsid w:val="003828F0"/>
    <w:rsid w:val="0038573C"/>
    <w:rsid w:val="00386550"/>
    <w:rsid w:val="00387773"/>
    <w:rsid w:val="00387BF0"/>
    <w:rsid w:val="003909DE"/>
    <w:rsid w:val="00391959"/>
    <w:rsid w:val="00393389"/>
    <w:rsid w:val="003969EF"/>
    <w:rsid w:val="003A46FD"/>
    <w:rsid w:val="003A53EF"/>
    <w:rsid w:val="003A5450"/>
    <w:rsid w:val="003A5B77"/>
    <w:rsid w:val="003A5E8C"/>
    <w:rsid w:val="003A6527"/>
    <w:rsid w:val="003A6EE8"/>
    <w:rsid w:val="003A70C9"/>
    <w:rsid w:val="003B09C6"/>
    <w:rsid w:val="003B0C44"/>
    <w:rsid w:val="003B0D4C"/>
    <w:rsid w:val="003B2782"/>
    <w:rsid w:val="003B6103"/>
    <w:rsid w:val="003C060B"/>
    <w:rsid w:val="003C1370"/>
    <w:rsid w:val="003C2606"/>
    <w:rsid w:val="003C2A61"/>
    <w:rsid w:val="003C3BC3"/>
    <w:rsid w:val="003C50CE"/>
    <w:rsid w:val="003C50E1"/>
    <w:rsid w:val="003C5BE9"/>
    <w:rsid w:val="003C5DFC"/>
    <w:rsid w:val="003C5EDD"/>
    <w:rsid w:val="003D243C"/>
    <w:rsid w:val="003D4074"/>
    <w:rsid w:val="003D7DC0"/>
    <w:rsid w:val="003E3AE6"/>
    <w:rsid w:val="003E3E93"/>
    <w:rsid w:val="003E3F52"/>
    <w:rsid w:val="003E4FFC"/>
    <w:rsid w:val="003E5B77"/>
    <w:rsid w:val="003E6D1B"/>
    <w:rsid w:val="003E79EE"/>
    <w:rsid w:val="003F30B3"/>
    <w:rsid w:val="003F4732"/>
    <w:rsid w:val="003F74E5"/>
    <w:rsid w:val="00400589"/>
    <w:rsid w:val="004024F0"/>
    <w:rsid w:val="00402D3F"/>
    <w:rsid w:val="004046C5"/>
    <w:rsid w:val="00404A94"/>
    <w:rsid w:val="00404D1B"/>
    <w:rsid w:val="00404E98"/>
    <w:rsid w:val="00412A7A"/>
    <w:rsid w:val="00413504"/>
    <w:rsid w:val="004137F3"/>
    <w:rsid w:val="00414712"/>
    <w:rsid w:val="00415100"/>
    <w:rsid w:val="00415998"/>
    <w:rsid w:val="00415BC6"/>
    <w:rsid w:val="00416544"/>
    <w:rsid w:val="0041678F"/>
    <w:rsid w:val="00416864"/>
    <w:rsid w:val="00416EA3"/>
    <w:rsid w:val="0042142B"/>
    <w:rsid w:val="00421E11"/>
    <w:rsid w:val="0043040C"/>
    <w:rsid w:val="00430ADD"/>
    <w:rsid w:val="004311F3"/>
    <w:rsid w:val="0043221B"/>
    <w:rsid w:val="00432D90"/>
    <w:rsid w:val="0043475B"/>
    <w:rsid w:val="00435391"/>
    <w:rsid w:val="00435E13"/>
    <w:rsid w:val="00436567"/>
    <w:rsid w:val="00445E26"/>
    <w:rsid w:val="004469B2"/>
    <w:rsid w:val="00450F14"/>
    <w:rsid w:val="0045179F"/>
    <w:rsid w:val="004517AD"/>
    <w:rsid w:val="00451A88"/>
    <w:rsid w:val="0045361E"/>
    <w:rsid w:val="00453CD1"/>
    <w:rsid w:val="00455A55"/>
    <w:rsid w:val="0045638B"/>
    <w:rsid w:val="00457B5C"/>
    <w:rsid w:val="00457F88"/>
    <w:rsid w:val="00460CDB"/>
    <w:rsid w:val="00462267"/>
    <w:rsid w:val="00462F4F"/>
    <w:rsid w:val="004705DC"/>
    <w:rsid w:val="004719A5"/>
    <w:rsid w:val="00471EFD"/>
    <w:rsid w:val="00472118"/>
    <w:rsid w:val="0048095E"/>
    <w:rsid w:val="0048132D"/>
    <w:rsid w:val="004856F8"/>
    <w:rsid w:val="0048575F"/>
    <w:rsid w:val="00491E17"/>
    <w:rsid w:val="004920F2"/>
    <w:rsid w:val="00496F83"/>
    <w:rsid w:val="004A0788"/>
    <w:rsid w:val="004A10E2"/>
    <w:rsid w:val="004A1355"/>
    <w:rsid w:val="004A455A"/>
    <w:rsid w:val="004A4574"/>
    <w:rsid w:val="004A4EDE"/>
    <w:rsid w:val="004A734D"/>
    <w:rsid w:val="004B15AA"/>
    <w:rsid w:val="004B43E2"/>
    <w:rsid w:val="004B47BC"/>
    <w:rsid w:val="004B4C4A"/>
    <w:rsid w:val="004B5063"/>
    <w:rsid w:val="004B6387"/>
    <w:rsid w:val="004B7084"/>
    <w:rsid w:val="004C26C7"/>
    <w:rsid w:val="004C2BE3"/>
    <w:rsid w:val="004C44B8"/>
    <w:rsid w:val="004C569E"/>
    <w:rsid w:val="004C6BCC"/>
    <w:rsid w:val="004C7AA7"/>
    <w:rsid w:val="004D0EEF"/>
    <w:rsid w:val="004D13B5"/>
    <w:rsid w:val="004D2821"/>
    <w:rsid w:val="004D3667"/>
    <w:rsid w:val="004D367A"/>
    <w:rsid w:val="004D7758"/>
    <w:rsid w:val="004F017E"/>
    <w:rsid w:val="004F4595"/>
    <w:rsid w:val="004F6A42"/>
    <w:rsid w:val="004F6D5F"/>
    <w:rsid w:val="004F6EC9"/>
    <w:rsid w:val="004F70FF"/>
    <w:rsid w:val="004F7887"/>
    <w:rsid w:val="0050592E"/>
    <w:rsid w:val="005076D7"/>
    <w:rsid w:val="00507B38"/>
    <w:rsid w:val="005126CC"/>
    <w:rsid w:val="0051311F"/>
    <w:rsid w:val="005132AB"/>
    <w:rsid w:val="005151F4"/>
    <w:rsid w:val="00515323"/>
    <w:rsid w:val="00517F7D"/>
    <w:rsid w:val="00522411"/>
    <w:rsid w:val="00523D9B"/>
    <w:rsid w:val="005308E6"/>
    <w:rsid w:val="00533037"/>
    <w:rsid w:val="005333B4"/>
    <w:rsid w:val="00533BA1"/>
    <w:rsid w:val="00537135"/>
    <w:rsid w:val="00540429"/>
    <w:rsid w:val="0054334F"/>
    <w:rsid w:val="0054339D"/>
    <w:rsid w:val="00546D44"/>
    <w:rsid w:val="0055077E"/>
    <w:rsid w:val="0055207A"/>
    <w:rsid w:val="00552CBA"/>
    <w:rsid w:val="00556523"/>
    <w:rsid w:val="00556E0B"/>
    <w:rsid w:val="005570A7"/>
    <w:rsid w:val="00557895"/>
    <w:rsid w:val="00560491"/>
    <w:rsid w:val="00561128"/>
    <w:rsid w:val="0056368D"/>
    <w:rsid w:val="00563DBF"/>
    <w:rsid w:val="0056405F"/>
    <w:rsid w:val="00564400"/>
    <w:rsid w:val="0056470D"/>
    <w:rsid w:val="00564DCA"/>
    <w:rsid w:val="00570BF0"/>
    <w:rsid w:val="00572662"/>
    <w:rsid w:val="00573215"/>
    <w:rsid w:val="00573CA1"/>
    <w:rsid w:val="0057466E"/>
    <w:rsid w:val="00575911"/>
    <w:rsid w:val="00575A21"/>
    <w:rsid w:val="00582250"/>
    <w:rsid w:val="00584D9B"/>
    <w:rsid w:val="00587150"/>
    <w:rsid w:val="00590793"/>
    <w:rsid w:val="005912EE"/>
    <w:rsid w:val="00594060"/>
    <w:rsid w:val="0059693E"/>
    <w:rsid w:val="00596F58"/>
    <w:rsid w:val="00597009"/>
    <w:rsid w:val="00597E79"/>
    <w:rsid w:val="00597EBE"/>
    <w:rsid w:val="005A09B8"/>
    <w:rsid w:val="005A23C9"/>
    <w:rsid w:val="005A2E56"/>
    <w:rsid w:val="005A31AF"/>
    <w:rsid w:val="005A48B2"/>
    <w:rsid w:val="005B0F6B"/>
    <w:rsid w:val="005B44A6"/>
    <w:rsid w:val="005B5D63"/>
    <w:rsid w:val="005B6B8B"/>
    <w:rsid w:val="005C4BFA"/>
    <w:rsid w:val="005C6B4D"/>
    <w:rsid w:val="005D58DD"/>
    <w:rsid w:val="005D617F"/>
    <w:rsid w:val="005D67D9"/>
    <w:rsid w:val="005D6BEA"/>
    <w:rsid w:val="005D7420"/>
    <w:rsid w:val="005E17DA"/>
    <w:rsid w:val="005E2789"/>
    <w:rsid w:val="005E496E"/>
    <w:rsid w:val="005E65D9"/>
    <w:rsid w:val="005E6A61"/>
    <w:rsid w:val="005F2173"/>
    <w:rsid w:val="005F2711"/>
    <w:rsid w:val="005F4FB1"/>
    <w:rsid w:val="00602CB2"/>
    <w:rsid w:val="00607C29"/>
    <w:rsid w:val="00610032"/>
    <w:rsid w:val="006113A7"/>
    <w:rsid w:val="00614DC9"/>
    <w:rsid w:val="00616F95"/>
    <w:rsid w:val="00617E3B"/>
    <w:rsid w:val="0062400E"/>
    <w:rsid w:val="00624525"/>
    <w:rsid w:val="00627314"/>
    <w:rsid w:val="00630655"/>
    <w:rsid w:val="006312BA"/>
    <w:rsid w:val="0063238A"/>
    <w:rsid w:val="00632446"/>
    <w:rsid w:val="006372F1"/>
    <w:rsid w:val="00640445"/>
    <w:rsid w:val="006413A6"/>
    <w:rsid w:val="00641408"/>
    <w:rsid w:val="0064171D"/>
    <w:rsid w:val="0064256A"/>
    <w:rsid w:val="00645A70"/>
    <w:rsid w:val="00650A3E"/>
    <w:rsid w:val="00651626"/>
    <w:rsid w:val="006565C5"/>
    <w:rsid w:val="0065667F"/>
    <w:rsid w:val="00656DF8"/>
    <w:rsid w:val="00661843"/>
    <w:rsid w:val="00662161"/>
    <w:rsid w:val="0066303D"/>
    <w:rsid w:val="00665BC9"/>
    <w:rsid w:val="00666116"/>
    <w:rsid w:val="006676B9"/>
    <w:rsid w:val="00670088"/>
    <w:rsid w:val="006723E6"/>
    <w:rsid w:val="00673F14"/>
    <w:rsid w:val="00674601"/>
    <w:rsid w:val="006759CD"/>
    <w:rsid w:val="00683A38"/>
    <w:rsid w:val="00687A6D"/>
    <w:rsid w:val="00692C03"/>
    <w:rsid w:val="00693454"/>
    <w:rsid w:val="006A3759"/>
    <w:rsid w:val="006A5768"/>
    <w:rsid w:val="006A592E"/>
    <w:rsid w:val="006A5D58"/>
    <w:rsid w:val="006A6ED0"/>
    <w:rsid w:val="006B0350"/>
    <w:rsid w:val="006B0A8F"/>
    <w:rsid w:val="006B44C8"/>
    <w:rsid w:val="006B5B43"/>
    <w:rsid w:val="006B64CB"/>
    <w:rsid w:val="006C2995"/>
    <w:rsid w:val="006D1342"/>
    <w:rsid w:val="006D1761"/>
    <w:rsid w:val="006D2E32"/>
    <w:rsid w:val="006D6872"/>
    <w:rsid w:val="006E0065"/>
    <w:rsid w:val="006E22F6"/>
    <w:rsid w:val="006E2BEF"/>
    <w:rsid w:val="006E7542"/>
    <w:rsid w:val="006F35B9"/>
    <w:rsid w:val="006F377C"/>
    <w:rsid w:val="006F5031"/>
    <w:rsid w:val="006F5272"/>
    <w:rsid w:val="007011A6"/>
    <w:rsid w:val="00701785"/>
    <w:rsid w:val="00705032"/>
    <w:rsid w:val="00710344"/>
    <w:rsid w:val="00710FA8"/>
    <w:rsid w:val="0071399A"/>
    <w:rsid w:val="00716B57"/>
    <w:rsid w:val="00721007"/>
    <w:rsid w:val="00721111"/>
    <w:rsid w:val="00724E6C"/>
    <w:rsid w:val="00725455"/>
    <w:rsid w:val="00727E84"/>
    <w:rsid w:val="00730463"/>
    <w:rsid w:val="00732B73"/>
    <w:rsid w:val="0073317F"/>
    <w:rsid w:val="00735A4F"/>
    <w:rsid w:val="00737584"/>
    <w:rsid w:val="00737CF6"/>
    <w:rsid w:val="0074688D"/>
    <w:rsid w:val="007474DE"/>
    <w:rsid w:val="007507E6"/>
    <w:rsid w:val="00751FE2"/>
    <w:rsid w:val="00752264"/>
    <w:rsid w:val="00754E35"/>
    <w:rsid w:val="0075518F"/>
    <w:rsid w:val="00762530"/>
    <w:rsid w:val="00762542"/>
    <w:rsid w:val="00763B24"/>
    <w:rsid w:val="00763E27"/>
    <w:rsid w:val="00767A8C"/>
    <w:rsid w:val="0077596A"/>
    <w:rsid w:val="0078004B"/>
    <w:rsid w:val="00780ED0"/>
    <w:rsid w:val="007848E4"/>
    <w:rsid w:val="0078548F"/>
    <w:rsid w:val="00785D52"/>
    <w:rsid w:val="00785EAC"/>
    <w:rsid w:val="0078746E"/>
    <w:rsid w:val="007905D4"/>
    <w:rsid w:val="00790E14"/>
    <w:rsid w:val="00793174"/>
    <w:rsid w:val="00793515"/>
    <w:rsid w:val="0079368D"/>
    <w:rsid w:val="00794694"/>
    <w:rsid w:val="00794F9D"/>
    <w:rsid w:val="0079525B"/>
    <w:rsid w:val="00796B99"/>
    <w:rsid w:val="00797B43"/>
    <w:rsid w:val="00797C1D"/>
    <w:rsid w:val="007A1871"/>
    <w:rsid w:val="007A2D46"/>
    <w:rsid w:val="007A6370"/>
    <w:rsid w:val="007A6B03"/>
    <w:rsid w:val="007A7A49"/>
    <w:rsid w:val="007A7C67"/>
    <w:rsid w:val="007B0261"/>
    <w:rsid w:val="007B430B"/>
    <w:rsid w:val="007B48FF"/>
    <w:rsid w:val="007B4EF3"/>
    <w:rsid w:val="007B55E0"/>
    <w:rsid w:val="007B56BE"/>
    <w:rsid w:val="007B71B2"/>
    <w:rsid w:val="007C1A18"/>
    <w:rsid w:val="007C2752"/>
    <w:rsid w:val="007D2B7D"/>
    <w:rsid w:val="007D2D0F"/>
    <w:rsid w:val="007D67D5"/>
    <w:rsid w:val="007D7BE8"/>
    <w:rsid w:val="007E2DDB"/>
    <w:rsid w:val="007F0119"/>
    <w:rsid w:val="007F4A81"/>
    <w:rsid w:val="007F5C36"/>
    <w:rsid w:val="008012B2"/>
    <w:rsid w:val="0080175D"/>
    <w:rsid w:val="00802CF3"/>
    <w:rsid w:val="00802ED2"/>
    <w:rsid w:val="008034D3"/>
    <w:rsid w:val="0080463F"/>
    <w:rsid w:val="008055C8"/>
    <w:rsid w:val="0080632D"/>
    <w:rsid w:val="0080719C"/>
    <w:rsid w:val="00810C1D"/>
    <w:rsid w:val="008126C5"/>
    <w:rsid w:val="008140BB"/>
    <w:rsid w:val="008156F3"/>
    <w:rsid w:val="008167B9"/>
    <w:rsid w:val="0081736A"/>
    <w:rsid w:val="008200F0"/>
    <w:rsid w:val="00821E3D"/>
    <w:rsid w:val="00823E3E"/>
    <w:rsid w:val="0082746B"/>
    <w:rsid w:val="008309BE"/>
    <w:rsid w:val="00831AF2"/>
    <w:rsid w:val="00834034"/>
    <w:rsid w:val="00834132"/>
    <w:rsid w:val="008349B5"/>
    <w:rsid w:val="00835496"/>
    <w:rsid w:val="00841EE2"/>
    <w:rsid w:val="00846124"/>
    <w:rsid w:val="00846D4A"/>
    <w:rsid w:val="00847F8D"/>
    <w:rsid w:val="00850529"/>
    <w:rsid w:val="00851343"/>
    <w:rsid w:val="00851953"/>
    <w:rsid w:val="008548D3"/>
    <w:rsid w:val="00854B07"/>
    <w:rsid w:val="0085568F"/>
    <w:rsid w:val="00855850"/>
    <w:rsid w:val="00855CCF"/>
    <w:rsid w:val="00857383"/>
    <w:rsid w:val="00860ABE"/>
    <w:rsid w:val="008648B3"/>
    <w:rsid w:val="008648F6"/>
    <w:rsid w:val="008656D7"/>
    <w:rsid w:val="00867D02"/>
    <w:rsid w:val="0087058A"/>
    <w:rsid w:val="00871D31"/>
    <w:rsid w:val="00872619"/>
    <w:rsid w:val="00873705"/>
    <w:rsid w:val="008741BE"/>
    <w:rsid w:val="0087610E"/>
    <w:rsid w:val="00881E0E"/>
    <w:rsid w:val="00883558"/>
    <w:rsid w:val="0088492D"/>
    <w:rsid w:val="00884AC4"/>
    <w:rsid w:val="00885D48"/>
    <w:rsid w:val="0088768C"/>
    <w:rsid w:val="00887E4E"/>
    <w:rsid w:val="00887E92"/>
    <w:rsid w:val="00891128"/>
    <w:rsid w:val="00895E53"/>
    <w:rsid w:val="00897940"/>
    <w:rsid w:val="008A1670"/>
    <w:rsid w:val="008A1D91"/>
    <w:rsid w:val="008A409E"/>
    <w:rsid w:val="008A4BD6"/>
    <w:rsid w:val="008A6AEA"/>
    <w:rsid w:val="008B023A"/>
    <w:rsid w:val="008B0AB8"/>
    <w:rsid w:val="008B0CD6"/>
    <w:rsid w:val="008B1ADA"/>
    <w:rsid w:val="008B7D11"/>
    <w:rsid w:val="008B7DF0"/>
    <w:rsid w:val="008C1A20"/>
    <w:rsid w:val="008C26D5"/>
    <w:rsid w:val="008D02FE"/>
    <w:rsid w:val="008D0C3A"/>
    <w:rsid w:val="008D1FAB"/>
    <w:rsid w:val="008D3F3F"/>
    <w:rsid w:val="008E04E6"/>
    <w:rsid w:val="008E1523"/>
    <w:rsid w:val="008E2862"/>
    <w:rsid w:val="008E30F6"/>
    <w:rsid w:val="008E5240"/>
    <w:rsid w:val="008F20ED"/>
    <w:rsid w:val="008F3E56"/>
    <w:rsid w:val="008F66DB"/>
    <w:rsid w:val="00900D75"/>
    <w:rsid w:val="00900F00"/>
    <w:rsid w:val="0090199C"/>
    <w:rsid w:val="00911115"/>
    <w:rsid w:val="009131DD"/>
    <w:rsid w:val="00914B2E"/>
    <w:rsid w:val="00916027"/>
    <w:rsid w:val="00916B0A"/>
    <w:rsid w:val="009210F3"/>
    <w:rsid w:val="009212EA"/>
    <w:rsid w:val="00925295"/>
    <w:rsid w:val="00925606"/>
    <w:rsid w:val="00926D39"/>
    <w:rsid w:val="0092786B"/>
    <w:rsid w:val="0092788D"/>
    <w:rsid w:val="009301AC"/>
    <w:rsid w:val="00930DB5"/>
    <w:rsid w:val="009367B6"/>
    <w:rsid w:val="00936C38"/>
    <w:rsid w:val="009429A9"/>
    <w:rsid w:val="00942B5E"/>
    <w:rsid w:val="009443FF"/>
    <w:rsid w:val="00945D7F"/>
    <w:rsid w:val="009475C1"/>
    <w:rsid w:val="00952B6D"/>
    <w:rsid w:val="00954026"/>
    <w:rsid w:val="009601C6"/>
    <w:rsid w:val="00961C11"/>
    <w:rsid w:val="00961F45"/>
    <w:rsid w:val="00962FB6"/>
    <w:rsid w:val="009644B3"/>
    <w:rsid w:val="009647D5"/>
    <w:rsid w:val="00965F88"/>
    <w:rsid w:val="00965FAA"/>
    <w:rsid w:val="00967B8A"/>
    <w:rsid w:val="009705FD"/>
    <w:rsid w:val="00971999"/>
    <w:rsid w:val="00975378"/>
    <w:rsid w:val="0098291F"/>
    <w:rsid w:val="0098319D"/>
    <w:rsid w:val="00994967"/>
    <w:rsid w:val="00996231"/>
    <w:rsid w:val="009A261F"/>
    <w:rsid w:val="009A3E1D"/>
    <w:rsid w:val="009A559F"/>
    <w:rsid w:val="009B1A0D"/>
    <w:rsid w:val="009B225A"/>
    <w:rsid w:val="009B3BD3"/>
    <w:rsid w:val="009B5067"/>
    <w:rsid w:val="009B6894"/>
    <w:rsid w:val="009B787C"/>
    <w:rsid w:val="009C0F29"/>
    <w:rsid w:val="009C1569"/>
    <w:rsid w:val="009C24DC"/>
    <w:rsid w:val="009C2E79"/>
    <w:rsid w:val="009C4FC6"/>
    <w:rsid w:val="009D2FAD"/>
    <w:rsid w:val="009D3BD1"/>
    <w:rsid w:val="009D3E4B"/>
    <w:rsid w:val="009D460D"/>
    <w:rsid w:val="009D5C56"/>
    <w:rsid w:val="009D63E7"/>
    <w:rsid w:val="009D75A9"/>
    <w:rsid w:val="009D769E"/>
    <w:rsid w:val="009E03A9"/>
    <w:rsid w:val="009E648C"/>
    <w:rsid w:val="009E69BC"/>
    <w:rsid w:val="009F06FE"/>
    <w:rsid w:val="009F3070"/>
    <w:rsid w:val="009F3717"/>
    <w:rsid w:val="009F3CB4"/>
    <w:rsid w:val="009F4BDE"/>
    <w:rsid w:val="009F5AED"/>
    <w:rsid w:val="009F66E8"/>
    <w:rsid w:val="009F7024"/>
    <w:rsid w:val="009F70C3"/>
    <w:rsid w:val="009F7838"/>
    <w:rsid w:val="009F7945"/>
    <w:rsid w:val="00A006B0"/>
    <w:rsid w:val="00A02AAB"/>
    <w:rsid w:val="00A07DB1"/>
    <w:rsid w:val="00A10FA6"/>
    <w:rsid w:val="00A136BE"/>
    <w:rsid w:val="00A14F88"/>
    <w:rsid w:val="00A167D8"/>
    <w:rsid w:val="00A17AB5"/>
    <w:rsid w:val="00A23883"/>
    <w:rsid w:val="00A23A65"/>
    <w:rsid w:val="00A31C14"/>
    <w:rsid w:val="00A32914"/>
    <w:rsid w:val="00A33DFC"/>
    <w:rsid w:val="00A36474"/>
    <w:rsid w:val="00A4023E"/>
    <w:rsid w:val="00A40631"/>
    <w:rsid w:val="00A4353A"/>
    <w:rsid w:val="00A4575F"/>
    <w:rsid w:val="00A46647"/>
    <w:rsid w:val="00A57327"/>
    <w:rsid w:val="00A619B4"/>
    <w:rsid w:val="00A6202D"/>
    <w:rsid w:val="00A657B5"/>
    <w:rsid w:val="00A6679E"/>
    <w:rsid w:val="00A66B28"/>
    <w:rsid w:val="00A722C7"/>
    <w:rsid w:val="00A72310"/>
    <w:rsid w:val="00A73658"/>
    <w:rsid w:val="00A75429"/>
    <w:rsid w:val="00A83A78"/>
    <w:rsid w:val="00A83DAB"/>
    <w:rsid w:val="00A8400F"/>
    <w:rsid w:val="00A84AEE"/>
    <w:rsid w:val="00A855EB"/>
    <w:rsid w:val="00A857B2"/>
    <w:rsid w:val="00A87E7B"/>
    <w:rsid w:val="00A91B21"/>
    <w:rsid w:val="00A9256A"/>
    <w:rsid w:val="00A9267E"/>
    <w:rsid w:val="00A92A8D"/>
    <w:rsid w:val="00A93179"/>
    <w:rsid w:val="00A95A59"/>
    <w:rsid w:val="00A95DDF"/>
    <w:rsid w:val="00A95FF2"/>
    <w:rsid w:val="00A96179"/>
    <w:rsid w:val="00AA6E80"/>
    <w:rsid w:val="00AA73FA"/>
    <w:rsid w:val="00AB20E9"/>
    <w:rsid w:val="00AB575E"/>
    <w:rsid w:val="00AB7B0C"/>
    <w:rsid w:val="00AB7CAB"/>
    <w:rsid w:val="00AC0B0A"/>
    <w:rsid w:val="00AC363F"/>
    <w:rsid w:val="00AC373E"/>
    <w:rsid w:val="00AC7969"/>
    <w:rsid w:val="00AD01D1"/>
    <w:rsid w:val="00AD0CC3"/>
    <w:rsid w:val="00AD10E2"/>
    <w:rsid w:val="00AD1E16"/>
    <w:rsid w:val="00AD2FD2"/>
    <w:rsid w:val="00AD4A91"/>
    <w:rsid w:val="00AD51AD"/>
    <w:rsid w:val="00AD5AC6"/>
    <w:rsid w:val="00AD69D9"/>
    <w:rsid w:val="00AD7695"/>
    <w:rsid w:val="00AE0AA1"/>
    <w:rsid w:val="00AE0AE9"/>
    <w:rsid w:val="00AE0B4C"/>
    <w:rsid w:val="00AE12AB"/>
    <w:rsid w:val="00AE1342"/>
    <w:rsid w:val="00AE1EA6"/>
    <w:rsid w:val="00AE2CF2"/>
    <w:rsid w:val="00AE3C2E"/>
    <w:rsid w:val="00AF47CB"/>
    <w:rsid w:val="00AF5BF1"/>
    <w:rsid w:val="00B05ABF"/>
    <w:rsid w:val="00B061E5"/>
    <w:rsid w:val="00B06D4E"/>
    <w:rsid w:val="00B10240"/>
    <w:rsid w:val="00B11882"/>
    <w:rsid w:val="00B11953"/>
    <w:rsid w:val="00B119F3"/>
    <w:rsid w:val="00B14F35"/>
    <w:rsid w:val="00B21048"/>
    <w:rsid w:val="00B22781"/>
    <w:rsid w:val="00B2307D"/>
    <w:rsid w:val="00B25BC5"/>
    <w:rsid w:val="00B30A3C"/>
    <w:rsid w:val="00B31ED7"/>
    <w:rsid w:val="00B3261B"/>
    <w:rsid w:val="00B33449"/>
    <w:rsid w:val="00B348ED"/>
    <w:rsid w:val="00B368C6"/>
    <w:rsid w:val="00B40F3A"/>
    <w:rsid w:val="00B43073"/>
    <w:rsid w:val="00B50B39"/>
    <w:rsid w:val="00B54806"/>
    <w:rsid w:val="00B5763F"/>
    <w:rsid w:val="00B60F2D"/>
    <w:rsid w:val="00B616A5"/>
    <w:rsid w:val="00B64BB8"/>
    <w:rsid w:val="00B64D50"/>
    <w:rsid w:val="00B65811"/>
    <w:rsid w:val="00B66114"/>
    <w:rsid w:val="00B70C10"/>
    <w:rsid w:val="00B7202E"/>
    <w:rsid w:val="00B73281"/>
    <w:rsid w:val="00B76263"/>
    <w:rsid w:val="00B811C6"/>
    <w:rsid w:val="00B8266E"/>
    <w:rsid w:val="00B83441"/>
    <w:rsid w:val="00B85C54"/>
    <w:rsid w:val="00B87384"/>
    <w:rsid w:val="00B875C5"/>
    <w:rsid w:val="00B904F0"/>
    <w:rsid w:val="00B9157C"/>
    <w:rsid w:val="00B92147"/>
    <w:rsid w:val="00B92A24"/>
    <w:rsid w:val="00B92C8E"/>
    <w:rsid w:val="00B93A68"/>
    <w:rsid w:val="00B93E27"/>
    <w:rsid w:val="00B95C43"/>
    <w:rsid w:val="00BA0BAD"/>
    <w:rsid w:val="00BA1453"/>
    <w:rsid w:val="00BA379E"/>
    <w:rsid w:val="00BA3C6D"/>
    <w:rsid w:val="00BA66A2"/>
    <w:rsid w:val="00BB0A28"/>
    <w:rsid w:val="00BB13F7"/>
    <w:rsid w:val="00BB3993"/>
    <w:rsid w:val="00BB6F31"/>
    <w:rsid w:val="00BC3613"/>
    <w:rsid w:val="00BC558F"/>
    <w:rsid w:val="00BC5FF3"/>
    <w:rsid w:val="00BC6387"/>
    <w:rsid w:val="00BD15AF"/>
    <w:rsid w:val="00BD1A59"/>
    <w:rsid w:val="00BD1D39"/>
    <w:rsid w:val="00BD2A7A"/>
    <w:rsid w:val="00BD30DA"/>
    <w:rsid w:val="00BD3B4D"/>
    <w:rsid w:val="00BD572D"/>
    <w:rsid w:val="00BD59C5"/>
    <w:rsid w:val="00BD7EAC"/>
    <w:rsid w:val="00BE1338"/>
    <w:rsid w:val="00BE22B8"/>
    <w:rsid w:val="00BE26BC"/>
    <w:rsid w:val="00BE6BF6"/>
    <w:rsid w:val="00BF06A8"/>
    <w:rsid w:val="00BF2ACD"/>
    <w:rsid w:val="00BF3329"/>
    <w:rsid w:val="00BF338C"/>
    <w:rsid w:val="00BF475B"/>
    <w:rsid w:val="00BF49C8"/>
    <w:rsid w:val="00BF4C0E"/>
    <w:rsid w:val="00BF5C96"/>
    <w:rsid w:val="00C00E21"/>
    <w:rsid w:val="00C01D1E"/>
    <w:rsid w:val="00C04052"/>
    <w:rsid w:val="00C046D8"/>
    <w:rsid w:val="00C0532C"/>
    <w:rsid w:val="00C06BBE"/>
    <w:rsid w:val="00C07024"/>
    <w:rsid w:val="00C153DB"/>
    <w:rsid w:val="00C155CC"/>
    <w:rsid w:val="00C15938"/>
    <w:rsid w:val="00C1607A"/>
    <w:rsid w:val="00C17C13"/>
    <w:rsid w:val="00C21D66"/>
    <w:rsid w:val="00C22559"/>
    <w:rsid w:val="00C235AB"/>
    <w:rsid w:val="00C236F6"/>
    <w:rsid w:val="00C23CCB"/>
    <w:rsid w:val="00C2596E"/>
    <w:rsid w:val="00C32486"/>
    <w:rsid w:val="00C35170"/>
    <w:rsid w:val="00C375D9"/>
    <w:rsid w:val="00C40928"/>
    <w:rsid w:val="00C4533F"/>
    <w:rsid w:val="00C470DC"/>
    <w:rsid w:val="00C4770A"/>
    <w:rsid w:val="00C50816"/>
    <w:rsid w:val="00C50A28"/>
    <w:rsid w:val="00C51478"/>
    <w:rsid w:val="00C515D9"/>
    <w:rsid w:val="00C55A4A"/>
    <w:rsid w:val="00C56850"/>
    <w:rsid w:val="00C6147D"/>
    <w:rsid w:val="00C61488"/>
    <w:rsid w:val="00C63930"/>
    <w:rsid w:val="00C64698"/>
    <w:rsid w:val="00C759BB"/>
    <w:rsid w:val="00C80E74"/>
    <w:rsid w:val="00C8194C"/>
    <w:rsid w:val="00C83914"/>
    <w:rsid w:val="00C83D6B"/>
    <w:rsid w:val="00C85475"/>
    <w:rsid w:val="00C87225"/>
    <w:rsid w:val="00C916BA"/>
    <w:rsid w:val="00C92121"/>
    <w:rsid w:val="00C927E0"/>
    <w:rsid w:val="00C93E1A"/>
    <w:rsid w:val="00C96F30"/>
    <w:rsid w:val="00CA0686"/>
    <w:rsid w:val="00CA1321"/>
    <w:rsid w:val="00CA38E7"/>
    <w:rsid w:val="00CA52BE"/>
    <w:rsid w:val="00CB09B6"/>
    <w:rsid w:val="00CB3527"/>
    <w:rsid w:val="00CB5FCA"/>
    <w:rsid w:val="00CC1053"/>
    <w:rsid w:val="00CC1BCD"/>
    <w:rsid w:val="00CC51A7"/>
    <w:rsid w:val="00CC779B"/>
    <w:rsid w:val="00CC7A07"/>
    <w:rsid w:val="00CC7A3A"/>
    <w:rsid w:val="00CD0699"/>
    <w:rsid w:val="00CD0F3D"/>
    <w:rsid w:val="00CD10A1"/>
    <w:rsid w:val="00CD4CCF"/>
    <w:rsid w:val="00CD4D73"/>
    <w:rsid w:val="00CD7447"/>
    <w:rsid w:val="00CE000C"/>
    <w:rsid w:val="00CE11BF"/>
    <w:rsid w:val="00CE61F9"/>
    <w:rsid w:val="00CE66EE"/>
    <w:rsid w:val="00CE7BC3"/>
    <w:rsid w:val="00CE7F48"/>
    <w:rsid w:val="00CE7F72"/>
    <w:rsid w:val="00CF0404"/>
    <w:rsid w:val="00CF046C"/>
    <w:rsid w:val="00CF084B"/>
    <w:rsid w:val="00CF39E7"/>
    <w:rsid w:val="00CF4402"/>
    <w:rsid w:val="00CF51AB"/>
    <w:rsid w:val="00CF64D6"/>
    <w:rsid w:val="00D03536"/>
    <w:rsid w:val="00D03E51"/>
    <w:rsid w:val="00D0684B"/>
    <w:rsid w:val="00D07C0C"/>
    <w:rsid w:val="00D12312"/>
    <w:rsid w:val="00D146CF"/>
    <w:rsid w:val="00D14F57"/>
    <w:rsid w:val="00D1517D"/>
    <w:rsid w:val="00D1570D"/>
    <w:rsid w:val="00D15B6B"/>
    <w:rsid w:val="00D16D9E"/>
    <w:rsid w:val="00D20782"/>
    <w:rsid w:val="00D21243"/>
    <w:rsid w:val="00D2281F"/>
    <w:rsid w:val="00D228B8"/>
    <w:rsid w:val="00D233B4"/>
    <w:rsid w:val="00D242D7"/>
    <w:rsid w:val="00D24F0F"/>
    <w:rsid w:val="00D25393"/>
    <w:rsid w:val="00D253C8"/>
    <w:rsid w:val="00D25FEB"/>
    <w:rsid w:val="00D26871"/>
    <w:rsid w:val="00D3173B"/>
    <w:rsid w:val="00D33F05"/>
    <w:rsid w:val="00D361B2"/>
    <w:rsid w:val="00D36496"/>
    <w:rsid w:val="00D3698B"/>
    <w:rsid w:val="00D42FE2"/>
    <w:rsid w:val="00D42FF1"/>
    <w:rsid w:val="00D43DA0"/>
    <w:rsid w:val="00D459D3"/>
    <w:rsid w:val="00D46D4B"/>
    <w:rsid w:val="00D474AB"/>
    <w:rsid w:val="00D51170"/>
    <w:rsid w:val="00D52A0C"/>
    <w:rsid w:val="00D53814"/>
    <w:rsid w:val="00D55732"/>
    <w:rsid w:val="00D55CBA"/>
    <w:rsid w:val="00D56BF2"/>
    <w:rsid w:val="00D57214"/>
    <w:rsid w:val="00D61C2E"/>
    <w:rsid w:val="00D62FF5"/>
    <w:rsid w:val="00D64504"/>
    <w:rsid w:val="00D64961"/>
    <w:rsid w:val="00D660E8"/>
    <w:rsid w:val="00D67580"/>
    <w:rsid w:val="00D7034A"/>
    <w:rsid w:val="00D72576"/>
    <w:rsid w:val="00D7410E"/>
    <w:rsid w:val="00D75D76"/>
    <w:rsid w:val="00D767EA"/>
    <w:rsid w:val="00D769B9"/>
    <w:rsid w:val="00D81E32"/>
    <w:rsid w:val="00D84B58"/>
    <w:rsid w:val="00D8561B"/>
    <w:rsid w:val="00D85627"/>
    <w:rsid w:val="00D85954"/>
    <w:rsid w:val="00D87C55"/>
    <w:rsid w:val="00D92B8D"/>
    <w:rsid w:val="00D92FB5"/>
    <w:rsid w:val="00D94459"/>
    <w:rsid w:val="00D979BA"/>
    <w:rsid w:val="00D979C3"/>
    <w:rsid w:val="00D97C30"/>
    <w:rsid w:val="00DA3AA9"/>
    <w:rsid w:val="00DA55F6"/>
    <w:rsid w:val="00DA5903"/>
    <w:rsid w:val="00DB229E"/>
    <w:rsid w:val="00DB2951"/>
    <w:rsid w:val="00DB6740"/>
    <w:rsid w:val="00DC2452"/>
    <w:rsid w:val="00DC30ED"/>
    <w:rsid w:val="00DC403F"/>
    <w:rsid w:val="00DC6236"/>
    <w:rsid w:val="00DC76BE"/>
    <w:rsid w:val="00DE3603"/>
    <w:rsid w:val="00DE54B9"/>
    <w:rsid w:val="00DE5F75"/>
    <w:rsid w:val="00DE69FE"/>
    <w:rsid w:val="00DE71F6"/>
    <w:rsid w:val="00DE7905"/>
    <w:rsid w:val="00DF0204"/>
    <w:rsid w:val="00DF0678"/>
    <w:rsid w:val="00DF0CFB"/>
    <w:rsid w:val="00DF1DA6"/>
    <w:rsid w:val="00DF1FD6"/>
    <w:rsid w:val="00DF4B93"/>
    <w:rsid w:val="00DF642C"/>
    <w:rsid w:val="00DF6E34"/>
    <w:rsid w:val="00DF7AC4"/>
    <w:rsid w:val="00DF7C49"/>
    <w:rsid w:val="00E00916"/>
    <w:rsid w:val="00E0354E"/>
    <w:rsid w:val="00E03747"/>
    <w:rsid w:val="00E06C9C"/>
    <w:rsid w:val="00E140C6"/>
    <w:rsid w:val="00E16161"/>
    <w:rsid w:val="00E173E1"/>
    <w:rsid w:val="00E179AB"/>
    <w:rsid w:val="00E21F87"/>
    <w:rsid w:val="00E2531C"/>
    <w:rsid w:val="00E2563B"/>
    <w:rsid w:val="00E25A37"/>
    <w:rsid w:val="00E26B8E"/>
    <w:rsid w:val="00E3555E"/>
    <w:rsid w:val="00E36159"/>
    <w:rsid w:val="00E431C3"/>
    <w:rsid w:val="00E43568"/>
    <w:rsid w:val="00E44433"/>
    <w:rsid w:val="00E44C9C"/>
    <w:rsid w:val="00E454B4"/>
    <w:rsid w:val="00E45654"/>
    <w:rsid w:val="00E50C9F"/>
    <w:rsid w:val="00E550F8"/>
    <w:rsid w:val="00E57C70"/>
    <w:rsid w:val="00E613B6"/>
    <w:rsid w:val="00E63536"/>
    <w:rsid w:val="00E66166"/>
    <w:rsid w:val="00E66870"/>
    <w:rsid w:val="00E67E4A"/>
    <w:rsid w:val="00E720F5"/>
    <w:rsid w:val="00E72218"/>
    <w:rsid w:val="00E732C3"/>
    <w:rsid w:val="00E7375F"/>
    <w:rsid w:val="00E74724"/>
    <w:rsid w:val="00E75AD7"/>
    <w:rsid w:val="00E75BF2"/>
    <w:rsid w:val="00E761F8"/>
    <w:rsid w:val="00E76AD4"/>
    <w:rsid w:val="00E77570"/>
    <w:rsid w:val="00E775C4"/>
    <w:rsid w:val="00E80FB1"/>
    <w:rsid w:val="00E81DBE"/>
    <w:rsid w:val="00E853B8"/>
    <w:rsid w:val="00E854D1"/>
    <w:rsid w:val="00E90A61"/>
    <w:rsid w:val="00E95BDD"/>
    <w:rsid w:val="00EA32E9"/>
    <w:rsid w:val="00EA38E9"/>
    <w:rsid w:val="00EA4A37"/>
    <w:rsid w:val="00EA4D33"/>
    <w:rsid w:val="00EA60B3"/>
    <w:rsid w:val="00EA675E"/>
    <w:rsid w:val="00EA7F75"/>
    <w:rsid w:val="00EB0A3E"/>
    <w:rsid w:val="00EB1A4E"/>
    <w:rsid w:val="00ED2A1C"/>
    <w:rsid w:val="00ED33E6"/>
    <w:rsid w:val="00ED6584"/>
    <w:rsid w:val="00ED7CF5"/>
    <w:rsid w:val="00EE18D2"/>
    <w:rsid w:val="00EE2BA2"/>
    <w:rsid w:val="00EE3785"/>
    <w:rsid w:val="00EE5578"/>
    <w:rsid w:val="00EE5ADF"/>
    <w:rsid w:val="00EE6C4F"/>
    <w:rsid w:val="00EE7C18"/>
    <w:rsid w:val="00EF0BDD"/>
    <w:rsid w:val="00EF1C2C"/>
    <w:rsid w:val="00EF2607"/>
    <w:rsid w:val="00EF558E"/>
    <w:rsid w:val="00EF5F68"/>
    <w:rsid w:val="00EF688B"/>
    <w:rsid w:val="00F0021E"/>
    <w:rsid w:val="00F0176C"/>
    <w:rsid w:val="00F04A1F"/>
    <w:rsid w:val="00F0528A"/>
    <w:rsid w:val="00F052E8"/>
    <w:rsid w:val="00F057B4"/>
    <w:rsid w:val="00F10968"/>
    <w:rsid w:val="00F13FC8"/>
    <w:rsid w:val="00F149B9"/>
    <w:rsid w:val="00F1685D"/>
    <w:rsid w:val="00F16D82"/>
    <w:rsid w:val="00F170A9"/>
    <w:rsid w:val="00F2050E"/>
    <w:rsid w:val="00F20EAE"/>
    <w:rsid w:val="00F22A1E"/>
    <w:rsid w:val="00F23624"/>
    <w:rsid w:val="00F246C9"/>
    <w:rsid w:val="00F327D8"/>
    <w:rsid w:val="00F34759"/>
    <w:rsid w:val="00F3507E"/>
    <w:rsid w:val="00F35D2E"/>
    <w:rsid w:val="00F37241"/>
    <w:rsid w:val="00F37876"/>
    <w:rsid w:val="00F41DE4"/>
    <w:rsid w:val="00F435D7"/>
    <w:rsid w:val="00F43FD9"/>
    <w:rsid w:val="00F50286"/>
    <w:rsid w:val="00F62EED"/>
    <w:rsid w:val="00F62FAE"/>
    <w:rsid w:val="00F63F91"/>
    <w:rsid w:val="00F72FBA"/>
    <w:rsid w:val="00F8487D"/>
    <w:rsid w:val="00F85616"/>
    <w:rsid w:val="00F90FF4"/>
    <w:rsid w:val="00F92106"/>
    <w:rsid w:val="00F92410"/>
    <w:rsid w:val="00F9431D"/>
    <w:rsid w:val="00FA1185"/>
    <w:rsid w:val="00FB043F"/>
    <w:rsid w:val="00FB2F5D"/>
    <w:rsid w:val="00FB3FB5"/>
    <w:rsid w:val="00FC012D"/>
    <w:rsid w:val="00FC1CD9"/>
    <w:rsid w:val="00FC4FE9"/>
    <w:rsid w:val="00FD0F51"/>
    <w:rsid w:val="00FD1035"/>
    <w:rsid w:val="00FD2FE6"/>
    <w:rsid w:val="00FD538D"/>
    <w:rsid w:val="00FE0329"/>
    <w:rsid w:val="00FE46C7"/>
    <w:rsid w:val="00FF167C"/>
    <w:rsid w:val="00FF342D"/>
    <w:rsid w:val="01175F3A"/>
    <w:rsid w:val="015F456D"/>
    <w:rsid w:val="0224583A"/>
    <w:rsid w:val="024069FE"/>
    <w:rsid w:val="028E0C39"/>
    <w:rsid w:val="02D87499"/>
    <w:rsid w:val="034549E4"/>
    <w:rsid w:val="0354547F"/>
    <w:rsid w:val="03CA7883"/>
    <w:rsid w:val="043C2D79"/>
    <w:rsid w:val="05A73504"/>
    <w:rsid w:val="066371D9"/>
    <w:rsid w:val="06643BB5"/>
    <w:rsid w:val="067C79B2"/>
    <w:rsid w:val="06CC0467"/>
    <w:rsid w:val="06CC4D15"/>
    <w:rsid w:val="071B39A8"/>
    <w:rsid w:val="084A0486"/>
    <w:rsid w:val="0895514D"/>
    <w:rsid w:val="08C556A3"/>
    <w:rsid w:val="0AA33D9D"/>
    <w:rsid w:val="0AE76734"/>
    <w:rsid w:val="0AF022D4"/>
    <w:rsid w:val="0B4E4878"/>
    <w:rsid w:val="0B5C3FF0"/>
    <w:rsid w:val="0BF274DF"/>
    <w:rsid w:val="0BF54BF0"/>
    <w:rsid w:val="0CE55BB4"/>
    <w:rsid w:val="0D0039BE"/>
    <w:rsid w:val="0D250E7B"/>
    <w:rsid w:val="0D330783"/>
    <w:rsid w:val="0D7C6507"/>
    <w:rsid w:val="0ECD6863"/>
    <w:rsid w:val="0ED04402"/>
    <w:rsid w:val="0EF34E5F"/>
    <w:rsid w:val="0F0E4631"/>
    <w:rsid w:val="0F184A1C"/>
    <w:rsid w:val="0F290686"/>
    <w:rsid w:val="0FDE74A9"/>
    <w:rsid w:val="10674F10"/>
    <w:rsid w:val="115F0A58"/>
    <w:rsid w:val="11A56E21"/>
    <w:rsid w:val="12051663"/>
    <w:rsid w:val="121C51E3"/>
    <w:rsid w:val="12CE7B4B"/>
    <w:rsid w:val="12DE7967"/>
    <w:rsid w:val="12F46ED7"/>
    <w:rsid w:val="133062DE"/>
    <w:rsid w:val="134220CA"/>
    <w:rsid w:val="1367301C"/>
    <w:rsid w:val="13BE006B"/>
    <w:rsid w:val="13BF3D87"/>
    <w:rsid w:val="14B75F46"/>
    <w:rsid w:val="1687159D"/>
    <w:rsid w:val="169531D0"/>
    <w:rsid w:val="16DC5575"/>
    <w:rsid w:val="17872CEE"/>
    <w:rsid w:val="17E9077D"/>
    <w:rsid w:val="18832C4F"/>
    <w:rsid w:val="19763946"/>
    <w:rsid w:val="1995719A"/>
    <w:rsid w:val="19DF332B"/>
    <w:rsid w:val="1AFA52E2"/>
    <w:rsid w:val="1B8B308D"/>
    <w:rsid w:val="1C5E5095"/>
    <w:rsid w:val="1C6E18E1"/>
    <w:rsid w:val="1C962CB7"/>
    <w:rsid w:val="1D170431"/>
    <w:rsid w:val="1DB734D0"/>
    <w:rsid w:val="1F226CEB"/>
    <w:rsid w:val="1F233195"/>
    <w:rsid w:val="1F571E18"/>
    <w:rsid w:val="1F872701"/>
    <w:rsid w:val="1FA21CAB"/>
    <w:rsid w:val="205872CB"/>
    <w:rsid w:val="20705B55"/>
    <w:rsid w:val="2135179F"/>
    <w:rsid w:val="216619E3"/>
    <w:rsid w:val="21786A55"/>
    <w:rsid w:val="218933DD"/>
    <w:rsid w:val="218B5DFD"/>
    <w:rsid w:val="21C43D16"/>
    <w:rsid w:val="22193663"/>
    <w:rsid w:val="2354115F"/>
    <w:rsid w:val="237A17AF"/>
    <w:rsid w:val="23BD251A"/>
    <w:rsid w:val="23CA0F20"/>
    <w:rsid w:val="244576C8"/>
    <w:rsid w:val="249505C5"/>
    <w:rsid w:val="24DB2D8B"/>
    <w:rsid w:val="24F70874"/>
    <w:rsid w:val="259D689D"/>
    <w:rsid w:val="25AA3C09"/>
    <w:rsid w:val="25BD5140"/>
    <w:rsid w:val="25E254F7"/>
    <w:rsid w:val="261C533A"/>
    <w:rsid w:val="269949D0"/>
    <w:rsid w:val="26BF6EDE"/>
    <w:rsid w:val="26C67308"/>
    <w:rsid w:val="26F26502"/>
    <w:rsid w:val="272C540F"/>
    <w:rsid w:val="27B30414"/>
    <w:rsid w:val="27BB671E"/>
    <w:rsid w:val="282F310D"/>
    <w:rsid w:val="289D42F7"/>
    <w:rsid w:val="28E3752B"/>
    <w:rsid w:val="293B7493"/>
    <w:rsid w:val="296925CE"/>
    <w:rsid w:val="29712999"/>
    <w:rsid w:val="29D174E8"/>
    <w:rsid w:val="29E9343C"/>
    <w:rsid w:val="2A82742B"/>
    <w:rsid w:val="2AC0168D"/>
    <w:rsid w:val="2B745C7C"/>
    <w:rsid w:val="2BA5101F"/>
    <w:rsid w:val="2BE43961"/>
    <w:rsid w:val="2C02436B"/>
    <w:rsid w:val="2C1F008B"/>
    <w:rsid w:val="2C381DF9"/>
    <w:rsid w:val="2C444C69"/>
    <w:rsid w:val="2D0211F2"/>
    <w:rsid w:val="2D664D3D"/>
    <w:rsid w:val="2E2B7B1C"/>
    <w:rsid w:val="2EB02CC8"/>
    <w:rsid w:val="2FA335E0"/>
    <w:rsid w:val="3028057C"/>
    <w:rsid w:val="304529AA"/>
    <w:rsid w:val="30D73F21"/>
    <w:rsid w:val="30F24E19"/>
    <w:rsid w:val="31646F82"/>
    <w:rsid w:val="31D10330"/>
    <w:rsid w:val="329E517B"/>
    <w:rsid w:val="32D15BCB"/>
    <w:rsid w:val="33220DB9"/>
    <w:rsid w:val="33424EEA"/>
    <w:rsid w:val="33ED21CF"/>
    <w:rsid w:val="345A1F9A"/>
    <w:rsid w:val="34A32ACF"/>
    <w:rsid w:val="3513718C"/>
    <w:rsid w:val="35176D7B"/>
    <w:rsid w:val="35194A89"/>
    <w:rsid w:val="36A035BD"/>
    <w:rsid w:val="36BF380D"/>
    <w:rsid w:val="37842F4E"/>
    <w:rsid w:val="38204DF5"/>
    <w:rsid w:val="385E7512"/>
    <w:rsid w:val="38F80065"/>
    <w:rsid w:val="392E7202"/>
    <w:rsid w:val="39F536D6"/>
    <w:rsid w:val="3A066749"/>
    <w:rsid w:val="3A636A12"/>
    <w:rsid w:val="3A9442AD"/>
    <w:rsid w:val="3ABC1032"/>
    <w:rsid w:val="3ABC3B4F"/>
    <w:rsid w:val="3AD703B8"/>
    <w:rsid w:val="3B083018"/>
    <w:rsid w:val="3BB26C74"/>
    <w:rsid w:val="3BD334B7"/>
    <w:rsid w:val="3C52274D"/>
    <w:rsid w:val="3D1954E3"/>
    <w:rsid w:val="3D556D1C"/>
    <w:rsid w:val="3DD561B6"/>
    <w:rsid w:val="3E051D13"/>
    <w:rsid w:val="3E084F98"/>
    <w:rsid w:val="3E3E45CC"/>
    <w:rsid w:val="3E3F41A5"/>
    <w:rsid w:val="3E512003"/>
    <w:rsid w:val="3FC5097A"/>
    <w:rsid w:val="3FF176CA"/>
    <w:rsid w:val="3FFA2A0D"/>
    <w:rsid w:val="403E2C16"/>
    <w:rsid w:val="40AA1B72"/>
    <w:rsid w:val="41907296"/>
    <w:rsid w:val="419F0774"/>
    <w:rsid w:val="423A2067"/>
    <w:rsid w:val="42567888"/>
    <w:rsid w:val="427E4245"/>
    <w:rsid w:val="428E41DA"/>
    <w:rsid w:val="42CA7F23"/>
    <w:rsid w:val="43AC7C82"/>
    <w:rsid w:val="442D7A90"/>
    <w:rsid w:val="447D192B"/>
    <w:rsid w:val="45405635"/>
    <w:rsid w:val="45E33E61"/>
    <w:rsid w:val="45EC521E"/>
    <w:rsid w:val="4668782F"/>
    <w:rsid w:val="467E4934"/>
    <w:rsid w:val="46E858AB"/>
    <w:rsid w:val="46EC4B4C"/>
    <w:rsid w:val="47154459"/>
    <w:rsid w:val="4733117A"/>
    <w:rsid w:val="47454DBB"/>
    <w:rsid w:val="474E50E0"/>
    <w:rsid w:val="47F90AC6"/>
    <w:rsid w:val="48340DA5"/>
    <w:rsid w:val="48A440AA"/>
    <w:rsid w:val="4956763F"/>
    <w:rsid w:val="499C587E"/>
    <w:rsid w:val="49E6579C"/>
    <w:rsid w:val="4A3C5772"/>
    <w:rsid w:val="4A544C0A"/>
    <w:rsid w:val="4A8358AA"/>
    <w:rsid w:val="4AFB4986"/>
    <w:rsid w:val="4B060FC2"/>
    <w:rsid w:val="4B4B06AA"/>
    <w:rsid w:val="4B572F72"/>
    <w:rsid w:val="4CD24406"/>
    <w:rsid w:val="4D076BBA"/>
    <w:rsid w:val="4D896E30"/>
    <w:rsid w:val="4E004941"/>
    <w:rsid w:val="4E453EB4"/>
    <w:rsid w:val="4E45506A"/>
    <w:rsid w:val="4E772314"/>
    <w:rsid w:val="4FDF734A"/>
    <w:rsid w:val="501B6084"/>
    <w:rsid w:val="50675E02"/>
    <w:rsid w:val="5088627F"/>
    <w:rsid w:val="513652B7"/>
    <w:rsid w:val="514936D0"/>
    <w:rsid w:val="51514EB9"/>
    <w:rsid w:val="517979C8"/>
    <w:rsid w:val="519C52E8"/>
    <w:rsid w:val="51E57AD8"/>
    <w:rsid w:val="52F946C4"/>
    <w:rsid w:val="53123C31"/>
    <w:rsid w:val="5337500D"/>
    <w:rsid w:val="53BA04D0"/>
    <w:rsid w:val="53C75BE8"/>
    <w:rsid w:val="53E51133"/>
    <w:rsid w:val="53FD2BC5"/>
    <w:rsid w:val="541C1C0A"/>
    <w:rsid w:val="54684AFF"/>
    <w:rsid w:val="54A9272E"/>
    <w:rsid w:val="555E1FB1"/>
    <w:rsid w:val="55E675C0"/>
    <w:rsid w:val="56951DA6"/>
    <w:rsid w:val="569E0E6D"/>
    <w:rsid w:val="56BA2D14"/>
    <w:rsid w:val="56C066C5"/>
    <w:rsid w:val="56E83107"/>
    <w:rsid w:val="57487406"/>
    <w:rsid w:val="57991F77"/>
    <w:rsid w:val="57A973D4"/>
    <w:rsid w:val="58184119"/>
    <w:rsid w:val="581B5479"/>
    <w:rsid w:val="5881759D"/>
    <w:rsid w:val="589D3FA3"/>
    <w:rsid w:val="589F03C8"/>
    <w:rsid w:val="58A05A6D"/>
    <w:rsid w:val="58BD7F67"/>
    <w:rsid w:val="58C72B41"/>
    <w:rsid w:val="591B286A"/>
    <w:rsid w:val="59691283"/>
    <w:rsid w:val="599402BD"/>
    <w:rsid w:val="59D7465F"/>
    <w:rsid w:val="5A2B543F"/>
    <w:rsid w:val="5ABD2F54"/>
    <w:rsid w:val="5ADB4BBC"/>
    <w:rsid w:val="5AF63776"/>
    <w:rsid w:val="5B0C2F16"/>
    <w:rsid w:val="5B41149C"/>
    <w:rsid w:val="5B620DAB"/>
    <w:rsid w:val="5B6B15FD"/>
    <w:rsid w:val="5B6E5E38"/>
    <w:rsid w:val="5C8C0E61"/>
    <w:rsid w:val="5CFC1AB1"/>
    <w:rsid w:val="5E3A1F2A"/>
    <w:rsid w:val="5EED3AB9"/>
    <w:rsid w:val="5F3D0DA7"/>
    <w:rsid w:val="5F6F48C5"/>
    <w:rsid w:val="5FC30152"/>
    <w:rsid w:val="60C32F2D"/>
    <w:rsid w:val="60D3262F"/>
    <w:rsid w:val="61541D4F"/>
    <w:rsid w:val="61C2723B"/>
    <w:rsid w:val="6234338D"/>
    <w:rsid w:val="62C83EB3"/>
    <w:rsid w:val="62D7597E"/>
    <w:rsid w:val="63BE4924"/>
    <w:rsid w:val="641272CF"/>
    <w:rsid w:val="64831F46"/>
    <w:rsid w:val="64A963F4"/>
    <w:rsid w:val="64D767B6"/>
    <w:rsid w:val="64F5251E"/>
    <w:rsid w:val="651664C2"/>
    <w:rsid w:val="652D4D80"/>
    <w:rsid w:val="654B3605"/>
    <w:rsid w:val="65EE6636"/>
    <w:rsid w:val="66D16F91"/>
    <w:rsid w:val="678D47B8"/>
    <w:rsid w:val="67B75800"/>
    <w:rsid w:val="68955A9B"/>
    <w:rsid w:val="68AA3DAB"/>
    <w:rsid w:val="69525440"/>
    <w:rsid w:val="69BB5C05"/>
    <w:rsid w:val="6AAA1C9B"/>
    <w:rsid w:val="6AD231FE"/>
    <w:rsid w:val="6B5C5AD3"/>
    <w:rsid w:val="6BC7550E"/>
    <w:rsid w:val="6C163276"/>
    <w:rsid w:val="6C1848AC"/>
    <w:rsid w:val="6C357119"/>
    <w:rsid w:val="6CBA78FF"/>
    <w:rsid w:val="6CD0285C"/>
    <w:rsid w:val="6CE07F53"/>
    <w:rsid w:val="6CE82E55"/>
    <w:rsid w:val="6D592965"/>
    <w:rsid w:val="6D68536A"/>
    <w:rsid w:val="6DE212B2"/>
    <w:rsid w:val="6DE40097"/>
    <w:rsid w:val="6E12008E"/>
    <w:rsid w:val="6ED703C8"/>
    <w:rsid w:val="6F137A38"/>
    <w:rsid w:val="70267175"/>
    <w:rsid w:val="7030399F"/>
    <w:rsid w:val="70B9064C"/>
    <w:rsid w:val="70DA702A"/>
    <w:rsid w:val="70FF42EF"/>
    <w:rsid w:val="711C2041"/>
    <w:rsid w:val="71890E83"/>
    <w:rsid w:val="7237499D"/>
    <w:rsid w:val="72744B6F"/>
    <w:rsid w:val="740F126F"/>
    <w:rsid w:val="744C354A"/>
    <w:rsid w:val="75326402"/>
    <w:rsid w:val="754F3892"/>
    <w:rsid w:val="755255ED"/>
    <w:rsid w:val="756F1698"/>
    <w:rsid w:val="76CB33BC"/>
    <w:rsid w:val="77582943"/>
    <w:rsid w:val="776B5CAF"/>
    <w:rsid w:val="779E1D42"/>
    <w:rsid w:val="780854C8"/>
    <w:rsid w:val="790B5039"/>
    <w:rsid w:val="79142F0E"/>
    <w:rsid w:val="7A545921"/>
    <w:rsid w:val="7A710618"/>
    <w:rsid w:val="7AA71DFC"/>
    <w:rsid w:val="7AF326F1"/>
    <w:rsid w:val="7C315031"/>
    <w:rsid w:val="7C8C4981"/>
    <w:rsid w:val="7CD96594"/>
    <w:rsid w:val="7DD24B33"/>
    <w:rsid w:val="7E3043B2"/>
    <w:rsid w:val="7E4D1C9B"/>
    <w:rsid w:val="7E601CAF"/>
    <w:rsid w:val="7E826084"/>
    <w:rsid w:val="7EF97794"/>
    <w:rsid w:val="7F0F464A"/>
    <w:rsid w:val="7F7520D6"/>
    <w:rsid w:val="7FF3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f">
      <v:fill type="gradient" on="t" angle="90" focussize="0f,0f" focusposition="0f,0f">
        <o:fill type="gradientUnscaled" v:ext="backwardCompatible"/>
      </v:fill>
      <v:stroke on="f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spacing w:line="440" w:lineRule="exact"/>
      <w:jc w:val="center"/>
      <w:outlineLvl w:val="0"/>
    </w:pPr>
    <w:rPr>
      <w:sz w:val="28"/>
      <w:szCs w:val="20"/>
    </w:rPr>
  </w:style>
  <w:style w:type="paragraph" w:styleId="3">
    <w:name w:val="heading 2"/>
    <w:basedOn w:val="1"/>
    <w:next w:val="1"/>
    <w:link w:val="34"/>
    <w:autoRedefine/>
    <w:qFormat/>
    <w:uiPriority w:val="0"/>
    <w:pPr>
      <w:keepNext/>
      <w:outlineLvl w:val="1"/>
    </w:pPr>
    <w:rPr>
      <w:sz w:val="30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jc w:val="center"/>
      <w:outlineLvl w:val="3"/>
    </w:pPr>
    <w:rPr>
      <w:rFonts w:ascii="黑体" w:hAnsi="宋体" w:eastAsia="黑体"/>
      <w:b/>
      <w:bCs/>
      <w:color w:val="000000"/>
      <w:sz w:val="28"/>
      <w:szCs w:val="30"/>
    </w:rPr>
  </w:style>
  <w:style w:type="character" w:default="1" w:styleId="28">
    <w:name w:val="Default Paragraph Font"/>
    <w:semiHidden/>
    <w:unhideWhenUsed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autoRedefine/>
    <w:qFormat/>
    <w:uiPriority w:val="0"/>
    <w:rPr>
      <w:rFonts w:ascii="等线 Light" w:hAnsi="等线 Light" w:eastAsia="黑体"/>
      <w:sz w:val="20"/>
      <w:szCs w:val="20"/>
    </w:rPr>
  </w:style>
  <w:style w:type="paragraph" w:styleId="7">
    <w:name w:val="Document Map"/>
    <w:basedOn w:val="1"/>
    <w:link w:val="35"/>
    <w:autoRedefine/>
    <w:qFormat/>
    <w:uiPriority w:val="0"/>
    <w:rPr>
      <w:rFonts w:ascii="宋体"/>
      <w:sz w:val="18"/>
      <w:szCs w:val="18"/>
    </w:rPr>
  </w:style>
  <w:style w:type="paragraph" w:styleId="8">
    <w:name w:val="annotation text"/>
    <w:basedOn w:val="1"/>
    <w:link w:val="36"/>
    <w:autoRedefine/>
    <w:qFormat/>
    <w:uiPriority w:val="0"/>
    <w:pPr>
      <w:jc w:val="left"/>
    </w:pPr>
  </w:style>
  <w:style w:type="paragraph" w:styleId="9">
    <w:name w:val="Body Text 3"/>
    <w:basedOn w:val="1"/>
    <w:autoRedefine/>
    <w:qFormat/>
    <w:uiPriority w:val="0"/>
    <w:pPr>
      <w:tabs>
        <w:tab w:val="left" w:pos="9480"/>
      </w:tabs>
      <w:spacing w:line="440" w:lineRule="exact"/>
    </w:pPr>
    <w:rPr>
      <w:rFonts w:ascii="宋体" w:hAnsi="宋体"/>
      <w:color w:val="000000"/>
      <w:sz w:val="24"/>
    </w:rPr>
  </w:style>
  <w:style w:type="paragraph" w:styleId="10">
    <w:name w:val="Body Text"/>
    <w:basedOn w:val="1"/>
    <w:link w:val="37"/>
    <w:autoRedefine/>
    <w:qFormat/>
    <w:uiPriority w:val="0"/>
    <w:pPr>
      <w:spacing w:after="120"/>
    </w:pPr>
  </w:style>
  <w:style w:type="paragraph" w:styleId="11">
    <w:name w:val="Body Text Indent"/>
    <w:basedOn w:val="1"/>
    <w:autoRedefine/>
    <w:qFormat/>
    <w:uiPriority w:val="0"/>
    <w:pPr>
      <w:ind w:firstLine="576"/>
    </w:pPr>
    <w:rPr>
      <w:rFonts w:ascii="仿宋_GB2312" w:eastAsia="仿宋_GB2312"/>
      <w:sz w:val="28"/>
      <w:szCs w:val="20"/>
    </w:rPr>
  </w:style>
  <w:style w:type="paragraph" w:styleId="12">
    <w:name w:val="toc 3"/>
    <w:basedOn w:val="1"/>
    <w:next w:val="1"/>
    <w:autoRedefine/>
    <w:unhideWhenUsed/>
    <w:qFormat/>
    <w:uiPriority w:val="39"/>
    <w:pPr>
      <w:widowControl/>
      <w:spacing w:after="100" w:line="259" w:lineRule="auto"/>
      <w:ind w:left="440"/>
      <w:jc w:val="left"/>
    </w:pPr>
    <w:rPr>
      <w:rFonts w:ascii="等线" w:hAnsi="等线" w:eastAsia="等线"/>
      <w:kern w:val="0"/>
      <w:sz w:val="22"/>
      <w:szCs w:val="22"/>
    </w:rPr>
  </w:style>
  <w:style w:type="paragraph" w:styleId="13">
    <w:name w:val="Plain Text"/>
    <w:basedOn w:val="1"/>
    <w:autoRedefine/>
    <w:qFormat/>
    <w:uiPriority w:val="0"/>
    <w:rPr>
      <w:rFonts w:hint="eastAsia" w:ascii="宋体" w:hAnsi="Courier New"/>
      <w:szCs w:val="20"/>
    </w:rPr>
  </w:style>
  <w:style w:type="paragraph" w:styleId="14">
    <w:name w:val="Date"/>
    <w:basedOn w:val="1"/>
    <w:next w:val="1"/>
    <w:autoRedefine/>
    <w:qFormat/>
    <w:uiPriority w:val="0"/>
    <w:pPr>
      <w:ind w:left="100" w:leftChars="2500"/>
    </w:pPr>
    <w:rPr>
      <w:sz w:val="28"/>
      <w:szCs w:val="20"/>
    </w:rPr>
  </w:style>
  <w:style w:type="paragraph" w:styleId="15">
    <w:name w:val="Body Text Indent 2"/>
    <w:basedOn w:val="1"/>
    <w:autoRedefine/>
    <w:qFormat/>
    <w:uiPriority w:val="0"/>
    <w:pPr>
      <w:ind w:right="-376" w:rightChars="-179" w:firstLine="210" w:firstLineChars="100"/>
    </w:pPr>
    <w:rPr>
      <w:rFonts w:ascii="仿宋_GB2312" w:hAnsi="宋体" w:eastAsia="仿宋_GB2312"/>
      <w:bCs/>
      <w:color w:val="000000"/>
      <w:szCs w:val="18"/>
    </w:rPr>
  </w:style>
  <w:style w:type="paragraph" w:styleId="16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17">
    <w:name w:val="footer"/>
    <w:basedOn w:val="1"/>
    <w:link w:val="3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link w:val="3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9">
    <w:name w:val="toc 1"/>
    <w:basedOn w:val="1"/>
    <w:next w:val="1"/>
    <w:autoRedefine/>
    <w:unhideWhenUsed/>
    <w:qFormat/>
    <w:uiPriority w:val="39"/>
    <w:pPr>
      <w:tabs>
        <w:tab w:val="left" w:pos="440"/>
        <w:tab w:val="right" w:leader="dot" w:pos="8296"/>
      </w:tabs>
      <w:snapToGrid w:val="0"/>
    </w:pPr>
    <w:rPr>
      <w:rFonts w:ascii="宋体" w:hAnsi="宋体"/>
      <w:spacing w:val="2"/>
      <w:w w:val="102"/>
      <w:kern w:val="0"/>
      <w:sz w:val="24"/>
      <w:shd w:val="pct10" w:color="auto" w:fill="FFFFFF"/>
      <w:lang w:val="zh-CN"/>
    </w:rPr>
  </w:style>
  <w:style w:type="paragraph" w:styleId="20">
    <w:name w:val="footnote text"/>
    <w:basedOn w:val="1"/>
    <w:autoRedefine/>
    <w:qFormat/>
    <w:uiPriority w:val="0"/>
    <w:pPr>
      <w:snapToGrid w:val="0"/>
      <w:jc w:val="left"/>
    </w:pPr>
    <w:rPr>
      <w:sz w:val="18"/>
    </w:rPr>
  </w:style>
  <w:style w:type="paragraph" w:styleId="21">
    <w:name w:val="Body Text Indent 3"/>
    <w:basedOn w:val="1"/>
    <w:autoRedefine/>
    <w:qFormat/>
    <w:uiPriority w:val="0"/>
    <w:pPr>
      <w:spacing w:line="360" w:lineRule="auto"/>
      <w:ind w:firstLine="480"/>
    </w:pPr>
    <w:rPr>
      <w:rFonts w:ascii="宋体" w:hAnsi="宋体"/>
      <w:sz w:val="24"/>
    </w:rPr>
  </w:style>
  <w:style w:type="paragraph" w:styleId="22">
    <w:name w:val="toc 2"/>
    <w:basedOn w:val="1"/>
    <w:next w:val="1"/>
    <w:autoRedefine/>
    <w:unhideWhenUsed/>
    <w:qFormat/>
    <w:uiPriority w:val="39"/>
    <w:pPr>
      <w:widowControl/>
      <w:spacing w:after="100" w:line="259" w:lineRule="auto"/>
      <w:ind w:left="220"/>
      <w:jc w:val="left"/>
    </w:pPr>
    <w:rPr>
      <w:rFonts w:ascii="宋体" w:hAnsi="宋体" w:cs="黑体"/>
      <w:color w:val="0563C1"/>
      <w:sz w:val="24"/>
    </w:rPr>
  </w:style>
  <w:style w:type="paragraph" w:styleId="23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24">
    <w:name w:val="Title"/>
    <w:basedOn w:val="1"/>
    <w:next w:val="1"/>
    <w:link w:val="40"/>
    <w:autoRedefine/>
    <w:qFormat/>
    <w:uiPriority w:val="0"/>
    <w:pPr>
      <w:tabs>
        <w:tab w:val="left" w:pos="9480"/>
      </w:tabs>
      <w:spacing w:line="440" w:lineRule="exact"/>
      <w:ind w:left="727" w:leftChars="346"/>
    </w:pPr>
    <w:rPr>
      <w:rFonts w:eastAsia="楷体_GB2312"/>
      <w:color w:val="000000"/>
      <w:sz w:val="24"/>
    </w:rPr>
  </w:style>
  <w:style w:type="paragraph" w:styleId="25">
    <w:name w:val="annotation subject"/>
    <w:basedOn w:val="8"/>
    <w:next w:val="8"/>
    <w:link w:val="41"/>
    <w:autoRedefine/>
    <w:qFormat/>
    <w:uiPriority w:val="0"/>
    <w:rPr>
      <w:b/>
      <w:bCs/>
    </w:rPr>
  </w:style>
  <w:style w:type="table" w:styleId="27">
    <w:name w:val="Table Grid"/>
    <w:basedOn w:val="26"/>
    <w:autoRedefine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9">
    <w:name w:val="page number"/>
    <w:autoRedefine/>
    <w:qFormat/>
    <w:uiPriority w:val="0"/>
  </w:style>
  <w:style w:type="character" w:styleId="30">
    <w:name w:val="Emphasis"/>
    <w:autoRedefine/>
    <w:qFormat/>
    <w:uiPriority w:val="20"/>
    <w:rPr>
      <w:i/>
      <w:iCs/>
    </w:rPr>
  </w:style>
  <w:style w:type="character" w:styleId="31">
    <w:name w:val="Hyperlink"/>
    <w:autoRedefine/>
    <w:unhideWhenUsed/>
    <w:qFormat/>
    <w:uiPriority w:val="99"/>
    <w:rPr>
      <w:color w:val="0563C1"/>
      <w:u w:val="single"/>
    </w:rPr>
  </w:style>
  <w:style w:type="character" w:styleId="32">
    <w:name w:val="annotation reference"/>
    <w:autoRedefine/>
    <w:qFormat/>
    <w:uiPriority w:val="0"/>
    <w:rPr>
      <w:sz w:val="21"/>
      <w:szCs w:val="21"/>
    </w:rPr>
  </w:style>
  <w:style w:type="character" w:styleId="33">
    <w:name w:val="footnote reference"/>
    <w:autoRedefine/>
    <w:qFormat/>
    <w:uiPriority w:val="0"/>
    <w:rPr>
      <w:vertAlign w:val="superscript"/>
    </w:rPr>
  </w:style>
  <w:style w:type="character" w:customStyle="1" w:styleId="34">
    <w:name w:val="标题 2 Char"/>
    <w:link w:val="3"/>
    <w:autoRedefine/>
    <w:qFormat/>
    <w:uiPriority w:val="0"/>
    <w:rPr>
      <w:kern w:val="2"/>
      <w:sz w:val="30"/>
      <w:szCs w:val="24"/>
    </w:rPr>
  </w:style>
  <w:style w:type="character" w:customStyle="1" w:styleId="35">
    <w:name w:val="文档结构图 Char"/>
    <w:link w:val="7"/>
    <w:autoRedefine/>
    <w:qFormat/>
    <w:uiPriority w:val="0"/>
    <w:rPr>
      <w:rFonts w:ascii="宋体"/>
      <w:kern w:val="2"/>
      <w:sz w:val="18"/>
      <w:szCs w:val="18"/>
    </w:rPr>
  </w:style>
  <w:style w:type="character" w:customStyle="1" w:styleId="36">
    <w:name w:val="批注文字 Char"/>
    <w:link w:val="8"/>
    <w:autoRedefine/>
    <w:qFormat/>
    <w:uiPriority w:val="0"/>
    <w:rPr>
      <w:kern w:val="2"/>
      <w:sz w:val="21"/>
      <w:szCs w:val="24"/>
    </w:rPr>
  </w:style>
  <w:style w:type="character" w:customStyle="1" w:styleId="37">
    <w:name w:val="正文文本 Char"/>
    <w:link w:val="10"/>
    <w:autoRedefine/>
    <w:qFormat/>
    <w:uiPriority w:val="0"/>
    <w:rPr>
      <w:kern w:val="2"/>
      <w:sz w:val="21"/>
      <w:szCs w:val="24"/>
    </w:rPr>
  </w:style>
  <w:style w:type="character" w:customStyle="1" w:styleId="38">
    <w:name w:val="页脚 Char"/>
    <w:link w:val="17"/>
    <w:autoRedefine/>
    <w:qFormat/>
    <w:uiPriority w:val="0"/>
    <w:rPr>
      <w:kern w:val="2"/>
      <w:sz w:val="18"/>
      <w:szCs w:val="18"/>
    </w:rPr>
  </w:style>
  <w:style w:type="character" w:customStyle="1" w:styleId="39">
    <w:name w:val="页眉 Char"/>
    <w:link w:val="18"/>
    <w:autoRedefine/>
    <w:qFormat/>
    <w:uiPriority w:val="0"/>
    <w:rPr>
      <w:kern w:val="2"/>
      <w:sz w:val="18"/>
      <w:szCs w:val="18"/>
    </w:rPr>
  </w:style>
  <w:style w:type="character" w:customStyle="1" w:styleId="40">
    <w:name w:val="标题 Char"/>
    <w:link w:val="24"/>
    <w:autoRedefine/>
    <w:qFormat/>
    <w:uiPriority w:val="0"/>
    <w:rPr>
      <w:rFonts w:eastAsia="楷体_GB2312"/>
      <w:color w:val="000000"/>
      <w:kern w:val="2"/>
      <w:sz w:val="24"/>
      <w:szCs w:val="24"/>
    </w:rPr>
  </w:style>
  <w:style w:type="character" w:customStyle="1" w:styleId="41">
    <w:name w:val="批注主题 Char"/>
    <w:link w:val="25"/>
    <w:autoRedefine/>
    <w:qFormat/>
    <w:uiPriority w:val="0"/>
    <w:rPr>
      <w:b/>
      <w:bCs/>
      <w:kern w:val="2"/>
      <w:sz w:val="21"/>
      <w:szCs w:val="24"/>
    </w:rPr>
  </w:style>
  <w:style w:type="character" w:customStyle="1" w:styleId="42">
    <w:name w:val="段 Char"/>
    <w:link w:val="43"/>
    <w:autoRedefine/>
    <w:qFormat/>
    <w:locked/>
    <w:uiPriority w:val="0"/>
    <w:rPr>
      <w:rFonts w:ascii="宋体"/>
      <w:sz w:val="21"/>
      <w:szCs w:val="22"/>
    </w:rPr>
  </w:style>
  <w:style w:type="paragraph" w:customStyle="1" w:styleId="43">
    <w:name w:val="段"/>
    <w:link w:val="42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szCs w:val="22"/>
      <w:lang w:val="en-US" w:eastAsia="zh-CN" w:bidi="ar-SA"/>
    </w:rPr>
  </w:style>
  <w:style w:type="character" w:customStyle="1" w:styleId="44">
    <w:name w:val="font11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45">
    <w:name w:val="font01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  <w:vertAlign w:val="subscript"/>
    </w:rPr>
  </w:style>
  <w:style w:type="paragraph" w:customStyle="1" w:styleId="46">
    <w:name w:val="_Style 45"/>
    <w:basedOn w:val="2"/>
    <w:next w:val="1"/>
    <w:autoRedefine/>
    <w:qFormat/>
    <w:uiPriority w:val="39"/>
    <w:pPr>
      <w:keepLines/>
      <w:widowControl/>
      <w:spacing w:before="240" w:line="259" w:lineRule="auto"/>
      <w:jc w:val="left"/>
      <w:outlineLvl w:val="9"/>
    </w:pPr>
    <w:rPr>
      <w:rFonts w:ascii="等线 Light" w:hAnsi="等线 Light" w:eastAsia="等线 Light"/>
      <w:color w:val="2F5496"/>
      <w:kern w:val="0"/>
      <w:sz w:val="32"/>
      <w:szCs w:val="32"/>
    </w:rPr>
  </w:style>
  <w:style w:type="paragraph" w:customStyle="1" w:styleId="47">
    <w:name w:val="二级条标题"/>
    <w:basedOn w:val="48"/>
    <w:next w:val="43"/>
    <w:autoRedefine/>
    <w:qFormat/>
    <w:uiPriority w:val="0"/>
    <w:pPr>
      <w:numPr>
        <w:ilvl w:val="2"/>
      </w:numPr>
      <w:spacing w:before="50" w:beforeLines="0" w:after="50" w:afterLines="0"/>
      <w:outlineLvl w:val="3"/>
    </w:pPr>
  </w:style>
  <w:style w:type="paragraph" w:customStyle="1" w:styleId="48">
    <w:name w:val="一级条标题"/>
    <w:next w:val="43"/>
    <w:autoRedefine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9">
    <w:name w:val="章标题"/>
    <w:next w:val="43"/>
    <w:autoRedefine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szCs w:val="22"/>
      <w:lang w:val="en-US" w:eastAsia="zh-CN" w:bidi="ar-SA"/>
    </w:rPr>
  </w:style>
  <w:style w:type="paragraph" w:styleId="50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51">
    <w:name w:val="tgt2"/>
    <w:basedOn w:val="1"/>
    <w:autoRedefine/>
    <w:qFormat/>
    <w:uiPriority w:val="0"/>
    <w:pPr>
      <w:widowControl/>
      <w:spacing w:after="15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52">
    <w:name w:val="Table Paragraph"/>
    <w:basedOn w:val="1"/>
    <w:autoRedefine/>
    <w:qFormat/>
    <w:uiPriority w:val="1"/>
    <w:pPr>
      <w:autoSpaceDE w:val="0"/>
      <w:autoSpaceDN w:val="0"/>
      <w:jc w:val="left"/>
    </w:pPr>
    <w:rPr>
      <w:rFonts w:ascii="Arial" w:hAnsi="Arial" w:eastAsia="Arial" w:cs="Arial"/>
      <w:kern w:val="0"/>
      <w:sz w:val="22"/>
      <w:szCs w:val="22"/>
      <w:lang w:eastAsia="en-US"/>
    </w:rPr>
  </w:style>
  <w:style w:type="paragraph" w:customStyle="1" w:styleId="53">
    <w:name w:val="注："/>
    <w:next w:val="43"/>
    <w:autoRedefine/>
    <w:qFormat/>
    <w:uiPriority w:val="0"/>
    <w:pPr>
      <w:widowControl w:val="0"/>
      <w:numPr>
        <w:ilvl w:val="0"/>
        <w:numId w:val="2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4">
    <w:name w:val="附录表标题"/>
    <w:basedOn w:val="1"/>
    <w:next w:val="43"/>
    <w:autoRedefine/>
    <w:qFormat/>
    <w:uiPriority w:val="0"/>
    <w:pPr>
      <w:numPr>
        <w:ilvl w:val="1"/>
        <w:numId w:val="3"/>
      </w:numPr>
      <w:tabs>
        <w:tab w:val="left" w:pos="180"/>
      </w:tabs>
      <w:spacing w:before="156" w:beforeLines="50" w:after="156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5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customStyle="1" w:styleId="56">
    <w:name w:val="附录标识"/>
    <w:basedOn w:val="1"/>
    <w:next w:val="43"/>
    <w:autoRedefine/>
    <w:qFormat/>
    <w:uiPriority w:val="0"/>
    <w:pPr>
      <w:keepNext/>
      <w:widowControl/>
      <w:numPr>
        <w:ilvl w:val="0"/>
        <w:numId w:val="4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57">
    <w:name w:val="_Style 56"/>
    <w:autoRedefine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8">
    <w:name w:val="缩进正文"/>
    <w:basedOn w:val="1"/>
    <w:autoRedefine/>
    <w:qFormat/>
    <w:uiPriority w:val="0"/>
    <w:pPr>
      <w:spacing w:line="440" w:lineRule="exact"/>
      <w:ind w:firstLine="200" w:firstLineChars="200"/>
      <w:jc w:val="left"/>
    </w:pPr>
    <w:rPr>
      <w:rFonts w:cs="宋体"/>
      <w:sz w:val="24"/>
      <w:szCs w:val="20"/>
    </w:rPr>
  </w:style>
  <w:style w:type="table" w:customStyle="1" w:styleId="59">
    <w:name w:val="Table Normal"/>
    <w:autoRedefine/>
    <w:unhideWhenUsed/>
    <w:qFormat/>
    <w:uiPriority w:val="2"/>
    <w:pPr>
      <w:widowControl w:val="0"/>
      <w:autoSpaceDE w:val="0"/>
      <w:autoSpaceDN w:val="0"/>
    </w:pPr>
    <w:rPr>
      <w:rFonts w:ascii="Calibri" w:hAnsi="Calibri" w:cs="Arial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">
    <w:name w:val="网格型2"/>
    <w:basedOn w:val="26"/>
    <w:autoRedefine/>
    <w:unhideWhenUsed/>
    <w:qFormat/>
    <w:uiPriority w:val="59"/>
    <w:rPr>
      <w:rFonts w:ascii="Calibri" w:hAnsi="Calibri" w:eastAsia="Times New Roman"/>
      <w:kern w:val="2"/>
      <w:sz w:val="21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网格型1"/>
    <w:basedOn w:val="26"/>
    <w:autoRedefine/>
    <w:unhideWhenUsed/>
    <w:qFormat/>
    <w:uiPriority w:val="59"/>
    <w:rPr>
      <w:rFonts w:ascii="Calibri" w:hAnsi="Calibri" w:eastAsia="Times New Roman"/>
      <w:kern w:val="2"/>
      <w:sz w:val="21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网格型3"/>
    <w:basedOn w:val="26"/>
    <w:autoRedefine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CQJL Institute</Company>
  <Pages>15</Pages>
  <Words>4110</Words>
  <Characters>5401</Characters>
  <Lines>56</Lines>
  <Paragraphs>15</Paragraphs>
  <TotalTime>1</TotalTime>
  <ScaleCrop>false</ScaleCrop>
  <LinksUpToDate>false</LinksUpToDate>
  <CharactersWithSpaces>5694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2021-06-08T04:23:00Z</dcterms:created>
  <dc:creator>DYQ</dc:creator>
  <cp:lastModifiedBy>郑云生</cp:lastModifiedBy>
  <cp:lastPrinted>2021-10-21T08:32:00Z</cp:lastPrinted>
  <dcterms:modified xsi:type="dcterms:W3CDTF">2024-10-28T08:30:59Z</dcterms:modified>
  <dc:title>JJF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830CA26D24A7462BB88F5F2EE639BB6D_13</vt:lpwstr>
  </property>
</Properties>
</file>