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bidi w:val="0"/>
        <w:spacing w:after="0" w:line="360" w:lineRule="auto"/>
        <w:jc w:val="center"/>
        <w:textAlignment w:val="auto"/>
        <w:rPr>
          <w:rFonts w:eastAsia="华文中宋"/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jc w:val="center"/>
        <w:textAlignment w:val="auto"/>
        <w:rPr>
          <w:rFonts w:eastAsia="华文中宋"/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jc w:val="center"/>
        <w:textAlignment w:val="auto"/>
        <w:outlineLvl w:val="0"/>
        <w:rPr>
          <w:rFonts w:ascii="微软雅黑" w:eastAsia="微软雅黑"/>
          <w:w w:val="120"/>
          <w:sz w:val="52"/>
          <w:szCs w:val="52"/>
        </w:rPr>
      </w:pPr>
      <w:bookmarkStart w:id="0" w:name="_Toc22304"/>
      <w:bookmarkStart w:id="1" w:name="_Toc25386"/>
      <w:r>
        <w:rPr>
          <w:rFonts w:hint="eastAsia" w:ascii="微软雅黑" w:hAnsi="宋体" w:eastAsia="微软雅黑"/>
          <w:w w:val="120"/>
          <w:sz w:val="52"/>
          <w:szCs w:val="52"/>
        </w:rPr>
        <w:t>中华人民共和国工业和信息化部建材计量技术规范</w:t>
      </w:r>
      <w:bookmarkEnd w:id="0"/>
      <w:bookmarkEnd w:id="1"/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ind w:firstLine="5600" w:firstLineChars="2000"/>
        <w:textAlignment w:val="auto"/>
        <w:outlineLvl w:val="0"/>
        <w:rPr>
          <w:rFonts w:hint="eastAsia" w:ascii="黑体" w:hAnsi="黑体" w:eastAsia="黑体"/>
          <w:sz w:val="28"/>
          <w:szCs w:val="28"/>
          <w:lang w:val="en-US" w:eastAsia="zh-CN"/>
        </w:rPr>
      </w:pPr>
      <w:bookmarkStart w:id="2" w:name="_Toc26362"/>
      <w:bookmarkStart w:id="3" w:name="_Toc31957"/>
      <w:r>
        <w:rPr>
          <w:rFonts w:hint="eastAsia" w:ascii="黑体" w:hAnsi="黑体" w:eastAsia="黑体"/>
          <w:sz w:val="28"/>
          <w:szCs w:val="28"/>
        </w:rPr>
        <w:t>JJF(建材)  XXXX</w:t>
      </w:r>
      <w:r>
        <w:rPr>
          <w:rFonts w:ascii="黑体" w:hAnsi="黑体" w:eastAsia="黑体"/>
          <w:sz w:val="28"/>
          <w:szCs w:val="28"/>
        </w:rPr>
        <w:t>－</w:t>
      </w:r>
      <w:r>
        <w:rPr>
          <w:rFonts w:hint="eastAsia" w:ascii="黑体" w:hAnsi="黑体" w:eastAsia="黑体"/>
          <w:sz w:val="28"/>
          <w:szCs w:val="28"/>
        </w:rPr>
        <w:t>XXXX</w:t>
      </w:r>
      <w:bookmarkEnd w:id="2"/>
      <w:bookmarkEnd w:id="3"/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sz w:val="30"/>
          <w:szCs w:val="30"/>
        </w:rPr>
      </w:pP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0</wp:posOffset>
                </wp:positionV>
                <wp:extent cx="5715000" cy="0"/>
                <wp:effectExtent l="0" t="9525" r="0" b="15875"/>
                <wp:wrapNone/>
                <wp:docPr id="1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margin-left:5.25pt;margin-top:0pt;height:0pt;width:450pt;z-index:251659264;mso-width-relative:page;mso-height-relative:page;" filled="f" stroked="t" coordsize="21600,21600" o:gfxdata="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C3t9RjPAAAABAEAAA8AAAAAAAAAAQAg&#10;AAAAIgAAAGRycy9kb3ducmV2LnhtbFBLAQIUABQAAAAIAIdO4kBwkiB83gEAAOgDAAAOAAAAAAAA&#10;AAEAIAAAAB4BAABkcnMvZTJvRG9jLnhtbFBLBQYAAAAABgAGAFkBAABu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sz w:val="30"/>
          <w:szCs w:val="30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sz w:val="30"/>
          <w:szCs w:val="30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eastAsia="黑体"/>
          <w:sz w:val="36"/>
          <w:szCs w:val="36"/>
        </w:rPr>
      </w:pPr>
    </w:p>
    <w:p>
      <w:pPr>
        <w:pageBreakBefore w:val="0"/>
        <w:tabs>
          <w:tab w:val="left" w:pos="8789"/>
          <w:tab w:val="left" w:pos="9214"/>
        </w:tabs>
        <w:kinsoku/>
        <w:wordWrap/>
        <w:overflowPunct/>
        <w:topLinePunct w:val="0"/>
        <w:bidi w:val="0"/>
        <w:spacing w:after="0" w:line="360" w:lineRule="auto"/>
        <w:ind w:left="809" w:leftChars="337" w:right="1133" w:rightChars="472"/>
        <w:jc w:val="center"/>
        <w:textAlignment w:val="auto"/>
        <w:outlineLvl w:val="0"/>
        <w:rPr>
          <w:rFonts w:hint="eastAsia" w:eastAsia="黑体"/>
          <w:b/>
          <w:bCs/>
          <w:sz w:val="36"/>
          <w:szCs w:val="36"/>
          <w:lang w:eastAsia="zh-CN"/>
        </w:rPr>
      </w:pPr>
      <w:bookmarkStart w:id="4" w:name="_Toc17278"/>
      <w:bookmarkStart w:id="5" w:name="_Toc22032"/>
      <w:r>
        <w:rPr>
          <w:rFonts w:hint="eastAsia" w:eastAsia="黑体"/>
          <w:b/>
          <w:bCs/>
          <w:sz w:val="36"/>
          <w:szCs w:val="36"/>
          <w:lang w:val="en-US" w:eastAsia="zh-CN"/>
        </w:rPr>
        <w:t>建筑外墙外保温系统防火性能装置校准规范</w:t>
      </w:r>
      <w:bookmarkEnd w:id="4"/>
      <w:bookmarkEnd w:id="5"/>
    </w:p>
    <w:p>
      <w:pPr>
        <w:pageBreakBefore w:val="0"/>
        <w:tabs>
          <w:tab w:val="left" w:pos="8789"/>
          <w:tab w:val="left" w:pos="9214"/>
        </w:tabs>
        <w:kinsoku/>
        <w:wordWrap/>
        <w:overflowPunct/>
        <w:topLinePunct w:val="0"/>
        <w:bidi w:val="0"/>
        <w:spacing w:after="0" w:line="360" w:lineRule="auto"/>
        <w:ind w:left="809" w:leftChars="337" w:right="1133" w:rightChars="472"/>
        <w:jc w:val="center"/>
        <w:textAlignment w:val="auto"/>
        <w:rPr>
          <w:rFonts w:hint="default" w:eastAsia="黑体"/>
          <w:b w:val="0"/>
          <w:bCs w:val="0"/>
          <w:sz w:val="21"/>
          <w:szCs w:val="21"/>
          <w:lang w:val="en-US" w:eastAsia="zh-CN"/>
        </w:rPr>
      </w:pPr>
      <w:r>
        <w:rPr>
          <w:rFonts w:hint="eastAsia" w:eastAsia="黑体"/>
          <w:b/>
          <w:bCs/>
          <w:sz w:val="21"/>
          <w:szCs w:val="21"/>
        </w:rPr>
        <w:t>Calibration specification for fire</w:t>
      </w:r>
      <w:r>
        <w:rPr>
          <w:rFonts w:hint="eastAsia" w:eastAsia="黑体"/>
          <w:b/>
          <w:bCs/>
          <w:sz w:val="21"/>
          <w:szCs w:val="21"/>
          <w:lang w:val="en-US" w:eastAsia="zh-CN"/>
        </w:rPr>
        <w:t xml:space="preserve">-resistant </w:t>
      </w:r>
      <w:r>
        <w:rPr>
          <w:rFonts w:hint="eastAsia" w:eastAsia="黑体"/>
          <w:b/>
          <w:bCs/>
          <w:sz w:val="21"/>
          <w:szCs w:val="21"/>
        </w:rPr>
        <w:t xml:space="preserve">performance device of external </w:t>
      </w:r>
      <w:r>
        <w:rPr>
          <w:rFonts w:hint="eastAsia" w:eastAsia="黑体"/>
          <w:b/>
          <w:bCs/>
          <w:sz w:val="21"/>
          <w:szCs w:val="21"/>
          <w:lang w:val="en-US" w:eastAsia="zh-CN"/>
        </w:rPr>
        <w:t xml:space="preserve">wall </w:t>
      </w:r>
      <w:r>
        <w:rPr>
          <w:rFonts w:hint="eastAsia" w:eastAsia="黑体"/>
          <w:b/>
          <w:bCs/>
          <w:sz w:val="21"/>
          <w:szCs w:val="21"/>
        </w:rPr>
        <w:t xml:space="preserve">insulation system </w:t>
      </w:r>
      <w:r>
        <w:rPr>
          <w:rFonts w:hint="eastAsia" w:eastAsia="黑体"/>
          <w:b/>
          <w:bCs/>
          <w:sz w:val="21"/>
          <w:szCs w:val="21"/>
          <w:lang w:val="en-US" w:eastAsia="zh-CN"/>
        </w:rPr>
        <w:t>applied to</w:t>
      </w:r>
      <w:r>
        <w:rPr>
          <w:rFonts w:hint="eastAsia" w:eastAsia="黑体"/>
          <w:b/>
          <w:bCs/>
          <w:sz w:val="21"/>
          <w:szCs w:val="21"/>
        </w:rPr>
        <w:t xml:space="preserve"> building </w:t>
      </w:r>
      <w:r>
        <w:rPr>
          <w:rFonts w:hint="eastAsia" w:eastAsia="黑体"/>
          <w:b/>
          <w:bCs/>
          <w:sz w:val="21"/>
          <w:szCs w:val="21"/>
          <w:lang w:val="en-US" w:eastAsia="zh-CN"/>
        </w:rPr>
        <w:t>facade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jc w:val="center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rFonts w:hint="eastAsia"/>
          <w:sz w:val="32"/>
          <w:szCs w:val="32"/>
          <w:lang w:val="en-US" w:eastAsia="zh-CN"/>
        </w:rPr>
        <w:t>征求意见稿</w:t>
      </w:r>
      <w:r>
        <w:rPr>
          <w:rFonts w:hint="eastAsia"/>
          <w:sz w:val="32"/>
          <w:szCs w:val="32"/>
        </w:rPr>
        <w:t>）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sz w:val="30"/>
          <w:szCs w:val="30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sz w:val="30"/>
          <w:szCs w:val="30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sz w:val="30"/>
          <w:szCs w:val="30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sz w:val="30"/>
          <w:szCs w:val="30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sz w:val="30"/>
          <w:szCs w:val="30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sz w:val="30"/>
          <w:szCs w:val="30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ind w:firstLine="560" w:firstLineChars="200"/>
        <w:textAlignment w:val="auto"/>
        <w:rPr>
          <w:sz w:val="30"/>
          <w:szCs w:val="30"/>
        </w:rPr>
      </w:pPr>
      <w:r>
        <w:rPr>
          <w:rFonts w:eastAsia="黑体"/>
          <w:sz w:val="28"/>
          <w:szCs w:val="28"/>
        </w:rPr>
        <w:t>××××－××－××发布</w:t>
      </w:r>
      <w:r>
        <w:rPr>
          <w:rFonts w:hint="eastAsia" w:eastAsia="黑体"/>
          <w:sz w:val="28"/>
          <w:szCs w:val="28"/>
        </w:rPr>
        <w:t xml:space="preserve">                              </w:t>
      </w:r>
      <w:r>
        <w:rPr>
          <w:rFonts w:eastAsia="黑体"/>
          <w:sz w:val="28"/>
          <w:szCs w:val="28"/>
        </w:rPr>
        <w:t>××××－××－××实施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jc w:val="center"/>
        <w:textAlignment w:val="auto"/>
        <w:rPr>
          <w:rFonts w:eastAsia="黑体"/>
          <w:sz w:val="24"/>
        </w:rPr>
      </w:pPr>
      <w:r>
        <w:rPr>
          <w:rFonts w:ascii="微软雅黑" w:eastAsia="微软雅黑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0"/>
                <wp:effectExtent l="0" t="9525" r="0" b="15875"/>
                <wp:wrapNone/>
                <wp:docPr id="2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0pt;margin-top:0pt;height:0pt;width:450pt;z-index:251660288;mso-width-relative:page;mso-height-relative:page;" filled="f" stroked="t" coordsize="21600,21600" o:gfxdata="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7WDcvzwAAAAIBAAAPAAAAAAAAAAEA&#10;IAAAACIAAABkcnMvZG93bnJldi54bWxQSwECFAAUAAAACACHTuJACxb9n98BAADoAwAADgAAAAAA&#10;AAABACAAAAAeAQAAZHJzL2Uyb0RvYy54bWxQSwUGAAAAAAYABgBZAQAAbw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eastAsia="微软雅黑"/>
          <w:w w:val="120"/>
          <w:sz w:val="44"/>
          <w:szCs w:val="44"/>
        </w:rPr>
        <w:t>中华人民共和国工业和信息化部</w:t>
      </w:r>
      <w:r>
        <w:rPr>
          <w:rFonts w:hAnsi="Arial" w:eastAsia="黑体"/>
          <w:sz w:val="28"/>
          <w:szCs w:val="28"/>
        </w:rPr>
        <w:t>发布</w:t>
      </w:r>
    </w:p>
    <w:p>
      <w:pPr>
        <w:pageBreakBefore w:val="0"/>
        <w:tabs>
          <w:tab w:val="left" w:pos="8789"/>
          <w:tab w:val="left" w:pos="9214"/>
        </w:tabs>
        <w:kinsoku/>
        <w:wordWrap/>
        <w:overflowPunct/>
        <w:topLinePunct w:val="0"/>
        <w:bidi w:val="0"/>
        <w:spacing w:after="0" w:line="360" w:lineRule="auto"/>
        <w:ind w:right="1133" w:rightChars="472" w:firstLine="220" w:firstLineChars="50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  <w:sectPr>
          <w:headerReference r:id="rId4" w:type="default"/>
          <w:footerReference r:id="rId5" w:type="default"/>
          <w:pgSz w:w="11906" w:h="16838"/>
          <w:pgMar w:top="1588" w:right="1418" w:bottom="1418" w:left="1418" w:header="709" w:footer="70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08" w:num="1"/>
          <w:docGrid w:linePitch="360" w:charSpace="0"/>
        </w:sectPr>
      </w:pPr>
    </w:p>
    <w:p>
      <w:pPr>
        <w:pageBreakBefore w:val="0"/>
        <w:tabs>
          <w:tab w:val="left" w:pos="8789"/>
          <w:tab w:val="left" w:pos="9214"/>
        </w:tabs>
        <w:kinsoku/>
        <w:wordWrap/>
        <w:overflowPunct/>
        <w:topLinePunct w:val="0"/>
        <w:bidi w:val="0"/>
        <w:spacing w:after="0" w:line="360" w:lineRule="auto"/>
        <w:ind w:right="1133" w:rightChars="472" w:firstLine="220" w:firstLineChars="50"/>
        <w:textAlignment w:val="auto"/>
        <w:rPr>
          <w:rFonts w:hint="default" w:ascii="黑体" w:hAnsi="黑体" w:eastAsia="黑体" w:cs="黑体"/>
          <w:sz w:val="44"/>
          <w:szCs w:val="44"/>
          <w:lang w:val="en-US"/>
        </w:rPr>
      </w:pPr>
      <w:r>
        <w:rPr>
          <w:rFonts w:hint="default" w:ascii="黑体" w:hAnsi="黑体" w:eastAsia="黑体" w:cs="黑体"/>
          <w:sz w:val="44"/>
          <w:szCs w:val="4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3590290</wp:posOffset>
                </wp:positionH>
                <wp:positionV relativeFrom="paragraph">
                  <wp:posOffset>334645</wp:posOffset>
                </wp:positionV>
                <wp:extent cx="2124075" cy="792480"/>
                <wp:effectExtent l="4445" t="4445" r="5080" b="15875"/>
                <wp:wrapNone/>
                <wp:docPr id="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Gungsuh" w:hAnsi="Gungsuh" w:cs="Arial Unicode MS"/>
                                <w:sz w:val="24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黑体" w:hAnsi="黑体" w:eastAsia="黑体" w:cs="Arial Unicode MS"/>
                                <w:sz w:val="24"/>
                              </w:rPr>
                              <w:t>JJF(建材)</w:t>
                            </w:r>
                            <w:r>
                              <w:rPr>
                                <w:rFonts w:hint="eastAsia" w:ascii="Gungsuh" w:hAnsi="Gungsuh" w:eastAsia="Gungsuh" w:cs="Arial Unicode MS"/>
                                <w:sz w:val="24"/>
                              </w:rPr>
                              <w:t>××××－××××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5" o:spid="_x0000_s1026" o:spt="202" type="#_x0000_t202" style="position:absolute;left:0pt;margin-left:282.7pt;margin-top:26.35pt;height:62.4pt;width:167.25pt;z-index:251662336;mso-width-relative:page;mso-height-relative:page;" fillcolor="#FFFFFF" filled="t" stroked="t" coordsize="21600,21600" o:gfxdata="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DANlDYAAAACgEAAA8AAAAAAAAAAQAgAAAAIgAAAGRycy9k&#10;b3ducmV2LnhtbFBLAQIUABQAAAAIAIdO4kAgqhRPAgIAAEM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Gungsuh" w:hAnsi="Gungsuh" w:cs="Arial Unicode MS"/>
                          <w:sz w:val="24"/>
                        </w:rPr>
                      </w:pPr>
                    </w:p>
                    <w:p>
                      <w:pPr>
                        <w:jc w:val="center"/>
                      </w:pPr>
                      <w:r>
                        <w:rPr>
                          <w:rFonts w:hint="eastAsia" w:ascii="黑体" w:hAnsi="黑体" w:eastAsia="黑体" w:cs="Arial Unicode MS"/>
                          <w:sz w:val="24"/>
                        </w:rPr>
                        <w:t>JJF(建材)</w:t>
                      </w:r>
                      <w:r>
                        <w:rPr>
                          <w:rFonts w:hint="eastAsia" w:ascii="Gungsuh" w:hAnsi="Gungsuh" w:eastAsia="Gungsuh" w:cs="Arial Unicode MS"/>
                          <w:sz w:val="24"/>
                        </w:rPr>
                        <w:t>××××－××××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黑体" w:hAnsi="黑体" w:eastAsia="黑体" w:cs="黑体"/>
          <w:sz w:val="44"/>
          <w:szCs w:val="44"/>
          <w:lang w:val="en-US"/>
        </w:rPr>
        <w:t>建筑外墙外保温系统</w:t>
      </w:r>
    </w:p>
    <w:p>
      <w:pPr>
        <w:pageBreakBefore w:val="0"/>
        <w:tabs>
          <w:tab w:val="left" w:pos="8789"/>
          <w:tab w:val="left" w:pos="9214"/>
        </w:tabs>
        <w:kinsoku/>
        <w:wordWrap/>
        <w:overflowPunct/>
        <w:topLinePunct w:val="0"/>
        <w:bidi w:val="0"/>
        <w:spacing w:after="0" w:line="360" w:lineRule="auto"/>
        <w:ind w:right="1133" w:rightChars="472" w:firstLine="220" w:firstLineChars="50"/>
        <w:textAlignment w:val="auto"/>
        <w:outlineLvl w:val="0"/>
        <w:rPr>
          <w:rFonts w:ascii="黑体"/>
          <w:sz w:val="44"/>
          <w:szCs w:val="44"/>
        </w:rPr>
      </w:pPr>
      <w:bookmarkStart w:id="6" w:name="_Toc14893"/>
      <w:bookmarkStart w:id="7" w:name="_Toc16345"/>
      <w:r>
        <w:rPr>
          <w:rFonts w:hint="default" w:ascii="黑体" w:hAnsi="黑体" w:eastAsia="黑体" w:cs="黑体"/>
          <w:sz w:val="44"/>
          <w:szCs w:val="44"/>
          <w:lang w:val="en-US"/>
        </w:rPr>
        <w:t>防火性能装置</w:t>
      </w:r>
      <w:r>
        <w:rPr>
          <w:rFonts w:hint="eastAsia" w:ascii="黑体" w:hAnsi="黑体" w:eastAsia="黑体" w:cs="黑体"/>
          <w:sz w:val="44"/>
          <w:szCs w:val="44"/>
        </w:rPr>
        <w:t>校准规范</w:t>
      </w:r>
      <w:bookmarkEnd w:id="6"/>
      <w:bookmarkEnd w:id="7"/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ind w:firstLine="211" w:firstLineChars="100"/>
        <w:textAlignment w:val="auto"/>
        <w:rPr>
          <w:rFonts w:ascii="黑体" w:hAnsi="黑体" w:eastAsia="黑体"/>
          <w:color w:val="FF0000"/>
          <w:sz w:val="28"/>
          <w:szCs w:val="28"/>
        </w:rPr>
      </w:pPr>
      <w:r>
        <w:rPr>
          <w:rFonts w:hint="eastAsia" w:eastAsia="黑体"/>
          <w:b/>
          <w:bCs/>
          <w:sz w:val="21"/>
          <w:szCs w:val="21"/>
        </w:rPr>
        <w:t>Calibration specification for fire performance device of external insulation system for building exterior walls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101600</wp:posOffset>
                </wp:positionV>
                <wp:extent cx="5715000" cy="0"/>
                <wp:effectExtent l="0" t="9525" r="0" b="15875"/>
                <wp:wrapNone/>
                <wp:docPr id="3" name="Li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6" o:spid="_x0000_s1026" o:spt="20" style="position:absolute;left:0pt;margin-left:0pt;margin-top:8pt;height:0pt;width:450pt;z-index:251661312;mso-width-relative:page;mso-height-relative:page;" filled="f" stroked="t" coordsize="21600,21600" o:gfxdata="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BK6XaDRAAAABgEAAA8AAAAAAAAA&#10;AQAgAAAAIgAAAGRycy9kb3ducmV2LnhtbFBLAQIUABQAAAAIAIdO4kBb3/fd3wEAAOgDAAAOAAAA&#10;AAAAAAEAIAAAACABAABkcnMvZTJvRG9jLnhtbFBLBQYAAAAABgAGAFkBAABx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jc w:val="center"/>
        <w:textAlignment w:val="auto"/>
        <w:rPr>
          <w:sz w:val="24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jc w:val="center"/>
        <w:textAlignment w:val="auto"/>
        <w:rPr>
          <w:sz w:val="24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jc w:val="center"/>
        <w:textAlignment w:val="auto"/>
        <w:rPr>
          <w:sz w:val="24"/>
        </w:rPr>
      </w:pPr>
    </w:p>
    <w:p>
      <w:pPr>
        <w:pStyle w:val="8"/>
        <w:pageBreakBefore w:val="0"/>
        <w:kinsoku/>
        <w:wordWrap/>
        <w:overflowPunct/>
        <w:topLinePunct w:val="0"/>
        <w:bidi w:val="0"/>
        <w:snapToGrid w:val="0"/>
        <w:spacing w:after="0" w:line="360" w:lineRule="auto"/>
        <w:ind w:firstLine="627" w:firstLineChars="212"/>
        <w:jc w:val="both"/>
        <w:textAlignment w:val="auto"/>
        <w:rPr>
          <w:rFonts w:eastAsia="黑体"/>
          <w:kern w:val="0"/>
          <w:sz w:val="28"/>
          <w:szCs w:val="28"/>
        </w:rPr>
      </w:pPr>
      <w:r>
        <w:rPr>
          <w:rFonts w:eastAsia="黑体"/>
          <w:spacing w:val="8"/>
          <w:sz w:val="28"/>
          <w:szCs w:val="28"/>
        </w:rPr>
        <w:t>归</w:t>
      </w:r>
      <w:r>
        <w:rPr>
          <w:rFonts w:hint="eastAsia" w:eastAsia="黑体"/>
          <w:spacing w:val="8"/>
          <w:sz w:val="28"/>
          <w:szCs w:val="28"/>
        </w:rPr>
        <w:t xml:space="preserve">  </w:t>
      </w:r>
      <w:r>
        <w:rPr>
          <w:rFonts w:eastAsia="黑体"/>
          <w:spacing w:val="8"/>
          <w:sz w:val="28"/>
          <w:szCs w:val="28"/>
        </w:rPr>
        <w:t>口</w:t>
      </w:r>
      <w:r>
        <w:rPr>
          <w:rFonts w:hint="eastAsia" w:eastAsia="黑体"/>
          <w:spacing w:val="8"/>
          <w:sz w:val="28"/>
          <w:szCs w:val="28"/>
        </w:rPr>
        <w:t xml:space="preserve">  </w:t>
      </w:r>
      <w:r>
        <w:rPr>
          <w:rFonts w:eastAsia="黑体"/>
          <w:spacing w:val="8"/>
          <w:sz w:val="28"/>
          <w:szCs w:val="28"/>
        </w:rPr>
        <w:t>单</w:t>
      </w:r>
      <w:r>
        <w:rPr>
          <w:rFonts w:hint="eastAsia" w:eastAsia="黑体"/>
          <w:spacing w:val="8"/>
          <w:sz w:val="28"/>
          <w:szCs w:val="28"/>
        </w:rPr>
        <w:t xml:space="preserve">  </w:t>
      </w:r>
      <w:r>
        <w:rPr>
          <w:rFonts w:eastAsia="黑体"/>
          <w:spacing w:val="8"/>
          <w:sz w:val="28"/>
          <w:szCs w:val="28"/>
        </w:rPr>
        <w:t>位</w:t>
      </w:r>
      <w:r>
        <w:rPr>
          <w:rFonts w:eastAsia="黑体"/>
          <w:sz w:val="28"/>
          <w:szCs w:val="28"/>
        </w:rPr>
        <w:t>：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中国建筑材料联合会</w:t>
      </w:r>
    </w:p>
    <w:p>
      <w:pPr>
        <w:pStyle w:val="8"/>
        <w:pageBreakBefore w:val="0"/>
        <w:kinsoku/>
        <w:wordWrap/>
        <w:overflowPunct/>
        <w:topLinePunct w:val="0"/>
        <w:bidi w:val="0"/>
        <w:snapToGrid w:val="0"/>
        <w:spacing w:after="0" w:line="360" w:lineRule="auto"/>
        <w:ind w:firstLine="560"/>
        <w:jc w:val="both"/>
        <w:textAlignment w:val="auto"/>
        <w:rPr>
          <w:rFonts w:hint="default" w:eastAsia="黑体"/>
          <w:sz w:val="28"/>
          <w:lang w:val="en-US" w:eastAsia="zh-CN"/>
        </w:rPr>
      </w:pPr>
      <w:r>
        <w:rPr>
          <w:rFonts w:eastAsia="黑体"/>
          <w:kern w:val="0"/>
          <w:sz w:val="28"/>
          <w:szCs w:val="28"/>
        </w:rPr>
        <w:t>主要起草单位：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中国建筑设计研究院有限公司</w:t>
      </w:r>
    </w:p>
    <w:p>
      <w:pPr>
        <w:pStyle w:val="8"/>
        <w:pageBreakBefore w:val="0"/>
        <w:kinsoku/>
        <w:wordWrap/>
        <w:overflowPunct/>
        <w:topLinePunct w:val="0"/>
        <w:bidi w:val="0"/>
        <w:snapToGrid w:val="0"/>
        <w:spacing w:after="0" w:line="360" w:lineRule="auto"/>
        <w:ind w:firstLine="560"/>
        <w:jc w:val="both"/>
        <w:textAlignment w:val="auto"/>
        <w:rPr>
          <w:rFonts w:hint="default" w:eastAsia="宋体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 xml:space="preserve">                            </w:t>
      </w:r>
    </w:p>
    <w:p>
      <w:pPr>
        <w:pStyle w:val="8"/>
        <w:pageBreakBefore w:val="0"/>
        <w:kinsoku/>
        <w:wordWrap/>
        <w:overflowPunct/>
        <w:topLinePunct w:val="0"/>
        <w:bidi w:val="0"/>
        <w:snapToGrid w:val="0"/>
        <w:spacing w:after="0" w:line="360" w:lineRule="auto"/>
        <w:ind w:firstLine="599" w:firstLineChars="213"/>
        <w:textAlignment w:val="auto"/>
        <w:outlineLvl w:val="0"/>
        <w:rPr>
          <w:rFonts w:hAnsi="宋体"/>
          <w:b/>
          <w:kern w:val="0"/>
          <w:sz w:val="28"/>
          <w:szCs w:val="28"/>
        </w:rPr>
      </w:pPr>
      <w:bookmarkStart w:id="8" w:name="_Toc24603"/>
      <w:bookmarkStart w:id="9" w:name="_Toc10622"/>
      <w:r>
        <w:rPr>
          <w:rFonts w:hAnsi="宋体"/>
          <w:b/>
          <w:kern w:val="0"/>
          <w:sz w:val="28"/>
          <w:szCs w:val="28"/>
        </w:rPr>
        <w:t>参加起草单位：</w:t>
      </w:r>
      <w:r>
        <w:rPr>
          <w:rFonts w:hint="eastAsia"/>
          <w:sz w:val="28"/>
          <w:szCs w:val="28"/>
        </w:rPr>
        <w:t>应急管理部天津消防研究所</w:t>
      </w:r>
      <w:bookmarkEnd w:id="8"/>
      <w:bookmarkEnd w:id="9"/>
    </w:p>
    <w:p>
      <w:pPr>
        <w:pStyle w:val="8"/>
        <w:pageBreakBefore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firstLine="2520" w:firstLineChars="900"/>
        <w:textAlignment w:val="auto"/>
        <w:rPr>
          <w:rFonts w:hint="eastAsia" w:hAnsi="宋体"/>
          <w:kern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泰思泰克(苏州)检测仪器科技有限公司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hAnsi="Arial"/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hAnsi="Arial"/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hAnsi="Arial"/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hAnsi="Arial"/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hAnsi="Arial"/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hAnsi="Arial"/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hAnsi="Arial"/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ind w:firstLine="480"/>
        <w:jc w:val="center"/>
        <w:textAlignment w:val="auto"/>
        <w:outlineLvl w:val="0"/>
        <w:rPr>
          <w:rFonts w:hAnsi="Arial" w:eastAsia="黑体"/>
          <w:sz w:val="28"/>
          <w:szCs w:val="28"/>
        </w:rPr>
      </w:pPr>
      <w:bookmarkStart w:id="10" w:name="_Toc8514"/>
      <w:bookmarkStart w:id="11" w:name="_Toc1101"/>
      <w:r>
        <w:rPr>
          <w:rFonts w:ascii="Times New Roman" w:hAnsi="宋体" w:eastAsia="宋体" w:cs="Times New Roman"/>
          <w:sz w:val="28"/>
          <w:szCs w:val="28"/>
        </w:rPr>
        <w:t>本</w:t>
      </w:r>
      <w:r>
        <w:rPr>
          <w:rFonts w:hint="eastAsia" w:ascii="Times New Roman" w:hAnsi="宋体" w:eastAsia="宋体" w:cs="Times New Roman"/>
          <w:sz w:val="28"/>
          <w:szCs w:val="28"/>
        </w:rPr>
        <w:t>标准</w:t>
      </w:r>
      <w:r>
        <w:rPr>
          <w:rFonts w:ascii="Times New Roman" w:hAnsi="宋体" w:eastAsia="宋体" w:cs="Times New Roman"/>
          <w:sz w:val="28"/>
          <w:szCs w:val="28"/>
        </w:rPr>
        <w:t>委托</w:t>
      </w:r>
      <w:r>
        <w:rPr>
          <w:rFonts w:hint="eastAsia" w:ascii="Times New Roman" w:hAnsi="宋体" w:eastAsia="宋体" w:cs="Times New Roman"/>
          <w:sz w:val="28"/>
          <w:szCs w:val="28"/>
        </w:rPr>
        <w:t>全国建材</w:t>
      </w:r>
      <w:r>
        <w:rPr>
          <w:rFonts w:ascii="Times New Roman" w:hAnsi="宋体" w:eastAsia="宋体" w:cs="Times New Roman"/>
          <w:sz w:val="28"/>
          <w:szCs w:val="28"/>
        </w:rPr>
        <w:t>计量技术委员会负责解释</w:t>
      </w:r>
      <w:bookmarkEnd w:id="10"/>
      <w:bookmarkEnd w:id="11"/>
    </w:p>
    <w:p>
      <w:pPr>
        <w:rPr>
          <w:rFonts w:hAnsi="Arial" w:eastAsia="黑体"/>
          <w:sz w:val="28"/>
          <w:szCs w:val="28"/>
        </w:rPr>
      </w:pPr>
      <w:r>
        <w:rPr>
          <w:rFonts w:hAnsi="Arial" w:eastAsia="黑体"/>
          <w:sz w:val="28"/>
          <w:szCs w:val="28"/>
        </w:rPr>
        <w:br w:type="page"/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hint="eastAsia" w:hAnsi="Arial" w:eastAsia="黑体"/>
          <w:sz w:val="28"/>
          <w:szCs w:val="28"/>
          <w:lang w:val="en-US" w:eastAsia="zh-CN"/>
        </w:rPr>
      </w:pPr>
      <w:r>
        <w:rPr>
          <w:rFonts w:hAnsi="Arial" w:eastAsia="黑体"/>
          <w:sz w:val="28"/>
          <w:szCs w:val="28"/>
        </w:rPr>
        <w:t>本规范主要起草人：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hint="eastAsia" w:hAnsi="Arial" w:eastAsia="黑体"/>
          <w:sz w:val="28"/>
          <w:szCs w:val="28"/>
          <w:lang w:val="en-US" w:eastAsia="zh-CN"/>
        </w:rPr>
      </w:pPr>
      <w:r>
        <w:rPr>
          <w:rFonts w:hint="eastAsia" w:hAnsi="Arial" w:eastAsia="黑体"/>
          <w:sz w:val="28"/>
          <w:szCs w:val="28"/>
          <w:lang w:val="en-US" w:eastAsia="zh-CN"/>
        </w:rPr>
        <w:t xml:space="preserve">                            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hint="default" w:hAnsi="Arial" w:eastAsia="黑体"/>
          <w:sz w:val="28"/>
          <w:szCs w:val="28"/>
          <w:lang w:val="en-US" w:eastAsia="zh-CN"/>
        </w:rPr>
      </w:pPr>
      <w:r>
        <w:rPr>
          <w:rFonts w:hint="eastAsia" w:hAnsi="Arial" w:eastAsia="黑体"/>
          <w:sz w:val="28"/>
          <w:szCs w:val="28"/>
          <w:lang w:val="en-US" w:eastAsia="zh-CN"/>
        </w:rPr>
        <w:t xml:space="preserve">                            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ind w:firstLine="840" w:firstLineChars="300"/>
        <w:textAlignment w:val="auto"/>
        <w:rPr>
          <w:rFonts w:hint="eastAsia" w:hAnsi="宋体"/>
          <w:kern w:val="0"/>
          <w:sz w:val="28"/>
          <w:szCs w:val="28"/>
          <w:lang w:val="en-US" w:eastAsia="zh-CN"/>
        </w:rPr>
      </w:pPr>
      <w:r>
        <w:rPr>
          <w:rFonts w:hAnsi="Arial" w:eastAsia="黑体"/>
          <w:sz w:val="28"/>
          <w:szCs w:val="28"/>
        </w:rPr>
        <w:t>参加起草人：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ind w:firstLine="1321" w:firstLineChars="472"/>
        <w:textAlignment w:val="auto"/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hAnsi="Arial" w:eastAsia="黑体"/>
          <w:sz w:val="28"/>
          <w:szCs w:val="28"/>
        </w:rPr>
        <w:t xml:space="preserve">       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ind w:firstLine="480"/>
        <w:textAlignment w:val="auto"/>
        <w:rPr>
          <w:sz w:val="24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sz w:val="24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jc w:val="both"/>
        <w:textAlignment w:val="auto"/>
        <w:rPr>
          <w:rFonts w:eastAsia="黑体"/>
          <w:sz w:val="24"/>
          <w:szCs w:val="24"/>
        </w:rPr>
        <w:sectPr>
          <w:footerReference r:id="rId6" w:type="default"/>
          <w:pgSz w:w="11906" w:h="16838"/>
          <w:pgMar w:top="1588" w:right="1418" w:bottom="1418" w:left="1418" w:header="709" w:footer="70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08" w:num="1"/>
          <w:docGrid w:linePitch="360" w:charSpace="0"/>
        </w:sectPr>
      </w:pPr>
    </w:p>
    <w:p>
      <w:pPr>
        <w:pageBreakBefore w:val="0"/>
        <w:tabs>
          <w:tab w:val="left" w:pos="8789"/>
          <w:tab w:val="left" w:pos="9214"/>
        </w:tabs>
        <w:kinsoku/>
        <w:wordWrap/>
        <w:overflowPunct/>
        <w:topLinePunct w:val="0"/>
        <w:bidi w:val="0"/>
        <w:spacing w:after="0" w:line="360" w:lineRule="auto"/>
        <w:ind w:left="809" w:leftChars="337" w:right="1133" w:rightChars="472"/>
        <w:jc w:val="center"/>
        <w:textAlignment w:val="auto"/>
        <w:outlineLvl w:val="0"/>
        <w:rPr>
          <w:rFonts w:eastAsia="黑体"/>
          <w:sz w:val="24"/>
          <w:szCs w:val="24"/>
        </w:rPr>
      </w:pPr>
      <w:bookmarkStart w:id="12" w:name="_Toc24266"/>
      <w:bookmarkStart w:id="13" w:name="_Toc31221"/>
      <w:r>
        <w:rPr>
          <w:rFonts w:hint="eastAsia" w:eastAsia="黑体"/>
          <w:b/>
          <w:bCs/>
          <w:sz w:val="36"/>
          <w:szCs w:val="36"/>
          <w:lang w:val="en-US" w:eastAsia="zh-CN"/>
        </w:rPr>
        <w:t>建筑外墙外保温系统防火性能装置校准规范</w:t>
      </w:r>
      <w:bookmarkEnd w:id="12"/>
      <w:bookmarkEnd w:id="13"/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jc w:val="center"/>
        <w:textAlignment w:val="auto"/>
        <w:outlineLvl w:val="0"/>
        <w:rPr>
          <w:rFonts w:ascii="黑体" w:hAnsi="黑体" w:eastAsia="黑体"/>
          <w:b/>
          <w:sz w:val="28"/>
          <w:szCs w:val="28"/>
          <w:lang w:val="zh-CN"/>
        </w:rPr>
      </w:pPr>
      <w:bookmarkStart w:id="14" w:name="_Toc12007"/>
      <w:bookmarkStart w:id="15" w:name="_Toc17842"/>
      <w:r>
        <w:rPr>
          <w:rFonts w:hint="eastAsia" w:ascii="黑体" w:hAnsi="黑体" w:eastAsia="黑体"/>
          <w:b/>
          <w:sz w:val="28"/>
          <w:szCs w:val="28"/>
          <w:lang w:val="zh-CN"/>
        </w:rPr>
        <w:t>目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/>
          <w:b/>
          <w:sz w:val="28"/>
          <w:szCs w:val="28"/>
          <w:lang w:val="zh-CN"/>
        </w:rPr>
        <w:t>录</w:t>
      </w:r>
      <w:bookmarkEnd w:id="14"/>
      <w:bookmarkEnd w:id="15"/>
    </w:p>
    <w:sdt>
      <w:sdtPr>
        <w:rPr>
          <w:rFonts w:ascii="宋体" w:hAnsi="宋体" w:eastAsia="宋体" w:cstheme="minorBidi"/>
          <w:sz w:val="21"/>
          <w:szCs w:val="22"/>
          <w:lang w:val="en-US" w:eastAsia="zh-CN" w:bidi="ar-SA"/>
        </w:rPr>
        <w:id w:val="147460668"/>
        <w15:color w:val="DBDBDB"/>
        <w:docPartObj>
          <w:docPartGallery w:val="Table of Contents"/>
          <w:docPartUnique/>
        </w:docPartObj>
      </w:sdtPr>
      <w:sdtEndPr>
        <w:rPr>
          <w:rFonts w:ascii="Tahoma" w:hAnsi="Tahoma" w:eastAsia="微软雅黑" w:cstheme="minorBidi"/>
          <w:sz w:val="22"/>
          <w:szCs w:val="22"/>
          <w:lang w:val="zh-CN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</w:p>
        <w:p>
          <w:pPr>
            <w:pStyle w:val="12"/>
            <w:tabs>
              <w:tab w:val="right" w:leader="dot" w:pos="9070"/>
            </w:tabs>
          </w:pPr>
          <w:r>
            <w:rPr>
              <w:rFonts w:ascii="Tahoma" w:hAnsi="Tahoma" w:eastAsia="微软雅黑" w:cstheme="minorBidi"/>
              <w:sz w:val="22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 w:val="22"/>
              <w:szCs w:val="22"/>
              <w:lang w:val="zh-CN" w:eastAsia="zh-CN" w:bidi="ar-SA"/>
            </w:rPr>
            <w:instrText xml:space="preserve">TOC \o "1-1" \h \u </w:instrText>
          </w:r>
          <w:r>
            <w:rPr>
              <w:rFonts w:ascii="Tahoma" w:hAnsi="Tahoma" w:eastAsia="微软雅黑" w:cstheme="minorBidi"/>
              <w:sz w:val="22"/>
              <w:szCs w:val="22"/>
              <w:lang w:val="zh-CN" w:eastAsia="zh-CN" w:bidi="ar-SA"/>
            </w:rPr>
            <w:fldChar w:fldCharType="separate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_Toc32484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rPr>
              <w:rFonts w:hint="eastAsia" w:ascii="黑体" w:hAnsi="黑体" w:eastAsia="黑体" w:cs="黑体"/>
              <w:szCs w:val="44"/>
            </w:rPr>
            <w:t>引言</w:t>
          </w:r>
          <w:r>
            <w:tab/>
          </w:r>
          <w:r>
            <w:fldChar w:fldCharType="begin"/>
          </w:r>
          <w:r>
            <w:instrText xml:space="preserve"> PAGEREF _Toc32484 \h </w:instrText>
          </w:r>
          <w:r>
            <w:fldChar w:fldCharType="separate"/>
          </w:r>
          <w:r>
            <w:t>I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_Toc32417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rPr>
              <w:rFonts w:hint="eastAsia"/>
            </w:rPr>
            <w:t>建筑外墙外保温系统防火性能装置校准规范</w:t>
          </w:r>
          <w:r>
            <w:tab/>
          </w:r>
          <w:r>
            <w:fldChar w:fldCharType="begin"/>
          </w:r>
          <w:r>
            <w:instrText xml:space="preserve"> PAGEREF _Toc32417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_Toc24129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rPr>
              <w:rFonts w:hint="eastAsia"/>
            </w:rPr>
            <w:t>1范围</w:t>
          </w:r>
          <w:r>
            <w:tab/>
          </w:r>
          <w:r>
            <w:fldChar w:fldCharType="begin"/>
          </w:r>
          <w:r>
            <w:instrText xml:space="preserve"> PAGEREF _Toc24129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_Toc22794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rPr>
              <w:rFonts w:hint="eastAsia"/>
            </w:rPr>
            <w:t>2引用文件</w:t>
          </w:r>
          <w:r>
            <w:tab/>
          </w:r>
          <w:r>
            <w:fldChar w:fldCharType="begin"/>
          </w:r>
          <w:r>
            <w:instrText xml:space="preserve"> PAGEREF _Toc22794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_Toc14628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rPr>
              <w:rFonts w:hint="eastAsia"/>
            </w:rPr>
            <w:t>3概述</w:t>
          </w:r>
          <w:r>
            <w:tab/>
          </w:r>
          <w:r>
            <w:fldChar w:fldCharType="begin"/>
          </w:r>
          <w:r>
            <w:instrText xml:space="preserve"> PAGEREF _Toc14628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_Toc3876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rPr>
              <w:rFonts w:hint="eastAsia"/>
            </w:rPr>
            <w:t>4计量特性</w:t>
          </w:r>
          <w:r>
            <w:tab/>
          </w:r>
          <w:r>
            <w:fldChar w:fldCharType="begin"/>
          </w:r>
          <w:r>
            <w:instrText xml:space="preserve"> PAGEREF _Toc3876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_Toc13100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rPr>
              <w:rFonts w:hint="eastAsia"/>
            </w:rPr>
            <w:t>5校准条件</w:t>
          </w:r>
          <w:r>
            <w:tab/>
          </w:r>
          <w:r>
            <w:fldChar w:fldCharType="begin"/>
          </w:r>
          <w:r>
            <w:instrText xml:space="preserve"> PAGEREF _Toc13100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_Toc31278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rPr>
              <w:rFonts w:hint="eastAsia"/>
            </w:rPr>
            <w:t>6 校准项目和校准方法</w:t>
          </w:r>
          <w:r>
            <w:tab/>
          </w:r>
          <w:r>
            <w:fldChar w:fldCharType="begin"/>
          </w:r>
          <w:r>
            <w:instrText xml:space="preserve"> PAGEREF _Toc31278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_Toc23628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rPr>
              <w:rFonts w:hint="eastAsia"/>
            </w:rPr>
            <w:t>7  校准结果表达</w:t>
          </w:r>
          <w:r>
            <w:tab/>
          </w:r>
          <w:r>
            <w:fldChar w:fldCharType="begin"/>
          </w:r>
          <w:r>
            <w:instrText xml:space="preserve"> PAGEREF _Toc23628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_Toc24372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rPr>
              <w:rFonts w:hint="eastAsia"/>
            </w:rPr>
            <w:t>8  复校时间间隔</w:t>
          </w:r>
          <w:r>
            <w:tab/>
          </w:r>
          <w:r>
            <w:fldChar w:fldCharType="begin"/>
          </w:r>
          <w:r>
            <w:instrText xml:space="preserve"> PAGEREF _Toc24372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_Toc11935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rPr>
              <w:rFonts w:hint="eastAsia"/>
            </w:rPr>
            <w:t>附录A</w:t>
          </w:r>
          <w:r>
            <w:tab/>
          </w:r>
          <w:r>
            <w:fldChar w:fldCharType="begin"/>
          </w:r>
          <w:r>
            <w:instrText xml:space="preserve"> PAGEREF _Toc11935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_Toc21424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t xml:space="preserve">附录 </w:t>
          </w:r>
          <w:r>
            <w:rPr>
              <w:rFonts w:hint="eastAsia"/>
            </w:rPr>
            <w:t>B</w:t>
          </w:r>
          <w:r>
            <w:tab/>
          </w:r>
          <w:r>
            <w:fldChar w:fldCharType="begin"/>
          </w:r>
          <w:r>
            <w:instrText xml:space="preserve"> PAGEREF _Toc21424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  <w:rPr>
              <w:rFonts w:ascii="Tahoma" w:hAnsi="Tahoma" w:eastAsia="微软雅黑" w:cstheme="minorBidi"/>
              <w:szCs w:val="22"/>
              <w:lang w:val="zh-CN" w:eastAsia="zh-CN" w:bidi="ar-SA"/>
            </w:rPr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_Toc13616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t xml:space="preserve">附录 </w:t>
          </w:r>
          <w:r>
            <w:rPr>
              <w:rFonts w:hint="eastAsia"/>
            </w:rPr>
            <w:t>C</w:t>
          </w:r>
          <w:r>
            <w:tab/>
          </w:r>
          <w:r>
            <w:fldChar w:fldCharType="begin"/>
          </w:r>
          <w:r>
            <w:instrText xml:space="preserve"> PAGEREF _Toc13616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  <w:p>
          <w:pPr>
            <w:pStyle w:val="12"/>
            <w:tabs>
              <w:tab w:val="right" w:leader="dot" w:pos="9070"/>
            </w:tabs>
            <w:rPr>
              <w:rFonts w:hint="default"/>
              <w:lang w:val="en-US"/>
            </w:rPr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begin"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instrText xml:space="preserve"> HYPERLINK \l _Toc13616 </w:instrText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separate"/>
          </w:r>
          <w:r>
            <w:t xml:space="preserve">附录 </w:t>
          </w:r>
          <w:r>
            <w:rPr>
              <w:rFonts w:hint="eastAsia"/>
              <w:lang w:val="en-US" w:eastAsia="zh-CN"/>
            </w:rPr>
            <w:t>D</w:t>
          </w:r>
          <w:r>
            <w:tab/>
          </w: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  <w:r>
            <w:rPr>
              <w:rFonts w:hint="eastAsia" w:eastAsia="微软雅黑" w:cstheme="minorBidi"/>
              <w:szCs w:val="22"/>
              <w:lang w:val="en-US" w:eastAsia="zh-CN" w:bidi="ar-SA"/>
            </w:rPr>
            <w:t>9</w:t>
          </w:r>
        </w:p>
        <w:p/>
        <w:p>
          <w:pPr>
            <w:pageBreakBefore w:val="0"/>
            <w:kinsoku/>
            <w:wordWrap/>
            <w:overflowPunct/>
            <w:topLinePunct w:val="0"/>
            <w:bidi w:val="0"/>
            <w:spacing w:after="0" w:line="360" w:lineRule="auto"/>
            <w:textAlignment w:val="auto"/>
            <w:rPr>
              <w:rFonts w:ascii="Tahoma" w:hAnsi="Tahoma" w:eastAsia="微软雅黑" w:cstheme="minorBidi"/>
              <w:sz w:val="22"/>
              <w:szCs w:val="22"/>
              <w:lang w:val="zh-CN" w:eastAsia="zh-CN" w:bidi="ar-SA"/>
            </w:rPr>
          </w:pPr>
          <w:r>
            <w:rPr>
              <w:rFonts w:ascii="Tahoma" w:hAnsi="Tahoma" w:eastAsia="微软雅黑" w:cstheme="minorBidi"/>
              <w:szCs w:val="22"/>
              <w:lang w:val="zh-CN" w:eastAsia="zh-CN" w:bidi="ar-SA"/>
            </w:rPr>
            <w:fldChar w:fldCharType="end"/>
          </w:r>
        </w:p>
      </w:sdtContent>
    </w:sdt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ascii="Tahoma" w:hAnsi="Tahoma" w:eastAsia="微软雅黑" w:cstheme="minorBidi"/>
          <w:sz w:val="22"/>
          <w:szCs w:val="22"/>
          <w:lang w:val="zh-CN" w:eastAsia="zh-CN" w:bidi="ar-SA"/>
        </w:rPr>
      </w:pPr>
    </w:p>
    <w:p>
      <w:pPr>
        <w:pStyle w:val="2"/>
        <w:pageBreakBefore w:val="0"/>
        <w:kinsoku/>
        <w:wordWrap/>
        <w:overflowPunct/>
        <w:topLinePunct w:val="0"/>
        <w:bidi w:val="0"/>
        <w:spacing w:after="0" w:line="360" w:lineRule="auto"/>
        <w:ind w:firstLine="0"/>
        <w:jc w:val="center"/>
        <w:textAlignment w:val="auto"/>
        <w:outlineLvl w:val="9"/>
        <w:rPr>
          <w:rFonts w:hint="eastAsia" w:ascii="Tahoma" w:hAnsi="Arial" w:eastAsia="黑体" w:cstheme="minorBidi"/>
          <w:kern w:val="0"/>
          <w:sz w:val="44"/>
          <w:szCs w:val="44"/>
        </w:rPr>
        <w:sectPr>
          <w:footerReference r:id="rId7" w:type="default"/>
          <w:pgSz w:w="11906" w:h="16838"/>
          <w:pgMar w:top="1588" w:right="1418" w:bottom="1418" w:left="1418" w:header="709" w:footer="70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upperRoman" w:start="1"/>
          <w:cols w:space="708" w:num="1"/>
          <w:docGrid w:linePitch="360" w:charSpace="0"/>
        </w:sectPr>
      </w:pPr>
      <w:bookmarkStart w:id="16" w:name="_Toc24292284"/>
    </w:p>
    <w:p>
      <w:pPr>
        <w:pStyle w:val="2"/>
        <w:pageBreakBefore w:val="0"/>
        <w:kinsoku/>
        <w:wordWrap/>
        <w:overflowPunct/>
        <w:topLinePunct w:val="0"/>
        <w:bidi w:val="0"/>
        <w:spacing w:after="0" w:line="360" w:lineRule="auto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bookmarkStart w:id="17" w:name="_Toc32484"/>
      <w:bookmarkStart w:id="18" w:name="_Toc30390"/>
      <w:r>
        <w:rPr>
          <w:rFonts w:hint="eastAsia" w:ascii="黑体" w:hAnsi="黑体" w:eastAsia="黑体" w:cs="黑体"/>
          <w:sz w:val="44"/>
          <w:szCs w:val="44"/>
        </w:rPr>
        <w:t>引言</w:t>
      </w:r>
      <w:bookmarkEnd w:id="16"/>
      <w:bookmarkEnd w:id="17"/>
      <w:bookmarkEnd w:id="18"/>
    </w:p>
    <w:p>
      <w:pPr>
        <w:pStyle w:val="32"/>
        <w:pageBreakBefore w:val="0"/>
        <w:kinsoku/>
        <w:wordWrap/>
        <w:overflowPunct/>
        <w:topLinePunct w:val="0"/>
        <w:bidi w:val="0"/>
        <w:spacing w:line="360" w:lineRule="auto"/>
        <w:ind w:firstLine="480"/>
        <w:textAlignment w:val="auto"/>
        <w:rPr>
          <w:rFonts w:hAnsi="宋体" w:eastAsia="宋体" w:cs="Times New Roman"/>
          <w:sz w:val="24"/>
          <w:szCs w:val="24"/>
        </w:rPr>
      </w:pPr>
      <w:r>
        <w:rPr>
          <w:rFonts w:hAnsi="宋体" w:eastAsia="宋体" w:cs="Times New Roman"/>
          <w:sz w:val="24"/>
          <w:szCs w:val="24"/>
        </w:rPr>
        <w:t>本规范是以</w:t>
      </w:r>
      <w:r>
        <w:rPr>
          <w:rFonts w:ascii="Tahoma" w:hAnsi="Tahoma" w:cs="Tahoma"/>
          <w:sz w:val="24"/>
          <w:szCs w:val="24"/>
        </w:rPr>
        <w:t xml:space="preserve">JJF 1071-2010 </w:t>
      </w:r>
      <w:r>
        <w:rPr>
          <w:rFonts w:hAnsi="宋体" w:eastAsia="宋体" w:cs="Times New Roman"/>
          <w:sz w:val="24"/>
          <w:szCs w:val="24"/>
        </w:rPr>
        <w:t>《国家计量校准规范编写规则》、</w:t>
      </w:r>
      <w:r>
        <w:rPr>
          <w:rFonts w:ascii="Tahoma" w:hAnsi="Tahoma" w:cs="Tahoma"/>
          <w:sz w:val="24"/>
          <w:szCs w:val="24"/>
        </w:rPr>
        <w:t>JJF</w:t>
      </w:r>
      <w:r>
        <w:rPr>
          <w:rFonts w:hint="eastAsia"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1001-2011</w:t>
      </w:r>
      <w:r>
        <w:rPr>
          <w:rFonts w:hint="eastAsia" w:ascii="Tahoma" w:hAnsi="Tahoma" w:cs="Tahoma"/>
          <w:sz w:val="24"/>
          <w:szCs w:val="24"/>
        </w:rPr>
        <w:t xml:space="preserve"> </w:t>
      </w:r>
      <w:r>
        <w:rPr>
          <w:rFonts w:hAnsi="宋体" w:eastAsia="宋体" w:cs="Times New Roman"/>
          <w:sz w:val="24"/>
          <w:szCs w:val="24"/>
        </w:rPr>
        <w:t>《通用计量术语及定义》和</w:t>
      </w:r>
      <w:r>
        <w:rPr>
          <w:rFonts w:ascii="Tahoma" w:hAnsi="Tahoma" w:cs="Tahoma"/>
          <w:sz w:val="24"/>
          <w:szCs w:val="24"/>
        </w:rPr>
        <w:t>JJF1059.1-2012</w:t>
      </w:r>
      <w:r>
        <w:rPr>
          <w:rFonts w:hAnsi="宋体" w:eastAsia="宋体" w:cs="Times New Roman"/>
          <w:sz w:val="24"/>
          <w:szCs w:val="24"/>
        </w:rPr>
        <w:t>《测量不确定度评定与表示》为基础性规范进行</w:t>
      </w:r>
      <w:r>
        <w:rPr>
          <w:rFonts w:hint="eastAsia" w:hAnsi="宋体" w:eastAsia="宋体" w:cs="Times New Roman"/>
          <w:sz w:val="24"/>
          <w:szCs w:val="24"/>
        </w:rPr>
        <w:t>编写</w:t>
      </w:r>
      <w:r>
        <w:rPr>
          <w:rFonts w:hAnsi="宋体" w:eastAsia="宋体" w:cs="Times New Roman"/>
          <w:sz w:val="24"/>
          <w:szCs w:val="24"/>
        </w:rPr>
        <w:t>。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ind w:firstLine="480" w:firstLineChars="200"/>
        <w:textAlignment w:val="auto"/>
        <w:rPr>
          <w:rFonts w:hAnsi="宋体" w:eastAsia="宋体" w:cs="Times New Roman"/>
          <w:sz w:val="24"/>
          <w:szCs w:val="24"/>
        </w:rPr>
      </w:pPr>
      <w:r>
        <w:rPr>
          <w:rFonts w:hAnsi="宋体" w:eastAsia="宋体" w:cs="Times New Roman"/>
          <w:sz w:val="24"/>
          <w:szCs w:val="24"/>
        </w:rPr>
        <w:t>本规范</w:t>
      </w:r>
      <w:r>
        <w:rPr>
          <w:rFonts w:hint="eastAsia" w:hAnsi="宋体" w:eastAsia="宋体" w:cs="Times New Roman"/>
          <w:sz w:val="24"/>
          <w:szCs w:val="24"/>
        </w:rPr>
        <w:t>的计量特性要求和校准方法上参考了</w:t>
      </w:r>
      <w:r>
        <w:rPr>
          <w:rFonts w:hint="eastAsia" w:cs="Tahoma"/>
          <w:sz w:val="24"/>
          <w:szCs w:val="24"/>
        </w:rPr>
        <w:t xml:space="preserve">GB/T 29416-2012 </w:t>
      </w:r>
      <w:r>
        <w:rPr>
          <w:rFonts w:hint="eastAsia" w:ascii="宋体" w:hAnsi="宋体" w:eastAsia="宋体" w:cs="Times New Roman"/>
          <w:sz w:val="24"/>
          <w:szCs w:val="24"/>
        </w:rPr>
        <w:t>《建筑外墙外保温系统的防火性能试验方法》的相关内容</w:t>
      </w:r>
      <w:r>
        <w:rPr>
          <w:rFonts w:hint="eastAsia" w:hAnsi="宋体" w:eastAsia="宋体" w:cs="Times New Roman"/>
          <w:sz w:val="24"/>
          <w:szCs w:val="24"/>
        </w:rPr>
        <w:t>。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ind w:firstLine="480" w:firstLineChars="200"/>
        <w:textAlignment w:val="auto"/>
      </w:pPr>
      <w:r>
        <w:rPr>
          <w:sz w:val="24"/>
        </w:rPr>
        <w:t>本规范为首次发布。</w:t>
      </w: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  <w:sectPr>
          <w:footerReference r:id="rId8" w:type="default"/>
          <w:pgSz w:w="11906" w:h="16838"/>
          <w:pgMar w:top="1588" w:right="1418" w:bottom="1418" w:left="1418" w:header="709" w:footer="70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upperRoman" w:start="1"/>
          <w:cols w:space="708" w:num="1"/>
          <w:docGrid w:linePitch="360" w:charSpace="0"/>
        </w:sectPr>
      </w:pPr>
      <w:bookmarkStart w:id="19" w:name="_Toc24292285"/>
    </w:p>
    <w:p>
      <w:pPr>
        <w:pStyle w:val="2"/>
        <w:pageBreakBefore w:val="0"/>
        <w:kinsoku/>
        <w:wordWrap/>
        <w:overflowPunct/>
        <w:topLinePunct w:val="0"/>
        <w:bidi w:val="0"/>
        <w:spacing w:after="0" w:line="360" w:lineRule="auto"/>
        <w:ind w:left="0" w:leftChars="0" w:firstLine="0" w:firstLineChars="0"/>
        <w:jc w:val="center"/>
        <w:textAlignment w:val="auto"/>
      </w:pPr>
      <w:bookmarkStart w:id="20" w:name="_Toc29530"/>
      <w:bookmarkStart w:id="21" w:name="_Toc32417"/>
      <w:r>
        <w:rPr>
          <w:rFonts w:hint="eastAsia"/>
        </w:rPr>
        <w:t>建筑外墙外保温系统防火性能装置校准规范</w:t>
      </w:r>
      <w:bookmarkEnd w:id="20"/>
      <w:bookmarkEnd w:id="21"/>
    </w:p>
    <w:p>
      <w:pPr>
        <w:pStyle w:val="3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outlineLvl w:val="0"/>
      </w:pPr>
      <w:bookmarkStart w:id="22" w:name="_Toc24129"/>
      <w:bookmarkStart w:id="23" w:name="_Toc21173"/>
      <w:r>
        <w:rPr>
          <w:rFonts w:hint="eastAsia"/>
        </w:rPr>
        <w:t>1范围</w:t>
      </w:r>
      <w:bookmarkEnd w:id="19"/>
      <w:bookmarkEnd w:id="22"/>
      <w:bookmarkEnd w:id="23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/>
        <w:jc w:val="both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规范适用于建筑外墙外保温系统防火性能装置计量性能的校准。</w:t>
      </w:r>
      <w:bookmarkStart w:id="24" w:name="_Toc24292286"/>
    </w:p>
    <w:p>
      <w:pPr>
        <w:pStyle w:val="3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outlineLvl w:val="0"/>
      </w:pPr>
      <w:bookmarkStart w:id="25" w:name="_Toc3644"/>
      <w:bookmarkStart w:id="26" w:name="_Toc22794"/>
      <w:r>
        <w:rPr>
          <w:rFonts w:hint="eastAsia"/>
        </w:rPr>
        <w:t>2引用文件</w:t>
      </w:r>
      <w:bookmarkEnd w:id="24"/>
      <w:bookmarkEnd w:id="25"/>
      <w:bookmarkEnd w:id="26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本规范引用下列文献：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/>
        <w:jc w:val="both"/>
        <w:textAlignment w:val="auto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cs="Tahoma"/>
          <w:sz w:val="24"/>
          <w:szCs w:val="24"/>
        </w:rPr>
        <w:t>GB/T 29416-2012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</w:rPr>
        <w:t>建筑外墙外保温系统的防火性能试验方法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/>
        <w:jc w:val="both"/>
        <w:textAlignment w:val="auto"/>
        <w:rPr>
          <w:rFonts w:hint="eastAsia" w:cs="Tahoma"/>
          <w:sz w:val="24"/>
          <w:szCs w:val="24"/>
          <w:lang w:val="en-US" w:eastAsia="zh-CN"/>
        </w:rPr>
      </w:pPr>
      <w:r>
        <w:rPr>
          <w:rFonts w:hint="eastAsia" w:cs="Tahoma"/>
          <w:sz w:val="24"/>
          <w:szCs w:val="24"/>
          <w:lang w:val="en-US" w:eastAsia="zh-CN"/>
        </w:rPr>
        <w:t>GB/T 18404-2022 铠装热电偶电缆及铠装热电偶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/>
        <w:jc w:val="both"/>
        <w:textAlignment w:val="auto"/>
        <w:rPr>
          <w:rFonts w:hint="eastAsia" w:cs="Tahoma"/>
          <w:sz w:val="24"/>
          <w:szCs w:val="24"/>
          <w:lang w:val="en-US" w:eastAsia="zh-CN"/>
        </w:rPr>
      </w:pPr>
      <w:r>
        <w:rPr>
          <w:rFonts w:hint="eastAsia" w:cs="Tahoma"/>
          <w:sz w:val="24"/>
          <w:szCs w:val="24"/>
          <w:lang w:val="en-US" w:eastAsia="zh-CN"/>
        </w:rPr>
        <w:t>JJF 1572-2016 辐射热计校准规范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/>
        <w:jc w:val="both"/>
        <w:textAlignment w:val="auto"/>
        <w:outlineLvl w:val="1"/>
        <w:rPr>
          <w:rFonts w:hint="default" w:cs="Tahoma"/>
          <w:sz w:val="24"/>
          <w:szCs w:val="24"/>
          <w:lang w:val="en-US" w:eastAsia="zh-CN"/>
        </w:rPr>
      </w:pPr>
      <w:r>
        <w:rPr>
          <w:rFonts w:hint="eastAsia" w:cs="Tahoma"/>
          <w:sz w:val="24"/>
          <w:szCs w:val="24"/>
          <w:lang w:val="en-US" w:eastAsia="zh-CN"/>
        </w:rPr>
        <w:t>GB/T 11887-2013 钢卷尺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/>
        <w:jc w:val="both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凡是注日期的引用文件，仅注日期的版本适用于本规范；凡是不注日期的引用文件，其最新版本适用于本规范。</w:t>
      </w:r>
      <w:bookmarkStart w:id="27" w:name="_Toc24292287"/>
    </w:p>
    <w:p>
      <w:pPr>
        <w:pStyle w:val="3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outlineLvl w:val="0"/>
      </w:pPr>
      <w:bookmarkStart w:id="28" w:name="_Toc14628"/>
      <w:bookmarkStart w:id="29" w:name="_Toc652"/>
      <w:r>
        <w:rPr>
          <w:rFonts w:hint="eastAsia"/>
        </w:rPr>
        <w:t>3概述</w:t>
      </w:r>
      <w:bookmarkEnd w:id="27"/>
      <w:bookmarkEnd w:id="28"/>
      <w:bookmarkEnd w:id="29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/>
        <w:jc w:val="both"/>
        <w:textAlignment w:val="auto"/>
        <w:rPr>
          <w:sz w:val="24"/>
        </w:rPr>
      </w:pPr>
      <w:r>
        <w:rPr>
          <w:rFonts w:hint="eastAsia"/>
          <w:sz w:val="24"/>
        </w:rPr>
        <w:t>建筑外墙外保温系统防火性能装置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以下简称“试验装置”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一</w:t>
      </w:r>
      <w:r>
        <w:rPr>
          <w:rFonts w:hint="eastAsia"/>
          <w:sz w:val="24"/>
        </w:rPr>
        <w:t>般应由墙体、燃烧室、热源、垮塌区域、测量系统部分组</w:t>
      </w:r>
      <w:r>
        <w:rPr>
          <w:rFonts w:hint="eastAsia"/>
          <w:sz w:val="24"/>
          <w:lang w:val="en-US" w:eastAsia="zh-CN"/>
        </w:rPr>
        <w:t>成</w:t>
      </w:r>
      <w:r>
        <w:rPr>
          <w:rFonts w:hint="eastAsia"/>
          <w:sz w:val="24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/>
        <w:jc w:val="both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试验装置</w:t>
      </w:r>
      <w:r>
        <w:rPr>
          <w:rFonts w:hint="eastAsia"/>
          <w:sz w:val="24"/>
          <w:lang w:val="en-US" w:eastAsia="zh-CN"/>
        </w:rPr>
        <w:t>应在具</w:t>
      </w:r>
      <w:r>
        <w:rPr>
          <w:rFonts w:hint="eastAsia"/>
          <w:sz w:val="24"/>
          <w:lang w:eastAsia="zh-CN"/>
        </w:rPr>
        <w:t>有一定空间的建筑室内建造，室内空间的大小应能满足试验装置建造、试样安装施工、试验操作需求，同时应能保证试验期间试验用热源</w:t>
      </w:r>
      <w:r>
        <w:rPr>
          <w:rFonts w:hint="eastAsia"/>
          <w:sz w:val="24"/>
          <w:lang w:val="en-US" w:eastAsia="zh-CN"/>
        </w:rPr>
        <w:t>和试样的自由燃烧（燃烧行为受燃料控制，而不是受通风控制）。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/>
        <w:jc w:val="both"/>
        <w:textAlignment w:val="auto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试验装置应持久耐用，在试验过程中不得出现影响试验结果的变形或损坏。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/>
        <w:jc w:val="both"/>
        <w:textAlignment w:val="auto"/>
        <w:rPr>
          <w:rFonts w:hint="eastAsia"/>
          <w:color w:val="0000FF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>其主体、试样、热电偶的位置示意图见图1</w:t>
      </w:r>
      <w:r>
        <w:rPr>
          <w:rFonts w:hint="eastAsia"/>
          <w:sz w:val="24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/>
        <w:jc w:val="center"/>
        <w:textAlignment w:val="auto"/>
      </w:pPr>
      <w:r>
        <w:drawing>
          <wp:inline distT="0" distB="0" distL="114300" distR="114300">
            <wp:extent cx="4392930" cy="5695315"/>
            <wp:effectExtent l="0" t="0" r="7620" b="635"/>
            <wp:docPr id="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92930" cy="569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图1 </w:t>
      </w:r>
      <w:r>
        <w:rPr>
          <w:rFonts w:hint="eastAsia"/>
          <w:sz w:val="24"/>
          <w:lang w:val="en-US" w:eastAsia="zh-CN"/>
        </w:rPr>
        <w:t>主体</w:t>
      </w:r>
      <w:r>
        <w:rPr>
          <w:rFonts w:hint="eastAsia"/>
          <w:lang w:val="en-US" w:eastAsia="zh-CN"/>
        </w:rPr>
        <w:t>、试样、热电偶的位置示意图</w:t>
      </w:r>
    </w:p>
    <w:p>
      <w:pPr>
        <w:pStyle w:val="3"/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outlineLvl w:val="0"/>
      </w:pPr>
      <w:bookmarkStart w:id="30" w:name="_Toc3876"/>
      <w:bookmarkStart w:id="31" w:name="_Toc24292288"/>
      <w:bookmarkStart w:id="32" w:name="_Toc21985"/>
      <w:r>
        <w:rPr>
          <w:rFonts w:hint="eastAsia"/>
        </w:rPr>
        <w:t>4计量特性</w:t>
      </w:r>
      <w:bookmarkEnd w:id="30"/>
      <w:bookmarkEnd w:id="31"/>
      <w:bookmarkEnd w:id="32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1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33" w:name="_Toc7242"/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4.1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 xml:space="preserve"> 墙体和燃烧室结构</w:t>
      </w:r>
      <w:bookmarkEnd w:id="33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outlineLvl w:val="1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34" w:name="_Toc21572"/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主墙和副墙的高度≥9000mm，厚度≥300mm；主墙宽度≥2600mm，副墙宽度≥1500mm。</w:t>
      </w:r>
      <w:bookmarkEnd w:id="34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outlineLvl w:val="1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35" w:name="_Toc25954"/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燃烧室开口尺寸为：高（2000±100）mm，宽（2000±100）mm；内部尺寸：高（2300±50）mm，宽（2000±50）mm，深（1050±50）mm；燃烧室开口距副墙边缘的距离为（250±10）mm。</w:t>
      </w:r>
      <w:bookmarkEnd w:id="35"/>
    </w:p>
    <w:p>
      <w:pPr>
        <w:pStyle w:val="4"/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outlineLvl w:val="1"/>
        <w:rPr>
          <w:rFonts w:hint="eastAsia"/>
          <w:lang w:val="en-US" w:eastAsia="zh-CN"/>
        </w:rPr>
      </w:pPr>
      <w:bookmarkStart w:id="36" w:name="_Toc14040"/>
      <w:bookmarkStart w:id="37" w:name="_Toc24154"/>
      <w:r>
        <w:rPr>
          <w:rFonts w:hint="eastAsia"/>
          <w:lang w:val="en-US" w:eastAsia="zh-CN"/>
        </w:rPr>
        <w:t>4.2 计时器时间偏差</w:t>
      </w:r>
      <w:bookmarkEnd w:id="36"/>
      <w:bookmarkEnd w:id="37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1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 xml:space="preserve">   </w:t>
      </w:r>
      <w:bookmarkStart w:id="38" w:name="_Toc15870"/>
      <w:bookmarkStart w:id="39" w:name="_Toc25659"/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记录试验持续的时间，其精度为1s/h，根据实际试验中需要记录的时间，30s、5min、10min、30min、45min 、60min，计时器测量误差±0.5s。</w:t>
      </w:r>
      <w:bookmarkEnd w:id="38"/>
      <w:bookmarkEnd w:id="39"/>
    </w:p>
    <w:p>
      <w:pPr>
        <w:pStyle w:val="4"/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outlineLvl w:val="1"/>
        <w:rPr>
          <w:rFonts w:hint="default"/>
          <w:lang w:val="en-US" w:eastAsia="zh-CN"/>
        </w:rPr>
      </w:pPr>
      <w:bookmarkStart w:id="40" w:name="_Toc19979"/>
      <w:r>
        <w:rPr>
          <w:rFonts w:hint="eastAsia"/>
          <w:lang w:val="en-US" w:eastAsia="zh-CN"/>
        </w:rPr>
        <w:t>4.3 水平准位线1上的温度偏差</w:t>
      </w:r>
      <w:bookmarkEnd w:id="40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outlineLvl w:val="1"/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</w:pPr>
      <w:bookmarkStart w:id="41" w:name="_Toc5960"/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水平准位线1上应设置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支热电偶，分别位于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/>
        </w:rPr>
        <w:t>主墙正面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燃烧室开口的垂直中心线上和中心线两侧各500mm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/>
        </w:rPr>
        <w:t>及1000mm的位置、副墙正面距离主墙表面150mm、600mm及1050mm的位置上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。每支热电偶的测温点应伸出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/>
        </w:rPr>
        <w:t>墙体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外表面(50±5)m处，测温点位置的允许偏差为±10 mm。</w:t>
      </w:r>
      <w:bookmarkEnd w:id="41"/>
    </w:p>
    <w:p>
      <w:pPr>
        <w:pStyle w:val="3"/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outlineLvl w:val="0"/>
      </w:pPr>
      <w:bookmarkStart w:id="42" w:name="_Toc14685"/>
      <w:bookmarkStart w:id="43" w:name="_Toc13100"/>
      <w:r>
        <w:rPr>
          <w:rFonts w:hint="eastAsia"/>
        </w:rPr>
        <w:t>5校准条件</w:t>
      </w:r>
      <w:bookmarkEnd w:id="42"/>
      <w:bookmarkEnd w:id="43"/>
    </w:p>
    <w:p>
      <w:pPr>
        <w:pStyle w:val="4"/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outlineLvl w:val="1"/>
      </w:pPr>
      <w:bookmarkStart w:id="44" w:name="_Toc23769"/>
      <w:r>
        <w:rPr>
          <w:rFonts w:hint="eastAsia"/>
        </w:rPr>
        <w:t>5.1 一般通用要求</w:t>
      </w:r>
      <w:bookmarkEnd w:id="44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jc w:val="both"/>
        <w:textAlignment w:val="auto"/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试验装置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</w:rPr>
        <w:t>的功能要符合GB/T 29416-2012的要求。测量系统应提供有效期内的计量校准或检定证书，且应符合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相关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</w:rPr>
        <w:t>规定要求。</w:t>
      </w:r>
    </w:p>
    <w:p>
      <w:pPr>
        <w:pStyle w:val="4"/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outlineLvl w:val="1"/>
      </w:pPr>
      <w:bookmarkStart w:id="45" w:name="_Toc12939"/>
      <w:r>
        <w:rPr>
          <w:rFonts w:hint="eastAsia"/>
        </w:rPr>
        <w:t>5.2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校准环境</w:t>
      </w:r>
      <w:bookmarkEnd w:id="45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2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5.2.1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环境温度为（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 xml:space="preserve"> 20±15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）℃。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eastAsia"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5.2.2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 xml:space="preserve"> 试验室地面以上（3000±100）mm高度处的空气流速不大于2m/s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。</w:t>
      </w:r>
    </w:p>
    <w:p>
      <w:pPr>
        <w:pStyle w:val="4"/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5.3 校准用计量器具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计量器具及其他设备</w:t>
      </w:r>
      <w:r>
        <w:rPr>
          <w:rFonts w:hint="eastAsia"/>
          <w:lang w:val="en-US" w:eastAsia="zh-CN"/>
        </w:rPr>
        <w:t>应符合表1的要求。</w:t>
      </w:r>
    </w:p>
    <w:p>
      <w:pPr>
        <w:pStyle w:val="26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390" w:firstLine="0" w:firstLineChars="0"/>
        <w:jc w:val="center"/>
        <w:textAlignment w:val="auto"/>
        <w:rPr>
          <w:rFonts w:hint="eastAsia" w:ascii="仿宋" w:hAnsi="仿宋" w:eastAsia="仿宋" w:cs="仿宋"/>
          <w:kern w:val="2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</w:rPr>
        <w:t>表1计量器具</w:t>
      </w:r>
    </w:p>
    <w:tbl>
      <w:tblPr>
        <w:tblStyle w:val="16"/>
        <w:tblW w:w="92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7"/>
        <w:gridCol w:w="7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2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名称</w:t>
            </w:r>
          </w:p>
        </w:tc>
        <w:tc>
          <w:tcPr>
            <w:tcW w:w="70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技术要求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2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lang w:val="en-US" w:eastAsia="zh-CN"/>
              </w:rPr>
              <w:t>钢卷尺</w:t>
            </w:r>
          </w:p>
        </w:tc>
        <w:tc>
          <w:tcPr>
            <w:tcW w:w="70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default" w:ascii="仿宋" w:hAnsi="仿宋" w:eastAsia="仿宋" w:cs="仿宋"/>
                <w:kern w:val="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lang w:val="en-US" w:eastAsia="zh-CN"/>
              </w:rPr>
              <w:t>分辨率不小于1mm、I级精度、长度不小于5m的钢卷尺作为墙体、燃烧室尺寸计量器具，且检定证书在有效期内。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lang w:val="en-US" w:eastAsia="zh-CN"/>
              </w:rPr>
              <w:t xml:space="preserve"> 标准电子秒表</w:t>
            </w:r>
          </w:p>
        </w:tc>
        <w:tc>
          <w:tcPr>
            <w:tcW w:w="70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仿宋" w:hAnsi="仿宋" w:eastAsia="仿宋" w:cs="仿宋"/>
                <w:kern w:val="2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最大允许误差±1s/h</w:t>
            </w:r>
            <w:r>
              <w:rPr>
                <w:rFonts w:hint="eastAsia" w:ascii="仿宋" w:hAnsi="仿宋" w:eastAsia="仿宋" w:cs="仿宋"/>
                <w:kern w:val="2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2"/>
                <w:lang w:val="en-US" w:eastAsia="zh-CN"/>
              </w:rPr>
              <w:t>且检定证书在有效期内</w:t>
            </w:r>
            <w:r>
              <w:rPr>
                <w:rFonts w:hint="eastAsia" w:ascii="仿宋" w:hAnsi="仿宋" w:eastAsia="仿宋" w:cs="仿宋"/>
                <w:kern w:val="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2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lang w:val="en-US" w:eastAsia="zh-CN"/>
              </w:rPr>
              <w:t>热电偶</w:t>
            </w:r>
          </w:p>
        </w:tc>
        <w:tc>
          <w:tcPr>
            <w:tcW w:w="70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default" w:ascii="仿宋" w:hAnsi="仿宋" w:eastAsia="仿宋" w:cs="仿宋"/>
                <w:kern w:val="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K型铠装热电偶、测温范围为（0</w:t>
            </w:r>
            <w:r>
              <w:rPr>
                <w:rFonts w:hint="eastAsia" w:ascii="仿宋" w:hAnsi="仿宋" w:eastAsia="仿宋" w:cs="仿宋"/>
                <w:kern w:val="2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kern w:val="2"/>
              </w:rPr>
              <w:t>1000）℃、允差等级为I级要求</w:t>
            </w:r>
            <w:r>
              <w:rPr>
                <w:rFonts w:hint="eastAsia" w:ascii="仿宋" w:hAnsi="仿宋" w:eastAsia="仿宋" w:cs="仿宋"/>
                <w:kern w:val="2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2"/>
                <w:lang w:val="en-US" w:eastAsia="zh-CN"/>
              </w:rPr>
              <w:t>且检定证书在有效期内。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</w:p>
    <w:p>
      <w:pPr>
        <w:pStyle w:val="3"/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outlineLvl w:val="0"/>
      </w:pPr>
      <w:bookmarkStart w:id="46" w:name="_Toc24292289"/>
      <w:bookmarkStart w:id="47" w:name="_Toc31278"/>
      <w:bookmarkStart w:id="48" w:name="_Toc18356"/>
      <w:r>
        <w:rPr>
          <w:rFonts w:hint="eastAsia"/>
        </w:rPr>
        <w:t>6 校准项目和校准方法</w:t>
      </w:r>
      <w:bookmarkEnd w:id="46"/>
      <w:bookmarkEnd w:id="47"/>
      <w:bookmarkEnd w:id="48"/>
      <w:bookmarkStart w:id="49" w:name="_Toc24292290"/>
    </w:p>
    <w:p>
      <w:pPr>
        <w:pStyle w:val="4"/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outlineLvl w:val="1"/>
      </w:pPr>
      <w:bookmarkStart w:id="50" w:name="_Toc365"/>
      <w:r>
        <w:rPr>
          <w:rFonts w:hint="eastAsia"/>
        </w:rPr>
        <w:t>6.1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外观</w:t>
      </w:r>
      <w:bookmarkEnd w:id="49"/>
      <w:r>
        <w:rPr>
          <w:rFonts w:hint="eastAsia"/>
        </w:rPr>
        <w:t>检查</w:t>
      </w:r>
      <w:bookmarkEnd w:id="50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检查试验装置是否完好；记录设备型号、建造商、建造时间和编号等信息。通过手动结合目测方法，检查各按钮、开关是否正常工作，各电源线、信号线及各插件是否紧密配合、接触良好，各指示灯、显示器是否显示正常，墙体、燃烧室和垮塌区是否完好并做好记录。</w:t>
      </w:r>
    </w:p>
    <w:p>
      <w:pPr>
        <w:pStyle w:val="4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after="0" w:line="360" w:lineRule="auto"/>
        <w:textAlignment w:val="auto"/>
        <w:outlineLvl w:val="1"/>
        <w:rPr>
          <w:rFonts w:hint="eastAsia"/>
          <w:lang w:val="en-US" w:eastAsia="zh-CN"/>
        </w:rPr>
      </w:pPr>
      <w:bookmarkStart w:id="51" w:name="_Toc29906"/>
      <w:r>
        <w:rPr>
          <w:rFonts w:hint="eastAsia"/>
        </w:rPr>
        <w:t>2</w:t>
      </w:r>
      <w:r>
        <w:rPr>
          <w:rFonts w:hint="eastAsia"/>
          <w:lang w:val="en-US" w:eastAsia="zh-CN"/>
        </w:rPr>
        <w:t xml:space="preserve"> 校准方法和步骤</w:t>
      </w:r>
      <w:bookmarkEnd w:id="51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2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52" w:name="_Toc21605"/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6.2.1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 xml:space="preserve"> 墙体和燃烧室结构</w:t>
      </w:r>
      <w:bookmarkEnd w:id="52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3"/>
        <w:rPr>
          <w:rFonts w:hint="eastAsia"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6.2.1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 xml:space="preserve">.1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试验方法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outlineLvl w:val="1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53" w:name="_Toc30236"/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记录墙体和燃烧室的结构尺寸参数，根据实际测量结果记录相关数据。若校准过程中出现异常，可补做一次，无明确原因时，不允许舍弃任何数据。</w:t>
      </w:r>
      <w:bookmarkEnd w:id="53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3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54" w:name="_Toc18066"/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6.2.1.2 校准步骤</w:t>
      </w:r>
      <w:bookmarkEnd w:id="54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outlineLvl w:val="1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55" w:name="_Toc3978"/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用钢卷尺测量主墙高度H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vertAlign w:val="subscript"/>
          <w:lang w:val="en-US" w:eastAsia="zh-CN"/>
        </w:rPr>
        <w:t>Z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、副墙高度H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vertAlign w:val="subscript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、主墙宽度W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vertAlign w:val="subscript"/>
          <w:lang w:val="en-US" w:eastAsia="zh-CN"/>
        </w:rPr>
        <w:t>Z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、副墙宽度W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vertAlign w:val="subscript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，燃烧室开口高度H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vertAlign w:val="subscript"/>
          <w:lang w:val="en-US" w:eastAsia="zh-CN"/>
        </w:rPr>
        <w:t>RK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、燃烧室开口宽度W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vertAlign w:val="subscript"/>
          <w:lang w:val="en-US" w:eastAsia="zh-CN"/>
        </w:rPr>
        <w:t>RK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、燃烧室高度H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vertAlign w:val="subscript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、燃烧室宽度W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vertAlign w:val="subscript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、燃烧室深度D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vertAlign w:val="subscript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、燃烧室开口距副墙边缘距离L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vertAlign w:val="subscript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。</w:t>
      </w:r>
      <w:bookmarkEnd w:id="55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outlineLvl w:val="1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56" w:name="_Toc13320"/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当钢卷尺测量某一参数长度不够时，可分次测量；测量次数不大于2次，测量结果为两次结果相加。</w:t>
      </w:r>
      <w:bookmarkEnd w:id="56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outlineLvl w:val="1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57" w:name="_Toc32014"/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每个参数需尽可能选取三个位于中间和两端位置的测量，三次测量结果（测量值）取算数平均值。</w:t>
      </w:r>
      <w:bookmarkEnd w:id="57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outlineLvl w:val="2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58" w:name="_Toc8300"/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当测量结果在给定误差范围，视为满足功能要求。</w:t>
      </w:r>
      <w:bookmarkEnd w:id="58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2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59" w:name="_Toc5425"/>
      <w:bookmarkStart w:id="60" w:name="_Toc2876"/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 xml:space="preserve">6.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2.2 计时器时间偏差</w:t>
      </w:r>
      <w:bookmarkEnd w:id="59"/>
      <w:bookmarkEnd w:id="60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3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6.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 xml:space="preserve">2.1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试验方法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 xml:space="preserve"> 记录试验持续的时间，其精度为1s/h，根据实际试验中需要记录的时间，30s、5min、10min、30min、45min 、60min，计时器测量误差±0.5s。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若校准过程中出现异常值，可补做一次，无明确原因时，不允许舍弃任何数据。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outlineLvl w:val="3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6.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2.2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校准步骤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检查秒表的外观及各种操作按扭有无损坏，是否有效。将标准表和工作表都归零，将二表运行开关互相接触同时按下开关按制，使二表同步运行。 待标准</w:t>
      </w:r>
      <w:r>
        <w:rPr>
          <w:rFonts w:hint="eastAsia"/>
          <w:sz w:val="24"/>
          <w:lang w:val="en-US" w:eastAsia="zh-CN"/>
        </w:rPr>
        <w:t>电子表</w:t>
      </w:r>
      <w:r>
        <w:rPr>
          <w:rFonts w:hint="eastAsia"/>
          <w:sz w:val="24"/>
        </w:rPr>
        <w:t>运行至设定的时间后同时按下“按钮”。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332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 xml:space="preserve">  检测点：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30s、5min、10min、30min、45min 、60min，</w:t>
      </w:r>
      <w:r>
        <w:rPr>
          <w:rFonts w:hint="eastAsia"/>
          <w:sz w:val="24"/>
        </w:rPr>
        <w:t>根据实际使用可以增加时间检测点位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/>
          <w:sz w:val="24"/>
        </w:rPr>
      </w:pPr>
      <w:r>
        <w:rPr>
          <w:sz w:val="24"/>
        </w:rPr>
        <w:t xml:space="preserve">     </w:t>
      </w:r>
      <w:r>
        <w:rPr>
          <w:rFonts w:hint="eastAsia"/>
          <w:sz w:val="24"/>
        </w:rPr>
        <w:t xml:space="preserve"> 读取数值误差填写于仪器校准记录表内。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2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</w:pPr>
      <w:bookmarkStart w:id="61" w:name="_Toc6767"/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6.2.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 xml:space="preserve"> 水平准位线1上的温度偏差</w:t>
      </w:r>
      <w:bookmarkEnd w:id="61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3"/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</w:pPr>
      <w:bookmarkStart w:id="62" w:name="_Toc18044"/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6.2.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 xml:space="preserve">.1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试验方法</w:t>
      </w:r>
      <w:bookmarkEnd w:id="62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63" w:name="_Toc2738"/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校准采用木垛热源，</w:t>
      </w:r>
      <w:bookmarkEnd w:id="63"/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具体要求见GB/T 29416-2012附录B。点燃木垛后记录水平准位线1上的温度，记录间隔为5s；记录持续燃烧时间。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若校准过程中出现异常值，可补做一次，无明确原因时，不允许舍弃任何数据。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3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64" w:name="_Toc19757"/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6.2.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.2 校准步骤</w:t>
      </w:r>
      <w:bookmarkEnd w:id="64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outlineLvl w:val="3"/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点燃木垛后，水平准位线1上任一热电偶高出初始温度（T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）200℃、且持续时间达到30s时，该时刻记为试验的开始时间（t</w:t>
      </w:r>
      <w:r>
        <w:rPr>
          <w:rFonts w:hint="eastAsia" w:ascii="Times New Roman" w:hAnsi="Times New Roman" w:cs="Times New Roman"/>
          <w:kern w:val="2"/>
          <w:sz w:val="24"/>
          <w:szCs w:val="24"/>
          <w:vertAlign w:val="subscript"/>
          <w:lang w:val="en-US" w:eastAsia="zh-CN"/>
        </w:rPr>
        <w:t>s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3"/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6.2.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数据处理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outlineLvl w:val="3"/>
        <w:rPr>
          <w:rFonts w:hint="default" w:ascii="Times New Roman" w:hAnsi="Times New Roman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记录试验开始后6min开始，每30s一次水平准位线1上温度测点数据，累计记录10次，并计算平均温度。当所有测点温度偏差不超过200℃，且平均值与650℃相对偏差不大于50℃时，视为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水平准位线1上的温度偏差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/>
        </w:rPr>
        <w:t>满足要求。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3"/>
        <w:rPr>
          <w:rFonts w:hint="default" w:ascii="Times New Roman" w:hAnsi="Times New Roman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 xml:space="preserve">        计算10个不同时间点的水平准位线1平均温度与650℃的差值，视为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水平准位线1上的温度偏差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/>
        </w:rPr>
        <w:t>。</w:t>
      </w:r>
    </w:p>
    <w:p>
      <w:pPr>
        <w:pStyle w:val="3"/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outlineLvl w:val="0"/>
      </w:pPr>
      <w:bookmarkStart w:id="65" w:name="_Toc24292291"/>
      <w:bookmarkStart w:id="66" w:name="_Toc23628"/>
      <w:bookmarkStart w:id="67" w:name="_Toc26106"/>
      <w:r>
        <w:rPr>
          <w:rFonts w:hint="eastAsia"/>
        </w:rPr>
        <w:t>7  校准结果表达</w:t>
      </w:r>
      <w:bookmarkEnd w:id="65"/>
      <w:bookmarkEnd w:id="66"/>
      <w:bookmarkEnd w:id="67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eastAsia" w:ascii="Times New Roman" w:hAnsi="Times New Roman" w:eastAsia="宋体" w:cs="Times New Roman"/>
          <w:kern w:val="2"/>
          <w:sz w:val="24"/>
          <w:szCs w:val="24"/>
          <w:lang w:eastAsia="zh-CN"/>
        </w:rPr>
      </w:pPr>
      <w:r>
        <w:rPr>
          <w:rFonts w:hint="eastAsia" w:ascii="黑体" w:hAnsi="黑体" w:eastAsia="黑体"/>
          <w:sz w:val="24"/>
          <w:szCs w:val="24"/>
        </w:rPr>
        <w:t xml:space="preserve">  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经校准的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建筑外墙外保温系统防火性能装置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应出具校准证书，校准证书内容见附录A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eastAsia="zh-CN"/>
        </w:rPr>
        <w:t>。</w:t>
      </w:r>
    </w:p>
    <w:p>
      <w:pPr>
        <w:pStyle w:val="3"/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outlineLvl w:val="0"/>
      </w:pPr>
      <w:bookmarkStart w:id="68" w:name="_Toc24372"/>
      <w:bookmarkStart w:id="69" w:name="_Toc8347"/>
      <w:r>
        <w:rPr>
          <w:rFonts w:hint="eastAsia"/>
        </w:rPr>
        <w:t>8  复校时间间隔</w:t>
      </w:r>
      <w:bookmarkEnd w:id="68"/>
      <w:bookmarkEnd w:id="69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default" w:eastAsiaTheme="minorEastAsia"/>
          <w:color w:val="000000"/>
          <w:sz w:val="24"/>
          <w:lang w:val="en-US" w:eastAsia="zh-CN"/>
        </w:rPr>
      </w:pPr>
      <w:r>
        <w:rPr>
          <w:rFonts w:hint="eastAsia" w:ascii="黑体" w:hAnsi="黑体" w:eastAsia="黑体"/>
          <w:sz w:val="24"/>
          <w:szCs w:val="24"/>
        </w:rPr>
        <w:t xml:space="preserve">   </w:t>
      </w:r>
      <w:r>
        <w:rPr>
          <w:rFonts w:hint="eastAsia"/>
          <w:color w:val="000000"/>
          <w:sz w:val="24"/>
          <w:lang w:val="en-US" w:eastAsia="zh-CN"/>
        </w:rPr>
        <w:t>当使用新的温度采集系统、热源时进行复校。一般无特殊情况，</w:t>
      </w:r>
      <w:r>
        <w:rPr>
          <w:color w:val="000000"/>
          <w:sz w:val="24"/>
        </w:rPr>
        <w:t>建议复校间隔时间为一年。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840" w:leftChars="200" w:hanging="360" w:hangingChars="150"/>
        <w:textAlignment w:val="auto"/>
        <w:rPr>
          <w:rFonts w:ascii="仿宋" w:hAnsi="仿宋" w:eastAsia="仿宋"/>
          <w:color w:val="auto"/>
          <w:szCs w:val="21"/>
        </w:rPr>
      </w:pPr>
      <w:r>
        <w:rPr>
          <w:rFonts w:hint="eastAsia" w:ascii="仿宋" w:hAnsi="仿宋" w:eastAsia="仿宋"/>
          <w:color w:val="auto"/>
          <w:szCs w:val="21"/>
        </w:rPr>
        <w:t>注：由于复校时间间隔的长短是由仪器的使用情况、使用者、仪器本身质量等诸因素所决定的，因此，送校单位可根据实际使用情况自主决定复校时间间隔。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hint="eastAsia"/>
        </w:rPr>
      </w:pPr>
      <w:bookmarkStart w:id="70" w:name="_Toc5854"/>
      <w:r>
        <w:rPr>
          <w:rFonts w:hint="eastAsia"/>
        </w:rPr>
        <w:br w:type="page"/>
      </w:r>
    </w:p>
    <w:p>
      <w:pPr>
        <w:pStyle w:val="2"/>
        <w:pageBreakBefore w:val="0"/>
        <w:kinsoku/>
        <w:wordWrap/>
        <w:overflowPunct/>
        <w:topLinePunct w:val="0"/>
        <w:bidi w:val="0"/>
        <w:spacing w:after="0" w:line="360" w:lineRule="auto"/>
        <w:ind w:left="0" w:leftChars="0" w:firstLine="0" w:firstLineChars="0"/>
        <w:textAlignment w:val="auto"/>
        <w:rPr>
          <w:rFonts w:hint="eastAsia"/>
          <w:lang w:val="en-US" w:eastAsia="zh-CN"/>
        </w:rPr>
      </w:pPr>
      <w:bookmarkStart w:id="71" w:name="_Toc11935"/>
      <w:r>
        <w:rPr>
          <w:rFonts w:hint="eastAsia"/>
        </w:rPr>
        <w:t>附录A</w:t>
      </w:r>
      <w:bookmarkEnd w:id="70"/>
      <w:bookmarkEnd w:id="71"/>
      <w:r>
        <w:rPr>
          <w:rFonts w:hint="eastAsia"/>
          <w:lang w:val="en-US" w:eastAsia="zh-CN"/>
        </w:rPr>
        <w:t xml:space="preserve"> 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jc w:val="center"/>
        <w:textAlignment w:val="auto"/>
        <w:outlineLvl w:val="0"/>
        <w:rPr>
          <w:rFonts w:hint="default" w:eastAsiaTheme="majorEastAsia"/>
          <w:lang w:val="en-US" w:eastAsia="zh-CN"/>
        </w:rPr>
      </w:pPr>
      <w:bookmarkStart w:id="72" w:name="_Toc26739"/>
      <w:bookmarkStart w:id="73" w:name="_Toc31781"/>
      <w:bookmarkStart w:id="74" w:name="_Toc26318"/>
      <w:bookmarkStart w:id="75" w:name="_Toc2791"/>
      <w:r>
        <w:rPr>
          <w:rFonts w:hint="eastAsia"/>
          <w:lang w:val="en-US" w:eastAsia="zh-CN"/>
        </w:rPr>
        <w:t>校准证书内容</w:t>
      </w:r>
      <w:bookmarkEnd w:id="72"/>
      <w:bookmarkEnd w:id="73"/>
      <w:bookmarkEnd w:id="74"/>
      <w:bookmarkEnd w:id="75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校准后应出具校准证书，证书中至少应包括以下信息：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 xml:space="preserve">1 . 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标题：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“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校准证书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”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 xml:space="preserve">2 . 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实验室名称和地址；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进行校准的地点；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证书的唯一性标识（如编号）、每页及总页数的标识；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委托单位名称；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cs="Times New Roman"/>
          <w:kern w:val="2"/>
          <w:sz w:val="24"/>
          <w:szCs w:val="24"/>
        </w:rPr>
        <w:t>设备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的名称、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建造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商、型号规格、编号；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进行校准的日期；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校准所依据的技术规范的标识，包括名称及代号；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本次校准所用测量标准的溯源性及有效期说明；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校准环境的描述；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校准结果及其测量不确定度的说明；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校准证书或校准报告签发人签名或等效标识；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校准人和核验人签名；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校准结果仅对该被校对象有效的声明；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未经校准实验室书面批准，不得部分复制校准证书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eastAsia="zh-CN"/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Times New Roman" w:hAnsi="Times New Roman" w:eastAsia="宋体" w:cs="Times New Roman"/>
          <w:kern w:val="2"/>
          <w:sz w:val="24"/>
          <w:szCs w:val="24"/>
          <w:lang w:eastAsia="zh-CN"/>
        </w:rPr>
      </w:pP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Times New Roman" w:hAnsi="Times New Roman" w:eastAsia="宋体" w:cs="Times New Roman"/>
          <w:kern w:val="2"/>
          <w:sz w:val="24"/>
          <w:szCs w:val="24"/>
          <w:lang w:eastAsia="zh-CN"/>
        </w:rPr>
      </w:pPr>
    </w:p>
    <w:p>
      <w:pPr>
        <w:pageBreakBefore w:val="0"/>
        <w:kinsoku/>
        <w:wordWrap/>
        <w:overflowPunct/>
        <w:topLinePunct w:val="0"/>
        <w:bidi w:val="0"/>
        <w:spacing w:after="0" w:line="360" w:lineRule="auto"/>
        <w:textAlignment w:val="auto"/>
        <w:rPr>
          <w:rFonts w:ascii="黑体" w:hAnsi="黑体" w:eastAsia="黑体"/>
          <w:b/>
          <w:color w:val="000000"/>
          <w:sz w:val="28"/>
          <w:szCs w:val="28"/>
        </w:rPr>
      </w:pPr>
      <w:bookmarkStart w:id="76" w:name="_Toc75166080"/>
      <w:bookmarkStart w:id="77" w:name="_Toc42525465"/>
      <w:bookmarkStart w:id="78" w:name="_Toc12099"/>
      <w:r>
        <w:rPr>
          <w:rFonts w:ascii="黑体" w:hAnsi="黑体" w:eastAsia="黑体"/>
          <w:b/>
          <w:color w:val="000000"/>
          <w:sz w:val="28"/>
          <w:szCs w:val="28"/>
        </w:rPr>
        <w:br w:type="page"/>
      </w:r>
    </w:p>
    <w:p>
      <w:pPr>
        <w:pStyle w:val="2"/>
        <w:pageBreakBefore w:val="0"/>
        <w:kinsoku/>
        <w:wordWrap/>
        <w:overflowPunct/>
        <w:topLinePunct w:val="0"/>
        <w:bidi w:val="0"/>
        <w:spacing w:after="0" w:line="360" w:lineRule="auto"/>
        <w:ind w:left="0" w:leftChars="0" w:firstLine="0" w:firstLineChars="0"/>
        <w:textAlignment w:val="auto"/>
      </w:pPr>
      <w:bookmarkStart w:id="79" w:name="_Toc21424"/>
      <w:r>
        <w:t>附录</w:t>
      </w:r>
      <w:bookmarkStart w:id="80" w:name="_Toc203968426"/>
      <w:r>
        <w:t xml:space="preserve"> </w:t>
      </w:r>
      <w:r>
        <w:rPr>
          <w:rFonts w:hint="eastAsia"/>
        </w:rPr>
        <w:t>B</w:t>
      </w:r>
      <w:bookmarkEnd w:id="76"/>
      <w:bookmarkEnd w:id="77"/>
      <w:bookmarkEnd w:id="78"/>
      <w:bookmarkEnd w:id="79"/>
      <w:r>
        <w:t xml:space="preserve">    </w:t>
      </w:r>
    </w:p>
    <w:p>
      <w:pPr>
        <w:pStyle w:val="33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spacing w:beforeLines="0" w:afterLines="0" w:line="360" w:lineRule="auto"/>
        <w:jc w:val="center"/>
        <w:textAlignment w:val="auto"/>
        <w:outlineLvl w:val="0"/>
        <w:rPr>
          <w:rFonts w:hAnsi="黑体"/>
          <w:sz w:val="28"/>
          <w:szCs w:val="28"/>
        </w:rPr>
      </w:pPr>
      <w:bookmarkStart w:id="81" w:name="_Toc31687"/>
      <w:bookmarkStart w:id="82" w:name="_Toc498864556"/>
      <w:bookmarkStart w:id="83" w:name="_Toc25345"/>
      <w:bookmarkStart w:id="84" w:name="_Toc42525466"/>
      <w:bookmarkStart w:id="85" w:name="_Toc19657"/>
      <w:bookmarkStart w:id="86" w:name="_Toc4930"/>
      <w:bookmarkStart w:id="87" w:name="_Toc29286"/>
      <w:bookmarkStart w:id="88" w:name="_Toc75166081"/>
      <w:bookmarkStart w:id="89" w:name="_Toc43798814"/>
      <w:r>
        <w:rPr>
          <w:rFonts w:hint="eastAsia" w:hAnsi="黑体"/>
          <w:sz w:val="28"/>
          <w:szCs w:val="28"/>
        </w:rPr>
        <w:t>建筑外墙外保温系统防火性能装置</w:t>
      </w:r>
      <w:r>
        <w:rPr>
          <w:rFonts w:hAnsi="黑体"/>
          <w:sz w:val="28"/>
          <w:szCs w:val="28"/>
        </w:rPr>
        <w:t>证书内页参考格式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bookmarkEnd w:id="80"/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jc w:val="center"/>
        <w:textAlignment w:val="auto"/>
        <w:rPr>
          <w:rFonts w:eastAsia="黑体"/>
          <w:b/>
          <w:bCs/>
          <w:sz w:val="30"/>
          <w:szCs w:val="30"/>
        </w:rPr>
      </w:pPr>
      <w:bookmarkStart w:id="90" w:name="_Toc204076589"/>
      <w:bookmarkEnd w:id="90"/>
      <w:bookmarkStart w:id="91" w:name="_Toc204076546"/>
      <w:bookmarkEnd w:id="91"/>
      <w:r>
        <w:rPr>
          <w:rFonts w:eastAsia="黑体"/>
          <w:b/>
          <w:bCs/>
          <w:sz w:val="30"/>
          <w:szCs w:val="30"/>
        </w:rPr>
        <w:t>校准结果</w:t>
      </w:r>
    </w:p>
    <w:tbl>
      <w:tblPr>
        <w:tblStyle w:val="15"/>
        <w:tblW w:w="9498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3047"/>
        <w:gridCol w:w="3827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Merge w:val="restar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bCs/>
                <w:sz w:val="24"/>
              </w:rPr>
            </w:pPr>
            <w:bookmarkStart w:id="92" w:name="_Toc402726961"/>
            <w:bookmarkStart w:id="93" w:name="_Toc498864558"/>
            <w:r>
              <w:rPr>
                <w:rFonts w:hint="eastAsia" w:eastAsia="黑体"/>
                <w:bCs/>
                <w:sz w:val="24"/>
              </w:rPr>
              <w:t>校准用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bCs/>
                <w:sz w:val="24"/>
              </w:rPr>
              <w:t>计量标准装置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textAlignment w:val="auto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计量标准器名称：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bCs/>
                <w:sz w:val="24"/>
              </w:rPr>
            </w:pPr>
          </w:p>
        </w:tc>
        <w:tc>
          <w:tcPr>
            <w:tcW w:w="6874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textAlignment w:val="auto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计量标准器编号：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bCs/>
                <w:sz w:val="24"/>
              </w:rPr>
            </w:pPr>
          </w:p>
        </w:tc>
        <w:tc>
          <w:tcPr>
            <w:tcW w:w="6874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textAlignment w:val="auto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准确度等级：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bCs/>
                <w:sz w:val="24"/>
              </w:rPr>
            </w:pPr>
          </w:p>
        </w:tc>
        <w:tc>
          <w:tcPr>
            <w:tcW w:w="6874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textAlignment w:val="auto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有效期至：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262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sz w:val="24"/>
              </w:rPr>
              <w:t>计量所依据的技术规范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textAlignment w:val="auto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sz w:val="24"/>
              </w:rPr>
              <w:t>溯源性说明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both"/>
              <w:textAlignment w:val="auto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sz w:val="24"/>
              </w:rPr>
              <w:t>校准地点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both"/>
              <w:textAlignment w:val="auto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校准环境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both"/>
              <w:textAlignment w:val="auto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sz w:val="24"/>
              </w:rPr>
              <w:t>外观</w:t>
            </w:r>
            <w:r>
              <w:rPr>
                <w:rFonts w:eastAsia="黑体"/>
                <w:bCs/>
                <w:sz w:val="24"/>
              </w:rPr>
              <w:t>检查结果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both"/>
              <w:textAlignment w:val="auto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sz w:val="24"/>
              </w:rPr>
              <w:t>功能</w:t>
            </w:r>
            <w:r>
              <w:rPr>
                <w:rFonts w:eastAsia="黑体"/>
                <w:bCs/>
                <w:sz w:val="24"/>
              </w:rPr>
              <w:t>检查结果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both"/>
              <w:textAlignment w:val="auto"/>
              <w:rPr>
                <w:rFonts w:hint="eastAsia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墙体和燃烧室结构   □满足    □不满足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both"/>
              <w:textAlignment w:val="auto"/>
              <w:rPr>
                <w:rFonts w:hint="eastAsia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燃烧室中的温度偏差   □满足    □不满足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both"/>
              <w:textAlignment w:val="auto"/>
              <w:rPr>
                <w:rFonts w:hint="eastAsia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水平准位线1上的温度偏差   □满足    □不满足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both"/>
              <w:textAlignment w:val="auto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辐射热通量偏差   □满足    □不满足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2624" w:type="dxa"/>
            <w:vMerge w:val="restart"/>
            <w:tcBorders>
              <w:bottom w:val="single" w:color="auto" w:sz="6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计时器的时间偏差</w:t>
            </w:r>
          </w:p>
        </w:tc>
        <w:tc>
          <w:tcPr>
            <w:tcW w:w="3047" w:type="dxa"/>
            <w:tcBorders>
              <w:bottom w:val="single" w:color="auto" w:sz="6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hint="eastAsia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时间偏差</w:t>
            </w:r>
          </w:p>
        </w:tc>
        <w:tc>
          <w:tcPr>
            <w:tcW w:w="3827" w:type="dxa"/>
            <w:tcBorders>
              <w:bottom w:val="single" w:color="auto" w:sz="6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校准结果的测量不确定度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2" w:hRule="atLeast"/>
          <w:jc w:val="center"/>
        </w:trPr>
        <w:tc>
          <w:tcPr>
            <w:tcW w:w="2624" w:type="dxa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3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382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sz w:val="24"/>
              </w:rPr>
            </w:pPr>
            <w:r>
              <w:rPr>
                <w:rFonts w:hint="eastAsia"/>
                <w:i/>
                <w:sz w:val="24"/>
              </w:rPr>
              <w:t>U</w:t>
            </w:r>
            <w:r>
              <w:rPr>
                <w:rFonts w:hAnsi="宋体"/>
                <w:sz w:val="24"/>
              </w:rPr>
              <w:t>＝</w:t>
            </w:r>
            <w:r>
              <w:rPr>
                <w:rFonts w:hint="eastAsia" w:hAnsi="宋体"/>
                <w:sz w:val="24"/>
              </w:rPr>
              <w:t xml:space="preserve">     ,</w:t>
            </w:r>
            <w:r>
              <w:rPr>
                <w:rFonts w:hint="eastAsia"/>
                <w:i/>
                <w:sz w:val="24"/>
              </w:rPr>
              <w:t>k</w:t>
            </w:r>
            <w:r>
              <w:rPr>
                <w:rFonts w:hAnsi="宋体"/>
                <w:sz w:val="24"/>
              </w:rPr>
              <w:t>＝</w:t>
            </w:r>
            <w:r>
              <w:rPr>
                <w:rFonts w:hint="eastAsia" w:hAnsi="宋体"/>
                <w:sz w:val="24"/>
              </w:rPr>
              <w:t>2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  <w:jc w:val="center"/>
        </w:trPr>
        <w:tc>
          <w:tcPr>
            <w:tcW w:w="2624" w:type="dxa"/>
            <w:vMerge w:val="restar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sz w:val="24"/>
              </w:rPr>
            </w:pPr>
            <w:bookmarkStart w:id="94" w:name="_Toc42525467"/>
            <w:r>
              <w:rPr>
                <w:rFonts w:hint="eastAsia" w:eastAsia="黑体"/>
                <w:sz w:val="24"/>
                <w:lang w:val="en-US" w:eastAsia="zh-CN"/>
              </w:rPr>
              <w:t>水平准位线1上的温度偏差</w:t>
            </w:r>
          </w:p>
        </w:tc>
        <w:tc>
          <w:tcPr>
            <w:tcW w:w="3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</w:rPr>
              <w:t>热电偶示值</w:t>
            </w:r>
          </w:p>
        </w:tc>
        <w:tc>
          <w:tcPr>
            <w:tcW w:w="382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hint="eastAsia"/>
                <w:i/>
                <w:sz w:val="24"/>
              </w:rPr>
            </w:pPr>
            <w:r>
              <w:rPr>
                <w:rFonts w:eastAsia="黑体"/>
                <w:sz w:val="24"/>
              </w:rPr>
              <w:t>测量不确定度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7" w:hRule="atLeast"/>
          <w:jc w:val="center"/>
        </w:trPr>
        <w:tc>
          <w:tcPr>
            <w:tcW w:w="2624" w:type="dxa"/>
            <w:vMerge w:val="continue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hint="eastAsia" w:eastAsia="黑体"/>
                <w:sz w:val="24"/>
              </w:rPr>
            </w:pPr>
          </w:p>
        </w:tc>
        <w:tc>
          <w:tcPr>
            <w:tcW w:w="3047" w:type="dxa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3827" w:type="dxa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hint="eastAsia"/>
                <w:i/>
                <w:sz w:val="24"/>
              </w:rPr>
            </w:pPr>
            <w:r>
              <w:rPr>
                <w:rFonts w:hint="eastAsia"/>
                <w:i/>
                <w:sz w:val="24"/>
              </w:rPr>
              <w:t>U</w:t>
            </w:r>
            <w:r>
              <w:rPr>
                <w:rFonts w:hAnsi="宋体"/>
                <w:sz w:val="24"/>
              </w:rPr>
              <w:t>＝</w:t>
            </w:r>
            <w:r>
              <w:rPr>
                <w:rFonts w:hint="eastAsia" w:hAnsi="宋体"/>
                <w:sz w:val="24"/>
              </w:rPr>
              <w:t xml:space="preserve">     ,</w:t>
            </w:r>
            <w:r>
              <w:rPr>
                <w:rFonts w:hint="eastAsia"/>
                <w:i/>
                <w:sz w:val="24"/>
              </w:rPr>
              <w:t>k</w:t>
            </w:r>
            <w:r>
              <w:rPr>
                <w:rFonts w:hAnsi="宋体"/>
                <w:sz w:val="24"/>
              </w:rPr>
              <w:t>＝</w:t>
            </w:r>
            <w:r>
              <w:rPr>
                <w:rFonts w:hint="eastAsia" w:hAnsi="宋体"/>
                <w:sz w:val="24"/>
              </w:rPr>
              <w:t>2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9"/>
        <w:rPr>
          <w:rFonts w:ascii="黑体" w:hAnsi="黑体" w:eastAsia="黑体"/>
          <w:b/>
          <w:color w:val="000000"/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outlineLvl w:val="9"/>
        <w:rPr>
          <w:rFonts w:ascii="黑体" w:hAnsi="黑体" w:eastAsia="黑体"/>
          <w:b/>
          <w:color w:val="000000"/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="黑体" w:hAnsi="黑体" w:eastAsia="黑体"/>
          <w:b/>
          <w:color w:val="000000"/>
          <w:sz w:val="28"/>
          <w:szCs w:val="28"/>
        </w:rPr>
      </w:pPr>
      <w:bookmarkStart w:id="95" w:name="_Toc75166082"/>
      <w:r>
        <w:rPr>
          <w:rFonts w:ascii="黑体" w:hAnsi="黑体" w:eastAsia="黑体"/>
          <w:b/>
          <w:color w:val="000000"/>
          <w:sz w:val="28"/>
          <w:szCs w:val="28"/>
        </w:rPr>
        <w:br w:type="page"/>
      </w:r>
    </w:p>
    <w:p>
      <w:pPr>
        <w:pStyle w:val="2"/>
        <w:pageBreakBefore w:val="0"/>
        <w:kinsoku/>
        <w:wordWrap/>
        <w:overflowPunct/>
        <w:topLinePunct w:val="0"/>
        <w:bidi w:val="0"/>
        <w:spacing w:after="0" w:line="360" w:lineRule="auto"/>
        <w:ind w:left="0" w:leftChars="0" w:firstLine="0" w:firstLineChars="0"/>
        <w:textAlignment w:val="auto"/>
      </w:pPr>
      <w:bookmarkStart w:id="96" w:name="_Toc30846"/>
      <w:bookmarkStart w:id="97" w:name="_Toc13616"/>
      <w:r>
        <w:t xml:space="preserve">附录 </w:t>
      </w:r>
      <w:r>
        <w:rPr>
          <w:rFonts w:hint="eastAsia"/>
        </w:rPr>
        <w:t>C</w:t>
      </w:r>
      <w:bookmarkEnd w:id="94"/>
      <w:bookmarkEnd w:id="95"/>
      <w:bookmarkEnd w:id="96"/>
      <w:bookmarkEnd w:id="97"/>
      <w:r>
        <w:t xml:space="preserve">   </w:t>
      </w:r>
      <w:bookmarkEnd w:id="92"/>
    </w:p>
    <w:p>
      <w:pPr>
        <w:pStyle w:val="33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spacing w:beforeLines="0" w:afterLines="0" w:line="360" w:lineRule="auto"/>
        <w:jc w:val="center"/>
        <w:textAlignment w:val="auto"/>
        <w:outlineLvl w:val="0"/>
        <w:rPr>
          <w:rFonts w:ascii="Times New Roman"/>
          <w:sz w:val="28"/>
          <w:szCs w:val="28"/>
        </w:rPr>
      </w:pPr>
      <w:bookmarkStart w:id="98" w:name="_Toc8128"/>
      <w:bookmarkStart w:id="99" w:name="_Toc28307"/>
      <w:bookmarkStart w:id="100" w:name="_Toc43798816"/>
      <w:bookmarkStart w:id="101" w:name="_Toc4469"/>
      <w:bookmarkStart w:id="102" w:name="_Toc42525468"/>
      <w:bookmarkStart w:id="103" w:name="_Toc498864557"/>
      <w:bookmarkStart w:id="104" w:name="_Toc9026"/>
      <w:bookmarkStart w:id="105" w:name="_Toc75166083"/>
      <w:bookmarkStart w:id="106" w:name="_Toc21508"/>
      <w:bookmarkStart w:id="107" w:name="_Toc70240041"/>
      <w:r>
        <w:rPr>
          <w:rFonts w:hint="eastAsia" w:ascii="Times New Roman"/>
          <w:sz w:val="28"/>
          <w:szCs w:val="28"/>
        </w:rPr>
        <w:t>建筑外墙外保温系统防火性能装置</w:t>
      </w:r>
      <w:r>
        <w:rPr>
          <w:rFonts w:ascii="Times New Roman"/>
          <w:sz w:val="28"/>
          <w:szCs w:val="28"/>
        </w:rPr>
        <w:t>原始记录表参考格式</w:t>
      </w:r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jc w:val="center"/>
        <w:textAlignment w:val="auto"/>
        <w:outlineLvl w:val="0"/>
        <w:rPr>
          <w:sz w:val="28"/>
          <w:szCs w:val="28"/>
        </w:rPr>
      </w:pPr>
      <w:bookmarkStart w:id="108" w:name="_Toc15408"/>
      <w:r>
        <w:rPr>
          <w:rFonts w:hint="eastAsia"/>
          <w:sz w:val="28"/>
          <w:szCs w:val="28"/>
        </w:rPr>
        <w:t>建筑外墙外保温系统防火性能装置</w:t>
      </w:r>
      <w:r>
        <w:rPr>
          <w:sz w:val="28"/>
          <w:szCs w:val="28"/>
        </w:rPr>
        <w:t>校准原始记录表</w:t>
      </w:r>
      <w:bookmarkEnd w:id="108"/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jc w:val="center"/>
        <w:textAlignment w:val="auto"/>
        <w:rPr>
          <w:sz w:val="36"/>
          <w:szCs w:val="36"/>
        </w:rPr>
      </w:pPr>
    </w:p>
    <w:tbl>
      <w:tblPr>
        <w:tblStyle w:val="15"/>
        <w:tblW w:w="101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920"/>
        <w:gridCol w:w="71"/>
        <w:gridCol w:w="852"/>
        <w:gridCol w:w="990"/>
        <w:gridCol w:w="394"/>
        <w:gridCol w:w="1701"/>
        <w:gridCol w:w="1350"/>
        <w:gridCol w:w="96"/>
        <w:gridCol w:w="1814"/>
        <w:gridCol w:w="1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校准依据</w:t>
            </w:r>
          </w:p>
        </w:tc>
        <w:tc>
          <w:tcPr>
            <w:tcW w:w="8582" w:type="dxa"/>
            <w:gridSpan w:val="8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textAlignment w:val="auto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restar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校准用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计量标准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装置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计量标准器名称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计量标准器编号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准确度等级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有效期至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溯源性说明</w:t>
            </w:r>
          </w:p>
        </w:tc>
        <w:tc>
          <w:tcPr>
            <w:tcW w:w="8582" w:type="dxa"/>
            <w:gridSpan w:val="8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restar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校准条件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校准地点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校准环境</w:t>
            </w:r>
          </w:p>
        </w:tc>
        <w:tc>
          <w:tcPr>
            <w:tcW w:w="3541" w:type="dxa"/>
            <w:gridSpan w:val="4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温度</w:t>
            </w:r>
            <w:r>
              <w:rPr>
                <w:rFonts w:hint="eastAsia" w:ascii="黑体" w:hAnsi="黑体" w:eastAsia="黑体"/>
                <w:szCs w:val="21"/>
              </w:rPr>
              <w:t xml:space="preserve">：        </w:t>
            </w:r>
            <w:r>
              <w:rPr>
                <w:rFonts w:ascii="黑体" w:hAnsi="黑体" w:eastAsia="黑体"/>
                <w:szCs w:val="21"/>
              </w:rPr>
              <w:t>℃</w:t>
            </w:r>
          </w:p>
        </w:tc>
        <w:tc>
          <w:tcPr>
            <w:tcW w:w="3199" w:type="dxa"/>
            <w:gridSpan w:val="2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湿度</w:t>
            </w:r>
            <w:r>
              <w:rPr>
                <w:rFonts w:hint="eastAsia" w:ascii="黑体" w:hAnsi="黑体" w:eastAsia="黑体"/>
                <w:szCs w:val="21"/>
              </w:rPr>
              <w:t xml:space="preserve">：        </w:t>
            </w:r>
            <w:r>
              <w:rPr>
                <w:rFonts w:ascii="黑体" w:hAnsi="黑体" w:eastAsia="黑体"/>
                <w:szCs w:val="21"/>
              </w:rPr>
              <w:t>RH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restar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textAlignment w:val="auto"/>
              <w:rPr>
                <w:rFonts w:ascii="黑体" w:hAnsi="黑体" w:eastAsia="黑体"/>
                <w:szCs w:val="21"/>
              </w:rPr>
            </w:pP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准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过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textAlignment w:val="auto"/>
              <w:rPr>
                <w:rFonts w:ascii="黑体" w:hAnsi="黑体" w:eastAsia="黑体"/>
                <w:szCs w:val="21"/>
              </w:rPr>
            </w:pP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程</w:t>
            </w:r>
          </w:p>
        </w:tc>
        <w:tc>
          <w:tcPr>
            <w:tcW w:w="991" w:type="dxa"/>
            <w:gridSpan w:val="2"/>
            <w:vMerge w:val="restar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基本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信息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证书编号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校准样品名称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委托单位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建造</w:t>
            </w:r>
            <w:r>
              <w:rPr>
                <w:rFonts w:ascii="黑体" w:hAnsi="黑体" w:eastAsia="黑体"/>
                <w:szCs w:val="21"/>
              </w:rPr>
              <w:t>单位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型号规格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ind w:firstLine="110" w:firstLineChars="50"/>
              <w:jc w:val="center"/>
              <w:textAlignment w:val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ascii="黑体" w:hAnsi="黑体" w:eastAsia="黑体"/>
                <w:sz w:val="22"/>
                <w:szCs w:val="22"/>
              </w:rPr>
              <w:t>外观检查</w:t>
            </w:r>
          </w:p>
        </w:tc>
        <w:tc>
          <w:tcPr>
            <w:tcW w:w="7730" w:type="dxa"/>
            <w:gridSpan w:val="7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ind w:firstLine="110" w:firstLineChars="50"/>
              <w:textAlignment w:val="auto"/>
              <w:rPr>
                <w:rFonts w:ascii="黑体" w:hAnsi="黑体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ind w:firstLine="110" w:firstLineChars="50"/>
              <w:jc w:val="center"/>
              <w:textAlignment w:val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黑体" w:hAnsi="黑体" w:eastAsia="黑体"/>
                <w:sz w:val="22"/>
                <w:szCs w:val="22"/>
              </w:rPr>
              <w:t>功能</w:t>
            </w:r>
            <w:r>
              <w:rPr>
                <w:rFonts w:ascii="黑体" w:hAnsi="黑体" w:eastAsia="黑体"/>
                <w:sz w:val="22"/>
                <w:szCs w:val="22"/>
              </w:rPr>
              <w:t>检查</w:t>
            </w:r>
          </w:p>
        </w:tc>
        <w:tc>
          <w:tcPr>
            <w:tcW w:w="7730" w:type="dxa"/>
            <w:gridSpan w:val="7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ind w:firstLine="110" w:firstLineChars="50"/>
              <w:textAlignment w:val="auto"/>
              <w:rPr>
                <w:rFonts w:ascii="黑体" w:hAnsi="黑体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227" w:type="dxa"/>
            <w:gridSpan w:val="5"/>
            <w:vMerge w:val="restar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eastAsia="黑体"/>
                <w:sz w:val="22"/>
                <w:szCs w:val="22"/>
                <w:lang w:val="en-US" w:eastAsia="zh-CN"/>
              </w:rPr>
              <w:t>计时器的时间偏差</w:t>
            </w:r>
          </w:p>
        </w:tc>
        <w:tc>
          <w:tcPr>
            <w:tcW w:w="3051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eastAsia="黑体"/>
                <w:sz w:val="22"/>
                <w:szCs w:val="22"/>
                <w:lang w:val="en-US" w:eastAsia="zh-CN"/>
              </w:rPr>
              <w:t>时间偏差</w:t>
            </w:r>
          </w:p>
        </w:tc>
        <w:tc>
          <w:tcPr>
            <w:tcW w:w="3295" w:type="dxa"/>
            <w:gridSpan w:val="3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ascii="黑体" w:hAnsi="黑体" w:eastAsia="黑体"/>
                <w:sz w:val="22"/>
                <w:szCs w:val="22"/>
              </w:rPr>
              <w:t>校准结果的</w:t>
            </w:r>
            <w:r>
              <w:rPr>
                <w:rFonts w:hint="eastAsia" w:ascii="黑体" w:hAnsi="黑体" w:eastAsia="黑体"/>
                <w:sz w:val="22"/>
                <w:szCs w:val="22"/>
              </w:rPr>
              <w:t>测量</w:t>
            </w:r>
            <w:r>
              <w:rPr>
                <w:rFonts w:ascii="黑体" w:hAnsi="黑体" w:eastAsia="黑体"/>
                <w:sz w:val="22"/>
                <w:szCs w:val="22"/>
              </w:rPr>
              <w:t>不确定度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227" w:type="dxa"/>
            <w:gridSpan w:val="5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hint="eastAsia" w:eastAsia="黑体"/>
                <w:sz w:val="22"/>
                <w:szCs w:val="22"/>
              </w:rPr>
            </w:pPr>
          </w:p>
        </w:tc>
        <w:tc>
          <w:tcPr>
            <w:tcW w:w="3051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3295" w:type="dxa"/>
            <w:gridSpan w:val="3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hint="eastAsia" w:eastAsia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/>
                <w:i/>
                <w:sz w:val="22"/>
                <w:szCs w:val="22"/>
              </w:rPr>
              <w:t>U</w:t>
            </w:r>
            <w:r>
              <w:rPr>
                <w:rFonts w:ascii="黑体" w:hAnsi="黑体" w:eastAsia="黑体"/>
                <w:sz w:val="22"/>
                <w:szCs w:val="22"/>
              </w:rPr>
              <w:t>＝</w:t>
            </w:r>
            <w:r>
              <w:rPr>
                <w:rFonts w:hint="eastAsia" w:ascii="黑体" w:hAnsi="黑体" w:eastAsia="黑体"/>
                <w:sz w:val="22"/>
                <w:szCs w:val="22"/>
              </w:rPr>
              <w:t xml:space="preserve">      ,</w:t>
            </w:r>
            <w:r>
              <w:rPr>
                <w:rFonts w:hint="eastAsia" w:ascii="黑体" w:hAnsi="黑体" w:eastAsia="黑体"/>
                <w:i/>
                <w:sz w:val="22"/>
                <w:szCs w:val="22"/>
              </w:rPr>
              <w:t>k</w:t>
            </w:r>
            <w:r>
              <w:rPr>
                <w:rFonts w:ascii="黑体" w:hAnsi="黑体" w:eastAsia="黑体"/>
                <w:sz w:val="22"/>
                <w:szCs w:val="22"/>
              </w:rPr>
              <w:t>＝</w:t>
            </w:r>
            <w:r>
              <w:rPr>
                <w:rFonts w:hint="eastAsia" w:ascii="黑体" w:hAnsi="黑体" w:eastAsia="黑体"/>
                <w:sz w:val="22"/>
                <w:szCs w:val="2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227" w:type="dxa"/>
            <w:gridSpan w:val="5"/>
            <w:vMerge w:val="restar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eastAsia="黑体"/>
                <w:sz w:val="22"/>
                <w:szCs w:val="22"/>
                <w:lang w:val="en-US" w:eastAsia="zh-CN"/>
              </w:rPr>
              <w:t>水平准位线1上的温度偏差</w:t>
            </w:r>
          </w:p>
        </w:tc>
        <w:tc>
          <w:tcPr>
            <w:tcW w:w="3051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eastAsia="黑体"/>
                <w:sz w:val="22"/>
                <w:szCs w:val="22"/>
              </w:rPr>
              <w:t>热电偶示值</w:t>
            </w:r>
          </w:p>
        </w:tc>
        <w:tc>
          <w:tcPr>
            <w:tcW w:w="3295" w:type="dxa"/>
            <w:gridSpan w:val="3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hint="eastAsia" w:ascii="黑体" w:hAnsi="黑体" w:eastAsia="黑体"/>
                <w:i/>
                <w:sz w:val="22"/>
                <w:szCs w:val="22"/>
              </w:rPr>
            </w:pPr>
            <w:r>
              <w:rPr>
                <w:rFonts w:ascii="黑体" w:hAnsi="黑体" w:eastAsia="黑体"/>
                <w:sz w:val="22"/>
                <w:szCs w:val="22"/>
              </w:rPr>
              <w:t>校准结果的</w:t>
            </w:r>
            <w:r>
              <w:rPr>
                <w:rFonts w:hint="eastAsia" w:ascii="黑体" w:hAnsi="黑体" w:eastAsia="黑体"/>
                <w:sz w:val="22"/>
                <w:szCs w:val="22"/>
              </w:rPr>
              <w:t>测量</w:t>
            </w:r>
            <w:r>
              <w:rPr>
                <w:rFonts w:ascii="黑体" w:hAnsi="黑体" w:eastAsia="黑体"/>
                <w:sz w:val="22"/>
                <w:szCs w:val="22"/>
              </w:rPr>
              <w:t>不确定度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227" w:type="dxa"/>
            <w:gridSpan w:val="5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3051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 w:val="22"/>
                <w:szCs w:val="22"/>
              </w:rPr>
            </w:pPr>
          </w:p>
        </w:tc>
        <w:tc>
          <w:tcPr>
            <w:tcW w:w="3295" w:type="dxa"/>
            <w:gridSpan w:val="3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hint="eastAsia" w:ascii="黑体" w:hAnsi="黑体" w:eastAsia="黑体"/>
                <w:i/>
                <w:sz w:val="22"/>
                <w:szCs w:val="22"/>
              </w:rPr>
            </w:pPr>
            <w:r>
              <w:rPr>
                <w:rFonts w:hint="eastAsia" w:ascii="黑体" w:hAnsi="黑体" w:eastAsia="黑体"/>
                <w:i/>
                <w:sz w:val="22"/>
                <w:szCs w:val="22"/>
              </w:rPr>
              <w:t>U</w:t>
            </w:r>
            <w:r>
              <w:rPr>
                <w:rFonts w:ascii="黑体" w:hAnsi="黑体" w:eastAsia="黑体"/>
                <w:sz w:val="22"/>
                <w:szCs w:val="22"/>
              </w:rPr>
              <w:t>＝</w:t>
            </w:r>
            <w:r>
              <w:rPr>
                <w:rFonts w:hint="eastAsia" w:ascii="黑体" w:hAnsi="黑体" w:eastAsia="黑体"/>
                <w:sz w:val="22"/>
                <w:szCs w:val="22"/>
              </w:rPr>
              <w:t xml:space="preserve">      ,</w:t>
            </w:r>
            <w:r>
              <w:rPr>
                <w:rFonts w:hint="eastAsia" w:ascii="黑体" w:hAnsi="黑体" w:eastAsia="黑体"/>
                <w:i/>
                <w:sz w:val="22"/>
                <w:szCs w:val="22"/>
              </w:rPr>
              <w:t>k</w:t>
            </w:r>
            <w:r>
              <w:rPr>
                <w:rFonts w:ascii="黑体" w:hAnsi="黑体" w:eastAsia="黑体"/>
                <w:sz w:val="22"/>
                <w:szCs w:val="22"/>
              </w:rPr>
              <w:t>＝</w:t>
            </w:r>
            <w:r>
              <w:rPr>
                <w:rFonts w:hint="eastAsia" w:ascii="黑体" w:hAnsi="黑体" w:eastAsia="黑体"/>
                <w:sz w:val="22"/>
                <w:szCs w:val="2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校准日期</w:t>
            </w:r>
          </w:p>
        </w:tc>
        <w:tc>
          <w:tcPr>
            <w:tcW w:w="2307" w:type="dxa"/>
            <w:gridSpan w:val="4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年   月   日</w:t>
            </w:r>
          </w:p>
        </w:tc>
        <w:tc>
          <w:tcPr>
            <w:tcW w:w="1701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校准员</w:t>
            </w:r>
          </w:p>
        </w:tc>
        <w:tc>
          <w:tcPr>
            <w:tcW w:w="135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核验员</w:t>
            </w:r>
          </w:p>
        </w:tc>
        <w:tc>
          <w:tcPr>
            <w:tcW w:w="1385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auto"/>
              <w:jc w:val="center"/>
              <w:textAlignment w:val="auto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</w:t>
            </w:r>
          </w:p>
        </w:tc>
      </w:tr>
      <w:bookmarkEnd w:id="93"/>
    </w:tbl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eastAsia" w:ascii="黑体" w:hAnsi="黑体" w:eastAsia="黑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color w:val="000000"/>
          <w:sz w:val="28"/>
          <w:szCs w:val="28"/>
          <w:lang w:val="en-US" w:eastAsia="zh-CN"/>
        </w:rPr>
        <w:t xml:space="preserve">  </w:t>
      </w:r>
    </w:p>
    <w:p>
      <w:pPr>
        <w:rPr>
          <w:rFonts w:hint="eastAsia" w:ascii="黑体" w:hAnsi="黑体" w:eastAsia="黑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color w:val="000000"/>
          <w:sz w:val="28"/>
          <w:szCs w:val="28"/>
          <w:lang w:val="en-US" w:eastAsia="zh-CN"/>
        </w:rPr>
        <w:br w:type="page"/>
      </w:r>
    </w:p>
    <w:p>
      <w:pPr>
        <w:pStyle w:val="2"/>
        <w:pageBreakBefore w:val="0"/>
        <w:kinsoku/>
        <w:wordWrap/>
        <w:overflowPunct/>
        <w:topLinePunct w:val="0"/>
        <w:bidi w:val="0"/>
        <w:spacing w:after="0" w:line="360" w:lineRule="auto"/>
        <w:ind w:left="0" w:leftChars="0" w:firstLine="0" w:firstLineChars="0"/>
        <w:textAlignment w:val="auto"/>
      </w:pPr>
      <w:r>
        <w:t xml:space="preserve">附录 </w:t>
      </w:r>
      <w:r>
        <w:rPr>
          <w:rFonts w:hint="eastAsia"/>
          <w:lang w:val="en-US" w:eastAsia="zh-CN"/>
        </w:rPr>
        <w:t>D</w:t>
      </w:r>
      <w:r>
        <w:t xml:space="preserve">   </w:t>
      </w:r>
    </w:p>
    <w:p>
      <w:pPr>
        <w:pStyle w:val="33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spacing w:beforeLines="0" w:afterLines="0" w:line="360" w:lineRule="auto"/>
        <w:jc w:val="center"/>
        <w:textAlignment w:val="auto"/>
        <w:outlineLvl w:val="0"/>
        <w:rPr>
          <w:rFonts w:hint="eastAsia" w:ascii="黑体" w:hAnsi="黑体" w:eastAsia="黑体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28"/>
          <w:szCs w:val="28"/>
          <w:lang w:val="en-US" w:eastAsia="zh-CN"/>
        </w:rPr>
        <w:t>误差的不确定度评定实例</w:t>
      </w:r>
    </w:p>
    <w:p>
      <w:pPr>
        <w:spacing w:line="360" w:lineRule="auto"/>
        <w:rPr>
          <w:rFonts w:hint="eastAsia" w:ascii="Times New Roman" w:hAnsi="Times New Roman" w:eastAsia="宋体" w:cs="Times New Roman"/>
          <w:kern w:val="2"/>
          <w:sz w:val="24"/>
          <w:szCs w:val="24"/>
        </w:rPr>
      </w:pPr>
      <w:bookmarkStart w:id="109" w:name="_Toc488046464"/>
      <w:bookmarkStart w:id="110" w:name="_Toc495656614"/>
      <w:bookmarkStart w:id="111" w:name="_Toc496515475"/>
      <w:r>
        <w:rPr>
          <w:rFonts w:hint="eastAsia" w:ascii="Times New Roman"/>
          <w:sz w:val="24"/>
          <w:lang w:val="en-US" w:eastAsia="zh-CN"/>
        </w:rPr>
        <w:t>D.</w:t>
      </w:r>
      <w:r>
        <w:rPr>
          <w:rFonts w:hint="eastAsia" w:ascii="Times New Roman" w:eastAsia="宋体"/>
          <w:sz w:val="24"/>
          <w:lang w:val="en-US" w:eastAsia="zh-CN"/>
        </w:rPr>
        <w:t>1</w:t>
      </w:r>
      <w:r>
        <w:rPr>
          <w:rFonts w:hint="eastAsia" w:ascii="宋体" w:hAnsi="宋体" w:eastAsia="宋体"/>
          <w:sz w:val="24"/>
        </w:rPr>
        <w:t>、</w:t>
      </w:r>
      <w:r>
        <w:rPr>
          <w:rFonts w:ascii="Times New Roman" w:eastAsia="宋体"/>
          <w:color w:val="000000"/>
          <w:sz w:val="24"/>
          <w:szCs w:val="24"/>
        </w:rPr>
        <w:t>校准环境：</w:t>
      </w:r>
      <w:bookmarkEnd w:id="109"/>
      <w:bookmarkEnd w:id="110"/>
      <w:bookmarkEnd w:id="111"/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环境温度为（20±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）℃。相对湿度为（50±20）%RH。</w:t>
      </w:r>
    </w:p>
    <w:p>
      <w:pPr>
        <w:spacing w:line="360" w:lineRule="auto"/>
        <w:rPr>
          <w:rFonts w:hint="eastAsia" w:ascii="Times New Roman" w:hAnsi="宋体"/>
          <w:sz w:val="24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D.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2、</w:t>
      </w:r>
      <w:r>
        <w:rPr>
          <w:rFonts w:ascii="Times New Roman" w:hAnsi="宋体"/>
          <w:sz w:val="24"/>
        </w:rPr>
        <w:t>计量标准及主要技术指标</w:t>
      </w:r>
      <w:r>
        <w:rPr>
          <w:rFonts w:hint="eastAsia" w:ascii="Times New Roman" w:hAnsi="宋体"/>
          <w:sz w:val="24"/>
        </w:rPr>
        <w:t>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outlineLvl w:val="3"/>
        <w:rPr>
          <w:rFonts w:hint="eastAsia" w:ascii="Times New Roman" w:hAnsi="宋体"/>
          <w:sz w:val="24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试验开始后6min开始，每30s一次水平准位线1上温度测点数据，累计记录10次，并计算平均温度。当所有测点温度偏差不超过200℃，且平均值与650℃相对偏差不大于50℃时，视为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水平准位线1上的温度偏差</w:t>
      </w:r>
      <w:r>
        <w:rPr>
          <w:rFonts w:hint="eastAsia" w:ascii="Times New Roman" w:hAnsi="Times New Roman" w:cs="Times New Roman"/>
          <w:color w:val="auto"/>
          <w:kern w:val="2"/>
          <w:sz w:val="24"/>
          <w:szCs w:val="24"/>
          <w:lang w:val="en-US" w:eastAsia="zh-CN"/>
        </w:rPr>
        <w:t>满足要求。</w:t>
      </w:r>
    </w:p>
    <w:p>
      <w:pPr>
        <w:spacing w:line="360" w:lineRule="auto"/>
        <w:rPr>
          <w:rFonts w:hint="eastAsia" w:ascii="Times New Roman" w:hAnsi="宋体"/>
          <w:sz w:val="24"/>
          <w:lang w:val="en-US" w:eastAsia="zh-CN"/>
        </w:rPr>
      </w:pPr>
      <w:r>
        <w:rPr>
          <w:rFonts w:hint="eastAsia" w:ascii="Times New Roman" w:hAnsi="宋体"/>
          <w:sz w:val="24"/>
          <w:lang w:val="en-US" w:eastAsia="zh-CN"/>
        </w:rPr>
        <w:t>D.3、测量对象：</w:t>
      </w:r>
    </w:p>
    <w:p>
      <w:pPr>
        <w:spacing w:line="360" w:lineRule="auto"/>
        <w:ind w:firstLine="480" w:firstLineChars="200"/>
        <w:rPr>
          <w:rFonts w:hint="eastAsia" w:ascii="Times New Roman" w:hAnsi="宋体"/>
          <w:sz w:val="24"/>
          <w:lang w:val="en-US" w:eastAsia="zh-CN"/>
        </w:rPr>
      </w:pPr>
      <w:r>
        <w:rPr>
          <w:rFonts w:hint="default" w:ascii="Times New Roman" w:hAnsi="宋体"/>
          <w:sz w:val="24"/>
          <w:lang w:val="en-US" w:eastAsia="zh-CN"/>
        </w:rPr>
        <w:t>保温材料阴燃特性装置</w:t>
      </w:r>
      <w:r>
        <w:rPr>
          <w:rFonts w:hint="eastAsia" w:ascii="Times New Roman" w:hAnsi="宋体"/>
          <w:sz w:val="24"/>
          <w:lang w:val="en-US" w:eastAsia="zh-CN"/>
        </w:rPr>
        <w:t>温度测点示值偏差，其示值与理论值650℃相对偏差。</w:t>
      </w:r>
    </w:p>
    <w:p>
      <w:pPr>
        <w:spacing w:line="360" w:lineRule="auto"/>
        <w:rPr>
          <w:rFonts w:hint="eastAsia" w:ascii="Times New Roman" w:hAnsi="宋体"/>
          <w:sz w:val="24"/>
          <w:lang w:val="en-US" w:eastAsia="zh-CN"/>
        </w:rPr>
      </w:pPr>
      <w:r>
        <w:rPr>
          <w:rFonts w:hint="eastAsia" w:ascii="Times New Roman" w:hAnsi="宋体"/>
          <w:sz w:val="24"/>
          <w:lang w:val="en-US" w:eastAsia="zh-CN"/>
        </w:rPr>
        <w:t>D.4、数学模型</w:t>
      </w:r>
    </w:p>
    <w:p>
      <w:pPr>
        <w:jc w:val="center"/>
        <w:rPr>
          <w:rFonts w:ascii="Times New Roman" w:hAnsi="Times New Roman" w:cs="Times New Roman"/>
          <w:bCs/>
          <w:color w:val="000000"/>
          <w:sz w:val="21"/>
          <w:szCs w:val="21"/>
        </w:rPr>
      </w:pPr>
      <w:r>
        <w:rPr>
          <w:rFonts w:ascii="Cambria Math" w:hAnsi="Cambria Math" w:cs="Times New Roman"/>
          <w:b w:val="0"/>
          <w:i w:val="0"/>
          <w:color w:val="000000"/>
          <w:position w:val="-4"/>
          <w:sz w:val="21"/>
          <w:szCs w:val="21"/>
        </w:rPr>
        <w:object>
          <v:shape id="_x0000_i1025" o:spt="75" type="#_x0000_t75" style="height:16pt;width:11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2">
            <o:LockedField>false</o:LockedField>
          </o:OLEObject>
        </w:object>
      </w:r>
      <w:r>
        <w:rPr>
          <w:rFonts w:ascii="Cambria Math" w:hAnsi="Cambria Math" w:cs="Times New Roman"/>
          <w:b w:val="0"/>
          <w:i w:val="0"/>
          <w:color w:val="000000"/>
          <w:position w:val="-24"/>
          <w:sz w:val="21"/>
          <w:szCs w:val="21"/>
        </w:rPr>
        <w:object>
          <v:shape id="_x0000_i1026" o:spt="75" type="#_x0000_t75" style="height:31pt;width:57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4">
            <o:LockedField>false</o:LockedField>
          </o:OLEObject>
        </w:object>
      </w:r>
      <w:r>
        <w:rPr>
          <w:rFonts w:hint="eastAsia" w:ascii="Times New Roman" w:hAnsi="Times New Roman" w:cs="Times New Roman"/>
          <w:bCs/>
          <w:color w:val="000000"/>
          <w:sz w:val="21"/>
          <w:szCs w:val="21"/>
        </w:rPr>
        <w:t xml:space="preserve">  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………………………………………（</w:t>
      </w:r>
      <w:r>
        <w:rPr>
          <w:rFonts w:cs="Times New Roman"/>
          <w:bCs/>
          <w:color w:val="000000"/>
          <w:sz w:val="21"/>
          <w:szCs w:val="21"/>
        </w:rPr>
        <w:t>1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）</w:t>
      </w:r>
    </w:p>
    <w:p>
      <w:pPr>
        <w:jc w:val="center"/>
        <w:rPr>
          <w:rFonts w:ascii="Times New Roman" w:hAnsi="Times New Roman" w:cs="Times New Roman"/>
          <w:bCs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bCs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/>
          <w:bCs/>
          <w:color w:val="000000"/>
          <w:position w:val="-6"/>
          <w:sz w:val="21"/>
          <w:szCs w:val="21"/>
        </w:rPr>
        <w:object>
          <v:shape id="_x0000_i1027" o:spt="75" type="#_x0000_t75" style="height:17pt;width:64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6">
            <o:LockedField>false</o:LockedField>
          </o:OLEObject>
        </w:object>
      </w:r>
      <w:r>
        <w:rPr>
          <w:rFonts w:hint="eastAsia" w:ascii="Times New Roman" w:hAnsi="Times New Roman" w:cs="Times New Roman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………………………………………</w:t>
      </w:r>
      <w:r>
        <w:rPr>
          <w:rFonts w:hint="eastAsia" w:ascii="Times New Roman" w:hAnsi="Times New Roman" w:cs="Times New Roman"/>
          <w:bCs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（</w:t>
      </w:r>
      <w:r>
        <w:rPr>
          <w:rFonts w:cs="Times New Roman"/>
          <w:bCs/>
          <w:color w:val="000000"/>
          <w:sz w:val="21"/>
          <w:szCs w:val="21"/>
        </w:rPr>
        <w:t>2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）</w:t>
      </w:r>
    </w:p>
    <w:p>
      <w:pPr>
        <w:ind w:firstLine="420"/>
        <w:jc w:val="both"/>
        <w:rPr>
          <w:rFonts w:hint="eastAsia" w:ascii="Times New Roman" w:hAnsi="Times New Roman" w:cs="Times New Roman" w:eastAsiaTheme="minorEastAsia"/>
          <w:bCs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bCs/>
          <w:color w:val="000000"/>
          <w:sz w:val="21"/>
          <w:szCs w:val="21"/>
        </w:rPr>
        <w:t>式中</w:t>
      </w:r>
    </w:p>
    <w:p>
      <w:pPr>
        <w:ind w:firstLine="420"/>
        <w:jc w:val="both"/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/>
          <w:bCs/>
          <w:i/>
          <w:iCs/>
          <w:sz w:val="21"/>
          <w:szCs w:val="21"/>
        </w:rPr>
        <w:t>n</w:t>
      </w:r>
      <w:r>
        <w:rPr>
          <w:rFonts w:ascii="Times New Roman" w:hAnsi="Times New Roman" w:cs="Times New Roman"/>
          <w:bCs/>
          <w:sz w:val="21"/>
          <w:szCs w:val="21"/>
        </w:rPr>
        <w:t>——重复测量次数；</w:t>
      </w:r>
      <w:r>
        <w:rPr>
          <w:rFonts w:ascii="Times New Roman" w:hAnsi="Times New Roman" w:cs="Times New Roman"/>
          <w:bCs/>
          <w:i/>
          <w:iCs/>
          <w:sz w:val="21"/>
          <w:szCs w:val="21"/>
        </w:rPr>
        <w:t>n</w:t>
      </w:r>
      <w:r>
        <w:rPr>
          <w:rFonts w:hint="eastAsia" w:ascii="Times New Roman" w:hAnsi="Times New Roman" w:cs="Times New Roman"/>
          <w:bCs/>
          <w:i/>
          <w:iCs/>
          <w:sz w:val="21"/>
          <w:szCs w:val="21"/>
        </w:rPr>
        <w:t>=</w:t>
      </w:r>
      <w:r>
        <w:rPr>
          <w:rFonts w:hint="eastAsia" w:ascii="Times New Roman" w:hAnsi="Times New Roman" w:cs="Times New Roman"/>
          <w:bCs/>
          <w:i/>
          <w:iCs/>
          <w:sz w:val="21"/>
          <w:szCs w:val="21"/>
          <w:lang w:val="en-US" w:eastAsia="zh-CN"/>
        </w:rPr>
        <w:t>8</w:t>
      </w:r>
    </w:p>
    <w:p>
      <w:pPr>
        <w:ind w:firstLine="420"/>
        <w:jc w:val="both"/>
        <w:rPr>
          <w:rFonts w:hint="eastAsia" w:ascii="Times New Roman" w:hAnsi="Times New Roman" w:eastAsia="宋体" w:cs="Times New Roman"/>
          <w:bCs/>
          <w:sz w:val="21"/>
          <w:szCs w:val="21"/>
          <w:lang w:eastAsia="zh-CN"/>
        </w:rPr>
      </w:pPr>
      <w:r>
        <w:rPr>
          <w:rFonts w:ascii="Times New Roman" w:hAnsi="Times New Roman" w:cs="Times New Roman"/>
          <w:bCs/>
          <w:position w:val="-4"/>
          <w:sz w:val="21"/>
          <w:szCs w:val="21"/>
        </w:rPr>
        <w:object>
          <v:shape id="_x0000_i1028" o:spt="75" type="#_x0000_t75" style="height:13pt;width:1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8">
            <o:LockedField>false</o:LockedField>
          </o:OLEObject>
        </w:object>
      </w:r>
      <w:r>
        <w:rPr>
          <w:rFonts w:ascii="Times New Roman" w:hAnsi="Times New Roman" w:cs="Times New Roman"/>
          <w:bCs/>
          <w:sz w:val="21"/>
          <w:szCs w:val="21"/>
        </w:rPr>
        <w:t>——第</w:t>
      </w:r>
      <w:r>
        <w:rPr>
          <w:rFonts w:ascii="Times New Roman" w:hAnsi="Times New Roman" w:cs="Times New Roman"/>
          <w:bCs/>
          <w:i/>
          <w:iCs/>
          <w:sz w:val="21"/>
          <w:szCs w:val="21"/>
        </w:rPr>
        <w:t>i</w:t>
      </w:r>
      <w:r>
        <w:rPr>
          <w:rFonts w:ascii="Times New Roman" w:hAnsi="Times New Roman" w:cs="Times New Roman"/>
          <w:bCs/>
          <w:sz w:val="21"/>
          <w:szCs w:val="21"/>
        </w:rPr>
        <w:t>次</w:t>
      </w:r>
      <w:r>
        <w:rPr>
          <w:rFonts w:hint="eastAsia" w:ascii="Times New Roman" w:hAnsi="Times New Roman" w:cs="Times New Roman"/>
          <w:bCs/>
          <w:sz w:val="21"/>
          <w:szCs w:val="21"/>
        </w:rPr>
        <w:t>等距测温点的算术平均值，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℃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eastAsia="zh-CN"/>
        </w:rPr>
        <w:t>；</w:t>
      </w:r>
    </w:p>
    <w:p>
      <w:pPr>
        <w:ind w:firstLine="4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Cs/>
          <w:position w:val="-4"/>
          <w:sz w:val="21"/>
          <w:szCs w:val="21"/>
        </w:rPr>
        <w:object>
          <v:shape id="_x0000_i1029" o:spt="75" type="#_x0000_t75" style="height:16pt;width:11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20">
            <o:LockedField>false</o:LockedField>
          </o:OLEObject>
        </w:object>
      </w:r>
      <w:r>
        <w:rPr>
          <w:rFonts w:ascii="Times New Roman" w:hAnsi="Times New Roman" w:cs="Times New Roman"/>
          <w:bCs/>
          <w:sz w:val="21"/>
          <w:szCs w:val="21"/>
        </w:rPr>
        <w:t>—</w:t>
      </w:r>
      <w:r>
        <w:rPr>
          <w:rFonts w:ascii="Times New Roman" w:hAnsi="Times New Roman" w:cs="Times New Roman"/>
          <w:bCs/>
          <w:i/>
          <w:iCs/>
          <w:sz w:val="21"/>
          <w:szCs w:val="21"/>
        </w:rPr>
        <w:t>n</w:t>
      </w:r>
      <w:r>
        <w:rPr>
          <w:rFonts w:ascii="Times New Roman" w:hAnsi="Times New Roman" w:cs="Times New Roman"/>
          <w:bCs/>
          <w:sz w:val="21"/>
          <w:szCs w:val="21"/>
        </w:rPr>
        <w:t>次测量值的平均值</w:t>
      </w:r>
      <w:r>
        <w:rPr>
          <w:rFonts w:hint="eastAsia" w:ascii="Times New Roman" w:hAnsi="Times New Roman" w:cs="Times New Roman"/>
          <w:bCs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℃</w:t>
      </w:r>
      <w:r>
        <w:rPr>
          <w:rFonts w:ascii="Times New Roman" w:hAnsi="Times New Roman" w:cs="Times New Roman"/>
          <w:bCs/>
          <w:sz w:val="21"/>
          <w:szCs w:val="21"/>
        </w:rPr>
        <w:t>；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宋体" w:cs="Times New Roman"/>
          <w:kern w:val="2"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1"/>
          <w:szCs w:val="21"/>
        </w:rPr>
        <w:t>Δ</w:t>
      </w:r>
      <w:r>
        <w:rPr>
          <w:rFonts w:hint="eastAsia" w:ascii="Times New Roman" w:hAnsi="Times New Roman" w:cs="Times New Roman"/>
          <w:bCs/>
          <w:sz w:val="21"/>
          <w:szCs w:val="21"/>
          <w:lang w:val="en-US" w:eastAsia="zh-CN"/>
        </w:rPr>
        <w:t>T</w:t>
      </w:r>
      <w:r>
        <w:rPr>
          <w:rFonts w:ascii="Times New Roman" w:hAnsi="Times New Roman" w:cs="Times New Roman"/>
          <w:bCs/>
          <w:sz w:val="21"/>
          <w:szCs w:val="21"/>
        </w:rPr>
        <w:t>——测得的平均值与</w:t>
      </w:r>
      <w:r>
        <w:rPr>
          <w:rFonts w:hint="eastAsia" w:ascii="Times New Roman" w:hAnsi="Times New Roman" w:cs="Times New Roman"/>
          <w:bCs/>
          <w:sz w:val="21"/>
          <w:szCs w:val="21"/>
          <w:lang w:val="en-US" w:eastAsia="zh-CN"/>
        </w:rPr>
        <w:t>理论值650℃之差</w:t>
      </w:r>
      <w:r>
        <w:rPr>
          <w:rFonts w:hint="eastAsia" w:ascii="Times New Roman" w:hAnsi="Times New Roman" w:cs="Times New Roman"/>
          <w:bCs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℃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。</w:t>
      </w:r>
    </w:p>
    <w:p>
      <w:pPr>
        <w:spacing w:line="360" w:lineRule="auto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D.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  <w:t>、测量不确定度分量</w:t>
      </w:r>
    </w:p>
    <w:p>
      <w:pPr>
        <w:spacing w:line="360" w:lineRule="auto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D.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  <w:t>.1测量重复性引入的标准不确定度分量，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  <w:t>，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  <w:t>采用A类方法评定。</w:t>
      </w:r>
      <w:r>
        <w:rPr>
          <w:rFonts w:hint="default" w:ascii="Times New Roman" w:hAnsi="宋体"/>
          <w:sz w:val="24"/>
          <w:lang w:val="en-US" w:eastAsia="zh-CN"/>
        </w:rPr>
        <w:t>保温材料阴燃特性装置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  <w:t>温度示值进行10次重复独立测量，示值误差结果如下表：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1"/>
        <w:gridCol w:w="920"/>
        <w:gridCol w:w="903"/>
        <w:gridCol w:w="762"/>
        <w:gridCol w:w="762"/>
        <w:gridCol w:w="762"/>
        <w:gridCol w:w="762"/>
        <w:gridCol w:w="762"/>
        <w:gridCol w:w="762"/>
        <w:gridCol w:w="762"/>
        <w:gridCol w:w="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0" w:type="auto"/>
            <w:gridSpan w:val="11"/>
            <w:vAlign w:val="bottom"/>
          </w:tcPr>
          <w:p>
            <w:pPr>
              <w:spacing w:line="360" w:lineRule="auto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进行n＝10次独立重复测量的测量值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次数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sz w:val="24"/>
                <w:szCs w:val="20"/>
                <w:lang w:val="en-US" w:eastAsia="zh-CN"/>
              </w:rPr>
              <w:t>平均温度（℃）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652.18</w:t>
            </w:r>
          </w:p>
        </w:tc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648.54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648.92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647.42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651.86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652.26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655.14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657.12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660.82</w:t>
            </w:r>
          </w:p>
        </w:tc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660.88</w:t>
            </w:r>
          </w:p>
        </w:tc>
      </w:tr>
    </w:tbl>
    <w:p>
      <w:pPr>
        <w:spacing w:line="360" w:lineRule="auto"/>
        <w:rPr>
          <w:rFonts w:hint="default" w:ascii="Times New Roman" w:hAnsi="宋体"/>
          <w:sz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用贝塞尔公式计算试验标准偏差：</w:t>
      </w:r>
    </w:p>
    <w:p>
      <w:pPr>
        <w:spacing w:line="360" w:lineRule="auto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position w:val="-6"/>
          <w:sz w:val="24"/>
        </w:rPr>
        <w:object>
          <v:shape id="_x0000_i1030" o:spt="75" type="#_x0000_t75" style="height:11pt;width:12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2">
            <o:LockedField>false</o:LockedField>
          </o:OLEObject>
        </w:object>
      </w:r>
      <w:r>
        <w:rPr>
          <w:rFonts w:hint="eastAsia" w:asciiTheme="minorEastAsia" w:hAnsiTheme="minorEastAsia"/>
          <w:sz w:val="24"/>
        </w:rPr>
        <w:t>＝</w:t>
      </w: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1</m:t>
                </m:r>
                <m:ctrlPr>
                  <w:rPr>
                    <w:rFonts w:ascii="Cambria Math" w:hAnsi="Cambria Math"/>
                    <w:sz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10−1</m:t>
                </m:r>
                <m:ctrlPr>
                  <w:rPr>
                    <w:rFonts w:ascii="Cambria Math" w:hAnsi="Cambria Math"/>
                    <w:sz w:val="24"/>
                  </w:rPr>
                </m:ctrlPr>
              </m:den>
            </m:f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sz w:val="24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i＝1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10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  <m:e>
                <m:sSup>
                  <m:sSupPr>
                    <m:ctrlPr>
                      <w:rPr>
                        <w:rFonts w:ascii="Cambria Math" w:hAnsi="Cambria Math"/>
                        <w:sz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x</m:t>
                            </m: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i</m:t>
                            </m: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−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x</m:t>
                            </m: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e>
                        </m:acc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2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sup>
                </m:sSup>
                <m:ctrlPr>
                  <w:rPr>
                    <w:rFonts w:ascii="Cambria Math" w:hAnsi="Cambria Math"/>
                    <w:sz w:val="24"/>
                  </w:rPr>
                </m:ctrlPr>
              </m:e>
            </m:nary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hint="eastAsia" w:asciiTheme="minorEastAsia" w:hAnsiTheme="minorEastAsia"/>
          <w:sz w:val="24"/>
        </w:rPr>
        <w:t>＝</w:t>
      </w:r>
      <w:r>
        <w:rPr>
          <w:rFonts w:hint="eastAsia" w:asciiTheme="minorEastAsia" w:hAnsiTheme="minorEastAsia"/>
          <w:sz w:val="24"/>
          <w:lang w:val="en-US" w:eastAsia="zh-CN"/>
        </w:rPr>
        <w:t>4.86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℃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</w:rPr>
        <w:t>对于单次测量，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 w:asciiTheme="minorEastAsia" w:hAnsiTheme="minorEastAsia"/>
          <w:sz w:val="24"/>
        </w:rPr>
        <w:t>＝</w:t>
      </w:r>
      <w:r>
        <w:rPr>
          <w:rFonts w:hint="eastAsia" w:asciiTheme="minorEastAsia" w:hAnsiTheme="minorEastAsia"/>
          <w:position w:val="-6"/>
          <w:sz w:val="24"/>
        </w:rPr>
        <w:object>
          <v:shape id="_x0000_i1031" o:spt="75" type="#_x0000_t75" style="height:11pt;width:12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4">
            <o:LockedField>false</o:LockedField>
          </o:OLEObject>
        </w:object>
      </w:r>
      <w:r>
        <w:rPr>
          <w:rFonts w:hint="eastAsia" w:asciiTheme="minorEastAsia" w:hAnsiTheme="minorEastAsia"/>
          <w:sz w:val="24"/>
        </w:rPr>
        <w:t>＝</w:t>
      </w:r>
      <w:r>
        <w:rPr>
          <w:rFonts w:hint="eastAsia" w:asciiTheme="minorEastAsia" w:hAnsiTheme="minorEastAsia"/>
          <w:sz w:val="24"/>
          <w:lang w:val="en-US" w:eastAsia="zh-CN"/>
        </w:rPr>
        <w:t>4.86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℃</w:t>
      </w:r>
    </w:p>
    <w:p>
      <w:pPr>
        <w:spacing w:line="360" w:lineRule="auto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D.5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.2由热电偶测量误差引入的标准不确定度分量，</w:t>
      </w:r>
      <m:oMath>
        <m:sSub>
          <m:sSubP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u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sub>
        </m:sSub>
      </m:oMath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以</w:t>
      </w:r>
      <w:r>
        <w:rPr>
          <w:rFonts w:hint="eastAsia"/>
          <w:sz w:val="24"/>
          <w:lang w:val="en-US" w:eastAsia="zh-CN"/>
        </w:rPr>
        <w:t>热电偶</w:t>
      </w:r>
      <w:r>
        <w:rPr>
          <w:rFonts w:hint="eastAsia"/>
          <w:sz w:val="24"/>
        </w:rPr>
        <w:t>测量误差引入测量不确定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，并视为均匀分布。</w:t>
      </w:r>
    </w:p>
    <w:p>
      <w:pPr>
        <w:spacing w:line="360" w:lineRule="auto"/>
        <w:rPr>
          <w:sz w:val="24"/>
        </w:rPr>
      </w:pPr>
      <w:r>
        <w:rPr>
          <w:sz w:val="24"/>
        </w:rPr>
        <w:t>因此，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/>
          <w:rPr>
            <w:rFonts w:asci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＝1×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ascii="Cambria Math"/>
                <w:sz w:val="24"/>
              </w:rPr>
              <m:t>0.5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sz w:val="24"/>
                    <w:lang w:val="en-US" w:eastAsia="zh-CN"/>
                  </w:rPr>
                  <m:t>10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rad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m:rPr/>
          <w:rPr>
            <w:rFonts w:ascii="Cambria Math" w:hAnsi="Cambria Math"/>
            <w:sz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</w:rPr>
          <m:t>0.</m:t>
        </m:r>
        <m:r>
          <m:rPr>
            <m:sty m:val="p"/>
          </m:rPr>
          <w:rPr>
            <w:rFonts w:hint="default" w:ascii="Cambria Math" w:hAnsi="Cambria Math"/>
            <w:sz w:val="24"/>
            <w:lang w:val="en-US" w:eastAsia="zh-CN"/>
          </w:rPr>
          <m:t>16</m:t>
        </m:r>
        <m:r>
          <m:rPr>
            <m:sty m:val="p"/>
          </m:rPr>
          <w:rPr>
            <w:rFonts w:ascii="Cambria Math" w:hAnsi="Cambria Math"/>
            <w:sz w:val="24"/>
          </w:rPr>
          <m:t xml:space="preserve"> </m:t>
        </m:r>
      </m:oMath>
      <w:r>
        <w:rPr>
          <w:rFonts w:hint="eastAsia" w:asciiTheme="minorEastAsia" w:hAnsiTheme="minorEastAsia"/>
          <w:sz w:val="24"/>
          <w:szCs w:val="24"/>
          <w:lang w:val="en-US" w:eastAsia="zh-CN"/>
        </w:rPr>
        <w:t>℃</w:t>
      </w:r>
    </w:p>
    <w:p>
      <w:pPr>
        <w:spacing w:line="360" w:lineRule="auto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D.5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.3由钢直尺测量误差引入的标准不确定度分量，</w:t>
      </w:r>
      <m:oMath>
        <m:sSub>
          <m:sSubP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u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sub>
        </m:sSub>
      </m:oMath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以钢直尺测量测量误差引入标准不确定度分量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，并视为均匀分布。</w:t>
      </w:r>
    </w:p>
    <w:p>
      <w:pPr>
        <w:spacing w:line="360" w:lineRule="auto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sz w:val="24"/>
        </w:rPr>
        <w:t>因此，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/>
          <w:rPr>
            <w:rFonts w:asci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＝1×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m:rPr/>
              <w:rPr>
                <w:rFonts w:hint="eastAsia" w:ascii="Cambria Math"/>
                <w:sz w:val="24"/>
              </w:rPr>
              <m:t>0.</m:t>
            </m:r>
            <m:r>
              <m:rPr/>
              <w:rPr>
                <w:rFonts w:ascii="Cambria Math"/>
                <w:sz w:val="24"/>
              </w:rPr>
              <m:t>03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sz w:val="24"/>
                    <w:lang w:val="en-US" w:eastAsia="zh-CN"/>
                  </w:rPr>
                  <m:t>10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rad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m:rPr/>
          <w:rPr>
            <w:rFonts w:ascii="Cambria Math" w:hAnsi="Cambria Math"/>
            <w:sz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</w:rPr>
          <m:t>0.0</m:t>
        </m:r>
      </m:oMath>
      <w:r>
        <w:rPr>
          <w:rFonts w:hint="eastAsia" w:hAnsi="Cambria Math"/>
          <w:b w:val="0"/>
          <w:i w:val="0"/>
          <w:sz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℃</w:t>
      </w:r>
    </w:p>
    <w:p>
      <w:pPr>
        <w:spacing w:line="360" w:lineRule="auto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D.5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.4由电压波动引入的标准不确定度分量，</w:t>
      </w:r>
      <m:oMath>
        <m:sSub>
          <m:sSubP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u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sub>
        </m:sSub>
      </m:oMath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以</w:t>
      </w:r>
      <w:r>
        <w:rPr>
          <w:rFonts w:hint="eastAsia"/>
          <w:sz w:val="24"/>
          <w:lang w:val="en-US" w:eastAsia="zh-CN"/>
        </w:rPr>
        <w:t>电压波动</w:t>
      </w:r>
      <w:r>
        <w:rPr>
          <w:rFonts w:hint="eastAsia"/>
          <w:sz w:val="24"/>
        </w:rPr>
        <w:t>引入标准不确定度分量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，并视为均匀分布。</w:t>
      </w:r>
    </w:p>
    <w:p>
      <w:pPr>
        <w:spacing w:line="360" w:lineRule="auto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因此，</w:t>
      </w:r>
      <m:oMath>
        <m:sSub>
          <m:sSubP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u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Times New Roman"/>
            <w:kern w:val="2"/>
            <w:sz w:val="24"/>
            <w:szCs w:val="24"/>
            <w:lang w:val="en-US" w:eastAsia="zh-CN"/>
          </w:rPr>
          <m:t>=</m:t>
        </m:r>
        <m:sSub>
          <m:sSubP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c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u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Times New Roman"/>
            <w:kern w:val="2"/>
            <w:sz w:val="24"/>
            <w:szCs w:val="24"/>
            <w:lang w:val="en-US" w:eastAsia="zh-CN"/>
          </w:rPr>
          <m:t>＝1×</m:t>
        </m:r>
        <m:f>
          <m:fP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  <m:t>0.03</m:t>
            </m:r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num>
          <m:den>
            <m:rad>
              <m:radPr>
                <m:degHide m:val="1"/>
                <m:ctrlPr>
                  <w:rPr>
                    <w:rFonts w:hint="eastAsia" w:ascii="Cambria Math" w:hAnsi="Cambria Math" w:eastAsia="宋体" w:cs="Times New Roman"/>
                    <w:kern w:val="2"/>
                    <w:sz w:val="24"/>
                    <w:szCs w:val="24"/>
                    <w:lang w:val="en-US" w:eastAsia="zh-CN"/>
                  </w:rPr>
                </m:ctrlPr>
              </m:radPr>
              <m:deg>
                <m:ctrlPr>
                  <w:rPr>
                    <w:rFonts w:hint="eastAsia" w:ascii="Cambria Math" w:hAnsi="Cambria Math" w:eastAsia="宋体" w:cs="Times New Roman"/>
                    <w:kern w:val="2"/>
                    <w:sz w:val="24"/>
                    <w:szCs w:val="24"/>
                    <w:lang w:val="en-US" w:eastAsia="zh-CN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4"/>
                    <w:szCs w:val="24"/>
                    <w:lang w:val="en-US" w:eastAsia="zh-CN"/>
                  </w:rPr>
                  <m:t>10</m:t>
                </m:r>
                <m:ctrlPr>
                  <w:rPr>
                    <w:rFonts w:hint="eastAsia" w:ascii="Cambria Math" w:hAnsi="Cambria Math" w:eastAsia="宋体" w:cs="Times New Roman"/>
                    <w:kern w:val="2"/>
                    <w:sz w:val="24"/>
                    <w:szCs w:val="24"/>
                    <w:lang w:val="en-US" w:eastAsia="zh-CN"/>
                  </w:rPr>
                </m:ctrlPr>
              </m:e>
            </m:rad>
            <m:ctrlPr>
              <w:rPr>
                <w:rFonts w:hint="eastAsia" w:ascii="Cambria Math" w:hAnsi="Cambria Math" w:eastAsia="宋体" w:cs="Times New Roman"/>
                <w:kern w:val="2"/>
                <w:sz w:val="24"/>
                <w:szCs w:val="24"/>
                <w:lang w:val="en-US" w:eastAsia="zh-CN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Times New Roman"/>
            <w:kern w:val="2"/>
            <w:sz w:val="24"/>
            <w:szCs w:val="24"/>
            <w:lang w:val="en-US" w:eastAsia="zh-CN"/>
          </w:rPr>
          <m:t>=0.0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4"/>
            <w:szCs w:val="24"/>
            <w:lang w:val="en-US" w:eastAsia="zh-CN"/>
          </w:rPr>
          <m:t>1</m:t>
        </m:r>
      </m:oMath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 xml:space="preserve"> ℃</w:t>
      </w:r>
    </w:p>
    <w:p>
      <w:pPr>
        <w:spacing w:line="360" w:lineRule="auto"/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D.6、不确定度汇总一览表</w:t>
      </w:r>
    </w:p>
    <w:p>
      <w:pPr>
        <w:spacing w:line="360" w:lineRule="auto"/>
        <w:ind w:firstLine="240" w:firstLineChars="100"/>
        <w:jc w:val="center"/>
        <w:rPr>
          <w:rFonts w:ascii="黑体" w:hAnsi="黑体" w:eastAsia="黑体"/>
          <w:color w:val="000000"/>
          <w:szCs w:val="21"/>
        </w:rPr>
      </w:pPr>
      <w:r>
        <w:rPr>
          <w:rFonts w:ascii="黑体" w:hAnsi="黑体" w:eastAsia="黑体"/>
          <w:color w:val="000000"/>
          <w:szCs w:val="21"/>
        </w:rPr>
        <w:t xml:space="preserve">表   </w:t>
      </w:r>
      <w:r>
        <w:rPr>
          <w:rFonts w:ascii="黑体" w:hAnsi="黑体" w:eastAsia="黑体"/>
          <w:szCs w:val="21"/>
        </w:rPr>
        <w:t>不确定度汇总一览表</w:t>
      </w:r>
    </w:p>
    <w:tbl>
      <w:tblPr>
        <w:tblStyle w:val="15"/>
        <w:tblW w:w="680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2694"/>
        <w:gridCol w:w="22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标准不确定度分量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Cs w:val="21"/>
                    </w:rPr>
                    <m:t>u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/>
                      <w:szCs w:val="21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ub>
              </m:sSub>
            </m:oMath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不确定度来源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szCs w:val="21"/>
              </w:rPr>
              <w:t>不确定度</w:t>
            </w:r>
            <w:r>
              <w:rPr>
                <w:rFonts w:hint="eastAsia"/>
                <w:szCs w:val="21"/>
              </w:rPr>
              <w:t>分量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/ 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/>
                        <w:szCs w:val="21"/>
                      </w:rPr>
                      <m:t>1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示值重复性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highlight w:val="yellow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4.86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lang w:val="en-US" w:eastAsia="zh-CN"/>
              </w:rPr>
              <w:t>热电偶</w:t>
            </w:r>
            <w:r>
              <w:rPr>
                <w:rFonts w:hint="eastAsia"/>
                <w:sz w:val="24"/>
              </w:rPr>
              <w:t>测量误差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 w:asciiTheme="minorEastAsia" w:hAnsiTheme="minorEastAsia"/>
                <w:highlight w:val="yellow"/>
                <w:lang w:val="en-US" w:eastAsia="zh-CN"/>
              </w:rPr>
            </w:pPr>
            <w:r>
              <w:rPr>
                <w:rFonts w:hint="eastAsia" w:asciiTheme="minorEastAsia" w:hAnsiTheme="minorEastAsia"/>
              </w:rPr>
              <w:t>0.</w:t>
            </w:r>
            <w:r>
              <w:rPr>
                <w:rFonts w:hint="eastAsia" w:asciiTheme="minorEastAsia" w:hAnsiTheme="minorEastAsia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/>
                        <w:szCs w:val="21"/>
                      </w:rPr>
                      <m:t>3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lang w:val="en-US" w:eastAsia="zh-CN"/>
              </w:rPr>
              <w:t>钢直尺</w:t>
            </w:r>
            <w:r>
              <w:rPr>
                <w:rFonts w:hint="eastAsia"/>
                <w:sz w:val="24"/>
              </w:rPr>
              <w:t>测量误差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 w:asciiTheme="minorEastAsia" w:hAnsiTheme="minorEastAsia"/>
                <w:lang w:val="en-US" w:eastAsia="zh-CN"/>
              </w:rPr>
            </w:pPr>
            <w:r>
              <w:rPr>
                <w:rFonts w:hint="eastAsia" w:asciiTheme="minorEastAsia" w:hAnsiTheme="minorEastAsia"/>
              </w:rPr>
              <w:t>0.0</w:t>
            </w:r>
            <w:r>
              <w:rPr>
                <w:rFonts w:hint="eastAsia" w:asciiTheme="minorEastAsia" w:hAnsiTheme="minorEastAsia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Cambria Math" w:hAnsi="Cambria Math" w:eastAsiaTheme="minorEastAsia"/>
                <w:i/>
                <w:szCs w:val="21"/>
                <w:lang w:eastAsia="zh-CN"/>
                <w:oMath/>
              </w:rPr>
            </w:pPr>
            <w:r>
              <w:rPr>
                <w:rFonts w:hint="eastAsia" w:ascii="Cambria Math" w:hAnsi="Cambria Math" w:eastAsiaTheme="minorEastAsia"/>
                <w:i/>
                <w:position w:val="-6"/>
                <w:szCs w:val="21"/>
                <w:lang w:eastAsia="zh-CN"/>
              </w:rPr>
              <w:object>
                <v:shape id="_x0000_i1032" o:spt="75" type="#_x0000_t75" style="height:11pt;width:13.95pt;" o:ole="t" filled="f" o:preferrelative="t" stroked="f" coordsize="21600,21600">
                  <v:path/>
                  <v:fill on="f" focussize="0,0"/>
                  <v:stroke on="f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KSEE3" ShapeID="_x0000_i1032" DrawAspect="Content" ObjectID="_1468075732" r:id="rId25">
                  <o:LockedField>false</o:LockedField>
                </o:OLEObject>
              </w:objec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电压波动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 w:asciiTheme="minorEastAsia" w:hAnsiTheme="minorEastAsia"/>
                <w:lang w:val="en-US" w:eastAsia="zh-CN"/>
              </w:rPr>
            </w:pPr>
            <w:r>
              <w:rPr>
                <w:rFonts w:hint="eastAsia" w:asciiTheme="minorEastAsia" w:hAnsiTheme="minorEastAsia"/>
              </w:rPr>
              <w:t>0.0</w:t>
            </w:r>
            <w:r>
              <w:rPr>
                <w:rFonts w:hint="eastAsia" w:asciiTheme="minorEastAsia" w:hAnsiTheme="minorEastAsia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rFonts w:eastAsia="宋体" w:cs="Times New Roman"/>
                <w:szCs w:val="21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环境以及其他影响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忽略</w:t>
            </w:r>
          </w:p>
        </w:tc>
      </w:tr>
    </w:tbl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D.7、合成标准不确定度，</w:t>
      </w:r>
      <m:oMath>
        <m:sSub>
          <m:sSubPr>
            <m:ctrlPr>
              <w:rPr>
                <w:rFonts w:hint="eastAsia" w:ascii="Cambria Math" w:hAnsi="Cambria Math" w:cs="Times New Roman"/>
                <w:kern w:val="2"/>
                <w:sz w:val="24"/>
                <w:szCs w:val="24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4"/>
                <w:szCs w:val="24"/>
                <w:lang w:val="en-US" w:eastAsia="zh-CN"/>
              </w:rPr>
              <m:t>u</m:t>
            </m:r>
            <m:ctrlPr>
              <w:rPr>
                <w:rFonts w:hint="eastAsia" w:ascii="Cambria Math" w:hAnsi="Cambria Math" w:cs="Times New Roman"/>
                <w:kern w:val="2"/>
                <w:sz w:val="24"/>
                <w:szCs w:val="24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4"/>
                <w:szCs w:val="24"/>
                <w:lang w:val="en-US" w:eastAsia="zh-CN"/>
              </w:rPr>
              <m:t>c</m:t>
            </m:r>
            <m:ctrlPr>
              <w:rPr>
                <w:rFonts w:hint="eastAsia" w:ascii="Cambria Math" w:hAnsi="Cambria Math" w:cs="Times New Roman"/>
                <w:kern w:val="2"/>
                <w:sz w:val="24"/>
                <w:szCs w:val="24"/>
                <w:lang w:val="en-US" w:eastAsia="zh-CN"/>
              </w:rPr>
            </m:ctrlPr>
          </m:sub>
        </m:sSub>
      </m:oMath>
    </w:p>
    <w:p>
      <w:pPr>
        <w:tabs>
          <w:tab w:val="left" w:pos="1490"/>
        </w:tabs>
        <w:spacing w:beforeLines="50" w:line="360" w:lineRule="auto"/>
        <w:rPr>
          <w:sz w:val="18"/>
          <w:szCs w:val="18"/>
        </w:rPr>
      </w:pPr>
      <w:r>
        <w:rPr>
          <w:sz w:val="24"/>
        </w:rPr>
        <w:tab/>
      </w:r>
      <w:r>
        <w:rPr>
          <w:rFonts w:hint="eastAsia"/>
          <w:position w:val="-14"/>
          <w:sz w:val="24"/>
        </w:rPr>
        <w:object>
          <v:shape id="_x0000_i1033" o:spt="75" type="#_x0000_t75" style="height:23pt;width:113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7">
            <o:LockedField>false</o:LockedField>
          </o:OLEObject>
        </w:object>
      </w:r>
      <w:r>
        <w:rPr>
          <w:rFonts w:hint="eastAsia" w:eastAsia="宋体" w:asciiTheme="minorEastAsia" w:hAnsiTheme="minorEastAsia"/>
          <w:sz w:val="24"/>
          <w:lang w:val="en-US" w:eastAsia="zh-CN"/>
        </w:rPr>
        <w:t>=5.04</w:t>
      </w:r>
      <w:r>
        <w:rPr>
          <w:rFonts w:hint="eastAsia" w:eastAsia="宋体" w:asciiTheme="minorEastAsia" w:hAnsiTheme="minorEastAsia"/>
          <w:sz w:val="24"/>
        </w:rPr>
        <w:t xml:space="preserve"> </w:t>
      </w:r>
      <w:r>
        <w:rPr>
          <w:rFonts w:hint="eastAsia" w:asciiTheme="minorEastAsia" w:hAnsiTheme="minorEastAsia"/>
          <w:sz w:val="24"/>
          <w:lang w:val="en-US" w:eastAsia="zh-CN"/>
        </w:rPr>
        <w:t>℃</w:t>
      </w:r>
    </w:p>
    <w:p>
      <w:pPr>
        <w:spacing w:line="360" w:lineRule="auto"/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D.</w:t>
      </w:r>
      <w:bookmarkStart w:id="112" w:name="_GoBack"/>
      <w:bookmarkEnd w:id="112"/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8、 扩展不确定度，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4"/>
            <w:szCs w:val="24"/>
            <w:lang w:val="en-US" w:eastAsia="zh-CN"/>
          </w:rPr>
          <m:t>U</m:t>
        </m:r>
      </m:oMath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依据惯例取</w:t>
      </w:r>
      <w:r>
        <w:rPr>
          <w:rFonts w:hint="eastAsia" w:asciiTheme="minorEastAsia" w:hAnsiTheme="minorEastAsia"/>
          <w:sz w:val="24"/>
        </w:rPr>
        <w:t>扩展不确定度提供95%的包含概率</w:t>
      </w:r>
      <w:r>
        <w:rPr>
          <w:rFonts w:hint="eastAsia"/>
          <w:sz w:val="24"/>
        </w:rPr>
        <w:t>取包含因子</w:t>
      </w:r>
      <w:r>
        <w:rPr>
          <w:rFonts w:hint="eastAsia" w:asciiTheme="minorEastAsia" w:hAnsiTheme="minorEastAsia"/>
          <w:sz w:val="24"/>
        </w:rPr>
        <w:t>k＝2。</w:t>
      </w:r>
      <w:r>
        <w:rPr>
          <w:rFonts w:hint="eastAsia" w:asciiTheme="minorEastAsia" w:hAnsiTheme="minorEastAsia"/>
          <w:sz w:val="24"/>
          <w:lang w:val="en-US" w:eastAsia="zh-CN"/>
        </w:rPr>
        <w:t>温度的</w:t>
      </w:r>
      <w:r>
        <w:rPr>
          <w:rFonts w:hint="eastAsia" w:asciiTheme="minorEastAsia" w:hAnsiTheme="minorEastAsia"/>
          <w:sz w:val="24"/>
        </w:rPr>
        <w:t>测量结果扩展不确定度：</w:t>
      </w:r>
    </w:p>
    <w:p>
      <w:pPr>
        <w:tabs>
          <w:tab w:val="left" w:pos="1490"/>
        </w:tabs>
        <w:spacing w:beforeLines="50" w:line="360" w:lineRule="auto"/>
        <w:rPr>
          <w:rFonts w:asciiTheme="minorEastAsia" w:hAnsiTheme="minorEastAsia"/>
          <w:sz w:val="24"/>
          <w:szCs w:val="24"/>
        </w:rPr>
      </w:pPr>
      <m:oMath>
        <m:r>
          <m:rPr/>
          <w:rPr>
            <w:rFonts w:ascii="Cambria Math" w:hAnsi="Cambria Math"/>
            <w:sz w:val="24"/>
          </w:rPr>
          <m:t>U</m:t>
        </m:r>
        <m:r>
          <m:rPr/>
          <w:rPr>
            <w:rFonts w:ascii="Cambria Math"/>
            <w:sz w:val="24"/>
          </w:rPr>
          <m:t>=</m:t>
        </m:r>
        <m:r>
          <m:rPr/>
          <w:rPr>
            <w:rFonts w:ascii="Cambria Math" w:hAnsi="Cambria Math"/>
            <w:sz w:val="24"/>
          </w:rPr>
          <m:t>k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＝</w:t>
      </w:r>
      <w:r>
        <w:rPr>
          <w:rFonts w:hint="eastAsia" w:asciiTheme="minorEastAsia" w:hAnsiTheme="minorEastAsia"/>
          <w:sz w:val="24"/>
          <w:lang w:val="en-US" w:eastAsia="zh-CN"/>
        </w:rPr>
        <w:t>10.08 ℃</w:t>
      </w:r>
      <w:r>
        <w:rPr>
          <w:rFonts w:hint="eastAsia" w:asciiTheme="minorEastAsia" w:hAnsiTheme="minorEastAsia"/>
          <w:sz w:val="24"/>
          <w:szCs w:val="24"/>
        </w:rPr>
        <w:t>。（</w:t>
      </w:r>
      <w:r>
        <w:rPr>
          <w:rFonts w:hint="eastAsia" w:asciiTheme="minorEastAsia" w:hAnsiTheme="minorEastAsia"/>
          <w:i/>
          <w:iCs/>
          <w:sz w:val="24"/>
          <w:szCs w:val="24"/>
        </w:rPr>
        <w:t>k</w:t>
      </w:r>
      <w:r>
        <w:rPr>
          <w:rFonts w:hint="eastAsia" w:asciiTheme="minorEastAsia" w:hAnsiTheme="minorEastAsia"/>
          <w:sz w:val="24"/>
          <w:szCs w:val="24"/>
        </w:rPr>
        <w:t>＝2）</w:t>
      </w:r>
    </w:p>
    <w:p>
      <w:pPr>
        <w:spacing w:line="360" w:lineRule="auto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</w:p>
    <w:p>
      <w:pPr>
        <w:pStyle w:val="32"/>
        <w:ind w:left="0" w:leftChars="0" w:firstLine="0" w:firstLineChars="0"/>
        <w:rPr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default" w:ascii="黑体" w:hAnsi="黑体" w:eastAsia="黑体"/>
          <w:b/>
          <w:color w:val="000000"/>
          <w:sz w:val="28"/>
          <w:szCs w:val="28"/>
          <w:lang w:val="en-US" w:eastAsia="zh-CN"/>
        </w:rPr>
      </w:pPr>
    </w:p>
    <w:sectPr>
      <w:footerReference r:id="rId9" w:type="default"/>
      <w:pgSz w:w="11906" w:h="16838"/>
      <w:pgMar w:top="1588" w:right="1418" w:bottom="1418" w:left="1418" w:header="709" w:footer="709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CEF90C5-DF10-4C7F-B12E-40876DEFBDB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E932F8F-0B9A-423C-9A4C-890DEDC9EF3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D5031E83-F37D-4375-A575-4A35ED15C0E0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  <w:embedRegular r:id="rId4" w:fontKey="{19C0A0EA-42C9-4CC3-BDDC-480B322FC159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EFFDCF9B-D06F-45A3-B77F-F08F36D7784F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6" w:fontKey="{D1D7C425-08C9-4AEF-B007-1B9CFF06A554}"/>
  </w:font>
  <w:font w:name="Gungsuh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  <w:embedRegular r:id="rId7" w:fontKey="{1D048F0B-6903-45C9-860E-02FB5FCEF79A}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  <w:embedRegular r:id="rId8" w:fontKey="{7AA256FA-BDE3-48B1-806C-8830B790C657}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9" w:fontKey="{359AED7C-3D5B-46BE-B10E-D07C268EEE35}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  <w:p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center" w:pos="4595"/>
        <w:tab w:val="left" w:pos="5285"/>
      </w:tabs>
      <w:jc w:val="left"/>
    </w:pP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</w:p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center" w:pos="4595"/>
        <w:tab w:val="left" w:pos="5285"/>
      </w:tabs>
      <w:jc w:val="left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27366819"/>
                          </w:sdtPr>
                          <w:sdtContent>
                            <w:p>
                              <w:pPr>
                                <w:pStyle w:val="10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7366819"/>
                    </w:sdtPr>
                    <w:sdtContent>
                      <w:p>
                        <w:pPr>
                          <w:pStyle w:val="10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</w:p>
  <w:p>
    <w:pPr>
      <w:pStyle w:val="1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7472091"/>
                          </w:sdtPr>
                          <w:sdtContent>
                            <w:p>
                              <w:pPr>
                                <w:pStyle w:val="10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7472091"/>
                    </w:sdtPr>
                    <w:sdtContent>
                      <w:p>
                        <w:pPr>
                          <w:pStyle w:val="10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1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50945"/>
    </w:sdtPr>
    <w:sdtContent>
      <w:p>
        <w:pPr>
          <w:pStyle w:val="1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single" w:color="auto" w:sz="6" w:space="10"/>
      </w:pBdr>
    </w:pPr>
    <w:r>
      <w:rPr>
        <w:rFonts w:hint="eastAsia"/>
      </w:rPr>
      <w:t>JJF(建材) XX-XX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E9E155"/>
    <w:multiLevelType w:val="singleLevel"/>
    <w:tmpl w:val="A1E9E155"/>
    <w:lvl w:ilvl="0" w:tentative="0">
      <w:start w:val="6"/>
      <w:numFmt w:val="decimal"/>
      <w:suff w:val="space"/>
      <w:lvlText w:val="%1."/>
      <w:lvlJc w:val="left"/>
    </w:lvl>
  </w:abstractNum>
  <w:abstractNum w:abstractNumId="1">
    <w:nsid w:val="A8097760"/>
    <w:multiLevelType w:val="singleLevel"/>
    <w:tmpl w:val="A8097760"/>
    <w:lvl w:ilvl="0" w:tentative="0">
      <w:start w:val="3"/>
      <w:numFmt w:val="decimal"/>
      <w:suff w:val="space"/>
      <w:lvlText w:val="%1."/>
      <w:lvlJc w:val="left"/>
      <w:pPr>
        <w:ind w:left="180" w:firstLine="0"/>
      </w:pPr>
    </w:lvl>
  </w:abstractNum>
  <w:abstractNum w:abstractNumId="2">
    <w:nsid w:val="00000012"/>
    <w:multiLevelType w:val="multilevel"/>
    <w:tmpl w:val="00000012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33"/>
      <w:suff w:val="nothing"/>
      <w:lvlText w:val="%1%2　"/>
      <w:lvlJc w:val="left"/>
      <w:pPr>
        <w:ind w:left="210" w:firstLine="0"/>
      </w:pPr>
      <w:rPr>
        <w:rFonts w:hint="eastAsia" w:ascii="黑体" w:hAnsi="Times New Roman" w:eastAsia="黑体"/>
        <w:b w:val="0"/>
        <w:i w:val="0"/>
        <w:sz w:val="24"/>
        <w:szCs w:val="24"/>
      </w:rPr>
    </w:lvl>
    <w:lvl w:ilvl="2" w:tentative="0">
      <w:start w:val="1"/>
      <w:numFmt w:val="decimal"/>
      <w:suff w:val="nothing"/>
      <w:lvlText w:val="%1%2.%3　"/>
      <w:lvlJc w:val="left"/>
      <w:pPr>
        <w:ind w:left="357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kMDNiODg2ODk5Yjk3OGRhMDE2MjQ0ZDI5ODk2ODIifQ=="/>
    <w:docVar w:name="KSO_WPS_MARK_KEY" w:val="d6ceddb4-83c2-4b0e-b0fa-9bf72527f987"/>
  </w:docVars>
  <w:rsids>
    <w:rsidRoot w:val="00D31D50"/>
    <w:rsid w:val="00003F42"/>
    <w:rsid w:val="00016B07"/>
    <w:rsid w:val="0001760A"/>
    <w:rsid w:val="00017909"/>
    <w:rsid w:val="00032AE0"/>
    <w:rsid w:val="00035936"/>
    <w:rsid w:val="00041250"/>
    <w:rsid w:val="00043AD0"/>
    <w:rsid w:val="00051D1C"/>
    <w:rsid w:val="00060D41"/>
    <w:rsid w:val="00065572"/>
    <w:rsid w:val="00066C81"/>
    <w:rsid w:val="00066F34"/>
    <w:rsid w:val="000739E7"/>
    <w:rsid w:val="00073A81"/>
    <w:rsid w:val="0009609D"/>
    <w:rsid w:val="000A1B05"/>
    <w:rsid w:val="000A5C8B"/>
    <w:rsid w:val="000C2746"/>
    <w:rsid w:val="000C3383"/>
    <w:rsid w:val="000F783B"/>
    <w:rsid w:val="00103127"/>
    <w:rsid w:val="00106099"/>
    <w:rsid w:val="00124E7F"/>
    <w:rsid w:val="001367A4"/>
    <w:rsid w:val="00140031"/>
    <w:rsid w:val="0014353B"/>
    <w:rsid w:val="001546F3"/>
    <w:rsid w:val="00167618"/>
    <w:rsid w:val="00170D35"/>
    <w:rsid w:val="00171067"/>
    <w:rsid w:val="00171D85"/>
    <w:rsid w:val="00174FE2"/>
    <w:rsid w:val="0018181D"/>
    <w:rsid w:val="00187AE3"/>
    <w:rsid w:val="00190407"/>
    <w:rsid w:val="00194AB0"/>
    <w:rsid w:val="001A1430"/>
    <w:rsid w:val="001B4926"/>
    <w:rsid w:val="001B5A15"/>
    <w:rsid w:val="001B7877"/>
    <w:rsid w:val="001C23E1"/>
    <w:rsid w:val="001D5775"/>
    <w:rsid w:val="001E090C"/>
    <w:rsid w:val="001E1B65"/>
    <w:rsid w:val="001E3D0E"/>
    <w:rsid w:val="001E7FB2"/>
    <w:rsid w:val="001F1D46"/>
    <w:rsid w:val="001F7E8E"/>
    <w:rsid w:val="00202EE1"/>
    <w:rsid w:val="002035BC"/>
    <w:rsid w:val="00204602"/>
    <w:rsid w:val="00205589"/>
    <w:rsid w:val="002177DF"/>
    <w:rsid w:val="00217E1C"/>
    <w:rsid w:val="0022252A"/>
    <w:rsid w:val="002314BF"/>
    <w:rsid w:val="002346F2"/>
    <w:rsid w:val="00241D31"/>
    <w:rsid w:val="00243A3F"/>
    <w:rsid w:val="00260548"/>
    <w:rsid w:val="002615F3"/>
    <w:rsid w:val="002708FE"/>
    <w:rsid w:val="002753F7"/>
    <w:rsid w:val="002844C2"/>
    <w:rsid w:val="00287E64"/>
    <w:rsid w:val="00290077"/>
    <w:rsid w:val="002A5E6C"/>
    <w:rsid w:val="002A66B1"/>
    <w:rsid w:val="002B0775"/>
    <w:rsid w:val="002C02A2"/>
    <w:rsid w:val="002C2226"/>
    <w:rsid w:val="002C3D09"/>
    <w:rsid w:val="002C7A27"/>
    <w:rsid w:val="002E2D74"/>
    <w:rsid w:val="002E3021"/>
    <w:rsid w:val="002E3716"/>
    <w:rsid w:val="002E4D8D"/>
    <w:rsid w:val="002E735E"/>
    <w:rsid w:val="002E73E7"/>
    <w:rsid w:val="002F13CB"/>
    <w:rsid w:val="002F3007"/>
    <w:rsid w:val="0030352E"/>
    <w:rsid w:val="00303F66"/>
    <w:rsid w:val="00312371"/>
    <w:rsid w:val="0031651A"/>
    <w:rsid w:val="003173CE"/>
    <w:rsid w:val="00322F9C"/>
    <w:rsid w:val="00323B43"/>
    <w:rsid w:val="003240DF"/>
    <w:rsid w:val="00326A04"/>
    <w:rsid w:val="0033109E"/>
    <w:rsid w:val="00331858"/>
    <w:rsid w:val="003335BA"/>
    <w:rsid w:val="003354C4"/>
    <w:rsid w:val="0034184F"/>
    <w:rsid w:val="0034226C"/>
    <w:rsid w:val="00342536"/>
    <w:rsid w:val="0034333A"/>
    <w:rsid w:val="00343504"/>
    <w:rsid w:val="0035332E"/>
    <w:rsid w:val="0036307A"/>
    <w:rsid w:val="003645E6"/>
    <w:rsid w:val="00364AE8"/>
    <w:rsid w:val="00366E00"/>
    <w:rsid w:val="00367C58"/>
    <w:rsid w:val="00371666"/>
    <w:rsid w:val="00395527"/>
    <w:rsid w:val="003C0621"/>
    <w:rsid w:val="003C086C"/>
    <w:rsid w:val="003C4161"/>
    <w:rsid w:val="003C571A"/>
    <w:rsid w:val="003C6D0D"/>
    <w:rsid w:val="003D2BA3"/>
    <w:rsid w:val="003D37D8"/>
    <w:rsid w:val="003E0E08"/>
    <w:rsid w:val="003F690B"/>
    <w:rsid w:val="00401374"/>
    <w:rsid w:val="00402AB1"/>
    <w:rsid w:val="00403ACB"/>
    <w:rsid w:val="004155BC"/>
    <w:rsid w:val="004208F0"/>
    <w:rsid w:val="00426133"/>
    <w:rsid w:val="00427966"/>
    <w:rsid w:val="004340A5"/>
    <w:rsid w:val="004358AB"/>
    <w:rsid w:val="00444A5E"/>
    <w:rsid w:val="00445D63"/>
    <w:rsid w:val="004471AD"/>
    <w:rsid w:val="00450B58"/>
    <w:rsid w:val="004520DD"/>
    <w:rsid w:val="004544AB"/>
    <w:rsid w:val="00475C70"/>
    <w:rsid w:val="00475DF2"/>
    <w:rsid w:val="004837AC"/>
    <w:rsid w:val="00484542"/>
    <w:rsid w:val="00485815"/>
    <w:rsid w:val="004A09F6"/>
    <w:rsid w:val="004A14B8"/>
    <w:rsid w:val="004B7261"/>
    <w:rsid w:val="004D1BD6"/>
    <w:rsid w:val="004D1C10"/>
    <w:rsid w:val="004F35C1"/>
    <w:rsid w:val="00500AB2"/>
    <w:rsid w:val="00500E74"/>
    <w:rsid w:val="00501C07"/>
    <w:rsid w:val="00503455"/>
    <w:rsid w:val="005130B8"/>
    <w:rsid w:val="005140E9"/>
    <w:rsid w:val="00521B4A"/>
    <w:rsid w:val="00523D60"/>
    <w:rsid w:val="00526001"/>
    <w:rsid w:val="0052612E"/>
    <w:rsid w:val="005316CF"/>
    <w:rsid w:val="0053285D"/>
    <w:rsid w:val="005421F6"/>
    <w:rsid w:val="005423EB"/>
    <w:rsid w:val="00555328"/>
    <w:rsid w:val="00556752"/>
    <w:rsid w:val="00560B7F"/>
    <w:rsid w:val="00566753"/>
    <w:rsid w:val="00566F63"/>
    <w:rsid w:val="005704A8"/>
    <w:rsid w:val="00571137"/>
    <w:rsid w:val="00573EC4"/>
    <w:rsid w:val="00573FB4"/>
    <w:rsid w:val="00574A18"/>
    <w:rsid w:val="00577047"/>
    <w:rsid w:val="00583127"/>
    <w:rsid w:val="00585730"/>
    <w:rsid w:val="00592551"/>
    <w:rsid w:val="005A6B29"/>
    <w:rsid w:val="005B0157"/>
    <w:rsid w:val="005C3764"/>
    <w:rsid w:val="005C3C58"/>
    <w:rsid w:val="005D4FAC"/>
    <w:rsid w:val="005E33A3"/>
    <w:rsid w:val="005F121A"/>
    <w:rsid w:val="005F6C6C"/>
    <w:rsid w:val="006005D7"/>
    <w:rsid w:val="0060321C"/>
    <w:rsid w:val="00605793"/>
    <w:rsid w:val="006057E2"/>
    <w:rsid w:val="00612501"/>
    <w:rsid w:val="00613F98"/>
    <w:rsid w:val="00614C05"/>
    <w:rsid w:val="00615D7E"/>
    <w:rsid w:val="00620FA9"/>
    <w:rsid w:val="00622540"/>
    <w:rsid w:val="0062473B"/>
    <w:rsid w:val="006379EC"/>
    <w:rsid w:val="00647CE6"/>
    <w:rsid w:val="00651155"/>
    <w:rsid w:val="006530D0"/>
    <w:rsid w:val="00665633"/>
    <w:rsid w:val="006661DD"/>
    <w:rsid w:val="006739D0"/>
    <w:rsid w:val="00674FE3"/>
    <w:rsid w:val="00683233"/>
    <w:rsid w:val="00686759"/>
    <w:rsid w:val="00692C57"/>
    <w:rsid w:val="00696646"/>
    <w:rsid w:val="006A278E"/>
    <w:rsid w:val="006A3325"/>
    <w:rsid w:val="006B08F3"/>
    <w:rsid w:val="006B1979"/>
    <w:rsid w:val="006B4177"/>
    <w:rsid w:val="006B55D6"/>
    <w:rsid w:val="006B57CE"/>
    <w:rsid w:val="006D17DF"/>
    <w:rsid w:val="006D3710"/>
    <w:rsid w:val="006E1AB6"/>
    <w:rsid w:val="006E3609"/>
    <w:rsid w:val="006E7C8B"/>
    <w:rsid w:val="006F1CC9"/>
    <w:rsid w:val="006F2625"/>
    <w:rsid w:val="006F2C40"/>
    <w:rsid w:val="006F624E"/>
    <w:rsid w:val="00715BE5"/>
    <w:rsid w:val="0072185E"/>
    <w:rsid w:val="0072375C"/>
    <w:rsid w:val="00723AF0"/>
    <w:rsid w:val="00726ADC"/>
    <w:rsid w:val="00730123"/>
    <w:rsid w:val="00730D32"/>
    <w:rsid w:val="0073131A"/>
    <w:rsid w:val="00734385"/>
    <w:rsid w:val="00746F77"/>
    <w:rsid w:val="00747637"/>
    <w:rsid w:val="0075024F"/>
    <w:rsid w:val="00760BEC"/>
    <w:rsid w:val="00764E64"/>
    <w:rsid w:val="00770524"/>
    <w:rsid w:val="0077632D"/>
    <w:rsid w:val="00784A2D"/>
    <w:rsid w:val="0078662A"/>
    <w:rsid w:val="0079015D"/>
    <w:rsid w:val="00797938"/>
    <w:rsid w:val="007A1866"/>
    <w:rsid w:val="007A1BEE"/>
    <w:rsid w:val="007B1259"/>
    <w:rsid w:val="007B29C2"/>
    <w:rsid w:val="007B3929"/>
    <w:rsid w:val="007B3D6F"/>
    <w:rsid w:val="007B4395"/>
    <w:rsid w:val="007C55BC"/>
    <w:rsid w:val="007D1403"/>
    <w:rsid w:val="007D1E45"/>
    <w:rsid w:val="007D251B"/>
    <w:rsid w:val="007D5504"/>
    <w:rsid w:val="007D6009"/>
    <w:rsid w:val="007D6A1B"/>
    <w:rsid w:val="007D7FB3"/>
    <w:rsid w:val="007E4044"/>
    <w:rsid w:val="007E4343"/>
    <w:rsid w:val="007F06DF"/>
    <w:rsid w:val="007F58D9"/>
    <w:rsid w:val="0080409F"/>
    <w:rsid w:val="00804A79"/>
    <w:rsid w:val="00804D3F"/>
    <w:rsid w:val="00812E2E"/>
    <w:rsid w:val="00815DA2"/>
    <w:rsid w:val="00821C36"/>
    <w:rsid w:val="0082754E"/>
    <w:rsid w:val="00832E6F"/>
    <w:rsid w:val="0083510F"/>
    <w:rsid w:val="0083580E"/>
    <w:rsid w:val="00836ED7"/>
    <w:rsid w:val="008431AE"/>
    <w:rsid w:val="00845B3B"/>
    <w:rsid w:val="00854B78"/>
    <w:rsid w:val="00856817"/>
    <w:rsid w:val="00864AE8"/>
    <w:rsid w:val="00870AD6"/>
    <w:rsid w:val="0087403D"/>
    <w:rsid w:val="00875FCB"/>
    <w:rsid w:val="00882888"/>
    <w:rsid w:val="00897347"/>
    <w:rsid w:val="008A3FFD"/>
    <w:rsid w:val="008B71BE"/>
    <w:rsid w:val="008B7726"/>
    <w:rsid w:val="008C163D"/>
    <w:rsid w:val="008C1BCF"/>
    <w:rsid w:val="008C498C"/>
    <w:rsid w:val="008F1059"/>
    <w:rsid w:val="008F40A7"/>
    <w:rsid w:val="008F49DE"/>
    <w:rsid w:val="008F4F96"/>
    <w:rsid w:val="008F72FD"/>
    <w:rsid w:val="00905817"/>
    <w:rsid w:val="00906CE5"/>
    <w:rsid w:val="00907884"/>
    <w:rsid w:val="009103A0"/>
    <w:rsid w:val="00914954"/>
    <w:rsid w:val="009162F2"/>
    <w:rsid w:val="00922287"/>
    <w:rsid w:val="009225D5"/>
    <w:rsid w:val="0092658C"/>
    <w:rsid w:val="009267CF"/>
    <w:rsid w:val="0093025E"/>
    <w:rsid w:val="0093190E"/>
    <w:rsid w:val="0094404E"/>
    <w:rsid w:val="0094630C"/>
    <w:rsid w:val="009477B5"/>
    <w:rsid w:val="009547A7"/>
    <w:rsid w:val="009552DC"/>
    <w:rsid w:val="00955CFC"/>
    <w:rsid w:val="00972567"/>
    <w:rsid w:val="00974322"/>
    <w:rsid w:val="0097557A"/>
    <w:rsid w:val="00981A93"/>
    <w:rsid w:val="0098422D"/>
    <w:rsid w:val="00984FCD"/>
    <w:rsid w:val="00986982"/>
    <w:rsid w:val="009929A7"/>
    <w:rsid w:val="00995A3E"/>
    <w:rsid w:val="00997F67"/>
    <w:rsid w:val="009A33B5"/>
    <w:rsid w:val="009A3FBC"/>
    <w:rsid w:val="009A5F34"/>
    <w:rsid w:val="009B409F"/>
    <w:rsid w:val="009B417B"/>
    <w:rsid w:val="009B45BE"/>
    <w:rsid w:val="009C0D7B"/>
    <w:rsid w:val="009C1E1C"/>
    <w:rsid w:val="009C480C"/>
    <w:rsid w:val="009C79DC"/>
    <w:rsid w:val="009D6F8C"/>
    <w:rsid w:val="009D71E8"/>
    <w:rsid w:val="009D7F4E"/>
    <w:rsid w:val="009E4532"/>
    <w:rsid w:val="009F22C9"/>
    <w:rsid w:val="00A11D9B"/>
    <w:rsid w:val="00A146B3"/>
    <w:rsid w:val="00A23527"/>
    <w:rsid w:val="00A2383E"/>
    <w:rsid w:val="00A24D0F"/>
    <w:rsid w:val="00A24EAD"/>
    <w:rsid w:val="00A2521E"/>
    <w:rsid w:val="00A31EE1"/>
    <w:rsid w:val="00A35E24"/>
    <w:rsid w:val="00A42A25"/>
    <w:rsid w:val="00A44232"/>
    <w:rsid w:val="00A50AB7"/>
    <w:rsid w:val="00A535CA"/>
    <w:rsid w:val="00A636EC"/>
    <w:rsid w:val="00A652E2"/>
    <w:rsid w:val="00A80656"/>
    <w:rsid w:val="00A866F4"/>
    <w:rsid w:val="00A95714"/>
    <w:rsid w:val="00A97A7E"/>
    <w:rsid w:val="00AA6A52"/>
    <w:rsid w:val="00AA7501"/>
    <w:rsid w:val="00AB4A92"/>
    <w:rsid w:val="00AC068B"/>
    <w:rsid w:val="00AD3086"/>
    <w:rsid w:val="00AD3732"/>
    <w:rsid w:val="00AD45CB"/>
    <w:rsid w:val="00AD71C8"/>
    <w:rsid w:val="00AE1739"/>
    <w:rsid w:val="00AE2423"/>
    <w:rsid w:val="00AE2AD2"/>
    <w:rsid w:val="00AE6CF6"/>
    <w:rsid w:val="00AF306C"/>
    <w:rsid w:val="00B06453"/>
    <w:rsid w:val="00B20184"/>
    <w:rsid w:val="00B24A10"/>
    <w:rsid w:val="00B278DB"/>
    <w:rsid w:val="00B35ACD"/>
    <w:rsid w:val="00B418F0"/>
    <w:rsid w:val="00B42633"/>
    <w:rsid w:val="00B4336C"/>
    <w:rsid w:val="00B44BF7"/>
    <w:rsid w:val="00B50CFA"/>
    <w:rsid w:val="00B54642"/>
    <w:rsid w:val="00B6019E"/>
    <w:rsid w:val="00B735D2"/>
    <w:rsid w:val="00B74D68"/>
    <w:rsid w:val="00B83AE2"/>
    <w:rsid w:val="00B85041"/>
    <w:rsid w:val="00B85331"/>
    <w:rsid w:val="00B86DA1"/>
    <w:rsid w:val="00B87A83"/>
    <w:rsid w:val="00B974AF"/>
    <w:rsid w:val="00BA19F4"/>
    <w:rsid w:val="00BA5382"/>
    <w:rsid w:val="00BB3BC7"/>
    <w:rsid w:val="00BB42AC"/>
    <w:rsid w:val="00BB7429"/>
    <w:rsid w:val="00BC2B46"/>
    <w:rsid w:val="00BD0B43"/>
    <w:rsid w:val="00BD5130"/>
    <w:rsid w:val="00BD543A"/>
    <w:rsid w:val="00BE0C07"/>
    <w:rsid w:val="00BE5B37"/>
    <w:rsid w:val="00BF27C7"/>
    <w:rsid w:val="00BF2C1D"/>
    <w:rsid w:val="00BF5F5C"/>
    <w:rsid w:val="00C02F23"/>
    <w:rsid w:val="00C05011"/>
    <w:rsid w:val="00C06FAD"/>
    <w:rsid w:val="00C115AA"/>
    <w:rsid w:val="00C11C57"/>
    <w:rsid w:val="00C12809"/>
    <w:rsid w:val="00C26250"/>
    <w:rsid w:val="00C341D0"/>
    <w:rsid w:val="00C531AC"/>
    <w:rsid w:val="00C538F4"/>
    <w:rsid w:val="00C576E2"/>
    <w:rsid w:val="00C64152"/>
    <w:rsid w:val="00C64683"/>
    <w:rsid w:val="00C677DB"/>
    <w:rsid w:val="00C70803"/>
    <w:rsid w:val="00C764AD"/>
    <w:rsid w:val="00C83D9B"/>
    <w:rsid w:val="00C85E84"/>
    <w:rsid w:val="00C921D6"/>
    <w:rsid w:val="00C97760"/>
    <w:rsid w:val="00CA0673"/>
    <w:rsid w:val="00CB2C77"/>
    <w:rsid w:val="00CB423A"/>
    <w:rsid w:val="00CC3E8B"/>
    <w:rsid w:val="00CC5271"/>
    <w:rsid w:val="00CD4341"/>
    <w:rsid w:val="00CD7077"/>
    <w:rsid w:val="00CE5CE4"/>
    <w:rsid w:val="00CE65C3"/>
    <w:rsid w:val="00CE6B88"/>
    <w:rsid w:val="00CF283F"/>
    <w:rsid w:val="00CF6827"/>
    <w:rsid w:val="00D00A88"/>
    <w:rsid w:val="00D01F6C"/>
    <w:rsid w:val="00D04A1D"/>
    <w:rsid w:val="00D067D0"/>
    <w:rsid w:val="00D07C9D"/>
    <w:rsid w:val="00D13960"/>
    <w:rsid w:val="00D16C9B"/>
    <w:rsid w:val="00D17D71"/>
    <w:rsid w:val="00D23E49"/>
    <w:rsid w:val="00D245FE"/>
    <w:rsid w:val="00D256FA"/>
    <w:rsid w:val="00D26311"/>
    <w:rsid w:val="00D31D50"/>
    <w:rsid w:val="00D37F97"/>
    <w:rsid w:val="00D53646"/>
    <w:rsid w:val="00D62751"/>
    <w:rsid w:val="00D731BB"/>
    <w:rsid w:val="00DA60FA"/>
    <w:rsid w:val="00DB0871"/>
    <w:rsid w:val="00DB22C4"/>
    <w:rsid w:val="00DD0709"/>
    <w:rsid w:val="00DD0ED2"/>
    <w:rsid w:val="00DD10A7"/>
    <w:rsid w:val="00DD12D2"/>
    <w:rsid w:val="00DD1A8C"/>
    <w:rsid w:val="00DD1CC3"/>
    <w:rsid w:val="00DD3B03"/>
    <w:rsid w:val="00DE2098"/>
    <w:rsid w:val="00DE33DC"/>
    <w:rsid w:val="00DF70C9"/>
    <w:rsid w:val="00E0094C"/>
    <w:rsid w:val="00E17236"/>
    <w:rsid w:val="00E25734"/>
    <w:rsid w:val="00E260C2"/>
    <w:rsid w:val="00E26809"/>
    <w:rsid w:val="00E351D6"/>
    <w:rsid w:val="00E35795"/>
    <w:rsid w:val="00E37798"/>
    <w:rsid w:val="00E43B36"/>
    <w:rsid w:val="00E44768"/>
    <w:rsid w:val="00E47F96"/>
    <w:rsid w:val="00E52178"/>
    <w:rsid w:val="00E5482D"/>
    <w:rsid w:val="00E6046A"/>
    <w:rsid w:val="00E61125"/>
    <w:rsid w:val="00E621E5"/>
    <w:rsid w:val="00E6393F"/>
    <w:rsid w:val="00E64004"/>
    <w:rsid w:val="00E6436E"/>
    <w:rsid w:val="00E656F9"/>
    <w:rsid w:val="00E66E09"/>
    <w:rsid w:val="00E6717B"/>
    <w:rsid w:val="00E81C5C"/>
    <w:rsid w:val="00E831DB"/>
    <w:rsid w:val="00E87099"/>
    <w:rsid w:val="00EC3821"/>
    <w:rsid w:val="00EC3B0E"/>
    <w:rsid w:val="00EC68EA"/>
    <w:rsid w:val="00ED13D6"/>
    <w:rsid w:val="00ED2C2C"/>
    <w:rsid w:val="00ED32E5"/>
    <w:rsid w:val="00ED3B5E"/>
    <w:rsid w:val="00ED6ED8"/>
    <w:rsid w:val="00EE2E1B"/>
    <w:rsid w:val="00F02505"/>
    <w:rsid w:val="00F13ABD"/>
    <w:rsid w:val="00F168EF"/>
    <w:rsid w:val="00F203F2"/>
    <w:rsid w:val="00F22C2C"/>
    <w:rsid w:val="00F25245"/>
    <w:rsid w:val="00F41051"/>
    <w:rsid w:val="00F5498F"/>
    <w:rsid w:val="00F57EDA"/>
    <w:rsid w:val="00F6074E"/>
    <w:rsid w:val="00F62B75"/>
    <w:rsid w:val="00F7296B"/>
    <w:rsid w:val="00F808C6"/>
    <w:rsid w:val="00FA1074"/>
    <w:rsid w:val="00FA1ADC"/>
    <w:rsid w:val="00FA3C28"/>
    <w:rsid w:val="00FA4109"/>
    <w:rsid w:val="00FA47CC"/>
    <w:rsid w:val="00FA5169"/>
    <w:rsid w:val="00FA6826"/>
    <w:rsid w:val="00FA708C"/>
    <w:rsid w:val="00FB3F16"/>
    <w:rsid w:val="00FC10B9"/>
    <w:rsid w:val="00FC2842"/>
    <w:rsid w:val="00FD7178"/>
    <w:rsid w:val="00FD7252"/>
    <w:rsid w:val="00FD78D1"/>
    <w:rsid w:val="00FE52A4"/>
    <w:rsid w:val="03932EEC"/>
    <w:rsid w:val="040D278C"/>
    <w:rsid w:val="04F36FB3"/>
    <w:rsid w:val="05FD6E13"/>
    <w:rsid w:val="081050CF"/>
    <w:rsid w:val="091A5787"/>
    <w:rsid w:val="09363F5A"/>
    <w:rsid w:val="09DF45E6"/>
    <w:rsid w:val="0B045523"/>
    <w:rsid w:val="0B392F05"/>
    <w:rsid w:val="0C61616F"/>
    <w:rsid w:val="0D560412"/>
    <w:rsid w:val="0DAC0FAF"/>
    <w:rsid w:val="104F6DC1"/>
    <w:rsid w:val="119B1045"/>
    <w:rsid w:val="12007772"/>
    <w:rsid w:val="12A16D17"/>
    <w:rsid w:val="130E40DD"/>
    <w:rsid w:val="14297409"/>
    <w:rsid w:val="14C50F4E"/>
    <w:rsid w:val="1B2A0791"/>
    <w:rsid w:val="1C17721E"/>
    <w:rsid w:val="1C365742"/>
    <w:rsid w:val="1C531D4A"/>
    <w:rsid w:val="1CEE484C"/>
    <w:rsid w:val="1E4D2E1E"/>
    <w:rsid w:val="1FA775CB"/>
    <w:rsid w:val="227E4B7B"/>
    <w:rsid w:val="22A02F54"/>
    <w:rsid w:val="253D577A"/>
    <w:rsid w:val="26EE76C7"/>
    <w:rsid w:val="2AF63043"/>
    <w:rsid w:val="2B702AE1"/>
    <w:rsid w:val="2E5C17FE"/>
    <w:rsid w:val="2E701349"/>
    <w:rsid w:val="2F29659B"/>
    <w:rsid w:val="30533DD8"/>
    <w:rsid w:val="30821B56"/>
    <w:rsid w:val="31711AEB"/>
    <w:rsid w:val="32CF5D13"/>
    <w:rsid w:val="33D534CC"/>
    <w:rsid w:val="350303CC"/>
    <w:rsid w:val="371D1892"/>
    <w:rsid w:val="37C1538E"/>
    <w:rsid w:val="384D1BBE"/>
    <w:rsid w:val="3D392F1D"/>
    <w:rsid w:val="3D644491"/>
    <w:rsid w:val="3E2A20C8"/>
    <w:rsid w:val="3EBA7EAF"/>
    <w:rsid w:val="41404B03"/>
    <w:rsid w:val="41B25855"/>
    <w:rsid w:val="41CC4B69"/>
    <w:rsid w:val="41FA52C3"/>
    <w:rsid w:val="42276AE5"/>
    <w:rsid w:val="4299480E"/>
    <w:rsid w:val="42C6119D"/>
    <w:rsid w:val="435E1912"/>
    <w:rsid w:val="439657FA"/>
    <w:rsid w:val="43E51763"/>
    <w:rsid w:val="44A029AE"/>
    <w:rsid w:val="44BD6CB9"/>
    <w:rsid w:val="46A023EA"/>
    <w:rsid w:val="49E87C20"/>
    <w:rsid w:val="49FD5283"/>
    <w:rsid w:val="4AC14F01"/>
    <w:rsid w:val="4B671A0C"/>
    <w:rsid w:val="4BC5700D"/>
    <w:rsid w:val="4D08279D"/>
    <w:rsid w:val="4E604167"/>
    <w:rsid w:val="500E594C"/>
    <w:rsid w:val="51245307"/>
    <w:rsid w:val="587A2F93"/>
    <w:rsid w:val="5909258C"/>
    <w:rsid w:val="5D78687D"/>
    <w:rsid w:val="5E031C54"/>
    <w:rsid w:val="5E4161E7"/>
    <w:rsid w:val="61B2624C"/>
    <w:rsid w:val="64C94CF7"/>
    <w:rsid w:val="65C36A89"/>
    <w:rsid w:val="65D9039F"/>
    <w:rsid w:val="665C2B77"/>
    <w:rsid w:val="68A8293F"/>
    <w:rsid w:val="698F3D83"/>
    <w:rsid w:val="6AA173F0"/>
    <w:rsid w:val="6C0256BF"/>
    <w:rsid w:val="6C0D0C27"/>
    <w:rsid w:val="6CB87826"/>
    <w:rsid w:val="6D172A26"/>
    <w:rsid w:val="6D41406E"/>
    <w:rsid w:val="6D5525ED"/>
    <w:rsid w:val="6DDB14FC"/>
    <w:rsid w:val="706178B2"/>
    <w:rsid w:val="71D30DE2"/>
    <w:rsid w:val="7443447B"/>
    <w:rsid w:val="74A91DEC"/>
    <w:rsid w:val="75B54987"/>
    <w:rsid w:val="75CF78FA"/>
    <w:rsid w:val="76006669"/>
    <w:rsid w:val="7688158F"/>
    <w:rsid w:val="78ED1F0F"/>
    <w:rsid w:val="78F07E2D"/>
    <w:rsid w:val="7B4B3395"/>
    <w:rsid w:val="7B674097"/>
    <w:rsid w:val="7CFC1507"/>
    <w:rsid w:val="7D2D7A8A"/>
    <w:rsid w:val="7D54545E"/>
    <w:rsid w:val="7FA934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/>
    </w:pPr>
    <w:rPr>
      <w:rFonts w:ascii="Tahoma" w:hAnsi="Tahoma" w:eastAsia="宋体" w:cstheme="minorBidi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0"/>
    <w:pPr>
      <w:keepNext/>
      <w:widowControl w:val="0"/>
      <w:adjustRightInd/>
      <w:snapToGrid/>
      <w:spacing w:after="0"/>
      <w:ind w:firstLine="7455"/>
      <w:jc w:val="both"/>
      <w:outlineLvl w:val="0"/>
    </w:pPr>
    <w:rPr>
      <w:rFonts w:ascii="Times New Roman" w:hAnsi="Times New Roman" w:eastAsia="黑体" w:cs="Times New Roman"/>
      <w:kern w:val="2"/>
      <w:sz w:val="32"/>
      <w:szCs w:val="20"/>
    </w:rPr>
  </w:style>
  <w:style w:type="paragraph" w:styleId="3">
    <w:name w:val="heading 2"/>
    <w:basedOn w:val="1"/>
    <w:next w:val="1"/>
    <w:link w:val="21"/>
    <w:autoRedefine/>
    <w:unhideWhenUsed/>
    <w:qFormat/>
    <w:uiPriority w:val="9"/>
    <w:pPr>
      <w:keepNext/>
      <w:keepLines/>
      <w:spacing w:line="360" w:lineRule="auto"/>
      <w:outlineLvl w:val="1"/>
    </w:pPr>
    <w:rPr>
      <w:rFonts w:eastAsia="黑体" w:asciiTheme="majorAscii" w:hAnsiTheme="majorAscii" w:cstheme="majorBidi"/>
      <w:bCs/>
      <w:sz w:val="24"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line="360" w:lineRule="auto"/>
      <w:outlineLvl w:val="2"/>
    </w:pPr>
    <w:rPr>
      <w:rFonts w:eastAsia="宋体"/>
      <w:bCs/>
      <w:sz w:val="24"/>
      <w:szCs w:val="32"/>
    </w:rPr>
  </w:style>
  <w:style w:type="paragraph" w:styleId="5">
    <w:name w:val="heading 4"/>
    <w:basedOn w:val="1"/>
    <w:next w:val="1"/>
    <w:link w:val="28"/>
    <w:autoRedefine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7">
    <w:name w:val="Default Paragraph Font"/>
    <w:autoRedefine/>
    <w:semiHidden/>
    <w:unhideWhenUsed/>
    <w:qFormat/>
    <w:uiPriority w:val="1"/>
  </w:style>
  <w:style w:type="table" w:default="1" w:styleId="1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basedOn w:val="1"/>
    <w:next w:val="1"/>
    <w:autoRedefine/>
    <w:unhideWhenUsed/>
    <w:qFormat/>
    <w:uiPriority w:val="39"/>
    <w:pPr>
      <w:ind w:left="840" w:leftChars="400"/>
    </w:pPr>
  </w:style>
  <w:style w:type="paragraph" w:styleId="7">
    <w:name w:val="Date"/>
    <w:basedOn w:val="1"/>
    <w:next w:val="1"/>
    <w:link w:val="34"/>
    <w:semiHidden/>
    <w:unhideWhenUsed/>
    <w:qFormat/>
    <w:uiPriority w:val="99"/>
    <w:pPr>
      <w:ind w:left="100" w:leftChars="2500"/>
    </w:pPr>
  </w:style>
  <w:style w:type="paragraph" w:styleId="8">
    <w:name w:val="Body Text Indent 2"/>
    <w:basedOn w:val="1"/>
    <w:link w:val="30"/>
    <w:autoRedefine/>
    <w:qFormat/>
    <w:uiPriority w:val="0"/>
    <w:pPr>
      <w:widowControl w:val="0"/>
      <w:adjustRightInd/>
      <w:snapToGrid/>
      <w:spacing w:after="0"/>
      <w:ind w:firstLine="600" w:firstLineChars="200"/>
    </w:pPr>
    <w:rPr>
      <w:rFonts w:ascii="Times New Roman" w:hAnsi="Times New Roman" w:eastAsia="宋体" w:cs="Times New Roman"/>
      <w:kern w:val="2"/>
      <w:sz w:val="30"/>
      <w:szCs w:val="24"/>
    </w:rPr>
  </w:style>
  <w:style w:type="paragraph" w:styleId="9">
    <w:name w:val="Balloon Text"/>
    <w:basedOn w:val="1"/>
    <w:link w:val="27"/>
    <w:autoRedefine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10">
    <w:name w:val="footer"/>
    <w:basedOn w:val="1"/>
    <w:link w:val="23"/>
    <w:autoRedefine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1">
    <w:name w:val="header"/>
    <w:basedOn w:val="1"/>
    <w:link w:val="2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qFormat/>
    <w:uiPriority w:val="39"/>
  </w:style>
  <w:style w:type="paragraph" w:styleId="13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4">
    <w:name w:val="HTML Preformatted"/>
    <w:basedOn w:val="1"/>
    <w:autoRedefine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16">
    <w:name w:val="Table Grid"/>
    <w:basedOn w:val="15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Emphasis"/>
    <w:basedOn w:val="17"/>
    <w:autoRedefine/>
    <w:qFormat/>
    <w:uiPriority w:val="20"/>
    <w:rPr>
      <w:i/>
    </w:rPr>
  </w:style>
  <w:style w:type="character" w:styleId="19">
    <w:name w:val="Hyperlink"/>
    <w:basedOn w:val="17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20">
    <w:name w:val="标题 3 Char"/>
    <w:basedOn w:val="17"/>
    <w:link w:val="4"/>
    <w:autoRedefine/>
    <w:qFormat/>
    <w:uiPriority w:val="9"/>
    <w:rPr>
      <w:rFonts w:ascii="Tahoma" w:hAnsi="Tahoma" w:eastAsia="宋体"/>
      <w:bCs/>
      <w:sz w:val="24"/>
      <w:szCs w:val="32"/>
    </w:rPr>
  </w:style>
  <w:style w:type="character" w:customStyle="1" w:styleId="21">
    <w:name w:val="标题 2 Char"/>
    <w:basedOn w:val="17"/>
    <w:link w:val="3"/>
    <w:autoRedefine/>
    <w:qFormat/>
    <w:uiPriority w:val="9"/>
    <w:rPr>
      <w:rFonts w:eastAsia="黑体" w:asciiTheme="majorAscii" w:hAnsiTheme="majorAscii" w:cstheme="majorBidi"/>
      <w:bCs/>
      <w:sz w:val="24"/>
      <w:szCs w:val="32"/>
    </w:rPr>
  </w:style>
  <w:style w:type="character" w:customStyle="1" w:styleId="22">
    <w:name w:val="页眉 Char"/>
    <w:basedOn w:val="17"/>
    <w:link w:val="11"/>
    <w:autoRedefine/>
    <w:qFormat/>
    <w:uiPriority w:val="99"/>
    <w:rPr>
      <w:rFonts w:ascii="Tahoma" w:hAnsi="Tahoma"/>
      <w:sz w:val="18"/>
      <w:szCs w:val="18"/>
    </w:rPr>
  </w:style>
  <w:style w:type="character" w:customStyle="1" w:styleId="23">
    <w:name w:val="页脚 Char"/>
    <w:basedOn w:val="17"/>
    <w:link w:val="10"/>
    <w:autoRedefine/>
    <w:qFormat/>
    <w:uiPriority w:val="99"/>
    <w:rPr>
      <w:rFonts w:ascii="Tahoma" w:hAnsi="Tahoma"/>
      <w:sz w:val="18"/>
      <w:szCs w:val="18"/>
    </w:rPr>
  </w:style>
  <w:style w:type="character" w:customStyle="1" w:styleId="24">
    <w:name w:val="标题 1 Char"/>
    <w:basedOn w:val="17"/>
    <w:link w:val="2"/>
    <w:autoRedefine/>
    <w:qFormat/>
    <w:uiPriority w:val="0"/>
    <w:rPr>
      <w:rFonts w:ascii="Times New Roman" w:hAnsi="Times New Roman" w:eastAsia="黑体" w:cs="Times New Roman"/>
      <w:kern w:val="2"/>
      <w:sz w:val="32"/>
      <w:szCs w:val="20"/>
    </w:rPr>
  </w:style>
  <w:style w:type="paragraph" w:customStyle="1" w:styleId="25">
    <w:name w:val="封面标准文稿编辑信息"/>
    <w:autoRedefine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6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7">
    <w:name w:val="批注框文本 Char"/>
    <w:basedOn w:val="17"/>
    <w:link w:val="9"/>
    <w:autoRedefine/>
    <w:semiHidden/>
    <w:qFormat/>
    <w:uiPriority w:val="99"/>
    <w:rPr>
      <w:rFonts w:ascii="Tahoma" w:hAnsi="Tahoma"/>
      <w:sz w:val="18"/>
      <w:szCs w:val="18"/>
    </w:rPr>
  </w:style>
  <w:style w:type="character" w:customStyle="1" w:styleId="28">
    <w:name w:val="标题 4 Char"/>
    <w:basedOn w:val="17"/>
    <w:link w:val="5"/>
    <w:autoRedefine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customStyle="1" w:styleId="29">
    <w:name w:val="TOC 标题1"/>
    <w:basedOn w:val="2"/>
    <w:next w:val="1"/>
    <w:autoRedefine/>
    <w:semiHidden/>
    <w:unhideWhenUsed/>
    <w:qFormat/>
    <w:uiPriority w:val="39"/>
    <w:pPr>
      <w:keepLines/>
      <w:widowControl/>
      <w:spacing w:before="480" w:line="276" w:lineRule="auto"/>
      <w:ind w:firstLine="0"/>
      <w:jc w:val="left"/>
      <w:outlineLvl w:val="9"/>
    </w:pPr>
    <w:rPr>
      <w:rFonts w:asciiTheme="majorHAnsi" w:hAnsiTheme="majorHAnsi" w:eastAsiaTheme="majorEastAsia" w:cstheme="majorBidi"/>
      <w:b/>
      <w:bCs/>
      <w:color w:val="376092" w:themeColor="accent1" w:themeShade="BF"/>
      <w:kern w:val="0"/>
      <w:sz w:val="28"/>
      <w:szCs w:val="28"/>
    </w:rPr>
  </w:style>
  <w:style w:type="character" w:customStyle="1" w:styleId="30">
    <w:name w:val="正文文本缩进 2 Char"/>
    <w:basedOn w:val="17"/>
    <w:link w:val="8"/>
    <w:autoRedefine/>
    <w:qFormat/>
    <w:uiPriority w:val="0"/>
    <w:rPr>
      <w:rFonts w:ascii="Times New Roman" w:hAnsi="Times New Roman" w:eastAsia="宋体" w:cs="Times New Roman"/>
      <w:kern w:val="2"/>
      <w:sz w:val="30"/>
      <w:szCs w:val="24"/>
    </w:rPr>
  </w:style>
  <w:style w:type="character" w:customStyle="1" w:styleId="31">
    <w:name w:val="段 Char Char"/>
    <w:basedOn w:val="17"/>
    <w:link w:val="32"/>
    <w:autoRedefine/>
    <w:qFormat/>
    <w:uiPriority w:val="0"/>
    <w:rPr>
      <w:rFonts w:ascii="宋体"/>
      <w:sz w:val="21"/>
    </w:rPr>
  </w:style>
  <w:style w:type="paragraph" w:customStyle="1" w:styleId="32">
    <w:name w:val="段"/>
    <w:link w:val="31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33">
    <w:name w:val="章标题"/>
    <w:next w:val="32"/>
    <w:link w:val="37"/>
    <w:autoRedefine/>
    <w:qFormat/>
    <w:uiPriority w:val="0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34">
    <w:name w:val="日期 Char"/>
    <w:basedOn w:val="17"/>
    <w:link w:val="7"/>
    <w:autoRedefine/>
    <w:semiHidden/>
    <w:qFormat/>
    <w:uiPriority w:val="99"/>
    <w:rPr>
      <w:rFonts w:ascii="Tahoma" w:hAnsi="Tahoma"/>
    </w:rPr>
  </w:style>
  <w:style w:type="paragraph" w:styleId="35">
    <w:name w:val="No Spacing"/>
    <w:autoRedefine/>
    <w:qFormat/>
    <w:uiPriority w:val="1"/>
    <w:pPr>
      <w:adjustRightInd w:val="0"/>
      <w:snapToGrid w:val="0"/>
    </w:pPr>
    <w:rPr>
      <w:rFonts w:ascii="Tahoma" w:hAnsi="Tahoma" w:eastAsiaTheme="minorEastAsia" w:cstheme="minorBidi"/>
      <w:sz w:val="22"/>
      <w:szCs w:val="22"/>
      <w:lang w:val="en-US" w:eastAsia="zh-CN" w:bidi="ar-SA"/>
    </w:rPr>
  </w:style>
  <w:style w:type="character" w:styleId="36">
    <w:name w:val="Placeholder Text"/>
    <w:basedOn w:val="17"/>
    <w:autoRedefine/>
    <w:unhideWhenUsed/>
    <w:qFormat/>
    <w:uiPriority w:val="99"/>
    <w:rPr>
      <w:color w:val="808080"/>
    </w:rPr>
  </w:style>
  <w:style w:type="character" w:customStyle="1" w:styleId="37">
    <w:name w:val="章标题 Char"/>
    <w:basedOn w:val="17"/>
    <w:link w:val="33"/>
    <w:autoRedefine/>
    <w:qFormat/>
    <w:uiPriority w:val="0"/>
    <w:rPr>
      <w:rFonts w:ascii="黑体" w:hAnsi="Times New Roman" w:eastAsia="黑体" w:cs="Times New Roman"/>
      <w:sz w:val="21"/>
    </w:rPr>
  </w:style>
  <w:style w:type="paragraph" w:customStyle="1" w:styleId="38">
    <w:name w:val="一级条标题 Char Char Char"/>
    <w:basedOn w:val="33"/>
    <w:next w:val="32"/>
    <w:link w:val="39"/>
    <w:autoRedefine/>
    <w:qFormat/>
    <w:uiPriority w:val="0"/>
    <w:pPr>
      <w:numPr>
        <w:ilvl w:val="0"/>
        <w:numId w:val="0"/>
      </w:numPr>
      <w:spacing w:beforeLines="0" w:afterLines="0"/>
      <w:ind w:left="3570"/>
      <w:outlineLvl w:val="2"/>
    </w:pPr>
  </w:style>
  <w:style w:type="character" w:customStyle="1" w:styleId="39">
    <w:name w:val="一级条标题 Char Char Char Char"/>
    <w:basedOn w:val="37"/>
    <w:link w:val="38"/>
    <w:autoRedefine/>
    <w:qFormat/>
    <w:uiPriority w:val="0"/>
  </w:style>
  <w:style w:type="paragraph" w:customStyle="1" w:styleId="40">
    <w:name w:val="WPSOffice手动目录 1"/>
    <w:autoRedefine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41">
    <w:name w:val="WPSOffice手动目录 2"/>
    <w:autoRedefine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42">
    <w:name w:val="WPSOffice手动目录 3"/>
    <w:autoRedefine/>
    <w:qFormat/>
    <w:uiPriority w:val="0"/>
    <w:pPr>
      <w:ind w:leftChars="4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numbering" Target="numbering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media/image9.wmf"/><Relationship Id="rId27" Type="http://schemas.openxmlformats.org/officeDocument/2006/relationships/oleObject" Target="embeddings/oleObject9.bin"/><Relationship Id="rId26" Type="http://schemas.openxmlformats.org/officeDocument/2006/relationships/image" Target="media/image8.wmf"/><Relationship Id="rId25" Type="http://schemas.openxmlformats.org/officeDocument/2006/relationships/oleObject" Target="embeddings/oleObject8.bin"/><Relationship Id="rId24" Type="http://schemas.openxmlformats.org/officeDocument/2006/relationships/oleObject" Target="embeddings/oleObject7.bin"/><Relationship Id="rId23" Type="http://schemas.openxmlformats.org/officeDocument/2006/relationships/image" Target="media/image7.wmf"/><Relationship Id="rId22" Type="http://schemas.openxmlformats.org/officeDocument/2006/relationships/oleObject" Target="embeddings/oleObject6.bin"/><Relationship Id="rId21" Type="http://schemas.openxmlformats.org/officeDocument/2006/relationships/image" Target="media/image6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4.bin"/><Relationship Id="rId17" Type="http://schemas.openxmlformats.org/officeDocument/2006/relationships/image" Target="media/image4.wmf"/><Relationship Id="rId16" Type="http://schemas.openxmlformats.org/officeDocument/2006/relationships/oleObject" Target="embeddings/oleObject3.bin"/><Relationship Id="rId15" Type="http://schemas.openxmlformats.org/officeDocument/2006/relationships/image" Target="media/image3.wmf"/><Relationship Id="rId14" Type="http://schemas.openxmlformats.org/officeDocument/2006/relationships/oleObject" Target="embeddings/oleObject2.bin"/><Relationship Id="rId13" Type="http://schemas.openxmlformats.org/officeDocument/2006/relationships/image" Target="media/image2.wmf"/><Relationship Id="rId12" Type="http://schemas.openxmlformats.org/officeDocument/2006/relationships/oleObject" Target="embeddings/oleObject1.bin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D88694-6CBC-4177-8ED2-4391485780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16</Pages>
  <Words>4280</Words>
  <Characters>5133</Characters>
  <Lines>71</Lines>
  <Paragraphs>20</Paragraphs>
  <TotalTime>9</TotalTime>
  <ScaleCrop>false</ScaleCrop>
  <LinksUpToDate>false</LinksUpToDate>
  <CharactersWithSpaces>5520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2020-04-10T03:49:00Z</dcterms:created>
  <dc:creator>win7</dc:creator>
  <cp:lastModifiedBy>郑云生</cp:lastModifiedBy>
  <dcterms:modified xsi:type="dcterms:W3CDTF">2025-03-07T08:04:00Z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CB030FA4B03D452EB79A7C95CC0FED71_13</vt:lpwstr>
  </property>
  <property fmtid="{D5CDD505-2E9C-101B-9397-08002B2CF9AE}" pid="4" name="KSOTemplateDocerSaveRecord">
    <vt:lpwstr>eyJoZGlkIjoiYTNjMWM1NGNmZTQ0ZDRlMGI2NDQyNWRhODlhNGM2NzIiLCJ1c2VySWQiOiI0MzQ3Mzg0MTEifQ==</vt:lpwstr>
  </property>
</Properties>
</file>