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1C3A7A57">
      <w:pPr>
        <w:rPr>
          <w:b/>
          <w:color w:val="000000" w:themeColor="text1"/>
          <w:sz w:val="36"/>
          <w:szCs w:val="36"/>
        </w:rPr>
      </w:pPr>
    </w:p>
    <w:p w14:paraId="0A742869">
      <w:pPr>
        <w:rPr>
          <w:b/>
          <w:color w:val="000000" w:themeColor="text1"/>
          <w:sz w:val="36"/>
          <w:szCs w:val="36"/>
        </w:rPr>
      </w:pPr>
    </w:p>
    <w:p w14:paraId="253EFE97">
      <w:pPr>
        <w:rPr>
          <w:b/>
          <w:color w:val="000000" w:themeColor="text1"/>
          <w:sz w:val="36"/>
          <w:szCs w:val="36"/>
        </w:rPr>
      </w:pPr>
    </w:p>
    <w:p w14:paraId="7CB9B467">
      <w:pPr>
        <w:rPr>
          <w:b/>
          <w:color w:val="000000" w:themeColor="text1"/>
          <w:sz w:val="52"/>
          <w:szCs w:val="52"/>
        </w:rPr>
      </w:pPr>
    </w:p>
    <w:p w14:paraId="2F839075">
      <w:pPr>
        <w:ind w:firstLine="260" w:firstLineChars="50"/>
        <w:jc w:val="center"/>
        <w:rPr>
          <w:rFonts w:ascii="方正小标宋简体" w:eastAsia="方正小标宋简体"/>
          <w:bCs/>
          <w:color w:val="000000" w:themeColor="text1"/>
          <w:sz w:val="52"/>
          <w:szCs w:val="52"/>
        </w:rPr>
      </w:pPr>
      <w:r>
        <w:rPr>
          <w:rFonts w:hint="eastAsia" w:ascii="方正小标宋简体" w:eastAsia="方正小标宋简体"/>
          <w:bCs/>
          <w:color w:val="000000" w:themeColor="text1"/>
          <w:sz w:val="52"/>
          <w:szCs w:val="52"/>
        </w:rPr>
        <w:t>《</w:t>
      </w:r>
      <w:r>
        <w:rPr>
          <w:rFonts w:hint="eastAsia" w:ascii="方正小标宋简体" w:eastAsia="方正小标宋简体"/>
          <w:bCs/>
          <w:color w:val="000000" w:themeColor="text1"/>
          <w:sz w:val="52"/>
          <w:szCs w:val="52"/>
          <w:lang w:val="en-US" w:eastAsia="zh-CN"/>
        </w:rPr>
        <w:t>超缓凝混凝土技术条件</w:t>
      </w:r>
      <w:r>
        <w:rPr>
          <w:rFonts w:hint="eastAsia" w:ascii="方正小标宋简体" w:eastAsia="方正小标宋简体"/>
          <w:bCs/>
          <w:color w:val="000000" w:themeColor="text1"/>
          <w:sz w:val="52"/>
          <w:szCs w:val="52"/>
        </w:rPr>
        <w:t>》</w:t>
      </w:r>
    </w:p>
    <w:p w14:paraId="00A26CB8">
      <w:pPr>
        <w:ind w:firstLine="260" w:firstLineChars="50"/>
        <w:jc w:val="center"/>
        <w:rPr>
          <w:rFonts w:ascii="方正小标宋简体" w:eastAsia="方正小标宋简体"/>
          <w:bCs/>
          <w:color w:val="000000" w:themeColor="text1"/>
          <w:sz w:val="52"/>
          <w:szCs w:val="52"/>
        </w:rPr>
      </w:pPr>
      <w:r>
        <w:rPr>
          <w:rFonts w:hint="eastAsia" w:ascii="方正小标宋简体" w:eastAsia="方正小标宋简体"/>
          <w:bCs/>
          <w:color w:val="000000" w:themeColor="text1"/>
          <w:sz w:val="52"/>
          <w:szCs w:val="52"/>
        </w:rPr>
        <w:t>行业标准编制说明</w:t>
      </w:r>
    </w:p>
    <w:p w14:paraId="72316DA3">
      <w:pPr>
        <w:jc w:val="center"/>
        <w:rPr>
          <w:b/>
          <w:color w:val="000000" w:themeColor="text1"/>
          <w:sz w:val="44"/>
          <w:szCs w:val="44"/>
        </w:rPr>
      </w:pPr>
    </w:p>
    <w:p w14:paraId="222A1C97">
      <w:pPr>
        <w:jc w:val="center"/>
        <w:rPr>
          <w:rFonts w:hint="eastAsia"/>
          <w:b/>
          <w:color w:val="000000" w:themeColor="text1"/>
          <w:sz w:val="44"/>
          <w:szCs w:val="44"/>
        </w:rPr>
      </w:pPr>
    </w:p>
    <w:p w14:paraId="6D47F927">
      <w:pPr>
        <w:jc w:val="center"/>
        <w:rPr>
          <w:b/>
          <w:color w:val="000000" w:themeColor="text1"/>
          <w:sz w:val="44"/>
          <w:szCs w:val="44"/>
        </w:rPr>
      </w:pPr>
      <w:r>
        <w:rPr>
          <w:rFonts w:hint="eastAsia"/>
          <w:b/>
          <w:color w:val="000000" w:themeColor="text1"/>
          <w:sz w:val="44"/>
          <w:szCs w:val="44"/>
        </w:rPr>
        <w:t>（征求意见稿）</w:t>
      </w:r>
    </w:p>
    <w:p w14:paraId="7D2E4AF8">
      <w:pPr>
        <w:jc w:val="center"/>
        <w:rPr>
          <w:b/>
          <w:color w:val="000000" w:themeColor="text1"/>
          <w:sz w:val="44"/>
          <w:szCs w:val="44"/>
        </w:rPr>
      </w:pPr>
    </w:p>
    <w:p w14:paraId="73FF0B65">
      <w:pPr>
        <w:jc w:val="center"/>
        <w:rPr>
          <w:b/>
          <w:color w:val="000000" w:themeColor="text1"/>
          <w:sz w:val="44"/>
          <w:szCs w:val="44"/>
        </w:rPr>
      </w:pPr>
    </w:p>
    <w:p w14:paraId="1A6512E9">
      <w:pPr>
        <w:rPr>
          <w:b/>
          <w:color w:val="000000" w:themeColor="text1"/>
          <w:sz w:val="44"/>
          <w:szCs w:val="44"/>
        </w:rPr>
      </w:pPr>
    </w:p>
    <w:p w14:paraId="329339CE">
      <w:pPr>
        <w:rPr>
          <w:b/>
          <w:color w:val="000000" w:themeColor="text1"/>
          <w:sz w:val="44"/>
          <w:szCs w:val="44"/>
        </w:rPr>
      </w:pPr>
    </w:p>
    <w:p w14:paraId="551D6069">
      <w:pPr>
        <w:rPr>
          <w:b/>
          <w:color w:val="000000" w:themeColor="text1"/>
          <w:sz w:val="44"/>
          <w:szCs w:val="44"/>
        </w:rPr>
      </w:pPr>
    </w:p>
    <w:p w14:paraId="63088E69">
      <w:pPr>
        <w:jc w:val="center"/>
        <w:rPr>
          <w:b/>
          <w:color w:val="000000" w:themeColor="text1"/>
          <w:sz w:val="44"/>
          <w:szCs w:val="44"/>
        </w:rPr>
      </w:pPr>
    </w:p>
    <w:p w14:paraId="5A4C2C0F">
      <w:pPr>
        <w:jc w:val="center"/>
        <w:rPr>
          <w:b/>
          <w:color w:val="000000" w:themeColor="text1"/>
          <w:sz w:val="44"/>
          <w:szCs w:val="44"/>
        </w:rPr>
      </w:pPr>
    </w:p>
    <w:p w14:paraId="37431417">
      <w:pPr>
        <w:jc w:val="center"/>
        <w:rPr>
          <w:b/>
          <w:color w:val="000000" w:themeColor="text1"/>
          <w:sz w:val="44"/>
          <w:szCs w:val="44"/>
        </w:rPr>
      </w:pPr>
    </w:p>
    <w:p w14:paraId="23668BA0">
      <w:pPr>
        <w:jc w:val="center"/>
        <w:rPr>
          <w:rFonts w:ascii="Times New Roman" w:hAnsi="Times New Roman" w:cs="Times New Roman" w:eastAsiaTheme="minorEastAsia"/>
          <w:b/>
          <w:color w:val="000000" w:themeColor="text1"/>
          <w:sz w:val="36"/>
          <w:szCs w:val="36"/>
        </w:rPr>
      </w:pPr>
      <w:r>
        <w:rPr>
          <w:rFonts w:hint="default" w:ascii="Times New Roman" w:hAnsi="Times New Roman" w:cs="Times New Roman" w:eastAsiaTheme="minorEastAsia"/>
          <w:b/>
          <w:color w:val="000000" w:themeColor="text1"/>
          <w:sz w:val="36"/>
          <w:szCs w:val="36"/>
        </w:rPr>
        <w:t>2</w:t>
      </w:r>
      <w:r>
        <w:rPr>
          <w:rFonts w:ascii="Times New Roman" w:hAnsi="Times New Roman" w:cs="Times New Roman" w:eastAsiaTheme="minorEastAsia"/>
          <w:b/>
          <w:color w:val="000000" w:themeColor="text1"/>
          <w:sz w:val="36"/>
          <w:szCs w:val="36"/>
        </w:rPr>
        <w:t>02</w:t>
      </w:r>
      <w:r>
        <w:rPr>
          <w:rFonts w:hint="default" w:ascii="Times New Roman" w:hAnsi="Times New Roman" w:cs="Times New Roman" w:eastAsiaTheme="minorEastAsia"/>
          <w:b/>
          <w:color w:val="000000" w:themeColor="text1"/>
          <w:sz w:val="36"/>
          <w:szCs w:val="36"/>
          <w:lang w:val="en-US" w:eastAsia="zh-CN"/>
        </w:rPr>
        <w:t>5</w:t>
      </w:r>
      <w:r>
        <w:rPr>
          <w:rFonts w:ascii="Times New Roman" w:hAnsi="Times New Roman" w:cs="Times New Roman" w:eastAsiaTheme="minorEastAsia"/>
          <w:b/>
          <w:color w:val="000000" w:themeColor="text1"/>
          <w:sz w:val="36"/>
          <w:szCs w:val="36"/>
        </w:rPr>
        <w:t>年</w:t>
      </w:r>
      <w:r>
        <w:rPr>
          <w:rFonts w:hint="eastAsia" w:ascii="Times New Roman" w:hAnsi="Times New Roman" w:cs="Times New Roman" w:eastAsiaTheme="minorEastAsia"/>
          <w:b/>
          <w:color w:val="000000" w:themeColor="text1"/>
          <w:sz w:val="36"/>
          <w:szCs w:val="36"/>
          <w:lang w:val="en-US" w:eastAsia="zh-CN"/>
        </w:rPr>
        <w:t>3</w:t>
      </w:r>
      <w:r>
        <w:rPr>
          <w:rFonts w:ascii="Times New Roman" w:hAnsi="Times New Roman" w:cs="Times New Roman" w:eastAsiaTheme="minorEastAsia"/>
          <w:b/>
          <w:color w:val="000000" w:themeColor="text1"/>
          <w:sz w:val="36"/>
          <w:szCs w:val="36"/>
        </w:rPr>
        <w:t>月</w:t>
      </w:r>
    </w:p>
    <w:p w14:paraId="300747BA">
      <w:pPr>
        <w:pStyle w:val="27"/>
        <w:framePr w:w="0" w:hRule="auto" w:wrap="auto" w:vAnchor="margin" w:hAnchor="text" w:xAlign="left" w:yAlign="inline"/>
        <w:spacing w:line="360" w:lineRule="auto"/>
        <w:rPr>
          <w:rFonts w:ascii="Times New Roman" w:eastAsia="宋体"/>
          <w:color w:val="000000" w:themeColor="text1"/>
          <w:sz w:val="32"/>
          <w:szCs w:val="32"/>
        </w:rPr>
      </w:pPr>
      <w:r>
        <w:rPr>
          <w:rFonts w:ascii="Times New Roman" w:eastAsia="宋体"/>
          <w:color w:val="000000" w:themeColor="text1"/>
          <w:sz w:val="32"/>
          <w:szCs w:val="32"/>
        </w:rPr>
        <w:br w:type="page"/>
      </w:r>
    </w:p>
    <w:sdt>
      <w:sdtPr>
        <w:rPr>
          <w:rFonts w:ascii="Times New Roman" w:hAnsi="Times New Roman" w:eastAsia="宋体" w:cs="Times New Roman"/>
          <w:color w:val="000000" w:themeColor="text1"/>
          <w:kern w:val="2"/>
          <w:sz w:val="21"/>
          <w:szCs w:val="24"/>
          <w:lang w:val="zh-CN"/>
        </w:rPr>
        <w:id w:val="207385740"/>
        <w:docPartObj>
          <w:docPartGallery w:val="Table of Contents"/>
          <w:docPartUnique/>
        </w:docPartObj>
      </w:sdtPr>
      <w:sdtEndPr>
        <w:rPr>
          <w:rFonts w:ascii="宋体" w:hAnsi="宋体" w:eastAsia="宋体" w:cs="宋体"/>
          <w:b/>
          <w:bCs/>
          <w:color w:val="000000" w:themeColor="text1"/>
          <w:kern w:val="0"/>
          <w:sz w:val="36"/>
          <w:szCs w:val="36"/>
          <w:lang w:val="zh-CN"/>
        </w:rPr>
      </w:sdtEndPr>
      <w:sdtContent>
        <w:p w14:paraId="225772CE">
          <w:pPr>
            <w:pStyle w:val="61"/>
            <w:spacing w:before="0" w:line="360" w:lineRule="auto"/>
            <w:jc w:val="both"/>
            <w:rPr>
              <w:rFonts w:ascii="Times New Roman" w:hAnsi="Times New Roman" w:eastAsia="宋体" w:cs="Times New Roman"/>
              <w:color w:val="000000" w:themeColor="text1"/>
              <w:kern w:val="2"/>
              <w:sz w:val="21"/>
              <w:szCs w:val="24"/>
              <w:lang w:val="zh-CN"/>
            </w:rPr>
          </w:pPr>
        </w:p>
        <w:p w14:paraId="0FDC0036">
          <w:pPr>
            <w:pStyle w:val="61"/>
            <w:jc w:val="center"/>
            <w:rPr>
              <w:rFonts w:ascii="Times New Roman" w:eastAsia="宋体"/>
              <w:color w:val="000000" w:themeColor="text1"/>
              <w:sz w:val="36"/>
              <w:szCs w:val="36"/>
            </w:rPr>
          </w:pPr>
          <w:r>
            <w:rPr>
              <w:rFonts w:ascii="Times New Roman" w:hAnsi="Times New Roman" w:eastAsia="黑体" w:cs="Times New Roman"/>
              <w:b/>
              <w:color w:val="000000" w:themeColor="text1"/>
              <w:sz w:val="36"/>
              <w:szCs w:val="36"/>
              <w:lang w:val="zh-CN"/>
            </w:rPr>
            <w:t>目  录</w:t>
          </w:r>
        </w:p>
      </w:sdtContent>
    </w:sdt>
    <w:p w14:paraId="05E9F895">
      <w:pPr>
        <w:pStyle w:val="15"/>
        <w:tabs>
          <w:tab w:val="right" w:leader="dot" w:pos="8300"/>
        </w:tabs>
        <w:spacing w:line="360" w:lineRule="auto"/>
        <w:rPr>
          <w:rFonts w:ascii="Times New Roman" w:hAnsi="Times New Roman" w:cs="Times New Roman"/>
        </w:rPr>
      </w:pPr>
      <w:r>
        <w:fldChar w:fldCharType="begin"/>
      </w:r>
      <w:r>
        <w:instrText xml:space="preserve">TOC \o "1-1" \h \u </w:instrText>
      </w:r>
      <w:r>
        <w:fldChar w:fldCharType="separate"/>
      </w:r>
      <w:r>
        <w:rPr>
          <w:rFonts w:ascii="Times New Roman" w:hAnsi="Times New Roman" w:cs="Times New Roman"/>
        </w:rPr>
        <w:fldChar w:fldCharType="begin"/>
      </w:r>
      <w:r>
        <w:rPr>
          <w:rFonts w:ascii="Times New Roman" w:hAnsi="Times New Roman" w:cs="Times New Roman"/>
        </w:rPr>
        <w:instrText xml:space="preserve"> HYPERLINK \l _Toc11564 </w:instrText>
      </w:r>
      <w:r>
        <w:rPr>
          <w:rFonts w:ascii="Times New Roman" w:hAnsi="Times New Roman" w:cs="Times New Roman"/>
        </w:rPr>
        <w:fldChar w:fldCharType="separate"/>
      </w:r>
      <w:r>
        <w:rPr>
          <w:rFonts w:ascii="Times New Roman" w:hAnsi="Times New Roman" w:cs="Times New Roman"/>
          <w:szCs w:val="28"/>
        </w:rPr>
        <w:t>1 标准编制工作简况</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_Toc11564 \h </w:instrText>
      </w:r>
      <w:r>
        <w:rPr>
          <w:rFonts w:ascii="Times New Roman" w:hAnsi="Times New Roman" w:cs="Times New Roman"/>
        </w:rPr>
        <w:fldChar w:fldCharType="separate"/>
      </w:r>
      <w:r>
        <w:rPr>
          <w:rFonts w:ascii="Times New Roman" w:hAnsi="Times New Roman" w:cs="Times New Roman"/>
        </w:rPr>
        <w:t>1</w:t>
      </w:r>
      <w:r>
        <w:rPr>
          <w:rFonts w:ascii="Times New Roman" w:hAnsi="Times New Roman" w:cs="Times New Roman"/>
        </w:rPr>
        <w:fldChar w:fldCharType="end"/>
      </w:r>
      <w:r>
        <w:rPr>
          <w:rFonts w:ascii="Times New Roman" w:hAnsi="Times New Roman" w:cs="Times New Roman"/>
        </w:rPr>
        <w:fldChar w:fldCharType="end"/>
      </w:r>
    </w:p>
    <w:p w14:paraId="0212D320">
      <w:pPr>
        <w:pStyle w:val="15"/>
        <w:tabs>
          <w:tab w:val="right" w:leader="dot" w:pos="8300"/>
        </w:tabs>
        <w:spacing w:line="360" w:lineRule="auto"/>
        <w:rPr>
          <w:rFonts w:ascii="Times New Roman" w:hAnsi="Times New Roman" w:cs="Times New Roman"/>
        </w:rPr>
      </w:pPr>
      <w:r>
        <w:rPr>
          <w:rFonts w:ascii="Times New Roman" w:hAnsi="Times New Roman" w:cs="Times New Roman"/>
        </w:rPr>
        <w:fldChar w:fldCharType="begin"/>
      </w:r>
      <w:r>
        <w:rPr>
          <w:rFonts w:ascii="Times New Roman" w:hAnsi="Times New Roman" w:cs="Times New Roman"/>
        </w:rPr>
        <w:instrText xml:space="preserve"> HYPERLINK \l _Toc5332 </w:instrText>
      </w:r>
      <w:r>
        <w:rPr>
          <w:rFonts w:ascii="Times New Roman" w:hAnsi="Times New Roman" w:cs="Times New Roman"/>
        </w:rPr>
        <w:fldChar w:fldCharType="separate"/>
      </w:r>
      <w:r>
        <w:rPr>
          <w:rFonts w:hint="default" w:ascii="Times New Roman" w:hAnsi="Times New Roman" w:eastAsia="黑体" w:cs="Times New Roman"/>
          <w:i w:val="0"/>
          <w:szCs w:val="28"/>
        </w:rPr>
        <w:t xml:space="preserve">2 </w:t>
      </w:r>
      <w:r>
        <w:rPr>
          <w:rFonts w:ascii="Times New Roman" w:hAnsi="Times New Roman" w:cs="Times New Roman"/>
          <w:szCs w:val="28"/>
        </w:rPr>
        <w:t>标准编制的原则和主要内容</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_Toc5332 \h </w:instrText>
      </w:r>
      <w:r>
        <w:rPr>
          <w:rFonts w:ascii="Times New Roman" w:hAnsi="Times New Roman" w:cs="Times New Roman"/>
        </w:rPr>
        <w:fldChar w:fldCharType="separate"/>
      </w:r>
      <w:r>
        <w:rPr>
          <w:rFonts w:ascii="Times New Roman" w:hAnsi="Times New Roman" w:cs="Times New Roman"/>
        </w:rPr>
        <w:t>5</w:t>
      </w:r>
      <w:r>
        <w:rPr>
          <w:rFonts w:ascii="Times New Roman" w:hAnsi="Times New Roman" w:cs="Times New Roman"/>
        </w:rPr>
        <w:fldChar w:fldCharType="end"/>
      </w:r>
      <w:r>
        <w:rPr>
          <w:rFonts w:ascii="Times New Roman" w:hAnsi="Times New Roman" w:cs="Times New Roman"/>
        </w:rPr>
        <w:fldChar w:fldCharType="end"/>
      </w:r>
    </w:p>
    <w:p w14:paraId="1DD780B0">
      <w:pPr>
        <w:pStyle w:val="15"/>
        <w:tabs>
          <w:tab w:val="right" w:leader="dot" w:pos="8300"/>
        </w:tabs>
        <w:spacing w:line="360" w:lineRule="auto"/>
        <w:rPr>
          <w:rFonts w:ascii="Times New Roman" w:hAnsi="Times New Roman" w:cs="Times New Roman"/>
        </w:rPr>
      </w:pPr>
      <w:r>
        <w:rPr>
          <w:rFonts w:ascii="Times New Roman" w:hAnsi="Times New Roman" w:cs="Times New Roman"/>
        </w:rPr>
        <w:fldChar w:fldCharType="begin"/>
      </w:r>
      <w:r>
        <w:rPr>
          <w:rFonts w:ascii="Times New Roman" w:hAnsi="Times New Roman" w:cs="Times New Roman"/>
        </w:rPr>
        <w:instrText xml:space="preserve"> HYPERLINK \l _Toc7754 </w:instrText>
      </w:r>
      <w:r>
        <w:rPr>
          <w:rFonts w:ascii="Times New Roman" w:hAnsi="Times New Roman" w:cs="Times New Roman"/>
        </w:rPr>
        <w:fldChar w:fldCharType="separate"/>
      </w:r>
      <w:r>
        <w:rPr>
          <w:rFonts w:hint="default" w:ascii="Times New Roman" w:hAnsi="Times New Roman" w:cs="Times New Roman"/>
          <w:szCs w:val="28"/>
          <w:lang w:val="en-US" w:eastAsia="zh-CN"/>
        </w:rPr>
        <w:t>3 主要验证试验分析</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_Toc7754 \h </w:instrText>
      </w:r>
      <w:r>
        <w:rPr>
          <w:rFonts w:ascii="Times New Roman" w:hAnsi="Times New Roman" w:cs="Times New Roman"/>
        </w:rPr>
        <w:fldChar w:fldCharType="separate"/>
      </w:r>
      <w:r>
        <w:rPr>
          <w:rFonts w:ascii="Times New Roman" w:hAnsi="Times New Roman" w:cs="Times New Roman"/>
        </w:rPr>
        <w:t>10</w:t>
      </w:r>
      <w:r>
        <w:rPr>
          <w:rFonts w:ascii="Times New Roman" w:hAnsi="Times New Roman" w:cs="Times New Roman"/>
        </w:rPr>
        <w:fldChar w:fldCharType="end"/>
      </w:r>
      <w:r>
        <w:rPr>
          <w:rFonts w:ascii="Times New Roman" w:hAnsi="Times New Roman" w:cs="Times New Roman"/>
        </w:rPr>
        <w:fldChar w:fldCharType="end"/>
      </w:r>
    </w:p>
    <w:p w14:paraId="6AF75FFE">
      <w:pPr>
        <w:pStyle w:val="15"/>
        <w:tabs>
          <w:tab w:val="right" w:leader="dot" w:pos="8300"/>
        </w:tabs>
        <w:spacing w:line="360" w:lineRule="auto"/>
        <w:rPr>
          <w:rFonts w:ascii="Times New Roman" w:hAnsi="Times New Roman" w:cs="Times New Roman"/>
        </w:rPr>
      </w:pPr>
      <w:r>
        <w:rPr>
          <w:rFonts w:ascii="Times New Roman" w:hAnsi="Times New Roman" w:cs="Times New Roman"/>
        </w:rPr>
        <w:fldChar w:fldCharType="begin"/>
      </w:r>
      <w:r>
        <w:rPr>
          <w:rFonts w:ascii="Times New Roman" w:hAnsi="Times New Roman" w:cs="Times New Roman"/>
        </w:rPr>
        <w:instrText xml:space="preserve"> HYPERLINK \l _Toc7753 </w:instrText>
      </w:r>
      <w:r>
        <w:rPr>
          <w:rFonts w:ascii="Times New Roman" w:hAnsi="Times New Roman" w:cs="Times New Roman"/>
        </w:rPr>
        <w:fldChar w:fldCharType="separate"/>
      </w:r>
      <w:r>
        <w:rPr>
          <w:rFonts w:ascii="Times New Roman" w:hAnsi="Times New Roman" w:cs="Times New Roman"/>
          <w:szCs w:val="28"/>
        </w:rPr>
        <w:t>4 标准中涉及专利</w:t>
      </w:r>
      <w:r>
        <w:rPr>
          <w:rFonts w:hint="default" w:ascii="Times New Roman" w:hAnsi="Times New Roman" w:cs="Times New Roman"/>
          <w:szCs w:val="28"/>
        </w:rPr>
        <w:t>、知识产权</w:t>
      </w:r>
      <w:r>
        <w:rPr>
          <w:rFonts w:ascii="Times New Roman" w:hAnsi="Times New Roman" w:cs="Times New Roman"/>
          <w:szCs w:val="28"/>
        </w:rPr>
        <w:t>情况说明</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_Toc7753 \h </w:instrText>
      </w:r>
      <w:r>
        <w:rPr>
          <w:rFonts w:ascii="Times New Roman" w:hAnsi="Times New Roman" w:cs="Times New Roman"/>
        </w:rPr>
        <w:fldChar w:fldCharType="separate"/>
      </w:r>
      <w:r>
        <w:rPr>
          <w:rFonts w:ascii="Times New Roman" w:hAnsi="Times New Roman" w:cs="Times New Roman"/>
        </w:rPr>
        <w:t>15</w:t>
      </w:r>
      <w:r>
        <w:rPr>
          <w:rFonts w:ascii="Times New Roman" w:hAnsi="Times New Roman" w:cs="Times New Roman"/>
        </w:rPr>
        <w:fldChar w:fldCharType="end"/>
      </w:r>
      <w:r>
        <w:rPr>
          <w:rFonts w:ascii="Times New Roman" w:hAnsi="Times New Roman" w:cs="Times New Roman"/>
        </w:rPr>
        <w:fldChar w:fldCharType="end"/>
      </w:r>
    </w:p>
    <w:p w14:paraId="6303061F">
      <w:pPr>
        <w:pStyle w:val="15"/>
        <w:tabs>
          <w:tab w:val="right" w:leader="dot" w:pos="8300"/>
        </w:tabs>
        <w:spacing w:line="360" w:lineRule="auto"/>
        <w:rPr>
          <w:rFonts w:ascii="Times New Roman" w:hAnsi="Times New Roman" w:cs="Times New Roman"/>
        </w:rPr>
      </w:pPr>
      <w:r>
        <w:rPr>
          <w:rFonts w:ascii="Times New Roman" w:hAnsi="Times New Roman" w:cs="Times New Roman"/>
        </w:rPr>
        <w:fldChar w:fldCharType="begin"/>
      </w:r>
      <w:r>
        <w:rPr>
          <w:rFonts w:ascii="Times New Roman" w:hAnsi="Times New Roman" w:cs="Times New Roman"/>
        </w:rPr>
        <w:instrText xml:space="preserve"> HYPERLINK \l _Toc12702 </w:instrText>
      </w:r>
      <w:r>
        <w:rPr>
          <w:rFonts w:ascii="Times New Roman" w:hAnsi="Times New Roman" w:cs="Times New Roman"/>
        </w:rPr>
        <w:fldChar w:fldCharType="separate"/>
      </w:r>
      <w:r>
        <w:rPr>
          <w:rFonts w:ascii="Times New Roman" w:hAnsi="Times New Roman" w:cs="Times New Roman"/>
          <w:szCs w:val="28"/>
        </w:rPr>
        <w:t xml:space="preserve">5 </w:t>
      </w:r>
      <w:r>
        <w:rPr>
          <w:rFonts w:hint="default" w:ascii="Times New Roman" w:hAnsi="Times New Roman" w:cs="Times New Roman"/>
          <w:szCs w:val="28"/>
        </w:rPr>
        <w:t>产业化情况、推广应用论证和预期达到的经济效果等情况；</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_Toc12702 \h </w:instrText>
      </w:r>
      <w:r>
        <w:rPr>
          <w:rFonts w:ascii="Times New Roman" w:hAnsi="Times New Roman" w:cs="Times New Roman"/>
        </w:rPr>
        <w:fldChar w:fldCharType="separate"/>
      </w:r>
      <w:r>
        <w:rPr>
          <w:rFonts w:ascii="Times New Roman" w:hAnsi="Times New Roman" w:cs="Times New Roman"/>
        </w:rPr>
        <w:t>15</w:t>
      </w:r>
      <w:r>
        <w:rPr>
          <w:rFonts w:ascii="Times New Roman" w:hAnsi="Times New Roman" w:cs="Times New Roman"/>
        </w:rPr>
        <w:fldChar w:fldCharType="end"/>
      </w:r>
      <w:r>
        <w:rPr>
          <w:rFonts w:ascii="Times New Roman" w:hAnsi="Times New Roman" w:cs="Times New Roman"/>
        </w:rPr>
        <w:fldChar w:fldCharType="end"/>
      </w:r>
    </w:p>
    <w:p w14:paraId="2DC65D8C">
      <w:pPr>
        <w:pStyle w:val="15"/>
        <w:tabs>
          <w:tab w:val="right" w:leader="dot" w:pos="8300"/>
        </w:tabs>
        <w:spacing w:line="360" w:lineRule="auto"/>
        <w:rPr>
          <w:rFonts w:ascii="Times New Roman" w:hAnsi="Times New Roman" w:cs="Times New Roman"/>
        </w:rPr>
      </w:pPr>
      <w:r>
        <w:rPr>
          <w:rFonts w:ascii="Times New Roman" w:hAnsi="Times New Roman" w:cs="Times New Roman"/>
        </w:rPr>
        <w:fldChar w:fldCharType="begin"/>
      </w:r>
      <w:r>
        <w:rPr>
          <w:rFonts w:ascii="Times New Roman" w:hAnsi="Times New Roman" w:cs="Times New Roman"/>
        </w:rPr>
        <w:instrText xml:space="preserve"> HYPERLINK \l _Toc17497 </w:instrText>
      </w:r>
      <w:r>
        <w:rPr>
          <w:rFonts w:ascii="Times New Roman" w:hAnsi="Times New Roman" w:cs="Times New Roman"/>
        </w:rPr>
        <w:fldChar w:fldCharType="separate"/>
      </w:r>
      <w:r>
        <w:rPr>
          <w:rFonts w:ascii="Times New Roman" w:hAnsi="Times New Roman" w:cs="Times New Roman"/>
          <w:szCs w:val="28"/>
        </w:rPr>
        <w:t>6 采用国际标准</w:t>
      </w:r>
      <w:r>
        <w:rPr>
          <w:rFonts w:hint="default" w:ascii="Times New Roman" w:hAnsi="Times New Roman" w:cs="Times New Roman"/>
          <w:szCs w:val="28"/>
        </w:rPr>
        <w:t>，与国际、国外同类标准水平的对比情况，国内外关键指标对比分析或与测试的国外样品、样机的相关数据对比情况；</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_Toc17497 \h </w:instrText>
      </w:r>
      <w:r>
        <w:rPr>
          <w:rFonts w:ascii="Times New Roman" w:hAnsi="Times New Roman" w:cs="Times New Roman"/>
        </w:rPr>
        <w:fldChar w:fldCharType="separate"/>
      </w:r>
      <w:r>
        <w:rPr>
          <w:rFonts w:ascii="Times New Roman" w:hAnsi="Times New Roman" w:cs="Times New Roman"/>
        </w:rPr>
        <w:t>17</w:t>
      </w:r>
      <w:r>
        <w:rPr>
          <w:rFonts w:ascii="Times New Roman" w:hAnsi="Times New Roman" w:cs="Times New Roman"/>
        </w:rPr>
        <w:fldChar w:fldCharType="end"/>
      </w:r>
      <w:r>
        <w:rPr>
          <w:rFonts w:ascii="Times New Roman" w:hAnsi="Times New Roman" w:cs="Times New Roman"/>
        </w:rPr>
        <w:fldChar w:fldCharType="end"/>
      </w:r>
    </w:p>
    <w:p w14:paraId="724466E4">
      <w:pPr>
        <w:pStyle w:val="15"/>
        <w:tabs>
          <w:tab w:val="right" w:leader="dot" w:pos="8300"/>
        </w:tabs>
        <w:spacing w:line="360" w:lineRule="auto"/>
        <w:rPr>
          <w:rFonts w:ascii="Times New Roman" w:hAnsi="Times New Roman" w:cs="Times New Roman"/>
        </w:rPr>
      </w:pPr>
      <w:r>
        <w:rPr>
          <w:rFonts w:ascii="Times New Roman" w:hAnsi="Times New Roman" w:cs="Times New Roman"/>
        </w:rPr>
        <w:fldChar w:fldCharType="begin"/>
      </w:r>
      <w:r>
        <w:rPr>
          <w:rFonts w:ascii="Times New Roman" w:hAnsi="Times New Roman" w:cs="Times New Roman"/>
        </w:rPr>
        <w:instrText xml:space="preserve"> HYPERLINK \l _Toc20969 </w:instrText>
      </w:r>
      <w:r>
        <w:rPr>
          <w:rFonts w:ascii="Times New Roman" w:hAnsi="Times New Roman" w:cs="Times New Roman"/>
        </w:rPr>
        <w:fldChar w:fldCharType="separate"/>
      </w:r>
      <w:r>
        <w:rPr>
          <w:rFonts w:ascii="Times New Roman" w:hAnsi="Times New Roman" w:cs="Times New Roman"/>
          <w:szCs w:val="28"/>
        </w:rPr>
        <w:t>7 与现行相关法律、法规、规章及相关标准</w:t>
      </w:r>
      <w:r>
        <w:rPr>
          <w:rFonts w:hint="default" w:ascii="Times New Roman" w:hAnsi="Times New Roman" w:cs="Times New Roman"/>
          <w:szCs w:val="28"/>
        </w:rPr>
        <w:t>，特别是强制性标准</w:t>
      </w:r>
      <w:r>
        <w:rPr>
          <w:rFonts w:ascii="Times New Roman" w:hAnsi="Times New Roman" w:cs="Times New Roman"/>
          <w:szCs w:val="28"/>
        </w:rPr>
        <w:t>的协调</w:t>
      </w:r>
      <w:r>
        <w:rPr>
          <w:rFonts w:hint="default" w:ascii="Times New Roman" w:hAnsi="Times New Roman" w:cs="Times New Roman"/>
          <w:szCs w:val="28"/>
        </w:rPr>
        <w:t>性</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_Toc20969 \h </w:instrText>
      </w:r>
      <w:r>
        <w:rPr>
          <w:rFonts w:ascii="Times New Roman" w:hAnsi="Times New Roman" w:cs="Times New Roman"/>
        </w:rPr>
        <w:fldChar w:fldCharType="separate"/>
      </w:r>
      <w:r>
        <w:rPr>
          <w:rFonts w:ascii="Times New Roman" w:hAnsi="Times New Roman" w:cs="Times New Roman"/>
        </w:rPr>
        <w:t>18</w:t>
      </w:r>
      <w:r>
        <w:rPr>
          <w:rFonts w:ascii="Times New Roman" w:hAnsi="Times New Roman" w:cs="Times New Roman"/>
        </w:rPr>
        <w:fldChar w:fldCharType="end"/>
      </w:r>
      <w:r>
        <w:rPr>
          <w:rFonts w:ascii="Times New Roman" w:hAnsi="Times New Roman" w:cs="Times New Roman"/>
        </w:rPr>
        <w:fldChar w:fldCharType="end"/>
      </w:r>
    </w:p>
    <w:p w14:paraId="12E340A3">
      <w:pPr>
        <w:pStyle w:val="15"/>
        <w:tabs>
          <w:tab w:val="right" w:leader="dot" w:pos="8300"/>
        </w:tabs>
        <w:spacing w:line="360" w:lineRule="auto"/>
        <w:rPr>
          <w:rFonts w:ascii="Times New Roman" w:hAnsi="Times New Roman" w:cs="Times New Roman"/>
        </w:rPr>
      </w:pPr>
      <w:r>
        <w:rPr>
          <w:rFonts w:ascii="Times New Roman" w:hAnsi="Times New Roman" w:cs="Times New Roman"/>
        </w:rPr>
        <w:fldChar w:fldCharType="begin"/>
      </w:r>
      <w:r>
        <w:rPr>
          <w:rFonts w:ascii="Times New Roman" w:hAnsi="Times New Roman" w:cs="Times New Roman"/>
        </w:rPr>
        <w:instrText xml:space="preserve"> HYPERLINK \l _Toc5156 </w:instrText>
      </w:r>
      <w:r>
        <w:rPr>
          <w:rFonts w:ascii="Times New Roman" w:hAnsi="Times New Roman" w:cs="Times New Roman"/>
        </w:rPr>
        <w:fldChar w:fldCharType="separate"/>
      </w:r>
      <w:r>
        <w:rPr>
          <w:rFonts w:ascii="Times New Roman" w:hAnsi="Times New Roman" w:cs="Times New Roman"/>
          <w:szCs w:val="28"/>
        </w:rPr>
        <w:t xml:space="preserve">9 </w:t>
      </w:r>
      <w:r>
        <w:rPr>
          <w:rFonts w:hint="default" w:ascii="Times New Roman" w:hAnsi="Times New Roman" w:cs="Times New Roman"/>
          <w:szCs w:val="28"/>
        </w:rPr>
        <w:t>标准性质的建议说明</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_Toc5156 \h </w:instrText>
      </w:r>
      <w:r>
        <w:rPr>
          <w:rFonts w:ascii="Times New Roman" w:hAnsi="Times New Roman" w:cs="Times New Roman"/>
        </w:rPr>
        <w:fldChar w:fldCharType="separate"/>
      </w:r>
      <w:r>
        <w:rPr>
          <w:rFonts w:ascii="Times New Roman" w:hAnsi="Times New Roman" w:cs="Times New Roman"/>
        </w:rPr>
        <w:t>18</w:t>
      </w:r>
      <w:r>
        <w:rPr>
          <w:rFonts w:ascii="Times New Roman" w:hAnsi="Times New Roman" w:cs="Times New Roman"/>
        </w:rPr>
        <w:fldChar w:fldCharType="end"/>
      </w:r>
      <w:r>
        <w:rPr>
          <w:rFonts w:ascii="Times New Roman" w:hAnsi="Times New Roman" w:cs="Times New Roman"/>
        </w:rPr>
        <w:fldChar w:fldCharType="end"/>
      </w:r>
    </w:p>
    <w:p w14:paraId="27BF17EB">
      <w:pPr>
        <w:pStyle w:val="15"/>
        <w:tabs>
          <w:tab w:val="right" w:leader="dot" w:pos="8300"/>
        </w:tabs>
        <w:spacing w:line="360" w:lineRule="auto"/>
        <w:rPr>
          <w:rFonts w:ascii="Times New Roman" w:hAnsi="Times New Roman" w:cs="Times New Roman"/>
        </w:rPr>
      </w:pPr>
      <w:r>
        <w:rPr>
          <w:rFonts w:ascii="Times New Roman" w:hAnsi="Times New Roman" w:cs="Times New Roman"/>
        </w:rPr>
        <w:fldChar w:fldCharType="begin"/>
      </w:r>
      <w:r>
        <w:rPr>
          <w:rFonts w:ascii="Times New Roman" w:hAnsi="Times New Roman" w:cs="Times New Roman"/>
        </w:rPr>
        <w:instrText xml:space="preserve"> HYPERLINK \l _Toc6174 </w:instrText>
      </w:r>
      <w:r>
        <w:rPr>
          <w:rFonts w:ascii="Times New Roman" w:hAnsi="Times New Roman" w:cs="Times New Roman"/>
        </w:rPr>
        <w:fldChar w:fldCharType="separate"/>
      </w:r>
      <w:r>
        <w:rPr>
          <w:rFonts w:hint="default" w:ascii="Times New Roman" w:hAnsi="Times New Roman" w:cs="Times New Roman"/>
          <w:szCs w:val="28"/>
        </w:rPr>
        <w:t>1</w:t>
      </w:r>
      <w:r>
        <w:rPr>
          <w:rFonts w:ascii="Times New Roman" w:hAnsi="Times New Roman" w:cs="Times New Roman"/>
          <w:szCs w:val="28"/>
        </w:rPr>
        <w:t>0 贯彻标准的措施建议</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_Toc6174 \h </w:instrText>
      </w:r>
      <w:r>
        <w:rPr>
          <w:rFonts w:ascii="Times New Roman" w:hAnsi="Times New Roman" w:cs="Times New Roman"/>
        </w:rPr>
        <w:fldChar w:fldCharType="separate"/>
      </w:r>
      <w:r>
        <w:rPr>
          <w:rFonts w:ascii="Times New Roman" w:hAnsi="Times New Roman" w:cs="Times New Roman"/>
        </w:rPr>
        <w:t>18</w:t>
      </w:r>
      <w:r>
        <w:rPr>
          <w:rFonts w:ascii="Times New Roman" w:hAnsi="Times New Roman" w:cs="Times New Roman"/>
        </w:rPr>
        <w:fldChar w:fldCharType="end"/>
      </w:r>
      <w:r>
        <w:rPr>
          <w:rFonts w:ascii="Times New Roman" w:hAnsi="Times New Roman" w:cs="Times New Roman"/>
        </w:rPr>
        <w:fldChar w:fldCharType="end"/>
      </w:r>
    </w:p>
    <w:p w14:paraId="619FD0E8">
      <w:pPr>
        <w:pStyle w:val="15"/>
        <w:tabs>
          <w:tab w:val="right" w:leader="dot" w:pos="8300"/>
        </w:tabs>
        <w:spacing w:line="360" w:lineRule="auto"/>
        <w:rPr>
          <w:rFonts w:ascii="Times New Roman" w:hAnsi="Times New Roman" w:cs="Times New Roman"/>
        </w:rPr>
      </w:pPr>
      <w:r>
        <w:rPr>
          <w:rFonts w:ascii="Times New Roman" w:hAnsi="Times New Roman" w:cs="Times New Roman"/>
        </w:rPr>
        <w:fldChar w:fldCharType="begin"/>
      </w:r>
      <w:r>
        <w:rPr>
          <w:rFonts w:ascii="Times New Roman" w:hAnsi="Times New Roman" w:cs="Times New Roman"/>
        </w:rPr>
        <w:instrText xml:space="preserve"> HYPERLINK \l _Toc18911 </w:instrText>
      </w:r>
      <w:r>
        <w:rPr>
          <w:rFonts w:ascii="Times New Roman" w:hAnsi="Times New Roman" w:cs="Times New Roman"/>
        </w:rPr>
        <w:fldChar w:fldCharType="separate"/>
      </w:r>
      <w:r>
        <w:rPr>
          <w:rFonts w:ascii="Times New Roman" w:hAnsi="Times New Roman" w:cs="Times New Roman"/>
          <w:szCs w:val="28"/>
        </w:rPr>
        <w:t>11 废止现行有关标准的建议</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_Toc18911 \h </w:instrText>
      </w:r>
      <w:r>
        <w:rPr>
          <w:rFonts w:ascii="Times New Roman" w:hAnsi="Times New Roman" w:cs="Times New Roman"/>
        </w:rPr>
        <w:fldChar w:fldCharType="separate"/>
      </w:r>
      <w:r>
        <w:rPr>
          <w:rFonts w:ascii="Times New Roman" w:hAnsi="Times New Roman" w:cs="Times New Roman"/>
        </w:rPr>
        <w:t>18</w:t>
      </w:r>
      <w:r>
        <w:rPr>
          <w:rFonts w:ascii="Times New Roman" w:hAnsi="Times New Roman" w:cs="Times New Roman"/>
        </w:rPr>
        <w:fldChar w:fldCharType="end"/>
      </w:r>
      <w:r>
        <w:rPr>
          <w:rFonts w:ascii="Times New Roman" w:hAnsi="Times New Roman" w:cs="Times New Roman"/>
        </w:rPr>
        <w:fldChar w:fldCharType="end"/>
      </w:r>
    </w:p>
    <w:p w14:paraId="71DF8C96">
      <w:pPr>
        <w:pStyle w:val="15"/>
        <w:tabs>
          <w:tab w:val="right" w:leader="dot" w:pos="8300"/>
        </w:tabs>
        <w:spacing w:line="360" w:lineRule="auto"/>
      </w:pPr>
      <w:r>
        <w:rPr>
          <w:rFonts w:ascii="Times New Roman" w:hAnsi="Times New Roman" w:cs="Times New Roman"/>
        </w:rPr>
        <w:fldChar w:fldCharType="begin"/>
      </w:r>
      <w:r>
        <w:rPr>
          <w:rFonts w:ascii="Times New Roman" w:hAnsi="Times New Roman" w:cs="Times New Roman"/>
        </w:rPr>
        <w:instrText xml:space="preserve"> HYPERLINK \l _Toc25220 </w:instrText>
      </w:r>
      <w:r>
        <w:rPr>
          <w:rFonts w:ascii="Times New Roman" w:hAnsi="Times New Roman" w:cs="Times New Roman"/>
        </w:rPr>
        <w:fldChar w:fldCharType="separate"/>
      </w:r>
      <w:r>
        <w:rPr>
          <w:rFonts w:ascii="Times New Roman" w:hAnsi="Times New Roman" w:cs="Times New Roman"/>
          <w:szCs w:val="28"/>
        </w:rPr>
        <w:t>12 其他应说明的事项</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_Toc25220 \h </w:instrText>
      </w:r>
      <w:r>
        <w:rPr>
          <w:rFonts w:ascii="Times New Roman" w:hAnsi="Times New Roman" w:cs="Times New Roman"/>
        </w:rPr>
        <w:fldChar w:fldCharType="separate"/>
      </w:r>
      <w:r>
        <w:rPr>
          <w:rFonts w:ascii="Times New Roman" w:hAnsi="Times New Roman" w:cs="Times New Roman"/>
        </w:rPr>
        <w:t>19</w:t>
      </w:r>
      <w:r>
        <w:rPr>
          <w:rFonts w:ascii="Times New Roman" w:hAnsi="Times New Roman" w:cs="Times New Roman"/>
        </w:rPr>
        <w:fldChar w:fldCharType="end"/>
      </w:r>
      <w:r>
        <w:rPr>
          <w:rFonts w:ascii="Times New Roman" w:hAnsi="Times New Roman" w:cs="Times New Roman"/>
        </w:rPr>
        <w:fldChar w:fldCharType="end"/>
      </w:r>
    </w:p>
    <w:p w14:paraId="5E27E2B7">
      <w:r>
        <w:fldChar w:fldCharType="end"/>
      </w:r>
    </w:p>
    <w:p w14:paraId="4DC63588">
      <w:pPr>
        <w:jc w:val="both"/>
        <w:rPr>
          <w:color w:val="000000" w:themeColor="text1"/>
          <w:sz w:val="48"/>
          <w:szCs w:val="48"/>
        </w:rPr>
        <w:sectPr>
          <w:footerReference r:id="rId3" w:type="default"/>
          <w:pgSz w:w="11906" w:h="16838"/>
          <w:pgMar w:top="1440" w:right="1803" w:bottom="1440" w:left="1803" w:header="851" w:footer="992" w:gutter="0"/>
          <w:cols w:space="0" w:num="1"/>
          <w:rtlGutter w:val="0"/>
          <w:docGrid w:type="lines" w:linePitch="332" w:charSpace="0"/>
        </w:sectPr>
      </w:pPr>
    </w:p>
    <w:p w14:paraId="204D46CD">
      <w:pPr>
        <w:jc w:val="center"/>
        <w:rPr>
          <w:rFonts w:ascii="方正小标宋简体" w:eastAsia="方正小标宋简体"/>
          <w:bCs/>
          <w:color w:val="000000" w:themeColor="text1"/>
          <w:sz w:val="48"/>
          <w:szCs w:val="44"/>
        </w:rPr>
      </w:pPr>
      <w:r>
        <w:rPr>
          <w:rFonts w:hint="eastAsia" w:ascii="方正小标宋简体" w:eastAsia="方正小标宋简体"/>
          <w:bCs/>
          <w:color w:val="000000" w:themeColor="text1"/>
          <w:sz w:val="32"/>
          <w:szCs w:val="32"/>
        </w:rPr>
        <w:t>JC/T XXXX-20</w:t>
      </w:r>
      <w:r>
        <w:rPr>
          <w:rFonts w:hint="eastAsia" w:ascii="方正小标宋简体" w:eastAsia="方正小标宋简体"/>
          <w:bCs/>
          <w:color w:val="000000" w:themeColor="text1"/>
          <w:sz w:val="32"/>
          <w:szCs w:val="32"/>
          <w:lang w:val="en-US" w:eastAsia="zh-CN"/>
        </w:rPr>
        <w:t>2</w:t>
      </w:r>
      <w:r>
        <w:rPr>
          <w:rFonts w:hint="eastAsia" w:ascii="方正小标宋简体" w:eastAsia="方正小标宋简体"/>
          <w:bCs/>
          <w:color w:val="000000" w:themeColor="text1"/>
          <w:sz w:val="32"/>
          <w:szCs w:val="32"/>
        </w:rPr>
        <w:t>X《</w:t>
      </w:r>
      <w:r>
        <w:rPr>
          <w:rFonts w:hint="eastAsia" w:ascii="方正小标宋简体" w:eastAsia="方正小标宋简体"/>
          <w:bCs/>
          <w:color w:val="000000" w:themeColor="text1"/>
          <w:sz w:val="32"/>
          <w:szCs w:val="32"/>
          <w:lang w:val="en-US" w:eastAsia="zh-CN"/>
        </w:rPr>
        <w:t>超缓凝混凝土技术条件</w:t>
      </w:r>
      <w:r>
        <w:rPr>
          <w:rFonts w:hint="eastAsia" w:ascii="方正小标宋简体" w:eastAsia="方正小标宋简体"/>
          <w:bCs/>
          <w:color w:val="000000" w:themeColor="text1"/>
          <w:sz w:val="32"/>
          <w:szCs w:val="32"/>
        </w:rPr>
        <w:t>》</w:t>
      </w:r>
    </w:p>
    <w:p w14:paraId="4FA1E9C2">
      <w:pPr>
        <w:jc w:val="center"/>
        <w:rPr>
          <w:rFonts w:ascii="方正小标宋简体" w:eastAsia="方正小标宋简体"/>
          <w:bCs/>
          <w:color w:val="000000" w:themeColor="text1"/>
          <w:sz w:val="32"/>
          <w:szCs w:val="32"/>
        </w:rPr>
      </w:pPr>
      <w:r>
        <w:rPr>
          <w:rFonts w:hint="eastAsia" w:ascii="方正小标宋简体" w:eastAsia="方正小标宋简体"/>
          <w:bCs/>
          <w:color w:val="000000" w:themeColor="text1"/>
          <w:sz w:val="32"/>
          <w:szCs w:val="32"/>
        </w:rPr>
        <w:t>行业标准编制说明</w:t>
      </w:r>
    </w:p>
    <w:p w14:paraId="119195AA">
      <w:pPr>
        <w:pStyle w:val="29"/>
        <w:spacing w:before="326" w:beforeLines="100" w:after="326" w:afterLines="100"/>
        <w:outlineLvl w:val="0"/>
        <w:rPr>
          <w:rFonts w:ascii="Times New Roman"/>
          <w:color w:val="000000" w:themeColor="text1"/>
          <w:sz w:val="28"/>
          <w:szCs w:val="28"/>
        </w:rPr>
      </w:pPr>
      <w:bookmarkStart w:id="0" w:name="_Toc12603"/>
      <w:bookmarkStart w:id="1" w:name="_Toc11564"/>
      <w:bookmarkStart w:id="2" w:name="_Toc17314"/>
      <w:bookmarkStart w:id="3" w:name="_Toc14090"/>
      <w:bookmarkStart w:id="4" w:name="_Toc1906"/>
      <w:bookmarkStart w:id="5" w:name="_Toc108389245"/>
      <w:bookmarkStart w:id="6" w:name="_Toc22252"/>
      <w:r>
        <w:rPr>
          <w:rFonts w:ascii="Times New Roman"/>
          <w:color w:val="000000" w:themeColor="text1"/>
          <w:sz w:val="28"/>
          <w:szCs w:val="28"/>
        </w:rPr>
        <w:t>1 标准编制工作简况</w:t>
      </w:r>
      <w:bookmarkEnd w:id="0"/>
      <w:bookmarkEnd w:id="1"/>
      <w:bookmarkEnd w:id="2"/>
      <w:bookmarkEnd w:id="3"/>
      <w:bookmarkEnd w:id="4"/>
      <w:bookmarkEnd w:id="5"/>
      <w:bookmarkEnd w:id="6"/>
    </w:p>
    <w:p w14:paraId="19275A99">
      <w:pPr>
        <w:pStyle w:val="30"/>
        <w:numPr>
          <w:ilvl w:val="1"/>
          <w:numId w:val="6"/>
        </w:numPr>
        <w:snapToGrid w:val="0"/>
        <w:spacing w:before="163" w:beforeLines="50" w:after="163" w:afterLines="50" w:line="500" w:lineRule="exact"/>
        <w:ind w:left="0"/>
        <w:rPr>
          <w:color w:val="000000" w:themeColor="text1"/>
          <w:sz w:val="24"/>
          <w:szCs w:val="24"/>
        </w:rPr>
      </w:pPr>
      <w:bookmarkStart w:id="7" w:name="_Toc108389246"/>
      <w:r>
        <w:rPr>
          <w:color w:val="000000" w:themeColor="text1"/>
          <w:sz w:val="24"/>
          <w:szCs w:val="24"/>
        </w:rPr>
        <w:t>任务来源</w:t>
      </w:r>
      <w:bookmarkEnd w:id="7"/>
    </w:p>
    <w:p w14:paraId="5985921D">
      <w:pPr>
        <w:spacing w:line="360" w:lineRule="auto"/>
        <w:ind w:firstLine="480" w:firstLineChars="200"/>
        <w:jc w:val="left"/>
        <w:rPr>
          <w:rFonts w:ascii="Times New Roman" w:hAnsi="Times New Roman" w:cs="Times New Roman"/>
          <w:color w:val="000000" w:themeColor="text1"/>
        </w:rPr>
      </w:pPr>
      <w:r>
        <w:rPr>
          <w:rFonts w:hint="default" w:ascii="Times New Roman" w:hAnsi="Times New Roman" w:eastAsia="宋体" w:cs="Times New Roman"/>
          <w:sz w:val="24"/>
          <w:szCs w:val="24"/>
        </w:rPr>
        <w:t>根据</w:t>
      </w:r>
      <w:r>
        <w:rPr>
          <w:rFonts w:hint="default" w:ascii="Times New Roman" w:hAnsi="Times New Roman" w:cs="Times New Roman"/>
          <w:color w:val="000000" w:themeColor="text1"/>
        </w:rPr>
        <w:t>《</w:t>
      </w:r>
      <w:r>
        <w:rPr>
          <w:rFonts w:hint="default" w:ascii="Times New Roman" w:hAnsi="Times New Roman" w:eastAsia="宋体" w:cs="Times New Roman"/>
          <w:sz w:val="24"/>
          <w:szCs w:val="24"/>
        </w:rPr>
        <w:t>工业和信息化部办公厅印发关于2022年第三批行业标准制修订和外文版项目计划的通知</w:t>
      </w:r>
      <w:r>
        <w:rPr>
          <w:rFonts w:hint="default" w:ascii="Times New Roman" w:hAnsi="Times New Roman" w:cs="Times New Roman"/>
          <w:color w:val="000000" w:themeColor="text1"/>
        </w:rPr>
        <w:t>》</w:t>
      </w:r>
      <w:r>
        <w:rPr>
          <w:rFonts w:ascii="Times New Roman" w:hAnsi="Times New Roman" w:eastAsia="宋体" w:cs="Times New Roman"/>
          <w:sz w:val="24"/>
          <w:szCs w:val="24"/>
        </w:rPr>
        <w:t>（工信厅科</w:t>
      </w:r>
      <w:r>
        <w:rPr>
          <w:rFonts w:hint="default" w:ascii="Times New Roman" w:hAnsi="Times New Roman" w:cs="Times New Roman"/>
          <w:color w:val="000000" w:themeColor="text1"/>
        </w:rPr>
        <w:t>〔</w:t>
      </w:r>
      <w:r>
        <w:rPr>
          <w:rFonts w:ascii="Times New Roman" w:hAnsi="Times New Roman" w:cs="Times New Roman"/>
          <w:color w:val="000000" w:themeColor="text1"/>
        </w:rPr>
        <w:t>202</w:t>
      </w:r>
      <w:r>
        <w:rPr>
          <w:rFonts w:hint="default" w:ascii="Times New Roman" w:hAnsi="Times New Roman" w:cs="Times New Roman"/>
          <w:color w:val="000000" w:themeColor="text1"/>
          <w:lang w:val="en-US" w:eastAsia="zh-CN"/>
        </w:rPr>
        <w:t>2</w:t>
      </w:r>
      <w:r>
        <w:rPr>
          <w:rFonts w:ascii="Times New Roman" w:hAnsi="Times New Roman" w:cs="Times New Roman"/>
          <w:color w:val="000000" w:themeColor="text1"/>
        </w:rPr>
        <w:t>〕</w:t>
      </w:r>
      <w:r>
        <w:rPr>
          <w:rFonts w:hint="default" w:ascii="Times New Roman" w:hAnsi="Times New Roman" w:cs="Times New Roman"/>
          <w:sz w:val="24"/>
          <w:szCs w:val="24"/>
          <w:lang w:val="en-US" w:eastAsia="zh-CN"/>
        </w:rPr>
        <w:t>312</w:t>
      </w:r>
      <w:r>
        <w:rPr>
          <w:rFonts w:ascii="Times New Roman" w:hAnsi="Times New Roman" w:eastAsia="宋体" w:cs="Times New Roman"/>
          <w:sz w:val="24"/>
          <w:szCs w:val="24"/>
        </w:rPr>
        <w:t>号）文件要求，《</w:t>
      </w:r>
      <w:r>
        <w:rPr>
          <w:rFonts w:hint="default" w:ascii="Times New Roman" w:hAnsi="Times New Roman" w:cs="Times New Roman"/>
          <w:sz w:val="24"/>
          <w:szCs w:val="24"/>
          <w:lang w:val="en-US" w:eastAsia="zh-CN"/>
        </w:rPr>
        <w:t>超缓凝混凝土技术条件</w:t>
      </w:r>
      <w:r>
        <w:rPr>
          <w:rFonts w:ascii="Times New Roman" w:hAnsi="Times New Roman" w:eastAsia="宋体" w:cs="Times New Roman"/>
          <w:sz w:val="24"/>
          <w:szCs w:val="24"/>
        </w:rPr>
        <w:t>》列入了行业标准计划</w:t>
      </w:r>
      <w:r>
        <w:rPr>
          <w:rFonts w:hint="default" w:ascii="Times New Roman" w:hAnsi="Times New Roman" w:cs="Times New Roman"/>
          <w:sz w:val="24"/>
          <w:szCs w:val="24"/>
          <w:lang w:eastAsia="zh-CN"/>
        </w:rPr>
        <w:t>（</w:t>
      </w:r>
      <w:r>
        <w:rPr>
          <w:rFonts w:hint="default" w:ascii="Times New Roman" w:hAnsi="Times New Roman" w:cs="Times New Roman"/>
          <w:sz w:val="24"/>
          <w:szCs w:val="24"/>
          <w:lang w:val="en-US" w:eastAsia="zh-CN"/>
        </w:rPr>
        <w:t>计划</w:t>
      </w:r>
      <w:r>
        <w:rPr>
          <w:rFonts w:ascii="Times New Roman" w:hAnsi="Times New Roman" w:eastAsia="宋体" w:cs="Times New Roman"/>
          <w:sz w:val="24"/>
          <w:szCs w:val="24"/>
        </w:rPr>
        <w:t>编号：</w:t>
      </w:r>
      <w:r>
        <w:rPr>
          <w:rFonts w:hint="default" w:ascii="Times New Roman" w:hAnsi="Times New Roman" w:cs="Times New Roman"/>
        </w:rPr>
        <w:t>2022-1751T-JC</w:t>
      </w:r>
      <w:r>
        <w:rPr>
          <w:rFonts w:hint="default" w:ascii="Times New Roman" w:hAnsi="Times New Roman" w:cs="Times New Roman"/>
          <w:sz w:val="24"/>
          <w:szCs w:val="24"/>
          <w:lang w:eastAsia="zh-CN"/>
        </w:rPr>
        <w:t>）</w:t>
      </w:r>
      <w:r>
        <w:rPr>
          <w:rFonts w:hint="default" w:ascii="Times New Roman" w:hAnsi="Times New Roman" w:cs="Times New Roman"/>
          <w:lang w:eastAsia="zh-CN"/>
        </w:rPr>
        <w:t>，</w:t>
      </w:r>
      <w:r>
        <w:rPr>
          <w:rFonts w:ascii="Times New Roman" w:hAnsi="Times New Roman" w:eastAsia="宋体" w:cs="Times New Roman"/>
          <w:sz w:val="24"/>
          <w:szCs w:val="24"/>
        </w:rPr>
        <w:t>由建筑材料工业技术情报研究所</w:t>
      </w:r>
      <w:r>
        <w:rPr>
          <w:rFonts w:hint="default" w:ascii="Times New Roman" w:hAnsi="Times New Roman" w:eastAsia="宋体" w:cs="Times New Roman"/>
          <w:sz w:val="24"/>
          <w:szCs w:val="24"/>
        </w:rPr>
        <w:t>牵头组织</w:t>
      </w:r>
      <w:r>
        <w:rPr>
          <w:rFonts w:ascii="Times New Roman" w:hAnsi="Times New Roman" w:eastAsia="宋体" w:cs="Times New Roman"/>
          <w:sz w:val="24"/>
          <w:szCs w:val="24"/>
        </w:rPr>
        <w:t>编制工作，标准归口单位为建筑工业综合标准化技术委员会。国内主要</w:t>
      </w:r>
      <w:r>
        <w:rPr>
          <w:rFonts w:hint="default" w:ascii="Times New Roman" w:hAnsi="Times New Roman" w:cs="Times New Roman"/>
          <w:sz w:val="24"/>
          <w:szCs w:val="24"/>
          <w:lang w:val="en-US" w:eastAsia="zh-CN"/>
        </w:rPr>
        <w:t>超缓凝混凝土</w:t>
      </w:r>
      <w:r>
        <w:rPr>
          <w:rFonts w:ascii="Times New Roman" w:hAnsi="Times New Roman" w:eastAsia="宋体" w:cs="Times New Roman"/>
          <w:sz w:val="24"/>
          <w:szCs w:val="24"/>
        </w:rPr>
        <w:t>生产企业，应用企业，检测机构，科研院所，大专院校等有关单位共同参与起草</w:t>
      </w:r>
      <w:r>
        <w:rPr>
          <w:rFonts w:ascii="Times New Roman" w:hAnsi="Times New Roman" w:eastAsia="宋体" w:cs="Times New Roman"/>
          <w:color w:val="000000"/>
          <w:sz w:val="24"/>
          <w:szCs w:val="24"/>
        </w:rPr>
        <w:t>。</w:t>
      </w:r>
    </w:p>
    <w:p w14:paraId="74B4543A">
      <w:pPr>
        <w:pStyle w:val="30"/>
        <w:numPr>
          <w:ilvl w:val="1"/>
          <w:numId w:val="6"/>
        </w:numPr>
        <w:snapToGrid w:val="0"/>
        <w:spacing w:before="163" w:beforeLines="50" w:after="163" w:afterLines="50" w:line="500" w:lineRule="exact"/>
        <w:ind w:left="0"/>
        <w:rPr>
          <w:color w:val="000000" w:themeColor="text1"/>
          <w:sz w:val="24"/>
          <w:szCs w:val="24"/>
        </w:rPr>
      </w:pPr>
      <w:bookmarkStart w:id="8" w:name="_Toc44068192"/>
      <w:bookmarkStart w:id="9" w:name="_Toc108389247"/>
      <w:r>
        <w:rPr>
          <w:color w:val="000000" w:themeColor="text1"/>
          <w:sz w:val="24"/>
          <w:szCs w:val="24"/>
        </w:rPr>
        <w:t>起草单位</w:t>
      </w:r>
      <w:bookmarkEnd w:id="8"/>
      <w:bookmarkEnd w:id="9"/>
    </w:p>
    <w:p w14:paraId="1E4FE43A">
      <w:pPr>
        <w:spacing w:line="360" w:lineRule="auto"/>
        <w:ind w:firstLine="480" w:firstLineChars="200"/>
        <w:jc w:val="left"/>
        <w:rPr>
          <w:rFonts w:ascii="Times New Roman" w:hAnsi="Times New Roman" w:eastAsia="宋体" w:cs="Times New Roman"/>
          <w:sz w:val="24"/>
        </w:rPr>
      </w:pPr>
      <w:r>
        <w:rPr>
          <w:rFonts w:hint="eastAsia" w:eastAsiaTheme="majorEastAsia"/>
          <w:color w:val="000000" w:themeColor="text1"/>
        </w:rPr>
        <w:t>本标准由</w:t>
      </w:r>
      <w:r>
        <w:rPr>
          <w:rFonts w:hint="eastAsia" w:eastAsiaTheme="majorEastAsia"/>
          <w:color w:val="000000" w:themeColor="text1"/>
          <w:lang w:val="en-US" w:eastAsia="zh-CN"/>
        </w:rPr>
        <w:t>建筑材料工业技术情报研究所</w:t>
      </w:r>
      <w:r>
        <w:rPr>
          <w:rFonts w:hint="eastAsia" w:eastAsiaTheme="majorEastAsia"/>
          <w:color w:val="000000" w:themeColor="text1"/>
        </w:rPr>
        <w:t>等单位共同起草，形成《</w:t>
      </w:r>
      <w:r>
        <w:rPr>
          <w:rFonts w:hint="eastAsia"/>
          <w:color w:val="000000" w:themeColor="text1"/>
          <w:lang w:val="en-US" w:eastAsia="zh-CN"/>
        </w:rPr>
        <w:t>超缓凝土混凝土技术条件</w:t>
      </w:r>
      <w:r>
        <w:rPr>
          <w:rFonts w:hint="eastAsia" w:eastAsiaTheme="majorEastAsia"/>
          <w:color w:val="000000" w:themeColor="text1"/>
        </w:rPr>
        <w:t>》标准的编制组。</w:t>
      </w:r>
      <w:r>
        <w:rPr>
          <w:rFonts w:ascii="Times New Roman" w:hAnsi="Times New Roman" w:eastAsia="宋体" w:cs="Times New Roman"/>
          <w:sz w:val="24"/>
        </w:rPr>
        <w:t>本标准负责起草单位共家，参加起草单位共家。包括高校（家）、科研院所（家）、</w:t>
      </w:r>
      <w:r>
        <w:rPr>
          <w:rFonts w:hint="eastAsia" w:ascii="Times New Roman" w:hAnsi="Times New Roman" w:eastAsia="宋体" w:cs="Times New Roman"/>
          <w:sz w:val="24"/>
        </w:rPr>
        <w:t>检测单位</w:t>
      </w:r>
      <w:r>
        <w:rPr>
          <w:rFonts w:ascii="Times New Roman" w:hAnsi="Times New Roman" w:eastAsia="宋体" w:cs="Times New Roman"/>
          <w:sz w:val="24"/>
        </w:rPr>
        <w:t>（家）</w:t>
      </w:r>
      <w:r>
        <w:rPr>
          <w:rFonts w:hint="eastAsia" w:ascii="Times New Roman" w:hAnsi="Times New Roman" w:eastAsia="宋体" w:cs="Times New Roman"/>
          <w:sz w:val="24"/>
        </w:rPr>
        <w:t>、</w:t>
      </w:r>
      <w:r>
        <w:rPr>
          <w:rFonts w:ascii="Times New Roman" w:hAnsi="Times New Roman" w:eastAsia="宋体" w:cs="Times New Roman"/>
          <w:sz w:val="24"/>
        </w:rPr>
        <w:t>施工单位（家）、生产企业（家）和应用企业（家）等。涵盖了生产、消费、</w:t>
      </w:r>
      <w:r>
        <w:rPr>
          <w:rFonts w:hint="eastAsia" w:ascii="Times New Roman" w:hAnsi="Times New Roman" w:eastAsia="宋体" w:cs="Times New Roman"/>
          <w:sz w:val="24"/>
        </w:rPr>
        <w:t>检测、</w:t>
      </w:r>
      <w:r>
        <w:rPr>
          <w:rFonts w:ascii="Times New Roman" w:hAnsi="Times New Roman" w:eastAsia="宋体" w:cs="Times New Roman"/>
          <w:sz w:val="24"/>
        </w:rPr>
        <w:t>管理、研究</w:t>
      </w:r>
      <w:r>
        <w:rPr>
          <w:rFonts w:hint="eastAsia" w:ascii="Times New Roman" w:hAnsi="Times New Roman" w:eastAsia="宋体" w:cs="Times New Roman"/>
          <w:sz w:val="24"/>
          <w:lang w:eastAsia="zh-CN"/>
        </w:rPr>
        <w:t>、</w:t>
      </w:r>
      <w:r>
        <w:rPr>
          <w:rFonts w:hint="eastAsia" w:ascii="Times New Roman" w:hAnsi="Times New Roman" w:eastAsia="宋体" w:cs="Times New Roman"/>
          <w:sz w:val="24"/>
          <w:lang w:val="en-US" w:eastAsia="zh-CN"/>
        </w:rPr>
        <w:t>施工</w:t>
      </w:r>
      <w:r>
        <w:rPr>
          <w:rFonts w:ascii="Times New Roman" w:hAnsi="Times New Roman" w:eastAsia="宋体" w:cs="Times New Roman"/>
          <w:sz w:val="24"/>
        </w:rPr>
        <w:t>等相关领域的专家。</w:t>
      </w:r>
    </w:p>
    <w:p w14:paraId="04F90EF8">
      <w:pPr>
        <w:pStyle w:val="43"/>
        <w:spacing w:line="360" w:lineRule="auto"/>
        <w:ind w:firstLine="422"/>
        <w:jc w:val="center"/>
        <w:rPr>
          <w:rFonts w:ascii="Times New Roman"/>
          <w:color w:val="000000"/>
        </w:rPr>
      </w:pPr>
      <w:r>
        <w:rPr>
          <w:rFonts w:ascii="Times New Roman" w:hAnsi="宋体"/>
          <w:b/>
          <w:bCs/>
          <w:color w:val="000000"/>
        </w:rPr>
        <w:t>表</w:t>
      </w:r>
      <w:r>
        <w:rPr>
          <w:rFonts w:ascii="Times New Roman"/>
          <w:b/>
          <w:bCs/>
          <w:color w:val="000000"/>
        </w:rPr>
        <w:t xml:space="preserve">1 </w:t>
      </w:r>
      <w:r>
        <w:rPr>
          <w:rFonts w:ascii="Times New Roman" w:hAnsi="宋体"/>
          <w:b/>
          <w:bCs/>
          <w:color w:val="000000"/>
        </w:rPr>
        <w:t>主要参加单位及其所做工作</w:t>
      </w:r>
      <w:r>
        <w:rPr>
          <w:rFonts w:hint="eastAsia" w:ascii="Times New Roman" w:hAnsi="宋体"/>
          <w:b/>
          <w:bCs/>
          <w:color w:val="000000"/>
        </w:rPr>
        <w:t xml:space="preserve"> </w:t>
      </w:r>
    </w:p>
    <w:tbl>
      <w:tblPr>
        <w:tblStyle w:val="19"/>
        <w:tblW w:w="4998" w:type="pct"/>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108" w:type="dxa"/>
          <w:bottom w:w="0" w:type="dxa"/>
          <w:right w:w="108" w:type="dxa"/>
        </w:tblCellMar>
      </w:tblPr>
      <w:tblGrid>
        <w:gridCol w:w="518"/>
        <w:gridCol w:w="2525"/>
        <w:gridCol w:w="3228"/>
        <w:gridCol w:w="2242"/>
      </w:tblGrid>
      <w:tr w14:paraId="6E46893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304" w:type="pct"/>
            <w:vAlign w:val="center"/>
          </w:tcPr>
          <w:p w14:paraId="059F9B1C">
            <w:pPr>
              <w:pStyle w:val="43"/>
              <w:ind w:firstLine="0" w:firstLineChars="0"/>
              <w:jc w:val="center"/>
              <w:rPr>
                <w:rFonts w:ascii="Times New Roman"/>
                <w:color w:val="000000"/>
                <w:szCs w:val="21"/>
              </w:rPr>
            </w:pPr>
            <w:r>
              <w:rPr>
                <w:rFonts w:ascii="Times New Roman" w:hAnsi="宋体"/>
                <w:color w:val="000000"/>
                <w:szCs w:val="21"/>
              </w:rPr>
              <w:t>序号</w:t>
            </w:r>
          </w:p>
        </w:tc>
        <w:tc>
          <w:tcPr>
            <w:tcW w:w="1482" w:type="pct"/>
            <w:vAlign w:val="center"/>
          </w:tcPr>
          <w:p w14:paraId="664FA3CA">
            <w:pPr>
              <w:pStyle w:val="43"/>
              <w:ind w:firstLine="0" w:firstLineChars="0"/>
              <w:jc w:val="center"/>
              <w:rPr>
                <w:rFonts w:ascii="Times New Roman"/>
                <w:color w:val="000000"/>
                <w:szCs w:val="21"/>
              </w:rPr>
            </w:pPr>
            <w:r>
              <w:rPr>
                <w:rFonts w:ascii="Times New Roman" w:hAnsi="宋体"/>
                <w:color w:val="000000"/>
                <w:szCs w:val="21"/>
              </w:rPr>
              <w:t>主要完成工作</w:t>
            </w:r>
          </w:p>
        </w:tc>
        <w:tc>
          <w:tcPr>
            <w:tcW w:w="1895" w:type="pct"/>
            <w:vAlign w:val="center"/>
          </w:tcPr>
          <w:p w14:paraId="2427500C">
            <w:pPr>
              <w:pStyle w:val="43"/>
              <w:ind w:firstLine="0" w:firstLineChars="0"/>
              <w:jc w:val="center"/>
              <w:rPr>
                <w:rFonts w:ascii="Times New Roman"/>
                <w:color w:val="000000"/>
                <w:szCs w:val="21"/>
              </w:rPr>
            </w:pPr>
            <w:r>
              <w:rPr>
                <w:rFonts w:ascii="Times New Roman" w:hAnsi="宋体"/>
                <w:color w:val="000000"/>
                <w:szCs w:val="21"/>
              </w:rPr>
              <w:t>主要完成单位</w:t>
            </w:r>
          </w:p>
        </w:tc>
        <w:tc>
          <w:tcPr>
            <w:tcW w:w="1316" w:type="pct"/>
            <w:vAlign w:val="center"/>
          </w:tcPr>
          <w:p w14:paraId="084494A0">
            <w:pPr>
              <w:pStyle w:val="43"/>
              <w:ind w:firstLine="0" w:firstLineChars="0"/>
              <w:jc w:val="center"/>
              <w:rPr>
                <w:rFonts w:hint="eastAsia" w:ascii="Times New Roman" w:hAnsi="宋体" w:eastAsiaTheme="minorEastAsia"/>
                <w:color w:val="000000"/>
                <w:szCs w:val="21"/>
                <w:lang w:val="en-US" w:eastAsia="zh-CN"/>
              </w:rPr>
            </w:pPr>
            <w:r>
              <w:rPr>
                <w:rFonts w:hint="eastAsia" w:ascii="Times New Roman" w:hAnsi="宋体"/>
                <w:color w:val="000000"/>
                <w:szCs w:val="21"/>
                <w:lang w:val="en-US" w:eastAsia="zh-CN"/>
              </w:rPr>
              <w:t>成员</w:t>
            </w:r>
          </w:p>
        </w:tc>
      </w:tr>
      <w:tr w14:paraId="46E4790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304" w:type="pct"/>
            <w:vAlign w:val="center"/>
          </w:tcPr>
          <w:p w14:paraId="51B2F62A">
            <w:pPr>
              <w:pStyle w:val="43"/>
              <w:ind w:firstLine="0" w:firstLineChars="0"/>
              <w:jc w:val="center"/>
              <w:rPr>
                <w:rFonts w:ascii="Times New Roman"/>
                <w:color w:val="000000"/>
                <w:szCs w:val="21"/>
              </w:rPr>
            </w:pPr>
            <w:r>
              <w:rPr>
                <w:rFonts w:ascii="Times New Roman"/>
                <w:color w:val="000000"/>
                <w:szCs w:val="21"/>
              </w:rPr>
              <w:t>1</w:t>
            </w:r>
          </w:p>
        </w:tc>
        <w:tc>
          <w:tcPr>
            <w:tcW w:w="1482" w:type="pct"/>
            <w:vAlign w:val="center"/>
          </w:tcPr>
          <w:p w14:paraId="56A3E0F9">
            <w:pPr>
              <w:pStyle w:val="43"/>
              <w:ind w:firstLine="0" w:firstLineChars="0"/>
              <w:jc w:val="center"/>
              <w:rPr>
                <w:rFonts w:ascii="Times New Roman"/>
                <w:color w:val="000000"/>
                <w:szCs w:val="21"/>
              </w:rPr>
            </w:pPr>
            <w:r>
              <w:rPr>
                <w:rFonts w:ascii="Times New Roman" w:hAnsi="宋体"/>
                <w:color w:val="000000"/>
                <w:szCs w:val="21"/>
              </w:rPr>
              <w:t>行业状况及产品应用的前期调研</w:t>
            </w:r>
          </w:p>
        </w:tc>
        <w:tc>
          <w:tcPr>
            <w:tcW w:w="1895" w:type="pct"/>
            <w:vAlign w:val="center"/>
          </w:tcPr>
          <w:p w14:paraId="2178E29C">
            <w:pPr>
              <w:pStyle w:val="43"/>
              <w:ind w:firstLine="0" w:firstLineChars="0"/>
              <w:jc w:val="center"/>
              <w:rPr>
                <w:rFonts w:hint="eastAsia" w:ascii="Times New Roman" w:eastAsiaTheme="minorEastAsia"/>
                <w:color w:val="auto"/>
                <w:szCs w:val="21"/>
                <w:lang w:eastAsia="zh-CN"/>
              </w:rPr>
            </w:pPr>
            <w:r>
              <w:rPr>
                <w:rFonts w:hint="eastAsia" w:ascii="Times New Roman"/>
                <w:color w:val="000000"/>
                <w:szCs w:val="21"/>
              </w:rPr>
              <w:t>建筑材料工业技术情报研究所、</w:t>
            </w:r>
            <w:r>
              <w:rPr>
                <w:rFonts w:hint="eastAsia" w:ascii="Times New Roman" w:eastAsiaTheme="minorEastAsia"/>
                <w:color w:val="auto"/>
                <w:szCs w:val="21"/>
                <w:lang w:eastAsia="zh-CN"/>
              </w:rPr>
              <w:t>四川鸿仁建设工程有限公司、中德新亚建筑材料有限公司、中交三航局（厦门）海洋工程有限公司、江苏省水利建设工程有限公司、张家港市长江防洪工程管理处、成都建工集团有限公司、成都建工预筑科技有限公司</w:t>
            </w:r>
          </w:p>
        </w:tc>
        <w:tc>
          <w:tcPr>
            <w:tcW w:w="1316" w:type="pct"/>
            <w:vAlign w:val="center"/>
          </w:tcPr>
          <w:p w14:paraId="1EB594DC">
            <w:pPr>
              <w:pStyle w:val="43"/>
              <w:ind w:firstLine="0" w:firstLineChars="0"/>
              <w:jc w:val="center"/>
              <w:rPr>
                <w:rFonts w:hint="eastAsia" w:hAnsi="宋体" w:eastAsiaTheme="minorEastAsia"/>
                <w:color w:val="000000"/>
                <w:szCs w:val="24"/>
                <w:lang w:val="en-US" w:eastAsia="zh-CN" w:bidi="en-US"/>
              </w:rPr>
            </w:pPr>
            <w:r>
              <w:rPr>
                <w:rFonts w:hint="eastAsia" w:hAnsi="宋体" w:eastAsiaTheme="minorEastAsia"/>
                <w:color w:val="000000"/>
                <w:szCs w:val="24"/>
                <w:lang w:val="en-US" w:eastAsia="zh-CN" w:bidi="en-US"/>
              </w:rPr>
              <w:t>马旺坤、郭翠芬、刘峰、谭波、邵萌生、杨斌、汤应来、张伟、陈颖俊、刘宏、范晓玲</w:t>
            </w:r>
          </w:p>
        </w:tc>
      </w:tr>
      <w:tr w14:paraId="32D848D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304" w:type="pct"/>
            <w:vAlign w:val="center"/>
          </w:tcPr>
          <w:p w14:paraId="7B328B2A">
            <w:pPr>
              <w:pStyle w:val="43"/>
              <w:ind w:firstLine="0" w:firstLineChars="0"/>
              <w:jc w:val="center"/>
              <w:rPr>
                <w:rFonts w:ascii="Times New Roman"/>
                <w:color w:val="000000"/>
                <w:szCs w:val="21"/>
              </w:rPr>
            </w:pPr>
            <w:r>
              <w:rPr>
                <w:rFonts w:ascii="Times New Roman"/>
                <w:color w:val="000000"/>
                <w:szCs w:val="21"/>
              </w:rPr>
              <w:t>2</w:t>
            </w:r>
          </w:p>
        </w:tc>
        <w:tc>
          <w:tcPr>
            <w:tcW w:w="1482" w:type="pct"/>
            <w:vAlign w:val="center"/>
          </w:tcPr>
          <w:p w14:paraId="6F100B35">
            <w:pPr>
              <w:pStyle w:val="43"/>
              <w:ind w:firstLine="0" w:firstLineChars="0"/>
              <w:jc w:val="center"/>
              <w:rPr>
                <w:rFonts w:ascii="Times New Roman"/>
                <w:color w:val="000000"/>
                <w:szCs w:val="21"/>
              </w:rPr>
            </w:pPr>
            <w:r>
              <w:rPr>
                <w:rFonts w:ascii="Times New Roman" w:hAnsi="宋体"/>
                <w:color w:val="000000"/>
                <w:szCs w:val="21"/>
              </w:rPr>
              <w:t>国内外技术材料及相关标准的搜集</w:t>
            </w:r>
          </w:p>
        </w:tc>
        <w:tc>
          <w:tcPr>
            <w:tcW w:w="1895" w:type="pct"/>
            <w:shd w:val="clear" w:color="auto" w:fill="auto"/>
            <w:vAlign w:val="center"/>
          </w:tcPr>
          <w:p w14:paraId="03ECDDE6">
            <w:pPr>
              <w:pStyle w:val="43"/>
              <w:ind w:firstLine="0" w:firstLineChars="0"/>
              <w:jc w:val="center"/>
              <w:rPr>
                <w:rFonts w:hint="default" w:ascii="Times New Roman" w:hAnsi="Times New Roman" w:cs="Times New Roman" w:eastAsiaTheme="minorEastAsia"/>
                <w:color w:val="000000"/>
                <w:sz w:val="21"/>
                <w:szCs w:val="21"/>
                <w:lang w:val="en-US" w:eastAsia="zh-CN" w:bidi="ar-SA"/>
              </w:rPr>
            </w:pPr>
            <w:r>
              <w:rPr>
                <w:rFonts w:hint="eastAsia" w:ascii="Times New Roman"/>
                <w:color w:val="000000"/>
                <w:szCs w:val="21"/>
              </w:rPr>
              <w:t>建筑材料工业技术情报研究所、</w:t>
            </w:r>
            <w:r>
              <w:rPr>
                <w:rFonts w:hint="default" w:ascii="Times New Roman" w:eastAsiaTheme="minorEastAsia"/>
                <w:color w:val="000000"/>
                <w:szCs w:val="21"/>
                <w:lang w:val="en-US" w:eastAsia="zh-CN"/>
              </w:rPr>
              <w:t>中铁二十三局集团第一工程有限公司</w:t>
            </w:r>
            <w:r>
              <w:rPr>
                <w:rFonts w:hint="eastAsia" w:ascii="Times New Roman" w:eastAsiaTheme="minorEastAsia"/>
                <w:color w:val="000000"/>
                <w:szCs w:val="21"/>
                <w:lang w:val="en-US" w:eastAsia="zh-CN"/>
              </w:rPr>
              <w:t>、深圳市汇鑫混凝土有限公司、湖南宏振建设工程有限公司、中国建筑第四工程局有限公司、云南建投第五建设有限公司</w:t>
            </w:r>
          </w:p>
        </w:tc>
        <w:tc>
          <w:tcPr>
            <w:tcW w:w="1316" w:type="pct"/>
            <w:shd w:val="clear" w:color="auto" w:fill="auto"/>
            <w:vAlign w:val="center"/>
          </w:tcPr>
          <w:p w14:paraId="7835595D">
            <w:pPr>
              <w:pStyle w:val="43"/>
              <w:ind w:firstLine="0" w:firstLineChars="0"/>
              <w:jc w:val="center"/>
              <w:rPr>
                <w:rFonts w:hint="eastAsia" w:ascii="宋体" w:hAnsi="宋体" w:cs="Times New Roman" w:eastAsiaTheme="minorEastAsia"/>
                <w:color w:val="000000"/>
                <w:sz w:val="21"/>
                <w:szCs w:val="24"/>
                <w:lang w:val="en-US" w:eastAsia="zh-CN" w:bidi="en-US"/>
              </w:rPr>
            </w:pPr>
            <w:r>
              <w:rPr>
                <w:rFonts w:hint="eastAsia" w:hAnsi="宋体" w:eastAsiaTheme="minorEastAsia"/>
                <w:color w:val="000000"/>
                <w:szCs w:val="24"/>
                <w:lang w:val="en-US" w:eastAsia="zh-CN" w:bidi="en-US"/>
              </w:rPr>
              <w:t>马旺坤、董煊、焦鹏飞、余长虹、张麒麟、帅海乐、陈亦苏、杨永、刘俊峰</w:t>
            </w:r>
          </w:p>
        </w:tc>
      </w:tr>
      <w:tr w14:paraId="5EF638E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304" w:type="pct"/>
            <w:vAlign w:val="center"/>
          </w:tcPr>
          <w:p w14:paraId="37329878">
            <w:pPr>
              <w:pStyle w:val="43"/>
              <w:ind w:firstLine="0" w:firstLineChars="0"/>
              <w:jc w:val="center"/>
              <w:rPr>
                <w:rFonts w:ascii="Times New Roman"/>
                <w:color w:val="000000"/>
                <w:szCs w:val="21"/>
              </w:rPr>
            </w:pPr>
            <w:r>
              <w:rPr>
                <w:rFonts w:ascii="Times New Roman"/>
                <w:color w:val="000000"/>
                <w:szCs w:val="21"/>
              </w:rPr>
              <w:t>3</w:t>
            </w:r>
          </w:p>
        </w:tc>
        <w:tc>
          <w:tcPr>
            <w:tcW w:w="1482" w:type="pct"/>
            <w:vAlign w:val="center"/>
          </w:tcPr>
          <w:p w14:paraId="6C55FD36">
            <w:pPr>
              <w:pStyle w:val="43"/>
              <w:ind w:firstLine="0" w:firstLineChars="0"/>
              <w:jc w:val="center"/>
              <w:rPr>
                <w:rFonts w:ascii="Times New Roman"/>
                <w:color w:val="000000"/>
                <w:szCs w:val="21"/>
              </w:rPr>
            </w:pPr>
            <w:r>
              <w:rPr>
                <w:rFonts w:ascii="Times New Roman" w:hAnsi="宋体"/>
                <w:color w:val="000000"/>
                <w:szCs w:val="21"/>
              </w:rPr>
              <w:t>确定各项性能要求</w:t>
            </w:r>
          </w:p>
        </w:tc>
        <w:tc>
          <w:tcPr>
            <w:tcW w:w="1895" w:type="pct"/>
            <w:vAlign w:val="center"/>
          </w:tcPr>
          <w:p w14:paraId="0D3F8C64">
            <w:pPr>
              <w:pStyle w:val="43"/>
              <w:ind w:firstLine="0" w:firstLineChars="0"/>
              <w:jc w:val="center"/>
              <w:rPr>
                <w:rFonts w:hint="default" w:ascii="Times New Roman" w:eastAsia="宋体"/>
                <w:color w:val="000000"/>
                <w:szCs w:val="21"/>
                <w:lang w:val="en-US" w:eastAsia="zh-CN"/>
              </w:rPr>
            </w:pPr>
            <w:r>
              <w:rPr>
                <w:rFonts w:hint="eastAsia" w:ascii="Times New Roman"/>
                <w:color w:val="000000"/>
                <w:szCs w:val="21"/>
                <w:lang w:val="en-US" w:eastAsia="zh-CN"/>
              </w:rPr>
              <w:t>全体参编单位</w:t>
            </w:r>
          </w:p>
        </w:tc>
        <w:tc>
          <w:tcPr>
            <w:tcW w:w="1316" w:type="pct"/>
            <w:vAlign w:val="center"/>
          </w:tcPr>
          <w:p w14:paraId="33C32230">
            <w:pPr>
              <w:pStyle w:val="43"/>
              <w:ind w:firstLine="0" w:firstLineChars="0"/>
              <w:jc w:val="center"/>
              <w:rPr>
                <w:rFonts w:hint="default" w:hAnsi="宋体" w:eastAsiaTheme="minorEastAsia"/>
                <w:color w:val="000000"/>
                <w:szCs w:val="24"/>
                <w:lang w:val="en-US" w:eastAsia="zh-CN" w:bidi="en-US"/>
              </w:rPr>
            </w:pPr>
            <w:r>
              <w:rPr>
                <w:rFonts w:hint="eastAsia" w:hAnsi="宋体" w:eastAsiaTheme="minorEastAsia"/>
                <w:color w:val="000000"/>
                <w:szCs w:val="24"/>
                <w:lang w:val="en-US" w:eastAsia="zh-CN" w:bidi="en-US"/>
              </w:rPr>
              <w:t>全体参编人员</w:t>
            </w:r>
          </w:p>
        </w:tc>
      </w:tr>
      <w:tr w14:paraId="7C8A211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304" w:type="pct"/>
            <w:vAlign w:val="center"/>
          </w:tcPr>
          <w:p w14:paraId="7D2C8978">
            <w:pPr>
              <w:pStyle w:val="43"/>
              <w:ind w:firstLine="0" w:firstLineChars="0"/>
              <w:jc w:val="center"/>
              <w:rPr>
                <w:rFonts w:ascii="Times New Roman"/>
                <w:color w:val="000000"/>
                <w:szCs w:val="21"/>
              </w:rPr>
            </w:pPr>
            <w:r>
              <w:rPr>
                <w:rFonts w:ascii="Times New Roman"/>
                <w:color w:val="000000"/>
                <w:szCs w:val="21"/>
              </w:rPr>
              <w:t>4</w:t>
            </w:r>
          </w:p>
        </w:tc>
        <w:tc>
          <w:tcPr>
            <w:tcW w:w="1482" w:type="pct"/>
            <w:vAlign w:val="center"/>
          </w:tcPr>
          <w:p w14:paraId="2166B6D9">
            <w:pPr>
              <w:pStyle w:val="43"/>
              <w:ind w:firstLine="0" w:firstLineChars="0"/>
              <w:jc w:val="center"/>
              <w:rPr>
                <w:rFonts w:ascii="Times New Roman"/>
                <w:color w:val="000000"/>
                <w:szCs w:val="21"/>
              </w:rPr>
            </w:pPr>
            <w:r>
              <w:rPr>
                <w:rFonts w:ascii="Times New Roman" w:hAnsi="宋体"/>
                <w:color w:val="000000"/>
                <w:szCs w:val="21"/>
              </w:rPr>
              <w:t>提供验证试验数据</w:t>
            </w:r>
          </w:p>
        </w:tc>
        <w:tc>
          <w:tcPr>
            <w:tcW w:w="1895" w:type="pct"/>
            <w:vAlign w:val="center"/>
          </w:tcPr>
          <w:p w14:paraId="140DF733">
            <w:pPr>
              <w:pStyle w:val="43"/>
              <w:ind w:firstLine="0" w:firstLineChars="0"/>
              <w:jc w:val="center"/>
              <w:rPr>
                <w:rFonts w:hint="eastAsia" w:ascii="Times New Roman" w:eastAsia="宋体"/>
                <w:color w:val="000000"/>
                <w:szCs w:val="21"/>
                <w:lang w:eastAsia="zh-CN"/>
              </w:rPr>
            </w:pPr>
            <w:r>
              <w:rPr>
                <w:rFonts w:hint="eastAsia" w:ascii="Times New Roman"/>
                <w:color w:val="000000"/>
                <w:szCs w:val="21"/>
              </w:rPr>
              <w:t>建筑材料工业技术情报研究所、云南建投绿色高性能混凝土股份有限公司、北京铁建永泰新型建材有限公司</w:t>
            </w:r>
            <w:r>
              <w:rPr>
                <w:rFonts w:hint="eastAsia" w:ascii="Times New Roman"/>
                <w:color w:val="000000"/>
                <w:szCs w:val="21"/>
                <w:lang w:eastAsia="zh-CN"/>
              </w:rPr>
              <w:t>、北京建工新型建材有限责任公司</w:t>
            </w:r>
          </w:p>
        </w:tc>
        <w:tc>
          <w:tcPr>
            <w:tcW w:w="1316" w:type="pct"/>
            <w:vAlign w:val="center"/>
          </w:tcPr>
          <w:p w14:paraId="7CC2EB26">
            <w:pPr>
              <w:pStyle w:val="43"/>
              <w:ind w:firstLine="0" w:firstLineChars="0"/>
              <w:jc w:val="center"/>
              <w:rPr>
                <w:rFonts w:hint="default" w:hAnsi="宋体" w:eastAsiaTheme="minorEastAsia"/>
                <w:color w:val="000000"/>
                <w:szCs w:val="24"/>
                <w:lang w:val="en-US" w:eastAsia="zh-CN" w:bidi="en-US"/>
              </w:rPr>
            </w:pPr>
            <w:r>
              <w:rPr>
                <w:rFonts w:hint="eastAsia" w:hAnsi="宋体" w:eastAsiaTheme="minorEastAsia"/>
                <w:color w:val="000000"/>
                <w:szCs w:val="24"/>
                <w:lang w:val="en-US" w:eastAsia="zh-CN" w:bidi="en-US"/>
              </w:rPr>
              <w:t>马旺坤、郭翠芬、郭群、</w:t>
            </w:r>
            <w:r>
              <w:rPr>
                <w:rFonts w:hint="eastAsia" w:hAnsi="宋体" w:eastAsiaTheme="minorEastAsia"/>
                <w:color w:val="000000"/>
                <w:szCs w:val="24"/>
                <w:lang w:bidi="en-US"/>
              </w:rPr>
              <w:t>梁丽敏</w:t>
            </w:r>
            <w:r>
              <w:rPr>
                <w:rFonts w:hint="eastAsia" w:hAnsi="宋体" w:eastAsiaTheme="minorEastAsia"/>
                <w:color w:val="000000"/>
                <w:szCs w:val="24"/>
                <w:lang w:eastAsia="zh-CN" w:bidi="en-US"/>
              </w:rPr>
              <w:t>、</w:t>
            </w:r>
            <w:r>
              <w:rPr>
                <w:rFonts w:hint="eastAsia" w:hAnsi="宋体" w:eastAsiaTheme="minorEastAsia"/>
                <w:color w:val="000000"/>
                <w:szCs w:val="24"/>
                <w:lang w:bidi="en-US"/>
              </w:rPr>
              <w:t>王模弼</w:t>
            </w:r>
            <w:r>
              <w:rPr>
                <w:rFonts w:hint="eastAsia" w:hAnsi="宋体" w:eastAsiaTheme="minorEastAsia"/>
                <w:color w:val="000000"/>
                <w:szCs w:val="24"/>
                <w:lang w:eastAsia="zh-CN" w:bidi="en-US"/>
              </w:rPr>
              <w:t>、</w:t>
            </w:r>
            <w:r>
              <w:rPr>
                <w:rFonts w:hint="eastAsia" w:hAnsi="宋体" w:eastAsiaTheme="minorEastAsia"/>
                <w:color w:val="000000"/>
                <w:szCs w:val="24"/>
                <w:lang w:val="en-US" w:eastAsia="zh-CN" w:bidi="en-US"/>
              </w:rPr>
              <w:t>韩小华、倪坤</w:t>
            </w:r>
          </w:p>
        </w:tc>
      </w:tr>
      <w:tr w14:paraId="7860CDA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304" w:type="pct"/>
            <w:vAlign w:val="center"/>
          </w:tcPr>
          <w:p w14:paraId="03BAC8C0">
            <w:pPr>
              <w:pStyle w:val="43"/>
              <w:ind w:firstLine="0" w:firstLineChars="0"/>
              <w:jc w:val="center"/>
              <w:rPr>
                <w:rFonts w:ascii="Times New Roman"/>
                <w:color w:val="000000"/>
                <w:szCs w:val="21"/>
              </w:rPr>
            </w:pPr>
            <w:r>
              <w:rPr>
                <w:rFonts w:ascii="Times New Roman"/>
                <w:color w:val="000000"/>
                <w:szCs w:val="21"/>
              </w:rPr>
              <w:t>5</w:t>
            </w:r>
          </w:p>
        </w:tc>
        <w:tc>
          <w:tcPr>
            <w:tcW w:w="1482" w:type="pct"/>
            <w:vAlign w:val="center"/>
          </w:tcPr>
          <w:p w14:paraId="4AAFEF06">
            <w:pPr>
              <w:pStyle w:val="43"/>
              <w:ind w:firstLine="0" w:firstLineChars="0"/>
              <w:jc w:val="center"/>
              <w:rPr>
                <w:rFonts w:ascii="Times New Roman"/>
                <w:color w:val="000000"/>
                <w:szCs w:val="21"/>
              </w:rPr>
            </w:pPr>
            <w:r>
              <w:rPr>
                <w:rFonts w:ascii="Times New Roman" w:hAnsi="宋体"/>
                <w:color w:val="000000"/>
                <w:szCs w:val="21"/>
              </w:rPr>
              <w:t>资料汇总整理</w:t>
            </w:r>
          </w:p>
        </w:tc>
        <w:tc>
          <w:tcPr>
            <w:tcW w:w="1895" w:type="pct"/>
            <w:vAlign w:val="center"/>
          </w:tcPr>
          <w:p w14:paraId="7C51ED77">
            <w:pPr>
              <w:pStyle w:val="43"/>
              <w:ind w:firstLine="0" w:firstLineChars="0"/>
              <w:jc w:val="center"/>
              <w:rPr>
                <w:rFonts w:hint="default" w:ascii="Times New Roman" w:eastAsiaTheme="minorEastAsia"/>
                <w:color w:val="000000"/>
                <w:szCs w:val="21"/>
                <w:lang w:val="en-US" w:eastAsia="zh-CN"/>
              </w:rPr>
            </w:pPr>
            <w:r>
              <w:rPr>
                <w:rFonts w:hint="default" w:ascii="Times New Roman" w:eastAsiaTheme="minorEastAsia"/>
                <w:color w:val="000000"/>
                <w:szCs w:val="21"/>
                <w:lang w:val="en-US" w:eastAsia="zh-CN"/>
              </w:rPr>
              <w:t>邯郸金隅太行商砼科技有限公司</w:t>
            </w:r>
            <w:r>
              <w:rPr>
                <w:rFonts w:hint="eastAsia" w:ascii="Times New Roman" w:eastAsiaTheme="minorEastAsia"/>
                <w:color w:val="000000"/>
                <w:szCs w:val="21"/>
                <w:lang w:val="en-US" w:eastAsia="zh-CN"/>
              </w:rPr>
              <w:t>、临沂海螺新材料科技有限公司、招商局重庆交通科研设计院有限公司、北京市高强混凝土有限责任公司</w:t>
            </w:r>
          </w:p>
        </w:tc>
        <w:tc>
          <w:tcPr>
            <w:tcW w:w="1316" w:type="pct"/>
            <w:vAlign w:val="center"/>
          </w:tcPr>
          <w:p w14:paraId="21336857">
            <w:pPr>
              <w:pStyle w:val="43"/>
              <w:ind w:firstLine="0" w:firstLineChars="0"/>
              <w:jc w:val="center"/>
              <w:rPr>
                <w:rFonts w:hint="eastAsia" w:hAnsi="宋体" w:eastAsiaTheme="minorEastAsia"/>
                <w:color w:val="000000"/>
                <w:szCs w:val="24"/>
                <w:lang w:val="en-US" w:eastAsia="zh-CN" w:bidi="en-US"/>
              </w:rPr>
            </w:pPr>
            <w:r>
              <w:rPr>
                <w:rFonts w:hint="eastAsia" w:hAnsi="宋体" w:eastAsiaTheme="minorEastAsia"/>
                <w:color w:val="000000"/>
                <w:szCs w:val="24"/>
                <w:lang w:val="en-US" w:eastAsia="zh-CN" w:bidi="en-US"/>
              </w:rPr>
              <w:t>王进军、姜达超、耿波、袁佩、王波</w:t>
            </w:r>
          </w:p>
        </w:tc>
      </w:tr>
      <w:tr w14:paraId="0877E5F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283" w:hRule="atLeast"/>
        </w:trPr>
        <w:tc>
          <w:tcPr>
            <w:tcW w:w="304" w:type="pct"/>
            <w:vAlign w:val="center"/>
          </w:tcPr>
          <w:p w14:paraId="67B907C0">
            <w:pPr>
              <w:pStyle w:val="43"/>
              <w:ind w:firstLine="0" w:firstLineChars="0"/>
              <w:jc w:val="center"/>
              <w:rPr>
                <w:rFonts w:ascii="Times New Roman"/>
                <w:color w:val="000000"/>
                <w:szCs w:val="21"/>
              </w:rPr>
            </w:pPr>
            <w:r>
              <w:rPr>
                <w:rFonts w:ascii="Times New Roman"/>
                <w:color w:val="000000"/>
                <w:szCs w:val="21"/>
              </w:rPr>
              <w:t>6</w:t>
            </w:r>
          </w:p>
        </w:tc>
        <w:tc>
          <w:tcPr>
            <w:tcW w:w="1482" w:type="pct"/>
            <w:vAlign w:val="center"/>
          </w:tcPr>
          <w:p w14:paraId="62270DBE">
            <w:pPr>
              <w:pStyle w:val="43"/>
              <w:ind w:firstLine="0" w:firstLineChars="0"/>
              <w:jc w:val="center"/>
              <w:rPr>
                <w:rFonts w:ascii="Times New Roman"/>
                <w:color w:val="000000"/>
                <w:szCs w:val="21"/>
              </w:rPr>
            </w:pPr>
            <w:r>
              <w:rPr>
                <w:rFonts w:ascii="Times New Roman" w:hAnsi="宋体"/>
                <w:color w:val="000000"/>
                <w:szCs w:val="21"/>
              </w:rPr>
              <w:t>编写及完善编制说明等相关文件</w:t>
            </w:r>
          </w:p>
        </w:tc>
        <w:tc>
          <w:tcPr>
            <w:tcW w:w="1895" w:type="pct"/>
            <w:vAlign w:val="center"/>
          </w:tcPr>
          <w:p w14:paraId="075F0EFE">
            <w:pPr>
              <w:pStyle w:val="43"/>
              <w:ind w:firstLine="0" w:firstLineChars="0"/>
              <w:jc w:val="center"/>
              <w:rPr>
                <w:rFonts w:hint="eastAsia" w:ascii="Times New Roman" w:eastAsia="宋体"/>
                <w:color w:val="000000"/>
                <w:szCs w:val="21"/>
                <w:lang w:eastAsia="zh-CN"/>
              </w:rPr>
            </w:pPr>
            <w:r>
              <w:rPr>
                <w:rFonts w:hint="eastAsia" w:ascii="Times New Roman"/>
                <w:color w:val="000000"/>
                <w:szCs w:val="21"/>
              </w:rPr>
              <w:t>建筑材料工业技术情报研究所、云南建投绿色高性能混凝土股份有限公司、四川路航建设工程有限责任公司</w:t>
            </w:r>
            <w:r>
              <w:rPr>
                <w:rFonts w:hint="eastAsia" w:ascii="Times New Roman"/>
                <w:color w:val="000000"/>
                <w:szCs w:val="21"/>
                <w:lang w:eastAsia="zh-CN"/>
              </w:rPr>
              <w:t>、</w:t>
            </w:r>
            <w:r>
              <w:rPr>
                <w:rFonts w:hint="eastAsia" w:ascii="Times New Roman"/>
                <w:color w:val="000000"/>
                <w:szCs w:val="21"/>
              </w:rPr>
              <w:t>山东公用建设集团有限公司</w:t>
            </w:r>
            <w:r>
              <w:rPr>
                <w:rFonts w:hint="eastAsia" w:ascii="Times New Roman"/>
                <w:color w:val="000000"/>
                <w:szCs w:val="21"/>
                <w:lang w:eastAsia="zh-CN"/>
              </w:rPr>
              <w:t>、</w:t>
            </w:r>
            <w:r>
              <w:rPr>
                <w:rFonts w:hint="eastAsia" w:ascii="Times New Roman"/>
                <w:color w:val="000000"/>
                <w:szCs w:val="21"/>
              </w:rPr>
              <w:t>中交第二公路工程局有限公司</w:t>
            </w:r>
            <w:r>
              <w:rPr>
                <w:rFonts w:hint="eastAsia" w:ascii="Times New Roman"/>
                <w:color w:val="000000"/>
                <w:szCs w:val="21"/>
                <w:lang w:eastAsia="zh-CN"/>
              </w:rPr>
              <w:t>、中铁物贸集团昆明有限公司、中建西部建设（上海）有限公司</w:t>
            </w:r>
          </w:p>
        </w:tc>
        <w:tc>
          <w:tcPr>
            <w:tcW w:w="1316" w:type="pct"/>
            <w:vAlign w:val="center"/>
          </w:tcPr>
          <w:p w14:paraId="26247F63">
            <w:pPr>
              <w:pStyle w:val="43"/>
              <w:ind w:firstLine="0" w:firstLineChars="0"/>
              <w:jc w:val="center"/>
              <w:rPr>
                <w:rFonts w:hint="eastAsia" w:hAnsi="宋体" w:eastAsiaTheme="minorEastAsia"/>
                <w:color w:val="000000"/>
                <w:szCs w:val="24"/>
                <w:lang w:val="en-US" w:eastAsia="zh-CN" w:bidi="en-US"/>
              </w:rPr>
            </w:pPr>
            <w:r>
              <w:rPr>
                <w:rFonts w:hint="eastAsia" w:hAnsi="宋体" w:eastAsiaTheme="minorEastAsia"/>
                <w:color w:val="000000"/>
                <w:szCs w:val="24"/>
                <w:lang w:val="en-US" w:eastAsia="zh-CN" w:bidi="en-US"/>
              </w:rPr>
              <w:t>马旺坤、郭翠芬、郭群、</w:t>
            </w:r>
            <w:r>
              <w:rPr>
                <w:rFonts w:hint="eastAsia" w:hAnsi="宋体" w:eastAsiaTheme="minorEastAsia"/>
                <w:color w:val="000000"/>
                <w:szCs w:val="24"/>
                <w:lang w:bidi="en-US"/>
              </w:rPr>
              <w:t>梁丽敏</w:t>
            </w:r>
            <w:r>
              <w:rPr>
                <w:rFonts w:hint="eastAsia" w:hAnsi="宋体" w:eastAsiaTheme="minorEastAsia"/>
                <w:color w:val="000000"/>
                <w:szCs w:val="24"/>
                <w:lang w:eastAsia="zh-CN" w:bidi="en-US"/>
              </w:rPr>
              <w:t>、</w:t>
            </w:r>
            <w:r>
              <w:rPr>
                <w:rFonts w:hint="eastAsia" w:hAnsi="宋体" w:eastAsiaTheme="minorEastAsia"/>
                <w:color w:val="000000"/>
                <w:szCs w:val="24"/>
                <w:lang w:bidi="en-US"/>
              </w:rPr>
              <w:t>王模弼</w:t>
            </w:r>
            <w:r>
              <w:rPr>
                <w:rFonts w:hint="eastAsia" w:hAnsi="宋体" w:eastAsiaTheme="minorEastAsia"/>
                <w:color w:val="000000"/>
                <w:szCs w:val="24"/>
                <w:lang w:eastAsia="zh-CN" w:bidi="en-US"/>
              </w:rPr>
              <w:t>、</w:t>
            </w:r>
            <w:r>
              <w:rPr>
                <w:rFonts w:hint="eastAsia" w:hAnsi="宋体" w:eastAsiaTheme="minorEastAsia"/>
                <w:color w:val="000000"/>
                <w:szCs w:val="24"/>
                <w:lang w:bidi="en-US"/>
              </w:rPr>
              <w:t>许世辉、杨辉</w:t>
            </w:r>
            <w:r>
              <w:rPr>
                <w:rFonts w:hint="eastAsia" w:hAnsi="宋体" w:eastAsiaTheme="minorEastAsia"/>
                <w:color w:val="000000"/>
                <w:szCs w:val="24"/>
                <w:lang w:eastAsia="zh-CN" w:bidi="en-US"/>
              </w:rPr>
              <w:t>、</w:t>
            </w:r>
            <w:r>
              <w:rPr>
                <w:rFonts w:hint="eastAsia" w:hAnsi="宋体" w:eastAsiaTheme="minorEastAsia"/>
                <w:color w:val="000000"/>
                <w:szCs w:val="24"/>
                <w:lang w:bidi="en-US"/>
              </w:rPr>
              <w:t>步德新、李振强、杨凯、芦文文</w:t>
            </w:r>
            <w:r>
              <w:rPr>
                <w:rFonts w:hint="eastAsia" w:hAnsi="宋体" w:eastAsiaTheme="minorEastAsia"/>
                <w:color w:val="000000"/>
                <w:szCs w:val="24"/>
                <w:lang w:eastAsia="zh-CN" w:bidi="en-US"/>
              </w:rPr>
              <w:t>、薛成、郝生炜、童丰华、王龙、付健鹏、刘大春、黄义雄、郭玉林</w:t>
            </w:r>
          </w:p>
        </w:tc>
      </w:tr>
    </w:tbl>
    <w:p w14:paraId="4F01F26A">
      <w:pPr>
        <w:pStyle w:val="30"/>
        <w:numPr>
          <w:ilvl w:val="1"/>
          <w:numId w:val="6"/>
        </w:numPr>
        <w:spacing w:before="163" w:beforeLines="50" w:after="163" w:afterLines="50" w:line="500" w:lineRule="exact"/>
        <w:ind w:left="0"/>
        <w:rPr>
          <w:color w:val="000000" w:themeColor="text1"/>
          <w:sz w:val="24"/>
          <w:szCs w:val="24"/>
        </w:rPr>
      </w:pPr>
      <w:bookmarkStart w:id="10" w:name="_Toc44068193"/>
      <w:bookmarkStart w:id="11" w:name="_Toc108389248"/>
      <w:r>
        <w:rPr>
          <w:color w:val="000000" w:themeColor="text1"/>
          <w:sz w:val="24"/>
          <w:szCs w:val="24"/>
        </w:rPr>
        <w:t>标准编制背景及必要性</w:t>
      </w:r>
      <w:bookmarkEnd w:id="10"/>
      <w:bookmarkEnd w:id="11"/>
    </w:p>
    <w:p w14:paraId="63E6E781">
      <w:pPr>
        <w:spacing w:line="360" w:lineRule="auto"/>
        <w:ind w:firstLine="480" w:firstLineChars="200"/>
        <w:jc w:val="both"/>
        <w:rPr>
          <w:rFonts w:hint="default" w:ascii="Times New Roman" w:hAnsi="Times New Roman" w:cs="Times New Roman" w:eastAsiaTheme="minorEastAsia"/>
          <w:color w:val="000000" w:themeColor="text1"/>
          <w:szCs w:val="28"/>
        </w:rPr>
      </w:pPr>
      <w:r>
        <w:rPr>
          <w:rFonts w:hint="default" w:ascii="Times New Roman" w:hAnsi="Times New Roman" w:cs="Times New Roman" w:eastAsiaTheme="minorEastAsia"/>
          <w:color w:val="000000" w:themeColor="text1"/>
          <w:szCs w:val="28"/>
        </w:rPr>
        <w:t>近年来，我国城市建设不断推进，建筑物和构筑物朝着多元化和综合化的方向发展，混凝土作为建筑的主要材料必须与发展相适应。超缓凝混凝土是一种为了满足建设工程对混凝土凝结时间有特殊要求而专门配制的初凝时间不小于2</w:t>
      </w:r>
      <w:r>
        <w:rPr>
          <w:rFonts w:hint="eastAsia" w:ascii="Times New Roman" w:hAnsi="Times New Roman" w:cs="Times New Roman" w:eastAsiaTheme="minorEastAsia"/>
          <w:color w:val="000000" w:themeColor="text1"/>
          <w:szCs w:val="28"/>
          <w:lang w:eastAsia="zh-CN"/>
        </w:rPr>
        <w:t>4</w:t>
      </w:r>
      <w:r>
        <w:rPr>
          <w:rFonts w:hint="default" w:ascii="Times New Roman" w:hAnsi="Times New Roman" w:cs="Times New Roman" w:eastAsiaTheme="minorEastAsia"/>
          <w:color w:val="000000" w:themeColor="text1"/>
          <w:szCs w:val="28"/>
        </w:rPr>
        <w:t>h、初终凝时间差不大于20h、28d强度或设计龄期强度不低于设计强度等级的新型混凝土。可以弥补传统缓凝混凝土在凝结时间上的局限性，拓宽混凝土的应用领域。</w:t>
      </w:r>
    </w:p>
    <w:p w14:paraId="17C8F926">
      <w:pPr>
        <w:spacing w:line="360" w:lineRule="auto"/>
        <w:ind w:firstLine="480" w:firstLineChars="200"/>
        <w:jc w:val="both"/>
        <w:rPr>
          <w:rFonts w:hint="default" w:ascii="Times New Roman" w:hAnsi="Times New Roman" w:cs="Times New Roman" w:eastAsiaTheme="minorEastAsia"/>
          <w:color w:val="000000" w:themeColor="text1"/>
          <w:szCs w:val="28"/>
          <w:lang w:val="en-US" w:eastAsia="zh-CN"/>
        </w:rPr>
      </w:pPr>
      <w:r>
        <w:rPr>
          <w:rFonts w:hint="default" w:ascii="Times New Roman" w:hAnsi="Times New Roman" w:cs="Times New Roman" w:eastAsiaTheme="minorEastAsia"/>
          <w:color w:val="000000" w:themeColor="text1"/>
          <w:szCs w:val="28"/>
        </w:rPr>
        <w:t>目前</w:t>
      </w:r>
      <w:r>
        <w:rPr>
          <w:rFonts w:hint="eastAsia" w:ascii="Times New Roman" w:hAnsi="Times New Roman" w:cs="Times New Roman" w:eastAsiaTheme="minorEastAsia"/>
          <w:color w:val="000000" w:themeColor="text1"/>
          <w:szCs w:val="28"/>
          <w:lang w:eastAsia="zh-CN"/>
        </w:rPr>
        <w:t>，</w:t>
      </w:r>
      <w:r>
        <w:rPr>
          <w:rFonts w:hint="default" w:ascii="Times New Roman" w:hAnsi="Times New Roman" w:cs="Times New Roman" w:eastAsiaTheme="minorEastAsia"/>
          <w:color w:val="000000" w:themeColor="text1"/>
          <w:szCs w:val="28"/>
        </w:rPr>
        <w:t>超缓凝混凝土主要用</w:t>
      </w:r>
      <w:r>
        <w:rPr>
          <w:rFonts w:hint="default" w:ascii="Times New Roman" w:hAnsi="Times New Roman" w:cs="Times New Roman" w:eastAsiaTheme="minorEastAsia"/>
          <w:color w:val="000000" w:themeColor="text1"/>
          <w:szCs w:val="28"/>
          <w:lang w:val="en-US" w:eastAsia="zh-CN"/>
        </w:rPr>
        <w:t>大体积混凝土、</w:t>
      </w:r>
      <w:r>
        <w:rPr>
          <w:rFonts w:hint="default" w:ascii="Times New Roman" w:hAnsi="Times New Roman" w:cs="Times New Roman" w:eastAsiaTheme="minorEastAsia"/>
          <w:color w:val="000000" w:themeColor="text1"/>
          <w:szCs w:val="28"/>
        </w:rPr>
        <w:t>钻孔咬合桩</w:t>
      </w:r>
      <w:r>
        <w:rPr>
          <w:rFonts w:hint="default" w:ascii="Times New Roman" w:hAnsi="Times New Roman" w:cs="Times New Roman" w:eastAsiaTheme="minorEastAsia"/>
          <w:color w:val="000000" w:themeColor="text1"/>
          <w:szCs w:val="28"/>
          <w:lang w:eastAsia="zh-CN"/>
        </w:rPr>
        <w:t>、HPE液压垂直插入永久性钢管混凝土柱</w:t>
      </w:r>
      <w:r>
        <w:rPr>
          <w:rFonts w:hint="default" w:ascii="Times New Roman" w:hAnsi="Times New Roman" w:cs="Times New Roman" w:eastAsiaTheme="minorEastAsia"/>
          <w:color w:val="000000" w:themeColor="text1"/>
          <w:szCs w:val="28"/>
          <w:lang w:val="en-US" w:eastAsia="zh-CN"/>
        </w:rPr>
        <w:t>以及SCP同步切割浇筑混凝土连续墙等工程中</w:t>
      </w:r>
      <w:r>
        <w:rPr>
          <w:rFonts w:hint="default" w:ascii="Times New Roman" w:hAnsi="Times New Roman" w:cs="Times New Roman" w:eastAsiaTheme="minorEastAsia"/>
          <w:color w:val="000000" w:themeColor="text1"/>
          <w:szCs w:val="28"/>
        </w:rPr>
        <w:t>。钻孔咬合桩工程要求后续施工的钻孔桩在施钻时</w:t>
      </w:r>
      <w:r>
        <w:rPr>
          <w:rFonts w:hint="eastAsia" w:ascii="Times New Roman" w:hAnsi="Times New Roman" w:cs="Times New Roman" w:eastAsiaTheme="minorEastAsia"/>
          <w:color w:val="000000" w:themeColor="text1"/>
          <w:szCs w:val="28"/>
          <w:lang w:eastAsia="zh-CN"/>
        </w:rPr>
        <w:t>，</w:t>
      </w:r>
      <w:r>
        <w:rPr>
          <w:rFonts w:hint="default" w:ascii="Times New Roman" w:hAnsi="Times New Roman" w:cs="Times New Roman" w:eastAsiaTheme="minorEastAsia"/>
          <w:color w:val="000000" w:themeColor="text1"/>
          <w:szCs w:val="28"/>
        </w:rPr>
        <w:t>能对前期已浇筑完毕的钻孔桩桩身混凝土进行适量的切割</w:t>
      </w:r>
      <w:r>
        <w:rPr>
          <w:rFonts w:hint="eastAsia" w:ascii="Times New Roman" w:hAnsi="Times New Roman" w:cs="Times New Roman" w:eastAsiaTheme="minorEastAsia"/>
          <w:color w:val="000000" w:themeColor="text1"/>
          <w:szCs w:val="28"/>
          <w:lang w:eastAsia="zh-CN"/>
        </w:rPr>
        <w:t>，</w:t>
      </w:r>
      <w:r>
        <w:rPr>
          <w:rFonts w:hint="default" w:ascii="Times New Roman" w:hAnsi="Times New Roman" w:cs="Times New Roman" w:eastAsiaTheme="minorEastAsia"/>
          <w:color w:val="000000" w:themeColor="text1"/>
          <w:szCs w:val="28"/>
        </w:rPr>
        <w:t>相互咬合连成一个整体</w:t>
      </w:r>
      <w:r>
        <w:rPr>
          <w:rFonts w:hint="eastAsia" w:ascii="Times New Roman" w:hAnsi="Times New Roman" w:cs="Times New Roman" w:eastAsiaTheme="minorEastAsia"/>
          <w:color w:val="000000" w:themeColor="text1"/>
          <w:szCs w:val="28"/>
          <w:lang w:eastAsia="zh-CN"/>
        </w:rPr>
        <w:t>，</w:t>
      </w:r>
      <w:r>
        <w:rPr>
          <w:rFonts w:hint="default" w:ascii="Times New Roman" w:hAnsi="Times New Roman" w:cs="Times New Roman" w:eastAsiaTheme="minorEastAsia"/>
          <w:color w:val="000000" w:themeColor="text1"/>
          <w:szCs w:val="28"/>
        </w:rPr>
        <w:t>而达挡水止水作用</w:t>
      </w:r>
      <w:r>
        <w:rPr>
          <w:rFonts w:hint="eastAsia" w:ascii="Times New Roman" w:hAnsi="Times New Roman" w:cs="Times New Roman" w:eastAsiaTheme="minorEastAsia"/>
          <w:color w:val="000000" w:themeColor="text1"/>
          <w:szCs w:val="28"/>
          <w:lang w:eastAsia="zh-CN"/>
        </w:rPr>
        <w:t>，</w:t>
      </w:r>
      <w:r>
        <w:rPr>
          <w:rFonts w:hint="default" w:ascii="Times New Roman" w:hAnsi="Times New Roman" w:cs="Times New Roman" w:eastAsiaTheme="minorEastAsia"/>
          <w:color w:val="000000" w:themeColor="text1"/>
          <w:szCs w:val="28"/>
        </w:rPr>
        <w:t>该施工工艺的关键技术在于先施工的桩的桩身混凝土凝结时间要长，早期强度要低，符合切割要求。因此，被切割桩的超缓凝混凝土能否满足设计与施工要求是该工艺能否成功的关键</w:t>
      </w:r>
      <w:r>
        <w:rPr>
          <w:rFonts w:hint="default" w:ascii="Times New Roman" w:hAnsi="Times New Roman" w:cs="Times New Roman" w:eastAsiaTheme="minorEastAsia"/>
          <w:color w:val="000000" w:themeColor="text1"/>
          <w:szCs w:val="28"/>
          <w:lang w:eastAsia="zh-CN"/>
        </w:rPr>
        <w:t>；HPE液压垂直插入永久性钢管柱</w:t>
      </w:r>
      <w:r>
        <w:rPr>
          <w:rFonts w:hint="default" w:ascii="Times New Roman" w:hAnsi="Times New Roman" w:cs="Times New Roman" w:eastAsiaTheme="minorEastAsia"/>
          <w:color w:val="000000" w:themeColor="text1"/>
          <w:szCs w:val="28"/>
          <w:lang w:val="en-US" w:eastAsia="zh-CN"/>
        </w:rPr>
        <w:t>法是</w:t>
      </w:r>
      <w:r>
        <w:rPr>
          <w:rFonts w:hint="default" w:ascii="Times New Roman" w:hAnsi="Times New Roman" w:cs="Times New Roman" w:eastAsiaTheme="minorEastAsia"/>
          <w:color w:val="000000" w:themeColor="text1"/>
          <w:szCs w:val="28"/>
        </w:rPr>
        <w:t>逆作法钢管柱定位安装</w:t>
      </w:r>
      <w:r>
        <w:rPr>
          <w:rFonts w:hint="default" w:ascii="Times New Roman" w:hAnsi="Times New Roman" w:cs="Times New Roman" w:eastAsiaTheme="minorEastAsia"/>
          <w:color w:val="000000" w:themeColor="text1"/>
          <w:szCs w:val="28"/>
          <w:lang w:val="en-US" w:eastAsia="zh-CN"/>
        </w:rPr>
        <w:t>的一种</w:t>
      </w:r>
      <w:r>
        <w:rPr>
          <w:rFonts w:hint="default" w:ascii="Times New Roman" w:hAnsi="Times New Roman" w:cs="Times New Roman" w:eastAsiaTheme="minorEastAsia"/>
          <w:color w:val="000000" w:themeColor="text1"/>
          <w:szCs w:val="28"/>
        </w:rPr>
        <w:t>工艺</w:t>
      </w:r>
      <w:r>
        <w:rPr>
          <w:rFonts w:hint="default" w:ascii="Times New Roman" w:hAnsi="Times New Roman" w:cs="Times New Roman" w:eastAsiaTheme="minorEastAsia"/>
          <w:color w:val="000000" w:themeColor="text1"/>
          <w:szCs w:val="28"/>
          <w:lang w:eastAsia="zh-CN"/>
        </w:rPr>
        <w:t>，</w:t>
      </w:r>
      <w:r>
        <w:rPr>
          <w:rFonts w:hint="default" w:ascii="Times New Roman" w:hAnsi="Times New Roman" w:cs="Times New Roman" w:eastAsiaTheme="minorEastAsia"/>
          <w:color w:val="000000" w:themeColor="text1"/>
          <w:szCs w:val="28"/>
          <w:lang w:val="en-US" w:eastAsia="zh-CN"/>
        </w:rPr>
        <w:t>考虑插入钢管柱的需要，基础桩的混凝土需要一定的缓凝时间，缓凝时间应不大于混凝土运输时间、插入时间、浇筑时间、HPE插入机就位时间以及插入时间的总和；SCP同步切割浇筑混凝土连续墙中需要利用未凝固状态混凝土的侧压力顶推切割箱和隔离装置整体向前行进，向混凝土浇筑段未凝固混凝土内及时跟进下放劲性骨架，形成无缝劲性骨架混凝土地下连续墙，适合SCP技术的混凝土凝结时间长，确保一定长度范围内的混凝土具有较好的流动性。</w:t>
      </w:r>
    </w:p>
    <w:p w14:paraId="30CA4BD4">
      <w:pPr>
        <w:spacing w:line="360" w:lineRule="auto"/>
        <w:ind w:firstLine="480" w:firstLineChars="200"/>
        <w:jc w:val="both"/>
        <w:rPr>
          <w:rFonts w:hint="eastAsia" w:eastAsiaTheme="minorEastAsia"/>
          <w:color w:val="000000" w:themeColor="text1"/>
          <w:szCs w:val="28"/>
        </w:rPr>
      </w:pPr>
      <w:r>
        <w:rPr>
          <w:rFonts w:hint="eastAsia" w:eastAsiaTheme="minorEastAsia"/>
          <w:color w:val="000000" w:themeColor="text1"/>
          <w:szCs w:val="28"/>
        </w:rPr>
        <w:t>超缓凝混凝土属于半成品，具有质量动态变化及长期性、后滞性的特点，必然导致影响混凝土质量的因素是多方面的，供方和施工方都存在影响质量的因素。制定《超缓凝混凝土技术条件》行业标准，从原材料要求、性能要求、配合比设计、生产与施工要求、质量检验与验收要求等方面加强质量管控和过程管控，提高超缓凝混凝土产品质量的稳定性和可靠性，为超缓凝混凝土的推广应用提供基础保证，切实保证超缓凝混凝土工程质量。</w:t>
      </w:r>
    </w:p>
    <w:p w14:paraId="74169540">
      <w:pPr>
        <w:spacing w:line="360" w:lineRule="auto"/>
        <w:ind w:firstLine="480" w:firstLineChars="200"/>
        <w:jc w:val="both"/>
        <w:rPr>
          <w:rFonts w:hint="eastAsia" w:eastAsiaTheme="minorEastAsia"/>
          <w:color w:val="000000" w:themeColor="text1"/>
          <w:szCs w:val="28"/>
        </w:rPr>
      </w:pPr>
      <w:r>
        <w:rPr>
          <w:rFonts w:hint="eastAsia" w:eastAsiaTheme="minorEastAsia"/>
          <w:color w:val="000000" w:themeColor="text1"/>
          <w:szCs w:val="28"/>
        </w:rPr>
        <w:t>目前国内关于超缓凝混凝土还没有相关的国家和行业标准可循，本标准将根据我国现有的相关标准规范、科研成果和实践经验，考虑各地原材料差异情况，并参考国外先进技术制定，规范超缓凝混凝土的配制及超缓凝混凝土技术在建设工程中的应用，为配合比设计、生产、质量检验和验收等方面提供一个统一和规范的试验准则，使相关的试验及试验结果具有一致性和可比性，确保超缓凝混凝土质量安全可靠、技术先进、经济合理。</w:t>
      </w:r>
    </w:p>
    <w:p w14:paraId="327E2505">
      <w:pPr>
        <w:pStyle w:val="43"/>
        <w:numPr>
          <w:ilvl w:val="1"/>
          <w:numId w:val="6"/>
        </w:numPr>
        <w:spacing w:line="480" w:lineRule="auto"/>
        <w:ind w:left="0" w:firstLine="0" w:firstLineChars="0"/>
        <w:rPr>
          <w:rFonts w:hint="eastAsia" w:ascii="黑体" w:hAnsi="黑体" w:eastAsia="黑体" w:cs="黑体"/>
          <w:color w:val="000000" w:themeColor="text1"/>
          <w:sz w:val="24"/>
          <w:szCs w:val="24"/>
        </w:rPr>
      </w:pPr>
      <w:r>
        <w:rPr>
          <w:rFonts w:hint="eastAsia" w:ascii="黑体" w:hAnsi="黑体" w:eastAsia="黑体" w:cs="黑体"/>
          <w:color w:val="000000" w:themeColor="text1"/>
          <w:sz w:val="24"/>
          <w:szCs w:val="24"/>
        </w:rPr>
        <w:t>主要工作过程</w:t>
      </w:r>
    </w:p>
    <w:p w14:paraId="6A6738A8">
      <w:pPr>
        <w:pStyle w:val="2"/>
        <w:numPr>
          <w:ilvl w:val="2"/>
          <w:numId w:val="6"/>
        </w:numPr>
        <w:spacing w:before="100" w:after="100"/>
        <w:rPr>
          <w:rFonts w:ascii="Times New Roman" w:hAnsi="Times New Roman" w:eastAsia="宋体" w:cs="Times New Roman"/>
          <w:sz w:val="24"/>
        </w:rPr>
      </w:pPr>
      <w:bookmarkStart w:id="12" w:name="_Toc15047"/>
      <w:bookmarkStart w:id="13" w:name="_Toc24060"/>
      <w:bookmarkStart w:id="14" w:name="_Toc4901"/>
      <w:bookmarkStart w:id="15" w:name="_Toc24199"/>
      <w:bookmarkStart w:id="16" w:name="_Toc22288"/>
      <w:bookmarkStart w:id="17" w:name="_Toc728"/>
      <w:r>
        <w:rPr>
          <w:rFonts w:ascii="Times New Roman" w:hAnsi="Times New Roman" w:eastAsia="宋体" w:cs="Times New Roman"/>
          <w:sz w:val="24"/>
          <w:szCs w:val="24"/>
        </w:rPr>
        <w:t>成立工作组</w:t>
      </w:r>
      <w:bookmarkEnd w:id="12"/>
      <w:bookmarkEnd w:id="13"/>
      <w:bookmarkEnd w:id="14"/>
      <w:bookmarkEnd w:id="15"/>
      <w:bookmarkEnd w:id="16"/>
      <w:bookmarkEnd w:id="17"/>
    </w:p>
    <w:p w14:paraId="4716BA29">
      <w:pPr>
        <w:spacing w:line="360" w:lineRule="auto"/>
        <w:ind w:firstLine="480" w:firstLineChars="200"/>
        <w:rPr>
          <w:rFonts w:ascii="Times New Roman" w:hAnsi="Times New Roman" w:eastAsia="宋体" w:cs="Times New Roman"/>
          <w:sz w:val="24"/>
        </w:rPr>
      </w:pPr>
      <w:r>
        <w:rPr>
          <w:rFonts w:ascii="Times New Roman" w:hAnsi="Times New Roman" w:eastAsia="宋体" w:cs="Times New Roman"/>
          <w:sz w:val="24"/>
        </w:rPr>
        <w:t>建筑材料工业技术情报研究所接到任务后，首先收集相关标准，</w:t>
      </w:r>
      <w:r>
        <w:rPr>
          <w:rFonts w:ascii="Times New Roman" w:hAnsi="Times New Roman" w:eastAsia="宋体" w:cs="Times New Roman"/>
          <w:sz w:val="24"/>
          <w:szCs w:val="24"/>
        </w:rPr>
        <w:t>查询国内外</w:t>
      </w:r>
      <w:r>
        <w:rPr>
          <w:rFonts w:hint="eastAsia" w:ascii="Times New Roman" w:hAnsi="Times New Roman" w:cs="Times New Roman"/>
          <w:sz w:val="24"/>
          <w:szCs w:val="24"/>
          <w:lang w:val="en-US" w:eastAsia="zh-CN"/>
        </w:rPr>
        <w:t>超缓凝混凝土</w:t>
      </w:r>
      <w:r>
        <w:rPr>
          <w:rFonts w:ascii="Times New Roman" w:hAnsi="Times New Roman" w:eastAsia="宋体" w:cs="Times New Roman"/>
          <w:sz w:val="24"/>
          <w:szCs w:val="24"/>
        </w:rPr>
        <w:t>生产使用情况，调研生产企业的生产规模、产品规格。</w:t>
      </w:r>
      <w:r>
        <w:rPr>
          <w:rFonts w:ascii="Times New Roman" w:hAnsi="Times New Roman" w:eastAsia="宋体" w:cs="Times New Roman"/>
          <w:sz w:val="24"/>
        </w:rPr>
        <w:t>征集参加标准制定的单位，提出了标准制定工作计划。202</w:t>
      </w:r>
      <w:r>
        <w:rPr>
          <w:rFonts w:hint="eastAsia" w:ascii="Times New Roman" w:hAnsi="Times New Roman" w:cs="Times New Roman"/>
          <w:sz w:val="24"/>
          <w:lang w:val="en-US" w:eastAsia="zh-CN"/>
        </w:rPr>
        <w:t>3</w:t>
      </w:r>
      <w:r>
        <w:rPr>
          <w:rFonts w:ascii="Times New Roman" w:hAnsi="Times New Roman" w:eastAsia="宋体" w:cs="Times New Roman"/>
          <w:sz w:val="24"/>
        </w:rPr>
        <w:t>年</w:t>
      </w:r>
      <w:r>
        <w:rPr>
          <w:rFonts w:hint="eastAsia" w:ascii="Times New Roman" w:hAnsi="Times New Roman" w:cs="Times New Roman"/>
          <w:sz w:val="24"/>
          <w:lang w:val="en-US" w:eastAsia="zh-CN"/>
        </w:rPr>
        <w:t>12</w:t>
      </w:r>
      <w:r>
        <w:rPr>
          <w:rFonts w:ascii="Times New Roman" w:hAnsi="Times New Roman" w:eastAsia="宋体" w:cs="Times New Roman"/>
          <w:sz w:val="24"/>
        </w:rPr>
        <w:t>月在</w:t>
      </w:r>
      <w:r>
        <w:rPr>
          <w:rFonts w:hint="eastAsia" w:ascii="Times New Roman" w:hAnsi="Times New Roman" w:cs="Times New Roman"/>
          <w:sz w:val="24"/>
          <w:lang w:val="en-US" w:eastAsia="zh-CN"/>
        </w:rPr>
        <w:t>北京</w:t>
      </w:r>
      <w:r>
        <w:rPr>
          <w:rFonts w:ascii="Times New Roman" w:hAnsi="Times New Roman" w:eastAsia="宋体" w:cs="Times New Roman"/>
          <w:sz w:val="24"/>
        </w:rPr>
        <w:t>召开了第一次工作会议，</w:t>
      </w:r>
      <w:r>
        <w:rPr>
          <w:rFonts w:hint="eastAsia" w:ascii="Times New Roman" w:hAnsi="Times New Roman" w:cs="Times New Roman"/>
          <w:sz w:val="24"/>
          <w:lang w:val="en-US" w:eastAsia="zh-CN"/>
        </w:rPr>
        <w:t>共8家单位11人参加了会议，</w:t>
      </w:r>
      <w:r>
        <w:rPr>
          <w:rFonts w:ascii="Times New Roman" w:hAnsi="Times New Roman" w:eastAsia="宋体" w:cs="Times New Roman"/>
          <w:sz w:val="24"/>
        </w:rPr>
        <w:t>对标准的初稿和主要内容进行讨论，组成了标准工作组，明确了各成员单位的任务，并制定了详细的工作计划。</w:t>
      </w:r>
    </w:p>
    <w:p w14:paraId="44791C7C">
      <w:pPr>
        <w:spacing w:line="360" w:lineRule="auto"/>
        <w:ind w:firstLine="0" w:firstLineChars="0"/>
        <w:jc w:val="center"/>
        <w:rPr>
          <w:rFonts w:hint="default" w:ascii="Times New Roman" w:hAnsi="Times New Roman" w:eastAsia="宋体" w:cs="Times New Roman"/>
          <w:sz w:val="24"/>
          <w:lang w:val="en-US" w:eastAsia="zh-CN"/>
        </w:rPr>
      </w:pPr>
      <w:r>
        <w:rPr>
          <w:rFonts w:hint="eastAsia" w:ascii="Times New Roman" w:hAnsi="Times New Roman" w:eastAsia="宋体" w:cs="Times New Roman"/>
          <w:sz w:val="24"/>
          <w:lang w:eastAsia="zh-CN"/>
        </w:rPr>
        <w:drawing>
          <wp:inline distT="0" distB="0" distL="114300" distR="114300">
            <wp:extent cx="2336800" cy="1753235"/>
            <wp:effectExtent l="0" t="0" r="10160" b="14605"/>
            <wp:docPr id="1" name="图片 1" descr="7d36537a6095e3e553f2952d8039de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7d36537a6095e3e553f2952d8039de7"/>
                    <pic:cNvPicPr>
                      <a:picLocks noChangeAspect="1"/>
                    </pic:cNvPicPr>
                  </pic:nvPicPr>
                  <pic:blipFill>
                    <a:blip r:embed="rId6"/>
                    <a:stretch>
                      <a:fillRect/>
                    </a:stretch>
                  </pic:blipFill>
                  <pic:spPr>
                    <a:xfrm>
                      <a:off x="0" y="0"/>
                      <a:ext cx="2336800" cy="1753235"/>
                    </a:xfrm>
                    <a:prstGeom prst="rect">
                      <a:avLst/>
                    </a:prstGeom>
                  </pic:spPr>
                </pic:pic>
              </a:graphicData>
            </a:graphic>
          </wp:inline>
        </w:drawing>
      </w:r>
      <w:r>
        <w:rPr>
          <w:rFonts w:hint="eastAsia" w:ascii="Times New Roman" w:hAnsi="Times New Roman" w:cs="Times New Roman"/>
          <w:sz w:val="24"/>
          <w:lang w:val="en-US" w:eastAsia="zh-CN"/>
        </w:rPr>
        <w:t xml:space="preserve"> </w:t>
      </w:r>
      <w:r>
        <w:rPr>
          <w:rFonts w:hint="default" w:ascii="Times New Roman" w:hAnsi="Times New Roman" w:eastAsia="宋体" w:cs="Times New Roman"/>
          <w:sz w:val="24"/>
          <w:lang w:val="en-US" w:eastAsia="zh-CN"/>
        </w:rPr>
        <w:drawing>
          <wp:inline distT="0" distB="0" distL="114300" distR="114300">
            <wp:extent cx="2344420" cy="1758950"/>
            <wp:effectExtent l="0" t="0" r="2540" b="8890"/>
            <wp:docPr id="3" name="图片 3" descr="bc753b0b60f864518fd98df20e82e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bc753b0b60f864518fd98df20e82e88"/>
                    <pic:cNvPicPr>
                      <a:picLocks noChangeAspect="1"/>
                    </pic:cNvPicPr>
                  </pic:nvPicPr>
                  <pic:blipFill>
                    <a:blip r:embed="rId7"/>
                    <a:stretch>
                      <a:fillRect/>
                    </a:stretch>
                  </pic:blipFill>
                  <pic:spPr>
                    <a:xfrm>
                      <a:off x="0" y="0"/>
                      <a:ext cx="2344420" cy="1758950"/>
                    </a:xfrm>
                    <a:prstGeom prst="rect">
                      <a:avLst/>
                    </a:prstGeom>
                  </pic:spPr>
                </pic:pic>
              </a:graphicData>
            </a:graphic>
          </wp:inline>
        </w:drawing>
      </w:r>
    </w:p>
    <w:p w14:paraId="5A98DB12">
      <w:pPr>
        <w:spacing w:line="360" w:lineRule="auto"/>
        <w:ind w:firstLine="0" w:firstLineChars="0"/>
        <w:jc w:val="center"/>
        <w:rPr>
          <w:rFonts w:hint="default" w:ascii="Times New Roman" w:hAnsi="Times New Roman" w:eastAsia="宋体" w:cs="Times New Roman"/>
          <w:b/>
          <w:bCs/>
          <w:sz w:val="21"/>
          <w:szCs w:val="21"/>
          <w:lang w:val="en-US" w:eastAsia="zh-CN"/>
        </w:rPr>
      </w:pPr>
      <w:r>
        <w:rPr>
          <w:rFonts w:hint="eastAsia" w:ascii="Times New Roman" w:hAnsi="Times New Roman" w:cs="Times New Roman"/>
          <w:b/>
          <w:bCs/>
          <w:sz w:val="21"/>
          <w:szCs w:val="21"/>
          <w:lang w:val="en-US" w:eastAsia="zh-CN"/>
        </w:rPr>
        <w:t>图1 一次工作会照片</w:t>
      </w:r>
    </w:p>
    <w:p w14:paraId="088690F4">
      <w:pPr>
        <w:pStyle w:val="2"/>
        <w:numPr>
          <w:ilvl w:val="2"/>
          <w:numId w:val="6"/>
        </w:numPr>
        <w:spacing w:before="100" w:after="100" w:line="360" w:lineRule="auto"/>
        <w:rPr>
          <w:rFonts w:ascii="Times New Roman" w:hAnsi="Times New Roman" w:eastAsia="宋体" w:cs="Times New Roman"/>
          <w:sz w:val="24"/>
          <w:szCs w:val="24"/>
        </w:rPr>
      </w:pPr>
      <w:bookmarkStart w:id="18" w:name="_Toc5408"/>
      <w:bookmarkStart w:id="19" w:name="_Toc741"/>
      <w:bookmarkStart w:id="20" w:name="_Toc21900"/>
      <w:bookmarkStart w:id="21" w:name="_Toc17669"/>
      <w:bookmarkStart w:id="22" w:name="_Toc5290"/>
      <w:bookmarkStart w:id="23" w:name="_Toc28742"/>
      <w:r>
        <w:rPr>
          <w:rFonts w:ascii="Times New Roman" w:hAnsi="Times New Roman" w:eastAsia="宋体" w:cs="Times New Roman"/>
          <w:sz w:val="24"/>
          <w:szCs w:val="24"/>
        </w:rPr>
        <w:t>样品征集和验证试验</w:t>
      </w:r>
      <w:bookmarkEnd w:id="18"/>
      <w:bookmarkEnd w:id="19"/>
      <w:bookmarkEnd w:id="20"/>
      <w:bookmarkEnd w:id="21"/>
      <w:bookmarkEnd w:id="22"/>
      <w:bookmarkEnd w:id="23"/>
    </w:p>
    <w:p w14:paraId="32F7C80C">
      <w:pPr>
        <w:spacing w:before="156" w:beforeLines="50"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202</w:t>
      </w:r>
      <w:r>
        <w:rPr>
          <w:rFonts w:hint="eastAsia" w:ascii="Times New Roman" w:hAnsi="Times New Roman" w:cs="Times New Roman"/>
          <w:sz w:val="24"/>
          <w:szCs w:val="24"/>
          <w:lang w:val="en-US" w:eastAsia="zh-CN"/>
        </w:rPr>
        <w:t>4</w:t>
      </w:r>
      <w:r>
        <w:rPr>
          <w:rFonts w:ascii="Times New Roman" w:hAnsi="Times New Roman" w:eastAsia="宋体" w:cs="Times New Roman"/>
          <w:sz w:val="24"/>
          <w:szCs w:val="24"/>
        </w:rPr>
        <w:t>年</w:t>
      </w:r>
      <w:r>
        <w:rPr>
          <w:rFonts w:hint="eastAsia" w:ascii="Times New Roman" w:hAnsi="Times New Roman" w:cs="Times New Roman"/>
          <w:sz w:val="24"/>
          <w:szCs w:val="24"/>
          <w:lang w:val="en-US" w:eastAsia="zh-CN"/>
        </w:rPr>
        <w:t>1</w:t>
      </w:r>
      <w:r>
        <w:rPr>
          <w:rFonts w:ascii="Times New Roman" w:hAnsi="Times New Roman" w:eastAsia="宋体" w:cs="Times New Roman"/>
          <w:sz w:val="24"/>
          <w:szCs w:val="24"/>
        </w:rPr>
        <w:t>月-202</w:t>
      </w:r>
      <w:r>
        <w:rPr>
          <w:rFonts w:hint="eastAsia" w:ascii="Times New Roman" w:hAnsi="Times New Roman" w:cs="Times New Roman"/>
          <w:sz w:val="24"/>
          <w:szCs w:val="24"/>
          <w:lang w:val="en-US" w:eastAsia="zh-CN"/>
        </w:rPr>
        <w:t>4</w:t>
      </w:r>
      <w:r>
        <w:rPr>
          <w:rFonts w:ascii="Times New Roman" w:hAnsi="Times New Roman" w:eastAsia="宋体" w:cs="Times New Roman"/>
          <w:sz w:val="24"/>
          <w:szCs w:val="24"/>
        </w:rPr>
        <w:t>年</w:t>
      </w:r>
      <w:r>
        <w:rPr>
          <w:rFonts w:hint="eastAsia" w:ascii="Times New Roman" w:hAnsi="Times New Roman" w:cs="Times New Roman"/>
          <w:sz w:val="24"/>
          <w:szCs w:val="24"/>
          <w:lang w:val="en-US" w:eastAsia="zh-CN"/>
        </w:rPr>
        <w:t>10</w:t>
      </w:r>
      <w:r>
        <w:rPr>
          <w:rFonts w:ascii="Times New Roman" w:hAnsi="Times New Roman" w:eastAsia="宋体" w:cs="Times New Roman"/>
          <w:sz w:val="24"/>
          <w:szCs w:val="24"/>
        </w:rPr>
        <w:t>月收集到国内</w:t>
      </w:r>
      <w:r>
        <w:rPr>
          <w:rFonts w:hint="eastAsia" w:ascii="Times New Roman" w:hAnsi="Times New Roman" w:cs="Times New Roman"/>
          <w:sz w:val="24"/>
          <w:szCs w:val="24"/>
          <w:lang w:val="en-US" w:eastAsia="zh-CN"/>
        </w:rPr>
        <w:t>超缓凝混凝土产品</w:t>
      </w:r>
      <w:r>
        <w:rPr>
          <w:rFonts w:hint="eastAsia" w:ascii="Times New Roman" w:hAnsi="Times New Roman" w:eastAsia="宋体" w:cs="Times New Roman"/>
          <w:sz w:val="24"/>
          <w:szCs w:val="24"/>
          <w:lang w:val="en-US" w:eastAsia="zh-CN"/>
        </w:rPr>
        <w:t>。</w:t>
      </w:r>
      <w:r>
        <w:rPr>
          <w:rFonts w:ascii="Times New Roman" w:hAnsi="Times New Roman" w:eastAsia="宋体" w:cs="Times New Roman"/>
          <w:sz w:val="24"/>
          <w:szCs w:val="24"/>
        </w:rPr>
        <w:t>本次验证试验由</w:t>
      </w:r>
      <w:r>
        <w:rPr>
          <w:rFonts w:hint="eastAsia" w:ascii="Times New Roman" w:hAnsi="Times New Roman" w:cs="Times New Roman"/>
          <w:sz w:val="24"/>
          <w:szCs w:val="24"/>
          <w:lang w:val="en-US" w:eastAsia="zh-CN"/>
        </w:rPr>
        <w:t>建筑材料工业技术情报研究所、云南建投绿色高性能混凝土股份有限公司、北京铁建永泰新型建材有限公司</w:t>
      </w:r>
      <w:r>
        <w:rPr>
          <w:rFonts w:ascii="Times New Roman" w:hAnsi="Times New Roman" w:eastAsia="宋体" w:cs="Times New Roman"/>
          <w:sz w:val="24"/>
          <w:szCs w:val="24"/>
        </w:rPr>
        <w:t>共同进行</w:t>
      </w:r>
      <w:r>
        <w:rPr>
          <w:rFonts w:hint="eastAsia" w:ascii="Times New Roman" w:hAnsi="Times New Roman" w:cs="Times New Roman"/>
          <w:sz w:val="24"/>
          <w:szCs w:val="24"/>
          <w:lang w:eastAsia="zh-CN"/>
        </w:rPr>
        <w:t>，</w:t>
      </w:r>
      <w:r>
        <w:rPr>
          <w:rFonts w:hint="eastAsia" w:ascii="Times New Roman" w:hAnsi="Times New Roman" w:cs="Times New Roman"/>
          <w:sz w:val="24"/>
          <w:szCs w:val="24"/>
          <w:lang w:val="en-US" w:eastAsia="zh-CN"/>
        </w:rPr>
        <w:t>验证了超缓凝混凝土配合比、超缓凝混凝土坍落度、坍落度经时损失、扩展度、初凝时间、终凝时间、初终凝时间差、</w:t>
      </w:r>
      <w:r>
        <w:rPr>
          <w:rFonts w:hint="eastAsia" w:ascii="宋体" w:hAnsi="宋体" w:eastAsia="宋体" w:cs="Times New Roman"/>
          <w:color w:val="auto"/>
          <w:kern w:val="0"/>
          <w:szCs w:val="20"/>
          <w:lang w:val="en-US" w:eastAsia="zh-CN"/>
        </w:rPr>
        <w:t>水溶性氯离子最大含量</w:t>
      </w:r>
      <w:r>
        <w:rPr>
          <w:rFonts w:hint="eastAsia" w:cs="Times New Roman"/>
          <w:color w:val="auto"/>
          <w:kern w:val="0"/>
          <w:szCs w:val="20"/>
          <w:lang w:val="en-US" w:eastAsia="zh-CN"/>
        </w:rPr>
        <w:t>、泌水率、抗压强度、耐久性能等</w:t>
      </w:r>
      <w:r>
        <w:rPr>
          <w:rFonts w:hint="eastAsia" w:ascii="Times New Roman" w:hAnsi="Times New Roman" w:eastAsia="宋体" w:cs="Times New Roman"/>
          <w:sz w:val="24"/>
          <w:szCs w:val="24"/>
        </w:rPr>
        <w:t>。</w:t>
      </w:r>
      <w:r>
        <w:rPr>
          <w:rFonts w:ascii="Times New Roman" w:hAnsi="Times New Roman" w:eastAsia="宋体" w:cs="Times New Roman"/>
          <w:sz w:val="24"/>
          <w:szCs w:val="24"/>
        </w:rPr>
        <w:cr/>
      </w:r>
      <w:r>
        <w:rPr>
          <w:rFonts w:hint="eastAsia" w:ascii="Times New Roman" w:hAnsi="Times New Roman" w:cs="Times New Roman"/>
          <w:sz w:val="24"/>
          <w:szCs w:val="24"/>
          <w:lang w:val="en-US" w:eastAsia="zh-CN"/>
        </w:rPr>
        <w:t xml:space="preserve">    </w:t>
      </w:r>
      <w:r>
        <w:rPr>
          <w:rFonts w:ascii="Times New Roman" w:hAnsi="Times New Roman" w:eastAsia="宋体" w:cs="Times New Roman"/>
          <w:sz w:val="24"/>
          <w:szCs w:val="24"/>
        </w:rPr>
        <w:t>验证试验期间，标准起草组与行业技术专家、企业技术专家采取电话沟通及视频会议的方式，对试验进程，试验结果进行了充分地讨论。</w:t>
      </w:r>
    </w:p>
    <w:p w14:paraId="767EFB92">
      <w:pPr>
        <w:pStyle w:val="2"/>
        <w:numPr>
          <w:ilvl w:val="2"/>
          <w:numId w:val="6"/>
        </w:numPr>
        <w:spacing w:before="100" w:after="100" w:line="360" w:lineRule="auto"/>
        <w:rPr>
          <w:rFonts w:ascii="Times New Roman" w:hAnsi="Times New Roman" w:eastAsia="宋体" w:cs="Times New Roman"/>
          <w:sz w:val="24"/>
          <w:szCs w:val="24"/>
        </w:rPr>
      </w:pPr>
      <w:bookmarkStart w:id="24" w:name="_Toc25916"/>
      <w:bookmarkStart w:id="25" w:name="_Toc4790"/>
      <w:bookmarkStart w:id="26" w:name="_Toc15092"/>
      <w:bookmarkStart w:id="27" w:name="_Toc7690"/>
      <w:bookmarkStart w:id="28" w:name="_Toc17039"/>
      <w:bookmarkStart w:id="29" w:name="_Toc28793"/>
      <w:r>
        <w:rPr>
          <w:rFonts w:ascii="Times New Roman" w:hAnsi="Times New Roman" w:eastAsia="宋体" w:cs="Times New Roman"/>
          <w:sz w:val="24"/>
          <w:szCs w:val="24"/>
        </w:rPr>
        <w:t>标准征求意见稿的确定</w:t>
      </w:r>
      <w:bookmarkEnd w:id="24"/>
      <w:bookmarkEnd w:id="25"/>
      <w:bookmarkEnd w:id="26"/>
      <w:bookmarkEnd w:id="27"/>
      <w:bookmarkEnd w:id="28"/>
      <w:bookmarkEnd w:id="29"/>
    </w:p>
    <w:p w14:paraId="2ED9D2CC">
      <w:pPr>
        <w:spacing w:line="360" w:lineRule="auto"/>
        <w:ind w:firstLine="480" w:firstLineChars="200"/>
        <w:rPr>
          <w:rFonts w:hint="eastAsia" w:ascii="Times New Roman" w:hAnsi="Times New Roman" w:eastAsia="宋体" w:cs="Times New Roman"/>
          <w:sz w:val="24"/>
          <w:szCs w:val="24"/>
        </w:rPr>
      </w:pPr>
      <w:r>
        <w:rPr>
          <w:rFonts w:ascii="Times New Roman" w:hAnsi="Times New Roman" w:eastAsia="宋体" w:cs="Times New Roman"/>
          <w:sz w:val="24"/>
          <w:szCs w:val="24"/>
        </w:rPr>
        <w:t>202</w:t>
      </w:r>
      <w:r>
        <w:rPr>
          <w:rFonts w:hint="eastAsia" w:ascii="Times New Roman" w:hAnsi="Times New Roman" w:cs="Times New Roman"/>
          <w:sz w:val="24"/>
          <w:szCs w:val="24"/>
          <w:lang w:val="en-US" w:eastAsia="zh-CN"/>
        </w:rPr>
        <w:t>4</w:t>
      </w:r>
      <w:r>
        <w:rPr>
          <w:rFonts w:ascii="Times New Roman" w:hAnsi="Times New Roman" w:eastAsia="宋体" w:cs="Times New Roman"/>
          <w:sz w:val="24"/>
          <w:szCs w:val="24"/>
        </w:rPr>
        <w:t>年1</w:t>
      </w:r>
      <w:r>
        <w:rPr>
          <w:rFonts w:hint="eastAsia" w:ascii="Times New Roman" w:hAnsi="Times New Roman" w:cs="Times New Roman"/>
          <w:sz w:val="24"/>
          <w:szCs w:val="24"/>
          <w:lang w:val="en-US" w:eastAsia="zh-CN"/>
        </w:rPr>
        <w:t>2</w:t>
      </w:r>
      <w:r>
        <w:rPr>
          <w:rFonts w:ascii="Times New Roman" w:hAnsi="Times New Roman" w:eastAsia="宋体" w:cs="Times New Roman"/>
          <w:sz w:val="24"/>
          <w:szCs w:val="24"/>
        </w:rPr>
        <w:t>月</w:t>
      </w:r>
      <w:r>
        <w:rPr>
          <w:rFonts w:hint="eastAsia" w:ascii="Times New Roman" w:hAnsi="Times New Roman" w:cs="Times New Roman"/>
          <w:sz w:val="24"/>
          <w:szCs w:val="24"/>
          <w:lang w:val="en-US" w:eastAsia="zh-CN"/>
        </w:rPr>
        <w:t>23</w:t>
      </w:r>
      <w:r>
        <w:rPr>
          <w:rFonts w:ascii="Times New Roman" w:hAnsi="Times New Roman" w:eastAsia="宋体" w:cs="Times New Roman"/>
          <w:sz w:val="24"/>
          <w:szCs w:val="24"/>
        </w:rPr>
        <w:t>日采用</w:t>
      </w:r>
      <w:r>
        <w:rPr>
          <w:rFonts w:hint="eastAsia" w:ascii="Times New Roman" w:hAnsi="Times New Roman" w:cs="Times New Roman"/>
          <w:sz w:val="24"/>
          <w:szCs w:val="24"/>
          <w:lang w:val="en-US" w:eastAsia="zh-CN"/>
        </w:rPr>
        <w:t>线下+线上的</w:t>
      </w:r>
      <w:r>
        <w:rPr>
          <w:rFonts w:ascii="Times New Roman" w:hAnsi="Times New Roman" w:eastAsia="宋体" w:cs="Times New Roman"/>
          <w:sz w:val="24"/>
          <w:szCs w:val="24"/>
        </w:rPr>
        <w:t>会议形式召开第二次工作会议，共</w:t>
      </w:r>
      <w:r>
        <w:rPr>
          <w:rFonts w:hint="eastAsia" w:ascii="Times New Roman" w:hAnsi="Times New Roman" w:cs="Times New Roman"/>
          <w:sz w:val="24"/>
          <w:szCs w:val="24"/>
          <w:lang w:val="en-US" w:eastAsia="zh-CN"/>
        </w:rPr>
        <w:t>13</w:t>
      </w:r>
      <w:r>
        <w:rPr>
          <w:rFonts w:ascii="Times New Roman" w:hAnsi="Times New Roman" w:eastAsia="宋体" w:cs="Times New Roman"/>
          <w:sz w:val="24"/>
          <w:szCs w:val="24"/>
        </w:rPr>
        <w:t>家单位的</w:t>
      </w:r>
      <w:r>
        <w:rPr>
          <w:rFonts w:hint="eastAsia" w:ascii="Times New Roman" w:hAnsi="Times New Roman" w:cs="Times New Roman"/>
          <w:sz w:val="24"/>
          <w:szCs w:val="24"/>
          <w:lang w:val="en-US" w:eastAsia="zh-CN"/>
        </w:rPr>
        <w:t>19</w:t>
      </w:r>
      <w:r>
        <w:rPr>
          <w:rFonts w:ascii="Times New Roman" w:hAnsi="Times New Roman" w:eastAsia="宋体" w:cs="Times New Roman"/>
          <w:sz w:val="24"/>
          <w:szCs w:val="24"/>
        </w:rPr>
        <w:t>位代表参加了会议，会上对标准讨论稿的主要章节进行了逐条研讨，补充修改了标准稿件</w:t>
      </w:r>
      <w:r>
        <w:rPr>
          <w:rFonts w:hint="eastAsia" w:ascii="Times New Roman" w:hAnsi="Times New Roman" w:eastAsia="宋体" w:cs="Times New Roman"/>
          <w:sz w:val="24"/>
          <w:szCs w:val="24"/>
        </w:rPr>
        <w:t>。</w:t>
      </w:r>
    </w:p>
    <w:p w14:paraId="5CDC5B7B">
      <w:pPr>
        <w:spacing w:line="360" w:lineRule="auto"/>
        <w:ind w:firstLine="0" w:firstLineChars="0"/>
        <w:jc w:val="center"/>
        <w:rPr>
          <w:rFonts w:hint="eastAsia" w:ascii="Times New Roman" w:hAnsi="Times New Roman" w:eastAsia="宋体" w:cs="Times New Roman"/>
          <w:sz w:val="24"/>
          <w:szCs w:val="24"/>
          <w:lang w:eastAsia="zh-CN"/>
        </w:rPr>
      </w:pPr>
      <w:r>
        <w:rPr>
          <w:rFonts w:hint="default" w:ascii="Times New Roman" w:hAnsi="Times New Roman" w:eastAsia="宋体" w:cs="Times New Roman"/>
          <w:sz w:val="24"/>
          <w:szCs w:val="24"/>
          <w:lang w:val="en-US" w:eastAsia="zh-CN"/>
        </w:rPr>
        <w:drawing>
          <wp:inline distT="0" distB="0" distL="114300" distR="114300">
            <wp:extent cx="2310765" cy="1445260"/>
            <wp:effectExtent l="0" t="0" r="5715" b="2540"/>
            <wp:docPr id="8" name="图片 8" descr="bd14cc23c01960df334d40932ee1b4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bd14cc23c01960df334d40932ee1b4c"/>
                    <pic:cNvPicPr>
                      <a:picLocks noChangeAspect="1"/>
                    </pic:cNvPicPr>
                  </pic:nvPicPr>
                  <pic:blipFill>
                    <a:blip r:embed="rId8"/>
                    <a:srcRect t="16616"/>
                    <a:stretch>
                      <a:fillRect/>
                    </a:stretch>
                  </pic:blipFill>
                  <pic:spPr>
                    <a:xfrm>
                      <a:off x="0" y="0"/>
                      <a:ext cx="2310765" cy="1445260"/>
                    </a:xfrm>
                    <a:prstGeom prst="rect">
                      <a:avLst/>
                    </a:prstGeom>
                  </pic:spPr>
                </pic:pic>
              </a:graphicData>
            </a:graphic>
          </wp:inline>
        </w:drawing>
      </w:r>
      <w:r>
        <w:rPr>
          <w:rFonts w:hint="eastAsia" w:ascii="Times New Roman" w:hAnsi="Times New Roman" w:eastAsia="宋体" w:cs="Times New Roman"/>
          <w:sz w:val="24"/>
          <w:szCs w:val="24"/>
          <w:lang w:eastAsia="zh-CN"/>
        </w:rPr>
        <w:drawing>
          <wp:inline distT="0" distB="0" distL="114300" distR="114300">
            <wp:extent cx="2663825" cy="1418590"/>
            <wp:effectExtent l="0" t="0" r="3175" b="13970"/>
            <wp:docPr id="4" name="图片 4" descr="开会照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开会照片"/>
                    <pic:cNvPicPr>
                      <a:picLocks noChangeAspect="1"/>
                    </pic:cNvPicPr>
                  </pic:nvPicPr>
                  <pic:blipFill>
                    <a:blip r:embed="rId9"/>
                    <a:stretch>
                      <a:fillRect/>
                    </a:stretch>
                  </pic:blipFill>
                  <pic:spPr>
                    <a:xfrm>
                      <a:off x="0" y="0"/>
                      <a:ext cx="2663825" cy="1418590"/>
                    </a:xfrm>
                    <a:prstGeom prst="rect">
                      <a:avLst/>
                    </a:prstGeom>
                  </pic:spPr>
                </pic:pic>
              </a:graphicData>
            </a:graphic>
          </wp:inline>
        </w:drawing>
      </w:r>
    </w:p>
    <w:p w14:paraId="3ED05651">
      <w:pPr>
        <w:spacing w:line="360" w:lineRule="auto"/>
        <w:ind w:firstLine="0" w:firstLineChars="0"/>
        <w:jc w:val="center"/>
        <w:rPr>
          <w:rFonts w:hint="default" w:ascii="Times New Roman" w:hAnsi="Times New Roman" w:eastAsia="宋体" w:cs="Times New Roman"/>
          <w:sz w:val="21"/>
          <w:szCs w:val="21"/>
          <w:lang w:val="en-US" w:eastAsia="zh-CN"/>
        </w:rPr>
      </w:pPr>
      <w:r>
        <w:rPr>
          <w:rFonts w:hint="eastAsia" w:ascii="Times New Roman" w:hAnsi="Times New Roman" w:cs="Times New Roman"/>
          <w:b/>
          <w:bCs/>
          <w:sz w:val="21"/>
          <w:szCs w:val="21"/>
          <w:lang w:val="en-US" w:eastAsia="zh-CN"/>
        </w:rPr>
        <w:t>图2 二次工作会照片</w:t>
      </w:r>
    </w:p>
    <w:p w14:paraId="7FA89EF1">
      <w:pPr>
        <w:spacing w:line="360" w:lineRule="auto"/>
        <w:ind w:firstLine="480" w:firstLineChars="200"/>
        <w:jc w:val="both"/>
        <w:rPr>
          <w:rFonts w:ascii="Times New Roman" w:hAnsi="Times New Roman" w:eastAsia="宋体" w:cs="Times New Roman"/>
          <w:sz w:val="24"/>
          <w:szCs w:val="24"/>
        </w:rPr>
      </w:pPr>
      <w:r>
        <w:rPr>
          <w:rFonts w:ascii="Times New Roman" w:hAnsi="Times New Roman" w:eastAsia="宋体" w:cs="Times New Roman"/>
          <w:sz w:val="24"/>
          <w:szCs w:val="24"/>
        </w:rPr>
        <w:t>会后，在认真总结各方意见的基础上，主编单位对需要附加</w:t>
      </w:r>
      <w:r>
        <w:rPr>
          <w:rFonts w:hint="eastAsia" w:ascii="Times New Roman" w:hAnsi="Times New Roman" w:eastAsia="宋体" w:cs="Times New Roman"/>
          <w:sz w:val="24"/>
          <w:szCs w:val="24"/>
        </w:rPr>
        <w:t>的试验数据进行补充，并</w:t>
      </w:r>
      <w:r>
        <w:rPr>
          <w:rFonts w:ascii="Times New Roman" w:hAnsi="Times New Roman" w:eastAsia="宋体" w:cs="Times New Roman"/>
          <w:sz w:val="24"/>
          <w:szCs w:val="24"/>
        </w:rPr>
        <w:t>对标准讨论稿</w:t>
      </w:r>
      <w:r>
        <w:rPr>
          <w:rFonts w:hint="eastAsia" w:ascii="Times New Roman" w:hAnsi="Times New Roman" w:eastAsia="宋体" w:cs="Times New Roman"/>
          <w:sz w:val="24"/>
          <w:szCs w:val="24"/>
        </w:rPr>
        <w:t>进行</w:t>
      </w:r>
      <w:r>
        <w:rPr>
          <w:rFonts w:ascii="Times New Roman" w:hAnsi="Times New Roman" w:eastAsia="宋体" w:cs="Times New Roman"/>
          <w:sz w:val="24"/>
          <w:szCs w:val="24"/>
        </w:rPr>
        <w:t>修改，形成了征求意见稿，向行业内生产施工企业、科研院所、高等学校等广泛征求意见。</w:t>
      </w:r>
    </w:p>
    <w:p w14:paraId="2D191A60">
      <w:pPr>
        <w:pStyle w:val="29"/>
        <w:numPr>
          <w:ilvl w:val="0"/>
          <w:numId w:val="6"/>
        </w:numPr>
        <w:spacing w:before="326" w:beforeLines="100" w:after="326" w:afterLines="100"/>
        <w:outlineLvl w:val="0"/>
        <w:rPr>
          <w:rFonts w:ascii="Times New Roman"/>
          <w:color w:val="000000" w:themeColor="text1"/>
          <w:sz w:val="28"/>
          <w:szCs w:val="28"/>
        </w:rPr>
      </w:pPr>
      <w:bookmarkStart w:id="30" w:name="_Toc24886"/>
      <w:bookmarkStart w:id="31" w:name="_Toc108389249"/>
      <w:bookmarkStart w:id="32" w:name="_Toc3602"/>
      <w:bookmarkStart w:id="33" w:name="_Toc1057"/>
      <w:bookmarkStart w:id="34" w:name="_Toc5332"/>
      <w:bookmarkStart w:id="35" w:name="_Toc5571"/>
      <w:bookmarkStart w:id="36" w:name="_Toc13251"/>
      <w:r>
        <w:rPr>
          <w:rFonts w:ascii="Times New Roman"/>
          <w:color w:val="000000" w:themeColor="text1"/>
          <w:sz w:val="28"/>
          <w:szCs w:val="28"/>
        </w:rPr>
        <w:t>标准编制的原则和主要内容</w:t>
      </w:r>
      <w:bookmarkEnd w:id="30"/>
      <w:bookmarkEnd w:id="31"/>
      <w:bookmarkEnd w:id="32"/>
      <w:bookmarkEnd w:id="33"/>
      <w:bookmarkEnd w:id="34"/>
      <w:bookmarkEnd w:id="35"/>
      <w:bookmarkEnd w:id="36"/>
    </w:p>
    <w:p w14:paraId="3715AB58">
      <w:pPr>
        <w:pStyle w:val="30"/>
        <w:numPr>
          <w:ilvl w:val="1"/>
          <w:numId w:val="6"/>
        </w:numPr>
        <w:spacing w:before="163" w:beforeLines="50" w:after="163" w:afterLines="50" w:line="500" w:lineRule="exact"/>
        <w:rPr>
          <w:color w:val="000000" w:themeColor="text1"/>
          <w:sz w:val="24"/>
          <w:szCs w:val="24"/>
        </w:rPr>
      </w:pPr>
      <w:bookmarkStart w:id="37" w:name="_Toc108389250"/>
      <w:r>
        <w:rPr>
          <w:color w:val="000000" w:themeColor="text1"/>
          <w:sz w:val="24"/>
          <w:szCs w:val="24"/>
        </w:rPr>
        <w:t>标准制定的原则</w:t>
      </w:r>
      <w:bookmarkEnd w:id="37"/>
    </w:p>
    <w:p w14:paraId="35D65750">
      <w:pPr>
        <w:spacing w:line="360" w:lineRule="auto"/>
        <w:ind w:firstLine="480" w:firstLineChars="200"/>
        <w:jc w:val="both"/>
        <w:rPr>
          <w:rFonts w:hint="default" w:ascii="Times New Roman" w:hAnsi="Times New Roman" w:cs="Times New Roman"/>
          <w:color w:val="000000" w:themeColor="text1"/>
        </w:rPr>
      </w:pPr>
      <w:r>
        <w:rPr>
          <w:rFonts w:hint="default" w:ascii="Times New Roman" w:hAnsi="Times New Roman" w:cs="Times New Roman"/>
          <w:color w:val="000000" w:themeColor="text1"/>
        </w:rPr>
        <w:t>（1）本文件按照GB/T 1.1-2020《标准化工作导则 第1部分：标准化文件的结构和起草规则》的规定起草</w:t>
      </w:r>
      <w:r>
        <w:rPr>
          <w:rFonts w:hint="default" w:ascii="Times New Roman" w:hAnsi="Times New Roman" w:cs="Times New Roman"/>
          <w:color w:val="000000" w:themeColor="text1"/>
          <w:lang w:eastAsia="zh-CN"/>
        </w:rPr>
        <w:t>，</w:t>
      </w:r>
      <w:r>
        <w:rPr>
          <w:rFonts w:hint="default" w:ascii="Times New Roman" w:hAnsi="Times New Roman" w:cs="Times New Roman"/>
          <w:color w:val="000000" w:themeColor="text1"/>
          <w:lang w:val="en-US" w:eastAsia="zh-CN"/>
        </w:rPr>
        <w:t>标准的整体框架参考</w:t>
      </w:r>
      <w:r>
        <w:rPr>
          <w:rFonts w:hint="default" w:ascii="Times New Roman" w:hAnsi="Times New Roman" w:cs="Times New Roman"/>
          <w:color w:val="000000" w:themeColor="text1"/>
        </w:rPr>
        <w:t>GB</w:t>
      </w:r>
      <w:r>
        <w:rPr>
          <w:rFonts w:hint="default" w:ascii="Times New Roman" w:hAnsi="Times New Roman" w:cs="Times New Roman"/>
          <w:color w:val="000000" w:themeColor="text1"/>
          <w:lang w:val="en-US" w:eastAsia="zh-CN"/>
        </w:rPr>
        <w:t>/</w:t>
      </w:r>
      <w:r>
        <w:rPr>
          <w:rFonts w:hint="default" w:ascii="Times New Roman" w:hAnsi="Times New Roman" w:cs="Times New Roman"/>
          <w:color w:val="000000" w:themeColor="text1"/>
        </w:rPr>
        <w:t>T 41054《高性能混凝土技术条件》</w:t>
      </w:r>
      <w:r>
        <w:rPr>
          <w:rFonts w:hint="default" w:ascii="Times New Roman" w:hAnsi="Times New Roman" w:cs="Times New Roman"/>
          <w:color w:val="000000" w:themeColor="text1"/>
          <w:lang w:val="en-US" w:eastAsia="zh-CN"/>
        </w:rPr>
        <w:t>进行编写</w:t>
      </w:r>
      <w:r>
        <w:rPr>
          <w:rFonts w:hint="default" w:ascii="Times New Roman" w:hAnsi="Times New Roman" w:cs="Times New Roman"/>
          <w:color w:val="000000" w:themeColor="text1"/>
        </w:rPr>
        <w:t>。</w:t>
      </w:r>
    </w:p>
    <w:p w14:paraId="2D657C8E">
      <w:pPr>
        <w:spacing w:line="360" w:lineRule="auto"/>
        <w:ind w:firstLine="480" w:firstLineChars="200"/>
        <w:jc w:val="both"/>
        <w:rPr>
          <w:rFonts w:hint="default" w:ascii="Times New Roman" w:hAnsi="Times New Roman" w:cs="Times New Roman"/>
          <w:color w:val="000000" w:themeColor="text1"/>
        </w:rPr>
      </w:pPr>
      <w:r>
        <w:rPr>
          <w:rFonts w:hint="default" w:ascii="Times New Roman" w:hAnsi="Times New Roman" w:cs="Times New Roman"/>
          <w:color w:val="000000" w:themeColor="text1"/>
        </w:rPr>
        <w:t>（2）遵循超缓凝混凝土产品特有的性能、配合比设计、质量检验和控制的普遍规律。</w:t>
      </w:r>
    </w:p>
    <w:p w14:paraId="5D3FDD4C">
      <w:pPr>
        <w:spacing w:line="360" w:lineRule="auto"/>
        <w:ind w:firstLine="480" w:firstLineChars="200"/>
        <w:jc w:val="both"/>
        <w:rPr>
          <w:rFonts w:hint="default" w:ascii="Times New Roman" w:hAnsi="Times New Roman" w:cs="Times New Roman"/>
          <w:color w:val="000000" w:themeColor="text1"/>
        </w:rPr>
      </w:pPr>
      <w:r>
        <w:rPr>
          <w:rFonts w:hint="default" w:ascii="Times New Roman" w:hAnsi="Times New Roman" w:cs="Times New Roman"/>
          <w:color w:val="000000" w:themeColor="text1"/>
        </w:rPr>
        <w:t>（3）符合超缓凝混凝土行业的一般规范。</w:t>
      </w:r>
    </w:p>
    <w:p w14:paraId="5BC58F8F">
      <w:pPr>
        <w:spacing w:line="360" w:lineRule="auto"/>
        <w:ind w:firstLine="480" w:firstLineChars="200"/>
        <w:jc w:val="both"/>
        <w:rPr>
          <w:rFonts w:hint="default" w:ascii="Times New Roman" w:hAnsi="Times New Roman" w:cs="Times New Roman"/>
          <w:color w:val="000000" w:themeColor="text1"/>
        </w:rPr>
      </w:pPr>
      <w:r>
        <w:rPr>
          <w:rFonts w:hint="default" w:ascii="Times New Roman" w:hAnsi="Times New Roman" w:cs="Times New Roman"/>
          <w:color w:val="000000" w:themeColor="text1"/>
        </w:rPr>
        <w:t>（4）在符合超缓凝混凝土行业的产品技术水平和应用的基础上，参考以及相关地方标准、企业标准等，结合超缓凝混凝土自身验证试验数据编写，同时体现超缓凝混凝土的普遍特性和性能特点，具有合适的覆盖面。</w:t>
      </w:r>
    </w:p>
    <w:p w14:paraId="6B31EC71">
      <w:pPr>
        <w:spacing w:line="360" w:lineRule="auto"/>
        <w:ind w:firstLine="480" w:firstLineChars="200"/>
        <w:jc w:val="both"/>
        <w:rPr>
          <w:rFonts w:hint="default" w:ascii="Times New Roman" w:hAnsi="Times New Roman" w:eastAsia="宋体" w:cs="Times New Roman"/>
          <w:color w:val="000000" w:themeColor="text1"/>
          <w:lang w:eastAsia="zh-CN"/>
        </w:rPr>
      </w:pPr>
      <w:r>
        <w:rPr>
          <w:rFonts w:hint="default" w:ascii="Times New Roman" w:hAnsi="Times New Roman" w:cs="Times New Roman"/>
          <w:color w:val="000000" w:themeColor="text1"/>
        </w:rPr>
        <w:t>（5）技术指标全面，宽严得当，既能适应实际生产，又能体现产品自身特点</w:t>
      </w:r>
      <w:r>
        <w:rPr>
          <w:rFonts w:hint="default" w:ascii="Times New Roman" w:hAnsi="Times New Roman" w:cs="Times New Roman"/>
          <w:color w:val="000000" w:themeColor="text1"/>
          <w:lang w:eastAsia="zh-CN"/>
        </w:rPr>
        <w:t>。</w:t>
      </w:r>
    </w:p>
    <w:p w14:paraId="2300387B">
      <w:pPr>
        <w:pStyle w:val="30"/>
        <w:numPr>
          <w:ilvl w:val="1"/>
          <w:numId w:val="6"/>
        </w:numPr>
        <w:spacing w:before="167" w:beforeLines="50" w:after="167" w:afterLines="50" w:line="500" w:lineRule="exact"/>
        <w:rPr>
          <w:color w:val="000000" w:themeColor="text1"/>
          <w:sz w:val="24"/>
          <w:szCs w:val="24"/>
        </w:rPr>
      </w:pPr>
      <w:bookmarkStart w:id="38" w:name="_Toc108389251"/>
      <w:r>
        <w:rPr>
          <w:color w:val="000000" w:themeColor="text1"/>
          <w:sz w:val="24"/>
          <w:szCs w:val="24"/>
        </w:rPr>
        <w:t>标准的主要内容</w:t>
      </w:r>
      <w:bookmarkEnd w:id="38"/>
    </w:p>
    <w:p w14:paraId="5A83840C">
      <w:pPr>
        <w:pStyle w:val="5"/>
        <w:numPr>
          <w:ilvl w:val="2"/>
          <w:numId w:val="6"/>
        </w:numPr>
        <w:rPr>
          <w:color w:val="000000" w:themeColor="text1"/>
        </w:rPr>
      </w:pPr>
      <w:bookmarkStart w:id="39" w:name="_Toc48292342"/>
      <w:bookmarkStart w:id="40" w:name="_Toc49883321"/>
      <w:r>
        <w:rPr>
          <w:color w:val="000000" w:themeColor="text1"/>
        </w:rPr>
        <w:t>标准的适用范围</w:t>
      </w:r>
      <w:bookmarkEnd w:id="39"/>
      <w:bookmarkEnd w:id="40"/>
    </w:p>
    <w:p w14:paraId="4B9748C0">
      <w:pPr>
        <w:spacing w:line="360" w:lineRule="auto"/>
        <w:ind w:firstLine="480"/>
        <w:jc w:val="both"/>
        <w:rPr>
          <w:rFonts w:hint="eastAsia"/>
          <w:color w:val="000000" w:themeColor="text1"/>
        </w:rPr>
      </w:pPr>
      <w:r>
        <w:rPr>
          <w:rFonts w:hint="eastAsia"/>
          <w:color w:val="000000" w:themeColor="text1"/>
        </w:rPr>
        <w:t>本文件规定了超缓凝混凝土性能等级、一般要求、原材料、配合比设计、技术要求、制备、试验方法、检验规则、订货与交货。</w:t>
      </w:r>
    </w:p>
    <w:p w14:paraId="2938EFBF">
      <w:pPr>
        <w:spacing w:line="360" w:lineRule="auto"/>
        <w:ind w:firstLine="480"/>
        <w:jc w:val="both"/>
        <w:rPr>
          <w:rFonts w:hint="eastAsia"/>
          <w:color w:val="000000" w:themeColor="text1"/>
        </w:rPr>
      </w:pPr>
      <w:r>
        <w:rPr>
          <w:rFonts w:hint="eastAsia"/>
          <w:color w:val="000000" w:themeColor="text1"/>
        </w:rPr>
        <w:t>本文件适用于对混凝土凝结时间有延长需求的建设工程用超缓凝混凝土。</w:t>
      </w:r>
    </w:p>
    <w:p w14:paraId="690B2910">
      <w:pPr>
        <w:pStyle w:val="43"/>
        <w:spacing w:line="360" w:lineRule="auto"/>
        <w:ind w:firstLine="480"/>
        <w:jc w:val="both"/>
        <w:rPr>
          <w:rFonts w:hint="eastAsia" w:hAnsi="宋体" w:cs="宋体"/>
          <w:color w:val="000000" w:themeColor="text1"/>
          <w:sz w:val="24"/>
          <w:szCs w:val="24"/>
        </w:rPr>
      </w:pPr>
      <w:r>
        <w:rPr>
          <w:rFonts w:hint="eastAsia" w:ascii="宋体" w:hAnsi="宋体" w:eastAsia="宋体" w:cs="宋体"/>
          <w:color w:val="000000" w:themeColor="text1"/>
          <w:sz w:val="24"/>
          <w:szCs w:val="24"/>
        </w:rPr>
        <w:t>《</w:t>
      </w:r>
      <w:r>
        <w:rPr>
          <w:rFonts w:hint="eastAsia" w:ascii="宋体" w:hAnsi="宋体" w:cs="宋体"/>
          <w:color w:val="000000" w:themeColor="text1"/>
          <w:sz w:val="24"/>
          <w:szCs w:val="24"/>
          <w:lang w:val="en-US" w:eastAsia="zh-CN"/>
        </w:rPr>
        <w:t>超缓凝混凝土技术条件</w:t>
      </w:r>
      <w:r>
        <w:rPr>
          <w:rFonts w:hint="eastAsia" w:ascii="宋体" w:hAnsi="宋体" w:eastAsia="宋体" w:cs="宋体"/>
          <w:color w:val="000000" w:themeColor="text1"/>
          <w:sz w:val="24"/>
          <w:szCs w:val="24"/>
        </w:rPr>
        <w:t>》行业标准的制定以规范统一</w:t>
      </w:r>
      <w:r>
        <w:rPr>
          <w:rFonts w:hint="eastAsia" w:hAnsi="宋体" w:cs="宋体"/>
          <w:color w:val="000000" w:themeColor="text1"/>
          <w:sz w:val="24"/>
          <w:szCs w:val="24"/>
          <w:lang w:val="en-US" w:eastAsia="zh-CN"/>
        </w:rPr>
        <w:t>超缓凝混凝土</w:t>
      </w:r>
      <w:r>
        <w:rPr>
          <w:rFonts w:hint="eastAsia" w:ascii="宋体" w:hAnsi="宋体" w:eastAsia="宋体" w:cs="宋体"/>
          <w:color w:val="000000" w:themeColor="text1"/>
          <w:sz w:val="24"/>
          <w:szCs w:val="24"/>
        </w:rPr>
        <w:t>的概念、</w:t>
      </w:r>
      <w:r>
        <w:rPr>
          <w:rFonts w:hint="eastAsia" w:hAnsi="宋体" w:cs="宋体"/>
          <w:color w:val="000000" w:themeColor="text1"/>
          <w:sz w:val="24"/>
          <w:szCs w:val="24"/>
          <w:lang w:val="en-US" w:eastAsia="zh-CN"/>
        </w:rPr>
        <w:t>性能等级、技术</w:t>
      </w:r>
      <w:r>
        <w:rPr>
          <w:rFonts w:hint="eastAsia" w:ascii="宋体" w:hAnsi="宋体" w:eastAsia="宋体" w:cs="宋体"/>
          <w:color w:val="000000" w:themeColor="text1"/>
          <w:sz w:val="24"/>
          <w:szCs w:val="24"/>
        </w:rPr>
        <w:t>指标为目的，为</w:t>
      </w:r>
      <w:r>
        <w:rPr>
          <w:rFonts w:hint="eastAsia" w:hAnsi="宋体" w:cs="宋体"/>
          <w:color w:val="000000" w:themeColor="text1"/>
          <w:sz w:val="24"/>
          <w:szCs w:val="24"/>
          <w:lang w:val="en-US" w:eastAsia="zh-CN"/>
        </w:rPr>
        <w:t>超缓凝混凝土配合比设计以及制备</w:t>
      </w:r>
      <w:r>
        <w:rPr>
          <w:rFonts w:hint="eastAsia" w:ascii="宋体" w:hAnsi="宋体" w:eastAsia="宋体" w:cs="宋体"/>
          <w:color w:val="000000" w:themeColor="text1"/>
          <w:sz w:val="24"/>
          <w:szCs w:val="24"/>
        </w:rPr>
        <w:t>提供统一的评判依据及标准。</w:t>
      </w:r>
    </w:p>
    <w:p w14:paraId="2153012C">
      <w:pPr>
        <w:pStyle w:val="5"/>
        <w:numPr>
          <w:ilvl w:val="2"/>
          <w:numId w:val="6"/>
        </w:numPr>
        <w:rPr>
          <w:color w:val="000000" w:themeColor="text1"/>
        </w:rPr>
      </w:pPr>
      <w:bookmarkStart w:id="41" w:name="_Toc49883322"/>
      <w:bookmarkStart w:id="42" w:name="_Toc48292343"/>
      <w:r>
        <w:rPr>
          <w:rFonts w:hint="eastAsia"/>
          <w:color w:val="000000" w:themeColor="text1"/>
        </w:rPr>
        <w:t>规范性</w:t>
      </w:r>
      <w:r>
        <w:rPr>
          <w:color w:val="000000" w:themeColor="text1"/>
        </w:rPr>
        <w:t>引用文件</w:t>
      </w:r>
      <w:bookmarkEnd w:id="41"/>
      <w:bookmarkEnd w:id="42"/>
    </w:p>
    <w:p w14:paraId="02752E92">
      <w:pPr>
        <w:numPr>
          <w:ilvl w:val="0"/>
          <w:numId w:val="0"/>
        </w:numPr>
        <w:snapToGrid w:val="0"/>
        <w:spacing w:line="360" w:lineRule="auto"/>
        <w:ind w:firstLine="480" w:firstLineChars="200"/>
        <w:rPr>
          <w:color w:val="000000" w:themeColor="text1"/>
        </w:rPr>
      </w:pPr>
      <w:r>
        <w:rPr>
          <w:rFonts w:ascii="Times New Roman" w:hAnsi="Times New Roman" w:eastAsia="宋体" w:cs="Times New Roman"/>
          <w:sz w:val="24"/>
          <w:szCs w:val="24"/>
        </w:rPr>
        <w:t>标准中共引用了</w:t>
      </w:r>
      <w:r>
        <w:rPr>
          <w:rFonts w:hint="eastAsia" w:ascii="Times New Roman" w:hAnsi="Times New Roman" w:cs="Times New Roman"/>
          <w:sz w:val="24"/>
          <w:szCs w:val="24"/>
          <w:lang w:val="en-US" w:eastAsia="zh-CN"/>
        </w:rPr>
        <w:t>25</w:t>
      </w:r>
      <w:r>
        <w:rPr>
          <w:rFonts w:ascii="Times New Roman" w:hAnsi="Times New Roman" w:eastAsia="宋体" w:cs="Times New Roman"/>
          <w:sz w:val="24"/>
          <w:szCs w:val="24"/>
        </w:rPr>
        <w:t>项标准。</w:t>
      </w:r>
      <w:r>
        <w:rPr>
          <w:rFonts w:hint="eastAsia" w:ascii="Times New Roman" w:hAnsi="Times New Roman" w:cs="Times New Roman"/>
          <w:sz w:val="24"/>
          <w:szCs w:val="24"/>
          <w:lang w:val="en-US" w:eastAsia="zh-CN"/>
        </w:rPr>
        <w:t>包括：</w:t>
      </w:r>
      <w:r>
        <w:rPr>
          <w:rFonts w:hint="default" w:ascii="Times New Roman" w:hAnsi="Times New Roman" w:eastAsia="宋体" w:cs="Times New Roman"/>
          <w:color w:val="000000"/>
          <w:kern w:val="0"/>
          <w:sz w:val="24"/>
          <w:szCs w:val="24"/>
          <w:highlight w:val="none"/>
        </w:rPr>
        <w:t>GB 175《通用硅酸盐水泥》</w:t>
      </w:r>
      <w:r>
        <w:rPr>
          <w:rFonts w:hint="eastAsia" w:ascii="Times New Roman" w:hAnsi="Times New Roman" w:eastAsia="宋体" w:cs="Times New Roman"/>
          <w:color w:val="000000"/>
          <w:kern w:val="0"/>
          <w:sz w:val="24"/>
          <w:szCs w:val="24"/>
          <w:highlight w:val="none"/>
          <w:lang w:eastAsia="zh-CN"/>
        </w:rPr>
        <w:t>、</w:t>
      </w:r>
      <w:r>
        <w:rPr>
          <w:rFonts w:hint="default" w:ascii="Times New Roman" w:hAnsi="Times New Roman" w:eastAsia="宋体" w:cs="Times New Roman"/>
          <w:color w:val="000000"/>
          <w:kern w:val="0"/>
          <w:sz w:val="24"/>
          <w:szCs w:val="24"/>
          <w:highlight w:val="none"/>
        </w:rPr>
        <w:t>GB/T 1596《用于水泥和混凝土中的粉煤灰》</w:t>
      </w:r>
      <w:r>
        <w:rPr>
          <w:rFonts w:hint="eastAsia" w:ascii="Times New Roman" w:hAnsi="Times New Roman" w:cs="Times New Roman"/>
          <w:color w:val="000000"/>
          <w:kern w:val="0"/>
          <w:sz w:val="24"/>
          <w:szCs w:val="24"/>
          <w:highlight w:val="none"/>
          <w:lang w:eastAsia="zh-CN"/>
        </w:rPr>
        <w:t>、</w:t>
      </w:r>
      <w:r>
        <w:rPr>
          <w:rFonts w:hint="default" w:ascii="Times New Roman" w:hAnsi="Times New Roman" w:eastAsia="宋体" w:cs="Times New Roman"/>
          <w:color w:val="000000"/>
          <w:kern w:val="0"/>
          <w:sz w:val="24"/>
          <w:szCs w:val="24"/>
          <w:highlight w:val="none"/>
        </w:rPr>
        <w:t>GB 8076《混凝土外加剂》</w:t>
      </w:r>
      <w:r>
        <w:rPr>
          <w:rFonts w:hint="eastAsia" w:ascii="Times New Roman" w:hAnsi="Times New Roman" w:cs="Times New Roman"/>
          <w:color w:val="000000"/>
          <w:kern w:val="0"/>
          <w:sz w:val="24"/>
          <w:szCs w:val="24"/>
          <w:highlight w:val="none"/>
          <w:lang w:eastAsia="zh-CN"/>
        </w:rPr>
        <w:t>、</w:t>
      </w:r>
      <w:r>
        <w:rPr>
          <w:rFonts w:hint="default" w:ascii="Times New Roman" w:hAnsi="Times New Roman" w:eastAsia="宋体" w:cs="Times New Roman"/>
          <w:color w:val="000000"/>
          <w:kern w:val="0"/>
          <w:sz w:val="24"/>
          <w:szCs w:val="24"/>
          <w:highlight w:val="none"/>
        </w:rPr>
        <w:t>GB/T 10171《混凝土搅拌站（楼）》</w:t>
      </w:r>
      <w:r>
        <w:rPr>
          <w:rFonts w:hint="eastAsia" w:ascii="Times New Roman" w:hAnsi="Times New Roman" w:eastAsia="宋体" w:cs="Times New Roman"/>
          <w:color w:val="000000"/>
          <w:kern w:val="0"/>
          <w:sz w:val="24"/>
          <w:szCs w:val="24"/>
          <w:highlight w:val="none"/>
          <w:lang w:eastAsia="zh-CN"/>
        </w:rPr>
        <w:t>、</w:t>
      </w:r>
      <w:r>
        <w:rPr>
          <w:rFonts w:hint="default" w:ascii="Times New Roman" w:hAnsi="Times New Roman" w:eastAsia="宋体" w:cs="Times New Roman"/>
          <w:color w:val="000000"/>
          <w:kern w:val="0"/>
          <w:sz w:val="24"/>
          <w:szCs w:val="24"/>
          <w:highlight w:val="none"/>
        </w:rPr>
        <w:t>GB/T 14902《预拌混凝土》</w:t>
      </w:r>
      <w:r>
        <w:rPr>
          <w:rFonts w:hint="eastAsia" w:ascii="Times New Roman" w:hAnsi="Times New Roman" w:cs="Times New Roman"/>
          <w:color w:val="000000"/>
          <w:kern w:val="0"/>
          <w:sz w:val="24"/>
          <w:szCs w:val="24"/>
          <w:highlight w:val="none"/>
          <w:lang w:eastAsia="zh-CN"/>
        </w:rPr>
        <w:t>、</w:t>
      </w:r>
      <w:r>
        <w:rPr>
          <w:rFonts w:hint="default" w:ascii="Times New Roman" w:hAnsi="Times New Roman" w:eastAsia="宋体" w:cs="Times New Roman"/>
          <w:color w:val="000000"/>
          <w:kern w:val="0"/>
          <w:sz w:val="24"/>
          <w:szCs w:val="24"/>
          <w:highlight w:val="none"/>
        </w:rPr>
        <w:t>GB/T 14</w:t>
      </w:r>
      <w:r>
        <w:rPr>
          <w:rFonts w:hint="eastAsia" w:ascii="Times New Roman" w:hAnsi="Times New Roman" w:eastAsia="宋体" w:cs="Times New Roman"/>
          <w:color w:val="000000"/>
          <w:kern w:val="0"/>
          <w:sz w:val="24"/>
          <w:szCs w:val="24"/>
          <w:highlight w:val="none"/>
          <w:lang w:val="en-US" w:eastAsia="zh-CN"/>
        </w:rPr>
        <w:t>684</w:t>
      </w:r>
      <w:r>
        <w:rPr>
          <w:rFonts w:hint="default" w:ascii="Times New Roman" w:hAnsi="Times New Roman" w:eastAsia="宋体" w:cs="Times New Roman"/>
          <w:color w:val="000000"/>
          <w:kern w:val="0"/>
          <w:sz w:val="24"/>
          <w:szCs w:val="24"/>
          <w:highlight w:val="none"/>
        </w:rPr>
        <w:t>《</w:t>
      </w:r>
      <w:r>
        <w:rPr>
          <w:rFonts w:hint="eastAsia" w:ascii="Times New Roman" w:hAnsi="Times New Roman" w:eastAsia="宋体" w:cs="Times New Roman"/>
          <w:color w:val="000000"/>
          <w:kern w:val="0"/>
          <w:highlight w:val="none"/>
        </w:rPr>
        <w:t>建设用砂</w:t>
      </w:r>
      <w:r>
        <w:rPr>
          <w:rFonts w:hint="default" w:ascii="Times New Roman" w:hAnsi="Times New Roman" w:eastAsia="宋体" w:cs="Times New Roman"/>
          <w:color w:val="000000"/>
          <w:kern w:val="0"/>
          <w:sz w:val="24"/>
          <w:szCs w:val="24"/>
          <w:highlight w:val="none"/>
        </w:rPr>
        <w:t>》</w:t>
      </w:r>
      <w:r>
        <w:rPr>
          <w:rFonts w:hint="eastAsia" w:ascii="Times New Roman" w:hAnsi="Times New Roman" w:cs="Times New Roman"/>
          <w:color w:val="000000"/>
          <w:kern w:val="0"/>
          <w:sz w:val="24"/>
          <w:szCs w:val="24"/>
          <w:highlight w:val="none"/>
          <w:lang w:eastAsia="zh-CN"/>
        </w:rPr>
        <w:t>、</w:t>
      </w:r>
      <w:r>
        <w:rPr>
          <w:rFonts w:hint="default" w:ascii="Times New Roman" w:hAnsi="Times New Roman" w:eastAsia="宋体" w:cs="Times New Roman"/>
          <w:color w:val="000000"/>
          <w:kern w:val="0"/>
          <w:sz w:val="24"/>
          <w:szCs w:val="24"/>
          <w:highlight w:val="none"/>
        </w:rPr>
        <w:t>GB/T 14</w:t>
      </w:r>
      <w:r>
        <w:rPr>
          <w:rFonts w:hint="eastAsia" w:ascii="Times New Roman" w:hAnsi="Times New Roman" w:eastAsia="宋体" w:cs="Times New Roman"/>
          <w:color w:val="000000"/>
          <w:kern w:val="0"/>
          <w:sz w:val="24"/>
          <w:szCs w:val="24"/>
          <w:highlight w:val="none"/>
          <w:lang w:val="en-US" w:eastAsia="zh-CN"/>
        </w:rPr>
        <w:t>685</w:t>
      </w:r>
      <w:r>
        <w:rPr>
          <w:rFonts w:hint="default" w:ascii="Times New Roman" w:hAnsi="Times New Roman" w:eastAsia="宋体" w:cs="Times New Roman"/>
          <w:color w:val="000000"/>
          <w:kern w:val="0"/>
          <w:sz w:val="24"/>
          <w:szCs w:val="24"/>
          <w:highlight w:val="none"/>
        </w:rPr>
        <w:t>《</w:t>
      </w:r>
      <w:r>
        <w:rPr>
          <w:rFonts w:hint="eastAsia" w:ascii="Times New Roman" w:hAnsi="Times New Roman" w:eastAsia="宋体" w:cs="Times New Roman"/>
          <w:color w:val="000000"/>
          <w:kern w:val="0"/>
          <w:highlight w:val="none"/>
        </w:rPr>
        <w:t>建设用卵石、碎石</w:t>
      </w:r>
      <w:r>
        <w:rPr>
          <w:rFonts w:hint="default" w:ascii="Times New Roman" w:hAnsi="Times New Roman" w:eastAsia="宋体" w:cs="Times New Roman"/>
          <w:color w:val="000000"/>
          <w:kern w:val="0"/>
          <w:sz w:val="24"/>
          <w:szCs w:val="24"/>
          <w:highlight w:val="none"/>
        </w:rPr>
        <w:t>》</w:t>
      </w:r>
      <w:r>
        <w:rPr>
          <w:rFonts w:hint="eastAsia" w:ascii="Times New Roman" w:hAnsi="Times New Roman" w:cs="Times New Roman"/>
          <w:color w:val="000000"/>
          <w:kern w:val="0"/>
          <w:sz w:val="24"/>
          <w:szCs w:val="24"/>
          <w:highlight w:val="none"/>
          <w:lang w:eastAsia="zh-CN"/>
        </w:rPr>
        <w:t>、</w:t>
      </w:r>
      <w:r>
        <w:rPr>
          <w:rFonts w:hint="default" w:ascii="Times New Roman" w:hAnsi="Times New Roman" w:eastAsia="宋体" w:cs="Times New Roman"/>
          <w:color w:val="000000"/>
          <w:kern w:val="0"/>
          <w:sz w:val="24"/>
          <w:szCs w:val="24"/>
          <w:highlight w:val="none"/>
        </w:rPr>
        <w:t>GB/T 18046《用于水泥和混凝土中的粒化高炉矿渣粉》</w:t>
      </w:r>
      <w:r>
        <w:rPr>
          <w:rFonts w:hint="eastAsia" w:ascii="Times New Roman" w:hAnsi="Times New Roman" w:cs="Times New Roman"/>
          <w:color w:val="000000"/>
          <w:kern w:val="0"/>
          <w:sz w:val="24"/>
          <w:szCs w:val="24"/>
          <w:highlight w:val="none"/>
          <w:lang w:eastAsia="zh-CN"/>
        </w:rPr>
        <w:t>、</w:t>
      </w:r>
      <w:r>
        <w:rPr>
          <w:rFonts w:hint="default" w:ascii="Times New Roman" w:hAnsi="Times New Roman" w:eastAsia="宋体" w:cs="Times New Roman"/>
          <w:color w:val="000000"/>
          <w:kern w:val="0"/>
          <w:sz w:val="24"/>
          <w:szCs w:val="24"/>
          <w:highlight w:val="none"/>
        </w:rPr>
        <w:t>GB/T 2517</w:t>
      </w:r>
      <w:r>
        <w:rPr>
          <w:rFonts w:hint="eastAsia" w:ascii="Times New Roman" w:hAnsi="Times New Roman" w:eastAsia="宋体" w:cs="Times New Roman"/>
          <w:color w:val="000000"/>
          <w:kern w:val="0"/>
          <w:sz w:val="24"/>
          <w:szCs w:val="24"/>
          <w:highlight w:val="none"/>
          <w:lang w:val="en-US" w:eastAsia="zh-CN"/>
        </w:rPr>
        <w:t>6</w:t>
      </w:r>
      <w:r>
        <w:rPr>
          <w:rFonts w:hint="default" w:ascii="Times New Roman" w:hAnsi="Times New Roman" w:eastAsia="宋体" w:cs="Times New Roman"/>
          <w:color w:val="000000"/>
          <w:kern w:val="0"/>
          <w:sz w:val="24"/>
          <w:szCs w:val="24"/>
          <w:highlight w:val="none"/>
        </w:rPr>
        <w:t>《</w:t>
      </w:r>
      <w:r>
        <w:rPr>
          <w:rFonts w:hint="eastAsia" w:ascii="Times New Roman" w:hAnsi="Times New Roman" w:eastAsia="宋体" w:cs="Times New Roman"/>
          <w:color w:val="000000"/>
          <w:kern w:val="0"/>
          <w:highlight w:val="none"/>
        </w:rPr>
        <w:t>混凝土和砂浆用再生细骨料</w:t>
      </w:r>
      <w:r>
        <w:rPr>
          <w:rFonts w:hint="default" w:ascii="Times New Roman" w:hAnsi="Times New Roman" w:eastAsia="宋体" w:cs="Times New Roman"/>
          <w:color w:val="000000"/>
          <w:kern w:val="0"/>
          <w:sz w:val="24"/>
          <w:szCs w:val="24"/>
          <w:highlight w:val="none"/>
        </w:rPr>
        <w:t>》</w:t>
      </w:r>
      <w:r>
        <w:rPr>
          <w:rFonts w:hint="eastAsia" w:ascii="Times New Roman" w:hAnsi="Times New Roman" w:cs="Times New Roman"/>
          <w:color w:val="000000"/>
          <w:kern w:val="0"/>
          <w:sz w:val="24"/>
          <w:szCs w:val="24"/>
          <w:highlight w:val="none"/>
          <w:lang w:eastAsia="zh-CN"/>
        </w:rPr>
        <w:t>、</w:t>
      </w:r>
      <w:r>
        <w:rPr>
          <w:rFonts w:hint="default" w:ascii="Times New Roman" w:hAnsi="Times New Roman" w:eastAsia="宋体" w:cs="Times New Roman"/>
          <w:color w:val="000000"/>
          <w:kern w:val="0"/>
          <w:sz w:val="24"/>
          <w:szCs w:val="24"/>
          <w:highlight w:val="none"/>
        </w:rPr>
        <w:t>GB/T 25177《</w:t>
      </w:r>
      <w:r>
        <w:rPr>
          <w:rFonts w:hint="eastAsia" w:ascii="Times New Roman" w:hAnsi="Times New Roman" w:eastAsia="宋体" w:cs="Times New Roman"/>
          <w:color w:val="000000"/>
          <w:kern w:val="0"/>
          <w:sz w:val="24"/>
          <w:szCs w:val="24"/>
          <w:highlight w:val="none"/>
          <w:lang w:val="en-US" w:eastAsia="zh-CN"/>
        </w:rPr>
        <w:t>混凝土用再生粗骨料</w:t>
      </w:r>
      <w:r>
        <w:rPr>
          <w:rFonts w:hint="default" w:ascii="Times New Roman" w:hAnsi="Times New Roman" w:eastAsia="宋体" w:cs="Times New Roman"/>
          <w:color w:val="000000"/>
          <w:kern w:val="0"/>
          <w:sz w:val="24"/>
          <w:szCs w:val="24"/>
          <w:highlight w:val="none"/>
        </w:rPr>
        <w:t>》</w:t>
      </w:r>
      <w:r>
        <w:rPr>
          <w:rFonts w:hint="eastAsia" w:ascii="Times New Roman" w:hAnsi="Times New Roman" w:cs="Times New Roman"/>
          <w:color w:val="000000"/>
          <w:kern w:val="0"/>
          <w:sz w:val="24"/>
          <w:szCs w:val="24"/>
          <w:highlight w:val="none"/>
          <w:lang w:eastAsia="zh-CN"/>
        </w:rPr>
        <w:t>、</w:t>
      </w:r>
      <w:r>
        <w:rPr>
          <w:rFonts w:hint="eastAsia" w:ascii="Times New Roman" w:hAnsi="Times New Roman" w:eastAsia="宋体" w:cs="Times New Roman"/>
          <w:color w:val="000000"/>
          <w:kern w:val="0"/>
          <w:sz w:val="24"/>
          <w:szCs w:val="24"/>
          <w:highlight w:val="none"/>
          <w:lang w:val="en-US" w:eastAsia="zh-CN"/>
        </w:rPr>
        <w:t>GB/T 37990</w:t>
      </w:r>
      <w:r>
        <w:rPr>
          <w:rFonts w:hint="default" w:ascii="Times New Roman" w:hAnsi="Times New Roman" w:eastAsia="宋体" w:cs="Times New Roman"/>
          <w:color w:val="000000"/>
          <w:kern w:val="0"/>
          <w:sz w:val="24"/>
          <w:szCs w:val="24"/>
          <w:highlight w:val="none"/>
        </w:rPr>
        <w:t>《</w:t>
      </w:r>
      <w:r>
        <w:rPr>
          <w:rFonts w:hint="eastAsia" w:ascii="Times New Roman" w:hAnsi="Times New Roman" w:eastAsia="宋体" w:cs="Times New Roman"/>
          <w:color w:val="000000"/>
          <w:kern w:val="0"/>
          <w:sz w:val="24"/>
          <w:szCs w:val="24"/>
          <w:highlight w:val="none"/>
          <w:lang w:val="en-US" w:eastAsia="zh-CN"/>
        </w:rPr>
        <w:t>水下不分散混凝土絮凝剂技术要求</w:t>
      </w:r>
      <w:r>
        <w:rPr>
          <w:rFonts w:hint="default" w:ascii="Times New Roman" w:hAnsi="Times New Roman" w:eastAsia="宋体" w:cs="Times New Roman"/>
          <w:color w:val="000000"/>
          <w:kern w:val="0"/>
          <w:sz w:val="24"/>
          <w:szCs w:val="24"/>
          <w:highlight w:val="none"/>
        </w:rPr>
        <w:t>》</w:t>
      </w:r>
      <w:r>
        <w:rPr>
          <w:rFonts w:hint="eastAsia" w:ascii="Times New Roman" w:hAnsi="Times New Roman" w:cs="Times New Roman"/>
          <w:color w:val="000000"/>
          <w:kern w:val="0"/>
          <w:sz w:val="24"/>
          <w:szCs w:val="24"/>
          <w:highlight w:val="none"/>
          <w:lang w:eastAsia="zh-CN"/>
        </w:rPr>
        <w:t>、</w:t>
      </w:r>
      <w:r>
        <w:rPr>
          <w:rFonts w:hint="default" w:ascii="Times New Roman" w:hAnsi="Times New Roman" w:eastAsia="宋体" w:cs="Times New Roman"/>
          <w:color w:val="000000"/>
          <w:kern w:val="0"/>
          <w:sz w:val="24"/>
          <w:szCs w:val="24"/>
          <w:highlight w:val="none"/>
        </w:rPr>
        <w:t>GB/T 50080《普通混凝土拌合物性能试验方法标准》</w:t>
      </w:r>
      <w:r>
        <w:rPr>
          <w:rFonts w:hint="eastAsia" w:ascii="Times New Roman" w:hAnsi="Times New Roman" w:cs="Times New Roman"/>
          <w:color w:val="000000"/>
          <w:kern w:val="0"/>
          <w:sz w:val="24"/>
          <w:szCs w:val="24"/>
          <w:highlight w:val="none"/>
          <w:lang w:eastAsia="zh-CN"/>
        </w:rPr>
        <w:t>、</w:t>
      </w:r>
      <w:r>
        <w:rPr>
          <w:rFonts w:hint="default" w:ascii="Times New Roman" w:hAnsi="Times New Roman" w:eastAsia="宋体" w:cs="Times New Roman"/>
          <w:color w:val="000000"/>
          <w:kern w:val="0"/>
          <w:sz w:val="24"/>
          <w:szCs w:val="24"/>
          <w:highlight w:val="none"/>
        </w:rPr>
        <w:t>GB/T 50081《普通混凝土力学性能试验方法标准》</w:t>
      </w:r>
      <w:r>
        <w:rPr>
          <w:rFonts w:hint="eastAsia" w:ascii="Times New Roman" w:hAnsi="Times New Roman" w:cs="Times New Roman"/>
          <w:color w:val="000000"/>
          <w:kern w:val="0"/>
          <w:sz w:val="24"/>
          <w:szCs w:val="24"/>
          <w:highlight w:val="none"/>
          <w:lang w:eastAsia="zh-CN"/>
        </w:rPr>
        <w:t>、</w:t>
      </w:r>
      <w:r>
        <w:rPr>
          <w:rFonts w:hint="default" w:ascii="Times New Roman" w:hAnsi="Times New Roman" w:eastAsia="宋体" w:cs="Times New Roman"/>
          <w:color w:val="000000"/>
          <w:kern w:val="0"/>
          <w:sz w:val="24"/>
          <w:szCs w:val="24"/>
          <w:highlight w:val="none"/>
        </w:rPr>
        <w:t>GB/T 50082《普通混凝土长期性能和耐久性能试验方法标准》</w:t>
      </w:r>
      <w:r>
        <w:rPr>
          <w:rFonts w:hint="eastAsia" w:ascii="Times New Roman" w:hAnsi="Times New Roman" w:cs="Times New Roman"/>
          <w:color w:val="000000"/>
          <w:kern w:val="0"/>
          <w:sz w:val="24"/>
          <w:szCs w:val="24"/>
          <w:highlight w:val="none"/>
          <w:lang w:eastAsia="zh-CN"/>
        </w:rPr>
        <w:t>、</w:t>
      </w:r>
      <w:r>
        <w:rPr>
          <w:rFonts w:hint="default" w:ascii="Times New Roman" w:hAnsi="Times New Roman" w:eastAsia="宋体" w:cs="Times New Roman"/>
          <w:color w:val="000000"/>
          <w:kern w:val="0"/>
          <w:sz w:val="24"/>
          <w:szCs w:val="24"/>
          <w:highlight w:val="none"/>
        </w:rPr>
        <w:t>GB/T 50107《混凝土强度检验评定标准》</w:t>
      </w:r>
      <w:r>
        <w:rPr>
          <w:rFonts w:hint="eastAsia" w:ascii="Times New Roman" w:hAnsi="Times New Roman" w:cs="Times New Roman"/>
          <w:color w:val="000000"/>
          <w:kern w:val="0"/>
          <w:sz w:val="24"/>
          <w:szCs w:val="24"/>
          <w:highlight w:val="none"/>
          <w:lang w:eastAsia="zh-CN"/>
        </w:rPr>
        <w:t>、</w:t>
      </w:r>
      <w:r>
        <w:rPr>
          <w:rFonts w:hint="default" w:ascii="Times New Roman" w:hAnsi="Times New Roman" w:eastAsia="宋体" w:cs="Times New Roman"/>
          <w:color w:val="000000"/>
          <w:kern w:val="0"/>
          <w:sz w:val="24"/>
          <w:szCs w:val="24"/>
          <w:highlight w:val="none"/>
        </w:rPr>
        <w:t>GB 50119《混凝土外加剂应用技术规范》</w:t>
      </w:r>
      <w:r>
        <w:rPr>
          <w:rFonts w:hint="eastAsia" w:ascii="Times New Roman" w:hAnsi="Times New Roman" w:cs="Times New Roman"/>
          <w:color w:val="000000"/>
          <w:kern w:val="0"/>
          <w:sz w:val="24"/>
          <w:szCs w:val="24"/>
          <w:highlight w:val="none"/>
          <w:lang w:eastAsia="zh-CN"/>
        </w:rPr>
        <w:t>、</w:t>
      </w:r>
      <w:r>
        <w:rPr>
          <w:rFonts w:hint="default" w:ascii="Times New Roman" w:hAnsi="Times New Roman" w:eastAsia="宋体" w:cs="Times New Roman"/>
          <w:color w:val="000000"/>
          <w:kern w:val="0"/>
          <w:sz w:val="24"/>
          <w:szCs w:val="24"/>
          <w:highlight w:val="none"/>
        </w:rPr>
        <w:t>GB 50164《混凝土质量控制标准》</w:t>
      </w:r>
      <w:r>
        <w:rPr>
          <w:rFonts w:hint="eastAsia" w:ascii="Times New Roman" w:hAnsi="Times New Roman" w:cs="Times New Roman"/>
          <w:color w:val="000000"/>
          <w:kern w:val="0"/>
          <w:sz w:val="24"/>
          <w:szCs w:val="24"/>
          <w:highlight w:val="none"/>
          <w:lang w:eastAsia="zh-CN"/>
        </w:rPr>
        <w:t>、</w:t>
      </w:r>
      <w:r>
        <w:rPr>
          <w:rFonts w:hint="default" w:ascii="Times New Roman" w:hAnsi="Times New Roman" w:eastAsia="宋体" w:cs="Times New Roman"/>
          <w:color w:val="000000"/>
          <w:kern w:val="0"/>
          <w:sz w:val="24"/>
          <w:szCs w:val="24"/>
          <w:highlight w:val="none"/>
        </w:rPr>
        <w:t>GB 55008《</w:t>
      </w:r>
      <w:r>
        <w:rPr>
          <w:rFonts w:hint="eastAsia" w:ascii="Times New Roman" w:hAnsi="Times New Roman" w:eastAsia="宋体" w:cs="Times New Roman"/>
          <w:color w:val="000000"/>
          <w:kern w:val="0"/>
          <w:sz w:val="24"/>
          <w:szCs w:val="24"/>
          <w:highlight w:val="none"/>
          <w:lang w:val="en-US" w:eastAsia="zh-CN"/>
        </w:rPr>
        <w:t>混凝土结构通用规范</w:t>
      </w:r>
      <w:r>
        <w:rPr>
          <w:rFonts w:hint="default" w:ascii="Times New Roman" w:hAnsi="Times New Roman" w:eastAsia="宋体" w:cs="Times New Roman"/>
          <w:color w:val="000000"/>
          <w:kern w:val="0"/>
          <w:sz w:val="24"/>
          <w:szCs w:val="24"/>
          <w:highlight w:val="none"/>
        </w:rPr>
        <w:t>》</w:t>
      </w:r>
      <w:r>
        <w:rPr>
          <w:rFonts w:hint="eastAsia" w:ascii="Times New Roman" w:hAnsi="Times New Roman" w:cs="Times New Roman"/>
          <w:color w:val="000000"/>
          <w:kern w:val="0"/>
          <w:sz w:val="24"/>
          <w:szCs w:val="24"/>
          <w:highlight w:val="none"/>
          <w:lang w:eastAsia="zh-CN"/>
        </w:rPr>
        <w:t>、</w:t>
      </w:r>
      <w:r>
        <w:rPr>
          <w:rFonts w:hint="default" w:ascii="Times New Roman" w:hAnsi="Times New Roman" w:eastAsia="宋体" w:cs="Times New Roman"/>
          <w:color w:val="000000"/>
          <w:kern w:val="0"/>
          <w:sz w:val="24"/>
          <w:szCs w:val="24"/>
          <w:highlight w:val="none"/>
        </w:rPr>
        <w:t>JGJ 5</w:t>
      </w:r>
      <w:r>
        <w:rPr>
          <w:rFonts w:hint="eastAsia" w:ascii="Times New Roman" w:hAnsi="Times New Roman" w:eastAsia="宋体" w:cs="Times New Roman"/>
          <w:color w:val="000000"/>
          <w:kern w:val="0"/>
          <w:sz w:val="24"/>
          <w:szCs w:val="24"/>
          <w:highlight w:val="none"/>
          <w:lang w:val="en-US" w:eastAsia="zh-CN"/>
        </w:rPr>
        <w:t>2</w:t>
      </w:r>
      <w:r>
        <w:rPr>
          <w:rFonts w:hint="default" w:ascii="Times New Roman" w:hAnsi="Times New Roman" w:eastAsia="宋体" w:cs="Times New Roman"/>
          <w:color w:val="000000"/>
          <w:kern w:val="0"/>
          <w:sz w:val="24"/>
          <w:szCs w:val="24"/>
          <w:highlight w:val="none"/>
        </w:rPr>
        <w:t>《</w:t>
      </w:r>
      <w:r>
        <w:rPr>
          <w:rFonts w:hint="eastAsia" w:ascii="Times New Roman" w:hAnsi="Times New Roman" w:eastAsia="宋体" w:cs="Times New Roman"/>
          <w:color w:val="000000"/>
          <w:kern w:val="0"/>
          <w:sz w:val="24"/>
          <w:szCs w:val="24"/>
          <w:highlight w:val="none"/>
          <w:lang w:val="en-US" w:eastAsia="zh-CN"/>
        </w:rPr>
        <w:t>普通混凝土用砂、石质量及检验方法标准</w:t>
      </w:r>
      <w:r>
        <w:rPr>
          <w:rFonts w:hint="default" w:ascii="Times New Roman" w:hAnsi="Times New Roman" w:eastAsia="宋体" w:cs="Times New Roman"/>
          <w:color w:val="000000"/>
          <w:kern w:val="0"/>
          <w:sz w:val="24"/>
          <w:szCs w:val="24"/>
          <w:highlight w:val="none"/>
        </w:rPr>
        <w:t>》</w:t>
      </w:r>
      <w:r>
        <w:rPr>
          <w:rFonts w:hint="eastAsia" w:ascii="Times New Roman" w:hAnsi="Times New Roman" w:cs="Times New Roman"/>
          <w:color w:val="000000"/>
          <w:kern w:val="0"/>
          <w:sz w:val="24"/>
          <w:szCs w:val="24"/>
          <w:highlight w:val="none"/>
          <w:lang w:eastAsia="zh-CN"/>
        </w:rPr>
        <w:t>、</w:t>
      </w:r>
      <w:r>
        <w:rPr>
          <w:rFonts w:hint="default" w:ascii="Times New Roman" w:hAnsi="Times New Roman" w:eastAsia="宋体" w:cs="Times New Roman"/>
          <w:color w:val="000000"/>
          <w:kern w:val="0"/>
          <w:sz w:val="24"/>
          <w:szCs w:val="24"/>
          <w:highlight w:val="none"/>
        </w:rPr>
        <w:t>JGJ 55《普通混凝土配合比设计规程》</w:t>
      </w:r>
      <w:r>
        <w:rPr>
          <w:rFonts w:hint="eastAsia" w:ascii="Times New Roman" w:hAnsi="Times New Roman" w:cs="Times New Roman"/>
          <w:color w:val="000000"/>
          <w:kern w:val="0"/>
          <w:sz w:val="24"/>
          <w:szCs w:val="24"/>
          <w:highlight w:val="none"/>
          <w:lang w:eastAsia="zh-CN"/>
        </w:rPr>
        <w:t>、</w:t>
      </w:r>
      <w:r>
        <w:rPr>
          <w:rFonts w:hint="default" w:ascii="Times New Roman" w:hAnsi="Times New Roman" w:eastAsia="宋体" w:cs="Times New Roman"/>
          <w:color w:val="000000"/>
          <w:kern w:val="0"/>
          <w:sz w:val="24"/>
          <w:szCs w:val="24"/>
          <w:highlight w:val="none"/>
        </w:rPr>
        <w:t>JGJ 63《混凝土用水标准》</w:t>
      </w:r>
      <w:r>
        <w:rPr>
          <w:rFonts w:hint="eastAsia" w:ascii="Times New Roman" w:hAnsi="Times New Roman" w:cs="Times New Roman"/>
          <w:color w:val="000000"/>
          <w:kern w:val="0"/>
          <w:sz w:val="24"/>
          <w:szCs w:val="24"/>
          <w:highlight w:val="none"/>
          <w:lang w:eastAsia="zh-CN"/>
        </w:rPr>
        <w:t>、</w:t>
      </w:r>
      <w:r>
        <w:rPr>
          <w:rFonts w:hint="default" w:ascii="Times New Roman" w:hAnsi="Times New Roman" w:eastAsia="宋体" w:cs="Times New Roman"/>
          <w:color w:val="000000"/>
          <w:kern w:val="0"/>
          <w:sz w:val="24"/>
          <w:szCs w:val="24"/>
          <w:highlight w:val="none"/>
        </w:rPr>
        <w:t>JGJ/T 193《混凝土耐久性检验评定标准》</w:t>
      </w:r>
      <w:r>
        <w:rPr>
          <w:rFonts w:hint="eastAsia" w:ascii="Times New Roman" w:hAnsi="Times New Roman" w:cs="Times New Roman"/>
          <w:color w:val="000000"/>
          <w:kern w:val="0"/>
          <w:sz w:val="24"/>
          <w:szCs w:val="24"/>
          <w:highlight w:val="none"/>
          <w:lang w:eastAsia="zh-CN"/>
        </w:rPr>
        <w:t>、</w:t>
      </w:r>
      <w:r>
        <w:rPr>
          <w:rFonts w:hint="default" w:ascii="Times New Roman" w:hAnsi="Times New Roman" w:eastAsia="宋体" w:cs="Times New Roman"/>
          <w:color w:val="000000"/>
          <w:kern w:val="0"/>
          <w:sz w:val="24"/>
          <w:szCs w:val="24"/>
          <w:highlight w:val="none"/>
        </w:rPr>
        <w:t>JGJ/T 241《</w:t>
      </w:r>
      <w:r>
        <w:rPr>
          <w:rFonts w:hint="eastAsia" w:ascii="Times New Roman" w:hAnsi="Times New Roman" w:eastAsia="宋体" w:cs="Times New Roman"/>
          <w:color w:val="000000"/>
          <w:kern w:val="0"/>
          <w:sz w:val="24"/>
          <w:szCs w:val="24"/>
          <w:highlight w:val="none"/>
          <w:lang w:val="en-US" w:eastAsia="zh-CN"/>
        </w:rPr>
        <w:t>人工砂混凝土应用技术规程</w:t>
      </w:r>
      <w:r>
        <w:rPr>
          <w:rFonts w:hint="default" w:ascii="Times New Roman" w:hAnsi="Times New Roman" w:eastAsia="宋体" w:cs="Times New Roman"/>
          <w:color w:val="000000"/>
          <w:kern w:val="0"/>
          <w:sz w:val="24"/>
          <w:szCs w:val="24"/>
          <w:highlight w:val="none"/>
        </w:rPr>
        <w:t>》</w:t>
      </w:r>
      <w:r>
        <w:rPr>
          <w:rFonts w:hint="eastAsia" w:ascii="Times New Roman" w:hAnsi="Times New Roman" w:cs="Times New Roman"/>
          <w:color w:val="000000"/>
          <w:kern w:val="0"/>
          <w:sz w:val="24"/>
          <w:szCs w:val="24"/>
          <w:highlight w:val="none"/>
          <w:lang w:eastAsia="zh-CN"/>
        </w:rPr>
        <w:t>、</w:t>
      </w:r>
      <w:r>
        <w:rPr>
          <w:rFonts w:hint="eastAsia" w:ascii="Times New Roman" w:hAnsi="Times New Roman" w:eastAsia="宋体" w:cs="Times New Roman"/>
          <w:color w:val="000000"/>
          <w:kern w:val="0"/>
          <w:highlight w:val="none"/>
        </w:rPr>
        <w:t>JGJ/T 322</w:t>
      </w:r>
      <w:r>
        <w:rPr>
          <w:rFonts w:hint="default" w:ascii="Times New Roman" w:hAnsi="Times New Roman" w:eastAsia="宋体" w:cs="Times New Roman"/>
          <w:color w:val="000000"/>
          <w:kern w:val="0"/>
          <w:sz w:val="24"/>
          <w:szCs w:val="24"/>
          <w:highlight w:val="none"/>
        </w:rPr>
        <w:t>《</w:t>
      </w:r>
      <w:r>
        <w:rPr>
          <w:rFonts w:hint="eastAsia" w:ascii="Times New Roman" w:hAnsi="Times New Roman" w:eastAsia="宋体" w:cs="Times New Roman"/>
          <w:color w:val="000000"/>
          <w:kern w:val="0"/>
          <w:highlight w:val="none"/>
        </w:rPr>
        <w:t>混凝土中氯离子含量检测技术规程</w:t>
      </w:r>
      <w:r>
        <w:rPr>
          <w:rFonts w:hint="default" w:ascii="Times New Roman" w:hAnsi="Times New Roman" w:eastAsia="宋体" w:cs="Times New Roman"/>
          <w:color w:val="000000"/>
          <w:kern w:val="0"/>
          <w:sz w:val="24"/>
          <w:szCs w:val="24"/>
          <w:highlight w:val="none"/>
        </w:rPr>
        <w:t>》</w:t>
      </w:r>
      <w:r>
        <w:rPr>
          <w:rFonts w:hint="eastAsia" w:ascii="Times New Roman" w:hAnsi="Times New Roman" w:cs="Times New Roman"/>
          <w:color w:val="000000"/>
          <w:kern w:val="0"/>
          <w:sz w:val="24"/>
          <w:szCs w:val="24"/>
          <w:highlight w:val="none"/>
          <w:lang w:eastAsia="zh-CN"/>
        </w:rPr>
        <w:t>、</w:t>
      </w:r>
      <w:r>
        <w:rPr>
          <w:rFonts w:hint="eastAsia" w:ascii="Times New Roman" w:hAnsi="Times New Roman" w:eastAsia="宋体" w:cs="Times New Roman"/>
          <w:color w:val="000000"/>
          <w:kern w:val="0"/>
          <w:sz w:val="24"/>
          <w:szCs w:val="24"/>
          <w:highlight w:val="none"/>
          <w:lang w:val="en-US" w:eastAsia="zh-CN"/>
        </w:rPr>
        <w:t>JGJ/T 328</w:t>
      </w:r>
      <w:r>
        <w:rPr>
          <w:rFonts w:hint="default" w:ascii="Times New Roman" w:hAnsi="Times New Roman" w:eastAsia="宋体" w:cs="Times New Roman"/>
          <w:color w:val="000000"/>
          <w:kern w:val="0"/>
          <w:sz w:val="24"/>
          <w:szCs w:val="24"/>
          <w:highlight w:val="none"/>
        </w:rPr>
        <w:t>《</w:t>
      </w:r>
      <w:r>
        <w:rPr>
          <w:rFonts w:hint="eastAsia" w:ascii="Times New Roman" w:hAnsi="Times New Roman" w:eastAsia="宋体" w:cs="Times New Roman"/>
          <w:color w:val="000000"/>
          <w:kern w:val="0"/>
          <w:sz w:val="24"/>
          <w:szCs w:val="24"/>
          <w:highlight w:val="none"/>
          <w:lang w:val="en-US" w:eastAsia="zh-CN"/>
        </w:rPr>
        <w:t>预拌混凝土绿色生产及管理技术规程</w:t>
      </w:r>
      <w:r>
        <w:rPr>
          <w:rFonts w:hint="default" w:ascii="Times New Roman" w:hAnsi="Times New Roman" w:eastAsia="宋体" w:cs="Times New Roman"/>
          <w:color w:val="000000"/>
          <w:kern w:val="0"/>
          <w:sz w:val="24"/>
          <w:szCs w:val="24"/>
          <w:highlight w:val="none"/>
        </w:rPr>
        <w:t>》</w:t>
      </w:r>
      <w:r>
        <w:rPr>
          <w:rFonts w:hint="eastAsia" w:ascii="Times New Roman" w:hAnsi="Times New Roman" w:cs="Times New Roman"/>
          <w:color w:val="000000"/>
          <w:kern w:val="0"/>
          <w:sz w:val="24"/>
          <w:szCs w:val="24"/>
          <w:highlight w:val="none"/>
          <w:lang w:eastAsia="zh-CN"/>
        </w:rPr>
        <w:t>。</w:t>
      </w:r>
    </w:p>
    <w:p w14:paraId="4B77438C">
      <w:pPr>
        <w:pStyle w:val="5"/>
        <w:numPr>
          <w:ilvl w:val="2"/>
          <w:numId w:val="6"/>
        </w:numPr>
        <w:rPr>
          <w:color w:val="000000" w:themeColor="text1"/>
        </w:rPr>
      </w:pPr>
      <w:bookmarkStart w:id="43" w:name="_Toc48292344"/>
      <w:bookmarkStart w:id="44" w:name="_Toc49883323"/>
      <w:r>
        <w:rPr>
          <w:color w:val="000000" w:themeColor="text1"/>
        </w:rPr>
        <w:t>术语和定义</w:t>
      </w:r>
      <w:bookmarkEnd w:id="43"/>
      <w:bookmarkEnd w:id="44"/>
    </w:p>
    <w:p w14:paraId="25D00B69">
      <w:pPr>
        <w:spacing w:line="360" w:lineRule="auto"/>
        <w:ind w:firstLine="480"/>
        <w:rPr>
          <w:rFonts w:ascii="Times New Roman" w:hAnsi="Times New Roman" w:cs="Times New Roman" w:eastAsiaTheme="minorEastAsia"/>
          <w:color w:val="000000" w:themeColor="text1"/>
          <w:szCs w:val="28"/>
        </w:rPr>
      </w:pPr>
      <w:r>
        <w:rPr>
          <w:rFonts w:hint="default" w:ascii="Times New Roman" w:hAnsi="Times New Roman" w:cs="Times New Roman" w:eastAsiaTheme="minorEastAsia"/>
          <w:color w:val="000000" w:themeColor="text1"/>
          <w:szCs w:val="28"/>
          <w:lang w:val="en-US" w:eastAsia="zh-CN"/>
        </w:rPr>
        <w:t>本文件共规定了三条术语，分别是混凝土初凝时间、混凝土终凝时间以及超缓凝混凝土，混凝土初凝时间和终凝时间给出了定性的描述，</w:t>
      </w:r>
      <w:r>
        <w:rPr>
          <w:rFonts w:hint="default" w:ascii="Times New Roman" w:hAnsi="Times New Roman" w:eastAsia="宋体" w:cs="Times New Roman"/>
          <w:sz w:val="24"/>
          <w:szCs w:val="24"/>
          <w:lang w:val="en-US" w:eastAsia="zh-CN"/>
        </w:rPr>
        <w:t>根据市场上产品现状及验证试验数据</w:t>
      </w:r>
      <w:r>
        <w:rPr>
          <w:rFonts w:hint="default" w:ascii="Times New Roman" w:hAnsi="Times New Roman" w:cs="Times New Roman"/>
          <w:sz w:val="24"/>
          <w:szCs w:val="24"/>
          <w:lang w:val="en-US" w:eastAsia="zh-CN"/>
        </w:rPr>
        <w:t>规定</w:t>
      </w:r>
      <w:r>
        <w:rPr>
          <w:rFonts w:hint="default" w:ascii="Times New Roman" w:hAnsi="Times New Roman" w:cs="Times New Roman" w:eastAsiaTheme="minorEastAsia"/>
          <w:color w:val="000000" w:themeColor="text1"/>
          <w:szCs w:val="28"/>
          <w:lang w:val="en-US" w:eastAsia="zh-CN"/>
        </w:rPr>
        <w:t>超缓凝混凝土的定义为</w:t>
      </w:r>
      <w:r>
        <w:rPr>
          <w:rFonts w:hint="eastAsia" w:ascii="Times New Roman" w:hAnsi="Times New Roman" w:cs="Times New Roman" w:eastAsiaTheme="minorEastAsia"/>
          <w:color w:val="000000" w:themeColor="text1"/>
          <w:szCs w:val="28"/>
          <w:lang w:val="en-US" w:eastAsia="zh-CN"/>
        </w:rPr>
        <w:t>“</w:t>
      </w:r>
      <w:r>
        <w:rPr>
          <w:rFonts w:hint="default" w:ascii="Times New Roman" w:hAnsi="Times New Roman" w:cs="Times New Roman" w:eastAsiaTheme="minorEastAsia"/>
          <w:color w:val="000000" w:themeColor="text1"/>
          <w:szCs w:val="28"/>
        </w:rPr>
        <w:t>混凝土初凝时间不小于24h，初终凝时间差小于20h，28d强度或设计龄期强度不低于设计强度等级的混凝土</w:t>
      </w:r>
      <w:r>
        <w:rPr>
          <w:rFonts w:hint="eastAsia" w:ascii="Times New Roman" w:hAnsi="Times New Roman" w:cs="Times New Roman" w:eastAsiaTheme="minorEastAsia"/>
          <w:color w:val="000000" w:themeColor="text1"/>
          <w:szCs w:val="28"/>
          <w:lang w:val="en-US" w:eastAsia="zh-CN"/>
        </w:rPr>
        <w:t>”，</w:t>
      </w:r>
      <w:r>
        <w:rPr>
          <w:rFonts w:hint="default" w:ascii="Times New Roman" w:hAnsi="Times New Roman" w:cs="Times New Roman" w:eastAsiaTheme="minorEastAsia"/>
          <w:color w:val="000000" w:themeColor="text1"/>
          <w:szCs w:val="28"/>
          <w:lang w:val="en-US" w:eastAsia="zh-CN"/>
        </w:rPr>
        <w:t>超缓凝混凝土作为一种新型混凝土，其特点在于凝结时间长，并且抗压强度不降低，均在定义中进行了描述。</w:t>
      </w:r>
    </w:p>
    <w:p w14:paraId="08AF3407">
      <w:pPr>
        <w:pStyle w:val="5"/>
        <w:numPr>
          <w:ilvl w:val="2"/>
          <w:numId w:val="6"/>
        </w:numPr>
        <w:rPr>
          <w:color w:val="000000" w:themeColor="text1"/>
        </w:rPr>
      </w:pPr>
      <w:bookmarkStart w:id="45" w:name="_Toc48292345"/>
      <w:bookmarkStart w:id="46" w:name="_Toc49883324"/>
      <w:r>
        <w:rPr>
          <w:rFonts w:hint="eastAsia"/>
          <w:color w:val="000000" w:themeColor="text1"/>
          <w:lang w:val="en-US" w:eastAsia="zh-CN"/>
        </w:rPr>
        <w:t>性能等级</w:t>
      </w:r>
    </w:p>
    <w:p w14:paraId="61BB80F1">
      <w:pPr>
        <w:pStyle w:val="5"/>
        <w:numPr>
          <w:ilvl w:val="0"/>
          <w:numId w:val="7"/>
        </w:numPr>
        <w:ind w:firstLine="480" w:firstLineChars="200"/>
        <w:rPr>
          <w:rFonts w:hint="eastAsia" w:ascii="楷体" w:hAnsi="楷体" w:eastAsia="楷体" w:cs="楷体"/>
          <w:b w:val="0"/>
          <w:bCs w:val="0"/>
          <w:color w:val="000000" w:themeColor="text1"/>
        </w:rPr>
      </w:pPr>
      <w:r>
        <w:rPr>
          <w:rFonts w:hint="eastAsia" w:ascii="楷体" w:hAnsi="楷体" w:eastAsia="楷体" w:cs="楷体"/>
          <w:b w:val="0"/>
          <w:bCs w:val="0"/>
          <w:color w:val="000000" w:themeColor="text1"/>
        </w:rPr>
        <w:t>超缓凝混凝土拌合物坍落度、扩展度等级划分及允许偏差应符合GB 50164的规定。</w:t>
      </w:r>
    </w:p>
    <w:p w14:paraId="2DC3AAE6">
      <w:pPr>
        <w:pStyle w:val="5"/>
        <w:numPr>
          <w:ilvl w:val="-1"/>
          <w:numId w:val="0"/>
        </w:numPr>
        <w:ind w:firstLine="480" w:firstLineChars="0"/>
        <w:rPr>
          <w:rFonts w:hint="default" w:ascii="Times New Roman" w:hAnsi="Times New Roman" w:cs="Times New Roman" w:eastAsiaTheme="minorEastAsia"/>
          <w:b w:val="0"/>
          <w:bCs w:val="0"/>
          <w:color w:val="000000" w:themeColor="text1"/>
          <w:lang w:val="en-US" w:eastAsia="zh-CN"/>
        </w:rPr>
      </w:pPr>
      <w:r>
        <w:rPr>
          <w:rFonts w:hint="default" w:ascii="Times New Roman" w:hAnsi="Times New Roman" w:cs="Times New Roman" w:eastAsiaTheme="minorEastAsia"/>
          <w:b w:val="0"/>
          <w:bCs w:val="0"/>
          <w:color w:val="000000" w:themeColor="text1"/>
          <w:lang w:val="en-US" w:eastAsia="zh-CN"/>
        </w:rPr>
        <w:t>此条款中规定的内容，</w:t>
      </w:r>
      <w:r>
        <w:rPr>
          <w:rFonts w:hint="default" w:ascii="Times New Roman" w:hAnsi="Times New Roman" w:cs="Times New Roman" w:eastAsiaTheme="minorEastAsia"/>
          <w:b w:val="0"/>
          <w:bCs w:val="0"/>
          <w:color w:val="000000" w:themeColor="text1"/>
        </w:rPr>
        <w:t>GB 50164</w:t>
      </w:r>
      <w:r>
        <w:rPr>
          <w:rFonts w:hint="default" w:ascii="Times New Roman" w:hAnsi="Times New Roman" w:cs="Times New Roman" w:eastAsiaTheme="minorEastAsia"/>
          <w:b w:val="0"/>
          <w:bCs w:val="0"/>
          <w:color w:val="000000" w:themeColor="text1"/>
          <w:lang w:val="en-US" w:eastAsia="zh-CN"/>
        </w:rPr>
        <w:t>中均有规定，超缓凝混凝土没有特殊要求，因此符合该标准即可。</w:t>
      </w:r>
    </w:p>
    <w:p w14:paraId="70CCF1D1">
      <w:pPr>
        <w:pStyle w:val="5"/>
        <w:numPr>
          <w:ilvl w:val="0"/>
          <w:numId w:val="7"/>
        </w:numPr>
        <w:ind w:firstLine="480" w:firstLineChars="200"/>
        <w:rPr>
          <w:rFonts w:hint="eastAsia" w:ascii="楷体" w:hAnsi="楷体" w:eastAsia="楷体" w:cs="楷体"/>
          <w:b w:val="0"/>
          <w:bCs w:val="0"/>
          <w:color w:val="000000" w:themeColor="text1"/>
        </w:rPr>
      </w:pPr>
      <w:r>
        <w:rPr>
          <w:rFonts w:hint="eastAsia" w:ascii="楷体" w:hAnsi="楷体" w:eastAsia="楷体" w:cs="楷体"/>
          <w:b w:val="0"/>
          <w:bCs w:val="0"/>
          <w:color w:val="000000" w:themeColor="text1"/>
        </w:rPr>
        <w:t>超缓凝混凝土按初凝时间分为NJ24、NJ36、NJ48、NJ60、NJ72、NJ84、NJ96七个等级。</w:t>
      </w:r>
    </w:p>
    <w:p w14:paraId="79193432">
      <w:pPr>
        <w:pStyle w:val="5"/>
        <w:numPr>
          <w:ilvl w:val="-1"/>
          <w:numId w:val="0"/>
        </w:numPr>
        <w:ind w:firstLine="480" w:firstLineChars="200"/>
        <w:jc w:val="both"/>
        <w:rPr>
          <w:rFonts w:hint="default" w:ascii="Times New Roman" w:hAnsi="Times New Roman" w:eastAsia="楷体" w:cs="Times New Roman"/>
          <w:b w:val="0"/>
          <w:bCs w:val="0"/>
          <w:color w:val="000000" w:themeColor="text1"/>
          <w:lang w:val="en-US" w:eastAsia="zh-CN"/>
        </w:rPr>
      </w:pPr>
      <w:r>
        <w:rPr>
          <w:rFonts w:hint="default" w:ascii="Times New Roman" w:hAnsi="Times New Roman" w:cs="Times New Roman" w:eastAsiaTheme="minorEastAsia"/>
          <w:b w:val="0"/>
          <w:bCs w:val="0"/>
          <w:color w:val="000000" w:themeColor="text1"/>
          <w:lang w:val="en-US" w:eastAsia="zh-CN"/>
        </w:rPr>
        <w:t>此条款中规定了</w:t>
      </w:r>
      <w:r>
        <w:rPr>
          <w:rFonts w:hint="default" w:ascii="Times New Roman" w:hAnsi="Times New Roman" w:cs="Times New Roman" w:eastAsiaTheme="minorEastAsia"/>
          <w:b w:val="0"/>
          <w:bCs w:val="0"/>
          <w:color w:val="000000" w:themeColor="text1"/>
        </w:rPr>
        <w:t>超缓凝混凝土</w:t>
      </w:r>
      <w:r>
        <w:rPr>
          <w:rFonts w:hint="default" w:ascii="Times New Roman" w:hAnsi="Times New Roman" w:cs="Times New Roman" w:eastAsiaTheme="minorEastAsia"/>
          <w:b w:val="0"/>
          <w:bCs w:val="0"/>
          <w:color w:val="000000" w:themeColor="text1"/>
          <w:lang w:val="en-US" w:eastAsia="zh-CN"/>
        </w:rPr>
        <w:t>初凝时间等级，共七个等级，以12h为一个时间间隔，</w:t>
      </w:r>
      <w:r>
        <w:rPr>
          <w:rFonts w:hint="default" w:ascii="Times New Roman" w:hAnsi="Times New Roman" w:cs="Times New Roman" w:eastAsiaTheme="minorEastAsia"/>
          <w:b w:val="0"/>
          <w:bCs w:val="0"/>
          <w:color w:val="000000" w:themeColor="text1"/>
          <w:szCs w:val="28"/>
          <w:lang w:val="en-US" w:eastAsia="zh-CN"/>
        </w:rPr>
        <w:t>超缓凝混凝土的定义中规定了</w:t>
      </w:r>
      <w:r>
        <w:rPr>
          <w:rFonts w:hint="eastAsia" w:ascii="Times New Roman" w:hAnsi="Times New Roman" w:cs="Times New Roman" w:eastAsiaTheme="minorEastAsia"/>
          <w:b w:val="0"/>
          <w:bCs w:val="0"/>
          <w:color w:val="000000" w:themeColor="text1"/>
          <w:szCs w:val="28"/>
          <w:lang w:val="en-US" w:eastAsia="zh-CN"/>
        </w:rPr>
        <w:t>“</w:t>
      </w:r>
      <w:r>
        <w:rPr>
          <w:rFonts w:hint="default" w:ascii="Times New Roman" w:hAnsi="Times New Roman" w:cs="Times New Roman" w:eastAsiaTheme="minorEastAsia"/>
          <w:b w:val="0"/>
          <w:bCs w:val="0"/>
          <w:color w:val="000000" w:themeColor="text1"/>
          <w:szCs w:val="28"/>
        </w:rPr>
        <w:t>混凝土初凝时间不小于24h</w:t>
      </w:r>
      <w:r>
        <w:rPr>
          <w:rFonts w:hint="eastAsia" w:ascii="Times New Roman" w:hAnsi="Times New Roman" w:cs="Times New Roman" w:eastAsiaTheme="minorEastAsia"/>
          <w:b w:val="0"/>
          <w:bCs w:val="0"/>
          <w:color w:val="000000" w:themeColor="text1"/>
          <w:szCs w:val="28"/>
          <w:lang w:val="en-US" w:eastAsia="zh-CN"/>
        </w:rPr>
        <w:t>”</w:t>
      </w:r>
      <w:r>
        <w:rPr>
          <w:rFonts w:hint="default" w:ascii="Times New Roman" w:hAnsi="Times New Roman" w:cs="Times New Roman" w:eastAsiaTheme="minorEastAsia"/>
          <w:b w:val="0"/>
          <w:bCs w:val="0"/>
          <w:color w:val="000000" w:themeColor="text1"/>
          <w:szCs w:val="28"/>
          <w:lang w:eastAsia="zh-CN"/>
        </w:rPr>
        <w:t>，</w:t>
      </w:r>
      <w:r>
        <w:rPr>
          <w:rFonts w:hint="default" w:ascii="Times New Roman" w:hAnsi="Times New Roman" w:cs="Times New Roman" w:eastAsiaTheme="minorEastAsia"/>
          <w:b w:val="0"/>
          <w:bCs w:val="0"/>
          <w:color w:val="000000" w:themeColor="text1"/>
          <w:szCs w:val="28"/>
          <w:lang w:val="en-US" w:eastAsia="zh-CN"/>
        </w:rPr>
        <w:t>以</w:t>
      </w:r>
      <w:r>
        <w:rPr>
          <w:rFonts w:hint="default" w:ascii="Times New Roman" w:hAnsi="Times New Roman" w:cs="Times New Roman" w:eastAsiaTheme="minorEastAsia"/>
          <w:b w:val="0"/>
          <w:bCs w:val="0"/>
          <w:color w:val="000000" w:themeColor="text1"/>
        </w:rPr>
        <w:t>NJ24</w:t>
      </w:r>
      <w:r>
        <w:rPr>
          <w:rFonts w:hint="default" w:ascii="Times New Roman" w:hAnsi="Times New Roman" w:cs="Times New Roman" w:eastAsiaTheme="minorEastAsia"/>
          <w:b w:val="0"/>
          <w:bCs w:val="0"/>
          <w:color w:val="000000" w:themeColor="text1"/>
          <w:lang w:val="en-US" w:eastAsia="zh-CN"/>
        </w:rPr>
        <w:t>为最低等级，现行标准JGJ 432-2018《建筑工程逆作法技术标准》中提到了支撑桩混凝土宜采用缓凝混凝土，缓凝时间应根据施工操作流程综合确定，且初凝时间不宜小于36h。现行标准JGJ/T 396-2018《咬合式排桩技术标准》中提到了软法切割施工Ⅰ序桩应采用超缓凝混凝土，超缓凝混凝土缓凝时间应在施工前试验确定，且不应小于60h。根据调研以及工程应用案例，规定了超缓凝混凝土初凝时间最高等级为</w:t>
      </w:r>
      <w:r>
        <w:rPr>
          <w:rFonts w:hint="default" w:ascii="Times New Roman" w:hAnsi="Times New Roman" w:cs="Times New Roman" w:eastAsiaTheme="minorEastAsia"/>
          <w:b w:val="0"/>
          <w:bCs w:val="0"/>
          <w:color w:val="000000" w:themeColor="text1"/>
        </w:rPr>
        <w:t>NJ96</w:t>
      </w:r>
      <w:r>
        <w:rPr>
          <w:rFonts w:hint="eastAsia" w:ascii="Times New Roman" w:hAnsi="Times New Roman" w:cs="Times New Roman" w:eastAsiaTheme="minorEastAsia"/>
          <w:b w:val="0"/>
          <w:bCs w:val="0"/>
          <w:color w:val="000000" w:themeColor="text1"/>
          <w:lang w:eastAsia="zh-CN"/>
        </w:rPr>
        <w:t>，</w:t>
      </w:r>
      <w:r>
        <w:rPr>
          <w:rFonts w:hint="eastAsia" w:ascii="Times New Roman" w:hAnsi="Times New Roman" w:cs="Times New Roman" w:eastAsiaTheme="minorEastAsia"/>
          <w:b w:val="0"/>
          <w:bCs w:val="0"/>
          <w:color w:val="000000" w:themeColor="text1"/>
          <w:lang w:val="en-US" w:eastAsia="zh-CN"/>
        </w:rPr>
        <w:t>该凝结时间等级的规定也能够满足不同工程的的需求</w:t>
      </w:r>
      <w:r>
        <w:rPr>
          <w:rFonts w:hint="default" w:ascii="Times New Roman" w:hAnsi="Times New Roman" w:cs="Times New Roman" w:eastAsiaTheme="minorEastAsia"/>
          <w:b w:val="0"/>
          <w:bCs w:val="0"/>
          <w:color w:val="000000" w:themeColor="text1"/>
          <w:lang w:eastAsia="zh-CN"/>
        </w:rPr>
        <w:t>。</w:t>
      </w:r>
    </w:p>
    <w:p w14:paraId="71B89F32">
      <w:pPr>
        <w:pStyle w:val="5"/>
        <w:numPr>
          <w:ilvl w:val="0"/>
          <w:numId w:val="7"/>
        </w:numPr>
        <w:ind w:firstLine="480" w:firstLineChars="200"/>
        <w:rPr>
          <w:rFonts w:hint="eastAsia" w:ascii="楷体" w:hAnsi="楷体" w:eastAsia="楷体" w:cs="楷体"/>
          <w:b w:val="0"/>
          <w:bCs w:val="0"/>
          <w:color w:val="000000" w:themeColor="text1"/>
        </w:rPr>
      </w:pPr>
      <w:r>
        <w:rPr>
          <w:rFonts w:hint="eastAsia" w:ascii="楷体" w:hAnsi="楷体" w:eastAsia="楷体" w:cs="楷体"/>
          <w:b w:val="0"/>
          <w:bCs w:val="0"/>
          <w:color w:val="000000" w:themeColor="text1"/>
        </w:rPr>
        <w:t>超缓凝混凝土按立方体抗压强度分为C20、C25、C30、C35、C40、C45、C50、C55八个等级。</w:t>
      </w:r>
    </w:p>
    <w:p w14:paraId="7217BC3B">
      <w:pPr>
        <w:pStyle w:val="5"/>
        <w:numPr>
          <w:ilvl w:val="-1"/>
          <w:numId w:val="0"/>
        </w:numPr>
        <w:ind w:firstLine="0" w:firstLineChars="0"/>
        <w:rPr>
          <w:rFonts w:hint="default" w:ascii="Times New Roman" w:hAnsi="Times New Roman" w:cs="Times New Roman" w:eastAsiaTheme="minorEastAsia"/>
          <w:b w:val="0"/>
          <w:bCs w:val="0"/>
          <w:color w:val="000000" w:themeColor="text1"/>
          <w:lang w:val="en-US" w:eastAsia="zh-CN"/>
        </w:rPr>
      </w:pPr>
      <w:r>
        <w:rPr>
          <w:rFonts w:hint="eastAsia" w:ascii="楷体" w:hAnsi="楷体" w:eastAsia="楷体" w:cs="楷体"/>
          <w:b w:val="0"/>
          <w:bCs w:val="0"/>
          <w:color w:val="000000" w:themeColor="text1"/>
          <w:lang w:val="en-US" w:eastAsia="zh-CN"/>
        </w:rPr>
        <w:t xml:space="preserve">    </w:t>
      </w:r>
      <w:r>
        <w:rPr>
          <w:rFonts w:hint="default" w:ascii="Times New Roman" w:hAnsi="Times New Roman" w:cs="Times New Roman" w:eastAsiaTheme="minorEastAsia"/>
          <w:b w:val="0"/>
          <w:bCs w:val="0"/>
          <w:color w:val="000000" w:themeColor="text1"/>
          <w:lang w:val="en-US" w:eastAsia="zh-CN"/>
        </w:rPr>
        <w:t>此条款规定了</w:t>
      </w:r>
      <w:r>
        <w:rPr>
          <w:rFonts w:hint="default" w:ascii="Times New Roman" w:hAnsi="Times New Roman" w:cs="Times New Roman" w:eastAsiaTheme="minorEastAsia"/>
          <w:b w:val="0"/>
          <w:bCs w:val="0"/>
          <w:color w:val="000000" w:themeColor="text1"/>
        </w:rPr>
        <w:t>超缓凝混凝土</w:t>
      </w:r>
      <w:r>
        <w:rPr>
          <w:rFonts w:hint="default" w:ascii="Times New Roman" w:hAnsi="Times New Roman" w:cs="Times New Roman" w:eastAsiaTheme="minorEastAsia"/>
          <w:b w:val="0"/>
          <w:bCs w:val="0"/>
          <w:color w:val="000000" w:themeColor="text1"/>
          <w:lang w:val="en-US" w:eastAsia="zh-CN"/>
        </w:rPr>
        <w:t>抗压强度等级，</w:t>
      </w:r>
      <w:r>
        <w:rPr>
          <w:rFonts w:hint="default" w:ascii="Times New Roman" w:hAnsi="Times New Roman" w:cs="Times New Roman" w:eastAsiaTheme="minorEastAsia"/>
          <w:b w:val="0"/>
          <w:bCs w:val="0"/>
          <w:color w:val="000000" w:themeColor="text1"/>
        </w:rPr>
        <w:t>根据超缓凝混凝土的应用领域和超缓凝混凝土的技术水平，</w:t>
      </w:r>
      <w:r>
        <w:rPr>
          <w:rFonts w:hint="default" w:ascii="Times New Roman" w:hAnsi="Times New Roman" w:cs="Times New Roman" w:eastAsiaTheme="minorEastAsia"/>
          <w:b w:val="0"/>
          <w:bCs w:val="0"/>
          <w:color w:val="000000" w:themeColor="text1"/>
          <w:lang w:val="en-US" w:eastAsia="zh-CN"/>
        </w:rPr>
        <w:t>共划分为八个等级，现行标准</w:t>
      </w:r>
      <w:r>
        <w:rPr>
          <w:rFonts w:hint="default" w:ascii="Times New Roman" w:hAnsi="Times New Roman" w:cs="Times New Roman" w:eastAsiaTheme="minorEastAsia"/>
          <w:b w:val="0"/>
          <w:bCs w:val="0"/>
          <w:color w:val="000000" w:themeColor="text1"/>
        </w:rPr>
        <w:t>GB 55008《混凝土结构通用规范》</w:t>
      </w:r>
      <w:r>
        <w:rPr>
          <w:rFonts w:hint="default" w:ascii="Times New Roman" w:hAnsi="Times New Roman" w:cs="Times New Roman" w:eastAsiaTheme="minorEastAsia"/>
          <w:b w:val="0"/>
          <w:bCs w:val="0"/>
          <w:color w:val="000000" w:themeColor="text1"/>
          <w:lang w:val="en-US" w:eastAsia="zh-CN"/>
        </w:rPr>
        <w:t>中规定</w:t>
      </w:r>
      <w:r>
        <w:rPr>
          <w:rFonts w:hint="default" w:ascii="Times New Roman" w:hAnsi="Times New Roman" w:cs="Times New Roman" w:eastAsiaTheme="minorEastAsia"/>
          <w:b w:val="0"/>
          <w:bCs w:val="0"/>
          <w:color w:val="000000" w:themeColor="text1"/>
        </w:rPr>
        <w:t>素混凝土结构构件的混凝土强度等级不应低于C20</w:t>
      </w:r>
      <w:r>
        <w:rPr>
          <w:rFonts w:hint="default" w:ascii="Times New Roman" w:hAnsi="Times New Roman" w:cs="Times New Roman" w:eastAsiaTheme="minorEastAsia"/>
          <w:b w:val="0"/>
          <w:bCs w:val="0"/>
          <w:color w:val="000000" w:themeColor="text1"/>
          <w:lang w:eastAsia="zh-CN"/>
        </w:rPr>
        <w:t>，</w:t>
      </w:r>
      <w:r>
        <w:rPr>
          <w:rFonts w:hint="default" w:ascii="Times New Roman" w:hAnsi="Times New Roman" w:cs="Times New Roman" w:eastAsiaTheme="minorEastAsia"/>
          <w:b w:val="0"/>
          <w:bCs w:val="0"/>
          <w:color w:val="000000" w:themeColor="text1"/>
          <w:lang w:val="en-US" w:eastAsia="zh-CN"/>
        </w:rPr>
        <w:t>现行标准</w:t>
      </w:r>
      <w:r>
        <w:rPr>
          <w:rFonts w:hint="default" w:ascii="Times New Roman" w:hAnsi="Times New Roman" w:cs="Times New Roman" w:eastAsiaTheme="minorEastAsia"/>
          <w:b w:val="0"/>
          <w:bCs w:val="0"/>
          <w:color w:val="000000" w:themeColor="text1"/>
        </w:rPr>
        <w:t>JGJ∕T 396-2018《咬合式排桩技术标准》</w:t>
      </w:r>
      <w:r>
        <w:rPr>
          <w:rFonts w:hint="default" w:ascii="Times New Roman" w:hAnsi="Times New Roman" w:cs="Times New Roman" w:eastAsiaTheme="minorEastAsia"/>
          <w:b w:val="0"/>
          <w:bCs w:val="0"/>
          <w:color w:val="000000" w:themeColor="text1"/>
          <w:lang w:val="en-US" w:eastAsia="zh-CN"/>
        </w:rPr>
        <w:t>中规定</w:t>
      </w:r>
      <w:r>
        <w:rPr>
          <w:rFonts w:hint="default" w:ascii="Times New Roman" w:hAnsi="Times New Roman" w:cs="Times New Roman" w:eastAsiaTheme="minorEastAsia"/>
          <w:b w:val="0"/>
          <w:bCs w:val="0"/>
          <w:color w:val="000000" w:themeColor="text1"/>
        </w:rPr>
        <w:t>有筋桩混凝土强度等级不应低于C25，无筋桩混凝土强度等级宜与有筋桩相同，且不宜低于C20</w:t>
      </w:r>
      <w:r>
        <w:rPr>
          <w:rFonts w:hint="default" w:ascii="Times New Roman" w:hAnsi="Times New Roman" w:cs="Times New Roman" w:eastAsiaTheme="minorEastAsia"/>
          <w:b w:val="0"/>
          <w:bCs w:val="0"/>
          <w:color w:val="000000" w:themeColor="text1"/>
          <w:lang w:eastAsia="zh-CN"/>
        </w:rPr>
        <w:t>，</w:t>
      </w:r>
      <w:r>
        <w:rPr>
          <w:rFonts w:hint="default" w:ascii="Times New Roman" w:hAnsi="Times New Roman" w:cs="Times New Roman" w:eastAsiaTheme="minorEastAsia"/>
          <w:b w:val="0"/>
          <w:bCs w:val="0"/>
          <w:color w:val="000000" w:themeColor="text1"/>
          <w:lang w:val="en-US" w:eastAsia="zh-CN"/>
        </w:rPr>
        <w:t>因此规定以</w:t>
      </w:r>
      <w:r>
        <w:rPr>
          <w:rFonts w:hint="default" w:ascii="Times New Roman" w:hAnsi="Times New Roman" w:cs="Times New Roman" w:eastAsiaTheme="minorEastAsia"/>
          <w:b w:val="0"/>
          <w:bCs w:val="0"/>
          <w:color w:val="000000" w:themeColor="text1"/>
        </w:rPr>
        <w:t>C20</w:t>
      </w:r>
      <w:r>
        <w:rPr>
          <w:rFonts w:hint="default" w:ascii="Times New Roman" w:hAnsi="Times New Roman" w:cs="Times New Roman" w:eastAsiaTheme="minorEastAsia"/>
          <w:b w:val="0"/>
          <w:bCs w:val="0"/>
          <w:color w:val="000000" w:themeColor="text1"/>
          <w:lang w:val="en-US" w:eastAsia="zh-CN"/>
        </w:rPr>
        <w:t>最为最低强度等级，根据调研，目前超缓凝混凝土不作为高强混凝土进行使用，因此规定最高强度等级规定</w:t>
      </w:r>
      <w:r>
        <w:rPr>
          <w:rFonts w:hint="default" w:ascii="Times New Roman" w:hAnsi="Times New Roman" w:eastAsia="宋体" w:cs="Times New Roman"/>
          <w:b w:val="0"/>
          <w:bCs w:val="0"/>
          <w:color w:val="000000" w:themeColor="text1"/>
          <w:lang w:val="en-US" w:eastAsia="zh-CN"/>
        </w:rPr>
        <w:t>为</w:t>
      </w:r>
      <w:r>
        <w:rPr>
          <w:rFonts w:hint="default" w:ascii="Times New Roman" w:hAnsi="Times New Roman" w:eastAsia="宋体" w:cs="Times New Roman"/>
          <w:b w:val="0"/>
          <w:bCs w:val="0"/>
          <w:color w:val="000000" w:themeColor="text1"/>
        </w:rPr>
        <w:t>C55</w:t>
      </w:r>
      <w:r>
        <w:rPr>
          <w:rFonts w:hint="default" w:ascii="Times New Roman" w:hAnsi="Times New Roman" w:eastAsia="宋体" w:cs="Times New Roman"/>
          <w:b w:val="0"/>
          <w:bCs w:val="0"/>
          <w:color w:val="000000" w:themeColor="text1"/>
          <w:lang w:eastAsia="zh-CN"/>
        </w:rPr>
        <w:t>，</w:t>
      </w:r>
      <w:r>
        <w:rPr>
          <w:rFonts w:hint="default" w:ascii="Times New Roman" w:hAnsi="Times New Roman" w:eastAsia="宋体" w:cs="Times New Roman"/>
          <w:b w:val="0"/>
          <w:bCs w:val="0"/>
          <w:color w:val="000000" w:themeColor="text1"/>
          <w:lang w:val="en-US" w:eastAsia="zh-CN"/>
        </w:rPr>
        <w:t>能够满足不同工程的需求</w:t>
      </w:r>
      <w:r>
        <w:rPr>
          <w:rFonts w:hint="default" w:ascii="Times New Roman" w:hAnsi="Times New Roman" w:eastAsia="楷体" w:cs="Times New Roman"/>
          <w:b w:val="0"/>
          <w:bCs w:val="0"/>
          <w:color w:val="000000" w:themeColor="text1"/>
          <w:lang w:eastAsia="zh-CN"/>
        </w:rPr>
        <w:t>。</w:t>
      </w:r>
    </w:p>
    <w:p w14:paraId="3717B02B">
      <w:pPr>
        <w:pStyle w:val="5"/>
        <w:numPr>
          <w:ilvl w:val="2"/>
          <w:numId w:val="6"/>
        </w:numPr>
        <w:rPr>
          <w:color w:val="000000" w:themeColor="text1"/>
        </w:rPr>
      </w:pPr>
      <w:r>
        <w:rPr>
          <w:rFonts w:hint="eastAsia"/>
          <w:color w:val="000000" w:themeColor="text1"/>
          <w:lang w:val="en-US" w:eastAsia="zh-CN"/>
        </w:rPr>
        <w:t>一般要求</w:t>
      </w:r>
    </w:p>
    <w:p w14:paraId="1681547B">
      <w:pPr>
        <w:pStyle w:val="5"/>
        <w:numPr>
          <w:ilvl w:val="-1"/>
          <w:numId w:val="0"/>
        </w:numPr>
        <w:rPr>
          <w:rFonts w:hint="default" w:ascii="Times New Roman" w:hAnsi="Times New Roman" w:cs="Times New Roman" w:eastAsiaTheme="minorEastAsia"/>
          <w:b w:val="0"/>
          <w:bCs w:val="0"/>
          <w:color w:val="000000" w:themeColor="text1"/>
          <w:lang w:val="en-US"/>
        </w:rPr>
      </w:pPr>
      <w:r>
        <w:rPr>
          <w:rFonts w:hint="eastAsia"/>
          <w:color w:val="000000" w:themeColor="text1"/>
          <w:lang w:val="en-US" w:eastAsia="zh-CN"/>
        </w:rPr>
        <w:t xml:space="preserve">    </w:t>
      </w:r>
      <w:r>
        <w:rPr>
          <w:rFonts w:hint="default" w:ascii="Times New Roman" w:hAnsi="Times New Roman" w:cs="Times New Roman"/>
          <w:b w:val="0"/>
          <w:bCs w:val="0"/>
          <w:color w:val="000000" w:themeColor="text1"/>
          <w:lang w:val="en-US" w:eastAsia="zh-CN"/>
        </w:rPr>
        <w:t>规定了</w:t>
      </w:r>
      <w:r>
        <w:rPr>
          <w:rFonts w:hint="default" w:ascii="Times New Roman" w:hAnsi="Times New Roman" w:cs="Times New Roman" w:eastAsiaTheme="minorEastAsia"/>
          <w:b w:val="0"/>
          <w:bCs w:val="0"/>
          <w:color w:val="000000" w:themeColor="text1"/>
        </w:rPr>
        <w:t>超缓凝混凝土应采用预拌混凝土</w:t>
      </w:r>
      <w:r>
        <w:rPr>
          <w:rFonts w:hint="default" w:ascii="Times New Roman" w:hAnsi="Times New Roman" w:cs="Times New Roman" w:eastAsiaTheme="minorEastAsia"/>
          <w:b w:val="0"/>
          <w:bCs w:val="0"/>
          <w:color w:val="000000" w:themeColor="text1"/>
          <w:lang w:eastAsia="zh-CN"/>
        </w:rPr>
        <w:t>，</w:t>
      </w:r>
      <w:r>
        <w:rPr>
          <w:rFonts w:hint="default" w:ascii="Times New Roman" w:hAnsi="Times New Roman" w:cs="Times New Roman" w:eastAsiaTheme="minorEastAsia"/>
          <w:b w:val="0"/>
          <w:bCs w:val="0"/>
          <w:color w:val="000000" w:themeColor="text1"/>
          <w:lang w:val="en-US" w:eastAsia="zh-CN"/>
        </w:rPr>
        <w:t>凝结时间和坍落度保留时间应符合设计要求，考虑到超缓凝混凝土用于水下施工，规定</w:t>
      </w:r>
      <w:r>
        <w:rPr>
          <w:rFonts w:hint="default" w:ascii="Times New Roman" w:hAnsi="Times New Roman" w:cs="Times New Roman" w:eastAsiaTheme="minorEastAsia"/>
          <w:b w:val="0"/>
          <w:bCs w:val="0"/>
          <w:color w:val="000000" w:themeColor="text1"/>
        </w:rPr>
        <w:t>用于水下施工的超缓凝混凝土应符合GB/T 37990的要求</w:t>
      </w:r>
      <w:r>
        <w:rPr>
          <w:rFonts w:hint="default" w:ascii="Times New Roman" w:hAnsi="Times New Roman" w:cs="Times New Roman" w:eastAsiaTheme="minorEastAsia"/>
          <w:b w:val="0"/>
          <w:bCs w:val="0"/>
          <w:color w:val="000000" w:themeColor="text1"/>
          <w:lang w:eastAsia="zh-CN"/>
        </w:rPr>
        <w:t>。</w:t>
      </w:r>
    </w:p>
    <w:p w14:paraId="544A518B">
      <w:pPr>
        <w:pStyle w:val="5"/>
        <w:numPr>
          <w:ilvl w:val="2"/>
          <w:numId w:val="6"/>
        </w:numPr>
        <w:rPr>
          <w:color w:val="000000" w:themeColor="text1"/>
        </w:rPr>
      </w:pPr>
      <w:r>
        <w:rPr>
          <w:rFonts w:hint="eastAsia"/>
          <w:color w:val="000000" w:themeColor="text1"/>
        </w:rPr>
        <w:t>原材料</w:t>
      </w:r>
    </w:p>
    <w:p w14:paraId="766247FD">
      <w:pPr>
        <w:pStyle w:val="5"/>
        <w:numPr>
          <w:ilvl w:val="-1"/>
          <w:numId w:val="0"/>
        </w:numPr>
        <w:ind w:firstLine="480" w:firstLineChars="200"/>
        <w:rPr>
          <w:rFonts w:hint="eastAsia" w:asciiTheme="minorEastAsia" w:hAnsiTheme="minorEastAsia" w:eastAsiaTheme="minorEastAsia" w:cstheme="minorEastAsia"/>
          <w:b w:val="0"/>
          <w:bCs w:val="0"/>
          <w:color w:val="000000" w:themeColor="text1"/>
          <w:lang w:val="en-US" w:eastAsia="zh-CN"/>
        </w:rPr>
      </w:pPr>
      <w:r>
        <w:rPr>
          <w:rFonts w:hint="eastAsia" w:asciiTheme="minorEastAsia" w:hAnsiTheme="minorEastAsia" w:eastAsiaTheme="minorEastAsia" w:cstheme="minorEastAsia"/>
          <w:b w:val="0"/>
          <w:bCs w:val="0"/>
          <w:color w:val="000000" w:themeColor="text1"/>
          <w:lang w:val="en-US" w:eastAsia="zh-CN"/>
        </w:rPr>
        <w:t>该条款中没有对原材料进行特殊要求，详见正文。</w:t>
      </w:r>
    </w:p>
    <w:p w14:paraId="236DCA80">
      <w:pPr>
        <w:pStyle w:val="5"/>
        <w:numPr>
          <w:ilvl w:val="2"/>
          <w:numId w:val="6"/>
        </w:numPr>
        <w:rPr>
          <w:color w:val="000000" w:themeColor="text1"/>
        </w:rPr>
      </w:pPr>
      <w:r>
        <w:rPr>
          <w:rFonts w:hint="eastAsia"/>
          <w:color w:val="000000" w:themeColor="text1"/>
        </w:rPr>
        <w:t>配合比设计</w:t>
      </w:r>
    </w:p>
    <w:p w14:paraId="63A2ABFF">
      <w:pPr>
        <w:pStyle w:val="5"/>
        <w:numPr>
          <w:ilvl w:val="-1"/>
          <w:numId w:val="0"/>
        </w:numPr>
        <w:ind w:firstLine="480" w:firstLineChars="200"/>
        <w:jc w:val="both"/>
        <w:rPr>
          <w:rFonts w:hint="default" w:ascii="Times New Roman" w:hAnsi="Times New Roman" w:cs="Times New Roman"/>
          <w:b w:val="0"/>
          <w:bCs w:val="0"/>
          <w:lang w:val="en-US" w:eastAsia="zh-CN"/>
        </w:rPr>
      </w:pPr>
      <w:r>
        <w:rPr>
          <w:rFonts w:hint="default" w:ascii="Times New Roman" w:hAnsi="Times New Roman" w:cs="Times New Roman" w:eastAsiaTheme="minorEastAsia"/>
          <w:b w:val="0"/>
          <w:bCs w:val="0"/>
          <w:color w:val="000000" w:themeColor="text1"/>
          <w:lang w:val="en-US" w:eastAsia="zh-CN"/>
        </w:rPr>
        <w:t>主要是规定了超缓凝混凝土配合比设计要求，</w:t>
      </w:r>
      <w:r>
        <w:rPr>
          <w:rFonts w:hint="default" w:ascii="Times New Roman" w:hAnsi="Times New Roman" w:cs="Times New Roman" w:eastAsiaTheme="minorEastAsia"/>
          <w:b w:val="0"/>
          <w:bCs w:val="0"/>
          <w:color w:val="000000" w:themeColor="text1"/>
        </w:rPr>
        <w:t>因此，超缓凝混凝土配合比设计应符合本</w:t>
      </w:r>
      <w:r>
        <w:rPr>
          <w:rFonts w:hint="default" w:ascii="Times New Roman" w:hAnsi="Times New Roman" w:cs="Times New Roman" w:eastAsiaTheme="minorEastAsia"/>
          <w:b w:val="0"/>
          <w:bCs w:val="0"/>
          <w:color w:val="000000" w:themeColor="text1"/>
          <w:lang w:val="en-US" w:eastAsia="zh-CN"/>
        </w:rPr>
        <w:t>文件</w:t>
      </w:r>
      <w:r>
        <w:rPr>
          <w:rFonts w:hint="default" w:ascii="Times New Roman" w:hAnsi="Times New Roman" w:cs="Times New Roman" w:eastAsiaTheme="minorEastAsia"/>
          <w:b w:val="0"/>
          <w:bCs w:val="0"/>
          <w:color w:val="000000" w:themeColor="text1"/>
        </w:rPr>
        <w:t>的规定。本</w:t>
      </w:r>
      <w:r>
        <w:rPr>
          <w:rFonts w:hint="default" w:ascii="Times New Roman" w:hAnsi="Times New Roman" w:cs="Times New Roman" w:eastAsiaTheme="minorEastAsia"/>
          <w:b w:val="0"/>
          <w:bCs w:val="0"/>
          <w:color w:val="000000" w:themeColor="text1"/>
          <w:lang w:val="en-US" w:eastAsia="zh-CN"/>
        </w:rPr>
        <w:t>文件</w:t>
      </w:r>
      <w:r>
        <w:rPr>
          <w:rFonts w:hint="default" w:ascii="Times New Roman" w:hAnsi="Times New Roman" w:cs="Times New Roman" w:eastAsiaTheme="minorEastAsia"/>
          <w:b w:val="0"/>
          <w:bCs w:val="0"/>
          <w:color w:val="000000" w:themeColor="text1"/>
        </w:rPr>
        <w:t>未涉及的配合比设计通用技术内容可执行《普通混凝土配合比设计规程》</w:t>
      </w:r>
      <w:r>
        <w:rPr>
          <w:rFonts w:hint="default" w:ascii="Times New Roman" w:hAnsi="Times New Roman" w:cs="Times New Roman" w:eastAsiaTheme="minorEastAsia"/>
          <w:b w:val="0"/>
          <w:bCs w:val="0"/>
          <w:color w:val="000000" w:themeColor="text1"/>
          <w:lang w:eastAsia="zh-CN"/>
        </w:rPr>
        <w:t>J</w:t>
      </w:r>
      <w:r>
        <w:rPr>
          <w:rFonts w:hint="default" w:ascii="Times New Roman" w:hAnsi="Times New Roman" w:cs="Times New Roman" w:eastAsiaTheme="minorEastAsia"/>
          <w:b w:val="0"/>
          <w:bCs w:val="0"/>
          <w:color w:val="000000" w:themeColor="text1"/>
          <w:lang w:val="en-US" w:eastAsia="zh-CN"/>
        </w:rPr>
        <w:t>GJ 55</w:t>
      </w:r>
      <w:r>
        <w:rPr>
          <w:rFonts w:hint="default" w:ascii="Times New Roman" w:hAnsi="Times New Roman" w:cs="Times New Roman" w:eastAsiaTheme="minorEastAsia"/>
          <w:b w:val="0"/>
          <w:bCs w:val="0"/>
          <w:color w:val="000000" w:themeColor="text1"/>
        </w:rPr>
        <w:t>的规定。试验研究表明</w:t>
      </w:r>
      <w:r>
        <w:rPr>
          <w:rFonts w:hint="default" w:ascii="Times New Roman" w:hAnsi="Times New Roman" w:cs="Times New Roman" w:eastAsiaTheme="minorEastAsia"/>
          <w:b w:val="0"/>
          <w:bCs w:val="0"/>
          <w:color w:val="000000" w:themeColor="text1"/>
          <w:lang w:eastAsia="zh-CN"/>
        </w:rPr>
        <w:t>，</w:t>
      </w:r>
      <w:r>
        <w:rPr>
          <w:rFonts w:hint="default" w:ascii="Times New Roman" w:hAnsi="Times New Roman" w:cs="Times New Roman" w:eastAsiaTheme="minorEastAsia"/>
          <w:b w:val="0"/>
          <w:bCs w:val="0"/>
          <w:color w:val="000000" w:themeColor="text1"/>
        </w:rPr>
        <w:t>超缓凝混凝土</w:t>
      </w:r>
      <w:r>
        <w:rPr>
          <w:rFonts w:hint="default" w:ascii="Times New Roman" w:hAnsi="Times New Roman" w:cs="Times New Roman" w:eastAsiaTheme="minorEastAsia"/>
          <w:b w:val="0"/>
          <w:bCs w:val="0"/>
          <w:color w:val="000000" w:themeColor="text1"/>
          <w:lang w:val="en-US" w:eastAsia="zh-CN"/>
        </w:rPr>
        <w:t>28</w:t>
      </w:r>
      <w:r>
        <w:rPr>
          <w:rFonts w:hint="default" w:ascii="Times New Roman" w:hAnsi="Times New Roman" w:cs="Times New Roman" w:eastAsiaTheme="minorEastAsia"/>
          <w:b w:val="0"/>
          <w:bCs w:val="0"/>
          <w:color w:val="000000" w:themeColor="text1"/>
        </w:rPr>
        <w:t>ｄ抗压强度随着凝结时间的延长有一定程度降低</w:t>
      </w:r>
      <w:r>
        <w:rPr>
          <w:rFonts w:hint="default" w:ascii="Times New Roman" w:hAnsi="Times New Roman" w:cs="Times New Roman" w:eastAsiaTheme="minorEastAsia"/>
          <w:b w:val="0"/>
          <w:bCs w:val="0"/>
          <w:color w:val="000000" w:themeColor="text1"/>
          <w:lang w:eastAsia="zh-CN"/>
        </w:rPr>
        <w:t>，</w:t>
      </w:r>
      <w:r>
        <w:rPr>
          <w:rFonts w:hint="eastAsia" w:ascii="Times New Roman" w:hAnsi="Times New Roman" w:cs="Times New Roman" w:eastAsiaTheme="minorEastAsia"/>
          <w:b w:val="0"/>
          <w:bCs w:val="0"/>
          <w:color w:val="000000" w:themeColor="text1"/>
          <w:lang w:val="en-US" w:eastAsia="zh-CN"/>
        </w:rPr>
        <w:t>因此在设计配合比时，</w:t>
      </w:r>
      <w:r>
        <w:rPr>
          <w:rFonts w:hint="default" w:ascii="Times New Roman" w:hAnsi="Times New Roman" w:cs="Times New Roman" w:eastAsiaTheme="minorEastAsia"/>
          <w:b w:val="0"/>
          <w:bCs w:val="0"/>
          <w:color w:val="000000" w:themeColor="text1"/>
        </w:rPr>
        <w:t>规定了超缓凝混凝土强度标准差的选取原则</w:t>
      </w:r>
      <w:r>
        <w:rPr>
          <w:rFonts w:hint="default" w:ascii="Times New Roman" w:hAnsi="Times New Roman" w:cs="Times New Roman" w:eastAsiaTheme="minorEastAsia"/>
          <w:b w:val="0"/>
          <w:bCs w:val="0"/>
          <w:color w:val="000000" w:themeColor="text1"/>
          <w:lang w:eastAsia="zh-CN"/>
        </w:rPr>
        <w:t>，</w:t>
      </w:r>
      <w:r>
        <w:rPr>
          <w:rFonts w:hint="default" w:ascii="Times New Roman" w:hAnsi="Times New Roman" w:cs="Times New Roman" w:eastAsiaTheme="minorEastAsia"/>
          <w:b w:val="0"/>
          <w:bCs w:val="0"/>
          <w:color w:val="000000" w:themeColor="text1"/>
          <w:lang w:val="en-US" w:eastAsia="zh-CN"/>
        </w:rPr>
        <w:t>其中</w:t>
      </w:r>
      <w:r>
        <w:rPr>
          <w:rFonts w:hint="default" w:ascii="Times New Roman" w:hAnsi="Times New Roman" w:cs="Times New Roman"/>
          <w:b w:val="0"/>
          <w:bCs w:val="0"/>
          <w:sz w:val="24"/>
          <w:szCs w:val="24"/>
          <w:lang w:val="en-US" w:eastAsia="zh-CN"/>
        </w:rPr>
        <w:t>NJ24</w:t>
      </w:r>
      <w:r>
        <w:rPr>
          <w:rFonts w:hint="eastAsia" w:ascii="Times New Roman" w:hAnsi="Times New Roman" w:cs="Times New Roman"/>
          <w:b w:val="0"/>
          <w:bCs w:val="0"/>
          <w:sz w:val="24"/>
          <w:szCs w:val="24"/>
          <w:lang w:val="en-US" w:eastAsia="zh-CN"/>
        </w:rPr>
        <w:t>和</w:t>
      </w:r>
      <w:r>
        <w:rPr>
          <w:rFonts w:hint="default" w:ascii="Times New Roman" w:hAnsi="Times New Roman" w:cs="Times New Roman"/>
          <w:b w:val="0"/>
          <w:bCs w:val="0"/>
          <w:sz w:val="24"/>
          <w:szCs w:val="24"/>
          <w:lang w:val="en-US" w:eastAsia="zh-CN"/>
        </w:rPr>
        <w:t>NJ36</w:t>
      </w:r>
      <w:r>
        <w:rPr>
          <w:rFonts w:hint="eastAsia" w:ascii="Times New Roman" w:hAnsi="Times New Roman" w:cs="Times New Roman"/>
          <w:b w:val="0"/>
          <w:bCs w:val="0"/>
          <w:sz w:val="24"/>
          <w:szCs w:val="24"/>
          <w:lang w:val="en-US" w:eastAsia="zh-CN"/>
        </w:rPr>
        <w:t>等级的超缓凝混凝土在</w:t>
      </w:r>
      <w:r>
        <w:rPr>
          <w:rFonts w:hint="default" w:ascii="Times New Roman" w:hAnsi="Times New Roman" w:cs="Times New Roman" w:eastAsiaTheme="minorEastAsia"/>
          <w:b w:val="0"/>
          <w:bCs w:val="0"/>
          <w:color w:val="000000" w:themeColor="text1"/>
          <w:lang w:eastAsia="zh-CN"/>
        </w:rPr>
        <w:t>J</w:t>
      </w:r>
      <w:r>
        <w:rPr>
          <w:rFonts w:hint="default" w:ascii="Times New Roman" w:hAnsi="Times New Roman" w:cs="Times New Roman" w:eastAsiaTheme="minorEastAsia"/>
          <w:b w:val="0"/>
          <w:bCs w:val="0"/>
          <w:color w:val="000000" w:themeColor="text1"/>
          <w:lang w:val="en-US" w:eastAsia="zh-CN"/>
        </w:rPr>
        <w:t>GJ 55</w:t>
      </w:r>
      <w:r>
        <w:rPr>
          <w:rFonts w:hint="eastAsia" w:ascii="Times New Roman" w:hAnsi="Times New Roman" w:cs="Times New Roman" w:eastAsiaTheme="minorEastAsia"/>
          <w:b w:val="0"/>
          <w:bCs w:val="0"/>
          <w:color w:val="000000" w:themeColor="text1"/>
          <w:lang w:val="en-US" w:eastAsia="zh-CN"/>
        </w:rPr>
        <w:t>规定的基础</w:t>
      </w:r>
      <w:r>
        <w:rPr>
          <w:rFonts w:hint="eastAsia" w:ascii="Times New Roman" w:hAnsi="Times New Roman" w:cs="Times New Roman" w:eastAsiaTheme="minorEastAsia"/>
          <w:b w:val="0"/>
          <w:bCs w:val="0"/>
          <w:color w:val="000000" w:themeColor="text1"/>
          <w:highlight w:val="none"/>
          <w:lang w:val="en-US" w:eastAsia="zh-CN"/>
        </w:rPr>
        <w:t>上</w:t>
      </w:r>
      <w:r>
        <w:rPr>
          <w:rFonts w:hint="eastAsia" w:ascii="Times New Roman" w:hAnsi="Times New Roman" w:cs="Times New Roman"/>
          <w:b w:val="0"/>
          <w:bCs w:val="0"/>
          <w:sz w:val="24"/>
          <w:szCs w:val="24"/>
          <w:highlight w:val="none"/>
          <w:lang w:val="en-US" w:eastAsia="zh-CN"/>
        </w:rPr>
        <w:t>标准差增加1</w:t>
      </w:r>
      <w:r>
        <w:rPr>
          <w:rFonts w:hint="default" w:ascii="Times New Roman" w:hAnsi="Times New Roman" w:cs="Times New Roman"/>
          <w:b w:val="0"/>
          <w:bCs w:val="0"/>
          <w:sz w:val="24"/>
          <w:szCs w:val="24"/>
          <w:highlight w:val="none"/>
          <w:lang w:val="en-US" w:eastAsia="zh-CN"/>
        </w:rPr>
        <w:t>，</w:t>
      </w:r>
      <w:r>
        <w:rPr>
          <w:rFonts w:hint="default" w:ascii="Times New Roman" w:hAnsi="Times New Roman" w:cs="Times New Roman"/>
          <w:b w:val="0"/>
          <w:bCs w:val="0"/>
        </w:rPr>
        <w:t>NJ48、NJ60</w:t>
      </w:r>
      <w:r>
        <w:rPr>
          <w:rFonts w:hint="eastAsia" w:ascii="Times New Roman" w:hAnsi="Times New Roman" w:cs="Times New Roman"/>
          <w:b w:val="0"/>
          <w:bCs w:val="0"/>
          <w:lang w:val="en-US" w:eastAsia="zh-CN"/>
        </w:rPr>
        <w:t>和</w:t>
      </w:r>
      <w:r>
        <w:rPr>
          <w:rFonts w:hint="default" w:ascii="Times New Roman" w:hAnsi="Times New Roman" w:cs="Times New Roman"/>
          <w:b w:val="0"/>
          <w:bCs w:val="0"/>
        </w:rPr>
        <w:t>NJ72</w:t>
      </w:r>
      <w:r>
        <w:rPr>
          <w:rFonts w:hint="eastAsia" w:ascii="Times New Roman" w:hAnsi="Times New Roman" w:cs="Times New Roman"/>
          <w:b w:val="0"/>
          <w:bCs w:val="0"/>
          <w:sz w:val="24"/>
          <w:szCs w:val="24"/>
          <w:lang w:val="en-US" w:eastAsia="zh-CN"/>
        </w:rPr>
        <w:t>等级的超缓凝混凝土</w:t>
      </w:r>
      <w:r>
        <w:rPr>
          <w:rFonts w:hint="eastAsia" w:ascii="Times New Roman" w:hAnsi="Times New Roman" w:cs="Times New Roman"/>
          <w:b w:val="0"/>
          <w:bCs w:val="0"/>
          <w:sz w:val="24"/>
          <w:szCs w:val="24"/>
          <w:highlight w:val="none"/>
          <w:lang w:val="en-US" w:eastAsia="zh-CN"/>
        </w:rPr>
        <w:t>标准差增加3</w:t>
      </w:r>
      <w:r>
        <w:rPr>
          <w:rFonts w:hint="default" w:ascii="Times New Roman" w:hAnsi="Times New Roman" w:cs="Times New Roman"/>
          <w:b w:val="0"/>
          <w:bCs w:val="0"/>
          <w:lang w:val="en-US" w:eastAsia="zh-CN"/>
        </w:rPr>
        <w:t>，</w:t>
      </w:r>
      <w:r>
        <w:rPr>
          <w:rFonts w:hint="default" w:ascii="Times New Roman" w:hAnsi="Times New Roman" w:cs="Times New Roman"/>
          <w:b w:val="0"/>
          <w:bCs w:val="0"/>
        </w:rPr>
        <w:t>NJ84</w:t>
      </w:r>
      <w:r>
        <w:rPr>
          <w:rFonts w:hint="eastAsia" w:ascii="Times New Roman" w:hAnsi="Times New Roman" w:cs="Times New Roman"/>
          <w:b w:val="0"/>
          <w:bCs w:val="0"/>
          <w:lang w:val="en-US" w:eastAsia="zh-CN"/>
        </w:rPr>
        <w:t>和</w:t>
      </w:r>
      <w:r>
        <w:rPr>
          <w:rFonts w:hint="default" w:ascii="Times New Roman" w:hAnsi="Times New Roman" w:cs="Times New Roman"/>
          <w:b w:val="0"/>
          <w:bCs w:val="0"/>
        </w:rPr>
        <w:t>NJ96</w:t>
      </w:r>
      <w:r>
        <w:rPr>
          <w:rFonts w:hint="eastAsia" w:ascii="Times New Roman" w:hAnsi="Times New Roman" w:cs="Times New Roman"/>
          <w:b w:val="0"/>
          <w:bCs w:val="0"/>
          <w:sz w:val="24"/>
          <w:szCs w:val="24"/>
          <w:lang w:val="en-US" w:eastAsia="zh-CN"/>
        </w:rPr>
        <w:t>等级的超缓凝混凝土</w:t>
      </w:r>
      <w:r>
        <w:rPr>
          <w:rFonts w:hint="eastAsia" w:ascii="Times New Roman" w:hAnsi="Times New Roman" w:cs="Times New Roman"/>
          <w:b w:val="0"/>
          <w:bCs w:val="0"/>
          <w:sz w:val="24"/>
          <w:szCs w:val="24"/>
          <w:highlight w:val="none"/>
          <w:lang w:val="en-US" w:eastAsia="zh-CN"/>
        </w:rPr>
        <w:t>标准差增加5</w:t>
      </w:r>
      <w:r>
        <w:rPr>
          <w:rFonts w:hint="default" w:ascii="Times New Roman" w:hAnsi="Times New Roman" w:cs="Times New Roman"/>
          <w:b w:val="0"/>
          <w:bCs w:val="0"/>
          <w:lang w:val="en-US" w:eastAsia="zh-CN"/>
        </w:rPr>
        <w:t>。</w:t>
      </w:r>
    </w:p>
    <w:p w14:paraId="255C4AAC">
      <w:pPr>
        <w:pStyle w:val="5"/>
        <w:numPr>
          <w:ilvl w:val="-1"/>
          <w:numId w:val="0"/>
        </w:numPr>
        <w:ind w:firstLine="480" w:firstLineChars="200"/>
        <w:jc w:val="both"/>
        <w:rPr>
          <w:rFonts w:hint="default" w:ascii="Times New Roman" w:hAnsi="Times New Roman" w:eastAsia="宋体" w:cs="Times New Roman"/>
          <w:b w:val="0"/>
          <w:bCs w:val="0"/>
          <w:color w:val="auto"/>
          <w:lang w:val="en-US" w:eastAsia="zh-CN"/>
        </w:rPr>
      </w:pPr>
      <w:r>
        <w:rPr>
          <w:rFonts w:hint="default" w:ascii="Times New Roman" w:hAnsi="Times New Roman" w:cs="Times New Roman"/>
          <w:b w:val="0"/>
          <w:bCs w:val="0"/>
          <w:lang w:val="en-US" w:eastAsia="zh-CN"/>
        </w:rPr>
        <w:t>规定了</w:t>
      </w:r>
      <w:r>
        <w:rPr>
          <w:rFonts w:hint="eastAsia" w:ascii="Times New Roman" w:hAnsi="Times New Roman" w:cs="Times New Roman"/>
          <w:b w:val="0"/>
          <w:bCs w:val="0"/>
          <w:lang w:val="en-US" w:eastAsia="zh-CN"/>
        </w:rPr>
        <w:t>“</w:t>
      </w:r>
      <w:r>
        <w:rPr>
          <w:rFonts w:hint="default" w:ascii="Times New Roman" w:hAnsi="Times New Roman" w:cs="Times New Roman"/>
          <w:b w:val="0"/>
          <w:bCs w:val="0"/>
        </w:rPr>
        <w:t>缓凝剂和减水剂确定掺量后，二者宜单独使用</w:t>
      </w:r>
      <w:r>
        <w:rPr>
          <w:rFonts w:hint="eastAsia" w:ascii="Times New Roman" w:hAnsi="Times New Roman" w:cs="Times New Roman"/>
          <w:b w:val="0"/>
          <w:bCs w:val="0"/>
          <w:lang w:val="en-US" w:eastAsia="zh-CN"/>
        </w:rPr>
        <w:t>”</w:t>
      </w:r>
      <w:r>
        <w:rPr>
          <w:rFonts w:hint="default" w:ascii="Times New Roman" w:hAnsi="Times New Roman" w:cs="Times New Roman"/>
          <w:b w:val="0"/>
          <w:bCs w:val="0"/>
          <w:lang w:val="en-US" w:eastAsia="zh-CN"/>
        </w:rPr>
        <w:t>，考虑到</w:t>
      </w:r>
      <w:r>
        <w:rPr>
          <w:rFonts w:hint="default" w:ascii="Times New Roman" w:hAnsi="Times New Roman" w:cs="Times New Roman"/>
          <w:b w:val="0"/>
          <w:bCs w:val="0"/>
        </w:rPr>
        <w:t>当原材料发生变化时，可</w:t>
      </w:r>
      <w:r>
        <w:rPr>
          <w:rFonts w:hint="eastAsia" w:ascii="Times New Roman" w:hAnsi="Times New Roman" w:cs="Times New Roman"/>
          <w:b w:val="0"/>
          <w:bCs w:val="0"/>
          <w:lang w:val="en-US" w:eastAsia="zh-CN"/>
        </w:rPr>
        <w:t>根据原材料变化对混凝土工作性能或凝结时间的影响，视情况单独调整减水剂或缓凝剂的掺量，便于精细化调整。</w:t>
      </w:r>
    </w:p>
    <w:p w14:paraId="55520B02">
      <w:pPr>
        <w:pStyle w:val="5"/>
        <w:numPr>
          <w:ilvl w:val="2"/>
          <w:numId w:val="6"/>
        </w:numPr>
        <w:rPr>
          <w:color w:val="000000" w:themeColor="text1"/>
        </w:rPr>
      </w:pPr>
      <w:r>
        <w:rPr>
          <w:rFonts w:hint="eastAsia"/>
          <w:color w:val="000000" w:themeColor="text1"/>
          <w:lang w:val="en-US" w:eastAsia="zh-CN"/>
        </w:rPr>
        <w:t>技术要求</w:t>
      </w:r>
    </w:p>
    <w:p w14:paraId="04F2FB70">
      <w:pPr>
        <w:ind w:firstLine="480" w:firstLineChars="200"/>
        <w:rPr>
          <w:rFonts w:hint="eastAsia" w:ascii="楷体" w:hAnsi="楷体" w:eastAsia="楷体" w:cs="楷体"/>
          <w:color w:val="000000"/>
          <w:kern w:val="0"/>
          <w:szCs w:val="20"/>
          <w:lang w:val="en-US" w:eastAsia="zh-CN"/>
        </w:rPr>
      </w:pPr>
      <w:r>
        <w:rPr>
          <w:rFonts w:hint="eastAsia" w:ascii="楷体" w:hAnsi="楷体" w:eastAsia="楷体" w:cs="楷体"/>
          <w:color w:val="000000"/>
          <w:kern w:val="0"/>
          <w:szCs w:val="20"/>
          <w:lang w:val="en-US" w:eastAsia="zh-CN"/>
        </w:rPr>
        <w:t>1、拌合物应具有良好的黏聚性、保水性和流动性，不得离析。</w:t>
      </w:r>
    </w:p>
    <w:p w14:paraId="2C0AC208">
      <w:pPr>
        <w:pStyle w:val="5"/>
        <w:numPr>
          <w:ilvl w:val="-1"/>
          <w:numId w:val="0"/>
        </w:numPr>
        <w:ind w:firstLine="480" w:firstLineChars="200"/>
        <w:rPr>
          <w:rFonts w:hint="eastAsia"/>
          <w:b w:val="0"/>
          <w:bCs w:val="0"/>
          <w:color w:val="000000" w:themeColor="text1"/>
          <w:lang w:val="en-US" w:eastAsia="zh-CN"/>
        </w:rPr>
      </w:pPr>
      <w:r>
        <w:rPr>
          <w:rFonts w:hint="eastAsia"/>
          <w:b w:val="0"/>
          <w:bCs w:val="0"/>
          <w:color w:val="000000" w:themeColor="text1"/>
          <w:lang w:val="en-US" w:eastAsia="zh-CN"/>
        </w:rPr>
        <w:t>该条款定性规定了超缓凝混凝土拌合物的工作性，保证其有良好的施工性能。</w:t>
      </w:r>
    </w:p>
    <w:p w14:paraId="283EBB74">
      <w:pPr>
        <w:pStyle w:val="5"/>
        <w:numPr>
          <w:ilvl w:val="0"/>
          <w:numId w:val="8"/>
        </w:numPr>
        <w:ind w:firstLine="480" w:firstLineChars="200"/>
        <w:rPr>
          <w:rFonts w:hint="eastAsia" w:ascii="楷体" w:hAnsi="楷体" w:eastAsia="楷体" w:cs="楷体"/>
          <w:b w:val="0"/>
          <w:bCs w:val="0"/>
          <w:color w:val="000000"/>
          <w:kern w:val="0"/>
          <w:szCs w:val="20"/>
          <w:lang w:eastAsia="zh-CN"/>
        </w:rPr>
      </w:pPr>
      <w:r>
        <w:rPr>
          <w:rFonts w:hint="eastAsia" w:ascii="楷体" w:hAnsi="楷体" w:eastAsia="楷体" w:cs="楷体"/>
          <w:b w:val="0"/>
          <w:bCs w:val="0"/>
          <w:color w:val="000000"/>
          <w:szCs w:val="20"/>
        </w:rPr>
        <w:t>坍落度、坍落度经时损失和扩展度</w:t>
      </w:r>
    </w:p>
    <w:p w14:paraId="177AF225">
      <w:pPr>
        <w:pStyle w:val="5"/>
        <w:numPr>
          <w:ilvl w:val="-1"/>
          <w:numId w:val="0"/>
        </w:numPr>
        <w:ind w:firstLine="480" w:firstLineChars="200"/>
        <w:jc w:val="both"/>
        <w:rPr>
          <w:rFonts w:hint="default" w:ascii="Times New Roman" w:hAnsi="Times New Roman" w:cs="Times New Roman"/>
          <w:b w:val="0"/>
          <w:bCs w:val="0"/>
          <w:color w:val="000000" w:themeColor="text1"/>
          <w:lang w:eastAsia="zh-CN"/>
        </w:rPr>
      </w:pPr>
      <w:r>
        <w:rPr>
          <w:rFonts w:hint="default" w:ascii="Times New Roman" w:hAnsi="Times New Roman" w:eastAsia="宋体" w:cs="Times New Roman"/>
          <w:b w:val="0"/>
          <w:bCs w:val="0"/>
          <w:color w:val="000000" w:themeColor="text1"/>
          <w:szCs w:val="24"/>
          <w:lang w:val="en-US" w:eastAsia="zh-CN"/>
        </w:rPr>
        <w:t>该条款</w:t>
      </w:r>
      <w:r>
        <w:rPr>
          <w:rFonts w:hint="default" w:ascii="Times New Roman" w:hAnsi="Times New Roman" w:cs="Times New Roman"/>
          <w:b w:val="0"/>
          <w:bCs w:val="0"/>
          <w:color w:val="000000" w:themeColor="text1"/>
          <w:szCs w:val="24"/>
          <w:lang w:val="en-US" w:eastAsia="zh-CN"/>
        </w:rPr>
        <w:t>定量规定了超缓凝混凝土拌合物的工作性，规定了超缓凝混凝土的</w:t>
      </w:r>
      <w:r>
        <w:rPr>
          <w:rFonts w:hint="default" w:ascii="Times New Roman" w:hAnsi="Times New Roman" w:cs="Times New Roman"/>
          <w:b w:val="0"/>
          <w:bCs w:val="0"/>
          <w:color w:val="000000" w:themeColor="text1"/>
        </w:rPr>
        <w:t>坍落度、坍落度经时损失和扩展度</w:t>
      </w:r>
      <w:r>
        <w:rPr>
          <w:rFonts w:hint="default" w:ascii="Times New Roman" w:hAnsi="Times New Roman" w:cs="Times New Roman"/>
          <w:b w:val="0"/>
          <w:bCs w:val="0"/>
          <w:color w:val="000000" w:themeColor="text1"/>
          <w:lang w:val="en-US" w:eastAsia="zh-CN"/>
        </w:rPr>
        <w:t>均符合</w:t>
      </w:r>
      <w:r>
        <w:rPr>
          <w:rFonts w:hint="default" w:ascii="Times New Roman" w:hAnsi="Times New Roman" w:cs="Times New Roman"/>
          <w:b w:val="0"/>
          <w:bCs w:val="0"/>
          <w:color w:val="000000" w:themeColor="text1"/>
        </w:rPr>
        <w:t>GB/T 14902的规定</w:t>
      </w:r>
      <w:r>
        <w:rPr>
          <w:rFonts w:hint="default" w:ascii="Times New Roman" w:hAnsi="Times New Roman" w:cs="Times New Roman"/>
          <w:b w:val="0"/>
          <w:bCs w:val="0"/>
          <w:color w:val="000000" w:themeColor="text1"/>
          <w:lang w:eastAsia="zh-CN"/>
        </w:rPr>
        <w:t>。</w:t>
      </w:r>
      <w:r>
        <w:rPr>
          <w:rFonts w:hint="default" w:ascii="Times New Roman" w:hAnsi="Times New Roman" w:cs="Times New Roman"/>
          <w:b w:val="0"/>
          <w:bCs w:val="0"/>
          <w:color w:val="000000" w:themeColor="text1"/>
        </w:rPr>
        <w:t>超缓凝混凝土拌合物工作性能的好坏是决定混凝土质量的重要因素之一，超缓凝混凝土坍落度和扩展度不满足施工要求会显著影响施工质量。在设计配合比时应采取增加混凝土黏聚性、防止混凝土离析的技术措施，并严格控制混凝土的坍落度和扩展度以满足施工要求。当超缓凝高效减水剂中缓凝组分含量较高时，减水组分和缓凝组分之间存在竞争吸附效应，会增加经时损失。因此，应加强超缓凝混凝土的坍落度经时损失控制。一般情况下，超缓凝混凝土的坍落度经时损失应控制在</w:t>
      </w:r>
      <w:r>
        <w:rPr>
          <w:rFonts w:hint="default" w:ascii="Times New Roman" w:hAnsi="Times New Roman" w:cs="Times New Roman"/>
          <w:b w:val="0"/>
          <w:bCs w:val="0"/>
          <w:color w:val="000000" w:themeColor="text1"/>
          <w:lang w:val="en-US" w:eastAsia="zh-CN"/>
        </w:rPr>
        <w:t>30</w:t>
      </w:r>
      <w:r>
        <w:rPr>
          <w:rFonts w:hint="default" w:ascii="Times New Roman" w:hAnsi="Times New Roman" w:cs="Times New Roman"/>
          <w:b w:val="0"/>
          <w:bCs w:val="0"/>
          <w:color w:val="000000" w:themeColor="text1"/>
          <w:lang w:eastAsia="zh-CN"/>
        </w:rPr>
        <w:t>m</w:t>
      </w:r>
      <w:r>
        <w:rPr>
          <w:rFonts w:hint="default" w:ascii="Times New Roman" w:hAnsi="Times New Roman" w:cs="Times New Roman"/>
          <w:b w:val="0"/>
          <w:bCs w:val="0"/>
          <w:color w:val="000000" w:themeColor="text1"/>
          <w:lang w:val="en-US" w:eastAsia="zh-CN"/>
        </w:rPr>
        <w:t>m</w:t>
      </w:r>
      <w:r>
        <w:rPr>
          <w:rFonts w:hint="default" w:ascii="Times New Roman" w:hAnsi="Times New Roman" w:cs="Times New Roman"/>
          <w:b w:val="0"/>
          <w:bCs w:val="0"/>
          <w:color w:val="000000" w:themeColor="text1"/>
          <w:lang w:eastAsia="zh-CN"/>
        </w:rPr>
        <w:t>/</w:t>
      </w:r>
      <w:r>
        <w:rPr>
          <w:rFonts w:hint="default" w:ascii="Times New Roman" w:hAnsi="Times New Roman" w:cs="Times New Roman"/>
          <w:b w:val="0"/>
          <w:bCs w:val="0"/>
          <w:color w:val="000000" w:themeColor="text1"/>
          <w:lang w:val="en-US" w:eastAsia="zh-CN"/>
        </w:rPr>
        <w:t>h</w:t>
      </w:r>
      <w:r>
        <w:rPr>
          <w:rFonts w:hint="default" w:ascii="Times New Roman" w:hAnsi="Times New Roman" w:cs="Times New Roman"/>
          <w:b w:val="0"/>
          <w:bCs w:val="0"/>
          <w:color w:val="000000" w:themeColor="text1"/>
        </w:rPr>
        <w:t>内。</w:t>
      </w:r>
    </w:p>
    <w:p w14:paraId="70B46787">
      <w:pPr>
        <w:pStyle w:val="5"/>
        <w:numPr>
          <w:ilvl w:val="0"/>
          <w:numId w:val="8"/>
        </w:numPr>
        <w:ind w:firstLine="480" w:firstLineChars="200"/>
        <w:rPr>
          <w:rFonts w:hint="eastAsia" w:ascii="楷体" w:hAnsi="楷体" w:eastAsia="楷体" w:cs="楷体"/>
          <w:b w:val="0"/>
          <w:bCs w:val="0"/>
          <w:color w:val="000000"/>
          <w:szCs w:val="20"/>
        </w:rPr>
      </w:pPr>
      <w:r>
        <w:rPr>
          <w:rFonts w:hint="eastAsia" w:ascii="楷体" w:hAnsi="楷体" w:eastAsia="楷体" w:cs="楷体"/>
          <w:b w:val="0"/>
          <w:bCs w:val="0"/>
          <w:color w:val="000000"/>
          <w:szCs w:val="20"/>
        </w:rPr>
        <w:t>水溶性氯离子最大含量</w:t>
      </w:r>
    </w:p>
    <w:p w14:paraId="0AF8B2AF">
      <w:pPr>
        <w:pStyle w:val="5"/>
        <w:numPr>
          <w:ilvl w:val="-1"/>
          <w:numId w:val="0"/>
        </w:numPr>
        <w:ind w:firstLine="480" w:firstLineChars="200"/>
        <w:jc w:val="both"/>
        <w:rPr>
          <w:rFonts w:hint="default" w:ascii="Times New Roman" w:hAnsi="Times New Roman" w:cs="Times New Roman"/>
          <w:b w:val="0"/>
          <w:bCs w:val="0"/>
          <w:color w:val="000000" w:themeColor="text1"/>
        </w:rPr>
      </w:pPr>
      <w:r>
        <w:rPr>
          <w:rFonts w:hint="default" w:ascii="Times New Roman" w:hAnsi="Times New Roman" w:cs="Times New Roman"/>
          <w:b w:val="0"/>
          <w:bCs w:val="0"/>
          <w:i w:val="0"/>
          <w:iCs w:val="0"/>
          <w:caps w:val="0"/>
          <w:color w:val="000000" w:themeColor="text1"/>
          <w:spacing w:val="0"/>
          <w:sz w:val="24"/>
          <w:szCs w:val="24"/>
          <w:shd w:val="clear" w:fill="auto"/>
          <w:lang w:val="en-US" w:eastAsia="zh-CN"/>
        </w:rPr>
        <w:t>该条款规定了超缓凝混凝土拌合物的</w:t>
      </w:r>
      <w:r>
        <w:rPr>
          <w:rFonts w:hint="default" w:ascii="Times New Roman" w:hAnsi="Times New Roman" w:eastAsia="宋体" w:cs="Times New Roman"/>
          <w:b w:val="0"/>
          <w:bCs w:val="0"/>
          <w:i w:val="0"/>
          <w:iCs w:val="0"/>
          <w:caps w:val="0"/>
          <w:color w:val="000000" w:themeColor="text1"/>
          <w:spacing w:val="0"/>
          <w:sz w:val="24"/>
          <w:szCs w:val="24"/>
          <w:shd w:val="clear" w:fill="auto"/>
        </w:rPr>
        <w:t>水溶性氯离子含量</w:t>
      </w:r>
      <w:r>
        <w:rPr>
          <w:rFonts w:hint="default" w:ascii="Times New Roman" w:hAnsi="Times New Roman" w:cs="Times New Roman"/>
          <w:b w:val="0"/>
          <w:bCs w:val="0"/>
          <w:i w:val="0"/>
          <w:iCs w:val="0"/>
          <w:caps w:val="0"/>
          <w:color w:val="000000" w:themeColor="text1"/>
          <w:spacing w:val="0"/>
          <w:sz w:val="24"/>
          <w:szCs w:val="24"/>
          <w:shd w:val="clear" w:fill="auto"/>
          <w:lang w:eastAsia="zh-CN"/>
        </w:rPr>
        <w:t>，</w:t>
      </w:r>
      <w:r>
        <w:rPr>
          <w:rFonts w:hint="default" w:ascii="Times New Roman" w:hAnsi="Times New Roman" w:eastAsia="宋体" w:cs="Times New Roman"/>
          <w:b w:val="0"/>
          <w:bCs w:val="0"/>
          <w:i w:val="0"/>
          <w:iCs w:val="0"/>
          <w:caps w:val="0"/>
          <w:color w:val="000000" w:themeColor="text1"/>
          <w:spacing w:val="0"/>
          <w:sz w:val="24"/>
          <w:szCs w:val="24"/>
          <w:shd w:val="clear" w:fill="auto"/>
        </w:rPr>
        <w:t>监测混凝土拌合物中的水溶性氯离子含量有助于及时发现氯离子超标的情况，从而调整混凝土配合比或采取其他措施，确保混凝土的质量</w:t>
      </w:r>
      <w:r>
        <w:rPr>
          <w:rFonts w:hint="default" w:ascii="Times New Roman" w:hAnsi="Times New Roman" w:cs="Times New Roman"/>
          <w:b w:val="0"/>
          <w:bCs w:val="0"/>
          <w:i w:val="0"/>
          <w:iCs w:val="0"/>
          <w:caps w:val="0"/>
          <w:color w:val="000000" w:themeColor="text1"/>
          <w:spacing w:val="0"/>
          <w:sz w:val="24"/>
          <w:szCs w:val="24"/>
          <w:shd w:val="clear"/>
          <w:lang w:eastAsia="zh-CN"/>
        </w:rPr>
        <w:t>，</w:t>
      </w:r>
      <w:r>
        <w:rPr>
          <w:rFonts w:hint="default" w:ascii="Times New Roman" w:hAnsi="Times New Roman" w:cs="Times New Roman"/>
          <w:b w:val="0"/>
          <w:bCs w:val="0"/>
          <w:i w:val="0"/>
          <w:iCs w:val="0"/>
          <w:caps w:val="0"/>
          <w:color w:val="000000" w:themeColor="text1"/>
          <w:spacing w:val="0"/>
          <w:sz w:val="24"/>
          <w:szCs w:val="24"/>
          <w:shd w:val="clear"/>
          <w:lang w:val="en-US" w:eastAsia="zh-CN"/>
        </w:rPr>
        <w:t>避免混凝土凝结硬化以后检测出氯离子含量超标造成的处理费用，规定</w:t>
      </w:r>
      <w:r>
        <w:rPr>
          <w:rFonts w:hint="default" w:ascii="Times New Roman" w:hAnsi="Times New Roman" w:cs="Times New Roman"/>
          <w:b w:val="0"/>
          <w:bCs w:val="0"/>
          <w:color w:val="000000" w:themeColor="text1"/>
        </w:rPr>
        <w:t>拌合物中水溶性氯离子最大含量实测值应符合GB 55008的规定。</w:t>
      </w:r>
    </w:p>
    <w:p w14:paraId="7B666494">
      <w:pPr>
        <w:pStyle w:val="5"/>
        <w:numPr>
          <w:ilvl w:val="0"/>
          <w:numId w:val="8"/>
        </w:numPr>
        <w:ind w:firstLine="480" w:firstLineChars="200"/>
        <w:jc w:val="both"/>
        <w:rPr>
          <w:rFonts w:hint="eastAsia" w:ascii="楷体" w:hAnsi="楷体" w:eastAsia="楷体" w:cs="楷体"/>
          <w:b w:val="0"/>
          <w:bCs w:val="0"/>
          <w:color w:val="000000"/>
          <w:szCs w:val="20"/>
        </w:rPr>
      </w:pPr>
      <w:r>
        <w:rPr>
          <w:rFonts w:hint="eastAsia" w:ascii="楷体" w:hAnsi="楷体" w:eastAsia="楷体" w:cs="楷体"/>
          <w:b w:val="0"/>
          <w:bCs w:val="0"/>
          <w:color w:val="000000"/>
          <w:szCs w:val="20"/>
        </w:rPr>
        <w:t>泌水率</w:t>
      </w:r>
    </w:p>
    <w:p w14:paraId="1034EB32">
      <w:pPr>
        <w:pStyle w:val="5"/>
        <w:numPr>
          <w:ilvl w:val="-1"/>
          <w:numId w:val="0"/>
        </w:numPr>
        <w:ind w:firstLine="480" w:firstLineChars="200"/>
        <w:jc w:val="both"/>
        <w:rPr>
          <w:rFonts w:hint="default" w:ascii="宋体" w:hAnsi="宋体" w:eastAsia="宋体" w:cs="宋体"/>
          <w:b w:val="0"/>
          <w:bCs w:val="0"/>
          <w:color w:val="000000" w:themeColor="text1"/>
          <w:szCs w:val="24"/>
        </w:rPr>
      </w:pPr>
      <w:r>
        <w:rPr>
          <w:rFonts w:hint="eastAsia" w:cs="宋体"/>
          <w:b w:val="0"/>
          <w:bCs w:val="0"/>
          <w:i w:val="0"/>
          <w:iCs w:val="0"/>
          <w:caps w:val="0"/>
          <w:color w:val="000000" w:themeColor="text1"/>
          <w:spacing w:val="0"/>
          <w:sz w:val="24"/>
          <w:szCs w:val="24"/>
          <w:shd w:val="clear" w:fill="auto"/>
          <w:lang w:val="en-US" w:eastAsia="zh-CN"/>
        </w:rPr>
        <w:t>该条款规定了超缓凝混凝土拌合物的泌水率</w:t>
      </w:r>
      <w:r>
        <w:rPr>
          <w:rFonts w:hint="eastAsia" w:cs="宋体"/>
          <w:b w:val="0"/>
          <w:bCs w:val="0"/>
          <w:i w:val="0"/>
          <w:iCs w:val="0"/>
          <w:caps w:val="0"/>
          <w:color w:val="000000" w:themeColor="text1"/>
          <w:spacing w:val="0"/>
          <w:sz w:val="24"/>
          <w:szCs w:val="24"/>
          <w:shd w:val="clear" w:fill="auto"/>
          <w:lang w:eastAsia="zh-CN"/>
        </w:rPr>
        <w:t>，</w:t>
      </w:r>
      <w:r>
        <w:rPr>
          <w:rFonts w:hint="eastAsia"/>
          <w:b w:val="0"/>
          <w:bCs w:val="0"/>
          <w:color w:val="000000" w:themeColor="text1"/>
        </w:rPr>
        <w:t>由于缓凝剂</w:t>
      </w:r>
      <w:r>
        <w:rPr>
          <w:rFonts w:hint="eastAsia"/>
          <w:b w:val="0"/>
          <w:bCs w:val="0"/>
          <w:color w:val="000000" w:themeColor="text1"/>
          <w:lang w:val="en-US" w:eastAsia="zh-CN"/>
        </w:rPr>
        <w:t>掺量较大</w:t>
      </w:r>
      <w:r>
        <w:rPr>
          <w:rFonts w:hint="eastAsia"/>
          <w:b w:val="0"/>
          <w:bCs w:val="0"/>
          <w:color w:val="000000" w:themeColor="text1"/>
        </w:rPr>
        <w:t>会引起混凝土泌水自由水流失，导致混凝土内部水分分布不均，</w:t>
      </w:r>
      <w:r>
        <w:rPr>
          <w:rFonts w:hint="eastAsia" w:cs="宋体"/>
          <w:b w:val="0"/>
          <w:bCs w:val="0"/>
          <w:color w:val="000000" w:themeColor="text1"/>
          <w:szCs w:val="24"/>
          <w:lang w:val="en-US" w:eastAsia="zh-CN"/>
        </w:rPr>
        <w:t>因此对泌水率进行了规定。</w:t>
      </w:r>
    </w:p>
    <w:p w14:paraId="3B6D5CE9">
      <w:pPr>
        <w:pStyle w:val="5"/>
        <w:numPr>
          <w:ilvl w:val="0"/>
          <w:numId w:val="8"/>
        </w:numPr>
        <w:ind w:firstLine="480" w:firstLineChars="200"/>
        <w:rPr>
          <w:rFonts w:hint="eastAsia" w:ascii="楷体" w:hAnsi="楷体" w:eastAsia="楷体" w:cs="楷体"/>
          <w:b w:val="0"/>
          <w:bCs w:val="0"/>
          <w:color w:val="000000"/>
          <w:szCs w:val="20"/>
        </w:rPr>
      </w:pPr>
      <w:r>
        <w:rPr>
          <w:rFonts w:hint="eastAsia" w:ascii="楷体" w:hAnsi="楷体" w:eastAsia="楷体" w:cs="楷体"/>
          <w:b w:val="0"/>
          <w:bCs w:val="0"/>
          <w:color w:val="000000"/>
          <w:szCs w:val="20"/>
          <w:lang w:val="en-US" w:eastAsia="zh-CN"/>
        </w:rPr>
        <w:t>凝结时间</w:t>
      </w:r>
    </w:p>
    <w:p w14:paraId="64EE4707">
      <w:pPr>
        <w:pStyle w:val="5"/>
        <w:numPr>
          <w:ilvl w:val="-1"/>
          <w:numId w:val="0"/>
        </w:numPr>
        <w:ind w:firstLine="480" w:firstLineChars="200"/>
        <w:jc w:val="both"/>
        <w:rPr>
          <w:rFonts w:hint="default" w:ascii="Times New Roman" w:hAnsi="Times New Roman" w:eastAsia="宋体" w:cs="Times New Roman"/>
          <w:b w:val="0"/>
          <w:bCs w:val="0"/>
          <w:color w:val="000000" w:themeColor="text1"/>
          <w:szCs w:val="24"/>
          <w:lang w:val="en-US" w:eastAsia="zh-CN"/>
        </w:rPr>
      </w:pPr>
      <w:r>
        <w:rPr>
          <w:rFonts w:hint="eastAsia" w:cs="宋体"/>
          <w:b w:val="0"/>
          <w:bCs w:val="0"/>
          <w:i w:val="0"/>
          <w:iCs w:val="0"/>
          <w:caps w:val="0"/>
          <w:color w:val="000000" w:themeColor="text1"/>
          <w:spacing w:val="0"/>
          <w:sz w:val="24"/>
          <w:szCs w:val="24"/>
          <w:shd w:val="clear" w:fill="auto"/>
          <w:lang w:val="en-US" w:eastAsia="zh-CN"/>
        </w:rPr>
        <w:t>该条款规定了超缓凝混凝土拌合物的初凝时间和初终凝结时间差</w:t>
      </w:r>
      <w:r>
        <w:rPr>
          <w:rFonts w:hint="eastAsia" w:cs="宋体"/>
          <w:b w:val="0"/>
          <w:bCs w:val="0"/>
          <w:i w:val="0"/>
          <w:iCs w:val="0"/>
          <w:caps w:val="0"/>
          <w:color w:val="000000" w:themeColor="text1"/>
          <w:spacing w:val="0"/>
          <w:sz w:val="24"/>
          <w:szCs w:val="24"/>
          <w:shd w:val="clear" w:fill="auto"/>
          <w:lang w:eastAsia="zh-CN"/>
        </w:rPr>
        <w:t>，</w:t>
      </w:r>
      <w:r>
        <w:rPr>
          <w:rFonts w:hint="eastAsia" w:cs="宋体"/>
          <w:b w:val="0"/>
          <w:bCs w:val="0"/>
          <w:color w:val="000000" w:themeColor="text1"/>
          <w:szCs w:val="24"/>
          <w:lang w:val="en-US" w:eastAsia="zh-CN"/>
        </w:rPr>
        <w:t>初凝</w:t>
      </w:r>
      <w:r>
        <w:rPr>
          <w:rFonts w:hint="eastAsia" w:ascii="宋体" w:hAnsi="宋体" w:eastAsia="宋体" w:cs="宋体"/>
          <w:b w:val="0"/>
          <w:bCs w:val="0"/>
          <w:color w:val="000000" w:themeColor="text1"/>
          <w:szCs w:val="24"/>
          <w:lang w:val="en-US" w:eastAsia="zh-CN"/>
        </w:rPr>
        <w:t>时间是超缓凝混凝土的一项重要的技术指标，</w:t>
      </w:r>
      <w:r>
        <w:rPr>
          <w:rFonts w:hint="eastAsia"/>
          <w:b w:val="0"/>
          <w:bCs w:val="0"/>
          <w:color w:val="000000" w:themeColor="text1"/>
        </w:rPr>
        <w:t>直接影响施工工序的安排和工期</w:t>
      </w:r>
      <w:r>
        <w:rPr>
          <w:rFonts w:hint="eastAsia" w:ascii="宋体" w:hAnsi="宋体" w:eastAsia="宋体" w:cs="宋体"/>
          <w:b w:val="0"/>
          <w:bCs w:val="0"/>
          <w:color w:val="000000" w:themeColor="text1"/>
          <w:szCs w:val="24"/>
          <w:lang w:eastAsia="zh-CN"/>
        </w:rPr>
        <w:t>，</w:t>
      </w:r>
      <w:r>
        <w:rPr>
          <w:rFonts w:hint="eastAsia" w:ascii="宋体" w:hAnsi="宋体" w:eastAsia="宋体" w:cs="宋体"/>
          <w:b w:val="0"/>
          <w:bCs w:val="0"/>
          <w:color w:val="000000" w:themeColor="text1"/>
          <w:szCs w:val="24"/>
          <w:lang w:val="en-US" w:eastAsia="zh-CN"/>
        </w:rPr>
        <w:t>不同工程对</w:t>
      </w:r>
      <w:r>
        <w:rPr>
          <w:rFonts w:hint="eastAsia"/>
          <w:b w:val="0"/>
          <w:bCs w:val="0"/>
          <w:color w:val="000000" w:themeColor="text1"/>
        </w:rPr>
        <w:t>超缓凝混凝土</w:t>
      </w:r>
      <w:r>
        <w:rPr>
          <w:rFonts w:hint="eastAsia" w:cs="宋体"/>
          <w:b w:val="0"/>
          <w:bCs w:val="0"/>
          <w:color w:val="000000" w:themeColor="text1"/>
          <w:szCs w:val="24"/>
          <w:lang w:val="en-US" w:eastAsia="zh-CN"/>
        </w:rPr>
        <w:t>初凝</w:t>
      </w:r>
      <w:r>
        <w:rPr>
          <w:rFonts w:hint="eastAsia" w:ascii="宋体" w:hAnsi="宋体" w:eastAsia="宋体" w:cs="宋体"/>
          <w:b w:val="0"/>
          <w:bCs w:val="0"/>
          <w:color w:val="000000" w:themeColor="text1"/>
          <w:szCs w:val="24"/>
          <w:lang w:val="en-US" w:eastAsia="zh-CN"/>
        </w:rPr>
        <w:t>时间要求不同，</w:t>
      </w:r>
      <w:r>
        <w:rPr>
          <w:rFonts w:hint="eastAsia"/>
          <w:b w:val="0"/>
          <w:bCs w:val="0"/>
          <w:color w:val="000000" w:themeColor="text1"/>
        </w:rPr>
        <w:t>以保证在浇筑、振捣、养护等过程中有足够的时间进行操作，</w:t>
      </w:r>
      <w:r>
        <w:rPr>
          <w:rFonts w:hint="eastAsia" w:ascii="宋体" w:hAnsi="宋体" w:eastAsia="宋体" w:cs="宋体"/>
          <w:b w:val="0"/>
          <w:bCs w:val="0"/>
          <w:color w:val="000000" w:themeColor="text1"/>
          <w:szCs w:val="24"/>
          <w:lang w:val="en-US" w:eastAsia="zh-CN"/>
        </w:rPr>
        <w:t>根据初凝时间等级的划分规定了每个等级初凝时间的限</w:t>
      </w:r>
      <w:r>
        <w:rPr>
          <w:rFonts w:hint="default" w:ascii="Times New Roman" w:hAnsi="Times New Roman" w:eastAsia="宋体" w:cs="Times New Roman"/>
          <w:b w:val="0"/>
          <w:bCs w:val="0"/>
          <w:color w:val="000000" w:themeColor="text1"/>
          <w:szCs w:val="24"/>
          <w:lang w:val="en-US" w:eastAsia="zh-CN"/>
        </w:rPr>
        <w:t>值，涵盖了24小时及以上的所有</w:t>
      </w:r>
      <w:r>
        <w:rPr>
          <w:rFonts w:hint="default" w:ascii="Times New Roman" w:hAnsi="Times New Roman" w:cs="Times New Roman"/>
          <w:b w:val="0"/>
          <w:bCs w:val="0"/>
          <w:color w:val="000000" w:themeColor="text1"/>
          <w:szCs w:val="24"/>
          <w:lang w:val="en-US" w:eastAsia="zh-CN"/>
        </w:rPr>
        <w:t>初凝</w:t>
      </w:r>
      <w:r>
        <w:rPr>
          <w:rFonts w:hint="default" w:ascii="Times New Roman" w:hAnsi="Times New Roman" w:eastAsia="宋体" w:cs="Times New Roman"/>
          <w:b w:val="0"/>
          <w:bCs w:val="0"/>
          <w:color w:val="000000" w:themeColor="text1"/>
          <w:szCs w:val="24"/>
          <w:lang w:val="en-US" w:eastAsia="zh-CN"/>
        </w:rPr>
        <w:t>时间。</w:t>
      </w:r>
      <w:r>
        <w:rPr>
          <w:rFonts w:hint="default" w:ascii="Times New Roman" w:hAnsi="Times New Roman" w:cs="Times New Roman"/>
          <w:b w:val="0"/>
          <w:bCs w:val="0"/>
          <w:color w:val="000000" w:themeColor="text1"/>
          <w:szCs w:val="24"/>
          <w:lang w:val="en-US" w:eastAsia="zh-CN"/>
        </w:rPr>
        <w:t>根据调研以及验证试验规定</w:t>
      </w:r>
      <w:r>
        <w:rPr>
          <w:rFonts w:hint="default" w:ascii="Times New Roman" w:hAnsi="Times New Roman" w:eastAsia="宋体" w:cs="Times New Roman"/>
          <w:b w:val="0"/>
          <w:bCs w:val="0"/>
          <w:color w:val="000000" w:themeColor="text1"/>
          <w:kern w:val="0"/>
          <w:szCs w:val="24"/>
          <w:lang w:val="en-US" w:eastAsia="zh-CN"/>
        </w:rPr>
        <w:t>拌合物的</w:t>
      </w:r>
      <w:r>
        <w:rPr>
          <w:rFonts w:hint="default" w:ascii="Times New Roman" w:hAnsi="Times New Roman" w:eastAsia="宋体" w:cs="Times New Roman"/>
          <w:b w:val="0"/>
          <w:bCs w:val="0"/>
          <w:color w:val="000000" w:themeColor="text1"/>
          <w:kern w:val="0"/>
          <w:sz w:val="24"/>
          <w:szCs w:val="24"/>
          <w:lang w:val="en-US" w:eastAsia="zh-CN" w:bidi="ar"/>
        </w:rPr>
        <w:t>初终凝时间差应小于20h。</w:t>
      </w:r>
    </w:p>
    <w:p w14:paraId="16482143">
      <w:pPr>
        <w:pStyle w:val="5"/>
        <w:numPr>
          <w:ilvl w:val="0"/>
          <w:numId w:val="8"/>
        </w:numPr>
        <w:ind w:firstLine="480" w:firstLineChars="200"/>
        <w:rPr>
          <w:rFonts w:hint="eastAsia" w:ascii="楷体" w:hAnsi="楷体" w:eastAsia="楷体" w:cs="楷体"/>
          <w:b w:val="0"/>
          <w:bCs w:val="0"/>
          <w:color w:val="000000"/>
          <w:szCs w:val="20"/>
        </w:rPr>
      </w:pPr>
      <w:r>
        <w:rPr>
          <w:rFonts w:hint="eastAsia" w:ascii="楷体" w:hAnsi="楷体" w:eastAsia="楷体" w:cs="楷体"/>
          <w:b w:val="0"/>
          <w:bCs w:val="0"/>
          <w:color w:val="000000"/>
          <w:szCs w:val="20"/>
          <w:lang w:val="en-US" w:eastAsia="zh-CN"/>
        </w:rPr>
        <w:t>抗压强度</w:t>
      </w:r>
    </w:p>
    <w:p w14:paraId="158EC3D2">
      <w:pPr>
        <w:pStyle w:val="5"/>
        <w:numPr>
          <w:ilvl w:val="-1"/>
          <w:numId w:val="0"/>
        </w:numPr>
        <w:ind w:firstLine="480" w:firstLineChars="200"/>
        <w:rPr>
          <w:rFonts w:hint="default" w:ascii="Times New Roman" w:hAnsi="Times New Roman" w:cs="Times New Roman" w:eastAsiaTheme="minorEastAsia"/>
          <w:b w:val="0"/>
          <w:bCs w:val="0"/>
          <w:color w:val="000000" w:themeColor="text1"/>
          <w:szCs w:val="24"/>
        </w:rPr>
      </w:pPr>
      <w:r>
        <w:rPr>
          <w:rFonts w:hint="default" w:ascii="Times New Roman" w:hAnsi="Times New Roman" w:cs="Times New Roman" w:eastAsiaTheme="minorEastAsia"/>
          <w:b w:val="0"/>
          <w:bCs w:val="0"/>
          <w:color w:val="000000"/>
          <w:szCs w:val="20"/>
          <w:lang w:val="en-US" w:eastAsia="zh-CN"/>
        </w:rPr>
        <w:t>该条款规定了超缓凝混凝土的抗压强度，抗压强度是超缓凝混凝土的一项重要力学性能指标，规定</w:t>
      </w:r>
      <w:r>
        <w:rPr>
          <w:rFonts w:hint="default" w:ascii="Times New Roman" w:hAnsi="Times New Roman" w:cs="Times New Roman" w:eastAsiaTheme="minorEastAsia"/>
          <w:b w:val="0"/>
          <w:bCs w:val="0"/>
          <w:color w:val="000000"/>
          <w:szCs w:val="20"/>
        </w:rPr>
        <w:t>混</w:t>
      </w:r>
      <w:r>
        <w:rPr>
          <w:rFonts w:hint="default" w:ascii="Times New Roman" w:hAnsi="Times New Roman" w:cs="Times New Roman" w:eastAsiaTheme="minorEastAsia"/>
          <w:b w:val="0"/>
          <w:bCs w:val="0"/>
          <w:color w:val="000000" w:themeColor="text1"/>
        </w:rPr>
        <w:t>凝土强度应符合设计要求和有关标准的规定，检验评定应符合GB/T 50107的规定。</w:t>
      </w:r>
    </w:p>
    <w:p w14:paraId="68C9F712">
      <w:pPr>
        <w:pStyle w:val="5"/>
        <w:numPr>
          <w:ilvl w:val="0"/>
          <w:numId w:val="8"/>
        </w:numPr>
        <w:ind w:firstLine="480" w:firstLineChars="200"/>
        <w:rPr>
          <w:rFonts w:hint="eastAsia" w:ascii="楷体" w:hAnsi="楷体" w:eastAsia="楷体" w:cs="楷体"/>
          <w:b w:val="0"/>
          <w:bCs w:val="0"/>
          <w:color w:val="000000"/>
          <w:szCs w:val="20"/>
        </w:rPr>
      </w:pPr>
      <w:r>
        <w:rPr>
          <w:rFonts w:hint="eastAsia" w:ascii="楷体" w:hAnsi="楷体" w:eastAsia="楷体" w:cs="楷体"/>
          <w:b w:val="0"/>
          <w:bCs w:val="0"/>
          <w:color w:val="000000"/>
          <w:szCs w:val="20"/>
        </w:rPr>
        <w:t>长期性能与耐久性能</w:t>
      </w:r>
    </w:p>
    <w:p w14:paraId="184F8AB5">
      <w:pPr>
        <w:pStyle w:val="5"/>
        <w:numPr>
          <w:ilvl w:val="-1"/>
          <w:numId w:val="0"/>
        </w:numPr>
        <w:ind w:firstLine="480" w:firstLineChars="200"/>
        <w:jc w:val="both"/>
        <w:rPr>
          <w:rFonts w:hint="default" w:ascii="Times New Roman" w:hAnsi="Times New Roman" w:cs="Times New Roman"/>
          <w:b w:val="0"/>
          <w:bCs w:val="0"/>
          <w:color w:val="000000" w:themeColor="text1"/>
        </w:rPr>
      </w:pPr>
      <w:r>
        <w:rPr>
          <w:rFonts w:hint="default" w:ascii="Times New Roman" w:hAnsi="Times New Roman" w:cs="Times New Roman" w:eastAsiaTheme="minorEastAsia"/>
          <w:b w:val="0"/>
          <w:bCs w:val="0"/>
          <w:color w:val="000000"/>
          <w:szCs w:val="20"/>
          <w:lang w:val="en-US" w:eastAsia="zh-CN"/>
        </w:rPr>
        <w:t>该条款规定了超缓凝混凝土的长期性能和耐久性能，</w:t>
      </w:r>
      <w:r>
        <w:rPr>
          <w:rFonts w:hint="default" w:ascii="Times New Roman" w:hAnsi="Times New Roman" w:cs="Times New Roman"/>
          <w:b w:val="0"/>
          <w:bCs w:val="0"/>
          <w:color w:val="000000" w:themeColor="text1"/>
          <w:lang w:val="en-US" w:eastAsia="zh-CN"/>
        </w:rPr>
        <w:t>超缓凝混凝土应具有良好的长期性能和耐久性能，因此规定</w:t>
      </w:r>
      <w:r>
        <w:rPr>
          <w:rFonts w:hint="default" w:ascii="Times New Roman" w:hAnsi="Times New Roman" w:cs="Times New Roman"/>
          <w:b w:val="0"/>
          <w:bCs w:val="0"/>
          <w:color w:val="000000" w:themeColor="text1"/>
        </w:rPr>
        <w:t>混凝土</w:t>
      </w:r>
      <w:r>
        <w:rPr>
          <w:rFonts w:hint="default" w:ascii="Times New Roman" w:hAnsi="Times New Roman" w:cs="Times New Roman"/>
          <w:b w:val="0"/>
          <w:bCs w:val="0"/>
          <w:color w:val="000000" w:themeColor="text1"/>
          <w:lang w:val="en-US" w:eastAsia="zh-CN"/>
        </w:rPr>
        <w:t>长期性能和</w:t>
      </w:r>
      <w:r>
        <w:rPr>
          <w:rFonts w:hint="default" w:ascii="Times New Roman" w:hAnsi="Times New Roman" w:cs="Times New Roman"/>
          <w:b w:val="0"/>
          <w:bCs w:val="0"/>
          <w:color w:val="000000" w:themeColor="text1"/>
        </w:rPr>
        <w:t>耐久</w:t>
      </w:r>
      <w:r>
        <w:rPr>
          <w:rFonts w:hint="default" w:ascii="Times New Roman" w:hAnsi="Times New Roman" w:cs="Times New Roman"/>
          <w:b w:val="0"/>
          <w:bCs w:val="0"/>
          <w:color w:val="000000" w:themeColor="text1"/>
          <w:lang w:val="en-US" w:eastAsia="zh-CN"/>
        </w:rPr>
        <w:t>性能</w:t>
      </w:r>
      <w:r>
        <w:rPr>
          <w:rFonts w:hint="default" w:ascii="Times New Roman" w:hAnsi="Times New Roman" w:cs="Times New Roman"/>
          <w:b w:val="0"/>
          <w:bCs w:val="0"/>
          <w:color w:val="000000" w:themeColor="text1"/>
        </w:rPr>
        <w:t>应符合设计要求和有关标准的规定，检验评定应符合JGJ/T 193的规定。</w:t>
      </w:r>
    </w:p>
    <w:p w14:paraId="1DE6A8CA">
      <w:pPr>
        <w:pStyle w:val="5"/>
        <w:numPr>
          <w:ilvl w:val="2"/>
          <w:numId w:val="6"/>
        </w:numPr>
        <w:ind w:left="0" w:firstLine="0" w:firstLineChars="0"/>
        <w:jc w:val="both"/>
        <w:rPr>
          <w:rFonts w:hint="eastAsia"/>
          <w:b/>
          <w:bCs/>
          <w:color w:val="000000" w:themeColor="text1"/>
          <w:lang w:val="en-US" w:eastAsia="zh-CN"/>
        </w:rPr>
      </w:pPr>
      <w:r>
        <w:rPr>
          <w:rFonts w:hint="eastAsia"/>
          <w:b/>
          <w:bCs/>
          <w:color w:val="000000" w:themeColor="text1"/>
          <w:lang w:val="en-US" w:eastAsia="zh-CN"/>
        </w:rPr>
        <w:t>试验方法</w:t>
      </w:r>
    </w:p>
    <w:p w14:paraId="69339F31">
      <w:pPr>
        <w:pStyle w:val="5"/>
        <w:numPr>
          <w:ilvl w:val="0"/>
          <w:numId w:val="9"/>
        </w:numPr>
        <w:ind w:left="0" w:firstLine="480" w:firstLineChars="200"/>
        <w:jc w:val="both"/>
        <w:rPr>
          <w:rFonts w:hint="eastAsia" w:ascii="楷体" w:hAnsi="楷体" w:eastAsia="楷体" w:cs="楷体"/>
          <w:b w:val="0"/>
          <w:bCs w:val="0"/>
          <w:color w:val="000000"/>
          <w:szCs w:val="20"/>
        </w:rPr>
      </w:pPr>
      <w:r>
        <w:rPr>
          <w:rFonts w:hint="eastAsia" w:ascii="楷体" w:hAnsi="楷体" w:eastAsia="楷体" w:cs="楷体"/>
          <w:b w:val="0"/>
          <w:bCs w:val="0"/>
          <w:color w:val="000000"/>
          <w:szCs w:val="20"/>
        </w:rPr>
        <w:t>凝结时间按GB/T 50080的规定进行。测试起始时间改为按照等级规定的凝结时间，提前6小时，每隔1h测试一次，在临近初凝和终凝时，改为不大于0.5h时间隔测试一次。</w:t>
      </w:r>
    </w:p>
    <w:p w14:paraId="19B3332F">
      <w:pPr>
        <w:pStyle w:val="5"/>
        <w:numPr>
          <w:ilvl w:val="-1"/>
          <w:numId w:val="0"/>
        </w:numPr>
        <w:ind w:left="0" w:leftChars="0" w:firstLine="480" w:firstLineChars="200"/>
        <w:jc w:val="both"/>
        <w:rPr>
          <w:rFonts w:hint="default" w:ascii="Times New Roman" w:hAnsi="Times New Roman" w:cs="Times New Roman" w:eastAsiaTheme="minorEastAsia"/>
          <w:b w:val="0"/>
          <w:bCs w:val="0"/>
          <w:color w:val="000000"/>
          <w:szCs w:val="20"/>
          <w:lang w:eastAsia="zh-CN"/>
        </w:rPr>
      </w:pPr>
      <w:r>
        <w:rPr>
          <w:rFonts w:hint="default" w:ascii="Times New Roman" w:hAnsi="Times New Roman" w:cs="Times New Roman" w:eastAsiaTheme="minorEastAsia"/>
          <w:b w:val="0"/>
          <w:bCs w:val="0"/>
          <w:color w:val="000000"/>
          <w:szCs w:val="20"/>
          <w:lang w:val="en-US" w:eastAsia="zh-CN"/>
        </w:rPr>
        <w:t>此条款规定了</w:t>
      </w:r>
      <w:r>
        <w:rPr>
          <w:rFonts w:hint="default" w:ascii="Times New Roman" w:hAnsi="Times New Roman" w:cs="Times New Roman" w:eastAsiaTheme="minorEastAsia"/>
          <w:b w:val="0"/>
          <w:bCs w:val="0"/>
          <w:color w:val="000000"/>
          <w:szCs w:val="20"/>
        </w:rPr>
        <w:t>超缓凝混凝土的凝结时间测定方法</w:t>
      </w:r>
      <w:r>
        <w:rPr>
          <w:rFonts w:hint="default" w:ascii="Times New Roman" w:hAnsi="Times New Roman" w:cs="Times New Roman" w:eastAsiaTheme="minorEastAsia"/>
          <w:b w:val="0"/>
          <w:bCs w:val="0"/>
          <w:color w:val="000000"/>
          <w:szCs w:val="20"/>
          <w:lang w:eastAsia="zh-CN"/>
        </w:rPr>
        <w:t>，</w:t>
      </w:r>
      <w:r>
        <w:rPr>
          <w:rFonts w:hint="default" w:ascii="Times New Roman" w:hAnsi="Times New Roman" w:cs="Times New Roman" w:eastAsiaTheme="minorEastAsia"/>
          <w:b w:val="0"/>
          <w:bCs w:val="0"/>
          <w:color w:val="000000"/>
          <w:szCs w:val="20"/>
          <w:lang w:val="en-US" w:eastAsia="zh-CN"/>
        </w:rPr>
        <w:t>该</w:t>
      </w:r>
      <w:r>
        <w:rPr>
          <w:rFonts w:hint="default" w:ascii="Times New Roman" w:hAnsi="Times New Roman" w:cs="Times New Roman" w:eastAsiaTheme="minorEastAsia"/>
          <w:b w:val="0"/>
          <w:bCs w:val="0"/>
          <w:color w:val="000000"/>
          <w:szCs w:val="20"/>
        </w:rPr>
        <w:t>测定方法与普通混凝土基本相同，但应注意测针的开始试验时间和测试时间间隔。超缓凝混凝土的凝结时间较长，</w:t>
      </w:r>
      <w:r>
        <w:rPr>
          <w:rFonts w:hint="default" w:ascii="Times New Roman" w:hAnsi="Times New Roman" w:cs="Times New Roman" w:eastAsiaTheme="minorEastAsia"/>
          <w:b w:val="0"/>
          <w:bCs w:val="0"/>
          <w:color w:val="000000"/>
          <w:szCs w:val="20"/>
          <w:lang w:val="en-US" w:eastAsia="zh-CN"/>
        </w:rPr>
        <w:t>GB/T 50080的规定</w:t>
      </w:r>
      <w:r>
        <w:rPr>
          <w:rFonts w:hint="default" w:ascii="Times New Roman" w:hAnsi="Times New Roman" w:cs="Times New Roman" w:eastAsiaTheme="minorEastAsia"/>
          <w:b w:val="0"/>
          <w:bCs w:val="0"/>
          <w:color w:val="000000"/>
          <w:szCs w:val="20"/>
        </w:rPr>
        <w:t>测定时，测试频率较大，测点较密，造成测点数值偏差大。因此，为保证测试次数合理，降低测点数值偏差</w:t>
      </w:r>
      <w:r>
        <w:rPr>
          <w:rFonts w:hint="default" w:ascii="Times New Roman" w:hAnsi="Times New Roman" w:cs="Times New Roman" w:eastAsiaTheme="minorEastAsia"/>
          <w:b w:val="0"/>
          <w:bCs w:val="0"/>
          <w:color w:val="000000"/>
          <w:szCs w:val="20"/>
          <w:lang w:eastAsia="zh-CN"/>
        </w:rPr>
        <w:t>。</w:t>
      </w:r>
    </w:p>
    <w:p w14:paraId="3A57C348">
      <w:pPr>
        <w:pStyle w:val="5"/>
        <w:numPr>
          <w:ilvl w:val="0"/>
          <w:numId w:val="9"/>
        </w:numPr>
        <w:ind w:left="0" w:firstLine="480" w:firstLineChars="200"/>
        <w:jc w:val="both"/>
        <w:rPr>
          <w:rFonts w:hint="eastAsia" w:ascii="楷体" w:hAnsi="楷体" w:eastAsia="楷体" w:cs="楷体"/>
          <w:b w:val="0"/>
          <w:bCs w:val="0"/>
          <w:color w:val="000000"/>
          <w:szCs w:val="20"/>
        </w:rPr>
      </w:pPr>
      <w:r>
        <w:rPr>
          <w:rFonts w:hint="eastAsia" w:ascii="楷体" w:hAnsi="楷体" w:eastAsia="楷体" w:cs="楷体"/>
          <w:b w:val="0"/>
          <w:bCs w:val="0"/>
          <w:color w:val="000000"/>
          <w:szCs w:val="20"/>
        </w:rPr>
        <w:t>按GB/T 50081的规定进行。其中抗压强度试件应在试件成型后立即用不透水的薄膜覆盖表面，带模进行养护，终凝24h后拆模。</w:t>
      </w:r>
    </w:p>
    <w:p w14:paraId="78021A10">
      <w:pPr>
        <w:pStyle w:val="5"/>
        <w:numPr>
          <w:ilvl w:val="-1"/>
          <w:numId w:val="0"/>
        </w:numPr>
        <w:ind w:left="0" w:leftChars="0" w:firstLine="480" w:firstLineChars="200"/>
        <w:jc w:val="both"/>
        <w:rPr>
          <w:rFonts w:hint="default" w:ascii="Times New Roman" w:hAnsi="Times New Roman" w:cs="Times New Roman" w:eastAsiaTheme="minorEastAsia"/>
          <w:b w:val="0"/>
          <w:bCs w:val="0"/>
          <w:color w:val="000000"/>
          <w:szCs w:val="20"/>
          <w:lang w:eastAsia="zh-CN"/>
        </w:rPr>
      </w:pPr>
      <w:r>
        <w:rPr>
          <w:rFonts w:hint="default" w:ascii="Times New Roman" w:hAnsi="Times New Roman" w:cs="Times New Roman" w:eastAsiaTheme="minorEastAsia"/>
          <w:b w:val="0"/>
          <w:bCs w:val="0"/>
          <w:color w:val="000000"/>
          <w:szCs w:val="20"/>
          <w:lang w:val="en-US" w:eastAsia="zh-CN"/>
        </w:rPr>
        <w:t>此条款规定了超缓凝混凝土抗压强度试验方法，因超缓凝混凝土凝结时间长，24h拆模，还未初凝，无法进行拆模养护，因此规定终凝24h</w:t>
      </w:r>
      <w:r>
        <w:rPr>
          <w:rFonts w:hint="default" w:ascii="Times New Roman" w:hAnsi="Times New Roman" w:cs="Times New Roman" w:eastAsiaTheme="minorEastAsia"/>
          <w:b w:val="0"/>
          <w:bCs w:val="0"/>
          <w:color w:val="000000"/>
          <w:szCs w:val="20"/>
        </w:rPr>
        <w:t>后拆模</w:t>
      </w:r>
      <w:r>
        <w:rPr>
          <w:rFonts w:hint="default" w:ascii="Times New Roman" w:hAnsi="Times New Roman" w:cs="Times New Roman" w:eastAsiaTheme="minorEastAsia"/>
          <w:b w:val="0"/>
          <w:bCs w:val="0"/>
          <w:color w:val="000000"/>
          <w:szCs w:val="20"/>
          <w:lang w:eastAsia="zh-CN"/>
        </w:rPr>
        <w:t>。</w:t>
      </w:r>
    </w:p>
    <w:p w14:paraId="02FF6AC0">
      <w:pPr>
        <w:pStyle w:val="5"/>
        <w:numPr>
          <w:ilvl w:val="0"/>
          <w:numId w:val="9"/>
        </w:numPr>
        <w:ind w:left="0" w:firstLine="480" w:firstLineChars="200"/>
        <w:jc w:val="both"/>
        <w:rPr>
          <w:rFonts w:hint="default" w:ascii="楷体" w:hAnsi="楷体" w:eastAsia="楷体" w:cs="楷体"/>
          <w:b w:val="0"/>
          <w:bCs w:val="0"/>
          <w:color w:val="000000"/>
          <w:szCs w:val="20"/>
          <w:lang w:val="en-US" w:eastAsia="zh-CN"/>
        </w:rPr>
      </w:pPr>
      <w:r>
        <w:rPr>
          <w:rFonts w:hint="eastAsia" w:ascii="楷体" w:hAnsi="楷体" w:eastAsia="楷体" w:cs="楷体"/>
          <w:b w:val="0"/>
          <w:bCs w:val="0"/>
          <w:color w:val="000000"/>
          <w:szCs w:val="20"/>
        </w:rPr>
        <w:t>按GB/T 50082的规定进行，其中抗冻试验应在56d龄期时开始冻融试验。</w:t>
      </w:r>
    </w:p>
    <w:p w14:paraId="7084BEDE">
      <w:pPr>
        <w:pStyle w:val="5"/>
        <w:numPr>
          <w:ilvl w:val="-1"/>
          <w:numId w:val="0"/>
        </w:numPr>
        <w:ind w:left="0" w:leftChars="0" w:firstLine="480" w:firstLineChars="200"/>
        <w:jc w:val="both"/>
        <w:rPr>
          <w:rFonts w:hint="default" w:ascii="Times New Roman" w:hAnsi="Times New Roman" w:cs="Times New Roman" w:eastAsiaTheme="minorEastAsia"/>
          <w:b w:val="0"/>
          <w:bCs w:val="0"/>
          <w:color w:val="000000"/>
          <w:szCs w:val="20"/>
          <w:lang w:val="en-US" w:eastAsia="zh-CN"/>
        </w:rPr>
      </w:pPr>
      <w:r>
        <w:rPr>
          <w:rFonts w:hint="default" w:ascii="Times New Roman" w:hAnsi="Times New Roman" w:cs="Times New Roman" w:eastAsiaTheme="minorEastAsia"/>
          <w:b w:val="0"/>
          <w:bCs w:val="0"/>
          <w:color w:val="000000"/>
          <w:szCs w:val="20"/>
          <w:lang w:val="en-US" w:eastAsia="zh-CN"/>
        </w:rPr>
        <w:t>此条款规定了超缓凝混凝土耐久性试验方法，普通混凝土冻融试验中养护龄期24d时提前将试件取出，之后需要再水中浸泡，浸泡4d，28d开始进行冻融试验，对比试件则一直在原养护环境中继续养护。但因超缓凝混凝土早期强度低，后期发展快，28d时没有普通混凝土强度高，水化不完全，因此进行冻融试验时，冻融破坏更为严重，此外对比试件因没有受到冻融破坏，强度可以持续增长，继续水化，冻融循环后试件的数据和对比试件的数据差值要比普通混凝土的差值大，因此规定</w:t>
      </w:r>
      <w:r>
        <w:rPr>
          <w:rFonts w:hint="default" w:ascii="Times New Roman" w:hAnsi="Times New Roman" w:cs="Times New Roman" w:eastAsiaTheme="minorEastAsia"/>
          <w:b w:val="0"/>
          <w:bCs w:val="0"/>
          <w:color w:val="000000"/>
          <w:szCs w:val="20"/>
        </w:rPr>
        <w:t>在56d龄期时开始冻融试验</w:t>
      </w:r>
      <w:r>
        <w:rPr>
          <w:rFonts w:hint="default" w:ascii="Times New Roman" w:hAnsi="Times New Roman" w:cs="Times New Roman" w:eastAsiaTheme="minorEastAsia"/>
          <w:b w:val="0"/>
          <w:bCs w:val="0"/>
          <w:color w:val="000000"/>
          <w:szCs w:val="20"/>
          <w:lang w:eastAsia="zh-CN"/>
        </w:rPr>
        <w:t>，</w:t>
      </w:r>
      <w:r>
        <w:rPr>
          <w:rFonts w:hint="default" w:ascii="Times New Roman" w:hAnsi="Times New Roman" w:cs="Times New Roman" w:eastAsiaTheme="minorEastAsia"/>
          <w:b w:val="0"/>
          <w:bCs w:val="0"/>
          <w:color w:val="000000"/>
          <w:szCs w:val="20"/>
          <w:lang w:val="en-US" w:eastAsia="zh-CN"/>
        </w:rPr>
        <w:t>保证超缓凝混凝土有足够的强度</w:t>
      </w:r>
      <w:r>
        <w:rPr>
          <w:rFonts w:hint="eastAsia" w:ascii="Times New Roman" w:hAnsi="Times New Roman" w:cs="Times New Roman" w:eastAsiaTheme="minorEastAsia"/>
          <w:b w:val="0"/>
          <w:bCs w:val="0"/>
          <w:color w:val="000000"/>
          <w:szCs w:val="20"/>
          <w:lang w:val="en-US" w:eastAsia="zh-CN"/>
        </w:rPr>
        <w:t>抵御</w:t>
      </w:r>
      <w:r>
        <w:rPr>
          <w:rFonts w:hint="default" w:ascii="Times New Roman" w:hAnsi="Times New Roman" w:cs="Times New Roman" w:eastAsiaTheme="minorEastAsia"/>
          <w:b w:val="0"/>
          <w:bCs w:val="0"/>
          <w:color w:val="000000"/>
          <w:szCs w:val="20"/>
          <w:lang w:val="en-US" w:eastAsia="zh-CN"/>
        </w:rPr>
        <w:t>冻融破坏。</w:t>
      </w:r>
    </w:p>
    <w:p w14:paraId="5437EA77">
      <w:pPr>
        <w:pStyle w:val="5"/>
        <w:numPr>
          <w:ilvl w:val="-1"/>
          <w:numId w:val="0"/>
        </w:numPr>
        <w:ind w:left="0" w:leftChars="0" w:firstLine="480" w:firstLineChars="200"/>
        <w:jc w:val="both"/>
        <w:rPr>
          <w:rFonts w:hint="default" w:asciiTheme="minorEastAsia" w:hAnsiTheme="minorEastAsia" w:eastAsiaTheme="minorEastAsia" w:cstheme="minorEastAsia"/>
          <w:b w:val="0"/>
          <w:bCs w:val="0"/>
          <w:color w:val="000000"/>
          <w:szCs w:val="20"/>
          <w:lang w:val="en-US" w:eastAsia="zh-CN"/>
        </w:rPr>
      </w:pPr>
      <w:r>
        <w:rPr>
          <w:rFonts w:hint="default" w:ascii="Times New Roman" w:hAnsi="Times New Roman" w:cs="Times New Roman" w:eastAsiaTheme="minorEastAsia"/>
          <w:b w:val="0"/>
          <w:bCs w:val="0"/>
          <w:color w:val="000000"/>
          <w:szCs w:val="20"/>
          <w:lang w:val="en-US" w:eastAsia="zh-CN"/>
        </w:rPr>
        <w:t>4、其余技术指标</w:t>
      </w:r>
      <w:r>
        <w:rPr>
          <w:rFonts w:hint="eastAsia" w:asciiTheme="minorEastAsia" w:hAnsiTheme="minorEastAsia" w:eastAsiaTheme="minorEastAsia" w:cstheme="minorEastAsia"/>
          <w:b w:val="0"/>
          <w:bCs w:val="0"/>
          <w:color w:val="000000"/>
          <w:szCs w:val="20"/>
          <w:lang w:val="en-US" w:eastAsia="zh-CN"/>
        </w:rPr>
        <w:t>试验方法均按相关标准进行测定。</w:t>
      </w:r>
    </w:p>
    <w:p w14:paraId="26FA356C">
      <w:pPr>
        <w:pStyle w:val="5"/>
        <w:numPr>
          <w:ilvl w:val="2"/>
          <w:numId w:val="6"/>
        </w:numPr>
        <w:ind w:left="0" w:firstLine="0" w:firstLineChars="0"/>
        <w:jc w:val="both"/>
        <w:rPr>
          <w:rFonts w:hint="eastAsia"/>
          <w:b/>
          <w:bCs/>
          <w:color w:val="000000" w:themeColor="text1"/>
          <w:lang w:val="en-US" w:eastAsia="zh-CN"/>
        </w:rPr>
      </w:pPr>
      <w:r>
        <w:rPr>
          <w:rFonts w:hint="eastAsia"/>
          <w:b/>
          <w:bCs/>
          <w:color w:val="000000" w:themeColor="text1"/>
          <w:lang w:val="en-US" w:eastAsia="zh-CN"/>
        </w:rPr>
        <w:t>检验规则</w:t>
      </w:r>
    </w:p>
    <w:p w14:paraId="67D55C53">
      <w:pPr>
        <w:pStyle w:val="5"/>
        <w:numPr>
          <w:ilvl w:val="-1"/>
          <w:numId w:val="0"/>
        </w:numPr>
        <w:ind w:left="0" w:firstLine="480" w:firstLineChars="200"/>
        <w:jc w:val="both"/>
        <w:rPr>
          <w:rFonts w:hint="default" w:ascii="Times New Roman" w:hAnsi="Times New Roman" w:cs="Times New Roman"/>
          <w:b w:val="0"/>
          <w:bCs w:val="0"/>
          <w:color w:val="000000" w:themeColor="text1"/>
        </w:rPr>
      </w:pPr>
      <w:r>
        <w:rPr>
          <w:rFonts w:hint="default" w:ascii="Times New Roman" w:hAnsi="Times New Roman" w:cs="Times New Roman"/>
          <w:b w:val="0"/>
          <w:bCs w:val="0"/>
          <w:color w:val="000000" w:themeColor="text1"/>
          <w:lang w:val="en-US" w:eastAsia="zh-CN"/>
        </w:rPr>
        <w:t>参考</w:t>
      </w:r>
      <w:r>
        <w:rPr>
          <w:rFonts w:hint="default" w:ascii="Times New Roman" w:hAnsi="Times New Roman" w:cs="Times New Roman"/>
          <w:b w:val="0"/>
          <w:bCs w:val="0"/>
          <w:color w:val="000000" w:themeColor="text1"/>
        </w:rPr>
        <w:t>GB</w:t>
      </w:r>
      <w:r>
        <w:rPr>
          <w:rFonts w:hint="default" w:ascii="Times New Roman" w:hAnsi="Times New Roman" w:cs="Times New Roman"/>
          <w:b w:val="0"/>
          <w:bCs w:val="0"/>
          <w:color w:val="000000" w:themeColor="text1"/>
          <w:lang w:val="en-US" w:eastAsia="zh-CN"/>
        </w:rPr>
        <w:t>/</w:t>
      </w:r>
      <w:r>
        <w:rPr>
          <w:rFonts w:hint="default" w:ascii="Times New Roman" w:hAnsi="Times New Roman" w:cs="Times New Roman"/>
          <w:b w:val="0"/>
          <w:bCs w:val="0"/>
          <w:color w:val="000000" w:themeColor="text1"/>
        </w:rPr>
        <w:t>T 41054</w:t>
      </w:r>
      <w:r>
        <w:rPr>
          <w:rFonts w:hint="default" w:ascii="Times New Roman" w:hAnsi="Times New Roman" w:cs="Times New Roman"/>
          <w:b w:val="0"/>
          <w:bCs w:val="0"/>
          <w:color w:val="000000" w:themeColor="text1"/>
          <w:lang w:val="en-US" w:eastAsia="zh-CN"/>
        </w:rPr>
        <w:t>进行了规定。</w:t>
      </w:r>
      <w:bookmarkEnd w:id="45"/>
      <w:bookmarkEnd w:id="46"/>
    </w:p>
    <w:p w14:paraId="572B86C8">
      <w:pPr>
        <w:pStyle w:val="30"/>
        <w:spacing w:before="163" w:beforeLines="50" w:after="163" w:afterLines="50" w:line="500" w:lineRule="exact"/>
        <w:jc w:val="both"/>
        <w:outlineLvl w:val="0"/>
        <w:rPr>
          <w:rFonts w:hint="eastAsia"/>
          <w:color w:val="000000" w:themeColor="text1"/>
          <w:sz w:val="28"/>
          <w:szCs w:val="28"/>
          <w:lang w:val="en-US" w:eastAsia="zh-CN"/>
        </w:rPr>
      </w:pPr>
      <w:bookmarkStart w:id="47" w:name="_Toc108389252"/>
      <w:bookmarkStart w:id="48" w:name="_Toc20987"/>
      <w:bookmarkStart w:id="49" w:name="_Toc7754"/>
      <w:bookmarkStart w:id="50" w:name="_Toc1442"/>
      <w:bookmarkStart w:id="51" w:name="_Toc25837"/>
      <w:bookmarkStart w:id="52" w:name="_Toc5180"/>
      <w:bookmarkStart w:id="53" w:name="_Toc20616"/>
      <w:bookmarkStart w:id="54" w:name="BookMark8"/>
      <w:r>
        <w:rPr>
          <w:rFonts w:hint="eastAsia"/>
          <w:color w:val="000000" w:themeColor="text1"/>
          <w:sz w:val="28"/>
          <w:szCs w:val="28"/>
          <w:lang w:val="en-US" w:eastAsia="zh-CN"/>
        </w:rPr>
        <w:t xml:space="preserve">3 </w:t>
      </w:r>
      <w:bookmarkEnd w:id="47"/>
      <w:r>
        <w:rPr>
          <w:rFonts w:hint="eastAsia"/>
          <w:color w:val="000000" w:themeColor="text1"/>
          <w:sz w:val="28"/>
          <w:szCs w:val="28"/>
          <w:lang w:val="en-US" w:eastAsia="zh-CN"/>
        </w:rPr>
        <w:t>主要验证试验分析</w:t>
      </w:r>
      <w:bookmarkEnd w:id="48"/>
      <w:bookmarkEnd w:id="49"/>
      <w:bookmarkEnd w:id="50"/>
      <w:bookmarkEnd w:id="51"/>
      <w:bookmarkEnd w:id="52"/>
      <w:bookmarkEnd w:id="53"/>
    </w:p>
    <w:p w14:paraId="65810984">
      <w:pPr>
        <w:spacing w:line="360" w:lineRule="auto"/>
        <w:ind w:firstLine="480" w:firstLineChars="200"/>
        <w:rPr>
          <w:rFonts w:ascii="Times New Roman" w:hAnsi="Times New Roman" w:eastAsia="宋体" w:cs="Times New Roman"/>
          <w:sz w:val="24"/>
          <w:szCs w:val="24"/>
        </w:rPr>
      </w:pPr>
      <w:r>
        <w:rPr>
          <w:rFonts w:hint="eastAsia" w:ascii="Times New Roman" w:hAnsi="Times New Roman" w:eastAsia="宋体" w:cs="Times New Roman"/>
          <w:sz w:val="24"/>
          <w:szCs w:val="24"/>
          <w:lang w:val="en-US" w:eastAsia="zh-CN"/>
        </w:rPr>
        <w:t>试验</w:t>
      </w:r>
      <w:r>
        <w:rPr>
          <w:rFonts w:ascii="Times New Roman" w:hAnsi="Times New Roman" w:eastAsia="宋体" w:cs="Times New Roman"/>
          <w:sz w:val="24"/>
          <w:szCs w:val="24"/>
        </w:rPr>
        <w:t>由</w:t>
      </w:r>
      <w:r>
        <w:rPr>
          <w:rFonts w:hint="eastAsia" w:ascii="Times New Roman" w:hAnsi="Times New Roman" w:cs="Times New Roman"/>
          <w:sz w:val="24"/>
          <w:szCs w:val="24"/>
          <w:lang w:val="en-US" w:eastAsia="zh-CN"/>
        </w:rPr>
        <w:t>建筑材料工业技术情报研究所、云南建投绿色高性能混凝土股份有限公司、北京铁建永泰新型建材有限公司</w:t>
      </w:r>
      <w:r>
        <w:rPr>
          <w:rFonts w:ascii="Times New Roman" w:hAnsi="Times New Roman" w:eastAsia="宋体" w:cs="Times New Roman"/>
          <w:sz w:val="24"/>
          <w:szCs w:val="24"/>
          <w:lang w:val="zh-CN"/>
        </w:rPr>
        <w:t>、建筑材料工业技术监督研究中心共同承担试验项目检测。</w:t>
      </w:r>
      <w:r>
        <w:rPr>
          <w:rFonts w:ascii="Times New Roman" w:hAnsi="Times New Roman" w:eastAsia="宋体" w:cs="Times New Roman"/>
          <w:sz w:val="24"/>
          <w:szCs w:val="24"/>
        </w:rPr>
        <w:t>根据《</w:t>
      </w:r>
      <w:r>
        <w:rPr>
          <w:rFonts w:hint="eastAsia" w:ascii="Times New Roman" w:hAnsi="Times New Roman" w:cs="Times New Roman"/>
          <w:sz w:val="24"/>
          <w:szCs w:val="24"/>
          <w:lang w:val="en-US" w:eastAsia="zh-CN"/>
        </w:rPr>
        <w:t>超缓凝混凝土技术条件</w:t>
      </w:r>
      <w:r>
        <w:rPr>
          <w:rFonts w:ascii="Times New Roman" w:hAnsi="Times New Roman" w:eastAsia="宋体" w:cs="Times New Roman"/>
          <w:sz w:val="24"/>
          <w:szCs w:val="24"/>
        </w:rPr>
        <w:t>》行业标准编制组第一次工作会议研究讨论结果，</w:t>
      </w:r>
      <w:r>
        <w:rPr>
          <w:rFonts w:hint="eastAsia" w:ascii="Times New Roman" w:hAnsi="Times New Roman" w:cs="Times New Roman"/>
          <w:sz w:val="24"/>
          <w:szCs w:val="24"/>
          <w:lang w:val="en-US" w:eastAsia="zh-CN"/>
        </w:rPr>
        <w:t>超缓凝混凝土</w:t>
      </w:r>
      <w:r>
        <w:rPr>
          <w:rFonts w:ascii="Times New Roman" w:hAnsi="Times New Roman" w:eastAsia="宋体" w:cs="Times New Roman"/>
          <w:sz w:val="24"/>
          <w:szCs w:val="24"/>
        </w:rPr>
        <w:t>的验证试验内容包括：</w:t>
      </w:r>
      <w:r>
        <w:rPr>
          <w:rFonts w:hint="eastAsia" w:ascii="Times New Roman" w:hAnsi="Times New Roman" w:cs="Times New Roman"/>
          <w:sz w:val="24"/>
          <w:szCs w:val="24"/>
          <w:lang w:val="en-US" w:eastAsia="zh-CN"/>
        </w:rPr>
        <w:t>配合比设计、</w:t>
      </w:r>
      <w:r>
        <w:rPr>
          <w:rFonts w:hint="eastAsia" w:ascii="Times New Roman" w:hAnsi="Times New Roman" w:cs="Times New Roman"/>
        </w:rPr>
        <w:t>坍落度、坍落度经时损失、扩展度、初凝时间、终凝时间、初终凝时间差、水溶性氯离子最大含量、泌水率、抗压强度</w:t>
      </w:r>
      <w:r>
        <w:rPr>
          <w:rFonts w:hint="eastAsia" w:ascii="Times New Roman" w:hAnsi="Times New Roman" w:cs="Times New Roman"/>
          <w:lang w:val="en-US" w:eastAsia="zh-CN"/>
        </w:rPr>
        <w:t>以及</w:t>
      </w:r>
      <w:r>
        <w:rPr>
          <w:rFonts w:hint="eastAsia" w:ascii="Times New Roman" w:hAnsi="Times New Roman" w:cs="Times New Roman"/>
        </w:rPr>
        <w:t>耐久性能等。</w:t>
      </w:r>
    </w:p>
    <w:p w14:paraId="0AD79BF2">
      <w:pPr>
        <w:pStyle w:val="26"/>
        <w:numPr>
          <w:ilvl w:val="0"/>
          <w:numId w:val="10"/>
        </w:numPr>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配合比设计</w:t>
      </w:r>
    </w:p>
    <w:p w14:paraId="275B648F">
      <w:pPr>
        <w:numPr>
          <w:ilvl w:val="-1"/>
          <w:numId w:val="0"/>
        </w:numPr>
        <w:spacing w:line="360" w:lineRule="auto"/>
        <w:ind w:firstLine="480" w:firstLineChars="200"/>
        <w:rPr>
          <w:rFonts w:hint="default" w:ascii="Times New Roman" w:hAnsi="Times New Roman" w:cs="Times New Roman"/>
          <w:lang w:val="en-US" w:eastAsia="zh-CN"/>
        </w:rPr>
      </w:pPr>
      <w:r>
        <w:rPr>
          <w:rFonts w:hint="default" w:ascii="Times New Roman" w:hAnsi="Times New Roman" w:cs="Times New Roman"/>
          <w:lang w:val="en-US" w:eastAsia="zh-CN"/>
        </w:rPr>
        <w:t>采用C20、C45和C55三个强度等级的混凝土配合比，每个配合比采用不同凝结时间的外加剂，分别为PC1、PC2、PC3和PC4。混凝土配合比见表2，试验结果见表3。</w:t>
      </w:r>
    </w:p>
    <w:p w14:paraId="765B01B3">
      <w:pPr>
        <w:keepNext/>
        <w:jc w:val="center"/>
        <w:rPr>
          <w:rFonts w:hint="default" w:ascii="Times New Roman" w:hAnsi="Times New Roman" w:cs="Times New Roman"/>
          <w:sz w:val="24"/>
          <w:szCs w:val="28"/>
          <w:vertAlign w:val="baseline"/>
          <w:lang w:val="en-US" w:eastAsia="zh-CN"/>
        </w:rPr>
      </w:pPr>
      <w:r>
        <w:rPr>
          <w:rFonts w:hint="default" w:ascii="Times New Roman" w:hAnsi="Times New Roman" w:cs="Times New Roman"/>
          <w:sz w:val="24"/>
          <w:szCs w:val="28"/>
          <w:lang w:val="en-US" w:eastAsia="zh-CN"/>
        </w:rPr>
        <w:t>表2 混凝土配合比/(kg/m</w:t>
      </w:r>
      <w:r>
        <w:rPr>
          <w:rFonts w:hint="default" w:ascii="Times New Roman" w:hAnsi="Times New Roman" w:cs="Times New Roman"/>
          <w:sz w:val="24"/>
          <w:szCs w:val="28"/>
          <w:vertAlign w:val="superscript"/>
          <w:lang w:val="en-US" w:eastAsia="zh-CN"/>
        </w:rPr>
        <w:t>3</w:t>
      </w:r>
      <w:r>
        <w:rPr>
          <w:rFonts w:hint="default" w:ascii="Times New Roman" w:hAnsi="Times New Roman" w:cs="Times New Roman"/>
          <w:sz w:val="24"/>
          <w:szCs w:val="28"/>
          <w:vertAlign w:val="baseline"/>
          <w:lang w:val="en-US" w:eastAsia="zh-CN"/>
        </w:rPr>
        <w:t>)</w:t>
      </w:r>
    </w:p>
    <w:tbl>
      <w:tblPr>
        <w:tblStyle w:val="20"/>
        <w:tblW w:w="8514"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064"/>
        <w:gridCol w:w="1064"/>
        <w:gridCol w:w="1064"/>
        <w:gridCol w:w="1064"/>
        <w:gridCol w:w="1064"/>
        <w:gridCol w:w="1064"/>
        <w:gridCol w:w="1065"/>
        <w:gridCol w:w="1065"/>
      </w:tblGrid>
      <w:tr w14:paraId="0B212AB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64" w:type="dxa"/>
            <w:shd w:val="clear" w:color="auto" w:fill="FFFFFF"/>
            <w:vAlign w:val="center"/>
          </w:tcPr>
          <w:p w14:paraId="0A12AB63">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cs="Times New Roman"/>
                <w:i w:val="0"/>
                <w:iCs w:val="0"/>
                <w:color w:val="000000"/>
                <w:kern w:val="0"/>
                <w:sz w:val="21"/>
                <w:szCs w:val="21"/>
                <w:highlight w:val="none"/>
                <w:u w:val="none"/>
                <w:lang w:val="en-US" w:eastAsia="zh-CN" w:bidi="ar"/>
              </w:rPr>
              <w:t>配合比</w:t>
            </w:r>
          </w:p>
        </w:tc>
        <w:tc>
          <w:tcPr>
            <w:tcW w:w="1064" w:type="dxa"/>
            <w:shd w:val="clear" w:color="auto" w:fill="FFFFFF"/>
            <w:vAlign w:val="center"/>
          </w:tcPr>
          <w:p w14:paraId="34EA50E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lang w:val="en-US" w:eastAsia="zh-CN" w:bidi="ar-SA"/>
              </w:rPr>
            </w:pPr>
            <w:r>
              <w:rPr>
                <w:rFonts w:hint="default" w:ascii="Times New Roman" w:hAnsi="Times New Roman" w:cs="Times New Roman"/>
                <w:i w:val="0"/>
                <w:iCs w:val="0"/>
                <w:color w:val="000000"/>
                <w:kern w:val="0"/>
                <w:sz w:val="21"/>
                <w:szCs w:val="21"/>
                <w:highlight w:val="none"/>
                <w:u w:val="none"/>
                <w:lang w:val="en-US" w:eastAsia="zh-CN" w:bidi="ar"/>
              </w:rPr>
              <w:t>水泥</w:t>
            </w:r>
          </w:p>
        </w:tc>
        <w:tc>
          <w:tcPr>
            <w:tcW w:w="1064" w:type="dxa"/>
            <w:shd w:val="clear" w:color="auto" w:fill="FFFFFF"/>
            <w:vAlign w:val="center"/>
          </w:tcPr>
          <w:p w14:paraId="0BBB09E1">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lang w:val="en-US" w:eastAsia="zh-CN" w:bidi="ar-SA"/>
              </w:rPr>
            </w:pPr>
            <w:r>
              <w:rPr>
                <w:rFonts w:hint="default" w:ascii="Times New Roman" w:hAnsi="Times New Roman" w:cs="Times New Roman"/>
                <w:i w:val="0"/>
                <w:iCs w:val="0"/>
                <w:color w:val="000000"/>
                <w:kern w:val="0"/>
                <w:sz w:val="21"/>
                <w:szCs w:val="21"/>
                <w:highlight w:val="none"/>
                <w:u w:val="none"/>
                <w:lang w:val="en-US" w:eastAsia="zh-CN" w:bidi="ar"/>
              </w:rPr>
              <w:t>粉煤灰</w:t>
            </w:r>
          </w:p>
        </w:tc>
        <w:tc>
          <w:tcPr>
            <w:tcW w:w="1064" w:type="dxa"/>
            <w:shd w:val="clear" w:color="auto" w:fill="FFFFFF"/>
            <w:vAlign w:val="center"/>
          </w:tcPr>
          <w:p w14:paraId="03635918">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eastAsia" w:ascii="Times New Roman" w:hAnsi="Times New Roman" w:cs="Times New Roman"/>
                <w:i w:val="0"/>
                <w:iCs w:val="0"/>
                <w:color w:val="000000"/>
                <w:kern w:val="0"/>
                <w:sz w:val="21"/>
                <w:szCs w:val="21"/>
                <w:highlight w:val="none"/>
                <w:u w:val="none"/>
                <w:lang w:val="en-US" w:eastAsia="zh-CN" w:bidi="ar"/>
              </w:rPr>
              <w:t>矿粉</w:t>
            </w:r>
          </w:p>
        </w:tc>
        <w:tc>
          <w:tcPr>
            <w:tcW w:w="1064" w:type="dxa"/>
            <w:shd w:val="clear" w:color="auto" w:fill="FFFFFF"/>
            <w:vAlign w:val="center"/>
          </w:tcPr>
          <w:p w14:paraId="3299A2F1">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lang w:val="en-US" w:eastAsia="zh-CN" w:bidi="ar-SA"/>
              </w:rPr>
            </w:pPr>
            <w:r>
              <w:rPr>
                <w:rFonts w:hint="default" w:ascii="Times New Roman" w:hAnsi="Times New Roman" w:eastAsia="宋体" w:cs="Times New Roman"/>
                <w:i w:val="0"/>
                <w:iCs w:val="0"/>
                <w:color w:val="000000"/>
                <w:kern w:val="0"/>
                <w:sz w:val="21"/>
                <w:szCs w:val="21"/>
                <w:highlight w:val="none"/>
                <w:u w:val="none"/>
                <w:lang w:val="en-US" w:eastAsia="zh-CN" w:bidi="ar"/>
              </w:rPr>
              <w:t>砂</w:t>
            </w:r>
          </w:p>
        </w:tc>
        <w:tc>
          <w:tcPr>
            <w:tcW w:w="1064" w:type="dxa"/>
            <w:shd w:val="clear" w:color="auto" w:fill="FFFFFF"/>
            <w:vAlign w:val="center"/>
          </w:tcPr>
          <w:p w14:paraId="3A256FC9">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lang w:val="en-US" w:eastAsia="zh-CN" w:bidi="ar-SA"/>
              </w:rPr>
            </w:pPr>
            <w:r>
              <w:rPr>
                <w:rFonts w:hint="default" w:ascii="Times New Roman" w:hAnsi="Times New Roman" w:eastAsia="宋体" w:cs="Times New Roman"/>
                <w:i w:val="0"/>
                <w:iCs w:val="0"/>
                <w:color w:val="000000"/>
                <w:kern w:val="0"/>
                <w:sz w:val="21"/>
                <w:szCs w:val="21"/>
                <w:highlight w:val="none"/>
                <w:u w:val="none"/>
                <w:lang w:val="en-US" w:eastAsia="zh-CN" w:bidi="ar"/>
              </w:rPr>
              <w:t>石</w:t>
            </w:r>
          </w:p>
        </w:tc>
        <w:tc>
          <w:tcPr>
            <w:tcW w:w="1065" w:type="dxa"/>
            <w:shd w:val="clear" w:color="auto" w:fill="FFFFFF"/>
            <w:vAlign w:val="center"/>
          </w:tcPr>
          <w:p w14:paraId="732631E8">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lang w:val="en-US" w:eastAsia="zh-CN" w:bidi="ar-SA"/>
              </w:rPr>
            </w:pPr>
            <w:r>
              <w:rPr>
                <w:rFonts w:hint="default" w:ascii="Times New Roman" w:hAnsi="Times New Roman" w:cs="Times New Roman"/>
                <w:i w:val="0"/>
                <w:iCs w:val="0"/>
                <w:color w:val="000000"/>
                <w:kern w:val="0"/>
                <w:sz w:val="21"/>
                <w:szCs w:val="21"/>
                <w:highlight w:val="none"/>
                <w:u w:val="none"/>
                <w:lang w:val="en-US" w:eastAsia="zh-CN" w:bidi="ar"/>
              </w:rPr>
              <w:t>水</w:t>
            </w:r>
          </w:p>
        </w:tc>
        <w:tc>
          <w:tcPr>
            <w:tcW w:w="1065" w:type="dxa"/>
            <w:shd w:val="clear" w:color="auto" w:fill="FFFFFF"/>
            <w:vAlign w:val="center"/>
          </w:tcPr>
          <w:p w14:paraId="117AF678">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lang w:val="en-US" w:eastAsia="zh-CN" w:bidi="ar-SA"/>
              </w:rPr>
            </w:pPr>
            <w:r>
              <w:rPr>
                <w:rFonts w:hint="default" w:ascii="Times New Roman" w:hAnsi="Times New Roman" w:cs="Times New Roman"/>
                <w:i w:val="0"/>
                <w:iCs w:val="0"/>
                <w:color w:val="000000"/>
                <w:kern w:val="0"/>
                <w:sz w:val="21"/>
                <w:szCs w:val="21"/>
                <w:highlight w:val="none"/>
                <w:u w:val="none"/>
                <w:lang w:val="en-US" w:eastAsia="zh-CN" w:bidi="ar"/>
              </w:rPr>
              <w:t>外加剂</w:t>
            </w:r>
          </w:p>
        </w:tc>
      </w:tr>
      <w:tr w14:paraId="7491390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64" w:type="dxa"/>
            <w:shd w:val="clear" w:color="auto" w:fill="FFFFFF"/>
            <w:vAlign w:val="center"/>
          </w:tcPr>
          <w:p w14:paraId="3A9256A0">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cs="Times New Roman"/>
                <w:i w:val="0"/>
                <w:iCs w:val="0"/>
                <w:color w:val="000000"/>
                <w:kern w:val="0"/>
                <w:sz w:val="21"/>
                <w:szCs w:val="21"/>
                <w:highlight w:val="none"/>
                <w:u w:val="none"/>
                <w:lang w:val="en-US" w:eastAsia="zh-CN" w:bidi="ar"/>
              </w:rPr>
              <w:t>C20(A)</w:t>
            </w:r>
          </w:p>
        </w:tc>
        <w:tc>
          <w:tcPr>
            <w:tcW w:w="1064" w:type="dxa"/>
            <w:shd w:val="clear" w:color="auto" w:fill="FFFFFF"/>
            <w:vAlign w:val="center"/>
          </w:tcPr>
          <w:p w14:paraId="1AD5964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lang w:val="en-US" w:eastAsia="zh-CN" w:bidi="ar-SA"/>
              </w:rPr>
            </w:pPr>
            <w:r>
              <w:rPr>
                <w:rFonts w:hint="default" w:ascii="Times New Roman" w:hAnsi="Times New Roman" w:cs="Times New Roman"/>
                <w:i w:val="0"/>
                <w:iCs w:val="0"/>
                <w:color w:val="000000"/>
                <w:kern w:val="0"/>
                <w:sz w:val="21"/>
                <w:szCs w:val="21"/>
                <w:highlight w:val="none"/>
                <w:u w:val="none"/>
                <w:lang w:val="en-US" w:eastAsia="zh-CN" w:bidi="ar"/>
              </w:rPr>
              <w:t>2</w:t>
            </w:r>
            <w:r>
              <w:rPr>
                <w:rFonts w:hint="eastAsia" w:ascii="Times New Roman" w:hAnsi="Times New Roman" w:cs="Times New Roman"/>
                <w:i w:val="0"/>
                <w:iCs w:val="0"/>
                <w:color w:val="000000"/>
                <w:kern w:val="0"/>
                <w:sz w:val="21"/>
                <w:szCs w:val="21"/>
                <w:highlight w:val="none"/>
                <w:u w:val="none"/>
                <w:lang w:val="en-US" w:eastAsia="zh-CN" w:bidi="ar"/>
              </w:rPr>
              <w:t>20</w:t>
            </w:r>
          </w:p>
        </w:tc>
        <w:tc>
          <w:tcPr>
            <w:tcW w:w="1064" w:type="dxa"/>
            <w:shd w:val="clear" w:color="auto" w:fill="FFFFFF"/>
            <w:vAlign w:val="center"/>
          </w:tcPr>
          <w:p w14:paraId="3FB7059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lang w:val="en-US" w:eastAsia="zh-CN" w:bidi="ar-SA"/>
              </w:rPr>
            </w:pPr>
            <w:r>
              <w:rPr>
                <w:rFonts w:hint="eastAsia" w:ascii="Times New Roman" w:hAnsi="Times New Roman" w:cs="Times New Roman"/>
                <w:i w:val="0"/>
                <w:iCs w:val="0"/>
                <w:color w:val="000000"/>
                <w:kern w:val="0"/>
                <w:sz w:val="21"/>
                <w:szCs w:val="21"/>
                <w:highlight w:val="none"/>
                <w:u w:val="none"/>
                <w:lang w:val="en-US" w:eastAsia="zh-CN" w:bidi="ar"/>
              </w:rPr>
              <w:t>60</w:t>
            </w:r>
          </w:p>
        </w:tc>
        <w:tc>
          <w:tcPr>
            <w:tcW w:w="1064" w:type="dxa"/>
            <w:shd w:val="clear" w:color="auto" w:fill="FFFFFF"/>
            <w:vAlign w:val="center"/>
          </w:tcPr>
          <w:p w14:paraId="3AC50C1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cs="Times New Roman"/>
                <w:i w:val="0"/>
                <w:iCs w:val="0"/>
                <w:color w:val="000000"/>
                <w:kern w:val="0"/>
                <w:sz w:val="21"/>
                <w:szCs w:val="21"/>
                <w:highlight w:val="none"/>
                <w:u w:val="none"/>
                <w:lang w:val="en-US" w:eastAsia="zh-CN" w:bidi="ar"/>
              </w:rPr>
            </w:pPr>
            <w:r>
              <w:rPr>
                <w:rFonts w:hint="eastAsia" w:ascii="Times New Roman" w:hAnsi="Times New Roman" w:cs="Times New Roman"/>
                <w:i w:val="0"/>
                <w:iCs w:val="0"/>
                <w:color w:val="000000"/>
                <w:kern w:val="0"/>
                <w:sz w:val="21"/>
                <w:szCs w:val="21"/>
                <w:highlight w:val="none"/>
                <w:u w:val="none"/>
                <w:lang w:val="en-US" w:eastAsia="zh-CN" w:bidi="ar"/>
              </w:rPr>
              <w:t>40</w:t>
            </w:r>
          </w:p>
        </w:tc>
        <w:tc>
          <w:tcPr>
            <w:tcW w:w="1064" w:type="dxa"/>
            <w:shd w:val="clear" w:color="auto" w:fill="FFFFFF"/>
            <w:vAlign w:val="center"/>
          </w:tcPr>
          <w:p w14:paraId="6C120E36">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lang w:val="en-US" w:eastAsia="zh-CN" w:bidi="ar-SA"/>
              </w:rPr>
            </w:pPr>
            <w:r>
              <w:rPr>
                <w:rFonts w:hint="default" w:ascii="Times New Roman" w:hAnsi="Times New Roman" w:cs="Times New Roman"/>
                <w:i w:val="0"/>
                <w:iCs w:val="0"/>
                <w:color w:val="000000"/>
                <w:kern w:val="0"/>
                <w:sz w:val="21"/>
                <w:szCs w:val="21"/>
                <w:highlight w:val="none"/>
                <w:u w:val="none"/>
                <w:lang w:val="en-US" w:eastAsia="zh-CN" w:bidi="ar"/>
              </w:rPr>
              <w:t>700</w:t>
            </w:r>
          </w:p>
        </w:tc>
        <w:tc>
          <w:tcPr>
            <w:tcW w:w="1064" w:type="dxa"/>
            <w:shd w:val="clear" w:color="auto" w:fill="FFFFFF"/>
            <w:vAlign w:val="center"/>
          </w:tcPr>
          <w:p w14:paraId="4B07FABA">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lang w:val="en-US" w:eastAsia="zh-CN" w:bidi="ar-SA"/>
              </w:rPr>
            </w:pPr>
            <w:r>
              <w:rPr>
                <w:rFonts w:hint="default" w:ascii="Times New Roman" w:hAnsi="Times New Roman" w:cs="Times New Roman"/>
                <w:i w:val="0"/>
                <w:iCs w:val="0"/>
                <w:color w:val="000000"/>
                <w:kern w:val="0"/>
                <w:sz w:val="21"/>
                <w:szCs w:val="21"/>
                <w:highlight w:val="none"/>
                <w:u w:val="none"/>
                <w:lang w:val="en-US" w:eastAsia="zh-CN" w:bidi="ar"/>
              </w:rPr>
              <w:t>1210</w:t>
            </w:r>
          </w:p>
        </w:tc>
        <w:tc>
          <w:tcPr>
            <w:tcW w:w="1065" w:type="dxa"/>
            <w:shd w:val="clear" w:color="auto" w:fill="FFFFFF"/>
            <w:vAlign w:val="center"/>
          </w:tcPr>
          <w:p w14:paraId="522813F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lang w:val="en-US" w:eastAsia="zh-CN" w:bidi="ar-SA"/>
              </w:rPr>
            </w:pPr>
            <w:r>
              <w:rPr>
                <w:rFonts w:hint="default" w:ascii="Times New Roman" w:hAnsi="Times New Roman" w:cs="Times New Roman"/>
                <w:i w:val="0"/>
                <w:iCs w:val="0"/>
                <w:color w:val="000000"/>
                <w:kern w:val="0"/>
                <w:sz w:val="21"/>
                <w:szCs w:val="21"/>
                <w:highlight w:val="none"/>
                <w:u w:val="none"/>
                <w:lang w:val="en-US" w:eastAsia="zh-CN" w:bidi="ar"/>
              </w:rPr>
              <w:t>1</w:t>
            </w:r>
            <w:r>
              <w:rPr>
                <w:rFonts w:hint="eastAsia" w:ascii="Times New Roman" w:hAnsi="Times New Roman" w:cs="Times New Roman"/>
                <w:i w:val="0"/>
                <w:iCs w:val="0"/>
                <w:color w:val="000000"/>
                <w:kern w:val="0"/>
                <w:sz w:val="21"/>
                <w:szCs w:val="21"/>
                <w:highlight w:val="none"/>
                <w:u w:val="none"/>
                <w:lang w:val="en-US" w:eastAsia="zh-CN" w:bidi="ar"/>
              </w:rPr>
              <w:t>70</w:t>
            </w:r>
          </w:p>
        </w:tc>
        <w:tc>
          <w:tcPr>
            <w:tcW w:w="1065" w:type="dxa"/>
            <w:shd w:val="clear" w:color="auto" w:fill="FFFFFF"/>
            <w:vAlign w:val="center"/>
          </w:tcPr>
          <w:p w14:paraId="059835BB">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lang w:val="en-US" w:eastAsia="zh-CN" w:bidi="ar-SA"/>
              </w:rPr>
            </w:pPr>
            <w:r>
              <w:rPr>
                <w:rFonts w:hint="eastAsia" w:ascii="Times New Roman" w:hAnsi="Times New Roman" w:cs="Times New Roman"/>
                <w:i w:val="0"/>
                <w:iCs w:val="0"/>
                <w:color w:val="000000"/>
                <w:kern w:val="0"/>
                <w:sz w:val="21"/>
                <w:szCs w:val="21"/>
                <w:highlight w:val="none"/>
                <w:u w:val="none"/>
                <w:lang w:val="en-US" w:eastAsia="zh-CN" w:bidi="ar"/>
              </w:rPr>
              <w:t>8.2</w:t>
            </w:r>
          </w:p>
        </w:tc>
      </w:tr>
      <w:tr w14:paraId="046744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64" w:type="dxa"/>
            <w:shd w:val="clear" w:color="auto" w:fill="FFFFFF"/>
            <w:vAlign w:val="center"/>
          </w:tcPr>
          <w:p w14:paraId="1A725528">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cs="Times New Roman"/>
                <w:i w:val="0"/>
                <w:iCs w:val="0"/>
                <w:color w:val="000000"/>
                <w:kern w:val="0"/>
                <w:sz w:val="21"/>
                <w:szCs w:val="21"/>
                <w:highlight w:val="none"/>
                <w:u w:val="none"/>
                <w:lang w:val="en-US" w:eastAsia="zh-CN" w:bidi="ar"/>
              </w:rPr>
              <w:t>C45(B)</w:t>
            </w:r>
          </w:p>
        </w:tc>
        <w:tc>
          <w:tcPr>
            <w:tcW w:w="1064" w:type="dxa"/>
            <w:shd w:val="clear" w:color="auto" w:fill="FFFFFF"/>
            <w:vAlign w:val="center"/>
          </w:tcPr>
          <w:p w14:paraId="2F0E1B19">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cs="Times New Roman"/>
                <w:i w:val="0"/>
                <w:iCs w:val="0"/>
                <w:color w:val="000000"/>
                <w:kern w:val="0"/>
                <w:sz w:val="21"/>
                <w:szCs w:val="21"/>
                <w:highlight w:val="none"/>
                <w:u w:val="none"/>
                <w:lang w:val="en-US" w:eastAsia="zh-CN" w:bidi="ar"/>
              </w:rPr>
              <w:t>3</w:t>
            </w:r>
            <w:r>
              <w:rPr>
                <w:rFonts w:hint="eastAsia" w:ascii="Times New Roman" w:hAnsi="Times New Roman" w:cs="Times New Roman"/>
                <w:i w:val="0"/>
                <w:iCs w:val="0"/>
                <w:color w:val="000000"/>
                <w:kern w:val="0"/>
                <w:sz w:val="21"/>
                <w:szCs w:val="21"/>
                <w:highlight w:val="none"/>
                <w:u w:val="none"/>
                <w:lang w:val="en-US" w:eastAsia="zh-CN" w:bidi="ar"/>
              </w:rPr>
              <w:t>00</w:t>
            </w:r>
          </w:p>
        </w:tc>
        <w:tc>
          <w:tcPr>
            <w:tcW w:w="1064" w:type="dxa"/>
            <w:shd w:val="clear" w:color="auto" w:fill="FFFFFF"/>
            <w:vAlign w:val="center"/>
          </w:tcPr>
          <w:p w14:paraId="0C924F3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eastAsia" w:ascii="Times New Roman" w:hAnsi="Times New Roman" w:cs="Times New Roman"/>
                <w:i w:val="0"/>
                <w:iCs w:val="0"/>
                <w:color w:val="000000"/>
                <w:kern w:val="0"/>
                <w:sz w:val="21"/>
                <w:szCs w:val="21"/>
                <w:highlight w:val="none"/>
                <w:u w:val="none"/>
                <w:lang w:val="en-US" w:eastAsia="zh-CN" w:bidi="ar"/>
              </w:rPr>
              <w:t>90</w:t>
            </w:r>
          </w:p>
        </w:tc>
        <w:tc>
          <w:tcPr>
            <w:tcW w:w="1064" w:type="dxa"/>
            <w:shd w:val="clear" w:color="auto" w:fill="FFFFFF"/>
            <w:vAlign w:val="center"/>
          </w:tcPr>
          <w:p w14:paraId="6F0FBF36">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cs="Times New Roman"/>
                <w:i w:val="0"/>
                <w:iCs w:val="0"/>
                <w:color w:val="000000"/>
                <w:kern w:val="0"/>
                <w:sz w:val="21"/>
                <w:szCs w:val="21"/>
                <w:highlight w:val="none"/>
                <w:u w:val="none"/>
                <w:lang w:val="en-US" w:eastAsia="zh-CN" w:bidi="ar"/>
              </w:rPr>
            </w:pPr>
            <w:r>
              <w:rPr>
                <w:rFonts w:hint="eastAsia" w:ascii="Times New Roman" w:hAnsi="Times New Roman" w:cs="Times New Roman"/>
                <w:i w:val="0"/>
                <w:iCs w:val="0"/>
                <w:color w:val="000000"/>
                <w:kern w:val="0"/>
                <w:sz w:val="21"/>
                <w:szCs w:val="21"/>
                <w:highlight w:val="none"/>
                <w:u w:val="none"/>
                <w:lang w:val="en-US" w:eastAsia="zh-CN" w:bidi="ar"/>
              </w:rPr>
              <w:t>60</w:t>
            </w:r>
          </w:p>
        </w:tc>
        <w:tc>
          <w:tcPr>
            <w:tcW w:w="1064" w:type="dxa"/>
            <w:shd w:val="clear" w:color="auto" w:fill="FFFFFF"/>
            <w:vAlign w:val="center"/>
          </w:tcPr>
          <w:p w14:paraId="16AE3FAD">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eastAsia" w:ascii="Times New Roman" w:hAnsi="Times New Roman" w:cs="Times New Roman"/>
                <w:i w:val="0"/>
                <w:iCs w:val="0"/>
                <w:color w:val="000000"/>
                <w:kern w:val="0"/>
                <w:sz w:val="21"/>
                <w:szCs w:val="21"/>
                <w:highlight w:val="none"/>
                <w:u w:val="none"/>
                <w:lang w:val="en-US" w:eastAsia="zh-CN" w:bidi="ar"/>
              </w:rPr>
              <w:t>620</w:t>
            </w:r>
          </w:p>
        </w:tc>
        <w:tc>
          <w:tcPr>
            <w:tcW w:w="1064" w:type="dxa"/>
            <w:shd w:val="clear" w:color="auto" w:fill="FFFFFF"/>
            <w:vAlign w:val="center"/>
          </w:tcPr>
          <w:p w14:paraId="2BECDFA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cs="Times New Roman"/>
                <w:i w:val="0"/>
                <w:iCs w:val="0"/>
                <w:color w:val="000000"/>
                <w:kern w:val="0"/>
                <w:sz w:val="21"/>
                <w:szCs w:val="21"/>
                <w:highlight w:val="none"/>
                <w:u w:val="none"/>
                <w:lang w:val="en-US" w:eastAsia="zh-CN" w:bidi="ar"/>
              </w:rPr>
              <w:t>1</w:t>
            </w:r>
            <w:r>
              <w:rPr>
                <w:rFonts w:hint="eastAsia" w:ascii="Times New Roman" w:hAnsi="Times New Roman" w:cs="Times New Roman"/>
                <w:i w:val="0"/>
                <w:iCs w:val="0"/>
                <w:color w:val="000000"/>
                <w:kern w:val="0"/>
                <w:sz w:val="21"/>
                <w:szCs w:val="21"/>
                <w:highlight w:val="none"/>
                <w:u w:val="none"/>
                <w:lang w:val="en-US" w:eastAsia="zh-CN" w:bidi="ar"/>
              </w:rPr>
              <w:t>180</w:t>
            </w:r>
          </w:p>
        </w:tc>
        <w:tc>
          <w:tcPr>
            <w:tcW w:w="1065" w:type="dxa"/>
            <w:shd w:val="clear" w:color="auto" w:fill="FFFFFF"/>
            <w:vAlign w:val="center"/>
          </w:tcPr>
          <w:p w14:paraId="4890C2E4">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eastAsia" w:ascii="Times New Roman" w:hAnsi="Times New Roman" w:cs="Times New Roman"/>
                <w:i w:val="0"/>
                <w:iCs w:val="0"/>
                <w:color w:val="000000"/>
                <w:kern w:val="0"/>
                <w:sz w:val="21"/>
                <w:szCs w:val="21"/>
                <w:highlight w:val="none"/>
                <w:u w:val="none"/>
                <w:lang w:val="en-US" w:eastAsia="zh-CN" w:bidi="ar"/>
              </w:rPr>
              <w:t>155</w:t>
            </w:r>
          </w:p>
        </w:tc>
        <w:tc>
          <w:tcPr>
            <w:tcW w:w="1065" w:type="dxa"/>
            <w:shd w:val="clear" w:color="auto" w:fill="FFFFFF"/>
            <w:vAlign w:val="center"/>
          </w:tcPr>
          <w:p w14:paraId="7752D790">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eastAsia" w:ascii="Times New Roman" w:hAnsi="Times New Roman" w:cs="Times New Roman"/>
                <w:i w:val="0"/>
                <w:iCs w:val="0"/>
                <w:color w:val="000000"/>
                <w:kern w:val="0"/>
                <w:sz w:val="21"/>
                <w:szCs w:val="21"/>
                <w:highlight w:val="none"/>
                <w:u w:val="none"/>
                <w:lang w:val="en-US" w:eastAsia="zh-CN" w:bidi="ar"/>
              </w:rPr>
              <w:t>10.5</w:t>
            </w:r>
          </w:p>
        </w:tc>
      </w:tr>
      <w:tr w14:paraId="525F5D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64" w:type="dxa"/>
            <w:shd w:val="clear" w:color="auto" w:fill="FFFFFF"/>
            <w:vAlign w:val="center"/>
          </w:tcPr>
          <w:p w14:paraId="0F6E3FC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cs="Times New Roman"/>
                <w:i w:val="0"/>
                <w:iCs w:val="0"/>
                <w:color w:val="000000"/>
                <w:kern w:val="0"/>
                <w:sz w:val="21"/>
                <w:szCs w:val="21"/>
                <w:highlight w:val="none"/>
                <w:u w:val="none"/>
                <w:lang w:val="en-US" w:eastAsia="zh-CN" w:bidi="ar"/>
              </w:rPr>
              <w:t>C55(C)</w:t>
            </w:r>
          </w:p>
        </w:tc>
        <w:tc>
          <w:tcPr>
            <w:tcW w:w="1064" w:type="dxa"/>
            <w:shd w:val="clear" w:color="auto" w:fill="FFFFFF"/>
            <w:vAlign w:val="center"/>
          </w:tcPr>
          <w:p w14:paraId="0DACD049">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cs="Times New Roman"/>
                <w:i w:val="0"/>
                <w:iCs w:val="0"/>
                <w:color w:val="000000"/>
                <w:kern w:val="0"/>
                <w:sz w:val="21"/>
                <w:szCs w:val="21"/>
                <w:highlight w:val="none"/>
                <w:u w:val="none"/>
                <w:lang w:val="en-US" w:eastAsia="zh-CN" w:bidi="ar"/>
              </w:rPr>
              <w:t>3</w:t>
            </w:r>
            <w:r>
              <w:rPr>
                <w:rFonts w:hint="eastAsia" w:ascii="Times New Roman" w:hAnsi="Times New Roman" w:cs="Times New Roman"/>
                <w:i w:val="0"/>
                <w:iCs w:val="0"/>
                <w:color w:val="000000"/>
                <w:kern w:val="0"/>
                <w:sz w:val="21"/>
                <w:szCs w:val="21"/>
                <w:highlight w:val="none"/>
                <w:u w:val="none"/>
                <w:lang w:val="en-US" w:eastAsia="zh-CN" w:bidi="ar"/>
              </w:rPr>
              <w:t>30</w:t>
            </w:r>
          </w:p>
        </w:tc>
        <w:tc>
          <w:tcPr>
            <w:tcW w:w="1064" w:type="dxa"/>
            <w:shd w:val="clear" w:color="auto" w:fill="FFFFFF"/>
            <w:vAlign w:val="center"/>
          </w:tcPr>
          <w:p w14:paraId="608333CC">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eastAsia" w:ascii="Times New Roman" w:hAnsi="Times New Roman" w:cs="Times New Roman"/>
                <w:i w:val="0"/>
                <w:iCs w:val="0"/>
                <w:color w:val="000000"/>
                <w:kern w:val="0"/>
                <w:sz w:val="21"/>
                <w:szCs w:val="21"/>
                <w:highlight w:val="none"/>
                <w:u w:val="none"/>
                <w:lang w:val="en-US" w:eastAsia="zh-CN" w:bidi="ar"/>
              </w:rPr>
              <w:t>100</w:t>
            </w:r>
          </w:p>
        </w:tc>
        <w:tc>
          <w:tcPr>
            <w:tcW w:w="1064" w:type="dxa"/>
            <w:shd w:val="clear" w:color="auto" w:fill="FFFFFF"/>
            <w:vAlign w:val="center"/>
          </w:tcPr>
          <w:p w14:paraId="79EB0148">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cs="Times New Roman"/>
                <w:i w:val="0"/>
                <w:iCs w:val="0"/>
                <w:color w:val="000000"/>
                <w:kern w:val="0"/>
                <w:sz w:val="21"/>
                <w:szCs w:val="21"/>
                <w:highlight w:val="none"/>
                <w:u w:val="none"/>
                <w:lang w:val="en-US" w:eastAsia="zh-CN" w:bidi="ar"/>
              </w:rPr>
            </w:pPr>
            <w:r>
              <w:rPr>
                <w:rFonts w:hint="eastAsia" w:ascii="Times New Roman" w:hAnsi="Times New Roman" w:cs="Times New Roman"/>
                <w:i w:val="0"/>
                <w:iCs w:val="0"/>
                <w:color w:val="000000"/>
                <w:kern w:val="0"/>
                <w:sz w:val="21"/>
                <w:szCs w:val="21"/>
                <w:highlight w:val="none"/>
                <w:u w:val="none"/>
                <w:lang w:val="en-US" w:eastAsia="zh-CN" w:bidi="ar"/>
              </w:rPr>
              <w:t>70</w:t>
            </w:r>
          </w:p>
        </w:tc>
        <w:tc>
          <w:tcPr>
            <w:tcW w:w="1064" w:type="dxa"/>
            <w:shd w:val="clear" w:color="auto" w:fill="FFFFFF"/>
            <w:vAlign w:val="center"/>
          </w:tcPr>
          <w:p w14:paraId="54CE2746">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cs="Times New Roman"/>
                <w:i w:val="0"/>
                <w:iCs w:val="0"/>
                <w:color w:val="000000"/>
                <w:kern w:val="0"/>
                <w:sz w:val="21"/>
                <w:szCs w:val="21"/>
                <w:highlight w:val="none"/>
                <w:u w:val="none"/>
                <w:lang w:val="en-US" w:eastAsia="zh-CN" w:bidi="ar"/>
              </w:rPr>
              <w:t>610</w:t>
            </w:r>
          </w:p>
        </w:tc>
        <w:tc>
          <w:tcPr>
            <w:tcW w:w="1064" w:type="dxa"/>
            <w:shd w:val="clear" w:color="auto" w:fill="FFFFFF"/>
            <w:vAlign w:val="center"/>
          </w:tcPr>
          <w:p w14:paraId="23E043EC">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cs="Times New Roman"/>
                <w:i w:val="0"/>
                <w:iCs w:val="0"/>
                <w:color w:val="000000"/>
                <w:kern w:val="0"/>
                <w:sz w:val="21"/>
                <w:szCs w:val="21"/>
                <w:highlight w:val="none"/>
                <w:u w:val="none"/>
                <w:lang w:val="en-US" w:eastAsia="zh-CN" w:bidi="ar"/>
              </w:rPr>
              <w:t>1150</w:t>
            </w:r>
          </w:p>
        </w:tc>
        <w:tc>
          <w:tcPr>
            <w:tcW w:w="1065" w:type="dxa"/>
            <w:shd w:val="clear" w:color="auto" w:fill="FFFFFF"/>
            <w:vAlign w:val="center"/>
          </w:tcPr>
          <w:p w14:paraId="6F7BA1A3">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eastAsia" w:ascii="Times New Roman" w:hAnsi="Times New Roman" w:cs="Times New Roman"/>
                <w:i w:val="0"/>
                <w:iCs w:val="0"/>
                <w:color w:val="000000"/>
                <w:kern w:val="0"/>
                <w:sz w:val="21"/>
                <w:szCs w:val="21"/>
                <w:highlight w:val="none"/>
                <w:u w:val="none"/>
                <w:lang w:val="en-US" w:eastAsia="zh-CN" w:bidi="ar"/>
              </w:rPr>
              <w:t>140</w:t>
            </w:r>
          </w:p>
        </w:tc>
        <w:tc>
          <w:tcPr>
            <w:tcW w:w="1065" w:type="dxa"/>
            <w:shd w:val="clear" w:color="auto" w:fill="FFFFFF"/>
            <w:vAlign w:val="center"/>
          </w:tcPr>
          <w:p w14:paraId="687155A0">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eastAsia" w:ascii="Times New Roman" w:hAnsi="Times New Roman" w:cs="Times New Roman"/>
                <w:i w:val="0"/>
                <w:iCs w:val="0"/>
                <w:color w:val="000000"/>
                <w:kern w:val="0"/>
                <w:sz w:val="21"/>
                <w:szCs w:val="21"/>
                <w:highlight w:val="none"/>
                <w:u w:val="none"/>
                <w:lang w:val="en-US" w:eastAsia="zh-CN" w:bidi="ar"/>
              </w:rPr>
              <w:t>12.1</w:t>
            </w:r>
          </w:p>
        </w:tc>
      </w:tr>
    </w:tbl>
    <w:p w14:paraId="34ADB7E3">
      <w:pPr>
        <w:keepNext/>
        <w:jc w:val="center"/>
        <w:rPr>
          <w:rFonts w:hint="default" w:ascii="Times New Roman" w:hAnsi="Times New Roman" w:cs="Times New Roman"/>
          <w:sz w:val="24"/>
          <w:szCs w:val="28"/>
          <w:highlight w:val="none"/>
          <w:vertAlign w:val="baseline"/>
          <w:lang w:val="en-US" w:eastAsia="zh-CN"/>
        </w:rPr>
      </w:pPr>
    </w:p>
    <w:p w14:paraId="694DCAF2">
      <w:pPr>
        <w:numPr>
          <w:ilvl w:val="-1"/>
          <w:numId w:val="0"/>
        </w:numPr>
        <w:spacing w:line="360" w:lineRule="auto"/>
        <w:ind w:firstLine="0" w:firstLineChars="0"/>
        <w:jc w:val="center"/>
        <w:rPr>
          <w:rFonts w:hint="default" w:ascii="Times New Roman" w:hAnsi="Times New Roman" w:cs="Times New Roman"/>
          <w:lang w:val="en-US" w:eastAsia="zh-CN"/>
        </w:rPr>
      </w:pPr>
    </w:p>
    <w:p w14:paraId="7F4225DB">
      <w:pPr>
        <w:numPr>
          <w:ilvl w:val="-1"/>
          <w:numId w:val="0"/>
        </w:numPr>
        <w:spacing w:line="360" w:lineRule="auto"/>
        <w:ind w:firstLine="0" w:firstLineChars="0"/>
        <w:jc w:val="center"/>
        <w:rPr>
          <w:rFonts w:hint="default" w:ascii="Times New Roman" w:hAnsi="Times New Roman" w:cs="Times New Roman"/>
          <w:lang w:val="en-US" w:eastAsia="zh-CN"/>
        </w:rPr>
      </w:pPr>
      <w:r>
        <w:rPr>
          <w:rFonts w:hint="default" w:ascii="Times New Roman" w:hAnsi="Times New Roman" w:cs="Times New Roman"/>
          <w:lang w:val="en-US" w:eastAsia="zh-CN"/>
        </w:rPr>
        <w:t>表3 试验结果</w:t>
      </w:r>
    </w:p>
    <w:tbl>
      <w:tblPr>
        <w:tblStyle w:val="20"/>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346"/>
        <w:gridCol w:w="2390"/>
        <w:gridCol w:w="2390"/>
        <w:gridCol w:w="2390"/>
      </w:tblGrid>
      <w:tr w14:paraId="416E0F0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346" w:type="dxa"/>
          </w:tcPr>
          <w:p w14:paraId="0EA0E2A4">
            <w:pPr>
              <w:numPr>
                <w:ilvl w:val="-1"/>
                <w:numId w:val="0"/>
              </w:numPr>
              <w:spacing w:line="240" w:lineRule="auto"/>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编号</w:t>
            </w:r>
          </w:p>
        </w:tc>
        <w:tc>
          <w:tcPr>
            <w:tcW w:w="2390" w:type="dxa"/>
          </w:tcPr>
          <w:p w14:paraId="67CB74DE">
            <w:pPr>
              <w:numPr>
                <w:ilvl w:val="-1"/>
                <w:numId w:val="0"/>
              </w:numPr>
              <w:spacing w:line="240" w:lineRule="auto"/>
              <w:jc w:val="center"/>
              <w:rPr>
                <w:rFonts w:hint="default" w:ascii="Times New Roman" w:hAnsi="Times New Roman" w:cs="Times New Roman"/>
                <w:sz w:val="21"/>
                <w:szCs w:val="21"/>
                <w:vertAlign w:val="baseline"/>
                <w:lang w:eastAsia="zh-CN"/>
              </w:rPr>
            </w:pPr>
            <w:r>
              <w:rPr>
                <w:rFonts w:hint="default" w:ascii="Times New Roman" w:hAnsi="Times New Roman" w:cs="Times New Roman"/>
                <w:i w:val="0"/>
                <w:iCs w:val="0"/>
                <w:color w:val="000000"/>
                <w:kern w:val="0"/>
                <w:sz w:val="21"/>
                <w:szCs w:val="21"/>
                <w:u w:val="none"/>
                <w:lang w:val="en-US" w:eastAsia="zh-CN" w:bidi="ar"/>
              </w:rPr>
              <w:t>初凝时间/h</w:t>
            </w:r>
          </w:p>
        </w:tc>
        <w:tc>
          <w:tcPr>
            <w:tcW w:w="2390" w:type="dxa"/>
          </w:tcPr>
          <w:p w14:paraId="550ACD2A">
            <w:pPr>
              <w:numPr>
                <w:ilvl w:val="-1"/>
                <w:numId w:val="0"/>
              </w:numPr>
              <w:spacing w:line="240" w:lineRule="auto"/>
              <w:jc w:val="center"/>
              <w:rPr>
                <w:rFonts w:hint="default" w:ascii="Times New Roman" w:hAnsi="Times New Roman" w:cs="Times New Roman"/>
                <w:sz w:val="21"/>
                <w:szCs w:val="21"/>
                <w:vertAlign w:val="baseline"/>
                <w:lang w:eastAsia="zh-CN"/>
              </w:rPr>
            </w:pPr>
            <w:r>
              <w:rPr>
                <w:rFonts w:hint="default" w:ascii="Times New Roman" w:hAnsi="Times New Roman" w:cs="Times New Roman"/>
                <w:i w:val="0"/>
                <w:iCs w:val="0"/>
                <w:color w:val="000000"/>
                <w:kern w:val="0"/>
                <w:sz w:val="21"/>
                <w:szCs w:val="21"/>
                <w:u w:val="none"/>
                <w:lang w:val="en-US" w:eastAsia="zh-CN" w:bidi="ar"/>
              </w:rPr>
              <w:t>28d抗压强度/MPa</w:t>
            </w:r>
          </w:p>
        </w:tc>
        <w:tc>
          <w:tcPr>
            <w:tcW w:w="2390" w:type="dxa"/>
          </w:tcPr>
          <w:p w14:paraId="5D336655">
            <w:pPr>
              <w:numPr>
                <w:ilvl w:val="-1"/>
                <w:numId w:val="0"/>
              </w:numPr>
              <w:spacing w:line="240" w:lineRule="auto"/>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i w:val="0"/>
                <w:iCs w:val="0"/>
                <w:color w:val="000000"/>
                <w:kern w:val="0"/>
                <w:sz w:val="21"/>
                <w:szCs w:val="21"/>
                <w:u w:val="none"/>
                <w:lang w:val="en-US" w:eastAsia="zh-CN" w:bidi="ar"/>
              </w:rPr>
              <w:t>28d</w:t>
            </w:r>
            <w:r>
              <w:rPr>
                <w:rFonts w:hint="default" w:ascii="Times New Roman" w:hAnsi="Times New Roman" w:cs="Times New Roman"/>
                <w:sz w:val="21"/>
                <w:szCs w:val="21"/>
                <w:vertAlign w:val="baseline"/>
                <w:lang w:val="en-US" w:eastAsia="zh-CN"/>
              </w:rPr>
              <w:t>抗压强度差</w:t>
            </w:r>
            <w:r>
              <w:rPr>
                <w:rFonts w:hint="default" w:ascii="Times New Roman" w:hAnsi="Times New Roman" w:cs="Times New Roman"/>
                <w:i w:val="0"/>
                <w:iCs w:val="0"/>
                <w:color w:val="000000"/>
                <w:kern w:val="0"/>
                <w:sz w:val="21"/>
                <w:szCs w:val="21"/>
                <w:u w:val="none"/>
                <w:lang w:val="en-US" w:eastAsia="zh-CN" w:bidi="ar"/>
              </w:rPr>
              <w:t>/MPa</w:t>
            </w:r>
          </w:p>
        </w:tc>
      </w:tr>
      <w:tr w14:paraId="770A15E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346" w:type="dxa"/>
            <w:shd w:val="clear" w:color="auto" w:fill="FFFFFF"/>
            <w:vAlign w:val="center"/>
          </w:tcPr>
          <w:p w14:paraId="0089C151">
            <w:pPr>
              <w:pStyle w:val="9"/>
              <w:widowControl w:val="0"/>
              <w:adjustRightInd w:val="0"/>
              <w:snapToGrid w:val="0"/>
              <w:spacing w:line="240" w:lineRule="atLeast"/>
              <w:ind w:firstLine="0" w:firstLineChars="0"/>
              <w:jc w:val="center"/>
              <w:rPr>
                <w:rFonts w:hint="default" w:ascii="Times New Roman" w:hAnsi="Times New Roman" w:eastAsia="宋体" w:cs="Times New Roman"/>
                <w:color w:val="000000"/>
                <w:kern w:val="2"/>
                <w:sz w:val="21"/>
                <w:szCs w:val="21"/>
                <w:u w:val="none"/>
                <w:vertAlign w:val="baseline"/>
                <w:lang w:eastAsia="zh-CN"/>
              </w:rPr>
            </w:pPr>
            <w:r>
              <w:rPr>
                <w:rFonts w:hint="default" w:ascii="Times New Roman" w:hAnsi="Times New Roman" w:eastAsia="宋体" w:cs="Times New Roman"/>
                <w:i w:val="0"/>
                <w:iCs w:val="0"/>
                <w:color w:val="000000"/>
                <w:kern w:val="2"/>
                <w:sz w:val="21"/>
                <w:szCs w:val="21"/>
                <w:u w:val="none"/>
                <w:lang w:val="en-US" w:eastAsia="zh-CN" w:bidi="ar-SA"/>
              </w:rPr>
              <w:t>A-PC1</w:t>
            </w:r>
          </w:p>
        </w:tc>
        <w:tc>
          <w:tcPr>
            <w:tcW w:w="2390" w:type="dxa"/>
            <w:shd w:val="clear" w:color="auto" w:fill="FFFFFF"/>
            <w:vAlign w:val="center"/>
          </w:tcPr>
          <w:p w14:paraId="6FB3984C">
            <w:pPr>
              <w:numPr>
                <w:ilvl w:val="-1"/>
                <w:numId w:val="0"/>
              </w:numPr>
              <w:spacing w:line="240" w:lineRule="auto"/>
              <w:jc w:val="center"/>
              <w:textAlignment w:val="center"/>
              <w:rPr>
                <w:rFonts w:hint="default" w:ascii="Times New Roman" w:hAnsi="Times New Roman" w:cs="Times New Roman"/>
                <w:color w:val="000000"/>
                <w:sz w:val="21"/>
                <w:szCs w:val="21"/>
                <w:u w:val="none"/>
                <w:vertAlign w:val="baseline"/>
                <w:lang w:eastAsia="zh-CN" w:bidi="ar"/>
              </w:rPr>
            </w:pPr>
            <w:r>
              <w:rPr>
                <w:rFonts w:hint="default" w:ascii="Times New Roman" w:hAnsi="Times New Roman" w:cs="Times New Roman"/>
                <w:i w:val="0"/>
                <w:iCs w:val="0"/>
                <w:color w:val="000000"/>
                <w:kern w:val="0"/>
                <w:sz w:val="21"/>
                <w:szCs w:val="21"/>
                <w:u w:val="none"/>
                <w:lang w:val="en-US" w:eastAsia="zh-CN" w:bidi="ar"/>
              </w:rPr>
              <w:t>6</w:t>
            </w:r>
          </w:p>
        </w:tc>
        <w:tc>
          <w:tcPr>
            <w:tcW w:w="2390" w:type="dxa"/>
          </w:tcPr>
          <w:p w14:paraId="796524CA">
            <w:pPr>
              <w:numPr>
                <w:ilvl w:val="-1"/>
                <w:numId w:val="0"/>
              </w:numPr>
              <w:spacing w:line="240" w:lineRule="auto"/>
              <w:jc w:val="center"/>
              <w:rPr>
                <w:rFonts w:hint="default" w:ascii="Times New Roman" w:hAnsi="Times New Roman" w:cs="Times New Roman"/>
                <w:sz w:val="21"/>
                <w:szCs w:val="21"/>
                <w:vertAlign w:val="baseline"/>
                <w:lang w:eastAsia="zh-CN"/>
              </w:rPr>
            </w:pPr>
            <w:r>
              <w:rPr>
                <w:rFonts w:hint="default" w:ascii="Times New Roman" w:hAnsi="Times New Roman" w:cs="Times New Roman"/>
                <w:sz w:val="21"/>
                <w:szCs w:val="21"/>
                <w:vertAlign w:val="baseline"/>
                <w:lang w:val="en-US" w:eastAsia="zh-CN"/>
              </w:rPr>
              <w:t>32.5</w:t>
            </w:r>
          </w:p>
        </w:tc>
        <w:tc>
          <w:tcPr>
            <w:tcW w:w="2390" w:type="dxa"/>
          </w:tcPr>
          <w:p w14:paraId="301B5BC8">
            <w:pPr>
              <w:numPr>
                <w:ilvl w:val="-1"/>
                <w:numId w:val="0"/>
              </w:numPr>
              <w:spacing w:line="240" w:lineRule="auto"/>
              <w:jc w:val="center"/>
              <w:rPr>
                <w:rFonts w:hint="default" w:ascii="Times New Roman" w:hAnsi="Times New Roman" w:cs="Times New Roman"/>
                <w:sz w:val="21"/>
                <w:szCs w:val="21"/>
                <w:vertAlign w:val="baseline"/>
                <w:lang w:eastAsia="zh-CN"/>
              </w:rPr>
            </w:pPr>
            <w:r>
              <w:rPr>
                <w:rFonts w:hint="default" w:ascii="Times New Roman" w:hAnsi="Times New Roman" w:cs="Times New Roman"/>
                <w:sz w:val="21"/>
                <w:szCs w:val="21"/>
                <w:vertAlign w:val="baseline"/>
                <w:lang w:val="en-US" w:eastAsia="zh-CN"/>
              </w:rPr>
              <w:t>0</w:t>
            </w:r>
          </w:p>
        </w:tc>
      </w:tr>
      <w:tr w14:paraId="0F75520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346" w:type="dxa"/>
            <w:shd w:val="clear" w:color="auto" w:fill="FFFFFF"/>
            <w:vAlign w:val="center"/>
          </w:tcPr>
          <w:p w14:paraId="7DEB6F6B">
            <w:pPr>
              <w:pStyle w:val="9"/>
              <w:keepNext w:val="0"/>
              <w:keepLines w:val="0"/>
              <w:pageBreakBefore w:val="0"/>
              <w:widowControl w:val="0"/>
              <w:kinsoku/>
              <w:wordWrap/>
              <w:overflowPunct/>
              <w:topLinePunct w:val="0"/>
              <w:autoSpaceDE/>
              <w:autoSpaceDN/>
              <w:bidi w:val="0"/>
              <w:adjustRightInd w:val="0"/>
              <w:snapToGrid w:val="0"/>
              <w:spacing w:line="240" w:lineRule="atLeast"/>
              <w:ind w:left="0" w:leftChars="0" w:right="0" w:rightChars="0" w:firstLine="0" w:firstLineChars="0"/>
              <w:jc w:val="center"/>
              <w:textAlignment w:val="auto"/>
              <w:rPr>
                <w:rFonts w:hint="default" w:ascii="Times New Roman" w:hAnsi="Times New Roman" w:eastAsia="宋体" w:cs="Times New Roman"/>
                <w:i w:val="0"/>
                <w:iCs w:val="0"/>
                <w:color w:val="000000"/>
                <w:kern w:val="2"/>
                <w:sz w:val="21"/>
                <w:szCs w:val="21"/>
                <w:u w:val="none"/>
                <w:lang w:val="en-US" w:eastAsia="zh-CN" w:bidi="ar-SA"/>
              </w:rPr>
            </w:pPr>
            <w:r>
              <w:rPr>
                <w:rFonts w:hint="default" w:ascii="Times New Roman" w:hAnsi="Times New Roman" w:eastAsia="宋体" w:cs="Times New Roman"/>
                <w:i w:val="0"/>
                <w:iCs w:val="0"/>
                <w:color w:val="000000"/>
                <w:kern w:val="2"/>
                <w:sz w:val="21"/>
                <w:szCs w:val="21"/>
                <w:u w:val="none"/>
                <w:lang w:val="en-US" w:eastAsia="zh-CN" w:bidi="ar-SA"/>
              </w:rPr>
              <w:t>A-PC2</w:t>
            </w:r>
          </w:p>
        </w:tc>
        <w:tc>
          <w:tcPr>
            <w:tcW w:w="2390" w:type="dxa"/>
            <w:shd w:val="clear" w:color="auto" w:fill="FFFFFF"/>
            <w:vAlign w:val="center"/>
          </w:tcPr>
          <w:p w14:paraId="6E3A086E">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u w:val="none"/>
                <w:lang w:val="en-US" w:eastAsia="zh-CN" w:bidi="ar"/>
              </w:rPr>
            </w:pPr>
            <w:r>
              <w:rPr>
                <w:rFonts w:hint="default" w:ascii="Times New Roman" w:hAnsi="Times New Roman" w:cs="Times New Roman"/>
                <w:i w:val="0"/>
                <w:iCs w:val="0"/>
                <w:color w:val="000000"/>
                <w:kern w:val="0"/>
                <w:sz w:val="21"/>
                <w:szCs w:val="21"/>
                <w:u w:val="none"/>
                <w:lang w:val="en-US" w:eastAsia="zh-CN" w:bidi="ar"/>
              </w:rPr>
              <w:t>38（NJ36）</w:t>
            </w:r>
          </w:p>
        </w:tc>
        <w:tc>
          <w:tcPr>
            <w:tcW w:w="2390" w:type="dxa"/>
          </w:tcPr>
          <w:p w14:paraId="3578C193">
            <w:pPr>
              <w:numPr>
                <w:ilvl w:val="-1"/>
                <w:numId w:val="0"/>
              </w:numPr>
              <w:spacing w:line="240" w:lineRule="auto"/>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32.1</w:t>
            </w:r>
          </w:p>
        </w:tc>
        <w:tc>
          <w:tcPr>
            <w:tcW w:w="2390" w:type="dxa"/>
          </w:tcPr>
          <w:p w14:paraId="0F229DF6">
            <w:pPr>
              <w:numPr>
                <w:ilvl w:val="-1"/>
                <w:numId w:val="0"/>
              </w:numPr>
              <w:spacing w:line="240" w:lineRule="auto"/>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0.4</w:t>
            </w:r>
          </w:p>
        </w:tc>
      </w:tr>
      <w:tr w14:paraId="537F68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346" w:type="dxa"/>
            <w:shd w:val="clear" w:color="auto" w:fill="FFFFFF"/>
            <w:vAlign w:val="center"/>
          </w:tcPr>
          <w:p w14:paraId="0A707BB2">
            <w:pPr>
              <w:pStyle w:val="9"/>
              <w:keepNext w:val="0"/>
              <w:keepLines w:val="0"/>
              <w:pageBreakBefore w:val="0"/>
              <w:widowControl w:val="0"/>
              <w:kinsoku/>
              <w:wordWrap/>
              <w:overflowPunct/>
              <w:topLinePunct w:val="0"/>
              <w:autoSpaceDE/>
              <w:autoSpaceDN/>
              <w:bidi w:val="0"/>
              <w:adjustRightInd w:val="0"/>
              <w:snapToGrid w:val="0"/>
              <w:spacing w:line="240" w:lineRule="atLeast"/>
              <w:ind w:left="0" w:leftChars="0" w:right="0" w:rightChars="0" w:firstLine="0" w:firstLineChars="0"/>
              <w:jc w:val="center"/>
              <w:textAlignment w:val="auto"/>
              <w:rPr>
                <w:rFonts w:hint="default" w:ascii="Times New Roman" w:hAnsi="Times New Roman" w:eastAsia="宋体" w:cs="Times New Roman"/>
                <w:i w:val="0"/>
                <w:iCs w:val="0"/>
                <w:color w:val="000000"/>
                <w:kern w:val="0"/>
                <w:sz w:val="21"/>
                <w:szCs w:val="21"/>
                <w:u w:val="none"/>
                <w:lang w:val="en-US" w:eastAsia="zh-CN" w:bidi="ar"/>
              </w:rPr>
            </w:pPr>
            <w:r>
              <w:rPr>
                <w:rFonts w:hint="default" w:ascii="Times New Roman" w:hAnsi="Times New Roman" w:eastAsia="宋体" w:cs="Times New Roman"/>
                <w:i w:val="0"/>
                <w:iCs w:val="0"/>
                <w:color w:val="000000"/>
                <w:kern w:val="0"/>
                <w:sz w:val="21"/>
                <w:szCs w:val="21"/>
                <w:u w:val="none"/>
                <w:lang w:val="en-US" w:eastAsia="zh-CN" w:bidi="ar"/>
              </w:rPr>
              <w:t>A-</w:t>
            </w:r>
            <w:r>
              <w:rPr>
                <w:rFonts w:hint="default" w:ascii="Times New Roman" w:hAnsi="Times New Roman" w:eastAsia="宋体" w:cs="Times New Roman"/>
                <w:i w:val="0"/>
                <w:iCs w:val="0"/>
                <w:color w:val="000000"/>
                <w:kern w:val="2"/>
                <w:sz w:val="21"/>
                <w:szCs w:val="21"/>
                <w:u w:val="none"/>
                <w:lang w:val="en-US" w:eastAsia="zh-CN" w:bidi="ar-SA"/>
              </w:rPr>
              <w:t>PC</w:t>
            </w:r>
            <w:r>
              <w:rPr>
                <w:rFonts w:hint="default" w:ascii="Times New Roman" w:hAnsi="Times New Roman" w:eastAsia="宋体" w:cs="Times New Roman"/>
                <w:i w:val="0"/>
                <w:iCs w:val="0"/>
                <w:color w:val="000000"/>
                <w:kern w:val="0"/>
                <w:sz w:val="21"/>
                <w:szCs w:val="21"/>
                <w:u w:val="none"/>
                <w:lang w:val="en-US" w:eastAsia="zh-CN" w:bidi="ar"/>
              </w:rPr>
              <w:t>3</w:t>
            </w:r>
          </w:p>
        </w:tc>
        <w:tc>
          <w:tcPr>
            <w:tcW w:w="2390" w:type="dxa"/>
            <w:shd w:val="clear" w:color="auto" w:fill="FFFFFF"/>
            <w:vAlign w:val="center"/>
          </w:tcPr>
          <w:p w14:paraId="7AFB0CAC">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u w:val="none"/>
                <w:lang w:val="en-US" w:eastAsia="zh-CN" w:bidi="ar"/>
              </w:rPr>
            </w:pPr>
            <w:r>
              <w:rPr>
                <w:rFonts w:hint="default" w:ascii="Times New Roman" w:hAnsi="Times New Roman" w:cs="Times New Roman"/>
                <w:i w:val="0"/>
                <w:iCs w:val="0"/>
                <w:color w:val="000000"/>
                <w:kern w:val="0"/>
                <w:sz w:val="21"/>
                <w:szCs w:val="21"/>
                <w:u w:val="none"/>
                <w:lang w:val="en-US" w:eastAsia="zh-CN" w:bidi="ar"/>
              </w:rPr>
              <w:t>75（NJ72）</w:t>
            </w:r>
          </w:p>
        </w:tc>
        <w:tc>
          <w:tcPr>
            <w:tcW w:w="2390" w:type="dxa"/>
          </w:tcPr>
          <w:p w14:paraId="6639AB9A">
            <w:pPr>
              <w:numPr>
                <w:ilvl w:val="-1"/>
                <w:numId w:val="0"/>
              </w:numPr>
              <w:spacing w:line="240" w:lineRule="auto"/>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28.6</w:t>
            </w:r>
          </w:p>
        </w:tc>
        <w:tc>
          <w:tcPr>
            <w:tcW w:w="2390" w:type="dxa"/>
          </w:tcPr>
          <w:p w14:paraId="2AF00CC3">
            <w:pPr>
              <w:numPr>
                <w:ilvl w:val="-1"/>
                <w:numId w:val="0"/>
              </w:numPr>
              <w:spacing w:line="240" w:lineRule="auto"/>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3.9</w:t>
            </w:r>
          </w:p>
        </w:tc>
      </w:tr>
      <w:tr w14:paraId="5776A5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346" w:type="dxa"/>
          </w:tcPr>
          <w:p w14:paraId="6C514EAC">
            <w:pPr>
              <w:numPr>
                <w:ilvl w:val="-1"/>
                <w:numId w:val="0"/>
              </w:numPr>
              <w:spacing w:line="240" w:lineRule="auto"/>
              <w:jc w:val="center"/>
              <w:rPr>
                <w:rFonts w:hint="default" w:ascii="Times New Roman" w:hAnsi="Times New Roman" w:cs="Times New Roman"/>
                <w:sz w:val="21"/>
                <w:szCs w:val="21"/>
                <w:vertAlign w:val="baseline"/>
                <w:lang w:eastAsia="zh-CN"/>
              </w:rPr>
            </w:pPr>
            <w:r>
              <w:rPr>
                <w:rFonts w:hint="default" w:ascii="Times New Roman" w:hAnsi="Times New Roman" w:eastAsia="宋体" w:cs="Times New Roman"/>
                <w:i w:val="0"/>
                <w:iCs w:val="0"/>
                <w:color w:val="000000"/>
                <w:kern w:val="0"/>
                <w:sz w:val="21"/>
                <w:szCs w:val="21"/>
                <w:u w:val="none"/>
                <w:lang w:val="en-US" w:eastAsia="zh-CN" w:bidi="ar"/>
              </w:rPr>
              <w:t>A-</w:t>
            </w:r>
            <w:r>
              <w:rPr>
                <w:rFonts w:hint="default" w:ascii="Times New Roman" w:hAnsi="Times New Roman" w:eastAsia="宋体" w:cs="Times New Roman"/>
                <w:i w:val="0"/>
                <w:iCs w:val="0"/>
                <w:color w:val="000000"/>
                <w:kern w:val="2"/>
                <w:sz w:val="21"/>
                <w:szCs w:val="21"/>
                <w:u w:val="none"/>
                <w:lang w:val="en-US" w:eastAsia="zh-CN" w:bidi="ar-SA"/>
              </w:rPr>
              <w:t>PC</w:t>
            </w:r>
            <w:r>
              <w:rPr>
                <w:rFonts w:hint="default" w:ascii="Times New Roman" w:hAnsi="Times New Roman" w:cs="Times New Roman"/>
                <w:i w:val="0"/>
                <w:iCs w:val="0"/>
                <w:color w:val="000000"/>
                <w:kern w:val="0"/>
                <w:sz w:val="21"/>
                <w:szCs w:val="21"/>
                <w:u w:val="none"/>
                <w:lang w:val="en-US" w:eastAsia="zh-CN" w:bidi="ar"/>
              </w:rPr>
              <w:t>4</w:t>
            </w:r>
          </w:p>
        </w:tc>
        <w:tc>
          <w:tcPr>
            <w:tcW w:w="2390" w:type="dxa"/>
            <w:shd w:val="clear" w:color="auto" w:fill="FFFFFF"/>
            <w:vAlign w:val="center"/>
          </w:tcPr>
          <w:p w14:paraId="2F076FF0">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u w:val="none"/>
                <w:lang w:val="en-US" w:eastAsia="zh-CN" w:bidi="ar"/>
              </w:rPr>
            </w:pPr>
            <w:r>
              <w:rPr>
                <w:rFonts w:hint="default" w:ascii="Times New Roman" w:hAnsi="Times New Roman" w:cs="Times New Roman"/>
                <w:i w:val="0"/>
                <w:iCs w:val="0"/>
                <w:color w:val="000000"/>
                <w:kern w:val="0"/>
                <w:sz w:val="21"/>
                <w:szCs w:val="21"/>
                <w:u w:val="none"/>
                <w:lang w:val="en-US" w:eastAsia="zh-CN" w:bidi="ar"/>
              </w:rPr>
              <w:t>96（NJ96）</w:t>
            </w:r>
          </w:p>
        </w:tc>
        <w:tc>
          <w:tcPr>
            <w:tcW w:w="2390" w:type="dxa"/>
          </w:tcPr>
          <w:p w14:paraId="2246CFD6">
            <w:pPr>
              <w:numPr>
                <w:ilvl w:val="-1"/>
                <w:numId w:val="0"/>
              </w:numPr>
              <w:spacing w:line="240" w:lineRule="auto"/>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30.3</w:t>
            </w:r>
          </w:p>
        </w:tc>
        <w:tc>
          <w:tcPr>
            <w:tcW w:w="2390" w:type="dxa"/>
          </w:tcPr>
          <w:p w14:paraId="3FB6A095">
            <w:pPr>
              <w:numPr>
                <w:ilvl w:val="-1"/>
                <w:numId w:val="0"/>
              </w:numPr>
              <w:spacing w:line="240" w:lineRule="auto"/>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6.3</w:t>
            </w:r>
          </w:p>
        </w:tc>
      </w:tr>
      <w:tr w14:paraId="7713123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346" w:type="dxa"/>
            <w:shd w:val="clear" w:color="auto" w:fill="FFFFFF"/>
            <w:vAlign w:val="center"/>
          </w:tcPr>
          <w:p w14:paraId="245E4B99">
            <w:pPr>
              <w:pStyle w:val="9"/>
              <w:widowControl w:val="0"/>
              <w:adjustRightInd w:val="0"/>
              <w:snapToGrid w:val="0"/>
              <w:spacing w:line="240" w:lineRule="atLeast"/>
              <w:ind w:firstLine="0" w:firstLineChars="0"/>
              <w:jc w:val="center"/>
              <w:rPr>
                <w:rFonts w:hint="default" w:ascii="Times New Roman" w:hAnsi="Times New Roman" w:eastAsia="宋体" w:cs="Times New Roman"/>
                <w:color w:val="000000"/>
                <w:kern w:val="2"/>
                <w:sz w:val="21"/>
                <w:szCs w:val="21"/>
                <w:u w:val="none"/>
                <w:vertAlign w:val="baseline"/>
                <w:lang w:val="en-US" w:eastAsia="zh-CN" w:bidi="ar-SA"/>
              </w:rPr>
            </w:pPr>
            <w:r>
              <w:rPr>
                <w:rFonts w:hint="default" w:ascii="Times New Roman" w:hAnsi="Times New Roman" w:eastAsia="宋体" w:cs="Times New Roman"/>
                <w:i w:val="0"/>
                <w:iCs w:val="0"/>
                <w:color w:val="000000"/>
                <w:kern w:val="2"/>
                <w:sz w:val="21"/>
                <w:szCs w:val="21"/>
                <w:u w:val="none"/>
                <w:lang w:val="en-US" w:eastAsia="zh-CN" w:bidi="ar-SA"/>
              </w:rPr>
              <w:t>B-PC1</w:t>
            </w:r>
          </w:p>
        </w:tc>
        <w:tc>
          <w:tcPr>
            <w:tcW w:w="2390" w:type="dxa"/>
            <w:shd w:val="clear" w:color="auto" w:fill="FFFFFF"/>
            <w:vAlign w:val="center"/>
          </w:tcPr>
          <w:p w14:paraId="2AD22CF2">
            <w:pPr>
              <w:numPr>
                <w:ilvl w:val="-1"/>
                <w:numId w:val="0"/>
              </w:numPr>
              <w:spacing w:line="240" w:lineRule="auto"/>
              <w:ind w:left="0" w:leftChars="0" w:firstLine="0" w:firstLineChars="0"/>
              <w:jc w:val="center"/>
              <w:textAlignment w:val="center"/>
              <w:rPr>
                <w:rFonts w:hint="default" w:ascii="Times New Roman" w:hAnsi="Times New Roman" w:eastAsia="宋体" w:cs="Times New Roman"/>
                <w:color w:val="000000"/>
                <w:sz w:val="21"/>
                <w:szCs w:val="21"/>
                <w:u w:val="none"/>
                <w:vertAlign w:val="baseline"/>
                <w:lang w:val="en-US" w:eastAsia="zh-CN" w:bidi="ar"/>
              </w:rPr>
            </w:pPr>
            <w:r>
              <w:rPr>
                <w:rFonts w:hint="default" w:ascii="Times New Roman" w:hAnsi="Times New Roman" w:cs="Times New Roman"/>
                <w:i w:val="0"/>
                <w:iCs w:val="0"/>
                <w:color w:val="000000"/>
                <w:kern w:val="0"/>
                <w:sz w:val="21"/>
                <w:szCs w:val="21"/>
                <w:u w:val="none"/>
                <w:lang w:val="en-US" w:eastAsia="zh-CN" w:bidi="ar"/>
              </w:rPr>
              <w:t>7</w:t>
            </w:r>
          </w:p>
        </w:tc>
        <w:tc>
          <w:tcPr>
            <w:tcW w:w="2390" w:type="dxa"/>
          </w:tcPr>
          <w:p w14:paraId="33A29282">
            <w:pPr>
              <w:numPr>
                <w:ilvl w:val="-1"/>
                <w:numId w:val="0"/>
              </w:numPr>
              <w:spacing w:line="240" w:lineRule="auto"/>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57.2</w:t>
            </w:r>
          </w:p>
        </w:tc>
        <w:tc>
          <w:tcPr>
            <w:tcW w:w="2390" w:type="dxa"/>
          </w:tcPr>
          <w:p w14:paraId="57D6D35A">
            <w:pPr>
              <w:numPr>
                <w:ilvl w:val="-1"/>
                <w:numId w:val="0"/>
              </w:numPr>
              <w:spacing w:line="240" w:lineRule="auto"/>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0</w:t>
            </w:r>
          </w:p>
        </w:tc>
      </w:tr>
      <w:tr w14:paraId="1875AEC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346" w:type="dxa"/>
            <w:shd w:val="clear" w:color="auto" w:fill="FFFFFF"/>
            <w:vAlign w:val="center"/>
          </w:tcPr>
          <w:p w14:paraId="75082AA4">
            <w:pPr>
              <w:pStyle w:val="9"/>
              <w:keepNext w:val="0"/>
              <w:keepLines w:val="0"/>
              <w:pageBreakBefore w:val="0"/>
              <w:widowControl w:val="0"/>
              <w:kinsoku/>
              <w:wordWrap/>
              <w:overflowPunct/>
              <w:topLinePunct w:val="0"/>
              <w:autoSpaceDE/>
              <w:autoSpaceDN/>
              <w:bidi w:val="0"/>
              <w:adjustRightInd w:val="0"/>
              <w:snapToGrid w:val="0"/>
              <w:spacing w:line="240" w:lineRule="atLeast"/>
              <w:ind w:left="0" w:leftChars="0" w:right="0" w:rightChars="0" w:firstLine="0" w:firstLineChars="0"/>
              <w:jc w:val="center"/>
              <w:textAlignment w:val="auto"/>
              <w:rPr>
                <w:rFonts w:hint="default" w:ascii="Times New Roman" w:hAnsi="Times New Roman" w:eastAsia="宋体" w:cs="Times New Roman"/>
                <w:i w:val="0"/>
                <w:iCs w:val="0"/>
                <w:color w:val="000000"/>
                <w:kern w:val="2"/>
                <w:sz w:val="21"/>
                <w:szCs w:val="21"/>
                <w:u w:val="none"/>
                <w:lang w:val="en-US" w:eastAsia="zh-CN" w:bidi="ar-SA"/>
              </w:rPr>
            </w:pPr>
            <w:r>
              <w:rPr>
                <w:rFonts w:hint="default" w:ascii="Times New Roman" w:hAnsi="Times New Roman" w:eastAsia="宋体" w:cs="Times New Roman"/>
                <w:i w:val="0"/>
                <w:iCs w:val="0"/>
                <w:color w:val="000000"/>
                <w:kern w:val="2"/>
                <w:sz w:val="21"/>
                <w:szCs w:val="21"/>
                <w:u w:val="none"/>
                <w:lang w:val="en-US" w:eastAsia="zh-CN" w:bidi="ar-SA"/>
              </w:rPr>
              <w:t>B-PC2</w:t>
            </w:r>
          </w:p>
        </w:tc>
        <w:tc>
          <w:tcPr>
            <w:tcW w:w="2390" w:type="dxa"/>
            <w:shd w:val="clear" w:color="auto" w:fill="FFFFFF"/>
            <w:vAlign w:val="center"/>
          </w:tcPr>
          <w:p w14:paraId="65CEBAF8">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u w:val="none"/>
                <w:lang w:val="en-US" w:eastAsia="zh-CN" w:bidi="ar"/>
              </w:rPr>
            </w:pPr>
            <w:r>
              <w:rPr>
                <w:rFonts w:hint="default" w:ascii="Times New Roman" w:hAnsi="Times New Roman" w:cs="Times New Roman"/>
                <w:i w:val="0"/>
                <w:iCs w:val="0"/>
                <w:color w:val="000000"/>
                <w:kern w:val="0"/>
                <w:sz w:val="21"/>
                <w:szCs w:val="21"/>
                <w:u w:val="none"/>
                <w:lang w:val="en-US" w:eastAsia="zh-CN" w:bidi="ar"/>
              </w:rPr>
              <w:t>40（NJ36）</w:t>
            </w:r>
          </w:p>
        </w:tc>
        <w:tc>
          <w:tcPr>
            <w:tcW w:w="2390" w:type="dxa"/>
          </w:tcPr>
          <w:p w14:paraId="67BC9034">
            <w:pPr>
              <w:numPr>
                <w:ilvl w:val="-1"/>
                <w:numId w:val="0"/>
              </w:numPr>
              <w:spacing w:line="240" w:lineRule="auto"/>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56.8</w:t>
            </w:r>
          </w:p>
        </w:tc>
        <w:tc>
          <w:tcPr>
            <w:tcW w:w="2390" w:type="dxa"/>
          </w:tcPr>
          <w:p w14:paraId="4D5D14BB">
            <w:pPr>
              <w:numPr>
                <w:ilvl w:val="-1"/>
                <w:numId w:val="0"/>
              </w:numPr>
              <w:spacing w:line="240" w:lineRule="auto"/>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0.4</w:t>
            </w:r>
          </w:p>
        </w:tc>
      </w:tr>
      <w:tr w14:paraId="5D7910E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346" w:type="dxa"/>
            <w:shd w:val="clear" w:color="auto" w:fill="FFFFFF"/>
            <w:vAlign w:val="center"/>
          </w:tcPr>
          <w:p w14:paraId="21594747">
            <w:pPr>
              <w:pStyle w:val="9"/>
              <w:keepNext w:val="0"/>
              <w:keepLines w:val="0"/>
              <w:pageBreakBefore w:val="0"/>
              <w:widowControl w:val="0"/>
              <w:kinsoku/>
              <w:wordWrap/>
              <w:overflowPunct/>
              <w:topLinePunct w:val="0"/>
              <w:autoSpaceDE/>
              <w:autoSpaceDN/>
              <w:bidi w:val="0"/>
              <w:adjustRightInd w:val="0"/>
              <w:snapToGrid w:val="0"/>
              <w:spacing w:line="240" w:lineRule="atLeast"/>
              <w:ind w:left="0" w:leftChars="0" w:right="0" w:rightChars="0" w:firstLine="0" w:firstLineChars="0"/>
              <w:jc w:val="center"/>
              <w:textAlignment w:val="auto"/>
              <w:rPr>
                <w:rFonts w:hint="default" w:ascii="Times New Roman" w:hAnsi="Times New Roman" w:eastAsia="宋体" w:cs="Times New Roman"/>
                <w:i w:val="0"/>
                <w:iCs w:val="0"/>
                <w:color w:val="000000"/>
                <w:kern w:val="0"/>
                <w:sz w:val="21"/>
                <w:szCs w:val="21"/>
                <w:u w:val="none"/>
                <w:lang w:val="en-US" w:eastAsia="zh-CN" w:bidi="ar"/>
              </w:rPr>
            </w:pPr>
            <w:r>
              <w:rPr>
                <w:rFonts w:hint="default" w:ascii="Times New Roman" w:hAnsi="Times New Roman" w:eastAsia="宋体" w:cs="Times New Roman"/>
                <w:i w:val="0"/>
                <w:iCs w:val="0"/>
                <w:color w:val="000000"/>
                <w:kern w:val="0"/>
                <w:sz w:val="21"/>
                <w:szCs w:val="21"/>
                <w:u w:val="none"/>
                <w:lang w:val="en-US" w:eastAsia="zh-CN" w:bidi="ar"/>
              </w:rPr>
              <w:t>B-</w:t>
            </w:r>
            <w:r>
              <w:rPr>
                <w:rFonts w:hint="default" w:ascii="Times New Roman" w:hAnsi="Times New Roman" w:eastAsia="宋体" w:cs="Times New Roman"/>
                <w:i w:val="0"/>
                <w:iCs w:val="0"/>
                <w:color w:val="000000"/>
                <w:kern w:val="2"/>
                <w:sz w:val="21"/>
                <w:szCs w:val="21"/>
                <w:u w:val="none"/>
                <w:lang w:val="en-US" w:eastAsia="zh-CN" w:bidi="ar-SA"/>
              </w:rPr>
              <w:t>PC</w:t>
            </w:r>
            <w:r>
              <w:rPr>
                <w:rFonts w:hint="default" w:ascii="Times New Roman" w:hAnsi="Times New Roman" w:eastAsia="宋体" w:cs="Times New Roman"/>
                <w:i w:val="0"/>
                <w:iCs w:val="0"/>
                <w:color w:val="000000"/>
                <w:kern w:val="0"/>
                <w:sz w:val="21"/>
                <w:szCs w:val="21"/>
                <w:u w:val="none"/>
                <w:lang w:val="en-US" w:eastAsia="zh-CN" w:bidi="ar"/>
              </w:rPr>
              <w:t>3</w:t>
            </w:r>
          </w:p>
        </w:tc>
        <w:tc>
          <w:tcPr>
            <w:tcW w:w="2390" w:type="dxa"/>
            <w:shd w:val="clear" w:color="auto" w:fill="FFFFFF"/>
            <w:vAlign w:val="center"/>
          </w:tcPr>
          <w:p w14:paraId="776823E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u w:val="none"/>
                <w:lang w:val="en-US" w:eastAsia="zh-CN" w:bidi="ar"/>
              </w:rPr>
            </w:pPr>
            <w:r>
              <w:rPr>
                <w:rFonts w:hint="default" w:ascii="Times New Roman" w:hAnsi="Times New Roman" w:cs="Times New Roman"/>
                <w:i w:val="0"/>
                <w:iCs w:val="0"/>
                <w:color w:val="000000"/>
                <w:kern w:val="0"/>
                <w:sz w:val="21"/>
                <w:szCs w:val="21"/>
                <w:u w:val="none"/>
                <w:lang w:val="en-US" w:eastAsia="zh-CN" w:bidi="ar"/>
              </w:rPr>
              <w:t>77（NJ72）</w:t>
            </w:r>
          </w:p>
        </w:tc>
        <w:tc>
          <w:tcPr>
            <w:tcW w:w="2390" w:type="dxa"/>
          </w:tcPr>
          <w:p w14:paraId="56156EBE">
            <w:pPr>
              <w:numPr>
                <w:ilvl w:val="-1"/>
                <w:numId w:val="0"/>
              </w:numPr>
              <w:spacing w:line="240" w:lineRule="auto"/>
              <w:jc w:val="center"/>
              <w:rPr>
                <w:rFonts w:hint="default" w:ascii="Times New Roman" w:hAnsi="Times New Roman" w:cs="Times New Roman"/>
                <w:sz w:val="21"/>
                <w:szCs w:val="21"/>
                <w:vertAlign w:val="baseline"/>
                <w:lang w:eastAsia="zh-CN"/>
              </w:rPr>
            </w:pPr>
            <w:r>
              <w:rPr>
                <w:rFonts w:hint="default" w:ascii="Times New Roman" w:hAnsi="Times New Roman" w:cs="Times New Roman"/>
                <w:sz w:val="21"/>
                <w:szCs w:val="21"/>
                <w:vertAlign w:val="baseline"/>
                <w:lang w:val="en-US" w:eastAsia="zh-CN"/>
              </w:rPr>
              <w:t>54.4</w:t>
            </w:r>
          </w:p>
        </w:tc>
        <w:tc>
          <w:tcPr>
            <w:tcW w:w="2390" w:type="dxa"/>
          </w:tcPr>
          <w:p w14:paraId="40E59DA3">
            <w:pPr>
              <w:numPr>
                <w:ilvl w:val="-1"/>
                <w:numId w:val="0"/>
              </w:numPr>
              <w:spacing w:line="240" w:lineRule="auto"/>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2.8</w:t>
            </w:r>
          </w:p>
        </w:tc>
      </w:tr>
      <w:tr w14:paraId="2A1148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346" w:type="dxa"/>
            <w:shd w:val="clear" w:color="auto" w:fill="auto"/>
            <w:vAlign w:val="top"/>
          </w:tcPr>
          <w:p w14:paraId="6BC06F68">
            <w:pPr>
              <w:numPr>
                <w:ilvl w:val="-1"/>
                <w:numId w:val="0"/>
              </w:numPr>
              <w:spacing w:line="240" w:lineRule="auto"/>
              <w:ind w:left="0" w:leftChars="0" w:firstLine="0" w:firstLineChars="0"/>
              <w:jc w:val="center"/>
              <w:rPr>
                <w:rFonts w:hint="default" w:ascii="Times New Roman" w:hAnsi="Times New Roman" w:eastAsia="宋体" w:cs="Times New Roman"/>
                <w:sz w:val="21"/>
                <w:szCs w:val="21"/>
                <w:vertAlign w:val="baseline"/>
                <w:lang w:val="en-US" w:eastAsia="zh-CN" w:bidi="ar-SA"/>
              </w:rPr>
            </w:pPr>
            <w:r>
              <w:rPr>
                <w:rFonts w:hint="default" w:ascii="Times New Roman" w:hAnsi="Times New Roman" w:cs="Times New Roman"/>
                <w:i w:val="0"/>
                <w:iCs w:val="0"/>
                <w:color w:val="000000"/>
                <w:kern w:val="0"/>
                <w:sz w:val="21"/>
                <w:szCs w:val="21"/>
                <w:u w:val="none"/>
                <w:lang w:val="en-US" w:eastAsia="zh-CN" w:bidi="ar"/>
              </w:rPr>
              <w:t>B</w:t>
            </w:r>
            <w:r>
              <w:rPr>
                <w:rFonts w:hint="default" w:ascii="Times New Roman" w:hAnsi="Times New Roman" w:eastAsia="宋体" w:cs="Times New Roman"/>
                <w:i w:val="0"/>
                <w:iCs w:val="0"/>
                <w:color w:val="000000"/>
                <w:kern w:val="0"/>
                <w:sz w:val="21"/>
                <w:szCs w:val="21"/>
                <w:u w:val="none"/>
                <w:lang w:val="en-US" w:eastAsia="zh-CN" w:bidi="ar"/>
              </w:rPr>
              <w:t>-</w:t>
            </w:r>
            <w:r>
              <w:rPr>
                <w:rFonts w:hint="default" w:ascii="Times New Roman" w:hAnsi="Times New Roman" w:eastAsia="宋体" w:cs="Times New Roman"/>
                <w:i w:val="0"/>
                <w:iCs w:val="0"/>
                <w:color w:val="000000"/>
                <w:kern w:val="2"/>
                <w:sz w:val="21"/>
                <w:szCs w:val="21"/>
                <w:u w:val="none"/>
                <w:lang w:val="en-US" w:eastAsia="zh-CN" w:bidi="ar-SA"/>
              </w:rPr>
              <w:t>PC</w:t>
            </w:r>
            <w:r>
              <w:rPr>
                <w:rFonts w:hint="default" w:ascii="Times New Roman" w:hAnsi="Times New Roman" w:cs="Times New Roman"/>
                <w:i w:val="0"/>
                <w:iCs w:val="0"/>
                <w:color w:val="000000"/>
                <w:kern w:val="0"/>
                <w:sz w:val="21"/>
                <w:szCs w:val="21"/>
                <w:u w:val="none"/>
                <w:lang w:val="en-US" w:eastAsia="zh-CN" w:bidi="ar"/>
              </w:rPr>
              <w:t>4</w:t>
            </w:r>
          </w:p>
        </w:tc>
        <w:tc>
          <w:tcPr>
            <w:tcW w:w="2390" w:type="dxa"/>
            <w:shd w:val="clear" w:color="auto" w:fill="FFFFFF"/>
            <w:vAlign w:val="center"/>
          </w:tcPr>
          <w:p w14:paraId="6DB828CD">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u w:val="none"/>
                <w:lang w:val="en-US" w:eastAsia="zh-CN" w:bidi="ar"/>
              </w:rPr>
            </w:pPr>
            <w:r>
              <w:rPr>
                <w:rFonts w:hint="default" w:ascii="Times New Roman" w:hAnsi="Times New Roman" w:cs="Times New Roman"/>
                <w:i w:val="0"/>
                <w:iCs w:val="0"/>
                <w:color w:val="000000"/>
                <w:kern w:val="0"/>
                <w:sz w:val="21"/>
                <w:szCs w:val="21"/>
                <w:u w:val="none"/>
                <w:lang w:val="en-US" w:eastAsia="zh-CN" w:bidi="ar"/>
              </w:rPr>
              <w:t>98（NJ96）</w:t>
            </w:r>
          </w:p>
        </w:tc>
        <w:tc>
          <w:tcPr>
            <w:tcW w:w="2390" w:type="dxa"/>
          </w:tcPr>
          <w:p w14:paraId="502F88AE">
            <w:pPr>
              <w:numPr>
                <w:ilvl w:val="-1"/>
                <w:numId w:val="0"/>
              </w:numPr>
              <w:spacing w:line="240" w:lineRule="auto"/>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51.8</w:t>
            </w:r>
          </w:p>
        </w:tc>
        <w:tc>
          <w:tcPr>
            <w:tcW w:w="2390" w:type="dxa"/>
          </w:tcPr>
          <w:p w14:paraId="6F971912">
            <w:pPr>
              <w:numPr>
                <w:ilvl w:val="-1"/>
                <w:numId w:val="0"/>
              </w:numPr>
              <w:spacing w:line="240" w:lineRule="auto"/>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5.4</w:t>
            </w:r>
          </w:p>
        </w:tc>
      </w:tr>
      <w:tr w14:paraId="188620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346" w:type="dxa"/>
            <w:shd w:val="clear" w:color="auto" w:fill="FFFFFF"/>
            <w:vAlign w:val="center"/>
          </w:tcPr>
          <w:p w14:paraId="44BCD1C8">
            <w:pPr>
              <w:pStyle w:val="9"/>
              <w:widowControl w:val="0"/>
              <w:adjustRightInd w:val="0"/>
              <w:snapToGrid w:val="0"/>
              <w:spacing w:line="240" w:lineRule="atLeast"/>
              <w:ind w:firstLine="0" w:firstLineChars="0"/>
              <w:jc w:val="center"/>
              <w:rPr>
                <w:rFonts w:hint="default" w:ascii="Times New Roman" w:hAnsi="Times New Roman" w:eastAsia="宋体" w:cs="Times New Roman"/>
                <w:color w:val="000000"/>
                <w:kern w:val="2"/>
                <w:sz w:val="21"/>
                <w:szCs w:val="21"/>
                <w:u w:val="none"/>
                <w:vertAlign w:val="baseline"/>
                <w:lang w:val="en-US" w:eastAsia="zh-CN" w:bidi="ar-SA"/>
              </w:rPr>
            </w:pPr>
            <w:r>
              <w:rPr>
                <w:rFonts w:hint="default" w:ascii="Times New Roman" w:hAnsi="Times New Roman" w:eastAsia="宋体" w:cs="Times New Roman"/>
                <w:i w:val="0"/>
                <w:iCs w:val="0"/>
                <w:color w:val="000000"/>
                <w:kern w:val="2"/>
                <w:sz w:val="21"/>
                <w:szCs w:val="21"/>
                <w:u w:val="none"/>
                <w:lang w:val="en-US" w:eastAsia="zh-CN" w:bidi="ar-SA"/>
              </w:rPr>
              <w:t>C-PC1</w:t>
            </w:r>
          </w:p>
        </w:tc>
        <w:tc>
          <w:tcPr>
            <w:tcW w:w="2390" w:type="dxa"/>
            <w:shd w:val="clear" w:color="auto" w:fill="FFFFFF"/>
            <w:vAlign w:val="center"/>
          </w:tcPr>
          <w:p w14:paraId="797B24E3">
            <w:pPr>
              <w:numPr>
                <w:ilvl w:val="-1"/>
                <w:numId w:val="0"/>
              </w:numPr>
              <w:spacing w:line="240" w:lineRule="auto"/>
              <w:ind w:left="0" w:leftChars="0" w:firstLine="0" w:firstLineChars="0"/>
              <w:jc w:val="center"/>
              <w:textAlignment w:val="center"/>
              <w:rPr>
                <w:rFonts w:hint="default" w:ascii="Times New Roman" w:hAnsi="Times New Roman" w:eastAsia="宋体" w:cs="Times New Roman"/>
                <w:color w:val="000000"/>
                <w:sz w:val="21"/>
                <w:szCs w:val="21"/>
                <w:u w:val="none"/>
                <w:vertAlign w:val="baseline"/>
                <w:lang w:val="en-US" w:eastAsia="zh-CN" w:bidi="ar"/>
              </w:rPr>
            </w:pPr>
            <w:r>
              <w:rPr>
                <w:rFonts w:hint="eastAsia" w:ascii="Times New Roman" w:hAnsi="Times New Roman" w:cs="Times New Roman"/>
                <w:i w:val="0"/>
                <w:iCs w:val="0"/>
                <w:color w:val="000000"/>
                <w:kern w:val="0"/>
                <w:sz w:val="21"/>
                <w:szCs w:val="21"/>
                <w:u w:val="none"/>
                <w:lang w:val="en-US" w:eastAsia="zh-CN" w:bidi="ar"/>
              </w:rPr>
              <w:t>7</w:t>
            </w:r>
          </w:p>
        </w:tc>
        <w:tc>
          <w:tcPr>
            <w:tcW w:w="2390" w:type="dxa"/>
          </w:tcPr>
          <w:p w14:paraId="3476444F">
            <w:pPr>
              <w:numPr>
                <w:ilvl w:val="-1"/>
                <w:numId w:val="0"/>
              </w:numPr>
              <w:spacing w:line="240" w:lineRule="auto"/>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67.8</w:t>
            </w:r>
          </w:p>
        </w:tc>
        <w:tc>
          <w:tcPr>
            <w:tcW w:w="2390" w:type="dxa"/>
          </w:tcPr>
          <w:p w14:paraId="3B763AFC">
            <w:pPr>
              <w:numPr>
                <w:ilvl w:val="-1"/>
                <w:numId w:val="0"/>
              </w:numPr>
              <w:spacing w:line="240" w:lineRule="auto"/>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0</w:t>
            </w:r>
          </w:p>
        </w:tc>
      </w:tr>
      <w:tr w14:paraId="051E137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346" w:type="dxa"/>
            <w:shd w:val="clear" w:color="auto" w:fill="FFFFFF"/>
            <w:vAlign w:val="center"/>
          </w:tcPr>
          <w:p w14:paraId="5A94A507">
            <w:pPr>
              <w:pStyle w:val="9"/>
              <w:keepNext w:val="0"/>
              <w:keepLines w:val="0"/>
              <w:pageBreakBefore w:val="0"/>
              <w:widowControl w:val="0"/>
              <w:kinsoku/>
              <w:wordWrap/>
              <w:overflowPunct/>
              <w:topLinePunct w:val="0"/>
              <w:autoSpaceDE/>
              <w:autoSpaceDN/>
              <w:bidi w:val="0"/>
              <w:adjustRightInd w:val="0"/>
              <w:snapToGrid w:val="0"/>
              <w:spacing w:line="240" w:lineRule="atLeast"/>
              <w:ind w:left="0" w:leftChars="0" w:right="0" w:rightChars="0" w:firstLine="0" w:firstLineChars="0"/>
              <w:jc w:val="center"/>
              <w:textAlignment w:val="auto"/>
              <w:rPr>
                <w:rFonts w:hint="default" w:ascii="Times New Roman" w:hAnsi="Times New Roman" w:eastAsia="宋体" w:cs="Times New Roman"/>
                <w:i w:val="0"/>
                <w:iCs w:val="0"/>
                <w:color w:val="000000"/>
                <w:kern w:val="2"/>
                <w:sz w:val="21"/>
                <w:szCs w:val="21"/>
                <w:u w:val="none"/>
                <w:lang w:val="en-US" w:eastAsia="zh-CN" w:bidi="ar-SA"/>
              </w:rPr>
            </w:pPr>
            <w:r>
              <w:rPr>
                <w:rFonts w:hint="default" w:ascii="Times New Roman" w:hAnsi="Times New Roman" w:eastAsia="宋体" w:cs="Times New Roman"/>
                <w:i w:val="0"/>
                <w:iCs w:val="0"/>
                <w:color w:val="000000"/>
                <w:kern w:val="2"/>
                <w:sz w:val="21"/>
                <w:szCs w:val="21"/>
                <w:u w:val="none"/>
                <w:lang w:val="en-US" w:eastAsia="zh-CN" w:bidi="ar-SA"/>
              </w:rPr>
              <w:t>C-PC2</w:t>
            </w:r>
          </w:p>
        </w:tc>
        <w:tc>
          <w:tcPr>
            <w:tcW w:w="2390" w:type="dxa"/>
            <w:shd w:val="clear" w:color="auto" w:fill="FFFFFF"/>
            <w:vAlign w:val="center"/>
          </w:tcPr>
          <w:p w14:paraId="0C70DB53">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u w:val="none"/>
                <w:lang w:val="en-US" w:eastAsia="zh-CN" w:bidi="ar"/>
              </w:rPr>
            </w:pPr>
            <w:r>
              <w:rPr>
                <w:rFonts w:hint="default" w:ascii="Times New Roman" w:hAnsi="Times New Roman" w:cs="Times New Roman"/>
                <w:i w:val="0"/>
                <w:iCs w:val="0"/>
                <w:color w:val="000000"/>
                <w:kern w:val="0"/>
                <w:sz w:val="21"/>
                <w:szCs w:val="21"/>
                <w:u w:val="none"/>
                <w:lang w:val="en-US" w:eastAsia="zh-CN" w:bidi="ar"/>
              </w:rPr>
              <w:t>41（NJ36）</w:t>
            </w:r>
          </w:p>
        </w:tc>
        <w:tc>
          <w:tcPr>
            <w:tcW w:w="2390" w:type="dxa"/>
          </w:tcPr>
          <w:p w14:paraId="0D2AB0FE">
            <w:pPr>
              <w:numPr>
                <w:ilvl w:val="-1"/>
                <w:numId w:val="0"/>
              </w:numPr>
              <w:spacing w:line="240" w:lineRule="auto"/>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67.2</w:t>
            </w:r>
          </w:p>
        </w:tc>
        <w:tc>
          <w:tcPr>
            <w:tcW w:w="2390" w:type="dxa"/>
          </w:tcPr>
          <w:p w14:paraId="7A23A524">
            <w:pPr>
              <w:numPr>
                <w:ilvl w:val="-1"/>
                <w:numId w:val="0"/>
              </w:numPr>
              <w:spacing w:line="240" w:lineRule="auto"/>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0.6</w:t>
            </w:r>
          </w:p>
        </w:tc>
      </w:tr>
      <w:tr w14:paraId="05C1B4C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346" w:type="dxa"/>
            <w:shd w:val="clear" w:color="auto" w:fill="FFFFFF"/>
            <w:vAlign w:val="center"/>
          </w:tcPr>
          <w:p w14:paraId="04BC303F">
            <w:pPr>
              <w:pStyle w:val="9"/>
              <w:keepNext w:val="0"/>
              <w:keepLines w:val="0"/>
              <w:pageBreakBefore w:val="0"/>
              <w:widowControl w:val="0"/>
              <w:kinsoku/>
              <w:wordWrap/>
              <w:overflowPunct/>
              <w:topLinePunct w:val="0"/>
              <w:autoSpaceDE/>
              <w:autoSpaceDN/>
              <w:bidi w:val="0"/>
              <w:adjustRightInd w:val="0"/>
              <w:snapToGrid w:val="0"/>
              <w:spacing w:line="240" w:lineRule="atLeast"/>
              <w:ind w:left="0" w:leftChars="0" w:right="0" w:rightChars="0" w:firstLine="0" w:firstLineChars="0"/>
              <w:jc w:val="center"/>
              <w:textAlignment w:val="auto"/>
              <w:rPr>
                <w:rFonts w:hint="default" w:ascii="Times New Roman" w:hAnsi="Times New Roman" w:eastAsia="宋体" w:cs="Times New Roman"/>
                <w:i w:val="0"/>
                <w:iCs w:val="0"/>
                <w:color w:val="000000"/>
                <w:kern w:val="0"/>
                <w:sz w:val="21"/>
                <w:szCs w:val="21"/>
                <w:u w:val="none"/>
                <w:lang w:val="en-US" w:eastAsia="zh-CN" w:bidi="ar"/>
              </w:rPr>
            </w:pPr>
            <w:r>
              <w:rPr>
                <w:rFonts w:hint="default" w:ascii="Times New Roman" w:hAnsi="Times New Roman" w:eastAsia="宋体" w:cs="Times New Roman"/>
                <w:i w:val="0"/>
                <w:iCs w:val="0"/>
                <w:color w:val="000000"/>
                <w:kern w:val="0"/>
                <w:sz w:val="21"/>
                <w:szCs w:val="21"/>
                <w:u w:val="none"/>
                <w:lang w:val="en-US" w:eastAsia="zh-CN" w:bidi="ar"/>
              </w:rPr>
              <w:t>C-</w:t>
            </w:r>
            <w:r>
              <w:rPr>
                <w:rFonts w:hint="default" w:ascii="Times New Roman" w:hAnsi="Times New Roman" w:eastAsia="宋体" w:cs="Times New Roman"/>
                <w:i w:val="0"/>
                <w:iCs w:val="0"/>
                <w:color w:val="000000"/>
                <w:kern w:val="2"/>
                <w:sz w:val="21"/>
                <w:szCs w:val="21"/>
                <w:u w:val="none"/>
                <w:lang w:val="en-US" w:eastAsia="zh-CN" w:bidi="ar-SA"/>
              </w:rPr>
              <w:t>PC</w:t>
            </w:r>
            <w:r>
              <w:rPr>
                <w:rFonts w:hint="default" w:ascii="Times New Roman" w:hAnsi="Times New Roman" w:eastAsia="宋体" w:cs="Times New Roman"/>
                <w:i w:val="0"/>
                <w:iCs w:val="0"/>
                <w:color w:val="000000"/>
                <w:kern w:val="0"/>
                <w:sz w:val="21"/>
                <w:szCs w:val="21"/>
                <w:u w:val="none"/>
                <w:lang w:val="en-US" w:eastAsia="zh-CN" w:bidi="ar"/>
              </w:rPr>
              <w:t>3</w:t>
            </w:r>
          </w:p>
        </w:tc>
        <w:tc>
          <w:tcPr>
            <w:tcW w:w="2390" w:type="dxa"/>
            <w:shd w:val="clear" w:color="auto" w:fill="FFFFFF"/>
            <w:vAlign w:val="center"/>
          </w:tcPr>
          <w:p w14:paraId="3831470D">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u w:val="none"/>
                <w:lang w:val="en-US" w:eastAsia="zh-CN" w:bidi="ar"/>
              </w:rPr>
            </w:pPr>
            <w:r>
              <w:rPr>
                <w:rFonts w:hint="default" w:ascii="Times New Roman" w:hAnsi="Times New Roman" w:cs="Times New Roman"/>
                <w:i w:val="0"/>
                <w:iCs w:val="0"/>
                <w:color w:val="000000"/>
                <w:kern w:val="0"/>
                <w:sz w:val="21"/>
                <w:szCs w:val="21"/>
                <w:u w:val="none"/>
                <w:lang w:val="en-US" w:eastAsia="zh-CN" w:bidi="ar"/>
              </w:rPr>
              <w:t>80（NJ72）</w:t>
            </w:r>
          </w:p>
        </w:tc>
        <w:tc>
          <w:tcPr>
            <w:tcW w:w="2390" w:type="dxa"/>
          </w:tcPr>
          <w:p w14:paraId="7F585991">
            <w:pPr>
              <w:numPr>
                <w:ilvl w:val="-1"/>
                <w:numId w:val="0"/>
              </w:numPr>
              <w:spacing w:line="240" w:lineRule="auto"/>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63.7</w:t>
            </w:r>
          </w:p>
        </w:tc>
        <w:tc>
          <w:tcPr>
            <w:tcW w:w="2390" w:type="dxa"/>
          </w:tcPr>
          <w:p w14:paraId="4C30B816">
            <w:pPr>
              <w:numPr>
                <w:ilvl w:val="-1"/>
                <w:numId w:val="0"/>
              </w:numPr>
              <w:spacing w:line="240" w:lineRule="auto"/>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3.5</w:t>
            </w:r>
          </w:p>
        </w:tc>
      </w:tr>
      <w:tr w14:paraId="0711A63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346" w:type="dxa"/>
            <w:shd w:val="clear" w:color="auto" w:fill="auto"/>
            <w:vAlign w:val="top"/>
          </w:tcPr>
          <w:p w14:paraId="4E1187C4">
            <w:pPr>
              <w:numPr>
                <w:ilvl w:val="-1"/>
                <w:numId w:val="0"/>
              </w:numPr>
              <w:spacing w:line="240" w:lineRule="auto"/>
              <w:ind w:left="0" w:leftChars="0" w:firstLine="0" w:firstLineChars="0"/>
              <w:jc w:val="center"/>
              <w:rPr>
                <w:rFonts w:hint="default" w:ascii="Times New Roman" w:hAnsi="Times New Roman" w:eastAsia="宋体" w:cs="Times New Roman"/>
                <w:sz w:val="21"/>
                <w:szCs w:val="21"/>
                <w:vertAlign w:val="baseline"/>
                <w:lang w:val="en-US" w:eastAsia="zh-CN" w:bidi="ar-SA"/>
              </w:rPr>
            </w:pPr>
            <w:r>
              <w:rPr>
                <w:rFonts w:hint="default" w:ascii="Times New Roman" w:hAnsi="Times New Roman" w:cs="Times New Roman"/>
                <w:i w:val="0"/>
                <w:iCs w:val="0"/>
                <w:color w:val="000000"/>
                <w:kern w:val="0"/>
                <w:sz w:val="21"/>
                <w:szCs w:val="21"/>
                <w:u w:val="none"/>
                <w:lang w:val="en-US" w:eastAsia="zh-CN" w:bidi="ar"/>
              </w:rPr>
              <w:t>C</w:t>
            </w:r>
            <w:r>
              <w:rPr>
                <w:rFonts w:hint="default" w:ascii="Times New Roman" w:hAnsi="Times New Roman" w:eastAsia="宋体" w:cs="Times New Roman"/>
                <w:i w:val="0"/>
                <w:iCs w:val="0"/>
                <w:color w:val="000000"/>
                <w:kern w:val="0"/>
                <w:sz w:val="21"/>
                <w:szCs w:val="21"/>
                <w:u w:val="none"/>
                <w:lang w:val="en-US" w:eastAsia="zh-CN" w:bidi="ar"/>
              </w:rPr>
              <w:t>-</w:t>
            </w:r>
            <w:r>
              <w:rPr>
                <w:rFonts w:hint="default" w:ascii="Times New Roman" w:hAnsi="Times New Roman" w:eastAsia="宋体" w:cs="Times New Roman"/>
                <w:i w:val="0"/>
                <w:iCs w:val="0"/>
                <w:color w:val="000000"/>
                <w:kern w:val="2"/>
                <w:sz w:val="21"/>
                <w:szCs w:val="21"/>
                <w:u w:val="none"/>
                <w:lang w:val="en-US" w:eastAsia="zh-CN" w:bidi="ar-SA"/>
              </w:rPr>
              <w:t>PC</w:t>
            </w:r>
            <w:r>
              <w:rPr>
                <w:rFonts w:hint="default" w:ascii="Times New Roman" w:hAnsi="Times New Roman" w:cs="Times New Roman"/>
                <w:i w:val="0"/>
                <w:iCs w:val="0"/>
                <w:color w:val="000000"/>
                <w:kern w:val="0"/>
                <w:sz w:val="21"/>
                <w:szCs w:val="21"/>
                <w:u w:val="none"/>
                <w:lang w:val="en-US" w:eastAsia="zh-CN" w:bidi="ar"/>
              </w:rPr>
              <w:t>4</w:t>
            </w:r>
          </w:p>
        </w:tc>
        <w:tc>
          <w:tcPr>
            <w:tcW w:w="2390" w:type="dxa"/>
            <w:shd w:val="clear" w:color="auto" w:fill="FFFFFF"/>
            <w:vAlign w:val="center"/>
          </w:tcPr>
          <w:p w14:paraId="2DC78034">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u w:val="none"/>
                <w:lang w:val="en-US" w:eastAsia="zh-CN" w:bidi="ar"/>
              </w:rPr>
            </w:pPr>
            <w:r>
              <w:rPr>
                <w:rFonts w:hint="default" w:ascii="Times New Roman" w:hAnsi="Times New Roman" w:cs="Times New Roman"/>
                <w:i w:val="0"/>
                <w:iCs w:val="0"/>
                <w:color w:val="000000"/>
                <w:kern w:val="0"/>
                <w:sz w:val="21"/>
                <w:szCs w:val="21"/>
                <w:u w:val="none"/>
                <w:lang w:val="en-US" w:eastAsia="zh-CN" w:bidi="ar"/>
              </w:rPr>
              <w:t>100（NJ96）</w:t>
            </w:r>
          </w:p>
        </w:tc>
        <w:tc>
          <w:tcPr>
            <w:tcW w:w="2390" w:type="dxa"/>
          </w:tcPr>
          <w:p w14:paraId="4CE6E8A3">
            <w:pPr>
              <w:numPr>
                <w:ilvl w:val="-1"/>
                <w:numId w:val="0"/>
              </w:numPr>
              <w:spacing w:line="240" w:lineRule="auto"/>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60.9</w:t>
            </w:r>
          </w:p>
        </w:tc>
        <w:tc>
          <w:tcPr>
            <w:tcW w:w="2390" w:type="dxa"/>
          </w:tcPr>
          <w:p w14:paraId="289C3874">
            <w:pPr>
              <w:numPr>
                <w:ilvl w:val="-1"/>
                <w:numId w:val="0"/>
              </w:numPr>
              <w:spacing w:line="240" w:lineRule="auto"/>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6.9</w:t>
            </w:r>
          </w:p>
        </w:tc>
      </w:tr>
    </w:tbl>
    <w:p w14:paraId="5AFE7BD1">
      <w:pPr>
        <w:numPr>
          <w:ilvl w:val="-1"/>
          <w:numId w:val="0"/>
        </w:numPr>
        <w:spacing w:line="360" w:lineRule="auto"/>
        <w:ind w:firstLine="480" w:firstLineChars="200"/>
        <w:rPr>
          <w:rFonts w:hint="default" w:ascii="Times New Roman" w:hAnsi="Times New Roman" w:cs="Times New Roman"/>
          <w:lang w:val="en-US" w:eastAsia="zh-CN"/>
        </w:rPr>
      </w:pPr>
      <w:r>
        <w:rPr>
          <w:rFonts w:hint="default" w:ascii="Times New Roman" w:hAnsi="Times New Roman" w:cs="Times New Roman"/>
        </w:rPr>
        <w:t>超缓凝混凝土的主要特点是凝结时间长、早期强度低、后期强度发展快。因此，在配合比设计时，采用提高矿物掺合料掺量、提高试配强度</w:t>
      </w:r>
      <w:r>
        <w:rPr>
          <w:rFonts w:hint="default" w:ascii="Times New Roman" w:hAnsi="Times New Roman" w:cs="Times New Roman"/>
          <w:lang w:eastAsia="zh-CN"/>
        </w:rPr>
        <w:t>。</w:t>
      </w:r>
      <w:r>
        <w:rPr>
          <w:rFonts w:hint="default" w:ascii="Times New Roman" w:hAnsi="Times New Roman" w:cs="Times New Roman"/>
          <w:lang w:val="en-US" w:eastAsia="zh-CN"/>
        </w:rPr>
        <w:t>通过调研以及大量的试验结果证明，初凝时间的不断延长，对混凝土28d抗压强度会有一定的影响，由表3可知，</w:t>
      </w:r>
      <w:r>
        <w:rPr>
          <w:rFonts w:hint="default" w:ascii="Times New Roman" w:hAnsi="Times New Roman" w:cs="Times New Roman"/>
          <w:sz w:val="24"/>
          <w:szCs w:val="24"/>
          <w:lang w:val="en-US" w:eastAsia="zh-CN"/>
        </w:rPr>
        <w:t>NJ36等级的超缓凝混凝土对28</w:t>
      </w:r>
      <w:r>
        <w:rPr>
          <w:rFonts w:hint="default" w:ascii="Times New Roman" w:hAnsi="Times New Roman" w:cs="Times New Roman"/>
          <w:lang w:val="en-US" w:eastAsia="zh-CN"/>
        </w:rPr>
        <w:t>抗压强度影响不大，抗压强度降低不足1</w:t>
      </w:r>
      <w:r>
        <w:rPr>
          <w:rFonts w:hint="default" w:ascii="Times New Roman" w:hAnsi="Times New Roman" w:cs="Times New Roman"/>
          <w:i w:val="0"/>
          <w:iCs w:val="0"/>
          <w:color w:val="000000"/>
          <w:kern w:val="0"/>
          <w:sz w:val="24"/>
          <w:szCs w:val="24"/>
          <w:u w:val="none"/>
          <w:lang w:val="en-US" w:eastAsia="zh-CN" w:bidi="ar"/>
        </w:rPr>
        <w:t>MPa，不足</w:t>
      </w:r>
      <w:r>
        <w:rPr>
          <w:rFonts w:hint="eastAsia" w:ascii="Times New Roman" w:hAnsi="Times New Roman" w:cs="Times New Roman"/>
          <w:i w:val="0"/>
          <w:iCs w:val="0"/>
          <w:color w:val="000000"/>
          <w:kern w:val="0"/>
          <w:sz w:val="24"/>
          <w:szCs w:val="24"/>
          <w:u w:val="none"/>
          <w:lang w:val="en-US" w:eastAsia="zh-CN" w:bidi="ar"/>
        </w:rPr>
        <w:t>（1.645×1）</w:t>
      </w:r>
      <w:r>
        <w:rPr>
          <w:rFonts w:hint="default" w:ascii="Times New Roman" w:hAnsi="Times New Roman" w:cs="Times New Roman"/>
          <w:i w:val="0"/>
          <w:iCs w:val="0"/>
          <w:color w:val="000000"/>
          <w:kern w:val="0"/>
          <w:sz w:val="24"/>
          <w:szCs w:val="24"/>
          <w:u w:val="none"/>
          <w:lang w:val="en-US" w:eastAsia="zh-CN" w:bidi="ar"/>
        </w:rPr>
        <w:t>MPa，为了保证超缓凝混凝土的</w:t>
      </w:r>
      <w:r>
        <w:rPr>
          <w:rFonts w:hint="default" w:ascii="Times New Roman" w:hAnsi="Times New Roman" w:cs="Times New Roman"/>
          <w:sz w:val="24"/>
          <w:szCs w:val="24"/>
          <w:lang w:val="en-US" w:eastAsia="zh-CN"/>
        </w:rPr>
        <w:t>28</w:t>
      </w:r>
      <w:r>
        <w:rPr>
          <w:rFonts w:hint="default" w:ascii="Times New Roman" w:hAnsi="Times New Roman" w:cs="Times New Roman"/>
          <w:lang w:val="en-US" w:eastAsia="zh-CN"/>
        </w:rPr>
        <w:t>抗压强度，</w:t>
      </w:r>
      <w:r>
        <w:rPr>
          <w:rFonts w:hint="default" w:ascii="Times New Roman" w:hAnsi="Times New Roman" w:cs="Times New Roman"/>
          <w:i w:val="0"/>
          <w:iCs w:val="0"/>
          <w:color w:val="000000"/>
          <w:kern w:val="0"/>
          <w:sz w:val="24"/>
          <w:szCs w:val="24"/>
          <w:u w:val="none"/>
          <w:lang w:val="en-US" w:eastAsia="zh-CN" w:bidi="ar"/>
        </w:rPr>
        <w:t>配合比设计时，对于</w:t>
      </w:r>
      <w:r>
        <w:rPr>
          <w:rFonts w:hint="default" w:ascii="Times New Roman" w:hAnsi="Times New Roman" w:cs="Times New Roman"/>
          <w:sz w:val="24"/>
          <w:szCs w:val="24"/>
          <w:lang w:val="en-US" w:eastAsia="zh-CN"/>
        </w:rPr>
        <w:t>NJ24和NJ36等级的超缓凝混凝土</w:t>
      </w:r>
      <w:r>
        <w:rPr>
          <w:rFonts w:hint="default" w:ascii="Times New Roman" w:hAnsi="Times New Roman" w:cs="Times New Roman"/>
          <w:i w:val="0"/>
          <w:iCs w:val="0"/>
          <w:color w:val="000000"/>
          <w:kern w:val="0"/>
          <w:sz w:val="24"/>
          <w:szCs w:val="24"/>
          <w:u w:val="none"/>
          <w:lang w:val="en-US" w:eastAsia="zh-CN" w:bidi="ar"/>
        </w:rPr>
        <w:t>应</w:t>
      </w:r>
      <w:r>
        <w:rPr>
          <w:rFonts w:hint="eastAsia" w:ascii="Times New Roman" w:hAnsi="Times New Roman" w:cs="Times New Roman"/>
          <w:i w:val="0"/>
          <w:iCs w:val="0"/>
          <w:color w:val="000000"/>
          <w:kern w:val="0"/>
          <w:sz w:val="24"/>
          <w:szCs w:val="24"/>
          <w:u w:val="none"/>
          <w:lang w:val="en-US" w:eastAsia="zh-CN" w:bidi="ar"/>
        </w:rPr>
        <w:t>在JGJ 55规定的基础上</w:t>
      </w:r>
      <w:r>
        <w:rPr>
          <w:rFonts w:hint="default" w:ascii="Times New Roman" w:hAnsi="Times New Roman" w:cs="Times New Roman"/>
          <w:i w:val="0"/>
          <w:iCs w:val="0"/>
          <w:color w:val="000000"/>
          <w:kern w:val="0"/>
          <w:sz w:val="24"/>
          <w:szCs w:val="24"/>
          <w:u w:val="none"/>
          <w:lang w:val="en-US" w:eastAsia="zh-CN" w:bidi="ar"/>
        </w:rPr>
        <w:t>标准差</w:t>
      </w:r>
      <w:r>
        <w:rPr>
          <w:rFonts w:hint="eastAsia" w:ascii="Times New Roman" w:hAnsi="Times New Roman" w:cs="Times New Roman"/>
          <w:i w:val="0"/>
          <w:iCs w:val="0"/>
          <w:color w:val="000000"/>
          <w:kern w:val="0"/>
          <w:sz w:val="24"/>
          <w:szCs w:val="24"/>
          <w:u w:val="none"/>
          <w:lang w:val="en-US" w:eastAsia="zh-CN" w:bidi="ar"/>
        </w:rPr>
        <w:t>增加1</w:t>
      </w:r>
      <w:r>
        <w:rPr>
          <w:rFonts w:hint="default" w:ascii="Times New Roman" w:hAnsi="Times New Roman" w:cs="Times New Roman"/>
          <w:i w:val="0"/>
          <w:iCs w:val="0"/>
          <w:color w:val="000000"/>
          <w:kern w:val="0"/>
          <w:sz w:val="24"/>
          <w:szCs w:val="24"/>
          <w:u w:val="none"/>
          <w:lang w:val="en-US" w:eastAsia="zh-CN" w:bidi="ar"/>
        </w:rPr>
        <w:t>；NJ72等级的超缓凝混凝土</w:t>
      </w:r>
      <w:r>
        <w:rPr>
          <w:rFonts w:hint="default" w:ascii="Times New Roman" w:hAnsi="Times New Roman" w:cs="Times New Roman"/>
          <w:sz w:val="24"/>
          <w:szCs w:val="24"/>
          <w:lang w:val="en-US" w:eastAsia="zh-CN"/>
        </w:rPr>
        <w:t>28</w:t>
      </w:r>
      <w:r>
        <w:rPr>
          <w:rFonts w:hint="default" w:ascii="Times New Roman" w:hAnsi="Times New Roman" w:cs="Times New Roman"/>
          <w:lang w:val="en-US" w:eastAsia="zh-CN"/>
        </w:rPr>
        <w:t>抗压强度降低</w:t>
      </w:r>
      <w:r>
        <w:rPr>
          <w:rFonts w:hint="eastAsia" w:ascii="Times New Roman" w:hAnsi="Times New Roman" w:cs="Times New Roman"/>
          <w:lang w:val="en-US" w:eastAsia="zh-CN"/>
        </w:rPr>
        <w:t>约</w:t>
      </w:r>
      <w:r>
        <w:rPr>
          <w:rFonts w:hint="eastAsia" w:ascii="Times New Roman" w:hAnsi="Times New Roman" w:cs="Times New Roman"/>
          <w:i w:val="0"/>
          <w:iCs w:val="0"/>
          <w:color w:val="000000"/>
          <w:kern w:val="0"/>
          <w:sz w:val="24"/>
          <w:szCs w:val="24"/>
          <w:u w:val="none"/>
          <w:lang w:val="en-US" w:eastAsia="zh-CN" w:bidi="ar"/>
        </w:rPr>
        <w:t>（1.645×2）</w:t>
      </w:r>
      <w:r>
        <w:rPr>
          <w:rFonts w:hint="default" w:ascii="Times New Roman" w:hAnsi="Times New Roman" w:cs="Times New Roman"/>
          <w:i w:val="0"/>
          <w:iCs w:val="0"/>
          <w:color w:val="000000"/>
          <w:kern w:val="0"/>
          <w:sz w:val="24"/>
          <w:szCs w:val="24"/>
          <w:u w:val="none"/>
          <w:lang w:val="en-US" w:eastAsia="zh-CN" w:bidi="ar"/>
        </w:rPr>
        <w:t>MPa</w:t>
      </w:r>
      <w:r>
        <w:rPr>
          <w:rFonts w:hint="default" w:ascii="Times New Roman" w:hAnsi="Times New Roman" w:cs="Times New Roman"/>
          <w:lang w:val="en-US" w:eastAsia="zh-CN"/>
        </w:rPr>
        <w:t>左右，</w:t>
      </w:r>
      <w:r>
        <w:rPr>
          <w:rFonts w:hint="default" w:ascii="Times New Roman" w:hAnsi="Times New Roman" w:cs="Times New Roman"/>
          <w:i w:val="0"/>
          <w:iCs w:val="0"/>
          <w:color w:val="000000"/>
          <w:kern w:val="0"/>
          <w:sz w:val="24"/>
          <w:szCs w:val="24"/>
          <w:u w:val="none"/>
          <w:lang w:val="en-US" w:eastAsia="zh-CN" w:bidi="ar"/>
        </w:rPr>
        <w:t>为了保证超缓凝混凝土的</w:t>
      </w:r>
      <w:r>
        <w:rPr>
          <w:rFonts w:hint="default" w:ascii="Times New Roman" w:hAnsi="Times New Roman" w:cs="Times New Roman"/>
          <w:sz w:val="24"/>
          <w:szCs w:val="24"/>
          <w:lang w:val="en-US" w:eastAsia="zh-CN"/>
        </w:rPr>
        <w:t>28</w:t>
      </w:r>
      <w:r>
        <w:rPr>
          <w:rFonts w:hint="default" w:ascii="Times New Roman" w:hAnsi="Times New Roman" w:cs="Times New Roman"/>
          <w:lang w:val="en-US" w:eastAsia="zh-CN"/>
        </w:rPr>
        <w:t>抗压强度，</w:t>
      </w:r>
      <w:r>
        <w:rPr>
          <w:rFonts w:hint="default" w:ascii="Times New Roman" w:hAnsi="Times New Roman" w:cs="Times New Roman"/>
          <w:i w:val="0"/>
          <w:iCs w:val="0"/>
          <w:color w:val="000000"/>
          <w:kern w:val="0"/>
          <w:sz w:val="24"/>
          <w:szCs w:val="24"/>
          <w:u w:val="none"/>
          <w:lang w:val="en-US" w:eastAsia="zh-CN" w:bidi="ar"/>
        </w:rPr>
        <w:t>配合比设计时，对于</w:t>
      </w:r>
      <w:r>
        <w:rPr>
          <w:rFonts w:hint="default" w:ascii="Times New Roman" w:hAnsi="Times New Roman" w:cs="Times New Roman"/>
          <w:sz w:val="24"/>
          <w:szCs w:val="24"/>
          <w:lang w:val="en-US" w:eastAsia="zh-CN"/>
        </w:rPr>
        <w:t>NJ48、NJ60和NJ72等级的超缓凝混凝土</w:t>
      </w:r>
      <w:r>
        <w:rPr>
          <w:rFonts w:hint="default" w:ascii="Times New Roman" w:hAnsi="Times New Roman" w:cs="Times New Roman"/>
          <w:i w:val="0"/>
          <w:iCs w:val="0"/>
          <w:color w:val="000000"/>
          <w:kern w:val="0"/>
          <w:sz w:val="24"/>
          <w:szCs w:val="24"/>
          <w:u w:val="none"/>
          <w:lang w:val="en-US" w:eastAsia="zh-CN" w:bidi="ar"/>
        </w:rPr>
        <w:t>标准差</w:t>
      </w:r>
      <w:r>
        <w:rPr>
          <w:rFonts w:hint="eastAsia" w:ascii="Times New Roman" w:hAnsi="Times New Roman" w:cs="Times New Roman"/>
          <w:i w:val="0"/>
          <w:iCs w:val="0"/>
          <w:color w:val="000000"/>
          <w:kern w:val="0"/>
          <w:sz w:val="24"/>
          <w:szCs w:val="24"/>
          <w:u w:val="none"/>
          <w:lang w:val="en-US" w:eastAsia="zh-CN" w:bidi="ar"/>
        </w:rPr>
        <w:t>增加3</w:t>
      </w:r>
      <w:r>
        <w:rPr>
          <w:rFonts w:hint="default" w:ascii="Times New Roman" w:hAnsi="Times New Roman" w:cs="Times New Roman"/>
          <w:i w:val="0"/>
          <w:iCs w:val="0"/>
          <w:color w:val="000000"/>
          <w:kern w:val="0"/>
          <w:sz w:val="24"/>
          <w:szCs w:val="24"/>
          <w:u w:val="none"/>
          <w:lang w:val="en-US" w:eastAsia="zh-CN" w:bidi="ar"/>
        </w:rPr>
        <w:t>；NJ96等级的超缓凝混凝土</w:t>
      </w:r>
      <w:r>
        <w:rPr>
          <w:rFonts w:hint="default" w:ascii="Times New Roman" w:hAnsi="Times New Roman" w:cs="Times New Roman"/>
          <w:sz w:val="24"/>
          <w:szCs w:val="24"/>
          <w:lang w:val="en-US" w:eastAsia="zh-CN"/>
        </w:rPr>
        <w:t>28</w:t>
      </w:r>
      <w:r>
        <w:rPr>
          <w:rFonts w:hint="default" w:ascii="Times New Roman" w:hAnsi="Times New Roman" w:cs="Times New Roman"/>
          <w:lang w:val="en-US" w:eastAsia="zh-CN"/>
        </w:rPr>
        <w:t>抗压强度降低</w:t>
      </w:r>
      <w:r>
        <w:rPr>
          <w:rFonts w:hint="eastAsia" w:ascii="Times New Roman" w:hAnsi="Times New Roman" w:cs="Times New Roman"/>
          <w:lang w:val="en-US" w:eastAsia="zh-CN"/>
        </w:rPr>
        <w:t>约</w:t>
      </w:r>
      <w:r>
        <w:rPr>
          <w:rFonts w:hint="eastAsia" w:ascii="Times New Roman" w:hAnsi="Times New Roman" w:cs="Times New Roman"/>
          <w:i w:val="0"/>
          <w:iCs w:val="0"/>
          <w:color w:val="000000"/>
          <w:kern w:val="0"/>
          <w:sz w:val="24"/>
          <w:szCs w:val="24"/>
          <w:u w:val="none"/>
          <w:lang w:val="en-US" w:eastAsia="zh-CN" w:bidi="ar"/>
        </w:rPr>
        <w:t>（1.645×4）</w:t>
      </w:r>
      <w:r>
        <w:rPr>
          <w:rFonts w:hint="default" w:ascii="Times New Roman" w:hAnsi="Times New Roman" w:cs="Times New Roman"/>
          <w:i w:val="0"/>
          <w:iCs w:val="0"/>
          <w:color w:val="000000"/>
          <w:kern w:val="0"/>
          <w:sz w:val="24"/>
          <w:szCs w:val="24"/>
          <w:u w:val="none"/>
          <w:lang w:val="en-US" w:eastAsia="zh-CN" w:bidi="ar"/>
        </w:rPr>
        <w:t>MPa</w:t>
      </w:r>
      <w:r>
        <w:rPr>
          <w:rFonts w:hint="default" w:ascii="Times New Roman" w:hAnsi="Times New Roman" w:cs="Times New Roman"/>
          <w:lang w:val="en-US" w:eastAsia="zh-CN"/>
        </w:rPr>
        <w:t>左右，</w:t>
      </w:r>
      <w:r>
        <w:rPr>
          <w:rFonts w:hint="default" w:ascii="Times New Roman" w:hAnsi="Times New Roman" w:cs="Times New Roman"/>
          <w:i w:val="0"/>
          <w:iCs w:val="0"/>
          <w:color w:val="000000"/>
          <w:kern w:val="0"/>
          <w:sz w:val="24"/>
          <w:szCs w:val="24"/>
          <w:u w:val="none"/>
          <w:lang w:val="en-US" w:eastAsia="zh-CN" w:bidi="ar"/>
        </w:rPr>
        <w:t>为了保证超缓凝混凝土的</w:t>
      </w:r>
      <w:r>
        <w:rPr>
          <w:rFonts w:hint="default" w:ascii="Times New Roman" w:hAnsi="Times New Roman" w:cs="Times New Roman"/>
          <w:sz w:val="24"/>
          <w:szCs w:val="24"/>
          <w:lang w:val="en-US" w:eastAsia="zh-CN"/>
        </w:rPr>
        <w:t>28</w:t>
      </w:r>
      <w:r>
        <w:rPr>
          <w:rFonts w:hint="default" w:ascii="Times New Roman" w:hAnsi="Times New Roman" w:cs="Times New Roman"/>
          <w:lang w:val="en-US" w:eastAsia="zh-CN"/>
        </w:rPr>
        <w:t>抗压强度，</w:t>
      </w:r>
      <w:r>
        <w:rPr>
          <w:rFonts w:hint="default" w:ascii="Times New Roman" w:hAnsi="Times New Roman" w:cs="Times New Roman"/>
          <w:i w:val="0"/>
          <w:iCs w:val="0"/>
          <w:color w:val="000000"/>
          <w:kern w:val="0"/>
          <w:sz w:val="24"/>
          <w:szCs w:val="24"/>
          <w:u w:val="none"/>
          <w:lang w:val="en-US" w:eastAsia="zh-CN" w:bidi="ar"/>
        </w:rPr>
        <w:t>配合比设计时，对于</w:t>
      </w:r>
      <w:r>
        <w:rPr>
          <w:rFonts w:hint="default" w:ascii="Times New Roman" w:hAnsi="Times New Roman" w:cs="Times New Roman"/>
          <w:sz w:val="24"/>
          <w:szCs w:val="24"/>
          <w:lang w:val="en-US" w:eastAsia="zh-CN"/>
        </w:rPr>
        <w:t>NJ84和NJ96等级的超缓凝混凝土</w:t>
      </w:r>
      <w:r>
        <w:rPr>
          <w:rFonts w:hint="default" w:ascii="Times New Roman" w:hAnsi="Times New Roman" w:cs="Times New Roman"/>
          <w:i w:val="0"/>
          <w:iCs w:val="0"/>
          <w:color w:val="000000"/>
          <w:kern w:val="0"/>
          <w:sz w:val="24"/>
          <w:szCs w:val="24"/>
          <w:u w:val="none"/>
          <w:lang w:val="en-US" w:eastAsia="zh-CN" w:bidi="ar"/>
        </w:rPr>
        <w:t>标准差</w:t>
      </w:r>
      <w:r>
        <w:rPr>
          <w:rFonts w:hint="eastAsia" w:ascii="Times New Roman" w:hAnsi="Times New Roman" w:cs="Times New Roman"/>
          <w:i w:val="0"/>
          <w:iCs w:val="0"/>
          <w:color w:val="000000"/>
          <w:kern w:val="0"/>
          <w:sz w:val="24"/>
          <w:szCs w:val="24"/>
          <w:u w:val="none"/>
          <w:lang w:val="en-US" w:eastAsia="zh-CN" w:bidi="ar"/>
        </w:rPr>
        <w:t>增加5</w:t>
      </w:r>
      <w:r>
        <w:rPr>
          <w:rFonts w:hint="default" w:ascii="Times New Roman" w:hAnsi="Times New Roman" w:cs="Times New Roman"/>
          <w:i w:val="0"/>
          <w:iCs w:val="0"/>
          <w:color w:val="000000"/>
          <w:kern w:val="0"/>
          <w:sz w:val="24"/>
          <w:szCs w:val="24"/>
          <w:u w:val="none"/>
          <w:lang w:val="en-US" w:eastAsia="zh-CN" w:bidi="ar"/>
        </w:rPr>
        <w:t>。</w:t>
      </w:r>
    </w:p>
    <w:p w14:paraId="002B71D8">
      <w:pPr>
        <w:numPr>
          <w:ilvl w:val="0"/>
          <w:numId w:val="11"/>
        </w:numPr>
        <w:spacing w:line="360" w:lineRule="auto"/>
        <w:jc w:val="both"/>
        <w:rPr>
          <w:rFonts w:hint="default" w:ascii="Times New Roman" w:hAnsi="Times New Roman" w:cs="Times New Roman"/>
          <w:sz w:val="24"/>
          <w:szCs w:val="28"/>
          <w:lang w:val="en-US" w:eastAsia="zh-CN"/>
        </w:rPr>
      </w:pPr>
      <w:r>
        <w:rPr>
          <w:rFonts w:hint="default" w:ascii="Times New Roman" w:hAnsi="Times New Roman" w:cs="Times New Roman"/>
          <w:sz w:val="24"/>
          <w:szCs w:val="28"/>
          <w:lang w:val="en-US" w:eastAsia="zh-CN"/>
        </w:rPr>
        <w:t>坍落度、坍落度经时损失和扩展度</w:t>
      </w:r>
    </w:p>
    <w:p w14:paraId="7F62AAD4">
      <w:pPr>
        <w:numPr>
          <w:ilvl w:val="-1"/>
          <w:numId w:val="0"/>
        </w:numPr>
        <w:spacing w:line="360" w:lineRule="auto"/>
        <w:ind w:firstLine="480" w:firstLineChars="200"/>
        <w:jc w:val="both"/>
        <w:rPr>
          <w:rFonts w:hint="default" w:ascii="Times New Roman" w:hAnsi="Times New Roman" w:cs="Times New Roman"/>
          <w:sz w:val="24"/>
          <w:szCs w:val="28"/>
          <w:lang w:val="en-US" w:eastAsia="zh-CN"/>
        </w:rPr>
      </w:pPr>
      <w:r>
        <w:rPr>
          <w:rFonts w:hint="default" w:ascii="Times New Roman" w:hAnsi="Times New Roman" w:cs="Times New Roman"/>
          <w:sz w:val="24"/>
          <w:szCs w:val="28"/>
          <w:lang w:val="en-US" w:eastAsia="zh-CN"/>
        </w:rPr>
        <w:t>超缓凝混凝土作为一种预拌混凝土，其拌合物的坍落度和扩展度是应满足施工要求的，本标准没有特殊规定，</w:t>
      </w:r>
      <w:r>
        <w:rPr>
          <w:rFonts w:hint="default" w:ascii="Times New Roman" w:hAnsi="Times New Roman" w:cs="Times New Roman"/>
          <w:szCs w:val="28"/>
        </w:rPr>
        <w:t>实测值与控制目标值的允许偏差</w:t>
      </w:r>
      <w:r>
        <w:rPr>
          <w:rFonts w:hint="default" w:ascii="Times New Roman" w:hAnsi="Times New Roman" w:cs="Times New Roman"/>
          <w:szCs w:val="28"/>
          <w:lang w:val="en-US" w:eastAsia="zh-CN"/>
        </w:rPr>
        <w:t>均</w:t>
      </w:r>
      <w:r>
        <w:rPr>
          <w:rFonts w:hint="default" w:ascii="Times New Roman" w:hAnsi="Times New Roman" w:cs="Times New Roman"/>
          <w:szCs w:val="28"/>
        </w:rPr>
        <w:t>符合GB/T 14902</w:t>
      </w:r>
      <w:r>
        <w:rPr>
          <w:rFonts w:hint="default" w:ascii="Times New Roman" w:hAnsi="Times New Roman" w:cs="Times New Roman"/>
          <w:szCs w:val="28"/>
          <w:lang w:eastAsia="zh-CN"/>
        </w:rPr>
        <w:t>，</w:t>
      </w:r>
      <w:r>
        <w:rPr>
          <w:rFonts w:hint="default" w:ascii="Times New Roman" w:hAnsi="Times New Roman" w:cs="Times New Roman"/>
          <w:szCs w:val="28"/>
          <w:lang w:val="en-US" w:eastAsia="zh-CN"/>
        </w:rPr>
        <w:t>不再进行验证，只对</w:t>
      </w:r>
      <w:r>
        <w:rPr>
          <w:rFonts w:hint="default" w:ascii="Times New Roman" w:hAnsi="Times New Roman" w:cs="Times New Roman"/>
          <w:sz w:val="24"/>
          <w:szCs w:val="28"/>
          <w:lang w:val="en-US" w:eastAsia="zh-CN"/>
        </w:rPr>
        <w:t>坍落度经时损失进行验证，验证试验如下：</w:t>
      </w:r>
    </w:p>
    <w:p w14:paraId="66A6F401">
      <w:pPr>
        <w:numPr>
          <w:ilvl w:val="-1"/>
          <w:numId w:val="0"/>
        </w:numPr>
        <w:spacing w:line="360" w:lineRule="auto"/>
        <w:ind w:firstLine="0" w:firstLineChars="0"/>
        <w:jc w:val="center"/>
        <w:rPr>
          <w:rFonts w:hint="default" w:ascii="Times New Roman" w:hAnsi="Times New Roman" w:cs="Times New Roman"/>
          <w:sz w:val="24"/>
          <w:szCs w:val="28"/>
          <w:vertAlign w:val="baseline"/>
          <w:lang w:val="en-US" w:eastAsia="zh-CN"/>
        </w:rPr>
      </w:pPr>
      <w:r>
        <w:rPr>
          <w:rFonts w:hint="default" w:ascii="Times New Roman" w:hAnsi="Times New Roman" w:cs="Times New Roman"/>
          <w:sz w:val="24"/>
          <w:szCs w:val="28"/>
          <w:lang w:val="en-US" w:eastAsia="zh-CN"/>
        </w:rPr>
        <w:t>表4 坍落度经时损失验证试验结果</w:t>
      </w:r>
    </w:p>
    <w:tbl>
      <w:tblPr>
        <w:tblStyle w:val="20"/>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396"/>
        <w:gridCol w:w="6120"/>
      </w:tblGrid>
      <w:tr w14:paraId="3472504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4" w:hRule="atLeast"/>
        </w:trPr>
        <w:tc>
          <w:tcPr>
            <w:tcW w:w="2396" w:type="dxa"/>
            <w:vAlign w:val="center"/>
          </w:tcPr>
          <w:p w14:paraId="00754DB7">
            <w:pPr>
              <w:numPr>
                <w:ilvl w:val="-1"/>
                <w:numId w:val="0"/>
              </w:numPr>
              <w:spacing w:line="240" w:lineRule="auto"/>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配合比</w:t>
            </w:r>
          </w:p>
        </w:tc>
        <w:tc>
          <w:tcPr>
            <w:tcW w:w="6120" w:type="dxa"/>
            <w:vAlign w:val="center"/>
          </w:tcPr>
          <w:p w14:paraId="5E2C3B29">
            <w:pPr>
              <w:numPr>
                <w:ilvl w:val="-1"/>
                <w:numId w:val="0"/>
              </w:numPr>
              <w:spacing w:line="240" w:lineRule="auto"/>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lang w:val="en-US" w:eastAsia="zh-CN"/>
              </w:rPr>
              <w:t>坍落度经时损失/mm</w:t>
            </w:r>
          </w:p>
        </w:tc>
      </w:tr>
      <w:tr w14:paraId="03A36F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4" w:hRule="atLeast"/>
        </w:trPr>
        <w:tc>
          <w:tcPr>
            <w:tcW w:w="2396" w:type="dxa"/>
            <w:vAlign w:val="center"/>
          </w:tcPr>
          <w:p w14:paraId="31B7EF56">
            <w:pPr>
              <w:numPr>
                <w:ilvl w:val="-1"/>
                <w:numId w:val="0"/>
              </w:numPr>
              <w:spacing w:line="240" w:lineRule="auto"/>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1</w:t>
            </w:r>
          </w:p>
        </w:tc>
        <w:tc>
          <w:tcPr>
            <w:tcW w:w="6120" w:type="dxa"/>
            <w:vAlign w:val="center"/>
          </w:tcPr>
          <w:p w14:paraId="55C2B875">
            <w:pPr>
              <w:numPr>
                <w:ilvl w:val="-1"/>
                <w:numId w:val="0"/>
              </w:numPr>
              <w:spacing w:line="240" w:lineRule="auto"/>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0</w:t>
            </w:r>
          </w:p>
        </w:tc>
      </w:tr>
      <w:tr w14:paraId="2983C4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4" w:hRule="atLeast"/>
        </w:trPr>
        <w:tc>
          <w:tcPr>
            <w:tcW w:w="2396" w:type="dxa"/>
            <w:vAlign w:val="center"/>
          </w:tcPr>
          <w:p w14:paraId="59CC4699">
            <w:pPr>
              <w:numPr>
                <w:ilvl w:val="-1"/>
                <w:numId w:val="0"/>
              </w:numPr>
              <w:spacing w:line="240" w:lineRule="auto"/>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2</w:t>
            </w:r>
          </w:p>
        </w:tc>
        <w:tc>
          <w:tcPr>
            <w:tcW w:w="6120" w:type="dxa"/>
            <w:vAlign w:val="center"/>
          </w:tcPr>
          <w:p w14:paraId="784851E4">
            <w:pPr>
              <w:numPr>
                <w:ilvl w:val="-1"/>
                <w:numId w:val="0"/>
              </w:numPr>
              <w:spacing w:line="240" w:lineRule="auto"/>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5</w:t>
            </w:r>
          </w:p>
        </w:tc>
      </w:tr>
      <w:tr w14:paraId="67B5F8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2396" w:type="dxa"/>
            <w:vAlign w:val="center"/>
          </w:tcPr>
          <w:p w14:paraId="79DDBA02">
            <w:pPr>
              <w:numPr>
                <w:ilvl w:val="-1"/>
                <w:numId w:val="0"/>
              </w:numPr>
              <w:spacing w:line="240" w:lineRule="auto"/>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3</w:t>
            </w:r>
          </w:p>
        </w:tc>
        <w:tc>
          <w:tcPr>
            <w:tcW w:w="6120" w:type="dxa"/>
            <w:vAlign w:val="center"/>
          </w:tcPr>
          <w:p w14:paraId="42ED58B1">
            <w:pPr>
              <w:numPr>
                <w:ilvl w:val="-1"/>
                <w:numId w:val="0"/>
              </w:numPr>
              <w:spacing w:line="240" w:lineRule="auto"/>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15</w:t>
            </w:r>
          </w:p>
        </w:tc>
      </w:tr>
      <w:tr w14:paraId="46C0772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4" w:hRule="atLeast"/>
        </w:trPr>
        <w:tc>
          <w:tcPr>
            <w:tcW w:w="2396" w:type="dxa"/>
            <w:vAlign w:val="center"/>
          </w:tcPr>
          <w:p w14:paraId="1DB78A52">
            <w:pPr>
              <w:numPr>
                <w:ilvl w:val="-1"/>
                <w:numId w:val="0"/>
              </w:numPr>
              <w:spacing w:line="240" w:lineRule="auto"/>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4</w:t>
            </w:r>
          </w:p>
        </w:tc>
        <w:tc>
          <w:tcPr>
            <w:tcW w:w="6120" w:type="dxa"/>
            <w:vAlign w:val="center"/>
          </w:tcPr>
          <w:p w14:paraId="617DD56E">
            <w:pPr>
              <w:numPr>
                <w:ilvl w:val="-1"/>
                <w:numId w:val="0"/>
              </w:numPr>
              <w:spacing w:line="240" w:lineRule="auto"/>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10</w:t>
            </w:r>
          </w:p>
        </w:tc>
      </w:tr>
      <w:tr w14:paraId="4A430F0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4" w:hRule="atLeast"/>
        </w:trPr>
        <w:tc>
          <w:tcPr>
            <w:tcW w:w="2396" w:type="dxa"/>
            <w:vAlign w:val="center"/>
          </w:tcPr>
          <w:p w14:paraId="703E15CA">
            <w:pPr>
              <w:numPr>
                <w:ilvl w:val="-1"/>
                <w:numId w:val="0"/>
              </w:numPr>
              <w:spacing w:line="240" w:lineRule="auto"/>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5</w:t>
            </w:r>
          </w:p>
        </w:tc>
        <w:tc>
          <w:tcPr>
            <w:tcW w:w="6120" w:type="dxa"/>
            <w:vAlign w:val="center"/>
          </w:tcPr>
          <w:p w14:paraId="590DA9F8">
            <w:pPr>
              <w:numPr>
                <w:ilvl w:val="-1"/>
                <w:numId w:val="0"/>
              </w:numPr>
              <w:spacing w:line="240" w:lineRule="auto"/>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0</w:t>
            </w:r>
          </w:p>
        </w:tc>
      </w:tr>
      <w:tr w14:paraId="2A991B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4" w:hRule="atLeast"/>
        </w:trPr>
        <w:tc>
          <w:tcPr>
            <w:tcW w:w="2396" w:type="dxa"/>
            <w:vAlign w:val="center"/>
          </w:tcPr>
          <w:p w14:paraId="512F8022">
            <w:pPr>
              <w:numPr>
                <w:ilvl w:val="-1"/>
                <w:numId w:val="0"/>
              </w:numPr>
              <w:spacing w:line="240" w:lineRule="auto"/>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6</w:t>
            </w:r>
          </w:p>
        </w:tc>
        <w:tc>
          <w:tcPr>
            <w:tcW w:w="6120" w:type="dxa"/>
            <w:vAlign w:val="center"/>
          </w:tcPr>
          <w:p w14:paraId="7D0DE1AD">
            <w:pPr>
              <w:numPr>
                <w:ilvl w:val="-1"/>
                <w:numId w:val="0"/>
              </w:numPr>
              <w:spacing w:line="240" w:lineRule="auto"/>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5</w:t>
            </w:r>
          </w:p>
        </w:tc>
      </w:tr>
      <w:tr w14:paraId="77AAB92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4" w:hRule="atLeast"/>
        </w:trPr>
        <w:tc>
          <w:tcPr>
            <w:tcW w:w="2396" w:type="dxa"/>
            <w:vAlign w:val="center"/>
          </w:tcPr>
          <w:p w14:paraId="5E8C0D0E">
            <w:pPr>
              <w:numPr>
                <w:ilvl w:val="-1"/>
                <w:numId w:val="0"/>
              </w:numPr>
              <w:spacing w:line="240" w:lineRule="auto"/>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7</w:t>
            </w:r>
          </w:p>
        </w:tc>
        <w:tc>
          <w:tcPr>
            <w:tcW w:w="6120" w:type="dxa"/>
            <w:vAlign w:val="center"/>
          </w:tcPr>
          <w:p w14:paraId="3CDCDF7C">
            <w:pPr>
              <w:numPr>
                <w:ilvl w:val="-1"/>
                <w:numId w:val="0"/>
              </w:numPr>
              <w:spacing w:line="240" w:lineRule="auto"/>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30</w:t>
            </w:r>
          </w:p>
        </w:tc>
      </w:tr>
      <w:tr w14:paraId="72565C1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4" w:hRule="atLeast"/>
        </w:trPr>
        <w:tc>
          <w:tcPr>
            <w:tcW w:w="2396" w:type="dxa"/>
            <w:vAlign w:val="center"/>
          </w:tcPr>
          <w:p w14:paraId="1E061574">
            <w:pPr>
              <w:numPr>
                <w:ilvl w:val="-1"/>
                <w:numId w:val="0"/>
              </w:numPr>
              <w:spacing w:line="240" w:lineRule="auto"/>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8</w:t>
            </w:r>
          </w:p>
        </w:tc>
        <w:tc>
          <w:tcPr>
            <w:tcW w:w="6120" w:type="dxa"/>
            <w:vAlign w:val="center"/>
          </w:tcPr>
          <w:p w14:paraId="4D9EED70">
            <w:pPr>
              <w:numPr>
                <w:ilvl w:val="-1"/>
                <w:numId w:val="0"/>
              </w:numPr>
              <w:spacing w:line="240" w:lineRule="auto"/>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20</w:t>
            </w:r>
          </w:p>
        </w:tc>
      </w:tr>
      <w:tr w14:paraId="4F9A56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4" w:hRule="atLeast"/>
        </w:trPr>
        <w:tc>
          <w:tcPr>
            <w:tcW w:w="2396" w:type="dxa"/>
            <w:vAlign w:val="center"/>
          </w:tcPr>
          <w:p w14:paraId="0B01376D">
            <w:pPr>
              <w:numPr>
                <w:ilvl w:val="-1"/>
                <w:numId w:val="0"/>
              </w:numPr>
              <w:spacing w:line="240" w:lineRule="auto"/>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9</w:t>
            </w:r>
          </w:p>
        </w:tc>
        <w:tc>
          <w:tcPr>
            <w:tcW w:w="6120" w:type="dxa"/>
            <w:vAlign w:val="center"/>
          </w:tcPr>
          <w:p w14:paraId="66B55F7E">
            <w:pPr>
              <w:numPr>
                <w:ilvl w:val="-1"/>
                <w:numId w:val="0"/>
              </w:numPr>
              <w:spacing w:line="240" w:lineRule="auto"/>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0</w:t>
            </w:r>
          </w:p>
        </w:tc>
      </w:tr>
      <w:tr w14:paraId="1CD033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4" w:hRule="atLeast"/>
        </w:trPr>
        <w:tc>
          <w:tcPr>
            <w:tcW w:w="2396" w:type="dxa"/>
            <w:vAlign w:val="center"/>
          </w:tcPr>
          <w:p w14:paraId="76764985">
            <w:pPr>
              <w:numPr>
                <w:ilvl w:val="-1"/>
                <w:numId w:val="0"/>
              </w:numPr>
              <w:spacing w:line="240" w:lineRule="auto"/>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10</w:t>
            </w:r>
          </w:p>
        </w:tc>
        <w:tc>
          <w:tcPr>
            <w:tcW w:w="6120" w:type="dxa"/>
            <w:vAlign w:val="center"/>
          </w:tcPr>
          <w:p w14:paraId="6E13C32D">
            <w:pPr>
              <w:numPr>
                <w:ilvl w:val="-1"/>
                <w:numId w:val="0"/>
              </w:numPr>
              <w:spacing w:line="240" w:lineRule="auto"/>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10</w:t>
            </w:r>
          </w:p>
        </w:tc>
      </w:tr>
      <w:tr w14:paraId="5954433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4" w:hRule="atLeast"/>
        </w:trPr>
        <w:tc>
          <w:tcPr>
            <w:tcW w:w="2396" w:type="dxa"/>
            <w:vAlign w:val="center"/>
          </w:tcPr>
          <w:p w14:paraId="4AE66BEF">
            <w:pPr>
              <w:numPr>
                <w:ilvl w:val="-1"/>
                <w:numId w:val="0"/>
              </w:numPr>
              <w:spacing w:line="240" w:lineRule="auto"/>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12</w:t>
            </w:r>
          </w:p>
        </w:tc>
        <w:tc>
          <w:tcPr>
            <w:tcW w:w="6120" w:type="dxa"/>
            <w:vAlign w:val="center"/>
          </w:tcPr>
          <w:p w14:paraId="7A66CC8A">
            <w:pPr>
              <w:numPr>
                <w:ilvl w:val="-1"/>
                <w:numId w:val="0"/>
              </w:numPr>
              <w:spacing w:line="240" w:lineRule="auto"/>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5</w:t>
            </w:r>
          </w:p>
        </w:tc>
      </w:tr>
      <w:tr w14:paraId="235AC2C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4" w:hRule="atLeast"/>
        </w:trPr>
        <w:tc>
          <w:tcPr>
            <w:tcW w:w="2396" w:type="dxa"/>
            <w:vAlign w:val="center"/>
          </w:tcPr>
          <w:p w14:paraId="34A5EC15">
            <w:pPr>
              <w:numPr>
                <w:ilvl w:val="-1"/>
                <w:numId w:val="0"/>
              </w:numPr>
              <w:spacing w:line="240" w:lineRule="auto"/>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13</w:t>
            </w:r>
          </w:p>
        </w:tc>
        <w:tc>
          <w:tcPr>
            <w:tcW w:w="6120" w:type="dxa"/>
            <w:vAlign w:val="center"/>
          </w:tcPr>
          <w:p w14:paraId="3AE547FF">
            <w:pPr>
              <w:numPr>
                <w:ilvl w:val="-1"/>
                <w:numId w:val="0"/>
              </w:numPr>
              <w:spacing w:line="240" w:lineRule="auto"/>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shd w:val="clear" w:color="FFFFFF" w:fill="D9D9D9"/>
                <w:vertAlign w:val="baseline"/>
                <w:lang w:val="en-US" w:eastAsia="zh-CN"/>
              </w:rPr>
              <w:t>35</w:t>
            </w:r>
          </w:p>
        </w:tc>
      </w:tr>
      <w:tr w14:paraId="26D5E57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4" w:hRule="atLeast"/>
        </w:trPr>
        <w:tc>
          <w:tcPr>
            <w:tcW w:w="2396" w:type="dxa"/>
            <w:vAlign w:val="center"/>
          </w:tcPr>
          <w:p w14:paraId="4F8DA935">
            <w:pPr>
              <w:numPr>
                <w:ilvl w:val="-1"/>
                <w:numId w:val="0"/>
              </w:numPr>
              <w:spacing w:line="240" w:lineRule="auto"/>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14</w:t>
            </w:r>
          </w:p>
        </w:tc>
        <w:tc>
          <w:tcPr>
            <w:tcW w:w="6120" w:type="dxa"/>
            <w:vAlign w:val="center"/>
          </w:tcPr>
          <w:p w14:paraId="01CE4D69">
            <w:pPr>
              <w:numPr>
                <w:ilvl w:val="-1"/>
                <w:numId w:val="0"/>
              </w:numPr>
              <w:spacing w:line="240" w:lineRule="auto"/>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10</w:t>
            </w:r>
          </w:p>
        </w:tc>
      </w:tr>
      <w:tr w14:paraId="42E64C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4" w:hRule="atLeast"/>
        </w:trPr>
        <w:tc>
          <w:tcPr>
            <w:tcW w:w="2396" w:type="dxa"/>
            <w:vAlign w:val="center"/>
          </w:tcPr>
          <w:p w14:paraId="47E1BAC3">
            <w:pPr>
              <w:numPr>
                <w:ilvl w:val="-1"/>
                <w:numId w:val="0"/>
              </w:numPr>
              <w:spacing w:line="240" w:lineRule="auto"/>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15</w:t>
            </w:r>
          </w:p>
        </w:tc>
        <w:tc>
          <w:tcPr>
            <w:tcW w:w="6120" w:type="dxa"/>
            <w:vAlign w:val="center"/>
          </w:tcPr>
          <w:p w14:paraId="7EF588A4">
            <w:pPr>
              <w:numPr>
                <w:ilvl w:val="-1"/>
                <w:numId w:val="0"/>
              </w:numPr>
              <w:spacing w:line="240" w:lineRule="auto"/>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5</w:t>
            </w:r>
          </w:p>
        </w:tc>
      </w:tr>
    </w:tbl>
    <w:p w14:paraId="700F8B00">
      <w:pPr>
        <w:numPr>
          <w:ilvl w:val="-1"/>
          <w:numId w:val="0"/>
        </w:numPr>
        <w:spacing w:line="360" w:lineRule="auto"/>
        <w:ind w:firstLine="480" w:firstLineChars="200"/>
        <w:jc w:val="both"/>
        <w:rPr>
          <w:rFonts w:hint="default" w:ascii="Times New Roman" w:hAnsi="Times New Roman" w:cs="Times New Roman"/>
          <w:sz w:val="24"/>
          <w:szCs w:val="28"/>
          <w:lang w:val="en-US" w:eastAsia="zh-CN"/>
        </w:rPr>
      </w:pPr>
      <w:r>
        <w:rPr>
          <w:rFonts w:hint="default" w:ascii="Times New Roman" w:hAnsi="Times New Roman" w:cs="Times New Roman"/>
          <w:sz w:val="24"/>
          <w:szCs w:val="28"/>
          <w:lang w:val="en-US" w:eastAsia="zh-CN"/>
        </w:rPr>
        <w:t>由表4可知，</w:t>
      </w:r>
      <w:r>
        <w:rPr>
          <w:rFonts w:hint="default" w:ascii="Times New Roman" w:hAnsi="Times New Roman" w:cs="Times New Roman"/>
          <w:szCs w:val="28"/>
          <w:lang w:eastAsia="zh-CN"/>
        </w:rPr>
        <w:t>1</w:t>
      </w:r>
      <w:r>
        <w:rPr>
          <w:rFonts w:hint="default" w:ascii="Times New Roman" w:hAnsi="Times New Roman" w:cs="Times New Roman"/>
          <w:szCs w:val="28"/>
          <w:lang w:val="en-US" w:eastAsia="zh-CN"/>
        </w:rPr>
        <w:t>5</w:t>
      </w:r>
      <w:r>
        <w:rPr>
          <w:rFonts w:hint="default" w:ascii="Times New Roman" w:hAnsi="Times New Roman" w:cs="Times New Roman"/>
          <w:szCs w:val="28"/>
        </w:rPr>
        <w:t>个</w:t>
      </w:r>
      <w:r>
        <w:rPr>
          <w:rFonts w:hint="default" w:ascii="Times New Roman" w:hAnsi="Times New Roman" w:cs="Times New Roman"/>
          <w:szCs w:val="28"/>
          <w:lang w:val="en-US" w:eastAsia="zh-CN"/>
        </w:rPr>
        <w:t>组样品中</w:t>
      </w:r>
      <w:r>
        <w:rPr>
          <w:rFonts w:hint="default" w:ascii="Times New Roman" w:hAnsi="Times New Roman" w:cs="Times New Roman"/>
          <w:szCs w:val="28"/>
          <w:lang w:eastAsia="zh-CN"/>
        </w:rPr>
        <w:t>1</w:t>
      </w:r>
      <w:r>
        <w:rPr>
          <w:rFonts w:hint="default" w:ascii="Times New Roman" w:hAnsi="Times New Roman" w:cs="Times New Roman"/>
          <w:szCs w:val="28"/>
        </w:rPr>
        <w:t>组不符合指标要求，</w:t>
      </w:r>
      <w:r>
        <w:rPr>
          <w:rFonts w:hint="eastAsia" w:ascii="Times New Roman" w:hAnsi="Times New Roman" w:cs="Times New Roman"/>
          <w:szCs w:val="28"/>
          <w:lang w:val="en-US" w:eastAsia="zh-CN"/>
        </w:rPr>
        <w:t>合格</w:t>
      </w:r>
      <w:r>
        <w:rPr>
          <w:rFonts w:hint="default" w:ascii="Times New Roman" w:hAnsi="Times New Roman" w:cs="Times New Roman"/>
          <w:szCs w:val="28"/>
        </w:rPr>
        <w:t>率为</w:t>
      </w:r>
      <w:r>
        <w:rPr>
          <w:rFonts w:hint="default" w:ascii="Times New Roman" w:hAnsi="Times New Roman" w:cs="Times New Roman"/>
          <w:szCs w:val="28"/>
          <w:lang w:val="en-US" w:eastAsia="zh-CN"/>
        </w:rPr>
        <w:t>93</w:t>
      </w:r>
      <w:r>
        <w:rPr>
          <w:rFonts w:hint="default" w:ascii="Times New Roman" w:hAnsi="Times New Roman" w:cs="Times New Roman"/>
          <w:szCs w:val="28"/>
        </w:rPr>
        <w:t>%。</w:t>
      </w:r>
    </w:p>
    <w:p w14:paraId="6A5EE388">
      <w:pPr>
        <w:numPr>
          <w:ilvl w:val="0"/>
          <w:numId w:val="11"/>
        </w:numPr>
        <w:spacing w:line="360" w:lineRule="auto"/>
        <w:ind w:firstLine="0" w:firstLineChars="0"/>
        <w:jc w:val="both"/>
        <w:rPr>
          <w:rFonts w:hint="default" w:ascii="Times New Roman" w:hAnsi="Times New Roman" w:cs="Times New Roman"/>
          <w:sz w:val="24"/>
          <w:szCs w:val="28"/>
          <w:lang w:val="en-US" w:eastAsia="zh-CN"/>
        </w:rPr>
      </w:pPr>
      <w:r>
        <w:rPr>
          <w:rFonts w:hint="default" w:ascii="Times New Roman" w:hAnsi="Times New Roman" w:cs="Times New Roman"/>
          <w:sz w:val="24"/>
          <w:szCs w:val="28"/>
          <w:lang w:val="en-US" w:eastAsia="zh-CN"/>
        </w:rPr>
        <w:t>水溶性氯离子最大含量</w:t>
      </w:r>
    </w:p>
    <w:p w14:paraId="538F7814">
      <w:pPr>
        <w:numPr>
          <w:ilvl w:val="-1"/>
          <w:numId w:val="0"/>
        </w:numPr>
        <w:spacing w:line="360" w:lineRule="auto"/>
        <w:ind w:firstLine="480" w:firstLineChars="200"/>
        <w:jc w:val="both"/>
        <w:rPr>
          <w:rFonts w:hint="default" w:ascii="Times New Roman" w:hAnsi="Times New Roman" w:cs="Times New Roman"/>
          <w:sz w:val="24"/>
          <w:szCs w:val="28"/>
          <w:lang w:val="en-US" w:eastAsia="zh-CN"/>
        </w:rPr>
      </w:pPr>
      <w:r>
        <w:rPr>
          <w:rFonts w:hint="default" w:ascii="Times New Roman" w:hAnsi="Times New Roman" w:cs="Times New Roman"/>
          <w:sz w:val="24"/>
          <w:szCs w:val="28"/>
          <w:lang w:val="en-US" w:eastAsia="zh-CN"/>
        </w:rPr>
        <w:t>拌合物水溶性氯离子最大含量验证试验结果见表5。</w:t>
      </w:r>
    </w:p>
    <w:p w14:paraId="4AB3D71B">
      <w:pPr>
        <w:numPr>
          <w:ilvl w:val="-1"/>
          <w:numId w:val="0"/>
        </w:numPr>
        <w:spacing w:line="360" w:lineRule="auto"/>
        <w:ind w:firstLine="0" w:firstLineChars="0"/>
        <w:jc w:val="center"/>
        <w:rPr>
          <w:rFonts w:hint="default" w:ascii="Times New Roman" w:hAnsi="Times New Roman" w:cs="Times New Roman"/>
          <w:sz w:val="24"/>
          <w:szCs w:val="28"/>
          <w:vertAlign w:val="baseline"/>
          <w:lang w:val="en-US" w:eastAsia="zh-CN"/>
        </w:rPr>
      </w:pPr>
      <w:r>
        <w:rPr>
          <w:rFonts w:hint="default" w:ascii="Times New Roman" w:hAnsi="Times New Roman" w:cs="Times New Roman"/>
          <w:sz w:val="24"/>
          <w:szCs w:val="28"/>
          <w:lang w:val="en-US" w:eastAsia="zh-CN"/>
        </w:rPr>
        <w:t>表5 水溶性氯离子最大含量验证试验结果</w:t>
      </w:r>
    </w:p>
    <w:tbl>
      <w:tblPr>
        <w:tblStyle w:val="20"/>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396"/>
        <w:gridCol w:w="6120"/>
      </w:tblGrid>
      <w:tr w14:paraId="7D246EF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2396" w:type="dxa"/>
          </w:tcPr>
          <w:p w14:paraId="559B94DD">
            <w:pPr>
              <w:numPr>
                <w:ilvl w:val="-1"/>
                <w:numId w:val="0"/>
              </w:numPr>
              <w:spacing w:line="240" w:lineRule="auto"/>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配合比</w:t>
            </w:r>
          </w:p>
        </w:tc>
        <w:tc>
          <w:tcPr>
            <w:tcW w:w="6120" w:type="dxa"/>
          </w:tcPr>
          <w:p w14:paraId="354C8E7C">
            <w:pPr>
              <w:numPr>
                <w:ilvl w:val="-1"/>
                <w:numId w:val="0"/>
              </w:numPr>
              <w:spacing w:line="240" w:lineRule="auto"/>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lang w:val="en-US" w:eastAsia="zh-CN"/>
              </w:rPr>
              <w:t>水溶性氯离子最大含量/%</w:t>
            </w:r>
          </w:p>
        </w:tc>
      </w:tr>
      <w:tr w14:paraId="4B93AB0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396" w:type="dxa"/>
          </w:tcPr>
          <w:p w14:paraId="7C76F1C4">
            <w:pPr>
              <w:numPr>
                <w:ilvl w:val="-1"/>
                <w:numId w:val="0"/>
              </w:numPr>
              <w:spacing w:line="240" w:lineRule="auto"/>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1</w:t>
            </w:r>
          </w:p>
        </w:tc>
        <w:tc>
          <w:tcPr>
            <w:tcW w:w="6120" w:type="dxa"/>
          </w:tcPr>
          <w:p w14:paraId="08535760">
            <w:pPr>
              <w:numPr>
                <w:ilvl w:val="-1"/>
                <w:numId w:val="0"/>
              </w:numPr>
              <w:spacing w:line="240" w:lineRule="auto"/>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0.15</w:t>
            </w:r>
          </w:p>
        </w:tc>
      </w:tr>
      <w:tr w14:paraId="58A522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396" w:type="dxa"/>
          </w:tcPr>
          <w:p w14:paraId="2C3A1E5D">
            <w:pPr>
              <w:numPr>
                <w:ilvl w:val="-1"/>
                <w:numId w:val="0"/>
              </w:numPr>
              <w:spacing w:line="240" w:lineRule="auto"/>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2</w:t>
            </w:r>
          </w:p>
        </w:tc>
        <w:tc>
          <w:tcPr>
            <w:tcW w:w="6120" w:type="dxa"/>
          </w:tcPr>
          <w:p w14:paraId="6DD30AAB">
            <w:pPr>
              <w:numPr>
                <w:ilvl w:val="-1"/>
                <w:numId w:val="0"/>
              </w:numPr>
              <w:spacing w:line="240" w:lineRule="auto"/>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0.17</w:t>
            </w:r>
          </w:p>
        </w:tc>
      </w:tr>
      <w:tr w14:paraId="26B483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396" w:type="dxa"/>
          </w:tcPr>
          <w:p w14:paraId="1527820C">
            <w:pPr>
              <w:numPr>
                <w:ilvl w:val="-1"/>
                <w:numId w:val="0"/>
              </w:numPr>
              <w:spacing w:line="240" w:lineRule="auto"/>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3</w:t>
            </w:r>
          </w:p>
        </w:tc>
        <w:tc>
          <w:tcPr>
            <w:tcW w:w="6120" w:type="dxa"/>
          </w:tcPr>
          <w:p w14:paraId="727B08DA">
            <w:pPr>
              <w:numPr>
                <w:ilvl w:val="-1"/>
                <w:numId w:val="0"/>
              </w:numPr>
              <w:spacing w:line="240" w:lineRule="auto"/>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0.21</w:t>
            </w:r>
          </w:p>
        </w:tc>
      </w:tr>
      <w:tr w14:paraId="1FE05A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396" w:type="dxa"/>
          </w:tcPr>
          <w:p w14:paraId="3595959C">
            <w:pPr>
              <w:numPr>
                <w:ilvl w:val="-1"/>
                <w:numId w:val="0"/>
              </w:numPr>
              <w:spacing w:line="240" w:lineRule="auto"/>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4</w:t>
            </w:r>
          </w:p>
        </w:tc>
        <w:tc>
          <w:tcPr>
            <w:tcW w:w="6120" w:type="dxa"/>
          </w:tcPr>
          <w:p w14:paraId="32330243">
            <w:pPr>
              <w:numPr>
                <w:ilvl w:val="-1"/>
                <w:numId w:val="0"/>
              </w:numPr>
              <w:spacing w:line="240" w:lineRule="auto"/>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0.13</w:t>
            </w:r>
          </w:p>
        </w:tc>
      </w:tr>
      <w:tr w14:paraId="7F603A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396" w:type="dxa"/>
          </w:tcPr>
          <w:p w14:paraId="307BA230">
            <w:pPr>
              <w:numPr>
                <w:ilvl w:val="-1"/>
                <w:numId w:val="0"/>
              </w:numPr>
              <w:spacing w:line="240" w:lineRule="auto"/>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5</w:t>
            </w:r>
          </w:p>
        </w:tc>
        <w:tc>
          <w:tcPr>
            <w:tcW w:w="6120" w:type="dxa"/>
          </w:tcPr>
          <w:p w14:paraId="69C96A2C">
            <w:pPr>
              <w:numPr>
                <w:ilvl w:val="-1"/>
                <w:numId w:val="0"/>
              </w:numPr>
              <w:spacing w:line="240" w:lineRule="auto"/>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0.09</w:t>
            </w:r>
          </w:p>
        </w:tc>
      </w:tr>
      <w:tr w14:paraId="7775C4F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396" w:type="dxa"/>
          </w:tcPr>
          <w:p w14:paraId="1BB0BE8F">
            <w:pPr>
              <w:numPr>
                <w:ilvl w:val="-1"/>
                <w:numId w:val="0"/>
              </w:numPr>
              <w:spacing w:line="240" w:lineRule="auto"/>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6</w:t>
            </w:r>
          </w:p>
        </w:tc>
        <w:tc>
          <w:tcPr>
            <w:tcW w:w="6120" w:type="dxa"/>
          </w:tcPr>
          <w:p w14:paraId="180860DE">
            <w:pPr>
              <w:numPr>
                <w:ilvl w:val="-1"/>
                <w:numId w:val="0"/>
              </w:numPr>
              <w:spacing w:line="240" w:lineRule="auto"/>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0.11</w:t>
            </w:r>
          </w:p>
        </w:tc>
      </w:tr>
      <w:tr w14:paraId="2B3473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396" w:type="dxa"/>
          </w:tcPr>
          <w:p w14:paraId="78C98FE1">
            <w:pPr>
              <w:numPr>
                <w:ilvl w:val="-1"/>
                <w:numId w:val="0"/>
              </w:numPr>
              <w:spacing w:line="240" w:lineRule="auto"/>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7</w:t>
            </w:r>
          </w:p>
        </w:tc>
        <w:tc>
          <w:tcPr>
            <w:tcW w:w="6120" w:type="dxa"/>
          </w:tcPr>
          <w:p w14:paraId="3061078F">
            <w:pPr>
              <w:numPr>
                <w:ilvl w:val="-1"/>
                <w:numId w:val="0"/>
              </w:numPr>
              <w:spacing w:line="240" w:lineRule="auto"/>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0.17</w:t>
            </w:r>
          </w:p>
        </w:tc>
      </w:tr>
      <w:tr w14:paraId="06DA0BD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396" w:type="dxa"/>
          </w:tcPr>
          <w:p w14:paraId="36CF76C7">
            <w:pPr>
              <w:numPr>
                <w:ilvl w:val="-1"/>
                <w:numId w:val="0"/>
              </w:numPr>
              <w:spacing w:line="240" w:lineRule="auto"/>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8</w:t>
            </w:r>
          </w:p>
        </w:tc>
        <w:tc>
          <w:tcPr>
            <w:tcW w:w="6120" w:type="dxa"/>
          </w:tcPr>
          <w:p w14:paraId="4A7FE442">
            <w:pPr>
              <w:numPr>
                <w:ilvl w:val="-1"/>
                <w:numId w:val="0"/>
              </w:numPr>
              <w:spacing w:line="240" w:lineRule="auto"/>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0.22</w:t>
            </w:r>
          </w:p>
        </w:tc>
      </w:tr>
      <w:tr w14:paraId="4A4BD11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396" w:type="dxa"/>
          </w:tcPr>
          <w:p w14:paraId="4D81B250">
            <w:pPr>
              <w:numPr>
                <w:ilvl w:val="-1"/>
                <w:numId w:val="0"/>
              </w:numPr>
              <w:spacing w:line="240" w:lineRule="auto"/>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9</w:t>
            </w:r>
          </w:p>
        </w:tc>
        <w:tc>
          <w:tcPr>
            <w:tcW w:w="6120" w:type="dxa"/>
          </w:tcPr>
          <w:p w14:paraId="16E994B1">
            <w:pPr>
              <w:numPr>
                <w:ilvl w:val="-1"/>
                <w:numId w:val="0"/>
              </w:numPr>
              <w:spacing w:line="240" w:lineRule="auto"/>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0.14</w:t>
            </w:r>
          </w:p>
        </w:tc>
      </w:tr>
      <w:tr w14:paraId="51B9E2B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396" w:type="dxa"/>
          </w:tcPr>
          <w:p w14:paraId="20A65847">
            <w:pPr>
              <w:numPr>
                <w:ilvl w:val="-1"/>
                <w:numId w:val="0"/>
              </w:numPr>
              <w:spacing w:line="240" w:lineRule="auto"/>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10</w:t>
            </w:r>
          </w:p>
        </w:tc>
        <w:tc>
          <w:tcPr>
            <w:tcW w:w="6120" w:type="dxa"/>
          </w:tcPr>
          <w:p w14:paraId="1F7B0152">
            <w:pPr>
              <w:numPr>
                <w:ilvl w:val="-1"/>
                <w:numId w:val="0"/>
              </w:numPr>
              <w:spacing w:line="240" w:lineRule="auto"/>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0.06</w:t>
            </w:r>
          </w:p>
        </w:tc>
      </w:tr>
      <w:tr w14:paraId="2A32AB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396" w:type="dxa"/>
          </w:tcPr>
          <w:p w14:paraId="55C74EE4">
            <w:pPr>
              <w:numPr>
                <w:ilvl w:val="-1"/>
                <w:numId w:val="0"/>
              </w:numPr>
              <w:spacing w:line="240" w:lineRule="auto"/>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11</w:t>
            </w:r>
          </w:p>
        </w:tc>
        <w:tc>
          <w:tcPr>
            <w:tcW w:w="6120" w:type="dxa"/>
          </w:tcPr>
          <w:p w14:paraId="04E5364D">
            <w:pPr>
              <w:numPr>
                <w:ilvl w:val="-1"/>
                <w:numId w:val="0"/>
              </w:numPr>
              <w:spacing w:line="240" w:lineRule="auto"/>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0.14</w:t>
            </w:r>
          </w:p>
        </w:tc>
      </w:tr>
      <w:tr w14:paraId="11696D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396" w:type="dxa"/>
          </w:tcPr>
          <w:p w14:paraId="3F00C443">
            <w:pPr>
              <w:numPr>
                <w:ilvl w:val="-1"/>
                <w:numId w:val="0"/>
              </w:numPr>
              <w:spacing w:line="240" w:lineRule="auto"/>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12</w:t>
            </w:r>
          </w:p>
        </w:tc>
        <w:tc>
          <w:tcPr>
            <w:tcW w:w="6120" w:type="dxa"/>
          </w:tcPr>
          <w:p w14:paraId="4BC49994">
            <w:pPr>
              <w:numPr>
                <w:ilvl w:val="-1"/>
                <w:numId w:val="0"/>
              </w:numPr>
              <w:spacing w:line="240" w:lineRule="auto"/>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0.17</w:t>
            </w:r>
          </w:p>
        </w:tc>
      </w:tr>
      <w:tr w14:paraId="5F8FF5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396" w:type="dxa"/>
          </w:tcPr>
          <w:p w14:paraId="55BE0B94">
            <w:pPr>
              <w:numPr>
                <w:ilvl w:val="-1"/>
                <w:numId w:val="0"/>
              </w:numPr>
              <w:spacing w:line="240" w:lineRule="auto"/>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13</w:t>
            </w:r>
          </w:p>
        </w:tc>
        <w:tc>
          <w:tcPr>
            <w:tcW w:w="6120" w:type="dxa"/>
          </w:tcPr>
          <w:p w14:paraId="35653E5B">
            <w:pPr>
              <w:numPr>
                <w:ilvl w:val="-1"/>
                <w:numId w:val="0"/>
              </w:numPr>
              <w:spacing w:line="240" w:lineRule="auto"/>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0.18</w:t>
            </w:r>
          </w:p>
        </w:tc>
      </w:tr>
      <w:tr w14:paraId="666104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396" w:type="dxa"/>
          </w:tcPr>
          <w:p w14:paraId="50E81BA0">
            <w:pPr>
              <w:numPr>
                <w:ilvl w:val="-1"/>
                <w:numId w:val="0"/>
              </w:numPr>
              <w:spacing w:line="240" w:lineRule="auto"/>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14</w:t>
            </w:r>
          </w:p>
        </w:tc>
        <w:tc>
          <w:tcPr>
            <w:tcW w:w="6120" w:type="dxa"/>
          </w:tcPr>
          <w:p w14:paraId="248D2245">
            <w:pPr>
              <w:numPr>
                <w:ilvl w:val="-1"/>
                <w:numId w:val="0"/>
              </w:numPr>
              <w:spacing w:line="240" w:lineRule="auto"/>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0.25</w:t>
            </w:r>
          </w:p>
        </w:tc>
      </w:tr>
      <w:tr w14:paraId="2D380C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396" w:type="dxa"/>
          </w:tcPr>
          <w:p w14:paraId="31D82C47">
            <w:pPr>
              <w:numPr>
                <w:ilvl w:val="-1"/>
                <w:numId w:val="0"/>
              </w:numPr>
              <w:spacing w:line="240" w:lineRule="auto"/>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15</w:t>
            </w:r>
          </w:p>
        </w:tc>
        <w:tc>
          <w:tcPr>
            <w:tcW w:w="6120" w:type="dxa"/>
          </w:tcPr>
          <w:p w14:paraId="1DC0E164">
            <w:pPr>
              <w:numPr>
                <w:ilvl w:val="-1"/>
                <w:numId w:val="0"/>
              </w:numPr>
              <w:spacing w:line="240" w:lineRule="auto"/>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0.24</w:t>
            </w:r>
          </w:p>
        </w:tc>
      </w:tr>
    </w:tbl>
    <w:p w14:paraId="1DE9C190">
      <w:pPr>
        <w:numPr>
          <w:ilvl w:val="-1"/>
          <w:numId w:val="0"/>
        </w:numPr>
        <w:spacing w:line="360" w:lineRule="auto"/>
        <w:ind w:firstLine="480" w:firstLineChars="200"/>
        <w:jc w:val="both"/>
        <w:rPr>
          <w:rFonts w:hint="default" w:ascii="Times New Roman" w:hAnsi="Times New Roman" w:eastAsia="宋体" w:cs="Times New Roman"/>
          <w:sz w:val="24"/>
          <w:szCs w:val="28"/>
          <w:lang w:val="en-US" w:eastAsia="zh-CN"/>
        </w:rPr>
      </w:pPr>
      <w:r>
        <w:rPr>
          <w:rFonts w:hint="default" w:ascii="Times New Roman" w:hAnsi="Times New Roman" w:cs="Times New Roman"/>
          <w:sz w:val="24"/>
          <w:szCs w:val="28"/>
          <w:lang w:val="en-US" w:eastAsia="zh-CN"/>
        </w:rPr>
        <w:t>由表5可知，不同环境下混凝土拌合物的水溶性氯离子最大含量均有涉及。</w:t>
      </w:r>
    </w:p>
    <w:p w14:paraId="4431C161">
      <w:pPr>
        <w:numPr>
          <w:ilvl w:val="0"/>
          <w:numId w:val="11"/>
        </w:numPr>
        <w:spacing w:line="360" w:lineRule="auto"/>
        <w:ind w:firstLine="0" w:firstLineChars="0"/>
        <w:jc w:val="both"/>
        <w:rPr>
          <w:rFonts w:hint="default" w:ascii="Times New Roman" w:hAnsi="Times New Roman" w:eastAsia="宋体" w:cs="Times New Roman"/>
          <w:sz w:val="24"/>
          <w:szCs w:val="28"/>
          <w:lang w:val="en-US" w:eastAsia="zh-CN"/>
        </w:rPr>
      </w:pPr>
      <w:r>
        <w:rPr>
          <w:rFonts w:hint="default" w:ascii="Times New Roman" w:hAnsi="Times New Roman" w:cs="Times New Roman"/>
          <w:sz w:val="24"/>
          <w:szCs w:val="28"/>
          <w:lang w:val="en-US" w:eastAsia="zh-CN"/>
        </w:rPr>
        <w:t>泌水率</w:t>
      </w:r>
    </w:p>
    <w:p w14:paraId="72207774">
      <w:pPr>
        <w:numPr>
          <w:ilvl w:val="-1"/>
          <w:numId w:val="0"/>
        </w:numPr>
        <w:spacing w:line="360" w:lineRule="auto"/>
        <w:ind w:firstLine="480" w:firstLineChars="200"/>
        <w:jc w:val="both"/>
        <w:rPr>
          <w:rFonts w:hint="default" w:ascii="Times New Roman" w:hAnsi="Times New Roman" w:cs="Times New Roman"/>
          <w:sz w:val="24"/>
          <w:szCs w:val="28"/>
          <w:lang w:val="en-US" w:eastAsia="zh-CN"/>
        </w:rPr>
      </w:pPr>
      <w:r>
        <w:rPr>
          <w:rFonts w:hint="default" w:ascii="Times New Roman" w:hAnsi="Times New Roman" w:cs="Times New Roman"/>
          <w:sz w:val="24"/>
          <w:szCs w:val="28"/>
          <w:lang w:val="en-US" w:eastAsia="zh-CN"/>
        </w:rPr>
        <w:t>拌合物泌水率试验验证结果见表6。</w:t>
      </w:r>
    </w:p>
    <w:p w14:paraId="54576CC7">
      <w:pPr>
        <w:numPr>
          <w:ilvl w:val="-1"/>
          <w:numId w:val="0"/>
        </w:numPr>
        <w:spacing w:line="360" w:lineRule="auto"/>
        <w:ind w:firstLine="0" w:firstLineChars="0"/>
        <w:jc w:val="center"/>
        <w:rPr>
          <w:rFonts w:hint="default" w:ascii="Times New Roman" w:hAnsi="Times New Roman" w:cs="Times New Roman"/>
          <w:sz w:val="24"/>
          <w:szCs w:val="28"/>
          <w:vertAlign w:val="baseline"/>
          <w:lang w:val="en-US" w:eastAsia="zh-CN"/>
        </w:rPr>
      </w:pPr>
      <w:r>
        <w:rPr>
          <w:rFonts w:hint="default" w:ascii="Times New Roman" w:hAnsi="Times New Roman" w:cs="Times New Roman"/>
          <w:sz w:val="24"/>
          <w:szCs w:val="28"/>
          <w:lang w:val="en-US" w:eastAsia="zh-CN"/>
        </w:rPr>
        <w:t>表6 泌水率验证试验结果</w:t>
      </w:r>
    </w:p>
    <w:tbl>
      <w:tblPr>
        <w:tblStyle w:val="20"/>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416"/>
        <w:gridCol w:w="6100"/>
      </w:tblGrid>
      <w:tr w14:paraId="4906E58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16" w:type="dxa"/>
          </w:tcPr>
          <w:p w14:paraId="1937BC19">
            <w:pPr>
              <w:numPr>
                <w:ilvl w:val="-1"/>
                <w:numId w:val="0"/>
              </w:numPr>
              <w:spacing w:line="240" w:lineRule="auto"/>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配合比</w:t>
            </w:r>
          </w:p>
        </w:tc>
        <w:tc>
          <w:tcPr>
            <w:tcW w:w="6100" w:type="dxa"/>
          </w:tcPr>
          <w:p w14:paraId="6E56C2B8">
            <w:pPr>
              <w:numPr>
                <w:ilvl w:val="-1"/>
                <w:numId w:val="0"/>
              </w:numPr>
              <w:spacing w:line="240" w:lineRule="auto"/>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泌水率/%</w:t>
            </w:r>
          </w:p>
        </w:tc>
      </w:tr>
      <w:tr w14:paraId="0379CF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16" w:type="dxa"/>
          </w:tcPr>
          <w:p w14:paraId="572D3AFA">
            <w:pPr>
              <w:numPr>
                <w:ilvl w:val="-1"/>
                <w:numId w:val="0"/>
              </w:numPr>
              <w:spacing w:line="240" w:lineRule="auto"/>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1</w:t>
            </w:r>
          </w:p>
        </w:tc>
        <w:tc>
          <w:tcPr>
            <w:tcW w:w="6100" w:type="dxa"/>
          </w:tcPr>
          <w:p w14:paraId="1461034C">
            <w:pPr>
              <w:numPr>
                <w:ilvl w:val="-1"/>
                <w:numId w:val="0"/>
              </w:numPr>
              <w:spacing w:line="240" w:lineRule="auto"/>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0.4</w:t>
            </w:r>
          </w:p>
        </w:tc>
      </w:tr>
      <w:tr w14:paraId="397855D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2416" w:type="dxa"/>
          </w:tcPr>
          <w:p w14:paraId="2F0BD73B">
            <w:pPr>
              <w:numPr>
                <w:ilvl w:val="-1"/>
                <w:numId w:val="0"/>
              </w:numPr>
              <w:spacing w:line="240" w:lineRule="auto"/>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2</w:t>
            </w:r>
          </w:p>
        </w:tc>
        <w:tc>
          <w:tcPr>
            <w:tcW w:w="6100" w:type="dxa"/>
          </w:tcPr>
          <w:p w14:paraId="6ACC8C88">
            <w:pPr>
              <w:numPr>
                <w:ilvl w:val="-1"/>
                <w:numId w:val="0"/>
              </w:numPr>
              <w:spacing w:line="240" w:lineRule="auto"/>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0.2</w:t>
            </w:r>
          </w:p>
        </w:tc>
      </w:tr>
      <w:tr w14:paraId="63B5DF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16" w:type="dxa"/>
          </w:tcPr>
          <w:p w14:paraId="5440D41D">
            <w:pPr>
              <w:numPr>
                <w:ilvl w:val="-1"/>
                <w:numId w:val="0"/>
              </w:numPr>
              <w:spacing w:line="240" w:lineRule="auto"/>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3</w:t>
            </w:r>
          </w:p>
        </w:tc>
        <w:tc>
          <w:tcPr>
            <w:tcW w:w="6100" w:type="dxa"/>
          </w:tcPr>
          <w:p w14:paraId="4AA58491">
            <w:pPr>
              <w:numPr>
                <w:ilvl w:val="-1"/>
                <w:numId w:val="0"/>
              </w:numPr>
              <w:spacing w:line="240" w:lineRule="auto"/>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0.2</w:t>
            </w:r>
          </w:p>
        </w:tc>
      </w:tr>
      <w:tr w14:paraId="46DBC0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16" w:type="dxa"/>
          </w:tcPr>
          <w:p w14:paraId="3C8CAABC">
            <w:pPr>
              <w:numPr>
                <w:ilvl w:val="-1"/>
                <w:numId w:val="0"/>
              </w:numPr>
              <w:spacing w:line="240" w:lineRule="auto"/>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4</w:t>
            </w:r>
          </w:p>
        </w:tc>
        <w:tc>
          <w:tcPr>
            <w:tcW w:w="6100" w:type="dxa"/>
          </w:tcPr>
          <w:p w14:paraId="1BB3A5C1">
            <w:pPr>
              <w:numPr>
                <w:ilvl w:val="-1"/>
                <w:numId w:val="0"/>
              </w:numPr>
              <w:spacing w:line="240" w:lineRule="auto"/>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0.3</w:t>
            </w:r>
          </w:p>
        </w:tc>
      </w:tr>
      <w:tr w14:paraId="7FC7B2D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2416" w:type="dxa"/>
          </w:tcPr>
          <w:p w14:paraId="798DE02B">
            <w:pPr>
              <w:numPr>
                <w:ilvl w:val="-1"/>
                <w:numId w:val="0"/>
              </w:numPr>
              <w:spacing w:line="240" w:lineRule="auto"/>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5</w:t>
            </w:r>
          </w:p>
        </w:tc>
        <w:tc>
          <w:tcPr>
            <w:tcW w:w="6100" w:type="dxa"/>
          </w:tcPr>
          <w:p w14:paraId="3AB4C296">
            <w:pPr>
              <w:numPr>
                <w:ilvl w:val="-1"/>
                <w:numId w:val="0"/>
              </w:numPr>
              <w:spacing w:line="240" w:lineRule="auto"/>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shd w:val="clear" w:color="FFFFFF" w:fill="D9D9D9"/>
                <w:vertAlign w:val="baseline"/>
                <w:lang w:val="en-US" w:eastAsia="zh-CN"/>
              </w:rPr>
              <w:t>0.6</w:t>
            </w:r>
          </w:p>
        </w:tc>
      </w:tr>
      <w:tr w14:paraId="0A8EB7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16" w:type="dxa"/>
          </w:tcPr>
          <w:p w14:paraId="022D361D">
            <w:pPr>
              <w:numPr>
                <w:ilvl w:val="-1"/>
                <w:numId w:val="0"/>
              </w:numPr>
              <w:spacing w:line="240" w:lineRule="auto"/>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6</w:t>
            </w:r>
          </w:p>
        </w:tc>
        <w:tc>
          <w:tcPr>
            <w:tcW w:w="6100" w:type="dxa"/>
          </w:tcPr>
          <w:p w14:paraId="36226B79">
            <w:pPr>
              <w:numPr>
                <w:ilvl w:val="-1"/>
                <w:numId w:val="0"/>
              </w:numPr>
              <w:spacing w:line="240" w:lineRule="auto"/>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0.1</w:t>
            </w:r>
          </w:p>
        </w:tc>
      </w:tr>
      <w:tr w14:paraId="6F02D3E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16" w:type="dxa"/>
          </w:tcPr>
          <w:p w14:paraId="6E1D3AE6">
            <w:pPr>
              <w:numPr>
                <w:ilvl w:val="-1"/>
                <w:numId w:val="0"/>
              </w:numPr>
              <w:spacing w:line="240" w:lineRule="auto"/>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7</w:t>
            </w:r>
          </w:p>
        </w:tc>
        <w:tc>
          <w:tcPr>
            <w:tcW w:w="6100" w:type="dxa"/>
          </w:tcPr>
          <w:p w14:paraId="18F4331A">
            <w:pPr>
              <w:numPr>
                <w:ilvl w:val="-1"/>
                <w:numId w:val="0"/>
              </w:numPr>
              <w:spacing w:line="240" w:lineRule="auto"/>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0.3</w:t>
            </w:r>
          </w:p>
        </w:tc>
      </w:tr>
      <w:tr w14:paraId="68FEA0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16" w:type="dxa"/>
          </w:tcPr>
          <w:p w14:paraId="6CEA4FEE">
            <w:pPr>
              <w:numPr>
                <w:ilvl w:val="-1"/>
                <w:numId w:val="0"/>
              </w:numPr>
              <w:spacing w:line="240" w:lineRule="auto"/>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8</w:t>
            </w:r>
          </w:p>
        </w:tc>
        <w:tc>
          <w:tcPr>
            <w:tcW w:w="6100" w:type="dxa"/>
          </w:tcPr>
          <w:p w14:paraId="2856DC58">
            <w:pPr>
              <w:numPr>
                <w:ilvl w:val="-1"/>
                <w:numId w:val="0"/>
              </w:numPr>
              <w:spacing w:line="240" w:lineRule="auto"/>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shd w:val="clear" w:color="FFFFFF" w:fill="D9D9D9"/>
                <w:vertAlign w:val="baseline"/>
                <w:lang w:val="en-US" w:eastAsia="zh-CN"/>
              </w:rPr>
              <w:t>0.7</w:t>
            </w:r>
          </w:p>
        </w:tc>
      </w:tr>
      <w:tr w14:paraId="60A4DF3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16" w:type="dxa"/>
          </w:tcPr>
          <w:p w14:paraId="0053575B">
            <w:pPr>
              <w:numPr>
                <w:ilvl w:val="-1"/>
                <w:numId w:val="0"/>
              </w:numPr>
              <w:spacing w:line="240" w:lineRule="auto"/>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9</w:t>
            </w:r>
          </w:p>
        </w:tc>
        <w:tc>
          <w:tcPr>
            <w:tcW w:w="6100" w:type="dxa"/>
          </w:tcPr>
          <w:p w14:paraId="0EB8E9F1">
            <w:pPr>
              <w:numPr>
                <w:ilvl w:val="-1"/>
                <w:numId w:val="0"/>
              </w:numPr>
              <w:spacing w:line="240" w:lineRule="auto"/>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0.2</w:t>
            </w:r>
          </w:p>
        </w:tc>
      </w:tr>
      <w:tr w14:paraId="421CCA5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16" w:type="dxa"/>
          </w:tcPr>
          <w:p w14:paraId="7AB57382">
            <w:pPr>
              <w:numPr>
                <w:ilvl w:val="-1"/>
                <w:numId w:val="0"/>
              </w:numPr>
              <w:spacing w:line="240" w:lineRule="auto"/>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10</w:t>
            </w:r>
          </w:p>
        </w:tc>
        <w:tc>
          <w:tcPr>
            <w:tcW w:w="6100" w:type="dxa"/>
          </w:tcPr>
          <w:p w14:paraId="12EF8C3E">
            <w:pPr>
              <w:numPr>
                <w:ilvl w:val="-1"/>
                <w:numId w:val="0"/>
              </w:numPr>
              <w:spacing w:line="240" w:lineRule="auto"/>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0.2</w:t>
            </w:r>
          </w:p>
        </w:tc>
      </w:tr>
      <w:tr w14:paraId="79BDFCC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16" w:type="dxa"/>
          </w:tcPr>
          <w:p w14:paraId="191EBAF3">
            <w:pPr>
              <w:numPr>
                <w:ilvl w:val="-1"/>
                <w:numId w:val="0"/>
              </w:numPr>
              <w:spacing w:line="240" w:lineRule="auto"/>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11</w:t>
            </w:r>
          </w:p>
        </w:tc>
        <w:tc>
          <w:tcPr>
            <w:tcW w:w="6100" w:type="dxa"/>
          </w:tcPr>
          <w:p w14:paraId="27EDE1D4">
            <w:pPr>
              <w:numPr>
                <w:ilvl w:val="-1"/>
                <w:numId w:val="0"/>
              </w:numPr>
              <w:spacing w:line="240" w:lineRule="auto"/>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0.2</w:t>
            </w:r>
          </w:p>
        </w:tc>
      </w:tr>
      <w:tr w14:paraId="422A5E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16" w:type="dxa"/>
          </w:tcPr>
          <w:p w14:paraId="77BC399E">
            <w:pPr>
              <w:numPr>
                <w:ilvl w:val="-1"/>
                <w:numId w:val="0"/>
              </w:numPr>
              <w:spacing w:line="240" w:lineRule="auto"/>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12</w:t>
            </w:r>
          </w:p>
        </w:tc>
        <w:tc>
          <w:tcPr>
            <w:tcW w:w="6100" w:type="dxa"/>
          </w:tcPr>
          <w:p w14:paraId="300B5EE6">
            <w:pPr>
              <w:numPr>
                <w:ilvl w:val="-1"/>
                <w:numId w:val="0"/>
              </w:numPr>
              <w:spacing w:line="240" w:lineRule="auto"/>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0.3</w:t>
            </w:r>
          </w:p>
        </w:tc>
      </w:tr>
      <w:tr w14:paraId="2CEC7B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16" w:type="dxa"/>
          </w:tcPr>
          <w:p w14:paraId="226F4DC7">
            <w:pPr>
              <w:numPr>
                <w:ilvl w:val="-1"/>
                <w:numId w:val="0"/>
              </w:numPr>
              <w:spacing w:line="240" w:lineRule="auto"/>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13</w:t>
            </w:r>
          </w:p>
        </w:tc>
        <w:tc>
          <w:tcPr>
            <w:tcW w:w="6100" w:type="dxa"/>
          </w:tcPr>
          <w:p w14:paraId="727122BF">
            <w:pPr>
              <w:numPr>
                <w:ilvl w:val="-1"/>
                <w:numId w:val="0"/>
              </w:numPr>
              <w:spacing w:line="240" w:lineRule="auto"/>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0.1</w:t>
            </w:r>
          </w:p>
        </w:tc>
      </w:tr>
      <w:tr w14:paraId="55B93E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16" w:type="dxa"/>
          </w:tcPr>
          <w:p w14:paraId="0E671420">
            <w:pPr>
              <w:numPr>
                <w:ilvl w:val="-1"/>
                <w:numId w:val="0"/>
              </w:numPr>
              <w:spacing w:line="240" w:lineRule="auto"/>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14</w:t>
            </w:r>
          </w:p>
        </w:tc>
        <w:tc>
          <w:tcPr>
            <w:tcW w:w="6100" w:type="dxa"/>
          </w:tcPr>
          <w:p w14:paraId="446A12FF">
            <w:pPr>
              <w:numPr>
                <w:ilvl w:val="-1"/>
                <w:numId w:val="0"/>
              </w:numPr>
              <w:spacing w:line="240" w:lineRule="auto"/>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0.4</w:t>
            </w:r>
          </w:p>
        </w:tc>
      </w:tr>
      <w:tr w14:paraId="609D21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16" w:type="dxa"/>
          </w:tcPr>
          <w:p w14:paraId="30FDA9CF">
            <w:pPr>
              <w:numPr>
                <w:ilvl w:val="-1"/>
                <w:numId w:val="0"/>
              </w:numPr>
              <w:spacing w:line="240" w:lineRule="auto"/>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15</w:t>
            </w:r>
          </w:p>
        </w:tc>
        <w:tc>
          <w:tcPr>
            <w:tcW w:w="6100" w:type="dxa"/>
          </w:tcPr>
          <w:p w14:paraId="0B373884">
            <w:pPr>
              <w:numPr>
                <w:ilvl w:val="-1"/>
                <w:numId w:val="0"/>
              </w:numPr>
              <w:spacing w:line="240" w:lineRule="auto"/>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0.2</w:t>
            </w:r>
          </w:p>
        </w:tc>
      </w:tr>
    </w:tbl>
    <w:p w14:paraId="231AEE8A">
      <w:pPr>
        <w:numPr>
          <w:ilvl w:val="-1"/>
          <w:numId w:val="0"/>
        </w:numPr>
        <w:spacing w:line="360" w:lineRule="auto"/>
        <w:ind w:firstLine="480" w:firstLineChars="200"/>
        <w:jc w:val="both"/>
        <w:rPr>
          <w:rFonts w:hint="default" w:ascii="Times New Roman" w:hAnsi="Times New Roman" w:cs="Times New Roman"/>
          <w:sz w:val="24"/>
          <w:szCs w:val="28"/>
          <w:lang w:val="en-US" w:eastAsia="zh-CN"/>
        </w:rPr>
      </w:pPr>
      <w:r>
        <w:rPr>
          <w:rFonts w:hint="default" w:ascii="Times New Roman" w:hAnsi="Times New Roman" w:cs="Times New Roman"/>
          <w:sz w:val="24"/>
          <w:szCs w:val="28"/>
          <w:lang w:val="en-US" w:eastAsia="zh-CN"/>
        </w:rPr>
        <w:t>由表6可知，</w:t>
      </w:r>
      <w:r>
        <w:rPr>
          <w:rFonts w:hint="default" w:ascii="Times New Roman" w:hAnsi="Times New Roman" w:cs="Times New Roman"/>
          <w:szCs w:val="28"/>
          <w:lang w:eastAsia="zh-CN"/>
        </w:rPr>
        <w:t>1</w:t>
      </w:r>
      <w:r>
        <w:rPr>
          <w:rFonts w:hint="default" w:ascii="Times New Roman" w:hAnsi="Times New Roman" w:cs="Times New Roman"/>
          <w:szCs w:val="28"/>
          <w:lang w:val="en-US" w:eastAsia="zh-CN"/>
        </w:rPr>
        <w:t>5</w:t>
      </w:r>
      <w:r>
        <w:rPr>
          <w:rFonts w:hint="default" w:ascii="Times New Roman" w:hAnsi="Times New Roman" w:cs="Times New Roman"/>
          <w:szCs w:val="28"/>
        </w:rPr>
        <w:t>个</w:t>
      </w:r>
      <w:r>
        <w:rPr>
          <w:rFonts w:hint="default" w:ascii="Times New Roman" w:hAnsi="Times New Roman" w:cs="Times New Roman"/>
          <w:szCs w:val="28"/>
          <w:lang w:val="en-US" w:eastAsia="zh-CN"/>
        </w:rPr>
        <w:t>组样品中2</w:t>
      </w:r>
      <w:r>
        <w:rPr>
          <w:rFonts w:hint="default" w:ascii="Times New Roman" w:hAnsi="Times New Roman" w:cs="Times New Roman"/>
          <w:szCs w:val="28"/>
        </w:rPr>
        <w:t>组不符合指标要求，</w:t>
      </w:r>
      <w:r>
        <w:rPr>
          <w:rFonts w:hint="eastAsia" w:ascii="Times New Roman" w:hAnsi="Times New Roman" w:cs="Times New Roman"/>
          <w:szCs w:val="28"/>
          <w:lang w:val="en-US" w:eastAsia="zh-CN"/>
        </w:rPr>
        <w:t>合格</w:t>
      </w:r>
      <w:r>
        <w:rPr>
          <w:rFonts w:hint="default" w:ascii="Times New Roman" w:hAnsi="Times New Roman" w:cs="Times New Roman"/>
          <w:szCs w:val="28"/>
        </w:rPr>
        <w:t>率为</w:t>
      </w:r>
      <w:r>
        <w:rPr>
          <w:rFonts w:hint="default" w:ascii="Times New Roman" w:hAnsi="Times New Roman" w:cs="Times New Roman"/>
          <w:szCs w:val="28"/>
          <w:lang w:val="en-US" w:eastAsia="zh-CN"/>
        </w:rPr>
        <w:t>87</w:t>
      </w:r>
      <w:r>
        <w:rPr>
          <w:rFonts w:hint="default" w:ascii="Times New Roman" w:hAnsi="Times New Roman" w:cs="Times New Roman"/>
          <w:szCs w:val="28"/>
        </w:rPr>
        <w:t>%。</w:t>
      </w:r>
    </w:p>
    <w:p w14:paraId="51E45429">
      <w:pPr>
        <w:numPr>
          <w:ilvl w:val="0"/>
          <w:numId w:val="11"/>
        </w:numPr>
        <w:spacing w:line="360" w:lineRule="auto"/>
        <w:ind w:firstLine="0" w:firstLineChars="0"/>
        <w:jc w:val="both"/>
        <w:rPr>
          <w:rFonts w:hint="default" w:ascii="Times New Roman" w:hAnsi="Times New Roman" w:eastAsia="宋体" w:cs="Times New Roman"/>
          <w:sz w:val="24"/>
          <w:szCs w:val="28"/>
          <w:lang w:val="en-US" w:eastAsia="zh-CN"/>
        </w:rPr>
      </w:pPr>
      <w:r>
        <w:rPr>
          <w:rFonts w:hint="default" w:ascii="Times New Roman" w:hAnsi="Times New Roman" w:cs="Times New Roman"/>
          <w:sz w:val="24"/>
          <w:szCs w:val="28"/>
          <w:lang w:val="en-US" w:eastAsia="zh-CN"/>
        </w:rPr>
        <w:t>初凝时间、终凝时间和初终凝时间差</w:t>
      </w:r>
    </w:p>
    <w:p w14:paraId="7FB89436">
      <w:pPr>
        <w:numPr>
          <w:ilvl w:val="-1"/>
          <w:numId w:val="0"/>
        </w:numPr>
        <w:spacing w:line="360" w:lineRule="auto"/>
        <w:ind w:firstLine="480" w:firstLineChars="200"/>
        <w:jc w:val="both"/>
        <w:rPr>
          <w:rFonts w:hint="default" w:ascii="Times New Roman" w:hAnsi="Times New Roman" w:cs="Times New Roman"/>
          <w:sz w:val="24"/>
          <w:szCs w:val="28"/>
          <w:lang w:val="en-US" w:eastAsia="zh-CN"/>
        </w:rPr>
      </w:pPr>
      <w:r>
        <w:rPr>
          <w:rFonts w:hint="default" w:ascii="Times New Roman" w:hAnsi="Times New Roman" w:cs="Times New Roman"/>
          <w:sz w:val="24"/>
          <w:szCs w:val="28"/>
          <w:lang w:val="en-US" w:eastAsia="zh-CN"/>
        </w:rPr>
        <w:t>拌合物初凝时间、终凝时间和初终凝时间差验证试验结果见表7。</w:t>
      </w:r>
    </w:p>
    <w:p w14:paraId="28627DD0">
      <w:pPr>
        <w:numPr>
          <w:ilvl w:val="-1"/>
          <w:numId w:val="0"/>
        </w:numPr>
        <w:spacing w:line="360" w:lineRule="auto"/>
        <w:ind w:firstLine="0" w:firstLineChars="0"/>
        <w:jc w:val="center"/>
        <w:rPr>
          <w:rFonts w:hint="default" w:ascii="Times New Roman" w:hAnsi="Times New Roman" w:eastAsia="宋体" w:cs="Times New Roman"/>
          <w:sz w:val="24"/>
          <w:szCs w:val="28"/>
          <w:vertAlign w:val="baseline"/>
          <w:lang w:val="en-US" w:eastAsia="zh-CN"/>
        </w:rPr>
      </w:pPr>
      <w:r>
        <w:rPr>
          <w:rFonts w:hint="default" w:ascii="Times New Roman" w:hAnsi="Times New Roman" w:cs="Times New Roman"/>
          <w:sz w:val="24"/>
          <w:szCs w:val="28"/>
          <w:lang w:val="en-US" w:eastAsia="zh-CN"/>
        </w:rPr>
        <w:t>表7 初凝时间、终凝时间和初终凝时间差验证试验结果</w:t>
      </w:r>
    </w:p>
    <w:tbl>
      <w:tblPr>
        <w:tblStyle w:val="20"/>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129"/>
        <w:gridCol w:w="2129"/>
        <w:gridCol w:w="2129"/>
        <w:gridCol w:w="2129"/>
      </w:tblGrid>
      <w:tr w14:paraId="33F88E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1" w:hRule="atLeast"/>
        </w:trPr>
        <w:tc>
          <w:tcPr>
            <w:tcW w:w="2129" w:type="dxa"/>
          </w:tcPr>
          <w:p w14:paraId="16CC8D63">
            <w:pPr>
              <w:numPr>
                <w:ilvl w:val="-1"/>
                <w:numId w:val="0"/>
              </w:numPr>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配合比</w:t>
            </w:r>
          </w:p>
        </w:tc>
        <w:tc>
          <w:tcPr>
            <w:tcW w:w="2129" w:type="dxa"/>
          </w:tcPr>
          <w:p w14:paraId="137AF8D6">
            <w:pPr>
              <w:numPr>
                <w:ilvl w:val="-1"/>
                <w:numId w:val="0"/>
              </w:numPr>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初凝时间/h</w:t>
            </w:r>
          </w:p>
        </w:tc>
        <w:tc>
          <w:tcPr>
            <w:tcW w:w="2129" w:type="dxa"/>
          </w:tcPr>
          <w:p w14:paraId="7E109610">
            <w:pPr>
              <w:numPr>
                <w:ilvl w:val="-1"/>
                <w:numId w:val="0"/>
              </w:numPr>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终凝时间/h</w:t>
            </w:r>
          </w:p>
        </w:tc>
        <w:tc>
          <w:tcPr>
            <w:tcW w:w="2129" w:type="dxa"/>
          </w:tcPr>
          <w:p w14:paraId="279C7B2C">
            <w:pPr>
              <w:numPr>
                <w:ilvl w:val="-1"/>
                <w:numId w:val="0"/>
              </w:numPr>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初终凝时间差/h</w:t>
            </w:r>
          </w:p>
        </w:tc>
      </w:tr>
      <w:tr w14:paraId="68191E1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29" w:type="dxa"/>
          </w:tcPr>
          <w:p w14:paraId="1378E5C5">
            <w:pPr>
              <w:numPr>
                <w:ilvl w:val="-1"/>
                <w:numId w:val="0"/>
              </w:numPr>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1</w:t>
            </w:r>
          </w:p>
        </w:tc>
        <w:tc>
          <w:tcPr>
            <w:tcW w:w="2129" w:type="dxa"/>
          </w:tcPr>
          <w:p w14:paraId="154AEF5F">
            <w:pPr>
              <w:numPr>
                <w:ilvl w:val="-1"/>
                <w:numId w:val="0"/>
              </w:numPr>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25</w:t>
            </w:r>
            <w:r>
              <w:rPr>
                <w:rFonts w:hint="eastAsia" w:ascii="Times New Roman" w:hAnsi="Times New Roman" w:cs="Times New Roman"/>
                <w:sz w:val="21"/>
                <w:szCs w:val="21"/>
                <w:vertAlign w:val="baseline"/>
                <w:lang w:val="en-US" w:eastAsia="zh-CN"/>
              </w:rPr>
              <w:t>.0</w:t>
            </w:r>
          </w:p>
        </w:tc>
        <w:tc>
          <w:tcPr>
            <w:tcW w:w="2129" w:type="dxa"/>
          </w:tcPr>
          <w:p w14:paraId="5D3582FA">
            <w:pPr>
              <w:numPr>
                <w:ilvl w:val="-1"/>
                <w:numId w:val="0"/>
              </w:numPr>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43</w:t>
            </w:r>
            <w:r>
              <w:rPr>
                <w:rFonts w:hint="eastAsia" w:ascii="Times New Roman" w:hAnsi="Times New Roman" w:cs="Times New Roman"/>
                <w:sz w:val="21"/>
                <w:szCs w:val="21"/>
                <w:vertAlign w:val="baseline"/>
                <w:lang w:val="en-US" w:eastAsia="zh-CN"/>
              </w:rPr>
              <w:t>.5</w:t>
            </w:r>
          </w:p>
        </w:tc>
        <w:tc>
          <w:tcPr>
            <w:tcW w:w="2129" w:type="dxa"/>
          </w:tcPr>
          <w:p w14:paraId="1EEFCA7E">
            <w:pPr>
              <w:numPr>
                <w:ilvl w:val="-1"/>
                <w:numId w:val="0"/>
              </w:numPr>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18</w:t>
            </w:r>
            <w:r>
              <w:rPr>
                <w:rFonts w:hint="eastAsia" w:ascii="Times New Roman" w:hAnsi="Times New Roman" w:cs="Times New Roman"/>
                <w:sz w:val="21"/>
                <w:szCs w:val="21"/>
                <w:vertAlign w:val="baseline"/>
                <w:lang w:val="en-US" w:eastAsia="zh-CN"/>
              </w:rPr>
              <w:t>.5</w:t>
            </w:r>
          </w:p>
        </w:tc>
      </w:tr>
      <w:tr w14:paraId="1230387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2129" w:type="dxa"/>
          </w:tcPr>
          <w:p w14:paraId="5E663F2A">
            <w:pPr>
              <w:numPr>
                <w:ilvl w:val="-1"/>
                <w:numId w:val="0"/>
              </w:numPr>
              <w:spacing w:line="240" w:lineRule="auto"/>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2</w:t>
            </w:r>
          </w:p>
        </w:tc>
        <w:tc>
          <w:tcPr>
            <w:tcW w:w="2129" w:type="dxa"/>
          </w:tcPr>
          <w:p w14:paraId="16B34466">
            <w:pPr>
              <w:numPr>
                <w:ilvl w:val="-1"/>
                <w:numId w:val="0"/>
              </w:numPr>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30</w:t>
            </w:r>
            <w:r>
              <w:rPr>
                <w:rFonts w:hint="eastAsia" w:ascii="Times New Roman" w:hAnsi="Times New Roman" w:cs="Times New Roman"/>
                <w:sz w:val="21"/>
                <w:szCs w:val="21"/>
                <w:vertAlign w:val="baseline"/>
                <w:lang w:val="en-US" w:eastAsia="zh-CN"/>
              </w:rPr>
              <w:t>.0</w:t>
            </w:r>
          </w:p>
        </w:tc>
        <w:tc>
          <w:tcPr>
            <w:tcW w:w="2129" w:type="dxa"/>
          </w:tcPr>
          <w:p w14:paraId="24FE7256">
            <w:pPr>
              <w:numPr>
                <w:ilvl w:val="-1"/>
                <w:numId w:val="0"/>
              </w:numPr>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48</w:t>
            </w:r>
            <w:r>
              <w:rPr>
                <w:rFonts w:hint="eastAsia" w:ascii="Times New Roman" w:hAnsi="Times New Roman" w:cs="Times New Roman"/>
                <w:sz w:val="21"/>
                <w:szCs w:val="21"/>
                <w:vertAlign w:val="baseline"/>
                <w:lang w:val="en-US" w:eastAsia="zh-CN"/>
              </w:rPr>
              <w:t>.0</w:t>
            </w:r>
          </w:p>
        </w:tc>
        <w:tc>
          <w:tcPr>
            <w:tcW w:w="2129" w:type="dxa"/>
          </w:tcPr>
          <w:p w14:paraId="7D52FBF7">
            <w:pPr>
              <w:numPr>
                <w:ilvl w:val="-1"/>
                <w:numId w:val="0"/>
              </w:numPr>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18</w:t>
            </w:r>
            <w:r>
              <w:rPr>
                <w:rFonts w:hint="eastAsia" w:ascii="Times New Roman" w:hAnsi="Times New Roman" w:cs="Times New Roman"/>
                <w:sz w:val="21"/>
                <w:szCs w:val="21"/>
                <w:vertAlign w:val="baseline"/>
                <w:lang w:val="en-US" w:eastAsia="zh-CN"/>
              </w:rPr>
              <w:t>.0</w:t>
            </w:r>
          </w:p>
        </w:tc>
      </w:tr>
      <w:tr w14:paraId="3E1A63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29" w:type="dxa"/>
          </w:tcPr>
          <w:p w14:paraId="56E1B782">
            <w:pPr>
              <w:numPr>
                <w:ilvl w:val="-1"/>
                <w:numId w:val="0"/>
              </w:numPr>
              <w:spacing w:line="240" w:lineRule="auto"/>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3</w:t>
            </w:r>
          </w:p>
        </w:tc>
        <w:tc>
          <w:tcPr>
            <w:tcW w:w="2129" w:type="dxa"/>
          </w:tcPr>
          <w:p w14:paraId="60E5B6E8">
            <w:pPr>
              <w:numPr>
                <w:ilvl w:val="-1"/>
                <w:numId w:val="0"/>
              </w:numPr>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38</w:t>
            </w:r>
            <w:r>
              <w:rPr>
                <w:rFonts w:hint="eastAsia" w:ascii="Times New Roman" w:hAnsi="Times New Roman" w:cs="Times New Roman"/>
                <w:sz w:val="21"/>
                <w:szCs w:val="21"/>
                <w:vertAlign w:val="baseline"/>
                <w:lang w:val="en-US" w:eastAsia="zh-CN"/>
              </w:rPr>
              <w:t>.0</w:t>
            </w:r>
          </w:p>
        </w:tc>
        <w:tc>
          <w:tcPr>
            <w:tcW w:w="2129" w:type="dxa"/>
          </w:tcPr>
          <w:p w14:paraId="095E9C8E">
            <w:pPr>
              <w:numPr>
                <w:ilvl w:val="-1"/>
                <w:numId w:val="0"/>
              </w:numPr>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55</w:t>
            </w:r>
            <w:r>
              <w:rPr>
                <w:rFonts w:hint="eastAsia" w:ascii="Times New Roman" w:hAnsi="Times New Roman" w:cs="Times New Roman"/>
                <w:sz w:val="21"/>
                <w:szCs w:val="21"/>
                <w:vertAlign w:val="baseline"/>
                <w:lang w:val="en-US" w:eastAsia="zh-CN"/>
              </w:rPr>
              <w:t>.0</w:t>
            </w:r>
          </w:p>
        </w:tc>
        <w:tc>
          <w:tcPr>
            <w:tcW w:w="2129" w:type="dxa"/>
          </w:tcPr>
          <w:p w14:paraId="757C8C44">
            <w:pPr>
              <w:numPr>
                <w:ilvl w:val="-1"/>
                <w:numId w:val="0"/>
              </w:numPr>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17</w:t>
            </w:r>
            <w:r>
              <w:rPr>
                <w:rFonts w:hint="eastAsia" w:ascii="Times New Roman" w:hAnsi="Times New Roman" w:cs="Times New Roman"/>
                <w:sz w:val="21"/>
                <w:szCs w:val="21"/>
                <w:vertAlign w:val="baseline"/>
                <w:lang w:val="en-US" w:eastAsia="zh-CN"/>
              </w:rPr>
              <w:t>.0</w:t>
            </w:r>
          </w:p>
        </w:tc>
      </w:tr>
      <w:tr w14:paraId="38DA692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29" w:type="dxa"/>
          </w:tcPr>
          <w:p w14:paraId="7D50EEC3">
            <w:pPr>
              <w:numPr>
                <w:ilvl w:val="-1"/>
                <w:numId w:val="0"/>
              </w:numPr>
              <w:spacing w:line="240" w:lineRule="auto"/>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4</w:t>
            </w:r>
          </w:p>
        </w:tc>
        <w:tc>
          <w:tcPr>
            <w:tcW w:w="2129" w:type="dxa"/>
          </w:tcPr>
          <w:p w14:paraId="54E6C427">
            <w:pPr>
              <w:numPr>
                <w:ilvl w:val="-1"/>
                <w:numId w:val="0"/>
              </w:numPr>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40</w:t>
            </w:r>
            <w:r>
              <w:rPr>
                <w:rFonts w:hint="eastAsia" w:ascii="Times New Roman" w:hAnsi="Times New Roman" w:cs="Times New Roman"/>
                <w:sz w:val="21"/>
                <w:szCs w:val="21"/>
                <w:vertAlign w:val="baseline"/>
                <w:lang w:val="en-US" w:eastAsia="zh-CN"/>
              </w:rPr>
              <w:t>.5</w:t>
            </w:r>
          </w:p>
        </w:tc>
        <w:tc>
          <w:tcPr>
            <w:tcW w:w="2129" w:type="dxa"/>
          </w:tcPr>
          <w:p w14:paraId="6E40EBBD">
            <w:pPr>
              <w:numPr>
                <w:ilvl w:val="-1"/>
                <w:numId w:val="0"/>
              </w:numPr>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56</w:t>
            </w:r>
            <w:r>
              <w:rPr>
                <w:rFonts w:hint="eastAsia" w:ascii="Times New Roman" w:hAnsi="Times New Roman" w:cs="Times New Roman"/>
                <w:sz w:val="21"/>
                <w:szCs w:val="21"/>
                <w:vertAlign w:val="baseline"/>
                <w:lang w:val="en-US" w:eastAsia="zh-CN"/>
              </w:rPr>
              <w:t>.0</w:t>
            </w:r>
          </w:p>
        </w:tc>
        <w:tc>
          <w:tcPr>
            <w:tcW w:w="2129" w:type="dxa"/>
          </w:tcPr>
          <w:p w14:paraId="660A67D3">
            <w:pPr>
              <w:numPr>
                <w:ilvl w:val="-1"/>
                <w:numId w:val="0"/>
              </w:numPr>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1</w:t>
            </w:r>
            <w:r>
              <w:rPr>
                <w:rFonts w:hint="eastAsia" w:ascii="Times New Roman" w:hAnsi="Times New Roman" w:cs="Times New Roman"/>
                <w:sz w:val="21"/>
                <w:szCs w:val="21"/>
                <w:vertAlign w:val="baseline"/>
                <w:lang w:val="en-US" w:eastAsia="zh-CN"/>
              </w:rPr>
              <w:t>5.5</w:t>
            </w:r>
          </w:p>
        </w:tc>
      </w:tr>
      <w:tr w14:paraId="2D8A920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29" w:type="dxa"/>
          </w:tcPr>
          <w:p w14:paraId="215B3E01">
            <w:pPr>
              <w:numPr>
                <w:ilvl w:val="-1"/>
                <w:numId w:val="0"/>
              </w:numPr>
              <w:spacing w:line="240" w:lineRule="auto"/>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5</w:t>
            </w:r>
          </w:p>
        </w:tc>
        <w:tc>
          <w:tcPr>
            <w:tcW w:w="2129" w:type="dxa"/>
          </w:tcPr>
          <w:p w14:paraId="05E8F544">
            <w:pPr>
              <w:numPr>
                <w:ilvl w:val="-1"/>
                <w:numId w:val="0"/>
              </w:numPr>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50</w:t>
            </w:r>
            <w:r>
              <w:rPr>
                <w:rFonts w:hint="eastAsia" w:ascii="Times New Roman" w:hAnsi="Times New Roman" w:cs="Times New Roman"/>
                <w:sz w:val="21"/>
                <w:szCs w:val="21"/>
                <w:vertAlign w:val="baseline"/>
                <w:lang w:val="en-US" w:eastAsia="zh-CN"/>
              </w:rPr>
              <w:t>.0</w:t>
            </w:r>
          </w:p>
        </w:tc>
        <w:tc>
          <w:tcPr>
            <w:tcW w:w="2129" w:type="dxa"/>
          </w:tcPr>
          <w:p w14:paraId="181C258B">
            <w:pPr>
              <w:numPr>
                <w:ilvl w:val="-1"/>
                <w:numId w:val="0"/>
              </w:numPr>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65</w:t>
            </w:r>
            <w:r>
              <w:rPr>
                <w:rFonts w:hint="eastAsia" w:ascii="Times New Roman" w:hAnsi="Times New Roman" w:cs="Times New Roman"/>
                <w:sz w:val="21"/>
                <w:szCs w:val="21"/>
                <w:vertAlign w:val="baseline"/>
                <w:lang w:val="en-US" w:eastAsia="zh-CN"/>
              </w:rPr>
              <w:t>.0</w:t>
            </w:r>
          </w:p>
        </w:tc>
        <w:tc>
          <w:tcPr>
            <w:tcW w:w="2129" w:type="dxa"/>
          </w:tcPr>
          <w:p w14:paraId="12C83F57">
            <w:pPr>
              <w:numPr>
                <w:ilvl w:val="-1"/>
                <w:numId w:val="0"/>
              </w:numPr>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15</w:t>
            </w:r>
            <w:r>
              <w:rPr>
                <w:rFonts w:hint="eastAsia" w:ascii="Times New Roman" w:hAnsi="Times New Roman" w:cs="Times New Roman"/>
                <w:sz w:val="21"/>
                <w:szCs w:val="21"/>
                <w:vertAlign w:val="baseline"/>
                <w:lang w:val="en-US" w:eastAsia="zh-CN"/>
              </w:rPr>
              <w:t>.0</w:t>
            </w:r>
          </w:p>
        </w:tc>
      </w:tr>
      <w:tr w14:paraId="7E9B134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2" w:hRule="atLeast"/>
        </w:trPr>
        <w:tc>
          <w:tcPr>
            <w:tcW w:w="2129" w:type="dxa"/>
          </w:tcPr>
          <w:p w14:paraId="3960CF94">
            <w:pPr>
              <w:numPr>
                <w:ilvl w:val="-1"/>
                <w:numId w:val="0"/>
              </w:numPr>
              <w:spacing w:line="240" w:lineRule="auto"/>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6</w:t>
            </w:r>
          </w:p>
        </w:tc>
        <w:tc>
          <w:tcPr>
            <w:tcW w:w="2129" w:type="dxa"/>
          </w:tcPr>
          <w:p w14:paraId="7961854B">
            <w:pPr>
              <w:numPr>
                <w:ilvl w:val="-1"/>
                <w:numId w:val="0"/>
              </w:numPr>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55</w:t>
            </w:r>
            <w:r>
              <w:rPr>
                <w:rFonts w:hint="eastAsia" w:ascii="Times New Roman" w:hAnsi="Times New Roman" w:cs="Times New Roman"/>
                <w:sz w:val="21"/>
                <w:szCs w:val="21"/>
                <w:vertAlign w:val="baseline"/>
                <w:lang w:val="en-US" w:eastAsia="zh-CN"/>
              </w:rPr>
              <w:t>.0</w:t>
            </w:r>
          </w:p>
        </w:tc>
        <w:tc>
          <w:tcPr>
            <w:tcW w:w="2129" w:type="dxa"/>
          </w:tcPr>
          <w:p w14:paraId="01CE6A3A">
            <w:pPr>
              <w:numPr>
                <w:ilvl w:val="-1"/>
                <w:numId w:val="0"/>
              </w:numPr>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73</w:t>
            </w:r>
            <w:r>
              <w:rPr>
                <w:rFonts w:hint="eastAsia" w:ascii="Times New Roman" w:hAnsi="Times New Roman" w:cs="Times New Roman"/>
                <w:sz w:val="21"/>
                <w:szCs w:val="21"/>
                <w:vertAlign w:val="baseline"/>
                <w:lang w:val="en-US" w:eastAsia="zh-CN"/>
              </w:rPr>
              <w:t>.0</w:t>
            </w:r>
          </w:p>
        </w:tc>
        <w:tc>
          <w:tcPr>
            <w:tcW w:w="2129" w:type="dxa"/>
          </w:tcPr>
          <w:p w14:paraId="13F5D08A">
            <w:pPr>
              <w:numPr>
                <w:ilvl w:val="-1"/>
                <w:numId w:val="0"/>
              </w:numPr>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18</w:t>
            </w:r>
            <w:r>
              <w:rPr>
                <w:rFonts w:hint="eastAsia" w:ascii="Times New Roman" w:hAnsi="Times New Roman" w:cs="Times New Roman"/>
                <w:sz w:val="21"/>
                <w:szCs w:val="21"/>
                <w:vertAlign w:val="baseline"/>
                <w:lang w:val="en-US" w:eastAsia="zh-CN"/>
              </w:rPr>
              <w:t>.0</w:t>
            </w:r>
          </w:p>
        </w:tc>
      </w:tr>
      <w:tr w14:paraId="190CAFB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 w:hRule="atLeast"/>
        </w:trPr>
        <w:tc>
          <w:tcPr>
            <w:tcW w:w="2129" w:type="dxa"/>
          </w:tcPr>
          <w:p w14:paraId="3BB63624">
            <w:pPr>
              <w:numPr>
                <w:ilvl w:val="-1"/>
                <w:numId w:val="0"/>
              </w:numPr>
              <w:spacing w:line="240" w:lineRule="auto"/>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7</w:t>
            </w:r>
          </w:p>
        </w:tc>
        <w:tc>
          <w:tcPr>
            <w:tcW w:w="2129" w:type="dxa"/>
          </w:tcPr>
          <w:p w14:paraId="14DDBF75">
            <w:pPr>
              <w:numPr>
                <w:ilvl w:val="-1"/>
                <w:numId w:val="0"/>
              </w:numPr>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60</w:t>
            </w:r>
            <w:r>
              <w:rPr>
                <w:rFonts w:hint="eastAsia" w:ascii="Times New Roman" w:hAnsi="Times New Roman" w:cs="Times New Roman"/>
                <w:sz w:val="21"/>
                <w:szCs w:val="21"/>
                <w:vertAlign w:val="baseline"/>
                <w:lang w:val="en-US" w:eastAsia="zh-CN"/>
              </w:rPr>
              <w:t>.0</w:t>
            </w:r>
          </w:p>
        </w:tc>
        <w:tc>
          <w:tcPr>
            <w:tcW w:w="2129" w:type="dxa"/>
          </w:tcPr>
          <w:p w14:paraId="04C8E73F">
            <w:pPr>
              <w:numPr>
                <w:ilvl w:val="-1"/>
                <w:numId w:val="0"/>
              </w:numPr>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77</w:t>
            </w:r>
            <w:r>
              <w:rPr>
                <w:rFonts w:hint="eastAsia" w:ascii="Times New Roman" w:hAnsi="Times New Roman" w:cs="Times New Roman"/>
                <w:sz w:val="21"/>
                <w:szCs w:val="21"/>
                <w:vertAlign w:val="baseline"/>
                <w:lang w:val="en-US" w:eastAsia="zh-CN"/>
              </w:rPr>
              <w:t>.5</w:t>
            </w:r>
          </w:p>
        </w:tc>
        <w:tc>
          <w:tcPr>
            <w:tcW w:w="2129" w:type="dxa"/>
          </w:tcPr>
          <w:p w14:paraId="5AB70249">
            <w:pPr>
              <w:numPr>
                <w:ilvl w:val="-1"/>
                <w:numId w:val="0"/>
              </w:numPr>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17</w:t>
            </w:r>
            <w:r>
              <w:rPr>
                <w:rFonts w:hint="eastAsia" w:ascii="Times New Roman" w:hAnsi="Times New Roman" w:cs="Times New Roman"/>
                <w:sz w:val="21"/>
                <w:szCs w:val="21"/>
                <w:vertAlign w:val="baseline"/>
                <w:lang w:val="en-US" w:eastAsia="zh-CN"/>
              </w:rPr>
              <w:t>.5</w:t>
            </w:r>
          </w:p>
        </w:tc>
      </w:tr>
      <w:tr w14:paraId="7A3E18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29" w:type="dxa"/>
          </w:tcPr>
          <w:p w14:paraId="3526E687">
            <w:pPr>
              <w:numPr>
                <w:ilvl w:val="-1"/>
                <w:numId w:val="0"/>
              </w:numPr>
              <w:spacing w:line="240" w:lineRule="auto"/>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8</w:t>
            </w:r>
          </w:p>
        </w:tc>
        <w:tc>
          <w:tcPr>
            <w:tcW w:w="2129" w:type="dxa"/>
          </w:tcPr>
          <w:p w14:paraId="4C685E9B">
            <w:pPr>
              <w:numPr>
                <w:ilvl w:val="-1"/>
                <w:numId w:val="0"/>
              </w:numPr>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68</w:t>
            </w:r>
            <w:r>
              <w:rPr>
                <w:rFonts w:hint="eastAsia" w:ascii="Times New Roman" w:hAnsi="Times New Roman" w:cs="Times New Roman"/>
                <w:sz w:val="21"/>
                <w:szCs w:val="21"/>
                <w:vertAlign w:val="baseline"/>
                <w:lang w:val="en-US" w:eastAsia="zh-CN"/>
              </w:rPr>
              <w:t>.0</w:t>
            </w:r>
          </w:p>
        </w:tc>
        <w:tc>
          <w:tcPr>
            <w:tcW w:w="2129" w:type="dxa"/>
          </w:tcPr>
          <w:p w14:paraId="68EF508B">
            <w:pPr>
              <w:numPr>
                <w:ilvl w:val="-1"/>
                <w:numId w:val="0"/>
              </w:numPr>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85</w:t>
            </w:r>
            <w:r>
              <w:rPr>
                <w:rFonts w:hint="eastAsia" w:ascii="Times New Roman" w:hAnsi="Times New Roman" w:cs="Times New Roman"/>
                <w:sz w:val="21"/>
                <w:szCs w:val="21"/>
                <w:vertAlign w:val="baseline"/>
                <w:lang w:val="en-US" w:eastAsia="zh-CN"/>
              </w:rPr>
              <w:t>.0</w:t>
            </w:r>
          </w:p>
        </w:tc>
        <w:tc>
          <w:tcPr>
            <w:tcW w:w="2129" w:type="dxa"/>
          </w:tcPr>
          <w:p w14:paraId="7F2D6572">
            <w:pPr>
              <w:numPr>
                <w:ilvl w:val="-1"/>
                <w:numId w:val="0"/>
              </w:numPr>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17</w:t>
            </w:r>
            <w:r>
              <w:rPr>
                <w:rFonts w:hint="eastAsia" w:ascii="Times New Roman" w:hAnsi="Times New Roman" w:cs="Times New Roman"/>
                <w:sz w:val="21"/>
                <w:szCs w:val="21"/>
                <w:vertAlign w:val="baseline"/>
                <w:lang w:val="en-US" w:eastAsia="zh-CN"/>
              </w:rPr>
              <w:t>.0</w:t>
            </w:r>
          </w:p>
        </w:tc>
      </w:tr>
      <w:tr w14:paraId="32A65F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29" w:type="dxa"/>
          </w:tcPr>
          <w:p w14:paraId="2C64C2FD">
            <w:pPr>
              <w:numPr>
                <w:ilvl w:val="-1"/>
                <w:numId w:val="0"/>
              </w:numPr>
              <w:spacing w:line="240" w:lineRule="auto"/>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9</w:t>
            </w:r>
          </w:p>
        </w:tc>
        <w:tc>
          <w:tcPr>
            <w:tcW w:w="2129" w:type="dxa"/>
          </w:tcPr>
          <w:p w14:paraId="1888C3A0">
            <w:pPr>
              <w:numPr>
                <w:ilvl w:val="-1"/>
                <w:numId w:val="0"/>
              </w:numPr>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72</w:t>
            </w:r>
            <w:r>
              <w:rPr>
                <w:rFonts w:hint="eastAsia" w:ascii="Times New Roman" w:hAnsi="Times New Roman" w:cs="Times New Roman"/>
                <w:sz w:val="21"/>
                <w:szCs w:val="21"/>
                <w:vertAlign w:val="baseline"/>
                <w:lang w:val="en-US" w:eastAsia="zh-CN"/>
              </w:rPr>
              <w:t>.0</w:t>
            </w:r>
          </w:p>
        </w:tc>
        <w:tc>
          <w:tcPr>
            <w:tcW w:w="2129" w:type="dxa"/>
          </w:tcPr>
          <w:p w14:paraId="4A8D252A">
            <w:pPr>
              <w:numPr>
                <w:ilvl w:val="-1"/>
                <w:numId w:val="0"/>
              </w:numPr>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90</w:t>
            </w:r>
            <w:r>
              <w:rPr>
                <w:rFonts w:hint="eastAsia" w:ascii="Times New Roman" w:hAnsi="Times New Roman" w:cs="Times New Roman"/>
                <w:sz w:val="21"/>
                <w:szCs w:val="21"/>
                <w:vertAlign w:val="baseline"/>
                <w:lang w:val="en-US" w:eastAsia="zh-CN"/>
              </w:rPr>
              <w:t>.0</w:t>
            </w:r>
          </w:p>
        </w:tc>
        <w:tc>
          <w:tcPr>
            <w:tcW w:w="2129" w:type="dxa"/>
          </w:tcPr>
          <w:p w14:paraId="3255CE9D">
            <w:pPr>
              <w:numPr>
                <w:ilvl w:val="-1"/>
                <w:numId w:val="0"/>
              </w:numPr>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18</w:t>
            </w:r>
            <w:r>
              <w:rPr>
                <w:rFonts w:hint="eastAsia" w:ascii="Times New Roman" w:hAnsi="Times New Roman" w:cs="Times New Roman"/>
                <w:sz w:val="21"/>
                <w:szCs w:val="21"/>
                <w:vertAlign w:val="baseline"/>
                <w:lang w:val="en-US" w:eastAsia="zh-CN"/>
              </w:rPr>
              <w:t>.0</w:t>
            </w:r>
          </w:p>
        </w:tc>
      </w:tr>
      <w:tr w14:paraId="6DA6C6E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29" w:type="dxa"/>
          </w:tcPr>
          <w:p w14:paraId="654A1086">
            <w:pPr>
              <w:numPr>
                <w:ilvl w:val="-1"/>
                <w:numId w:val="0"/>
              </w:numPr>
              <w:spacing w:line="240" w:lineRule="auto"/>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10</w:t>
            </w:r>
          </w:p>
        </w:tc>
        <w:tc>
          <w:tcPr>
            <w:tcW w:w="2129" w:type="dxa"/>
          </w:tcPr>
          <w:p w14:paraId="438A51A2">
            <w:pPr>
              <w:numPr>
                <w:ilvl w:val="-1"/>
                <w:numId w:val="0"/>
              </w:numPr>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75</w:t>
            </w:r>
            <w:r>
              <w:rPr>
                <w:rFonts w:hint="eastAsia" w:ascii="Times New Roman" w:hAnsi="Times New Roman" w:cs="Times New Roman"/>
                <w:sz w:val="21"/>
                <w:szCs w:val="21"/>
                <w:vertAlign w:val="baseline"/>
                <w:lang w:val="en-US" w:eastAsia="zh-CN"/>
              </w:rPr>
              <w:t>.5</w:t>
            </w:r>
          </w:p>
        </w:tc>
        <w:tc>
          <w:tcPr>
            <w:tcW w:w="2129" w:type="dxa"/>
          </w:tcPr>
          <w:p w14:paraId="339709EF">
            <w:pPr>
              <w:numPr>
                <w:ilvl w:val="-1"/>
                <w:numId w:val="0"/>
              </w:numPr>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91</w:t>
            </w:r>
            <w:r>
              <w:rPr>
                <w:rFonts w:hint="eastAsia" w:ascii="Times New Roman" w:hAnsi="Times New Roman" w:cs="Times New Roman"/>
                <w:sz w:val="21"/>
                <w:szCs w:val="21"/>
                <w:vertAlign w:val="baseline"/>
                <w:lang w:val="en-US" w:eastAsia="zh-CN"/>
              </w:rPr>
              <w:t>.0</w:t>
            </w:r>
          </w:p>
        </w:tc>
        <w:tc>
          <w:tcPr>
            <w:tcW w:w="2129" w:type="dxa"/>
          </w:tcPr>
          <w:p w14:paraId="255A0738">
            <w:pPr>
              <w:numPr>
                <w:ilvl w:val="-1"/>
                <w:numId w:val="0"/>
              </w:numPr>
              <w:spacing w:line="240" w:lineRule="auto"/>
              <w:jc w:val="center"/>
              <w:rPr>
                <w:rFonts w:hint="default" w:ascii="Times New Roman" w:hAnsi="Times New Roman" w:eastAsia="宋体" w:cs="Times New Roman"/>
                <w:sz w:val="21"/>
                <w:szCs w:val="21"/>
                <w:vertAlign w:val="baseline"/>
                <w:lang w:val="en-US" w:eastAsia="zh-CN"/>
              </w:rPr>
            </w:pPr>
            <w:r>
              <w:rPr>
                <w:rFonts w:hint="eastAsia" w:ascii="Times New Roman" w:hAnsi="Times New Roman" w:cs="Times New Roman"/>
                <w:sz w:val="21"/>
                <w:szCs w:val="21"/>
                <w:vertAlign w:val="baseline"/>
                <w:lang w:val="en-US" w:eastAsia="zh-CN"/>
              </w:rPr>
              <w:t>15.5</w:t>
            </w:r>
          </w:p>
        </w:tc>
      </w:tr>
      <w:tr w14:paraId="719127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29" w:type="dxa"/>
          </w:tcPr>
          <w:p w14:paraId="62A5BDE1">
            <w:pPr>
              <w:numPr>
                <w:ilvl w:val="-1"/>
                <w:numId w:val="0"/>
              </w:numPr>
              <w:spacing w:line="240" w:lineRule="auto"/>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11</w:t>
            </w:r>
          </w:p>
        </w:tc>
        <w:tc>
          <w:tcPr>
            <w:tcW w:w="2129" w:type="dxa"/>
          </w:tcPr>
          <w:p w14:paraId="2E3D2E84">
            <w:pPr>
              <w:numPr>
                <w:ilvl w:val="-1"/>
                <w:numId w:val="0"/>
              </w:numPr>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80</w:t>
            </w:r>
            <w:r>
              <w:rPr>
                <w:rFonts w:hint="eastAsia" w:ascii="Times New Roman" w:hAnsi="Times New Roman" w:cs="Times New Roman"/>
                <w:sz w:val="21"/>
                <w:szCs w:val="21"/>
                <w:vertAlign w:val="baseline"/>
                <w:lang w:val="en-US" w:eastAsia="zh-CN"/>
              </w:rPr>
              <w:t>.0</w:t>
            </w:r>
          </w:p>
        </w:tc>
        <w:tc>
          <w:tcPr>
            <w:tcW w:w="2129" w:type="dxa"/>
          </w:tcPr>
          <w:p w14:paraId="5D68ABC6">
            <w:pPr>
              <w:numPr>
                <w:ilvl w:val="-1"/>
                <w:numId w:val="0"/>
              </w:numPr>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97</w:t>
            </w:r>
            <w:r>
              <w:rPr>
                <w:rFonts w:hint="eastAsia" w:ascii="Times New Roman" w:hAnsi="Times New Roman" w:cs="Times New Roman"/>
                <w:sz w:val="21"/>
                <w:szCs w:val="21"/>
                <w:vertAlign w:val="baseline"/>
                <w:lang w:val="en-US" w:eastAsia="zh-CN"/>
              </w:rPr>
              <w:t>.0</w:t>
            </w:r>
          </w:p>
        </w:tc>
        <w:tc>
          <w:tcPr>
            <w:tcW w:w="2129" w:type="dxa"/>
          </w:tcPr>
          <w:p w14:paraId="730D4B09">
            <w:pPr>
              <w:numPr>
                <w:ilvl w:val="-1"/>
                <w:numId w:val="0"/>
              </w:numPr>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17</w:t>
            </w:r>
            <w:r>
              <w:rPr>
                <w:rFonts w:hint="eastAsia" w:ascii="Times New Roman" w:hAnsi="Times New Roman" w:cs="Times New Roman"/>
                <w:sz w:val="21"/>
                <w:szCs w:val="21"/>
                <w:vertAlign w:val="baseline"/>
                <w:lang w:val="en-US" w:eastAsia="zh-CN"/>
              </w:rPr>
              <w:t>.0</w:t>
            </w:r>
          </w:p>
        </w:tc>
      </w:tr>
      <w:tr w14:paraId="1F482A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29" w:type="dxa"/>
          </w:tcPr>
          <w:p w14:paraId="4B7612FA">
            <w:pPr>
              <w:numPr>
                <w:ilvl w:val="-1"/>
                <w:numId w:val="0"/>
              </w:numPr>
              <w:spacing w:line="240" w:lineRule="auto"/>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12</w:t>
            </w:r>
          </w:p>
        </w:tc>
        <w:tc>
          <w:tcPr>
            <w:tcW w:w="2129" w:type="dxa"/>
          </w:tcPr>
          <w:p w14:paraId="00A5E4F6">
            <w:pPr>
              <w:numPr>
                <w:ilvl w:val="-1"/>
                <w:numId w:val="0"/>
              </w:numPr>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84</w:t>
            </w:r>
            <w:r>
              <w:rPr>
                <w:rFonts w:hint="eastAsia" w:ascii="Times New Roman" w:hAnsi="Times New Roman" w:cs="Times New Roman"/>
                <w:sz w:val="21"/>
                <w:szCs w:val="21"/>
                <w:vertAlign w:val="baseline"/>
                <w:lang w:val="en-US" w:eastAsia="zh-CN"/>
              </w:rPr>
              <w:t>.0</w:t>
            </w:r>
          </w:p>
        </w:tc>
        <w:tc>
          <w:tcPr>
            <w:tcW w:w="2129" w:type="dxa"/>
          </w:tcPr>
          <w:p w14:paraId="07A63A6F">
            <w:pPr>
              <w:numPr>
                <w:ilvl w:val="-1"/>
                <w:numId w:val="0"/>
              </w:numPr>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101</w:t>
            </w:r>
            <w:r>
              <w:rPr>
                <w:rFonts w:hint="eastAsia" w:ascii="Times New Roman" w:hAnsi="Times New Roman" w:cs="Times New Roman"/>
                <w:sz w:val="21"/>
                <w:szCs w:val="21"/>
                <w:vertAlign w:val="baseline"/>
                <w:lang w:val="en-US" w:eastAsia="zh-CN"/>
              </w:rPr>
              <w:t>.0</w:t>
            </w:r>
          </w:p>
        </w:tc>
        <w:tc>
          <w:tcPr>
            <w:tcW w:w="2129" w:type="dxa"/>
          </w:tcPr>
          <w:p w14:paraId="0C88D97F">
            <w:pPr>
              <w:numPr>
                <w:ilvl w:val="-1"/>
                <w:numId w:val="0"/>
              </w:numPr>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17</w:t>
            </w:r>
            <w:r>
              <w:rPr>
                <w:rFonts w:hint="eastAsia" w:ascii="Times New Roman" w:hAnsi="Times New Roman" w:cs="Times New Roman"/>
                <w:sz w:val="21"/>
                <w:szCs w:val="21"/>
                <w:vertAlign w:val="baseline"/>
                <w:lang w:val="en-US" w:eastAsia="zh-CN"/>
              </w:rPr>
              <w:t>.0</w:t>
            </w:r>
          </w:p>
        </w:tc>
      </w:tr>
      <w:tr w14:paraId="0ACCBD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29" w:type="dxa"/>
          </w:tcPr>
          <w:p w14:paraId="5709A06E">
            <w:pPr>
              <w:numPr>
                <w:ilvl w:val="-1"/>
                <w:numId w:val="0"/>
              </w:numPr>
              <w:spacing w:line="240" w:lineRule="auto"/>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13</w:t>
            </w:r>
          </w:p>
        </w:tc>
        <w:tc>
          <w:tcPr>
            <w:tcW w:w="2129" w:type="dxa"/>
          </w:tcPr>
          <w:p w14:paraId="6EDFD672">
            <w:pPr>
              <w:numPr>
                <w:ilvl w:val="-1"/>
                <w:numId w:val="0"/>
              </w:numPr>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90</w:t>
            </w:r>
            <w:r>
              <w:rPr>
                <w:rFonts w:hint="eastAsia" w:ascii="Times New Roman" w:hAnsi="Times New Roman" w:cs="Times New Roman"/>
                <w:sz w:val="21"/>
                <w:szCs w:val="21"/>
                <w:vertAlign w:val="baseline"/>
                <w:lang w:val="en-US" w:eastAsia="zh-CN"/>
              </w:rPr>
              <w:t>.5</w:t>
            </w:r>
          </w:p>
        </w:tc>
        <w:tc>
          <w:tcPr>
            <w:tcW w:w="2129" w:type="dxa"/>
          </w:tcPr>
          <w:p w14:paraId="04F94E68">
            <w:pPr>
              <w:numPr>
                <w:ilvl w:val="-1"/>
                <w:numId w:val="0"/>
              </w:numPr>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108</w:t>
            </w:r>
            <w:r>
              <w:rPr>
                <w:rFonts w:hint="eastAsia" w:ascii="Times New Roman" w:hAnsi="Times New Roman" w:cs="Times New Roman"/>
                <w:sz w:val="21"/>
                <w:szCs w:val="21"/>
                <w:vertAlign w:val="baseline"/>
                <w:lang w:val="en-US" w:eastAsia="zh-CN"/>
              </w:rPr>
              <w:t>.0</w:t>
            </w:r>
          </w:p>
        </w:tc>
        <w:tc>
          <w:tcPr>
            <w:tcW w:w="2129" w:type="dxa"/>
          </w:tcPr>
          <w:p w14:paraId="3B96B8A5">
            <w:pPr>
              <w:numPr>
                <w:ilvl w:val="-1"/>
                <w:numId w:val="0"/>
              </w:numPr>
              <w:spacing w:line="240" w:lineRule="auto"/>
              <w:jc w:val="center"/>
              <w:rPr>
                <w:rFonts w:hint="default" w:ascii="Times New Roman" w:hAnsi="Times New Roman" w:eastAsia="宋体" w:cs="Times New Roman"/>
                <w:sz w:val="21"/>
                <w:szCs w:val="21"/>
                <w:vertAlign w:val="baseline"/>
                <w:lang w:val="en-US" w:eastAsia="zh-CN"/>
              </w:rPr>
            </w:pPr>
            <w:r>
              <w:rPr>
                <w:rFonts w:hint="eastAsia" w:ascii="Times New Roman" w:hAnsi="Times New Roman" w:cs="Times New Roman"/>
                <w:sz w:val="21"/>
                <w:szCs w:val="21"/>
                <w:vertAlign w:val="baseline"/>
                <w:lang w:val="en-US" w:eastAsia="zh-CN"/>
              </w:rPr>
              <w:t>17.5</w:t>
            </w:r>
          </w:p>
        </w:tc>
      </w:tr>
      <w:tr w14:paraId="6F2E60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29" w:type="dxa"/>
          </w:tcPr>
          <w:p w14:paraId="41A82949">
            <w:pPr>
              <w:numPr>
                <w:ilvl w:val="-1"/>
                <w:numId w:val="0"/>
              </w:numPr>
              <w:spacing w:line="240" w:lineRule="auto"/>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14</w:t>
            </w:r>
          </w:p>
        </w:tc>
        <w:tc>
          <w:tcPr>
            <w:tcW w:w="2129" w:type="dxa"/>
          </w:tcPr>
          <w:p w14:paraId="0AAE01CD">
            <w:pPr>
              <w:numPr>
                <w:ilvl w:val="-1"/>
                <w:numId w:val="0"/>
              </w:numPr>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96</w:t>
            </w:r>
            <w:r>
              <w:rPr>
                <w:rFonts w:hint="eastAsia" w:ascii="Times New Roman" w:hAnsi="Times New Roman" w:cs="Times New Roman"/>
                <w:sz w:val="21"/>
                <w:szCs w:val="21"/>
                <w:vertAlign w:val="baseline"/>
                <w:lang w:val="en-US" w:eastAsia="zh-CN"/>
              </w:rPr>
              <w:t>.0</w:t>
            </w:r>
          </w:p>
        </w:tc>
        <w:tc>
          <w:tcPr>
            <w:tcW w:w="2129" w:type="dxa"/>
          </w:tcPr>
          <w:p w14:paraId="744C44C1">
            <w:pPr>
              <w:numPr>
                <w:ilvl w:val="-1"/>
                <w:numId w:val="0"/>
              </w:numPr>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114</w:t>
            </w:r>
            <w:r>
              <w:rPr>
                <w:rFonts w:hint="eastAsia" w:ascii="Times New Roman" w:hAnsi="Times New Roman" w:cs="Times New Roman"/>
                <w:sz w:val="21"/>
                <w:szCs w:val="21"/>
                <w:vertAlign w:val="baseline"/>
                <w:lang w:val="en-US" w:eastAsia="zh-CN"/>
              </w:rPr>
              <w:t>.0</w:t>
            </w:r>
          </w:p>
        </w:tc>
        <w:tc>
          <w:tcPr>
            <w:tcW w:w="2129" w:type="dxa"/>
          </w:tcPr>
          <w:p w14:paraId="17C0571F">
            <w:pPr>
              <w:numPr>
                <w:ilvl w:val="-1"/>
                <w:numId w:val="0"/>
              </w:numPr>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18</w:t>
            </w:r>
            <w:r>
              <w:rPr>
                <w:rFonts w:hint="eastAsia" w:ascii="Times New Roman" w:hAnsi="Times New Roman" w:cs="Times New Roman"/>
                <w:sz w:val="21"/>
                <w:szCs w:val="21"/>
                <w:vertAlign w:val="baseline"/>
                <w:lang w:val="en-US" w:eastAsia="zh-CN"/>
              </w:rPr>
              <w:t>.0</w:t>
            </w:r>
            <w:bookmarkStart w:id="62" w:name="_GoBack"/>
            <w:bookmarkEnd w:id="62"/>
          </w:p>
        </w:tc>
      </w:tr>
      <w:tr w14:paraId="4436DC4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29" w:type="dxa"/>
          </w:tcPr>
          <w:p w14:paraId="441656C9">
            <w:pPr>
              <w:numPr>
                <w:ilvl w:val="-1"/>
                <w:numId w:val="0"/>
              </w:numPr>
              <w:spacing w:line="240" w:lineRule="auto"/>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15</w:t>
            </w:r>
          </w:p>
        </w:tc>
        <w:tc>
          <w:tcPr>
            <w:tcW w:w="2129" w:type="dxa"/>
          </w:tcPr>
          <w:p w14:paraId="4C1359E3">
            <w:pPr>
              <w:numPr>
                <w:ilvl w:val="-1"/>
                <w:numId w:val="0"/>
              </w:numPr>
              <w:spacing w:line="240" w:lineRule="auto"/>
              <w:jc w:val="center"/>
              <w:rPr>
                <w:rFonts w:hint="default" w:ascii="Times New Roman" w:hAnsi="Times New Roman" w:eastAsia="宋体" w:cs="Times New Roman"/>
                <w:sz w:val="21"/>
                <w:szCs w:val="21"/>
                <w:vertAlign w:val="baseline"/>
                <w:lang w:val="en-US" w:eastAsia="zh-CN"/>
              </w:rPr>
            </w:pPr>
            <w:r>
              <w:rPr>
                <w:rFonts w:hint="eastAsia" w:ascii="Times New Roman" w:hAnsi="Times New Roman" w:cs="Times New Roman"/>
                <w:sz w:val="21"/>
                <w:szCs w:val="21"/>
                <w:vertAlign w:val="baseline"/>
                <w:lang w:val="en-US" w:eastAsia="zh-CN"/>
              </w:rPr>
              <w:t>99.5</w:t>
            </w:r>
          </w:p>
        </w:tc>
        <w:tc>
          <w:tcPr>
            <w:tcW w:w="2129" w:type="dxa"/>
          </w:tcPr>
          <w:p w14:paraId="69EB0360">
            <w:pPr>
              <w:numPr>
                <w:ilvl w:val="-1"/>
                <w:numId w:val="0"/>
              </w:numPr>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117</w:t>
            </w:r>
            <w:r>
              <w:rPr>
                <w:rFonts w:hint="eastAsia" w:ascii="Times New Roman" w:hAnsi="Times New Roman" w:cs="Times New Roman"/>
                <w:sz w:val="21"/>
                <w:szCs w:val="21"/>
                <w:vertAlign w:val="baseline"/>
                <w:lang w:val="en-US" w:eastAsia="zh-CN"/>
              </w:rPr>
              <w:t>.0</w:t>
            </w:r>
          </w:p>
        </w:tc>
        <w:tc>
          <w:tcPr>
            <w:tcW w:w="2129" w:type="dxa"/>
          </w:tcPr>
          <w:p w14:paraId="4F2607BD">
            <w:pPr>
              <w:numPr>
                <w:ilvl w:val="-1"/>
                <w:numId w:val="0"/>
              </w:numPr>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17</w:t>
            </w:r>
            <w:r>
              <w:rPr>
                <w:rFonts w:hint="eastAsia" w:ascii="Times New Roman" w:hAnsi="Times New Roman" w:cs="Times New Roman"/>
                <w:sz w:val="21"/>
                <w:szCs w:val="21"/>
                <w:vertAlign w:val="baseline"/>
                <w:lang w:val="en-US" w:eastAsia="zh-CN"/>
              </w:rPr>
              <w:t>.5</w:t>
            </w:r>
          </w:p>
        </w:tc>
      </w:tr>
    </w:tbl>
    <w:p w14:paraId="52E22C03">
      <w:pPr>
        <w:numPr>
          <w:ilvl w:val="-1"/>
          <w:numId w:val="0"/>
        </w:numPr>
        <w:spacing w:line="360" w:lineRule="auto"/>
        <w:ind w:firstLine="480" w:firstLineChars="200"/>
        <w:jc w:val="both"/>
        <w:rPr>
          <w:rFonts w:hint="default" w:ascii="Times New Roman" w:hAnsi="Times New Roman" w:eastAsia="宋体" w:cs="Times New Roman"/>
          <w:sz w:val="24"/>
          <w:szCs w:val="24"/>
          <w:lang w:val="en-US" w:eastAsia="zh-CN"/>
        </w:rPr>
      </w:pPr>
      <w:r>
        <w:rPr>
          <w:rFonts w:hint="default" w:ascii="Times New Roman" w:hAnsi="Times New Roman" w:cs="Times New Roman"/>
          <w:sz w:val="24"/>
          <w:szCs w:val="28"/>
          <w:lang w:val="en-US" w:eastAsia="zh-CN"/>
        </w:rPr>
        <w:t>由表7可知，15组样品中，符合</w:t>
      </w:r>
      <w:r>
        <w:rPr>
          <w:rFonts w:hint="default" w:ascii="Times New Roman" w:hAnsi="Times New Roman" w:cs="Times New Roman"/>
          <w:b w:val="0"/>
          <w:bCs w:val="0"/>
          <w:sz w:val="24"/>
          <w:szCs w:val="24"/>
          <w:lang w:val="en-US" w:eastAsia="zh-CN"/>
        </w:rPr>
        <w:t>NJ24等级有2组，符合NJ36</w:t>
      </w:r>
      <w:r>
        <w:rPr>
          <w:rFonts w:hint="eastAsia" w:ascii="Times New Roman" w:hAnsi="Times New Roman" w:cs="Times New Roman"/>
          <w:b w:val="0"/>
          <w:bCs w:val="0"/>
          <w:sz w:val="24"/>
          <w:szCs w:val="24"/>
          <w:lang w:val="en-US" w:eastAsia="zh-CN"/>
        </w:rPr>
        <w:t>等级</w:t>
      </w:r>
      <w:r>
        <w:rPr>
          <w:rFonts w:hint="default" w:ascii="Times New Roman" w:hAnsi="Times New Roman" w:cs="Times New Roman"/>
          <w:b w:val="0"/>
          <w:bCs w:val="0"/>
          <w:sz w:val="24"/>
          <w:szCs w:val="24"/>
          <w:lang w:val="en-US" w:eastAsia="zh-CN"/>
        </w:rPr>
        <w:t>有2组，符合</w:t>
      </w:r>
      <w:r>
        <w:rPr>
          <w:rFonts w:hint="default" w:ascii="Times New Roman" w:hAnsi="Times New Roman" w:cs="Times New Roman"/>
          <w:b w:val="0"/>
          <w:bCs w:val="0"/>
        </w:rPr>
        <w:t>NJ48</w:t>
      </w:r>
      <w:r>
        <w:rPr>
          <w:rFonts w:hint="default" w:ascii="Times New Roman" w:hAnsi="Times New Roman" w:cs="Times New Roman"/>
          <w:b w:val="0"/>
          <w:bCs w:val="0"/>
          <w:lang w:val="en-US" w:eastAsia="zh-CN"/>
        </w:rPr>
        <w:t>等级有2组</w:t>
      </w:r>
      <w:r>
        <w:rPr>
          <w:rFonts w:hint="default" w:ascii="Times New Roman" w:hAnsi="Times New Roman" w:cs="Times New Roman"/>
          <w:b w:val="0"/>
          <w:bCs w:val="0"/>
        </w:rPr>
        <w:t>、</w:t>
      </w:r>
      <w:r>
        <w:rPr>
          <w:rFonts w:hint="default" w:ascii="Times New Roman" w:hAnsi="Times New Roman" w:cs="Times New Roman"/>
          <w:b w:val="0"/>
          <w:bCs w:val="0"/>
          <w:lang w:val="en-US" w:eastAsia="zh-CN"/>
        </w:rPr>
        <w:t>符合</w:t>
      </w:r>
      <w:r>
        <w:rPr>
          <w:rFonts w:hint="default" w:ascii="Times New Roman" w:hAnsi="Times New Roman" w:cs="Times New Roman"/>
          <w:b w:val="0"/>
          <w:bCs w:val="0"/>
        </w:rPr>
        <w:t>NJ60</w:t>
      </w:r>
      <w:r>
        <w:rPr>
          <w:rFonts w:hint="default" w:ascii="Times New Roman" w:hAnsi="Times New Roman" w:cs="Times New Roman"/>
          <w:b w:val="0"/>
          <w:bCs w:val="0"/>
          <w:lang w:val="en-US" w:eastAsia="zh-CN"/>
        </w:rPr>
        <w:t>等级有2组</w:t>
      </w:r>
      <w:r>
        <w:rPr>
          <w:rFonts w:hint="default" w:ascii="Times New Roman" w:hAnsi="Times New Roman" w:cs="Times New Roman"/>
          <w:b w:val="0"/>
          <w:bCs w:val="0"/>
        </w:rPr>
        <w:t>、</w:t>
      </w:r>
      <w:r>
        <w:rPr>
          <w:rFonts w:hint="default" w:ascii="Times New Roman" w:hAnsi="Times New Roman" w:cs="Times New Roman"/>
          <w:b w:val="0"/>
          <w:bCs w:val="0"/>
          <w:lang w:val="en-US" w:eastAsia="zh-CN"/>
        </w:rPr>
        <w:t>符合</w:t>
      </w:r>
      <w:r>
        <w:rPr>
          <w:rFonts w:hint="default" w:ascii="Times New Roman" w:hAnsi="Times New Roman" w:cs="Times New Roman"/>
          <w:b w:val="0"/>
          <w:bCs w:val="0"/>
        </w:rPr>
        <w:t>NJ72</w:t>
      </w:r>
      <w:r>
        <w:rPr>
          <w:rFonts w:hint="default" w:ascii="Times New Roman" w:hAnsi="Times New Roman" w:cs="Times New Roman"/>
          <w:b w:val="0"/>
          <w:bCs w:val="0"/>
          <w:lang w:val="en-US" w:eastAsia="zh-CN"/>
        </w:rPr>
        <w:t>等级有3组，符合</w:t>
      </w:r>
      <w:r>
        <w:rPr>
          <w:rFonts w:hint="default" w:ascii="Times New Roman" w:hAnsi="Times New Roman" w:cs="Times New Roman"/>
          <w:b w:val="0"/>
          <w:bCs w:val="0"/>
        </w:rPr>
        <w:t>NJ84</w:t>
      </w:r>
      <w:r>
        <w:rPr>
          <w:rFonts w:hint="default" w:ascii="Times New Roman" w:hAnsi="Times New Roman" w:cs="Times New Roman"/>
          <w:b w:val="0"/>
          <w:bCs w:val="0"/>
          <w:lang w:val="en-US" w:eastAsia="zh-CN"/>
        </w:rPr>
        <w:t>等级有2组</w:t>
      </w:r>
      <w:r>
        <w:rPr>
          <w:rFonts w:hint="default" w:ascii="Times New Roman" w:hAnsi="Times New Roman" w:cs="Times New Roman"/>
          <w:b w:val="0"/>
          <w:bCs w:val="0"/>
        </w:rPr>
        <w:t>、</w:t>
      </w:r>
      <w:r>
        <w:rPr>
          <w:rFonts w:hint="default" w:ascii="Times New Roman" w:hAnsi="Times New Roman" w:cs="Times New Roman"/>
          <w:b w:val="0"/>
          <w:bCs w:val="0"/>
          <w:lang w:val="en-US" w:eastAsia="zh-CN"/>
        </w:rPr>
        <w:t>符合</w:t>
      </w:r>
      <w:r>
        <w:rPr>
          <w:rFonts w:hint="default" w:ascii="Times New Roman" w:hAnsi="Times New Roman" w:cs="Times New Roman"/>
          <w:b w:val="0"/>
          <w:bCs w:val="0"/>
        </w:rPr>
        <w:t>NJ96</w:t>
      </w:r>
      <w:r>
        <w:rPr>
          <w:rFonts w:hint="default" w:ascii="Times New Roman" w:hAnsi="Times New Roman" w:cs="Times New Roman"/>
          <w:b w:val="0"/>
          <w:bCs w:val="0"/>
          <w:lang w:val="en-US" w:eastAsia="zh-CN"/>
        </w:rPr>
        <w:t>等级有2组，各个初凝时间等级均有涉及，初终凝时间差也均可以满足</w:t>
      </w:r>
      <w:r>
        <w:rPr>
          <w:rFonts w:hint="default" w:ascii="Times New Roman" w:hAnsi="Times New Roman" w:eastAsia="宋体" w:cs="Times New Roman"/>
          <w:color w:val="000000"/>
          <w:kern w:val="0"/>
          <w:sz w:val="24"/>
          <w:szCs w:val="24"/>
          <w:lang w:val="en-US" w:eastAsia="zh-CN" w:bidi="ar"/>
        </w:rPr>
        <w:t>小于20h。</w:t>
      </w:r>
    </w:p>
    <w:p w14:paraId="2C2A72D9">
      <w:pPr>
        <w:numPr>
          <w:ilvl w:val="0"/>
          <w:numId w:val="11"/>
        </w:numPr>
        <w:spacing w:line="360" w:lineRule="auto"/>
        <w:ind w:firstLine="0" w:firstLineChars="0"/>
        <w:jc w:val="both"/>
        <w:rPr>
          <w:rFonts w:hint="default" w:ascii="Times New Roman" w:hAnsi="Times New Roman" w:eastAsia="宋体" w:cs="Times New Roman"/>
          <w:sz w:val="24"/>
          <w:szCs w:val="28"/>
          <w:lang w:val="en-US" w:eastAsia="zh-CN"/>
        </w:rPr>
      </w:pPr>
      <w:r>
        <w:rPr>
          <w:rFonts w:hint="default" w:ascii="Times New Roman" w:hAnsi="Times New Roman" w:cs="Times New Roman"/>
          <w:sz w:val="24"/>
          <w:szCs w:val="28"/>
          <w:lang w:val="en-US" w:eastAsia="zh-CN"/>
        </w:rPr>
        <w:t>抗压强度</w:t>
      </w:r>
    </w:p>
    <w:p w14:paraId="6E444A4B">
      <w:pPr>
        <w:numPr>
          <w:ilvl w:val="-1"/>
          <w:numId w:val="0"/>
        </w:numPr>
        <w:spacing w:line="360" w:lineRule="auto"/>
        <w:ind w:firstLine="480" w:firstLineChars="200"/>
        <w:jc w:val="both"/>
        <w:rPr>
          <w:rFonts w:hint="default" w:ascii="Times New Roman" w:hAnsi="Times New Roman" w:eastAsia="宋体" w:cs="Times New Roman"/>
          <w:sz w:val="24"/>
          <w:szCs w:val="28"/>
          <w:vertAlign w:val="baseline"/>
          <w:lang w:val="en-US" w:eastAsia="zh-CN"/>
        </w:rPr>
      </w:pPr>
      <w:r>
        <w:rPr>
          <w:rFonts w:hint="default" w:ascii="Times New Roman" w:hAnsi="Times New Roman" w:cs="Times New Roman"/>
          <w:sz w:val="24"/>
          <w:szCs w:val="28"/>
          <w:lang w:val="en-US" w:eastAsia="zh-CN"/>
        </w:rPr>
        <w:t>抗压强度验证试验结果见表8。</w:t>
      </w:r>
    </w:p>
    <w:tbl>
      <w:tblPr>
        <w:tblStyle w:val="20"/>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136"/>
        <w:gridCol w:w="6380"/>
      </w:tblGrid>
      <w:tr w14:paraId="0CBBA9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36" w:type="dxa"/>
          </w:tcPr>
          <w:p w14:paraId="6C8B5278">
            <w:pPr>
              <w:numPr>
                <w:ilvl w:val="-1"/>
                <w:numId w:val="0"/>
              </w:numPr>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配合比</w:t>
            </w:r>
          </w:p>
        </w:tc>
        <w:tc>
          <w:tcPr>
            <w:tcW w:w="6380" w:type="dxa"/>
          </w:tcPr>
          <w:p w14:paraId="039CD329">
            <w:pPr>
              <w:numPr>
                <w:ilvl w:val="-1"/>
                <w:numId w:val="0"/>
              </w:numPr>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28d抗压强度/MPa</w:t>
            </w:r>
          </w:p>
        </w:tc>
      </w:tr>
      <w:tr w14:paraId="5E7406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36" w:type="dxa"/>
          </w:tcPr>
          <w:p w14:paraId="165B24A0">
            <w:pPr>
              <w:numPr>
                <w:ilvl w:val="-1"/>
                <w:numId w:val="0"/>
              </w:numPr>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1</w:t>
            </w:r>
          </w:p>
        </w:tc>
        <w:tc>
          <w:tcPr>
            <w:tcW w:w="6380" w:type="dxa"/>
          </w:tcPr>
          <w:p w14:paraId="6F4B6411">
            <w:pPr>
              <w:numPr>
                <w:ilvl w:val="-1"/>
                <w:numId w:val="0"/>
              </w:numPr>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59.2(C55)</w:t>
            </w:r>
          </w:p>
        </w:tc>
      </w:tr>
      <w:tr w14:paraId="638CB7B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36" w:type="dxa"/>
          </w:tcPr>
          <w:p w14:paraId="6FD39FAC">
            <w:pPr>
              <w:numPr>
                <w:ilvl w:val="-1"/>
                <w:numId w:val="0"/>
              </w:numPr>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2</w:t>
            </w:r>
          </w:p>
        </w:tc>
        <w:tc>
          <w:tcPr>
            <w:tcW w:w="6380" w:type="dxa"/>
          </w:tcPr>
          <w:p w14:paraId="700F39FC">
            <w:pPr>
              <w:numPr>
                <w:ilvl w:val="-1"/>
                <w:numId w:val="0"/>
              </w:numPr>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27.5(C25)</w:t>
            </w:r>
          </w:p>
        </w:tc>
      </w:tr>
      <w:tr w14:paraId="74D49B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36" w:type="dxa"/>
          </w:tcPr>
          <w:p w14:paraId="6B744BA7">
            <w:pPr>
              <w:numPr>
                <w:ilvl w:val="-1"/>
                <w:numId w:val="0"/>
              </w:numPr>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3</w:t>
            </w:r>
          </w:p>
        </w:tc>
        <w:tc>
          <w:tcPr>
            <w:tcW w:w="6380" w:type="dxa"/>
          </w:tcPr>
          <w:p w14:paraId="6537D37C">
            <w:pPr>
              <w:numPr>
                <w:ilvl w:val="-1"/>
                <w:numId w:val="0"/>
              </w:numPr>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43.8(C40)</w:t>
            </w:r>
          </w:p>
        </w:tc>
      </w:tr>
      <w:tr w14:paraId="3578F9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36" w:type="dxa"/>
          </w:tcPr>
          <w:p w14:paraId="73BB6805">
            <w:pPr>
              <w:numPr>
                <w:ilvl w:val="-1"/>
                <w:numId w:val="0"/>
              </w:numPr>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4</w:t>
            </w:r>
          </w:p>
        </w:tc>
        <w:tc>
          <w:tcPr>
            <w:tcW w:w="6380" w:type="dxa"/>
          </w:tcPr>
          <w:p w14:paraId="68F7D65C">
            <w:pPr>
              <w:numPr>
                <w:ilvl w:val="-1"/>
                <w:numId w:val="0"/>
              </w:numPr>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37.1(C35)</w:t>
            </w:r>
          </w:p>
        </w:tc>
      </w:tr>
      <w:tr w14:paraId="3BA9898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36" w:type="dxa"/>
          </w:tcPr>
          <w:p w14:paraId="55971EEB">
            <w:pPr>
              <w:numPr>
                <w:ilvl w:val="-1"/>
                <w:numId w:val="0"/>
              </w:numPr>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5</w:t>
            </w:r>
          </w:p>
        </w:tc>
        <w:tc>
          <w:tcPr>
            <w:tcW w:w="6380" w:type="dxa"/>
          </w:tcPr>
          <w:p w14:paraId="6189B976">
            <w:pPr>
              <w:numPr>
                <w:ilvl w:val="-1"/>
                <w:numId w:val="0"/>
              </w:numPr>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49.2(C45)</w:t>
            </w:r>
          </w:p>
        </w:tc>
      </w:tr>
      <w:tr w14:paraId="372006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36" w:type="dxa"/>
          </w:tcPr>
          <w:p w14:paraId="003E548B">
            <w:pPr>
              <w:numPr>
                <w:ilvl w:val="-1"/>
                <w:numId w:val="0"/>
              </w:numPr>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6</w:t>
            </w:r>
          </w:p>
        </w:tc>
        <w:tc>
          <w:tcPr>
            <w:tcW w:w="6380" w:type="dxa"/>
          </w:tcPr>
          <w:p w14:paraId="6D94A5BE">
            <w:pPr>
              <w:numPr>
                <w:ilvl w:val="-1"/>
                <w:numId w:val="0"/>
              </w:numPr>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54.3(C50)</w:t>
            </w:r>
          </w:p>
        </w:tc>
      </w:tr>
      <w:tr w14:paraId="725D21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36" w:type="dxa"/>
          </w:tcPr>
          <w:p w14:paraId="5FE751E4">
            <w:pPr>
              <w:numPr>
                <w:ilvl w:val="-1"/>
                <w:numId w:val="0"/>
              </w:numPr>
              <w:spacing w:line="240" w:lineRule="auto"/>
              <w:jc w:val="center"/>
              <w:rPr>
                <w:rFonts w:hint="default" w:ascii="Times New Roman" w:hAnsi="Times New Roman" w:eastAsia="宋体" w:cs="Times New Roman"/>
                <w:sz w:val="21"/>
                <w:szCs w:val="21"/>
                <w:highlight w:val="none"/>
                <w:vertAlign w:val="baseline"/>
                <w:lang w:val="en-US" w:eastAsia="zh-CN"/>
              </w:rPr>
            </w:pPr>
            <w:r>
              <w:rPr>
                <w:rFonts w:hint="default" w:ascii="Times New Roman" w:hAnsi="Times New Roman" w:cs="Times New Roman"/>
                <w:sz w:val="21"/>
                <w:szCs w:val="21"/>
                <w:highlight w:val="none"/>
                <w:vertAlign w:val="baseline"/>
                <w:lang w:val="en-US" w:eastAsia="zh-CN"/>
              </w:rPr>
              <w:t>7</w:t>
            </w:r>
          </w:p>
        </w:tc>
        <w:tc>
          <w:tcPr>
            <w:tcW w:w="6380" w:type="dxa"/>
          </w:tcPr>
          <w:p w14:paraId="769BCFBB">
            <w:pPr>
              <w:numPr>
                <w:ilvl w:val="-1"/>
                <w:numId w:val="0"/>
              </w:numPr>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44.8(C40)</w:t>
            </w:r>
          </w:p>
        </w:tc>
      </w:tr>
      <w:tr w14:paraId="3F8C1E3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36" w:type="dxa"/>
          </w:tcPr>
          <w:p w14:paraId="176834D4">
            <w:pPr>
              <w:numPr>
                <w:ilvl w:val="-1"/>
                <w:numId w:val="0"/>
              </w:numPr>
              <w:spacing w:line="240" w:lineRule="auto"/>
              <w:jc w:val="center"/>
              <w:rPr>
                <w:rFonts w:hint="default" w:ascii="Times New Roman" w:hAnsi="Times New Roman" w:eastAsia="宋体" w:cs="Times New Roman"/>
                <w:sz w:val="21"/>
                <w:szCs w:val="21"/>
                <w:highlight w:val="none"/>
                <w:vertAlign w:val="baseline"/>
                <w:lang w:val="en-US" w:eastAsia="zh-CN"/>
              </w:rPr>
            </w:pPr>
            <w:r>
              <w:rPr>
                <w:rFonts w:hint="default" w:ascii="Times New Roman" w:hAnsi="Times New Roman" w:cs="Times New Roman"/>
                <w:sz w:val="21"/>
                <w:szCs w:val="21"/>
                <w:highlight w:val="none"/>
                <w:vertAlign w:val="baseline"/>
                <w:lang w:val="en-US" w:eastAsia="zh-CN"/>
              </w:rPr>
              <w:t>8</w:t>
            </w:r>
          </w:p>
        </w:tc>
        <w:tc>
          <w:tcPr>
            <w:tcW w:w="6380" w:type="dxa"/>
          </w:tcPr>
          <w:p w14:paraId="41A6107F">
            <w:pPr>
              <w:numPr>
                <w:ilvl w:val="-1"/>
                <w:numId w:val="0"/>
              </w:numPr>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26.8(C25)</w:t>
            </w:r>
          </w:p>
        </w:tc>
      </w:tr>
      <w:tr w14:paraId="00B80B5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36" w:type="dxa"/>
          </w:tcPr>
          <w:p w14:paraId="759575EB">
            <w:pPr>
              <w:numPr>
                <w:ilvl w:val="-1"/>
                <w:numId w:val="0"/>
              </w:numPr>
              <w:spacing w:line="240" w:lineRule="auto"/>
              <w:jc w:val="center"/>
              <w:rPr>
                <w:rFonts w:hint="default" w:ascii="Times New Roman" w:hAnsi="Times New Roman" w:eastAsia="宋体" w:cs="Times New Roman"/>
                <w:sz w:val="21"/>
                <w:szCs w:val="21"/>
                <w:highlight w:val="none"/>
                <w:vertAlign w:val="baseline"/>
                <w:lang w:val="en-US" w:eastAsia="zh-CN"/>
              </w:rPr>
            </w:pPr>
            <w:r>
              <w:rPr>
                <w:rFonts w:hint="default" w:ascii="Times New Roman" w:hAnsi="Times New Roman" w:cs="Times New Roman"/>
                <w:sz w:val="21"/>
                <w:szCs w:val="21"/>
                <w:highlight w:val="none"/>
                <w:vertAlign w:val="baseline"/>
                <w:lang w:val="en-US" w:eastAsia="zh-CN"/>
              </w:rPr>
              <w:t>9</w:t>
            </w:r>
          </w:p>
        </w:tc>
        <w:tc>
          <w:tcPr>
            <w:tcW w:w="6380" w:type="dxa"/>
          </w:tcPr>
          <w:p w14:paraId="3D10F8C9">
            <w:pPr>
              <w:numPr>
                <w:ilvl w:val="-1"/>
                <w:numId w:val="0"/>
              </w:numPr>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23.5(C20)</w:t>
            </w:r>
          </w:p>
        </w:tc>
      </w:tr>
      <w:tr w14:paraId="52BDF0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36" w:type="dxa"/>
          </w:tcPr>
          <w:p w14:paraId="3812F1B5">
            <w:pPr>
              <w:numPr>
                <w:ilvl w:val="-1"/>
                <w:numId w:val="0"/>
              </w:numPr>
              <w:spacing w:line="240" w:lineRule="auto"/>
              <w:jc w:val="center"/>
              <w:rPr>
                <w:rFonts w:hint="default" w:ascii="Times New Roman" w:hAnsi="Times New Roman" w:cs="Times New Roman"/>
                <w:sz w:val="21"/>
                <w:szCs w:val="21"/>
                <w:highlight w:val="none"/>
                <w:vertAlign w:val="baseline"/>
                <w:lang w:val="en-US" w:eastAsia="zh-CN"/>
              </w:rPr>
            </w:pPr>
            <w:r>
              <w:rPr>
                <w:rFonts w:hint="default" w:ascii="Times New Roman" w:hAnsi="Times New Roman" w:cs="Times New Roman"/>
                <w:sz w:val="21"/>
                <w:szCs w:val="21"/>
                <w:highlight w:val="none"/>
                <w:vertAlign w:val="baseline"/>
                <w:lang w:val="en-US" w:eastAsia="zh-CN"/>
              </w:rPr>
              <w:t>10</w:t>
            </w:r>
          </w:p>
        </w:tc>
        <w:tc>
          <w:tcPr>
            <w:tcW w:w="6380" w:type="dxa"/>
          </w:tcPr>
          <w:p w14:paraId="42EE6F45">
            <w:pPr>
              <w:numPr>
                <w:ilvl w:val="-1"/>
                <w:numId w:val="0"/>
              </w:numPr>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33.6(C30)</w:t>
            </w:r>
          </w:p>
        </w:tc>
      </w:tr>
      <w:tr w14:paraId="2D71602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36" w:type="dxa"/>
          </w:tcPr>
          <w:p w14:paraId="5CF54FDB">
            <w:pPr>
              <w:numPr>
                <w:ilvl w:val="-1"/>
                <w:numId w:val="0"/>
              </w:numPr>
              <w:spacing w:line="240" w:lineRule="auto"/>
              <w:jc w:val="center"/>
              <w:rPr>
                <w:rFonts w:hint="default" w:ascii="Times New Roman" w:hAnsi="Times New Roman" w:cs="Times New Roman"/>
                <w:sz w:val="21"/>
                <w:szCs w:val="21"/>
                <w:highlight w:val="none"/>
                <w:vertAlign w:val="baseline"/>
                <w:lang w:val="en-US" w:eastAsia="zh-CN"/>
              </w:rPr>
            </w:pPr>
            <w:r>
              <w:rPr>
                <w:rFonts w:hint="default" w:ascii="Times New Roman" w:hAnsi="Times New Roman" w:cs="Times New Roman"/>
                <w:sz w:val="21"/>
                <w:szCs w:val="21"/>
                <w:highlight w:val="none"/>
                <w:vertAlign w:val="baseline"/>
                <w:lang w:val="en-US" w:eastAsia="zh-CN"/>
              </w:rPr>
              <w:t>11</w:t>
            </w:r>
          </w:p>
        </w:tc>
        <w:tc>
          <w:tcPr>
            <w:tcW w:w="6380" w:type="dxa"/>
          </w:tcPr>
          <w:p w14:paraId="36CF3086">
            <w:pPr>
              <w:numPr>
                <w:ilvl w:val="-1"/>
                <w:numId w:val="0"/>
              </w:numPr>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38.4(C35)</w:t>
            </w:r>
          </w:p>
        </w:tc>
      </w:tr>
      <w:tr w14:paraId="170AAC7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36" w:type="dxa"/>
          </w:tcPr>
          <w:p w14:paraId="77C0BC9A">
            <w:pPr>
              <w:numPr>
                <w:ilvl w:val="-1"/>
                <w:numId w:val="0"/>
              </w:numPr>
              <w:spacing w:line="240" w:lineRule="auto"/>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12</w:t>
            </w:r>
          </w:p>
        </w:tc>
        <w:tc>
          <w:tcPr>
            <w:tcW w:w="6380" w:type="dxa"/>
          </w:tcPr>
          <w:p w14:paraId="1B9E3B5C">
            <w:pPr>
              <w:numPr>
                <w:ilvl w:val="-1"/>
                <w:numId w:val="0"/>
              </w:numPr>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49.2(C45)</w:t>
            </w:r>
          </w:p>
        </w:tc>
      </w:tr>
      <w:tr w14:paraId="04167F1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36" w:type="dxa"/>
          </w:tcPr>
          <w:p w14:paraId="2350F59B">
            <w:pPr>
              <w:numPr>
                <w:ilvl w:val="-1"/>
                <w:numId w:val="0"/>
              </w:numPr>
              <w:spacing w:line="240" w:lineRule="auto"/>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13</w:t>
            </w:r>
          </w:p>
        </w:tc>
        <w:tc>
          <w:tcPr>
            <w:tcW w:w="6380" w:type="dxa"/>
          </w:tcPr>
          <w:p w14:paraId="4015A583">
            <w:pPr>
              <w:numPr>
                <w:ilvl w:val="-1"/>
                <w:numId w:val="0"/>
              </w:numPr>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27.8(C25)</w:t>
            </w:r>
          </w:p>
        </w:tc>
      </w:tr>
      <w:tr w14:paraId="061F69A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36" w:type="dxa"/>
          </w:tcPr>
          <w:p w14:paraId="5F2D6833">
            <w:pPr>
              <w:numPr>
                <w:ilvl w:val="-1"/>
                <w:numId w:val="0"/>
              </w:numPr>
              <w:spacing w:line="240" w:lineRule="auto"/>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14</w:t>
            </w:r>
          </w:p>
        </w:tc>
        <w:tc>
          <w:tcPr>
            <w:tcW w:w="6380" w:type="dxa"/>
          </w:tcPr>
          <w:p w14:paraId="409FA6E9">
            <w:pPr>
              <w:numPr>
                <w:ilvl w:val="-1"/>
                <w:numId w:val="0"/>
              </w:numPr>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36.7(C35)</w:t>
            </w:r>
          </w:p>
        </w:tc>
      </w:tr>
      <w:tr w14:paraId="6C34F3D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36" w:type="dxa"/>
          </w:tcPr>
          <w:p w14:paraId="6BE57139">
            <w:pPr>
              <w:numPr>
                <w:ilvl w:val="-1"/>
                <w:numId w:val="0"/>
              </w:numPr>
              <w:spacing w:line="240" w:lineRule="auto"/>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15</w:t>
            </w:r>
          </w:p>
        </w:tc>
        <w:tc>
          <w:tcPr>
            <w:tcW w:w="6380" w:type="dxa"/>
          </w:tcPr>
          <w:p w14:paraId="670B6578">
            <w:pPr>
              <w:numPr>
                <w:ilvl w:val="-1"/>
                <w:numId w:val="0"/>
              </w:numPr>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33.5(C30)</w:t>
            </w:r>
          </w:p>
        </w:tc>
      </w:tr>
    </w:tbl>
    <w:p w14:paraId="6A1AB6F2">
      <w:pPr>
        <w:numPr>
          <w:ilvl w:val="-1"/>
          <w:numId w:val="0"/>
        </w:numPr>
        <w:spacing w:line="360" w:lineRule="auto"/>
        <w:ind w:firstLine="480" w:firstLineChars="200"/>
        <w:jc w:val="both"/>
        <w:rPr>
          <w:rFonts w:hint="default" w:ascii="Times New Roman" w:hAnsi="Times New Roman" w:eastAsia="宋体" w:cs="Times New Roman"/>
          <w:sz w:val="24"/>
          <w:szCs w:val="28"/>
          <w:lang w:val="en-US" w:eastAsia="zh-CN"/>
        </w:rPr>
      </w:pPr>
      <w:r>
        <w:rPr>
          <w:rFonts w:hint="default" w:ascii="Times New Roman" w:hAnsi="Times New Roman" w:cs="Times New Roman"/>
          <w:sz w:val="24"/>
          <w:szCs w:val="28"/>
          <w:lang w:val="en-US" w:eastAsia="zh-CN"/>
        </w:rPr>
        <w:t>由表8可知，15组样品中，符合C20</w:t>
      </w:r>
      <w:r>
        <w:rPr>
          <w:rFonts w:hint="default" w:ascii="Times New Roman" w:hAnsi="Times New Roman" w:cs="Times New Roman"/>
          <w:b w:val="0"/>
          <w:bCs w:val="0"/>
          <w:sz w:val="24"/>
          <w:szCs w:val="24"/>
          <w:lang w:val="en-US" w:eastAsia="zh-CN"/>
        </w:rPr>
        <w:t>等级有2组，符合C25</w:t>
      </w:r>
      <w:r>
        <w:rPr>
          <w:rFonts w:hint="eastAsia" w:ascii="Times New Roman" w:hAnsi="Times New Roman" w:cs="Times New Roman"/>
          <w:b w:val="0"/>
          <w:bCs w:val="0"/>
          <w:sz w:val="24"/>
          <w:szCs w:val="24"/>
          <w:lang w:val="en-US" w:eastAsia="zh-CN"/>
        </w:rPr>
        <w:t>等级</w:t>
      </w:r>
      <w:r>
        <w:rPr>
          <w:rFonts w:hint="default" w:ascii="Times New Roman" w:hAnsi="Times New Roman" w:cs="Times New Roman"/>
          <w:b w:val="0"/>
          <w:bCs w:val="0"/>
          <w:sz w:val="24"/>
          <w:szCs w:val="24"/>
          <w:lang w:val="en-US" w:eastAsia="zh-CN"/>
        </w:rPr>
        <w:t>有3组，符合</w:t>
      </w:r>
      <w:r>
        <w:rPr>
          <w:rFonts w:hint="default" w:ascii="Times New Roman" w:hAnsi="Times New Roman" w:cs="Times New Roman"/>
          <w:b w:val="0"/>
          <w:bCs w:val="0"/>
          <w:lang w:val="en-US" w:eastAsia="zh-CN"/>
        </w:rPr>
        <w:t>C30等级有2组</w:t>
      </w:r>
      <w:r>
        <w:rPr>
          <w:rFonts w:hint="default" w:ascii="Times New Roman" w:hAnsi="Times New Roman" w:cs="Times New Roman"/>
          <w:b w:val="0"/>
          <w:bCs w:val="0"/>
        </w:rPr>
        <w:t>、</w:t>
      </w:r>
      <w:r>
        <w:rPr>
          <w:rFonts w:hint="default" w:ascii="Times New Roman" w:hAnsi="Times New Roman" w:cs="Times New Roman"/>
          <w:b w:val="0"/>
          <w:bCs w:val="0"/>
          <w:lang w:val="en-US" w:eastAsia="zh-CN"/>
        </w:rPr>
        <w:t>符合C35等级有3组</w:t>
      </w:r>
      <w:r>
        <w:rPr>
          <w:rFonts w:hint="default" w:ascii="Times New Roman" w:hAnsi="Times New Roman" w:cs="Times New Roman"/>
          <w:b w:val="0"/>
          <w:bCs w:val="0"/>
        </w:rPr>
        <w:t>、</w:t>
      </w:r>
      <w:r>
        <w:rPr>
          <w:rFonts w:hint="default" w:ascii="Times New Roman" w:hAnsi="Times New Roman" w:cs="Times New Roman"/>
          <w:b w:val="0"/>
          <w:bCs w:val="0"/>
          <w:lang w:val="en-US" w:eastAsia="zh-CN"/>
        </w:rPr>
        <w:t>符合C40等级有2组，符合C45等级的有2组</w:t>
      </w:r>
      <w:r>
        <w:rPr>
          <w:rFonts w:hint="default" w:ascii="Times New Roman" w:hAnsi="Times New Roman" w:cs="Times New Roman"/>
          <w:b w:val="0"/>
          <w:bCs w:val="0"/>
        </w:rPr>
        <w:t>、</w:t>
      </w:r>
      <w:r>
        <w:rPr>
          <w:rFonts w:hint="default" w:ascii="Times New Roman" w:hAnsi="Times New Roman" w:cs="Times New Roman"/>
          <w:b w:val="0"/>
          <w:bCs w:val="0"/>
          <w:lang w:val="en-US" w:eastAsia="zh-CN"/>
        </w:rPr>
        <w:t>符合C50等级有1组、符合C55等级有1组，各个抗压强度等级均有涉及。</w:t>
      </w:r>
    </w:p>
    <w:p w14:paraId="2E17F220">
      <w:pPr>
        <w:numPr>
          <w:ilvl w:val="0"/>
          <w:numId w:val="11"/>
        </w:numPr>
        <w:spacing w:line="360" w:lineRule="auto"/>
        <w:ind w:firstLine="0" w:firstLineChars="0"/>
        <w:jc w:val="both"/>
        <w:rPr>
          <w:rFonts w:hint="default" w:ascii="Times New Roman" w:hAnsi="Times New Roman" w:eastAsia="宋体" w:cs="Times New Roman"/>
          <w:sz w:val="24"/>
          <w:szCs w:val="28"/>
          <w:lang w:val="en-US" w:eastAsia="zh-CN"/>
        </w:rPr>
      </w:pPr>
      <w:r>
        <w:rPr>
          <w:rFonts w:hint="default" w:ascii="Times New Roman" w:hAnsi="Times New Roman" w:cs="Times New Roman"/>
          <w:sz w:val="24"/>
          <w:szCs w:val="28"/>
          <w:lang w:val="en-US" w:eastAsia="zh-CN"/>
        </w:rPr>
        <w:t>耐久性能</w:t>
      </w:r>
    </w:p>
    <w:p w14:paraId="0B088F1B">
      <w:pPr>
        <w:numPr>
          <w:ilvl w:val="-1"/>
          <w:numId w:val="0"/>
        </w:numPr>
        <w:spacing w:line="360" w:lineRule="auto"/>
        <w:ind w:firstLine="480" w:firstLineChars="200"/>
        <w:jc w:val="both"/>
        <w:rPr>
          <w:rFonts w:hint="default" w:ascii="Times New Roman" w:hAnsi="Times New Roman" w:eastAsia="宋体" w:cs="Times New Roman"/>
          <w:sz w:val="24"/>
          <w:szCs w:val="24"/>
          <w:lang w:val="en-US" w:eastAsia="zh-CN"/>
        </w:rPr>
      </w:pPr>
      <w:r>
        <w:rPr>
          <w:rFonts w:hint="default" w:ascii="Times New Roman" w:hAnsi="Times New Roman" w:cs="Times New Roman"/>
          <w:b w:val="0"/>
          <w:bCs w:val="0"/>
          <w:sz w:val="24"/>
          <w:szCs w:val="24"/>
        </w:rPr>
        <w:t>超缓凝混凝土与普通混凝土的抗冻性能</w:t>
      </w:r>
      <w:r>
        <w:rPr>
          <w:rFonts w:hint="default" w:ascii="Times New Roman" w:hAnsi="Times New Roman" w:cs="Times New Roman"/>
          <w:b w:val="0"/>
          <w:bCs w:val="0"/>
          <w:sz w:val="24"/>
          <w:szCs w:val="24"/>
          <w:lang w:val="en-US" w:eastAsia="zh-CN"/>
        </w:rPr>
        <w:t>对比如图3。</w:t>
      </w:r>
    </w:p>
    <w:p w14:paraId="19EE39CC">
      <w:pPr>
        <w:tabs>
          <w:tab w:val="left" w:pos="445"/>
        </w:tabs>
        <w:spacing w:line="360" w:lineRule="auto"/>
        <w:jc w:val="center"/>
        <w:rPr>
          <w:rFonts w:hint="eastAsia" w:ascii="宋体" w:hAnsi="宋体" w:cs="宋体"/>
          <w:szCs w:val="24"/>
        </w:rPr>
      </w:pPr>
      <w:r>
        <w:rPr>
          <w:rFonts w:hint="eastAsia" w:ascii="宋体" w:hAnsi="宋体" w:cs="宋体"/>
          <w:szCs w:val="24"/>
        </w:rPr>
        <w:drawing>
          <wp:inline distT="0" distB="0" distL="114300" distR="114300">
            <wp:extent cx="2734945" cy="1920240"/>
            <wp:effectExtent l="0" t="0" r="8255" b="0"/>
            <wp:docPr id="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1"/>
                    <pic:cNvPicPr>
                      <a:picLocks noChangeAspect="1"/>
                    </pic:cNvPicPr>
                  </pic:nvPicPr>
                  <pic:blipFill>
                    <a:blip r:embed="rId10"/>
                    <a:srcRect l="7239" t="9534" r="5878" b="10745"/>
                    <a:stretch>
                      <a:fillRect/>
                    </a:stretch>
                  </pic:blipFill>
                  <pic:spPr>
                    <a:xfrm>
                      <a:off x="0" y="0"/>
                      <a:ext cx="2734945" cy="1920240"/>
                    </a:xfrm>
                    <a:prstGeom prst="rect">
                      <a:avLst/>
                    </a:prstGeom>
                    <a:noFill/>
                    <a:ln>
                      <a:noFill/>
                    </a:ln>
                  </pic:spPr>
                </pic:pic>
              </a:graphicData>
            </a:graphic>
          </wp:inline>
        </w:drawing>
      </w:r>
    </w:p>
    <w:p w14:paraId="1D4EB319">
      <w:pPr>
        <w:tabs>
          <w:tab w:val="left" w:pos="445"/>
        </w:tabs>
        <w:spacing w:line="360" w:lineRule="auto"/>
        <w:jc w:val="center"/>
        <w:rPr>
          <w:rFonts w:hint="eastAsia" w:ascii="宋体" w:hAnsi="宋体" w:eastAsia="宋体" w:cs="宋体"/>
          <w:b/>
          <w:bCs/>
          <w:sz w:val="21"/>
          <w:szCs w:val="21"/>
          <w:lang w:val="en-US" w:eastAsia="zh-CN"/>
        </w:rPr>
      </w:pPr>
      <w:r>
        <w:rPr>
          <w:rFonts w:hint="eastAsia" w:ascii="宋体" w:hAnsi="宋体" w:cs="宋体"/>
          <w:b/>
          <w:bCs/>
          <w:sz w:val="21"/>
          <w:szCs w:val="21"/>
        </w:rPr>
        <w:t>图</w:t>
      </w:r>
      <w:r>
        <w:rPr>
          <w:rFonts w:hint="eastAsia" w:cs="宋体"/>
          <w:b/>
          <w:bCs/>
          <w:sz w:val="21"/>
          <w:szCs w:val="21"/>
          <w:lang w:val="en-US" w:eastAsia="zh-CN"/>
        </w:rPr>
        <w:t>3</w:t>
      </w:r>
      <w:r>
        <w:rPr>
          <w:rFonts w:hint="eastAsia" w:ascii="宋体" w:hAnsi="宋体" w:cs="宋体"/>
          <w:b/>
          <w:bCs/>
          <w:sz w:val="21"/>
          <w:szCs w:val="21"/>
        </w:rPr>
        <w:t xml:space="preserve"> 超缓凝混凝土与普通混凝土的抗冻性能</w:t>
      </w:r>
      <w:r>
        <w:rPr>
          <w:rFonts w:hint="eastAsia" w:cs="宋体"/>
          <w:b/>
          <w:bCs/>
          <w:sz w:val="21"/>
          <w:szCs w:val="21"/>
          <w:lang w:val="en-US" w:eastAsia="zh-CN"/>
        </w:rPr>
        <w:t>对比</w:t>
      </w:r>
    </w:p>
    <w:p w14:paraId="69521A6F">
      <w:pPr>
        <w:tabs>
          <w:tab w:val="left" w:pos="445"/>
        </w:tabs>
        <w:spacing w:line="360" w:lineRule="auto"/>
        <w:ind w:firstLine="480" w:firstLineChars="200"/>
        <w:rPr>
          <w:rFonts w:hint="default" w:ascii="Times New Roman" w:hAnsi="Times New Roman" w:eastAsia="宋体" w:cs="Times New Roman"/>
          <w:szCs w:val="24"/>
          <w:lang w:val="en-US" w:eastAsia="zh-CN"/>
        </w:rPr>
      </w:pPr>
      <w:r>
        <w:rPr>
          <w:rFonts w:hint="eastAsia" w:ascii="Times New Roman" w:hAnsi="Times New Roman" w:cs="Times New Roman"/>
          <w:szCs w:val="24"/>
          <w:lang w:val="en-US" w:eastAsia="zh-CN"/>
        </w:rPr>
        <w:t>如</w:t>
      </w:r>
      <w:r>
        <w:rPr>
          <w:rFonts w:hint="default" w:ascii="Times New Roman" w:hAnsi="Times New Roman" w:cs="Times New Roman"/>
          <w:szCs w:val="24"/>
        </w:rPr>
        <w:t>图</w:t>
      </w:r>
      <w:r>
        <w:rPr>
          <w:rFonts w:hint="default" w:ascii="Times New Roman" w:hAnsi="Times New Roman" w:cs="Times New Roman"/>
          <w:szCs w:val="24"/>
          <w:lang w:val="en-US" w:eastAsia="zh-CN"/>
        </w:rPr>
        <w:t>3</w:t>
      </w:r>
      <w:r>
        <w:rPr>
          <w:rFonts w:hint="default" w:ascii="Times New Roman" w:hAnsi="Times New Roman" w:cs="Times New Roman"/>
          <w:szCs w:val="24"/>
        </w:rPr>
        <w:t>所示，250个冻融循环以后，超缓凝混凝土的重量损失率与相对动弹模量值P均接近于空白混凝土，</w:t>
      </w:r>
      <w:r>
        <w:rPr>
          <w:rFonts w:hint="eastAsia" w:ascii="Times New Roman" w:hAnsi="Times New Roman" w:cs="Times New Roman"/>
          <w:szCs w:val="24"/>
          <w:lang w:val="en-US" w:eastAsia="zh-CN"/>
        </w:rPr>
        <w:t>具有良好</w:t>
      </w:r>
      <w:r>
        <w:rPr>
          <w:rFonts w:hint="default" w:ascii="Times New Roman" w:hAnsi="Times New Roman" w:cs="Times New Roman"/>
          <w:szCs w:val="24"/>
        </w:rPr>
        <w:t>的抗冻性能。</w:t>
      </w:r>
      <w:r>
        <w:rPr>
          <w:rFonts w:hint="eastAsia" w:ascii="Times New Roman" w:hAnsi="Times New Roman" w:cs="Times New Roman"/>
          <w:szCs w:val="24"/>
          <w:lang w:val="en-US" w:eastAsia="zh-CN"/>
        </w:rPr>
        <w:t>通过调研以及相关验证试验其他耐久性能指标也均可满足设计要求。</w:t>
      </w:r>
    </w:p>
    <w:bookmarkEnd w:id="54"/>
    <w:p w14:paraId="0A681F69">
      <w:pPr>
        <w:pStyle w:val="29"/>
        <w:spacing w:before="167" w:beforeLines="50" w:after="167" w:afterLines="50"/>
        <w:outlineLvl w:val="0"/>
        <w:rPr>
          <w:rFonts w:ascii="Times New Roman"/>
          <w:color w:val="000000" w:themeColor="text1"/>
          <w:sz w:val="28"/>
          <w:szCs w:val="28"/>
        </w:rPr>
      </w:pPr>
      <w:bookmarkStart w:id="55" w:name="_Toc30282"/>
      <w:bookmarkStart w:id="56" w:name="_Toc5788"/>
      <w:bookmarkStart w:id="57" w:name="_Toc25561"/>
      <w:bookmarkStart w:id="58" w:name="_Toc7753"/>
      <w:bookmarkStart w:id="59" w:name="_Toc30930"/>
      <w:bookmarkStart w:id="60" w:name="_Toc108389265"/>
      <w:bookmarkStart w:id="61" w:name="_Toc5827"/>
      <w:r>
        <w:rPr>
          <w:rFonts w:ascii="Times New Roman"/>
          <w:color w:val="000000" w:themeColor="text1"/>
          <w:sz w:val="28"/>
          <w:szCs w:val="28"/>
        </w:rPr>
        <w:t>4 标准中涉及专利</w:t>
      </w:r>
      <w:r>
        <w:rPr>
          <w:rFonts w:hint="eastAsia" w:ascii="Times New Roman"/>
          <w:color w:val="000000" w:themeColor="text1"/>
          <w:sz w:val="28"/>
          <w:szCs w:val="28"/>
        </w:rPr>
        <w:t>、知识产权</w:t>
      </w:r>
      <w:r>
        <w:rPr>
          <w:rFonts w:ascii="Times New Roman"/>
          <w:color w:val="000000" w:themeColor="text1"/>
          <w:sz w:val="28"/>
          <w:szCs w:val="28"/>
        </w:rPr>
        <w:t>情况说明</w:t>
      </w:r>
    </w:p>
    <w:p w14:paraId="6CDD738A">
      <w:pPr>
        <w:spacing w:line="360" w:lineRule="auto"/>
        <w:ind w:firstLine="480"/>
        <w:jc w:val="both"/>
        <w:rPr>
          <w:rFonts w:eastAsiaTheme="minorEastAsia"/>
          <w:color w:val="000000" w:themeColor="text1"/>
          <w:szCs w:val="28"/>
        </w:rPr>
      </w:pPr>
      <w:r>
        <w:rPr>
          <w:rFonts w:eastAsiaTheme="minorEastAsia"/>
          <w:color w:val="000000" w:themeColor="text1"/>
          <w:szCs w:val="28"/>
        </w:rPr>
        <w:t>经检索，本标准所列技术内容没有涉及专利和知识产权的情况。</w:t>
      </w:r>
    </w:p>
    <w:p w14:paraId="5846DD63">
      <w:pPr>
        <w:pStyle w:val="29"/>
        <w:spacing w:before="167" w:beforeLines="50" w:after="167" w:afterLines="50"/>
        <w:outlineLvl w:val="0"/>
        <w:rPr>
          <w:rFonts w:ascii="Times New Roman"/>
          <w:color w:val="000000" w:themeColor="text1"/>
          <w:sz w:val="28"/>
          <w:szCs w:val="28"/>
        </w:rPr>
      </w:pPr>
      <w:r>
        <w:rPr>
          <w:rFonts w:ascii="Times New Roman"/>
          <w:color w:val="000000" w:themeColor="text1"/>
          <w:sz w:val="28"/>
          <w:szCs w:val="28"/>
        </w:rPr>
        <w:t xml:space="preserve">5 </w:t>
      </w:r>
      <w:r>
        <w:rPr>
          <w:rFonts w:hint="eastAsia" w:ascii="Times New Roman"/>
          <w:color w:val="000000" w:themeColor="text1"/>
          <w:sz w:val="28"/>
          <w:szCs w:val="28"/>
        </w:rPr>
        <w:t>产业化情况、推广应用论证和预期达到的经济效果等情况；</w:t>
      </w:r>
    </w:p>
    <w:p w14:paraId="333D08F0">
      <w:pPr>
        <w:spacing w:line="360" w:lineRule="auto"/>
        <w:ind w:firstLine="480"/>
        <w:jc w:val="both"/>
        <w:rPr>
          <w:rFonts w:hint="default" w:ascii="Times New Roman" w:hAnsi="Times New Roman" w:cs="Times New Roman" w:eastAsiaTheme="minorEastAsia"/>
          <w:color w:val="000000" w:themeColor="text1"/>
          <w:szCs w:val="28"/>
        </w:rPr>
      </w:pPr>
      <w:r>
        <w:rPr>
          <w:rFonts w:hint="default" w:ascii="Times New Roman" w:hAnsi="Times New Roman" w:cs="Times New Roman" w:eastAsiaTheme="minorEastAsia"/>
          <w:color w:val="000000" w:themeColor="text1"/>
          <w:szCs w:val="28"/>
        </w:rPr>
        <w:t>目前</w:t>
      </w:r>
      <w:r>
        <w:rPr>
          <w:rFonts w:hint="eastAsia" w:ascii="Times New Roman" w:hAnsi="Times New Roman" w:cs="Times New Roman" w:eastAsiaTheme="minorEastAsia"/>
          <w:color w:val="000000" w:themeColor="text1"/>
          <w:szCs w:val="28"/>
          <w:lang w:eastAsia="zh-CN"/>
        </w:rPr>
        <w:t>，</w:t>
      </w:r>
      <w:r>
        <w:rPr>
          <w:rFonts w:hint="default" w:ascii="Times New Roman" w:hAnsi="Times New Roman" w:cs="Times New Roman" w:eastAsiaTheme="minorEastAsia"/>
          <w:color w:val="000000" w:themeColor="text1"/>
          <w:szCs w:val="28"/>
        </w:rPr>
        <w:t>超缓凝混凝土主要用于高层建筑和地铁修建过程中的深基坑支护结构以及对混凝土凝结时间有特殊要求的超大体积混凝土、超长大直径水下桩基工程</w:t>
      </w:r>
      <w:r>
        <w:rPr>
          <w:rFonts w:hint="eastAsia" w:ascii="Times New Roman" w:hAnsi="Times New Roman" w:cs="Times New Roman" w:eastAsiaTheme="minorEastAsia"/>
          <w:color w:val="000000" w:themeColor="text1"/>
          <w:szCs w:val="28"/>
          <w:lang w:eastAsia="zh-CN"/>
        </w:rPr>
        <w:t>，</w:t>
      </w:r>
      <w:r>
        <w:rPr>
          <w:rFonts w:hint="default" w:ascii="Times New Roman" w:hAnsi="Times New Roman" w:cs="Times New Roman" w:eastAsiaTheme="minorEastAsia"/>
          <w:color w:val="000000" w:themeColor="text1"/>
          <w:szCs w:val="28"/>
        </w:rPr>
        <w:t>尤其在地铁车站等钻孔咬合桩施工中具有广泛的应用优势。</w:t>
      </w:r>
    </w:p>
    <w:p w14:paraId="02A66E52">
      <w:pPr>
        <w:spacing w:line="360" w:lineRule="auto"/>
        <w:ind w:firstLine="480" w:firstLineChars="0"/>
        <w:jc w:val="both"/>
        <w:rPr>
          <w:rFonts w:hint="default" w:ascii="Times New Roman" w:hAnsi="Times New Roman" w:cs="Times New Roman" w:eastAsiaTheme="minorEastAsia"/>
          <w:color w:val="000000" w:themeColor="text1"/>
          <w:szCs w:val="28"/>
        </w:rPr>
      </w:pPr>
      <w:r>
        <w:rPr>
          <w:rFonts w:hint="default" w:ascii="Times New Roman" w:hAnsi="Times New Roman" w:cs="Times New Roman" w:eastAsiaTheme="minorEastAsia"/>
          <w:color w:val="000000" w:themeColor="text1"/>
          <w:szCs w:val="28"/>
        </w:rPr>
        <w:t>2021年底，中国内地累计有46个城市开通城轨交通运营线路8773.22公里，我国地铁建设进入到了快速发展期，同时越来越多的道路下穿线、高层建筑物等城市构筑物的深基坑工程中采用钻孔咬合桩工艺，越来越多的地铁车站、超高层建筑采用逆作法施工工艺。</w:t>
      </w:r>
    </w:p>
    <w:p w14:paraId="71FD1AAC">
      <w:pPr>
        <w:spacing w:line="360" w:lineRule="auto"/>
        <w:ind w:firstLine="480" w:firstLineChars="0"/>
        <w:jc w:val="both"/>
        <w:rPr>
          <w:rFonts w:hint="default" w:ascii="Times New Roman" w:hAnsi="Times New Roman" w:cs="Times New Roman" w:eastAsiaTheme="minorEastAsia"/>
          <w:color w:val="000000" w:themeColor="text1"/>
          <w:szCs w:val="28"/>
        </w:rPr>
      </w:pPr>
      <w:r>
        <w:rPr>
          <w:rFonts w:hint="default" w:ascii="Times New Roman" w:hAnsi="Times New Roman" w:cs="Times New Roman" w:eastAsiaTheme="minorEastAsia"/>
          <w:color w:val="000000" w:themeColor="text1"/>
          <w:szCs w:val="28"/>
        </w:rPr>
        <w:t>1999年钻孔咬合桩在深圳地铁首次应用，北京地铁九号线第6标段东钓鱼台站，成都地铁6号线一、二期工程土建11标三官堂站围护桩施工工程，南京地铁5号线盐仓桥地下车站钻孔咬合桩，杭州至富阳城际铁路工程土建施工SGHF-9标，杭州市市民中心地下停车库（S1）标、昆明地铁3号线等众多深基坑咬合桩支护工程中均采用了大量超缓凝混凝土。京津城际延伸线于家堡站、天津中信城市广场、武汉地铁中南路站、北京城市副中心站综合交通枢纽等工程逆作法施工中均使用了大量超缓凝混凝土。</w:t>
      </w:r>
      <w:r>
        <w:rPr>
          <w:rFonts w:hint="default" w:ascii="Times New Roman" w:hAnsi="Times New Roman" w:cs="Times New Roman" w:eastAsiaTheme="minorEastAsia"/>
          <w:color w:val="000000" w:themeColor="text1"/>
          <w:szCs w:val="28"/>
          <w:lang w:val="en-US" w:eastAsia="zh-CN"/>
        </w:rPr>
        <w:t>此外</w:t>
      </w:r>
      <w:r>
        <w:rPr>
          <w:rFonts w:hint="default" w:ascii="Times New Roman" w:hAnsi="Times New Roman" w:cs="Times New Roman" w:eastAsiaTheme="minorEastAsia"/>
          <w:color w:val="000000" w:themeColor="text1"/>
          <w:szCs w:val="28"/>
        </w:rPr>
        <w:t>C55超缓凝混凝土在株洲至六盘水铁路复线南山河特大桥中的应用，混凝土初凝时间大于24h；C35超缓凝混凝土在大连湾港10万吨散粮码头筒仓基础混凝土中的应用。</w:t>
      </w:r>
    </w:p>
    <w:p w14:paraId="60EC1C8B">
      <w:pPr>
        <w:spacing w:line="360" w:lineRule="auto"/>
        <w:ind w:firstLine="480" w:firstLineChars="0"/>
        <w:jc w:val="both"/>
        <w:rPr>
          <w:rFonts w:hint="default" w:ascii="Times New Roman" w:hAnsi="Times New Roman" w:cs="Times New Roman" w:eastAsiaTheme="minorEastAsia"/>
          <w:color w:val="000000" w:themeColor="text1"/>
          <w:szCs w:val="28"/>
        </w:rPr>
      </w:pPr>
      <w:r>
        <w:rPr>
          <w:rFonts w:hint="default" w:ascii="Times New Roman" w:hAnsi="Times New Roman" w:cs="Times New Roman" w:eastAsiaTheme="minorEastAsia"/>
          <w:color w:val="000000" w:themeColor="text1"/>
          <w:sz w:val="24"/>
          <w:szCs w:val="28"/>
        </w:rPr>
        <w:t>我国地铁建设进入到了快速发展期，同时越来越多的道路下穿线、高层建筑物等城市构筑物的深基坑工程中采用钻孔咬合桩工艺。超缓凝混凝土作为钻孔咬合桩施工关键技术，将会有更大的发展空间和广泛的应用前景。同时，近年来，建筑工程正向超高、超深、超大规模和极端严酷的服役环境中发展，超缓凝混凝土技术在解决超大体积、超深地下空间、超深水下工程、超复杂环境条件下的混凝土工程施工技术难题以及降低温度裂缝风险具有较好应用前景。</w:t>
      </w:r>
    </w:p>
    <w:p w14:paraId="3088070E">
      <w:pPr>
        <w:spacing w:line="360" w:lineRule="auto"/>
        <w:ind w:firstLine="480" w:firstLineChars="0"/>
        <w:jc w:val="both"/>
        <w:rPr>
          <w:rFonts w:hint="default" w:ascii="Times New Roman" w:hAnsi="Times New Roman" w:cs="Times New Roman" w:eastAsiaTheme="minorEastAsia"/>
          <w:color w:val="000000" w:themeColor="text1"/>
          <w:sz w:val="24"/>
          <w:szCs w:val="28"/>
        </w:rPr>
      </w:pPr>
      <w:r>
        <w:rPr>
          <w:rFonts w:hint="default" w:ascii="Times New Roman" w:hAnsi="Times New Roman" w:cs="Times New Roman" w:eastAsiaTheme="minorEastAsia"/>
          <w:color w:val="000000" w:themeColor="text1"/>
          <w:sz w:val="24"/>
          <w:szCs w:val="28"/>
          <w:lang w:val="en-US" w:eastAsia="zh-CN"/>
        </w:rPr>
        <w:t>典型案例：</w:t>
      </w:r>
    </w:p>
    <w:p w14:paraId="2BD86A25">
      <w:pPr>
        <w:spacing w:line="360" w:lineRule="auto"/>
        <w:ind w:firstLine="480"/>
        <w:jc w:val="both"/>
        <w:rPr>
          <w:rFonts w:hint="default" w:ascii="Times New Roman" w:hAnsi="Times New Roman" w:cs="Times New Roman" w:eastAsiaTheme="minorEastAsia"/>
          <w:color w:val="000000" w:themeColor="text1"/>
          <w:szCs w:val="28"/>
          <w:lang w:eastAsia="zh-CN"/>
        </w:rPr>
      </w:pPr>
      <w:r>
        <w:rPr>
          <w:rFonts w:hint="default" w:ascii="Times New Roman" w:hAnsi="Times New Roman" w:cs="Times New Roman" w:eastAsiaTheme="minorEastAsia"/>
          <w:color w:val="000000" w:themeColor="text1"/>
          <w:szCs w:val="28"/>
          <w:lang w:eastAsia="zh-CN"/>
        </w:rPr>
        <w:t>（</w:t>
      </w:r>
      <w:r>
        <w:rPr>
          <w:rFonts w:hint="default" w:ascii="Times New Roman" w:hAnsi="Times New Roman" w:cs="Times New Roman" w:eastAsiaTheme="minorEastAsia"/>
          <w:color w:val="000000" w:themeColor="text1"/>
          <w:szCs w:val="28"/>
          <w:lang w:val="en-US" w:eastAsia="zh-CN"/>
        </w:rPr>
        <w:t>1</w:t>
      </w:r>
      <w:r>
        <w:rPr>
          <w:rFonts w:hint="default" w:ascii="Times New Roman" w:hAnsi="Times New Roman" w:cs="Times New Roman" w:eastAsiaTheme="minorEastAsia"/>
          <w:color w:val="000000" w:themeColor="text1"/>
          <w:szCs w:val="28"/>
          <w:lang w:eastAsia="zh-CN"/>
        </w:rPr>
        <w:t>）</w:t>
      </w:r>
      <w:r>
        <w:rPr>
          <w:rFonts w:hint="default" w:ascii="Times New Roman" w:hAnsi="Times New Roman" w:cs="Times New Roman" w:eastAsiaTheme="minorEastAsia"/>
          <w:color w:val="000000" w:themeColor="text1"/>
          <w:szCs w:val="28"/>
        </w:rPr>
        <w:t>北京城市副中心站综合交通枢纽工程</w:t>
      </w:r>
    </w:p>
    <w:p w14:paraId="6A8F59F2">
      <w:pPr>
        <w:spacing w:line="360" w:lineRule="auto"/>
        <w:ind w:firstLine="480"/>
        <w:jc w:val="both"/>
        <w:rPr>
          <w:rFonts w:hint="default" w:ascii="Times New Roman" w:hAnsi="Times New Roman" w:cs="Times New Roman" w:eastAsiaTheme="minorEastAsia"/>
          <w:color w:val="000000" w:themeColor="text1"/>
          <w:szCs w:val="28"/>
        </w:rPr>
      </w:pPr>
      <w:r>
        <w:rPr>
          <w:rFonts w:hint="default" w:ascii="Times New Roman" w:hAnsi="Times New Roman" w:cs="Times New Roman" w:eastAsiaTheme="minorEastAsia"/>
          <w:color w:val="000000" w:themeColor="text1"/>
          <w:szCs w:val="28"/>
        </w:rPr>
        <w:t>项目用地范围约61公顷，地下总建筑面积约128万平米，地上面积约139万平米，地下枢纽部分总投资约为345亿元。车站为地下三层，整体埋深为32米。</w:t>
      </w:r>
      <w:r>
        <w:rPr>
          <w:rFonts w:hint="default" w:ascii="Times New Roman" w:hAnsi="Times New Roman" w:cs="Times New Roman" w:eastAsiaTheme="minorEastAsia"/>
          <w:color w:val="000000" w:themeColor="text1"/>
          <w:szCs w:val="28"/>
          <w:lang w:val="en-US" w:eastAsia="zh-CN"/>
        </w:rPr>
        <w:t>图1</w:t>
      </w:r>
      <w:r>
        <w:rPr>
          <w:rFonts w:hint="default" w:ascii="Times New Roman" w:hAnsi="Times New Roman" w:cs="Times New Roman" w:eastAsiaTheme="minorEastAsia"/>
          <w:color w:val="000000" w:themeColor="text1"/>
          <w:szCs w:val="28"/>
        </w:rPr>
        <w:t>效果图中白色立柱为逆作法竖向支承钢管柱，钢管柱下方逆作桩均使用超缓凝混凝土浇筑。逆作桩设计使用初凝时间大于72h的超缓凝混凝土，强度等级C35，拌和物坍落度≥230mm，单桩混凝土用量130m³～280m³之间。</w:t>
      </w:r>
    </w:p>
    <w:p w14:paraId="5BE966F2">
      <w:pPr>
        <w:spacing w:line="360" w:lineRule="auto"/>
        <w:ind w:firstLine="0"/>
        <w:jc w:val="center"/>
        <w:rPr>
          <w:rFonts w:hint="default" w:ascii="Times New Roman" w:hAnsi="Times New Roman" w:cs="Times New Roman" w:eastAsiaTheme="minorEastAsia"/>
          <w:color w:val="000000" w:themeColor="text1"/>
          <w:szCs w:val="28"/>
        </w:rPr>
      </w:pPr>
      <w:r>
        <w:rPr>
          <w:rFonts w:hint="default" w:ascii="Times New Roman" w:hAnsi="Times New Roman" w:cs="Times New Roman" w:eastAsiaTheme="minorEastAsia"/>
          <w:color w:val="000000" w:themeColor="text1"/>
          <w:szCs w:val="28"/>
          <w:lang w:val="en-US" w:eastAsia="zh-CN"/>
        </w:rPr>
        <w:t>表3 铁建永泰商混站逆作桩超缓凝混凝土供应情况</w:t>
      </w:r>
    </w:p>
    <w:tbl>
      <w:tblPr>
        <w:tblStyle w:val="19"/>
        <w:tblW w:w="4994"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Layout w:type="fixed"/>
        <w:tblCellMar>
          <w:top w:w="0" w:type="dxa"/>
          <w:left w:w="0" w:type="dxa"/>
          <w:bottom w:w="0" w:type="dxa"/>
          <w:right w:w="0" w:type="dxa"/>
        </w:tblCellMar>
      </w:tblPr>
      <w:tblGrid>
        <w:gridCol w:w="1223"/>
        <w:gridCol w:w="750"/>
        <w:gridCol w:w="1010"/>
        <w:gridCol w:w="1020"/>
        <w:gridCol w:w="961"/>
        <w:gridCol w:w="1186"/>
        <w:gridCol w:w="1202"/>
        <w:gridCol w:w="1226"/>
      </w:tblGrid>
      <w:tr w14:paraId="435D11C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0" w:type="dxa"/>
            <w:bottom w:w="0" w:type="dxa"/>
            <w:right w:w="0" w:type="dxa"/>
          </w:tblCellMar>
        </w:tblPrEx>
        <w:trPr>
          <w:trHeight w:val="170" w:hRule="atLeast"/>
        </w:trPr>
        <w:tc>
          <w:tcPr>
            <w:tcW w:w="712" w:type="pct"/>
            <w:shd w:val="clear" w:color="auto" w:fill="auto"/>
            <w:tcMar>
              <w:top w:w="72" w:type="dxa"/>
              <w:left w:w="144" w:type="dxa"/>
              <w:bottom w:w="72" w:type="dxa"/>
              <w:right w:w="144" w:type="dxa"/>
            </w:tcMar>
            <w:vAlign w:val="center"/>
          </w:tcPr>
          <w:p w14:paraId="45F57563">
            <w:pPr>
              <w:pStyle w:val="17"/>
              <w:keepNext w:val="0"/>
              <w:keepLines w:val="0"/>
              <w:widowControl/>
              <w:suppressLineNumbers w:val="0"/>
              <w:spacing w:before="0" w:beforeAutospacing="0" w:after="0" w:afterAutospacing="0"/>
              <w:jc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sz w:val="21"/>
                <w:szCs w:val="21"/>
              </w:rPr>
              <w:t>施工单位</w:t>
            </w:r>
          </w:p>
        </w:tc>
        <w:tc>
          <w:tcPr>
            <w:tcW w:w="437" w:type="pct"/>
            <w:shd w:val="clear" w:color="auto" w:fill="auto"/>
            <w:tcMar>
              <w:top w:w="72" w:type="dxa"/>
              <w:left w:w="144" w:type="dxa"/>
              <w:bottom w:w="72" w:type="dxa"/>
              <w:right w:w="144" w:type="dxa"/>
            </w:tcMar>
            <w:vAlign w:val="center"/>
          </w:tcPr>
          <w:p w14:paraId="023904C9">
            <w:pPr>
              <w:pStyle w:val="17"/>
              <w:keepNext w:val="0"/>
              <w:keepLines w:val="0"/>
              <w:widowControl/>
              <w:suppressLineNumbers w:val="0"/>
              <w:spacing w:before="0" w:beforeAutospacing="0" w:after="0" w:afterAutospacing="0"/>
              <w:jc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sz w:val="21"/>
                <w:szCs w:val="21"/>
              </w:rPr>
              <w:t>标段</w:t>
            </w:r>
          </w:p>
        </w:tc>
        <w:tc>
          <w:tcPr>
            <w:tcW w:w="588" w:type="pct"/>
            <w:shd w:val="clear" w:color="auto" w:fill="auto"/>
            <w:tcMar>
              <w:top w:w="72" w:type="dxa"/>
              <w:left w:w="144" w:type="dxa"/>
              <w:bottom w:w="72" w:type="dxa"/>
              <w:right w:w="144" w:type="dxa"/>
            </w:tcMar>
            <w:vAlign w:val="center"/>
          </w:tcPr>
          <w:p w14:paraId="0B639581">
            <w:pPr>
              <w:pStyle w:val="17"/>
              <w:keepNext w:val="0"/>
              <w:keepLines w:val="0"/>
              <w:widowControl/>
              <w:suppressLineNumbers w:val="0"/>
              <w:spacing w:before="0" w:beforeAutospacing="0" w:after="0" w:afterAutospacing="0"/>
              <w:jc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sz w:val="21"/>
                <w:szCs w:val="21"/>
              </w:rPr>
              <w:t>数量（根）</w:t>
            </w:r>
          </w:p>
        </w:tc>
        <w:tc>
          <w:tcPr>
            <w:tcW w:w="594" w:type="pct"/>
            <w:shd w:val="clear" w:color="auto" w:fill="auto"/>
            <w:tcMar>
              <w:top w:w="72" w:type="dxa"/>
              <w:left w:w="144" w:type="dxa"/>
              <w:bottom w:w="72" w:type="dxa"/>
              <w:right w:w="144" w:type="dxa"/>
            </w:tcMar>
            <w:vAlign w:val="center"/>
          </w:tcPr>
          <w:p w14:paraId="53CF66C9">
            <w:pPr>
              <w:pStyle w:val="17"/>
              <w:keepNext w:val="0"/>
              <w:keepLines w:val="0"/>
              <w:widowControl/>
              <w:suppressLineNumbers w:val="0"/>
              <w:spacing w:before="0" w:beforeAutospacing="0" w:after="0" w:afterAutospacing="0"/>
              <w:jc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sz w:val="21"/>
                <w:szCs w:val="21"/>
              </w:rPr>
              <w:t>桩径（mm)</w:t>
            </w:r>
          </w:p>
        </w:tc>
        <w:tc>
          <w:tcPr>
            <w:tcW w:w="560" w:type="pct"/>
            <w:shd w:val="clear" w:color="auto" w:fill="auto"/>
            <w:tcMar>
              <w:top w:w="72" w:type="dxa"/>
              <w:left w:w="144" w:type="dxa"/>
              <w:bottom w:w="72" w:type="dxa"/>
              <w:right w:w="144" w:type="dxa"/>
            </w:tcMar>
            <w:vAlign w:val="center"/>
          </w:tcPr>
          <w:p w14:paraId="2DA0B161">
            <w:pPr>
              <w:pStyle w:val="17"/>
              <w:keepNext w:val="0"/>
              <w:keepLines w:val="0"/>
              <w:widowControl/>
              <w:suppressLineNumbers w:val="0"/>
              <w:spacing w:before="0" w:beforeAutospacing="0" w:after="0" w:afterAutospacing="0"/>
              <w:jc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sz w:val="21"/>
                <w:szCs w:val="21"/>
              </w:rPr>
              <w:t>桩长（m）</w:t>
            </w:r>
          </w:p>
        </w:tc>
        <w:tc>
          <w:tcPr>
            <w:tcW w:w="691" w:type="pct"/>
            <w:shd w:val="clear" w:color="auto" w:fill="auto"/>
            <w:tcMar>
              <w:top w:w="72" w:type="dxa"/>
              <w:left w:w="144" w:type="dxa"/>
              <w:bottom w:w="72" w:type="dxa"/>
              <w:right w:w="144" w:type="dxa"/>
            </w:tcMar>
            <w:vAlign w:val="center"/>
          </w:tcPr>
          <w:p w14:paraId="5726600D">
            <w:pPr>
              <w:pStyle w:val="17"/>
              <w:keepNext w:val="0"/>
              <w:keepLines w:val="0"/>
              <w:widowControl/>
              <w:suppressLineNumbers w:val="0"/>
              <w:spacing w:before="0" w:beforeAutospacing="0" w:after="0" w:afterAutospacing="0"/>
              <w:jc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sz w:val="21"/>
                <w:szCs w:val="21"/>
              </w:rPr>
              <w:t>强度等级</w:t>
            </w:r>
          </w:p>
        </w:tc>
        <w:tc>
          <w:tcPr>
            <w:tcW w:w="700" w:type="pct"/>
            <w:shd w:val="clear" w:color="auto" w:fill="auto"/>
            <w:tcMar>
              <w:top w:w="72" w:type="dxa"/>
              <w:left w:w="144" w:type="dxa"/>
              <w:bottom w:w="72" w:type="dxa"/>
              <w:right w:w="144" w:type="dxa"/>
            </w:tcMar>
            <w:vAlign w:val="center"/>
          </w:tcPr>
          <w:p w14:paraId="0C33BC5D">
            <w:pPr>
              <w:pStyle w:val="17"/>
              <w:keepNext w:val="0"/>
              <w:keepLines w:val="0"/>
              <w:widowControl/>
              <w:suppressLineNumbers w:val="0"/>
              <w:spacing w:before="0" w:beforeAutospacing="0" w:after="0" w:afterAutospacing="0"/>
              <w:jc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sz w:val="21"/>
                <w:szCs w:val="21"/>
              </w:rPr>
              <w:t>初凝时间</w:t>
            </w:r>
          </w:p>
          <w:p w14:paraId="019A171A">
            <w:pPr>
              <w:pStyle w:val="17"/>
              <w:keepNext w:val="0"/>
              <w:keepLines w:val="0"/>
              <w:widowControl/>
              <w:suppressLineNumbers w:val="0"/>
              <w:spacing w:before="0" w:beforeAutospacing="0" w:after="0" w:afterAutospacing="0"/>
              <w:jc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sz w:val="21"/>
                <w:szCs w:val="21"/>
                <w:lang w:eastAsia="zh-CN"/>
              </w:rPr>
              <w:t>（</w:t>
            </w:r>
            <w:r>
              <w:rPr>
                <w:rFonts w:hint="default" w:ascii="Times New Roman" w:hAnsi="Times New Roman" w:cs="Times New Roman" w:eastAsiaTheme="minorEastAsia"/>
                <w:color w:val="auto"/>
                <w:sz w:val="21"/>
                <w:szCs w:val="21"/>
                <w:lang w:val="en-US" w:eastAsia="zh-CN"/>
              </w:rPr>
              <w:t>h</w:t>
            </w:r>
            <w:r>
              <w:rPr>
                <w:rFonts w:hint="default" w:ascii="Times New Roman" w:hAnsi="Times New Roman" w:cs="Times New Roman" w:eastAsiaTheme="minorEastAsia"/>
                <w:color w:val="auto"/>
                <w:sz w:val="21"/>
                <w:szCs w:val="21"/>
                <w:lang w:eastAsia="zh-CN"/>
              </w:rPr>
              <w:t>）</w:t>
            </w:r>
          </w:p>
        </w:tc>
        <w:tc>
          <w:tcPr>
            <w:tcW w:w="714" w:type="pct"/>
            <w:shd w:val="clear" w:color="auto" w:fill="auto"/>
            <w:tcMar>
              <w:top w:w="72" w:type="dxa"/>
              <w:left w:w="144" w:type="dxa"/>
              <w:bottom w:w="72" w:type="dxa"/>
              <w:right w:w="144" w:type="dxa"/>
            </w:tcMar>
            <w:vAlign w:val="center"/>
          </w:tcPr>
          <w:p w14:paraId="7BFF8CC7">
            <w:pPr>
              <w:pStyle w:val="17"/>
              <w:keepNext w:val="0"/>
              <w:keepLines w:val="0"/>
              <w:widowControl/>
              <w:suppressLineNumbers w:val="0"/>
              <w:spacing w:before="0" w:beforeAutospacing="0" w:after="0" w:afterAutospacing="0"/>
              <w:jc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sz w:val="21"/>
                <w:szCs w:val="21"/>
              </w:rPr>
              <w:t>混凝土用量(m</w:t>
            </w:r>
            <w:r>
              <w:rPr>
                <w:rFonts w:hint="default" w:ascii="Times New Roman" w:hAnsi="Times New Roman" w:cs="Times New Roman" w:eastAsiaTheme="minorEastAsia"/>
                <w:color w:val="auto"/>
                <w:sz w:val="21"/>
                <w:szCs w:val="21"/>
                <w:vertAlign w:val="superscript"/>
              </w:rPr>
              <w:t>3</w:t>
            </w:r>
            <w:r>
              <w:rPr>
                <w:rFonts w:hint="default" w:ascii="Times New Roman" w:hAnsi="Times New Roman" w:cs="Times New Roman" w:eastAsiaTheme="minorEastAsia"/>
                <w:color w:val="auto"/>
                <w:sz w:val="21"/>
                <w:szCs w:val="21"/>
              </w:rPr>
              <w:t>)</w:t>
            </w:r>
          </w:p>
        </w:tc>
      </w:tr>
      <w:tr w14:paraId="0440FE2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0" w:type="dxa"/>
            <w:bottom w:w="0" w:type="dxa"/>
            <w:right w:w="0" w:type="dxa"/>
          </w:tblCellMar>
        </w:tblPrEx>
        <w:trPr>
          <w:trHeight w:val="170" w:hRule="atLeast"/>
        </w:trPr>
        <w:tc>
          <w:tcPr>
            <w:tcW w:w="712" w:type="pct"/>
            <w:shd w:val="clear" w:color="auto" w:fill="auto"/>
            <w:tcMar>
              <w:top w:w="72" w:type="dxa"/>
              <w:left w:w="144" w:type="dxa"/>
              <w:bottom w:w="72" w:type="dxa"/>
              <w:right w:w="144" w:type="dxa"/>
            </w:tcMar>
            <w:vAlign w:val="center"/>
          </w:tcPr>
          <w:p w14:paraId="49B5FDE1">
            <w:pPr>
              <w:pStyle w:val="17"/>
              <w:keepNext w:val="0"/>
              <w:keepLines w:val="0"/>
              <w:widowControl/>
              <w:suppressLineNumbers w:val="0"/>
              <w:spacing w:before="0" w:beforeAutospacing="0" w:after="0" w:afterAutospacing="0"/>
              <w:jc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sz w:val="21"/>
                <w:szCs w:val="21"/>
              </w:rPr>
              <w:t>中铁建设</w:t>
            </w:r>
          </w:p>
        </w:tc>
        <w:tc>
          <w:tcPr>
            <w:tcW w:w="437" w:type="pct"/>
            <w:shd w:val="clear" w:color="auto" w:fill="auto"/>
            <w:tcMar>
              <w:top w:w="72" w:type="dxa"/>
              <w:left w:w="144" w:type="dxa"/>
              <w:bottom w:w="72" w:type="dxa"/>
              <w:right w:w="144" w:type="dxa"/>
            </w:tcMar>
            <w:vAlign w:val="center"/>
          </w:tcPr>
          <w:p w14:paraId="02B507F5">
            <w:pPr>
              <w:pStyle w:val="17"/>
              <w:keepNext w:val="0"/>
              <w:keepLines w:val="0"/>
              <w:widowControl/>
              <w:suppressLineNumbers w:val="0"/>
              <w:spacing w:before="0" w:beforeAutospacing="0" w:after="0" w:afterAutospacing="0"/>
              <w:jc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sz w:val="21"/>
                <w:szCs w:val="21"/>
              </w:rPr>
              <w:t>01</w:t>
            </w:r>
          </w:p>
        </w:tc>
        <w:tc>
          <w:tcPr>
            <w:tcW w:w="588" w:type="pct"/>
            <w:shd w:val="clear" w:color="auto" w:fill="auto"/>
            <w:tcMar>
              <w:top w:w="72" w:type="dxa"/>
              <w:left w:w="144" w:type="dxa"/>
              <w:bottom w:w="72" w:type="dxa"/>
              <w:right w:w="144" w:type="dxa"/>
            </w:tcMar>
            <w:vAlign w:val="center"/>
          </w:tcPr>
          <w:p w14:paraId="4631D0D3">
            <w:pPr>
              <w:pStyle w:val="17"/>
              <w:keepNext w:val="0"/>
              <w:keepLines w:val="0"/>
              <w:widowControl/>
              <w:suppressLineNumbers w:val="0"/>
              <w:spacing w:before="0" w:beforeAutospacing="0" w:after="0" w:afterAutospacing="0"/>
              <w:jc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sz w:val="21"/>
                <w:szCs w:val="21"/>
              </w:rPr>
              <w:t>109</w:t>
            </w:r>
          </w:p>
        </w:tc>
        <w:tc>
          <w:tcPr>
            <w:tcW w:w="594" w:type="pct"/>
            <w:vMerge w:val="restart"/>
            <w:shd w:val="clear" w:color="auto" w:fill="auto"/>
            <w:tcMar>
              <w:top w:w="72" w:type="dxa"/>
              <w:left w:w="144" w:type="dxa"/>
              <w:bottom w:w="72" w:type="dxa"/>
              <w:right w:w="144" w:type="dxa"/>
            </w:tcMar>
            <w:vAlign w:val="center"/>
          </w:tcPr>
          <w:p w14:paraId="790E9F0E">
            <w:pPr>
              <w:pStyle w:val="17"/>
              <w:keepNext w:val="0"/>
              <w:keepLines w:val="0"/>
              <w:widowControl/>
              <w:suppressLineNumbers w:val="0"/>
              <w:spacing w:before="0" w:beforeAutospacing="0" w:after="0" w:afterAutospacing="0"/>
              <w:jc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sz w:val="21"/>
                <w:szCs w:val="21"/>
              </w:rPr>
              <w:t>2000~2600</w:t>
            </w:r>
          </w:p>
        </w:tc>
        <w:tc>
          <w:tcPr>
            <w:tcW w:w="560" w:type="pct"/>
            <w:vMerge w:val="restart"/>
            <w:shd w:val="clear" w:color="auto" w:fill="auto"/>
            <w:tcMar>
              <w:top w:w="72" w:type="dxa"/>
              <w:left w:w="144" w:type="dxa"/>
              <w:bottom w:w="72" w:type="dxa"/>
              <w:right w:w="144" w:type="dxa"/>
            </w:tcMar>
            <w:vAlign w:val="center"/>
          </w:tcPr>
          <w:p w14:paraId="725645CE">
            <w:pPr>
              <w:pStyle w:val="17"/>
              <w:keepNext w:val="0"/>
              <w:keepLines w:val="0"/>
              <w:widowControl/>
              <w:suppressLineNumbers w:val="0"/>
              <w:spacing w:before="0" w:beforeAutospacing="0" w:after="0" w:afterAutospacing="0"/>
              <w:jc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sz w:val="21"/>
                <w:szCs w:val="21"/>
              </w:rPr>
              <w:t>40~47</w:t>
            </w:r>
          </w:p>
        </w:tc>
        <w:tc>
          <w:tcPr>
            <w:tcW w:w="691" w:type="pct"/>
            <w:shd w:val="clear" w:color="auto" w:fill="auto"/>
            <w:tcMar>
              <w:top w:w="72" w:type="dxa"/>
              <w:left w:w="144" w:type="dxa"/>
              <w:bottom w:w="72" w:type="dxa"/>
              <w:right w:w="144" w:type="dxa"/>
            </w:tcMar>
            <w:vAlign w:val="center"/>
          </w:tcPr>
          <w:p w14:paraId="09D27CED">
            <w:pPr>
              <w:pStyle w:val="17"/>
              <w:keepNext w:val="0"/>
              <w:keepLines w:val="0"/>
              <w:widowControl/>
              <w:suppressLineNumbers w:val="0"/>
              <w:spacing w:before="0" w:beforeAutospacing="0" w:after="0" w:afterAutospacing="0"/>
              <w:jc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sz w:val="21"/>
                <w:szCs w:val="21"/>
              </w:rPr>
              <w:t>C35</w:t>
            </w:r>
          </w:p>
        </w:tc>
        <w:tc>
          <w:tcPr>
            <w:tcW w:w="700" w:type="pct"/>
            <w:shd w:val="clear" w:color="auto" w:fill="auto"/>
            <w:tcMar>
              <w:top w:w="72" w:type="dxa"/>
              <w:left w:w="144" w:type="dxa"/>
              <w:bottom w:w="72" w:type="dxa"/>
              <w:right w:w="144" w:type="dxa"/>
            </w:tcMar>
            <w:vAlign w:val="center"/>
          </w:tcPr>
          <w:p w14:paraId="6B23E534">
            <w:pPr>
              <w:pStyle w:val="17"/>
              <w:keepNext w:val="0"/>
              <w:keepLines w:val="0"/>
              <w:widowControl/>
              <w:suppressLineNumbers w:val="0"/>
              <w:spacing w:before="0" w:beforeAutospacing="0" w:after="0" w:afterAutospacing="0"/>
              <w:jc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sz w:val="21"/>
                <w:szCs w:val="21"/>
              </w:rPr>
              <w:t>72</w:t>
            </w:r>
          </w:p>
        </w:tc>
        <w:tc>
          <w:tcPr>
            <w:tcW w:w="714" w:type="pct"/>
            <w:shd w:val="clear" w:color="auto" w:fill="auto"/>
            <w:tcMar>
              <w:top w:w="72" w:type="dxa"/>
              <w:left w:w="144" w:type="dxa"/>
              <w:bottom w:w="72" w:type="dxa"/>
              <w:right w:w="144" w:type="dxa"/>
            </w:tcMar>
            <w:vAlign w:val="center"/>
          </w:tcPr>
          <w:p w14:paraId="06A2A444">
            <w:pPr>
              <w:pStyle w:val="17"/>
              <w:keepNext w:val="0"/>
              <w:keepLines w:val="0"/>
              <w:widowControl/>
              <w:suppressLineNumbers w:val="0"/>
              <w:spacing w:before="0" w:beforeAutospacing="0" w:after="0" w:afterAutospacing="0"/>
              <w:jc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sz w:val="21"/>
                <w:szCs w:val="21"/>
              </w:rPr>
              <w:t>23275</w:t>
            </w:r>
          </w:p>
        </w:tc>
      </w:tr>
      <w:tr w14:paraId="1B531E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0" w:type="dxa"/>
            <w:bottom w:w="0" w:type="dxa"/>
            <w:right w:w="0" w:type="dxa"/>
          </w:tblCellMar>
        </w:tblPrEx>
        <w:trPr>
          <w:trHeight w:val="170" w:hRule="atLeast"/>
        </w:trPr>
        <w:tc>
          <w:tcPr>
            <w:tcW w:w="712" w:type="pct"/>
            <w:shd w:val="clear" w:color="auto" w:fill="auto"/>
            <w:tcMar>
              <w:top w:w="72" w:type="dxa"/>
              <w:left w:w="144" w:type="dxa"/>
              <w:bottom w:w="72" w:type="dxa"/>
              <w:right w:w="144" w:type="dxa"/>
            </w:tcMar>
            <w:vAlign w:val="center"/>
          </w:tcPr>
          <w:p w14:paraId="044F5F75">
            <w:pPr>
              <w:pStyle w:val="17"/>
              <w:keepNext w:val="0"/>
              <w:keepLines w:val="0"/>
              <w:widowControl/>
              <w:suppressLineNumbers w:val="0"/>
              <w:spacing w:before="0" w:beforeAutospacing="0" w:after="0" w:afterAutospacing="0"/>
              <w:jc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sz w:val="21"/>
                <w:szCs w:val="21"/>
              </w:rPr>
              <w:t>北京建工</w:t>
            </w:r>
          </w:p>
        </w:tc>
        <w:tc>
          <w:tcPr>
            <w:tcW w:w="437" w:type="pct"/>
            <w:shd w:val="clear" w:color="auto" w:fill="auto"/>
            <w:tcMar>
              <w:top w:w="72" w:type="dxa"/>
              <w:left w:w="144" w:type="dxa"/>
              <w:bottom w:w="72" w:type="dxa"/>
              <w:right w:w="144" w:type="dxa"/>
            </w:tcMar>
            <w:vAlign w:val="center"/>
          </w:tcPr>
          <w:p w14:paraId="56214050">
            <w:pPr>
              <w:pStyle w:val="17"/>
              <w:keepNext w:val="0"/>
              <w:keepLines w:val="0"/>
              <w:widowControl/>
              <w:suppressLineNumbers w:val="0"/>
              <w:spacing w:before="0" w:beforeAutospacing="0" w:after="0" w:afterAutospacing="0"/>
              <w:jc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sz w:val="21"/>
                <w:szCs w:val="21"/>
              </w:rPr>
              <w:t>01</w:t>
            </w:r>
          </w:p>
        </w:tc>
        <w:tc>
          <w:tcPr>
            <w:tcW w:w="588" w:type="pct"/>
            <w:shd w:val="clear" w:color="auto" w:fill="auto"/>
            <w:tcMar>
              <w:top w:w="72" w:type="dxa"/>
              <w:left w:w="144" w:type="dxa"/>
              <w:bottom w:w="72" w:type="dxa"/>
              <w:right w:w="144" w:type="dxa"/>
            </w:tcMar>
            <w:vAlign w:val="center"/>
          </w:tcPr>
          <w:p w14:paraId="51F92D19">
            <w:pPr>
              <w:pStyle w:val="17"/>
              <w:keepNext w:val="0"/>
              <w:keepLines w:val="0"/>
              <w:widowControl/>
              <w:suppressLineNumbers w:val="0"/>
              <w:spacing w:before="0" w:beforeAutospacing="0" w:after="0" w:afterAutospacing="0"/>
              <w:jc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sz w:val="21"/>
                <w:szCs w:val="21"/>
              </w:rPr>
              <w:t>3</w:t>
            </w:r>
          </w:p>
        </w:tc>
        <w:tc>
          <w:tcPr>
            <w:tcW w:w="594" w:type="pct"/>
            <w:vMerge w:val="continue"/>
            <w:shd w:val="clear" w:color="auto" w:fill="auto"/>
            <w:tcMar>
              <w:top w:w="72" w:type="dxa"/>
              <w:left w:w="144" w:type="dxa"/>
              <w:bottom w:w="72" w:type="dxa"/>
              <w:right w:w="144" w:type="dxa"/>
            </w:tcMar>
            <w:vAlign w:val="center"/>
          </w:tcPr>
          <w:p w14:paraId="7F206FAC">
            <w:pPr>
              <w:jc w:val="center"/>
              <w:rPr>
                <w:rFonts w:hint="default" w:ascii="Times New Roman" w:hAnsi="Times New Roman" w:cs="Times New Roman" w:eastAsiaTheme="minorEastAsia"/>
                <w:color w:val="auto"/>
                <w:sz w:val="21"/>
                <w:szCs w:val="21"/>
              </w:rPr>
            </w:pPr>
          </w:p>
        </w:tc>
        <w:tc>
          <w:tcPr>
            <w:tcW w:w="560" w:type="pct"/>
            <w:vMerge w:val="continue"/>
            <w:shd w:val="clear" w:color="auto" w:fill="auto"/>
            <w:tcMar>
              <w:top w:w="72" w:type="dxa"/>
              <w:left w:w="144" w:type="dxa"/>
              <w:bottom w:w="72" w:type="dxa"/>
              <w:right w:w="144" w:type="dxa"/>
            </w:tcMar>
            <w:vAlign w:val="center"/>
          </w:tcPr>
          <w:p w14:paraId="5FAE570A">
            <w:pPr>
              <w:jc w:val="center"/>
              <w:rPr>
                <w:rFonts w:hint="default" w:ascii="Times New Roman" w:hAnsi="Times New Roman" w:cs="Times New Roman" w:eastAsiaTheme="minorEastAsia"/>
                <w:color w:val="auto"/>
                <w:sz w:val="21"/>
                <w:szCs w:val="21"/>
              </w:rPr>
            </w:pPr>
          </w:p>
        </w:tc>
        <w:tc>
          <w:tcPr>
            <w:tcW w:w="691" w:type="pct"/>
            <w:shd w:val="clear" w:color="auto" w:fill="auto"/>
            <w:tcMar>
              <w:top w:w="72" w:type="dxa"/>
              <w:left w:w="144" w:type="dxa"/>
              <w:bottom w:w="72" w:type="dxa"/>
              <w:right w:w="144" w:type="dxa"/>
            </w:tcMar>
            <w:vAlign w:val="center"/>
          </w:tcPr>
          <w:p w14:paraId="44281AA1">
            <w:pPr>
              <w:pStyle w:val="17"/>
              <w:keepNext w:val="0"/>
              <w:keepLines w:val="0"/>
              <w:widowControl/>
              <w:suppressLineNumbers w:val="0"/>
              <w:spacing w:before="0" w:beforeAutospacing="0" w:after="0" w:afterAutospacing="0"/>
              <w:jc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sz w:val="21"/>
                <w:szCs w:val="21"/>
              </w:rPr>
              <w:t>C35</w:t>
            </w:r>
          </w:p>
        </w:tc>
        <w:tc>
          <w:tcPr>
            <w:tcW w:w="700" w:type="pct"/>
            <w:shd w:val="clear" w:color="auto" w:fill="auto"/>
            <w:tcMar>
              <w:top w:w="72" w:type="dxa"/>
              <w:left w:w="144" w:type="dxa"/>
              <w:bottom w:w="72" w:type="dxa"/>
              <w:right w:w="144" w:type="dxa"/>
            </w:tcMar>
            <w:vAlign w:val="center"/>
          </w:tcPr>
          <w:p w14:paraId="5020B7B1">
            <w:pPr>
              <w:pStyle w:val="17"/>
              <w:keepNext w:val="0"/>
              <w:keepLines w:val="0"/>
              <w:widowControl/>
              <w:suppressLineNumbers w:val="0"/>
              <w:spacing w:before="0" w:beforeAutospacing="0" w:after="0" w:afterAutospacing="0"/>
              <w:jc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sz w:val="21"/>
                <w:szCs w:val="21"/>
              </w:rPr>
              <w:t>72</w:t>
            </w:r>
          </w:p>
        </w:tc>
        <w:tc>
          <w:tcPr>
            <w:tcW w:w="714" w:type="pct"/>
            <w:shd w:val="clear" w:color="auto" w:fill="auto"/>
            <w:tcMar>
              <w:top w:w="72" w:type="dxa"/>
              <w:left w:w="144" w:type="dxa"/>
              <w:bottom w:w="72" w:type="dxa"/>
              <w:right w:w="144" w:type="dxa"/>
            </w:tcMar>
            <w:vAlign w:val="center"/>
          </w:tcPr>
          <w:p w14:paraId="3FC0E22E">
            <w:pPr>
              <w:pStyle w:val="17"/>
              <w:keepNext w:val="0"/>
              <w:keepLines w:val="0"/>
              <w:widowControl/>
              <w:suppressLineNumbers w:val="0"/>
              <w:spacing w:before="0" w:beforeAutospacing="0" w:after="0" w:afterAutospacing="0"/>
              <w:jc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sz w:val="21"/>
                <w:szCs w:val="21"/>
              </w:rPr>
              <w:t>467</w:t>
            </w:r>
          </w:p>
        </w:tc>
      </w:tr>
      <w:tr w14:paraId="71CBE58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0" w:type="dxa"/>
            <w:bottom w:w="0" w:type="dxa"/>
            <w:right w:w="0" w:type="dxa"/>
          </w:tblCellMar>
        </w:tblPrEx>
        <w:trPr>
          <w:trHeight w:val="170" w:hRule="atLeast"/>
        </w:trPr>
        <w:tc>
          <w:tcPr>
            <w:tcW w:w="712" w:type="pct"/>
            <w:shd w:val="clear" w:color="auto" w:fill="auto"/>
            <w:tcMar>
              <w:top w:w="72" w:type="dxa"/>
              <w:left w:w="144" w:type="dxa"/>
              <w:bottom w:w="72" w:type="dxa"/>
              <w:right w:w="144" w:type="dxa"/>
            </w:tcMar>
            <w:vAlign w:val="center"/>
          </w:tcPr>
          <w:p w14:paraId="35711C60">
            <w:pPr>
              <w:pStyle w:val="17"/>
              <w:keepNext w:val="0"/>
              <w:keepLines w:val="0"/>
              <w:widowControl/>
              <w:suppressLineNumbers w:val="0"/>
              <w:spacing w:before="0" w:beforeAutospacing="0" w:after="0" w:afterAutospacing="0"/>
              <w:jc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sz w:val="21"/>
                <w:szCs w:val="21"/>
              </w:rPr>
              <w:t>北京城建</w:t>
            </w:r>
          </w:p>
        </w:tc>
        <w:tc>
          <w:tcPr>
            <w:tcW w:w="437" w:type="pct"/>
            <w:shd w:val="clear" w:color="auto" w:fill="auto"/>
            <w:tcMar>
              <w:top w:w="72" w:type="dxa"/>
              <w:left w:w="144" w:type="dxa"/>
              <w:bottom w:w="72" w:type="dxa"/>
              <w:right w:w="144" w:type="dxa"/>
            </w:tcMar>
            <w:vAlign w:val="center"/>
          </w:tcPr>
          <w:p w14:paraId="419290E8">
            <w:pPr>
              <w:pStyle w:val="17"/>
              <w:keepNext w:val="0"/>
              <w:keepLines w:val="0"/>
              <w:widowControl/>
              <w:suppressLineNumbers w:val="0"/>
              <w:spacing w:before="0" w:beforeAutospacing="0" w:after="0" w:afterAutospacing="0"/>
              <w:jc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sz w:val="21"/>
                <w:szCs w:val="21"/>
              </w:rPr>
              <w:t>02</w:t>
            </w:r>
          </w:p>
        </w:tc>
        <w:tc>
          <w:tcPr>
            <w:tcW w:w="588" w:type="pct"/>
            <w:shd w:val="clear" w:color="auto" w:fill="auto"/>
            <w:tcMar>
              <w:top w:w="72" w:type="dxa"/>
              <w:left w:w="144" w:type="dxa"/>
              <w:bottom w:w="72" w:type="dxa"/>
              <w:right w:w="144" w:type="dxa"/>
            </w:tcMar>
            <w:vAlign w:val="center"/>
          </w:tcPr>
          <w:p w14:paraId="52D117FB">
            <w:pPr>
              <w:pStyle w:val="17"/>
              <w:keepNext w:val="0"/>
              <w:keepLines w:val="0"/>
              <w:widowControl/>
              <w:suppressLineNumbers w:val="0"/>
              <w:spacing w:before="0" w:beforeAutospacing="0" w:after="0" w:afterAutospacing="0"/>
              <w:jc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sz w:val="21"/>
                <w:szCs w:val="21"/>
              </w:rPr>
              <w:t>283</w:t>
            </w:r>
          </w:p>
        </w:tc>
        <w:tc>
          <w:tcPr>
            <w:tcW w:w="594" w:type="pct"/>
            <w:vMerge w:val="continue"/>
            <w:shd w:val="clear" w:color="auto" w:fill="auto"/>
            <w:tcMar>
              <w:top w:w="72" w:type="dxa"/>
              <w:left w:w="144" w:type="dxa"/>
              <w:bottom w:w="72" w:type="dxa"/>
              <w:right w:w="144" w:type="dxa"/>
            </w:tcMar>
            <w:vAlign w:val="center"/>
          </w:tcPr>
          <w:p w14:paraId="0FB3A43D">
            <w:pPr>
              <w:jc w:val="center"/>
              <w:rPr>
                <w:rFonts w:hint="default" w:ascii="Times New Roman" w:hAnsi="Times New Roman" w:cs="Times New Roman" w:eastAsiaTheme="minorEastAsia"/>
                <w:color w:val="auto"/>
                <w:sz w:val="21"/>
                <w:szCs w:val="21"/>
              </w:rPr>
            </w:pPr>
          </w:p>
        </w:tc>
        <w:tc>
          <w:tcPr>
            <w:tcW w:w="560" w:type="pct"/>
            <w:vMerge w:val="continue"/>
            <w:shd w:val="clear" w:color="auto" w:fill="auto"/>
            <w:tcMar>
              <w:top w:w="72" w:type="dxa"/>
              <w:left w:w="144" w:type="dxa"/>
              <w:bottom w:w="72" w:type="dxa"/>
              <w:right w:w="144" w:type="dxa"/>
            </w:tcMar>
            <w:vAlign w:val="center"/>
          </w:tcPr>
          <w:p w14:paraId="1C16923C">
            <w:pPr>
              <w:jc w:val="center"/>
              <w:rPr>
                <w:rFonts w:hint="default" w:ascii="Times New Roman" w:hAnsi="Times New Roman" w:cs="Times New Roman" w:eastAsiaTheme="minorEastAsia"/>
                <w:color w:val="auto"/>
                <w:sz w:val="21"/>
                <w:szCs w:val="21"/>
              </w:rPr>
            </w:pPr>
          </w:p>
        </w:tc>
        <w:tc>
          <w:tcPr>
            <w:tcW w:w="691" w:type="pct"/>
            <w:shd w:val="clear" w:color="auto" w:fill="auto"/>
            <w:tcMar>
              <w:top w:w="72" w:type="dxa"/>
              <w:left w:w="144" w:type="dxa"/>
              <w:bottom w:w="72" w:type="dxa"/>
              <w:right w:w="144" w:type="dxa"/>
            </w:tcMar>
            <w:vAlign w:val="center"/>
          </w:tcPr>
          <w:p w14:paraId="67A90EDF">
            <w:pPr>
              <w:pStyle w:val="17"/>
              <w:keepNext w:val="0"/>
              <w:keepLines w:val="0"/>
              <w:widowControl/>
              <w:suppressLineNumbers w:val="0"/>
              <w:spacing w:before="0" w:beforeAutospacing="0" w:after="0" w:afterAutospacing="0"/>
              <w:jc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sz w:val="21"/>
                <w:szCs w:val="21"/>
              </w:rPr>
              <w:t>C35</w:t>
            </w:r>
          </w:p>
        </w:tc>
        <w:tc>
          <w:tcPr>
            <w:tcW w:w="700" w:type="pct"/>
            <w:shd w:val="clear" w:color="auto" w:fill="auto"/>
            <w:tcMar>
              <w:top w:w="72" w:type="dxa"/>
              <w:left w:w="144" w:type="dxa"/>
              <w:bottom w:w="72" w:type="dxa"/>
              <w:right w:w="144" w:type="dxa"/>
            </w:tcMar>
            <w:vAlign w:val="center"/>
          </w:tcPr>
          <w:p w14:paraId="6C8E4EE7">
            <w:pPr>
              <w:pStyle w:val="17"/>
              <w:keepNext w:val="0"/>
              <w:keepLines w:val="0"/>
              <w:widowControl/>
              <w:suppressLineNumbers w:val="0"/>
              <w:spacing w:before="0" w:beforeAutospacing="0" w:after="0" w:afterAutospacing="0"/>
              <w:jc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sz w:val="21"/>
                <w:szCs w:val="21"/>
              </w:rPr>
              <w:t>72</w:t>
            </w:r>
          </w:p>
        </w:tc>
        <w:tc>
          <w:tcPr>
            <w:tcW w:w="714" w:type="pct"/>
            <w:shd w:val="clear" w:color="auto" w:fill="auto"/>
            <w:tcMar>
              <w:top w:w="72" w:type="dxa"/>
              <w:left w:w="144" w:type="dxa"/>
              <w:bottom w:w="72" w:type="dxa"/>
              <w:right w:w="144" w:type="dxa"/>
            </w:tcMar>
            <w:vAlign w:val="center"/>
          </w:tcPr>
          <w:p w14:paraId="59880BDB">
            <w:pPr>
              <w:pStyle w:val="17"/>
              <w:keepNext w:val="0"/>
              <w:keepLines w:val="0"/>
              <w:widowControl/>
              <w:suppressLineNumbers w:val="0"/>
              <w:spacing w:before="0" w:beforeAutospacing="0" w:after="0" w:afterAutospacing="0"/>
              <w:jc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sz w:val="21"/>
                <w:szCs w:val="21"/>
              </w:rPr>
              <w:t>41970</w:t>
            </w:r>
          </w:p>
        </w:tc>
      </w:tr>
      <w:tr w14:paraId="3E0F32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0" w:type="dxa"/>
            <w:bottom w:w="0" w:type="dxa"/>
            <w:right w:w="0" w:type="dxa"/>
          </w:tblCellMar>
        </w:tblPrEx>
        <w:trPr>
          <w:trHeight w:val="170" w:hRule="atLeast"/>
        </w:trPr>
        <w:tc>
          <w:tcPr>
            <w:tcW w:w="712" w:type="pct"/>
            <w:shd w:val="clear" w:color="auto" w:fill="auto"/>
            <w:tcMar>
              <w:top w:w="72" w:type="dxa"/>
              <w:left w:w="144" w:type="dxa"/>
              <w:bottom w:w="72" w:type="dxa"/>
              <w:right w:w="144" w:type="dxa"/>
            </w:tcMar>
            <w:vAlign w:val="center"/>
          </w:tcPr>
          <w:p w14:paraId="110AE7C3">
            <w:pPr>
              <w:pStyle w:val="17"/>
              <w:keepNext w:val="0"/>
              <w:keepLines w:val="0"/>
              <w:widowControl/>
              <w:suppressLineNumbers w:val="0"/>
              <w:spacing w:before="0" w:beforeAutospacing="0" w:after="0" w:afterAutospacing="0"/>
              <w:jc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sz w:val="21"/>
                <w:szCs w:val="21"/>
              </w:rPr>
              <w:t>中铁建工</w:t>
            </w:r>
          </w:p>
        </w:tc>
        <w:tc>
          <w:tcPr>
            <w:tcW w:w="437" w:type="pct"/>
            <w:shd w:val="clear" w:color="auto" w:fill="auto"/>
            <w:tcMar>
              <w:top w:w="72" w:type="dxa"/>
              <w:left w:w="144" w:type="dxa"/>
              <w:bottom w:w="72" w:type="dxa"/>
              <w:right w:w="144" w:type="dxa"/>
            </w:tcMar>
            <w:vAlign w:val="center"/>
          </w:tcPr>
          <w:p w14:paraId="72D136FE">
            <w:pPr>
              <w:pStyle w:val="17"/>
              <w:keepNext w:val="0"/>
              <w:keepLines w:val="0"/>
              <w:widowControl/>
              <w:suppressLineNumbers w:val="0"/>
              <w:spacing w:before="0" w:beforeAutospacing="0" w:after="0" w:afterAutospacing="0"/>
              <w:jc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sz w:val="21"/>
                <w:szCs w:val="21"/>
              </w:rPr>
              <w:t>02</w:t>
            </w:r>
          </w:p>
        </w:tc>
        <w:tc>
          <w:tcPr>
            <w:tcW w:w="588" w:type="pct"/>
            <w:shd w:val="clear" w:color="auto" w:fill="auto"/>
            <w:tcMar>
              <w:top w:w="72" w:type="dxa"/>
              <w:left w:w="144" w:type="dxa"/>
              <w:bottom w:w="72" w:type="dxa"/>
              <w:right w:w="144" w:type="dxa"/>
            </w:tcMar>
            <w:vAlign w:val="center"/>
          </w:tcPr>
          <w:p w14:paraId="67C5DCF3">
            <w:pPr>
              <w:pStyle w:val="17"/>
              <w:keepNext w:val="0"/>
              <w:keepLines w:val="0"/>
              <w:widowControl/>
              <w:suppressLineNumbers w:val="0"/>
              <w:spacing w:before="0" w:beforeAutospacing="0" w:after="0" w:afterAutospacing="0"/>
              <w:jc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sz w:val="21"/>
                <w:szCs w:val="21"/>
              </w:rPr>
              <w:t>223</w:t>
            </w:r>
          </w:p>
        </w:tc>
        <w:tc>
          <w:tcPr>
            <w:tcW w:w="594" w:type="pct"/>
            <w:vMerge w:val="continue"/>
            <w:shd w:val="clear" w:color="auto" w:fill="auto"/>
            <w:tcMar>
              <w:top w:w="72" w:type="dxa"/>
              <w:left w:w="144" w:type="dxa"/>
              <w:bottom w:w="72" w:type="dxa"/>
              <w:right w:w="144" w:type="dxa"/>
            </w:tcMar>
            <w:vAlign w:val="center"/>
          </w:tcPr>
          <w:p w14:paraId="3049077B">
            <w:pPr>
              <w:jc w:val="center"/>
              <w:rPr>
                <w:rFonts w:hint="default" w:ascii="Times New Roman" w:hAnsi="Times New Roman" w:cs="Times New Roman" w:eastAsiaTheme="minorEastAsia"/>
                <w:color w:val="auto"/>
                <w:sz w:val="21"/>
                <w:szCs w:val="21"/>
              </w:rPr>
            </w:pPr>
          </w:p>
        </w:tc>
        <w:tc>
          <w:tcPr>
            <w:tcW w:w="560" w:type="pct"/>
            <w:vMerge w:val="continue"/>
            <w:shd w:val="clear" w:color="auto" w:fill="auto"/>
            <w:tcMar>
              <w:top w:w="72" w:type="dxa"/>
              <w:left w:w="144" w:type="dxa"/>
              <w:bottom w:w="72" w:type="dxa"/>
              <w:right w:w="144" w:type="dxa"/>
            </w:tcMar>
            <w:vAlign w:val="center"/>
          </w:tcPr>
          <w:p w14:paraId="70DD2799">
            <w:pPr>
              <w:jc w:val="center"/>
              <w:rPr>
                <w:rFonts w:hint="default" w:ascii="Times New Roman" w:hAnsi="Times New Roman" w:cs="Times New Roman" w:eastAsiaTheme="minorEastAsia"/>
                <w:color w:val="auto"/>
                <w:sz w:val="21"/>
                <w:szCs w:val="21"/>
              </w:rPr>
            </w:pPr>
          </w:p>
        </w:tc>
        <w:tc>
          <w:tcPr>
            <w:tcW w:w="691" w:type="pct"/>
            <w:shd w:val="clear" w:color="auto" w:fill="auto"/>
            <w:tcMar>
              <w:top w:w="72" w:type="dxa"/>
              <w:left w:w="144" w:type="dxa"/>
              <w:bottom w:w="72" w:type="dxa"/>
              <w:right w:w="144" w:type="dxa"/>
            </w:tcMar>
            <w:vAlign w:val="center"/>
          </w:tcPr>
          <w:p w14:paraId="56350C60">
            <w:pPr>
              <w:pStyle w:val="17"/>
              <w:keepNext w:val="0"/>
              <w:keepLines w:val="0"/>
              <w:widowControl/>
              <w:suppressLineNumbers w:val="0"/>
              <w:spacing w:before="0" w:beforeAutospacing="0" w:after="0" w:afterAutospacing="0"/>
              <w:jc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sz w:val="21"/>
                <w:szCs w:val="21"/>
              </w:rPr>
              <w:t>C35</w:t>
            </w:r>
          </w:p>
        </w:tc>
        <w:tc>
          <w:tcPr>
            <w:tcW w:w="700" w:type="pct"/>
            <w:shd w:val="clear" w:color="auto" w:fill="auto"/>
            <w:tcMar>
              <w:top w:w="72" w:type="dxa"/>
              <w:left w:w="144" w:type="dxa"/>
              <w:bottom w:w="72" w:type="dxa"/>
              <w:right w:w="144" w:type="dxa"/>
            </w:tcMar>
            <w:vAlign w:val="center"/>
          </w:tcPr>
          <w:p w14:paraId="30500F70">
            <w:pPr>
              <w:pStyle w:val="17"/>
              <w:keepNext w:val="0"/>
              <w:keepLines w:val="0"/>
              <w:widowControl/>
              <w:suppressLineNumbers w:val="0"/>
              <w:spacing w:before="0" w:beforeAutospacing="0" w:after="0" w:afterAutospacing="0"/>
              <w:jc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sz w:val="21"/>
                <w:szCs w:val="21"/>
              </w:rPr>
              <w:t>72</w:t>
            </w:r>
          </w:p>
        </w:tc>
        <w:tc>
          <w:tcPr>
            <w:tcW w:w="714" w:type="pct"/>
            <w:shd w:val="clear" w:color="auto" w:fill="auto"/>
            <w:tcMar>
              <w:top w:w="72" w:type="dxa"/>
              <w:left w:w="144" w:type="dxa"/>
              <w:bottom w:w="72" w:type="dxa"/>
              <w:right w:w="144" w:type="dxa"/>
            </w:tcMar>
            <w:vAlign w:val="center"/>
          </w:tcPr>
          <w:p w14:paraId="03143412">
            <w:pPr>
              <w:pStyle w:val="17"/>
              <w:keepNext w:val="0"/>
              <w:keepLines w:val="0"/>
              <w:widowControl/>
              <w:suppressLineNumbers w:val="0"/>
              <w:spacing w:before="0" w:beforeAutospacing="0" w:after="0" w:afterAutospacing="0"/>
              <w:jc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sz w:val="21"/>
                <w:szCs w:val="21"/>
              </w:rPr>
              <w:t>47833</w:t>
            </w:r>
          </w:p>
        </w:tc>
      </w:tr>
      <w:tr w14:paraId="1EF6C7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0" w:type="dxa"/>
            <w:bottom w:w="0" w:type="dxa"/>
            <w:right w:w="0" w:type="dxa"/>
          </w:tblCellMar>
        </w:tblPrEx>
        <w:trPr>
          <w:trHeight w:val="170" w:hRule="atLeast"/>
        </w:trPr>
        <w:tc>
          <w:tcPr>
            <w:tcW w:w="712" w:type="pct"/>
            <w:shd w:val="clear" w:color="auto" w:fill="auto"/>
            <w:tcMar>
              <w:top w:w="72" w:type="dxa"/>
              <w:left w:w="144" w:type="dxa"/>
              <w:bottom w:w="72" w:type="dxa"/>
              <w:right w:w="144" w:type="dxa"/>
            </w:tcMar>
            <w:vAlign w:val="center"/>
          </w:tcPr>
          <w:p w14:paraId="0CBB0223">
            <w:pPr>
              <w:pStyle w:val="17"/>
              <w:keepNext w:val="0"/>
              <w:keepLines w:val="0"/>
              <w:widowControl/>
              <w:suppressLineNumbers w:val="0"/>
              <w:spacing w:before="0" w:beforeAutospacing="0" w:after="0" w:afterAutospacing="0"/>
              <w:jc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sz w:val="21"/>
                <w:szCs w:val="21"/>
              </w:rPr>
              <w:t>中基发展</w:t>
            </w:r>
          </w:p>
        </w:tc>
        <w:tc>
          <w:tcPr>
            <w:tcW w:w="437" w:type="pct"/>
            <w:shd w:val="clear" w:color="auto" w:fill="auto"/>
            <w:tcMar>
              <w:top w:w="72" w:type="dxa"/>
              <w:left w:w="144" w:type="dxa"/>
              <w:bottom w:w="72" w:type="dxa"/>
              <w:right w:w="144" w:type="dxa"/>
            </w:tcMar>
            <w:vAlign w:val="center"/>
          </w:tcPr>
          <w:p w14:paraId="01BF5380">
            <w:pPr>
              <w:pStyle w:val="17"/>
              <w:keepNext w:val="0"/>
              <w:keepLines w:val="0"/>
              <w:widowControl/>
              <w:suppressLineNumbers w:val="0"/>
              <w:spacing w:before="0" w:beforeAutospacing="0" w:after="0" w:afterAutospacing="0"/>
              <w:jc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sz w:val="21"/>
                <w:szCs w:val="21"/>
              </w:rPr>
              <w:t>03</w:t>
            </w:r>
          </w:p>
        </w:tc>
        <w:tc>
          <w:tcPr>
            <w:tcW w:w="588" w:type="pct"/>
            <w:shd w:val="clear" w:color="auto" w:fill="auto"/>
            <w:tcMar>
              <w:top w:w="72" w:type="dxa"/>
              <w:left w:w="144" w:type="dxa"/>
              <w:bottom w:w="72" w:type="dxa"/>
              <w:right w:w="144" w:type="dxa"/>
            </w:tcMar>
            <w:vAlign w:val="center"/>
          </w:tcPr>
          <w:p w14:paraId="4BA903C9">
            <w:pPr>
              <w:pStyle w:val="17"/>
              <w:keepNext w:val="0"/>
              <w:keepLines w:val="0"/>
              <w:widowControl/>
              <w:suppressLineNumbers w:val="0"/>
              <w:spacing w:before="0" w:beforeAutospacing="0" w:after="0" w:afterAutospacing="0"/>
              <w:jc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sz w:val="21"/>
                <w:szCs w:val="21"/>
              </w:rPr>
              <w:t>73</w:t>
            </w:r>
          </w:p>
        </w:tc>
        <w:tc>
          <w:tcPr>
            <w:tcW w:w="594" w:type="pct"/>
            <w:vMerge w:val="continue"/>
            <w:shd w:val="clear" w:color="auto" w:fill="auto"/>
            <w:tcMar>
              <w:top w:w="72" w:type="dxa"/>
              <w:left w:w="144" w:type="dxa"/>
              <w:bottom w:w="72" w:type="dxa"/>
              <w:right w:w="144" w:type="dxa"/>
            </w:tcMar>
            <w:vAlign w:val="center"/>
          </w:tcPr>
          <w:p w14:paraId="3AF7ABF9">
            <w:pPr>
              <w:jc w:val="center"/>
              <w:rPr>
                <w:rFonts w:hint="default" w:ascii="Times New Roman" w:hAnsi="Times New Roman" w:cs="Times New Roman" w:eastAsiaTheme="minorEastAsia"/>
                <w:color w:val="auto"/>
                <w:sz w:val="21"/>
                <w:szCs w:val="21"/>
              </w:rPr>
            </w:pPr>
          </w:p>
        </w:tc>
        <w:tc>
          <w:tcPr>
            <w:tcW w:w="560" w:type="pct"/>
            <w:vMerge w:val="continue"/>
            <w:shd w:val="clear" w:color="auto" w:fill="auto"/>
            <w:tcMar>
              <w:top w:w="72" w:type="dxa"/>
              <w:left w:w="144" w:type="dxa"/>
              <w:bottom w:w="72" w:type="dxa"/>
              <w:right w:w="144" w:type="dxa"/>
            </w:tcMar>
            <w:vAlign w:val="center"/>
          </w:tcPr>
          <w:p w14:paraId="402DE38C">
            <w:pPr>
              <w:jc w:val="center"/>
              <w:rPr>
                <w:rFonts w:hint="default" w:ascii="Times New Roman" w:hAnsi="Times New Roman" w:cs="Times New Roman" w:eastAsiaTheme="minorEastAsia"/>
                <w:color w:val="auto"/>
                <w:sz w:val="21"/>
                <w:szCs w:val="21"/>
              </w:rPr>
            </w:pPr>
          </w:p>
        </w:tc>
        <w:tc>
          <w:tcPr>
            <w:tcW w:w="691" w:type="pct"/>
            <w:shd w:val="clear" w:color="auto" w:fill="auto"/>
            <w:tcMar>
              <w:top w:w="72" w:type="dxa"/>
              <w:left w:w="144" w:type="dxa"/>
              <w:bottom w:w="72" w:type="dxa"/>
              <w:right w:w="144" w:type="dxa"/>
            </w:tcMar>
            <w:vAlign w:val="center"/>
          </w:tcPr>
          <w:p w14:paraId="70585B61">
            <w:pPr>
              <w:pStyle w:val="17"/>
              <w:keepNext w:val="0"/>
              <w:keepLines w:val="0"/>
              <w:widowControl/>
              <w:suppressLineNumbers w:val="0"/>
              <w:spacing w:before="0" w:beforeAutospacing="0" w:after="0" w:afterAutospacing="0"/>
              <w:jc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sz w:val="21"/>
                <w:szCs w:val="21"/>
              </w:rPr>
              <w:t>C35</w:t>
            </w:r>
          </w:p>
        </w:tc>
        <w:tc>
          <w:tcPr>
            <w:tcW w:w="700" w:type="pct"/>
            <w:shd w:val="clear" w:color="auto" w:fill="auto"/>
            <w:tcMar>
              <w:top w:w="72" w:type="dxa"/>
              <w:left w:w="144" w:type="dxa"/>
              <w:bottom w:w="72" w:type="dxa"/>
              <w:right w:w="144" w:type="dxa"/>
            </w:tcMar>
            <w:vAlign w:val="center"/>
          </w:tcPr>
          <w:p w14:paraId="720B4A5A">
            <w:pPr>
              <w:pStyle w:val="17"/>
              <w:keepNext w:val="0"/>
              <w:keepLines w:val="0"/>
              <w:widowControl/>
              <w:suppressLineNumbers w:val="0"/>
              <w:spacing w:before="0" w:beforeAutospacing="0" w:after="0" w:afterAutospacing="0"/>
              <w:jc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sz w:val="21"/>
                <w:szCs w:val="21"/>
              </w:rPr>
              <w:t>72</w:t>
            </w:r>
          </w:p>
        </w:tc>
        <w:tc>
          <w:tcPr>
            <w:tcW w:w="714" w:type="pct"/>
            <w:shd w:val="clear" w:color="auto" w:fill="auto"/>
            <w:tcMar>
              <w:top w:w="72" w:type="dxa"/>
              <w:left w:w="144" w:type="dxa"/>
              <w:bottom w:w="72" w:type="dxa"/>
              <w:right w:w="144" w:type="dxa"/>
            </w:tcMar>
            <w:vAlign w:val="center"/>
          </w:tcPr>
          <w:p w14:paraId="4DE878D9">
            <w:pPr>
              <w:pStyle w:val="17"/>
              <w:keepNext w:val="0"/>
              <w:keepLines w:val="0"/>
              <w:widowControl/>
              <w:suppressLineNumbers w:val="0"/>
              <w:spacing w:before="0" w:beforeAutospacing="0" w:after="0" w:afterAutospacing="0"/>
              <w:jc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sz w:val="21"/>
                <w:szCs w:val="21"/>
              </w:rPr>
              <w:t>15783.5</w:t>
            </w:r>
          </w:p>
        </w:tc>
      </w:tr>
      <w:tr w14:paraId="3BEE30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0" w:type="dxa"/>
            <w:bottom w:w="0" w:type="dxa"/>
            <w:right w:w="0" w:type="dxa"/>
          </w:tblCellMar>
        </w:tblPrEx>
        <w:trPr>
          <w:trHeight w:val="170" w:hRule="atLeast"/>
        </w:trPr>
        <w:tc>
          <w:tcPr>
            <w:tcW w:w="712" w:type="pct"/>
            <w:shd w:val="clear" w:color="auto" w:fill="auto"/>
            <w:tcMar>
              <w:top w:w="72" w:type="dxa"/>
              <w:left w:w="144" w:type="dxa"/>
              <w:bottom w:w="72" w:type="dxa"/>
              <w:right w:w="144" w:type="dxa"/>
            </w:tcMar>
            <w:vAlign w:val="center"/>
          </w:tcPr>
          <w:p w14:paraId="5EAE824E">
            <w:pPr>
              <w:pStyle w:val="17"/>
              <w:keepNext w:val="0"/>
              <w:keepLines w:val="0"/>
              <w:widowControl/>
              <w:suppressLineNumbers w:val="0"/>
              <w:spacing w:before="0" w:beforeAutospacing="0" w:after="0" w:afterAutospacing="0"/>
              <w:jc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sz w:val="21"/>
                <w:szCs w:val="21"/>
              </w:rPr>
              <w:t>北京市政</w:t>
            </w:r>
          </w:p>
        </w:tc>
        <w:tc>
          <w:tcPr>
            <w:tcW w:w="437" w:type="pct"/>
            <w:shd w:val="clear" w:color="auto" w:fill="auto"/>
            <w:tcMar>
              <w:top w:w="72" w:type="dxa"/>
              <w:left w:w="144" w:type="dxa"/>
              <w:bottom w:w="72" w:type="dxa"/>
              <w:right w:w="144" w:type="dxa"/>
            </w:tcMar>
            <w:vAlign w:val="center"/>
          </w:tcPr>
          <w:p w14:paraId="37120E37">
            <w:pPr>
              <w:pStyle w:val="17"/>
              <w:keepNext w:val="0"/>
              <w:keepLines w:val="0"/>
              <w:widowControl/>
              <w:suppressLineNumbers w:val="0"/>
              <w:spacing w:before="0" w:beforeAutospacing="0" w:after="0" w:afterAutospacing="0"/>
              <w:jc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sz w:val="21"/>
                <w:szCs w:val="21"/>
              </w:rPr>
              <w:t>04</w:t>
            </w:r>
          </w:p>
        </w:tc>
        <w:tc>
          <w:tcPr>
            <w:tcW w:w="588" w:type="pct"/>
            <w:shd w:val="clear" w:color="auto" w:fill="auto"/>
            <w:tcMar>
              <w:top w:w="72" w:type="dxa"/>
              <w:left w:w="144" w:type="dxa"/>
              <w:bottom w:w="72" w:type="dxa"/>
              <w:right w:w="144" w:type="dxa"/>
            </w:tcMar>
            <w:vAlign w:val="center"/>
          </w:tcPr>
          <w:p w14:paraId="2F45F4D9">
            <w:pPr>
              <w:pStyle w:val="17"/>
              <w:keepNext w:val="0"/>
              <w:keepLines w:val="0"/>
              <w:widowControl/>
              <w:suppressLineNumbers w:val="0"/>
              <w:spacing w:before="0" w:beforeAutospacing="0" w:after="0" w:afterAutospacing="0"/>
              <w:jc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sz w:val="21"/>
                <w:szCs w:val="21"/>
              </w:rPr>
              <w:t>70</w:t>
            </w:r>
          </w:p>
        </w:tc>
        <w:tc>
          <w:tcPr>
            <w:tcW w:w="594" w:type="pct"/>
            <w:vMerge w:val="continue"/>
            <w:shd w:val="clear" w:color="auto" w:fill="auto"/>
            <w:tcMar>
              <w:top w:w="72" w:type="dxa"/>
              <w:left w:w="144" w:type="dxa"/>
              <w:bottom w:w="72" w:type="dxa"/>
              <w:right w:w="144" w:type="dxa"/>
            </w:tcMar>
            <w:vAlign w:val="center"/>
          </w:tcPr>
          <w:p w14:paraId="10AAEE58">
            <w:pPr>
              <w:jc w:val="center"/>
              <w:rPr>
                <w:rFonts w:hint="default" w:ascii="Times New Roman" w:hAnsi="Times New Roman" w:cs="Times New Roman" w:eastAsiaTheme="minorEastAsia"/>
                <w:color w:val="auto"/>
                <w:sz w:val="21"/>
                <w:szCs w:val="21"/>
              </w:rPr>
            </w:pPr>
          </w:p>
        </w:tc>
        <w:tc>
          <w:tcPr>
            <w:tcW w:w="560" w:type="pct"/>
            <w:vMerge w:val="continue"/>
            <w:shd w:val="clear" w:color="auto" w:fill="auto"/>
            <w:tcMar>
              <w:top w:w="72" w:type="dxa"/>
              <w:left w:w="144" w:type="dxa"/>
              <w:bottom w:w="72" w:type="dxa"/>
              <w:right w:w="144" w:type="dxa"/>
            </w:tcMar>
            <w:vAlign w:val="center"/>
          </w:tcPr>
          <w:p w14:paraId="3446B7A0">
            <w:pPr>
              <w:jc w:val="center"/>
              <w:rPr>
                <w:rFonts w:hint="default" w:ascii="Times New Roman" w:hAnsi="Times New Roman" w:cs="Times New Roman" w:eastAsiaTheme="minorEastAsia"/>
                <w:color w:val="auto"/>
                <w:sz w:val="21"/>
                <w:szCs w:val="21"/>
              </w:rPr>
            </w:pPr>
          </w:p>
        </w:tc>
        <w:tc>
          <w:tcPr>
            <w:tcW w:w="691" w:type="pct"/>
            <w:shd w:val="clear" w:color="auto" w:fill="auto"/>
            <w:tcMar>
              <w:top w:w="72" w:type="dxa"/>
              <w:left w:w="144" w:type="dxa"/>
              <w:bottom w:w="72" w:type="dxa"/>
              <w:right w:w="144" w:type="dxa"/>
            </w:tcMar>
            <w:vAlign w:val="center"/>
          </w:tcPr>
          <w:p w14:paraId="7D0B65ED">
            <w:pPr>
              <w:pStyle w:val="17"/>
              <w:keepNext w:val="0"/>
              <w:keepLines w:val="0"/>
              <w:widowControl/>
              <w:suppressLineNumbers w:val="0"/>
              <w:spacing w:before="0" w:beforeAutospacing="0" w:after="0" w:afterAutospacing="0"/>
              <w:jc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sz w:val="21"/>
                <w:szCs w:val="21"/>
              </w:rPr>
              <w:t>C35</w:t>
            </w:r>
          </w:p>
        </w:tc>
        <w:tc>
          <w:tcPr>
            <w:tcW w:w="700" w:type="pct"/>
            <w:shd w:val="clear" w:color="auto" w:fill="auto"/>
            <w:tcMar>
              <w:top w:w="72" w:type="dxa"/>
              <w:left w:w="144" w:type="dxa"/>
              <w:bottom w:w="72" w:type="dxa"/>
              <w:right w:w="144" w:type="dxa"/>
            </w:tcMar>
            <w:vAlign w:val="center"/>
          </w:tcPr>
          <w:p w14:paraId="3EED754B">
            <w:pPr>
              <w:pStyle w:val="17"/>
              <w:keepNext w:val="0"/>
              <w:keepLines w:val="0"/>
              <w:widowControl/>
              <w:suppressLineNumbers w:val="0"/>
              <w:spacing w:before="0" w:beforeAutospacing="0" w:after="0" w:afterAutospacing="0"/>
              <w:jc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sz w:val="21"/>
                <w:szCs w:val="21"/>
              </w:rPr>
              <w:t>72</w:t>
            </w:r>
          </w:p>
        </w:tc>
        <w:tc>
          <w:tcPr>
            <w:tcW w:w="714" w:type="pct"/>
            <w:shd w:val="clear" w:color="auto" w:fill="auto"/>
            <w:tcMar>
              <w:top w:w="72" w:type="dxa"/>
              <w:left w:w="144" w:type="dxa"/>
              <w:bottom w:w="72" w:type="dxa"/>
              <w:right w:w="144" w:type="dxa"/>
            </w:tcMar>
            <w:vAlign w:val="center"/>
          </w:tcPr>
          <w:p w14:paraId="292ACA24">
            <w:pPr>
              <w:pStyle w:val="17"/>
              <w:keepNext w:val="0"/>
              <w:keepLines w:val="0"/>
              <w:widowControl/>
              <w:suppressLineNumbers w:val="0"/>
              <w:spacing w:before="0" w:beforeAutospacing="0" w:after="0" w:afterAutospacing="0"/>
              <w:jc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sz w:val="21"/>
                <w:szCs w:val="21"/>
              </w:rPr>
              <w:t>10500</w:t>
            </w:r>
          </w:p>
        </w:tc>
      </w:tr>
      <w:tr w14:paraId="1C3950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0" w:type="dxa"/>
            <w:bottom w:w="0" w:type="dxa"/>
            <w:right w:w="0" w:type="dxa"/>
          </w:tblCellMar>
        </w:tblPrEx>
        <w:trPr>
          <w:trHeight w:val="220" w:hRule="atLeast"/>
        </w:trPr>
        <w:tc>
          <w:tcPr>
            <w:tcW w:w="712" w:type="pct"/>
            <w:shd w:val="clear" w:color="auto" w:fill="auto"/>
            <w:tcMar>
              <w:top w:w="72" w:type="dxa"/>
              <w:left w:w="144" w:type="dxa"/>
              <w:bottom w:w="72" w:type="dxa"/>
              <w:right w:w="144" w:type="dxa"/>
            </w:tcMar>
            <w:vAlign w:val="center"/>
          </w:tcPr>
          <w:p w14:paraId="5581E325">
            <w:pPr>
              <w:pStyle w:val="17"/>
              <w:keepNext w:val="0"/>
              <w:keepLines w:val="0"/>
              <w:widowControl/>
              <w:suppressLineNumbers w:val="0"/>
              <w:spacing w:before="0" w:beforeAutospacing="0" w:after="0" w:afterAutospacing="0"/>
              <w:jc w:val="center"/>
              <w:rPr>
                <w:rFonts w:hint="default" w:ascii="Times New Roman" w:hAnsi="Times New Roman" w:cs="Times New Roman" w:eastAsiaTheme="minorEastAsia"/>
                <w:color w:val="auto"/>
                <w:sz w:val="21"/>
                <w:szCs w:val="21"/>
              </w:rPr>
            </w:pPr>
          </w:p>
        </w:tc>
        <w:tc>
          <w:tcPr>
            <w:tcW w:w="437" w:type="pct"/>
            <w:shd w:val="clear" w:color="auto" w:fill="auto"/>
            <w:tcMar>
              <w:top w:w="72" w:type="dxa"/>
              <w:left w:w="144" w:type="dxa"/>
              <w:bottom w:w="72" w:type="dxa"/>
              <w:right w:w="144" w:type="dxa"/>
            </w:tcMar>
            <w:vAlign w:val="center"/>
          </w:tcPr>
          <w:p w14:paraId="248D1B2E">
            <w:pPr>
              <w:pStyle w:val="17"/>
              <w:keepNext w:val="0"/>
              <w:keepLines w:val="0"/>
              <w:widowControl/>
              <w:suppressLineNumbers w:val="0"/>
              <w:spacing w:before="0" w:beforeAutospacing="0" w:after="0" w:afterAutospacing="0"/>
              <w:jc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sz w:val="21"/>
                <w:szCs w:val="21"/>
              </w:rPr>
              <w:t>小计</w:t>
            </w:r>
          </w:p>
        </w:tc>
        <w:tc>
          <w:tcPr>
            <w:tcW w:w="588" w:type="pct"/>
            <w:shd w:val="clear" w:color="auto" w:fill="auto"/>
            <w:tcMar>
              <w:top w:w="72" w:type="dxa"/>
              <w:left w:w="144" w:type="dxa"/>
              <w:bottom w:w="72" w:type="dxa"/>
              <w:right w:w="144" w:type="dxa"/>
            </w:tcMar>
            <w:vAlign w:val="center"/>
          </w:tcPr>
          <w:p w14:paraId="28B269F6">
            <w:pPr>
              <w:pStyle w:val="17"/>
              <w:keepNext w:val="0"/>
              <w:keepLines w:val="0"/>
              <w:widowControl/>
              <w:suppressLineNumbers w:val="0"/>
              <w:spacing w:before="0" w:beforeAutospacing="0" w:after="0" w:afterAutospacing="0"/>
              <w:jc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b/>
                <w:bCs/>
                <w:color w:val="auto"/>
                <w:sz w:val="21"/>
                <w:szCs w:val="21"/>
              </w:rPr>
              <w:t>761</w:t>
            </w:r>
          </w:p>
        </w:tc>
        <w:tc>
          <w:tcPr>
            <w:tcW w:w="594" w:type="pct"/>
            <w:shd w:val="clear" w:color="auto" w:fill="auto"/>
            <w:tcMar>
              <w:top w:w="72" w:type="dxa"/>
              <w:left w:w="144" w:type="dxa"/>
              <w:bottom w:w="72" w:type="dxa"/>
              <w:right w:w="144" w:type="dxa"/>
            </w:tcMar>
            <w:vAlign w:val="center"/>
          </w:tcPr>
          <w:p w14:paraId="533423E7">
            <w:pPr>
              <w:pStyle w:val="17"/>
              <w:keepNext w:val="0"/>
              <w:keepLines w:val="0"/>
              <w:widowControl/>
              <w:suppressLineNumbers w:val="0"/>
              <w:spacing w:before="0" w:beforeAutospacing="0" w:after="0" w:afterAutospacing="0"/>
              <w:jc w:val="center"/>
              <w:rPr>
                <w:rFonts w:hint="default" w:ascii="Times New Roman" w:hAnsi="Times New Roman" w:cs="Times New Roman" w:eastAsiaTheme="minorEastAsia"/>
                <w:color w:val="auto"/>
                <w:sz w:val="21"/>
                <w:szCs w:val="21"/>
              </w:rPr>
            </w:pPr>
          </w:p>
        </w:tc>
        <w:tc>
          <w:tcPr>
            <w:tcW w:w="560" w:type="pct"/>
            <w:shd w:val="clear" w:color="auto" w:fill="auto"/>
            <w:tcMar>
              <w:top w:w="72" w:type="dxa"/>
              <w:left w:w="144" w:type="dxa"/>
              <w:bottom w:w="72" w:type="dxa"/>
              <w:right w:w="144" w:type="dxa"/>
            </w:tcMar>
            <w:vAlign w:val="center"/>
          </w:tcPr>
          <w:p w14:paraId="40E4B590">
            <w:pPr>
              <w:pStyle w:val="17"/>
              <w:keepNext w:val="0"/>
              <w:keepLines w:val="0"/>
              <w:widowControl/>
              <w:suppressLineNumbers w:val="0"/>
              <w:spacing w:before="0" w:beforeAutospacing="0" w:after="0" w:afterAutospacing="0"/>
              <w:jc w:val="center"/>
              <w:rPr>
                <w:rFonts w:hint="default" w:ascii="Times New Roman" w:hAnsi="Times New Roman" w:cs="Times New Roman" w:eastAsiaTheme="minorEastAsia"/>
                <w:color w:val="auto"/>
                <w:sz w:val="21"/>
                <w:szCs w:val="21"/>
              </w:rPr>
            </w:pPr>
          </w:p>
        </w:tc>
        <w:tc>
          <w:tcPr>
            <w:tcW w:w="691" w:type="pct"/>
            <w:shd w:val="clear" w:color="auto" w:fill="auto"/>
            <w:tcMar>
              <w:top w:w="72" w:type="dxa"/>
              <w:left w:w="144" w:type="dxa"/>
              <w:bottom w:w="72" w:type="dxa"/>
              <w:right w:w="144" w:type="dxa"/>
            </w:tcMar>
            <w:vAlign w:val="center"/>
          </w:tcPr>
          <w:p w14:paraId="547DBEC4">
            <w:pPr>
              <w:pStyle w:val="17"/>
              <w:keepNext w:val="0"/>
              <w:keepLines w:val="0"/>
              <w:widowControl/>
              <w:suppressLineNumbers w:val="0"/>
              <w:spacing w:before="0" w:beforeAutospacing="0" w:after="0" w:afterAutospacing="0"/>
              <w:jc w:val="center"/>
              <w:rPr>
                <w:rFonts w:hint="default" w:ascii="Times New Roman" w:hAnsi="Times New Roman" w:cs="Times New Roman" w:eastAsiaTheme="minorEastAsia"/>
                <w:color w:val="auto"/>
                <w:sz w:val="21"/>
                <w:szCs w:val="21"/>
              </w:rPr>
            </w:pPr>
          </w:p>
        </w:tc>
        <w:tc>
          <w:tcPr>
            <w:tcW w:w="700" w:type="pct"/>
            <w:shd w:val="clear" w:color="auto" w:fill="auto"/>
            <w:tcMar>
              <w:top w:w="72" w:type="dxa"/>
              <w:left w:w="144" w:type="dxa"/>
              <w:bottom w:w="72" w:type="dxa"/>
              <w:right w:w="144" w:type="dxa"/>
            </w:tcMar>
            <w:vAlign w:val="center"/>
          </w:tcPr>
          <w:p w14:paraId="4D2512D2">
            <w:pPr>
              <w:pStyle w:val="17"/>
              <w:keepNext w:val="0"/>
              <w:keepLines w:val="0"/>
              <w:widowControl/>
              <w:suppressLineNumbers w:val="0"/>
              <w:spacing w:before="0" w:beforeAutospacing="0" w:after="0" w:afterAutospacing="0"/>
              <w:jc w:val="center"/>
              <w:rPr>
                <w:rFonts w:hint="default" w:ascii="Times New Roman" w:hAnsi="Times New Roman" w:cs="Times New Roman" w:eastAsiaTheme="minorEastAsia"/>
                <w:color w:val="auto"/>
                <w:sz w:val="21"/>
                <w:szCs w:val="21"/>
              </w:rPr>
            </w:pPr>
          </w:p>
        </w:tc>
        <w:tc>
          <w:tcPr>
            <w:tcW w:w="714" w:type="pct"/>
            <w:shd w:val="clear" w:color="auto" w:fill="auto"/>
            <w:tcMar>
              <w:top w:w="72" w:type="dxa"/>
              <w:left w:w="144" w:type="dxa"/>
              <w:bottom w:w="72" w:type="dxa"/>
              <w:right w:w="144" w:type="dxa"/>
            </w:tcMar>
            <w:vAlign w:val="center"/>
          </w:tcPr>
          <w:p w14:paraId="51B67580">
            <w:pPr>
              <w:pStyle w:val="17"/>
              <w:keepNext w:val="0"/>
              <w:keepLines w:val="0"/>
              <w:widowControl/>
              <w:suppressLineNumbers w:val="0"/>
              <w:spacing w:before="0" w:beforeAutospacing="0" w:after="0" w:afterAutospacing="0"/>
              <w:jc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b/>
                <w:bCs/>
                <w:color w:val="auto"/>
                <w:sz w:val="21"/>
                <w:szCs w:val="21"/>
              </w:rPr>
              <w:t>139828.5</w:t>
            </w:r>
          </w:p>
        </w:tc>
      </w:tr>
    </w:tbl>
    <w:p w14:paraId="1AF0953F">
      <w:pPr>
        <w:spacing w:line="360" w:lineRule="auto"/>
        <w:ind w:firstLine="480"/>
        <w:jc w:val="both"/>
        <w:rPr>
          <w:rFonts w:hint="default" w:ascii="Times New Roman" w:hAnsi="Times New Roman" w:cs="Times New Roman" w:eastAsiaTheme="minorEastAsia"/>
          <w:color w:val="000000" w:themeColor="text1"/>
          <w:szCs w:val="28"/>
        </w:rPr>
      </w:pPr>
    </w:p>
    <w:p w14:paraId="4E3BED76">
      <w:pPr>
        <w:spacing w:line="360" w:lineRule="auto"/>
        <w:ind w:firstLine="0"/>
        <w:jc w:val="center"/>
        <w:rPr>
          <w:rFonts w:ascii="Times New Roman" w:hAnsi="Times New Roman" w:cs="Times New Roman"/>
        </w:rPr>
      </w:pPr>
      <w:r>
        <w:rPr>
          <w:rFonts w:ascii="Times New Roman" w:hAnsi="Times New Roman" w:cs="Times New Roman"/>
        </w:rPr>
        <w:drawing>
          <wp:inline distT="0" distB="0" distL="114300" distR="114300">
            <wp:extent cx="2520950" cy="2148840"/>
            <wp:effectExtent l="0" t="0" r="8890" b="0"/>
            <wp:docPr id="9"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5"/>
                    <pic:cNvPicPr>
                      <a:picLocks noChangeAspect="1"/>
                    </pic:cNvPicPr>
                  </pic:nvPicPr>
                  <pic:blipFill>
                    <a:blip r:embed="rId11"/>
                    <a:stretch>
                      <a:fillRect/>
                    </a:stretch>
                  </pic:blipFill>
                  <pic:spPr>
                    <a:xfrm>
                      <a:off x="0" y="0"/>
                      <a:ext cx="2520950" cy="2148840"/>
                    </a:xfrm>
                    <a:prstGeom prst="rect">
                      <a:avLst/>
                    </a:prstGeom>
                  </pic:spPr>
                </pic:pic>
              </a:graphicData>
            </a:graphic>
          </wp:inline>
        </w:drawing>
      </w:r>
    </w:p>
    <w:p w14:paraId="5ECA052B">
      <w:pPr>
        <w:spacing w:line="360" w:lineRule="auto"/>
        <w:ind w:firstLine="0"/>
        <w:jc w:val="center"/>
        <w:rPr>
          <w:rFonts w:hint="default" w:ascii="Times New Roman" w:hAnsi="Times New Roman" w:eastAsia="宋体" w:cs="Times New Roman"/>
          <w:lang w:val="en-US" w:eastAsia="zh-CN"/>
        </w:rPr>
      </w:pPr>
      <w:r>
        <w:rPr>
          <w:rFonts w:hint="default" w:ascii="Times New Roman" w:hAnsi="Times New Roman" w:cs="Times New Roman"/>
          <w:lang w:val="en-US" w:eastAsia="zh-CN"/>
        </w:rPr>
        <w:t>图1 效果图</w:t>
      </w:r>
    </w:p>
    <w:p w14:paraId="1774F7C2">
      <w:pPr>
        <w:spacing w:line="360" w:lineRule="auto"/>
        <w:ind w:firstLine="0"/>
        <w:jc w:val="center"/>
        <w:rPr>
          <w:rFonts w:ascii="Times New Roman" w:hAnsi="Times New Roman" w:cs="Times New Roman"/>
        </w:rPr>
      </w:pPr>
      <w:r>
        <w:rPr>
          <w:rFonts w:hint="default" w:ascii="Times New Roman" w:hAnsi="Times New Roman" w:cs="Times New Roman"/>
          <w:lang w:val="en-US" w:eastAsia="zh-CN"/>
        </w:rPr>
        <w:t xml:space="preserve"> </w:t>
      </w:r>
      <w:r>
        <w:rPr>
          <w:rFonts w:ascii="Times New Roman" w:hAnsi="Times New Roman" w:cs="Times New Roman"/>
        </w:rPr>
        <w:drawing>
          <wp:inline distT="0" distB="0" distL="114300" distR="114300">
            <wp:extent cx="2415540" cy="1608455"/>
            <wp:effectExtent l="0" t="0" r="7620" b="6985"/>
            <wp:docPr id="10"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4"/>
                    <pic:cNvPicPr>
                      <a:picLocks noChangeAspect="1"/>
                    </pic:cNvPicPr>
                  </pic:nvPicPr>
                  <pic:blipFill>
                    <a:blip r:embed="rId12"/>
                    <a:stretch>
                      <a:fillRect/>
                    </a:stretch>
                  </pic:blipFill>
                  <pic:spPr>
                    <a:xfrm>
                      <a:off x="0" y="0"/>
                      <a:ext cx="2415540" cy="1608455"/>
                    </a:xfrm>
                    <a:prstGeom prst="rect">
                      <a:avLst/>
                    </a:prstGeom>
                  </pic:spPr>
                </pic:pic>
              </a:graphicData>
            </a:graphic>
          </wp:inline>
        </w:drawing>
      </w:r>
      <w:r>
        <w:rPr>
          <w:rFonts w:hint="default" w:ascii="Times New Roman" w:hAnsi="Times New Roman" w:cs="Times New Roman"/>
          <w:lang w:val="en-US" w:eastAsia="zh-CN"/>
        </w:rPr>
        <w:t xml:space="preserve"> </w:t>
      </w:r>
      <w:r>
        <w:rPr>
          <w:rFonts w:ascii="Times New Roman" w:hAnsi="Times New Roman" w:cs="Times New Roman"/>
        </w:rPr>
        <w:drawing>
          <wp:inline distT="0" distB="0" distL="114300" distR="114300">
            <wp:extent cx="2582545" cy="1624330"/>
            <wp:effectExtent l="0" t="0" r="8255" b="6350"/>
            <wp:docPr id="1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
                    <pic:cNvPicPr>
                      <a:picLocks noChangeAspect="1"/>
                    </pic:cNvPicPr>
                  </pic:nvPicPr>
                  <pic:blipFill>
                    <a:blip r:embed="rId13"/>
                    <a:stretch>
                      <a:fillRect/>
                    </a:stretch>
                  </pic:blipFill>
                  <pic:spPr>
                    <a:xfrm>
                      <a:off x="0" y="0"/>
                      <a:ext cx="2582545" cy="1624330"/>
                    </a:xfrm>
                    <a:prstGeom prst="rect">
                      <a:avLst/>
                    </a:prstGeom>
                  </pic:spPr>
                </pic:pic>
              </a:graphicData>
            </a:graphic>
          </wp:inline>
        </w:drawing>
      </w:r>
    </w:p>
    <w:p w14:paraId="2DB0432E">
      <w:pPr>
        <w:spacing w:line="360" w:lineRule="auto"/>
        <w:ind w:firstLine="0"/>
        <w:jc w:val="center"/>
        <w:rPr>
          <w:rFonts w:hint="default" w:ascii="Times New Roman" w:hAnsi="Times New Roman" w:eastAsia="宋体" w:cs="Times New Roman"/>
          <w:lang w:val="en-US" w:eastAsia="zh-CN"/>
        </w:rPr>
      </w:pPr>
      <w:r>
        <w:rPr>
          <w:rFonts w:hint="default" w:ascii="Times New Roman" w:hAnsi="Times New Roman" w:cs="Times New Roman"/>
          <w:lang w:val="en-US" w:eastAsia="zh-CN"/>
        </w:rPr>
        <w:t>图2 施工现场</w:t>
      </w:r>
    </w:p>
    <w:p w14:paraId="7327F868">
      <w:pPr>
        <w:spacing w:line="360" w:lineRule="auto"/>
        <w:ind w:firstLine="480" w:firstLineChars="200"/>
        <w:jc w:val="both"/>
        <w:rPr>
          <w:rFonts w:hint="default" w:ascii="Times New Roman" w:hAnsi="Times New Roman" w:cs="Times New Roman" w:eastAsiaTheme="minorEastAsia"/>
          <w:color w:val="000000" w:themeColor="text1"/>
          <w:szCs w:val="28"/>
        </w:rPr>
      </w:pPr>
      <w:r>
        <w:rPr>
          <w:rFonts w:hint="default" w:ascii="Times New Roman" w:hAnsi="Times New Roman" w:cs="Times New Roman" w:eastAsiaTheme="minorEastAsia"/>
          <w:color w:val="000000" w:themeColor="text1"/>
          <w:szCs w:val="28"/>
          <w:lang w:eastAsia="zh-CN"/>
        </w:rPr>
        <w:t>（</w:t>
      </w:r>
      <w:r>
        <w:rPr>
          <w:rFonts w:hint="default" w:ascii="Times New Roman" w:hAnsi="Times New Roman" w:cs="Times New Roman" w:eastAsiaTheme="minorEastAsia"/>
          <w:color w:val="000000" w:themeColor="text1"/>
          <w:szCs w:val="28"/>
          <w:lang w:val="en-US" w:eastAsia="zh-CN"/>
        </w:rPr>
        <w:t>2</w:t>
      </w:r>
      <w:r>
        <w:rPr>
          <w:rFonts w:hint="default" w:ascii="Times New Roman" w:hAnsi="Times New Roman" w:cs="Times New Roman" w:eastAsiaTheme="minorEastAsia"/>
          <w:color w:val="000000" w:themeColor="text1"/>
          <w:szCs w:val="28"/>
          <w:lang w:eastAsia="zh-CN"/>
        </w:rPr>
        <w:t>）</w:t>
      </w:r>
      <w:r>
        <w:rPr>
          <w:rFonts w:hint="default" w:ascii="Times New Roman" w:hAnsi="Times New Roman" w:cs="Times New Roman" w:eastAsiaTheme="minorEastAsia"/>
          <w:color w:val="000000" w:themeColor="text1"/>
          <w:szCs w:val="28"/>
        </w:rPr>
        <w:t>昆明轨道交通工程</w:t>
      </w:r>
    </w:p>
    <w:p w14:paraId="7701C904">
      <w:pPr>
        <w:spacing w:line="360" w:lineRule="auto"/>
        <w:ind w:firstLine="480" w:firstLineChars="200"/>
        <w:jc w:val="both"/>
        <w:rPr>
          <w:rFonts w:hint="default" w:ascii="Times New Roman" w:hAnsi="Times New Roman" w:cs="Times New Roman" w:eastAsiaTheme="minorEastAsia"/>
          <w:color w:val="000000" w:themeColor="text1"/>
          <w:szCs w:val="28"/>
        </w:rPr>
      </w:pPr>
      <w:r>
        <w:rPr>
          <w:rFonts w:hint="default" w:ascii="Times New Roman" w:hAnsi="Times New Roman" w:cs="Times New Roman" w:eastAsiaTheme="minorEastAsia"/>
          <w:color w:val="000000" w:themeColor="text1"/>
          <w:szCs w:val="28"/>
        </w:rPr>
        <w:t>昆明轨道交通工程：到2019年昆明市地铁建设规模达到187.5公里，车站124座。自2010年4月30日，地铁1、2号线首期工程全面开工建设。第一轮轨道交通线网规划共6条线，总里程162.6公里。昆明市远景线网方案由14条线路组成放射普线网+穿越快线的线网形态，新线网全长561.8公里。昆明轨道交通工程车站主体结构深基坑采用钻孔咬合桩作为围护结构，A桩分别应用了C30 和C20超缓凝水下素混凝土桩，初凝时间60~80h，最长达100h。</w:t>
      </w:r>
    </w:p>
    <w:p w14:paraId="0855AB3B">
      <w:pPr>
        <w:spacing w:line="360" w:lineRule="auto"/>
        <w:ind w:firstLine="480" w:firstLineChars="200"/>
        <w:jc w:val="both"/>
        <w:rPr>
          <w:rFonts w:hint="default" w:ascii="Times New Roman" w:hAnsi="Times New Roman" w:cs="Times New Roman" w:eastAsiaTheme="minorEastAsia"/>
          <w:color w:val="000000" w:themeColor="text1"/>
          <w:szCs w:val="28"/>
        </w:rPr>
      </w:pPr>
      <w:r>
        <w:rPr>
          <w:rFonts w:hint="default" w:ascii="Times New Roman" w:hAnsi="Times New Roman" w:cs="Times New Roman" w:eastAsiaTheme="minorEastAsia"/>
          <w:color w:val="000000" w:themeColor="text1"/>
          <w:szCs w:val="28"/>
          <w:lang w:eastAsia="zh-CN"/>
        </w:rPr>
        <w:t>（</w:t>
      </w:r>
      <w:r>
        <w:rPr>
          <w:rFonts w:hint="default" w:ascii="Times New Roman" w:hAnsi="Times New Roman" w:cs="Times New Roman" w:eastAsiaTheme="minorEastAsia"/>
          <w:color w:val="000000" w:themeColor="text1"/>
          <w:szCs w:val="28"/>
          <w:lang w:val="en-US" w:eastAsia="zh-CN"/>
        </w:rPr>
        <w:t>3</w:t>
      </w:r>
      <w:r>
        <w:rPr>
          <w:rFonts w:hint="default" w:ascii="Times New Roman" w:hAnsi="Times New Roman" w:cs="Times New Roman" w:eastAsiaTheme="minorEastAsia"/>
          <w:color w:val="000000" w:themeColor="text1"/>
          <w:szCs w:val="28"/>
          <w:lang w:eastAsia="zh-CN"/>
        </w:rPr>
        <w:t>）</w:t>
      </w:r>
      <w:r>
        <w:rPr>
          <w:rFonts w:hint="default" w:ascii="Times New Roman" w:hAnsi="Times New Roman" w:cs="Times New Roman" w:eastAsiaTheme="minorEastAsia"/>
          <w:color w:val="000000" w:themeColor="text1"/>
          <w:szCs w:val="28"/>
        </w:rPr>
        <w:t>成都地铁施工工程</w:t>
      </w:r>
    </w:p>
    <w:p w14:paraId="7F3A1F00">
      <w:pPr>
        <w:spacing w:line="360" w:lineRule="auto"/>
        <w:ind w:firstLine="480" w:firstLineChars="200"/>
        <w:jc w:val="both"/>
        <w:rPr>
          <w:rFonts w:ascii="Times New Roman" w:hAnsi="Times New Roman" w:cs="Times New Roman"/>
          <w:color w:val="000000" w:themeColor="text1"/>
          <w:sz w:val="28"/>
          <w:szCs w:val="28"/>
        </w:rPr>
      </w:pPr>
      <w:r>
        <w:rPr>
          <w:rFonts w:hint="default" w:ascii="Times New Roman" w:hAnsi="Times New Roman" w:cs="Times New Roman" w:eastAsiaTheme="minorEastAsia"/>
          <w:color w:val="000000" w:themeColor="text1"/>
          <w:szCs w:val="28"/>
        </w:rPr>
        <w:t>成都地铁施工工程中，主体结构深基坑采用钻孔咬合桩作为围护结构。桩径1200mm，相邻两桩咬合量250mm，桩长15～25m。咬合桩分为A桩和B桩，A桩为C30超缓凝水下素混凝土桩，B桩为C35水下钢筋混凝土桩，C30水下超缓凝混凝土量约1800m</w:t>
      </w:r>
      <w:r>
        <w:rPr>
          <w:rFonts w:hint="default" w:ascii="Times New Roman" w:hAnsi="Times New Roman" w:cs="Times New Roman" w:eastAsiaTheme="minorEastAsia"/>
          <w:color w:val="000000" w:themeColor="text1"/>
          <w:szCs w:val="28"/>
          <w:vertAlign w:val="superscript"/>
        </w:rPr>
        <w:t>3</w:t>
      </w:r>
      <w:r>
        <w:rPr>
          <w:rFonts w:hint="default" w:ascii="Times New Roman" w:hAnsi="Times New Roman" w:cs="Times New Roman" w:eastAsiaTheme="minorEastAsia"/>
          <w:color w:val="000000" w:themeColor="text1"/>
          <w:szCs w:val="28"/>
        </w:rPr>
        <w:t>。使用Ⅰ级粉煤灰、S75级磨细矿粉、高性能减水剂以及超缓凝外加剂，在低胶凝材料用量情况下配制大流动性、高保坍C30水下超缓凝泵送混凝土，初凝时间67h，3d、28d抗压强度分别为2.3MPa、39.7MPa。粉煤灰掺量为15%～25%，矿粉掺量为10%～20%，掺合料总用量控制在25%～35%。</w:t>
      </w:r>
    </w:p>
    <w:p w14:paraId="446C1F9C">
      <w:pPr>
        <w:pStyle w:val="29"/>
        <w:spacing w:before="167" w:beforeLines="50" w:after="167" w:afterLines="50"/>
        <w:outlineLvl w:val="0"/>
        <w:rPr>
          <w:rFonts w:ascii="Times New Roman"/>
          <w:color w:val="000000" w:themeColor="text1"/>
          <w:sz w:val="28"/>
          <w:szCs w:val="28"/>
        </w:rPr>
      </w:pPr>
      <w:r>
        <w:rPr>
          <w:rFonts w:ascii="Times New Roman"/>
          <w:color w:val="000000" w:themeColor="text1"/>
          <w:sz w:val="28"/>
          <w:szCs w:val="28"/>
        </w:rPr>
        <w:t>6 采用国际标准</w:t>
      </w:r>
      <w:r>
        <w:rPr>
          <w:rFonts w:hint="eastAsia" w:ascii="Times New Roman"/>
          <w:color w:val="000000" w:themeColor="text1"/>
          <w:sz w:val="28"/>
          <w:szCs w:val="28"/>
        </w:rPr>
        <w:t>，与国际、国外同类标准水平的对比情况，国内外关键指标对比分析或与测试的国外样品、样机的相关数据对比情况；</w:t>
      </w:r>
    </w:p>
    <w:p w14:paraId="22D7D577">
      <w:pPr>
        <w:ind w:firstLine="480" w:firstLineChars="200"/>
        <w:jc w:val="both"/>
        <w:rPr>
          <w:color w:val="000000" w:themeColor="text1"/>
        </w:rPr>
      </w:pPr>
      <w:r>
        <w:rPr>
          <w:color w:val="000000" w:themeColor="text1"/>
        </w:rPr>
        <w:t>无。</w:t>
      </w:r>
    </w:p>
    <w:p w14:paraId="031C0135">
      <w:pPr>
        <w:pStyle w:val="29"/>
        <w:spacing w:before="167" w:beforeLines="50" w:after="167" w:afterLines="50"/>
        <w:outlineLvl w:val="0"/>
        <w:rPr>
          <w:rFonts w:ascii="Times New Roman"/>
          <w:color w:val="000000" w:themeColor="text1"/>
          <w:sz w:val="28"/>
          <w:szCs w:val="28"/>
        </w:rPr>
      </w:pPr>
      <w:r>
        <w:rPr>
          <w:rFonts w:ascii="Times New Roman"/>
          <w:color w:val="000000" w:themeColor="text1"/>
          <w:sz w:val="28"/>
          <w:szCs w:val="28"/>
        </w:rPr>
        <w:t>7 与现行相关法律、法规、规章及相关标准</w:t>
      </w:r>
      <w:r>
        <w:rPr>
          <w:rFonts w:hint="eastAsia" w:ascii="Times New Roman"/>
          <w:color w:val="000000" w:themeColor="text1"/>
          <w:sz w:val="28"/>
          <w:szCs w:val="28"/>
        </w:rPr>
        <w:t>，特别是强制性标准</w:t>
      </w:r>
      <w:r>
        <w:rPr>
          <w:rFonts w:ascii="Times New Roman"/>
          <w:color w:val="000000" w:themeColor="text1"/>
          <w:sz w:val="28"/>
          <w:szCs w:val="28"/>
        </w:rPr>
        <w:t>的协调</w:t>
      </w:r>
      <w:r>
        <w:rPr>
          <w:rFonts w:hint="eastAsia" w:ascii="Times New Roman"/>
          <w:color w:val="000000" w:themeColor="text1"/>
          <w:sz w:val="28"/>
          <w:szCs w:val="28"/>
        </w:rPr>
        <w:t>性</w:t>
      </w:r>
    </w:p>
    <w:p w14:paraId="449B6230">
      <w:pPr>
        <w:pStyle w:val="4"/>
        <w:ind w:firstLine="480" w:firstLineChars="200"/>
        <w:rPr>
          <w:rFonts w:hint="eastAsia"/>
          <w:b w:val="0"/>
          <w:bCs w:val="0"/>
          <w:color w:val="000000" w:themeColor="text1"/>
        </w:rPr>
      </w:pPr>
      <w:r>
        <w:rPr>
          <w:rFonts w:hint="eastAsia"/>
          <w:b w:val="0"/>
          <w:bCs w:val="0"/>
          <w:color w:val="000000" w:themeColor="text1"/>
        </w:rPr>
        <w:t>综合调研国内外情况，未发现专门针</w:t>
      </w:r>
      <w:r>
        <w:rPr>
          <w:rFonts w:hint="eastAsia"/>
          <w:b w:val="0"/>
          <w:bCs w:val="0"/>
          <w:color w:val="000000" w:themeColor="text1"/>
          <w:lang w:val="en-US" w:eastAsia="zh-CN"/>
        </w:rPr>
        <w:t>超缓凝混凝土产品</w:t>
      </w:r>
      <w:r>
        <w:rPr>
          <w:rFonts w:hint="eastAsia"/>
          <w:b w:val="0"/>
          <w:bCs w:val="0"/>
          <w:color w:val="000000" w:themeColor="text1"/>
        </w:rPr>
        <w:t>制定的标准，属于行业空白。本标准中所涉及到的试验方法与现行相关法律、法规、规章及相关标准保持一致，没有冲突的地方，具有很好的协调性。具体见附录A。</w:t>
      </w:r>
    </w:p>
    <w:p w14:paraId="4AD59180">
      <w:pPr>
        <w:pStyle w:val="4"/>
        <w:rPr>
          <w:rFonts w:hint="eastAsia" w:ascii="宋体"/>
          <w:sz w:val="28"/>
          <w:szCs w:val="24"/>
        </w:rPr>
      </w:pPr>
      <w:r>
        <w:rPr>
          <w:rFonts w:hint="default" w:ascii="宋体"/>
          <w:sz w:val="28"/>
          <w:szCs w:val="24"/>
        </w:rPr>
        <w:t xml:space="preserve">8 </w:t>
      </w:r>
      <w:r>
        <w:rPr>
          <w:rFonts w:hint="eastAsia" w:ascii="宋体"/>
          <w:sz w:val="28"/>
          <w:szCs w:val="24"/>
        </w:rPr>
        <w:t>重大意见分歧的处理依据和结果</w:t>
      </w:r>
    </w:p>
    <w:p w14:paraId="46BC1BEC">
      <w:pPr>
        <w:pStyle w:val="29"/>
        <w:spacing w:before="0" w:beforeLines="0" w:after="0" w:afterLines="0" w:line="360" w:lineRule="auto"/>
        <w:ind w:firstLine="480" w:firstLineChars="200"/>
        <w:rPr>
          <w:rFonts w:ascii="Times New Roman"/>
          <w:color w:val="000000" w:themeColor="text1"/>
          <w:sz w:val="24"/>
          <w:szCs w:val="24"/>
        </w:rPr>
      </w:pPr>
      <w:r>
        <w:rPr>
          <w:rFonts w:hint="eastAsia" w:eastAsiaTheme="minorEastAsia"/>
          <w:color w:val="000000" w:themeColor="text1"/>
          <w:sz w:val="24"/>
          <w:szCs w:val="24"/>
        </w:rPr>
        <w:t>在标准的编制过程中，广泛征求了行业相关单位和业内专家的意见和建议，主要针对标准规定中各项技术指标的要求做了深入研讨，各家单位和行业专家结合自身的工作经验和实验验证提出了作为数据支撑的有力依据，最终对标准要求达成一致。编制过程中对标准的主要内容并未产生重大意见分歧。</w:t>
      </w:r>
    </w:p>
    <w:p w14:paraId="63646C2A">
      <w:pPr>
        <w:pStyle w:val="29"/>
        <w:spacing w:before="167" w:beforeLines="50" w:after="167" w:afterLines="50"/>
        <w:outlineLvl w:val="0"/>
        <w:rPr>
          <w:rFonts w:ascii="Times New Roman"/>
          <w:color w:val="000000" w:themeColor="text1"/>
          <w:sz w:val="28"/>
          <w:szCs w:val="28"/>
        </w:rPr>
      </w:pPr>
      <w:r>
        <w:rPr>
          <w:rFonts w:ascii="Times New Roman"/>
          <w:color w:val="000000" w:themeColor="text1"/>
          <w:sz w:val="28"/>
          <w:szCs w:val="28"/>
        </w:rPr>
        <w:t xml:space="preserve">9 </w:t>
      </w:r>
      <w:r>
        <w:rPr>
          <w:rFonts w:hint="eastAsia" w:ascii="Times New Roman"/>
          <w:color w:val="000000" w:themeColor="text1"/>
          <w:sz w:val="28"/>
          <w:szCs w:val="28"/>
        </w:rPr>
        <w:t>标准性质的建议说明</w:t>
      </w:r>
    </w:p>
    <w:p w14:paraId="2C2699F9">
      <w:pPr>
        <w:spacing w:line="360" w:lineRule="auto"/>
        <w:ind w:firstLine="480" w:firstLineChars="200"/>
        <w:jc w:val="both"/>
        <w:rPr>
          <w:rFonts w:eastAsiaTheme="minorEastAsia"/>
          <w:color w:val="000000" w:themeColor="text1"/>
          <w:szCs w:val="28"/>
        </w:rPr>
      </w:pPr>
      <w:r>
        <w:rPr>
          <w:rFonts w:hint="eastAsia" w:eastAsiaTheme="minorEastAsia"/>
          <w:color w:val="000000" w:themeColor="text1"/>
          <w:szCs w:val="28"/>
        </w:rPr>
        <w:t>建议本标准为推荐性，发布后立即实施。</w:t>
      </w:r>
    </w:p>
    <w:p w14:paraId="37CAC2F1">
      <w:pPr>
        <w:pStyle w:val="29"/>
        <w:spacing w:before="167" w:beforeLines="50" w:after="167" w:afterLines="50"/>
        <w:outlineLvl w:val="0"/>
        <w:rPr>
          <w:rFonts w:ascii="Times New Roman"/>
          <w:color w:val="000000" w:themeColor="text1"/>
          <w:sz w:val="28"/>
          <w:szCs w:val="28"/>
        </w:rPr>
      </w:pPr>
      <w:r>
        <w:rPr>
          <w:rFonts w:hint="eastAsia" w:ascii="Times New Roman"/>
          <w:color w:val="000000" w:themeColor="text1"/>
          <w:sz w:val="28"/>
          <w:szCs w:val="28"/>
        </w:rPr>
        <w:t>1</w:t>
      </w:r>
      <w:r>
        <w:rPr>
          <w:rFonts w:ascii="Times New Roman"/>
          <w:color w:val="000000" w:themeColor="text1"/>
          <w:sz w:val="28"/>
          <w:szCs w:val="28"/>
        </w:rPr>
        <w:t>0 贯彻标准的措施建议</w:t>
      </w:r>
    </w:p>
    <w:p w14:paraId="711CA327">
      <w:pPr>
        <w:spacing w:line="360" w:lineRule="auto"/>
        <w:ind w:firstLine="480" w:firstLineChars="200"/>
        <w:rPr>
          <w:rFonts w:ascii="Times New Roman" w:hAnsi="Times New Roman" w:eastAsia="宋体" w:cs="Times New Roman"/>
          <w:sz w:val="24"/>
          <w:szCs w:val="24"/>
          <w:lang w:val="zh-CN"/>
        </w:rPr>
      </w:pPr>
      <w:r>
        <w:rPr>
          <w:rFonts w:ascii="Times New Roman" w:hAnsi="Times New Roman" w:eastAsia="宋体" w:cs="Times New Roman"/>
          <w:sz w:val="24"/>
          <w:szCs w:val="24"/>
          <w:lang w:val="zh-CN"/>
        </w:rPr>
        <w:t>目前，国内</w:t>
      </w:r>
      <w:r>
        <w:rPr>
          <w:rFonts w:hint="eastAsia" w:ascii="Times New Roman" w:hAnsi="Times New Roman" w:eastAsia="宋体" w:cs="Times New Roman"/>
          <w:sz w:val="24"/>
          <w:szCs w:val="24"/>
          <w:lang w:val="en-US" w:eastAsia="zh-CN"/>
        </w:rPr>
        <w:t>超缓凝混凝土</w:t>
      </w:r>
      <w:r>
        <w:rPr>
          <w:rFonts w:ascii="Times New Roman" w:hAnsi="Times New Roman" w:eastAsia="宋体" w:cs="Times New Roman"/>
          <w:sz w:val="24"/>
          <w:szCs w:val="24"/>
          <w:lang w:val="zh-CN"/>
        </w:rPr>
        <w:t>产品没有统一的评价标准，所以产品以哪些性能进行评价，</w:t>
      </w:r>
      <w:r>
        <w:rPr>
          <w:rFonts w:hint="eastAsia" w:ascii="Times New Roman" w:hAnsi="Times New Roman" w:eastAsia="宋体" w:cs="Times New Roman"/>
          <w:sz w:val="24"/>
          <w:szCs w:val="24"/>
          <w:lang w:val="en-US" w:eastAsia="zh-CN"/>
        </w:rPr>
        <w:t>如何设计、制备</w:t>
      </w:r>
      <w:r>
        <w:rPr>
          <w:rFonts w:ascii="Times New Roman" w:hAnsi="Times New Roman" w:eastAsia="宋体" w:cs="Times New Roman"/>
          <w:sz w:val="24"/>
          <w:szCs w:val="24"/>
          <w:lang w:val="zh-CN"/>
        </w:rPr>
        <w:t>等都给企业和消费者带来困扰，整体上不利于产品的发展，制约了该行业的进步。</w:t>
      </w:r>
    </w:p>
    <w:p w14:paraId="3BDF0B37">
      <w:pPr>
        <w:spacing w:line="360" w:lineRule="auto"/>
        <w:ind w:firstLine="480" w:firstLineChars="200"/>
        <w:jc w:val="left"/>
        <w:rPr>
          <w:rFonts w:eastAsia="宋体"/>
          <w:b w:val="0"/>
          <w:color w:val="000000" w:themeColor="text1"/>
          <w:szCs w:val="28"/>
          <w:highlight w:val="yellow"/>
        </w:rPr>
      </w:pPr>
      <w:r>
        <w:rPr>
          <w:rFonts w:ascii="Times New Roman" w:hAnsi="Times New Roman" w:eastAsia="宋体" w:cs="Times New Roman"/>
          <w:sz w:val="24"/>
          <w:szCs w:val="24"/>
          <w:lang w:val="zh-CN"/>
        </w:rPr>
        <w:t>建议在本标准发布实施后，各生产厂家、科研单位以及相关检测机构、管理部门依据本标准中的相关规定，对</w:t>
      </w:r>
      <w:r>
        <w:rPr>
          <w:rFonts w:hint="eastAsia" w:ascii="Times New Roman" w:hAnsi="Times New Roman" w:eastAsia="宋体" w:cs="Times New Roman"/>
          <w:sz w:val="24"/>
          <w:szCs w:val="24"/>
          <w:lang w:val="en-US" w:eastAsia="zh-CN"/>
        </w:rPr>
        <w:t>超缓凝混凝土</w:t>
      </w:r>
      <w:r>
        <w:rPr>
          <w:rFonts w:ascii="Times New Roman" w:hAnsi="Times New Roman" w:eastAsia="宋体" w:cs="Times New Roman"/>
          <w:sz w:val="24"/>
          <w:szCs w:val="24"/>
          <w:lang w:val="zh-CN"/>
        </w:rPr>
        <w:t>产品进行评判和管理。具体实施措施建议如下：（1）加大标准宣传力度，提高认知度。（2）标准归口单位进行贯标指导，组织标准宣贯活动。（3）鼓励行业相关企业贯彻实施标准，并对相关企业人员进行指导，使有关人员拥有标准、了解标准、熟悉标准，按要求执行标准。（4）标准归口单位跟踪服务，对企业贯彻实施标准中遇到的问题进行协调处理作好记录，并进行长期监督检查工作。</w:t>
      </w:r>
    </w:p>
    <w:p w14:paraId="268F61AE">
      <w:pPr>
        <w:pStyle w:val="29"/>
        <w:spacing w:before="167" w:beforeLines="50" w:after="167" w:afterLines="50"/>
        <w:outlineLvl w:val="0"/>
        <w:rPr>
          <w:rFonts w:ascii="Times New Roman"/>
          <w:color w:val="000000" w:themeColor="text1"/>
          <w:sz w:val="28"/>
          <w:szCs w:val="28"/>
        </w:rPr>
      </w:pPr>
      <w:r>
        <w:rPr>
          <w:rFonts w:ascii="Times New Roman"/>
          <w:color w:val="000000" w:themeColor="text1"/>
          <w:sz w:val="28"/>
          <w:szCs w:val="28"/>
        </w:rPr>
        <w:t>11 废止现行有关标准的建议</w:t>
      </w:r>
    </w:p>
    <w:p w14:paraId="56790011">
      <w:pPr>
        <w:spacing w:line="360" w:lineRule="auto"/>
        <w:ind w:firstLine="480"/>
        <w:jc w:val="both"/>
        <w:rPr>
          <w:rFonts w:eastAsiaTheme="minorEastAsia"/>
          <w:color w:val="000000" w:themeColor="text1"/>
          <w:szCs w:val="28"/>
        </w:rPr>
      </w:pPr>
      <w:r>
        <w:rPr>
          <w:rFonts w:eastAsiaTheme="minorEastAsia"/>
          <w:color w:val="000000" w:themeColor="text1"/>
          <w:szCs w:val="28"/>
        </w:rPr>
        <w:t>无。</w:t>
      </w:r>
    </w:p>
    <w:p w14:paraId="4828F4C2">
      <w:pPr>
        <w:pStyle w:val="29"/>
        <w:spacing w:before="167" w:beforeLines="50" w:after="167" w:afterLines="50"/>
        <w:outlineLvl w:val="0"/>
        <w:rPr>
          <w:rFonts w:ascii="Times New Roman"/>
          <w:color w:val="000000" w:themeColor="text1"/>
          <w:sz w:val="28"/>
          <w:szCs w:val="28"/>
        </w:rPr>
      </w:pPr>
      <w:r>
        <w:rPr>
          <w:rFonts w:ascii="Times New Roman"/>
          <w:color w:val="000000" w:themeColor="text1"/>
          <w:sz w:val="28"/>
          <w:szCs w:val="28"/>
        </w:rPr>
        <w:t>12 其他应说明的事项</w:t>
      </w:r>
    </w:p>
    <w:p w14:paraId="02D71CA9">
      <w:pPr>
        <w:spacing w:line="360" w:lineRule="auto"/>
        <w:ind w:firstLine="495"/>
        <w:jc w:val="both"/>
        <w:rPr>
          <w:rFonts w:eastAsiaTheme="minorEastAsia"/>
          <w:color w:val="000000" w:themeColor="text1"/>
          <w:szCs w:val="28"/>
        </w:rPr>
      </w:pPr>
      <w:r>
        <w:rPr>
          <w:rFonts w:eastAsiaTheme="minorEastAsia"/>
          <w:color w:val="000000" w:themeColor="text1"/>
          <w:szCs w:val="28"/>
        </w:rPr>
        <w:t>无。</w:t>
      </w:r>
    </w:p>
    <w:p w14:paraId="64E9653E">
      <w:pPr>
        <w:spacing w:line="360" w:lineRule="auto"/>
        <w:ind w:firstLine="495"/>
        <w:jc w:val="both"/>
        <w:rPr>
          <w:rFonts w:eastAsiaTheme="minorEastAsia"/>
          <w:color w:val="000000" w:themeColor="text1"/>
          <w:szCs w:val="28"/>
        </w:rPr>
      </w:pPr>
    </w:p>
    <w:p w14:paraId="6DC9B35F">
      <w:pPr>
        <w:spacing w:line="360" w:lineRule="auto"/>
        <w:ind w:firstLine="495"/>
        <w:jc w:val="both"/>
        <w:rPr>
          <w:rFonts w:eastAsiaTheme="minorEastAsia"/>
          <w:color w:val="000000" w:themeColor="text1"/>
          <w:szCs w:val="28"/>
        </w:rPr>
      </w:pPr>
    </w:p>
    <w:p w14:paraId="0FF0D7B7">
      <w:pPr>
        <w:spacing w:line="360" w:lineRule="auto"/>
        <w:ind w:firstLine="495"/>
        <w:jc w:val="both"/>
        <w:rPr>
          <w:rFonts w:eastAsiaTheme="minorEastAsia"/>
          <w:color w:val="000000" w:themeColor="text1"/>
          <w:szCs w:val="28"/>
        </w:rPr>
      </w:pPr>
    </w:p>
    <w:p w14:paraId="746ABFF1">
      <w:pPr>
        <w:spacing w:line="360" w:lineRule="auto"/>
        <w:ind w:firstLine="495"/>
        <w:jc w:val="both"/>
        <w:rPr>
          <w:rFonts w:eastAsiaTheme="minorEastAsia"/>
          <w:color w:val="000000" w:themeColor="text1"/>
          <w:szCs w:val="28"/>
        </w:rPr>
      </w:pPr>
    </w:p>
    <w:p w14:paraId="68B799FD">
      <w:pPr>
        <w:spacing w:line="360" w:lineRule="auto"/>
        <w:ind w:firstLine="495"/>
        <w:jc w:val="both"/>
        <w:rPr>
          <w:rFonts w:eastAsiaTheme="minorEastAsia"/>
          <w:color w:val="000000" w:themeColor="text1"/>
          <w:szCs w:val="28"/>
        </w:rPr>
      </w:pPr>
    </w:p>
    <w:p w14:paraId="27BFA4D0">
      <w:pPr>
        <w:spacing w:line="360" w:lineRule="auto"/>
        <w:ind w:firstLine="495"/>
        <w:jc w:val="both"/>
        <w:rPr>
          <w:rFonts w:eastAsiaTheme="minorEastAsia"/>
          <w:color w:val="000000" w:themeColor="text1"/>
          <w:szCs w:val="28"/>
        </w:rPr>
      </w:pPr>
    </w:p>
    <w:p w14:paraId="6DAA47BF">
      <w:pPr>
        <w:spacing w:line="360" w:lineRule="auto"/>
        <w:ind w:firstLine="495"/>
        <w:jc w:val="both"/>
        <w:rPr>
          <w:rFonts w:eastAsiaTheme="minorEastAsia"/>
          <w:color w:val="000000" w:themeColor="text1"/>
          <w:szCs w:val="28"/>
        </w:rPr>
      </w:pPr>
    </w:p>
    <w:p w14:paraId="39378C33">
      <w:pPr>
        <w:spacing w:line="360" w:lineRule="auto"/>
        <w:ind w:firstLine="495"/>
        <w:jc w:val="both"/>
        <w:rPr>
          <w:rFonts w:eastAsiaTheme="minorEastAsia"/>
          <w:color w:val="000000" w:themeColor="text1"/>
          <w:szCs w:val="28"/>
        </w:rPr>
      </w:pPr>
    </w:p>
    <w:p w14:paraId="40886685">
      <w:pPr>
        <w:spacing w:line="360" w:lineRule="auto"/>
        <w:ind w:firstLine="495"/>
        <w:jc w:val="both"/>
        <w:rPr>
          <w:rFonts w:eastAsiaTheme="minorEastAsia"/>
          <w:color w:val="000000" w:themeColor="text1"/>
          <w:szCs w:val="28"/>
        </w:rPr>
      </w:pPr>
    </w:p>
    <w:p w14:paraId="51D63C0F">
      <w:pPr>
        <w:spacing w:line="360" w:lineRule="auto"/>
        <w:ind w:firstLine="495"/>
        <w:jc w:val="both"/>
        <w:rPr>
          <w:rFonts w:eastAsiaTheme="minorEastAsia"/>
          <w:color w:val="000000" w:themeColor="text1"/>
          <w:szCs w:val="28"/>
        </w:rPr>
      </w:pPr>
    </w:p>
    <w:p w14:paraId="471CB00F">
      <w:pPr>
        <w:spacing w:line="360" w:lineRule="auto"/>
        <w:ind w:firstLine="495"/>
        <w:jc w:val="both"/>
        <w:rPr>
          <w:rFonts w:eastAsiaTheme="minorEastAsia"/>
          <w:color w:val="000000" w:themeColor="text1"/>
          <w:szCs w:val="28"/>
        </w:rPr>
      </w:pPr>
    </w:p>
    <w:p w14:paraId="75DD9E75">
      <w:pPr>
        <w:spacing w:line="360" w:lineRule="auto"/>
        <w:ind w:firstLine="495"/>
        <w:jc w:val="both"/>
        <w:rPr>
          <w:rFonts w:eastAsiaTheme="minorEastAsia"/>
          <w:color w:val="000000" w:themeColor="text1"/>
          <w:szCs w:val="28"/>
        </w:rPr>
      </w:pPr>
    </w:p>
    <w:p w14:paraId="77EF770A">
      <w:pPr>
        <w:spacing w:line="360" w:lineRule="auto"/>
        <w:ind w:firstLine="495"/>
        <w:jc w:val="both"/>
        <w:rPr>
          <w:rFonts w:eastAsiaTheme="minorEastAsia"/>
          <w:color w:val="000000" w:themeColor="text1"/>
          <w:szCs w:val="28"/>
        </w:rPr>
      </w:pPr>
    </w:p>
    <w:p w14:paraId="23D75C02">
      <w:pPr>
        <w:spacing w:line="360" w:lineRule="auto"/>
        <w:ind w:firstLine="495"/>
        <w:jc w:val="both"/>
        <w:rPr>
          <w:rFonts w:eastAsiaTheme="minorEastAsia"/>
          <w:color w:val="000000" w:themeColor="text1"/>
          <w:szCs w:val="28"/>
        </w:rPr>
      </w:pPr>
    </w:p>
    <w:p w14:paraId="68796995">
      <w:pPr>
        <w:spacing w:line="360" w:lineRule="auto"/>
        <w:ind w:firstLine="495"/>
        <w:jc w:val="both"/>
        <w:rPr>
          <w:rFonts w:eastAsiaTheme="minorEastAsia"/>
          <w:color w:val="000000" w:themeColor="text1"/>
          <w:szCs w:val="28"/>
        </w:rPr>
      </w:pPr>
    </w:p>
    <w:p w14:paraId="62001689">
      <w:pPr>
        <w:spacing w:line="360" w:lineRule="auto"/>
        <w:ind w:firstLine="495"/>
        <w:jc w:val="both"/>
        <w:rPr>
          <w:rFonts w:eastAsiaTheme="minorEastAsia"/>
          <w:color w:val="000000" w:themeColor="text1"/>
          <w:szCs w:val="28"/>
        </w:rPr>
      </w:pPr>
    </w:p>
    <w:p w14:paraId="787A21F8">
      <w:pPr>
        <w:spacing w:line="360" w:lineRule="auto"/>
        <w:ind w:firstLine="495"/>
        <w:jc w:val="both"/>
        <w:rPr>
          <w:rFonts w:eastAsiaTheme="minorEastAsia"/>
          <w:color w:val="000000" w:themeColor="text1"/>
          <w:szCs w:val="28"/>
        </w:rPr>
      </w:pPr>
    </w:p>
    <w:p w14:paraId="6D7ADB0B">
      <w:pPr>
        <w:numPr>
          <w:ilvl w:val="0"/>
          <w:numId w:val="0"/>
        </w:numPr>
        <w:spacing w:line="360" w:lineRule="auto"/>
        <w:rPr>
          <w:rFonts w:ascii="Times New Roman"/>
          <w:color w:val="000000" w:themeColor="text1"/>
          <w:sz w:val="28"/>
          <w:szCs w:val="28"/>
        </w:rPr>
        <w:sectPr>
          <w:footerReference r:id="rId4" w:type="default"/>
          <w:pgSz w:w="11906" w:h="16838"/>
          <w:pgMar w:top="1440" w:right="1803" w:bottom="1440" w:left="1803" w:header="851" w:footer="992" w:gutter="0"/>
          <w:pgNumType w:fmt="decimal" w:start="1"/>
          <w:cols w:space="0" w:num="1"/>
          <w:rtlGutter w:val="0"/>
          <w:docGrid w:type="lines" w:linePitch="332" w:charSpace="0"/>
        </w:sectPr>
      </w:pPr>
    </w:p>
    <w:bookmarkEnd w:id="55"/>
    <w:bookmarkEnd w:id="56"/>
    <w:bookmarkEnd w:id="57"/>
    <w:bookmarkEnd w:id="58"/>
    <w:bookmarkEnd w:id="59"/>
    <w:bookmarkEnd w:id="60"/>
    <w:bookmarkEnd w:id="61"/>
    <w:p w14:paraId="50EF406F">
      <w:pPr>
        <w:spacing w:line="360" w:lineRule="auto"/>
        <w:ind w:firstLine="0"/>
        <w:jc w:val="both"/>
        <w:rPr>
          <w:rFonts w:hint="eastAsia" w:eastAsiaTheme="minorEastAsia"/>
          <w:b/>
          <w:bCs/>
          <w:color w:val="000000" w:themeColor="text1"/>
          <w:szCs w:val="28"/>
          <w:lang w:val="en-US" w:eastAsia="zh-CN"/>
        </w:rPr>
      </w:pPr>
      <w:r>
        <w:rPr>
          <w:rFonts w:hint="eastAsia" w:eastAsiaTheme="minorEastAsia"/>
          <w:b/>
          <w:bCs/>
          <w:color w:val="000000" w:themeColor="text1"/>
          <w:szCs w:val="28"/>
          <w:lang w:val="en-US" w:eastAsia="zh-CN"/>
        </w:rPr>
        <w:t>附录A：</w:t>
      </w:r>
    </w:p>
    <w:p w14:paraId="44EA4B84">
      <w:pPr>
        <w:spacing w:line="360" w:lineRule="auto"/>
        <w:ind w:firstLine="480" w:firstLineChars="200"/>
        <w:rPr>
          <w:rFonts w:hint="eastAsia" w:ascii="Times New Roman" w:hAnsi="Times New Roman" w:eastAsia="宋体" w:cs="Times New Roman"/>
          <w:sz w:val="24"/>
        </w:rPr>
      </w:pPr>
      <w:r>
        <w:rPr>
          <w:rFonts w:hint="eastAsia" w:ascii="Times New Roman" w:hAnsi="Times New Roman" w:eastAsia="宋体" w:cs="Times New Roman"/>
          <w:sz w:val="24"/>
        </w:rPr>
        <w:t>本标准与JGJ</w:t>
      </w:r>
      <w:r>
        <w:rPr>
          <w:rFonts w:hint="eastAsia" w:ascii="Times New Roman" w:hAnsi="Times New Roman" w:eastAsia="宋体" w:cs="Times New Roman"/>
          <w:sz w:val="24"/>
          <w:lang w:val="en-US" w:eastAsia="zh-CN"/>
        </w:rPr>
        <w:t>/</w:t>
      </w:r>
      <w:r>
        <w:rPr>
          <w:rFonts w:hint="eastAsia" w:ascii="Times New Roman" w:hAnsi="Times New Roman" w:eastAsia="宋体" w:cs="Times New Roman"/>
          <w:sz w:val="24"/>
        </w:rPr>
        <w:t>T 396《咬合式排桩技术标准》</w:t>
      </w:r>
      <w:r>
        <w:rPr>
          <w:rFonts w:hint="eastAsia" w:ascii="Times New Roman" w:hAnsi="Times New Roman" w:eastAsia="宋体" w:cs="Times New Roman"/>
          <w:sz w:val="24"/>
          <w:lang w:eastAsia="zh-CN"/>
        </w:rPr>
        <w:t>、</w:t>
      </w:r>
      <w:r>
        <w:rPr>
          <w:rFonts w:hint="eastAsia" w:ascii="Times New Roman" w:hAnsi="Times New Roman" w:eastAsia="宋体" w:cs="Times New Roman"/>
          <w:sz w:val="24"/>
          <w:lang w:val="en-US" w:eastAsia="zh-CN"/>
        </w:rPr>
        <w:t>JGJ 432《建筑工程逆作法技术标准》、</w:t>
      </w:r>
      <w:r>
        <w:rPr>
          <w:rFonts w:hint="eastAsia" w:ascii="Times New Roman" w:hAnsi="Times New Roman"/>
          <w:b w:val="0"/>
          <w:bCs/>
          <w:color w:val="000000" w:themeColor="text1"/>
          <w:kern w:val="0"/>
          <w:sz w:val="24"/>
          <w:szCs w:val="24"/>
          <w:lang w:val="en-US" w:eastAsia="zh-CN"/>
        </w:rPr>
        <w:t>GB 50164</w:t>
      </w:r>
      <w:r>
        <w:rPr>
          <w:rFonts w:hint="eastAsia" w:ascii="Times New Roman" w:hAnsi="Times New Roman" w:eastAsia="宋体" w:cs="Times New Roman"/>
          <w:sz w:val="24"/>
          <w:lang w:val="en-US" w:eastAsia="zh-CN"/>
        </w:rPr>
        <w:t>《</w:t>
      </w:r>
      <w:r>
        <w:rPr>
          <w:rFonts w:hint="eastAsia" w:ascii="Times New Roman" w:hAnsi="Times New Roman"/>
          <w:b w:val="0"/>
          <w:bCs/>
          <w:color w:val="000000" w:themeColor="text1"/>
          <w:kern w:val="0"/>
          <w:sz w:val="24"/>
          <w:szCs w:val="24"/>
          <w:lang w:val="en-US" w:eastAsia="zh-CN"/>
        </w:rPr>
        <w:t>混凝土质量控制标准</w:t>
      </w:r>
      <w:r>
        <w:rPr>
          <w:rFonts w:hint="eastAsia" w:ascii="Times New Roman" w:hAnsi="Times New Roman" w:eastAsia="宋体" w:cs="Times New Roman"/>
          <w:sz w:val="24"/>
          <w:lang w:val="en-US" w:eastAsia="zh-CN"/>
        </w:rPr>
        <w:t>》</w:t>
      </w:r>
      <w:r>
        <w:rPr>
          <w:rFonts w:hint="eastAsia" w:ascii="Times New Roman" w:hAnsi="Times New Roman" w:eastAsia="宋体" w:cs="Times New Roman"/>
          <w:sz w:val="24"/>
        </w:rPr>
        <w:t>的对比分析如表A.1所示：</w:t>
      </w:r>
    </w:p>
    <w:p w14:paraId="0939C572">
      <w:pPr>
        <w:spacing w:line="360" w:lineRule="auto"/>
        <w:ind w:firstLine="480" w:firstLineChars="200"/>
        <w:jc w:val="center"/>
        <w:rPr>
          <w:rFonts w:hint="eastAsia" w:ascii="Times New Roman" w:hAnsi="Times New Roman" w:eastAsia="宋体" w:cs="Times New Roman"/>
          <w:sz w:val="24"/>
          <w:lang w:val="en-US" w:eastAsia="zh-CN"/>
        </w:rPr>
      </w:pPr>
      <w:r>
        <w:rPr>
          <w:rFonts w:hint="eastAsia" w:ascii="Times New Roman" w:hAnsi="Times New Roman" w:eastAsia="宋体" w:cs="Times New Roman"/>
          <w:sz w:val="24"/>
          <w:lang w:val="en-US" w:eastAsia="zh-CN"/>
        </w:rPr>
        <w:t>表A.1标准对比分析</w:t>
      </w:r>
    </w:p>
    <w:tbl>
      <w:tblPr>
        <w:tblStyle w:val="20"/>
        <w:tblW w:w="4996"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108" w:type="dxa"/>
          <w:bottom w:w="0" w:type="dxa"/>
          <w:right w:w="108" w:type="dxa"/>
        </w:tblCellMar>
      </w:tblPr>
      <w:tblGrid>
        <w:gridCol w:w="1091"/>
        <w:gridCol w:w="4849"/>
        <w:gridCol w:w="3165"/>
        <w:gridCol w:w="2457"/>
        <w:gridCol w:w="2601"/>
      </w:tblGrid>
      <w:tr w14:paraId="57E32FF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49" w:hRule="atLeast"/>
          <w:jc w:val="center"/>
        </w:trPr>
        <w:tc>
          <w:tcPr>
            <w:tcW w:w="385" w:type="pct"/>
            <w:vAlign w:val="center"/>
          </w:tcPr>
          <w:p w14:paraId="462E85DB">
            <w:pPr>
              <w:spacing w:line="240" w:lineRule="auto"/>
              <w:jc w:val="center"/>
              <w:rPr>
                <w:rFonts w:ascii="Times New Roman" w:hAnsi="Times New Roman"/>
                <w:b/>
                <w:bCs w:val="0"/>
                <w:color w:val="000000" w:themeColor="text1"/>
                <w:kern w:val="0"/>
                <w:sz w:val="21"/>
                <w:szCs w:val="21"/>
              </w:rPr>
            </w:pPr>
            <w:r>
              <w:rPr>
                <w:rFonts w:ascii="Times New Roman" w:hAnsi="Times New Roman"/>
                <w:b w:val="0"/>
                <w:bCs/>
                <w:color w:val="000000" w:themeColor="text1"/>
                <w:kern w:val="0"/>
                <w:sz w:val="21"/>
                <w:szCs w:val="21"/>
              </w:rPr>
              <w:t>项目</w:t>
            </w:r>
          </w:p>
        </w:tc>
        <w:tc>
          <w:tcPr>
            <w:tcW w:w="1711" w:type="pct"/>
            <w:vAlign w:val="center"/>
          </w:tcPr>
          <w:p w14:paraId="142F982D">
            <w:pPr>
              <w:spacing w:line="240" w:lineRule="auto"/>
              <w:jc w:val="center"/>
              <w:rPr>
                <w:rFonts w:hint="eastAsia" w:ascii="Times New Roman" w:hAnsi="Times New Roman" w:eastAsia="宋体"/>
                <w:b/>
                <w:bCs w:val="0"/>
                <w:color w:val="000000" w:themeColor="text1"/>
                <w:kern w:val="0"/>
                <w:sz w:val="21"/>
                <w:szCs w:val="21"/>
                <w:lang w:eastAsia="zh-CN"/>
              </w:rPr>
            </w:pPr>
            <w:r>
              <w:rPr>
                <w:rFonts w:hint="eastAsia" w:ascii="Times New Roman" w:hAnsi="Times New Roman" w:eastAsia="宋体" w:cs="Times New Roman"/>
                <w:sz w:val="21"/>
                <w:szCs w:val="21"/>
              </w:rPr>
              <w:t>JGJ</w:t>
            </w:r>
            <w:r>
              <w:rPr>
                <w:rFonts w:hint="eastAsia" w:ascii="Times New Roman" w:hAnsi="Times New Roman" w:cs="Times New Roman"/>
                <w:sz w:val="21"/>
                <w:szCs w:val="21"/>
                <w:lang w:eastAsia="zh-CN"/>
              </w:rPr>
              <w:t>/</w:t>
            </w:r>
            <w:r>
              <w:rPr>
                <w:rFonts w:hint="eastAsia" w:ascii="Times New Roman" w:hAnsi="Times New Roman" w:eastAsia="宋体" w:cs="Times New Roman"/>
                <w:sz w:val="21"/>
                <w:szCs w:val="21"/>
              </w:rPr>
              <w:t>T 396</w:t>
            </w:r>
          </w:p>
        </w:tc>
        <w:tc>
          <w:tcPr>
            <w:tcW w:w="1117" w:type="pct"/>
            <w:vAlign w:val="center"/>
          </w:tcPr>
          <w:p w14:paraId="04A9E642">
            <w:pPr>
              <w:spacing w:line="240" w:lineRule="auto"/>
              <w:jc w:val="center"/>
              <w:rPr>
                <w:rFonts w:ascii="Times New Roman" w:hAnsi="Times New Roman"/>
                <w:b/>
                <w:bCs w:val="0"/>
                <w:color w:val="000000" w:themeColor="text1"/>
                <w:kern w:val="0"/>
                <w:sz w:val="21"/>
                <w:szCs w:val="21"/>
              </w:rPr>
            </w:pPr>
            <w:r>
              <w:rPr>
                <w:rFonts w:hint="eastAsia" w:ascii="Times New Roman" w:hAnsi="Times New Roman" w:eastAsia="宋体" w:cs="Times New Roman"/>
                <w:sz w:val="21"/>
                <w:szCs w:val="21"/>
                <w:lang w:val="en-US" w:eastAsia="zh-CN"/>
              </w:rPr>
              <w:t>JGJ 432</w:t>
            </w:r>
          </w:p>
        </w:tc>
        <w:tc>
          <w:tcPr>
            <w:tcW w:w="867" w:type="pct"/>
            <w:vAlign w:val="center"/>
          </w:tcPr>
          <w:p w14:paraId="360413AE">
            <w:pPr>
              <w:spacing w:line="240" w:lineRule="auto"/>
              <w:jc w:val="center"/>
              <w:rPr>
                <w:rFonts w:hint="default" w:ascii="Times New Roman" w:hAnsi="Times New Roman"/>
                <w:b w:val="0"/>
                <w:bCs/>
                <w:color w:val="000000" w:themeColor="text1"/>
                <w:kern w:val="0"/>
                <w:sz w:val="21"/>
                <w:szCs w:val="21"/>
              </w:rPr>
            </w:pPr>
            <w:r>
              <w:rPr>
                <w:rFonts w:hint="eastAsia" w:ascii="Times New Roman" w:hAnsi="Times New Roman"/>
                <w:b w:val="0"/>
                <w:bCs/>
                <w:color w:val="000000" w:themeColor="text1"/>
                <w:kern w:val="0"/>
                <w:sz w:val="21"/>
                <w:szCs w:val="21"/>
                <w:lang w:val="en-US" w:eastAsia="zh-CN"/>
              </w:rPr>
              <w:t>GB 50164</w:t>
            </w:r>
          </w:p>
        </w:tc>
        <w:tc>
          <w:tcPr>
            <w:tcW w:w="918" w:type="pct"/>
            <w:shd w:val="clear" w:color="auto" w:fill="auto"/>
            <w:vAlign w:val="center"/>
          </w:tcPr>
          <w:p w14:paraId="2EBAF457">
            <w:pPr>
              <w:spacing w:line="240" w:lineRule="auto"/>
              <w:jc w:val="center"/>
              <w:rPr>
                <w:rFonts w:ascii="Times New Roman" w:hAnsi="Times New Roman"/>
                <w:b w:val="0"/>
                <w:bCs/>
                <w:color w:val="000000" w:themeColor="text1"/>
                <w:kern w:val="0"/>
                <w:sz w:val="21"/>
                <w:szCs w:val="21"/>
              </w:rPr>
            </w:pPr>
            <w:r>
              <w:rPr>
                <w:rFonts w:ascii="Times New Roman" w:hAnsi="Times New Roman"/>
                <w:b w:val="0"/>
                <w:bCs/>
                <w:color w:val="000000" w:themeColor="text1"/>
                <w:kern w:val="0"/>
                <w:sz w:val="21"/>
                <w:szCs w:val="21"/>
              </w:rPr>
              <w:t>本</w:t>
            </w:r>
            <w:r>
              <w:rPr>
                <w:rFonts w:hint="eastAsia" w:ascii="Times New Roman" w:hAnsi="Times New Roman"/>
                <w:b w:val="0"/>
                <w:bCs/>
                <w:color w:val="000000" w:themeColor="text1"/>
                <w:kern w:val="0"/>
                <w:sz w:val="21"/>
                <w:szCs w:val="21"/>
                <w:lang w:val="en-US" w:eastAsia="zh-CN"/>
              </w:rPr>
              <w:t>标准</w:t>
            </w:r>
          </w:p>
        </w:tc>
      </w:tr>
      <w:tr w14:paraId="4103DBD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262" w:hRule="atLeast"/>
          <w:jc w:val="center"/>
        </w:trPr>
        <w:tc>
          <w:tcPr>
            <w:tcW w:w="385" w:type="pct"/>
            <w:vAlign w:val="center"/>
          </w:tcPr>
          <w:p w14:paraId="2B78FD0F">
            <w:pPr>
              <w:spacing w:line="240" w:lineRule="auto"/>
              <w:jc w:val="center"/>
              <w:rPr>
                <w:rFonts w:hint="eastAsia" w:ascii="Times New Roman" w:hAnsi="Times New Roman" w:eastAsia="宋体"/>
                <w:color w:val="000000" w:themeColor="text1"/>
                <w:kern w:val="0"/>
                <w:sz w:val="21"/>
                <w:szCs w:val="21"/>
                <w:lang w:val="en-US" w:eastAsia="zh-CN"/>
              </w:rPr>
            </w:pPr>
            <w:r>
              <w:rPr>
                <w:rFonts w:hint="eastAsia" w:ascii="Times New Roman" w:hAnsi="Times New Roman"/>
                <w:color w:val="000000" w:themeColor="text1"/>
                <w:kern w:val="0"/>
                <w:sz w:val="21"/>
                <w:szCs w:val="21"/>
                <w:lang w:val="en-US" w:eastAsia="zh-CN"/>
              </w:rPr>
              <w:t>凝结时间</w:t>
            </w:r>
          </w:p>
        </w:tc>
        <w:tc>
          <w:tcPr>
            <w:tcW w:w="1711" w:type="pct"/>
            <w:vAlign w:val="center"/>
          </w:tcPr>
          <w:p w14:paraId="40A9A7C4">
            <w:pPr>
              <w:spacing w:line="240" w:lineRule="auto"/>
              <w:jc w:val="center"/>
              <w:rPr>
                <w:rFonts w:hint="eastAsia" w:ascii="Times New Roman" w:hAnsi="Times New Roman" w:eastAsia="宋体"/>
                <w:color w:val="000000" w:themeColor="text1"/>
                <w:kern w:val="0"/>
                <w:sz w:val="21"/>
                <w:szCs w:val="21"/>
                <w:lang w:eastAsia="zh-CN"/>
              </w:rPr>
            </w:pPr>
            <w:r>
              <w:rPr>
                <w:rFonts w:hint="eastAsia" w:ascii="Times New Roman" w:hAnsi="Times New Roman"/>
                <w:color w:val="000000" w:themeColor="text1"/>
                <w:kern w:val="0"/>
                <w:sz w:val="21"/>
                <w:szCs w:val="21"/>
              </w:rPr>
              <w:t>规定软法切割施工Ⅰ序桩应采用超缓凝混凝土</w:t>
            </w:r>
            <w:r>
              <w:rPr>
                <w:rFonts w:hint="eastAsia" w:ascii="Times New Roman" w:hAnsi="Times New Roman"/>
                <w:color w:val="000000" w:themeColor="text1"/>
                <w:kern w:val="0"/>
                <w:sz w:val="21"/>
                <w:szCs w:val="21"/>
                <w:lang w:eastAsia="zh-CN"/>
              </w:rPr>
              <w:t>，超缓凝混凝土缓凝时间应在施工前试验确定，且不应小于60h</w:t>
            </w:r>
          </w:p>
        </w:tc>
        <w:tc>
          <w:tcPr>
            <w:tcW w:w="1117" w:type="pct"/>
            <w:vAlign w:val="center"/>
          </w:tcPr>
          <w:p w14:paraId="2F60A5CF">
            <w:pPr>
              <w:spacing w:line="240" w:lineRule="auto"/>
              <w:jc w:val="center"/>
              <w:rPr>
                <w:rFonts w:hint="default" w:ascii="Times New Roman" w:hAnsi="Times New Roman" w:eastAsiaTheme="minorEastAsia"/>
                <w:color w:val="000000" w:themeColor="text1"/>
                <w:kern w:val="0"/>
                <w:sz w:val="21"/>
                <w:szCs w:val="21"/>
                <w:lang w:val="en-US" w:eastAsia="zh-CN"/>
              </w:rPr>
            </w:pPr>
            <w:r>
              <w:rPr>
                <w:rFonts w:hint="default" w:ascii="Times New Roman" w:hAnsi="Times New Roman" w:eastAsiaTheme="minorEastAsia"/>
                <w:color w:val="000000" w:themeColor="text1"/>
                <w:sz w:val="21"/>
                <w:szCs w:val="21"/>
              </w:rPr>
              <w:t>支撑桩混凝土宜采用缓凝混凝土，应具有良好的流动性，缓凝时间应根据施工操作流程综合确定，且初凝时间不宜小于36h</w:t>
            </w:r>
          </w:p>
        </w:tc>
        <w:tc>
          <w:tcPr>
            <w:tcW w:w="867" w:type="pct"/>
            <w:vAlign w:val="center"/>
          </w:tcPr>
          <w:p w14:paraId="41F9041A">
            <w:pPr>
              <w:spacing w:line="240" w:lineRule="auto"/>
              <w:jc w:val="center"/>
              <w:rPr>
                <w:rFonts w:hint="default" w:ascii="Times New Roman" w:hAnsi="Times New Roman" w:eastAsiaTheme="minorEastAsia"/>
                <w:color w:val="000000" w:themeColor="text1"/>
                <w:kern w:val="0"/>
                <w:sz w:val="21"/>
                <w:szCs w:val="21"/>
                <w:lang w:val="en-US" w:eastAsia="zh-CN"/>
              </w:rPr>
            </w:pPr>
            <w:r>
              <w:rPr>
                <w:rFonts w:hint="eastAsia" w:ascii="Times New Roman" w:hAnsi="Times New Roman" w:eastAsiaTheme="minorEastAsia"/>
                <w:color w:val="000000" w:themeColor="text1"/>
                <w:kern w:val="0"/>
                <w:sz w:val="21"/>
                <w:szCs w:val="21"/>
                <w:lang w:val="en-US" w:eastAsia="zh-CN"/>
              </w:rPr>
              <w:t>规定混凝土拌合物的凝结时间应满足施工要求和混凝土性能要求</w:t>
            </w:r>
          </w:p>
        </w:tc>
        <w:tc>
          <w:tcPr>
            <w:tcW w:w="918" w:type="pct"/>
            <w:shd w:val="clear" w:color="auto" w:fill="auto"/>
            <w:vAlign w:val="center"/>
          </w:tcPr>
          <w:p w14:paraId="58108F13">
            <w:pPr>
              <w:pStyle w:val="43"/>
              <w:ind w:firstLine="0" w:firstLineChars="0"/>
              <w:rPr>
                <w:rFonts w:hint="default" w:ascii="Times New Roman" w:hAnsi="Times New Roman" w:cs="Times New Roman"/>
                <w:szCs w:val="21"/>
                <w:lang w:val="en-US" w:eastAsia="zh-CN"/>
              </w:rPr>
            </w:pPr>
            <w:r>
              <w:rPr>
                <w:rFonts w:hint="eastAsia"/>
                <w:szCs w:val="21"/>
                <w:lang w:val="en-US" w:eastAsia="zh-CN"/>
              </w:rPr>
              <w:t>本标准规定超缓凝混</w:t>
            </w:r>
            <w:r>
              <w:rPr>
                <w:rFonts w:hint="default" w:ascii="Times New Roman" w:hAnsi="Times New Roman" w:cs="Times New Roman"/>
                <w:szCs w:val="21"/>
                <w:lang w:val="en-US" w:eastAsia="zh-CN"/>
              </w:rPr>
              <w:t>凝土按初凝时间分为NJ24、NJ36、NJ48、NJ60、NJ72</w:t>
            </w:r>
            <w:r>
              <w:rPr>
                <w:rFonts w:hint="eastAsia" w:ascii="Times New Roman" w:hAnsi="Times New Roman" w:cs="Times New Roman"/>
                <w:szCs w:val="21"/>
                <w:lang w:val="en-US" w:eastAsia="zh-CN"/>
              </w:rPr>
              <w:t>、</w:t>
            </w:r>
            <w:r>
              <w:rPr>
                <w:rFonts w:hint="default" w:ascii="Times New Roman" w:hAnsi="Times New Roman" w:cs="Times New Roman"/>
                <w:szCs w:val="21"/>
                <w:lang w:val="en-US" w:eastAsia="zh-CN"/>
              </w:rPr>
              <w:t>NJ</w:t>
            </w:r>
            <w:r>
              <w:rPr>
                <w:rFonts w:hint="eastAsia" w:ascii="Times New Roman" w:hAnsi="Times New Roman" w:cs="Times New Roman"/>
                <w:szCs w:val="21"/>
                <w:lang w:val="en-US" w:eastAsia="zh-CN"/>
              </w:rPr>
              <w:t>84、NJ96七</w:t>
            </w:r>
            <w:r>
              <w:rPr>
                <w:rFonts w:hint="default" w:ascii="Times New Roman" w:hAnsi="Times New Roman" w:cs="Times New Roman"/>
                <w:szCs w:val="21"/>
                <w:lang w:val="en-US" w:eastAsia="zh-CN"/>
              </w:rPr>
              <w:t>个等级</w:t>
            </w:r>
          </w:p>
          <w:p w14:paraId="3DB6FFE3">
            <w:pPr>
              <w:spacing w:line="240" w:lineRule="auto"/>
              <w:jc w:val="center"/>
              <w:rPr>
                <w:rFonts w:hint="default" w:ascii="Times New Roman" w:hAnsi="Times New Roman" w:eastAsiaTheme="minorEastAsia"/>
                <w:color w:val="000000" w:themeColor="text1"/>
                <w:kern w:val="0"/>
                <w:sz w:val="21"/>
                <w:szCs w:val="21"/>
                <w:lang w:val="en-US" w:eastAsia="zh-CN"/>
              </w:rPr>
            </w:pPr>
          </w:p>
        </w:tc>
      </w:tr>
      <w:tr w14:paraId="56D35B6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385" w:type="pct"/>
            <w:vAlign w:val="center"/>
          </w:tcPr>
          <w:p w14:paraId="448F283E">
            <w:pPr>
              <w:spacing w:line="240" w:lineRule="auto"/>
              <w:jc w:val="center"/>
              <w:rPr>
                <w:rFonts w:hint="default" w:ascii="Times New Roman" w:hAnsi="Times New Roman" w:eastAsia="宋体"/>
                <w:color w:val="000000" w:themeColor="text1"/>
                <w:kern w:val="0"/>
                <w:sz w:val="21"/>
                <w:szCs w:val="21"/>
                <w:lang w:val="en-US" w:eastAsia="zh-CN"/>
              </w:rPr>
            </w:pPr>
            <w:r>
              <w:rPr>
                <w:rFonts w:hint="eastAsia" w:ascii="Times New Roman" w:hAnsi="Times New Roman"/>
                <w:color w:val="000000" w:themeColor="text1"/>
                <w:kern w:val="0"/>
                <w:sz w:val="21"/>
                <w:szCs w:val="21"/>
                <w:lang w:val="en-US" w:eastAsia="zh-CN"/>
              </w:rPr>
              <w:t>抗压强度</w:t>
            </w:r>
          </w:p>
        </w:tc>
        <w:tc>
          <w:tcPr>
            <w:tcW w:w="1711" w:type="pct"/>
            <w:vAlign w:val="center"/>
          </w:tcPr>
          <w:p w14:paraId="7BA31C15">
            <w:pPr>
              <w:spacing w:line="240" w:lineRule="auto"/>
              <w:jc w:val="center"/>
              <w:rPr>
                <w:rFonts w:ascii="Times New Roman" w:hAnsi="Times New Roman"/>
                <w:color w:val="000000" w:themeColor="text1"/>
                <w:kern w:val="0"/>
                <w:sz w:val="21"/>
                <w:szCs w:val="21"/>
              </w:rPr>
            </w:pPr>
            <w:r>
              <w:rPr>
                <w:rFonts w:hint="eastAsia" w:ascii="Times New Roman" w:hAnsi="Times New Roman"/>
                <w:color w:val="000000" w:themeColor="text1"/>
                <w:kern w:val="0"/>
                <w:sz w:val="21"/>
                <w:szCs w:val="21"/>
                <w:lang w:val="en-US" w:eastAsia="zh-CN"/>
              </w:rPr>
              <w:t>规定</w:t>
            </w:r>
            <w:r>
              <w:rPr>
                <w:rFonts w:hint="eastAsia" w:ascii="Times New Roman" w:hAnsi="Times New Roman"/>
                <w:color w:val="000000" w:themeColor="text1"/>
                <w:kern w:val="0"/>
                <w:sz w:val="21"/>
                <w:szCs w:val="21"/>
              </w:rPr>
              <w:t>咬合式排桩布置形式可分为有筋桩和无筋桩搭配、有筋桩和有筋装搭配。有筋桩混凝土强度等级不应低于C25，无筋桩混凝土强度等级宜与有筋桩相同，且不宜低于C20</w:t>
            </w:r>
          </w:p>
        </w:tc>
        <w:tc>
          <w:tcPr>
            <w:tcW w:w="1117" w:type="pct"/>
            <w:vAlign w:val="center"/>
          </w:tcPr>
          <w:p w14:paraId="7E009B95">
            <w:pPr>
              <w:spacing w:line="240" w:lineRule="auto"/>
              <w:jc w:val="center"/>
              <w:rPr>
                <w:rFonts w:hint="default" w:ascii="Times New Roman" w:hAnsi="Times New Roman" w:eastAsiaTheme="minorEastAsia"/>
                <w:color w:val="000000" w:themeColor="text1"/>
                <w:kern w:val="0"/>
                <w:sz w:val="21"/>
                <w:szCs w:val="21"/>
                <w:lang w:val="en-US" w:eastAsia="zh-CN"/>
              </w:rPr>
            </w:pPr>
            <w:r>
              <w:rPr>
                <w:rFonts w:hint="eastAsia" w:ascii="Times New Roman" w:hAnsi="Times New Roman" w:eastAsiaTheme="minorEastAsia"/>
                <w:color w:val="000000" w:themeColor="text1"/>
                <w:kern w:val="0"/>
                <w:sz w:val="21"/>
                <w:szCs w:val="21"/>
                <w:lang w:val="en-US" w:eastAsia="zh-CN"/>
              </w:rPr>
              <w:t>/</w:t>
            </w:r>
          </w:p>
        </w:tc>
        <w:tc>
          <w:tcPr>
            <w:tcW w:w="867" w:type="pct"/>
            <w:vAlign w:val="center"/>
          </w:tcPr>
          <w:p w14:paraId="412EB84D">
            <w:pPr>
              <w:spacing w:line="240" w:lineRule="auto"/>
              <w:jc w:val="center"/>
              <w:rPr>
                <w:rFonts w:hint="default" w:ascii="Times New Roman" w:hAnsi="Times New Roman" w:eastAsiaTheme="minorEastAsia"/>
                <w:color w:val="000000" w:themeColor="text1"/>
                <w:kern w:val="0"/>
                <w:sz w:val="21"/>
                <w:szCs w:val="21"/>
                <w:lang w:val="en-US" w:eastAsia="zh-CN"/>
              </w:rPr>
            </w:pPr>
            <w:r>
              <w:rPr>
                <w:rFonts w:hint="default" w:ascii="Times New Roman" w:hAnsi="Times New Roman" w:eastAsiaTheme="minorEastAsia"/>
                <w:color w:val="000000" w:themeColor="text1"/>
                <w:sz w:val="21"/>
                <w:szCs w:val="21"/>
              </w:rPr>
              <w:t>按立方体抗压强度分为C</w:t>
            </w:r>
            <w:r>
              <w:rPr>
                <w:rFonts w:hint="eastAsia" w:ascii="Times New Roman" w:hAnsi="Times New Roman" w:eastAsiaTheme="minorEastAsia"/>
                <w:color w:val="000000" w:themeColor="text1"/>
                <w:sz w:val="21"/>
                <w:szCs w:val="21"/>
                <w:lang w:val="en-US" w:eastAsia="zh-CN"/>
              </w:rPr>
              <w:t>10～C100</w:t>
            </w:r>
          </w:p>
        </w:tc>
        <w:tc>
          <w:tcPr>
            <w:tcW w:w="918" w:type="pct"/>
            <w:shd w:val="clear" w:color="auto" w:fill="auto"/>
            <w:vAlign w:val="center"/>
          </w:tcPr>
          <w:p w14:paraId="13C36CC4">
            <w:pPr>
              <w:spacing w:line="240" w:lineRule="auto"/>
              <w:jc w:val="center"/>
              <w:rPr>
                <w:rFonts w:hint="default" w:ascii="Times New Roman" w:hAnsi="Times New Roman" w:eastAsiaTheme="minorEastAsia"/>
                <w:color w:val="000000" w:themeColor="text1"/>
                <w:kern w:val="0"/>
                <w:sz w:val="21"/>
                <w:szCs w:val="21"/>
                <w:lang w:val="en-US" w:eastAsia="zh-CN"/>
              </w:rPr>
            </w:pPr>
            <w:r>
              <w:rPr>
                <w:rFonts w:hint="eastAsia" w:ascii="Times New Roman" w:hAnsi="Times New Roman" w:eastAsiaTheme="minorEastAsia"/>
                <w:color w:val="000000" w:themeColor="text1"/>
                <w:sz w:val="21"/>
                <w:szCs w:val="21"/>
                <w:lang w:val="en-US" w:eastAsia="zh-CN"/>
              </w:rPr>
              <w:t>本标准规定</w:t>
            </w:r>
            <w:r>
              <w:rPr>
                <w:rFonts w:hint="default" w:ascii="Times New Roman" w:hAnsi="Times New Roman" w:eastAsiaTheme="minorEastAsia"/>
                <w:color w:val="000000" w:themeColor="text1"/>
                <w:sz w:val="21"/>
                <w:szCs w:val="21"/>
              </w:rPr>
              <w:t>超缓凝混凝土按立方体抗压强度分为C20、C25、C30、C35、C40、C45、C50、C55八个等级</w:t>
            </w:r>
          </w:p>
        </w:tc>
      </w:tr>
      <w:tr w14:paraId="43D445D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385" w:type="pct"/>
            <w:vAlign w:val="center"/>
          </w:tcPr>
          <w:p w14:paraId="18827661">
            <w:pPr>
              <w:spacing w:line="240" w:lineRule="auto"/>
              <w:jc w:val="center"/>
              <w:rPr>
                <w:rFonts w:hint="default" w:ascii="Times New Roman" w:hAnsi="Times New Roman"/>
                <w:color w:val="000000" w:themeColor="text1"/>
                <w:kern w:val="0"/>
                <w:sz w:val="21"/>
                <w:szCs w:val="21"/>
                <w:lang w:val="en-US" w:eastAsia="zh-CN"/>
              </w:rPr>
            </w:pPr>
            <w:r>
              <w:rPr>
                <w:rFonts w:hint="eastAsia" w:ascii="Times New Roman" w:hAnsi="Times New Roman"/>
                <w:color w:val="000000" w:themeColor="text1"/>
                <w:kern w:val="0"/>
                <w:sz w:val="21"/>
                <w:szCs w:val="21"/>
                <w:lang w:val="en-US" w:eastAsia="zh-CN"/>
              </w:rPr>
              <w:t>初终凝时间差</w:t>
            </w:r>
          </w:p>
        </w:tc>
        <w:tc>
          <w:tcPr>
            <w:tcW w:w="1711" w:type="pct"/>
            <w:vAlign w:val="center"/>
          </w:tcPr>
          <w:p w14:paraId="0E5AC2AC">
            <w:pPr>
              <w:spacing w:line="240" w:lineRule="auto"/>
              <w:jc w:val="center"/>
              <w:rPr>
                <w:rFonts w:hint="default" w:ascii="Times New Roman" w:hAnsi="Times New Roman"/>
                <w:color w:val="000000" w:themeColor="text1"/>
                <w:kern w:val="0"/>
                <w:sz w:val="21"/>
                <w:szCs w:val="21"/>
                <w:lang w:val="en-US" w:eastAsia="zh-CN"/>
              </w:rPr>
            </w:pPr>
            <w:r>
              <w:rPr>
                <w:rFonts w:hint="eastAsia" w:ascii="Times New Roman" w:hAnsi="Times New Roman"/>
                <w:color w:val="000000" w:themeColor="text1"/>
                <w:kern w:val="0"/>
                <w:sz w:val="21"/>
                <w:szCs w:val="21"/>
                <w:lang w:val="en-US" w:eastAsia="zh-CN"/>
              </w:rPr>
              <w:t>/</w:t>
            </w:r>
          </w:p>
        </w:tc>
        <w:tc>
          <w:tcPr>
            <w:tcW w:w="1117" w:type="pct"/>
            <w:vAlign w:val="center"/>
          </w:tcPr>
          <w:p w14:paraId="435DF7CB">
            <w:pPr>
              <w:spacing w:line="240" w:lineRule="auto"/>
              <w:jc w:val="center"/>
              <w:rPr>
                <w:rFonts w:hint="default" w:ascii="Times New Roman" w:hAnsi="Times New Roman" w:eastAsiaTheme="minorEastAsia"/>
                <w:color w:val="000000" w:themeColor="text1"/>
                <w:kern w:val="0"/>
                <w:sz w:val="21"/>
                <w:szCs w:val="21"/>
                <w:lang w:val="en-US" w:eastAsia="zh-CN"/>
              </w:rPr>
            </w:pPr>
            <w:r>
              <w:rPr>
                <w:rFonts w:hint="eastAsia" w:ascii="Times New Roman" w:hAnsi="Times New Roman" w:eastAsiaTheme="minorEastAsia"/>
                <w:color w:val="000000" w:themeColor="text1"/>
                <w:kern w:val="0"/>
                <w:sz w:val="21"/>
                <w:szCs w:val="21"/>
                <w:lang w:val="en-US" w:eastAsia="zh-CN"/>
              </w:rPr>
              <w:t>/</w:t>
            </w:r>
          </w:p>
        </w:tc>
        <w:tc>
          <w:tcPr>
            <w:tcW w:w="867" w:type="pct"/>
            <w:vAlign w:val="center"/>
          </w:tcPr>
          <w:p w14:paraId="5EC9D292">
            <w:pPr>
              <w:spacing w:line="240" w:lineRule="auto"/>
              <w:jc w:val="center"/>
              <w:rPr>
                <w:rFonts w:hint="eastAsia" w:ascii="Times New Roman" w:hAnsi="Times New Roman" w:eastAsiaTheme="minorEastAsia"/>
                <w:color w:val="000000" w:themeColor="text1"/>
                <w:sz w:val="21"/>
                <w:szCs w:val="21"/>
                <w:lang w:val="en-US" w:eastAsia="zh-CN"/>
              </w:rPr>
            </w:pPr>
            <w:r>
              <w:rPr>
                <w:rFonts w:hint="eastAsia" w:ascii="Times New Roman" w:hAnsi="Times New Roman" w:eastAsiaTheme="minorEastAsia"/>
                <w:color w:val="000000" w:themeColor="text1"/>
                <w:sz w:val="21"/>
                <w:szCs w:val="21"/>
                <w:lang w:val="en-US" w:eastAsia="zh-CN"/>
              </w:rPr>
              <w:t>/</w:t>
            </w:r>
          </w:p>
        </w:tc>
        <w:tc>
          <w:tcPr>
            <w:tcW w:w="918" w:type="pct"/>
            <w:shd w:val="clear" w:color="auto" w:fill="auto"/>
            <w:vAlign w:val="center"/>
          </w:tcPr>
          <w:p w14:paraId="5DACFA77">
            <w:pPr>
              <w:spacing w:line="240" w:lineRule="auto"/>
              <w:jc w:val="center"/>
              <w:rPr>
                <w:rFonts w:hint="eastAsia" w:ascii="Times New Roman" w:hAnsi="Times New Roman" w:eastAsiaTheme="minorEastAsia"/>
                <w:color w:val="000000" w:themeColor="text1"/>
                <w:sz w:val="21"/>
                <w:szCs w:val="21"/>
                <w:lang w:val="en-US" w:eastAsia="zh-CN"/>
              </w:rPr>
            </w:pPr>
            <w:r>
              <w:rPr>
                <w:rFonts w:hint="eastAsia" w:ascii="宋体" w:hAnsi="宋体" w:eastAsia="宋体" w:cs="Times New Roman"/>
                <w:color w:val="auto"/>
                <w:kern w:val="0"/>
                <w:sz w:val="21"/>
                <w:szCs w:val="21"/>
                <w:lang w:val="en-US" w:eastAsia="zh-CN"/>
              </w:rPr>
              <w:t>本标准规定</w:t>
            </w:r>
            <w:r>
              <w:rPr>
                <w:rFonts w:hint="default" w:ascii="Times New Roman" w:hAnsi="Times New Roman" w:eastAsiaTheme="minorEastAsia"/>
                <w:color w:val="000000" w:themeColor="text1"/>
                <w:sz w:val="21"/>
                <w:szCs w:val="21"/>
              </w:rPr>
              <w:t>超缓凝混凝土</w:t>
            </w:r>
            <w:r>
              <w:rPr>
                <w:rFonts w:hint="eastAsia" w:ascii="宋体" w:hAnsi="宋体" w:eastAsia="宋体" w:cs="Times New Roman"/>
                <w:color w:val="auto"/>
                <w:kern w:val="0"/>
                <w:sz w:val="21"/>
                <w:szCs w:val="21"/>
                <w:lang w:val="en-US" w:eastAsia="zh-CN"/>
              </w:rPr>
              <w:t>拌合物的</w:t>
            </w:r>
            <w:r>
              <w:rPr>
                <w:rFonts w:hint="default" w:ascii="Times New Roman" w:hAnsi="Times New Roman" w:eastAsia="宋体" w:cs="Times New Roman"/>
                <w:color w:val="000000"/>
                <w:kern w:val="0"/>
                <w:sz w:val="21"/>
                <w:szCs w:val="21"/>
                <w:lang w:val="en-US" w:eastAsia="zh-CN" w:bidi="ar"/>
              </w:rPr>
              <w:t>初终凝时间差</w:t>
            </w:r>
            <w:r>
              <w:rPr>
                <w:rFonts w:hint="eastAsia" w:ascii="Times New Roman" w:hAnsi="Times New Roman" w:eastAsia="宋体" w:cs="Times New Roman"/>
                <w:color w:val="000000"/>
                <w:kern w:val="0"/>
                <w:sz w:val="21"/>
                <w:szCs w:val="21"/>
                <w:lang w:val="en-US" w:eastAsia="zh-CN" w:bidi="ar"/>
              </w:rPr>
              <w:t>应</w:t>
            </w:r>
            <w:r>
              <w:rPr>
                <w:rFonts w:hint="default" w:ascii="Times New Roman" w:hAnsi="Times New Roman" w:eastAsia="宋体" w:cs="Times New Roman"/>
                <w:color w:val="000000"/>
                <w:kern w:val="0"/>
                <w:sz w:val="21"/>
                <w:szCs w:val="21"/>
                <w:lang w:val="en-US" w:eastAsia="zh-CN" w:bidi="ar"/>
              </w:rPr>
              <w:t>小于</w:t>
            </w:r>
            <w:r>
              <w:rPr>
                <w:rFonts w:hint="eastAsia" w:ascii="Times New Roman" w:hAnsi="Times New Roman" w:eastAsia="宋体" w:cs="Times New Roman"/>
                <w:color w:val="000000"/>
                <w:kern w:val="0"/>
                <w:sz w:val="21"/>
                <w:szCs w:val="21"/>
                <w:lang w:val="en-US" w:eastAsia="zh-CN" w:bidi="ar"/>
              </w:rPr>
              <w:t>2</w:t>
            </w:r>
            <w:r>
              <w:rPr>
                <w:rFonts w:hint="default" w:ascii="Times New Roman" w:hAnsi="Times New Roman" w:eastAsia="宋体" w:cs="Times New Roman"/>
                <w:color w:val="000000"/>
                <w:kern w:val="0"/>
                <w:sz w:val="21"/>
                <w:szCs w:val="21"/>
                <w:lang w:val="en-US" w:eastAsia="zh-CN" w:bidi="ar"/>
              </w:rPr>
              <w:t>0h</w:t>
            </w:r>
          </w:p>
        </w:tc>
      </w:tr>
      <w:tr w14:paraId="4DE3173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252" w:hRule="atLeast"/>
          <w:jc w:val="center"/>
        </w:trPr>
        <w:tc>
          <w:tcPr>
            <w:tcW w:w="385" w:type="pct"/>
            <w:vAlign w:val="center"/>
          </w:tcPr>
          <w:p w14:paraId="744F2D79">
            <w:pPr>
              <w:spacing w:line="240" w:lineRule="auto"/>
              <w:jc w:val="center"/>
              <w:rPr>
                <w:rFonts w:hint="default" w:ascii="Times New Roman" w:hAnsi="Times New Roman"/>
                <w:color w:val="000000" w:themeColor="text1"/>
                <w:kern w:val="0"/>
                <w:sz w:val="21"/>
                <w:szCs w:val="21"/>
                <w:lang w:val="en-US" w:eastAsia="zh-CN"/>
              </w:rPr>
            </w:pPr>
            <w:r>
              <w:rPr>
                <w:rFonts w:hint="eastAsia" w:ascii="Times New Roman" w:hAnsi="Times New Roman"/>
                <w:color w:val="000000" w:themeColor="text1"/>
                <w:kern w:val="0"/>
                <w:sz w:val="21"/>
                <w:szCs w:val="21"/>
                <w:lang w:val="en-US" w:eastAsia="zh-CN"/>
              </w:rPr>
              <w:t>混凝土配合比</w:t>
            </w:r>
          </w:p>
        </w:tc>
        <w:tc>
          <w:tcPr>
            <w:tcW w:w="1711" w:type="pct"/>
            <w:vAlign w:val="center"/>
          </w:tcPr>
          <w:p w14:paraId="2075826C">
            <w:pPr>
              <w:spacing w:line="240" w:lineRule="auto"/>
              <w:jc w:val="center"/>
              <w:rPr>
                <w:rFonts w:hint="default" w:ascii="Times New Roman" w:hAnsi="Times New Roman"/>
                <w:color w:val="000000" w:themeColor="text1"/>
                <w:kern w:val="0"/>
                <w:sz w:val="21"/>
                <w:szCs w:val="21"/>
                <w:lang w:val="en-US" w:eastAsia="zh-CN"/>
              </w:rPr>
            </w:pPr>
            <w:r>
              <w:rPr>
                <w:rFonts w:hint="eastAsia" w:ascii="Times New Roman" w:hAnsi="Times New Roman"/>
                <w:color w:val="000000" w:themeColor="text1"/>
                <w:kern w:val="0"/>
                <w:sz w:val="21"/>
                <w:szCs w:val="21"/>
                <w:lang w:val="en-US" w:eastAsia="zh-CN"/>
              </w:rPr>
              <w:t>/</w:t>
            </w:r>
          </w:p>
        </w:tc>
        <w:tc>
          <w:tcPr>
            <w:tcW w:w="1117" w:type="pct"/>
            <w:vAlign w:val="center"/>
          </w:tcPr>
          <w:p w14:paraId="2CC4E858">
            <w:pPr>
              <w:spacing w:line="240" w:lineRule="auto"/>
              <w:jc w:val="center"/>
              <w:rPr>
                <w:rFonts w:hint="default" w:ascii="Times New Roman" w:hAnsi="Times New Roman" w:eastAsiaTheme="minorEastAsia"/>
                <w:color w:val="000000" w:themeColor="text1"/>
                <w:kern w:val="0"/>
                <w:sz w:val="21"/>
                <w:szCs w:val="21"/>
                <w:lang w:val="en-US" w:eastAsia="zh-CN"/>
              </w:rPr>
            </w:pPr>
            <w:r>
              <w:rPr>
                <w:rFonts w:hint="eastAsia" w:ascii="Times New Roman" w:hAnsi="Times New Roman" w:eastAsiaTheme="minorEastAsia"/>
                <w:color w:val="000000" w:themeColor="text1"/>
                <w:kern w:val="0"/>
                <w:sz w:val="21"/>
                <w:szCs w:val="21"/>
                <w:lang w:val="en-US" w:eastAsia="zh-CN"/>
              </w:rPr>
              <w:t>/</w:t>
            </w:r>
          </w:p>
        </w:tc>
        <w:tc>
          <w:tcPr>
            <w:tcW w:w="867" w:type="pct"/>
            <w:vAlign w:val="center"/>
          </w:tcPr>
          <w:p w14:paraId="349BA885">
            <w:pPr>
              <w:spacing w:line="240" w:lineRule="auto"/>
              <w:jc w:val="center"/>
              <w:rPr>
                <w:rFonts w:hint="default" w:ascii="Times New Roman" w:hAnsi="Times New Roman" w:eastAsiaTheme="minorEastAsia"/>
                <w:color w:val="000000" w:themeColor="text1"/>
                <w:sz w:val="21"/>
                <w:szCs w:val="21"/>
                <w:lang w:val="en-US" w:eastAsia="zh-CN"/>
              </w:rPr>
            </w:pPr>
            <w:r>
              <w:rPr>
                <w:rFonts w:hint="eastAsia" w:ascii="Times New Roman" w:hAnsi="Times New Roman" w:eastAsiaTheme="minorEastAsia"/>
                <w:color w:val="000000" w:themeColor="text1"/>
                <w:sz w:val="21"/>
                <w:szCs w:val="21"/>
                <w:lang w:val="en-US" w:eastAsia="zh-CN"/>
              </w:rPr>
              <w:t>除了符合相关标准的规定，根据高性能混凝土的特性进行了规定</w:t>
            </w:r>
          </w:p>
        </w:tc>
        <w:tc>
          <w:tcPr>
            <w:tcW w:w="918" w:type="pct"/>
            <w:shd w:val="clear" w:color="auto" w:fill="auto"/>
            <w:vAlign w:val="center"/>
          </w:tcPr>
          <w:p w14:paraId="394D9393">
            <w:pPr>
              <w:spacing w:line="240" w:lineRule="auto"/>
              <w:jc w:val="center"/>
              <w:rPr>
                <w:rFonts w:hint="default" w:ascii="宋体" w:hAnsi="宋体" w:eastAsia="宋体" w:cs="Times New Roman"/>
                <w:color w:val="auto"/>
                <w:kern w:val="0"/>
                <w:sz w:val="21"/>
                <w:szCs w:val="21"/>
                <w:lang w:val="en-US" w:eastAsia="zh-CN"/>
              </w:rPr>
            </w:pPr>
            <w:r>
              <w:rPr>
                <w:rFonts w:hint="eastAsia" w:cs="Times New Roman"/>
                <w:color w:val="auto"/>
                <w:kern w:val="0"/>
                <w:sz w:val="21"/>
                <w:szCs w:val="21"/>
                <w:lang w:val="en-US" w:eastAsia="zh-CN"/>
              </w:rPr>
              <w:t>除应符合</w:t>
            </w:r>
            <w:r>
              <w:rPr>
                <w:rFonts w:hint="eastAsia" w:ascii="Times New Roman" w:hAnsi="宋体" w:eastAsia="宋体" w:cs="Times New Roman"/>
                <w:color w:val="000000"/>
                <w:kern w:val="2"/>
                <w:sz w:val="21"/>
                <w:szCs w:val="21"/>
                <w:lang w:val="en-US" w:eastAsia="zh-CN" w:bidi="ar-SA"/>
              </w:rPr>
              <w:t>JGJ 55的规定，本标准也根据超缓凝混凝土的进行了规定</w:t>
            </w:r>
          </w:p>
        </w:tc>
      </w:tr>
    </w:tbl>
    <w:p w14:paraId="5280AB43">
      <w:pPr>
        <w:spacing w:line="360" w:lineRule="auto"/>
        <w:ind w:firstLine="0"/>
        <w:jc w:val="center"/>
        <w:rPr>
          <w:rFonts w:hint="default" w:eastAsiaTheme="minorEastAsia"/>
          <w:color w:val="000000" w:themeColor="text1"/>
          <w:szCs w:val="28"/>
          <w:lang w:val="en-US" w:eastAsia="zh-CN"/>
        </w:rPr>
      </w:pPr>
    </w:p>
    <w:p w14:paraId="2804DED5">
      <w:pPr>
        <w:widowControl/>
        <w:spacing w:line="360" w:lineRule="auto"/>
        <w:ind w:firstLine="0" w:firstLineChars="0"/>
        <w:jc w:val="left"/>
        <w:rPr>
          <w:rFonts w:ascii="Times New Roman" w:hAnsi="Times New Roman"/>
          <w:sz w:val="24"/>
        </w:rPr>
        <w:sectPr>
          <w:pgSz w:w="16838" w:h="11906" w:orient="landscape"/>
          <w:pgMar w:top="1803" w:right="1440" w:bottom="1803" w:left="1440" w:header="851" w:footer="992" w:gutter="0"/>
          <w:pgNumType w:fmt="decimal"/>
          <w:cols w:space="0" w:num="1"/>
          <w:rtlGutter w:val="0"/>
          <w:docGrid w:type="lines" w:linePitch="332" w:charSpace="0"/>
        </w:sectPr>
      </w:pPr>
    </w:p>
    <w:p w14:paraId="0AE6D43E">
      <w:pPr>
        <w:widowControl/>
        <w:numPr>
          <w:ilvl w:val="-1"/>
          <w:numId w:val="0"/>
        </w:numPr>
        <w:spacing w:line="360" w:lineRule="auto"/>
        <w:ind w:firstLine="0" w:firstLineChars="0"/>
        <w:jc w:val="left"/>
        <w:rPr>
          <w:rFonts w:hint="eastAsia" w:ascii="Times New Roman" w:hAnsi="Times New Roman" w:eastAsia="宋体" w:cs="Times New Roman"/>
          <w:sz w:val="24"/>
          <w:lang w:val="en-US" w:eastAsia="zh-CN"/>
        </w:rPr>
      </w:pPr>
      <w:r>
        <w:rPr>
          <w:rFonts w:hint="eastAsia" w:ascii="Times New Roman" w:hAnsi="Times New Roman" w:cs="Times New Roman"/>
        </w:rPr>
        <w:t>综合表A.1对比分析，本标准具有如下特点</w:t>
      </w:r>
      <w:r>
        <w:rPr>
          <w:rFonts w:hint="eastAsia" w:ascii="Times New Roman" w:hAnsi="Times New Roman" w:cs="Times New Roman"/>
          <w:lang w:eastAsia="zh-CN"/>
        </w:rPr>
        <w:t>：</w:t>
      </w:r>
    </w:p>
    <w:p w14:paraId="4A481D49">
      <w:pPr>
        <w:widowControl/>
        <w:numPr>
          <w:ilvl w:val="0"/>
          <w:numId w:val="12"/>
        </w:numPr>
        <w:spacing w:line="360" w:lineRule="auto"/>
        <w:ind w:firstLine="480" w:firstLineChars="200"/>
        <w:jc w:val="left"/>
        <w:rPr>
          <w:rFonts w:hint="eastAsia" w:ascii="Times New Roman" w:hAnsi="Times New Roman" w:cs="Times New Roman"/>
          <w:sz w:val="24"/>
          <w:lang w:val="en-US" w:eastAsia="zh-CN"/>
        </w:rPr>
      </w:pPr>
      <w:r>
        <w:rPr>
          <w:rFonts w:hint="eastAsia" w:ascii="Times New Roman" w:hAnsi="Times New Roman" w:eastAsia="宋体" w:cs="Times New Roman"/>
          <w:sz w:val="24"/>
        </w:rPr>
        <w:t>JGJ</w:t>
      </w:r>
      <w:r>
        <w:rPr>
          <w:rFonts w:hint="eastAsia" w:ascii="Times New Roman" w:hAnsi="Times New Roman" w:eastAsia="宋体" w:cs="Times New Roman"/>
          <w:sz w:val="24"/>
          <w:lang w:val="en-US" w:eastAsia="zh-CN"/>
        </w:rPr>
        <w:t>/</w:t>
      </w:r>
      <w:r>
        <w:rPr>
          <w:rFonts w:hint="eastAsia" w:ascii="Times New Roman" w:hAnsi="Times New Roman" w:eastAsia="宋体" w:cs="Times New Roman"/>
          <w:sz w:val="24"/>
        </w:rPr>
        <w:t>T 396《咬合式排桩技术标准》</w:t>
      </w:r>
      <w:r>
        <w:rPr>
          <w:rFonts w:hint="eastAsia" w:ascii="Times New Roman" w:hAnsi="Times New Roman" w:cs="Times New Roman"/>
          <w:sz w:val="24"/>
          <w:lang w:val="en-US" w:eastAsia="zh-CN"/>
        </w:rPr>
        <w:t>和</w:t>
      </w:r>
      <w:r>
        <w:rPr>
          <w:rFonts w:hint="eastAsia" w:ascii="Times New Roman" w:hAnsi="Times New Roman" w:eastAsia="宋体" w:cs="Times New Roman"/>
          <w:sz w:val="24"/>
          <w:lang w:val="en-US" w:eastAsia="zh-CN"/>
        </w:rPr>
        <w:t>JGJ 432《建筑工程逆作法技术标准》</w:t>
      </w:r>
      <w:r>
        <w:rPr>
          <w:rFonts w:hint="eastAsia" w:ascii="Times New Roman" w:hAnsi="Times New Roman" w:cs="Times New Roman"/>
          <w:sz w:val="24"/>
          <w:lang w:val="en-US" w:eastAsia="zh-CN"/>
        </w:rPr>
        <w:t>中提到了超缓凝混凝土，并规定了混凝土初凝时间，本标准规定了超缓凝混凝土的等级划分；</w:t>
      </w:r>
    </w:p>
    <w:p w14:paraId="7973AD26">
      <w:pPr>
        <w:widowControl/>
        <w:numPr>
          <w:ilvl w:val="0"/>
          <w:numId w:val="12"/>
        </w:numPr>
        <w:spacing w:line="360" w:lineRule="auto"/>
        <w:ind w:firstLine="480" w:firstLineChars="200"/>
        <w:jc w:val="left"/>
        <w:rPr>
          <w:rFonts w:hint="default" w:ascii="Times New Roman" w:hAnsi="Times New Roman" w:cs="Times New Roman"/>
          <w:sz w:val="24"/>
          <w:lang w:val="en-US" w:eastAsia="zh-CN"/>
        </w:rPr>
      </w:pPr>
      <w:r>
        <w:rPr>
          <w:rFonts w:hint="eastAsia" w:ascii="Times New Roman" w:hAnsi="Times New Roman" w:cs="Times New Roman"/>
          <w:sz w:val="24"/>
          <w:lang w:val="en-US" w:eastAsia="zh-CN"/>
        </w:rPr>
        <w:t>本标准规定了抗压强度等级划分；</w:t>
      </w:r>
    </w:p>
    <w:p w14:paraId="440F02C0">
      <w:pPr>
        <w:widowControl/>
        <w:numPr>
          <w:ilvl w:val="0"/>
          <w:numId w:val="12"/>
        </w:numPr>
        <w:spacing w:line="360" w:lineRule="auto"/>
        <w:ind w:firstLine="480" w:firstLineChars="200"/>
        <w:jc w:val="left"/>
        <w:rPr>
          <w:rFonts w:hint="default" w:ascii="Times New Roman" w:hAnsi="Times New Roman" w:cs="Times New Roman"/>
          <w:sz w:val="24"/>
          <w:lang w:val="en-US" w:eastAsia="zh-CN"/>
        </w:rPr>
      </w:pPr>
      <w:r>
        <w:rPr>
          <w:rFonts w:hint="eastAsia" w:ascii="Times New Roman" w:hAnsi="Times New Roman" w:cs="Times New Roman"/>
          <w:sz w:val="24"/>
          <w:lang w:val="en-US" w:eastAsia="zh-CN"/>
        </w:rPr>
        <w:t>本标准规定了初终凝时间差；</w:t>
      </w:r>
    </w:p>
    <w:p w14:paraId="598E80CD">
      <w:pPr>
        <w:widowControl/>
        <w:numPr>
          <w:ilvl w:val="0"/>
          <w:numId w:val="12"/>
        </w:numPr>
        <w:spacing w:line="360" w:lineRule="auto"/>
        <w:ind w:firstLine="480" w:firstLineChars="200"/>
        <w:jc w:val="left"/>
        <w:rPr>
          <w:rFonts w:hint="default" w:ascii="Times New Roman" w:hAnsi="Times New Roman" w:cs="Times New Roman"/>
          <w:sz w:val="24"/>
          <w:lang w:val="en-US" w:eastAsia="zh-CN"/>
        </w:rPr>
      </w:pPr>
      <w:r>
        <w:rPr>
          <w:rFonts w:hint="eastAsia" w:ascii="Times New Roman" w:hAnsi="Times New Roman" w:cs="Times New Roman"/>
          <w:sz w:val="24"/>
          <w:lang w:val="en-US" w:eastAsia="zh-CN"/>
        </w:rPr>
        <w:t>本标准根据超缓凝混凝土的特性，对配合比也进行了规定。</w:t>
      </w:r>
    </w:p>
    <w:p w14:paraId="09645578">
      <w:pPr>
        <w:spacing w:line="360" w:lineRule="auto"/>
        <w:ind w:firstLine="0"/>
        <w:jc w:val="both"/>
        <w:rPr>
          <w:rFonts w:hint="default" w:eastAsiaTheme="minorEastAsia"/>
          <w:color w:val="000000" w:themeColor="text1"/>
          <w:szCs w:val="28"/>
          <w:lang w:val="en-US" w:eastAsia="zh-CN"/>
        </w:rPr>
      </w:pPr>
    </w:p>
    <w:sectPr>
      <w:pgSz w:w="11906" w:h="16838"/>
      <w:pgMar w:top="1440" w:right="1803" w:bottom="1440" w:left="1803" w:header="851" w:footer="992" w:gutter="0"/>
      <w:pgNumType w:fmt="decimal"/>
      <w:cols w:space="0" w:num="1"/>
      <w:rtlGutter w:val="0"/>
      <w:docGrid w:type="lines" w:linePitch="33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panose1 w:val="02010600030101010101"/>
    <w:charset w:val="5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Cambria">
    <w:panose1 w:val="02040503050406030204"/>
    <w:charset w:val="00"/>
    <w:family w:val="roman"/>
    <w:pitch w:val="default"/>
    <w:sig w:usb0="E00006FF" w:usb1="420024FF" w:usb2="02000000" w:usb3="00000000" w:csb0="2000019F" w:csb1="00000000"/>
  </w:font>
  <w:font w:name="仿宋_GB2312">
    <w:altName w:val="仿宋"/>
    <w:panose1 w:val="02010609030101010101"/>
    <w:charset w:val="86"/>
    <w:family w:val="modern"/>
    <w:pitch w:val="default"/>
    <w:sig w:usb0="00000000" w:usb1="00000000" w:usb2="00000000" w:usb3="00000000" w:csb0="00040000" w:csb1="00000000"/>
  </w:font>
  <w:font w:name="仿宋">
    <w:panose1 w:val="02010609060101010101"/>
    <w:charset w:val="86"/>
    <w:family w:val="modern"/>
    <w:pitch w:val="default"/>
    <w:sig w:usb0="800002BF" w:usb1="38CF7CFA" w:usb2="00000016" w:usb3="00000000" w:csb0="00040001" w:csb1="00000000"/>
  </w:font>
  <w:font w:name="Verdana">
    <w:panose1 w:val="020B0604030504040204"/>
    <w:charset w:val="00"/>
    <w:family w:val="swiss"/>
    <w:pitch w:val="default"/>
    <w:sig w:usb0="A00006FF" w:usb1="4000205B" w:usb2="00000010" w:usb3="00000000" w:csb0="2000019F" w:csb1="00000000"/>
  </w:font>
  <w:font w:name="等线">
    <w:panose1 w:val="02010600030101010101"/>
    <w:charset w:val="86"/>
    <w:family w:val="auto"/>
    <w:pitch w:val="default"/>
    <w:sig w:usb0="A00002BF" w:usb1="38CF7CFA" w:usb2="00000016" w:usb3="00000000" w:csb0="0004000F" w:csb1="00000000"/>
  </w:font>
  <w:font w:name="方正小标宋简体">
    <w:panose1 w:val="02010601030101010101"/>
    <w:charset w:val="86"/>
    <w:family w:val="auto"/>
    <w:pitch w:val="default"/>
    <w:sig w:usb0="00000001" w:usb1="080E0000" w:usb2="00000000" w:usb3="00000000" w:csb0="00040000" w:csb1="00000000"/>
  </w:font>
  <w:font w:name="楷体">
    <w:panose1 w:val="02010609060101010101"/>
    <w:charset w:val="86"/>
    <w:family w:val="modern"/>
    <w:pitch w:val="default"/>
    <w:sig w:usb0="800002BF" w:usb1="38CF7CFA" w:usb2="00000016" w:usb3="00000000" w:csb0="00040001" w:csb1="00000000"/>
  </w:font>
  <w:font w:name="微软雅黑">
    <w:panose1 w:val="020B0503020204020204"/>
    <w:charset w:val="86"/>
    <w:family w:val="auto"/>
    <w:pitch w:val="default"/>
    <w:sig w:usb0="80000287" w:usb1="2ACF3C50"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CC02AC2">
    <w:pPr>
      <w:pStyle w:val="13"/>
      <w:jc w:val="right"/>
    </w:pPr>
    <w:r>
      <w:fldChar w:fldCharType="begin"/>
    </w:r>
    <w:r>
      <w:instrText xml:space="preserve"> PAGE   \* MERGEFORMAT </w:instrText>
    </w:r>
    <w:r>
      <w:fldChar w:fldCharType="separate"/>
    </w:r>
    <w:r>
      <w:rPr>
        <w:lang w:val="zh-CN"/>
      </w:rPr>
      <w:t>29</w:t>
    </w:r>
    <w:r>
      <w:rPr>
        <w:lang w:val="zh-CN"/>
      </w:rPr>
      <w:fldChar w:fldCharType="end"/>
    </w:r>
  </w:p>
  <w:p w14:paraId="6335100B">
    <w:pPr>
      <w:pStyle w:val="13"/>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EA13DAF">
    <w:pPr>
      <w:pStyle w:val="13"/>
      <w:jc w:val="right"/>
    </w:pPr>
    <w:r>
      <w:rPr>
        <w:sz w:val="18"/>
      </w:rPr>
      <w:pict>
        <v:shape id="_x0000_s3073" o:spid="_x0000_s3073" o:spt="202" type="#_x0000_t202" style="position:absolute;left:0pt;margin-top:0pt;height:144pt;width:144pt;mso-position-horizontal:center;mso-position-horizontal-relative:margin;mso-wrap-style:none;z-index:251659264;mso-width-relative:page;mso-height-relative:page;" filled="f" stroked="f" coordsize="21600,21600">
          <v:path/>
          <v:fill on="f" focussize="0,0"/>
          <v:stroke on="f"/>
          <v:imagedata o:title=""/>
          <o:lock v:ext="edit" aspectratio="f"/>
          <v:textbox inset="0mm,0mm,0mm,0mm" style="mso-fit-shape-to-text:t;">
            <w:txbxContent>
              <w:p w14:paraId="0D016F34">
                <w:pPr>
                  <w:pStyle w:val="13"/>
                  <w:jc w:val="right"/>
                </w:pPr>
                <w:r>
                  <w:fldChar w:fldCharType="begin"/>
                </w:r>
                <w:r>
                  <w:instrText xml:space="preserve"> PAGE   \* MERGEFORMAT </w:instrText>
                </w:r>
                <w:r>
                  <w:fldChar w:fldCharType="separate"/>
                </w:r>
                <w:r>
                  <w:rPr>
                    <w:lang w:val="zh-CN"/>
                  </w:rPr>
                  <w:t>29</w:t>
                </w:r>
                <w:r>
                  <w:rPr>
                    <w:lang w:val="zh-CN"/>
                  </w:rPr>
                  <w:fldChar w:fldCharType="end"/>
                </w:r>
              </w:p>
            </w:txbxContent>
          </v:textbox>
        </v:shape>
      </w:pict>
    </w:r>
  </w:p>
  <w:p w14:paraId="48DECF9D">
    <w:pPr>
      <w:pStyle w:val="13"/>
    </w:pP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C27D29CD"/>
    <w:multiLevelType w:val="singleLevel"/>
    <w:tmpl w:val="C27D29CD"/>
    <w:lvl w:ilvl="0" w:tentative="0">
      <w:start w:val="1"/>
      <w:numFmt w:val="decimal"/>
      <w:suff w:val="nothing"/>
      <w:lvlText w:val="%1、"/>
      <w:lvlJc w:val="left"/>
    </w:lvl>
  </w:abstractNum>
  <w:abstractNum w:abstractNumId="1">
    <w:nsid w:val="C4771D01"/>
    <w:multiLevelType w:val="singleLevel"/>
    <w:tmpl w:val="C4771D01"/>
    <w:lvl w:ilvl="0" w:tentative="0">
      <w:start w:val="2"/>
      <w:numFmt w:val="decimal"/>
      <w:suff w:val="nothing"/>
      <w:lvlText w:val="%1、"/>
      <w:lvlJc w:val="left"/>
    </w:lvl>
  </w:abstractNum>
  <w:abstractNum w:abstractNumId="2">
    <w:nsid w:val="C8A41A18"/>
    <w:multiLevelType w:val="singleLevel"/>
    <w:tmpl w:val="C8A41A18"/>
    <w:lvl w:ilvl="0" w:tentative="0">
      <w:start w:val="1"/>
      <w:numFmt w:val="decimal"/>
      <w:suff w:val="nothing"/>
      <w:lvlText w:val="%1、"/>
      <w:lvlJc w:val="left"/>
    </w:lvl>
  </w:abstractNum>
  <w:abstractNum w:abstractNumId="3">
    <w:nsid w:val="E46DA6C9"/>
    <w:multiLevelType w:val="multilevel"/>
    <w:tmpl w:val="E46DA6C9"/>
    <w:lvl w:ilvl="0" w:tentative="0">
      <w:start w:val="1"/>
      <w:numFmt w:val="decimal"/>
      <w:suff w:val="nothing"/>
      <w:lvlText w:val="%1　"/>
      <w:lvlJc w:val="left"/>
      <w:pPr>
        <w:ind w:left="0" w:firstLine="0"/>
      </w:pPr>
      <w:rPr>
        <w:rFonts w:hint="default" w:ascii="黑体" w:hAnsi="Times New Roman" w:eastAsia="黑体"/>
        <w:b w:val="0"/>
        <w:i w:val="0"/>
        <w:sz w:val="28"/>
        <w:szCs w:val="28"/>
      </w:rPr>
    </w:lvl>
    <w:lvl w:ilvl="1" w:tentative="0">
      <w:start w:val="1"/>
      <w:numFmt w:val="decimal"/>
      <w:suff w:val="nothing"/>
      <w:lvlText w:val="%1.%2　"/>
      <w:lvlJc w:val="left"/>
      <w:pPr>
        <w:ind w:left="0" w:leftChars="0" w:firstLine="0" w:firstLineChars="0"/>
      </w:pPr>
      <w:rPr>
        <w:rFonts w:hint="default" w:ascii="黑体" w:hAnsi="Times New Roman" w:eastAsia="黑体" w:cs="Times New Roman"/>
        <w:b w:val="0"/>
        <w:bCs w:val="0"/>
        <w:i w:val="0"/>
        <w:iCs w:val="0"/>
        <w:caps w:val="0"/>
        <w:strike w:val="0"/>
        <w:dstrike w:val="0"/>
        <w:outline w:val="0"/>
        <w:shadow w:val="0"/>
        <w:emboss w:val="0"/>
        <w:imprint w:val="0"/>
        <w:vanish w:val="0"/>
        <w:spacing w:val="0"/>
        <w:kern w:val="0"/>
        <w:position w:val="0"/>
        <w:sz w:val="24"/>
        <w:szCs w:val="24"/>
        <w:u w:val="none"/>
        <w:vertAlign w:val="baseline"/>
      </w:rPr>
    </w:lvl>
    <w:lvl w:ilvl="2" w:tentative="0">
      <w:start w:val="1"/>
      <w:numFmt w:val="decimal"/>
      <w:suff w:val="nothing"/>
      <w:lvlText w:val="%1.%2.%3　"/>
      <w:lvlJc w:val="left"/>
      <w:pPr>
        <w:ind w:left="0" w:firstLine="0"/>
      </w:pPr>
      <w:rPr>
        <w:rFonts w:hint="default" w:ascii="黑体" w:hAnsi="Times New Roman" w:eastAsia="黑体"/>
        <w:b w:val="0"/>
        <w:i w:val="0"/>
        <w:sz w:val="24"/>
        <w:szCs w:val="24"/>
      </w:rPr>
    </w:lvl>
    <w:lvl w:ilvl="3" w:tentative="0">
      <w:start w:val="1"/>
      <w:numFmt w:val="decimal"/>
      <w:suff w:val="nothing"/>
      <w:lvlText w:val="%1.%2.%3.%4　"/>
      <w:lvlJc w:val="left"/>
      <w:pPr>
        <w:ind w:left="0" w:firstLine="0"/>
      </w:pPr>
      <w:rPr>
        <w:rFonts w:hint="eastAsia" w:ascii="黑体" w:hAnsi="Times New Roman" w:eastAsia="黑体"/>
        <w:b w:val="0"/>
        <w:i w:val="0"/>
        <w:sz w:val="21"/>
      </w:rPr>
    </w:lvl>
    <w:lvl w:ilvl="4" w:tentative="0">
      <w:start w:val="1"/>
      <w:numFmt w:val="decimal"/>
      <w:suff w:val="nothing"/>
      <w:lvlText w:val="%1.%2.%3.%4.%5　"/>
      <w:lvlJc w:val="left"/>
      <w:pPr>
        <w:ind w:left="0" w:firstLine="0"/>
      </w:pPr>
      <w:rPr>
        <w:rFonts w:hint="eastAsia" w:ascii="黑体" w:hAnsi="Times New Roman" w:eastAsia="黑体"/>
        <w:b w:val="0"/>
        <w:i w:val="0"/>
        <w:sz w:val="21"/>
      </w:rPr>
    </w:lvl>
    <w:lvl w:ilvl="5" w:tentative="0">
      <w:start w:val="1"/>
      <w:numFmt w:val="decimal"/>
      <w:suff w:val="nothing"/>
      <w:lvlText w:val="%1.%2.%3.%4.%5.%6　"/>
      <w:lvlJc w:val="left"/>
      <w:pPr>
        <w:ind w:left="0" w:firstLine="0"/>
      </w:pPr>
      <w:rPr>
        <w:rFonts w:hint="eastAsia" w:ascii="黑体" w:hAnsi="Times New Roman" w:eastAsia="黑体"/>
        <w:b w:val="0"/>
        <w:i w:val="0"/>
        <w:sz w:val="21"/>
      </w:rPr>
    </w:lvl>
    <w:lvl w:ilvl="6" w:tentative="0">
      <w:start w:val="1"/>
      <w:numFmt w:val="decimal"/>
      <w:suff w:val="nothing"/>
      <w:lvlText w:val="%1%2.%3.%4.%5.%6.%7　"/>
      <w:lvlJc w:val="left"/>
      <w:pPr>
        <w:ind w:left="0" w:firstLine="0"/>
      </w:pPr>
      <w:rPr>
        <w:rFonts w:hint="eastAsia" w:ascii="黑体" w:hAnsi="Times New Roman" w:eastAsia="黑体"/>
        <w:b w:val="0"/>
        <w:i w:val="0"/>
        <w:sz w:val="21"/>
      </w:rPr>
    </w:lvl>
    <w:lvl w:ilvl="7" w:tentative="0">
      <w:start w:val="1"/>
      <w:numFmt w:val="decimal"/>
      <w:lvlText w:val="%1.%2.%3.%4.%5.%6.%7.%8"/>
      <w:lvlJc w:val="left"/>
      <w:pPr>
        <w:tabs>
          <w:tab w:val="left" w:pos="4351"/>
        </w:tabs>
        <w:ind w:left="3969" w:hanging="1418"/>
      </w:pPr>
      <w:rPr>
        <w:rFonts w:hint="eastAsia"/>
      </w:rPr>
    </w:lvl>
    <w:lvl w:ilvl="8" w:tentative="0">
      <w:start w:val="1"/>
      <w:numFmt w:val="decimal"/>
      <w:lvlText w:val="%1.%2.%3.%4.%5.%6.%7.%8.%9"/>
      <w:lvlJc w:val="left"/>
      <w:pPr>
        <w:tabs>
          <w:tab w:val="left" w:pos="4777"/>
        </w:tabs>
        <w:ind w:left="4677" w:hanging="1700"/>
      </w:pPr>
      <w:rPr>
        <w:rFonts w:hint="eastAsia"/>
      </w:rPr>
    </w:lvl>
  </w:abstractNum>
  <w:abstractNum w:abstractNumId="4">
    <w:nsid w:val="0AE367E9"/>
    <w:multiLevelType w:val="multilevel"/>
    <w:tmpl w:val="0AE367E9"/>
    <w:lvl w:ilvl="0" w:tentative="0">
      <w:start w:val="1"/>
      <w:numFmt w:val="none"/>
      <w:pStyle w:val="45"/>
      <w:suff w:val="nothing"/>
      <w:lvlText w:val="%1示例："/>
      <w:lvlJc w:val="left"/>
      <w:pPr>
        <w:ind w:left="0" w:firstLine="363"/>
      </w:pPr>
      <w:rPr>
        <w:rFonts w:hint="eastAsia" w:ascii="黑体" w:eastAsia="黑体"/>
        <w:b w:val="0"/>
        <w:i w:val="0"/>
        <w:sz w:val="18"/>
        <w:szCs w:val="18"/>
      </w:rPr>
    </w:lvl>
    <w:lvl w:ilvl="1" w:tentative="0">
      <w:start w:val="1"/>
      <w:numFmt w:val="lowerLetter"/>
      <w:lvlText w:val="%2)"/>
      <w:lvlJc w:val="left"/>
      <w:pPr>
        <w:tabs>
          <w:tab w:val="left" w:pos="363"/>
        </w:tabs>
        <w:ind w:left="0" w:firstLine="363"/>
      </w:pPr>
      <w:rPr>
        <w:rFonts w:hint="eastAsia"/>
      </w:rPr>
    </w:lvl>
    <w:lvl w:ilvl="2" w:tentative="0">
      <w:start w:val="1"/>
      <w:numFmt w:val="lowerRoman"/>
      <w:lvlText w:val="%3."/>
      <w:lvlJc w:val="right"/>
      <w:pPr>
        <w:tabs>
          <w:tab w:val="left" w:pos="363"/>
        </w:tabs>
        <w:ind w:left="0" w:firstLine="363"/>
      </w:pPr>
      <w:rPr>
        <w:rFonts w:hint="eastAsia"/>
      </w:rPr>
    </w:lvl>
    <w:lvl w:ilvl="3" w:tentative="0">
      <w:start w:val="1"/>
      <w:numFmt w:val="decimal"/>
      <w:lvlText w:val="%4."/>
      <w:lvlJc w:val="left"/>
      <w:pPr>
        <w:tabs>
          <w:tab w:val="left" w:pos="363"/>
        </w:tabs>
        <w:ind w:left="0" w:firstLine="363"/>
      </w:pPr>
      <w:rPr>
        <w:rFonts w:hint="eastAsia"/>
      </w:rPr>
    </w:lvl>
    <w:lvl w:ilvl="4" w:tentative="0">
      <w:start w:val="1"/>
      <w:numFmt w:val="lowerLetter"/>
      <w:lvlText w:val="%5)"/>
      <w:lvlJc w:val="left"/>
      <w:pPr>
        <w:tabs>
          <w:tab w:val="left" w:pos="363"/>
        </w:tabs>
        <w:ind w:left="0" w:firstLine="363"/>
      </w:pPr>
      <w:rPr>
        <w:rFonts w:hint="eastAsia"/>
      </w:rPr>
    </w:lvl>
    <w:lvl w:ilvl="5" w:tentative="0">
      <w:start w:val="1"/>
      <w:numFmt w:val="lowerRoman"/>
      <w:lvlText w:val="%6."/>
      <w:lvlJc w:val="right"/>
      <w:pPr>
        <w:tabs>
          <w:tab w:val="left" w:pos="363"/>
        </w:tabs>
        <w:ind w:left="0" w:firstLine="363"/>
      </w:pPr>
      <w:rPr>
        <w:rFonts w:hint="eastAsia"/>
      </w:rPr>
    </w:lvl>
    <w:lvl w:ilvl="6" w:tentative="0">
      <w:start w:val="1"/>
      <w:numFmt w:val="decimal"/>
      <w:lvlText w:val="%7."/>
      <w:lvlJc w:val="left"/>
      <w:pPr>
        <w:tabs>
          <w:tab w:val="left" w:pos="363"/>
        </w:tabs>
        <w:ind w:left="0" w:firstLine="363"/>
      </w:pPr>
      <w:rPr>
        <w:rFonts w:hint="eastAsia"/>
      </w:rPr>
    </w:lvl>
    <w:lvl w:ilvl="7" w:tentative="0">
      <w:start w:val="1"/>
      <w:numFmt w:val="lowerLetter"/>
      <w:lvlText w:val="%8)"/>
      <w:lvlJc w:val="left"/>
      <w:pPr>
        <w:tabs>
          <w:tab w:val="left" w:pos="363"/>
        </w:tabs>
        <w:ind w:left="0" w:firstLine="363"/>
      </w:pPr>
      <w:rPr>
        <w:rFonts w:hint="eastAsia"/>
      </w:rPr>
    </w:lvl>
    <w:lvl w:ilvl="8" w:tentative="0">
      <w:start w:val="1"/>
      <w:numFmt w:val="lowerRoman"/>
      <w:lvlText w:val="%9."/>
      <w:lvlJc w:val="right"/>
      <w:pPr>
        <w:tabs>
          <w:tab w:val="left" w:pos="363"/>
        </w:tabs>
        <w:ind w:left="0" w:firstLine="363"/>
      </w:pPr>
      <w:rPr>
        <w:rFonts w:hint="eastAsia"/>
      </w:rPr>
    </w:lvl>
  </w:abstractNum>
  <w:abstractNum w:abstractNumId="5">
    <w:nsid w:val="13ED3D12"/>
    <w:multiLevelType w:val="singleLevel"/>
    <w:tmpl w:val="13ED3D12"/>
    <w:lvl w:ilvl="0" w:tentative="0">
      <w:start w:val="1"/>
      <w:numFmt w:val="decimal"/>
      <w:suff w:val="nothing"/>
      <w:lvlText w:val="%1、"/>
      <w:lvlJc w:val="left"/>
      <w:pPr>
        <w:ind w:left="480" w:leftChars="0" w:firstLine="0" w:firstLineChars="0"/>
      </w:pPr>
    </w:lvl>
  </w:abstractNum>
  <w:abstractNum w:abstractNumId="6">
    <w:nsid w:val="1DCB3BFD"/>
    <w:multiLevelType w:val="multilevel"/>
    <w:tmpl w:val="1DCB3BFD"/>
    <w:lvl w:ilvl="0" w:tentative="0">
      <w:start w:val="1"/>
      <w:numFmt w:val="lowerLetter"/>
      <w:pStyle w:val="108"/>
      <w:lvlText w:val="%1）"/>
      <w:lvlJc w:val="left"/>
      <w:pPr>
        <w:tabs>
          <w:tab w:val="left" w:pos="840"/>
        </w:tabs>
        <w:ind w:left="839" w:hanging="419"/>
      </w:pPr>
      <w:rPr>
        <w:rFonts w:hint="eastAsia" w:ascii="宋体" w:eastAsia="宋体"/>
        <w:b w:val="0"/>
        <w:i w:val="0"/>
        <w:sz w:val="21"/>
        <w:szCs w:val="21"/>
      </w:rPr>
    </w:lvl>
    <w:lvl w:ilvl="1" w:tentative="0">
      <w:start w:val="1"/>
      <w:numFmt w:val="decimal"/>
      <w:pStyle w:val="107"/>
      <w:lvlText w:val="%2)"/>
      <w:lvlJc w:val="left"/>
      <w:pPr>
        <w:tabs>
          <w:tab w:val="left" w:pos="1260"/>
        </w:tabs>
        <w:ind w:left="1259" w:hanging="419"/>
      </w:pPr>
      <w:rPr>
        <w:rFonts w:hint="eastAsia"/>
      </w:rPr>
    </w:lvl>
    <w:lvl w:ilvl="2" w:tentative="0">
      <w:start w:val="1"/>
      <w:numFmt w:val="decimal"/>
      <w:pStyle w:val="109"/>
      <w:lvlText w:val="(%3)"/>
      <w:lvlJc w:val="left"/>
      <w:pPr>
        <w:tabs>
          <w:tab w:val="left" w:pos="0"/>
        </w:tabs>
        <w:ind w:left="1679" w:hanging="420"/>
      </w:pPr>
      <w:rPr>
        <w:rFonts w:hint="eastAsia" w:ascii="宋体" w:eastAsia="宋体"/>
        <w:b w:val="0"/>
        <w:i w:val="0"/>
        <w:sz w:val="21"/>
        <w:szCs w:val="21"/>
      </w:rPr>
    </w:lvl>
    <w:lvl w:ilvl="3" w:tentative="0">
      <w:start w:val="1"/>
      <w:numFmt w:val="decimal"/>
      <w:lvlText w:val="%4."/>
      <w:lvlJc w:val="left"/>
      <w:pPr>
        <w:tabs>
          <w:tab w:val="left" w:pos="2100"/>
        </w:tabs>
        <w:ind w:left="2099" w:hanging="419"/>
      </w:pPr>
      <w:rPr>
        <w:rFonts w:hint="eastAsia"/>
      </w:rPr>
    </w:lvl>
    <w:lvl w:ilvl="4" w:tentative="0">
      <w:start w:val="1"/>
      <w:numFmt w:val="lowerLetter"/>
      <w:lvlText w:val="%5)"/>
      <w:lvlJc w:val="left"/>
      <w:pPr>
        <w:tabs>
          <w:tab w:val="left" w:pos="2520"/>
        </w:tabs>
        <w:ind w:left="2519" w:hanging="419"/>
      </w:pPr>
      <w:rPr>
        <w:rFonts w:hint="eastAsia"/>
      </w:rPr>
    </w:lvl>
    <w:lvl w:ilvl="5" w:tentative="0">
      <w:start w:val="1"/>
      <w:numFmt w:val="lowerRoman"/>
      <w:lvlText w:val="%6."/>
      <w:lvlJc w:val="right"/>
      <w:pPr>
        <w:tabs>
          <w:tab w:val="left" w:pos="2940"/>
        </w:tabs>
        <w:ind w:left="2939" w:hanging="419"/>
      </w:pPr>
      <w:rPr>
        <w:rFonts w:hint="eastAsia"/>
      </w:rPr>
    </w:lvl>
    <w:lvl w:ilvl="6" w:tentative="0">
      <w:start w:val="1"/>
      <w:numFmt w:val="decimal"/>
      <w:lvlText w:val="%7."/>
      <w:lvlJc w:val="left"/>
      <w:pPr>
        <w:tabs>
          <w:tab w:val="left" w:pos="3360"/>
        </w:tabs>
        <w:ind w:left="3359" w:hanging="419"/>
      </w:pPr>
      <w:rPr>
        <w:rFonts w:hint="eastAsia"/>
      </w:rPr>
    </w:lvl>
    <w:lvl w:ilvl="7" w:tentative="0">
      <w:start w:val="1"/>
      <w:numFmt w:val="lowerLetter"/>
      <w:lvlText w:val="%8)"/>
      <w:lvlJc w:val="left"/>
      <w:pPr>
        <w:tabs>
          <w:tab w:val="left" w:pos="3780"/>
        </w:tabs>
        <w:ind w:left="3779" w:hanging="419"/>
      </w:pPr>
      <w:rPr>
        <w:rFonts w:hint="eastAsia"/>
      </w:rPr>
    </w:lvl>
    <w:lvl w:ilvl="8" w:tentative="0">
      <w:start w:val="1"/>
      <w:numFmt w:val="lowerRoman"/>
      <w:lvlText w:val="%9."/>
      <w:lvlJc w:val="right"/>
      <w:pPr>
        <w:tabs>
          <w:tab w:val="left" w:pos="4200"/>
        </w:tabs>
        <w:ind w:left="4199" w:hanging="419"/>
      </w:pPr>
      <w:rPr>
        <w:rFonts w:hint="eastAsia"/>
      </w:rPr>
    </w:lvl>
  </w:abstractNum>
  <w:abstractNum w:abstractNumId="7">
    <w:nsid w:val="2F3E57ED"/>
    <w:multiLevelType w:val="multilevel"/>
    <w:tmpl w:val="2F3E57ED"/>
    <w:lvl w:ilvl="0" w:tentative="0">
      <w:start w:val="2"/>
      <w:numFmt w:val="decimal"/>
      <w:suff w:val="nothing"/>
      <w:lvlText w:val="%1、"/>
      <w:lvlJc w:val="left"/>
    </w:lvl>
    <w:lvl w:ilvl="1" w:tentative="0">
      <w:start w:val="1"/>
      <w:numFmt w:val="decimal"/>
      <w:lvlText w:val="(%2)"/>
      <w:lvlJc w:val="left"/>
      <w:pPr>
        <w:tabs>
          <w:tab w:val="left" w:pos="840"/>
        </w:tabs>
        <w:ind w:left="840" w:leftChars="0" w:hanging="420" w:firstLineChars="0"/>
      </w:pPr>
      <w:rPr>
        <w:rFonts w:hint="default"/>
      </w:rPr>
    </w:lvl>
    <w:lvl w:ilvl="2" w:tentative="0">
      <w:start w:val="1"/>
      <w:numFmt w:val="decimalEnclosedCircleChinese"/>
      <w:lvlText w:val="%3"/>
      <w:lvlJc w:val="left"/>
      <w:pPr>
        <w:tabs>
          <w:tab w:val="left" w:pos="1260"/>
        </w:tabs>
        <w:ind w:left="1260" w:leftChars="0" w:hanging="420" w:firstLineChars="0"/>
      </w:pPr>
      <w:rPr>
        <w:rFonts w:hint="default"/>
      </w:rPr>
    </w:lvl>
    <w:lvl w:ilvl="3" w:tentative="0">
      <w:start w:val="1"/>
      <w:numFmt w:val="decimal"/>
      <w:lvlText w:val="%4)"/>
      <w:lvlJc w:val="left"/>
      <w:pPr>
        <w:tabs>
          <w:tab w:val="left" w:pos="1680"/>
        </w:tabs>
        <w:ind w:left="1680" w:leftChars="0" w:hanging="420" w:firstLineChars="0"/>
      </w:pPr>
      <w:rPr>
        <w:rFonts w:hint="default"/>
      </w:rPr>
    </w:lvl>
    <w:lvl w:ilvl="4" w:tentative="0">
      <w:start w:val="1"/>
      <w:numFmt w:val="lowerLetter"/>
      <w:lvlText w:val="%5."/>
      <w:lvlJc w:val="left"/>
      <w:pPr>
        <w:tabs>
          <w:tab w:val="left" w:pos="2100"/>
        </w:tabs>
        <w:ind w:left="2100" w:leftChars="0" w:hanging="420" w:firstLineChars="0"/>
      </w:pPr>
      <w:rPr>
        <w:rFonts w:hint="default"/>
      </w:rPr>
    </w:lvl>
    <w:lvl w:ilvl="5" w:tentative="0">
      <w:start w:val="1"/>
      <w:numFmt w:val="lowerLetter"/>
      <w:lvlText w:val="%6)"/>
      <w:lvlJc w:val="left"/>
      <w:pPr>
        <w:tabs>
          <w:tab w:val="left" w:pos="2520"/>
        </w:tabs>
        <w:ind w:left="2520" w:leftChars="0" w:hanging="420" w:firstLineChars="0"/>
      </w:pPr>
      <w:rPr>
        <w:rFonts w:hint="default"/>
      </w:rPr>
    </w:lvl>
    <w:lvl w:ilvl="6" w:tentative="0">
      <w:start w:val="1"/>
      <w:numFmt w:val="lowerRoman"/>
      <w:lvlText w:val="%7."/>
      <w:lvlJc w:val="left"/>
      <w:pPr>
        <w:tabs>
          <w:tab w:val="left" w:pos="2940"/>
        </w:tabs>
        <w:ind w:left="2940" w:leftChars="0" w:hanging="420" w:firstLineChars="0"/>
      </w:pPr>
      <w:rPr>
        <w:rFonts w:hint="default"/>
      </w:rPr>
    </w:lvl>
    <w:lvl w:ilvl="7" w:tentative="0">
      <w:start w:val="1"/>
      <w:numFmt w:val="lowerRoman"/>
      <w:lvlText w:val="%8)"/>
      <w:lvlJc w:val="left"/>
      <w:pPr>
        <w:tabs>
          <w:tab w:val="left" w:pos="3360"/>
        </w:tabs>
        <w:ind w:left="3360" w:leftChars="0" w:hanging="420" w:firstLineChars="0"/>
      </w:pPr>
      <w:rPr>
        <w:rFonts w:hint="default"/>
      </w:rPr>
    </w:lvl>
    <w:lvl w:ilvl="8" w:tentative="0">
      <w:start w:val="1"/>
      <w:numFmt w:val="lowerLetter"/>
      <w:lvlText w:val="%9."/>
      <w:lvlJc w:val="left"/>
      <w:pPr>
        <w:tabs>
          <w:tab w:val="left" w:pos="3780"/>
        </w:tabs>
        <w:ind w:left="3780" w:leftChars="0" w:hanging="420" w:firstLineChars="0"/>
      </w:pPr>
      <w:rPr>
        <w:rFonts w:hint="default"/>
      </w:rPr>
    </w:lvl>
  </w:abstractNum>
  <w:abstractNum w:abstractNumId="8">
    <w:nsid w:val="557C2AF5"/>
    <w:multiLevelType w:val="multilevel"/>
    <w:tmpl w:val="557C2AF5"/>
    <w:lvl w:ilvl="0" w:tentative="0">
      <w:start w:val="1"/>
      <w:numFmt w:val="decimal"/>
      <w:pStyle w:val="48"/>
      <w:suff w:val="nothing"/>
      <w:lvlText w:val="图%1　"/>
      <w:lvlJc w:val="left"/>
      <w:pPr>
        <w:ind w:left="0" w:firstLine="0"/>
      </w:pPr>
      <w:rPr>
        <w:rFonts w:hint="eastAsia" w:ascii="黑体" w:hAnsi="Times New Roman" w:eastAsia="黑体"/>
        <w:b w:val="0"/>
        <w:i w:val="0"/>
        <w:sz w:val="21"/>
      </w:rPr>
    </w:lvl>
    <w:lvl w:ilvl="1" w:tentative="0">
      <w:start w:val="1"/>
      <w:numFmt w:val="decimal"/>
      <w:suff w:val="nothing"/>
      <w:lvlText w:val="%1%2　"/>
      <w:lvlJc w:val="left"/>
      <w:pPr>
        <w:ind w:left="0" w:firstLine="0"/>
      </w:pPr>
      <w:rPr>
        <w:rFonts w:hint="default" w:ascii="Times New Roman" w:hAnsi="Times New Roman" w:eastAsia="黑体"/>
        <w:b w:val="0"/>
        <w:i w:val="0"/>
        <w:sz w:val="21"/>
      </w:rPr>
    </w:lvl>
    <w:lvl w:ilvl="2" w:tentative="0">
      <w:start w:val="1"/>
      <w:numFmt w:val="decimal"/>
      <w:suff w:val="nothing"/>
      <w:lvlText w:val="%1%2.%3　"/>
      <w:lvlJc w:val="left"/>
      <w:pPr>
        <w:ind w:left="0" w:firstLine="0"/>
      </w:pPr>
      <w:rPr>
        <w:rFonts w:hint="default" w:ascii="Times New Roman" w:hAnsi="Times New Roman" w:eastAsia="黑体"/>
        <w:b w:val="0"/>
        <w:i w:val="0"/>
        <w:sz w:val="21"/>
      </w:rPr>
    </w:lvl>
    <w:lvl w:ilvl="3" w:tentative="0">
      <w:start w:val="1"/>
      <w:numFmt w:val="decimal"/>
      <w:suff w:val="nothing"/>
      <w:lvlText w:val="%1%2.%3.%4　"/>
      <w:lvlJc w:val="left"/>
      <w:pPr>
        <w:ind w:left="0" w:firstLine="0"/>
      </w:pPr>
      <w:rPr>
        <w:rFonts w:hint="default" w:ascii="Times New Roman" w:hAnsi="Times New Roman" w:eastAsia="黑体"/>
        <w:b w:val="0"/>
        <w:i w:val="0"/>
        <w:sz w:val="21"/>
      </w:rPr>
    </w:lvl>
    <w:lvl w:ilvl="4" w:tentative="0">
      <w:start w:val="1"/>
      <w:numFmt w:val="decimal"/>
      <w:suff w:val="nothing"/>
      <w:lvlText w:val="%1%2.%3.%4.%5　"/>
      <w:lvlJc w:val="left"/>
      <w:pPr>
        <w:ind w:left="0" w:firstLine="0"/>
      </w:pPr>
      <w:rPr>
        <w:rFonts w:hint="default" w:ascii="Times New Roman" w:hAnsi="Times New Roman" w:eastAsia="黑体"/>
        <w:b w:val="0"/>
        <w:i w:val="0"/>
        <w:sz w:val="21"/>
      </w:rPr>
    </w:lvl>
    <w:lvl w:ilvl="5" w:tentative="0">
      <w:start w:val="1"/>
      <w:numFmt w:val="decimal"/>
      <w:suff w:val="nothing"/>
      <w:lvlText w:val="%1%2.%3.%4.%5.%6　"/>
      <w:lvlJc w:val="left"/>
      <w:pPr>
        <w:ind w:left="0" w:firstLine="0"/>
      </w:pPr>
      <w:rPr>
        <w:rFonts w:hint="default" w:ascii="Times New Roman" w:hAnsi="Times New Roman" w:eastAsia="黑体"/>
        <w:b w:val="0"/>
        <w:i w:val="0"/>
        <w:sz w:val="21"/>
      </w:rPr>
    </w:lvl>
    <w:lvl w:ilvl="6" w:tentative="0">
      <w:start w:val="1"/>
      <w:numFmt w:val="decimal"/>
      <w:suff w:val="nothing"/>
      <w:lvlText w:val="%1%2.%3.%4.%5.%6.%7　"/>
      <w:lvlJc w:val="left"/>
      <w:pPr>
        <w:ind w:left="0" w:firstLine="0"/>
      </w:pPr>
      <w:rPr>
        <w:rFonts w:hint="default" w:ascii="Times New Roman" w:hAnsi="Times New Roman" w:eastAsia="黑体"/>
        <w:b w:val="0"/>
        <w:i w:val="0"/>
        <w:sz w:val="21"/>
      </w:rPr>
    </w:lvl>
    <w:lvl w:ilvl="7" w:tentative="0">
      <w:start w:val="1"/>
      <w:numFmt w:val="decimal"/>
      <w:lvlText w:val="%1.%2.%3.%4.%5.%6.%7.%8"/>
      <w:lvlJc w:val="left"/>
      <w:pPr>
        <w:tabs>
          <w:tab w:val="left" w:pos="4351"/>
        </w:tabs>
        <w:ind w:left="3969" w:hanging="1418"/>
      </w:pPr>
      <w:rPr>
        <w:rFonts w:hint="eastAsia"/>
      </w:rPr>
    </w:lvl>
    <w:lvl w:ilvl="8" w:tentative="0">
      <w:start w:val="1"/>
      <w:numFmt w:val="decimal"/>
      <w:lvlText w:val="%1.%2.%3.%4.%5.%6.%7.%8.%9"/>
      <w:lvlJc w:val="left"/>
      <w:pPr>
        <w:tabs>
          <w:tab w:val="left" w:pos="4777"/>
        </w:tabs>
        <w:ind w:left="4677" w:hanging="1700"/>
      </w:pPr>
      <w:rPr>
        <w:rFonts w:hint="eastAsia"/>
      </w:rPr>
    </w:lvl>
  </w:abstractNum>
  <w:abstractNum w:abstractNumId="9">
    <w:nsid w:val="5C95A2A0"/>
    <w:multiLevelType w:val="singleLevel"/>
    <w:tmpl w:val="5C95A2A0"/>
    <w:lvl w:ilvl="0" w:tentative="0">
      <w:start w:val="1"/>
      <w:numFmt w:val="decimal"/>
      <w:suff w:val="nothing"/>
      <w:lvlText w:val="%1、"/>
      <w:lvlJc w:val="left"/>
    </w:lvl>
  </w:abstractNum>
  <w:abstractNum w:abstractNumId="10">
    <w:nsid w:val="646260FA"/>
    <w:multiLevelType w:val="multilevel"/>
    <w:tmpl w:val="646260FA"/>
    <w:lvl w:ilvl="0" w:tentative="0">
      <w:start w:val="1"/>
      <w:numFmt w:val="decimal"/>
      <w:pStyle w:val="47"/>
      <w:suff w:val="nothing"/>
      <w:lvlText w:val="表%1　"/>
      <w:lvlJc w:val="left"/>
      <w:pPr>
        <w:ind w:left="0" w:firstLine="0"/>
      </w:pPr>
      <w:rPr>
        <w:rFonts w:hint="eastAsia" w:ascii="黑体" w:hAnsi="Times New Roman" w:eastAsia="黑体"/>
        <w:b w:val="0"/>
        <w:i w:val="0"/>
        <w:sz w:val="21"/>
      </w:rPr>
    </w:lvl>
    <w:lvl w:ilvl="1" w:tentative="0">
      <w:start w:val="1"/>
      <w:numFmt w:val="decimal"/>
      <w:lvlText w:val="%1.%2"/>
      <w:lvlJc w:val="left"/>
      <w:pPr>
        <w:tabs>
          <w:tab w:val="left" w:pos="992"/>
        </w:tabs>
        <w:ind w:left="992" w:hanging="567"/>
      </w:pPr>
      <w:rPr>
        <w:rFonts w:hint="eastAsia"/>
      </w:rPr>
    </w:lvl>
    <w:lvl w:ilvl="2" w:tentative="0">
      <w:start w:val="1"/>
      <w:numFmt w:val="decimal"/>
      <w:lvlText w:val="%1.%2.%3"/>
      <w:lvlJc w:val="left"/>
      <w:pPr>
        <w:tabs>
          <w:tab w:val="left" w:pos="1418"/>
        </w:tabs>
        <w:ind w:left="1418" w:hanging="567"/>
      </w:pPr>
      <w:rPr>
        <w:rFonts w:hint="eastAsia"/>
      </w:rPr>
    </w:lvl>
    <w:lvl w:ilvl="3" w:tentative="0">
      <w:start w:val="1"/>
      <w:numFmt w:val="decimal"/>
      <w:lvlText w:val="%1.%2.%3.%4"/>
      <w:lvlJc w:val="left"/>
      <w:pPr>
        <w:tabs>
          <w:tab w:val="left" w:pos="1984"/>
        </w:tabs>
        <w:ind w:left="1984" w:hanging="708"/>
      </w:pPr>
      <w:rPr>
        <w:rFonts w:hint="eastAsia"/>
      </w:rPr>
    </w:lvl>
    <w:lvl w:ilvl="4" w:tentative="0">
      <w:start w:val="1"/>
      <w:numFmt w:val="decimal"/>
      <w:lvlText w:val="%1.%2.%3.%4.%5"/>
      <w:lvlJc w:val="left"/>
      <w:pPr>
        <w:tabs>
          <w:tab w:val="left" w:pos="2551"/>
        </w:tabs>
        <w:ind w:left="2551" w:hanging="850"/>
      </w:pPr>
      <w:rPr>
        <w:rFonts w:hint="eastAsia"/>
      </w:rPr>
    </w:lvl>
    <w:lvl w:ilvl="5" w:tentative="0">
      <w:start w:val="1"/>
      <w:numFmt w:val="decimal"/>
      <w:lvlText w:val="%1.%2.%3.%4.%5.%6"/>
      <w:lvlJc w:val="left"/>
      <w:pPr>
        <w:tabs>
          <w:tab w:val="left" w:pos="3260"/>
        </w:tabs>
        <w:ind w:left="3260" w:hanging="1134"/>
      </w:pPr>
      <w:rPr>
        <w:rFonts w:hint="eastAsia"/>
      </w:rPr>
    </w:lvl>
    <w:lvl w:ilvl="6" w:tentative="0">
      <w:start w:val="1"/>
      <w:numFmt w:val="decimal"/>
      <w:lvlText w:val="%1.%2.%3.%4.%5.%6.%7"/>
      <w:lvlJc w:val="left"/>
      <w:pPr>
        <w:tabs>
          <w:tab w:val="left" w:pos="3827"/>
        </w:tabs>
        <w:ind w:left="3827" w:hanging="1276"/>
      </w:pPr>
      <w:rPr>
        <w:rFonts w:hint="eastAsia"/>
      </w:rPr>
    </w:lvl>
    <w:lvl w:ilvl="7" w:tentative="0">
      <w:start w:val="1"/>
      <w:numFmt w:val="decimal"/>
      <w:lvlText w:val="%1.%2.%3.%4.%5.%6.%7.%8"/>
      <w:lvlJc w:val="left"/>
      <w:pPr>
        <w:tabs>
          <w:tab w:val="left" w:pos="4394"/>
        </w:tabs>
        <w:ind w:left="4394" w:hanging="1418"/>
      </w:pPr>
      <w:rPr>
        <w:rFonts w:hint="eastAsia"/>
      </w:rPr>
    </w:lvl>
    <w:lvl w:ilvl="8" w:tentative="0">
      <w:start w:val="1"/>
      <w:numFmt w:val="decimal"/>
      <w:lvlText w:val="%1.%2.%3.%4.%5.%6.%7.%8.%9"/>
      <w:lvlJc w:val="left"/>
      <w:pPr>
        <w:tabs>
          <w:tab w:val="left" w:pos="5102"/>
        </w:tabs>
        <w:ind w:left="5102" w:hanging="1700"/>
      </w:pPr>
      <w:rPr>
        <w:rFonts w:hint="eastAsia"/>
      </w:rPr>
    </w:lvl>
  </w:abstractNum>
  <w:abstractNum w:abstractNumId="11">
    <w:nsid w:val="657D3FBC"/>
    <w:multiLevelType w:val="multilevel"/>
    <w:tmpl w:val="657D3FBC"/>
    <w:lvl w:ilvl="0" w:tentative="0">
      <w:start w:val="1"/>
      <w:numFmt w:val="upperLetter"/>
      <w:pStyle w:val="110"/>
      <w:suff w:val="nothing"/>
      <w:lvlText w:val="附录%1"/>
      <w:lvlJc w:val="left"/>
      <w:pPr>
        <w:ind w:left="0" w:firstLine="0"/>
      </w:pPr>
      <w:rPr>
        <w:rFonts w:hint="eastAsia"/>
        <w:spacing w:val="100"/>
      </w:rPr>
    </w:lvl>
    <w:lvl w:ilvl="1" w:tentative="0">
      <w:start w:val="1"/>
      <w:numFmt w:val="decimal"/>
      <w:pStyle w:val="111"/>
      <w:suff w:val="nothing"/>
      <w:lvlText w:val="%1.%2　"/>
      <w:lvlJc w:val="left"/>
      <w:pPr>
        <w:ind w:left="0" w:firstLine="0"/>
      </w:pPr>
      <w:rPr>
        <w:rFonts w:hint="eastAsia" w:ascii="黑体" w:eastAsia="黑体"/>
        <w:b w:val="0"/>
        <w:i w:val="0"/>
        <w:sz w:val="21"/>
      </w:rPr>
    </w:lvl>
    <w:lvl w:ilvl="2" w:tentative="0">
      <w:start w:val="1"/>
      <w:numFmt w:val="decimal"/>
      <w:pStyle w:val="112"/>
      <w:suff w:val="nothing"/>
      <w:lvlText w:val="%1.%2.%3　"/>
      <w:lvlJc w:val="left"/>
      <w:pPr>
        <w:ind w:left="0" w:firstLine="0"/>
      </w:pPr>
      <w:rPr>
        <w:rFonts w:hint="eastAsia" w:ascii="黑体" w:eastAsia="黑体"/>
        <w:b w:val="0"/>
        <w:i w:val="0"/>
        <w:sz w:val="21"/>
      </w:rPr>
    </w:lvl>
    <w:lvl w:ilvl="3" w:tentative="0">
      <w:start w:val="1"/>
      <w:numFmt w:val="decimal"/>
      <w:pStyle w:val="113"/>
      <w:suff w:val="nothing"/>
      <w:lvlText w:val="%1.%2.%3.%4　"/>
      <w:lvlJc w:val="left"/>
      <w:pPr>
        <w:ind w:left="0" w:firstLine="0"/>
      </w:pPr>
      <w:rPr>
        <w:rFonts w:hint="eastAsia" w:ascii="黑体" w:eastAsia="黑体"/>
        <w:b w:val="0"/>
        <w:i w:val="0"/>
        <w:sz w:val="21"/>
      </w:rPr>
    </w:lvl>
    <w:lvl w:ilvl="4" w:tentative="0">
      <w:start w:val="1"/>
      <w:numFmt w:val="decimal"/>
      <w:pStyle w:val="114"/>
      <w:suff w:val="nothing"/>
      <w:lvlText w:val="%1.%2.%3.%4.%5　"/>
      <w:lvlJc w:val="left"/>
      <w:pPr>
        <w:ind w:left="0" w:firstLine="0"/>
      </w:pPr>
      <w:rPr>
        <w:rFonts w:hint="eastAsia" w:ascii="黑体" w:eastAsia="黑体"/>
        <w:b w:val="0"/>
        <w:i w:val="0"/>
        <w:sz w:val="21"/>
      </w:rPr>
    </w:lvl>
    <w:lvl w:ilvl="5" w:tentative="0">
      <w:start w:val="1"/>
      <w:numFmt w:val="decimal"/>
      <w:pStyle w:val="115"/>
      <w:suff w:val="nothing"/>
      <w:lvlText w:val="%1.%2.%3.%4.%5.%6　"/>
      <w:lvlJc w:val="left"/>
      <w:pPr>
        <w:ind w:left="0" w:firstLine="0"/>
      </w:pPr>
      <w:rPr>
        <w:rFonts w:hint="eastAsia" w:ascii="黑体" w:eastAsia="黑体"/>
        <w:b w:val="0"/>
        <w:i w:val="0"/>
        <w:sz w:val="21"/>
      </w:rPr>
    </w:lvl>
    <w:lvl w:ilvl="6" w:tentative="0">
      <w:start w:val="1"/>
      <w:numFmt w:val="decimal"/>
      <w:suff w:val="nothing"/>
      <w:lvlText w:val="%1.%2.%3.%4.%5.%6.%7　"/>
      <w:lvlJc w:val="left"/>
      <w:pPr>
        <w:ind w:left="0" w:firstLine="0"/>
      </w:pPr>
      <w:rPr>
        <w:rFonts w:hint="eastAsia"/>
      </w:rPr>
    </w:lvl>
    <w:lvl w:ilvl="7" w:tentative="0">
      <w:start w:val="1"/>
      <w:numFmt w:val="decimal"/>
      <w:lvlText w:val="%1.%2.%3.%4.%5.%6.%7.%8"/>
      <w:lvlJc w:val="left"/>
      <w:pPr>
        <w:tabs>
          <w:tab w:val="left" w:pos="4394"/>
        </w:tabs>
        <w:ind w:left="4394" w:hanging="1418"/>
      </w:pPr>
      <w:rPr>
        <w:rFonts w:hint="eastAsia"/>
      </w:rPr>
    </w:lvl>
    <w:lvl w:ilvl="8" w:tentative="0">
      <w:start w:val="1"/>
      <w:numFmt w:val="decimal"/>
      <w:lvlText w:val="%1.%2.%3.%4.%5.%6.%7.%8.%9"/>
      <w:lvlJc w:val="left"/>
      <w:pPr>
        <w:tabs>
          <w:tab w:val="left" w:pos="5102"/>
        </w:tabs>
        <w:ind w:left="5102" w:hanging="1700"/>
      </w:pPr>
      <w:rPr>
        <w:rFonts w:hint="eastAsia"/>
      </w:rPr>
    </w:lvl>
  </w:abstractNum>
  <w:num w:numId="1">
    <w:abstractNumId w:val="4"/>
  </w:num>
  <w:num w:numId="2">
    <w:abstractNumId w:val="10"/>
  </w:num>
  <w:num w:numId="3">
    <w:abstractNumId w:val="8"/>
  </w:num>
  <w:num w:numId="4">
    <w:abstractNumId w:val="6"/>
  </w:num>
  <w:num w:numId="5">
    <w:abstractNumId w:val="11"/>
  </w:num>
  <w:num w:numId="6">
    <w:abstractNumId w:val="3"/>
  </w:num>
  <w:num w:numId="7">
    <w:abstractNumId w:val="9"/>
  </w:num>
  <w:num w:numId="8">
    <w:abstractNumId w:val="7"/>
  </w:num>
  <w:num w:numId="9">
    <w:abstractNumId w:val="5"/>
  </w:num>
  <w:num w:numId="10">
    <w:abstractNumId w:val="2"/>
  </w:num>
  <w:num w:numId="11">
    <w:abstractNumId w:val="1"/>
  </w:num>
  <w:num w:numId="1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bordersDoNotSurroundHeader w:val="0"/>
  <w:bordersDoNotSurroundFooter w:val="0"/>
  <w:trackRevisions w:val="1"/>
  <w:documentProtection w:enforcement="0"/>
  <w:defaultTabStop w:val="420"/>
  <w:drawingGridHorizontalSpacing w:val="120"/>
  <w:drawingGridVerticalSpacing w:val="166"/>
  <w:displayHorizontalDrawingGridEvery w:val="1"/>
  <w:displayVerticalDrawingGridEvery w:val="1"/>
  <w:noPunctuationKerning w:val="1"/>
  <w:characterSpacingControl w:val="compressPunctuation"/>
  <w:hdrShapeDefaults>
    <o:shapelayout v:ext="edit">
      <o:idmap v:ext="edit" data="3"/>
    </o:shapelayout>
  </w:hdrShapeDefaults>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2"/>
  </w:compat>
  <w:rsids>
    <w:rsidRoot w:val="00AA3E0F"/>
    <w:rsid w:val="000001E5"/>
    <w:rsid w:val="000007AC"/>
    <w:rsid w:val="00000A35"/>
    <w:rsid w:val="0000141D"/>
    <w:rsid w:val="000022B1"/>
    <w:rsid w:val="00003AFF"/>
    <w:rsid w:val="0001042F"/>
    <w:rsid w:val="00010A8B"/>
    <w:rsid w:val="000129F4"/>
    <w:rsid w:val="00013B79"/>
    <w:rsid w:val="00015A6C"/>
    <w:rsid w:val="000166C4"/>
    <w:rsid w:val="00017084"/>
    <w:rsid w:val="00017C80"/>
    <w:rsid w:val="00020415"/>
    <w:rsid w:val="00024525"/>
    <w:rsid w:val="00025B48"/>
    <w:rsid w:val="000269F6"/>
    <w:rsid w:val="00027763"/>
    <w:rsid w:val="00030247"/>
    <w:rsid w:val="0003190D"/>
    <w:rsid w:val="00031DAF"/>
    <w:rsid w:val="00033768"/>
    <w:rsid w:val="00033ECC"/>
    <w:rsid w:val="00034BDB"/>
    <w:rsid w:val="000354EE"/>
    <w:rsid w:val="00037C38"/>
    <w:rsid w:val="0004092A"/>
    <w:rsid w:val="00040A03"/>
    <w:rsid w:val="000434B8"/>
    <w:rsid w:val="000455BE"/>
    <w:rsid w:val="00045870"/>
    <w:rsid w:val="00045E4A"/>
    <w:rsid w:val="0005158F"/>
    <w:rsid w:val="0005301A"/>
    <w:rsid w:val="00056209"/>
    <w:rsid w:val="00056E5B"/>
    <w:rsid w:val="00056E94"/>
    <w:rsid w:val="000618F5"/>
    <w:rsid w:val="00062D78"/>
    <w:rsid w:val="00062F18"/>
    <w:rsid w:val="00063AB8"/>
    <w:rsid w:val="000658C5"/>
    <w:rsid w:val="00071468"/>
    <w:rsid w:val="00071497"/>
    <w:rsid w:val="00072999"/>
    <w:rsid w:val="00076334"/>
    <w:rsid w:val="00076DC9"/>
    <w:rsid w:val="00076E00"/>
    <w:rsid w:val="00077386"/>
    <w:rsid w:val="0008016C"/>
    <w:rsid w:val="000819C0"/>
    <w:rsid w:val="00081DC3"/>
    <w:rsid w:val="000821A1"/>
    <w:rsid w:val="00082BD1"/>
    <w:rsid w:val="00083D72"/>
    <w:rsid w:val="000844C5"/>
    <w:rsid w:val="00084FF3"/>
    <w:rsid w:val="00085FD8"/>
    <w:rsid w:val="0008622A"/>
    <w:rsid w:val="00090AAF"/>
    <w:rsid w:val="00090BB7"/>
    <w:rsid w:val="00091EC0"/>
    <w:rsid w:val="00092504"/>
    <w:rsid w:val="00092B00"/>
    <w:rsid w:val="00092C34"/>
    <w:rsid w:val="000973F8"/>
    <w:rsid w:val="000A2A34"/>
    <w:rsid w:val="000A3998"/>
    <w:rsid w:val="000A4C17"/>
    <w:rsid w:val="000A61FC"/>
    <w:rsid w:val="000A61FE"/>
    <w:rsid w:val="000A7210"/>
    <w:rsid w:val="000B051F"/>
    <w:rsid w:val="000B0A70"/>
    <w:rsid w:val="000B1507"/>
    <w:rsid w:val="000B226A"/>
    <w:rsid w:val="000B4363"/>
    <w:rsid w:val="000B593F"/>
    <w:rsid w:val="000B5D25"/>
    <w:rsid w:val="000C3198"/>
    <w:rsid w:val="000C32D4"/>
    <w:rsid w:val="000C35B5"/>
    <w:rsid w:val="000C53E0"/>
    <w:rsid w:val="000C5E7B"/>
    <w:rsid w:val="000C7B3C"/>
    <w:rsid w:val="000D29F4"/>
    <w:rsid w:val="000D6CF5"/>
    <w:rsid w:val="000E023D"/>
    <w:rsid w:val="000E0AB2"/>
    <w:rsid w:val="000E1B6C"/>
    <w:rsid w:val="000E4AE2"/>
    <w:rsid w:val="000E577F"/>
    <w:rsid w:val="000E6630"/>
    <w:rsid w:val="000F19D8"/>
    <w:rsid w:val="000F1B97"/>
    <w:rsid w:val="000F3C33"/>
    <w:rsid w:val="000F4A3B"/>
    <w:rsid w:val="000F4CE8"/>
    <w:rsid w:val="001018E2"/>
    <w:rsid w:val="0010305D"/>
    <w:rsid w:val="001036AD"/>
    <w:rsid w:val="001040D5"/>
    <w:rsid w:val="001050DA"/>
    <w:rsid w:val="001064D7"/>
    <w:rsid w:val="00111084"/>
    <w:rsid w:val="001117AF"/>
    <w:rsid w:val="00113794"/>
    <w:rsid w:val="00115B5E"/>
    <w:rsid w:val="00117C75"/>
    <w:rsid w:val="00122E38"/>
    <w:rsid w:val="00123381"/>
    <w:rsid w:val="00124C46"/>
    <w:rsid w:val="0012660A"/>
    <w:rsid w:val="00126D94"/>
    <w:rsid w:val="00131914"/>
    <w:rsid w:val="0013245B"/>
    <w:rsid w:val="00134A81"/>
    <w:rsid w:val="00135688"/>
    <w:rsid w:val="00136191"/>
    <w:rsid w:val="00141391"/>
    <w:rsid w:val="00142FAD"/>
    <w:rsid w:val="0014686E"/>
    <w:rsid w:val="00147B81"/>
    <w:rsid w:val="00150ABB"/>
    <w:rsid w:val="001532ED"/>
    <w:rsid w:val="001602C5"/>
    <w:rsid w:val="0016215B"/>
    <w:rsid w:val="001622C0"/>
    <w:rsid w:val="00162784"/>
    <w:rsid w:val="001647BB"/>
    <w:rsid w:val="0016491D"/>
    <w:rsid w:val="00167CE9"/>
    <w:rsid w:val="00173530"/>
    <w:rsid w:val="0017400A"/>
    <w:rsid w:val="00176EFD"/>
    <w:rsid w:val="00177FA6"/>
    <w:rsid w:val="001809AD"/>
    <w:rsid w:val="001818CE"/>
    <w:rsid w:val="00181DCA"/>
    <w:rsid w:val="00182654"/>
    <w:rsid w:val="00182FBA"/>
    <w:rsid w:val="001844FC"/>
    <w:rsid w:val="00184AF2"/>
    <w:rsid w:val="00190A45"/>
    <w:rsid w:val="001922C3"/>
    <w:rsid w:val="00192A5B"/>
    <w:rsid w:val="001966BA"/>
    <w:rsid w:val="001A05C7"/>
    <w:rsid w:val="001A1D91"/>
    <w:rsid w:val="001A344D"/>
    <w:rsid w:val="001A36A9"/>
    <w:rsid w:val="001A7E28"/>
    <w:rsid w:val="001B03ED"/>
    <w:rsid w:val="001B0B72"/>
    <w:rsid w:val="001B145A"/>
    <w:rsid w:val="001B2B09"/>
    <w:rsid w:val="001B3029"/>
    <w:rsid w:val="001B47CF"/>
    <w:rsid w:val="001B6249"/>
    <w:rsid w:val="001B7FB5"/>
    <w:rsid w:val="001C19B4"/>
    <w:rsid w:val="001C209D"/>
    <w:rsid w:val="001C49C9"/>
    <w:rsid w:val="001C5350"/>
    <w:rsid w:val="001C7E50"/>
    <w:rsid w:val="001D0624"/>
    <w:rsid w:val="001D2C4D"/>
    <w:rsid w:val="001D3388"/>
    <w:rsid w:val="001D421B"/>
    <w:rsid w:val="001D466C"/>
    <w:rsid w:val="001D5FEA"/>
    <w:rsid w:val="001D7791"/>
    <w:rsid w:val="001E216C"/>
    <w:rsid w:val="001E2A4B"/>
    <w:rsid w:val="001E2D15"/>
    <w:rsid w:val="001E3871"/>
    <w:rsid w:val="001E56A7"/>
    <w:rsid w:val="001E7665"/>
    <w:rsid w:val="001E7CEE"/>
    <w:rsid w:val="001F0376"/>
    <w:rsid w:val="001F4B34"/>
    <w:rsid w:val="001F7A32"/>
    <w:rsid w:val="00201456"/>
    <w:rsid w:val="00201C5F"/>
    <w:rsid w:val="00205CEE"/>
    <w:rsid w:val="00210503"/>
    <w:rsid w:val="002118AB"/>
    <w:rsid w:val="002126D9"/>
    <w:rsid w:val="00213E30"/>
    <w:rsid w:val="0021604E"/>
    <w:rsid w:val="00217B16"/>
    <w:rsid w:val="002211F8"/>
    <w:rsid w:val="002306B0"/>
    <w:rsid w:val="00233834"/>
    <w:rsid w:val="00234126"/>
    <w:rsid w:val="002348A6"/>
    <w:rsid w:val="00236B80"/>
    <w:rsid w:val="00240F1D"/>
    <w:rsid w:val="002431FA"/>
    <w:rsid w:val="002446E2"/>
    <w:rsid w:val="00247197"/>
    <w:rsid w:val="0025034B"/>
    <w:rsid w:val="00250A16"/>
    <w:rsid w:val="0025217B"/>
    <w:rsid w:val="00254E39"/>
    <w:rsid w:val="00255F9C"/>
    <w:rsid w:val="0026107B"/>
    <w:rsid w:val="00261162"/>
    <w:rsid w:val="00262D99"/>
    <w:rsid w:val="00263789"/>
    <w:rsid w:val="002666A7"/>
    <w:rsid w:val="00266E7D"/>
    <w:rsid w:val="0026725F"/>
    <w:rsid w:val="00275782"/>
    <w:rsid w:val="00275CE1"/>
    <w:rsid w:val="002768F3"/>
    <w:rsid w:val="00277890"/>
    <w:rsid w:val="002813D0"/>
    <w:rsid w:val="00284FE2"/>
    <w:rsid w:val="00285718"/>
    <w:rsid w:val="002863DE"/>
    <w:rsid w:val="00290007"/>
    <w:rsid w:val="00294C50"/>
    <w:rsid w:val="00295D04"/>
    <w:rsid w:val="00296ECE"/>
    <w:rsid w:val="0029709E"/>
    <w:rsid w:val="002978CE"/>
    <w:rsid w:val="002A2585"/>
    <w:rsid w:val="002A2C84"/>
    <w:rsid w:val="002A3520"/>
    <w:rsid w:val="002A7256"/>
    <w:rsid w:val="002A7C01"/>
    <w:rsid w:val="002B0727"/>
    <w:rsid w:val="002B1FD6"/>
    <w:rsid w:val="002B5424"/>
    <w:rsid w:val="002B7008"/>
    <w:rsid w:val="002B77A1"/>
    <w:rsid w:val="002B7DB0"/>
    <w:rsid w:val="002C022E"/>
    <w:rsid w:val="002C18D7"/>
    <w:rsid w:val="002C40F4"/>
    <w:rsid w:val="002C721D"/>
    <w:rsid w:val="002C7925"/>
    <w:rsid w:val="002D044E"/>
    <w:rsid w:val="002D07F4"/>
    <w:rsid w:val="002D3ADD"/>
    <w:rsid w:val="002D4561"/>
    <w:rsid w:val="002D49FE"/>
    <w:rsid w:val="002D6251"/>
    <w:rsid w:val="002D7368"/>
    <w:rsid w:val="002D7540"/>
    <w:rsid w:val="002D7A4E"/>
    <w:rsid w:val="002D7D6F"/>
    <w:rsid w:val="002E08A7"/>
    <w:rsid w:val="002E0A53"/>
    <w:rsid w:val="002E1F62"/>
    <w:rsid w:val="002E3251"/>
    <w:rsid w:val="002E356B"/>
    <w:rsid w:val="002E671D"/>
    <w:rsid w:val="002F14E0"/>
    <w:rsid w:val="002F386B"/>
    <w:rsid w:val="002F413E"/>
    <w:rsid w:val="002F67EC"/>
    <w:rsid w:val="0030029E"/>
    <w:rsid w:val="00301041"/>
    <w:rsid w:val="0030478F"/>
    <w:rsid w:val="00312323"/>
    <w:rsid w:val="003128B6"/>
    <w:rsid w:val="00313B99"/>
    <w:rsid w:val="00316883"/>
    <w:rsid w:val="003202CC"/>
    <w:rsid w:val="00321B9B"/>
    <w:rsid w:val="00321BEA"/>
    <w:rsid w:val="00321FE1"/>
    <w:rsid w:val="0032377D"/>
    <w:rsid w:val="003250AF"/>
    <w:rsid w:val="003264DB"/>
    <w:rsid w:val="00326842"/>
    <w:rsid w:val="00330850"/>
    <w:rsid w:val="003321EA"/>
    <w:rsid w:val="00334FB8"/>
    <w:rsid w:val="00335A26"/>
    <w:rsid w:val="003367E3"/>
    <w:rsid w:val="00336AC0"/>
    <w:rsid w:val="00336C0A"/>
    <w:rsid w:val="0033700A"/>
    <w:rsid w:val="003374DF"/>
    <w:rsid w:val="00337AD1"/>
    <w:rsid w:val="00340627"/>
    <w:rsid w:val="003433EC"/>
    <w:rsid w:val="00345970"/>
    <w:rsid w:val="00345F55"/>
    <w:rsid w:val="0034684B"/>
    <w:rsid w:val="00346E04"/>
    <w:rsid w:val="00347457"/>
    <w:rsid w:val="00347BCC"/>
    <w:rsid w:val="003513CB"/>
    <w:rsid w:val="00351F4C"/>
    <w:rsid w:val="00357490"/>
    <w:rsid w:val="00357CB3"/>
    <w:rsid w:val="003615D2"/>
    <w:rsid w:val="00363070"/>
    <w:rsid w:val="003638A8"/>
    <w:rsid w:val="003645D5"/>
    <w:rsid w:val="00365D8A"/>
    <w:rsid w:val="00366F63"/>
    <w:rsid w:val="00367A5B"/>
    <w:rsid w:val="003726C8"/>
    <w:rsid w:val="00372853"/>
    <w:rsid w:val="00372BB9"/>
    <w:rsid w:val="003745BC"/>
    <w:rsid w:val="00374772"/>
    <w:rsid w:val="003758EE"/>
    <w:rsid w:val="00376523"/>
    <w:rsid w:val="00380E2E"/>
    <w:rsid w:val="003837E1"/>
    <w:rsid w:val="00383FE7"/>
    <w:rsid w:val="00387411"/>
    <w:rsid w:val="00387991"/>
    <w:rsid w:val="003901E8"/>
    <w:rsid w:val="00390880"/>
    <w:rsid w:val="003910F4"/>
    <w:rsid w:val="00391D3A"/>
    <w:rsid w:val="00393DA0"/>
    <w:rsid w:val="003A17BE"/>
    <w:rsid w:val="003A3A72"/>
    <w:rsid w:val="003A468C"/>
    <w:rsid w:val="003A7036"/>
    <w:rsid w:val="003A7848"/>
    <w:rsid w:val="003B129E"/>
    <w:rsid w:val="003B22E2"/>
    <w:rsid w:val="003B25C9"/>
    <w:rsid w:val="003B3C6C"/>
    <w:rsid w:val="003B620B"/>
    <w:rsid w:val="003B7B55"/>
    <w:rsid w:val="003C6534"/>
    <w:rsid w:val="003D06C9"/>
    <w:rsid w:val="003D23D7"/>
    <w:rsid w:val="003D4694"/>
    <w:rsid w:val="003D6024"/>
    <w:rsid w:val="003D65BA"/>
    <w:rsid w:val="003E108D"/>
    <w:rsid w:val="003E52E9"/>
    <w:rsid w:val="003E62CC"/>
    <w:rsid w:val="003E7C10"/>
    <w:rsid w:val="003E7DE2"/>
    <w:rsid w:val="003F0454"/>
    <w:rsid w:val="003F66A1"/>
    <w:rsid w:val="003F6747"/>
    <w:rsid w:val="00401447"/>
    <w:rsid w:val="00401E4A"/>
    <w:rsid w:val="00402A56"/>
    <w:rsid w:val="0040720D"/>
    <w:rsid w:val="0040776A"/>
    <w:rsid w:val="004109A2"/>
    <w:rsid w:val="0041214A"/>
    <w:rsid w:val="00412D5F"/>
    <w:rsid w:val="00413BB6"/>
    <w:rsid w:val="00414311"/>
    <w:rsid w:val="00414C25"/>
    <w:rsid w:val="00415A15"/>
    <w:rsid w:val="004176B3"/>
    <w:rsid w:val="00420C4C"/>
    <w:rsid w:val="00425546"/>
    <w:rsid w:val="00427964"/>
    <w:rsid w:val="004310FF"/>
    <w:rsid w:val="00433341"/>
    <w:rsid w:val="004342B0"/>
    <w:rsid w:val="00434840"/>
    <w:rsid w:val="00435360"/>
    <w:rsid w:val="0043602C"/>
    <w:rsid w:val="00437997"/>
    <w:rsid w:val="00437FCF"/>
    <w:rsid w:val="00440D57"/>
    <w:rsid w:val="004415B9"/>
    <w:rsid w:val="00444E74"/>
    <w:rsid w:val="00447ABD"/>
    <w:rsid w:val="004505BD"/>
    <w:rsid w:val="0045116D"/>
    <w:rsid w:val="004556EE"/>
    <w:rsid w:val="00455C25"/>
    <w:rsid w:val="00456060"/>
    <w:rsid w:val="004560DD"/>
    <w:rsid w:val="00461871"/>
    <w:rsid w:val="00462578"/>
    <w:rsid w:val="00464A9D"/>
    <w:rsid w:val="00464D2C"/>
    <w:rsid w:val="00464FF0"/>
    <w:rsid w:val="004739BF"/>
    <w:rsid w:val="004739D2"/>
    <w:rsid w:val="00474C1E"/>
    <w:rsid w:val="004839FB"/>
    <w:rsid w:val="004853A4"/>
    <w:rsid w:val="0048610A"/>
    <w:rsid w:val="00490D61"/>
    <w:rsid w:val="004942F7"/>
    <w:rsid w:val="00494B76"/>
    <w:rsid w:val="00496551"/>
    <w:rsid w:val="004967CF"/>
    <w:rsid w:val="004967D1"/>
    <w:rsid w:val="004A21C9"/>
    <w:rsid w:val="004A2993"/>
    <w:rsid w:val="004A4A7E"/>
    <w:rsid w:val="004A4DBF"/>
    <w:rsid w:val="004A7234"/>
    <w:rsid w:val="004B25C3"/>
    <w:rsid w:val="004B331A"/>
    <w:rsid w:val="004B59C7"/>
    <w:rsid w:val="004B6F2A"/>
    <w:rsid w:val="004C1B3E"/>
    <w:rsid w:val="004C45E0"/>
    <w:rsid w:val="004C7666"/>
    <w:rsid w:val="004D40CB"/>
    <w:rsid w:val="004D5542"/>
    <w:rsid w:val="004D6A87"/>
    <w:rsid w:val="004E0392"/>
    <w:rsid w:val="004E1727"/>
    <w:rsid w:val="004E579D"/>
    <w:rsid w:val="004E7D76"/>
    <w:rsid w:val="004F00E7"/>
    <w:rsid w:val="004F0210"/>
    <w:rsid w:val="004F62DD"/>
    <w:rsid w:val="005009A8"/>
    <w:rsid w:val="005023E7"/>
    <w:rsid w:val="00503AC4"/>
    <w:rsid w:val="0050522F"/>
    <w:rsid w:val="00505D34"/>
    <w:rsid w:val="005066E8"/>
    <w:rsid w:val="00506F09"/>
    <w:rsid w:val="00512597"/>
    <w:rsid w:val="00515722"/>
    <w:rsid w:val="00516975"/>
    <w:rsid w:val="0051719F"/>
    <w:rsid w:val="00517A06"/>
    <w:rsid w:val="00521073"/>
    <w:rsid w:val="00521F0B"/>
    <w:rsid w:val="005226C9"/>
    <w:rsid w:val="005228C8"/>
    <w:rsid w:val="00523C5C"/>
    <w:rsid w:val="005242CB"/>
    <w:rsid w:val="00524432"/>
    <w:rsid w:val="0053100D"/>
    <w:rsid w:val="005313F0"/>
    <w:rsid w:val="00531E1D"/>
    <w:rsid w:val="00532434"/>
    <w:rsid w:val="00532A53"/>
    <w:rsid w:val="00534132"/>
    <w:rsid w:val="00535F4E"/>
    <w:rsid w:val="00540407"/>
    <w:rsid w:val="00541C96"/>
    <w:rsid w:val="00541D12"/>
    <w:rsid w:val="005459C6"/>
    <w:rsid w:val="00546FEB"/>
    <w:rsid w:val="00554789"/>
    <w:rsid w:val="00554F4C"/>
    <w:rsid w:val="00556516"/>
    <w:rsid w:val="0055716C"/>
    <w:rsid w:val="005600B6"/>
    <w:rsid w:val="005621B1"/>
    <w:rsid w:val="00564076"/>
    <w:rsid w:val="00566323"/>
    <w:rsid w:val="00566B2F"/>
    <w:rsid w:val="005673F4"/>
    <w:rsid w:val="00567442"/>
    <w:rsid w:val="005704A4"/>
    <w:rsid w:val="00571D46"/>
    <w:rsid w:val="005725DE"/>
    <w:rsid w:val="00575BEE"/>
    <w:rsid w:val="00575CE9"/>
    <w:rsid w:val="00576D4F"/>
    <w:rsid w:val="0058175D"/>
    <w:rsid w:val="005857CF"/>
    <w:rsid w:val="00587046"/>
    <w:rsid w:val="005874F9"/>
    <w:rsid w:val="00587A76"/>
    <w:rsid w:val="00590114"/>
    <w:rsid w:val="00590D83"/>
    <w:rsid w:val="00590ED0"/>
    <w:rsid w:val="00591858"/>
    <w:rsid w:val="00594A81"/>
    <w:rsid w:val="005960AC"/>
    <w:rsid w:val="005A1423"/>
    <w:rsid w:val="005A2EA0"/>
    <w:rsid w:val="005A3D56"/>
    <w:rsid w:val="005A435D"/>
    <w:rsid w:val="005A43EE"/>
    <w:rsid w:val="005A4490"/>
    <w:rsid w:val="005A5C60"/>
    <w:rsid w:val="005B015E"/>
    <w:rsid w:val="005B1264"/>
    <w:rsid w:val="005B1B5F"/>
    <w:rsid w:val="005B3BCC"/>
    <w:rsid w:val="005B528A"/>
    <w:rsid w:val="005B5717"/>
    <w:rsid w:val="005B65EE"/>
    <w:rsid w:val="005B680C"/>
    <w:rsid w:val="005B68B3"/>
    <w:rsid w:val="005B6C02"/>
    <w:rsid w:val="005C2487"/>
    <w:rsid w:val="005C2E11"/>
    <w:rsid w:val="005C3AA3"/>
    <w:rsid w:val="005C5325"/>
    <w:rsid w:val="005C583E"/>
    <w:rsid w:val="005C5D4C"/>
    <w:rsid w:val="005C67E4"/>
    <w:rsid w:val="005C7698"/>
    <w:rsid w:val="005C7B04"/>
    <w:rsid w:val="005D4460"/>
    <w:rsid w:val="005D62F5"/>
    <w:rsid w:val="005D67F8"/>
    <w:rsid w:val="005D6C00"/>
    <w:rsid w:val="005D6F38"/>
    <w:rsid w:val="005D79A5"/>
    <w:rsid w:val="005D7AFF"/>
    <w:rsid w:val="005E084F"/>
    <w:rsid w:val="005E1E91"/>
    <w:rsid w:val="005E30F1"/>
    <w:rsid w:val="005E68A3"/>
    <w:rsid w:val="005F07D4"/>
    <w:rsid w:val="005F1052"/>
    <w:rsid w:val="005F4209"/>
    <w:rsid w:val="005F45C6"/>
    <w:rsid w:val="005F4696"/>
    <w:rsid w:val="005F4A8C"/>
    <w:rsid w:val="00601AA4"/>
    <w:rsid w:val="00601CCA"/>
    <w:rsid w:val="00602C6C"/>
    <w:rsid w:val="0060368B"/>
    <w:rsid w:val="0060518B"/>
    <w:rsid w:val="00605963"/>
    <w:rsid w:val="00605E0D"/>
    <w:rsid w:val="00605F1B"/>
    <w:rsid w:val="00607D3A"/>
    <w:rsid w:val="00611B18"/>
    <w:rsid w:val="00611DAB"/>
    <w:rsid w:val="00612D27"/>
    <w:rsid w:val="006132C6"/>
    <w:rsid w:val="006215E2"/>
    <w:rsid w:val="0062193C"/>
    <w:rsid w:val="00622989"/>
    <w:rsid w:val="00624E89"/>
    <w:rsid w:val="00625477"/>
    <w:rsid w:val="00625A6C"/>
    <w:rsid w:val="00627038"/>
    <w:rsid w:val="006308E0"/>
    <w:rsid w:val="00632EA4"/>
    <w:rsid w:val="0063367C"/>
    <w:rsid w:val="006342E7"/>
    <w:rsid w:val="0063527F"/>
    <w:rsid w:val="006371D6"/>
    <w:rsid w:val="006431C7"/>
    <w:rsid w:val="00644E8B"/>
    <w:rsid w:val="006458C4"/>
    <w:rsid w:val="006459A4"/>
    <w:rsid w:val="00647166"/>
    <w:rsid w:val="00652240"/>
    <w:rsid w:val="00654574"/>
    <w:rsid w:val="006550C3"/>
    <w:rsid w:val="00657E5D"/>
    <w:rsid w:val="0066346D"/>
    <w:rsid w:val="0066399F"/>
    <w:rsid w:val="0066404C"/>
    <w:rsid w:val="00664E3A"/>
    <w:rsid w:val="006659DF"/>
    <w:rsid w:val="006723B6"/>
    <w:rsid w:val="00672FFF"/>
    <w:rsid w:val="00673376"/>
    <w:rsid w:val="006739AB"/>
    <w:rsid w:val="00673C74"/>
    <w:rsid w:val="00674E45"/>
    <w:rsid w:val="00681EB0"/>
    <w:rsid w:val="00684961"/>
    <w:rsid w:val="00684EC4"/>
    <w:rsid w:val="0068551C"/>
    <w:rsid w:val="006856BE"/>
    <w:rsid w:val="00687CD5"/>
    <w:rsid w:val="00691135"/>
    <w:rsid w:val="006923A6"/>
    <w:rsid w:val="006923E3"/>
    <w:rsid w:val="006936D5"/>
    <w:rsid w:val="0069455E"/>
    <w:rsid w:val="00695F14"/>
    <w:rsid w:val="00696786"/>
    <w:rsid w:val="00696BA4"/>
    <w:rsid w:val="006A092F"/>
    <w:rsid w:val="006A3188"/>
    <w:rsid w:val="006A4E3B"/>
    <w:rsid w:val="006A5208"/>
    <w:rsid w:val="006B0644"/>
    <w:rsid w:val="006B0CE7"/>
    <w:rsid w:val="006B2433"/>
    <w:rsid w:val="006B25E3"/>
    <w:rsid w:val="006B5093"/>
    <w:rsid w:val="006B7ABB"/>
    <w:rsid w:val="006C0950"/>
    <w:rsid w:val="006C19B7"/>
    <w:rsid w:val="006C694C"/>
    <w:rsid w:val="006C74FE"/>
    <w:rsid w:val="006D304D"/>
    <w:rsid w:val="006D3673"/>
    <w:rsid w:val="006D49EE"/>
    <w:rsid w:val="006D524D"/>
    <w:rsid w:val="006D675B"/>
    <w:rsid w:val="006E3B1C"/>
    <w:rsid w:val="006E519C"/>
    <w:rsid w:val="006E5A81"/>
    <w:rsid w:val="006E5F28"/>
    <w:rsid w:val="006E79AD"/>
    <w:rsid w:val="006F038A"/>
    <w:rsid w:val="006F0F68"/>
    <w:rsid w:val="006F2107"/>
    <w:rsid w:val="006F2BB7"/>
    <w:rsid w:val="006F3506"/>
    <w:rsid w:val="006F51BE"/>
    <w:rsid w:val="006F5F8E"/>
    <w:rsid w:val="006F7701"/>
    <w:rsid w:val="0070206E"/>
    <w:rsid w:val="00703F34"/>
    <w:rsid w:val="0071080C"/>
    <w:rsid w:val="007108B5"/>
    <w:rsid w:val="00712056"/>
    <w:rsid w:val="00712227"/>
    <w:rsid w:val="0071409C"/>
    <w:rsid w:val="00714291"/>
    <w:rsid w:val="007154A3"/>
    <w:rsid w:val="007167C7"/>
    <w:rsid w:val="007200A5"/>
    <w:rsid w:val="007201FB"/>
    <w:rsid w:val="00720DC8"/>
    <w:rsid w:val="00721DBE"/>
    <w:rsid w:val="0072523B"/>
    <w:rsid w:val="00730971"/>
    <w:rsid w:val="00731116"/>
    <w:rsid w:val="00733611"/>
    <w:rsid w:val="00734068"/>
    <w:rsid w:val="007367F3"/>
    <w:rsid w:val="007372CF"/>
    <w:rsid w:val="00740263"/>
    <w:rsid w:val="007406FF"/>
    <w:rsid w:val="00740710"/>
    <w:rsid w:val="00740B91"/>
    <w:rsid w:val="00742C0F"/>
    <w:rsid w:val="0074337E"/>
    <w:rsid w:val="00744284"/>
    <w:rsid w:val="007443BB"/>
    <w:rsid w:val="00744A1A"/>
    <w:rsid w:val="00745528"/>
    <w:rsid w:val="0074736F"/>
    <w:rsid w:val="007532B7"/>
    <w:rsid w:val="007533D8"/>
    <w:rsid w:val="00754014"/>
    <w:rsid w:val="007567C8"/>
    <w:rsid w:val="007617ED"/>
    <w:rsid w:val="00762533"/>
    <w:rsid w:val="00764A0F"/>
    <w:rsid w:val="00771282"/>
    <w:rsid w:val="00772848"/>
    <w:rsid w:val="00773B04"/>
    <w:rsid w:val="00775F9E"/>
    <w:rsid w:val="0077675B"/>
    <w:rsid w:val="00776A41"/>
    <w:rsid w:val="0077767D"/>
    <w:rsid w:val="00783084"/>
    <w:rsid w:val="00783B1D"/>
    <w:rsid w:val="00783C0B"/>
    <w:rsid w:val="00787966"/>
    <w:rsid w:val="007914A9"/>
    <w:rsid w:val="0079227F"/>
    <w:rsid w:val="00794DAC"/>
    <w:rsid w:val="00796575"/>
    <w:rsid w:val="007972FA"/>
    <w:rsid w:val="007974F6"/>
    <w:rsid w:val="00797E5B"/>
    <w:rsid w:val="007A1B23"/>
    <w:rsid w:val="007A38D4"/>
    <w:rsid w:val="007A4ADF"/>
    <w:rsid w:val="007B576A"/>
    <w:rsid w:val="007B5E19"/>
    <w:rsid w:val="007B6B3C"/>
    <w:rsid w:val="007B76CD"/>
    <w:rsid w:val="007C308B"/>
    <w:rsid w:val="007C352B"/>
    <w:rsid w:val="007C3C8E"/>
    <w:rsid w:val="007C431E"/>
    <w:rsid w:val="007C5158"/>
    <w:rsid w:val="007C58A3"/>
    <w:rsid w:val="007C612B"/>
    <w:rsid w:val="007C625E"/>
    <w:rsid w:val="007C6FEE"/>
    <w:rsid w:val="007C73F6"/>
    <w:rsid w:val="007D062A"/>
    <w:rsid w:val="007D0B22"/>
    <w:rsid w:val="007D36D7"/>
    <w:rsid w:val="007D3ABB"/>
    <w:rsid w:val="007D4BB6"/>
    <w:rsid w:val="007D618D"/>
    <w:rsid w:val="007D7BD0"/>
    <w:rsid w:val="007D7F1B"/>
    <w:rsid w:val="007E1CB2"/>
    <w:rsid w:val="007E288B"/>
    <w:rsid w:val="007E33E9"/>
    <w:rsid w:val="007E3D14"/>
    <w:rsid w:val="007E5444"/>
    <w:rsid w:val="007E5B2D"/>
    <w:rsid w:val="007E5ED4"/>
    <w:rsid w:val="007E5EF8"/>
    <w:rsid w:val="007E6668"/>
    <w:rsid w:val="007E6FA8"/>
    <w:rsid w:val="007F1192"/>
    <w:rsid w:val="007F294E"/>
    <w:rsid w:val="007F38D6"/>
    <w:rsid w:val="00801413"/>
    <w:rsid w:val="0080184F"/>
    <w:rsid w:val="008049BE"/>
    <w:rsid w:val="008054FD"/>
    <w:rsid w:val="00805BC2"/>
    <w:rsid w:val="00805D0F"/>
    <w:rsid w:val="00806097"/>
    <w:rsid w:val="008068BB"/>
    <w:rsid w:val="00812C4F"/>
    <w:rsid w:val="00813BD3"/>
    <w:rsid w:val="00816282"/>
    <w:rsid w:val="00816D19"/>
    <w:rsid w:val="00821590"/>
    <w:rsid w:val="00822115"/>
    <w:rsid w:val="008224CF"/>
    <w:rsid w:val="008239E3"/>
    <w:rsid w:val="00823D78"/>
    <w:rsid w:val="00823FFD"/>
    <w:rsid w:val="00824C51"/>
    <w:rsid w:val="00825164"/>
    <w:rsid w:val="00825AE1"/>
    <w:rsid w:val="00825E2E"/>
    <w:rsid w:val="00826FCA"/>
    <w:rsid w:val="00832C3F"/>
    <w:rsid w:val="00836D26"/>
    <w:rsid w:val="00836F1C"/>
    <w:rsid w:val="008378D0"/>
    <w:rsid w:val="00837F39"/>
    <w:rsid w:val="00841809"/>
    <w:rsid w:val="00843B80"/>
    <w:rsid w:val="00852B1E"/>
    <w:rsid w:val="00852DC1"/>
    <w:rsid w:val="00854006"/>
    <w:rsid w:val="0085400A"/>
    <w:rsid w:val="008542C0"/>
    <w:rsid w:val="00856063"/>
    <w:rsid w:val="00857791"/>
    <w:rsid w:val="0086035A"/>
    <w:rsid w:val="0086067C"/>
    <w:rsid w:val="00860682"/>
    <w:rsid w:val="00861EA3"/>
    <w:rsid w:val="008655C1"/>
    <w:rsid w:val="00865A9A"/>
    <w:rsid w:val="00866D2F"/>
    <w:rsid w:val="00870580"/>
    <w:rsid w:val="00872300"/>
    <w:rsid w:val="00872B35"/>
    <w:rsid w:val="008732EE"/>
    <w:rsid w:val="008740FA"/>
    <w:rsid w:val="00875077"/>
    <w:rsid w:val="00875F27"/>
    <w:rsid w:val="008760B3"/>
    <w:rsid w:val="00876B70"/>
    <w:rsid w:val="008838FE"/>
    <w:rsid w:val="0088407F"/>
    <w:rsid w:val="00884B45"/>
    <w:rsid w:val="00885859"/>
    <w:rsid w:val="0088627F"/>
    <w:rsid w:val="008874A5"/>
    <w:rsid w:val="00890062"/>
    <w:rsid w:val="00890E8D"/>
    <w:rsid w:val="00892249"/>
    <w:rsid w:val="00897893"/>
    <w:rsid w:val="008A0267"/>
    <w:rsid w:val="008A107C"/>
    <w:rsid w:val="008A1B07"/>
    <w:rsid w:val="008A36DB"/>
    <w:rsid w:val="008A4B8F"/>
    <w:rsid w:val="008A5150"/>
    <w:rsid w:val="008A704B"/>
    <w:rsid w:val="008A7387"/>
    <w:rsid w:val="008B1394"/>
    <w:rsid w:val="008B29AB"/>
    <w:rsid w:val="008B2AED"/>
    <w:rsid w:val="008B3975"/>
    <w:rsid w:val="008B5D39"/>
    <w:rsid w:val="008B5DC1"/>
    <w:rsid w:val="008B648C"/>
    <w:rsid w:val="008B6A54"/>
    <w:rsid w:val="008B6B4A"/>
    <w:rsid w:val="008C0E9C"/>
    <w:rsid w:val="008C1A7F"/>
    <w:rsid w:val="008C2B63"/>
    <w:rsid w:val="008C73D7"/>
    <w:rsid w:val="008C76A1"/>
    <w:rsid w:val="008C7FB0"/>
    <w:rsid w:val="008D0771"/>
    <w:rsid w:val="008D2410"/>
    <w:rsid w:val="008D2724"/>
    <w:rsid w:val="008D5138"/>
    <w:rsid w:val="008D7151"/>
    <w:rsid w:val="008E1326"/>
    <w:rsid w:val="008E1E47"/>
    <w:rsid w:val="008E1F02"/>
    <w:rsid w:val="008E2243"/>
    <w:rsid w:val="008E305C"/>
    <w:rsid w:val="008E36D1"/>
    <w:rsid w:val="008E54BE"/>
    <w:rsid w:val="008E6A7A"/>
    <w:rsid w:val="008E6C40"/>
    <w:rsid w:val="008E714C"/>
    <w:rsid w:val="008E77E0"/>
    <w:rsid w:val="008E78CE"/>
    <w:rsid w:val="008F3C76"/>
    <w:rsid w:val="008F5579"/>
    <w:rsid w:val="008F5ED9"/>
    <w:rsid w:val="008F5FC9"/>
    <w:rsid w:val="008F6DB7"/>
    <w:rsid w:val="008F78FC"/>
    <w:rsid w:val="00904E3B"/>
    <w:rsid w:val="009070DB"/>
    <w:rsid w:val="00907332"/>
    <w:rsid w:val="00907808"/>
    <w:rsid w:val="00913902"/>
    <w:rsid w:val="00914570"/>
    <w:rsid w:val="0091526A"/>
    <w:rsid w:val="0091630E"/>
    <w:rsid w:val="009166FB"/>
    <w:rsid w:val="00922715"/>
    <w:rsid w:val="00923094"/>
    <w:rsid w:val="00924559"/>
    <w:rsid w:val="00924652"/>
    <w:rsid w:val="00926B99"/>
    <w:rsid w:val="0092714D"/>
    <w:rsid w:val="009314F5"/>
    <w:rsid w:val="00931589"/>
    <w:rsid w:val="00932710"/>
    <w:rsid w:val="00933472"/>
    <w:rsid w:val="00933911"/>
    <w:rsid w:val="0093473A"/>
    <w:rsid w:val="00935948"/>
    <w:rsid w:val="00935C05"/>
    <w:rsid w:val="00935CD0"/>
    <w:rsid w:val="00936ACD"/>
    <w:rsid w:val="00936C3F"/>
    <w:rsid w:val="00937D7A"/>
    <w:rsid w:val="00941A89"/>
    <w:rsid w:val="009420BF"/>
    <w:rsid w:val="00942365"/>
    <w:rsid w:val="00942BF3"/>
    <w:rsid w:val="00945C0F"/>
    <w:rsid w:val="00945CAD"/>
    <w:rsid w:val="009468F1"/>
    <w:rsid w:val="0095133E"/>
    <w:rsid w:val="009530E3"/>
    <w:rsid w:val="00953C2C"/>
    <w:rsid w:val="009552F8"/>
    <w:rsid w:val="0095606D"/>
    <w:rsid w:val="00956168"/>
    <w:rsid w:val="00957218"/>
    <w:rsid w:val="009621CB"/>
    <w:rsid w:val="00962CBB"/>
    <w:rsid w:val="009660DB"/>
    <w:rsid w:val="0096723E"/>
    <w:rsid w:val="00970DF7"/>
    <w:rsid w:val="0097228B"/>
    <w:rsid w:val="00973624"/>
    <w:rsid w:val="00973ABE"/>
    <w:rsid w:val="00974569"/>
    <w:rsid w:val="00975A38"/>
    <w:rsid w:val="00976707"/>
    <w:rsid w:val="0098024C"/>
    <w:rsid w:val="00981013"/>
    <w:rsid w:val="009810FF"/>
    <w:rsid w:val="00982D40"/>
    <w:rsid w:val="00982E3E"/>
    <w:rsid w:val="00986428"/>
    <w:rsid w:val="00990160"/>
    <w:rsid w:val="00991487"/>
    <w:rsid w:val="00991CEE"/>
    <w:rsid w:val="00992137"/>
    <w:rsid w:val="009925E7"/>
    <w:rsid w:val="00992844"/>
    <w:rsid w:val="00993C87"/>
    <w:rsid w:val="00997575"/>
    <w:rsid w:val="009A10FA"/>
    <w:rsid w:val="009A1AF6"/>
    <w:rsid w:val="009A2400"/>
    <w:rsid w:val="009A37FC"/>
    <w:rsid w:val="009A4946"/>
    <w:rsid w:val="009A5D21"/>
    <w:rsid w:val="009A7C7F"/>
    <w:rsid w:val="009B2745"/>
    <w:rsid w:val="009B2C86"/>
    <w:rsid w:val="009B3162"/>
    <w:rsid w:val="009B3819"/>
    <w:rsid w:val="009B5765"/>
    <w:rsid w:val="009B68AC"/>
    <w:rsid w:val="009B7BD3"/>
    <w:rsid w:val="009B7C45"/>
    <w:rsid w:val="009C3A51"/>
    <w:rsid w:val="009C58D5"/>
    <w:rsid w:val="009C5CEE"/>
    <w:rsid w:val="009C7628"/>
    <w:rsid w:val="009D0E88"/>
    <w:rsid w:val="009D153F"/>
    <w:rsid w:val="009D1D1F"/>
    <w:rsid w:val="009D2C8C"/>
    <w:rsid w:val="009D2F4E"/>
    <w:rsid w:val="009D41A0"/>
    <w:rsid w:val="009D44E1"/>
    <w:rsid w:val="009D609A"/>
    <w:rsid w:val="009D6406"/>
    <w:rsid w:val="009D65DF"/>
    <w:rsid w:val="009D72DD"/>
    <w:rsid w:val="009D7D67"/>
    <w:rsid w:val="009E24F3"/>
    <w:rsid w:val="009E366C"/>
    <w:rsid w:val="009E4BC2"/>
    <w:rsid w:val="009E5B2B"/>
    <w:rsid w:val="009E69F1"/>
    <w:rsid w:val="009E6AFD"/>
    <w:rsid w:val="009E71F0"/>
    <w:rsid w:val="009F0A5E"/>
    <w:rsid w:val="009F0E91"/>
    <w:rsid w:val="009F1394"/>
    <w:rsid w:val="009F29F1"/>
    <w:rsid w:val="009F4063"/>
    <w:rsid w:val="009F450E"/>
    <w:rsid w:val="009F49FC"/>
    <w:rsid w:val="009F55C8"/>
    <w:rsid w:val="00A00D2D"/>
    <w:rsid w:val="00A04912"/>
    <w:rsid w:val="00A04972"/>
    <w:rsid w:val="00A07BFC"/>
    <w:rsid w:val="00A1117A"/>
    <w:rsid w:val="00A126C3"/>
    <w:rsid w:val="00A15E65"/>
    <w:rsid w:val="00A16D8F"/>
    <w:rsid w:val="00A2342F"/>
    <w:rsid w:val="00A23D08"/>
    <w:rsid w:val="00A24C6D"/>
    <w:rsid w:val="00A259E7"/>
    <w:rsid w:val="00A27069"/>
    <w:rsid w:val="00A30CB5"/>
    <w:rsid w:val="00A3292F"/>
    <w:rsid w:val="00A32B1D"/>
    <w:rsid w:val="00A33048"/>
    <w:rsid w:val="00A34B34"/>
    <w:rsid w:val="00A35320"/>
    <w:rsid w:val="00A356FE"/>
    <w:rsid w:val="00A40183"/>
    <w:rsid w:val="00A43D8A"/>
    <w:rsid w:val="00A4598F"/>
    <w:rsid w:val="00A47CB4"/>
    <w:rsid w:val="00A47E80"/>
    <w:rsid w:val="00A47F06"/>
    <w:rsid w:val="00A518A9"/>
    <w:rsid w:val="00A5191F"/>
    <w:rsid w:val="00A528E9"/>
    <w:rsid w:val="00A536AD"/>
    <w:rsid w:val="00A542A5"/>
    <w:rsid w:val="00A62B50"/>
    <w:rsid w:val="00A62C25"/>
    <w:rsid w:val="00A65564"/>
    <w:rsid w:val="00A664E2"/>
    <w:rsid w:val="00A70039"/>
    <w:rsid w:val="00A70123"/>
    <w:rsid w:val="00A7202B"/>
    <w:rsid w:val="00A73312"/>
    <w:rsid w:val="00A747F1"/>
    <w:rsid w:val="00A750E5"/>
    <w:rsid w:val="00A754DA"/>
    <w:rsid w:val="00A7607D"/>
    <w:rsid w:val="00A77075"/>
    <w:rsid w:val="00A84CB0"/>
    <w:rsid w:val="00A908E5"/>
    <w:rsid w:val="00A93578"/>
    <w:rsid w:val="00A94810"/>
    <w:rsid w:val="00AA0EC3"/>
    <w:rsid w:val="00AA142E"/>
    <w:rsid w:val="00AA3E0F"/>
    <w:rsid w:val="00AA4EF8"/>
    <w:rsid w:val="00AA63D8"/>
    <w:rsid w:val="00AB3378"/>
    <w:rsid w:val="00AB3D5C"/>
    <w:rsid w:val="00AB4F51"/>
    <w:rsid w:val="00AB560C"/>
    <w:rsid w:val="00AB5A42"/>
    <w:rsid w:val="00AB7B33"/>
    <w:rsid w:val="00AC199D"/>
    <w:rsid w:val="00AC35CF"/>
    <w:rsid w:val="00AC4560"/>
    <w:rsid w:val="00AC6FE0"/>
    <w:rsid w:val="00AD0B5A"/>
    <w:rsid w:val="00AD2170"/>
    <w:rsid w:val="00AD25E3"/>
    <w:rsid w:val="00AD32FA"/>
    <w:rsid w:val="00AD47E1"/>
    <w:rsid w:val="00AD5857"/>
    <w:rsid w:val="00AD65FE"/>
    <w:rsid w:val="00AE25A4"/>
    <w:rsid w:val="00AE3F06"/>
    <w:rsid w:val="00AE7D80"/>
    <w:rsid w:val="00AE7E97"/>
    <w:rsid w:val="00AF05D6"/>
    <w:rsid w:val="00AF0A06"/>
    <w:rsid w:val="00AF22D7"/>
    <w:rsid w:val="00AF32AE"/>
    <w:rsid w:val="00AF365C"/>
    <w:rsid w:val="00AF3E8E"/>
    <w:rsid w:val="00AF449A"/>
    <w:rsid w:val="00AF55C9"/>
    <w:rsid w:val="00AF5672"/>
    <w:rsid w:val="00AF65A2"/>
    <w:rsid w:val="00AF6CB2"/>
    <w:rsid w:val="00AF6FF3"/>
    <w:rsid w:val="00AF705B"/>
    <w:rsid w:val="00B00830"/>
    <w:rsid w:val="00B0284B"/>
    <w:rsid w:val="00B102AE"/>
    <w:rsid w:val="00B102E6"/>
    <w:rsid w:val="00B12792"/>
    <w:rsid w:val="00B13B48"/>
    <w:rsid w:val="00B15A36"/>
    <w:rsid w:val="00B16E51"/>
    <w:rsid w:val="00B2397A"/>
    <w:rsid w:val="00B23AF1"/>
    <w:rsid w:val="00B23F58"/>
    <w:rsid w:val="00B24F48"/>
    <w:rsid w:val="00B24F78"/>
    <w:rsid w:val="00B27034"/>
    <w:rsid w:val="00B3002E"/>
    <w:rsid w:val="00B33477"/>
    <w:rsid w:val="00B41554"/>
    <w:rsid w:val="00B415C9"/>
    <w:rsid w:val="00B4212F"/>
    <w:rsid w:val="00B42478"/>
    <w:rsid w:val="00B42A2A"/>
    <w:rsid w:val="00B42EFD"/>
    <w:rsid w:val="00B440DC"/>
    <w:rsid w:val="00B44E8B"/>
    <w:rsid w:val="00B45032"/>
    <w:rsid w:val="00B45C2D"/>
    <w:rsid w:val="00B50CF6"/>
    <w:rsid w:val="00B51DE7"/>
    <w:rsid w:val="00B52E78"/>
    <w:rsid w:val="00B5316D"/>
    <w:rsid w:val="00B55A6D"/>
    <w:rsid w:val="00B5605A"/>
    <w:rsid w:val="00B57008"/>
    <w:rsid w:val="00B571B7"/>
    <w:rsid w:val="00B608CA"/>
    <w:rsid w:val="00B6111F"/>
    <w:rsid w:val="00B6115E"/>
    <w:rsid w:val="00B611B7"/>
    <w:rsid w:val="00B61B69"/>
    <w:rsid w:val="00B650E0"/>
    <w:rsid w:val="00B72397"/>
    <w:rsid w:val="00B72A25"/>
    <w:rsid w:val="00B7323D"/>
    <w:rsid w:val="00B752FB"/>
    <w:rsid w:val="00B76F7D"/>
    <w:rsid w:val="00B80B3F"/>
    <w:rsid w:val="00B817C8"/>
    <w:rsid w:val="00B832CC"/>
    <w:rsid w:val="00B83B41"/>
    <w:rsid w:val="00B85DF8"/>
    <w:rsid w:val="00B86C8F"/>
    <w:rsid w:val="00B87BAB"/>
    <w:rsid w:val="00B9280C"/>
    <w:rsid w:val="00B93CD3"/>
    <w:rsid w:val="00B94687"/>
    <w:rsid w:val="00BA0121"/>
    <w:rsid w:val="00BA0897"/>
    <w:rsid w:val="00BA55AF"/>
    <w:rsid w:val="00BA66D1"/>
    <w:rsid w:val="00BA73CB"/>
    <w:rsid w:val="00BB3C91"/>
    <w:rsid w:val="00BB6270"/>
    <w:rsid w:val="00BB6816"/>
    <w:rsid w:val="00BB6985"/>
    <w:rsid w:val="00BC0879"/>
    <w:rsid w:val="00BC0E83"/>
    <w:rsid w:val="00BC2219"/>
    <w:rsid w:val="00BC432A"/>
    <w:rsid w:val="00BC4AB7"/>
    <w:rsid w:val="00BC535D"/>
    <w:rsid w:val="00BC5A73"/>
    <w:rsid w:val="00BC616A"/>
    <w:rsid w:val="00BC660A"/>
    <w:rsid w:val="00BC69E5"/>
    <w:rsid w:val="00BC77FA"/>
    <w:rsid w:val="00BD0897"/>
    <w:rsid w:val="00BD0E96"/>
    <w:rsid w:val="00BD1973"/>
    <w:rsid w:val="00BD44A8"/>
    <w:rsid w:val="00BD50F5"/>
    <w:rsid w:val="00BD6FDD"/>
    <w:rsid w:val="00BD748D"/>
    <w:rsid w:val="00BE0C8E"/>
    <w:rsid w:val="00BE4D00"/>
    <w:rsid w:val="00BE755D"/>
    <w:rsid w:val="00BF0252"/>
    <w:rsid w:val="00BF0F3C"/>
    <w:rsid w:val="00BF1159"/>
    <w:rsid w:val="00BF15F2"/>
    <w:rsid w:val="00BF1930"/>
    <w:rsid w:val="00BF6680"/>
    <w:rsid w:val="00BF67F2"/>
    <w:rsid w:val="00BF75E8"/>
    <w:rsid w:val="00BF79AC"/>
    <w:rsid w:val="00C004C3"/>
    <w:rsid w:val="00C00827"/>
    <w:rsid w:val="00C02084"/>
    <w:rsid w:val="00C025E2"/>
    <w:rsid w:val="00C033EF"/>
    <w:rsid w:val="00C048AE"/>
    <w:rsid w:val="00C04EA9"/>
    <w:rsid w:val="00C07A80"/>
    <w:rsid w:val="00C10C1B"/>
    <w:rsid w:val="00C115C3"/>
    <w:rsid w:val="00C116D3"/>
    <w:rsid w:val="00C129B3"/>
    <w:rsid w:val="00C12E03"/>
    <w:rsid w:val="00C146DF"/>
    <w:rsid w:val="00C15D6C"/>
    <w:rsid w:val="00C15F60"/>
    <w:rsid w:val="00C160B7"/>
    <w:rsid w:val="00C232B7"/>
    <w:rsid w:val="00C23999"/>
    <w:rsid w:val="00C2518E"/>
    <w:rsid w:val="00C25692"/>
    <w:rsid w:val="00C26BFE"/>
    <w:rsid w:val="00C26E3A"/>
    <w:rsid w:val="00C27F6D"/>
    <w:rsid w:val="00C30EF0"/>
    <w:rsid w:val="00C34EC1"/>
    <w:rsid w:val="00C35D58"/>
    <w:rsid w:val="00C36B40"/>
    <w:rsid w:val="00C3747A"/>
    <w:rsid w:val="00C45CA0"/>
    <w:rsid w:val="00C45E91"/>
    <w:rsid w:val="00C46D1D"/>
    <w:rsid w:val="00C507BE"/>
    <w:rsid w:val="00C50C56"/>
    <w:rsid w:val="00C5555F"/>
    <w:rsid w:val="00C55D55"/>
    <w:rsid w:val="00C569CB"/>
    <w:rsid w:val="00C56C7A"/>
    <w:rsid w:val="00C6093E"/>
    <w:rsid w:val="00C627C7"/>
    <w:rsid w:val="00C64E00"/>
    <w:rsid w:val="00C651BF"/>
    <w:rsid w:val="00C71E56"/>
    <w:rsid w:val="00C7320F"/>
    <w:rsid w:val="00C77343"/>
    <w:rsid w:val="00C82EBC"/>
    <w:rsid w:val="00C85ED7"/>
    <w:rsid w:val="00C86968"/>
    <w:rsid w:val="00C8706B"/>
    <w:rsid w:val="00C90493"/>
    <w:rsid w:val="00C906D7"/>
    <w:rsid w:val="00C90DC3"/>
    <w:rsid w:val="00C9106B"/>
    <w:rsid w:val="00C91735"/>
    <w:rsid w:val="00C932A5"/>
    <w:rsid w:val="00C942D9"/>
    <w:rsid w:val="00C943D3"/>
    <w:rsid w:val="00C94BF3"/>
    <w:rsid w:val="00C94D6C"/>
    <w:rsid w:val="00C967D2"/>
    <w:rsid w:val="00C96F4C"/>
    <w:rsid w:val="00C973CC"/>
    <w:rsid w:val="00CA07A9"/>
    <w:rsid w:val="00CA1AFD"/>
    <w:rsid w:val="00CA1C22"/>
    <w:rsid w:val="00CA261C"/>
    <w:rsid w:val="00CA3498"/>
    <w:rsid w:val="00CA53F7"/>
    <w:rsid w:val="00CA6E43"/>
    <w:rsid w:val="00CA70FD"/>
    <w:rsid w:val="00CA7977"/>
    <w:rsid w:val="00CB1693"/>
    <w:rsid w:val="00CB1868"/>
    <w:rsid w:val="00CB1CFF"/>
    <w:rsid w:val="00CB23D2"/>
    <w:rsid w:val="00CB2B2F"/>
    <w:rsid w:val="00CB409C"/>
    <w:rsid w:val="00CB47BB"/>
    <w:rsid w:val="00CB50F5"/>
    <w:rsid w:val="00CC0678"/>
    <w:rsid w:val="00CC554F"/>
    <w:rsid w:val="00CC63BD"/>
    <w:rsid w:val="00CC698E"/>
    <w:rsid w:val="00CC7AD0"/>
    <w:rsid w:val="00CD02D0"/>
    <w:rsid w:val="00CD25EC"/>
    <w:rsid w:val="00CD29E2"/>
    <w:rsid w:val="00CD3C90"/>
    <w:rsid w:val="00CD3E58"/>
    <w:rsid w:val="00CD4E85"/>
    <w:rsid w:val="00CD7084"/>
    <w:rsid w:val="00CE09E1"/>
    <w:rsid w:val="00CE0A7C"/>
    <w:rsid w:val="00CE4836"/>
    <w:rsid w:val="00CE7441"/>
    <w:rsid w:val="00CF07AB"/>
    <w:rsid w:val="00CF13BC"/>
    <w:rsid w:val="00CF2075"/>
    <w:rsid w:val="00CF35CD"/>
    <w:rsid w:val="00CF40C8"/>
    <w:rsid w:val="00CF41C9"/>
    <w:rsid w:val="00CF5D3B"/>
    <w:rsid w:val="00CF6775"/>
    <w:rsid w:val="00CF71C5"/>
    <w:rsid w:val="00CF71F8"/>
    <w:rsid w:val="00D05876"/>
    <w:rsid w:val="00D05F22"/>
    <w:rsid w:val="00D066A8"/>
    <w:rsid w:val="00D103F9"/>
    <w:rsid w:val="00D10D07"/>
    <w:rsid w:val="00D12144"/>
    <w:rsid w:val="00D128EF"/>
    <w:rsid w:val="00D1302A"/>
    <w:rsid w:val="00D13AD2"/>
    <w:rsid w:val="00D158F2"/>
    <w:rsid w:val="00D16B9B"/>
    <w:rsid w:val="00D17838"/>
    <w:rsid w:val="00D17986"/>
    <w:rsid w:val="00D209EF"/>
    <w:rsid w:val="00D20C86"/>
    <w:rsid w:val="00D2112F"/>
    <w:rsid w:val="00D213EC"/>
    <w:rsid w:val="00D2289A"/>
    <w:rsid w:val="00D22E06"/>
    <w:rsid w:val="00D2571B"/>
    <w:rsid w:val="00D25AA2"/>
    <w:rsid w:val="00D25CDF"/>
    <w:rsid w:val="00D265E8"/>
    <w:rsid w:val="00D31618"/>
    <w:rsid w:val="00D31722"/>
    <w:rsid w:val="00D3217C"/>
    <w:rsid w:val="00D346E6"/>
    <w:rsid w:val="00D349AD"/>
    <w:rsid w:val="00D3502E"/>
    <w:rsid w:val="00D35056"/>
    <w:rsid w:val="00D3641B"/>
    <w:rsid w:val="00D40746"/>
    <w:rsid w:val="00D407B8"/>
    <w:rsid w:val="00D43D53"/>
    <w:rsid w:val="00D51521"/>
    <w:rsid w:val="00D5565E"/>
    <w:rsid w:val="00D6129E"/>
    <w:rsid w:val="00D65A3F"/>
    <w:rsid w:val="00D65DA8"/>
    <w:rsid w:val="00D661E4"/>
    <w:rsid w:val="00D66455"/>
    <w:rsid w:val="00D665BF"/>
    <w:rsid w:val="00D66A0C"/>
    <w:rsid w:val="00D673B8"/>
    <w:rsid w:val="00D702B1"/>
    <w:rsid w:val="00D7264A"/>
    <w:rsid w:val="00D7306A"/>
    <w:rsid w:val="00D7306B"/>
    <w:rsid w:val="00D73684"/>
    <w:rsid w:val="00D74AC1"/>
    <w:rsid w:val="00D74E61"/>
    <w:rsid w:val="00D8010B"/>
    <w:rsid w:val="00D82B16"/>
    <w:rsid w:val="00D8366B"/>
    <w:rsid w:val="00D83E9D"/>
    <w:rsid w:val="00D8444A"/>
    <w:rsid w:val="00D87599"/>
    <w:rsid w:val="00D8796B"/>
    <w:rsid w:val="00D87D0C"/>
    <w:rsid w:val="00D911A9"/>
    <w:rsid w:val="00D92392"/>
    <w:rsid w:val="00D923E9"/>
    <w:rsid w:val="00D9295A"/>
    <w:rsid w:val="00D943FF"/>
    <w:rsid w:val="00D95107"/>
    <w:rsid w:val="00D961AA"/>
    <w:rsid w:val="00DA0F98"/>
    <w:rsid w:val="00DA11A1"/>
    <w:rsid w:val="00DA3B11"/>
    <w:rsid w:val="00DA4D5B"/>
    <w:rsid w:val="00DA72ED"/>
    <w:rsid w:val="00DA7C10"/>
    <w:rsid w:val="00DB2245"/>
    <w:rsid w:val="00DB3AAD"/>
    <w:rsid w:val="00DB40D7"/>
    <w:rsid w:val="00DB4F65"/>
    <w:rsid w:val="00DB70DB"/>
    <w:rsid w:val="00DB749B"/>
    <w:rsid w:val="00DC06F7"/>
    <w:rsid w:val="00DC64BA"/>
    <w:rsid w:val="00DC68E5"/>
    <w:rsid w:val="00DC6986"/>
    <w:rsid w:val="00DC6C38"/>
    <w:rsid w:val="00DC707F"/>
    <w:rsid w:val="00DD02C5"/>
    <w:rsid w:val="00DD07AF"/>
    <w:rsid w:val="00DD119F"/>
    <w:rsid w:val="00DD33FB"/>
    <w:rsid w:val="00DD6434"/>
    <w:rsid w:val="00DD6C1E"/>
    <w:rsid w:val="00DD79D0"/>
    <w:rsid w:val="00DE11A0"/>
    <w:rsid w:val="00DE11F0"/>
    <w:rsid w:val="00DE2CCF"/>
    <w:rsid w:val="00DE4453"/>
    <w:rsid w:val="00DE63D1"/>
    <w:rsid w:val="00DE6B7B"/>
    <w:rsid w:val="00DE72F7"/>
    <w:rsid w:val="00DF058C"/>
    <w:rsid w:val="00DF09B1"/>
    <w:rsid w:val="00DF16D5"/>
    <w:rsid w:val="00DF4DB9"/>
    <w:rsid w:val="00DF57CB"/>
    <w:rsid w:val="00DF6F9F"/>
    <w:rsid w:val="00E011C7"/>
    <w:rsid w:val="00E011F0"/>
    <w:rsid w:val="00E02490"/>
    <w:rsid w:val="00E026BC"/>
    <w:rsid w:val="00E04F59"/>
    <w:rsid w:val="00E0504C"/>
    <w:rsid w:val="00E0723E"/>
    <w:rsid w:val="00E11826"/>
    <w:rsid w:val="00E12C34"/>
    <w:rsid w:val="00E1542A"/>
    <w:rsid w:val="00E15F2C"/>
    <w:rsid w:val="00E16823"/>
    <w:rsid w:val="00E172B5"/>
    <w:rsid w:val="00E17E8D"/>
    <w:rsid w:val="00E208A5"/>
    <w:rsid w:val="00E22201"/>
    <w:rsid w:val="00E26F6E"/>
    <w:rsid w:val="00E31F35"/>
    <w:rsid w:val="00E332E2"/>
    <w:rsid w:val="00E33A67"/>
    <w:rsid w:val="00E35422"/>
    <w:rsid w:val="00E35711"/>
    <w:rsid w:val="00E37677"/>
    <w:rsid w:val="00E3794B"/>
    <w:rsid w:val="00E37E84"/>
    <w:rsid w:val="00E41766"/>
    <w:rsid w:val="00E41E1C"/>
    <w:rsid w:val="00E457B8"/>
    <w:rsid w:val="00E50415"/>
    <w:rsid w:val="00E51AD3"/>
    <w:rsid w:val="00E51D4C"/>
    <w:rsid w:val="00E520E3"/>
    <w:rsid w:val="00E54143"/>
    <w:rsid w:val="00E54E4F"/>
    <w:rsid w:val="00E57369"/>
    <w:rsid w:val="00E618D4"/>
    <w:rsid w:val="00E62F1A"/>
    <w:rsid w:val="00E6336A"/>
    <w:rsid w:val="00E639CE"/>
    <w:rsid w:val="00E6439A"/>
    <w:rsid w:val="00E700EC"/>
    <w:rsid w:val="00E7011B"/>
    <w:rsid w:val="00E707A2"/>
    <w:rsid w:val="00E72124"/>
    <w:rsid w:val="00E75B06"/>
    <w:rsid w:val="00E760B7"/>
    <w:rsid w:val="00E76AC2"/>
    <w:rsid w:val="00E7775E"/>
    <w:rsid w:val="00E83CEC"/>
    <w:rsid w:val="00E84B03"/>
    <w:rsid w:val="00E860A5"/>
    <w:rsid w:val="00E869DB"/>
    <w:rsid w:val="00E86F7F"/>
    <w:rsid w:val="00E903A6"/>
    <w:rsid w:val="00E914BA"/>
    <w:rsid w:val="00E92B02"/>
    <w:rsid w:val="00E9606D"/>
    <w:rsid w:val="00EA0254"/>
    <w:rsid w:val="00EA1819"/>
    <w:rsid w:val="00EA2995"/>
    <w:rsid w:val="00EA478A"/>
    <w:rsid w:val="00EA5D5A"/>
    <w:rsid w:val="00EA5FD6"/>
    <w:rsid w:val="00EB1024"/>
    <w:rsid w:val="00EB2C73"/>
    <w:rsid w:val="00EB2E10"/>
    <w:rsid w:val="00EB426E"/>
    <w:rsid w:val="00EB5054"/>
    <w:rsid w:val="00EB5429"/>
    <w:rsid w:val="00EB55C1"/>
    <w:rsid w:val="00EB5BC8"/>
    <w:rsid w:val="00EB6933"/>
    <w:rsid w:val="00EB7DC2"/>
    <w:rsid w:val="00EB7DCF"/>
    <w:rsid w:val="00EB7E90"/>
    <w:rsid w:val="00EC13B7"/>
    <w:rsid w:val="00EC1CF9"/>
    <w:rsid w:val="00EC29BE"/>
    <w:rsid w:val="00EC3743"/>
    <w:rsid w:val="00EC5BD0"/>
    <w:rsid w:val="00ED1156"/>
    <w:rsid w:val="00ED2D37"/>
    <w:rsid w:val="00ED3B6A"/>
    <w:rsid w:val="00ED40B2"/>
    <w:rsid w:val="00ED53C9"/>
    <w:rsid w:val="00ED68A0"/>
    <w:rsid w:val="00EE2CA7"/>
    <w:rsid w:val="00EE4143"/>
    <w:rsid w:val="00EE43BA"/>
    <w:rsid w:val="00EE6A18"/>
    <w:rsid w:val="00EE7DE4"/>
    <w:rsid w:val="00EF0127"/>
    <w:rsid w:val="00EF0800"/>
    <w:rsid w:val="00EF1060"/>
    <w:rsid w:val="00EF20CE"/>
    <w:rsid w:val="00EF5119"/>
    <w:rsid w:val="00EF660F"/>
    <w:rsid w:val="00EF66E8"/>
    <w:rsid w:val="00EF6E4A"/>
    <w:rsid w:val="00F005DA"/>
    <w:rsid w:val="00F006A2"/>
    <w:rsid w:val="00F01124"/>
    <w:rsid w:val="00F021D4"/>
    <w:rsid w:val="00F03B94"/>
    <w:rsid w:val="00F0506A"/>
    <w:rsid w:val="00F06F18"/>
    <w:rsid w:val="00F071E2"/>
    <w:rsid w:val="00F15883"/>
    <w:rsid w:val="00F16ED4"/>
    <w:rsid w:val="00F17FE2"/>
    <w:rsid w:val="00F22015"/>
    <w:rsid w:val="00F230A6"/>
    <w:rsid w:val="00F271F4"/>
    <w:rsid w:val="00F2734E"/>
    <w:rsid w:val="00F273D6"/>
    <w:rsid w:val="00F304ED"/>
    <w:rsid w:val="00F32D07"/>
    <w:rsid w:val="00F32FF9"/>
    <w:rsid w:val="00F347FE"/>
    <w:rsid w:val="00F36810"/>
    <w:rsid w:val="00F37176"/>
    <w:rsid w:val="00F41B9C"/>
    <w:rsid w:val="00F42768"/>
    <w:rsid w:val="00F43499"/>
    <w:rsid w:val="00F43D93"/>
    <w:rsid w:val="00F44F4A"/>
    <w:rsid w:val="00F45925"/>
    <w:rsid w:val="00F45979"/>
    <w:rsid w:val="00F45A92"/>
    <w:rsid w:val="00F471B6"/>
    <w:rsid w:val="00F50FCB"/>
    <w:rsid w:val="00F51439"/>
    <w:rsid w:val="00F51B0E"/>
    <w:rsid w:val="00F51BB9"/>
    <w:rsid w:val="00F537B5"/>
    <w:rsid w:val="00F53F63"/>
    <w:rsid w:val="00F54175"/>
    <w:rsid w:val="00F5500C"/>
    <w:rsid w:val="00F55220"/>
    <w:rsid w:val="00F561BB"/>
    <w:rsid w:val="00F56FA1"/>
    <w:rsid w:val="00F57BBE"/>
    <w:rsid w:val="00F60EED"/>
    <w:rsid w:val="00F64E94"/>
    <w:rsid w:val="00F658E8"/>
    <w:rsid w:val="00F65C55"/>
    <w:rsid w:val="00F70AF1"/>
    <w:rsid w:val="00F725A3"/>
    <w:rsid w:val="00F732C4"/>
    <w:rsid w:val="00F75492"/>
    <w:rsid w:val="00F75EFF"/>
    <w:rsid w:val="00F761FA"/>
    <w:rsid w:val="00F76EAF"/>
    <w:rsid w:val="00F80B9A"/>
    <w:rsid w:val="00F80EA2"/>
    <w:rsid w:val="00F83294"/>
    <w:rsid w:val="00F838CE"/>
    <w:rsid w:val="00F84052"/>
    <w:rsid w:val="00F84119"/>
    <w:rsid w:val="00F856CA"/>
    <w:rsid w:val="00F85B8C"/>
    <w:rsid w:val="00F90768"/>
    <w:rsid w:val="00F90838"/>
    <w:rsid w:val="00F91D4F"/>
    <w:rsid w:val="00F93B2F"/>
    <w:rsid w:val="00F940D9"/>
    <w:rsid w:val="00F94982"/>
    <w:rsid w:val="00F96CE1"/>
    <w:rsid w:val="00FA4A0D"/>
    <w:rsid w:val="00FA6584"/>
    <w:rsid w:val="00FB1612"/>
    <w:rsid w:val="00FB2D03"/>
    <w:rsid w:val="00FB4873"/>
    <w:rsid w:val="00FB55ED"/>
    <w:rsid w:val="00FC0BAC"/>
    <w:rsid w:val="00FC1EA8"/>
    <w:rsid w:val="00FC2504"/>
    <w:rsid w:val="00FC3DB2"/>
    <w:rsid w:val="00FC3E81"/>
    <w:rsid w:val="00FC4C19"/>
    <w:rsid w:val="00FC5AB9"/>
    <w:rsid w:val="00FC6482"/>
    <w:rsid w:val="00FC7228"/>
    <w:rsid w:val="00FD0A33"/>
    <w:rsid w:val="00FD102B"/>
    <w:rsid w:val="00FD1C22"/>
    <w:rsid w:val="00FD4AE8"/>
    <w:rsid w:val="00FD55E1"/>
    <w:rsid w:val="00FD6061"/>
    <w:rsid w:val="00FD650F"/>
    <w:rsid w:val="00FD6AC5"/>
    <w:rsid w:val="00FD71A2"/>
    <w:rsid w:val="00FD7F09"/>
    <w:rsid w:val="00FE26CC"/>
    <w:rsid w:val="00FE2779"/>
    <w:rsid w:val="00FE2A1C"/>
    <w:rsid w:val="00FE4164"/>
    <w:rsid w:val="00FE4232"/>
    <w:rsid w:val="00FE6FEC"/>
    <w:rsid w:val="00FE7684"/>
    <w:rsid w:val="00FF063C"/>
    <w:rsid w:val="00FF2502"/>
    <w:rsid w:val="00FF2D6D"/>
    <w:rsid w:val="00FF40C5"/>
    <w:rsid w:val="00FF46AF"/>
    <w:rsid w:val="00FF61E9"/>
    <w:rsid w:val="00FF6916"/>
    <w:rsid w:val="00FF7584"/>
    <w:rsid w:val="011F09A2"/>
    <w:rsid w:val="01D53E1F"/>
    <w:rsid w:val="01E55DF0"/>
    <w:rsid w:val="01F817E8"/>
    <w:rsid w:val="02333FAB"/>
    <w:rsid w:val="027A3847"/>
    <w:rsid w:val="02960B90"/>
    <w:rsid w:val="02FF6933"/>
    <w:rsid w:val="03DC72AD"/>
    <w:rsid w:val="04603446"/>
    <w:rsid w:val="04C5731B"/>
    <w:rsid w:val="06034B61"/>
    <w:rsid w:val="06B15226"/>
    <w:rsid w:val="06CD6CE6"/>
    <w:rsid w:val="06D87876"/>
    <w:rsid w:val="073A2D2E"/>
    <w:rsid w:val="08C65425"/>
    <w:rsid w:val="08E3593C"/>
    <w:rsid w:val="093F522E"/>
    <w:rsid w:val="095772E3"/>
    <w:rsid w:val="09AC1DD0"/>
    <w:rsid w:val="0A232DC1"/>
    <w:rsid w:val="0A364F31"/>
    <w:rsid w:val="0AAB7EDF"/>
    <w:rsid w:val="0ABA2816"/>
    <w:rsid w:val="0B0C1DEE"/>
    <w:rsid w:val="0B652690"/>
    <w:rsid w:val="0B703056"/>
    <w:rsid w:val="0B98683A"/>
    <w:rsid w:val="0BC41A01"/>
    <w:rsid w:val="0C177AFF"/>
    <w:rsid w:val="0C407D57"/>
    <w:rsid w:val="0CAB602D"/>
    <w:rsid w:val="0CD949FA"/>
    <w:rsid w:val="0D162518"/>
    <w:rsid w:val="0D206706"/>
    <w:rsid w:val="0D8D6A2A"/>
    <w:rsid w:val="0E7B0C16"/>
    <w:rsid w:val="0F1C6975"/>
    <w:rsid w:val="0F592033"/>
    <w:rsid w:val="0F85606A"/>
    <w:rsid w:val="103D587C"/>
    <w:rsid w:val="10711547"/>
    <w:rsid w:val="10E46E5E"/>
    <w:rsid w:val="117D4BC4"/>
    <w:rsid w:val="120C0FDE"/>
    <w:rsid w:val="121D0224"/>
    <w:rsid w:val="13DA7296"/>
    <w:rsid w:val="140416E2"/>
    <w:rsid w:val="142069F5"/>
    <w:rsid w:val="14BE01CE"/>
    <w:rsid w:val="14DA383B"/>
    <w:rsid w:val="15431692"/>
    <w:rsid w:val="16A31BD1"/>
    <w:rsid w:val="16BD2A5D"/>
    <w:rsid w:val="18057723"/>
    <w:rsid w:val="186C5FA5"/>
    <w:rsid w:val="18B03D66"/>
    <w:rsid w:val="19736861"/>
    <w:rsid w:val="1A506434"/>
    <w:rsid w:val="1A53435A"/>
    <w:rsid w:val="1A825C01"/>
    <w:rsid w:val="1A896E91"/>
    <w:rsid w:val="1B4052B8"/>
    <w:rsid w:val="1B9D0191"/>
    <w:rsid w:val="1C63645D"/>
    <w:rsid w:val="1D8C1CC9"/>
    <w:rsid w:val="1DA014F6"/>
    <w:rsid w:val="1DD55076"/>
    <w:rsid w:val="1E986366"/>
    <w:rsid w:val="1EA32FFE"/>
    <w:rsid w:val="1EEF49AE"/>
    <w:rsid w:val="1F063793"/>
    <w:rsid w:val="1F4C51E7"/>
    <w:rsid w:val="1F931CF9"/>
    <w:rsid w:val="201F76FF"/>
    <w:rsid w:val="20D05CA6"/>
    <w:rsid w:val="20F63A7A"/>
    <w:rsid w:val="218B0BA8"/>
    <w:rsid w:val="21A125BF"/>
    <w:rsid w:val="21E147D5"/>
    <w:rsid w:val="22512A54"/>
    <w:rsid w:val="226B3000"/>
    <w:rsid w:val="22836696"/>
    <w:rsid w:val="22D463D9"/>
    <w:rsid w:val="22F51576"/>
    <w:rsid w:val="240674D2"/>
    <w:rsid w:val="2421781B"/>
    <w:rsid w:val="242C715C"/>
    <w:rsid w:val="24341105"/>
    <w:rsid w:val="24394A69"/>
    <w:rsid w:val="24810EF8"/>
    <w:rsid w:val="252A0EF3"/>
    <w:rsid w:val="25711242"/>
    <w:rsid w:val="26865B8B"/>
    <w:rsid w:val="269E54AA"/>
    <w:rsid w:val="272A55F7"/>
    <w:rsid w:val="27551BD8"/>
    <w:rsid w:val="27B10559"/>
    <w:rsid w:val="28B80C7D"/>
    <w:rsid w:val="29AE0DF8"/>
    <w:rsid w:val="2A2945DA"/>
    <w:rsid w:val="2A7B4178"/>
    <w:rsid w:val="2ACA5D7D"/>
    <w:rsid w:val="2AD46786"/>
    <w:rsid w:val="2B74234C"/>
    <w:rsid w:val="2C562776"/>
    <w:rsid w:val="2D331474"/>
    <w:rsid w:val="2DC500ED"/>
    <w:rsid w:val="2DE71491"/>
    <w:rsid w:val="2E85293B"/>
    <w:rsid w:val="2EC27D0A"/>
    <w:rsid w:val="2FBE0181"/>
    <w:rsid w:val="30B617E9"/>
    <w:rsid w:val="314C66A1"/>
    <w:rsid w:val="314C7A29"/>
    <w:rsid w:val="322A5947"/>
    <w:rsid w:val="324C68C1"/>
    <w:rsid w:val="32836087"/>
    <w:rsid w:val="331E1308"/>
    <w:rsid w:val="33546376"/>
    <w:rsid w:val="33D9161D"/>
    <w:rsid w:val="34272355"/>
    <w:rsid w:val="34C832E9"/>
    <w:rsid w:val="357207A0"/>
    <w:rsid w:val="36E24103"/>
    <w:rsid w:val="37A16625"/>
    <w:rsid w:val="3839725F"/>
    <w:rsid w:val="3866038A"/>
    <w:rsid w:val="38740FD9"/>
    <w:rsid w:val="38B531E7"/>
    <w:rsid w:val="38EF3989"/>
    <w:rsid w:val="39F138EB"/>
    <w:rsid w:val="3A496654"/>
    <w:rsid w:val="3AAE377F"/>
    <w:rsid w:val="3AB56A99"/>
    <w:rsid w:val="3AB94164"/>
    <w:rsid w:val="3AFF1B22"/>
    <w:rsid w:val="3B994CB1"/>
    <w:rsid w:val="3BD63946"/>
    <w:rsid w:val="3C096298"/>
    <w:rsid w:val="3D382B5C"/>
    <w:rsid w:val="3D8C14EF"/>
    <w:rsid w:val="3D9F2DE5"/>
    <w:rsid w:val="3DD2462E"/>
    <w:rsid w:val="3E0A7CEA"/>
    <w:rsid w:val="3E4663E0"/>
    <w:rsid w:val="3F361DD8"/>
    <w:rsid w:val="40523A0F"/>
    <w:rsid w:val="40686E46"/>
    <w:rsid w:val="41001CF8"/>
    <w:rsid w:val="41051994"/>
    <w:rsid w:val="412F72DC"/>
    <w:rsid w:val="416B3D2E"/>
    <w:rsid w:val="41D23927"/>
    <w:rsid w:val="427C4F8F"/>
    <w:rsid w:val="43472A26"/>
    <w:rsid w:val="436D78B0"/>
    <w:rsid w:val="43756984"/>
    <w:rsid w:val="43A04F61"/>
    <w:rsid w:val="44111B88"/>
    <w:rsid w:val="449C05C5"/>
    <w:rsid w:val="44A307DB"/>
    <w:rsid w:val="44AA20BA"/>
    <w:rsid w:val="44BE1E40"/>
    <w:rsid w:val="44C81773"/>
    <w:rsid w:val="458919AF"/>
    <w:rsid w:val="45A941B4"/>
    <w:rsid w:val="45CF45A7"/>
    <w:rsid w:val="461D3BFD"/>
    <w:rsid w:val="462B08C0"/>
    <w:rsid w:val="4753488D"/>
    <w:rsid w:val="48D25D47"/>
    <w:rsid w:val="49A020DB"/>
    <w:rsid w:val="4A420AF3"/>
    <w:rsid w:val="4AED6059"/>
    <w:rsid w:val="4B4A4CF5"/>
    <w:rsid w:val="4C774E73"/>
    <w:rsid w:val="4D25504A"/>
    <w:rsid w:val="502B1984"/>
    <w:rsid w:val="50425F1E"/>
    <w:rsid w:val="50C8571F"/>
    <w:rsid w:val="50DC4C63"/>
    <w:rsid w:val="51914FFA"/>
    <w:rsid w:val="51A836AC"/>
    <w:rsid w:val="51DA7D6C"/>
    <w:rsid w:val="51DE3290"/>
    <w:rsid w:val="540C2AD6"/>
    <w:rsid w:val="547556FD"/>
    <w:rsid w:val="54F46486"/>
    <w:rsid w:val="551F1FEF"/>
    <w:rsid w:val="55474B85"/>
    <w:rsid w:val="55A66958"/>
    <w:rsid w:val="55B5349C"/>
    <w:rsid w:val="561A7328"/>
    <w:rsid w:val="56771490"/>
    <w:rsid w:val="56825C77"/>
    <w:rsid w:val="56D8390A"/>
    <w:rsid w:val="56EB551F"/>
    <w:rsid w:val="57323882"/>
    <w:rsid w:val="574160B7"/>
    <w:rsid w:val="57F35041"/>
    <w:rsid w:val="584F46D5"/>
    <w:rsid w:val="58687B75"/>
    <w:rsid w:val="588B4200"/>
    <w:rsid w:val="58E51859"/>
    <w:rsid w:val="59594DB4"/>
    <w:rsid w:val="59FC0DE5"/>
    <w:rsid w:val="5B593A15"/>
    <w:rsid w:val="5B6A090E"/>
    <w:rsid w:val="5C312D8E"/>
    <w:rsid w:val="5C8D0831"/>
    <w:rsid w:val="5CBF27AE"/>
    <w:rsid w:val="5D172DAC"/>
    <w:rsid w:val="5D1B42BE"/>
    <w:rsid w:val="5D6128E6"/>
    <w:rsid w:val="5D844A9D"/>
    <w:rsid w:val="5F254AFD"/>
    <w:rsid w:val="5FBC0D86"/>
    <w:rsid w:val="5FE8231D"/>
    <w:rsid w:val="604021DC"/>
    <w:rsid w:val="60CF1C1E"/>
    <w:rsid w:val="611257D9"/>
    <w:rsid w:val="611904B9"/>
    <w:rsid w:val="61A9409A"/>
    <w:rsid w:val="61E7065A"/>
    <w:rsid w:val="62577814"/>
    <w:rsid w:val="62597512"/>
    <w:rsid w:val="62F641BD"/>
    <w:rsid w:val="6385586D"/>
    <w:rsid w:val="640902F7"/>
    <w:rsid w:val="65A67909"/>
    <w:rsid w:val="66096C51"/>
    <w:rsid w:val="66A66835"/>
    <w:rsid w:val="66BC25E4"/>
    <w:rsid w:val="67210179"/>
    <w:rsid w:val="67292B47"/>
    <w:rsid w:val="67B620D5"/>
    <w:rsid w:val="67BC59A7"/>
    <w:rsid w:val="67EE3F97"/>
    <w:rsid w:val="681D2DB3"/>
    <w:rsid w:val="6853313E"/>
    <w:rsid w:val="696D380D"/>
    <w:rsid w:val="69AA240A"/>
    <w:rsid w:val="6A070525"/>
    <w:rsid w:val="6A961869"/>
    <w:rsid w:val="6B493C0F"/>
    <w:rsid w:val="6D125BC1"/>
    <w:rsid w:val="6D2775E8"/>
    <w:rsid w:val="6D3C3594"/>
    <w:rsid w:val="6EAE13FC"/>
    <w:rsid w:val="6FAB6FAD"/>
    <w:rsid w:val="6FE63936"/>
    <w:rsid w:val="70094CBB"/>
    <w:rsid w:val="703A0523"/>
    <w:rsid w:val="7050129B"/>
    <w:rsid w:val="70645946"/>
    <w:rsid w:val="71602504"/>
    <w:rsid w:val="719B38C2"/>
    <w:rsid w:val="71FA7599"/>
    <w:rsid w:val="726E215E"/>
    <w:rsid w:val="73286B4F"/>
    <w:rsid w:val="73645429"/>
    <w:rsid w:val="739635BA"/>
    <w:rsid w:val="73F513B8"/>
    <w:rsid w:val="74F373EC"/>
    <w:rsid w:val="752E0545"/>
    <w:rsid w:val="76732B4F"/>
    <w:rsid w:val="767C0130"/>
    <w:rsid w:val="76B06DE6"/>
    <w:rsid w:val="76FE524A"/>
    <w:rsid w:val="770701F2"/>
    <w:rsid w:val="780C7A78"/>
    <w:rsid w:val="78B406C7"/>
    <w:rsid w:val="78FE497D"/>
    <w:rsid w:val="797F780A"/>
    <w:rsid w:val="79A775AA"/>
    <w:rsid w:val="7A1F09D7"/>
    <w:rsid w:val="7A5831FC"/>
    <w:rsid w:val="7AA839B3"/>
    <w:rsid w:val="7B4F6BA7"/>
    <w:rsid w:val="7B6B08A7"/>
    <w:rsid w:val="7BDA1036"/>
    <w:rsid w:val="7CB57743"/>
    <w:rsid w:val="7CC81775"/>
    <w:rsid w:val="7CFF6582"/>
    <w:rsid w:val="7EB766E3"/>
    <w:rsid w:val="7FAD7723"/>
    <w:rsid w:val="7FB25C8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nhideWhenUsed="0" w:uiPriority="9" w:semiHidden="0" w:name="heading 3"/>
    <w:lsdException w:qFormat="1" w:uiPriority="9" w:semiHidden="0" w:name="heading 4"/>
    <w:lsdException w:qFormat="1" w:uiPriority="9" w:semiHidden="0"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39" w:semiHidden="0" w:name="toc 1"/>
    <w:lsdException w:qFormat="1" w:uiPriority="39" w:semiHidden="0" w:name="toc 2"/>
    <w:lsdException w:qFormat="1" w:uiPriority="39" w:semiHidden="0"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qFormat="1" w:uiPriority="99" w:semiHidden="0"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qFormat="1" w:uiPriority="99" w:semiHidden="0"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qFormat="1" w:unhideWhenUsed="0" w:uiPriority="0" w:semiHidden="0" w:name="Body Text"/>
    <w:lsdException w:qFormat="1"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qFormat="1" w:uiPriority="99" w:semiHidden="0"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qFormat="1"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iPriority="99" w:semiHidden="0"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semiHidden="0" w:name="Balloon Text"/>
    <w:lsdException w:qFormat="1"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rPr>
      <w:rFonts w:ascii="宋体" w:hAnsi="宋体" w:eastAsia="宋体" w:cs="宋体"/>
      <w:sz w:val="24"/>
      <w:szCs w:val="24"/>
      <w:lang w:val="en-US" w:eastAsia="zh-CN" w:bidi="ar-SA"/>
    </w:rPr>
  </w:style>
  <w:style w:type="paragraph" w:styleId="2">
    <w:name w:val="heading 1"/>
    <w:basedOn w:val="1"/>
    <w:next w:val="1"/>
    <w:link w:val="59"/>
    <w:qFormat/>
    <w:uiPriority w:val="9"/>
    <w:pPr>
      <w:keepNext/>
      <w:keepLines/>
      <w:spacing w:line="360" w:lineRule="auto"/>
      <w:outlineLvl w:val="0"/>
    </w:pPr>
    <w:rPr>
      <w:b/>
      <w:bCs/>
      <w:kern w:val="44"/>
      <w:sz w:val="28"/>
      <w:szCs w:val="44"/>
    </w:rPr>
  </w:style>
  <w:style w:type="paragraph" w:styleId="3">
    <w:name w:val="heading 2"/>
    <w:basedOn w:val="1"/>
    <w:next w:val="1"/>
    <w:link w:val="60"/>
    <w:unhideWhenUsed/>
    <w:qFormat/>
    <w:uiPriority w:val="9"/>
    <w:pPr>
      <w:keepNext/>
      <w:keepLines/>
      <w:spacing w:line="360" w:lineRule="auto"/>
      <w:outlineLvl w:val="1"/>
    </w:pPr>
    <w:rPr>
      <w:rFonts w:asciiTheme="majorHAnsi" w:hAnsiTheme="majorHAnsi" w:eastAsiaTheme="majorEastAsia" w:cstheme="majorBidi"/>
      <w:b/>
      <w:bCs/>
      <w:szCs w:val="32"/>
    </w:rPr>
  </w:style>
  <w:style w:type="paragraph" w:styleId="4">
    <w:name w:val="heading 3"/>
    <w:basedOn w:val="1"/>
    <w:next w:val="1"/>
    <w:link w:val="41"/>
    <w:qFormat/>
    <w:uiPriority w:val="9"/>
    <w:pPr>
      <w:spacing w:line="360" w:lineRule="auto"/>
      <w:outlineLvl w:val="2"/>
    </w:pPr>
    <w:rPr>
      <w:b/>
      <w:bCs/>
      <w:szCs w:val="27"/>
    </w:rPr>
  </w:style>
  <w:style w:type="paragraph" w:styleId="5">
    <w:name w:val="heading 4"/>
    <w:basedOn w:val="4"/>
    <w:next w:val="1"/>
    <w:link w:val="70"/>
    <w:unhideWhenUsed/>
    <w:qFormat/>
    <w:uiPriority w:val="9"/>
    <w:pPr>
      <w:outlineLvl w:val="3"/>
    </w:pPr>
    <w:rPr>
      <w:szCs w:val="24"/>
    </w:rPr>
  </w:style>
  <w:style w:type="paragraph" w:styleId="6">
    <w:name w:val="heading 5"/>
    <w:basedOn w:val="1"/>
    <w:next w:val="1"/>
    <w:link w:val="74"/>
    <w:unhideWhenUsed/>
    <w:qFormat/>
    <w:uiPriority w:val="9"/>
    <w:pPr>
      <w:spacing w:line="360" w:lineRule="auto"/>
      <w:outlineLvl w:val="4"/>
    </w:pPr>
    <w:rPr>
      <w:b/>
      <w:bCs/>
    </w:rPr>
  </w:style>
  <w:style w:type="character" w:default="1" w:styleId="21">
    <w:name w:val="Default Paragraph Font"/>
    <w:semiHidden/>
    <w:unhideWhenUsed/>
    <w:qFormat/>
    <w:uiPriority w:val="1"/>
  </w:style>
  <w:style w:type="table" w:default="1" w:styleId="19">
    <w:name w:val="Normal Table"/>
    <w:semiHidden/>
    <w:unhideWhenUsed/>
    <w:qFormat/>
    <w:uiPriority w:val="99"/>
    <w:tblPr>
      <w:tblCellMar>
        <w:top w:w="0" w:type="dxa"/>
        <w:left w:w="108" w:type="dxa"/>
        <w:bottom w:w="0" w:type="dxa"/>
        <w:right w:w="108" w:type="dxa"/>
      </w:tblCellMar>
    </w:tblPr>
  </w:style>
  <w:style w:type="paragraph" w:styleId="7">
    <w:name w:val="annotation text"/>
    <w:basedOn w:val="1"/>
    <w:link w:val="63"/>
    <w:unhideWhenUsed/>
    <w:qFormat/>
    <w:uiPriority w:val="99"/>
  </w:style>
  <w:style w:type="paragraph" w:styleId="8">
    <w:name w:val="Body Text"/>
    <w:basedOn w:val="1"/>
    <w:link w:val="32"/>
    <w:qFormat/>
    <w:uiPriority w:val="0"/>
    <w:rPr>
      <w:bCs/>
      <w:sz w:val="28"/>
      <w:szCs w:val="28"/>
    </w:rPr>
  </w:style>
  <w:style w:type="paragraph" w:styleId="9">
    <w:name w:val="Body Text Indent"/>
    <w:basedOn w:val="1"/>
    <w:qFormat/>
    <w:uiPriority w:val="0"/>
    <w:pPr>
      <w:spacing w:line="360" w:lineRule="auto"/>
      <w:ind w:firstLine="547" w:firstLineChars="228"/>
    </w:pPr>
    <w:rPr>
      <w:rFonts w:ascii="仿宋_GB2312" w:hAnsi="Times New Roman" w:eastAsia="仿宋_GB2312"/>
      <w:szCs w:val="24"/>
    </w:rPr>
  </w:style>
  <w:style w:type="paragraph" w:styleId="10">
    <w:name w:val="toc 3"/>
    <w:basedOn w:val="1"/>
    <w:next w:val="1"/>
    <w:unhideWhenUsed/>
    <w:qFormat/>
    <w:uiPriority w:val="39"/>
    <w:pPr>
      <w:ind w:left="840" w:leftChars="400"/>
    </w:pPr>
  </w:style>
  <w:style w:type="paragraph" w:styleId="11">
    <w:name w:val="Date"/>
    <w:basedOn w:val="1"/>
    <w:next w:val="1"/>
    <w:link w:val="40"/>
    <w:unhideWhenUsed/>
    <w:qFormat/>
    <w:uiPriority w:val="99"/>
    <w:pPr>
      <w:ind w:left="100" w:leftChars="2500"/>
    </w:pPr>
  </w:style>
  <w:style w:type="paragraph" w:styleId="12">
    <w:name w:val="Balloon Text"/>
    <w:basedOn w:val="1"/>
    <w:link w:val="42"/>
    <w:unhideWhenUsed/>
    <w:qFormat/>
    <w:uiPriority w:val="99"/>
    <w:rPr>
      <w:sz w:val="18"/>
      <w:szCs w:val="18"/>
    </w:rPr>
  </w:style>
  <w:style w:type="paragraph" w:styleId="13">
    <w:name w:val="footer"/>
    <w:basedOn w:val="1"/>
    <w:link w:val="34"/>
    <w:unhideWhenUsed/>
    <w:qFormat/>
    <w:uiPriority w:val="99"/>
    <w:pPr>
      <w:tabs>
        <w:tab w:val="center" w:pos="4153"/>
        <w:tab w:val="right" w:pos="8306"/>
      </w:tabs>
      <w:snapToGrid w:val="0"/>
    </w:pPr>
    <w:rPr>
      <w:sz w:val="18"/>
      <w:szCs w:val="18"/>
    </w:rPr>
  </w:style>
  <w:style w:type="paragraph" w:styleId="14">
    <w:name w:val="header"/>
    <w:basedOn w:val="1"/>
    <w:link w:val="33"/>
    <w:unhideWhenUsed/>
    <w:qFormat/>
    <w:uiPriority w:val="99"/>
    <w:pPr>
      <w:pBdr>
        <w:bottom w:val="single" w:color="auto" w:sz="6" w:space="1"/>
      </w:pBdr>
      <w:tabs>
        <w:tab w:val="center" w:pos="4153"/>
        <w:tab w:val="right" w:pos="8306"/>
      </w:tabs>
      <w:snapToGrid w:val="0"/>
      <w:jc w:val="center"/>
    </w:pPr>
    <w:rPr>
      <w:sz w:val="18"/>
      <w:szCs w:val="18"/>
    </w:rPr>
  </w:style>
  <w:style w:type="paragraph" w:styleId="15">
    <w:name w:val="toc 1"/>
    <w:basedOn w:val="1"/>
    <w:next w:val="1"/>
    <w:unhideWhenUsed/>
    <w:qFormat/>
    <w:uiPriority w:val="39"/>
  </w:style>
  <w:style w:type="paragraph" w:styleId="16">
    <w:name w:val="toc 2"/>
    <w:basedOn w:val="1"/>
    <w:next w:val="1"/>
    <w:unhideWhenUsed/>
    <w:qFormat/>
    <w:uiPriority w:val="39"/>
    <w:pPr>
      <w:ind w:left="420" w:leftChars="200"/>
    </w:pPr>
  </w:style>
  <w:style w:type="paragraph" w:styleId="17">
    <w:name w:val="Normal (Web)"/>
    <w:basedOn w:val="1"/>
    <w:unhideWhenUsed/>
    <w:qFormat/>
    <w:uiPriority w:val="99"/>
    <w:pPr>
      <w:spacing w:before="100" w:beforeAutospacing="1" w:after="100" w:afterAutospacing="1"/>
    </w:pPr>
  </w:style>
  <w:style w:type="paragraph" w:styleId="18">
    <w:name w:val="annotation subject"/>
    <w:basedOn w:val="7"/>
    <w:next w:val="7"/>
    <w:link w:val="64"/>
    <w:unhideWhenUsed/>
    <w:qFormat/>
    <w:uiPriority w:val="99"/>
    <w:rPr>
      <w:b/>
      <w:bCs/>
    </w:rPr>
  </w:style>
  <w:style w:type="table" w:styleId="20">
    <w:name w:val="Table Grid"/>
    <w:basedOn w:val="19"/>
    <w:qFormat/>
    <w:uiPriority w:val="59"/>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character" w:styleId="22">
    <w:name w:val="FollowedHyperlink"/>
    <w:basedOn w:val="21"/>
    <w:semiHidden/>
    <w:unhideWhenUsed/>
    <w:qFormat/>
    <w:uiPriority w:val="99"/>
    <w:rPr>
      <w:color w:val="954F72"/>
      <w:u w:val="single"/>
    </w:rPr>
  </w:style>
  <w:style w:type="character" w:styleId="23">
    <w:name w:val="Emphasis"/>
    <w:qFormat/>
    <w:uiPriority w:val="20"/>
    <w:rPr>
      <w:color w:val="CC0000"/>
    </w:rPr>
  </w:style>
  <w:style w:type="character" w:styleId="24">
    <w:name w:val="Hyperlink"/>
    <w:basedOn w:val="21"/>
    <w:unhideWhenUsed/>
    <w:qFormat/>
    <w:uiPriority w:val="99"/>
    <w:rPr>
      <w:color w:val="136EC2"/>
      <w:u w:val="single"/>
    </w:rPr>
  </w:style>
  <w:style w:type="character" w:styleId="25">
    <w:name w:val="annotation reference"/>
    <w:basedOn w:val="21"/>
    <w:unhideWhenUsed/>
    <w:qFormat/>
    <w:uiPriority w:val="99"/>
    <w:rPr>
      <w:sz w:val="21"/>
      <w:szCs w:val="21"/>
    </w:rPr>
  </w:style>
  <w:style w:type="paragraph" w:customStyle="1" w:styleId="26">
    <w:name w:val="Heading4"/>
    <w:basedOn w:val="1"/>
    <w:next w:val="1"/>
    <w:qFormat/>
    <w:uiPriority w:val="99"/>
    <w:pPr>
      <w:spacing w:line="400" w:lineRule="exact"/>
    </w:pPr>
    <w:rPr>
      <w:szCs w:val="28"/>
    </w:rPr>
  </w:style>
  <w:style w:type="paragraph" w:customStyle="1" w:styleId="27">
    <w:name w:val="封面标准名称"/>
    <w:qFormat/>
    <w:uiPriority w:val="0"/>
    <w:pPr>
      <w:framePr w:w="9638" w:h="6917" w:hRule="exact" w:wrap="around" w:vAnchor="margin" w:hAnchor="margin" w:xAlign="center" w:y="5955" w:anchorLock="1"/>
      <w:widowControl w:val="0"/>
      <w:spacing w:line="680" w:lineRule="exact"/>
      <w:jc w:val="center"/>
      <w:textAlignment w:val="center"/>
    </w:pPr>
    <w:rPr>
      <w:rFonts w:ascii="黑体" w:hAnsi="Times New Roman" w:eastAsia="黑体" w:cs="Times New Roman"/>
      <w:sz w:val="52"/>
      <w:lang w:val="en-US" w:eastAsia="zh-CN" w:bidi="ar-SA"/>
    </w:rPr>
  </w:style>
  <w:style w:type="paragraph" w:customStyle="1" w:styleId="28">
    <w:name w:val="前言、引言标题"/>
    <w:next w:val="1"/>
    <w:qFormat/>
    <w:uiPriority w:val="0"/>
    <w:pPr>
      <w:shd w:val="clear" w:color="FFFFFF" w:fill="FFFFFF"/>
      <w:tabs>
        <w:tab w:val="left" w:pos="360"/>
      </w:tabs>
      <w:spacing w:before="640" w:after="560"/>
      <w:jc w:val="center"/>
      <w:outlineLvl w:val="0"/>
    </w:pPr>
    <w:rPr>
      <w:rFonts w:ascii="黑体" w:hAnsi="Times New Roman" w:eastAsia="黑体" w:cs="Times New Roman"/>
      <w:sz w:val="32"/>
      <w:lang w:val="en-US" w:eastAsia="zh-CN" w:bidi="ar-SA"/>
    </w:rPr>
  </w:style>
  <w:style w:type="paragraph" w:customStyle="1" w:styleId="29">
    <w:name w:val="章标题"/>
    <w:next w:val="1"/>
    <w:qFormat/>
    <w:uiPriority w:val="0"/>
    <w:pPr>
      <w:spacing w:beforeLines="50" w:afterLines="50"/>
      <w:jc w:val="both"/>
      <w:outlineLvl w:val="1"/>
    </w:pPr>
    <w:rPr>
      <w:rFonts w:ascii="黑体" w:hAnsi="Times New Roman" w:eastAsia="黑体" w:cs="Times New Roman"/>
      <w:sz w:val="21"/>
      <w:lang w:val="en-US" w:eastAsia="zh-CN" w:bidi="ar-SA"/>
    </w:rPr>
  </w:style>
  <w:style w:type="paragraph" w:customStyle="1" w:styleId="30">
    <w:name w:val="一级条标题"/>
    <w:next w:val="1"/>
    <w:qFormat/>
    <w:uiPriority w:val="0"/>
    <w:pPr>
      <w:outlineLvl w:val="2"/>
    </w:pPr>
    <w:rPr>
      <w:rFonts w:ascii="Times New Roman" w:hAnsi="Times New Roman" w:eastAsia="黑体" w:cs="Times New Roman"/>
      <w:sz w:val="21"/>
      <w:lang w:val="en-US" w:eastAsia="zh-CN" w:bidi="ar-SA"/>
    </w:rPr>
  </w:style>
  <w:style w:type="paragraph" w:customStyle="1" w:styleId="31">
    <w:name w:val="二级条标题"/>
    <w:basedOn w:val="30"/>
    <w:next w:val="1"/>
    <w:qFormat/>
    <w:uiPriority w:val="0"/>
    <w:pPr>
      <w:outlineLvl w:val="3"/>
    </w:pPr>
  </w:style>
  <w:style w:type="character" w:customStyle="1" w:styleId="32">
    <w:name w:val="正文文本 字符"/>
    <w:link w:val="8"/>
    <w:qFormat/>
    <w:uiPriority w:val="0"/>
    <w:rPr>
      <w:rFonts w:ascii="宋体" w:hAnsi="宋体" w:eastAsia="宋体" w:cs="Times New Roman"/>
      <w:bCs/>
      <w:sz w:val="28"/>
      <w:szCs w:val="28"/>
    </w:rPr>
  </w:style>
  <w:style w:type="character" w:customStyle="1" w:styleId="33">
    <w:name w:val="页眉 字符"/>
    <w:link w:val="14"/>
    <w:qFormat/>
    <w:uiPriority w:val="99"/>
    <w:rPr>
      <w:rFonts w:ascii="Times New Roman" w:hAnsi="Times New Roman" w:eastAsia="宋体" w:cs="Times New Roman"/>
      <w:sz w:val="18"/>
      <w:szCs w:val="18"/>
    </w:rPr>
  </w:style>
  <w:style w:type="character" w:customStyle="1" w:styleId="34">
    <w:name w:val="页脚 字符"/>
    <w:link w:val="13"/>
    <w:qFormat/>
    <w:uiPriority w:val="99"/>
    <w:rPr>
      <w:rFonts w:ascii="Times New Roman" w:hAnsi="Times New Roman" w:eastAsia="宋体" w:cs="Times New Roman"/>
      <w:sz w:val="18"/>
      <w:szCs w:val="18"/>
    </w:rPr>
  </w:style>
  <w:style w:type="paragraph" w:customStyle="1" w:styleId="35">
    <w:name w:val="Char Char Char Char Char Char Char"/>
    <w:basedOn w:val="1"/>
    <w:qFormat/>
    <w:uiPriority w:val="0"/>
    <w:pPr>
      <w:spacing w:after="160" w:line="240" w:lineRule="exact"/>
    </w:pPr>
    <w:rPr>
      <w:rFonts w:ascii="Arial" w:hAnsi="Arial" w:eastAsia="Times New Roman" w:cs="Verdana"/>
      <w:b/>
      <w:lang w:eastAsia="en-US"/>
    </w:rPr>
  </w:style>
  <w:style w:type="paragraph" w:customStyle="1" w:styleId="36">
    <w:name w:val="三级条标题"/>
    <w:basedOn w:val="31"/>
    <w:next w:val="1"/>
    <w:qFormat/>
    <w:uiPriority w:val="0"/>
    <w:pPr>
      <w:jc w:val="both"/>
      <w:outlineLvl w:val="4"/>
    </w:pPr>
    <w:rPr>
      <w:rFonts w:ascii="黑体"/>
    </w:rPr>
  </w:style>
  <w:style w:type="paragraph" w:customStyle="1" w:styleId="37">
    <w:name w:val="四级条标题"/>
    <w:basedOn w:val="36"/>
    <w:next w:val="1"/>
    <w:qFormat/>
    <w:uiPriority w:val="0"/>
    <w:pPr>
      <w:outlineLvl w:val="5"/>
    </w:pPr>
  </w:style>
  <w:style w:type="paragraph" w:customStyle="1" w:styleId="38">
    <w:name w:val="五级条标题"/>
    <w:basedOn w:val="37"/>
    <w:next w:val="1"/>
    <w:qFormat/>
    <w:uiPriority w:val="0"/>
    <w:pPr>
      <w:outlineLvl w:val="6"/>
    </w:pPr>
  </w:style>
  <w:style w:type="character" w:customStyle="1" w:styleId="39">
    <w:name w:val="short_text1"/>
    <w:qFormat/>
    <w:uiPriority w:val="0"/>
    <w:rPr>
      <w:sz w:val="29"/>
      <w:szCs w:val="29"/>
    </w:rPr>
  </w:style>
  <w:style w:type="character" w:customStyle="1" w:styleId="40">
    <w:name w:val="日期 字符"/>
    <w:link w:val="11"/>
    <w:semiHidden/>
    <w:qFormat/>
    <w:uiPriority w:val="99"/>
    <w:rPr>
      <w:rFonts w:ascii="Times New Roman" w:hAnsi="Times New Roman"/>
      <w:kern w:val="2"/>
      <w:sz w:val="21"/>
      <w:szCs w:val="24"/>
    </w:rPr>
  </w:style>
  <w:style w:type="character" w:customStyle="1" w:styleId="41">
    <w:name w:val="标题 3 字符"/>
    <w:basedOn w:val="21"/>
    <w:link w:val="4"/>
    <w:qFormat/>
    <w:uiPriority w:val="9"/>
    <w:rPr>
      <w:rFonts w:ascii="宋体" w:hAnsi="宋体" w:cs="宋体"/>
      <w:b/>
      <w:bCs/>
      <w:sz w:val="24"/>
      <w:szCs w:val="27"/>
    </w:rPr>
  </w:style>
  <w:style w:type="character" w:customStyle="1" w:styleId="42">
    <w:name w:val="批注框文本 字符"/>
    <w:basedOn w:val="21"/>
    <w:link w:val="12"/>
    <w:semiHidden/>
    <w:qFormat/>
    <w:uiPriority w:val="99"/>
    <w:rPr>
      <w:rFonts w:ascii="Times New Roman" w:hAnsi="Times New Roman"/>
      <w:kern w:val="2"/>
      <w:sz w:val="18"/>
      <w:szCs w:val="18"/>
    </w:rPr>
  </w:style>
  <w:style w:type="paragraph" w:customStyle="1" w:styleId="43">
    <w:name w:val="段"/>
    <w:link w:val="44"/>
    <w:qFormat/>
    <w:uiPriority w:val="0"/>
    <w:pPr>
      <w:tabs>
        <w:tab w:val="center" w:pos="4201"/>
        <w:tab w:val="right" w:leader="dot" w:pos="9298"/>
      </w:tabs>
      <w:autoSpaceDE w:val="0"/>
      <w:autoSpaceDN w:val="0"/>
      <w:ind w:firstLine="420" w:firstLineChars="200"/>
      <w:jc w:val="both"/>
    </w:pPr>
    <w:rPr>
      <w:rFonts w:ascii="宋体" w:hAnsi="Times New Roman" w:eastAsia="宋体" w:cs="Times New Roman"/>
      <w:sz w:val="21"/>
      <w:lang w:val="en-US" w:eastAsia="zh-CN" w:bidi="ar-SA"/>
    </w:rPr>
  </w:style>
  <w:style w:type="character" w:customStyle="1" w:styleId="44">
    <w:name w:val="段 Char"/>
    <w:basedOn w:val="21"/>
    <w:link w:val="43"/>
    <w:qFormat/>
    <w:uiPriority w:val="0"/>
    <w:rPr>
      <w:rFonts w:ascii="宋体" w:hAnsi="Times New Roman"/>
      <w:sz w:val="21"/>
    </w:rPr>
  </w:style>
  <w:style w:type="paragraph" w:customStyle="1" w:styleId="45">
    <w:name w:val="示例"/>
    <w:next w:val="1"/>
    <w:qFormat/>
    <w:uiPriority w:val="0"/>
    <w:pPr>
      <w:widowControl w:val="0"/>
      <w:numPr>
        <w:ilvl w:val="0"/>
        <w:numId w:val="1"/>
      </w:numPr>
      <w:jc w:val="both"/>
    </w:pPr>
    <w:rPr>
      <w:rFonts w:ascii="宋体" w:hAnsi="Times New Roman" w:eastAsia="宋体" w:cs="Times New Roman"/>
      <w:sz w:val="18"/>
      <w:szCs w:val="18"/>
      <w:lang w:val="en-US" w:eastAsia="zh-CN" w:bidi="ar-SA"/>
    </w:rPr>
  </w:style>
  <w:style w:type="paragraph" w:customStyle="1" w:styleId="46">
    <w:name w:val="正文表标题"/>
    <w:next w:val="43"/>
    <w:qFormat/>
    <w:uiPriority w:val="0"/>
    <w:pPr>
      <w:tabs>
        <w:tab w:val="left" w:pos="360"/>
      </w:tabs>
      <w:spacing w:beforeLines="50" w:afterLines="50"/>
      <w:jc w:val="center"/>
    </w:pPr>
    <w:rPr>
      <w:rFonts w:ascii="黑体" w:hAnsi="Times New Roman" w:eastAsia="黑体" w:cs="Times New Roman"/>
      <w:sz w:val="21"/>
      <w:lang w:val="en-US" w:eastAsia="zh-CN" w:bidi="ar-SA"/>
    </w:rPr>
  </w:style>
  <w:style w:type="paragraph" w:customStyle="1" w:styleId="47">
    <w:name w:val="正文图标题"/>
    <w:next w:val="43"/>
    <w:qFormat/>
    <w:uiPriority w:val="0"/>
    <w:pPr>
      <w:numPr>
        <w:ilvl w:val="0"/>
        <w:numId w:val="2"/>
      </w:numPr>
      <w:tabs>
        <w:tab w:val="left" w:pos="360"/>
      </w:tabs>
      <w:spacing w:beforeLines="50" w:afterLines="50"/>
      <w:jc w:val="center"/>
    </w:pPr>
    <w:rPr>
      <w:rFonts w:ascii="黑体" w:hAnsi="Times New Roman" w:eastAsia="黑体" w:cs="Times New Roman"/>
      <w:sz w:val="21"/>
      <w:lang w:val="en-US" w:eastAsia="zh-CN" w:bidi="ar-SA"/>
    </w:rPr>
  </w:style>
  <w:style w:type="paragraph" w:customStyle="1" w:styleId="48">
    <w:name w:val="其他发布日期"/>
    <w:basedOn w:val="1"/>
    <w:qFormat/>
    <w:uiPriority w:val="0"/>
    <w:pPr>
      <w:framePr w:w="3997" w:h="471" w:hRule="exact" w:vSpace="181" w:wrap="around" w:vAnchor="page" w:hAnchor="page" w:x="1419" w:y="14097" w:anchorLock="1"/>
      <w:numPr>
        <w:ilvl w:val="0"/>
        <w:numId w:val="3"/>
      </w:numPr>
    </w:pPr>
    <w:rPr>
      <w:rFonts w:eastAsia="黑体"/>
      <w:sz w:val="28"/>
      <w:szCs w:val="20"/>
    </w:rPr>
  </w:style>
  <w:style w:type="paragraph" w:customStyle="1" w:styleId="49">
    <w:name w:val="标准表题"/>
    <w:basedOn w:val="1"/>
    <w:next w:val="43"/>
    <w:qFormat/>
    <w:uiPriority w:val="0"/>
    <w:pPr>
      <w:jc w:val="center"/>
    </w:pPr>
    <w:rPr>
      <w:rFonts w:ascii="黑体" w:eastAsia="黑体"/>
      <w:kern w:val="21"/>
      <w:szCs w:val="20"/>
    </w:rPr>
  </w:style>
  <w:style w:type="paragraph" w:customStyle="1" w:styleId="50">
    <w:name w:val="章"/>
    <w:basedOn w:val="1"/>
    <w:next w:val="43"/>
    <w:qFormat/>
    <w:uiPriority w:val="0"/>
    <w:pPr>
      <w:adjustRightInd w:val="0"/>
      <w:spacing w:before="160" w:after="160"/>
      <w:outlineLvl w:val="0"/>
    </w:pPr>
    <w:rPr>
      <w:rFonts w:ascii="黑体" w:eastAsia="黑体"/>
      <w:kern w:val="21"/>
      <w:szCs w:val="20"/>
    </w:rPr>
  </w:style>
  <w:style w:type="paragraph" w:customStyle="1" w:styleId="51">
    <w:name w:val="条2"/>
    <w:basedOn w:val="1"/>
    <w:next w:val="43"/>
    <w:qFormat/>
    <w:uiPriority w:val="0"/>
    <w:pPr>
      <w:outlineLvl w:val="1"/>
    </w:pPr>
    <w:rPr>
      <w:rFonts w:ascii="黑体" w:eastAsia="黑体"/>
      <w:kern w:val="21"/>
      <w:szCs w:val="20"/>
    </w:rPr>
  </w:style>
  <w:style w:type="paragraph" w:customStyle="1" w:styleId="52">
    <w:name w:val="条1"/>
    <w:basedOn w:val="1"/>
    <w:next w:val="43"/>
    <w:qFormat/>
    <w:uiPriority w:val="0"/>
    <w:pPr>
      <w:outlineLvl w:val="1"/>
    </w:pPr>
    <w:rPr>
      <w:rFonts w:ascii="黑体" w:eastAsia="黑体"/>
      <w:kern w:val="21"/>
      <w:szCs w:val="20"/>
    </w:rPr>
  </w:style>
  <w:style w:type="character" w:customStyle="1" w:styleId="53">
    <w:name w:val="font111"/>
    <w:basedOn w:val="21"/>
    <w:qFormat/>
    <w:uiPriority w:val="0"/>
    <w:rPr>
      <w:rFonts w:hint="eastAsia" w:ascii="宋体" w:hAnsi="宋体" w:eastAsia="宋体"/>
      <w:color w:val="000000"/>
      <w:sz w:val="18"/>
      <w:szCs w:val="18"/>
      <w:u w:val="none"/>
    </w:rPr>
  </w:style>
  <w:style w:type="character" w:customStyle="1" w:styleId="54">
    <w:name w:val="font81"/>
    <w:basedOn w:val="21"/>
    <w:qFormat/>
    <w:uiPriority w:val="0"/>
    <w:rPr>
      <w:rFonts w:hint="default" w:ascii="Times New Roman" w:hAnsi="Times New Roman" w:cs="Times New Roman"/>
      <w:color w:val="000000"/>
      <w:sz w:val="18"/>
      <w:szCs w:val="18"/>
      <w:u w:val="none"/>
    </w:rPr>
  </w:style>
  <w:style w:type="character" w:customStyle="1" w:styleId="55">
    <w:name w:val="font121"/>
    <w:basedOn w:val="21"/>
    <w:qFormat/>
    <w:uiPriority w:val="0"/>
    <w:rPr>
      <w:rFonts w:hint="eastAsia" w:ascii="宋体" w:hAnsi="宋体" w:eastAsia="宋体"/>
      <w:b/>
      <w:bCs/>
      <w:color w:val="000000"/>
      <w:sz w:val="18"/>
      <w:szCs w:val="18"/>
      <w:u w:val="none"/>
    </w:rPr>
  </w:style>
  <w:style w:type="character" w:customStyle="1" w:styleId="56">
    <w:name w:val="font91"/>
    <w:basedOn w:val="21"/>
    <w:qFormat/>
    <w:uiPriority w:val="0"/>
    <w:rPr>
      <w:rFonts w:hint="default" w:ascii="Times New Roman" w:hAnsi="Times New Roman" w:cs="Times New Roman"/>
      <w:b/>
      <w:bCs/>
      <w:color w:val="000000"/>
      <w:sz w:val="18"/>
      <w:szCs w:val="18"/>
      <w:u w:val="none"/>
    </w:rPr>
  </w:style>
  <w:style w:type="character" w:customStyle="1" w:styleId="57">
    <w:name w:val="font71"/>
    <w:basedOn w:val="21"/>
    <w:qFormat/>
    <w:uiPriority w:val="0"/>
    <w:rPr>
      <w:rFonts w:hint="eastAsia" w:ascii="宋体" w:hAnsi="宋体" w:eastAsia="宋体"/>
      <w:color w:val="000000"/>
      <w:sz w:val="18"/>
      <w:szCs w:val="18"/>
      <w:u w:val="none"/>
    </w:rPr>
  </w:style>
  <w:style w:type="character" w:customStyle="1" w:styleId="58">
    <w:name w:val="font101"/>
    <w:basedOn w:val="21"/>
    <w:qFormat/>
    <w:uiPriority w:val="0"/>
    <w:rPr>
      <w:rFonts w:hint="default" w:ascii="Times New Roman" w:hAnsi="Times New Roman" w:cs="Times New Roman"/>
      <w:color w:val="000000"/>
      <w:sz w:val="18"/>
      <w:szCs w:val="18"/>
      <w:u w:val="none"/>
    </w:rPr>
  </w:style>
  <w:style w:type="character" w:customStyle="1" w:styleId="59">
    <w:name w:val="标题 1 字符"/>
    <w:basedOn w:val="21"/>
    <w:link w:val="2"/>
    <w:qFormat/>
    <w:uiPriority w:val="9"/>
    <w:rPr>
      <w:rFonts w:ascii="Times New Roman" w:hAnsi="Times New Roman"/>
      <w:b/>
      <w:bCs/>
      <w:kern w:val="44"/>
      <w:sz w:val="28"/>
      <w:szCs w:val="44"/>
    </w:rPr>
  </w:style>
  <w:style w:type="character" w:customStyle="1" w:styleId="60">
    <w:name w:val="标题 2 字符"/>
    <w:basedOn w:val="21"/>
    <w:link w:val="3"/>
    <w:qFormat/>
    <w:uiPriority w:val="9"/>
    <w:rPr>
      <w:rFonts w:asciiTheme="majorHAnsi" w:hAnsiTheme="majorHAnsi" w:eastAsiaTheme="majorEastAsia" w:cstheme="majorBidi"/>
      <w:b/>
      <w:bCs/>
      <w:kern w:val="2"/>
      <w:sz w:val="24"/>
      <w:szCs w:val="32"/>
    </w:rPr>
  </w:style>
  <w:style w:type="paragraph" w:customStyle="1" w:styleId="61">
    <w:name w:val="TOC 标题1"/>
    <w:basedOn w:val="2"/>
    <w:next w:val="1"/>
    <w:unhideWhenUsed/>
    <w:qFormat/>
    <w:uiPriority w:val="39"/>
    <w:pPr>
      <w:spacing w:before="240" w:line="259" w:lineRule="auto"/>
      <w:outlineLvl w:val="9"/>
    </w:pPr>
    <w:rPr>
      <w:rFonts w:asciiTheme="majorHAnsi" w:hAnsiTheme="majorHAnsi" w:eastAsiaTheme="majorEastAsia" w:cstheme="majorBidi"/>
      <w:b w:val="0"/>
      <w:bCs w:val="0"/>
      <w:color w:val="366091" w:themeColor="accent1" w:themeShade="BF"/>
      <w:kern w:val="0"/>
      <w:sz w:val="32"/>
      <w:szCs w:val="32"/>
    </w:rPr>
  </w:style>
  <w:style w:type="paragraph" w:customStyle="1" w:styleId="62">
    <w:name w:val="Table Paragraph"/>
    <w:basedOn w:val="1"/>
    <w:qFormat/>
    <w:uiPriority w:val="1"/>
    <w:rPr>
      <w:rFonts w:ascii="Calibri" w:hAnsi="Calibri" w:eastAsia="Calibri"/>
      <w:sz w:val="22"/>
      <w:szCs w:val="22"/>
      <w:lang w:eastAsia="en-US"/>
    </w:rPr>
  </w:style>
  <w:style w:type="character" w:customStyle="1" w:styleId="63">
    <w:name w:val="批注文字 字符"/>
    <w:basedOn w:val="21"/>
    <w:link w:val="7"/>
    <w:semiHidden/>
    <w:qFormat/>
    <w:uiPriority w:val="99"/>
    <w:rPr>
      <w:rFonts w:ascii="Times New Roman" w:hAnsi="Times New Roman"/>
      <w:kern w:val="2"/>
      <w:sz w:val="24"/>
      <w:szCs w:val="24"/>
    </w:rPr>
  </w:style>
  <w:style w:type="character" w:customStyle="1" w:styleId="64">
    <w:name w:val="批注主题 字符"/>
    <w:basedOn w:val="63"/>
    <w:link w:val="18"/>
    <w:semiHidden/>
    <w:qFormat/>
    <w:uiPriority w:val="99"/>
    <w:rPr>
      <w:rFonts w:ascii="Times New Roman" w:hAnsi="Times New Roman"/>
      <w:b/>
      <w:bCs/>
      <w:kern w:val="2"/>
      <w:sz w:val="24"/>
      <w:szCs w:val="24"/>
    </w:rPr>
  </w:style>
  <w:style w:type="paragraph" w:customStyle="1" w:styleId="65">
    <w:name w:val="修订1"/>
    <w:hidden/>
    <w:semiHidden/>
    <w:qFormat/>
    <w:uiPriority w:val="99"/>
    <w:rPr>
      <w:rFonts w:ascii="Times New Roman" w:hAnsi="Times New Roman" w:eastAsia="宋体" w:cs="Times New Roman"/>
      <w:kern w:val="2"/>
      <w:sz w:val="24"/>
      <w:szCs w:val="24"/>
      <w:lang w:val="en-US" w:eastAsia="zh-CN" w:bidi="ar-SA"/>
    </w:rPr>
  </w:style>
  <w:style w:type="character" w:customStyle="1" w:styleId="66">
    <w:name w:val="font11"/>
    <w:basedOn w:val="21"/>
    <w:qFormat/>
    <w:uiPriority w:val="0"/>
    <w:rPr>
      <w:rFonts w:hint="default" w:ascii="Times New Roman" w:hAnsi="Times New Roman" w:cs="Times New Roman"/>
      <w:color w:val="000000"/>
      <w:sz w:val="21"/>
      <w:szCs w:val="21"/>
      <w:u w:val="none"/>
    </w:rPr>
  </w:style>
  <w:style w:type="character" w:customStyle="1" w:styleId="67">
    <w:name w:val="font21"/>
    <w:basedOn w:val="21"/>
    <w:qFormat/>
    <w:uiPriority w:val="0"/>
    <w:rPr>
      <w:rFonts w:hint="eastAsia" w:ascii="宋体" w:hAnsi="宋体" w:eastAsia="宋体" w:cs="宋体"/>
      <w:color w:val="000000"/>
      <w:sz w:val="21"/>
      <w:szCs w:val="21"/>
      <w:u w:val="none"/>
    </w:rPr>
  </w:style>
  <w:style w:type="paragraph" w:styleId="68">
    <w:name w:val="List Paragraph"/>
    <w:basedOn w:val="1"/>
    <w:unhideWhenUsed/>
    <w:qFormat/>
    <w:uiPriority w:val="34"/>
    <w:pPr>
      <w:ind w:firstLine="420" w:firstLineChars="200"/>
    </w:pPr>
  </w:style>
  <w:style w:type="paragraph" w:customStyle="1" w:styleId="69">
    <w:name w:val="条3"/>
    <w:basedOn w:val="1"/>
    <w:qFormat/>
    <w:uiPriority w:val="0"/>
    <w:rPr>
      <w:rFonts w:asciiTheme="minorHAnsi" w:hAnsiTheme="minorHAnsi" w:eastAsiaTheme="minorEastAsia" w:cstheme="minorBidi"/>
      <w:sz w:val="21"/>
      <w:szCs w:val="22"/>
    </w:rPr>
  </w:style>
  <w:style w:type="character" w:customStyle="1" w:styleId="70">
    <w:name w:val="标题 4 字符"/>
    <w:basedOn w:val="21"/>
    <w:link w:val="5"/>
    <w:qFormat/>
    <w:uiPriority w:val="9"/>
    <w:rPr>
      <w:rFonts w:ascii="宋体" w:hAnsi="宋体" w:cs="宋体"/>
      <w:b/>
      <w:bCs/>
      <w:sz w:val="24"/>
      <w:szCs w:val="24"/>
    </w:rPr>
  </w:style>
  <w:style w:type="paragraph" w:customStyle="1" w:styleId="71">
    <w:name w:val="Revision"/>
    <w:hidden/>
    <w:semiHidden/>
    <w:qFormat/>
    <w:uiPriority w:val="99"/>
    <w:rPr>
      <w:rFonts w:ascii="宋体" w:hAnsi="宋体" w:eastAsia="宋体" w:cs="宋体"/>
      <w:sz w:val="24"/>
      <w:szCs w:val="24"/>
      <w:lang w:val="en-US" w:eastAsia="zh-CN" w:bidi="ar-SA"/>
    </w:rPr>
  </w:style>
  <w:style w:type="table" w:customStyle="1" w:styleId="72">
    <w:name w:val="Grid Table Light"/>
    <w:basedOn w:val="19"/>
    <w:qFormat/>
    <w:uiPriority w:val="40"/>
    <w:tblPr>
      <w:tblBorders>
        <w:top w:val="single" w:color="BEBEBE" w:themeColor="background1" w:themeShade="BF" w:sz="4" w:space="0"/>
        <w:left w:val="single" w:color="BEBEBE" w:themeColor="background1" w:themeShade="BF" w:sz="4" w:space="0"/>
        <w:bottom w:val="single" w:color="BEBEBE" w:themeColor="background1" w:themeShade="BF" w:sz="4" w:space="0"/>
        <w:right w:val="single" w:color="BEBEBE" w:themeColor="background1" w:themeShade="BF" w:sz="4" w:space="0"/>
        <w:insideH w:val="single" w:color="BEBEBE" w:themeColor="background1" w:themeShade="BF" w:sz="4" w:space="0"/>
        <w:insideV w:val="single" w:color="BEBEBE" w:themeColor="background1" w:themeShade="BF" w:sz="4" w:space="0"/>
      </w:tblBorders>
    </w:tblPr>
  </w:style>
  <w:style w:type="table" w:customStyle="1" w:styleId="73">
    <w:name w:val="Grid Table 1 Light Accent 5"/>
    <w:basedOn w:val="19"/>
    <w:qFormat/>
    <w:uiPriority w:val="46"/>
    <w:tblPr>
      <w:tblBorders>
        <w:top w:val="single" w:color="B6DDE8" w:themeColor="accent5" w:themeTint="66" w:sz="4" w:space="0"/>
        <w:left w:val="single" w:color="B6DDE8" w:themeColor="accent5" w:themeTint="66" w:sz="4" w:space="0"/>
        <w:bottom w:val="single" w:color="B6DDE8" w:themeColor="accent5" w:themeTint="66" w:sz="4" w:space="0"/>
        <w:right w:val="single" w:color="B6DDE8" w:themeColor="accent5" w:themeTint="66" w:sz="4" w:space="0"/>
        <w:insideH w:val="single" w:color="B6DDE8" w:themeColor="accent5" w:themeTint="66" w:sz="4" w:space="0"/>
        <w:insideV w:val="single" w:color="B6DDE8" w:themeColor="accent5" w:themeTint="66" w:sz="4" w:space="0"/>
      </w:tblBorders>
    </w:tblPr>
    <w:tblStylePr w:type="firstRow">
      <w:rPr>
        <w:b/>
        <w:bCs/>
      </w:rPr>
      <w:tcPr>
        <w:tcBorders>
          <w:bottom w:val="single" w:color="92CDDC" w:themeColor="accent5" w:themeTint="99" w:sz="12" w:space="0"/>
        </w:tcBorders>
      </w:tcPr>
    </w:tblStylePr>
    <w:tblStylePr w:type="lastRow">
      <w:rPr>
        <w:b/>
        <w:bCs/>
      </w:rPr>
      <w:tcPr>
        <w:tcBorders>
          <w:top w:val="double" w:color="92CDDC" w:themeColor="accent5" w:themeTint="99" w:sz="2" w:space="0"/>
        </w:tcBorders>
      </w:tcPr>
    </w:tblStylePr>
    <w:tblStylePr w:type="firstCol">
      <w:rPr>
        <w:b/>
        <w:bCs/>
      </w:rPr>
    </w:tblStylePr>
    <w:tblStylePr w:type="lastCol">
      <w:rPr>
        <w:b/>
        <w:bCs/>
      </w:rPr>
    </w:tblStylePr>
  </w:style>
  <w:style w:type="character" w:customStyle="1" w:styleId="74">
    <w:name w:val="标题 5 字符"/>
    <w:basedOn w:val="21"/>
    <w:link w:val="6"/>
    <w:qFormat/>
    <w:uiPriority w:val="9"/>
    <w:rPr>
      <w:rFonts w:ascii="宋体" w:hAnsi="宋体" w:cs="宋体"/>
      <w:b/>
      <w:bCs/>
      <w:sz w:val="24"/>
      <w:szCs w:val="24"/>
    </w:rPr>
  </w:style>
  <w:style w:type="paragraph" w:customStyle="1" w:styleId="75">
    <w:name w:val="msonormal"/>
    <w:basedOn w:val="1"/>
    <w:qFormat/>
    <w:uiPriority w:val="0"/>
    <w:pPr>
      <w:spacing w:before="100" w:beforeAutospacing="1" w:after="100" w:afterAutospacing="1"/>
    </w:pPr>
  </w:style>
  <w:style w:type="paragraph" w:customStyle="1" w:styleId="76">
    <w:name w:val="font5"/>
    <w:basedOn w:val="1"/>
    <w:qFormat/>
    <w:uiPriority w:val="0"/>
    <w:pPr>
      <w:spacing w:before="100" w:beforeAutospacing="1" w:after="100" w:afterAutospacing="1"/>
    </w:pPr>
    <w:rPr>
      <w:rFonts w:ascii="等线" w:hAnsi="等线" w:eastAsia="等线"/>
      <w:sz w:val="18"/>
      <w:szCs w:val="18"/>
    </w:rPr>
  </w:style>
  <w:style w:type="paragraph" w:customStyle="1" w:styleId="77">
    <w:name w:val="font6"/>
    <w:basedOn w:val="1"/>
    <w:qFormat/>
    <w:uiPriority w:val="0"/>
    <w:pPr>
      <w:spacing w:before="100" w:beforeAutospacing="1" w:after="100" w:afterAutospacing="1"/>
    </w:pPr>
    <w:rPr>
      <w:color w:val="FF0000"/>
      <w:sz w:val="22"/>
      <w:szCs w:val="22"/>
    </w:rPr>
  </w:style>
  <w:style w:type="paragraph" w:customStyle="1" w:styleId="78">
    <w:name w:val="font7"/>
    <w:basedOn w:val="1"/>
    <w:qFormat/>
    <w:uiPriority w:val="0"/>
    <w:pPr>
      <w:spacing w:before="100" w:beforeAutospacing="1" w:after="100" w:afterAutospacing="1"/>
    </w:pPr>
    <w:rPr>
      <w:rFonts w:ascii="Arial" w:hAnsi="Arial" w:cs="Arial"/>
      <w:color w:val="FF0000"/>
      <w:sz w:val="22"/>
      <w:szCs w:val="22"/>
    </w:rPr>
  </w:style>
  <w:style w:type="paragraph" w:customStyle="1" w:styleId="79">
    <w:name w:val="font8"/>
    <w:basedOn w:val="1"/>
    <w:qFormat/>
    <w:uiPriority w:val="0"/>
    <w:pPr>
      <w:spacing w:before="100" w:beforeAutospacing="1" w:after="100" w:afterAutospacing="1"/>
    </w:pPr>
    <w:rPr>
      <w:rFonts w:ascii="等线" w:hAnsi="等线" w:eastAsia="等线"/>
      <w:color w:val="FF0000"/>
      <w:sz w:val="22"/>
      <w:szCs w:val="22"/>
    </w:rPr>
  </w:style>
  <w:style w:type="paragraph" w:customStyle="1" w:styleId="80">
    <w:name w:val="xl65"/>
    <w:basedOn w:val="1"/>
    <w:qFormat/>
    <w:uiPriority w:val="0"/>
    <w:pPr>
      <w:spacing w:before="100" w:beforeAutospacing="1" w:after="100" w:afterAutospacing="1"/>
      <w:jc w:val="center"/>
      <w:textAlignment w:val="center"/>
    </w:pPr>
    <w:rPr>
      <w:rFonts w:ascii="仿宋" w:hAnsi="仿宋" w:eastAsia="仿宋"/>
      <w:b/>
      <w:bCs/>
    </w:rPr>
  </w:style>
  <w:style w:type="paragraph" w:customStyle="1" w:styleId="81">
    <w:name w:val="xl66"/>
    <w:basedOn w:val="1"/>
    <w:qFormat/>
    <w:uiPriority w:val="0"/>
    <w:pPr>
      <w:spacing w:before="100" w:beforeAutospacing="1" w:after="100" w:afterAutospacing="1"/>
      <w:jc w:val="center"/>
      <w:textAlignment w:val="center"/>
    </w:pPr>
    <w:rPr>
      <w:b/>
      <w:bCs/>
    </w:rPr>
  </w:style>
  <w:style w:type="paragraph" w:customStyle="1" w:styleId="82">
    <w:name w:val="xl67"/>
    <w:basedOn w:val="1"/>
    <w:qFormat/>
    <w:uiPriority w:val="0"/>
    <w:pPr>
      <w:spacing w:before="100" w:beforeAutospacing="1" w:after="100" w:afterAutospacing="1"/>
      <w:jc w:val="center"/>
    </w:pPr>
    <w:rPr>
      <w:b/>
      <w:bCs/>
    </w:rPr>
  </w:style>
  <w:style w:type="paragraph" w:customStyle="1" w:styleId="83">
    <w:name w:val="xl68"/>
    <w:basedOn w:val="1"/>
    <w:qFormat/>
    <w:uiPriority w:val="0"/>
    <w:pPr>
      <w:shd w:val="clear" w:color="000000" w:fill="D9D9D9"/>
      <w:spacing w:before="100" w:beforeAutospacing="1" w:after="100" w:afterAutospacing="1"/>
      <w:jc w:val="center"/>
      <w:textAlignment w:val="center"/>
    </w:pPr>
    <w:rPr>
      <w:b/>
      <w:bCs/>
      <w:color w:val="000000"/>
    </w:rPr>
  </w:style>
  <w:style w:type="paragraph" w:customStyle="1" w:styleId="84">
    <w:name w:val="xl69"/>
    <w:basedOn w:val="1"/>
    <w:qFormat/>
    <w:uiPriority w:val="0"/>
    <w:pPr>
      <w:spacing w:before="100" w:beforeAutospacing="1" w:after="100" w:afterAutospacing="1"/>
      <w:jc w:val="center"/>
      <w:textAlignment w:val="center"/>
    </w:pPr>
    <w:rPr>
      <w:b/>
      <w:bCs/>
    </w:rPr>
  </w:style>
  <w:style w:type="paragraph" w:customStyle="1" w:styleId="85">
    <w:name w:val="xl70"/>
    <w:basedOn w:val="1"/>
    <w:qFormat/>
    <w:uiPriority w:val="0"/>
    <w:pPr>
      <w:spacing w:before="100" w:beforeAutospacing="1" w:after="100" w:afterAutospacing="1"/>
      <w:jc w:val="both"/>
      <w:textAlignment w:val="center"/>
    </w:pPr>
  </w:style>
  <w:style w:type="paragraph" w:customStyle="1" w:styleId="86">
    <w:name w:val="xl71"/>
    <w:basedOn w:val="1"/>
    <w:qFormat/>
    <w:uiPriority w:val="0"/>
    <w:pPr>
      <w:spacing w:before="100" w:beforeAutospacing="1" w:after="100" w:afterAutospacing="1"/>
      <w:textAlignment w:val="center"/>
    </w:pPr>
  </w:style>
  <w:style w:type="paragraph" w:customStyle="1" w:styleId="87">
    <w:name w:val="xl72"/>
    <w:basedOn w:val="1"/>
    <w:qFormat/>
    <w:uiPriority w:val="0"/>
    <w:pPr>
      <w:spacing w:before="100" w:beforeAutospacing="1" w:after="100" w:afterAutospacing="1"/>
      <w:textAlignment w:val="center"/>
    </w:pPr>
    <w:rPr>
      <w:b/>
      <w:bCs/>
    </w:rPr>
  </w:style>
  <w:style w:type="paragraph" w:customStyle="1" w:styleId="88">
    <w:name w:val="xl73"/>
    <w:basedOn w:val="1"/>
    <w:qFormat/>
    <w:uiPriority w:val="0"/>
    <w:pPr>
      <w:spacing w:before="100" w:beforeAutospacing="1" w:after="100" w:afterAutospacing="1"/>
      <w:textAlignment w:val="center"/>
    </w:pPr>
    <w:rPr>
      <w:b/>
      <w:bCs/>
    </w:rPr>
  </w:style>
  <w:style w:type="paragraph" w:customStyle="1" w:styleId="89">
    <w:name w:val="xl74"/>
    <w:basedOn w:val="1"/>
    <w:qFormat/>
    <w:uiPriority w:val="0"/>
    <w:pPr>
      <w:spacing w:before="100" w:beforeAutospacing="1" w:after="100" w:afterAutospacing="1"/>
      <w:textAlignment w:val="top"/>
    </w:pPr>
  </w:style>
  <w:style w:type="paragraph" w:customStyle="1" w:styleId="90">
    <w:name w:val="xl75"/>
    <w:basedOn w:val="1"/>
    <w:qFormat/>
    <w:uiPriority w:val="0"/>
    <w:pPr>
      <w:spacing w:before="100" w:beforeAutospacing="1" w:after="100" w:afterAutospacing="1"/>
      <w:jc w:val="both"/>
      <w:textAlignment w:val="top"/>
    </w:pPr>
  </w:style>
  <w:style w:type="paragraph" w:customStyle="1" w:styleId="91">
    <w:name w:val="xl76"/>
    <w:basedOn w:val="1"/>
    <w:qFormat/>
    <w:uiPriority w:val="0"/>
    <w:pPr>
      <w:spacing w:before="100" w:beforeAutospacing="1" w:after="100" w:afterAutospacing="1"/>
      <w:textAlignment w:val="top"/>
    </w:pPr>
  </w:style>
  <w:style w:type="paragraph" w:customStyle="1" w:styleId="92">
    <w:name w:val="xl77"/>
    <w:basedOn w:val="1"/>
    <w:qFormat/>
    <w:uiPriority w:val="0"/>
    <w:pPr>
      <w:spacing w:before="100" w:beforeAutospacing="1" w:after="100" w:afterAutospacing="1"/>
      <w:jc w:val="both"/>
      <w:textAlignment w:val="center"/>
    </w:pPr>
    <w:rPr>
      <w:color w:val="FF0000"/>
    </w:rPr>
  </w:style>
  <w:style w:type="paragraph" w:customStyle="1" w:styleId="93">
    <w:name w:val="xl78"/>
    <w:basedOn w:val="1"/>
    <w:qFormat/>
    <w:uiPriority w:val="0"/>
    <w:pPr>
      <w:spacing w:before="100" w:beforeAutospacing="1" w:after="100" w:afterAutospacing="1"/>
      <w:jc w:val="center"/>
      <w:textAlignment w:val="center"/>
    </w:pPr>
    <w:rPr>
      <w:b/>
      <w:bCs/>
      <w:color w:val="FF0000"/>
    </w:rPr>
  </w:style>
  <w:style w:type="paragraph" w:customStyle="1" w:styleId="94">
    <w:name w:val="xl79"/>
    <w:basedOn w:val="1"/>
    <w:qFormat/>
    <w:uiPriority w:val="0"/>
    <w:pPr>
      <w:spacing w:before="100" w:beforeAutospacing="1" w:after="100" w:afterAutospacing="1"/>
      <w:textAlignment w:val="top"/>
    </w:pPr>
    <w:rPr>
      <w:b/>
      <w:bCs/>
      <w:color w:val="FF0000"/>
    </w:rPr>
  </w:style>
  <w:style w:type="paragraph" w:customStyle="1" w:styleId="95">
    <w:name w:val="xl80"/>
    <w:basedOn w:val="1"/>
    <w:qFormat/>
    <w:uiPriority w:val="0"/>
    <w:pPr>
      <w:spacing w:before="100" w:beforeAutospacing="1" w:after="100" w:afterAutospacing="1"/>
    </w:pPr>
    <w:rPr>
      <w:b/>
      <w:bCs/>
      <w:color w:val="FF0000"/>
    </w:rPr>
  </w:style>
  <w:style w:type="paragraph" w:customStyle="1" w:styleId="96">
    <w:name w:val="xl81"/>
    <w:basedOn w:val="1"/>
    <w:qFormat/>
    <w:uiPriority w:val="0"/>
    <w:pPr>
      <w:spacing w:before="100" w:beforeAutospacing="1" w:after="100" w:afterAutospacing="1"/>
    </w:pPr>
    <w:rPr>
      <w:color w:val="FF0000"/>
    </w:rPr>
  </w:style>
  <w:style w:type="paragraph" w:customStyle="1" w:styleId="97">
    <w:name w:val="xl82"/>
    <w:basedOn w:val="1"/>
    <w:qFormat/>
    <w:uiPriority w:val="0"/>
    <w:pPr>
      <w:spacing w:before="100" w:beforeAutospacing="1" w:after="100" w:afterAutospacing="1"/>
      <w:jc w:val="center"/>
    </w:pPr>
    <w:rPr>
      <w:b/>
      <w:bCs/>
      <w:color w:val="FF0000"/>
    </w:rPr>
  </w:style>
  <w:style w:type="paragraph" w:customStyle="1" w:styleId="98">
    <w:name w:val="xl83"/>
    <w:basedOn w:val="1"/>
    <w:qFormat/>
    <w:uiPriority w:val="0"/>
    <w:pPr>
      <w:spacing w:before="100" w:beforeAutospacing="1" w:after="100" w:afterAutospacing="1"/>
      <w:textAlignment w:val="top"/>
    </w:pPr>
    <w:rPr>
      <w:color w:val="FF0000"/>
    </w:rPr>
  </w:style>
  <w:style w:type="paragraph" w:customStyle="1" w:styleId="99">
    <w:name w:val="xl84"/>
    <w:basedOn w:val="1"/>
    <w:qFormat/>
    <w:uiPriority w:val="0"/>
    <w:pPr>
      <w:spacing w:before="100" w:beforeAutospacing="1" w:after="100" w:afterAutospacing="1"/>
      <w:textAlignment w:val="center"/>
    </w:pPr>
    <w:rPr>
      <w:color w:val="FF0000"/>
    </w:rPr>
  </w:style>
  <w:style w:type="paragraph" w:customStyle="1" w:styleId="100">
    <w:name w:val="xl85"/>
    <w:basedOn w:val="1"/>
    <w:qFormat/>
    <w:uiPriority w:val="0"/>
    <w:pPr>
      <w:spacing w:before="100" w:beforeAutospacing="1" w:after="100" w:afterAutospacing="1"/>
      <w:textAlignment w:val="top"/>
    </w:pPr>
    <w:rPr>
      <w:color w:val="FF0000"/>
    </w:rPr>
  </w:style>
  <w:style w:type="paragraph" w:customStyle="1" w:styleId="101">
    <w:name w:val="xl86"/>
    <w:basedOn w:val="1"/>
    <w:qFormat/>
    <w:uiPriority w:val="0"/>
    <w:pPr>
      <w:spacing w:before="100" w:beforeAutospacing="1" w:after="100" w:afterAutospacing="1"/>
      <w:textAlignment w:val="center"/>
    </w:pPr>
    <w:rPr>
      <w:rFonts w:ascii="Arial" w:hAnsi="Arial" w:cs="Arial"/>
      <w:color w:val="FF0000"/>
    </w:rPr>
  </w:style>
  <w:style w:type="paragraph" w:customStyle="1" w:styleId="102">
    <w:name w:val="xl87"/>
    <w:basedOn w:val="1"/>
    <w:qFormat/>
    <w:uiPriority w:val="0"/>
    <w:pPr>
      <w:spacing w:before="100" w:beforeAutospacing="1" w:after="100" w:afterAutospacing="1"/>
      <w:textAlignment w:val="center"/>
    </w:pPr>
    <w:rPr>
      <w:b/>
      <w:bCs/>
      <w:color w:val="FF0000"/>
    </w:rPr>
  </w:style>
  <w:style w:type="paragraph" w:customStyle="1" w:styleId="103">
    <w:name w:val="xl88"/>
    <w:basedOn w:val="1"/>
    <w:qFormat/>
    <w:uiPriority w:val="0"/>
    <w:pPr>
      <w:spacing w:before="100" w:beforeAutospacing="1" w:after="100" w:afterAutospacing="1"/>
      <w:textAlignment w:val="center"/>
    </w:pPr>
    <w:rPr>
      <w:rFonts w:ascii="Arial" w:hAnsi="Arial" w:cs="Arial"/>
      <w:color w:val="FF0000"/>
    </w:rPr>
  </w:style>
  <w:style w:type="paragraph" w:customStyle="1" w:styleId="104">
    <w:name w:val="xl89"/>
    <w:basedOn w:val="1"/>
    <w:qFormat/>
    <w:uiPriority w:val="0"/>
    <w:pPr>
      <w:spacing w:before="100" w:beforeAutospacing="1" w:after="100" w:afterAutospacing="1"/>
      <w:textAlignment w:val="center"/>
    </w:pPr>
    <w:rPr>
      <w:rFonts w:ascii="仿宋" w:hAnsi="仿宋" w:eastAsia="仿宋"/>
      <w:b/>
      <w:bCs/>
      <w:sz w:val="32"/>
      <w:szCs w:val="32"/>
    </w:rPr>
  </w:style>
  <w:style w:type="paragraph" w:customStyle="1" w:styleId="105">
    <w:name w:val="xl90"/>
    <w:basedOn w:val="1"/>
    <w:qFormat/>
    <w:uiPriority w:val="0"/>
    <w:pPr>
      <w:spacing w:before="100" w:beforeAutospacing="1" w:after="100" w:afterAutospacing="1"/>
      <w:jc w:val="center"/>
      <w:textAlignment w:val="center"/>
    </w:pPr>
    <w:rPr>
      <w:rFonts w:ascii="方正小标宋简体" w:eastAsia="方正小标宋简体"/>
      <w:sz w:val="44"/>
      <w:szCs w:val="44"/>
    </w:rPr>
  </w:style>
  <w:style w:type="paragraph" w:customStyle="1" w:styleId="106">
    <w:name w:val="xl91"/>
    <w:basedOn w:val="1"/>
    <w:qFormat/>
    <w:uiPriority w:val="0"/>
    <w:pPr>
      <w:spacing w:before="100" w:beforeAutospacing="1" w:after="100" w:afterAutospacing="1"/>
      <w:textAlignment w:val="center"/>
    </w:pPr>
    <w:rPr>
      <w:b/>
      <w:bCs/>
    </w:rPr>
  </w:style>
  <w:style w:type="paragraph" w:customStyle="1" w:styleId="107">
    <w:name w:val="数字编号列项（二级）"/>
    <w:qFormat/>
    <w:uiPriority w:val="0"/>
    <w:pPr>
      <w:numPr>
        <w:ilvl w:val="1"/>
        <w:numId w:val="4"/>
      </w:numPr>
      <w:jc w:val="both"/>
    </w:pPr>
    <w:rPr>
      <w:rFonts w:ascii="宋体" w:hAnsi="Times New Roman" w:eastAsia="宋体" w:cs="Times New Roman"/>
      <w:sz w:val="21"/>
      <w:lang w:val="en-US" w:eastAsia="zh-CN" w:bidi="ar-SA"/>
    </w:rPr>
  </w:style>
  <w:style w:type="paragraph" w:customStyle="1" w:styleId="108">
    <w:name w:val="字母编号列项（一级）"/>
    <w:qFormat/>
    <w:uiPriority w:val="0"/>
    <w:pPr>
      <w:numPr>
        <w:ilvl w:val="0"/>
        <w:numId w:val="4"/>
      </w:numPr>
      <w:jc w:val="both"/>
    </w:pPr>
    <w:rPr>
      <w:rFonts w:ascii="宋体" w:hAnsi="Times New Roman" w:eastAsia="宋体" w:cs="Times New Roman"/>
      <w:sz w:val="21"/>
      <w:lang w:val="en-US" w:eastAsia="zh-CN" w:bidi="ar-SA"/>
    </w:rPr>
  </w:style>
  <w:style w:type="paragraph" w:customStyle="1" w:styleId="109">
    <w:name w:val="编号列项（三级）"/>
    <w:qFormat/>
    <w:uiPriority w:val="0"/>
    <w:pPr>
      <w:numPr>
        <w:ilvl w:val="2"/>
        <w:numId w:val="4"/>
      </w:numPr>
    </w:pPr>
    <w:rPr>
      <w:rFonts w:ascii="宋体" w:hAnsi="Times New Roman" w:eastAsia="宋体" w:cs="Times New Roman"/>
      <w:sz w:val="21"/>
      <w:lang w:val="en-US" w:eastAsia="zh-CN" w:bidi="ar-SA"/>
    </w:rPr>
  </w:style>
  <w:style w:type="paragraph" w:customStyle="1" w:styleId="110">
    <w:name w:val="标准文件_附录标识"/>
    <w:next w:val="1"/>
    <w:qFormat/>
    <w:uiPriority w:val="0"/>
    <w:pPr>
      <w:numPr>
        <w:ilvl w:val="0"/>
        <w:numId w:val="5"/>
      </w:numPr>
      <w:shd w:val="clear" w:color="FFFFFF" w:fill="FFFFFF"/>
      <w:tabs>
        <w:tab w:val="left" w:pos="6406"/>
      </w:tabs>
      <w:spacing w:before="25" w:beforeLines="25" w:after="50" w:afterLines="50"/>
      <w:jc w:val="center"/>
      <w:outlineLvl w:val="0"/>
    </w:pPr>
    <w:rPr>
      <w:rFonts w:ascii="黑体" w:hAnsi="Times New Roman" w:eastAsia="黑体" w:cs="Times New Roman"/>
      <w:sz w:val="21"/>
      <w:lang w:val="en-US" w:eastAsia="zh-CN" w:bidi="ar-SA"/>
    </w:rPr>
  </w:style>
  <w:style w:type="paragraph" w:customStyle="1" w:styleId="111">
    <w:name w:val="标准文件_附录一级条标题"/>
    <w:next w:val="1"/>
    <w:qFormat/>
    <w:uiPriority w:val="0"/>
    <w:pPr>
      <w:widowControl w:val="0"/>
      <w:numPr>
        <w:ilvl w:val="1"/>
        <w:numId w:val="5"/>
      </w:numPr>
      <w:spacing w:before="50" w:beforeLines="50" w:after="50" w:afterLines="50"/>
      <w:jc w:val="both"/>
      <w:outlineLvl w:val="2"/>
    </w:pPr>
    <w:rPr>
      <w:rFonts w:ascii="黑体" w:hAnsi="Times New Roman" w:eastAsia="黑体" w:cs="Times New Roman"/>
      <w:kern w:val="21"/>
      <w:sz w:val="21"/>
      <w:lang w:val="en-US" w:eastAsia="zh-CN" w:bidi="ar-SA"/>
    </w:rPr>
  </w:style>
  <w:style w:type="paragraph" w:customStyle="1" w:styleId="112">
    <w:name w:val="标准文件_附录二级条标题"/>
    <w:basedOn w:val="111"/>
    <w:next w:val="1"/>
    <w:qFormat/>
    <w:uiPriority w:val="0"/>
    <w:pPr>
      <w:widowControl/>
      <w:numPr>
        <w:ilvl w:val="2"/>
      </w:numPr>
      <w:wordWrap w:val="0"/>
      <w:overflowPunct w:val="0"/>
      <w:autoSpaceDE w:val="0"/>
      <w:autoSpaceDN w:val="0"/>
      <w:textAlignment w:val="baseline"/>
      <w:outlineLvl w:val="3"/>
    </w:pPr>
  </w:style>
  <w:style w:type="paragraph" w:customStyle="1" w:styleId="113">
    <w:name w:val="标准文件_附录三级条标题"/>
    <w:next w:val="1"/>
    <w:qFormat/>
    <w:uiPriority w:val="0"/>
    <w:pPr>
      <w:widowControl w:val="0"/>
      <w:numPr>
        <w:ilvl w:val="3"/>
        <w:numId w:val="5"/>
      </w:numPr>
      <w:spacing w:before="50" w:beforeLines="50" w:after="50" w:afterLines="50"/>
      <w:jc w:val="both"/>
      <w:outlineLvl w:val="4"/>
    </w:pPr>
    <w:rPr>
      <w:rFonts w:ascii="黑体" w:hAnsi="Times New Roman" w:eastAsia="黑体" w:cs="Times New Roman"/>
      <w:kern w:val="21"/>
      <w:sz w:val="21"/>
      <w:lang w:val="en-US" w:eastAsia="zh-CN" w:bidi="ar-SA"/>
    </w:rPr>
  </w:style>
  <w:style w:type="paragraph" w:customStyle="1" w:styleId="114">
    <w:name w:val="标准文件_附录四级条标题"/>
    <w:next w:val="1"/>
    <w:qFormat/>
    <w:uiPriority w:val="0"/>
    <w:pPr>
      <w:widowControl w:val="0"/>
      <w:numPr>
        <w:ilvl w:val="4"/>
        <w:numId w:val="5"/>
      </w:numPr>
      <w:spacing w:before="50" w:beforeLines="50" w:after="50" w:afterLines="50"/>
      <w:jc w:val="both"/>
      <w:outlineLvl w:val="5"/>
    </w:pPr>
    <w:rPr>
      <w:rFonts w:ascii="黑体" w:hAnsi="Times New Roman" w:eastAsia="黑体" w:cs="Times New Roman"/>
      <w:kern w:val="21"/>
      <w:sz w:val="21"/>
      <w:lang w:val="en-US" w:eastAsia="zh-CN" w:bidi="ar-SA"/>
    </w:rPr>
  </w:style>
  <w:style w:type="paragraph" w:customStyle="1" w:styleId="115">
    <w:name w:val="标准文件_附录五级条标题"/>
    <w:next w:val="1"/>
    <w:qFormat/>
    <w:uiPriority w:val="0"/>
    <w:pPr>
      <w:widowControl w:val="0"/>
      <w:numPr>
        <w:ilvl w:val="5"/>
        <w:numId w:val="5"/>
      </w:numPr>
      <w:spacing w:before="50" w:beforeLines="50" w:after="50" w:afterLines="50"/>
      <w:jc w:val="both"/>
      <w:outlineLvl w:val="6"/>
    </w:pPr>
    <w:rPr>
      <w:rFonts w:ascii="黑体" w:hAnsi="Times New Roman" w:eastAsia="黑体" w:cs="Times New Roman"/>
      <w:kern w:val="21"/>
      <w:sz w:val="21"/>
      <w:lang w:val="en-US" w:eastAsia="zh-CN" w:bidi="ar-SA"/>
    </w:rPr>
  </w:style>
  <w:style w:type="character" w:customStyle="1" w:styleId="116">
    <w:name w:val="发布"/>
    <w:qFormat/>
    <w:uiPriority w:val="0"/>
    <w:rPr>
      <w:rFonts w:ascii="黑体" w:eastAsia="黑体"/>
      <w:spacing w:val="22"/>
      <w:w w:val="100"/>
      <w:position w:val="3"/>
      <w:sz w:val="28"/>
    </w:rPr>
  </w:style>
</w:styles>
</file>

<file path=word/_rels/document.xml.rels><?xml version="1.0" encoding="UTF-8" standalone="yes"?>
<Relationships xmlns="http://schemas.openxmlformats.org/package/2006/relationships"><Relationship Id="rId9" Type="http://schemas.openxmlformats.org/officeDocument/2006/relationships/image" Target="media/image4.jpeg"/><Relationship Id="rId8" Type="http://schemas.openxmlformats.org/officeDocument/2006/relationships/image" Target="media/image3.jpeg"/><Relationship Id="rId7" Type="http://schemas.openxmlformats.org/officeDocument/2006/relationships/image" Target="media/image2.jpeg"/><Relationship Id="rId6" Type="http://schemas.openxmlformats.org/officeDocument/2006/relationships/image" Target="media/image1.jpeg"/><Relationship Id="rId5" Type="http://schemas.openxmlformats.org/officeDocument/2006/relationships/theme" Target="theme/theme1.xml"/><Relationship Id="rId4" Type="http://schemas.openxmlformats.org/officeDocument/2006/relationships/footer" Target="footer2.xml"/><Relationship Id="rId3" Type="http://schemas.openxmlformats.org/officeDocument/2006/relationships/footer" Target="footer1.xml"/><Relationship Id="rId2" Type="http://schemas.openxmlformats.org/officeDocument/2006/relationships/settings" Target="settings.xml"/><Relationship Id="rId16" Type="http://schemas.openxmlformats.org/officeDocument/2006/relationships/fontTable" Target="fontTable.xml"/><Relationship Id="rId15" Type="http://schemas.openxmlformats.org/officeDocument/2006/relationships/numbering" Target="numbering.xml"/><Relationship Id="rId14" Type="http://schemas.openxmlformats.org/officeDocument/2006/relationships/customXml" Target="../customXml/item1.xml"/><Relationship Id="rId13" Type="http://schemas.openxmlformats.org/officeDocument/2006/relationships/image" Target="media/image8.pn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3073"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Company>Lenovo (Beijing) Limited</Company>
  <Pages>23</Pages>
  <Words>6939</Words>
  <Characters>7460</Characters>
  <Lines>191</Lines>
  <Paragraphs>53</Paragraphs>
  <TotalTime>31</TotalTime>
  <ScaleCrop>false</ScaleCrop>
  <LinksUpToDate>false</LinksUpToDate>
  <CharactersWithSpaces>7551</CharactersWithSpaces>
  <Application>WPS Office_12.1.0.20305_F1E327BC-269C-435d-A152-05C5408002CA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2016-10-14T02:30:00Z</dcterms:created>
  <dc:creator>lyc</dc:creator>
  <cp:lastModifiedBy>羊愣愣</cp:lastModifiedBy>
  <cp:lastPrinted>2022-07-14T09:32:00Z</cp:lastPrinted>
  <dcterms:modified xsi:type="dcterms:W3CDTF">2025-03-05T06:05:10Z</dcterms:modified>
  <dc:title>泡沫混凝土用泡沫剂</dc:title>
  <cp:revision>737</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2052-12.1.0.20305</vt:lpwstr>
  </property>
  <property fmtid="{D5CDD505-2E9C-101B-9397-08002B2CF9AE}" pid="3" name="ICV">
    <vt:lpwstr>672B13A417874800B01BD7E289C52139_12</vt:lpwstr>
  </property>
  <property fmtid="{D5CDD505-2E9C-101B-9397-08002B2CF9AE}" pid="4" name="KSOTemplateDocerSaveRecord">
    <vt:lpwstr>eyJoZGlkIjoiMGUyOTVhYjhmYmY2YTcxYjdlZWE0MzRkYjUwMGY0OTAiLCJ1c2VySWQiOiIyNTk3NDM5MDAifQ==</vt:lpwstr>
  </property>
</Properties>
</file>