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380889">
      <w:pPr>
        <w:pStyle w:val="27"/>
        <w:keepNext w:val="0"/>
        <w:keepLines w:val="0"/>
        <w:pageBreakBefore w:val="0"/>
        <w:widowControl w:val="0"/>
        <w:kinsoku/>
        <w:wordWrap/>
        <w:overflowPunct/>
        <w:topLinePunct/>
        <w:autoSpaceDE/>
        <w:autoSpaceDN/>
        <w:bidi w:val="0"/>
        <w:adjustRightInd/>
        <w:snapToGrid/>
        <w:spacing w:line="360" w:lineRule="auto"/>
        <w:ind w:firstLine="0" w:firstLineChars="0"/>
        <w:textAlignment w:val="center"/>
        <w:rPr>
          <w:rFonts w:hint="eastAsia" w:ascii="黑体" w:hAnsi="黑体" w:eastAsia="黑体" w:cs="黑体"/>
          <w:b w:val="0"/>
          <w:bCs/>
          <w:color w:val="000000" w:themeColor="text1"/>
          <w:sz w:val="32"/>
          <w:szCs w:val="32"/>
          <w14:textFill>
            <w14:solidFill>
              <w14:schemeClr w14:val="tx1"/>
            </w14:solidFill>
          </w14:textFill>
        </w:rPr>
      </w:pPr>
      <w:bookmarkStart w:id="0" w:name="OLE_LINK22"/>
    </w:p>
    <w:p w14:paraId="6B845FA2">
      <w:pPr>
        <w:pStyle w:val="27"/>
        <w:keepNext w:val="0"/>
        <w:keepLines w:val="0"/>
        <w:pageBreakBefore w:val="0"/>
        <w:widowControl w:val="0"/>
        <w:kinsoku/>
        <w:wordWrap/>
        <w:overflowPunct/>
        <w:topLinePunct/>
        <w:autoSpaceDE/>
        <w:autoSpaceDN/>
        <w:bidi w:val="0"/>
        <w:adjustRightInd/>
        <w:snapToGrid/>
        <w:spacing w:line="360" w:lineRule="auto"/>
        <w:ind w:firstLine="0" w:firstLineChars="0"/>
        <w:textAlignment w:val="center"/>
        <w:rPr>
          <w:rFonts w:hint="eastAsia" w:ascii="黑体" w:hAnsi="黑体" w:eastAsia="黑体" w:cs="黑体"/>
          <w:b w:val="0"/>
          <w:bCs/>
          <w:color w:val="000000" w:themeColor="text1"/>
          <w:sz w:val="32"/>
          <w:szCs w:val="32"/>
          <w14:textFill>
            <w14:solidFill>
              <w14:schemeClr w14:val="tx1"/>
            </w14:solidFill>
          </w14:textFill>
        </w:rPr>
      </w:pPr>
    </w:p>
    <w:p w14:paraId="6864E229">
      <w:pPr>
        <w:pStyle w:val="27"/>
        <w:keepNext w:val="0"/>
        <w:keepLines w:val="0"/>
        <w:pageBreakBefore w:val="0"/>
        <w:widowControl w:val="0"/>
        <w:kinsoku/>
        <w:wordWrap/>
        <w:overflowPunct/>
        <w:topLinePunct/>
        <w:autoSpaceDE/>
        <w:autoSpaceDN/>
        <w:bidi w:val="0"/>
        <w:adjustRightInd/>
        <w:snapToGrid/>
        <w:spacing w:line="360" w:lineRule="auto"/>
        <w:ind w:firstLine="0" w:firstLineChars="0"/>
        <w:textAlignment w:val="center"/>
        <w:rPr>
          <w:rFonts w:hint="eastAsia" w:ascii="黑体" w:hAnsi="黑体" w:eastAsia="黑体" w:cs="黑体"/>
          <w:b w:val="0"/>
          <w:bCs/>
          <w:color w:val="000000" w:themeColor="text1"/>
          <w:sz w:val="32"/>
          <w:szCs w:val="32"/>
          <w14:textFill>
            <w14:solidFill>
              <w14:schemeClr w14:val="tx1"/>
            </w14:solidFill>
          </w14:textFill>
        </w:rPr>
      </w:pPr>
    </w:p>
    <w:p w14:paraId="778CE6B9">
      <w:pPr>
        <w:pStyle w:val="27"/>
        <w:keepNext w:val="0"/>
        <w:keepLines w:val="0"/>
        <w:pageBreakBefore w:val="0"/>
        <w:widowControl w:val="0"/>
        <w:kinsoku/>
        <w:wordWrap/>
        <w:overflowPunct/>
        <w:topLinePunct/>
        <w:autoSpaceDE/>
        <w:autoSpaceDN/>
        <w:bidi w:val="0"/>
        <w:adjustRightInd/>
        <w:snapToGrid/>
        <w:spacing w:line="360" w:lineRule="auto"/>
        <w:ind w:firstLine="0" w:firstLineChars="0"/>
        <w:textAlignment w:val="center"/>
        <w:rPr>
          <w:rFonts w:hint="eastAsia" w:ascii="黑体" w:hAnsi="黑体" w:eastAsia="黑体" w:cs="黑体"/>
          <w:b w:val="0"/>
          <w:bCs/>
          <w:color w:val="000000" w:themeColor="text1"/>
          <w:sz w:val="32"/>
          <w:szCs w:val="32"/>
          <w14:textFill>
            <w14:solidFill>
              <w14:schemeClr w14:val="tx1"/>
            </w14:solidFill>
          </w14:textFill>
        </w:rPr>
      </w:pPr>
    </w:p>
    <w:p w14:paraId="54DAFC2A">
      <w:pPr>
        <w:pStyle w:val="27"/>
        <w:keepNext w:val="0"/>
        <w:keepLines w:val="0"/>
        <w:pageBreakBefore w:val="0"/>
        <w:widowControl w:val="0"/>
        <w:kinsoku/>
        <w:wordWrap/>
        <w:overflowPunct/>
        <w:topLinePunct/>
        <w:autoSpaceDE/>
        <w:autoSpaceDN/>
        <w:bidi w:val="0"/>
        <w:adjustRightInd/>
        <w:snapToGrid/>
        <w:spacing w:line="360" w:lineRule="auto"/>
        <w:ind w:firstLine="0" w:firstLineChars="0"/>
        <w:textAlignment w:val="center"/>
        <w:rPr>
          <w:rFonts w:hint="eastAsia" w:ascii="黑体" w:hAnsi="黑体" w:eastAsia="黑体" w:cs="黑体"/>
          <w:b w:val="0"/>
          <w:bCs/>
          <w:color w:val="000000" w:themeColor="text1"/>
          <w:sz w:val="32"/>
          <w:szCs w:val="32"/>
          <w14:textFill>
            <w14:solidFill>
              <w14:schemeClr w14:val="tx1"/>
            </w14:solidFill>
          </w14:textFill>
        </w:rPr>
      </w:pPr>
    </w:p>
    <w:p w14:paraId="0CD25916">
      <w:pPr>
        <w:pStyle w:val="27"/>
        <w:keepNext w:val="0"/>
        <w:keepLines w:val="0"/>
        <w:pageBreakBefore w:val="0"/>
        <w:widowControl w:val="0"/>
        <w:kinsoku/>
        <w:wordWrap/>
        <w:overflowPunct/>
        <w:topLinePunct/>
        <w:autoSpaceDE/>
        <w:autoSpaceDN/>
        <w:bidi w:val="0"/>
        <w:adjustRightInd/>
        <w:snapToGrid w:val="0"/>
        <w:spacing w:line="360" w:lineRule="auto"/>
        <w:ind w:firstLine="0" w:firstLineChars="0"/>
        <w:textAlignment w:val="center"/>
        <w:rPr>
          <w:rFonts w:hint="eastAsia" w:ascii="黑体" w:hAnsi="黑体" w:eastAsia="黑体" w:cs="黑体"/>
          <w:b w:val="0"/>
          <w:bCs/>
          <w:color w:val="000000" w:themeColor="text1"/>
          <w:sz w:val="44"/>
          <w:szCs w:val="44"/>
          <w14:textFill>
            <w14:solidFill>
              <w14:schemeClr w14:val="tx1"/>
            </w14:solidFill>
          </w14:textFill>
        </w:rPr>
      </w:pPr>
    </w:p>
    <w:p w14:paraId="21D3F1F8">
      <w:pPr>
        <w:pStyle w:val="27"/>
        <w:keepNext w:val="0"/>
        <w:keepLines w:val="0"/>
        <w:pageBreakBefore w:val="0"/>
        <w:widowControl w:val="0"/>
        <w:kinsoku/>
        <w:wordWrap/>
        <w:overflowPunct/>
        <w:topLinePunct/>
        <w:autoSpaceDE/>
        <w:autoSpaceDN/>
        <w:bidi w:val="0"/>
        <w:adjustRightInd/>
        <w:snapToGrid w:val="0"/>
        <w:spacing w:line="360" w:lineRule="auto"/>
        <w:ind w:firstLine="0" w:firstLineChars="0"/>
        <w:textAlignment w:val="center"/>
        <w:rPr>
          <w:rFonts w:hint="eastAsia" w:cs="黑体"/>
          <w:b w:val="0"/>
          <w:bCs/>
          <w:color w:val="000000" w:themeColor="text1"/>
          <w:sz w:val="44"/>
          <w:szCs w:val="44"/>
          <w:lang w:val="en-US" w:eastAsia="zh-CN"/>
          <w14:textFill>
            <w14:solidFill>
              <w14:schemeClr w14:val="tx1"/>
            </w14:solidFill>
          </w14:textFill>
        </w:rPr>
      </w:pPr>
      <w:r>
        <w:rPr>
          <w:rFonts w:hint="eastAsia" w:cs="黑体"/>
          <w:b w:val="0"/>
          <w:bCs/>
          <w:color w:val="000000" w:themeColor="text1"/>
          <w:sz w:val="44"/>
          <w:szCs w:val="44"/>
          <w:lang w:val="en-US" w:eastAsia="zh-CN"/>
          <w14:textFill>
            <w14:solidFill>
              <w14:schemeClr w14:val="tx1"/>
            </w14:solidFill>
          </w14:textFill>
        </w:rPr>
        <w:t>建材行业标准</w:t>
      </w:r>
    </w:p>
    <w:p w14:paraId="1857D4BB">
      <w:pPr>
        <w:pStyle w:val="27"/>
        <w:keepNext w:val="0"/>
        <w:keepLines w:val="0"/>
        <w:pageBreakBefore w:val="0"/>
        <w:widowControl w:val="0"/>
        <w:kinsoku/>
        <w:wordWrap/>
        <w:overflowPunct/>
        <w:topLinePunct/>
        <w:autoSpaceDE/>
        <w:autoSpaceDN/>
        <w:bidi w:val="0"/>
        <w:adjustRightInd/>
        <w:snapToGrid w:val="0"/>
        <w:spacing w:line="360" w:lineRule="auto"/>
        <w:ind w:firstLine="0" w:firstLineChars="0"/>
        <w:textAlignment w:val="center"/>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t>《</w:t>
      </w:r>
      <w:r>
        <w:rPr>
          <w:rFonts w:hint="eastAsia"/>
          <w:b/>
          <w:color w:val="auto"/>
          <w:sz w:val="44"/>
          <w:szCs w:val="44"/>
          <w:highlight w:val="none"/>
        </w:rPr>
        <w:t>水泥基渗透结晶型防水材料应用技术规范</w:t>
      </w:r>
      <w:r>
        <w:rPr>
          <w:rFonts w:hint="eastAsia" w:ascii="黑体" w:hAnsi="黑体" w:eastAsia="黑体" w:cs="黑体"/>
          <w:color w:val="000000" w:themeColor="text1"/>
          <w:sz w:val="44"/>
          <w:szCs w:val="44"/>
          <w14:textFill>
            <w14:solidFill>
              <w14:schemeClr w14:val="tx1"/>
            </w14:solidFill>
          </w14:textFill>
        </w:rPr>
        <w:t>》</w:t>
      </w:r>
    </w:p>
    <w:bookmarkEnd w:id="0"/>
    <w:p w14:paraId="37FA7683">
      <w:pPr>
        <w:pStyle w:val="27"/>
        <w:keepNext w:val="0"/>
        <w:keepLines w:val="0"/>
        <w:pageBreakBefore w:val="0"/>
        <w:widowControl w:val="0"/>
        <w:kinsoku/>
        <w:wordWrap/>
        <w:overflowPunct/>
        <w:topLinePunct/>
        <w:autoSpaceDE/>
        <w:autoSpaceDN/>
        <w:bidi w:val="0"/>
        <w:adjustRightInd/>
        <w:snapToGrid/>
        <w:spacing w:line="360" w:lineRule="auto"/>
        <w:ind w:firstLine="0" w:firstLineChars="0"/>
        <w:textAlignment w:val="center"/>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标准编制说明</w:t>
      </w:r>
    </w:p>
    <w:p w14:paraId="0CE179BA">
      <w:pPr>
        <w:pStyle w:val="27"/>
        <w:keepNext w:val="0"/>
        <w:keepLines w:val="0"/>
        <w:pageBreakBefore w:val="0"/>
        <w:widowControl w:val="0"/>
        <w:kinsoku/>
        <w:wordWrap/>
        <w:overflowPunct/>
        <w:topLinePunct/>
        <w:autoSpaceDE/>
        <w:autoSpaceDN/>
        <w:bidi w:val="0"/>
        <w:adjustRightInd/>
        <w:snapToGrid/>
        <w:spacing w:line="360" w:lineRule="auto"/>
        <w:ind w:firstLine="0" w:firstLineChars="0"/>
        <w:textAlignment w:val="center"/>
        <w:rPr>
          <w:rFonts w:hint="eastAsia" w:ascii="宋体" w:hAnsi="宋体" w:eastAsia="宋体" w:cs="宋体"/>
          <w:color w:val="000000" w:themeColor="text1"/>
          <w:sz w:val="30"/>
          <w:szCs w:val="30"/>
          <w:lang w:eastAsia="zh-CN"/>
          <w14:textFill>
            <w14:solidFill>
              <w14:schemeClr w14:val="tx1"/>
            </w14:solidFill>
          </w14:textFill>
        </w:rPr>
      </w:pPr>
      <w:r>
        <w:rPr>
          <w:rFonts w:hint="eastAsia" w:ascii="宋体" w:hAnsi="宋体" w:eastAsia="宋体" w:cs="宋体"/>
          <w:color w:val="000000" w:themeColor="text1"/>
          <w:sz w:val="30"/>
          <w:szCs w:val="30"/>
          <w:lang w:eastAsia="zh-CN"/>
          <w14:textFill>
            <w14:solidFill>
              <w14:schemeClr w14:val="tx1"/>
            </w14:solidFill>
          </w14:textFill>
        </w:rPr>
        <w:t>（</w:t>
      </w:r>
      <w:r>
        <w:rPr>
          <w:rFonts w:hint="eastAsia" w:ascii="宋体" w:hAnsi="宋体" w:eastAsia="宋体" w:cs="宋体"/>
          <w:color w:val="000000" w:themeColor="text1"/>
          <w:sz w:val="30"/>
          <w:szCs w:val="30"/>
          <w:lang w:val="en-US" w:eastAsia="zh-CN"/>
          <w14:textFill>
            <w14:solidFill>
              <w14:schemeClr w14:val="tx1"/>
            </w14:solidFill>
          </w14:textFill>
        </w:rPr>
        <w:t>征求意见稿</w:t>
      </w:r>
      <w:r>
        <w:rPr>
          <w:rFonts w:hint="eastAsia" w:ascii="宋体" w:hAnsi="宋体" w:eastAsia="宋体" w:cs="宋体"/>
          <w:color w:val="000000" w:themeColor="text1"/>
          <w:sz w:val="30"/>
          <w:szCs w:val="30"/>
          <w:lang w:eastAsia="zh-CN"/>
          <w14:textFill>
            <w14:solidFill>
              <w14:schemeClr w14:val="tx1"/>
            </w14:solidFill>
          </w14:textFill>
        </w:rPr>
        <w:t>）</w:t>
      </w:r>
    </w:p>
    <w:p w14:paraId="68F2E9A9">
      <w:pPr>
        <w:pStyle w:val="19"/>
        <w:keepNext w:val="0"/>
        <w:keepLines w:val="0"/>
        <w:pageBreakBefore w:val="0"/>
        <w:widowControl/>
        <w:kinsoku/>
        <w:wordWrap/>
        <w:overflowPunct/>
        <w:topLinePunct w:val="0"/>
        <w:autoSpaceDE/>
        <w:autoSpaceDN/>
        <w:bidi w:val="0"/>
        <w:adjustRightInd/>
        <w:snapToGrid/>
        <w:spacing w:before="156" w:after="156" w:line="360" w:lineRule="auto"/>
        <w:ind w:firstLine="0" w:firstLineChars="0"/>
        <w:jc w:val="center"/>
        <w:textAlignment w:val="auto"/>
        <w:rPr>
          <w:rFonts w:hint="eastAsia" w:ascii="黑体" w:hAnsi="黑体" w:eastAsia="黑体" w:cs="黑体"/>
          <w:color w:val="000000" w:themeColor="text1"/>
          <w:sz w:val="24"/>
          <w:szCs w:val="21"/>
          <w:lang w:eastAsia="zh-CN"/>
          <w14:textFill>
            <w14:solidFill>
              <w14:schemeClr w14:val="tx1"/>
            </w14:solidFill>
          </w14:textFill>
        </w:rPr>
      </w:pPr>
    </w:p>
    <w:p w14:paraId="05312AD0">
      <w:pPr>
        <w:pStyle w:val="19"/>
        <w:pageBreakBefore w:val="0"/>
        <w:kinsoku/>
        <w:wordWrap/>
        <w:overflowPunct/>
        <w:autoSpaceDE/>
        <w:autoSpaceDN/>
        <w:bidi w:val="0"/>
        <w:adjustRightInd/>
        <w:snapToGrid/>
        <w:spacing w:before="156" w:after="156" w:line="360" w:lineRule="auto"/>
        <w:rPr>
          <w:color w:val="000000" w:themeColor="text1"/>
          <w14:textFill>
            <w14:solidFill>
              <w14:schemeClr w14:val="tx1"/>
            </w14:solidFill>
          </w14:textFill>
        </w:rPr>
      </w:pPr>
    </w:p>
    <w:p w14:paraId="2D5463EB">
      <w:pPr>
        <w:pStyle w:val="19"/>
        <w:pageBreakBefore w:val="0"/>
        <w:kinsoku/>
        <w:wordWrap/>
        <w:overflowPunct/>
        <w:autoSpaceDE/>
        <w:autoSpaceDN/>
        <w:bidi w:val="0"/>
        <w:adjustRightInd/>
        <w:snapToGrid/>
        <w:spacing w:before="156" w:after="156" w:line="360" w:lineRule="auto"/>
        <w:rPr>
          <w:color w:val="000000" w:themeColor="text1"/>
          <w14:textFill>
            <w14:solidFill>
              <w14:schemeClr w14:val="tx1"/>
            </w14:solidFill>
          </w14:textFill>
        </w:rPr>
      </w:pPr>
    </w:p>
    <w:p w14:paraId="6C021BD4">
      <w:pPr>
        <w:pStyle w:val="19"/>
        <w:pageBreakBefore w:val="0"/>
        <w:kinsoku/>
        <w:wordWrap/>
        <w:overflowPunct/>
        <w:autoSpaceDE/>
        <w:autoSpaceDN/>
        <w:bidi w:val="0"/>
        <w:adjustRightInd/>
        <w:snapToGrid/>
        <w:spacing w:before="156" w:after="156" w:line="360" w:lineRule="auto"/>
        <w:rPr>
          <w:color w:val="000000" w:themeColor="text1"/>
          <w14:textFill>
            <w14:solidFill>
              <w14:schemeClr w14:val="tx1"/>
            </w14:solidFill>
          </w14:textFill>
        </w:rPr>
      </w:pPr>
    </w:p>
    <w:p w14:paraId="18A41012">
      <w:pPr>
        <w:pStyle w:val="19"/>
        <w:pageBreakBefore w:val="0"/>
        <w:kinsoku/>
        <w:wordWrap/>
        <w:overflowPunct/>
        <w:autoSpaceDE/>
        <w:autoSpaceDN/>
        <w:bidi w:val="0"/>
        <w:adjustRightInd/>
        <w:snapToGrid/>
        <w:spacing w:before="156" w:after="156" w:line="360" w:lineRule="auto"/>
        <w:rPr>
          <w:color w:val="000000" w:themeColor="text1"/>
          <w14:textFill>
            <w14:solidFill>
              <w14:schemeClr w14:val="tx1"/>
            </w14:solidFill>
          </w14:textFill>
        </w:rPr>
      </w:pPr>
    </w:p>
    <w:p w14:paraId="28158D50">
      <w:pPr>
        <w:pStyle w:val="19"/>
        <w:pageBreakBefore w:val="0"/>
        <w:kinsoku/>
        <w:wordWrap/>
        <w:overflowPunct/>
        <w:autoSpaceDE/>
        <w:autoSpaceDN/>
        <w:bidi w:val="0"/>
        <w:adjustRightInd/>
        <w:snapToGrid/>
        <w:spacing w:before="156" w:after="156" w:line="360" w:lineRule="auto"/>
        <w:ind w:left="0" w:leftChars="0" w:firstLine="0" w:firstLineChars="0"/>
        <w:rPr>
          <w:color w:val="000000" w:themeColor="text1"/>
          <w14:textFill>
            <w14:solidFill>
              <w14:schemeClr w14:val="tx1"/>
            </w14:solidFill>
          </w14:textFill>
        </w:rPr>
      </w:pPr>
    </w:p>
    <w:p w14:paraId="20A649AD">
      <w:pPr>
        <w:pStyle w:val="19"/>
        <w:pageBreakBefore w:val="0"/>
        <w:kinsoku/>
        <w:wordWrap/>
        <w:overflowPunct/>
        <w:autoSpaceDE/>
        <w:autoSpaceDN/>
        <w:bidi w:val="0"/>
        <w:adjustRightInd/>
        <w:snapToGrid/>
        <w:spacing w:before="156" w:after="156" w:line="360" w:lineRule="auto"/>
        <w:rPr>
          <w:color w:val="000000" w:themeColor="text1"/>
          <w14:textFill>
            <w14:solidFill>
              <w14:schemeClr w14:val="tx1"/>
            </w14:solidFill>
          </w14:textFill>
        </w:rPr>
      </w:pPr>
    </w:p>
    <w:p w14:paraId="6D3258CD">
      <w:pPr>
        <w:pStyle w:val="19"/>
        <w:pageBreakBefore w:val="0"/>
        <w:kinsoku/>
        <w:wordWrap/>
        <w:overflowPunct/>
        <w:autoSpaceDE/>
        <w:autoSpaceDN/>
        <w:bidi w:val="0"/>
        <w:adjustRightInd/>
        <w:snapToGrid/>
        <w:spacing w:before="156" w:after="156" w:line="360" w:lineRule="auto"/>
        <w:rPr>
          <w:color w:val="000000" w:themeColor="text1"/>
          <w14:textFill>
            <w14:solidFill>
              <w14:schemeClr w14:val="tx1"/>
            </w14:solidFill>
          </w14:textFill>
        </w:rPr>
      </w:pPr>
    </w:p>
    <w:p w14:paraId="6B97A4F3">
      <w:pPr>
        <w:pStyle w:val="19"/>
        <w:pageBreakBefore w:val="0"/>
        <w:kinsoku/>
        <w:wordWrap/>
        <w:overflowPunct/>
        <w:autoSpaceDE/>
        <w:autoSpaceDN/>
        <w:bidi w:val="0"/>
        <w:adjustRightInd/>
        <w:snapToGrid/>
        <w:spacing w:before="156" w:after="156" w:line="360" w:lineRule="auto"/>
        <w:rPr>
          <w:color w:val="000000" w:themeColor="text1"/>
          <w14:textFill>
            <w14:solidFill>
              <w14:schemeClr w14:val="tx1"/>
            </w14:solidFill>
          </w14:textFill>
        </w:rPr>
      </w:pPr>
    </w:p>
    <w:p w14:paraId="633A25B5">
      <w:pPr>
        <w:pStyle w:val="27"/>
        <w:keepNext w:val="0"/>
        <w:keepLines w:val="0"/>
        <w:pageBreakBefore w:val="0"/>
        <w:widowControl w:val="0"/>
        <w:kinsoku/>
        <w:wordWrap/>
        <w:overflowPunct/>
        <w:autoSpaceDE/>
        <w:autoSpaceDN/>
        <w:bidi w:val="0"/>
        <w:adjustRightInd/>
        <w:snapToGrid/>
        <w:spacing w:line="360" w:lineRule="auto"/>
        <w:ind w:firstLine="0" w:firstLineChars="0"/>
        <w:jc w:val="center"/>
        <w:rPr>
          <w:rFonts w:hint="eastAsia" w:ascii="黑体" w:hAnsi="黑体" w:eastAsia="黑体" w:cs="黑体"/>
          <w:b w:val="0"/>
          <w:bCs/>
          <w:color w:val="000000" w:themeColor="text1"/>
          <w:sz w:val="24"/>
          <w:szCs w:val="24"/>
          <w14:textFill>
            <w14:solidFill>
              <w14:schemeClr w14:val="tx1"/>
            </w14:solidFill>
          </w14:textFill>
        </w:rPr>
      </w:pPr>
      <w:r>
        <w:rPr>
          <w:rFonts w:hint="eastAsia" w:ascii="黑体" w:hAnsi="黑体" w:eastAsia="黑体" w:cs="黑体"/>
          <w:b w:val="0"/>
          <w:bCs/>
          <w:color w:val="000000" w:themeColor="text1"/>
          <w:sz w:val="24"/>
          <w:szCs w:val="24"/>
          <w14:textFill>
            <w14:solidFill>
              <w14:schemeClr w14:val="tx1"/>
            </w14:solidFill>
          </w14:textFill>
        </w:rPr>
        <w:t>标准编制组</w:t>
      </w:r>
    </w:p>
    <w:p w14:paraId="4149A14D">
      <w:pPr>
        <w:keepNext w:val="0"/>
        <w:keepLines w:val="0"/>
        <w:pageBreakBefore w:val="0"/>
        <w:widowControl w:val="0"/>
        <w:kinsoku/>
        <w:wordWrap/>
        <w:overflowPunct/>
        <w:autoSpaceDE/>
        <w:autoSpaceDN/>
        <w:bidi w:val="0"/>
        <w:adjustRightInd/>
        <w:snapToGrid/>
        <w:spacing w:line="360" w:lineRule="auto"/>
        <w:ind w:firstLine="0" w:firstLineChars="0"/>
        <w:jc w:val="center"/>
        <w:rPr>
          <w:rFonts w:hint="eastAsia" w:ascii="黑体" w:hAnsi="黑体" w:eastAsia="黑体" w:cs="黑体"/>
          <w:color w:val="000000" w:themeColor="text1"/>
          <w:sz w:val="24"/>
          <w:szCs w:val="24"/>
          <w14:textFill>
            <w14:solidFill>
              <w14:schemeClr w14:val="tx1"/>
            </w14:solidFill>
          </w14:textFill>
        </w:rPr>
      </w:pPr>
      <w:r>
        <w:rPr>
          <w:rFonts w:hint="eastAsia" w:ascii="黑体" w:hAnsi="黑体" w:eastAsia="黑体" w:cs="黑体"/>
          <w:color w:val="000000" w:themeColor="text1"/>
          <w:sz w:val="24"/>
          <w:szCs w:val="24"/>
          <w14:textFill>
            <w14:solidFill>
              <w14:schemeClr w14:val="tx1"/>
            </w14:solidFill>
          </w14:textFill>
        </w:rPr>
        <w:t>二〇二</w:t>
      </w:r>
      <w:r>
        <w:rPr>
          <w:rFonts w:hint="eastAsia" w:ascii="黑体" w:hAnsi="黑体" w:eastAsia="黑体" w:cs="黑体"/>
          <w:color w:val="000000" w:themeColor="text1"/>
          <w:sz w:val="24"/>
          <w:szCs w:val="24"/>
          <w:lang w:val="en-US" w:eastAsia="zh-CN"/>
          <w14:textFill>
            <w14:solidFill>
              <w14:schemeClr w14:val="tx1"/>
            </w14:solidFill>
          </w14:textFill>
        </w:rPr>
        <w:t>六</w:t>
      </w:r>
      <w:r>
        <w:rPr>
          <w:rFonts w:hint="eastAsia" w:ascii="黑体" w:hAnsi="黑体" w:eastAsia="黑体" w:cs="黑体"/>
          <w:color w:val="000000" w:themeColor="text1"/>
          <w:sz w:val="24"/>
          <w:szCs w:val="24"/>
          <w14:textFill>
            <w14:solidFill>
              <w14:schemeClr w14:val="tx1"/>
            </w14:solidFill>
          </w14:textFill>
        </w:rPr>
        <w:t>年</w:t>
      </w:r>
      <w:r>
        <w:rPr>
          <w:rFonts w:hint="eastAsia" w:ascii="黑体" w:hAnsi="黑体" w:eastAsia="黑体" w:cs="黑体"/>
          <w:color w:val="000000" w:themeColor="text1"/>
          <w:sz w:val="24"/>
          <w:szCs w:val="24"/>
          <w:lang w:val="en-US" w:eastAsia="zh-CN"/>
          <w14:textFill>
            <w14:solidFill>
              <w14:schemeClr w14:val="tx1"/>
            </w14:solidFill>
          </w14:textFill>
        </w:rPr>
        <w:t>二</w:t>
      </w:r>
      <w:r>
        <w:rPr>
          <w:rFonts w:hint="eastAsia" w:ascii="黑体" w:hAnsi="黑体" w:eastAsia="黑体" w:cs="黑体"/>
          <w:color w:val="000000" w:themeColor="text1"/>
          <w:sz w:val="24"/>
          <w:szCs w:val="24"/>
          <w14:textFill>
            <w14:solidFill>
              <w14:schemeClr w14:val="tx1"/>
            </w14:solidFill>
          </w14:textFill>
        </w:rPr>
        <w:t>月</w:t>
      </w:r>
      <w:r>
        <w:rPr>
          <w:rFonts w:hint="eastAsia" w:ascii="黑体" w:hAnsi="黑体" w:eastAsia="黑体" w:cs="黑体"/>
          <w:color w:val="000000" w:themeColor="text1"/>
          <w:sz w:val="24"/>
          <w:szCs w:val="24"/>
          <w:lang w:val="en-US" w:eastAsia="zh-CN"/>
          <w14:textFill>
            <w14:solidFill>
              <w14:schemeClr w14:val="tx1"/>
            </w14:solidFill>
          </w14:textFill>
        </w:rPr>
        <w:t>五</w:t>
      </w:r>
      <w:r>
        <w:rPr>
          <w:rFonts w:hint="eastAsia" w:ascii="黑体" w:hAnsi="黑体" w:eastAsia="黑体" w:cs="黑体"/>
          <w:color w:val="000000" w:themeColor="text1"/>
          <w:sz w:val="24"/>
          <w:szCs w:val="24"/>
          <w14:textFill>
            <w14:solidFill>
              <w14:schemeClr w14:val="tx1"/>
            </w14:solidFill>
          </w14:textFill>
        </w:rPr>
        <w:t>日</w:t>
      </w:r>
    </w:p>
    <w:p w14:paraId="769676AA">
      <w:pPr>
        <w:pageBreakBefore w:val="0"/>
        <w:kinsoku/>
        <w:wordWrap/>
        <w:overflowPunct/>
        <w:autoSpaceDE/>
        <w:autoSpaceDN/>
        <w:bidi w:val="0"/>
        <w:adjustRightInd/>
        <w:snapToGrid/>
        <w:spacing w:line="360" w:lineRule="auto"/>
        <w:jc w:val="center"/>
        <w:rPr>
          <w:rFonts w:hint="eastAsia" w:ascii="黑体" w:hAnsi="黑体" w:eastAsia="黑体" w:cs="黑体"/>
          <w:color w:val="000000" w:themeColor="text1"/>
          <w:lang w:bidi="ar"/>
          <w14:textFill>
            <w14:solidFill>
              <w14:schemeClr w14:val="tx1"/>
            </w14:solidFill>
          </w14:textFill>
        </w:rPr>
        <w:sectPr>
          <w:headerReference r:id="rId3" w:type="default"/>
          <w:footerReference r:id="rId4" w:type="default"/>
          <w:pgSz w:w="11906" w:h="16838"/>
          <w:pgMar w:top="1418" w:right="1134" w:bottom="1418" w:left="1418" w:header="851" w:footer="992" w:gutter="0"/>
          <w:pgNumType w:fmt="numberInDash" w:start="1"/>
          <w:cols w:space="720" w:num="1"/>
          <w:docGrid w:type="lines" w:linePitch="312" w:charSpace="0"/>
        </w:sectPr>
      </w:pPr>
    </w:p>
    <w:p w14:paraId="29B09CFA">
      <w:pPr>
        <w:pageBreakBefore w:val="0"/>
        <w:kinsoku/>
        <w:wordWrap/>
        <w:overflowPunct/>
        <w:autoSpaceDE/>
        <w:autoSpaceDN/>
        <w:bidi w:val="0"/>
        <w:adjustRightInd/>
        <w:snapToGrid/>
        <w:spacing w:line="360" w:lineRule="auto"/>
        <w:jc w:val="both"/>
        <w:rPr>
          <w:rFonts w:hint="eastAsia" w:ascii="黑体" w:hAnsi="黑体" w:eastAsia="黑体" w:cs="黑体"/>
          <w:color w:val="000000" w:themeColor="text1"/>
          <w:lang w:bidi="ar"/>
          <w14:textFill>
            <w14:solidFill>
              <w14:schemeClr w14:val="tx1"/>
            </w14:solidFill>
          </w14:textFill>
        </w:rPr>
        <w:sectPr>
          <w:footerReference r:id="rId5" w:type="default"/>
          <w:pgSz w:w="11906" w:h="16838"/>
          <w:pgMar w:top="1418" w:right="1134" w:bottom="1418" w:left="1418" w:header="851" w:footer="992" w:gutter="0"/>
          <w:pgNumType w:fmt="numberInDash" w:start="1"/>
          <w:cols w:space="720" w:num="1"/>
          <w:docGrid w:type="lines" w:linePitch="312" w:charSpace="0"/>
        </w:sectPr>
      </w:pPr>
    </w:p>
    <w:p w14:paraId="04B18369">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jc w:val="center"/>
        <w:textAlignment w:val="auto"/>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lang w:val="en-US" w:eastAsia="zh-CN" w:bidi="ar"/>
          <w14:textFill>
            <w14:solidFill>
              <w14:schemeClr w14:val="tx1"/>
            </w14:solidFill>
          </w14:textFill>
        </w:rPr>
        <w:t>资 料</w:t>
      </w:r>
      <w:r>
        <w:rPr>
          <w:rFonts w:hint="eastAsia" w:ascii="黑体" w:hAnsi="黑体" w:eastAsia="黑体" w:cs="黑体"/>
          <w:color w:val="000000" w:themeColor="text1"/>
          <w:sz w:val="44"/>
          <w:szCs w:val="44"/>
          <w:lang w:bidi="ar"/>
          <w14:textFill>
            <w14:solidFill>
              <w14:schemeClr w14:val="tx1"/>
            </w14:solidFill>
          </w14:textFill>
        </w:rPr>
        <w:t xml:space="preserve"> 目 录</w:t>
      </w:r>
    </w:p>
    <w:p w14:paraId="18542115">
      <w:pPr>
        <w:pageBreakBefore w:val="0"/>
        <w:kinsoku/>
        <w:wordWrap/>
        <w:overflowPunct/>
        <w:autoSpaceDE/>
        <w:autoSpaceDN/>
        <w:bidi w:val="0"/>
        <w:adjustRightInd/>
        <w:snapToGrid/>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一、工作简况</w:t>
      </w:r>
    </w:p>
    <w:p w14:paraId="1CB7094F">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一</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任务来源</w:t>
      </w:r>
    </w:p>
    <w:p w14:paraId="2E7634F6">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二</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标准制定目的和意义</w:t>
      </w:r>
    </w:p>
    <w:p w14:paraId="1DC456D3">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三</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主要工作过程</w:t>
      </w:r>
    </w:p>
    <w:p w14:paraId="22E2C9DD">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四</w:t>
      </w:r>
      <w:r>
        <w:rPr>
          <w:rFonts w:hint="eastAsia"/>
          <w:color w:val="000000" w:themeColor="text1"/>
          <w:lang w:eastAsia="zh-CN"/>
          <w14:textFill>
            <w14:solidFill>
              <w14:schemeClr w14:val="tx1"/>
            </w14:solidFill>
          </w14:textFill>
        </w:rPr>
        <w:t>）</w:t>
      </w:r>
      <w:r>
        <w:rPr>
          <w:rFonts w:hint="eastAsia"/>
          <w:color w:val="000000" w:themeColor="text1"/>
          <w:lang w:val="en-US" w:eastAsia="zh-CN" w:bidi="ar"/>
          <w14:textFill>
            <w14:solidFill>
              <w14:schemeClr w14:val="tx1"/>
            </w14:solidFill>
          </w14:textFill>
        </w:rPr>
        <w:t>标准</w:t>
      </w:r>
      <w:r>
        <w:rPr>
          <w:rFonts w:hint="eastAsia"/>
          <w:color w:val="000000" w:themeColor="text1"/>
          <w:lang w:bidi="ar"/>
          <w14:textFill>
            <w14:solidFill>
              <w14:schemeClr w14:val="tx1"/>
            </w14:solidFill>
          </w14:textFill>
        </w:rPr>
        <w:t>参加单位和</w:t>
      </w:r>
      <w:r>
        <w:rPr>
          <w:rFonts w:hint="eastAsia"/>
          <w:color w:val="000000" w:themeColor="text1"/>
          <w:lang w:val="en-US" w:eastAsia="zh-CN" w:bidi="ar"/>
          <w14:textFill>
            <w14:solidFill>
              <w14:schemeClr w14:val="tx1"/>
            </w14:solidFill>
          </w14:textFill>
        </w:rPr>
        <w:t>起草人</w:t>
      </w:r>
      <w:r>
        <w:rPr>
          <w:rFonts w:hint="eastAsia"/>
          <w:color w:val="000000" w:themeColor="text1"/>
          <w:lang w:bidi="ar"/>
          <w14:textFill>
            <w14:solidFill>
              <w14:schemeClr w14:val="tx1"/>
            </w14:solidFill>
          </w14:textFill>
        </w:rPr>
        <w:t>所做的工作</w:t>
      </w:r>
    </w:p>
    <w:p w14:paraId="4F56489B">
      <w:pPr>
        <w:pageBreakBefore w:val="0"/>
        <w:kinsoku/>
        <w:wordWrap/>
        <w:overflowPunct/>
        <w:autoSpaceDE/>
        <w:autoSpaceDN/>
        <w:bidi w:val="0"/>
        <w:adjustRightInd/>
        <w:snapToGrid/>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二、标准编制原则和主要内容</w:t>
      </w:r>
    </w:p>
    <w:p w14:paraId="09B6CDA9">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一</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标准编制原则</w:t>
      </w:r>
    </w:p>
    <w:p w14:paraId="4CD3C6EC">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rFonts w:hint="eastAsia"/>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二</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标准主要内容</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解决的主要问题</w:t>
      </w:r>
    </w:p>
    <w:p w14:paraId="1CC5EC20">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rFonts w:hint="default" w:eastAsia="宋体"/>
          <w:color w:val="000000" w:themeColor="text1"/>
          <w:lang w:val="en-US" w:eastAsia="zh-CN"/>
          <w14:textFill>
            <w14:solidFill>
              <w14:schemeClr w14:val="tx1"/>
            </w14:solidFill>
          </w14:textFill>
        </w:rPr>
      </w:pP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三</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标准创新点</w:t>
      </w:r>
    </w:p>
    <w:p w14:paraId="1F874340">
      <w:pPr>
        <w:pageBreakBefore w:val="0"/>
        <w:kinsoku/>
        <w:wordWrap/>
        <w:overflowPunct/>
        <w:autoSpaceDE/>
        <w:autoSpaceDN/>
        <w:bidi w:val="0"/>
        <w:adjustRightInd/>
        <w:snapToGrid/>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三、主要试验</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或验证</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情况分析</w:t>
      </w:r>
    </w:p>
    <w:p w14:paraId="09654893">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（一）试验验证的目的</w:t>
      </w:r>
    </w:p>
    <w:p w14:paraId="60D4E6F4">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（二）试验验证承担单位</w:t>
      </w:r>
    </w:p>
    <w:p w14:paraId="731AAD7C">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rFonts w:hint="eastAsia"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（三）试验样品</w:t>
      </w:r>
      <w:r>
        <w:rPr>
          <w:rFonts w:hint="eastAsia"/>
          <w:color w:val="000000" w:themeColor="text1"/>
          <w:lang w:val="en-US" w:eastAsia="zh-CN"/>
          <w14:textFill>
            <w14:solidFill>
              <w14:schemeClr w14:val="tx1"/>
            </w14:solidFill>
          </w14:textFill>
        </w:rPr>
        <w:t>来源</w:t>
      </w:r>
    </w:p>
    <w:p w14:paraId="226209B5">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（四）试验验证结果分析</w:t>
      </w:r>
    </w:p>
    <w:p w14:paraId="5A969F45">
      <w:pPr>
        <w:keepNext w:val="0"/>
        <w:keepLines w:val="0"/>
        <w:pageBreakBefore w:val="0"/>
        <w:widowControl w:val="0"/>
        <w:kinsoku/>
        <w:wordWrap/>
        <w:overflowPunct/>
        <w:topLinePunct w:val="0"/>
        <w:autoSpaceDE/>
        <w:autoSpaceDN/>
        <w:bidi w:val="0"/>
        <w:adjustRightInd/>
        <w:snapToGrid/>
        <w:spacing w:line="360" w:lineRule="auto"/>
        <w:ind w:firstLine="630" w:firstLineChars="30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（五）试验结果</w:t>
      </w:r>
    </w:p>
    <w:p w14:paraId="17C1923C">
      <w:pPr>
        <w:pageBreakBefore w:val="0"/>
        <w:kinsoku/>
        <w:wordWrap/>
        <w:overflowPunct/>
        <w:autoSpaceDE/>
        <w:autoSpaceDN/>
        <w:bidi w:val="0"/>
        <w:adjustRightInd/>
        <w:snapToGrid/>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四、标准中如果涉及专利</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应有明确的知识产权说明</w:t>
      </w:r>
    </w:p>
    <w:p w14:paraId="1B92B9B2">
      <w:pPr>
        <w:pageBreakBefore w:val="0"/>
        <w:kinsoku/>
        <w:wordWrap/>
        <w:overflowPunct/>
        <w:autoSpaceDE/>
        <w:autoSpaceDN/>
        <w:bidi w:val="0"/>
        <w:adjustRightInd/>
        <w:snapToGrid/>
        <w:spacing w:line="360" w:lineRule="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五、产业化情况、推广应用论证和预期达到的经济效果等情况</w:t>
      </w:r>
    </w:p>
    <w:p w14:paraId="7E1AD6DA">
      <w:pPr>
        <w:pageBreakBefore w:val="0"/>
        <w:kinsoku/>
        <w:wordWrap/>
        <w:overflowPunct/>
        <w:autoSpaceDE/>
        <w:autoSpaceDN/>
        <w:bidi w:val="0"/>
        <w:adjustRightInd/>
        <w:snapToGrid/>
        <w:spacing w:line="360" w:lineRule="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六、</w:t>
      </w:r>
      <w:r>
        <w:rPr>
          <w:rFonts w:hint="eastAsia"/>
          <w:color w:val="000000" w:themeColor="text1"/>
          <w:lang w:val="en-US" w:eastAsia="zh-CN"/>
          <w14:textFill>
            <w14:solidFill>
              <w14:schemeClr w14:val="tx1"/>
            </w14:solidFill>
          </w14:textFill>
        </w:rPr>
        <w:t>采用国际标准和国外先进标准情况</w:t>
      </w:r>
    </w:p>
    <w:p w14:paraId="6179F2DA">
      <w:pPr>
        <w:pageBreakBefore w:val="0"/>
        <w:kinsoku/>
        <w:wordWrap/>
        <w:overflowPunct/>
        <w:autoSpaceDE/>
        <w:autoSpaceDN/>
        <w:bidi w:val="0"/>
        <w:adjustRightInd/>
        <w:snapToGrid/>
        <w:spacing w:line="360" w:lineRule="auto"/>
        <w:rPr>
          <w:rFonts w:hint="default"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七、与现行相关法律、法规、规章及相关标准</w:t>
      </w:r>
      <w:r>
        <w:rPr>
          <w:rFonts w:hint="eastAsia"/>
          <w:color w:val="000000" w:themeColor="text1"/>
          <w:lang w:val="en-US" w:eastAsia="zh-CN"/>
          <w14:textFill>
            <w14:solidFill>
              <w14:schemeClr w14:val="tx1"/>
            </w14:solidFill>
          </w14:textFill>
        </w:rPr>
        <w:t>的协调性</w:t>
      </w:r>
    </w:p>
    <w:p w14:paraId="44239614">
      <w:pPr>
        <w:pageBreakBefore w:val="0"/>
        <w:kinsoku/>
        <w:wordWrap/>
        <w:overflowPunct/>
        <w:autoSpaceDE/>
        <w:autoSpaceDN/>
        <w:bidi w:val="0"/>
        <w:adjustRightInd/>
        <w:snapToGrid/>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八、重大分歧意见的处理经过和依据</w:t>
      </w:r>
    </w:p>
    <w:p w14:paraId="2B851AD7">
      <w:pPr>
        <w:pageBreakBefore w:val="0"/>
        <w:kinsoku/>
        <w:wordWrap/>
        <w:overflowPunct/>
        <w:autoSpaceDE/>
        <w:autoSpaceDN/>
        <w:bidi w:val="0"/>
        <w:adjustRightInd/>
        <w:snapToGrid/>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九、标准性质的建议说明</w:t>
      </w:r>
    </w:p>
    <w:p w14:paraId="708D1A56">
      <w:pPr>
        <w:pageBreakBefore w:val="0"/>
        <w:kinsoku/>
        <w:wordWrap/>
        <w:overflowPunct/>
        <w:autoSpaceDE/>
        <w:autoSpaceDN/>
        <w:bidi w:val="0"/>
        <w:adjustRightInd/>
        <w:snapToGrid/>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十、贯彻标准的要求和措施建议</w:t>
      </w:r>
    </w:p>
    <w:p w14:paraId="51E0AF94">
      <w:pPr>
        <w:pageBreakBefore w:val="0"/>
        <w:kinsoku/>
        <w:wordWrap/>
        <w:overflowPunct/>
        <w:autoSpaceDE/>
        <w:autoSpaceDN/>
        <w:bidi w:val="0"/>
        <w:adjustRightInd/>
        <w:snapToGrid/>
        <w:spacing w:line="360" w:lineRule="auto"/>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十一、废止现行相关标准的建议</w:t>
      </w:r>
    </w:p>
    <w:p w14:paraId="1F5390A9">
      <w:pPr>
        <w:pageBreakBefore w:val="0"/>
        <w:kinsoku/>
        <w:wordWrap/>
        <w:overflowPunct/>
        <w:autoSpaceDE/>
        <w:autoSpaceDN/>
        <w:bidi w:val="0"/>
        <w:adjustRightInd/>
        <w:snapToGrid/>
        <w:spacing w:line="360" w:lineRule="auto"/>
        <w:rPr>
          <w:rFonts w:hint="default"/>
          <w:color w:val="000000" w:themeColor="text1"/>
          <w:lang w:val="en-US" w:eastAsia="zh-CN"/>
          <w14:textFill>
            <w14:solidFill>
              <w14:schemeClr w14:val="tx1"/>
            </w14:solidFill>
          </w14:textFill>
        </w:rPr>
        <w:sectPr>
          <w:footerReference r:id="rId6" w:type="default"/>
          <w:pgSz w:w="11906" w:h="16838"/>
          <w:pgMar w:top="1418" w:right="1134" w:bottom="1418" w:left="1418" w:header="851" w:footer="992" w:gutter="0"/>
          <w:pgNumType w:fmt="numberInDash" w:start="1"/>
          <w:cols w:space="720" w:num="1"/>
          <w:docGrid w:type="lines" w:linePitch="312" w:charSpace="0"/>
        </w:sectPr>
      </w:pPr>
      <w:r>
        <w:rPr>
          <w:rFonts w:hint="eastAsia"/>
          <w:color w:val="000000" w:themeColor="text1"/>
          <w14:textFill>
            <w14:solidFill>
              <w14:schemeClr w14:val="tx1"/>
            </w14:solidFill>
          </w14:textFill>
        </w:rPr>
        <w:t>十二、其他应予说明的</w:t>
      </w:r>
      <w:r>
        <w:rPr>
          <w:rFonts w:hint="eastAsia"/>
          <w:color w:val="000000" w:themeColor="text1"/>
          <w:lang w:val="en-US" w:eastAsia="zh-CN"/>
          <w14:textFill>
            <w14:solidFill>
              <w14:schemeClr w14:val="tx1"/>
            </w14:solidFill>
          </w14:textFill>
        </w:rPr>
        <w:t>事项</w:t>
      </w:r>
    </w:p>
    <w:p w14:paraId="2E688398">
      <w:pPr>
        <w:pageBreakBefore w:val="0"/>
        <w:kinsoku/>
        <w:wordWrap/>
        <w:overflowPunct/>
        <w:autoSpaceDE/>
        <w:autoSpaceDN/>
        <w:bidi w:val="0"/>
        <w:adjustRightInd/>
        <w:snapToGrid/>
        <w:spacing w:line="360" w:lineRule="auto"/>
        <w:rPr>
          <w:rFonts w:hint="eastAsia"/>
          <w:color w:val="000000" w:themeColor="text1"/>
          <w:lang w:val="en-US" w:eastAsia="zh-CN"/>
          <w14:textFill>
            <w14:solidFill>
              <w14:schemeClr w14:val="tx1"/>
            </w14:solidFill>
          </w14:textFill>
        </w:rPr>
        <w:sectPr>
          <w:pgSz w:w="11906" w:h="16838"/>
          <w:pgMar w:top="1418" w:right="1134" w:bottom="1418" w:left="1418" w:header="851" w:footer="992" w:gutter="0"/>
          <w:pgNumType w:fmt="numberInDash" w:start="1"/>
          <w:cols w:space="720" w:num="1"/>
          <w:docGrid w:type="lines" w:linePitch="312" w:charSpace="0"/>
        </w:sectPr>
      </w:pPr>
    </w:p>
    <w:p w14:paraId="55A304CB">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黑体" w:cs="黑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bidi="ar-SA"/>
        </w:rPr>
        <w:t>一、</w:t>
      </w:r>
      <w:r>
        <w:rPr>
          <w:rFonts w:hint="eastAsia" w:ascii="Times New Roman" w:hAnsi="Times New Roman" w:eastAsia="黑体" w:cs="黑体"/>
          <w:b w:val="0"/>
          <w:bCs/>
          <w:color w:val="auto"/>
          <w:spacing w:val="0"/>
          <w:kern w:val="2"/>
          <w:sz w:val="24"/>
          <w:szCs w:val="24"/>
          <w:lang w:val="en-US" w:eastAsia="zh-CN"/>
        </w:rPr>
        <w:t>工作简况</w:t>
      </w:r>
    </w:p>
    <w:p w14:paraId="3CA8C82F">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eastAsia" w:ascii="Times New Roman" w:hAnsi="Times New Roman" w:eastAsia="黑体" w:cs="黑体"/>
          <w:b w:val="0"/>
          <w:bCs/>
          <w:color w:val="auto"/>
          <w:spacing w:val="0"/>
          <w:kern w:val="2"/>
          <w:sz w:val="24"/>
          <w:szCs w:val="24"/>
          <w:lang w:val="en-US" w:eastAsia="zh-CN" w:bidi="ar-SA"/>
        </w:rPr>
      </w:pPr>
      <w:r>
        <w:rPr>
          <w:rFonts w:hint="eastAsia" w:ascii="Times New Roman" w:hAnsi="Times New Roman" w:eastAsia="黑体" w:cs="黑体"/>
          <w:b w:val="0"/>
          <w:bCs/>
          <w:color w:val="auto"/>
          <w:spacing w:val="0"/>
          <w:kern w:val="2"/>
          <w:sz w:val="24"/>
          <w:szCs w:val="24"/>
          <w:lang w:val="en-US" w:eastAsia="zh-CN" w:bidi="ar-SA"/>
        </w:rPr>
        <w:t>（一）任务来源</w:t>
      </w:r>
    </w:p>
    <w:p w14:paraId="3F6ED0AC">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根据中华人民共和国工业和信息化部《关于印发2024年第二批行业标准制修订和外文版项目计划的通知》（工信厅科函﹝2024﹞</w:t>
      </w:r>
      <w:r>
        <w:rPr>
          <w:rFonts w:hint="eastAsia" w:cs="宋体"/>
          <w:b w:val="0"/>
          <w:bCs/>
          <w:color w:val="auto"/>
          <w:spacing w:val="0"/>
          <w:kern w:val="2"/>
          <w:sz w:val="24"/>
          <w:szCs w:val="24"/>
          <w:lang w:val="en-US" w:eastAsia="zh-CN"/>
        </w:rPr>
        <w:t>191</w:t>
      </w:r>
      <w:r>
        <w:rPr>
          <w:rFonts w:hint="eastAsia" w:ascii="Times New Roman" w:hAnsi="Times New Roman" w:eastAsia="宋体" w:cs="宋体"/>
          <w:b w:val="0"/>
          <w:bCs/>
          <w:color w:val="auto"/>
          <w:spacing w:val="0"/>
          <w:kern w:val="2"/>
          <w:sz w:val="24"/>
          <w:szCs w:val="24"/>
          <w:lang w:val="en-US" w:eastAsia="zh-CN"/>
        </w:rPr>
        <w:t>号）要求，由中建材苏州防水研究院有限公司负责建材行业标准《水泥基渗透结晶型防水材料应用技术规范》（计划号</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2024-</w:t>
      </w:r>
      <w:r>
        <w:rPr>
          <w:rFonts w:hint="eastAsia" w:cs="宋体"/>
          <w:b w:val="0"/>
          <w:bCs/>
          <w:color w:val="auto"/>
          <w:spacing w:val="0"/>
          <w:kern w:val="2"/>
          <w:sz w:val="24"/>
          <w:szCs w:val="24"/>
          <w:lang w:val="en-US" w:eastAsia="zh-CN"/>
        </w:rPr>
        <w:t>0765</w:t>
      </w:r>
      <w:r>
        <w:rPr>
          <w:rFonts w:hint="eastAsia" w:ascii="Times New Roman" w:hAnsi="Times New Roman" w:eastAsia="宋体" w:cs="宋体"/>
          <w:b w:val="0"/>
          <w:bCs/>
          <w:color w:val="auto"/>
          <w:spacing w:val="0"/>
          <w:kern w:val="2"/>
          <w:sz w:val="24"/>
          <w:szCs w:val="24"/>
          <w:lang w:val="en-US" w:eastAsia="zh-CN"/>
        </w:rPr>
        <w:t>T-JC）的编制工作</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标准归口</w:t>
      </w:r>
      <w:r>
        <w:rPr>
          <w:rFonts w:hint="eastAsia" w:cs="宋体"/>
          <w:b w:val="0"/>
          <w:bCs/>
          <w:color w:val="auto"/>
          <w:spacing w:val="0"/>
          <w:kern w:val="2"/>
          <w:sz w:val="24"/>
          <w:szCs w:val="24"/>
          <w:lang w:val="en-US" w:eastAsia="zh-CN"/>
        </w:rPr>
        <w:t>为</w:t>
      </w:r>
      <w:r>
        <w:rPr>
          <w:rFonts w:hint="eastAsia" w:ascii="Times New Roman" w:hAnsi="Times New Roman" w:eastAsia="宋体" w:cs="宋体"/>
          <w:b w:val="0"/>
          <w:bCs/>
          <w:color w:val="auto"/>
          <w:spacing w:val="0"/>
          <w:kern w:val="2"/>
          <w:sz w:val="24"/>
          <w:szCs w:val="24"/>
          <w:lang w:val="en-US" w:eastAsia="zh-CN"/>
        </w:rPr>
        <w:t xml:space="preserve">建材工业综合标准化技术委员会。 </w:t>
      </w:r>
    </w:p>
    <w:p w14:paraId="4B07D046">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eastAsia" w:ascii="Times New Roman" w:hAnsi="Times New Roman" w:eastAsia="黑体" w:cs="黑体"/>
          <w:b w:val="0"/>
          <w:bCs/>
          <w:color w:val="auto"/>
          <w:spacing w:val="0"/>
          <w:kern w:val="2"/>
          <w:sz w:val="24"/>
          <w:szCs w:val="24"/>
          <w:lang w:val="en-US" w:eastAsia="zh-CN" w:bidi="ar-SA"/>
        </w:rPr>
      </w:pPr>
      <w:r>
        <w:rPr>
          <w:rFonts w:hint="eastAsia" w:ascii="Times New Roman" w:hAnsi="Times New Roman" w:eastAsia="黑体" w:cs="黑体"/>
          <w:b w:val="0"/>
          <w:bCs/>
          <w:color w:val="auto"/>
          <w:spacing w:val="0"/>
          <w:kern w:val="2"/>
          <w:sz w:val="24"/>
          <w:szCs w:val="24"/>
          <w:lang w:val="en-US" w:eastAsia="zh-CN" w:bidi="ar-SA"/>
        </w:rPr>
        <w:t>（二）标准制定目的</w:t>
      </w:r>
      <w:r>
        <w:rPr>
          <w:rFonts w:hint="eastAsia" w:eastAsia="黑体" w:cs="黑体"/>
          <w:b w:val="0"/>
          <w:bCs/>
          <w:color w:val="auto"/>
          <w:spacing w:val="0"/>
          <w:kern w:val="2"/>
          <w:sz w:val="24"/>
          <w:szCs w:val="24"/>
          <w:lang w:val="en-US" w:eastAsia="zh-CN" w:bidi="ar-SA"/>
        </w:rPr>
        <w:t>和</w:t>
      </w:r>
      <w:r>
        <w:rPr>
          <w:rFonts w:hint="eastAsia" w:ascii="Times New Roman" w:hAnsi="Times New Roman" w:eastAsia="黑体" w:cs="黑体"/>
          <w:b w:val="0"/>
          <w:bCs/>
          <w:color w:val="auto"/>
          <w:spacing w:val="0"/>
          <w:kern w:val="2"/>
          <w:sz w:val="24"/>
          <w:szCs w:val="24"/>
          <w:lang w:val="en-US" w:eastAsia="zh-CN" w:bidi="ar-SA"/>
        </w:rPr>
        <w:t>意义</w:t>
      </w:r>
    </w:p>
    <w:p w14:paraId="0DAD0183">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水泥基渗透结晶型防水材料是一种以硅酸盐水泥、石英砂为主要组分，掺入活性化学物质制成的水泥混凝土用的新型刚性防水材料。按使用方法分为：水泥基渗透结晶型防水涂料、水泥基渗透结晶型防水剂。作为一种可与结构同寿命的刚性防水材料在城市地下工程、地铁、隧道、港口、水利（如三峡工程等）、交通等工程中都得到大面积推广使用，获得了我国工程界的青睐与好评。</w:t>
      </w:r>
    </w:p>
    <w:p w14:paraId="329F9767">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根据国内外大量的建筑物应用实例，已经充分验证了水泥基渗透结晶型防水涂料在建设工程防水中的优越性和可靠性：材料无老化、分化风险，极大提高防水功效年限；材料生产所需原材料来源更加直接无需多次加工过程，材料的生产给环境带来负担和污染极小；水泥基渗透结晶型防水材料的施工应用过程相对简便，无需大量人工参与，减少了人为失误；无需动用明火施工，减少施工安全风险；与混凝土结构同时施工，结合紧密，不但起到优质的防水功效，而且提高了混凝土本体的质量，缩短施工工期，提高效率；防水层无挥发、不老化，不产生不可降解、不能循环利用的建筑垃圾，对建筑物周边土壤、水源零污染等。所以在防水工程中的大量应用也成为必然。例如2018年10月24日正式通车的国之重器“港珠澳 大桥",同样也大量应用了水泥基渗透结晶型防水材料。随着人们对水泥基渗透结晶型防水材料的认识 逐步提高和环境保护意识的逐步增强，水泥基渗透结晶型防水材料的应用范围越来越广，成为防水、堵漏工程离不开的主要防水材料之一。</w:t>
      </w:r>
    </w:p>
    <w:p w14:paraId="1037EAC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2022年10月24日，住建部发布《建筑与市政工程防水通用规范》（GB 55030</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2022），自2023年4月1日起实施。规范中明确了防水工程的设计工作年限，其中，要求地下工程防水设计工作年限不应低于工程结构设计工作年限；屋面工程防水设计工作年限不应低于20年；室内工程防水设计工作年限不应低于25年。《民用建筑设计统一标准》（GB 50352</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2019）中也规定了普通建筑和构筑物的设计使用年限不低于50年，纪念性建筑和特别重要的建筑，设计使用年限不低于100年。然而，很多建筑的实际寿命与设计通则的要求有相当大的距离，专家表明，其原因大多是因为混凝土结构出现渗漏导致的，那么对于防水材料的耐久性要求必然成为重中之重。目前行业主流的防水卷材与防水涂料脆化、粉化或者增塑剂迁移等不缺点，难以达到上述结构同寿命要求。</w:t>
      </w:r>
    </w:p>
    <w:p w14:paraId="163B2CE5">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水泥基渗透结晶型防水材料因不掺加有机溶剂和各种有毒添加剂，无毒性、无污染，施工安全，对人体无害，属绿色环保型产品，满足了GB 55030</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2022《建筑与市政工程防水通用规范》中提出的“保障人身健康和生命财产安全、生态环境安全”的要求；施工方面，水泥基渗透结晶型防水材料相对于防水卷材与非水泥基防水涂料而言，施工方法简便，省工省力，且对施工条件没有那么苛刻，可在潮湿基面上直接涂刷；设计方面，水泥基渗透结晶防水涂料可作为一道防水层单独使用。</w:t>
      </w:r>
    </w:p>
    <w:p w14:paraId="5572106A">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自GB 18445</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2001《水泥基渗透结晶型防水材料》世界上第一个此类标准颁布，到GB 18445</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2012修订颁布，已经二十余年了。但也出现因施工不规范、质量验收缺少依据，导致水泥基渗透结晶型防水材料施工质量出现问题，出现建筑工程渗漏，起不到渗透结晶的防水效果。施工质量出现主要问题：粘接不牢起皮、涂料层渗漏、涂料脱皮、涂膜厚度不均 、涂料破损等问题；而导致防水施工质量的问题主要原因：（</w:t>
      </w:r>
      <w:r>
        <w:rPr>
          <w:rFonts w:hint="eastAsia" w:cs="宋体"/>
          <w:b w:val="0"/>
          <w:bCs/>
          <w:color w:val="auto"/>
          <w:spacing w:val="0"/>
          <w:kern w:val="2"/>
          <w:sz w:val="24"/>
          <w:szCs w:val="24"/>
          <w:lang w:val="en-US" w:eastAsia="zh-CN"/>
        </w:rPr>
        <w:t>1</w:t>
      </w:r>
      <w:r>
        <w:rPr>
          <w:rFonts w:hint="eastAsia" w:ascii="Times New Roman" w:hAnsi="Times New Roman" w:eastAsia="宋体" w:cs="宋体"/>
          <w:b w:val="0"/>
          <w:bCs/>
          <w:color w:val="auto"/>
          <w:spacing w:val="0"/>
          <w:kern w:val="2"/>
          <w:sz w:val="24"/>
          <w:szCs w:val="24"/>
          <w:lang w:val="en-US" w:eastAsia="zh-CN"/>
        </w:rPr>
        <w:t>）工人对材料性能认识不足，不知道如何正确施工；（</w:t>
      </w:r>
      <w:r>
        <w:rPr>
          <w:rFonts w:hint="eastAsia" w:cs="宋体"/>
          <w:b w:val="0"/>
          <w:bCs/>
          <w:color w:val="auto"/>
          <w:spacing w:val="0"/>
          <w:kern w:val="2"/>
          <w:sz w:val="24"/>
          <w:szCs w:val="24"/>
          <w:lang w:val="en-US" w:eastAsia="zh-CN"/>
        </w:rPr>
        <w:t>2</w:t>
      </w:r>
      <w:r>
        <w:rPr>
          <w:rFonts w:hint="eastAsia" w:ascii="Times New Roman" w:hAnsi="Times New Roman" w:eastAsia="宋体" w:cs="宋体"/>
          <w:b w:val="0"/>
          <w:bCs/>
          <w:color w:val="auto"/>
          <w:spacing w:val="0"/>
          <w:kern w:val="2"/>
          <w:sz w:val="24"/>
          <w:szCs w:val="24"/>
          <w:lang w:val="en-US" w:eastAsia="zh-CN"/>
        </w:rPr>
        <w:t>）技术交底不全面；（</w:t>
      </w:r>
      <w:r>
        <w:rPr>
          <w:rFonts w:hint="eastAsia" w:cs="宋体"/>
          <w:b w:val="0"/>
          <w:bCs/>
          <w:color w:val="auto"/>
          <w:spacing w:val="0"/>
          <w:kern w:val="2"/>
          <w:sz w:val="24"/>
          <w:szCs w:val="24"/>
          <w:lang w:val="en-US" w:eastAsia="zh-CN"/>
        </w:rPr>
        <w:t>3</w:t>
      </w:r>
      <w:r>
        <w:rPr>
          <w:rFonts w:hint="eastAsia" w:ascii="Times New Roman" w:hAnsi="Times New Roman" w:eastAsia="宋体" w:cs="宋体"/>
          <w:b w:val="0"/>
          <w:bCs/>
          <w:color w:val="auto"/>
          <w:spacing w:val="0"/>
          <w:kern w:val="2"/>
          <w:sz w:val="24"/>
          <w:szCs w:val="24"/>
          <w:lang w:val="en-US" w:eastAsia="zh-CN"/>
        </w:rPr>
        <w:t>）计量不精确、搅拌不充分；（</w:t>
      </w:r>
      <w:r>
        <w:rPr>
          <w:rFonts w:hint="eastAsia" w:cs="宋体"/>
          <w:b w:val="0"/>
          <w:bCs/>
          <w:color w:val="auto"/>
          <w:spacing w:val="0"/>
          <w:kern w:val="2"/>
          <w:sz w:val="24"/>
          <w:szCs w:val="24"/>
          <w:lang w:val="en-US" w:eastAsia="zh-CN"/>
        </w:rPr>
        <w:t>4</w:t>
      </w:r>
      <w:r>
        <w:rPr>
          <w:rFonts w:hint="eastAsia" w:ascii="Times New Roman" w:hAnsi="Times New Roman" w:eastAsia="宋体" w:cs="宋体"/>
          <w:b w:val="0"/>
          <w:bCs/>
          <w:color w:val="auto"/>
          <w:spacing w:val="0"/>
          <w:kern w:val="2"/>
          <w:sz w:val="24"/>
          <w:szCs w:val="24"/>
          <w:lang w:val="en-US" w:eastAsia="zh-CN"/>
        </w:rPr>
        <w:t>）涂布方法顺序不当、成膜厚度不足；（</w:t>
      </w:r>
      <w:r>
        <w:rPr>
          <w:rFonts w:hint="eastAsia" w:cs="宋体"/>
          <w:b w:val="0"/>
          <w:bCs/>
          <w:color w:val="auto"/>
          <w:spacing w:val="0"/>
          <w:kern w:val="2"/>
          <w:sz w:val="24"/>
          <w:szCs w:val="24"/>
          <w:lang w:val="en-US" w:eastAsia="zh-CN"/>
        </w:rPr>
        <w:t>5</w:t>
      </w:r>
      <w:r>
        <w:rPr>
          <w:rFonts w:hint="eastAsia" w:ascii="Times New Roman" w:hAnsi="Times New Roman" w:eastAsia="宋体" w:cs="宋体"/>
          <w:b w:val="0"/>
          <w:bCs/>
          <w:color w:val="auto"/>
          <w:spacing w:val="0"/>
          <w:kern w:val="2"/>
          <w:sz w:val="24"/>
          <w:szCs w:val="24"/>
          <w:lang w:val="en-US" w:eastAsia="zh-CN"/>
        </w:rPr>
        <w:t>）细部构造封</w:t>
      </w:r>
      <w:r>
        <w:rPr>
          <w:rFonts w:hint="eastAsia" w:cs="宋体"/>
          <w:b w:val="0"/>
          <w:bCs/>
          <w:color w:val="auto"/>
          <w:spacing w:val="0"/>
          <w:kern w:val="2"/>
          <w:sz w:val="24"/>
          <w:szCs w:val="24"/>
          <w:lang w:val="en-US" w:eastAsia="zh-CN"/>
        </w:rPr>
        <w:t>堵</w:t>
      </w:r>
      <w:r>
        <w:rPr>
          <w:rFonts w:hint="eastAsia" w:ascii="Times New Roman" w:hAnsi="Times New Roman" w:eastAsia="宋体" w:cs="宋体"/>
          <w:b w:val="0"/>
          <w:bCs/>
          <w:color w:val="auto"/>
          <w:spacing w:val="0"/>
          <w:kern w:val="2"/>
          <w:sz w:val="24"/>
          <w:szCs w:val="24"/>
          <w:lang w:val="en-US" w:eastAsia="zh-CN"/>
        </w:rPr>
        <w:t>不严</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地下室后浇带、地梁等处施工中未细心操作，细部节点未加强处理；（6）养护不及时；（7）基层质量差而未作处理等，这些影响了水泥基渗透结晶型防水材料的防水施工质量。</w:t>
      </w:r>
    </w:p>
    <w:p w14:paraId="145E2C4B">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再好的防水材料，也是需要依靠人来施工实现其防水效果。要达到良好防水施工质量，这就需要有一套相对统一的、规范的防水施工规程来指导实施。水泥基渗透结晶型防水材料的技术伴随着我国城镇化建设的加速和建筑防水技术的提高，也在不断发展与进步，但因缺少水泥基渗透结晶型防水涂料应用技术规程，不能与社会和日益发展建筑工程相适应， 使水泥基渗透结晶型防水材料在工程中的设计、施工、验收等缺乏系统的、可靠的、有针对性的标准依据，束缚了水泥基渗透结晶型防水涂料的发展、推广与应用。因此编制水泥基渗透结晶型防水涂料的应用技术规程是非常必要的，成了当务之急。</w:t>
      </w:r>
    </w:p>
    <w:p w14:paraId="2C8A58A4">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编制过程需解决的重点问题：</w:t>
      </w:r>
      <w:r>
        <w:rPr>
          <w:rFonts w:hint="eastAsia" w:cs="宋体"/>
          <w:b w:val="0"/>
          <w:bCs/>
          <w:color w:val="auto"/>
          <w:spacing w:val="0"/>
          <w:kern w:val="2"/>
          <w:sz w:val="24"/>
          <w:szCs w:val="24"/>
          <w:lang w:val="en-US" w:eastAsia="zh-CN"/>
        </w:rPr>
        <w:t>（1）</w:t>
      </w:r>
      <w:r>
        <w:rPr>
          <w:rFonts w:hint="eastAsia" w:ascii="Times New Roman" w:hAnsi="Times New Roman" w:eastAsia="宋体" w:cs="宋体"/>
          <w:b w:val="0"/>
          <w:bCs/>
          <w:color w:val="auto"/>
          <w:spacing w:val="0"/>
          <w:kern w:val="2"/>
          <w:sz w:val="24"/>
          <w:szCs w:val="24"/>
          <w:lang w:val="en-US" w:eastAsia="zh-CN"/>
        </w:rPr>
        <w:t>材料的特性；</w:t>
      </w:r>
      <w:r>
        <w:rPr>
          <w:rFonts w:hint="eastAsia" w:cs="宋体"/>
          <w:b w:val="0"/>
          <w:bCs/>
          <w:color w:val="auto"/>
          <w:spacing w:val="0"/>
          <w:kern w:val="2"/>
          <w:sz w:val="24"/>
          <w:szCs w:val="24"/>
          <w:lang w:val="en-US" w:eastAsia="zh-CN"/>
        </w:rPr>
        <w:t>（2）</w:t>
      </w:r>
      <w:r>
        <w:rPr>
          <w:rFonts w:hint="eastAsia" w:ascii="Times New Roman" w:hAnsi="Times New Roman" w:eastAsia="宋体" w:cs="宋体"/>
          <w:b w:val="0"/>
          <w:bCs/>
          <w:color w:val="auto"/>
          <w:spacing w:val="0"/>
          <w:kern w:val="2"/>
          <w:sz w:val="24"/>
          <w:szCs w:val="24"/>
          <w:lang w:val="en-US" w:eastAsia="zh-CN"/>
        </w:rPr>
        <w:t>设计与防水构造：</w:t>
      </w:r>
      <w:r>
        <w:rPr>
          <w:rFonts w:hint="eastAsia" w:cs="宋体"/>
          <w:b w:val="0"/>
          <w:bCs/>
          <w:color w:val="auto"/>
          <w:spacing w:val="0"/>
          <w:kern w:val="2"/>
          <w:sz w:val="24"/>
          <w:szCs w:val="24"/>
          <w:lang w:val="en-US" w:eastAsia="zh-CN"/>
        </w:rPr>
        <w:t>（3）</w:t>
      </w:r>
      <w:r>
        <w:rPr>
          <w:rFonts w:hint="eastAsia" w:ascii="Times New Roman" w:hAnsi="Times New Roman" w:eastAsia="宋体" w:cs="宋体"/>
          <w:b w:val="0"/>
          <w:bCs/>
          <w:color w:val="auto"/>
          <w:spacing w:val="0"/>
          <w:kern w:val="2"/>
          <w:sz w:val="24"/>
          <w:szCs w:val="24"/>
          <w:lang w:val="en-US" w:eastAsia="zh-CN"/>
        </w:rPr>
        <w:t>施工工艺；</w:t>
      </w:r>
      <w:r>
        <w:rPr>
          <w:rFonts w:hint="eastAsia" w:cs="宋体"/>
          <w:b w:val="0"/>
          <w:bCs/>
          <w:color w:val="auto"/>
          <w:spacing w:val="0"/>
          <w:kern w:val="2"/>
          <w:sz w:val="24"/>
          <w:szCs w:val="24"/>
          <w:lang w:val="en-US" w:eastAsia="zh-CN"/>
        </w:rPr>
        <w:t>（4）</w:t>
      </w:r>
      <w:r>
        <w:rPr>
          <w:rFonts w:hint="eastAsia" w:ascii="Times New Roman" w:hAnsi="Times New Roman" w:eastAsia="宋体" w:cs="宋体"/>
          <w:b w:val="0"/>
          <w:bCs/>
          <w:color w:val="auto"/>
          <w:spacing w:val="0"/>
          <w:kern w:val="2"/>
          <w:sz w:val="24"/>
          <w:szCs w:val="24"/>
          <w:lang w:val="en-US" w:eastAsia="zh-CN"/>
        </w:rPr>
        <w:t>质量标准。</w:t>
      </w:r>
    </w:p>
    <w:p w14:paraId="48F3F20B">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eastAsia" w:ascii="Times New Roman" w:hAnsi="Times New Roman" w:eastAsia="黑体" w:cs="黑体"/>
          <w:b w:val="0"/>
          <w:bCs/>
          <w:color w:val="auto"/>
          <w:spacing w:val="0"/>
          <w:kern w:val="2"/>
          <w:sz w:val="24"/>
          <w:szCs w:val="24"/>
          <w:lang w:val="en-US" w:eastAsia="zh-CN" w:bidi="ar-SA"/>
        </w:rPr>
      </w:pPr>
      <w:r>
        <w:rPr>
          <w:rFonts w:hint="eastAsia" w:ascii="Times New Roman" w:hAnsi="Times New Roman" w:eastAsia="黑体" w:cs="黑体"/>
          <w:b w:val="0"/>
          <w:bCs/>
          <w:color w:val="auto"/>
          <w:spacing w:val="0"/>
          <w:kern w:val="2"/>
          <w:sz w:val="24"/>
          <w:szCs w:val="24"/>
          <w:lang w:val="en-US" w:eastAsia="zh-CN" w:bidi="ar-SA"/>
        </w:rPr>
        <w:t>（三）</w:t>
      </w:r>
      <w:r>
        <w:rPr>
          <w:rFonts w:hint="eastAsia" w:eastAsia="黑体" w:cs="黑体"/>
          <w:b w:val="0"/>
          <w:bCs/>
          <w:color w:val="auto"/>
          <w:spacing w:val="0"/>
          <w:kern w:val="2"/>
          <w:sz w:val="24"/>
          <w:szCs w:val="24"/>
          <w:lang w:val="en-US" w:eastAsia="zh-CN" w:bidi="ar-SA"/>
        </w:rPr>
        <w:t>主要</w:t>
      </w:r>
      <w:r>
        <w:rPr>
          <w:rFonts w:hint="eastAsia" w:ascii="Times New Roman" w:hAnsi="Times New Roman" w:eastAsia="黑体" w:cs="黑体"/>
          <w:b w:val="0"/>
          <w:bCs/>
          <w:color w:val="auto"/>
          <w:spacing w:val="0"/>
          <w:kern w:val="2"/>
          <w:sz w:val="24"/>
          <w:szCs w:val="24"/>
          <w:lang w:val="en-US" w:eastAsia="zh-CN" w:bidi="ar-SA"/>
        </w:rPr>
        <w:t>工作过程</w:t>
      </w:r>
    </w:p>
    <w:p w14:paraId="5295D257">
      <w:pPr>
        <w:shd w:val="clear" w:color="auto" w:fill="FFFFFF"/>
        <w:spacing w:line="360" w:lineRule="auto"/>
        <w:ind w:firstLine="480" w:firstLineChars="200"/>
        <w:rPr>
          <w:iCs/>
          <w:color w:val="auto"/>
          <w:sz w:val="24"/>
          <w:highlight w:val="none"/>
        </w:rPr>
      </w:pPr>
      <w:r>
        <w:rPr>
          <w:rFonts w:hint="eastAsia"/>
          <w:iCs/>
          <w:color w:val="auto"/>
          <w:sz w:val="24"/>
          <w:highlight w:val="none"/>
        </w:rPr>
        <w:t>1.资料调研</w:t>
      </w:r>
    </w:p>
    <w:p w14:paraId="2A13DF9B">
      <w:pPr>
        <w:shd w:val="clear" w:color="auto" w:fill="FFFFFF"/>
        <w:spacing w:line="360" w:lineRule="auto"/>
        <w:ind w:firstLine="480" w:firstLineChars="200"/>
        <w:rPr>
          <w:iCs/>
          <w:color w:val="auto"/>
          <w:sz w:val="24"/>
          <w:highlight w:val="none"/>
        </w:rPr>
      </w:pPr>
      <w:r>
        <w:rPr>
          <w:rFonts w:hint="eastAsia"/>
          <w:iCs/>
          <w:color w:val="auto"/>
          <w:sz w:val="24"/>
          <w:highlight w:val="none"/>
        </w:rPr>
        <w:t>202</w:t>
      </w:r>
      <w:r>
        <w:rPr>
          <w:rFonts w:hint="eastAsia"/>
          <w:iCs/>
          <w:color w:val="auto"/>
          <w:sz w:val="24"/>
          <w:highlight w:val="none"/>
          <w:lang w:val="en-US" w:eastAsia="zh-CN"/>
        </w:rPr>
        <w:t>4</w:t>
      </w:r>
      <w:r>
        <w:rPr>
          <w:rFonts w:hint="eastAsia"/>
          <w:iCs/>
          <w:color w:val="auto"/>
          <w:sz w:val="24"/>
          <w:highlight w:val="none"/>
        </w:rPr>
        <w:t>年</w:t>
      </w:r>
      <w:r>
        <w:rPr>
          <w:rFonts w:hint="eastAsia"/>
          <w:iCs/>
          <w:color w:val="auto"/>
          <w:sz w:val="24"/>
          <w:highlight w:val="none"/>
          <w:lang w:val="en-US" w:eastAsia="zh-CN"/>
        </w:rPr>
        <w:t>5</w:t>
      </w:r>
      <w:r>
        <w:rPr>
          <w:rFonts w:hint="eastAsia"/>
          <w:iCs/>
          <w:color w:val="auto"/>
          <w:sz w:val="24"/>
          <w:highlight w:val="none"/>
        </w:rPr>
        <w:t>月</w:t>
      </w:r>
      <w:r>
        <w:rPr>
          <w:rFonts w:hint="eastAsia"/>
          <w:iCs/>
          <w:color w:val="auto"/>
          <w:sz w:val="24"/>
          <w:highlight w:val="none"/>
          <w:lang w:eastAsia="zh-CN"/>
        </w:rPr>
        <w:t>—</w:t>
      </w:r>
      <w:r>
        <w:rPr>
          <w:iCs/>
          <w:color w:val="auto"/>
          <w:sz w:val="24"/>
          <w:highlight w:val="none"/>
        </w:rPr>
        <w:t>20</w:t>
      </w:r>
      <w:r>
        <w:rPr>
          <w:rFonts w:hint="eastAsia"/>
          <w:iCs/>
          <w:color w:val="auto"/>
          <w:sz w:val="24"/>
          <w:highlight w:val="none"/>
          <w:lang w:val="en-US" w:eastAsia="zh-CN"/>
        </w:rPr>
        <w:t>24</w:t>
      </w:r>
      <w:r>
        <w:rPr>
          <w:rFonts w:hint="eastAsia"/>
          <w:iCs/>
          <w:color w:val="auto"/>
          <w:sz w:val="24"/>
          <w:highlight w:val="none"/>
        </w:rPr>
        <w:t>年</w:t>
      </w:r>
      <w:r>
        <w:rPr>
          <w:rFonts w:hint="eastAsia"/>
          <w:iCs/>
          <w:color w:val="auto"/>
          <w:sz w:val="24"/>
          <w:highlight w:val="none"/>
          <w:lang w:val="en-US" w:eastAsia="zh-CN"/>
        </w:rPr>
        <w:t>8</w:t>
      </w:r>
      <w:r>
        <w:rPr>
          <w:rFonts w:hint="eastAsia"/>
          <w:iCs/>
          <w:color w:val="auto"/>
          <w:sz w:val="24"/>
          <w:highlight w:val="none"/>
        </w:rPr>
        <w:t>月</w:t>
      </w:r>
      <w:r>
        <w:rPr>
          <w:rFonts w:hint="eastAsia"/>
          <w:iCs/>
          <w:color w:val="auto"/>
          <w:sz w:val="24"/>
          <w:highlight w:val="none"/>
          <w:lang w:val="en-US" w:eastAsia="zh-CN"/>
        </w:rPr>
        <w:t>中建材苏州防水研究院有限公司</w:t>
      </w:r>
      <w:r>
        <w:rPr>
          <w:rFonts w:hint="eastAsia"/>
          <w:iCs/>
          <w:color w:val="auto"/>
          <w:sz w:val="24"/>
          <w:highlight w:val="none"/>
        </w:rPr>
        <w:t>接到任务后，首先着手对标准的国内外情况进行调研，征集参加标准制定的企业单位。工作组以中建材苏州防水研究院有限公司</w:t>
      </w:r>
      <w:r>
        <w:rPr>
          <w:rFonts w:hint="eastAsia"/>
          <w:iCs/>
          <w:color w:val="auto"/>
          <w:sz w:val="24"/>
          <w:highlight w:val="none"/>
          <w:lang w:eastAsia="zh-CN"/>
        </w:rPr>
        <w:t>、</w:t>
      </w:r>
      <w:r>
        <w:rPr>
          <w:rFonts w:hint="eastAsia"/>
          <w:iCs/>
          <w:color w:val="auto"/>
          <w:sz w:val="24"/>
          <w:highlight w:val="none"/>
        </w:rPr>
        <w:t>上海凯顿百森建筑材料科技发展有限公司</w:t>
      </w:r>
      <w:r>
        <w:rPr>
          <w:rFonts w:hint="eastAsia"/>
          <w:iCs/>
          <w:color w:val="auto"/>
          <w:sz w:val="24"/>
          <w:highlight w:val="none"/>
          <w:lang w:eastAsia="zh-CN"/>
        </w:rPr>
        <w:t>、</w:t>
      </w:r>
      <w:r>
        <w:rPr>
          <w:rFonts w:hint="eastAsia"/>
          <w:iCs/>
          <w:color w:val="auto"/>
          <w:sz w:val="24"/>
          <w:highlight w:val="none"/>
        </w:rPr>
        <w:t>南京晶磊兴建材有限公司</w:t>
      </w:r>
      <w:r>
        <w:rPr>
          <w:rFonts w:hint="eastAsia"/>
          <w:iCs/>
          <w:color w:val="auto"/>
          <w:sz w:val="24"/>
          <w:highlight w:val="none"/>
          <w:lang w:eastAsia="zh-CN"/>
        </w:rPr>
        <w:t>、</w:t>
      </w:r>
      <w:r>
        <w:rPr>
          <w:rFonts w:hint="eastAsia"/>
          <w:iCs/>
          <w:color w:val="auto"/>
          <w:sz w:val="24"/>
          <w:highlight w:val="none"/>
        </w:rPr>
        <w:t>福州大匠环保建筑材料有限公司</w:t>
      </w:r>
      <w:r>
        <w:rPr>
          <w:rFonts w:hint="eastAsia"/>
          <w:iCs/>
          <w:color w:val="auto"/>
          <w:sz w:val="24"/>
          <w:highlight w:val="none"/>
          <w:lang w:eastAsia="zh-CN"/>
        </w:rPr>
        <w:t>、</w:t>
      </w:r>
      <w:r>
        <w:rPr>
          <w:rFonts w:hint="eastAsia"/>
          <w:iCs/>
          <w:color w:val="auto"/>
          <w:sz w:val="24"/>
          <w:highlight w:val="none"/>
        </w:rPr>
        <w:t>抑渗特</w:t>
      </w:r>
      <w:r>
        <w:rPr>
          <w:rFonts w:hint="eastAsia"/>
          <w:iCs/>
          <w:color w:val="auto"/>
          <w:sz w:val="24"/>
          <w:highlight w:val="none"/>
          <w:lang w:eastAsia="zh-CN"/>
        </w:rPr>
        <w:t>（</w:t>
      </w:r>
      <w:r>
        <w:rPr>
          <w:rFonts w:hint="eastAsia"/>
          <w:iCs/>
          <w:color w:val="auto"/>
          <w:sz w:val="24"/>
          <w:highlight w:val="none"/>
        </w:rPr>
        <w:t>上海</w:t>
      </w:r>
      <w:r>
        <w:rPr>
          <w:rFonts w:hint="eastAsia"/>
          <w:iCs/>
          <w:color w:val="auto"/>
          <w:sz w:val="24"/>
          <w:highlight w:val="none"/>
          <w:lang w:eastAsia="zh-CN"/>
        </w:rPr>
        <w:t>）</w:t>
      </w:r>
      <w:r>
        <w:rPr>
          <w:rFonts w:hint="eastAsia"/>
          <w:iCs/>
          <w:color w:val="auto"/>
          <w:sz w:val="24"/>
          <w:highlight w:val="none"/>
        </w:rPr>
        <w:t>材料科技有限公司</w:t>
      </w:r>
      <w:r>
        <w:rPr>
          <w:rFonts w:hint="eastAsia"/>
          <w:iCs/>
          <w:color w:val="auto"/>
          <w:sz w:val="24"/>
          <w:highlight w:val="none"/>
          <w:lang w:eastAsia="zh-CN"/>
        </w:rPr>
        <w:t>、</w:t>
      </w:r>
      <w:r>
        <w:rPr>
          <w:rFonts w:hint="eastAsia"/>
          <w:iCs/>
          <w:color w:val="auto"/>
          <w:sz w:val="24"/>
          <w:highlight w:val="none"/>
        </w:rPr>
        <w:t>佳固士新材料有限公司</w:t>
      </w:r>
      <w:r>
        <w:rPr>
          <w:rFonts w:hint="eastAsia"/>
          <w:iCs/>
          <w:color w:val="auto"/>
          <w:sz w:val="24"/>
          <w:highlight w:val="none"/>
          <w:lang w:eastAsia="zh-CN"/>
        </w:rPr>
        <w:t>、</w:t>
      </w:r>
      <w:r>
        <w:rPr>
          <w:rFonts w:hint="eastAsia"/>
          <w:iCs/>
          <w:color w:val="auto"/>
          <w:sz w:val="24"/>
          <w:highlight w:val="none"/>
        </w:rPr>
        <w:t>浙江益生宜居新材料科技有限公司</w:t>
      </w:r>
      <w:r>
        <w:rPr>
          <w:rFonts w:hint="eastAsia"/>
          <w:iCs/>
          <w:color w:val="auto"/>
          <w:sz w:val="24"/>
          <w:highlight w:val="none"/>
          <w:lang w:eastAsia="zh-CN"/>
        </w:rPr>
        <w:t>、</w:t>
      </w:r>
      <w:r>
        <w:rPr>
          <w:rFonts w:hint="eastAsia"/>
          <w:iCs/>
          <w:color w:val="auto"/>
          <w:sz w:val="24"/>
          <w:highlight w:val="none"/>
        </w:rPr>
        <w:t>云南欣城防水科技有限公司</w:t>
      </w:r>
      <w:r>
        <w:rPr>
          <w:rFonts w:hint="eastAsia"/>
          <w:iCs/>
          <w:color w:val="auto"/>
          <w:sz w:val="24"/>
          <w:highlight w:val="none"/>
          <w:lang w:eastAsia="zh-CN"/>
        </w:rPr>
        <w:t>、</w:t>
      </w:r>
      <w:r>
        <w:rPr>
          <w:rFonts w:hint="eastAsia"/>
          <w:iCs/>
          <w:color w:val="auto"/>
          <w:sz w:val="24"/>
          <w:highlight w:val="none"/>
        </w:rPr>
        <w:t>北京可立特科技发展有限公司</w:t>
      </w:r>
      <w:r>
        <w:rPr>
          <w:rFonts w:hint="eastAsia"/>
          <w:iCs/>
          <w:color w:val="auto"/>
          <w:sz w:val="24"/>
          <w:highlight w:val="none"/>
          <w:lang w:eastAsia="zh-CN"/>
        </w:rPr>
        <w:t>、</w:t>
      </w:r>
      <w:r>
        <w:rPr>
          <w:rFonts w:hint="eastAsia"/>
          <w:iCs/>
          <w:color w:val="auto"/>
          <w:sz w:val="24"/>
          <w:highlight w:val="none"/>
        </w:rPr>
        <w:t>日丰科技有限公司</w:t>
      </w:r>
      <w:r>
        <w:rPr>
          <w:rFonts w:hint="eastAsia"/>
          <w:iCs/>
          <w:color w:val="auto"/>
          <w:sz w:val="24"/>
          <w:highlight w:val="none"/>
          <w:lang w:eastAsia="zh-CN"/>
        </w:rPr>
        <w:t>、</w:t>
      </w:r>
      <w:r>
        <w:rPr>
          <w:rFonts w:hint="eastAsia"/>
          <w:iCs/>
          <w:color w:val="auto"/>
          <w:sz w:val="24"/>
          <w:highlight w:val="none"/>
        </w:rPr>
        <w:t>惠勒新材料科技（江苏）有限公司以及相关施工企业为主进行了前期资料调研，吸收以往的成功经验、总结提炼，提出初步意见。</w:t>
      </w:r>
    </w:p>
    <w:p w14:paraId="55199F2C">
      <w:pPr>
        <w:shd w:val="clear" w:color="auto" w:fill="FFFFFF"/>
        <w:spacing w:line="360" w:lineRule="auto"/>
        <w:ind w:firstLine="480" w:firstLineChars="200"/>
        <w:rPr>
          <w:iCs/>
          <w:color w:val="auto"/>
          <w:sz w:val="24"/>
          <w:highlight w:val="none"/>
        </w:rPr>
      </w:pPr>
      <w:r>
        <w:rPr>
          <w:rFonts w:hint="eastAsia"/>
          <w:iCs/>
          <w:color w:val="auto"/>
          <w:sz w:val="24"/>
          <w:highlight w:val="none"/>
        </w:rPr>
        <w:t>2.工程实践调研和试验阶段</w:t>
      </w:r>
    </w:p>
    <w:p w14:paraId="73B25B20">
      <w:pPr>
        <w:shd w:val="clear" w:color="auto" w:fill="FFFFFF"/>
        <w:spacing w:line="360" w:lineRule="auto"/>
        <w:ind w:firstLine="480" w:firstLineChars="200"/>
        <w:rPr>
          <w:iCs/>
          <w:color w:val="auto"/>
          <w:sz w:val="24"/>
          <w:highlight w:val="none"/>
        </w:rPr>
      </w:pPr>
      <w:r>
        <w:rPr>
          <w:rFonts w:hint="eastAsia"/>
          <w:iCs/>
          <w:color w:val="auto"/>
          <w:sz w:val="24"/>
          <w:highlight w:val="none"/>
        </w:rPr>
        <w:t>202</w:t>
      </w:r>
      <w:r>
        <w:rPr>
          <w:rFonts w:hint="eastAsia"/>
          <w:iCs/>
          <w:color w:val="auto"/>
          <w:sz w:val="24"/>
          <w:highlight w:val="none"/>
          <w:lang w:val="en-US" w:eastAsia="zh-CN"/>
        </w:rPr>
        <w:t>4</w:t>
      </w:r>
      <w:r>
        <w:rPr>
          <w:rFonts w:hint="eastAsia"/>
          <w:iCs/>
          <w:color w:val="auto"/>
          <w:sz w:val="24"/>
          <w:highlight w:val="none"/>
        </w:rPr>
        <w:t>年</w:t>
      </w:r>
      <w:r>
        <w:rPr>
          <w:rFonts w:hint="eastAsia"/>
          <w:iCs/>
          <w:color w:val="auto"/>
          <w:sz w:val="24"/>
          <w:highlight w:val="none"/>
          <w:lang w:val="en-US" w:eastAsia="zh-CN"/>
        </w:rPr>
        <w:t>8</w:t>
      </w:r>
      <w:r>
        <w:rPr>
          <w:rFonts w:hint="eastAsia"/>
          <w:iCs/>
          <w:color w:val="auto"/>
          <w:sz w:val="24"/>
          <w:highlight w:val="none"/>
        </w:rPr>
        <w:t>月工程实践调研主要是了解国内外部分工程项目，以</w:t>
      </w:r>
      <w:r>
        <w:rPr>
          <w:rFonts w:hint="eastAsia"/>
          <w:iCs/>
          <w:color w:val="auto"/>
          <w:sz w:val="24"/>
          <w:highlight w:val="none"/>
          <w:lang w:val="en-US" w:eastAsia="zh-CN"/>
        </w:rPr>
        <w:t>重点工程</w:t>
      </w:r>
      <w:r>
        <w:rPr>
          <w:rFonts w:hint="eastAsia"/>
          <w:iCs/>
          <w:color w:val="auto"/>
          <w:sz w:val="24"/>
          <w:highlight w:val="none"/>
        </w:rPr>
        <w:t>为主进行了材料收集整理，并在工程项目实践中进行了试验研究工作。</w:t>
      </w:r>
    </w:p>
    <w:p w14:paraId="6B08C103">
      <w:pPr>
        <w:shd w:val="clear" w:color="auto" w:fill="FFFFFF"/>
        <w:spacing w:line="360" w:lineRule="auto"/>
        <w:ind w:firstLine="480" w:firstLineChars="200"/>
        <w:rPr>
          <w:iCs/>
          <w:color w:val="auto"/>
          <w:sz w:val="24"/>
          <w:highlight w:val="none"/>
        </w:rPr>
      </w:pPr>
      <w:r>
        <w:rPr>
          <w:rFonts w:hint="eastAsia"/>
          <w:iCs/>
          <w:color w:val="auto"/>
          <w:sz w:val="24"/>
          <w:highlight w:val="none"/>
          <w:lang w:val="en-US" w:eastAsia="zh-CN"/>
        </w:rPr>
        <w:t>同时，</w:t>
      </w:r>
      <w:r>
        <w:rPr>
          <w:rFonts w:hint="eastAsia"/>
          <w:iCs/>
          <w:color w:val="auto"/>
          <w:sz w:val="24"/>
          <w:highlight w:val="none"/>
        </w:rPr>
        <w:t>标准编制组根据数据调研情况及试验验证，经过多次小组内部讨论，初步完成重要技术参数的设定，形成标准草案。</w:t>
      </w:r>
    </w:p>
    <w:p w14:paraId="077A136C">
      <w:pPr>
        <w:shd w:val="clear" w:color="auto" w:fill="FFFFFF"/>
        <w:spacing w:line="360" w:lineRule="auto"/>
        <w:ind w:firstLine="480" w:firstLineChars="200"/>
        <w:rPr>
          <w:iCs/>
          <w:color w:val="auto"/>
          <w:sz w:val="24"/>
          <w:highlight w:val="none"/>
        </w:rPr>
      </w:pPr>
      <w:r>
        <w:rPr>
          <w:rFonts w:hint="eastAsia"/>
          <w:iCs/>
          <w:color w:val="auto"/>
          <w:sz w:val="24"/>
          <w:highlight w:val="none"/>
        </w:rPr>
        <w:t>3.启动会</w:t>
      </w:r>
    </w:p>
    <w:p w14:paraId="14EB55EA">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default" w:ascii="Times New Roman" w:hAnsi="Times New Roman" w:cs="Times New Roman"/>
          <w:color w:val="auto"/>
          <w:sz w:val="24"/>
          <w:lang w:val="en-US" w:eastAsia="zh-CN"/>
        </w:rPr>
      </w:pPr>
      <w:r>
        <w:rPr>
          <w:rFonts w:hint="eastAsia"/>
          <w:iCs/>
          <w:color w:val="auto"/>
          <w:sz w:val="24"/>
          <w:highlight w:val="none"/>
        </w:rPr>
        <w:t>202</w:t>
      </w:r>
      <w:r>
        <w:rPr>
          <w:rFonts w:hint="eastAsia"/>
          <w:iCs/>
          <w:color w:val="auto"/>
          <w:sz w:val="24"/>
          <w:highlight w:val="none"/>
          <w:lang w:val="en-US" w:eastAsia="zh-CN"/>
        </w:rPr>
        <w:t>4</w:t>
      </w:r>
      <w:r>
        <w:rPr>
          <w:rFonts w:hint="eastAsia"/>
          <w:iCs/>
          <w:color w:val="auto"/>
          <w:sz w:val="24"/>
          <w:highlight w:val="none"/>
        </w:rPr>
        <w:t>年</w:t>
      </w:r>
      <w:r>
        <w:rPr>
          <w:rFonts w:hint="eastAsia"/>
          <w:iCs/>
          <w:color w:val="auto"/>
          <w:sz w:val="24"/>
          <w:highlight w:val="none"/>
          <w:lang w:val="en-US" w:eastAsia="zh-CN"/>
        </w:rPr>
        <w:t>8</w:t>
      </w:r>
      <w:r>
        <w:rPr>
          <w:rFonts w:hint="eastAsia"/>
          <w:iCs/>
          <w:color w:val="auto"/>
          <w:sz w:val="24"/>
          <w:highlight w:val="none"/>
        </w:rPr>
        <w:t>月</w:t>
      </w:r>
      <w:r>
        <w:rPr>
          <w:rFonts w:hint="eastAsia"/>
          <w:iCs/>
          <w:color w:val="auto"/>
          <w:sz w:val="24"/>
          <w:highlight w:val="none"/>
          <w:lang w:val="en-US" w:eastAsia="zh-CN"/>
        </w:rPr>
        <w:t>29</w:t>
      </w:r>
      <w:r>
        <w:rPr>
          <w:rFonts w:hint="eastAsia"/>
          <w:iCs/>
          <w:color w:val="auto"/>
          <w:sz w:val="24"/>
          <w:highlight w:val="none"/>
        </w:rPr>
        <w:t>日</w:t>
      </w:r>
      <w:r>
        <w:rPr>
          <w:rFonts w:hint="eastAsia"/>
          <w:iCs/>
          <w:color w:val="auto"/>
          <w:sz w:val="24"/>
          <w:highlight w:val="none"/>
          <w:lang w:val="en-US" w:eastAsia="zh-CN"/>
        </w:rPr>
        <w:t>在江苏省苏州市</w:t>
      </w:r>
      <w:r>
        <w:rPr>
          <w:rFonts w:hint="eastAsia"/>
          <w:iCs/>
          <w:color w:val="auto"/>
          <w:sz w:val="24"/>
          <w:highlight w:val="none"/>
        </w:rPr>
        <w:t>召开</w:t>
      </w:r>
      <w:r>
        <w:rPr>
          <w:rFonts w:hint="eastAsia" w:ascii="Times New Roman" w:hAnsi="Times New Roman" w:eastAsia="宋体" w:cs="Times New Roman"/>
          <w:iCs/>
          <w:color w:val="auto"/>
          <w:sz w:val="24"/>
          <w:highlight w:val="none"/>
        </w:rPr>
        <w:t>了标准制定第一次工作会议，本次会议共有来自中建材苏州防水研究院</w:t>
      </w:r>
      <w:r>
        <w:rPr>
          <w:rFonts w:hint="eastAsia" w:cs="Times New Roman"/>
          <w:iCs/>
          <w:color w:val="auto"/>
          <w:sz w:val="24"/>
          <w:highlight w:val="none"/>
          <w:lang w:val="en-US" w:eastAsia="zh-CN"/>
        </w:rPr>
        <w:t>有限公司</w:t>
      </w:r>
      <w:r>
        <w:rPr>
          <w:rFonts w:hint="eastAsia" w:ascii="Times New Roman" w:hAnsi="Times New Roman" w:eastAsia="宋体" w:cs="Times New Roman"/>
          <w:iCs/>
          <w:color w:val="auto"/>
          <w:sz w:val="24"/>
          <w:highlight w:val="none"/>
        </w:rPr>
        <w:t>、北新防水</w:t>
      </w:r>
      <w:r>
        <w:rPr>
          <w:rFonts w:hint="eastAsia" w:cs="Times New Roman"/>
          <w:iCs/>
          <w:color w:val="auto"/>
          <w:sz w:val="24"/>
          <w:highlight w:val="none"/>
          <w:lang w:val="en-US" w:eastAsia="zh-CN"/>
        </w:rPr>
        <w:t>有限公司</w:t>
      </w:r>
      <w:r>
        <w:rPr>
          <w:rFonts w:hint="eastAsia" w:ascii="Times New Roman" w:hAnsi="Times New Roman" w:eastAsia="宋体" w:cs="Times New Roman"/>
          <w:iCs/>
          <w:color w:val="auto"/>
          <w:sz w:val="24"/>
          <w:highlight w:val="none"/>
        </w:rPr>
        <w:t>、辽宁九鼎宏泰</w:t>
      </w:r>
      <w:r>
        <w:rPr>
          <w:rFonts w:hint="eastAsia" w:cs="Times New Roman"/>
          <w:iCs/>
          <w:color w:val="auto"/>
          <w:sz w:val="24"/>
          <w:highlight w:val="none"/>
          <w:lang w:val="en-US" w:eastAsia="zh-CN"/>
        </w:rPr>
        <w:t>防水科技有限公司</w:t>
      </w:r>
      <w:r>
        <w:rPr>
          <w:rFonts w:hint="eastAsia" w:ascii="Times New Roman" w:hAnsi="Times New Roman" w:eastAsia="宋体" w:cs="Times New Roman"/>
          <w:iCs/>
          <w:color w:val="auto"/>
          <w:sz w:val="24"/>
          <w:highlight w:val="none"/>
        </w:rPr>
        <w:t>、南通睿睿防水新技术开发有限公司、国检测试控股集团北京有限公司、中国建材检验认证集团苏州有限公司、湖南帅旗防水有限公司、佳固士新材料有限公司、河南东骏建材科技有限公司、呼和浩特市豫达防水材料有限责任公司、盐城启明建材科技有限公司、北京焰石、南京晶磊兴建材有限公司、北京可立特科技发展有限公司、北京立高立德工程技术有限公司、安徽欣生防水工程有限公司、苏州万众建筑材料有限公司、武汉三源特种建材有限责任公司、北京城荣防水材料有限公司、苏州市兴邦化学建材有限公司、抑渗特（上海）防水保温工程有限公司、北京思康博格科技发展有限公司、江苏立浩建材科技有限公司、杞县金斯盾防水防腐工程有限公司、福州大匠环保建筑材料有限公司、山东方达康工业纤维素有限公司等27家单位39位代表出席</w:t>
      </w:r>
      <w:r>
        <w:rPr>
          <w:rFonts w:hint="eastAsia" w:ascii="Times New Roman" w:hAnsi="Times New Roman" w:eastAsia="宋体" w:cs="Times New Roman"/>
          <w:iCs/>
          <w:color w:val="auto"/>
          <w:sz w:val="24"/>
          <w:highlight w:val="none"/>
          <w:lang w:eastAsia="zh-CN"/>
        </w:rPr>
        <w:t>。</w:t>
      </w:r>
      <w:r>
        <w:rPr>
          <w:rFonts w:hint="default" w:ascii="Times New Roman" w:hAnsi="Times New Roman" w:cs="Times New Roman"/>
          <w:color w:val="auto"/>
          <w:sz w:val="24"/>
          <w:lang w:val="en-US" w:eastAsia="zh-CN"/>
        </w:rPr>
        <w:t>中建材苏州防水研究院执行院长、本标准</w:t>
      </w:r>
      <w:r>
        <w:rPr>
          <w:rFonts w:hint="eastAsia" w:ascii="Times New Roman" w:hAnsi="Times New Roman" w:cs="Times New Roman"/>
          <w:color w:val="auto"/>
          <w:sz w:val="24"/>
          <w:lang w:val="en-US" w:eastAsia="zh-CN"/>
        </w:rPr>
        <w:t>制定</w:t>
      </w:r>
      <w:r>
        <w:rPr>
          <w:rFonts w:hint="default" w:ascii="Times New Roman" w:hAnsi="Times New Roman" w:cs="Times New Roman"/>
          <w:color w:val="auto"/>
          <w:sz w:val="24"/>
          <w:lang w:val="en-US" w:eastAsia="zh-CN"/>
        </w:rPr>
        <w:t>负责人沈春林教授致</w:t>
      </w:r>
      <w:r>
        <w:rPr>
          <w:rFonts w:hint="eastAsia" w:cs="Times New Roman"/>
          <w:color w:val="auto"/>
          <w:sz w:val="24"/>
          <w:lang w:val="en-US" w:eastAsia="zh-CN"/>
        </w:rPr>
        <w:t>欢迎辞</w:t>
      </w:r>
      <w:r>
        <w:rPr>
          <w:rFonts w:hint="default" w:ascii="Times New Roman" w:hAnsi="Times New Roman" w:cs="Times New Roman"/>
          <w:color w:val="auto"/>
          <w:sz w:val="24"/>
          <w:lang w:val="en-US" w:eastAsia="zh-CN"/>
        </w:rPr>
        <w:t>。他简要概述了首先对行业内水泥基渗透结晶型防水材料的应用进行了简单地讲解，随后对</w:t>
      </w:r>
      <w:r>
        <w:rPr>
          <w:rFonts w:hint="eastAsia" w:cs="Times New Roman"/>
          <w:color w:val="auto"/>
          <w:sz w:val="24"/>
          <w:lang w:val="en-US" w:eastAsia="zh-CN"/>
        </w:rPr>
        <w:t>标准</w:t>
      </w:r>
      <w:r>
        <w:rPr>
          <w:rFonts w:hint="default" w:ascii="Times New Roman" w:hAnsi="Times New Roman" w:cs="Times New Roman"/>
          <w:color w:val="auto"/>
          <w:sz w:val="24"/>
          <w:lang w:val="en-US" w:eastAsia="zh-CN"/>
        </w:rPr>
        <w:t>的筹划、申报、答辩、立项等过程进行了介绍，并阐述了</w:t>
      </w:r>
      <w:r>
        <w:rPr>
          <w:rFonts w:hint="eastAsia" w:cs="Times New Roman"/>
          <w:color w:val="auto"/>
          <w:sz w:val="24"/>
          <w:lang w:val="en-US" w:eastAsia="zh-CN"/>
        </w:rPr>
        <w:t>标准</w:t>
      </w:r>
      <w:r>
        <w:rPr>
          <w:rFonts w:hint="default" w:ascii="Times New Roman" w:hAnsi="Times New Roman" w:cs="Times New Roman"/>
          <w:color w:val="auto"/>
          <w:sz w:val="24"/>
          <w:lang w:val="en-US" w:eastAsia="zh-CN"/>
        </w:rPr>
        <w:t>制定的意义及相关要求。中建材苏州防水研究院</w:t>
      </w:r>
      <w:r>
        <w:rPr>
          <w:rFonts w:hint="eastAsia" w:cs="Times New Roman"/>
          <w:color w:val="auto"/>
          <w:sz w:val="24"/>
          <w:lang w:val="en-US" w:eastAsia="zh-CN"/>
        </w:rPr>
        <w:t>有限公司</w:t>
      </w:r>
      <w:r>
        <w:rPr>
          <w:rFonts w:hint="default" w:ascii="Times New Roman" w:hAnsi="Times New Roman" w:cs="Times New Roman"/>
          <w:color w:val="auto"/>
          <w:sz w:val="24"/>
          <w:lang w:val="en-US" w:eastAsia="zh-CN"/>
        </w:rPr>
        <w:t>总经理助理、正高级工程师王玉峰主持了标准研讨会议。</w:t>
      </w:r>
    </w:p>
    <w:p w14:paraId="4FD00335">
      <w:pPr>
        <w:shd w:val="clear" w:color="auto" w:fill="FFFFFF"/>
        <w:spacing w:line="360" w:lineRule="auto"/>
        <w:ind w:firstLine="480" w:firstLineChars="200"/>
        <w:rPr>
          <w:rFonts w:hint="eastAsia" w:ascii="Times New Roman" w:hAnsi="Times New Roman" w:eastAsia="宋体" w:cs="Times New Roman"/>
          <w:iCs/>
          <w:color w:val="auto"/>
          <w:sz w:val="24"/>
          <w:highlight w:val="none"/>
        </w:rPr>
      </w:pPr>
      <w:r>
        <w:rPr>
          <w:rFonts w:hint="eastAsia" w:ascii="Times New Roman" w:hAnsi="Times New Roman" w:eastAsia="宋体" w:cs="Times New Roman"/>
          <w:iCs/>
          <w:color w:val="auto"/>
          <w:sz w:val="24"/>
          <w:highlight w:val="none"/>
          <w:lang w:val="en-US" w:eastAsia="zh-CN"/>
        </w:rPr>
        <w:t>会议</w:t>
      </w:r>
      <w:r>
        <w:rPr>
          <w:rFonts w:hint="eastAsia" w:ascii="Times New Roman" w:hAnsi="Times New Roman" w:eastAsia="宋体" w:cs="Times New Roman"/>
          <w:iCs/>
          <w:color w:val="auto"/>
          <w:sz w:val="24"/>
          <w:highlight w:val="none"/>
        </w:rPr>
        <w:t>对标准的编制方向和主要涉及内容进行讨论，正式确立了标准工作组，确定了工作计划及任务分工。</w:t>
      </w:r>
    </w:p>
    <w:p w14:paraId="662E4550">
      <w:pPr>
        <w:shd w:val="clear" w:color="auto" w:fill="FFFFFF"/>
        <w:spacing w:line="360" w:lineRule="auto"/>
        <w:ind w:firstLine="480" w:firstLineChars="200"/>
        <w:rPr>
          <w:rFonts w:hint="eastAsia"/>
          <w:iCs/>
          <w:color w:val="auto"/>
          <w:sz w:val="24"/>
          <w:highlight w:val="none"/>
        </w:rPr>
      </w:pPr>
      <w:r>
        <w:rPr>
          <w:rFonts w:hint="eastAsia"/>
          <w:iCs/>
          <w:color w:val="auto"/>
          <w:sz w:val="24"/>
          <w:highlight w:val="none"/>
        </w:rPr>
        <w:t>第一次工作会议后向参编单位征集草案意见及试验数据，并进行试验验证。根据试验验证情况，完善标准内容。</w:t>
      </w:r>
    </w:p>
    <w:p w14:paraId="416A77CF">
      <w:pPr>
        <w:keepNext w:val="0"/>
        <w:keepLines w:val="0"/>
        <w:pageBreakBefore w:val="0"/>
        <w:widowControl w:val="0"/>
        <w:shd w:val="clear" w:color="auto" w:fill="FFFFFF"/>
        <w:kinsoku/>
        <w:wordWrap/>
        <w:overflowPunct/>
        <w:topLinePunct w:val="0"/>
        <w:autoSpaceDE/>
        <w:autoSpaceDN/>
        <w:bidi w:val="0"/>
        <w:adjustRightInd/>
        <w:snapToGrid/>
        <w:spacing w:line="360" w:lineRule="auto"/>
        <w:ind w:firstLine="0" w:firstLineChars="0"/>
        <w:jc w:val="center"/>
        <w:textAlignment w:val="auto"/>
        <w:rPr>
          <w:rFonts w:hint="eastAsia"/>
          <w:iCs/>
          <w:color w:val="auto"/>
          <w:sz w:val="24"/>
          <w:highlight w:val="none"/>
        </w:rPr>
      </w:pPr>
      <w:r>
        <w:rPr>
          <w:rFonts w:ascii="宋体" w:hAnsi="宋体" w:eastAsia="宋体" w:cs="宋体"/>
          <w:sz w:val="24"/>
          <w:szCs w:val="24"/>
        </w:rPr>
        <w:drawing>
          <wp:inline distT="0" distB="0" distL="114300" distR="114300">
            <wp:extent cx="5678170" cy="2003425"/>
            <wp:effectExtent l="0" t="0" r="11430" b="3175"/>
            <wp:docPr id="1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IMG_256"/>
                    <pic:cNvPicPr>
                      <a:picLocks noChangeAspect="1"/>
                    </pic:cNvPicPr>
                  </pic:nvPicPr>
                  <pic:blipFill>
                    <a:blip r:embed="rId10"/>
                    <a:stretch>
                      <a:fillRect/>
                    </a:stretch>
                  </pic:blipFill>
                  <pic:spPr>
                    <a:xfrm>
                      <a:off x="0" y="0"/>
                      <a:ext cx="5678170" cy="2003425"/>
                    </a:xfrm>
                    <a:prstGeom prst="rect">
                      <a:avLst/>
                    </a:prstGeom>
                    <a:noFill/>
                    <a:ln w="9525">
                      <a:noFill/>
                    </a:ln>
                  </pic:spPr>
                </pic:pic>
              </a:graphicData>
            </a:graphic>
          </wp:inline>
        </w:drawing>
      </w:r>
    </w:p>
    <w:p w14:paraId="49CEAED5">
      <w:pPr>
        <w:shd w:val="clear" w:color="auto" w:fill="FFFFFF"/>
        <w:spacing w:line="360" w:lineRule="auto"/>
        <w:ind w:firstLine="480" w:firstLineChars="200"/>
        <w:rPr>
          <w:color w:val="auto"/>
          <w:sz w:val="24"/>
          <w:highlight w:val="none"/>
        </w:rPr>
      </w:pPr>
      <w:r>
        <w:rPr>
          <w:color w:val="auto"/>
          <w:sz w:val="24"/>
          <w:highlight w:val="none"/>
        </w:rPr>
        <w:t>4</w:t>
      </w:r>
      <w:r>
        <w:rPr>
          <w:rFonts w:hint="eastAsia"/>
          <w:color w:val="auto"/>
          <w:sz w:val="24"/>
          <w:highlight w:val="none"/>
        </w:rPr>
        <w:t>.样品征集和验证试验</w:t>
      </w:r>
    </w:p>
    <w:p w14:paraId="1FFFBC58">
      <w:pPr>
        <w:shd w:val="clear" w:color="auto" w:fill="FFFFFF"/>
        <w:spacing w:line="360" w:lineRule="auto"/>
        <w:ind w:firstLine="480" w:firstLineChars="200"/>
        <w:rPr>
          <w:color w:val="auto"/>
          <w:sz w:val="24"/>
          <w:highlight w:val="none"/>
        </w:rPr>
      </w:pPr>
      <w:r>
        <w:rPr>
          <w:rFonts w:hint="eastAsia"/>
          <w:color w:val="auto"/>
          <w:sz w:val="24"/>
          <w:highlight w:val="none"/>
        </w:rPr>
        <w:t>202</w:t>
      </w:r>
      <w:r>
        <w:rPr>
          <w:rFonts w:hint="eastAsia"/>
          <w:color w:val="auto"/>
          <w:sz w:val="24"/>
          <w:highlight w:val="none"/>
          <w:lang w:val="en-US" w:eastAsia="zh-CN"/>
        </w:rPr>
        <w:t>4</w:t>
      </w:r>
      <w:r>
        <w:rPr>
          <w:rFonts w:hint="eastAsia"/>
          <w:color w:val="auto"/>
          <w:sz w:val="24"/>
          <w:highlight w:val="none"/>
        </w:rPr>
        <w:t>年</w:t>
      </w:r>
      <w:r>
        <w:rPr>
          <w:rFonts w:hint="eastAsia"/>
          <w:color w:val="auto"/>
          <w:sz w:val="24"/>
          <w:highlight w:val="none"/>
          <w:lang w:val="en-US" w:eastAsia="zh-CN"/>
        </w:rPr>
        <w:t>9</w:t>
      </w:r>
      <w:r>
        <w:rPr>
          <w:rFonts w:hint="eastAsia"/>
          <w:color w:val="auto"/>
          <w:sz w:val="24"/>
          <w:highlight w:val="none"/>
        </w:rPr>
        <w:t>月</w:t>
      </w:r>
      <w:r>
        <w:rPr>
          <w:rFonts w:hint="eastAsia"/>
          <w:color w:val="auto"/>
          <w:sz w:val="24"/>
          <w:highlight w:val="none"/>
          <w:lang w:eastAsia="zh-CN"/>
        </w:rPr>
        <w:t>—</w:t>
      </w:r>
      <w:r>
        <w:rPr>
          <w:color w:val="auto"/>
          <w:sz w:val="24"/>
          <w:highlight w:val="none"/>
        </w:rPr>
        <w:t>202</w:t>
      </w:r>
      <w:r>
        <w:rPr>
          <w:rFonts w:hint="eastAsia"/>
          <w:color w:val="auto"/>
          <w:sz w:val="24"/>
          <w:highlight w:val="none"/>
          <w:lang w:val="en-US" w:eastAsia="zh-CN"/>
        </w:rPr>
        <w:t>5</w:t>
      </w:r>
      <w:r>
        <w:rPr>
          <w:rFonts w:hint="eastAsia"/>
          <w:color w:val="auto"/>
          <w:sz w:val="24"/>
          <w:highlight w:val="none"/>
        </w:rPr>
        <w:t>年</w:t>
      </w:r>
      <w:r>
        <w:rPr>
          <w:rFonts w:hint="eastAsia"/>
          <w:color w:val="auto"/>
          <w:sz w:val="24"/>
          <w:highlight w:val="none"/>
          <w:lang w:val="en-US" w:eastAsia="zh-CN"/>
        </w:rPr>
        <w:t>8</w:t>
      </w:r>
      <w:r>
        <w:rPr>
          <w:rFonts w:hint="eastAsia"/>
          <w:color w:val="auto"/>
          <w:sz w:val="24"/>
          <w:highlight w:val="none"/>
        </w:rPr>
        <w:t>月</w:t>
      </w:r>
      <w:r>
        <w:rPr>
          <w:color w:val="auto"/>
          <w:sz w:val="24"/>
          <w:highlight w:val="none"/>
        </w:rPr>
        <w:t>，</w:t>
      </w:r>
      <w:r>
        <w:rPr>
          <w:rFonts w:hint="eastAsia"/>
          <w:color w:val="auto"/>
          <w:sz w:val="24"/>
          <w:highlight w:val="none"/>
          <w:lang w:val="en-US" w:eastAsia="zh-CN"/>
        </w:rPr>
        <w:t>编制组结合建材行业标准《水泥基渗透结晶型防水材料》GB/T 18445—2025相关技术要求，</w:t>
      </w:r>
      <w:r>
        <w:rPr>
          <w:rFonts w:hint="eastAsia"/>
          <w:color w:val="auto"/>
          <w:sz w:val="24"/>
          <w:highlight w:val="none"/>
        </w:rPr>
        <w:t>向参编单位征集</w:t>
      </w:r>
      <w:r>
        <w:rPr>
          <w:rFonts w:hint="eastAsia"/>
          <w:color w:val="auto"/>
          <w:sz w:val="24"/>
          <w:highlight w:val="none"/>
          <w:lang w:val="en-US" w:eastAsia="zh-CN"/>
        </w:rPr>
        <w:t>验证样品和</w:t>
      </w:r>
      <w:r>
        <w:rPr>
          <w:color w:val="auto"/>
          <w:sz w:val="24"/>
          <w:highlight w:val="none"/>
        </w:rPr>
        <w:t>试验数据，</w:t>
      </w:r>
      <w:r>
        <w:rPr>
          <w:rFonts w:hint="eastAsia"/>
          <w:color w:val="auto"/>
          <w:sz w:val="24"/>
          <w:highlight w:val="none"/>
        </w:rPr>
        <w:t>并进行试验</w:t>
      </w:r>
      <w:r>
        <w:rPr>
          <w:color w:val="auto"/>
          <w:sz w:val="24"/>
          <w:highlight w:val="none"/>
        </w:rPr>
        <w:t>验证</w:t>
      </w:r>
      <w:r>
        <w:rPr>
          <w:rFonts w:hint="eastAsia"/>
          <w:color w:val="auto"/>
          <w:sz w:val="24"/>
          <w:highlight w:val="none"/>
        </w:rPr>
        <w:t>。根据</w:t>
      </w:r>
      <w:r>
        <w:rPr>
          <w:color w:val="auto"/>
          <w:sz w:val="24"/>
          <w:highlight w:val="none"/>
        </w:rPr>
        <w:t>试验验证情况，完善标准讨论稿</w:t>
      </w:r>
      <w:r>
        <w:rPr>
          <w:rFonts w:hint="eastAsia"/>
          <w:color w:val="auto"/>
          <w:sz w:val="24"/>
          <w:highlight w:val="none"/>
        </w:rPr>
        <w:t>。</w:t>
      </w:r>
    </w:p>
    <w:p w14:paraId="2F6EFB7C">
      <w:pPr>
        <w:shd w:val="clear" w:color="auto" w:fill="FFFFFF"/>
        <w:spacing w:line="360" w:lineRule="auto"/>
        <w:ind w:firstLine="480" w:firstLineChars="200"/>
        <w:rPr>
          <w:color w:val="auto"/>
          <w:sz w:val="24"/>
          <w:highlight w:val="none"/>
        </w:rPr>
      </w:pPr>
      <w:bookmarkStart w:id="1" w:name="OLE_LINK4"/>
      <w:r>
        <w:rPr>
          <w:rFonts w:hint="eastAsia"/>
          <w:color w:val="auto"/>
          <w:sz w:val="24"/>
          <w:highlight w:val="none"/>
        </w:rPr>
        <w:t>同时</w:t>
      </w:r>
      <w:r>
        <w:rPr>
          <w:color w:val="auto"/>
          <w:sz w:val="24"/>
          <w:highlight w:val="none"/>
        </w:rPr>
        <w:t>，</w:t>
      </w:r>
      <w:r>
        <w:rPr>
          <w:rFonts w:hint="eastAsia"/>
          <w:color w:val="auto"/>
          <w:sz w:val="24"/>
          <w:highlight w:val="none"/>
        </w:rPr>
        <w:t>编制组也参与多项</w:t>
      </w:r>
      <w:r>
        <w:rPr>
          <w:rFonts w:hint="eastAsia"/>
          <w:color w:val="auto"/>
          <w:sz w:val="24"/>
          <w:highlight w:val="none"/>
          <w:lang w:val="en-US" w:eastAsia="zh-CN"/>
        </w:rPr>
        <w:t>水泥基渗透结晶型防水材料防水工程设计、施工</w:t>
      </w:r>
      <w:r>
        <w:rPr>
          <w:rFonts w:hint="eastAsia"/>
          <w:color w:val="auto"/>
          <w:sz w:val="24"/>
          <w:highlight w:val="none"/>
        </w:rPr>
        <w:t>技术咨</w:t>
      </w:r>
      <w:bookmarkStart w:id="27" w:name="_GoBack"/>
      <w:bookmarkEnd w:id="27"/>
      <w:r>
        <w:rPr>
          <w:rFonts w:hint="eastAsia"/>
          <w:color w:val="auto"/>
          <w:sz w:val="24"/>
          <w:highlight w:val="none"/>
        </w:rPr>
        <w:t>询工作，收集工程验证资料。</w:t>
      </w:r>
    </w:p>
    <w:bookmarkEnd w:id="1"/>
    <w:p w14:paraId="421D256A">
      <w:pPr>
        <w:shd w:val="clear" w:color="auto" w:fill="FFFFFF"/>
        <w:spacing w:line="360" w:lineRule="auto"/>
        <w:ind w:firstLine="480" w:firstLineChars="200"/>
        <w:rPr>
          <w:color w:val="auto"/>
          <w:sz w:val="24"/>
          <w:highlight w:val="none"/>
        </w:rPr>
      </w:pPr>
      <w:r>
        <w:rPr>
          <w:color w:val="auto"/>
          <w:sz w:val="24"/>
          <w:highlight w:val="none"/>
        </w:rPr>
        <w:t>5</w:t>
      </w:r>
      <w:r>
        <w:rPr>
          <w:rFonts w:hint="eastAsia"/>
          <w:color w:val="auto"/>
          <w:sz w:val="24"/>
          <w:highlight w:val="none"/>
        </w:rPr>
        <w:t>.第二次标准</w:t>
      </w:r>
      <w:r>
        <w:rPr>
          <w:color w:val="auto"/>
          <w:sz w:val="24"/>
          <w:highlight w:val="none"/>
        </w:rPr>
        <w:t>编制工作会议</w:t>
      </w:r>
    </w:p>
    <w:p w14:paraId="13FDADDE">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default" w:ascii="Times New Roman" w:hAnsi="Times New Roman" w:cs="Times New Roman"/>
          <w:color w:val="auto"/>
          <w:sz w:val="24"/>
          <w:lang w:val="en-US" w:eastAsia="zh-CN"/>
        </w:rPr>
      </w:pPr>
      <w:r>
        <w:rPr>
          <w:rFonts w:hint="eastAsia"/>
          <w:color w:val="auto"/>
          <w:sz w:val="24"/>
          <w:highlight w:val="none"/>
        </w:rPr>
        <w:t>202</w:t>
      </w:r>
      <w:r>
        <w:rPr>
          <w:rFonts w:hint="eastAsia"/>
          <w:color w:val="auto"/>
          <w:sz w:val="24"/>
          <w:highlight w:val="none"/>
          <w:lang w:val="en-US" w:eastAsia="zh-CN"/>
        </w:rPr>
        <w:t>5</w:t>
      </w:r>
      <w:r>
        <w:rPr>
          <w:rFonts w:hint="eastAsia"/>
          <w:color w:val="auto"/>
          <w:sz w:val="24"/>
          <w:highlight w:val="none"/>
        </w:rPr>
        <w:t>年</w:t>
      </w:r>
      <w:r>
        <w:rPr>
          <w:rFonts w:hint="eastAsia"/>
          <w:color w:val="auto"/>
          <w:sz w:val="24"/>
          <w:highlight w:val="none"/>
          <w:lang w:val="en-US" w:eastAsia="zh-CN"/>
        </w:rPr>
        <w:t>9</w:t>
      </w:r>
      <w:r>
        <w:rPr>
          <w:rFonts w:hint="eastAsia"/>
          <w:color w:val="auto"/>
          <w:sz w:val="24"/>
          <w:highlight w:val="none"/>
        </w:rPr>
        <w:t>月</w:t>
      </w:r>
      <w:r>
        <w:rPr>
          <w:rFonts w:hint="eastAsia"/>
          <w:color w:val="auto"/>
          <w:sz w:val="24"/>
          <w:highlight w:val="none"/>
          <w:lang w:val="en-US" w:eastAsia="zh-CN"/>
        </w:rPr>
        <w:t>28</w:t>
      </w:r>
      <w:r>
        <w:rPr>
          <w:rFonts w:hint="eastAsia"/>
          <w:color w:val="auto"/>
          <w:sz w:val="24"/>
          <w:highlight w:val="none"/>
        </w:rPr>
        <w:t>日</w:t>
      </w:r>
      <w:r>
        <w:rPr>
          <w:color w:val="auto"/>
          <w:sz w:val="24"/>
          <w:highlight w:val="none"/>
        </w:rPr>
        <w:t>，</w:t>
      </w:r>
      <w:r>
        <w:rPr>
          <w:rFonts w:hint="eastAsia"/>
          <w:color w:val="auto"/>
          <w:sz w:val="24"/>
          <w:highlight w:val="none"/>
        </w:rPr>
        <w:t>在</w:t>
      </w:r>
      <w:r>
        <w:rPr>
          <w:rFonts w:hint="eastAsia"/>
          <w:color w:val="auto"/>
          <w:sz w:val="24"/>
          <w:highlight w:val="none"/>
          <w:lang w:val="en-US" w:eastAsia="zh-CN"/>
        </w:rPr>
        <w:t>江苏省苏州市</w:t>
      </w:r>
      <w:r>
        <w:rPr>
          <w:rFonts w:hint="eastAsia"/>
          <w:color w:val="auto"/>
          <w:sz w:val="24"/>
          <w:highlight w:val="none"/>
        </w:rPr>
        <w:t>召开</w:t>
      </w:r>
      <w:r>
        <w:rPr>
          <w:rFonts w:hint="eastAsia"/>
          <w:color w:val="auto"/>
          <w:sz w:val="24"/>
          <w:highlight w:val="none"/>
          <w:lang w:eastAsia="zh-CN"/>
        </w:rPr>
        <w:t>了</w:t>
      </w:r>
      <w:r>
        <w:rPr>
          <w:rFonts w:hint="eastAsia"/>
          <w:iCs/>
          <w:color w:val="auto"/>
          <w:sz w:val="24"/>
          <w:highlight w:val="none"/>
        </w:rPr>
        <w:t>行业标准</w:t>
      </w:r>
      <w:r>
        <w:rPr>
          <w:rFonts w:hint="eastAsia"/>
          <w:color w:val="auto"/>
          <w:sz w:val="24"/>
          <w:highlight w:val="none"/>
        </w:rPr>
        <w:t>《</w:t>
      </w:r>
      <w:r>
        <w:rPr>
          <w:rFonts w:hint="eastAsia"/>
          <w:color w:val="auto"/>
          <w:sz w:val="24"/>
          <w:highlight w:val="none"/>
          <w:lang w:val="en-US" w:eastAsia="zh-CN"/>
        </w:rPr>
        <w:t>水泥基渗透结晶型防水材料</w:t>
      </w:r>
      <w:r>
        <w:rPr>
          <w:rFonts w:hint="eastAsia"/>
          <w:color w:val="auto"/>
          <w:sz w:val="24"/>
          <w:highlight w:val="none"/>
        </w:rPr>
        <w:t>应用技术规范</w:t>
      </w:r>
      <w:r>
        <w:rPr>
          <w:rFonts w:hint="eastAsia"/>
          <w:iCs/>
          <w:color w:val="auto"/>
          <w:sz w:val="24"/>
          <w:highlight w:val="none"/>
        </w:rPr>
        <w:t>》第二次标准编制工作会议，来自中建材苏州防水院</w:t>
      </w:r>
      <w:r>
        <w:rPr>
          <w:rFonts w:hint="eastAsia"/>
          <w:iCs/>
          <w:color w:val="auto"/>
          <w:sz w:val="24"/>
          <w:highlight w:val="none"/>
          <w:lang w:val="en-US" w:eastAsia="zh-CN"/>
        </w:rPr>
        <w:t>有限公司</w:t>
      </w:r>
      <w:r>
        <w:rPr>
          <w:rFonts w:hint="eastAsia"/>
          <w:iCs/>
          <w:color w:val="auto"/>
          <w:sz w:val="24"/>
          <w:highlight w:val="none"/>
        </w:rPr>
        <w:t>、加拿大凯顿国际公司北京代表处、</w:t>
      </w:r>
      <w:r>
        <w:rPr>
          <w:rFonts w:hint="eastAsia" w:ascii="Times New Roman" w:hAnsi="Times New Roman" w:eastAsia="宋体" w:cs="Times New Roman"/>
          <w:iCs/>
          <w:color w:val="auto"/>
          <w:sz w:val="24"/>
          <w:highlight w:val="none"/>
        </w:rPr>
        <w:t>国检测试控股集团北京有限公司、佳固士新材料有限公司、北京城荣防水材料有限公司、湖南帅旗防水有限公司、盐城启明建材科技有限公司、浙江益生宜居新材料科技有限公司</w:t>
      </w:r>
      <w:r>
        <w:rPr>
          <w:rFonts w:hint="eastAsia"/>
          <w:iCs/>
          <w:color w:val="auto"/>
          <w:sz w:val="24"/>
          <w:highlight w:val="none"/>
        </w:rPr>
        <w:t>、上海伟星新型建材有限公司、</w:t>
      </w:r>
      <w:r>
        <w:rPr>
          <w:rFonts w:hint="eastAsia" w:ascii="Times New Roman" w:hAnsi="Times New Roman" w:eastAsia="宋体" w:cs="Times New Roman"/>
          <w:iCs/>
          <w:color w:val="auto"/>
          <w:sz w:val="24"/>
          <w:highlight w:val="none"/>
        </w:rPr>
        <w:t>辽宁九鼎宏泰</w:t>
      </w:r>
      <w:r>
        <w:rPr>
          <w:rFonts w:hint="eastAsia" w:cs="Times New Roman"/>
          <w:iCs/>
          <w:color w:val="auto"/>
          <w:sz w:val="24"/>
          <w:highlight w:val="none"/>
          <w:lang w:val="en-US" w:eastAsia="zh-CN"/>
        </w:rPr>
        <w:t>防水科技有限公司</w:t>
      </w:r>
      <w:r>
        <w:rPr>
          <w:rFonts w:hint="eastAsia" w:ascii="Times New Roman" w:hAnsi="Times New Roman" w:eastAsia="宋体" w:cs="Times New Roman"/>
          <w:iCs/>
          <w:color w:val="auto"/>
          <w:sz w:val="24"/>
          <w:highlight w:val="none"/>
        </w:rPr>
        <w:t>、北京可立特科技发展有限公司、抑渗特（上海）防水保温工程有限公司、北京思康博格科技发展有限公司、杭州左工建材有限公司</w:t>
      </w:r>
      <w:r>
        <w:rPr>
          <w:rFonts w:hint="eastAsia" w:cs="Times New Roman"/>
          <w:iCs/>
          <w:color w:val="auto"/>
          <w:sz w:val="24"/>
          <w:highlight w:val="none"/>
          <w:lang w:eastAsia="zh-CN"/>
        </w:rPr>
        <w:t>、紫荆花涂料（上海）有限公司、</w:t>
      </w:r>
      <w:r>
        <w:rPr>
          <w:rFonts w:hint="eastAsia" w:ascii="Times New Roman" w:hAnsi="Times New Roman" w:eastAsia="宋体" w:cs="Times New Roman"/>
          <w:iCs/>
          <w:color w:val="auto"/>
          <w:sz w:val="24"/>
          <w:highlight w:val="none"/>
        </w:rPr>
        <w:t>苏州万众建筑材料有限公司、南京晶磊兴建材有限公司</w:t>
      </w:r>
      <w:r>
        <w:rPr>
          <w:rFonts w:hint="eastAsia"/>
          <w:iCs/>
          <w:color w:val="auto"/>
          <w:sz w:val="24"/>
          <w:highlight w:val="none"/>
        </w:rPr>
        <w:t>等17家单位的20余名行业专家及代表出席会议。</w:t>
      </w:r>
      <w:r>
        <w:rPr>
          <w:rFonts w:hint="default" w:ascii="Times New Roman" w:hAnsi="Times New Roman" w:cs="Times New Roman"/>
          <w:color w:val="auto"/>
          <w:sz w:val="24"/>
          <w:lang w:val="en-US" w:eastAsia="zh-CN"/>
        </w:rPr>
        <w:t>会议由中建材苏州防水院院长助理、正高级工程师王玉峰主持</w:t>
      </w:r>
      <w:r>
        <w:rPr>
          <w:rFonts w:hint="eastAsia" w:cs="Times New Roman"/>
          <w:color w:val="auto"/>
          <w:sz w:val="24"/>
          <w:lang w:val="en-US" w:eastAsia="zh-CN"/>
        </w:rPr>
        <w:t>，并介绍了标准的前期编制进度</w:t>
      </w:r>
      <w:r>
        <w:rPr>
          <w:rFonts w:hint="default" w:ascii="Times New Roman" w:hAnsi="Times New Roman" w:cs="Times New Roman"/>
          <w:color w:val="auto"/>
          <w:sz w:val="24"/>
          <w:lang w:val="en-US" w:eastAsia="zh-CN"/>
        </w:rPr>
        <w:t>。中建材苏州防水院执行院长、教授级高工沈春林致欢迎词</w:t>
      </w:r>
      <w:r>
        <w:rPr>
          <w:rFonts w:hint="eastAsia" w:cs="Times New Roman"/>
          <w:color w:val="auto"/>
          <w:sz w:val="24"/>
          <w:lang w:val="en-US" w:eastAsia="zh-CN"/>
        </w:rPr>
        <w:t>，并围绕标准的编制背景、技术要点与推进策略作了重点阐述，并呼吁与会代表积极建言，共同推动水泥基渗透结晶型防水材料的规范化应用</w:t>
      </w:r>
      <w:r>
        <w:rPr>
          <w:rFonts w:hint="eastAsia" w:ascii="Times New Roman" w:hAnsi="Times New Roman" w:cs="Times New Roman"/>
          <w:color w:val="auto"/>
          <w:sz w:val="24"/>
          <w:lang w:val="en-US" w:eastAsia="zh-CN"/>
        </w:rPr>
        <w:t>。</w:t>
      </w:r>
    </w:p>
    <w:p w14:paraId="7AD2D187">
      <w:pPr>
        <w:shd w:val="clear" w:color="auto" w:fill="FFFFFF"/>
        <w:spacing w:line="360" w:lineRule="auto"/>
        <w:ind w:firstLine="480" w:firstLineChars="200"/>
        <w:rPr>
          <w:rFonts w:hint="eastAsia"/>
          <w:iCs/>
          <w:color w:val="auto"/>
          <w:sz w:val="24"/>
          <w:highlight w:val="none"/>
          <w:lang w:val="en-US" w:eastAsia="zh-CN"/>
        </w:rPr>
      </w:pPr>
      <w:r>
        <w:rPr>
          <w:iCs/>
          <w:color w:val="auto"/>
          <w:sz w:val="24"/>
          <w:highlight w:val="none"/>
        </w:rPr>
        <w:t>逐条讨论了</w:t>
      </w:r>
      <w:r>
        <w:rPr>
          <w:rFonts w:hint="eastAsia"/>
          <w:iCs/>
          <w:color w:val="auto"/>
          <w:sz w:val="24"/>
          <w:highlight w:val="none"/>
          <w:lang w:val="en-US" w:eastAsia="zh-CN"/>
        </w:rPr>
        <w:t>规范</w:t>
      </w:r>
      <w:r>
        <w:rPr>
          <w:iCs/>
          <w:color w:val="auto"/>
          <w:sz w:val="24"/>
          <w:highlight w:val="none"/>
        </w:rPr>
        <w:t>内容，并提出</w:t>
      </w:r>
      <w:r>
        <w:rPr>
          <w:rFonts w:hint="eastAsia"/>
          <w:iCs/>
          <w:color w:val="auto"/>
          <w:sz w:val="24"/>
          <w:highlight w:val="none"/>
        </w:rPr>
        <w:t>部分</w:t>
      </w:r>
      <w:r>
        <w:rPr>
          <w:iCs/>
          <w:color w:val="auto"/>
          <w:sz w:val="24"/>
          <w:highlight w:val="none"/>
        </w:rPr>
        <w:t>建议。</w:t>
      </w:r>
      <w:r>
        <w:rPr>
          <w:rFonts w:hint="eastAsia"/>
          <w:iCs/>
          <w:color w:val="auto"/>
          <w:sz w:val="24"/>
          <w:highlight w:val="none"/>
          <w:lang w:val="en-US" w:eastAsia="zh-CN"/>
        </w:rPr>
        <w:t>具体修改意见如下：</w:t>
      </w:r>
    </w:p>
    <w:p w14:paraId="33A14F24">
      <w:pPr>
        <w:shd w:val="clear" w:color="auto" w:fill="FFFFFF"/>
        <w:spacing w:line="360" w:lineRule="auto"/>
        <w:ind w:firstLine="480" w:firstLineChars="200"/>
        <w:rPr>
          <w:rFonts w:hint="default" w:ascii="Times New Roman" w:hAnsi="Times New Roman" w:eastAsia="宋体" w:cs="Times New Roman"/>
          <w:iCs/>
          <w:color w:val="auto"/>
          <w:sz w:val="24"/>
          <w:highlight w:val="none"/>
          <w:lang w:val="en-US" w:eastAsia="zh-CN"/>
        </w:rPr>
      </w:pPr>
      <w:r>
        <w:rPr>
          <w:rFonts w:hint="eastAsia" w:ascii="Times New Roman" w:hAnsi="Times New Roman" w:eastAsia="宋体" w:cs="Times New Roman"/>
          <w:iCs/>
          <w:color w:val="auto"/>
          <w:sz w:val="24"/>
          <w:highlight w:val="none"/>
          <w:lang w:val="en-US" w:eastAsia="zh-CN"/>
        </w:rPr>
        <w:t>1</w:t>
      </w:r>
      <w:r>
        <w:rPr>
          <w:rFonts w:hint="eastAsia" w:ascii="Times New Roman" w:hAnsi="Times New Roman" w:cs="Times New Roman"/>
          <w:iCs/>
          <w:color w:val="auto"/>
          <w:sz w:val="24"/>
          <w:highlight w:val="none"/>
          <w:lang w:val="en-US" w:eastAsia="zh-CN"/>
        </w:rPr>
        <w:t>）</w:t>
      </w:r>
      <w:r>
        <w:rPr>
          <w:rFonts w:hint="eastAsia" w:ascii="Times New Roman" w:hAnsi="Times New Roman" w:eastAsia="宋体" w:cs="Times New Roman"/>
          <w:iCs/>
          <w:color w:val="auto"/>
          <w:sz w:val="24"/>
          <w:highlight w:val="none"/>
          <w:lang w:val="en-US" w:eastAsia="zh-CN"/>
        </w:rPr>
        <w:t>封面标准名中“</w:t>
      </w:r>
      <w:r>
        <w:rPr>
          <w:rFonts w:hint="eastAsia" w:cs="Times New Roman"/>
          <w:iCs/>
          <w:color w:val="auto"/>
          <w:sz w:val="24"/>
          <w:highlight w:val="none"/>
          <w:lang w:val="en-US" w:eastAsia="zh-CN"/>
        </w:rPr>
        <w:t>水泥基渗透结晶型防水材料</w:t>
      </w:r>
      <w:r>
        <w:rPr>
          <w:rFonts w:hint="eastAsia" w:ascii="Times New Roman" w:hAnsi="Times New Roman" w:eastAsia="宋体" w:cs="Times New Roman"/>
          <w:iCs/>
          <w:color w:val="auto"/>
          <w:sz w:val="24"/>
          <w:highlight w:val="none"/>
          <w:lang w:val="en-US" w:eastAsia="zh-CN"/>
        </w:rPr>
        <w:t>”的英文翻译应与产品标准标准《</w:t>
      </w:r>
      <w:r>
        <w:rPr>
          <w:rFonts w:hint="eastAsia" w:cs="Times New Roman"/>
          <w:iCs/>
          <w:color w:val="auto"/>
          <w:sz w:val="24"/>
          <w:highlight w:val="none"/>
          <w:lang w:val="en-US" w:eastAsia="zh-CN"/>
        </w:rPr>
        <w:t>水泥基渗透结晶型防水材料</w:t>
      </w:r>
      <w:r>
        <w:rPr>
          <w:rFonts w:hint="eastAsia" w:ascii="Times New Roman" w:hAnsi="Times New Roman" w:eastAsia="宋体" w:cs="Times New Roman"/>
          <w:iCs/>
          <w:color w:val="auto"/>
          <w:sz w:val="24"/>
          <w:highlight w:val="none"/>
          <w:lang w:val="en-US" w:eastAsia="zh-CN"/>
        </w:rPr>
        <w:t>》</w:t>
      </w:r>
      <w:r>
        <w:rPr>
          <w:rFonts w:hint="eastAsia" w:cs="Times New Roman"/>
          <w:iCs/>
          <w:color w:val="auto"/>
          <w:sz w:val="24"/>
          <w:highlight w:val="none"/>
          <w:lang w:val="en-US" w:eastAsia="zh-CN"/>
        </w:rPr>
        <w:t>GB</w:t>
      </w:r>
      <w:r>
        <w:rPr>
          <w:rFonts w:hint="eastAsia" w:ascii="Times New Roman" w:hAnsi="Times New Roman" w:eastAsia="宋体" w:cs="Times New Roman"/>
          <w:iCs/>
          <w:color w:val="auto"/>
          <w:sz w:val="24"/>
          <w:highlight w:val="none"/>
          <w:lang w:val="en-US" w:eastAsia="zh-CN"/>
        </w:rPr>
        <w:t xml:space="preserve">/T </w:t>
      </w:r>
      <w:r>
        <w:rPr>
          <w:rFonts w:hint="eastAsia" w:cs="Times New Roman"/>
          <w:iCs/>
          <w:color w:val="auto"/>
          <w:sz w:val="24"/>
          <w:highlight w:val="none"/>
          <w:lang w:val="en-US" w:eastAsia="zh-CN"/>
        </w:rPr>
        <w:t>18445—2025</w:t>
      </w:r>
      <w:r>
        <w:rPr>
          <w:rFonts w:hint="eastAsia" w:ascii="Times New Roman" w:hAnsi="Times New Roman" w:eastAsia="宋体" w:cs="Times New Roman"/>
          <w:iCs/>
          <w:color w:val="auto"/>
          <w:sz w:val="24"/>
          <w:highlight w:val="none"/>
          <w:lang w:val="en-US" w:eastAsia="zh-CN"/>
        </w:rPr>
        <w:t>一致；</w:t>
      </w:r>
    </w:p>
    <w:p w14:paraId="5F08CAA1">
      <w:pPr>
        <w:shd w:val="clear" w:color="auto" w:fill="FFFFFF"/>
        <w:spacing w:line="360" w:lineRule="auto"/>
        <w:ind w:firstLine="480" w:firstLineChars="200"/>
        <w:rPr>
          <w:rFonts w:hint="eastAsia"/>
          <w:iCs/>
          <w:color w:val="auto"/>
          <w:sz w:val="24"/>
          <w:highlight w:val="none"/>
          <w:lang w:val="en-US" w:eastAsia="zh-CN"/>
        </w:rPr>
      </w:pPr>
      <w:r>
        <w:rPr>
          <w:rFonts w:hint="eastAsia"/>
          <w:iCs/>
          <w:color w:val="auto"/>
          <w:sz w:val="24"/>
          <w:highlight w:val="none"/>
          <w:lang w:val="en-US" w:eastAsia="zh-CN"/>
        </w:rPr>
        <w:t>2</w:t>
      </w:r>
      <w:r>
        <w:rPr>
          <w:rFonts w:hint="eastAsia" w:ascii="Times New Roman" w:hAnsi="Times New Roman" w:cs="Times New Roman"/>
          <w:iCs/>
          <w:color w:val="auto"/>
          <w:sz w:val="24"/>
          <w:highlight w:val="none"/>
          <w:lang w:val="en-US" w:eastAsia="zh-CN"/>
        </w:rPr>
        <w:t>）</w:t>
      </w:r>
      <w:r>
        <w:rPr>
          <w:rFonts w:hint="eastAsia"/>
          <w:iCs/>
          <w:color w:val="auto"/>
          <w:sz w:val="24"/>
          <w:highlight w:val="none"/>
          <w:lang w:val="en-US" w:eastAsia="zh-CN"/>
        </w:rPr>
        <w:t>1.0.2适用范围应明确说明适用于相关工程的设计、施工和质量验收环节；</w:t>
      </w:r>
    </w:p>
    <w:p w14:paraId="17395F93">
      <w:pPr>
        <w:shd w:val="clear" w:color="auto" w:fill="FFFFFF"/>
        <w:spacing w:line="360" w:lineRule="auto"/>
        <w:ind w:firstLine="480" w:firstLineChars="200"/>
        <w:rPr>
          <w:rFonts w:hint="eastAsia" w:ascii="Times New Roman" w:hAnsi="Times New Roman" w:eastAsia="宋体" w:cs="Times New Roman"/>
          <w:iCs/>
          <w:color w:val="auto"/>
          <w:sz w:val="24"/>
          <w:highlight w:val="none"/>
          <w:lang w:val="en-US" w:eastAsia="zh-CN"/>
        </w:rPr>
      </w:pPr>
      <w:r>
        <w:rPr>
          <w:rFonts w:hint="eastAsia"/>
          <w:iCs/>
          <w:color w:val="auto"/>
          <w:sz w:val="24"/>
          <w:highlight w:val="none"/>
          <w:lang w:val="en-US" w:eastAsia="zh-CN"/>
        </w:rPr>
        <w:t>3</w:t>
      </w:r>
      <w:r>
        <w:rPr>
          <w:rFonts w:hint="eastAsia" w:ascii="Times New Roman" w:hAnsi="Times New Roman" w:cs="Times New Roman"/>
          <w:iCs/>
          <w:color w:val="auto"/>
          <w:sz w:val="24"/>
          <w:highlight w:val="none"/>
          <w:lang w:val="en-US" w:eastAsia="zh-CN"/>
        </w:rPr>
        <w:t>）</w:t>
      </w:r>
      <w:r>
        <w:rPr>
          <w:rFonts w:hint="eastAsia"/>
          <w:iCs/>
          <w:color w:val="auto"/>
          <w:sz w:val="24"/>
          <w:highlight w:val="none"/>
          <w:lang w:val="en-US" w:eastAsia="zh-CN"/>
        </w:rPr>
        <w:t>2.0.1</w:t>
      </w:r>
      <w:r>
        <w:rPr>
          <w:rFonts w:hint="eastAsia" w:cs="Times New Roman"/>
          <w:iCs/>
          <w:color w:val="auto"/>
          <w:sz w:val="24"/>
          <w:highlight w:val="none"/>
          <w:lang w:val="en-US" w:eastAsia="zh-CN"/>
        </w:rPr>
        <w:t>水泥基渗透结晶型防水材料</w:t>
      </w:r>
      <w:r>
        <w:rPr>
          <w:rFonts w:hint="eastAsia"/>
          <w:iCs/>
          <w:color w:val="auto"/>
          <w:sz w:val="24"/>
          <w:highlight w:val="none"/>
          <w:lang w:val="en-US" w:eastAsia="zh-CN"/>
        </w:rPr>
        <w:t>的定义，应与</w:t>
      </w:r>
      <w:r>
        <w:rPr>
          <w:rFonts w:hint="eastAsia" w:ascii="Times New Roman" w:hAnsi="Times New Roman" w:eastAsia="宋体" w:cs="Times New Roman"/>
          <w:iCs/>
          <w:color w:val="auto"/>
          <w:sz w:val="24"/>
          <w:highlight w:val="none"/>
          <w:lang w:val="en-US" w:eastAsia="zh-CN"/>
        </w:rPr>
        <w:t>产品标准标准《</w:t>
      </w:r>
      <w:r>
        <w:rPr>
          <w:rFonts w:hint="eastAsia" w:cs="Times New Roman"/>
          <w:iCs/>
          <w:color w:val="auto"/>
          <w:sz w:val="24"/>
          <w:highlight w:val="none"/>
          <w:lang w:val="en-US" w:eastAsia="zh-CN"/>
        </w:rPr>
        <w:t>水泥基渗透结晶型防水材料</w:t>
      </w:r>
      <w:r>
        <w:rPr>
          <w:rFonts w:hint="eastAsia" w:ascii="Times New Roman" w:hAnsi="Times New Roman" w:eastAsia="宋体" w:cs="Times New Roman"/>
          <w:iCs/>
          <w:color w:val="auto"/>
          <w:sz w:val="24"/>
          <w:highlight w:val="none"/>
          <w:lang w:val="en-US" w:eastAsia="zh-CN"/>
        </w:rPr>
        <w:t>》</w:t>
      </w:r>
      <w:r>
        <w:rPr>
          <w:rFonts w:hint="eastAsia" w:cs="Times New Roman"/>
          <w:iCs/>
          <w:color w:val="auto"/>
          <w:sz w:val="24"/>
          <w:highlight w:val="none"/>
          <w:lang w:val="en-US" w:eastAsia="zh-CN"/>
        </w:rPr>
        <w:t>GB</w:t>
      </w:r>
      <w:r>
        <w:rPr>
          <w:rFonts w:hint="eastAsia" w:ascii="Times New Roman" w:hAnsi="Times New Roman" w:eastAsia="宋体" w:cs="Times New Roman"/>
          <w:iCs/>
          <w:color w:val="auto"/>
          <w:sz w:val="24"/>
          <w:highlight w:val="none"/>
          <w:lang w:val="en-US" w:eastAsia="zh-CN"/>
        </w:rPr>
        <w:t xml:space="preserve">/T </w:t>
      </w:r>
      <w:r>
        <w:rPr>
          <w:rFonts w:hint="eastAsia" w:cs="Times New Roman"/>
          <w:iCs/>
          <w:color w:val="auto"/>
          <w:sz w:val="24"/>
          <w:highlight w:val="none"/>
          <w:lang w:val="en-US" w:eastAsia="zh-CN"/>
        </w:rPr>
        <w:t>18445—2025</w:t>
      </w:r>
      <w:r>
        <w:rPr>
          <w:rFonts w:hint="eastAsia" w:ascii="Times New Roman" w:hAnsi="Times New Roman" w:eastAsia="宋体" w:cs="Times New Roman"/>
          <w:iCs/>
          <w:color w:val="auto"/>
          <w:sz w:val="24"/>
          <w:highlight w:val="none"/>
          <w:lang w:val="en-US" w:eastAsia="zh-CN"/>
        </w:rPr>
        <w:t>一致，增加</w:t>
      </w:r>
      <w:r>
        <w:rPr>
          <w:rFonts w:hint="eastAsia" w:cs="Times New Roman"/>
          <w:iCs/>
          <w:color w:val="auto"/>
          <w:sz w:val="24"/>
          <w:highlight w:val="none"/>
          <w:lang w:val="en-US" w:eastAsia="zh-CN"/>
        </w:rPr>
        <w:t>简称“CCCW”</w:t>
      </w:r>
      <w:r>
        <w:rPr>
          <w:rFonts w:hint="eastAsia" w:ascii="Times New Roman" w:hAnsi="Times New Roman" w:eastAsia="宋体" w:cs="Times New Roman"/>
          <w:iCs/>
          <w:color w:val="auto"/>
          <w:sz w:val="24"/>
          <w:highlight w:val="none"/>
          <w:lang w:val="en-US" w:eastAsia="zh-CN"/>
        </w:rPr>
        <w:t>；</w:t>
      </w:r>
    </w:p>
    <w:p w14:paraId="0935D28A">
      <w:pPr>
        <w:numPr>
          <w:ilvl w:val="0"/>
          <w:numId w:val="0"/>
        </w:numPr>
        <w:shd w:val="clear" w:color="auto" w:fill="FFFFFF"/>
        <w:spacing w:line="360" w:lineRule="auto"/>
        <w:ind w:firstLine="480" w:firstLineChars="200"/>
        <w:rPr>
          <w:rFonts w:hint="default" w:ascii="Times New Roman" w:hAnsi="Times New Roman" w:eastAsia="宋体" w:cs="Times New Roman"/>
          <w:iCs/>
          <w:color w:val="auto"/>
          <w:sz w:val="24"/>
          <w:highlight w:val="none"/>
          <w:lang w:val="en-US" w:eastAsia="zh-CN"/>
        </w:rPr>
      </w:pPr>
      <w:r>
        <w:rPr>
          <w:rFonts w:hint="default" w:ascii="Times New Roman" w:hAnsi="Times New Roman" w:eastAsia="宋体" w:cs="Times New Roman"/>
          <w:iCs/>
          <w:color w:val="auto"/>
          <w:kern w:val="2"/>
          <w:sz w:val="24"/>
          <w:szCs w:val="24"/>
          <w:lang w:val="en-US" w:eastAsia="zh-CN" w:bidi="ar-SA"/>
        </w:rPr>
        <w:t>4</w:t>
      </w:r>
      <w:r>
        <w:rPr>
          <w:rFonts w:hint="eastAsia" w:ascii="Times New Roman" w:hAnsi="Times New Roman" w:cs="Times New Roman"/>
          <w:iCs/>
          <w:color w:val="auto"/>
          <w:sz w:val="24"/>
          <w:highlight w:val="none"/>
          <w:lang w:val="en-US" w:eastAsia="zh-CN"/>
        </w:rPr>
        <w:t>）</w:t>
      </w:r>
      <w:r>
        <w:rPr>
          <w:rFonts w:hint="eastAsia" w:ascii="Times New Roman" w:hAnsi="Times New Roman" w:eastAsia="宋体" w:cs="Times New Roman"/>
          <w:iCs/>
          <w:color w:val="auto"/>
          <w:sz w:val="24"/>
          <w:highlight w:val="none"/>
          <w:lang w:val="en-US" w:eastAsia="zh-CN"/>
        </w:rPr>
        <w:t>术语中增加2.0.5对防水细石混凝土的定义；</w:t>
      </w:r>
    </w:p>
    <w:p w14:paraId="71353E7F">
      <w:pPr>
        <w:numPr>
          <w:ilvl w:val="0"/>
          <w:numId w:val="0"/>
        </w:numPr>
        <w:shd w:val="clear" w:color="auto" w:fill="FFFFFF"/>
        <w:spacing w:line="360" w:lineRule="auto"/>
        <w:ind w:firstLine="480" w:firstLineChars="200"/>
        <w:rPr>
          <w:rFonts w:hint="eastAsia" w:cs="Times New Roman"/>
          <w:iCs/>
          <w:color w:val="auto"/>
          <w:sz w:val="24"/>
          <w:highlight w:val="none"/>
          <w:lang w:val="en-US" w:eastAsia="zh-CN"/>
        </w:rPr>
      </w:pPr>
      <w:r>
        <w:rPr>
          <w:rFonts w:hint="default" w:ascii="Times New Roman" w:hAnsi="Times New Roman" w:eastAsia="宋体" w:cs="Times New Roman"/>
          <w:iCs/>
          <w:color w:val="auto"/>
          <w:kern w:val="2"/>
          <w:sz w:val="24"/>
          <w:szCs w:val="24"/>
          <w:lang w:val="en-US" w:eastAsia="zh-CN" w:bidi="ar-SA"/>
        </w:rPr>
        <w:t>5</w:t>
      </w:r>
      <w:r>
        <w:rPr>
          <w:rFonts w:hint="eastAsia" w:ascii="Times New Roman" w:hAnsi="Times New Roman" w:cs="Times New Roman"/>
          <w:iCs/>
          <w:color w:val="auto"/>
          <w:sz w:val="24"/>
          <w:highlight w:val="none"/>
          <w:lang w:val="en-US" w:eastAsia="zh-CN"/>
        </w:rPr>
        <w:t>）</w:t>
      </w:r>
      <w:r>
        <w:rPr>
          <w:rFonts w:hint="eastAsia" w:cs="Times New Roman"/>
          <w:iCs/>
          <w:color w:val="auto"/>
          <w:sz w:val="24"/>
          <w:highlight w:val="none"/>
          <w:lang w:val="en-US" w:eastAsia="zh-CN"/>
        </w:rPr>
        <w:t>5.1节中增加一条，用于说明防水混凝土中内掺水泥基渗透结晶型防水剂，可作为新设的一道防水设防措施；</w:t>
      </w:r>
    </w:p>
    <w:p w14:paraId="6F8B81CB">
      <w:pPr>
        <w:numPr>
          <w:ilvl w:val="0"/>
          <w:numId w:val="0"/>
        </w:numPr>
        <w:shd w:val="clear" w:color="auto" w:fill="FFFFFF"/>
        <w:spacing w:line="360" w:lineRule="auto"/>
        <w:ind w:firstLine="480" w:firstLineChars="200"/>
        <w:rPr>
          <w:rFonts w:hint="eastAsia" w:cs="Times New Roman"/>
          <w:iCs/>
          <w:color w:val="auto"/>
          <w:sz w:val="24"/>
          <w:highlight w:val="none"/>
          <w:lang w:val="en-US" w:eastAsia="zh-CN"/>
        </w:rPr>
      </w:pPr>
      <w:r>
        <w:rPr>
          <w:rFonts w:hint="default" w:ascii="Times New Roman" w:hAnsi="Times New Roman" w:eastAsia="宋体" w:cs="Times New Roman"/>
          <w:iCs/>
          <w:color w:val="auto"/>
          <w:kern w:val="2"/>
          <w:sz w:val="24"/>
          <w:szCs w:val="24"/>
          <w:lang w:val="en-US" w:eastAsia="zh-CN" w:bidi="ar-SA"/>
        </w:rPr>
        <w:t>6</w:t>
      </w:r>
      <w:r>
        <w:rPr>
          <w:rFonts w:hint="eastAsia" w:ascii="Times New Roman" w:hAnsi="Times New Roman" w:cs="Times New Roman"/>
          <w:iCs/>
          <w:color w:val="auto"/>
          <w:sz w:val="24"/>
          <w:highlight w:val="none"/>
          <w:lang w:val="en-US" w:eastAsia="zh-CN"/>
        </w:rPr>
        <w:t>）</w:t>
      </w:r>
      <w:r>
        <w:rPr>
          <w:rFonts w:hint="eastAsia" w:cs="Times New Roman"/>
          <w:iCs/>
          <w:color w:val="auto"/>
          <w:sz w:val="24"/>
          <w:highlight w:val="none"/>
          <w:lang w:val="en-US" w:eastAsia="zh-CN"/>
        </w:rPr>
        <w:t>5.1.4条改为：采用水泥基渗透结晶型材料的防水工程防水系统应形成连续、闭合的防水构造，细部应采用多道复合防水加强措施；</w:t>
      </w:r>
    </w:p>
    <w:p w14:paraId="39AE52E2">
      <w:pPr>
        <w:numPr>
          <w:ilvl w:val="0"/>
          <w:numId w:val="0"/>
        </w:numPr>
        <w:shd w:val="clear" w:color="auto" w:fill="FFFFFF"/>
        <w:spacing w:line="360" w:lineRule="auto"/>
        <w:ind w:firstLine="480" w:firstLineChars="200"/>
        <w:rPr>
          <w:rFonts w:hint="default" w:cs="Times New Roman"/>
          <w:iCs/>
          <w:color w:val="auto"/>
          <w:sz w:val="24"/>
          <w:highlight w:val="none"/>
          <w:lang w:val="en-US" w:eastAsia="zh-CN"/>
        </w:rPr>
      </w:pPr>
      <w:r>
        <w:rPr>
          <w:rFonts w:hint="default" w:ascii="Times New Roman" w:hAnsi="Times New Roman" w:eastAsia="宋体" w:cs="Times New Roman"/>
          <w:iCs/>
          <w:color w:val="auto"/>
          <w:kern w:val="2"/>
          <w:sz w:val="24"/>
          <w:szCs w:val="24"/>
          <w:lang w:val="en-US" w:eastAsia="zh-CN" w:bidi="ar-SA"/>
        </w:rPr>
        <w:t>7</w:t>
      </w:r>
      <w:r>
        <w:rPr>
          <w:rFonts w:hint="eastAsia" w:ascii="Times New Roman" w:hAnsi="Times New Roman" w:cs="Times New Roman"/>
          <w:iCs/>
          <w:color w:val="auto"/>
          <w:sz w:val="24"/>
          <w:highlight w:val="none"/>
          <w:lang w:val="en-US" w:eastAsia="zh-CN"/>
        </w:rPr>
        <w:t>）</w:t>
      </w:r>
      <w:r>
        <w:rPr>
          <w:rFonts w:hint="eastAsia" w:ascii="Times New Roman" w:hAnsi="Times New Roman" w:eastAsia="宋体" w:cs="Times New Roman"/>
          <w:iCs/>
          <w:color w:val="auto"/>
          <w:sz w:val="24"/>
          <w:highlight w:val="none"/>
          <w:lang w:val="en-US" w:eastAsia="zh-CN"/>
        </w:rPr>
        <w:t>表</w:t>
      </w:r>
      <w:r>
        <w:rPr>
          <w:rFonts w:hint="eastAsia" w:cs="Times New Roman"/>
          <w:iCs/>
          <w:color w:val="auto"/>
          <w:sz w:val="24"/>
          <w:highlight w:val="none"/>
          <w:lang w:val="en-US" w:eastAsia="zh-CN"/>
        </w:rPr>
        <w:t>5.2.1、表5.3.1、表5.4.1、表5.5.1中增加所选用防水材料的厚度及用量；</w:t>
      </w:r>
    </w:p>
    <w:p w14:paraId="7BC28E62">
      <w:pPr>
        <w:numPr>
          <w:ilvl w:val="0"/>
          <w:numId w:val="0"/>
        </w:numPr>
        <w:shd w:val="clear" w:color="auto" w:fill="FFFFFF"/>
        <w:spacing w:line="360" w:lineRule="auto"/>
        <w:ind w:firstLine="480" w:firstLineChars="200"/>
        <w:rPr>
          <w:rFonts w:hint="default" w:ascii="Times New Roman" w:hAnsi="Times New Roman" w:eastAsia="宋体" w:cs="Times New Roman"/>
          <w:iCs/>
          <w:color w:val="auto"/>
          <w:sz w:val="24"/>
          <w:highlight w:val="none"/>
          <w:lang w:val="en-US" w:eastAsia="zh-CN"/>
        </w:rPr>
      </w:pPr>
      <w:r>
        <w:rPr>
          <w:rFonts w:hint="default" w:ascii="Times New Roman" w:hAnsi="Times New Roman" w:eastAsia="宋体" w:cs="Times New Roman"/>
          <w:iCs/>
          <w:color w:val="auto"/>
          <w:kern w:val="2"/>
          <w:sz w:val="24"/>
          <w:szCs w:val="24"/>
          <w:lang w:val="en-US" w:eastAsia="zh-CN" w:bidi="ar-SA"/>
        </w:rPr>
        <w:t>8</w:t>
      </w:r>
      <w:r>
        <w:rPr>
          <w:rFonts w:hint="eastAsia" w:ascii="Times New Roman" w:hAnsi="Times New Roman" w:cs="Times New Roman"/>
          <w:iCs/>
          <w:color w:val="auto"/>
          <w:sz w:val="24"/>
          <w:highlight w:val="none"/>
          <w:lang w:val="en-US" w:eastAsia="zh-CN"/>
        </w:rPr>
        <w:t>）</w:t>
      </w:r>
      <w:r>
        <w:rPr>
          <w:rFonts w:hint="eastAsia" w:ascii="Times New Roman" w:hAnsi="Times New Roman" w:eastAsia="宋体" w:cs="Times New Roman"/>
          <w:iCs/>
          <w:color w:val="auto"/>
          <w:sz w:val="24"/>
          <w:highlight w:val="none"/>
          <w:lang w:val="en-US" w:eastAsia="zh-CN"/>
        </w:rPr>
        <w:t>表</w:t>
      </w:r>
      <w:r>
        <w:rPr>
          <w:rFonts w:hint="eastAsia" w:cs="Times New Roman"/>
          <w:iCs/>
          <w:color w:val="auto"/>
          <w:sz w:val="24"/>
          <w:highlight w:val="none"/>
          <w:lang w:val="en-US" w:eastAsia="zh-CN"/>
        </w:rPr>
        <w:t>5.2.1“侧墙8”和“侧墙9”中的“预铺防水卷材”建议扩大范围，改为“防水卷材”；</w:t>
      </w:r>
    </w:p>
    <w:p w14:paraId="0605CC7A">
      <w:pPr>
        <w:numPr>
          <w:ilvl w:val="0"/>
          <w:numId w:val="0"/>
        </w:numPr>
        <w:shd w:val="clear" w:color="auto" w:fill="FFFFFF"/>
        <w:spacing w:line="360" w:lineRule="auto"/>
        <w:ind w:firstLine="480" w:firstLineChars="200"/>
        <w:rPr>
          <w:rFonts w:hint="eastAsia" w:cs="Times New Roman"/>
          <w:iCs/>
          <w:color w:val="auto"/>
          <w:sz w:val="24"/>
          <w:highlight w:val="none"/>
          <w:lang w:val="en-US" w:eastAsia="zh-CN"/>
        </w:rPr>
      </w:pPr>
      <w:r>
        <w:rPr>
          <w:rFonts w:hint="default" w:ascii="Times New Roman" w:hAnsi="Times New Roman" w:eastAsia="宋体" w:cs="Times New Roman"/>
          <w:iCs/>
          <w:color w:val="auto"/>
          <w:kern w:val="2"/>
          <w:sz w:val="24"/>
          <w:szCs w:val="24"/>
          <w:lang w:val="en-US" w:eastAsia="zh-CN" w:bidi="ar-SA"/>
        </w:rPr>
        <w:t>9</w:t>
      </w:r>
      <w:r>
        <w:rPr>
          <w:rFonts w:hint="eastAsia" w:ascii="Times New Roman" w:hAnsi="Times New Roman" w:cs="Times New Roman"/>
          <w:iCs/>
          <w:color w:val="auto"/>
          <w:sz w:val="24"/>
          <w:highlight w:val="none"/>
          <w:lang w:val="en-US" w:eastAsia="zh-CN"/>
        </w:rPr>
        <w:t>）</w:t>
      </w:r>
      <w:r>
        <w:rPr>
          <w:rFonts w:hint="eastAsia" w:cs="Times New Roman"/>
          <w:iCs/>
          <w:color w:val="auto"/>
          <w:sz w:val="24"/>
          <w:highlight w:val="none"/>
          <w:lang w:val="en-US" w:eastAsia="zh-CN"/>
        </w:rPr>
        <w:t>8.1节增加“水泥基渗透结晶型防水剂掺加过程应留存现场影像资料，并检查掺加记录表、混凝土运输单”的要求。</w:t>
      </w:r>
    </w:p>
    <w:p w14:paraId="4234A391">
      <w:pPr>
        <w:shd w:val="clear" w:color="auto" w:fill="FFFFFF"/>
        <w:spacing w:line="360" w:lineRule="auto"/>
        <w:ind w:firstLine="480" w:firstLineChars="200"/>
        <w:rPr>
          <w:iCs/>
          <w:color w:val="auto"/>
          <w:sz w:val="24"/>
          <w:highlight w:val="none"/>
        </w:rPr>
      </w:pPr>
      <w:r>
        <w:rPr>
          <w:rFonts w:hint="eastAsia"/>
          <w:iCs/>
          <w:color w:val="auto"/>
          <w:sz w:val="24"/>
          <w:highlight w:val="none"/>
        </w:rPr>
        <w:t>会后</w:t>
      </w:r>
      <w:r>
        <w:rPr>
          <w:iCs/>
          <w:color w:val="auto"/>
          <w:sz w:val="24"/>
          <w:highlight w:val="none"/>
        </w:rPr>
        <w:t>编制组</w:t>
      </w:r>
      <w:r>
        <w:rPr>
          <w:rFonts w:hint="eastAsia"/>
          <w:iCs/>
          <w:color w:val="auto"/>
          <w:sz w:val="24"/>
          <w:highlight w:val="none"/>
        </w:rPr>
        <w:t>根据</w:t>
      </w:r>
      <w:r>
        <w:rPr>
          <w:iCs/>
          <w:color w:val="auto"/>
          <w:sz w:val="24"/>
          <w:highlight w:val="none"/>
        </w:rPr>
        <w:t>意见完善</w:t>
      </w:r>
      <w:r>
        <w:rPr>
          <w:rFonts w:hint="eastAsia"/>
          <w:iCs/>
          <w:color w:val="auto"/>
          <w:sz w:val="24"/>
          <w:highlight w:val="none"/>
        </w:rPr>
        <w:t>标准</w:t>
      </w:r>
      <w:r>
        <w:rPr>
          <w:iCs/>
          <w:color w:val="auto"/>
          <w:sz w:val="24"/>
          <w:highlight w:val="none"/>
        </w:rPr>
        <w:t>文本，形成征求意见稿。</w:t>
      </w:r>
    </w:p>
    <w:tbl>
      <w:tblPr>
        <w:tblStyle w:val="1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59AA13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52" w:hRule="atLeast"/>
        </w:trPr>
        <w:tc>
          <w:tcPr>
            <w:tcW w:w="2958" w:type="pct"/>
          </w:tcPr>
          <w:p w14:paraId="2DD5FFD9">
            <w:pPr>
              <w:spacing w:line="360" w:lineRule="auto"/>
              <w:jc w:val="both"/>
              <w:rPr>
                <w:rFonts w:hint="eastAsia" w:eastAsia="宋体"/>
                <w:iCs/>
                <w:color w:val="auto"/>
                <w:sz w:val="24"/>
                <w:highlight w:val="none"/>
                <w:vertAlign w:val="baseline"/>
                <w:lang w:eastAsia="zh-CN"/>
              </w:rPr>
            </w:pPr>
            <w:r>
              <w:drawing>
                <wp:anchor distT="0" distB="0" distL="114300" distR="114300" simplePos="0" relativeHeight="251660288" behindDoc="1" locked="0" layoutInCell="1" allowOverlap="1">
                  <wp:simplePos x="0" y="0"/>
                  <wp:positionH relativeFrom="column">
                    <wp:posOffset>-22225</wp:posOffset>
                  </wp:positionH>
                  <wp:positionV relativeFrom="paragraph">
                    <wp:posOffset>78740</wp:posOffset>
                  </wp:positionV>
                  <wp:extent cx="3060065" cy="1619885"/>
                  <wp:effectExtent l="0" t="0" r="0" b="5715"/>
                  <wp:wrapTight wrapText="bothSides">
                    <wp:wrapPolygon>
                      <wp:start x="0" y="0"/>
                      <wp:lineTo x="0" y="21507"/>
                      <wp:lineTo x="21515" y="21507"/>
                      <wp:lineTo x="21515" y="0"/>
                      <wp:lineTo x="0" y="0"/>
                    </wp:wrapPolygon>
                  </wp:wrapTight>
                  <wp:docPr id="12" name="图片 2"/>
                  <wp:cNvGraphicFramePr/>
                  <a:graphic xmlns:a="http://schemas.openxmlformats.org/drawingml/2006/main">
                    <a:graphicData uri="http://schemas.openxmlformats.org/drawingml/2006/picture">
                      <pic:pic xmlns:pic="http://schemas.openxmlformats.org/drawingml/2006/picture">
                        <pic:nvPicPr>
                          <pic:cNvPr id="12" name="图片 2"/>
                          <pic:cNvPicPr/>
                        </pic:nvPicPr>
                        <pic:blipFill>
                          <a:blip r:embed="rId11"/>
                          <a:stretch>
                            <a:fillRect/>
                          </a:stretch>
                        </pic:blipFill>
                        <pic:spPr>
                          <a:xfrm>
                            <a:off x="0" y="0"/>
                            <a:ext cx="3060065" cy="1619885"/>
                          </a:xfrm>
                          <a:prstGeom prst="rect">
                            <a:avLst/>
                          </a:prstGeom>
                          <a:noFill/>
                          <a:ln>
                            <a:noFill/>
                          </a:ln>
                        </pic:spPr>
                      </pic:pic>
                    </a:graphicData>
                  </a:graphic>
                </wp:anchor>
              </w:drawing>
            </w:r>
          </w:p>
        </w:tc>
        <w:tc>
          <w:tcPr>
            <w:tcW w:w="2041" w:type="pct"/>
          </w:tcPr>
          <w:p w14:paraId="7C5C0DFD">
            <w:pPr>
              <w:spacing w:line="360" w:lineRule="auto"/>
              <w:jc w:val="both"/>
              <w:rPr>
                <w:rFonts w:hint="eastAsia" w:eastAsia="宋体"/>
                <w:iCs/>
                <w:color w:val="auto"/>
                <w:sz w:val="24"/>
                <w:highlight w:val="none"/>
                <w:vertAlign w:val="baseline"/>
                <w:lang w:eastAsia="zh-CN"/>
              </w:rPr>
            </w:pPr>
            <w:r>
              <w:drawing>
                <wp:anchor distT="0" distB="0" distL="114300" distR="114300" simplePos="0" relativeHeight="251661312" behindDoc="1" locked="0" layoutInCell="1" allowOverlap="1">
                  <wp:simplePos x="0" y="0"/>
                  <wp:positionH relativeFrom="column">
                    <wp:posOffset>-401955</wp:posOffset>
                  </wp:positionH>
                  <wp:positionV relativeFrom="paragraph">
                    <wp:posOffset>78740</wp:posOffset>
                  </wp:positionV>
                  <wp:extent cx="3060065" cy="1619885"/>
                  <wp:effectExtent l="0" t="0" r="0" b="5715"/>
                  <wp:wrapTight wrapText="bothSides">
                    <wp:wrapPolygon>
                      <wp:start x="0" y="0"/>
                      <wp:lineTo x="0" y="21507"/>
                      <wp:lineTo x="21515" y="21507"/>
                      <wp:lineTo x="21515" y="0"/>
                      <wp:lineTo x="0" y="0"/>
                    </wp:wrapPolygon>
                  </wp:wrapTight>
                  <wp:docPr id="13" name="图片 3"/>
                  <wp:cNvGraphicFramePr/>
                  <a:graphic xmlns:a="http://schemas.openxmlformats.org/drawingml/2006/main">
                    <a:graphicData uri="http://schemas.openxmlformats.org/drawingml/2006/picture">
                      <pic:pic xmlns:pic="http://schemas.openxmlformats.org/drawingml/2006/picture">
                        <pic:nvPicPr>
                          <pic:cNvPr id="13" name="图片 3"/>
                          <pic:cNvPicPr/>
                        </pic:nvPicPr>
                        <pic:blipFill>
                          <a:blip r:embed="rId12"/>
                          <a:stretch>
                            <a:fillRect/>
                          </a:stretch>
                        </pic:blipFill>
                        <pic:spPr>
                          <a:xfrm>
                            <a:off x="0" y="0"/>
                            <a:ext cx="3060065" cy="1619885"/>
                          </a:xfrm>
                          <a:prstGeom prst="rect">
                            <a:avLst/>
                          </a:prstGeom>
                          <a:noFill/>
                          <a:ln>
                            <a:noFill/>
                          </a:ln>
                        </pic:spPr>
                      </pic:pic>
                    </a:graphicData>
                  </a:graphic>
                </wp:anchor>
              </w:drawing>
            </w:r>
          </w:p>
        </w:tc>
      </w:tr>
      <w:tr w14:paraId="2492D7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58" w:type="pct"/>
          </w:tcPr>
          <w:p w14:paraId="1B1FFC98">
            <w:pPr>
              <w:spacing w:line="360" w:lineRule="auto"/>
              <w:jc w:val="center"/>
              <w:rPr>
                <w:rFonts w:hint="eastAsia" w:eastAsia="宋体"/>
                <w:iCs/>
                <w:color w:val="auto"/>
                <w:sz w:val="24"/>
                <w:highlight w:val="none"/>
                <w:vertAlign w:val="baseline"/>
                <w:lang w:eastAsia="zh-CN"/>
              </w:rPr>
            </w:pPr>
            <w:r>
              <w:drawing>
                <wp:inline distT="0" distB="0" distL="114300" distR="114300">
                  <wp:extent cx="3060065" cy="1619885"/>
                  <wp:effectExtent l="0" t="0" r="635" b="5715"/>
                  <wp:docPr id="14" name="图片 4"/>
                  <wp:cNvGraphicFramePr/>
                  <a:graphic xmlns:a="http://schemas.openxmlformats.org/drawingml/2006/main">
                    <a:graphicData uri="http://schemas.openxmlformats.org/drawingml/2006/picture">
                      <pic:pic xmlns:pic="http://schemas.openxmlformats.org/drawingml/2006/picture">
                        <pic:nvPicPr>
                          <pic:cNvPr id="14" name="图片 4"/>
                          <pic:cNvPicPr/>
                        </pic:nvPicPr>
                        <pic:blipFill>
                          <a:blip r:embed="rId13"/>
                          <a:stretch>
                            <a:fillRect/>
                          </a:stretch>
                        </pic:blipFill>
                        <pic:spPr>
                          <a:xfrm>
                            <a:off x="0" y="0"/>
                            <a:ext cx="3060065" cy="1619885"/>
                          </a:xfrm>
                          <a:prstGeom prst="rect">
                            <a:avLst/>
                          </a:prstGeom>
                          <a:noFill/>
                          <a:ln>
                            <a:noFill/>
                          </a:ln>
                        </pic:spPr>
                      </pic:pic>
                    </a:graphicData>
                  </a:graphic>
                </wp:inline>
              </w:drawing>
            </w:r>
          </w:p>
        </w:tc>
        <w:tc>
          <w:tcPr>
            <w:tcW w:w="2041" w:type="pct"/>
          </w:tcPr>
          <w:p w14:paraId="1C0983CE">
            <w:pPr>
              <w:spacing w:line="360" w:lineRule="auto"/>
              <w:jc w:val="center"/>
              <w:rPr>
                <w:rFonts w:hint="eastAsia" w:eastAsia="宋体"/>
                <w:iCs/>
                <w:color w:val="auto"/>
                <w:sz w:val="24"/>
                <w:highlight w:val="none"/>
                <w:vertAlign w:val="baseline"/>
                <w:lang w:eastAsia="zh-CN"/>
              </w:rPr>
            </w:pPr>
            <w:r>
              <w:drawing>
                <wp:inline distT="0" distB="0" distL="114300" distR="114300">
                  <wp:extent cx="3060065" cy="1619885"/>
                  <wp:effectExtent l="0" t="0" r="635" b="5715"/>
                  <wp:docPr id="15" name="图片 5"/>
                  <wp:cNvGraphicFramePr/>
                  <a:graphic xmlns:a="http://schemas.openxmlformats.org/drawingml/2006/main">
                    <a:graphicData uri="http://schemas.openxmlformats.org/drawingml/2006/picture">
                      <pic:pic xmlns:pic="http://schemas.openxmlformats.org/drawingml/2006/picture">
                        <pic:nvPicPr>
                          <pic:cNvPr id="15" name="图片 5"/>
                          <pic:cNvPicPr/>
                        </pic:nvPicPr>
                        <pic:blipFill>
                          <a:blip r:embed="rId14"/>
                          <a:stretch>
                            <a:fillRect/>
                          </a:stretch>
                        </pic:blipFill>
                        <pic:spPr>
                          <a:xfrm>
                            <a:off x="0" y="0"/>
                            <a:ext cx="3060065" cy="1619885"/>
                          </a:xfrm>
                          <a:prstGeom prst="rect">
                            <a:avLst/>
                          </a:prstGeom>
                          <a:noFill/>
                          <a:ln>
                            <a:noFill/>
                          </a:ln>
                        </pic:spPr>
                      </pic:pic>
                    </a:graphicData>
                  </a:graphic>
                </wp:inline>
              </w:drawing>
            </w:r>
          </w:p>
        </w:tc>
      </w:tr>
    </w:tbl>
    <w:p w14:paraId="27EA395F">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rPr>
        <w:t>（四）标准参加单位和起草人所做的工作</w:t>
      </w:r>
    </w:p>
    <w:p w14:paraId="30C4C5F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iCs/>
          <w:color w:val="auto"/>
          <w:sz w:val="24"/>
          <w:highlight w:val="none"/>
        </w:rPr>
      </w:pPr>
      <w:r>
        <w:rPr>
          <w:rFonts w:hint="eastAsia" w:ascii="Times New Roman" w:hAnsi="Times New Roman" w:eastAsia="宋体" w:cs="Times New Roman"/>
          <w:iCs/>
          <w:color w:val="auto"/>
          <w:sz w:val="24"/>
          <w:highlight w:val="none"/>
        </w:rPr>
        <w:t>上海凯顿百森建筑材料科技发展有限公司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南京晶磊兴建材有限公司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福州大匠环保建筑材料有限公司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抑渗特</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上海</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材料科技有限公司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佳固士新材料有限公司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浙江益生宜居新材料科技有限公司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云南欣城防水科技有限公司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北京可立特科技发展有限公司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日丰科技有限公司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惠勒新材料科技（江苏）有限公司</w:t>
      </w:r>
      <w:r>
        <w:rPr>
          <w:rFonts w:hint="eastAsia" w:cs="Times New Roman"/>
          <w:iCs/>
          <w:color w:val="auto"/>
          <w:sz w:val="24"/>
          <w:highlight w:val="none"/>
          <w:lang w:eastAsia="zh-CN"/>
        </w:rPr>
        <w:t>、</w:t>
      </w:r>
      <w:r>
        <w:rPr>
          <w:rFonts w:hint="eastAsia" w:ascii="Times New Roman" w:hAnsi="Times New Roman" w:eastAsia="宋体" w:cs="Times New Roman"/>
          <w:iCs/>
          <w:color w:val="auto"/>
          <w:sz w:val="24"/>
          <w:highlight w:val="none"/>
        </w:rPr>
        <w:t>辽宁九鼎宏泰</w:t>
      </w:r>
      <w:r>
        <w:rPr>
          <w:rFonts w:hint="eastAsia" w:cs="Times New Roman"/>
          <w:iCs/>
          <w:color w:val="auto"/>
          <w:sz w:val="24"/>
          <w:highlight w:val="none"/>
          <w:lang w:val="en-US" w:eastAsia="zh-CN"/>
        </w:rPr>
        <w:t>防水科技有限公司</w:t>
      </w:r>
      <w:r>
        <w:rPr>
          <w:rFonts w:hint="eastAsia" w:ascii="Times New Roman" w:hAnsi="Times New Roman" w:eastAsia="宋体" w:cs="Times New Roman"/>
          <w:iCs/>
          <w:color w:val="auto"/>
          <w:sz w:val="24"/>
          <w:highlight w:val="none"/>
        </w:rPr>
        <w:t>、南通睿睿防水新技术开发有限公司、盐城启明建材科技有限公司、苏州万众建筑材料有限公司、江苏立浩建材科技有限公</w:t>
      </w:r>
      <w:r>
        <w:rPr>
          <w:rFonts w:hint="eastAsia" w:cs="Times New Roman"/>
          <w:iCs/>
          <w:color w:val="auto"/>
          <w:sz w:val="24"/>
          <w:highlight w:val="none"/>
          <w:lang w:val="en-US" w:eastAsia="zh-CN"/>
        </w:rPr>
        <w:t>司</w:t>
      </w:r>
      <w:r>
        <w:rPr>
          <w:rFonts w:hint="eastAsia"/>
          <w:color w:val="auto"/>
          <w:sz w:val="24"/>
          <w:highlight w:val="none"/>
        </w:rPr>
        <w:t>等相关企业提供了数十</w:t>
      </w:r>
      <w:r>
        <w:rPr>
          <w:rFonts w:hint="eastAsia"/>
          <w:color w:val="auto"/>
          <w:sz w:val="24"/>
          <w:highlight w:val="none"/>
          <w:lang w:val="en-US" w:eastAsia="zh-CN"/>
        </w:rPr>
        <w:t>个</w:t>
      </w:r>
      <w:r>
        <w:rPr>
          <w:rFonts w:hint="eastAsia" w:cs="Times New Roman"/>
          <w:color w:val="auto"/>
          <w:sz w:val="24"/>
          <w:lang w:val="en-US" w:eastAsia="zh-CN"/>
        </w:rPr>
        <w:t>水泥基渗透结晶型防水材料</w:t>
      </w:r>
      <w:r>
        <w:rPr>
          <w:rFonts w:hint="eastAsia"/>
          <w:color w:val="auto"/>
          <w:sz w:val="24"/>
          <w:highlight w:val="none"/>
          <w:lang w:val="en-US" w:eastAsia="zh-CN"/>
        </w:rPr>
        <w:t>防水工程案例</w:t>
      </w:r>
      <w:r>
        <w:rPr>
          <w:rFonts w:hint="eastAsia"/>
          <w:color w:val="auto"/>
          <w:sz w:val="24"/>
          <w:highlight w:val="none"/>
        </w:rPr>
        <w:t>，编制组根据收集的</w:t>
      </w:r>
      <w:r>
        <w:rPr>
          <w:rFonts w:hint="eastAsia"/>
          <w:color w:val="auto"/>
          <w:sz w:val="24"/>
          <w:highlight w:val="none"/>
          <w:lang w:val="en-US" w:eastAsia="zh-CN"/>
        </w:rPr>
        <w:t>案例</w:t>
      </w:r>
      <w:r>
        <w:rPr>
          <w:rFonts w:hint="eastAsia"/>
          <w:color w:val="auto"/>
          <w:sz w:val="24"/>
          <w:highlight w:val="none"/>
        </w:rPr>
        <w:t>进行详细的分析、论证，为规范的编制积累了一手材料。</w:t>
      </w:r>
      <w:r>
        <w:rPr>
          <w:rFonts w:hint="eastAsia"/>
          <w:iCs/>
          <w:color w:val="auto"/>
          <w:sz w:val="24"/>
          <w:highlight w:val="none"/>
        </w:rPr>
        <w:t>起草单位和工作组成员及所做的工作具体详见表1。</w:t>
      </w:r>
    </w:p>
    <w:p w14:paraId="4B38FCCC">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0" w:firstLineChars="0"/>
        <w:jc w:val="center"/>
        <w:textAlignment w:val="auto"/>
        <w:rPr>
          <w:rFonts w:hint="eastAsia" w:ascii="黑体" w:hAnsi="黑体" w:eastAsia="黑体" w:cs="黑体"/>
          <w:b w:val="0"/>
          <w:bCs/>
          <w:color w:val="auto"/>
          <w:spacing w:val="0"/>
          <w:kern w:val="2"/>
          <w:sz w:val="24"/>
          <w:szCs w:val="24"/>
          <w:lang w:val="en-US" w:eastAsia="zh-CN"/>
        </w:rPr>
      </w:pPr>
      <w:r>
        <w:rPr>
          <w:rFonts w:hint="eastAsia" w:ascii="黑体" w:hAnsi="黑体" w:eastAsia="黑体" w:cs="黑体"/>
          <w:b w:val="0"/>
          <w:bCs/>
          <w:color w:val="auto"/>
          <w:spacing w:val="0"/>
          <w:kern w:val="2"/>
          <w:sz w:val="24"/>
          <w:szCs w:val="24"/>
          <w:lang w:val="en-US" w:eastAsia="zh-CN"/>
        </w:rPr>
        <w:t>表1  标准参加单位和分工</w:t>
      </w:r>
    </w:p>
    <w:tbl>
      <w:tblPr>
        <w:tblStyle w:val="11"/>
        <w:tblW w:w="4176"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3503"/>
        <w:gridCol w:w="4159"/>
      </w:tblGrid>
      <w:tr w14:paraId="5B53AD4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279" w:hRule="atLeast"/>
          <w:jc w:val="center"/>
        </w:trPr>
        <w:tc>
          <w:tcPr>
            <w:tcW w:w="3503" w:type="dxa"/>
            <w:noWrap w:val="0"/>
            <w:vAlign w:val="center"/>
          </w:tcPr>
          <w:p w14:paraId="789C0A07">
            <w:pPr>
              <w:keepNext w:val="0"/>
              <w:keepLines w:val="0"/>
              <w:pageBreakBefore w:val="0"/>
              <w:widowControl w:val="0"/>
              <w:shd w:val="clear" w:color="auto" w:fill="FFFFFF"/>
              <w:kinsoku/>
              <w:wordWrap/>
              <w:overflowPunct/>
              <w:topLinePunct w:val="0"/>
              <w:autoSpaceDE/>
              <w:autoSpaceDN/>
              <w:bidi w:val="0"/>
              <w:adjustRightInd w:val="0"/>
              <w:snapToGrid w:val="0"/>
              <w:spacing w:line="240" w:lineRule="auto"/>
              <w:ind w:right="0" w:rightChars="0"/>
              <w:jc w:val="center"/>
              <w:textAlignment w:val="baseline"/>
              <w:rPr>
                <w:rFonts w:hint="eastAsia" w:ascii="宋体"/>
                <w:color w:val="auto"/>
                <w:kern w:val="0"/>
                <w:sz w:val="21"/>
                <w:szCs w:val="21"/>
                <w:highlight w:val="none"/>
              </w:rPr>
            </w:pPr>
            <w:r>
              <w:rPr>
                <w:rFonts w:hint="eastAsia" w:ascii="宋体"/>
                <w:color w:val="auto"/>
                <w:kern w:val="0"/>
                <w:sz w:val="21"/>
                <w:szCs w:val="21"/>
                <w:highlight w:val="none"/>
              </w:rPr>
              <w:t>分工</w:t>
            </w:r>
          </w:p>
        </w:tc>
        <w:tc>
          <w:tcPr>
            <w:tcW w:w="4160" w:type="dxa"/>
            <w:noWrap w:val="0"/>
            <w:vAlign w:val="center"/>
          </w:tcPr>
          <w:p w14:paraId="561D3553">
            <w:pPr>
              <w:keepNext w:val="0"/>
              <w:keepLines w:val="0"/>
              <w:pageBreakBefore w:val="0"/>
              <w:widowControl w:val="0"/>
              <w:shd w:val="clear" w:color="auto" w:fill="FFFFFF"/>
              <w:kinsoku/>
              <w:wordWrap/>
              <w:overflowPunct/>
              <w:topLinePunct w:val="0"/>
              <w:autoSpaceDE/>
              <w:autoSpaceDN/>
              <w:bidi w:val="0"/>
              <w:adjustRightInd w:val="0"/>
              <w:snapToGrid w:val="0"/>
              <w:spacing w:line="240" w:lineRule="auto"/>
              <w:ind w:right="0"/>
              <w:jc w:val="center"/>
              <w:textAlignment w:val="baseline"/>
              <w:rPr>
                <w:rFonts w:ascii="宋体"/>
                <w:color w:val="auto"/>
                <w:kern w:val="0"/>
                <w:sz w:val="21"/>
                <w:szCs w:val="21"/>
                <w:highlight w:val="none"/>
              </w:rPr>
            </w:pPr>
            <w:r>
              <w:rPr>
                <w:rFonts w:hint="eastAsia" w:ascii="宋体"/>
                <w:color w:val="auto"/>
                <w:kern w:val="0"/>
                <w:sz w:val="21"/>
                <w:szCs w:val="21"/>
                <w:highlight w:val="none"/>
              </w:rPr>
              <w:t>单位</w:t>
            </w:r>
            <w:r>
              <w:rPr>
                <w:rFonts w:ascii="宋体"/>
                <w:color w:val="auto"/>
                <w:kern w:val="0"/>
                <w:sz w:val="21"/>
                <w:szCs w:val="21"/>
                <w:highlight w:val="none"/>
              </w:rPr>
              <w:t>名称</w:t>
            </w:r>
          </w:p>
        </w:tc>
      </w:tr>
      <w:tr w14:paraId="6D92E96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503" w:type="dxa"/>
            <w:noWrap w:val="0"/>
            <w:vAlign w:val="center"/>
          </w:tcPr>
          <w:p w14:paraId="26278656">
            <w:pPr>
              <w:keepNext w:val="0"/>
              <w:keepLines w:val="0"/>
              <w:pageBreakBefore w:val="0"/>
              <w:widowControl w:val="0"/>
              <w:shd w:val="clear" w:color="auto" w:fill="FFFFFF"/>
              <w:kinsoku/>
              <w:wordWrap/>
              <w:overflowPunct/>
              <w:topLinePunct w:val="0"/>
              <w:autoSpaceDE/>
              <w:autoSpaceDN/>
              <w:bidi w:val="0"/>
              <w:adjustRightInd w:val="0"/>
              <w:snapToGrid w:val="0"/>
              <w:spacing w:line="360" w:lineRule="auto"/>
              <w:ind w:right="0" w:rightChars="0"/>
              <w:jc w:val="left"/>
              <w:textAlignment w:val="baseline"/>
              <w:rPr>
                <w:rFonts w:hint="eastAsia" w:ascii="宋体"/>
                <w:color w:val="auto"/>
                <w:kern w:val="0"/>
                <w:sz w:val="21"/>
                <w:szCs w:val="21"/>
                <w:highlight w:val="none"/>
                <w:lang w:val="en-US" w:eastAsia="zh-CN"/>
              </w:rPr>
            </w:pPr>
            <w:r>
              <w:rPr>
                <w:rFonts w:hint="eastAsia" w:ascii="宋体"/>
                <w:color w:val="auto"/>
                <w:kern w:val="0"/>
                <w:sz w:val="21"/>
                <w:szCs w:val="21"/>
                <w:highlight w:val="none"/>
              </w:rPr>
              <w:t>负责</w:t>
            </w:r>
            <w:r>
              <w:rPr>
                <w:rFonts w:ascii="宋体"/>
                <w:color w:val="auto"/>
                <w:kern w:val="0"/>
                <w:sz w:val="21"/>
                <w:szCs w:val="21"/>
                <w:highlight w:val="none"/>
              </w:rPr>
              <w:t>调研、资料收集；</w:t>
            </w:r>
            <w:r>
              <w:rPr>
                <w:rFonts w:hint="eastAsia" w:ascii="宋体"/>
                <w:color w:val="auto"/>
                <w:kern w:val="0"/>
                <w:sz w:val="21"/>
                <w:szCs w:val="21"/>
                <w:highlight w:val="none"/>
              </w:rPr>
              <w:t>分</w:t>
            </w:r>
            <w:r>
              <w:rPr>
                <w:rFonts w:ascii="宋体"/>
                <w:color w:val="auto"/>
                <w:kern w:val="0"/>
                <w:sz w:val="21"/>
                <w:szCs w:val="21"/>
                <w:highlight w:val="none"/>
              </w:rPr>
              <w:t>阶段编写标准草案、</w:t>
            </w:r>
            <w:r>
              <w:rPr>
                <w:rFonts w:hint="eastAsia" w:ascii="宋体"/>
                <w:color w:val="auto"/>
                <w:kern w:val="0"/>
                <w:sz w:val="21"/>
                <w:szCs w:val="21"/>
                <w:highlight w:val="none"/>
              </w:rPr>
              <w:t>征求意见稿</w:t>
            </w:r>
            <w:r>
              <w:rPr>
                <w:rFonts w:ascii="宋体"/>
                <w:color w:val="auto"/>
                <w:kern w:val="0"/>
                <w:sz w:val="21"/>
                <w:szCs w:val="21"/>
                <w:highlight w:val="none"/>
              </w:rPr>
              <w:t>、送审稿、报批稿及编制说明；</w:t>
            </w:r>
            <w:r>
              <w:rPr>
                <w:rFonts w:hint="eastAsia" w:ascii="宋体"/>
                <w:color w:val="auto"/>
                <w:kern w:val="0"/>
                <w:sz w:val="21"/>
                <w:szCs w:val="21"/>
                <w:highlight w:val="none"/>
              </w:rPr>
              <w:t>收集</w:t>
            </w:r>
            <w:r>
              <w:rPr>
                <w:rFonts w:ascii="宋体"/>
                <w:color w:val="auto"/>
                <w:kern w:val="0"/>
                <w:sz w:val="21"/>
                <w:szCs w:val="21"/>
                <w:highlight w:val="none"/>
              </w:rPr>
              <w:t>及反馈征求意见</w:t>
            </w:r>
            <w:r>
              <w:rPr>
                <w:rFonts w:hint="eastAsia" w:ascii="宋体"/>
                <w:color w:val="auto"/>
                <w:kern w:val="0"/>
                <w:sz w:val="21"/>
                <w:szCs w:val="21"/>
                <w:highlight w:val="none"/>
              </w:rPr>
              <w:t>；开展</w:t>
            </w:r>
            <w:r>
              <w:rPr>
                <w:rFonts w:ascii="宋体"/>
                <w:color w:val="auto"/>
                <w:kern w:val="0"/>
                <w:sz w:val="21"/>
                <w:szCs w:val="21"/>
                <w:highlight w:val="none"/>
              </w:rPr>
              <w:t>验证试验</w:t>
            </w:r>
            <w:r>
              <w:rPr>
                <w:rFonts w:hint="eastAsia" w:ascii="宋体"/>
                <w:color w:val="auto"/>
                <w:kern w:val="0"/>
                <w:sz w:val="21"/>
                <w:szCs w:val="21"/>
                <w:highlight w:val="none"/>
              </w:rPr>
              <w:t>、标准</w:t>
            </w:r>
            <w:r>
              <w:rPr>
                <w:rFonts w:ascii="宋体"/>
                <w:color w:val="auto"/>
                <w:kern w:val="0"/>
                <w:sz w:val="21"/>
                <w:szCs w:val="21"/>
                <w:highlight w:val="none"/>
              </w:rPr>
              <w:t>会议等工作</w:t>
            </w:r>
            <w:r>
              <w:rPr>
                <w:rFonts w:hint="eastAsia" w:ascii="宋体"/>
                <w:color w:val="auto"/>
                <w:kern w:val="0"/>
                <w:sz w:val="21"/>
                <w:szCs w:val="21"/>
                <w:highlight w:val="none"/>
              </w:rPr>
              <w:t>。</w:t>
            </w:r>
          </w:p>
        </w:tc>
        <w:tc>
          <w:tcPr>
            <w:tcW w:w="4160" w:type="dxa"/>
            <w:noWrap w:val="0"/>
            <w:vAlign w:val="center"/>
          </w:tcPr>
          <w:p w14:paraId="0DF339D9">
            <w:pPr>
              <w:keepNext w:val="0"/>
              <w:keepLines w:val="0"/>
              <w:pageBreakBefore w:val="0"/>
              <w:widowControl w:val="0"/>
              <w:shd w:val="clear" w:color="auto" w:fill="FFFFFF"/>
              <w:kinsoku/>
              <w:wordWrap/>
              <w:overflowPunct/>
              <w:topLinePunct w:val="0"/>
              <w:autoSpaceDE/>
              <w:autoSpaceDN/>
              <w:bidi w:val="0"/>
              <w:adjustRightInd w:val="0"/>
              <w:snapToGrid w:val="0"/>
              <w:spacing w:line="360" w:lineRule="auto"/>
              <w:ind w:right="0"/>
              <w:jc w:val="left"/>
              <w:textAlignment w:val="baseline"/>
              <w:rPr>
                <w:rFonts w:hint="default" w:ascii="宋体" w:eastAsia="宋体"/>
                <w:color w:val="auto"/>
                <w:kern w:val="0"/>
                <w:sz w:val="21"/>
                <w:szCs w:val="21"/>
                <w:highlight w:val="none"/>
                <w:lang w:val="en-US" w:eastAsia="zh-CN"/>
              </w:rPr>
            </w:pPr>
            <w:r>
              <w:rPr>
                <w:rFonts w:hint="eastAsia" w:ascii="宋体"/>
                <w:color w:val="auto"/>
                <w:kern w:val="0"/>
                <w:sz w:val="21"/>
                <w:szCs w:val="21"/>
                <w:highlight w:val="none"/>
                <w:lang w:val="en-US" w:eastAsia="zh-CN"/>
              </w:rPr>
              <w:t>中建材苏州防水院有限公司</w:t>
            </w:r>
            <w:r>
              <w:rPr>
                <w:rFonts w:hint="eastAsia" w:ascii="宋体" w:hAnsi="宋体"/>
                <w:bCs/>
                <w:color w:val="auto"/>
                <w:kern w:val="0"/>
                <w:sz w:val="21"/>
                <w:szCs w:val="21"/>
                <w:highlight w:val="none"/>
              </w:rPr>
              <w:t>、上海凯顿百森建筑材料科技发展有限公司</w:t>
            </w:r>
            <w:r>
              <w:rPr>
                <w:rFonts w:hint="eastAsia" w:ascii="宋体" w:hAnsi="宋体"/>
                <w:bCs/>
                <w:color w:val="auto"/>
                <w:kern w:val="0"/>
                <w:sz w:val="21"/>
                <w:szCs w:val="21"/>
                <w:highlight w:val="none"/>
                <w:lang w:eastAsia="zh-CN"/>
              </w:rPr>
              <w:t>、</w:t>
            </w:r>
            <w:r>
              <w:rPr>
                <w:rFonts w:hint="eastAsia" w:ascii="宋体" w:hAnsi="宋体"/>
                <w:bCs/>
                <w:color w:val="auto"/>
                <w:kern w:val="0"/>
                <w:sz w:val="21"/>
                <w:szCs w:val="21"/>
                <w:highlight w:val="none"/>
              </w:rPr>
              <w:t>南京晶磊兴建材有限公司</w:t>
            </w:r>
            <w:r>
              <w:rPr>
                <w:rFonts w:hint="eastAsia" w:ascii="宋体" w:hAnsi="宋体"/>
                <w:bCs/>
                <w:color w:val="auto"/>
                <w:kern w:val="0"/>
                <w:sz w:val="21"/>
                <w:szCs w:val="21"/>
                <w:highlight w:val="none"/>
                <w:lang w:eastAsia="zh-CN"/>
              </w:rPr>
              <w:t>、</w:t>
            </w:r>
            <w:r>
              <w:rPr>
                <w:rFonts w:hint="eastAsia" w:ascii="宋体" w:hAnsi="宋体"/>
                <w:bCs/>
                <w:color w:val="auto"/>
                <w:kern w:val="0"/>
                <w:sz w:val="21"/>
                <w:szCs w:val="21"/>
                <w:highlight w:val="none"/>
              </w:rPr>
              <w:t>福州大匠环保建筑材料有限公司</w:t>
            </w:r>
            <w:r>
              <w:rPr>
                <w:rFonts w:hint="eastAsia" w:ascii="宋体" w:hAnsi="宋体"/>
                <w:bCs/>
                <w:color w:val="auto"/>
                <w:kern w:val="0"/>
                <w:sz w:val="21"/>
                <w:szCs w:val="21"/>
                <w:highlight w:val="none"/>
                <w:lang w:eastAsia="zh-CN"/>
              </w:rPr>
              <w:t>、</w:t>
            </w:r>
            <w:r>
              <w:rPr>
                <w:rFonts w:hint="eastAsia" w:ascii="宋体" w:hAnsi="宋体"/>
                <w:bCs/>
                <w:color w:val="auto"/>
                <w:kern w:val="0"/>
                <w:sz w:val="21"/>
                <w:szCs w:val="21"/>
                <w:highlight w:val="none"/>
              </w:rPr>
              <w:t>抑渗特</w:t>
            </w:r>
            <w:r>
              <w:rPr>
                <w:rFonts w:hint="eastAsia" w:ascii="宋体" w:hAnsi="宋体"/>
                <w:bCs/>
                <w:color w:val="auto"/>
                <w:kern w:val="0"/>
                <w:sz w:val="21"/>
                <w:szCs w:val="21"/>
                <w:highlight w:val="none"/>
                <w:lang w:eastAsia="zh-CN"/>
              </w:rPr>
              <w:t>（</w:t>
            </w:r>
            <w:r>
              <w:rPr>
                <w:rFonts w:hint="eastAsia" w:ascii="宋体" w:hAnsi="宋体"/>
                <w:bCs/>
                <w:color w:val="auto"/>
                <w:kern w:val="0"/>
                <w:sz w:val="21"/>
                <w:szCs w:val="21"/>
                <w:highlight w:val="none"/>
              </w:rPr>
              <w:t>上海</w:t>
            </w:r>
            <w:r>
              <w:rPr>
                <w:rFonts w:hint="eastAsia" w:ascii="宋体" w:hAnsi="宋体"/>
                <w:bCs/>
                <w:color w:val="auto"/>
                <w:kern w:val="0"/>
                <w:sz w:val="21"/>
                <w:szCs w:val="21"/>
                <w:highlight w:val="none"/>
                <w:lang w:eastAsia="zh-CN"/>
              </w:rPr>
              <w:t>）</w:t>
            </w:r>
            <w:r>
              <w:rPr>
                <w:rFonts w:hint="eastAsia" w:ascii="宋体" w:hAnsi="宋体"/>
                <w:bCs/>
                <w:color w:val="auto"/>
                <w:kern w:val="0"/>
                <w:sz w:val="21"/>
                <w:szCs w:val="21"/>
                <w:highlight w:val="none"/>
              </w:rPr>
              <w:t>材料科技有限公司</w:t>
            </w:r>
            <w:r>
              <w:rPr>
                <w:rFonts w:hint="eastAsia" w:ascii="宋体" w:hAnsi="宋体"/>
                <w:bCs/>
                <w:color w:val="auto"/>
                <w:kern w:val="0"/>
                <w:sz w:val="21"/>
                <w:szCs w:val="21"/>
                <w:highlight w:val="none"/>
                <w:lang w:eastAsia="zh-CN"/>
              </w:rPr>
              <w:t>、</w:t>
            </w:r>
            <w:r>
              <w:rPr>
                <w:rFonts w:hint="eastAsia" w:ascii="宋体" w:hAnsi="宋体"/>
                <w:bCs/>
                <w:color w:val="auto"/>
                <w:kern w:val="0"/>
                <w:sz w:val="21"/>
                <w:szCs w:val="21"/>
                <w:highlight w:val="none"/>
              </w:rPr>
              <w:t>佳固士新材料有限公司</w:t>
            </w:r>
            <w:r>
              <w:rPr>
                <w:rFonts w:hint="eastAsia" w:ascii="宋体" w:hAnsi="宋体"/>
                <w:bCs/>
                <w:color w:val="auto"/>
                <w:kern w:val="0"/>
                <w:sz w:val="21"/>
                <w:szCs w:val="21"/>
                <w:highlight w:val="none"/>
                <w:lang w:val="en-US" w:eastAsia="zh-CN"/>
              </w:rPr>
              <w:t>等</w:t>
            </w:r>
          </w:p>
        </w:tc>
      </w:tr>
      <w:tr w14:paraId="2CB9475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1485" w:hRule="atLeast"/>
          <w:jc w:val="center"/>
        </w:trPr>
        <w:tc>
          <w:tcPr>
            <w:tcW w:w="3503" w:type="dxa"/>
            <w:noWrap w:val="0"/>
            <w:vAlign w:val="center"/>
          </w:tcPr>
          <w:p w14:paraId="40AADF7D">
            <w:pPr>
              <w:keepNext w:val="0"/>
              <w:keepLines w:val="0"/>
              <w:pageBreakBefore w:val="0"/>
              <w:widowControl w:val="0"/>
              <w:shd w:val="clear" w:color="auto" w:fill="FFFFFF"/>
              <w:kinsoku/>
              <w:wordWrap/>
              <w:overflowPunct/>
              <w:topLinePunct w:val="0"/>
              <w:autoSpaceDE/>
              <w:autoSpaceDN/>
              <w:bidi w:val="0"/>
              <w:adjustRightInd w:val="0"/>
              <w:snapToGrid w:val="0"/>
              <w:spacing w:line="360" w:lineRule="auto"/>
              <w:ind w:right="0" w:rightChars="0"/>
              <w:jc w:val="left"/>
              <w:textAlignment w:val="baseline"/>
              <w:rPr>
                <w:rFonts w:hint="eastAsia" w:ascii="宋体" w:hAnsi="宋体"/>
                <w:bCs/>
                <w:color w:val="auto"/>
                <w:kern w:val="0"/>
                <w:sz w:val="21"/>
                <w:szCs w:val="21"/>
                <w:highlight w:val="none"/>
              </w:rPr>
            </w:pPr>
            <w:r>
              <w:rPr>
                <w:rFonts w:hint="eastAsia" w:ascii="宋体"/>
                <w:color w:val="auto"/>
                <w:kern w:val="0"/>
                <w:sz w:val="21"/>
                <w:szCs w:val="21"/>
                <w:highlight w:val="none"/>
              </w:rPr>
              <w:t>主要</w:t>
            </w:r>
            <w:r>
              <w:rPr>
                <w:rFonts w:ascii="宋体"/>
                <w:color w:val="auto"/>
                <w:kern w:val="0"/>
                <w:sz w:val="21"/>
                <w:szCs w:val="21"/>
                <w:highlight w:val="none"/>
              </w:rPr>
              <w:t>完成</w:t>
            </w:r>
            <w:r>
              <w:rPr>
                <w:rFonts w:hint="eastAsia" w:ascii="宋体"/>
                <w:color w:val="auto"/>
                <w:kern w:val="0"/>
                <w:sz w:val="21"/>
                <w:szCs w:val="21"/>
                <w:highlight w:val="none"/>
              </w:rPr>
              <w:t>标准试验验证</w:t>
            </w:r>
            <w:r>
              <w:rPr>
                <w:rFonts w:ascii="宋体"/>
                <w:color w:val="auto"/>
                <w:kern w:val="0"/>
                <w:sz w:val="21"/>
                <w:szCs w:val="21"/>
                <w:highlight w:val="none"/>
              </w:rPr>
              <w:t>工作</w:t>
            </w:r>
            <w:r>
              <w:rPr>
                <w:rFonts w:hint="eastAsia" w:ascii="宋体"/>
                <w:color w:val="auto"/>
                <w:kern w:val="0"/>
                <w:sz w:val="21"/>
                <w:szCs w:val="21"/>
                <w:highlight w:val="none"/>
              </w:rPr>
              <w:t>，</w:t>
            </w:r>
            <w:r>
              <w:rPr>
                <w:rFonts w:hint="eastAsia" w:ascii="宋体" w:hAnsi="宋体"/>
                <w:bCs/>
                <w:color w:val="auto"/>
                <w:kern w:val="0"/>
                <w:sz w:val="21"/>
                <w:szCs w:val="21"/>
                <w:highlight w:val="none"/>
              </w:rPr>
              <w:t>提供了数十个非固化橡胶沥青防水涂料防水工程案例的试验数据和成果。</w:t>
            </w:r>
            <w:r>
              <w:rPr>
                <w:rFonts w:hint="eastAsia" w:ascii="宋体"/>
                <w:color w:val="auto"/>
                <w:kern w:val="0"/>
                <w:sz w:val="21"/>
                <w:szCs w:val="21"/>
                <w:highlight w:val="none"/>
              </w:rPr>
              <w:t>并结合</w:t>
            </w:r>
            <w:r>
              <w:rPr>
                <w:rFonts w:hint="eastAsia" w:ascii="宋体"/>
                <w:color w:val="auto"/>
                <w:kern w:val="0"/>
                <w:sz w:val="21"/>
                <w:szCs w:val="21"/>
                <w:highlight w:val="none"/>
                <w:lang w:val="en-US" w:eastAsia="zh-CN"/>
              </w:rPr>
              <w:t>设计、施工</w:t>
            </w:r>
            <w:r>
              <w:rPr>
                <w:rFonts w:hint="eastAsia" w:ascii="宋体"/>
                <w:color w:val="auto"/>
                <w:kern w:val="0"/>
                <w:sz w:val="21"/>
                <w:szCs w:val="21"/>
                <w:highlight w:val="none"/>
              </w:rPr>
              <w:t>实际对标准条文</w:t>
            </w:r>
            <w:r>
              <w:rPr>
                <w:rFonts w:ascii="宋体"/>
                <w:color w:val="auto"/>
                <w:kern w:val="0"/>
                <w:sz w:val="21"/>
                <w:szCs w:val="21"/>
                <w:highlight w:val="none"/>
              </w:rPr>
              <w:t>设定提出</w:t>
            </w:r>
            <w:r>
              <w:rPr>
                <w:rFonts w:hint="eastAsia" w:ascii="宋体"/>
                <w:color w:val="auto"/>
                <w:kern w:val="0"/>
                <w:sz w:val="21"/>
                <w:szCs w:val="21"/>
                <w:highlight w:val="none"/>
              </w:rPr>
              <w:t>要求与建议等。</w:t>
            </w:r>
          </w:p>
        </w:tc>
        <w:tc>
          <w:tcPr>
            <w:tcW w:w="4160" w:type="dxa"/>
            <w:noWrap w:val="0"/>
            <w:vAlign w:val="center"/>
          </w:tcPr>
          <w:p w14:paraId="2E782722">
            <w:pPr>
              <w:keepNext w:val="0"/>
              <w:keepLines w:val="0"/>
              <w:pageBreakBefore w:val="0"/>
              <w:widowControl w:val="0"/>
              <w:shd w:val="clear" w:color="auto" w:fill="FFFFFF"/>
              <w:kinsoku/>
              <w:wordWrap/>
              <w:overflowPunct/>
              <w:topLinePunct w:val="0"/>
              <w:autoSpaceDE/>
              <w:autoSpaceDN/>
              <w:bidi w:val="0"/>
              <w:adjustRightInd w:val="0"/>
              <w:snapToGrid w:val="0"/>
              <w:spacing w:line="360" w:lineRule="auto"/>
              <w:ind w:right="0"/>
              <w:jc w:val="left"/>
              <w:textAlignment w:val="baseline"/>
              <w:rPr>
                <w:rFonts w:hint="eastAsia" w:ascii="宋体" w:hAnsi="宋体" w:eastAsia="宋体"/>
                <w:bCs/>
                <w:color w:val="auto"/>
                <w:kern w:val="0"/>
                <w:sz w:val="21"/>
                <w:szCs w:val="21"/>
                <w:highlight w:val="none"/>
                <w:lang w:val="en-US" w:eastAsia="zh-CN"/>
              </w:rPr>
            </w:pPr>
            <w:r>
              <w:rPr>
                <w:rFonts w:hint="eastAsia" w:ascii="宋体"/>
                <w:color w:val="auto"/>
                <w:kern w:val="0"/>
                <w:sz w:val="21"/>
                <w:szCs w:val="21"/>
                <w:highlight w:val="none"/>
                <w:lang w:val="en-US" w:eastAsia="zh-CN"/>
              </w:rPr>
              <w:t>中建材苏州防水院有限公司</w:t>
            </w:r>
            <w:r>
              <w:rPr>
                <w:rFonts w:hint="eastAsia" w:ascii="宋体" w:hAnsi="宋体"/>
                <w:bCs/>
                <w:color w:val="auto"/>
                <w:kern w:val="0"/>
                <w:sz w:val="21"/>
                <w:szCs w:val="21"/>
                <w:highlight w:val="none"/>
              </w:rPr>
              <w:t>、</w:t>
            </w:r>
            <w:r>
              <w:rPr>
                <w:rFonts w:hint="eastAsia" w:ascii="宋体" w:hAnsi="宋体"/>
                <w:bCs/>
                <w:color w:val="auto"/>
                <w:kern w:val="0"/>
                <w:sz w:val="21"/>
                <w:szCs w:val="21"/>
                <w:highlight w:val="none"/>
                <w:lang w:val="en-US" w:eastAsia="zh-CN"/>
              </w:rPr>
              <w:t>中国建材检验认证集团苏州有限公司、浙江益生宜居新材料科技有限公司、云南欣城防水科技有限公司、北京可立特科技发展有限公司、日丰科技有限公司、惠勒新材料科技（江苏）有限公司等</w:t>
            </w:r>
          </w:p>
        </w:tc>
      </w:tr>
      <w:tr w14:paraId="2AC313F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503" w:type="dxa"/>
            <w:noWrap w:val="0"/>
            <w:vAlign w:val="center"/>
          </w:tcPr>
          <w:p w14:paraId="1DA534C9">
            <w:pPr>
              <w:keepNext w:val="0"/>
              <w:keepLines w:val="0"/>
              <w:pageBreakBefore w:val="0"/>
              <w:widowControl w:val="0"/>
              <w:shd w:val="clear" w:color="auto" w:fill="FFFFFF"/>
              <w:kinsoku/>
              <w:wordWrap/>
              <w:overflowPunct/>
              <w:topLinePunct w:val="0"/>
              <w:autoSpaceDE/>
              <w:autoSpaceDN/>
              <w:bidi w:val="0"/>
              <w:adjustRightInd w:val="0"/>
              <w:snapToGrid w:val="0"/>
              <w:spacing w:line="360" w:lineRule="auto"/>
              <w:ind w:right="0" w:rightChars="0"/>
              <w:jc w:val="left"/>
              <w:textAlignment w:val="baseline"/>
              <w:rPr>
                <w:rFonts w:hint="eastAsia" w:ascii="宋体" w:hAnsi="宋体"/>
                <w:bCs/>
                <w:color w:val="auto"/>
                <w:kern w:val="0"/>
                <w:sz w:val="21"/>
                <w:szCs w:val="21"/>
                <w:highlight w:val="none"/>
              </w:rPr>
            </w:pPr>
            <w:r>
              <w:rPr>
                <w:rFonts w:hint="eastAsia" w:ascii="宋体"/>
                <w:color w:val="auto"/>
                <w:kern w:val="0"/>
                <w:sz w:val="21"/>
                <w:szCs w:val="21"/>
                <w:highlight w:val="none"/>
              </w:rPr>
              <w:t>配合调研和相关技术资料收集；负责提供能力范围内的验证试验及</w:t>
            </w:r>
            <w:r>
              <w:rPr>
                <w:rFonts w:ascii="宋体"/>
                <w:color w:val="auto"/>
                <w:kern w:val="0"/>
                <w:sz w:val="21"/>
                <w:szCs w:val="21"/>
                <w:highlight w:val="none"/>
              </w:rPr>
              <w:t>试验样品</w:t>
            </w:r>
            <w:r>
              <w:rPr>
                <w:rFonts w:hint="eastAsia" w:ascii="宋体"/>
                <w:color w:val="auto"/>
                <w:kern w:val="0"/>
                <w:sz w:val="21"/>
                <w:szCs w:val="21"/>
                <w:highlight w:val="none"/>
              </w:rPr>
              <w:t>；配合主编单位分阶段编写征求意见稿、送审稿、报批稿及编制说明，并结合实践经验</w:t>
            </w:r>
            <w:r>
              <w:rPr>
                <w:rFonts w:ascii="宋体"/>
                <w:color w:val="auto"/>
                <w:kern w:val="0"/>
                <w:sz w:val="21"/>
                <w:szCs w:val="21"/>
                <w:highlight w:val="none"/>
              </w:rPr>
              <w:t>提出</w:t>
            </w:r>
            <w:r>
              <w:rPr>
                <w:rFonts w:hint="eastAsia" w:ascii="宋体"/>
                <w:color w:val="auto"/>
                <w:kern w:val="0"/>
                <w:sz w:val="21"/>
                <w:szCs w:val="21"/>
                <w:highlight w:val="none"/>
              </w:rPr>
              <w:t>修改建议等。</w:t>
            </w:r>
          </w:p>
        </w:tc>
        <w:tc>
          <w:tcPr>
            <w:tcW w:w="4160" w:type="dxa"/>
            <w:noWrap w:val="0"/>
            <w:vAlign w:val="center"/>
          </w:tcPr>
          <w:p w14:paraId="69AAE808">
            <w:pPr>
              <w:keepNext w:val="0"/>
              <w:keepLines w:val="0"/>
              <w:pageBreakBefore w:val="0"/>
              <w:widowControl w:val="0"/>
              <w:shd w:val="clear" w:color="auto" w:fill="FFFFFF"/>
              <w:kinsoku/>
              <w:wordWrap/>
              <w:overflowPunct/>
              <w:topLinePunct w:val="0"/>
              <w:autoSpaceDE/>
              <w:autoSpaceDN/>
              <w:bidi w:val="0"/>
              <w:adjustRightInd w:val="0"/>
              <w:snapToGrid w:val="0"/>
              <w:spacing w:line="360" w:lineRule="auto"/>
              <w:ind w:right="0"/>
              <w:jc w:val="left"/>
              <w:textAlignment w:val="baseline"/>
              <w:rPr>
                <w:rFonts w:hint="default" w:ascii="宋体" w:hAnsi="宋体" w:eastAsia="宋体"/>
                <w:color w:val="auto"/>
                <w:kern w:val="0"/>
                <w:sz w:val="21"/>
                <w:szCs w:val="21"/>
                <w:highlight w:val="none"/>
                <w:lang w:val="en-US" w:eastAsia="zh-CN"/>
              </w:rPr>
            </w:pPr>
            <w:r>
              <w:rPr>
                <w:rFonts w:hint="eastAsia" w:ascii="宋体"/>
                <w:color w:val="auto"/>
                <w:kern w:val="0"/>
                <w:sz w:val="21"/>
                <w:szCs w:val="21"/>
                <w:highlight w:val="none"/>
                <w:lang w:val="en-US" w:eastAsia="zh-CN"/>
              </w:rPr>
              <w:t>中建材苏州防水院有限公司</w:t>
            </w:r>
            <w:r>
              <w:rPr>
                <w:rFonts w:hint="eastAsia" w:ascii="宋体" w:hAnsi="宋体"/>
                <w:bCs/>
                <w:color w:val="auto"/>
                <w:kern w:val="0"/>
                <w:sz w:val="21"/>
                <w:szCs w:val="21"/>
                <w:highlight w:val="none"/>
              </w:rPr>
              <w:t>、</w:t>
            </w:r>
            <w:r>
              <w:rPr>
                <w:rFonts w:hint="eastAsia" w:ascii="宋体" w:hAnsi="宋体"/>
                <w:bCs/>
                <w:color w:val="auto"/>
                <w:kern w:val="0"/>
                <w:sz w:val="21"/>
                <w:szCs w:val="21"/>
                <w:highlight w:val="none"/>
                <w:lang w:val="en-US" w:eastAsia="zh-CN"/>
              </w:rPr>
              <w:t>中国建材检验认证集团苏州有限公司、辽宁九鼎宏泰防水科技有限公司、南通睿睿防水新技术开发有限公司、盐城启明建材科技有限公司、苏州万众建筑材料有限公司、江苏立浩建材科技有限公司等</w:t>
            </w:r>
          </w:p>
        </w:tc>
      </w:tr>
    </w:tbl>
    <w:p w14:paraId="7D1A6169">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黑体" w:cs="黑体"/>
          <w:b w:val="0"/>
          <w:bCs/>
          <w:color w:val="auto"/>
          <w:spacing w:val="0"/>
          <w:kern w:val="2"/>
          <w:sz w:val="24"/>
          <w:szCs w:val="24"/>
          <w:lang w:val="en-US" w:eastAsia="zh-CN" w:bidi="ar-SA"/>
        </w:rPr>
      </w:pPr>
      <w:r>
        <w:rPr>
          <w:rFonts w:hint="eastAsia" w:ascii="Times New Roman" w:hAnsi="Times New Roman" w:eastAsia="黑体" w:cs="黑体"/>
          <w:b w:val="0"/>
          <w:bCs/>
          <w:color w:val="auto"/>
          <w:spacing w:val="0"/>
          <w:kern w:val="2"/>
          <w:sz w:val="24"/>
          <w:szCs w:val="24"/>
          <w:lang w:val="en-US" w:eastAsia="zh-CN" w:bidi="ar-SA"/>
        </w:rPr>
        <w:t>二、标准编制原则和主要内容</w:t>
      </w:r>
    </w:p>
    <w:p w14:paraId="3685D56C">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eastAsia" w:ascii="Times New Roman" w:hAnsi="Times New Roman" w:eastAsia="黑体" w:cs="黑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rPr>
        <w:t>（一）标准编制原则</w:t>
      </w:r>
    </w:p>
    <w:p w14:paraId="71CAD392">
      <w:pPr>
        <w:shd w:val="clear" w:color="auto" w:fill="FFFFFF"/>
        <w:spacing w:line="360" w:lineRule="auto"/>
        <w:ind w:firstLine="480" w:firstLineChars="200"/>
        <w:rPr>
          <w:rFonts w:hint="eastAsia" w:ascii="Times New Roman" w:hAnsi="Times New Roman" w:cs="宋体"/>
          <w:color w:val="auto"/>
          <w:sz w:val="24"/>
          <w:lang w:val="en-US" w:eastAsia="zh-CN"/>
        </w:rPr>
      </w:pPr>
      <w:r>
        <w:rPr>
          <w:rFonts w:hint="eastAsia" w:ascii="Times New Roman" w:hAnsi="Times New Roman" w:cs="宋体"/>
          <w:color w:val="auto"/>
          <w:sz w:val="24"/>
          <w:lang w:val="en-US" w:eastAsia="zh-CN"/>
        </w:rPr>
        <w:t>本规范的制定是依据《工程建设标准编写规定》（建标</w:t>
      </w:r>
      <w:r>
        <w:rPr>
          <w:rFonts w:hint="eastAsia" w:ascii="宋体" w:hAnsi="宋体" w:eastAsia="宋体" w:cs="宋体"/>
          <w:color w:val="auto"/>
          <w:sz w:val="24"/>
          <w:lang w:val="en-US" w:eastAsia="zh-CN"/>
        </w:rPr>
        <w:t>〔2008〕182</w:t>
      </w:r>
      <w:r>
        <w:rPr>
          <w:rFonts w:hint="eastAsia" w:ascii="Times New Roman" w:hAnsi="Times New Roman" w:cs="宋体"/>
          <w:color w:val="auto"/>
          <w:sz w:val="24"/>
          <w:lang w:val="en-US" w:eastAsia="zh-CN"/>
        </w:rPr>
        <w:t>号）和有关标准、政策法规进行</w:t>
      </w:r>
      <w:bookmarkStart w:id="2" w:name="OLE_LINK2"/>
      <w:bookmarkStart w:id="3" w:name="OLE_LINK1"/>
      <w:r>
        <w:rPr>
          <w:rFonts w:hint="eastAsia" w:ascii="Times New Roman" w:hAnsi="Times New Roman" w:cs="宋体"/>
          <w:color w:val="auto"/>
          <w:sz w:val="24"/>
          <w:lang w:val="en-US" w:eastAsia="zh-CN"/>
        </w:rPr>
        <w:t>。编制过程中，遵从积极采用国内外先进标准原则、技术创新原则、与其他标准协调性原则、标准文本规程性适用性原则。</w:t>
      </w:r>
      <w:bookmarkEnd w:id="2"/>
      <w:bookmarkEnd w:id="3"/>
    </w:p>
    <w:p w14:paraId="4E28B6B1">
      <w:pPr>
        <w:shd w:val="clear" w:color="auto" w:fill="FFFFFF"/>
        <w:spacing w:line="360" w:lineRule="auto"/>
        <w:ind w:firstLine="480" w:firstLineChars="200"/>
        <w:rPr>
          <w:rFonts w:hint="eastAsia" w:ascii="Times New Roman" w:hAnsi="Times New Roman" w:cs="宋体"/>
          <w:color w:val="auto"/>
          <w:sz w:val="24"/>
        </w:rPr>
      </w:pPr>
      <w:r>
        <w:rPr>
          <w:rFonts w:hint="eastAsia"/>
          <w:color w:val="auto"/>
          <w:sz w:val="24"/>
          <w:highlight w:val="none"/>
          <w:lang w:val="en-US" w:eastAsia="zh-CN"/>
        </w:rPr>
        <w:t>本规范制定的基本原则是：充分体现合理利用资源、环境保护、循环经济、促进技术进步、提高耐久性、与相关标准协调配套、与国际接轨等，以利对外经济合作，提高行业技术水平，促进行业健康发展。</w:t>
      </w:r>
    </w:p>
    <w:p w14:paraId="013B224A">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eastAsia" w:ascii="Times New Roman" w:hAnsi="Times New Roman" w:eastAsia="黑体" w:cs="黑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rPr>
        <w:t>（二）</w:t>
      </w:r>
      <w:r>
        <w:rPr>
          <w:rFonts w:hint="eastAsia" w:eastAsia="黑体" w:cs="黑体"/>
          <w:b w:val="0"/>
          <w:bCs/>
          <w:color w:val="auto"/>
          <w:spacing w:val="0"/>
          <w:kern w:val="2"/>
          <w:sz w:val="24"/>
          <w:szCs w:val="24"/>
          <w:lang w:val="en-US" w:eastAsia="zh-CN"/>
        </w:rPr>
        <w:t>标准</w:t>
      </w:r>
      <w:r>
        <w:rPr>
          <w:rFonts w:hint="eastAsia" w:ascii="Times New Roman" w:hAnsi="Times New Roman" w:eastAsia="黑体" w:cs="黑体"/>
          <w:b w:val="0"/>
          <w:bCs/>
          <w:color w:val="auto"/>
          <w:spacing w:val="0"/>
          <w:kern w:val="2"/>
          <w:sz w:val="24"/>
          <w:szCs w:val="24"/>
          <w:lang w:val="en-US" w:eastAsia="zh-CN"/>
        </w:rPr>
        <w:t>主要内容</w:t>
      </w:r>
      <w:r>
        <w:rPr>
          <w:rFonts w:hint="eastAsia" w:eastAsia="黑体" w:cs="黑体"/>
          <w:b w:val="0"/>
          <w:bCs/>
          <w:color w:val="auto"/>
          <w:spacing w:val="0"/>
          <w:kern w:val="2"/>
          <w:sz w:val="24"/>
          <w:szCs w:val="24"/>
          <w:lang w:val="en-US" w:eastAsia="zh-CN"/>
        </w:rPr>
        <w:t>，解决的主要问题。</w:t>
      </w:r>
    </w:p>
    <w:p w14:paraId="01D59067">
      <w:pPr>
        <w:keepNext w:val="0"/>
        <w:keepLines w:val="0"/>
        <w:pageBreakBefore w:val="0"/>
        <w:widowControl w:val="0"/>
        <w:kinsoku/>
        <w:wordWrap/>
        <w:overflowPunct/>
        <w:topLinePunct/>
        <w:autoSpaceDE/>
        <w:autoSpaceDN/>
        <w:bidi w:val="0"/>
        <w:adjustRightInd/>
        <w:snapToGrid/>
        <w:spacing w:line="360" w:lineRule="auto"/>
        <w:ind w:firstLine="480" w:firstLineChars="200"/>
        <w:jc w:val="left"/>
        <w:textAlignment w:val="auto"/>
        <w:rPr>
          <w:rFonts w:hint="eastAsia" w:asciiTheme="minorEastAsia" w:hAnsiTheme="minorEastAsia" w:eastAsiaTheme="minorEastAsia" w:cstheme="minorEastAsia"/>
          <w:color w:val="auto"/>
          <w:sz w:val="24"/>
          <w:lang w:val="en-US" w:eastAsia="zh-CN"/>
        </w:rPr>
      </w:pPr>
      <w:r>
        <w:rPr>
          <w:rFonts w:hint="eastAsia" w:asciiTheme="minorEastAsia" w:hAnsiTheme="minorEastAsia" w:eastAsiaTheme="minorEastAsia" w:cstheme="minorEastAsia"/>
          <w:color w:val="auto"/>
          <w:sz w:val="24"/>
          <w:lang w:val="en-US" w:eastAsia="zh-CN"/>
        </w:rPr>
        <w:t>1.总则</w:t>
      </w:r>
    </w:p>
    <w:p w14:paraId="5B7C09BC">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水泥基渗透结晶型防水材料包括水泥基渗透结晶型防水涂料和水泥基渗透结晶型防水剂，其与水作用后，材料中含有的活性化学物质以水为载体在混凝土中渗透防水材料，与水泥水化生成不溶于水的结晶体，填充毛细孔道和微细缝隙，具有微裂缝自修复能力，从而提高混凝土致密性、抗冻融、耐腐蚀性、耐久性，达到与结构同寿命的防水效果。</w:t>
      </w:r>
    </w:p>
    <w:p w14:paraId="01511031">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根据国内外大量的建筑物应用实例，已经充分应证了水泥基渗透结晶型防水材料在建设工程防水中的优越性和可靠性，水泥基渗透结晶型防水材料的技术伴随着我国城镇化建设的加速和建筑防水技术的提高也在不断发展与进步，但是水泥基渗透结晶型防水材料应用技术规范却不能与之相适应，使水泥基渗透结晶型防水材料在工程中的设计、施工、验收等缺乏系统的、可靠的、有针对性的标准依据，束缚了水泥基渗透结晶型防水材料的发展、推广与应用。本规范的编制目的，是为了规范水泥基渗透结晶型防水材料的应用技术，促进刚性防水技术发展，提升防水工程质量。</w:t>
      </w:r>
    </w:p>
    <w:p w14:paraId="4C783374">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本规范</w:t>
      </w:r>
      <w:r>
        <w:rPr>
          <w:rFonts w:hint="eastAsia" w:asciiTheme="minorEastAsia" w:hAnsiTheme="minorEastAsia" w:eastAsiaTheme="minorEastAsia" w:cstheme="minorEastAsia"/>
          <w:color w:val="auto"/>
          <w:sz w:val="24"/>
          <w:highlight w:val="none"/>
          <w:lang w:val="en-US" w:eastAsia="zh-CN"/>
        </w:rPr>
        <w:t>共分为8章，</w:t>
      </w:r>
      <w:r>
        <w:rPr>
          <w:rFonts w:hint="eastAsia" w:asciiTheme="minorEastAsia" w:hAnsiTheme="minorEastAsia" w:eastAsiaTheme="minorEastAsia" w:cstheme="minorEastAsia"/>
          <w:color w:val="auto"/>
          <w:sz w:val="24"/>
          <w:highlight w:val="none"/>
        </w:rPr>
        <w:t>主要内容</w:t>
      </w:r>
      <w:r>
        <w:rPr>
          <w:rFonts w:hint="eastAsia" w:asciiTheme="minorEastAsia" w:hAnsiTheme="minorEastAsia" w:eastAsiaTheme="minorEastAsia" w:cstheme="minorEastAsia"/>
          <w:color w:val="auto"/>
          <w:sz w:val="24"/>
          <w:highlight w:val="none"/>
          <w:lang w:val="en-US" w:eastAsia="zh-CN"/>
        </w:rPr>
        <w:t>包括</w:t>
      </w:r>
      <w:r>
        <w:rPr>
          <w:rFonts w:hint="eastAsia" w:asciiTheme="minorEastAsia" w:hAnsiTheme="minorEastAsia" w:eastAsiaTheme="minorEastAsia" w:cstheme="minorEastAsia"/>
          <w:color w:val="auto"/>
          <w:sz w:val="24"/>
          <w:highlight w:val="none"/>
        </w:rPr>
        <w:t>：总则</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术语</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基本规定</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材料</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设计</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施工</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lang w:val="en-US" w:eastAsia="zh-CN"/>
        </w:rPr>
        <w:t>工程渗漏治理</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lang w:val="en-US" w:eastAsia="zh-CN"/>
        </w:rPr>
        <w:t>质量验收</w:t>
      </w:r>
      <w:r>
        <w:rPr>
          <w:rFonts w:hint="eastAsia" w:asciiTheme="minorEastAsia" w:hAnsiTheme="minorEastAsia" w:eastAsiaTheme="minorEastAsia" w:cstheme="minorEastAsia"/>
          <w:color w:val="auto"/>
          <w:sz w:val="24"/>
          <w:highlight w:val="none"/>
        </w:rPr>
        <w:t>。</w:t>
      </w:r>
    </w:p>
    <w:p w14:paraId="618579CF">
      <w:pPr>
        <w:shd w:val="clear" w:color="auto" w:fill="FFFFFF"/>
        <w:spacing w:line="360" w:lineRule="auto"/>
        <w:ind w:firstLine="480" w:firstLineChars="200"/>
        <w:jc w:val="left"/>
        <w:outlineLvl w:val="3"/>
        <w:rPr>
          <w:rFonts w:hint="eastAsia" w:asciiTheme="minorEastAsia" w:hAnsiTheme="minorEastAsia" w:eastAsiaTheme="minorEastAsia" w:cstheme="minorEastAsia"/>
          <w:b w:val="0"/>
          <w:bCs/>
          <w:color w:val="auto"/>
          <w:kern w:val="0"/>
          <w:sz w:val="24"/>
          <w:highlight w:val="none"/>
        </w:rPr>
      </w:pPr>
      <w:r>
        <w:rPr>
          <w:rFonts w:hint="eastAsia" w:asciiTheme="minorEastAsia" w:hAnsiTheme="minorEastAsia" w:eastAsiaTheme="minorEastAsia" w:cstheme="minorEastAsia"/>
          <w:b w:val="0"/>
          <w:bCs/>
          <w:color w:val="auto"/>
          <w:kern w:val="0"/>
          <w:sz w:val="24"/>
          <w:highlight w:val="none"/>
        </w:rPr>
        <w:t>2.术语和定义</w:t>
      </w:r>
    </w:p>
    <w:p w14:paraId="0D353128">
      <w:pPr>
        <w:widowControl/>
        <w:shd w:val="clear" w:color="auto" w:fill="FFFFFF"/>
        <w:tabs>
          <w:tab w:val="left" w:pos="2242"/>
        </w:tabs>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术语是对规范中有关名词的释义。在确定所列术语的定义时，尽可能参照现行的标准及相关的技术文件，并考虑到习惯和通用性，术语的英文翻译也是从习惯和通用性考虑，原则上只在本规</w:t>
      </w:r>
      <w:r>
        <w:rPr>
          <w:rFonts w:hint="eastAsia" w:asciiTheme="minorEastAsia" w:hAnsiTheme="minorEastAsia" w:eastAsiaTheme="minorEastAsia" w:cstheme="minorEastAsia"/>
          <w:color w:val="auto"/>
          <w:sz w:val="24"/>
          <w:highlight w:val="none"/>
          <w:lang w:val="en-US" w:eastAsia="zh-CN"/>
        </w:rPr>
        <w:t>范</w:t>
      </w:r>
      <w:r>
        <w:rPr>
          <w:rFonts w:hint="eastAsia" w:asciiTheme="minorEastAsia" w:hAnsiTheme="minorEastAsia" w:eastAsiaTheme="minorEastAsia" w:cstheme="minorEastAsia"/>
          <w:color w:val="auto"/>
          <w:sz w:val="24"/>
          <w:highlight w:val="none"/>
        </w:rPr>
        <w:t>中有效。</w:t>
      </w:r>
    </w:p>
    <w:p w14:paraId="6B050274">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3.基本规定</w:t>
      </w:r>
    </w:p>
    <w:p w14:paraId="1BDB5EE9">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3.0.2  防水混凝土结构只要满足抗渗要求和不开裂，就不会渗漏。防水混凝土内掺水泥基渗透结晶型防水剂防水材料后，产品中的活性化学物质在水分的作用下催化混凝土中水泥和其它化学物质产生不溶于水的结晶体，填补和封堵混凝土固化后形成的孔隙、毛细管道和细微裂缝，只要防水混凝土从配比、搅拌、运输、建筑、振捣、养护整个施工全过程严格控制质量，保证混凝土致密性和不开裂，达到防水设防要求是完全可以做到的。</w:t>
      </w:r>
    </w:p>
    <w:p w14:paraId="527F1E0E">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3.0.4  水泥基渗透结晶型防水涂料可单独作为防水混凝土表面的防水层，通过严格选材、加强施工过程质量控制，防水效果可以满足不渗不漏的要求。在工程使用中，也有采用水泥基渗透结晶型防水涂料与其他相容的防水材料复合使用的做法，起到防水增强作用，与其单独作为防水层的可靠性没有必然联系。</w:t>
      </w:r>
    </w:p>
    <w:p w14:paraId="1A0178E7">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bookmarkStart w:id="4" w:name="_Toc10174"/>
      <w:bookmarkStart w:id="5" w:name="_Toc24145"/>
      <w:bookmarkStart w:id="6" w:name="_Toc11158"/>
      <w:bookmarkStart w:id="7" w:name="_Toc18180"/>
      <w:bookmarkStart w:id="8" w:name="_Toc29290"/>
      <w:bookmarkStart w:id="9" w:name="_Toc2019"/>
      <w:bookmarkStart w:id="10" w:name="_Toc7357"/>
      <w:r>
        <w:rPr>
          <w:rFonts w:hint="eastAsia" w:asciiTheme="minorEastAsia" w:hAnsiTheme="minorEastAsia" w:eastAsiaTheme="minorEastAsia" w:cstheme="minorEastAsia"/>
          <w:color w:val="auto"/>
          <w:sz w:val="24"/>
          <w:highlight w:val="none"/>
          <w:lang w:val="en-US" w:eastAsia="zh-CN"/>
        </w:rPr>
        <w:t>4.材料</w:t>
      </w:r>
      <w:bookmarkEnd w:id="4"/>
      <w:bookmarkEnd w:id="5"/>
      <w:bookmarkEnd w:id="6"/>
      <w:bookmarkEnd w:id="7"/>
      <w:bookmarkEnd w:id="8"/>
      <w:bookmarkEnd w:id="9"/>
      <w:bookmarkEnd w:id="10"/>
    </w:p>
    <w:p w14:paraId="0EE14DD7">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4.0.4  采用水泥基渗透结晶型防水材料工程的防水效果，与其他防水密封材料也有密切关系，比如工程中选用的止水带、遇水膨胀止水条（胶）、密封胶等配套材料或与防水相关材料，其性能指标均应符合设计要求与相关标准的规定，才能保证防水工程整体质量。</w:t>
      </w:r>
    </w:p>
    <w:p w14:paraId="1B5B0D62">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5.设计</w:t>
      </w:r>
    </w:p>
    <w:p w14:paraId="5857A866">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5.1  一般规定</w:t>
      </w:r>
    </w:p>
    <w:p w14:paraId="7E252BF8">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5.1.1  水泥基渗透结晶型防水材料防水工程主要考虑工程类别、工程防水使用环境类别、工程地质条件、结构特点、环境及气候条件、材料性能等因素，确定防水等级和按相应等级进行防水设防，并应经技术经济分析选用适合、相容的材料实现设计要求的功能，确保防水设计、施工、验收和运行维护有据可依，本条要求工程防水应进行专项防水设计。</w:t>
      </w:r>
    </w:p>
    <w:p w14:paraId="21A8229E">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5.1.4～5.1.5  水泥基渗透结晶型防水材料与柔性防水材料使用相比较，有很多优势，可以用于混凝土结构和防水砂浆内掺，同时水泥基渗透结晶型防水涂料防水层既可设在结构迎水面，亦可设在结构的背水面。做法多样性，应保证防水层形成完整、连续、闭合的防水体系，尤其是内外防水层转换时，交接部位必须有防水层连接。</w:t>
      </w:r>
    </w:p>
    <w:p w14:paraId="16D5B754">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 xml:space="preserve">防水工程的细部构造应采用多道复合防水加强措施，细部构造的防水密封材料选用应因地制宜，需要用柔性材料的部位必须选用柔性材料，易变形部位如变形缝的防水密封，止水带就必须满足适应变形的要求。 </w:t>
      </w:r>
    </w:p>
    <w:p w14:paraId="611983DF">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5.1.6  对水泥基渗透结晶型防水材料与其他防水材料复合使用时提出了相关规定：</w:t>
      </w:r>
    </w:p>
    <w:p w14:paraId="7171B64C">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材料之间具有相容性，不得出现有害的化学反应和物理破坏，比如水泥基渗透结晶型涂料防水涂层上不应采用溶剂型涂料做防水层，因为溶剂涂料浸透水泥基渗透结晶型涂料防水涂层，限制和束缚了水泥基渗透结晶型涂料的渗透性，使其失去原有的特性；水泥基渗透结晶型防水涂料涂层很薄，在上面采用热熔法铺贴卷材，高温烘烤也会使其失去原有的特性。</w:t>
      </w:r>
    </w:p>
    <w:p w14:paraId="2BC0BC2D">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水泥基渗透结晶型材料形成的是刚性防水层，依据水泥基渗透结晶型防水涂料的防水机理，应设置在混凝土结构层上，不得设置在柔性防水材料防水层上，保证其更好发挥防水层作用。</w:t>
      </w:r>
    </w:p>
    <w:p w14:paraId="23739D82">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5.1.7  水泥基渗透结晶型防水涂料用于地下工程底板或顶板时，可刷涂或喷涂在混凝土表面，也可采用迎水面干撒水泥基渗透结晶型防水涂料的做法。迎水面干撒水泥基渗透结晶型防水涂料的做法，在实际工程施工中应用已经很普遍了，干撒的水泥基渗透结晶型防水涂料与迎水面混凝土拌合物混合在一起，形成一道刚性防水层，产生结晶并随水分向混凝土结构内部渗透，封堵裂缝，形成立体式防水构造。</w:t>
      </w:r>
    </w:p>
    <w:p w14:paraId="723AC6E9">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5.2  地下防水工程</w:t>
      </w:r>
    </w:p>
    <w:p w14:paraId="41C76ADA">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5.2.1  地下工程设防要求应根据工程的防水类别和工程防水使用环境类别确定防水等级，其中：</w:t>
      </w:r>
    </w:p>
    <w:p w14:paraId="77FF0012">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1  水泥基渗透结晶型防水材料中有两种主要防水材料，一种是是掺入防水混凝土或水泥防水砂浆拌合物中使用的水泥基渗透结晶型防水剂，另一种是刷涂刷或喷涂在水泥混凝土表面、亦可直接用于平面部位干撒施工的水泥基渗透结晶型防水涂料。</w:t>
      </w:r>
    </w:p>
    <w:p w14:paraId="40016933">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2  防水混凝土内掺水泥基渗透结晶型防水剂，根据结构混凝土厚度，可采用三种构造做法：</w:t>
      </w:r>
    </w:p>
    <w:p w14:paraId="22801125">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（1）所有防水混凝土均内掺水泥基渗透结晶型防水剂；</w:t>
      </w:r>
    </w:p>
    <w:p w14:paraId="043D975E">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（2）防水混凝土迎水面250mm厚度范围内掺水泥基渗透结晶型防水剂，其他部位防水混凝土可不掺水泥基渗透结晶型防水剂；</w:t>
      </w:r>
    </w:p>
    <w:p w14:paraId="55DE667E">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（3）当防水混凝土较厚时，可以采用迎水面厚度500mm范围内掺水泥基渗透结晶型防水剂，其余部分防水混凝土可不内掺水泥基渗透结晶型防水剂。</w:t>
      </w:r>
    </w:p>
    <w:p w14:paraId="1A0614FD">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防水混凝土是否采用分层内掺水泥基渗透结晶型防水剂做法，应根据具体工程情况确定，应具有施工可操作性。</w:t>
      </w:r>
    </w:p>
    <w:p w14:paraId="1B7A9508">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3  种植顶板如采用耐根穿刺卷材防水层时，选用聚乙烯丙纶卷材耐根穿刺卷材与水泥防水胶结料粘结的防水层，具有与基层适应性好、粘结紧密、不窜水、施工方便、经济合理等优势。</w:t>
      </w:r>
    </w:p>
    <w:p w14:paraId="56BCA67B">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bookmarkStart w:id="11" w:name="_Toc10944"/>
      <w:r>
        <w:rPr>
          <w:rFonts w:hint="eastAsia" w:asciiTheme="minorEastAsia" w:hAnsiTheme="minorEastAsia" w:eastAsiaTheme="minorEastAsia" w:cstheme="minorEastAsia"/>
          <w:color w:val="auto"/>
          <w:sz w:val="24"/>
          <w:highlight w:val="none"/>
          <w:lang w:val="en-US" w:eastAsia="zh-CN"/>
        </w:rPr>
        <w:t xml:space="preserve">5.2.2  </w:t>
      </w:r>
      <w:bookmarkEnd w:id="11"/>
      <w:r>
        <w:rPr>
          <w:rFonts w:hint="eastAsia" w:asciiTheme="minorEastAsia" w:hAnsiTheme="minorEastAsia" w:eastAsiaTheme="minorEastAsia" w:cstheme="minorEastAsia"/>
          <w:color w:val="auto"/>
          <w:sz w:val="24"/>
          <w:highlight w:val="none"/>
          <w:lang w:val="en-US" w:eastAsia="zh-CN"/>
        </w:rPr>
        <w:t>耐根穿刺层是具有阻止植物根系穿剌功能的构造层。耐根穿刺层铺设于柔性防水材料层之上，用于防止植物根系生长过程中刺穿其下的柔性防水材料，从而导致柔性防水层失效。但是刚性的混凝土结构自防水顶板无此顾虑，故不需要设置耐根穿刺层。</w:t>
      </w:r>
    </w:p>
    <w:p w14:paraId="424FA57B">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刚性防水材料不需要做耐根穿刺层，是因为钢筋混凝土最初就是以种植植物的花盆形式出现的。在1867年的巴黎世博会上，法国花匠约瑟夫·莫尼哀（JosephMonier，1823～1906）展示了他发明的钢筋混凝土，其标志性作品是钢筋混凝土花盆。由此算来，水泥花盆使用至今已有150多年的历史，迄今尚未发现有植物根系穿透无大裂缝水泥混凝土花盆的事例。</w:t>
      </w:r>
    </w:p>
    <w:p w14:paraId="1598625B">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另外，硅酸盐水泥混凝土内部的pH值大于12，是高碱性环境。一般的植物根系不可能在如此高的碱性环境中生存，因此就混凝土结构自防水顶板而言，完全没必要浪费资源设置耐根穿刺层。</w:t>
      </w:r>
    </w:p>
    <w:p w14:paraId="7507AB63">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在修订国家标准《地下工程防水技术规范》GB 50108—2008标准时，曾参照耐根穿刺试验标准，采用细石混凝土预制板拼接成箱进行耐根穿刺试验。种植试验近6年后翻箱检视，8只混凝土箱没有任何一个箱子有植物根刺入混凝土板。由此可见，配筋的细石混凝土，在潮湿状态下，完全不存在植物根系穿刺的问题。</w:t>
      </w:r>
    </w:p>
    <w:p w14:paraId="1180E92C">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在我国南方地区，特别是成渝地区，采用细石混凝土或水泥砂浆附加防水层用于种植屋面也有数十年的历史。另外，在种植屋面规程编制之初，进行全国实地调研时，即使采用柔性防水材料的种植屋面，绝大多数也没有设置耐根穿刺柔性防水层，只是在普通防水层之上施工砂浆或素混凝土，截止调研时，屋面一直正常使用。说明柔性耐根穿卷材（或涂膜）不是唯一的防止植物根系穿刺防水层的办法。2010年种植屋面相关课题在研究过程中所做的普查结果与上述结论大体吻合。补充调研是在深圳实地进行的，大多是在防水层之上施工砂浆或混凝土，其中有些工程规模较大，满植灌木林，截止到2011年，未发现渗漏。</w:t>
      </w:r>
    </w:p>
    <w:p w14:paraId="69A57C37">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本规范编制组调查了天津、海南等地采用混凝土结构自防水技术的地下工程种植顶板，这些地下室顶板仅采用混凝土结构自防水，都没有做柔性防水层和耐根穿刺层。调查结果表明，地下室都无渗漏，从内部观察，顶板没有发现任何植物根穿刺的迹象。</w:t>
      </w:r>
    </w:p>
    <w:p w14:paraId="3E69F14F">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罗斯、朱国梁在“针对JGJ 155—2013《种植屋面工程技术规程》耐根穿刺防水层设置的几点商榷意见”（建筑技术开发，第42卷第4期，2015年4月）一文中，根据几十年前未使用耐根穿刺性能防水材料的种植屋面，从未发生根系穿刺破坏屋面而渗漏的现象，对该技术规程的必要性、适用范围、试验检验依据及性能测试结果等提出质疑。</w:t>
      </w:r>
    </w:p>
    <w:p w14:paraId="33A9ACC9">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6.施工</w:t>
      </w:r>
    </w:p>
    <w:p w14:paraId="6769DF17">
      <w:pPr>
        <w:widowControl/>
        <w:shd w:val="clear" w:color="auto" w:fill="FFFFFF"/>
        <w:spacing w:line="360" w:lineRule="auto"/>
        <w:ind w:firstLine="480" w:firstLineChars="200"/>
        <w:jc w:val="left"/>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6.1  一般规定</w:t>
      </w:r>
    </w:p>
    <w:p w14:paraId="4E9AEFB7">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6.1.1  防水施工前，工程总包方、专业施工单位、工程监理单位等与防水工程相关方面应对图纸进行会审，悉防水设计方案和相关要求;专业施工队伍编制防水施工方案时，应对防水设计进一步细化和深化，经监理单位或建设单位等审核后实施，实施前应对操作人员进行安全培训和技术交底。</w:t>
      </w:r>
    </w:p>
    <w:p w14:paraId="5B604CBD">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6.1.5  根据水泥基渗透结晶型防水材料自身的性能，在遇水或水汽时有结块反应，与水泥的特性一致，所以材料的贮存与普通水泥贮存条件相同。</w:t>
      </w:r>
    </w:p>
    <w:p w14:paraId="29ADB299">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6.1.8  水泥基渗透结晶型防水剂可掺入到有防水要求的混凝土内，配制成结构自防水混凝土；同时也可以可掺入到有防水要求的水泥砂浆中，配制成水泥防水砂浆。本条文规定了水泥基渗透结晶型防水剂掺入到防水混凝土和水泥防水砂浆中的施工做法。</w:t>
      </w:r>
    </w:p>
    <w:p w14:paraId="7C54D3A5">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1  水泥基渗透结晶型防水剂可以在搅拌站添加，也可以在施工现场进行添加。在何地添加，应根据工程具体情况和相关条件来确定。</w:t>
      </w:r>
    </w:p>
    <w:p w14:paraId="5FAC4565">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2  采用混凝土搅拌运输车到达工地现场添加水泥基渗透结晶型防水剂的施工方法时，基本操作流程如下：</w:t>
      </w:r>
    </w:p>
    <w:p w14:paraId="110FED22">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（1）防水材料供应单位现场负责人应配合施工单位试验员对防水混凝土的工作性能进行抽检；</w:t>
      </w:r>
    </w:p>
    <w:p w14:paraId="47BF299D">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（2）防水材料供应单位专业工人根据配比实验的添加量和防水混凝土量准确称量防水剂粉料用量，并按照设计的比例将防水剂粉料与水配制成浆料；</w:t>
      </w:r>
    </w:p>
    <w:p w14:paraId="6F50E8EA">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（3）由防水材料供应单位专业工人将配制好的防水剂浆料倒入混凝土搅拌运输车搅拌罐内；</w:t>
      </w:r>
    </w:p>
    <w:p w14:paraId="65A9732B">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（4）添加浆料后的混凝土搅拌运输车搅拌不应小于5min，确保防水剂在混凝土中分布均匀；</w:t>
      </w:r>
    </w:p>
    <w:p w14:paraId="433A7DB1">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（5）防水剂添加全过程应采取复核、记录的措施，并在添加记录单上填写项目名称、施工部位、施工日期、混凝土搅拌运输车车号、防水混凝土方量、防水剂添加量及添加时间、添料人员签字。</w:t>
      </w:r>
    </w:p>
    <w:p w14:paraId="195D4425">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3  采用混凝土搅拌站添加水泥基渗透结晶型防水剂的施工方法时，应提前将物料整齐堆放到指定添料位置，防水材料供应单位应至少安排两名专业工人组成添料小组，一人为核算员，准确计算添加用量，另一人为操作员，负责称料、添加等实际操作。基本操作流程如下：</w:t>
      </w:r>
    </w:p>
    <w:p w14:paraId="13913790">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1）每盘防水混凝土搅拌前，由核算员告知添料人员准备配置的混凝土准确方量，操作员负责将称量好的防水剂粉料通过外加剂加料管道或骨料传送带送至搅拌仓内，防水剂粉料进入搅拌仓后，应先与混凝土干混料在搅拌仓搅拌2 min～3min，再加入水进行湿搅拌，按照混凝土规定的搅拌时间进行操作。</w:t>
      </w:r>
    </w:p>
    <w:p w14:paraId="74FB1693">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2）核算员应在混凝土小票上标注刚性防水剂字样，操作员应及时填写防水剂添料记录单，记录单上应体现项目名称、施工部位、施工日期、混凝土搅拌运输车车号、防水混凝土方量、防水剂添加量及添加时间，操作员应签字；</w:t>
      </w:r>
    </w:p>
    <w:p w14:paraId="4BF73BC5">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（3）混凝土搅拌站的防水材料添料小组应始终与防水材料供应单位现场负责人保持沟通，确保添加防水剂的混凝土搅拌运输车及时到达工地，并浇筑到指定的部位。</w:t>
      </w:r>
    </w:p>
    <w:p w14:paraId="0142B874">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4  施工是保证防水质量的关键，本款明确规定内掺水泥基渗透结晶型防水剂防水混凝土浇筑和防水砂浆的施工应符合相关标准规定，规范施工，管理到位。</w:t>
      </w:r>
    </w:p>
    <w:p w14:paraId="2CE41BDD">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5  防水混凝土养护非常重要，本条文规定了何时开始养护、养护方法和养护最少时间，防水砂浆的养护也应符合相关规定。</w:t>
      </w:r>
    </w:p>
    <w:p w14:paraId="6EA3B59E">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6.1.10  本条规定水泥基渗透结晶型防水涂料不得在大风时施工，这是因为水泥基渗透结晶型防水涂层在大风下易产生干裂从而降低或丧失防水能力。施工温度也会对水泥基渗透结晶型防水涂层的防水能力产生影响，当温度过高或过低时，防水涂层易产生干裂、冻裂或脱落，会引起活性物质的流失，从而降低或丧失防水能力。因此本条规定气温宜在5℃35℃。若采取保护施，例如温度过低时应采取保温措施，温度过高时采取多喷水保湿等，在保证活性物质不流失的前提下，施工可不受温度限制。此外，防水混凝土施工前及时排除基坑内的积水十分重要，施工过程中还应保证基坑处于无水状态。降雨、地面水的流入以及施工用水的积存都将增大防水混凝土拌和物配合比的水胶比，直接影响混凝土的密实性、抗渗性和抗压强度。同时，混凝土内掺加水泥基渗透结晶型防水剂后，渗透结晶反应形成的晶体会被水稀释，影响晶体封堵毛细孔的效果。</w:t>
      </w:r>
    </w:p>
    <w:p w14:paraId="73795184">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6.2  地下防水工程</w:t>
      </w:r>
    </w:p>
    <w:p w14:paraId="019D5B1A">
      <w:pPr>
        <w:widowControl/>
        <w:shd w:val="clear" w:color="auto" w:fill="FFFFFF"/>
        <w:spacing w:line="360" w:lineRule="auto"/>
        <w:ind w:firstLine="480" w:firstLineChars="200"/>
        <w:jc w:val="left"/>
        <w:rPr>
          <w:rFonts w:hint="default" w:asciiTheme="minorEastAsia" w:hAnsiTheme="minorEastAsia" w:eastAsiaTheme="minorEastAsia" w:cstheme="minorEastAsia"/>
          <w:color w:val="auto"/>
          <w:sz w:val="24"/>
          <w:highlight w:val="none"/>
          <w:lang w:val="en-US" w:eastAsia="zh-CN"/>
        </w:rPr>
      </w:pPr>
      <w:r>
        <w:rPr>
          <w:rFonts w:hint="default" w:asciiTheme="minorEastAsia" w:hAnsiTheme="minorEastAsia" w:eastAsiaTheme="minorEastAsia" w:cstheme="minorEastAsia"/>
          <w:color w:val="auto"/>
          <w:sz w:val="24"/>
          <w:highlight w:val="none"/>
          <w:lang w:val="en-US" w:eastAsia="zh-CN"/>
        </w:rPr>
        <w:t>6.2.1  有降水要求的地下工程，降水工作应持续至防水层施工质量验收合格后和主体结构施工完成、回填土完成并满足抗浮要求；室内设置房心土时，应在降水停止后检查底板、侧墙无渗漏时回填。</w:t>
      </w:r>
    </w:p>
    <w:p w14:paraId="0F7E7722">
      <w:pPr>
        <w:widowControl/>
        <w:shd w:val="clear" w:color="auto" w:fill="FFFFFF"/>
        <w:spacing w:line="360" w:lineRule="auto"/>
        <w:ind w:firstLine="480" w:firstLineChars="200"/>
        <w:jc w:val="left"/>
        <w:rPr>
          <w:rFonts w:hint="eastAsia" w:asciiTheme="minorEastAsia" w:hAnsiTheme="minorEastAsia" w:eastAsiaTheme="minorEastAsia" w:cstheme="minorEastAsia"/>
          <w:color w:val="auto"/>
          <w:sz w:val="24"/>
          <w:highlight w:val="none"/>
          <w:lang w:val="en-US" w:eastAsia="zh-CN"/>
        </w:rPr>
      </w:pPr>
      <w:r>
        <w:rPr>
          <w:rFonts w:hint="default" w:asciiTheme="minorEastAsia" w:hAnsiTheme="minorEastAsia" w:eastAsiaTheme="minorEastAsia" w:cstheme="minorEastAsia"/>
          <w:color w:val="auto"/>
          <w:sz w:val="24"/>
          <w:highlight w:val="none"/>
          <w:lang w:val="en-US" w:eastAsia="zh-CN"/>
        </w:rPr>
        <w:t>6.2.5  底板迎水面干撒水泥基渗透结晶型防水涂料，过早进行会造成粉料层受潮固结，不能均匀与混凝土混合在一起；或被风刮起，造成厚度不均，影响成品保护，同时也会扬尘，所以只要工序满足施工，干撒时间尽量不要提前过早，同时宜在混凝土浇筑前30min干撒结束，以免影响后道工序施工。底板背水面和顶板迎水面干撒水泥基渗透结晶型防水涂料施工，时间一定要严格掌握好，应在混凝土初凝前进行干撒，随撒随抹，将水泥基渗透结晶型防水涂料的粉料抹压到混凝土内。</w:t>
      </w:r>
    </w:p>
    <w:p w14:paraId="6FCD2B18">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7.工程渗漏治理</w:t>
      </w:r>
    </w:p>
    <w:p w14:paraId="586709E2">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bookmarkStart w:id="12" w:name="_Toc18277"/>
      <w:bookmarkStart w:id="13" w:name="_Toc15196"/>
      <w:bookmarkStart w:id="14" w:name="_Toc31037"/>
      <w:bookmarkStart w:id="15" w:name="_Toc8791"/>
      <w:bookmarkStart w:id="16" w:name="_Toc29931"/>
      <w:bookmarkStart w:id="17" w:name="_Toc5477"/>
      <w:r>
        <w:rPr>
          <w:rFonts w:hint="eastAsia" w:asciiTheme="minorEastAsia" w:hAnsiTheme="minorEastAsia" w:eastAsiaTheme="minorEastAsia" w:cstheme="minorEastAsia"/>
          <w:color w:val="auto"/>
          <w:sz w:val="24"/>
          <w:highlight w:val="none"/>
          <w:lang w:val="en-US" w:eastAsia="zh-CN" w:bidi="ar"/>
        </w:rPr>
        <w:t>7.1  一般规定</w:t>
      </w:r>
      <w:bookmarkEnd w:id="12"/>
      <w:bookmarkEnd w:id="13"/>
      <w:bookmarkEnd w:id="14"/>
      <w:bookmarkEnd w:id="15"/>
      <w:bookmarkEnd w:id="16"/>
      <w:bookmarkEnd w:id="17"/>
      <w:r>
        <w:rPr>
          <w:rFonts w:hint="eastAsia" w:asciiTheme="minorEastAsia" w:hAnsiTheme="minorEastAsia" w:eastAsiaTheme="minorEastAsia" w:cstheme="minorEastAsia"/>
          <w:color w:val="auto"/>
          <w:sz w:val="24"/>
          <w:highlight w:val="none"/>
          <w:lang w:val="en-US" w:eastAsia="zh-CN" w:bidi="ar"/>
        </w:rPr>
        <w:t xml:space="preserve"> </w:t>
      </w:r>
    </w:p>
    <w:p w14:paraId="60722BD4">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7.1.1  本章适用于采用渗透结晶型防水材料的防水工程渗漏水治理。有的工程在施工过程中或验收前就有渗水现象发生，为使工程达到设计的防水等级标准要求，工程验收前要对渗漏水的部位进行治理，符合设计要求后方可通过验收。</w:t>
      </w:r>
    </w:p>
    <w:p w14:paraId="596A8E8E">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7.1.2  渗漏水治理前，掌握工程原防排水设计、结构厚度、特点、施工记录和验收资料，是制定治理方案和选择堵漏材料的基础。</w:t>
      </w:r>
    </w:p>
    <w:p w14:paraId="357C5967">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7.1.4  收集资料是分析渗漏水原因、提出治理方案的前提条件之一，条文中提到的工程技术资料不一定每项都完全具体，但尽量收集齐全。</w:t>
      </w:r>
    </w:p>
    <w:p w14:paraId="60321596">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bookmarkStart w:id="18" w:name="_Toc6712"/>
      <w:bookmarkStart w:id="19" w:name="_Toc17720"/>
      <w:bookmarkStart w:id="20" w:name="_Toc28396"/>
      <w:bookmarkStart w:id="21" w:name="_Toc4082"/>
      <w:bookmarkStart w:id="22" w:name="_Toc26167"/>
      <w:bookmarkStart w:id="23" w:name="_Toc18997"/>
      <w:r>
        <w:rPr>
          <w:rFonts w:hint="eastAsia" w:asciiTheme="minorEastAsia" w:hAnsiTheme="minorEastAsia" w:eastAsiaTheme="minorEastAsia" w:cstheme="minorEastAsia"/>
          <w:color w:val="auto"/>
          <w:sz w:val="24"/>
          <w:highlight w:val="none"/>
          <w:lang w:val="en-US" w:eastAsia="zh-CN" w:bidi="ar"/>
        </w:rPr>
        <w:t xml:space="preserve">7.2 </w:t>
      </w:r>
      <w:bookmarkEnd w:id="18"/>
      <w:bookmarkEnd w:id="19"/>
      <w:bookmarkEnd w:id="20"/>
      <w:bookmarkEnd w:id="21"/>
      <w:bookmarkEnd w:id="22"/>
      <w:bookmarkEnd w:id="23"/>
      <w:r>
        <w:rPr>
          <w:rFonts w:hint="eastAsia" w:asciiTheme="minorEastAsia" w:hAnsiTheme="minorEastAsia" w:eastAsiaTheme="minorEastAsia" w:cstheme="minorEastAsia"/>
          <w:color w:val="auto"/>
          <w:sz w:val="24"/>
          <w:highlight w:val="none"/>
          <w:lang w:val="en-US" w:eastAsia="zh-CN" w:bidi="ar"/>
        </w:rPr>
        <w:t xml:space="preserve"> 堵漏材料 </w:t>
      </w:r>
    </w:p>
    <w:p w14:paraId="30917F0F">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7.2.2  由于单纯的超细水泥、水泥-水玻璃或水泥基灌浆材料还不能完全满足除围岩注浆堵水以外的既有地下工程注浆止水堵漏要求，而根据需要掺加符合国家或行业标准要求的外加剂，能够改善浆体材料抗离析性能，调整凝结时间、提高固结体抗渗性、抗压强度及粘结性能，满足注浆堵漏或补强的要求。近年来随着外加剂技术的提升和水泥基注浆设备小型化的完善和普及，超细水泥、水泥-水玻璃或水泥基灌浆材料等注浆堵漏技术在地下工程渗漏治理中应用越来越多。针对地下工程底板的后浇带、变形缝、施工缝等渗漏水，采用掺加外加剂的超细水泥或水泥-水玻璃灌浆材料，通过钻斜孔壁后注浆堵水，同时在迎水面施工耐久性良好的水泥基防水屏障，这样既达到了止水堵漏的目的又节省了材料成本，工程管理方也希望能使用“水泥”来堵漏或修复混凝土缺陷，因此值得推广使用。掺加外加剂的超细水泥、水泥-水玻璃或水泥基灌浆材料的凝结时间，需要根据地下水压力、环境温度等条件，通过现场试验调整水玻璃或速凝剂用量以此来确定适宜的浆液凝结固化时间。</w:t>
      </w:r>
    </w:p>
    <w:p w14:paraId="7FFE5A2B">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 xml:space="preserve">7.2.4  建筑密封材料分为制品型和腻子型。除了止水带以外，其他与渗漏水治理相关的产品要求如下： </w:t>
      </w:r>
    </w:p>
    <w:p w14:paraId="7C973F08">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 xml:space="preserve">1  遇水膨胀止水条(胶)膨胀后的体积应大于受限空间的体积，否则难以达到止水效果。 </w:t>
      </w:r>
    </w:p>
    <w:p w14:paraId="17D14F6F">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 xml:space="preserve">2  在背水面使用高模量的密封材料主要是考虑其更适应在水压下形变的需要。背衬材料的作用是：(1)控制密封材料厚度；(2)避免出现三面粘结；(3)有助于形成密封截面形状。因此要设置背衬材料。 </w:t>
      </w:r>
    </w:p>
    <w:p w14:paraId="55E8F93C">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 xml:space="preserve">7.2.5  混凝土结构内注浆的目的是堵水或补强。混凝土是密实性良好的材料，一般内部缺陷很小，粗颗粒的材料如水泥浆液很难注入细微缺陷内部。因此必须选择渗透性能、可灌性好的灌浆材料，使其在一定压力下渗入混凝土结构缺陷内快速发泡胶凝、固结填充缺陷空间起到堵水的作用。掺加外加剂的超细水泥、水泥-水玻璃或水泥基灌浆材料对环境不存在污染，在一些地下工程渗漏水治理应用中取得了较好的堵漏、补强效果。当水泥基灌浆材料仍达不到堵漏要求时，可采用聚氨酯或丙烯酸盐灌浆材料止水或其他措施止水；当有补强要求且缺陷较小时，宜采用改性环氧树脂灌浆材料注浆补强；变形缝渗漏宜选用聚氨酯或丙烯酸盐等化学注浆材料。 </w:t>
      </w:r>
    </w:p>
    <w:p w14:paraId="71C00575">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7.2.6  采用防水砂浆抹面修复缺陷和重新建立防水层，具有应用历史长、效果好、经验成熟等优点。与普通防水砂浆相比，掺加防水剂的水泥砂浆和聚合物防水砂浆具有更好的性能，故推荐使用。</w:t>
      </w:r>
    </w:p>
    <w:p w14:paraId="36E960A8">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 xml:space="preserve">防水涂料由于施工简便，可在各种形状的部位进行涂布，因此在地下工程渗漏水治理中经常用到。防水涂料的种类很多，每种涂料有其一定的使用范围，由于渗漏水治理是在背水面作业，对防水涂料的粘结性有较高的要求，因此最好选择与基面粘结强度高和抗渗性较好的材料，使用时应根据地下工程防水特点、材料性能和施工经验，灵活选用。 </w:t>
      </w:r>
    </w:p>
    <w:p w14:paraId="27F969BD">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在渗漏水治理中经常使用的防水涂料有水泥基无机防水涂料、水泥基渗透结晶型防水涂料及聚合物水泥防水涂料。</w:t>
      </w:r>
    </w:p>
    <w:p w14:paraId="52D11E54">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7.3  方案设计</w:t>
      </w:r>
    </w:p>
    <w:p w14:paraId="02E97A84">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 xml:space="preserve">7.3.1  现行行业标准《地下工程渗漏治理技术规程》JGJ/T 212，对地下工程不同结构形式的渗水情况提出了相应的治理方法，在进行渗漏水治理方案制定时，可作参考。 </w:t>
      </w:r>
    </w:p>
    <w:p w14:paraId="6E2AEBC8">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 xml:space="preserve">7.3.2  裂缝渗漏水一般根据漏水量和水压力采取相应堵漏措施。对于水压较小和渗水量不大的裂缝或孔洞，可沿裂缝剔凿成较小深度和宽度的“V”型槽，槽内用速凝型无机防水堵漏材料填压密实。对于水压和渗水量较大的裂缝采用注浆的方法进行处理。常用的注浆止水材料有聚氨酯、丙烯酸盐等，当裂缝宽度较大时，可采用掺加外加剂的超细水泥、水泥-水玻璃或水泥基灌浆材料。裂缝渗漏水处理完毕后，表面再用防水砂浆、聚合物防水砂浆或防水涂料等加强处理。注浆孔的布置、孔深度、间距及注浆压力等，以注浆达到“饱和填充缺陷”为准。不同的灌浆材料凝胶或凝结时间不同，且受环境温度影响很大，故需根据基层裂缝大小、地下水压力、浆材种类、结构厚度、环境条件及工程要求现场调整。原则是在达到注浆目的的同时，还能满足施工方便、造价经济、安全耐久的要求。 </w:t>
      </w:r>
    </w:p>
    <w:p w14:paraId="61D74C0B">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 xml:space="preserve">7.3.3  环氧树脂灌浆材料、水泥基灌浆材料，强度高、粘结性能好，适用于混凝土或围岩裂隙补强。需要补强的部位，裂缝宽度较小时，宜采用环氧树脂灌浆材料注浆补强；裂缝宽度较大时，可采用水泥基灌浆材料注浆补强。 </w:t>
      </w:r>
    </w:p>
    <w:p w14:paraId="2ABBE778">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 xml:space="preserve">7.3.4  喷射混凝土和锚杆联合支护，不但是安全可靠的支护形式，而且是在岩土层中构筑地下工程较为优越的衬砌结构形式。这种方法在铁路隧道、公路等矿山法隧道、矿井、坑道等地下工程中大量采用。锚喷支护一般作为临时支护来考虑，作为永久衬砌则必须解决好防水问题。 </w:t>
      </w:r>
    </w:p>
    <w:p w14:paraId="7A5C34D2">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 xml:space="preserve">喷射混凝土施工前，要对围岩渗漏水情况进行调查，对不同的渗漏水形式采用不同的防水措施。明显的裂隙渗漏水和漏水点，可采用下弹簧管、半圆铁皮或钻孔引流等方法将水排走。无明显渗漏水或间歇性渗水地段，可采用速凝型无机防水堵漏材料做局部防水层。当裂隙水压大或渗漏水量大时，则需采用钻孔注浆的方法堵水，注浆孔深度与间距根据围岩情况和裂隙渗漏水情况而定。 </w:t>
      </w:r>
    </w:p>
    <w:p w14:paraId="666AA5FA">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 xml:space="preserve">7.3.5  由于细部构造防水施工较困难经常发生止水带固定不牢，位置不准确，石子过于集中在止水带附近或振捣不密实等现象，导致发生渗漏。 </w:t>
      </w:r>
    </w:p>
    <w:p w14:paraId="6C35ABA1">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施工缝渗漏一般采用注浆止水、嵌缝堵漏和表面设置防水层等方法处理。穿墙管与预埋件渗漏可将穿墙管或预埋件周围的混凝土凿开，找出最大漏水点后，用速凝型无机防水堵漏材料或注浆的方法止水，然后涂刷防水涂料或嵌填密封防水材料，最后根据工程需要采用聚合物防水砂浆进行表面保护。</w:t>
      </w:r>
    </w:p>
    <w:p w14:paraId="6DB4928D">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在变形缝渗漏水治理过程中，涌现出许多好的作法，如内置式接缝密封系统，其原理是利用被压缩的多孔、高弹性橡胶棒在接缝中产生的回弹力实现接缝的密封。但该系统要求变形缝宽度一致且两侧混凝土坚实平整，并使用专用设备施工，与之相似的还有在中空的弹性橡胶带中充气，利用气压及配套胶粘剂进行接缝的密封防水。又如用于变形缝的内装可卸式式密封止水带，采用聚乙烯（PVC）、氯磺化聚乙烯等为材质的专用密封止水带，并用配套胶粘剂粘结固定。也可采用厚度不小于2mm宽度不小于200mm的丁基橡胶防水密封胶粘带。另外，柱网结构顶板的变形缝或受现场施工条件限制的变形缝渗漏采用上述方法治理很困难，可通过注浆止水，再安装排水装置将渗漏水排至工程排水系统。变形缝上部有条件挖开时，宜从迎水面治理。</w:t>
      </w:r>
    </w:p>
    <w:p w14:paraId="2FAB0FBF">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7.4  堵漏施工</w:t>
      </w:r>
    </w:p>
    <w:p w14:paraId="545D8F7C">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 xml:space="preserve">7.4.1  按照渗漏治理方案施工，是保证工程达到设计防水等级的基本要求，对确保渗漏治理施工质量至关重要；对主要施工操作人员进行技术和安全交底，使之掌握材料基本性能、工艺步骤及注意事项等，是确保治理工程质量和安全的首要条件 </w:t>
      </w:r>
    </w:p>
    <w:p w14:paraId="44CBDF62">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 xml:space="preserve">7.4.2  在渗漏水治理的各道工序中，有的属于隐蔽工序，如嵌缝作业的基面处理、注浆工序等，它关系到防水治理的质量好坏，因此要做好施工中的各项记录工作，随时进行检查，发现问题及时处理，上道工序未经验收合格，不得进行下道工序的施工，是确保渗漏水治理工程质量的关键因素。 </w:t>
      </w:r>
    </w:p>
    <w:p w14:paraId="3D773D30">
      <w:pPr>
        <w:shd w:val="clear" w:color="auto" w:fill="FFFFFF"/>
        <w:spacing w:line="360" w:lineRule="auto"/>
        <w:ind w:firstLine="480" w:firstLineChars="200"/>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 xml:space="preserve">7.4.3  地下工程渗漏水治理中要重视排水工作，主要是将水量大的渗漏水排走，目的是减小渗漏水压，给渗漏水治理创造条件。排水的方法通常有两种，一种是自流排水，另一种是机械排水，当条件允许时尽可能采取自流排水，只有受到条件限制的时候，才将渗漏水通过排水沟引至集水井内，用水泵定期将水排出。 </w:t>
      </w:r>
    </w:p>
    <w:p w14:paraId="325F007B">
      <w:pPr>
        <w:shd w:val="clear" w:color="auto" w:fill="FFFFFF"/>
        <w:spacing w:line="360" w:lineRule="auto"/>
        <w:ind w:firstLine="480" w:firstLineChars="200"/>
        <w:rPr>
          <w:rFonts w:hint="eastAsia"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渗漏水治理时若采取了排水措施，应防止排水可能造成的危害，如地基不均匀下沉等</w:t>
      </w:r>
      <w:r>
        <w:rPr>
          <w:rFonts w:hint="eastAsia" w:asciiTheme="minorEastAsia" w:hAnsiTheme="minorEastAsia" w:eastAsiaTheme="minorEastAsia" w:cstheme="minorEastAsia"/>
          <w:color w:val="auto"/>
          <w:sz w:val="24"/>
          <w:highlight w:val="none"/>
          <w:lang w:val="en-US" w:eastAsia="zh-CN" w:bidi="ar"/>
        </w:rPr>
        <w:t>。</w:t>
      </w:r>
    </w:p>
    <w:p w14:paraId="68062445">
      <w:pPr>
        <w:keepNext w:val="0"/>
        <w:keepLines w:val="0"/>
        <w:pageBreakBefore w:val="0"/>
        <w:widowControl w:val="0"/>
        <w:shd w:val="clear" w:color="auto" w:fill="FFFFFF"/>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8.质量验收</w:t>
      </w:r>
    </w:p>
    <w:p w14:paraId="0D4A1001">
      <w:pPr>
        <w:keepNext w:val="0"/>
        <w:keepLines w:val="0"/>
        <w:pageBreakBefore w:val="0"/>
        <w:widowControl w:val="0"/>
        <w:shd w:val="clear" w:color="auto" w:fill="FFFFFF"/>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8.1  一般规定</w:t>
      </w:r>
    </w:p>
    <w:p w14:paraId="36BAA1B7">
      <w:pPr>
        <w:keepNext w:val="0"/>
        <w:keepLines w:val="0"/>
        <w:pageBreakBefore w:val="0"/>
        <w:widowControl w:val="0"/>
        <w:shd w:val="clear" w:color="auto" w:fill="FFFFFF"/>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8.1.1  本条规定了防水工程施工质量验收时应提供的主要文件和记录，体现了由分项工程开始到防水工程完成整个施工中质量控制的基本原则，是确保工程质量的重要依据。防水工程的全部验收资料必须真实、准确，不得有涂改和伪造，经施工单位各级技术负责人及监理单位技术负责人核查确认和签字后方为有效。</w:t>
      </w:r>
    </w:p>
    <w:p w14:paraId="79D79564">
      <w:pPr>
        <w:keepNext w:val="0"/>
        <w:keepLines w:val="0"/>
        <w:pageBreakBefore w:val="0"/>
        <w:widowControl w:val="0"/>
        <w:shd w:val="clear" w:color="auto" w:fill="FFFFFF"/>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cstheme="minorEastAsia"/>
          <w:color w:val="auto"/>
          <w:sz w:val="24"/>
          <w:highlight w:val="none"/>
          <w:lang w:val="en-US" w:eastAsia="zh-CN" w:bidi="ar"/>
        </w:rPr>
      </w:pPr>
      <w:r>
        <w:rPr>
          <w:rFonts w:hint="default" w:asciiTheme="minorEastAsia" w:hAnsiTheme="minorEastAsia" w:eastAsiaTheme="minorEastAsia" w:cstheme="minorEastAsia"/>
          <w:color w:val="auto"/>
          <w:sz w:val="24"/>
          <w:highlight w:val="none"/>
          <w:lang w:val="en-US" w:eastAsia="zh-CN" w:bidi="ar"/>
        </w:rPr>
        <w:t>8.1.2  水泥基渗透结晶型防水涂料、水泥基渗透结晶型防水剂复验项目中抗渗性，是复验砂浆抗渗性能还是混凝土抗渗性能，由供需方根据具体工程商定。</w:t>
      </w:r>
    </w:p>
    <w:p w14:paraId="5D283A45">
      <w:pPr>
        <w:keepNext w:val="0"/>
        <w:keepLines w:val="0"/>
        <w:pageBreakBefore w:val="0"/>
        <w:widowControl w:val="0"/>
        <w:shd w:val="clear" w:color="auto" w:fill="FFFFFF"/>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8.6  渗漏治理工程</w:t>
      </w:r>
    </w:p>
    <w:p w14:paraId="208E68C6">
      <w:pPr>
        <w:keepNext w:val="0"/>
        <w:keepLines w:val="0"/>
        <w:pageBreakBefore w:val="0"/>
        <w:widowControl w:val="0"/>
        <w:shd w:val="clear" w:color="auto" w:fill="FFFFFF"/>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lang w:val="en-US" w:eastAsia="zh-CN" w:bidi="ar"/>
        </w:rPr>
      </w:pPr>
      <w:r>
        <w:rPr>
          <w:rFonts w:hint="eastAsia" w:asciiTheme="minorEastAsia" w:hAnsiTheme="minorEastAsia" w:eastAsiaTheme="minorEastAsia" w:cstheme="minorEastAsia"/>
          <w:color w:val="auto"/>
          <w:sz w:val="24"/>
          <w:highlight w:val="none"/>
          <w:lang w:val="en-US" w:eastAsia="zh-CN" w:bidi="ar"/>
        </w:rPr>
        <w:t>因渗漏原因及渗漏状况的多样性，所采用的施工工艺、材料也很多,本节参照《地下工程渗漏治理技术规程》JGJ/T 212-2010中的验收标准编制，给出了可在实际渗漏治理工作中选用的相应主控项目和一般项目。</w:t>
      </w:r>
    </w:p>
    <w:p w14:paraId="42B5AC42">
      <w:pPr>
        <w:keepNext w:val="0"/>
        <w:keepLines w:val="0"/>
        <w:pageBreakBefore w:val="0"/>
        <w:widowControl w:val="0"/>
        <w:shd w:val="clear" w:color="auto" w:fill="FFFFFF"/>
        <w:kinsoku/>
        <w:wordWrap/>
        <w:overflowPunct/>
        <w:topLinePunct w:val="0"/>
        <w:autoSpaceDE/>
        <w:autoSpaceDN/>
        <w:bidi w:val="0"/>
        <w:adjustRightInd/>
        <w:snapToGrid/>
        <w:spacing w:before="162" w:beforeLines="50" w:after="162" w:afterLines="50" w:line="360" w:lineRule="auto"/>
        <w:ind w:firstLine="0" w:firstLineChars="0"/>
        <w:textAlignment w:val="auto"/>
        <w:outlineLvl w:val="2"/>
        <w:rPr>
          <w:rFonts w:hint="eastAsia" w:ascii="黑体" w:hAnsi="黑体" w:eastAsia="黑体" w:cs="黑体"/>
          <w:color w:val="auto"/>
          <w:sz w:val="24"/>
          <w:highlight w:val="none"/>
        </w:rPr>
      </w:pPr>
      <w:r>
        <w:rPr>
          <w:rFonts w:hint="eastAsia" w:ascii="黑体" w:hAnsi="黑体" w:eastAsia="黑体" w:cs="黑体"/>
          <w:color w:val="auto"/>
          <w:sz w:val="24"/>
          <w:highlight w:val="none"/>
        </w:rPr>
        <w:t>（三）标准创新点</w:t>
      </w:r>
    </w:p>
    <w:p w14:paraId="1EEAE908">
      <w:pPr>
        <w:shd w:val="clear" w:color="auto" w:fill="FFFFFF"/>
        <w:spacing w:line="360" w:lineRule="auto"/>
        <w:ind w:firstLine="480" w:firstLineChars="200"/>
        <w:rPr>
          <w:rFonts w:ascii="宋体" w:hAnsi="宋体"/>
          <w:color w:val="auto"/>
          <w:sz w:val="24"/>
          <w:highlight w:val="none"/>
        </w:rPr>
      </w:pPr>
      <w:r>
        <w:rPr>
          <w:rFonts w:hint="eastAsia" w:ascii="宋体" w:hAnsi="宋体"/>
          <w:color w:val="auto"/>
          <w:sz w:val="24"/>
          <w:highlight w:val="none"/>
        </w:rPr>
        <w:t>相较于</w:t>
      </w:r>
      <w:r>
        <w:rPr>
          <w:rFonts w:ascii="宋体" w:hAnsi="宋体"/>
          <w:color w:val="auto"/>
          <w:sz w:val="24"/>
          <w:highlight w:val="none"/>
        </w:rPr>
        <w:t>已有</w:t>
      </w:r>
      <w:r>
        <w:rPr>
          <w:rFonts w:hint="eastAsia" w:ascii="宋体" w:hAnsi="宋体"/>
          <w:color w:val="auto"/>
          <w:sz w:val="24"/>
          <w:highlight w:val="none"/>
        </w:rPr>
        <w:t>相关</w:t>
      </w:r>
      <w:r>
        <w:rPr>
          <w:rFonts w:ascii="宋体" w:hAnsi="宋体"/>
          <w:color w:val="auto"/>
          <w:sz w:val="24"/>
          <w:highlight w:val="none"/>
        </w:rPr>
        <w:t>标准，本</w:t>
      </w:r>
      <w:r>
        <w:rPr>
          <w:rFonts w:hint="eastAsia" w:ascii="宋体" w:hAnsi="宋体"/>
          <w:color w:val="auto"/>
          <w:sz w:val="24"/>
          <w:highlight w:val="none"/>
          <w:lang w:val="en-US" w:eastAsia="zh-CN"/>
        </w:rPr>
        <w:t>规范</w:t>
      </w:r>
      <w:r>
        <w:rPr>
          <w:rFonts w:hint="eastAsia" w:ascii="宋体" w:hAnsi="宋体"/>
          <w:color w:val="auto"/>
          <w:sz w:val="24"/>
          <w:highlight w:val="none"/>
        </w:rPr>
        <w:t>详细</w:t>
      </w:r>
      <w:r>
        <w:rPr>
          <w:rFonts w:ascii="宋体" w:hAnsi="宋体"/>
          <w:color w:val="auto"/>
          <w:sz w:val="24"/>
          <w:highlight w:val="none"/>
        </w:rPr>
        <w:t>提出了</w:t>
      </w:r>
      <w:r>
        <w:rPr>
          <w:rFonts w:hint="eastAsia" w:ascii="宋体" w:hAnsi="宋体"/>
          <w:color w:val="auto"/>
          <w:sz w:val="24"/>
          <w:highlight w:val="none"/>
          <w:lang w:val="en-US" w:eastAsia="zh-CN"/>
        </w:rPr>
        <w:t>水泥基渗透结晶型防水材料在不同类型工程、使用部位的使用要求、厚度与用量控制关系、设计节点处理、施工、渗漏治理等方面的具体条款</w:t>
      </w:r>
      <w:r>
        <w:rPr>
          <w:rFonts w:ascii="宋体" w:hAnsi="宋体"/>
          <w:color w:val="auto"/>
          <w:sz w:val="24"/>
          <w:highlight w:val="none"/>
        </w:rPr>
        <w:t>，实操性</w:t>
      </w:r>
      <w:r>
        <w:rPr>
          <w:rFonts w:hint="eastAsia" w:ascii="宋体" w:hAnsi="宋体"/>
          <w:color w:val="auto"/>
          <w:sz w:val="24"/>
          <w:highlight w:val="none"/>
        </w:rPr>
        <w:t>强。具体</w:t>
      </w:r>
      <w:r>
        <w:rPr>
          <w:rFonts w:ascii="宋体" w:hAnsi="宋体"/>
          <w:color w:val="auto"/>
          <w:sz w:val="24"/>
          <w:highlight w:val="none"/>
        </w:rPr>
        <w:t>见</w:t>
      </w:r>
      <w:r>
        <w:rPr>
          <w:rFonts w:hint="eastAsia" w:ascii="宋体" w:hAnsi="宋体"/>
          <w:color w:val="auto"/>
          <w:sz w:val="24"/>
          <w:highlight w:val="none"/>
        </w:rPr>
        <w:t>表2</w:t>
      </w:r>
      <w:r>
        <w:rPr>
          <w:rFonts w:ascii="宋体" w:hAnsi="宋体"/>
          <w:color w:val="auto"/>
          <w:sz w:val="24"/>
          <w:highlight w:val="none"/>
        </w:rPr>
        <w:t>。</w:t>
      </w:r>
    </w:p>
    <w:p w14:paraId="629A839A">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0" w:firstLineChars="0"/>
        <w:jc w:val="center"/>
        <w:textAlignment w:val="auto"/>
        <w:rPr>
          <w:rFonts w:hint="eastAsia" w:ascii="黑体" w:hAnsi="黑体" w:eastAsia="黑体" w:cs="黑体"/>
          <w:b w:val="0"/>
          <w:bCs/>
          <w:color w:val="auto"/>
          <w:spacing w:val="0"/>
          <w:kern w:val="2"/>
          <w:sz w:val="24"/>
          <w:szCs w:val="24"/>
          <w:lang w:val="en-US" w:eastAsia="zh-CN"/>
        </w:rPr>
      </w:pPr>
      <w:r>
        <w:rPr>
          <w:rFonts w:hint="eastAsia" w:ascii="黑体" w:hAnsi="黑体" w:eastAsia="黑体" w:cs="黑体"/>
          <w:b w:val="0"/>
          <w:bCs/>
          <w:color w:val="auto"/>
          <w:spacing w:val="0"/>
          <w:kern w:val="2"/>
          <w:sz w:val="24"/>
          <w:szCs w:val="24"/>
          <w:lang w:val="en-US" w:eastAsia="zh-CN"/>
        </w:rPr>
        <w:t>表2  本标准创新点</w:t>
      </w:r>
    </w:p>
    <w:tbl>
      <w:tblPr>
        <w:tblStyle w:val="11"/>
        <w:tblW w:w="0" w:type="auto"/>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108" w:type="dxa"/>
          <w:bottom w:w="0" w:type="dxa"/>
          <w:right w:w="108" w:type="dxa"/>
        </w:tblCellMar>
      </w:tblPr>
      <w:tblGrid>
        <w:gridCol w:w="3478"/>
        <w:gridCol w:w="5390"/>
      </w:tblGrid>
      <w:tr w14:paraId="60992CB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top"/>
          </w:tcPr>
          <w:p w14:paraId="1BEAC38B">
            <w:pPr>
              <w:shd w:val="clear" w:color="auto" w:fill="FFFFFF"/>
              <w:spacing w:line="360" w:lineRule="auto"/>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创新点</w:t>
            </w:r>
          </w:p>
        </w:tc>
        <w:tc>
          <w:tcPr>
            <w:tcW w:w="5390" w:type="dxa"/>
            <w:noWrap w:val="0"/>
            <w:vAlign w:val="top"/>
          </w:tcPr>
          <w:p w14:paraId="12E7C426">
            <w:pPr>
              <w:shd w:val="clear" w:color="auto" w:fill="FFFFFF"/>
              <w:spacing w:line="360" w:lineRule="auto"/>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具体说明</w:t>
            </w:r>
          </w:p>
        </w:tc>
      </w:tr>
      <w:tr w14:paraId="749C669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center"/>
          </w:tcPr>
          <w:p w14:paraId="332FC4A7">
            <w:pPr>
              <w:shd w:val="clear" w:color="auto" w:fill="FFFFFF"/>
              <w:spacing w:line="360" w:lineRule="auto"/>
              <w:jc w:val="both"/>
              <w:rPr>
                <w:rFonts w:hint="default"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sz w:val="21"/>
                <w:szCs w:val="20"/>
                <w:lang w:val="en-US" w:eastAsia="zh-CN"/>
              </w:rPr>
              <w:t>配套建材行业标准《水泥基渗透结晶型防水材料》GB/T 18445—2025，优化了该材料物理力学性能指标和自修复能力。</w:t>
            </w:r>
          </w:p>
        </w:tc>
        <w:tc>
          <w:tcPr>
            <w:tcW w:w="5390" w:type="dxa"/>
            <w:noWrap w:val="0"/>
            <w:vAlign w:val="center"/>
          </w:tcPr>
          <w:p w14:paraId="31A8CDEE">
            <w:pPr>
              <w:pStyle w:val="18"/>
              <w:tabs>
                <w:tab w:val="left" w:pos="745"/>
              </w:tabs>
              <w:spacing w:line="360" w:lineRule="auto"/>
              <w:ind w:left="0" w:leftChars="0" w:firstLine="0" w:firstLineChars="0"/>
              <w:jc w:val="left"/>
              <w:rPr>
                <w:rFonts w:hint="eastAsia" w:asciiTheme="minorEastAsia" w:hAnsiTheme="minorEastAsia" w:eastAsiaTheme="minorEastAsia" w:cstheme="minorEastAsia"/>
                <w:szCs w:val="21"/>
                <w:lang w:eastAsia="zh-CN"/>
              </w:rPr>
            </w:pPr>
            <w:r>
              <w:rPr>
                <w:rFonts w:ascii="Times New Roman" w:hAnsi="Times New Roman" w:cs="Times New Roman"/>
                <w:b/>
                <w:bCs/>
                <w:szCs w:val="21"/>
                <w:lang w:eastAsia="zh-CN"/>
              </w:rPr>
              <w:t>4</w:t>
            </w:r>
            <w:r>
              <w:rPr>
                <w:rFonts w:ascii="Times New Roman" w:hAnsi="Times New Roman" w:cs="Times New Roman"/>
                <w:b/>
                <w:bCs/>
                <w:spacing w:val="20"/>
                <w:szCs w:val="21"/>
                <w:lang w:eastAsia="zh-CN"/>
              </w:rPr>
              <w:t>.</w:t>
            </w:r>
            <w:r>
              <w:rPr>
                <w:rFonts w:hint="eastAsia" w:ascii="Times New Roman" w:hAnsi="Times New Roman" w:cs="Times New Roman"/>
                <w:b/>
                <w:bCs/>
                <w:szCs w:val="21"/>
                <w:lang w:eastAsia="zh-CN"/>
              </w:rPr>
              <w:t>0</w:t>
            </w:r>
            <w:r>
              <w:rPr>
                <w:rFonts w:ascii="Times New Roman" w:hAnsi="Times New Roman" w:cs="Times New Roman"/>
                <w:b/>
                <w:bCs/>
                <w:spacing w:val="20"/>
                <w:szCs w:val="21"/>
                <w:lang w:eastAsia="zh-CN"/>
              </w:rPr>
              <w:t>.</w:t>
            </w:r>
            <w:r>
              <w:rPr>
                <w:rFonts w:ascii="Times New Roman" w:hAnsi="Times New Roman" w:cs="Times New Roman"/>
                <w:b/>
                <w:bCs/>
                <w:szCs w:val="21"/>
                <w:lang w:eastAsia="zh-CN"/>
              </w:rPr>
              <w:t>2</w:t>
            </w:r>
            <w:r>
              <w:rPr>
                <w:rFonts w:hint="eastAsia"/>
                <w:b/>
                <w:bCs/>
                <w:kern w:val="0"/>
                <w:szCs w:val="21"/>
                <w:lang w:eastAsia="zh-CN"/>
              </w:rPr>
              <w:t xml:space="preserve">  </w:t>
            </w:r>
            <w:r>
              <w:rPr>
                <w:rFonts w:hint="eastAsia"/>
                <w:szCs w:val="21"/>
                <w:lang w:eastAsia="zh-CN"/>
              </w:rPr>
              <w:t>水泥基渗透结晶型防水涂料的主</w:t>
            </w:r>
            <w:r>
              <w:rPr>
                <w:rFonts w:hint="eastAsia" w:asciiTheme="minorEastAsia" w:hAnsiTheme="minorEastAsia" w:eastAsiaTheme="minorEastAsia" w:cstheme="minorEastAsia"/>
                <w:szCs w:val="21"/>
                <w:lang w:eastAsia="zh-CN"/>
              </w:rPr>
              <w:t>要性能指标应符合表4.0.2-1的规定，水泥基渗透结晶型防水剂的主要性能指标应符合表4.0.2-2的规定。试验方法按现行国家标准《水泥基渗透结晶型防水材料》GB/T 18445的规定进行。</w:t>
            </w:r>
          </w:p>
          <w:p w14:paraId="14F30D99">
            <w:pPr>
              <w:pStyle w:val="18"/>
              <w:spacing w:line="360" w:lineRule="auto"/>
              <w:ind w:left="0" w:leftChars="0" w:firstLine="0" w:firstLineChars="0"/>
              <w:jc w:val="left"/>
              <w:rPr>
                <w:rFonts w:hint="eastAsia" w:asciiTheme="minorEastAsia" w:hAnsiTheme="minorEastAsia" w:eastAsiaTheme="minorEastAsia" w:cstheme="minorEastAsia"/>
                <w:szCs w:val="21"/>
                <w:lang w:val="en-US" w:eastAsia="zh-CN"/>
              </w:rPr>
            </w:pPr>
            <w:r>
              <w:rPr>
                <w:rFonts w:ascii="Times New Roman" w:hAnsi="Times New Roman" w:cs="Times New Roman"/>
                <w:b/>
                <w:bCs/>
                <w:szCs w:val="21"/>
                <w:lang w:eastAsia="zh-CN"/>
              </w:rPr>
              <w:t>4</w:t>
            </w:r>
            <w:r>
              <w:rPr>
                <w:rFonts w:ascii="Times New Roman" w:hAnsi="Times New Roman" w:cs="Times New Roman"/>
                <w:b/>
                <w:bCs/>
                <w:spacing w:val="26"/>
                <w:kern w:val="0"/>
                <w:szCs w:val="21"/>
                <w:lang w:eastAsia="zh-CN"/>
              </w:rPr>
              <w:t>.</w:t>
            </w:r>
            <w:r>
              <w:rPr>
                <w:rFonts w:hint="eastAsia" w:ascii="Times New Roman" w:hAnsi="Times New Roman" w:cs="Times New Roman"/>
                <w:b/>
                <w:bCs/>
                <w:szCs w:val="21"/>
                <w:lang w:eastAsia="zh-CN"/>
              </w:rPr>
              <w:t>0</w:t>
            </w:r>
            <w:r>
              <w:rPr>
                <w:rFonts w:ascii="Times New Roman" w:hAnsi="Times New Roman" w:cs="Times New Roman"/>
                <w:b/>
                <w:bCs/>
                <w:spacing w:val="26"/>
                <w:kern w:val="0"/>
                <w:szCs w:val="21"/>
                <w:lang w:eastAsia="zh-CN"/>
              </w:rPr>
              <w:t>.</w:t>
            </w:r>
            <w:r>
              <w:rPr>
                <w:rFonts w:hint="eastAsia" w:ascii="Times New Roman" w:hAnsi="Times New Roman" w:cs="Times New Roman"/>
                <w:b/>
                <w:bCs/>
                <w:szCs w:val="21"/>
                <w:lang w:val="en-US" w:eastAsia="zh-CN"/>
              </w:rPr>
              <w:t>3</w:t>
            </w:r>
            <w:r>
              <w:rPr>
                <w:rFonts w:hint="eastAsia"/>
                <w:b/>
                <w:bCs/>
                <w:kern w:val="0"/>
                <w:szCs w:val="21"/>
                <w:lang w:eastAsia="zh-CN"/>
              </w:rPr>
              <w:t xml:space="preserve">  </w:t>
            </w:r>
            <w:r>
              <w:rPr>
                <w:rFonts w:hint="eastAsia" w:ascii="Times New Roman" w:hAnsi="Times New Roman" w:cs="Times New Roman"/>
                <w:szCs w:val="21"/>
                <w:lang w:val="en-US" w:eastAsia="zh-CN"/>
              </w:rPr>
              <w:t>水泥基渗透结晶型防水剂的自修复能力为可选性能指标，如需要，可根据</w:t>
            </w:r>
            <w:r>
              <w:rPr>
                <w:rFonts w:hint="eastAsia"/>
                <w:szCs w:val="21"/>
                <w:lang w:eastAsia="zh-CN"/>
              </w:rPr>
              <w:t>《水泥基渗透结晶型防水材料</w:t>
            </w:r>
            <w:r>
              <w:rPr>
                <w:rFonts w:hint="eastAsia" w:asciiTheme="minorEastAsia" w:hAnsiTheme="minorEastAsia" w:eastAsiaTheme="minorEastAsia" w:cstheme="minorEastAsia"/>
                <w:szCs w:val="21"/>
                <w:lang w:eastAsia="zh-CN"/>
              </w:rPr>
              <w:t>》</w:t>
            </w:r>
            <w:r>
              <w:rPr>
                <w:rFonts w:hint="eastAsia" w:asciiTheme="minorEastAsia" w:hAnsiTheme="minorEastAsia" w:eastAsiaTheme="minorEastAsia" w:cstheme="minorEastAsia"/>
                <w:szCs w:val="21"/>
                <w:lang w:val="en-US" w:eastAsia="zh-CN"/>
              </w:rPr>
              <w:t>GB/T 18445—2025附录A进</w:t>
            </w:r>
            <w:r>
              <w:rPr>
                <w:rFonts w:hint="eastAsia" w:ascii="Times New Roman" w:hAnsi="Times New Roman" w:cs="Times New Roman"/>
                <w:szCs w:val="21"/>
                <w:lang w:val="en-US" w:eastAsia="zh-CN"/>
              </w:rPr>
              <w:t>行试验。</w:t>
            </w:r>
          </w:p>
        </w:tc>
      </w:tr>
      <w:tr w14:paraId="07F2733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center"/>
          </w:tcPr>
          <w:p w14:paraId="34DC23DF">
            <w:pPr>
              <w:shd w:val="clear" w:color="auto" w:fill="FFFFFF"/>
              <w:spacing w:line="360" w:lineRule="auto"/>
              <w:jc w:val="both"/>
              <w:rPr>
                <w:rFonts w:hint="default" w:asciiTheme="minorEastAsia" w:hAnsiTheme="minorEastAsia" w:eastAsiaTheme="minorEastAsia" w:cstheme="minorEastAsia"/>
                <w:sz w:val="21"/>
                <w:szCs w:val="20"/>
                <w:lang w:val="en-US" w:eastAsia="zh-CN"/>
              </w:rPr>
            </w:pPr>
            <w:r>
              <w:rPr>
                <w:rFonts w:hint="eastAsia" w:asciiTheme="minorEastAsia" w:hAnsiTheme="minorEastAsia" w:eastAsiaTheme="minorEastAsia" w:cstheme="minorEastAsia"/>
                <w:sz w:val="21"/>
                <w:szCs w:val="20"/>
                <w:lang w:val="en-US" w:eastAsia="zh-CN"/>
              </w:rPr>
              <w:t>明确了</w:t>
            </w:r>
            <w:r>
              <w:rPr>
                <w:rFonts w:hint="eastAsia" w:ascii="宋体" w:hAnsi="宋体"/>
                <w:b w:val="0"/>
                <w:bCs w:val="0"/>
                <w:kern w:val="0"/>
                <w:sz w:val="21"/>
                <w:szCs w:val="21"/>
                <w:lang w:val="en-US" w:eastAsia="zh-CN"/>
              </w:rPr>
              <w:t>防水混凝土中内掺水泥基渗透结晶型防水剂可作为两道防水措施。</w:t>
            </w:r>
          </w:p>
        </w:tc>
        <w:tc>
          <w:tcPr>
            <w:tcW w:w="5390" w:type="dxa"/>
            <w:noWrap w:val="0"/>
            <w:vAlign w:val="center"/>
          </w:tcPr>
          <w:p w14:paraId="47414729">
            <w:pPr>
              <w:spacing w:line="360" w:lineRule="auto"/>
              <w:ind w:left="0" w:leftChars="0"/>
              <w:rPr>
                <w:rFonts w:ascii="Times New Roman" w:hAnsi="Times New Roman" w:cs="Times New Roman"/>
                <w:b/>
                <w:bCs/>
                <w:szCs w:val="21"/>
                <w:lang w:eastAsia="zh-CN"/>
              </w:rPr>
            </w:pPr>
            <w:r>
              <w:rPr>
                <w:rFonts w:ascii="Times New Roman" w:hAnsi="Times New Roman" w:cs="Times New Roman"/>
                <w:b/>
                <w:bCs/>
                <w:sz w:val="21"/>
                <w:szCs w:val="21"/>
              </w:rPr>
              <w:t>5</w:t>
            </w:r>
            <w:r>
              <w:rPr>
                <w:rFonts w:ascii="Times New Roman" w:hAnsi="Times New Roman" w:cs="Times New Roman"/>
                <w:b/>
                <w:bCs/>
                <w:spacing w:val="26"/>
                <w:kern w:val="0"/>
                <w:sz w:val="21"/>
                <w:szCs w:val="21"/>
              </w:rPr>
              <w:t>.</w:t>
            </w:r>
            <w:r>
              <w:rPr>
                <w:rFonts w:ascii="Times New Roman" w:hAnsi="Times New Roman" w:cs="Times New Roman"/>
                <w:b/>
                <w:bCs/>
                <w:sz w:val="21"/>
                <w:szCs w:val="21"/>
              </w:rPr>
              <w:t>1</w:t>
            </w:r>
            <w:r>
              <w:rPr>
                <w:rFonts w:ascii="Times New Roman" w:hAnsi="Times New Roman" w:cs="Times New Roman"/>
                <w:b/>
                <w:bCs/>
                <w:spacing w:val="26"/>
                <w:kern w:val="0"/>
                <w:sz w:val="21"/>
                <w:szCs w:val="21"/>
              </w:rPr>
              <w:t>.</w:t>
            </w:r>
            <w:r>
              <w:rPr>
                <w:rFonts w:hint="eastAsia" w:ascii="Times New Roman" w:hAnsi="Times New Roman" w:cs="Times New Roman"/>
                <w:b/>
                <w:bCs/>
                <w:sz w:val="21"/>
                <w:szCs w:val="21"/>
                <w:lang w:val="en-US" w:eastAsia="zh-CN"/>
              </w:rPr>
              <w:t>3</w:t>
            </w:r>
            <w:r>
              <w:rPr>
                <w:rFonts w:hint="eastAsia" w:ascii="宋体" w:hAnsi="宋体"/>
                <w:b/>
                <w:bCs/>
                <w:kern w:val="0"/>
                <w:sz w:val="21"/>
                <w:szCs w:val="21"/>
              </w:rPr>
              <w:t xml:space="preserve">  </w:t>
            </w:r>
            <w:r>
              <w:rPr>
                <w:rFonts w:hint="eastAsia" w:ascii="宋体" w:hAnsi="宋体"/>
                <w:b w:val="0"/>
                <w:bCs w:val="0"/>
                <w:kern w:val="0"/>
                <w:sz w:val="21"/>
                <w:szCs w:val="21"/>
                <w:lang w:val="en-US" w:eastAsia="zh-CN"/>
              </w:rPr>
              <w:t>防水混凝土中内掺水泥基渗透结晶型防水剂，可作为新设的一道防水设防措施</w:t>
            </w:r>
            <w:r>
              <w:rPr>
                <w:rFonts w:hint="eastAsia" w:ascii="Times New Roman" w:hAnsi="Times New Roman" w:cs="Times New Roman"/>
                <w:sz w:val="21"/>
                <w:szCs w:val="21"/>
              </w:rPr>
              <w:t>。</w:t>
            </w:r>
          </w:p>
        </w:tc>
      </w:tr>
      <w:tr w14:paraId="02BD706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center"/>
          </w:tcPr>
          <w:p w14:paraId="2A286648">
            <w:pPr>
              <w:shd w:val="clear" w:color="auto" w:fill="FFFFFF"/>
              <w:spacing w:line="360" w:lineRule="auto"/>
              <w:jc w:val="both"/>
              <w:rPr>
                <w:rFonts w:hint="default" w:asciiTheme="minorEastAsia" w:hAnsiTheme="minorEastAsia" w:eastAsiaTheme="minorEastAsia" w:cstheme="minorEastAsia"/>
                <w:sz w:val="21"/>
                <w:szCs w:val="20"/>
                <w:lang w:val="en-US" w:eastAsia="zh-CN"/>
              </w:rPr>
            </w:pPr>
            <w:r>
              <w:rPr>
                <w:rFonts w:hint="eastAsia" w:asciiTheme="minorEastAsia" w:hAnsiTheme="minorEastAsia" w:eastAsiaTheme="minorEastAsia" w:cstheme="minorEastAsia"/>
                <w:sz w:val="21"/>
                <w:szCs w:val="20"/>
                <w:lang w:val="en-US" w:eastAsia="zh-CN"/>
              </w:rPr>
              <w:t>明确了水泥基渗透结晶型防水涂料与其他防水材料复合使用的要求。</w:t>
            </w:r>
          </w:p>
        </w:tc>
        <w:tc>
          <w:tcPr>
            <w:tcW w:w="5390" w:type="dxa"/>
            <w:noWrap w:val="0"/>
            <w:vAlign w:val="center"/>
          </w:tcPr>
          <w:p w14:paraId="6929F6BC">
            <w:pPr>
              <w:spacing w:line="360" w:lineRule="auto"/>
              <w:ind w:left="0" w:leftChars="0"/>
              <w:jc w:val="left"/>
              <w:rPr>
                <w:rFonts w:ascii="Times New Roman" w:hAnsi="Times New Roman" w:cs="Times New Roman"/>
                <w:sz w:val="21"/>
                <w:szCs w:val="21"/>
              </w:rPr>
            </w:pPr>
            <w:r>
              <w:rPr>
                <w:rFonts w:ascii="Times New Roman" w:hAnsi="Times New Roman" w:cs="Times New Roman"/>
                <w:b/>
                <w:bCs/>
                <w:sz w:val="21"/>
                <w:szCs w:val="21"/>
              </w:rPr>
              <w:t>5</w:t>
            </w:r>
            <w:r>
              <w:rPr>
                <w:rFonts w:ascii="Times New Roman" w:hAnsi="Times New Roman" w:cs="Times New Roman"/>
                <w:b/>
                <w:bCs/>
                <w:spacing w:val="26"/>
                <w:kern w:val="0"/>
                <w:sz w:val="21"/>
                <w:szCs w:val="21"/>
              </w:rPr>
              <w:t>.</w:t>
            </w:r>
            <w:r>
              <w:rPr>
                <w:rFonts w:ascii="Times New Roman" w:hAnsi="Times New Roman" w:cs="Times New Roman"/>
                <w:b/>
                <w:bCs/>
                <w:sz w:val="21"/>
                <w:szCs w:val="21"/>
              </w:rPr>
              <w:t>1</w:t>
            </w:r>
            <w:r>
              <w:rPr>
                <w:rFonts w:ascii="Times New Roman" w:hAnsi="Times New Roman" w:cs="Times New Roman"/>
                <w:b/>
                <w:bCs/>
                <w:spacing w:val="26"/>
                <w:kern w:val="0"/>
                <w:sz w:val="21"/>
                <w:szCs w:val="21"/>
              </w:rPr>
              <w:t>.</w:t>
            </w:r>
            <w:r>
              <w:rPr>
                <w:rFonts w:hint="eastAsia" w:ascii="Times New Roman" w:hAnsi="Times New Roman" w:cs="Times New Roman"/>
                <w:b/>
                <w:bCs/>
                <w:sz w:val="21"/>
                <w:szCs w:val="21"/>
                <w:lang w:val="en-US" w:eastAsia="zh-CN"/>
              </w:rPr>
              <w:t>6</w:t>
            </w:r>
            <w:r>
              <w:rPr>
                <w:rFonts w:hint="eastAsia" w:ascii="宋体" w:hAnsi="宋体"/>
                <w:kern w:val="0"/>
                <w:sz w:val="21"/>
                <w:szCs w:val="21"/>
              </w:rPr>
              <w:t xml:space="preserve">  </w:t>
            </w:r>
            <w:r>
              <w:rPr>
                <w:rFonts w:hint="eastAsia" w:ascii="Times New Roman" w:hAnsi="Times New Roman" w:cs="Times New Roman"/>
                <w:sz w:val="21"/>
                <w:szCs w:val="21"/>
              </w:rPr>
              <w:t>水泥基渗透结晶型防水涂料与其他防水材料复合使用时应符合下列规定：</w:t>
            </w:r>
          </w:p>
          <w:p w14:paraId="1AABBB18">
            <w:pPr>
              <w:spacing w:line="360" w:lineRule="auto"/>
              <w:ind w:left="0" w:leftChars="0" w:firstLine="422" w:firstLineChars="200"/>
              <w:rPr>
                <w:rFonts w:ascii="Times New Roman" w:hAnsi="Times New Roman" w:cs="Times New Roman"/>
                <w:b/>
                <w:bCs/>
                <w:sz w:val="21"/>
                <w:szCs w:val="21"/>
              </w:rPr>
            </w:pPr>
            <w:r>
              <w:rPr>
                <w:rFonts w:ascii="Times New Roman" w:hAnsi="Times New Roman" w:cs="Times New Roman"/>
                <w:b/>
                <w:bCs/>
                <w:sz w:val="21"/>
                <w:szCs w:val="21"/>
              </w:rPr>
              <w:t>1</w:t>
            </w:r>
            <w:r>
              <w:rPr>
                <w:rFonts w:hint="eastAsia" w:ascii="宋体" w:hAnsi="宋体"/>
                <w:b/>
                <w:bCs/>
                <w:kern w:val="0"/>
                <w:sz w:val="21"/>
                <w:szCs w:val="21"/>
              </w:rPr>
              <w:t xml:space="preserve">  </w:t>
            </w:r>
            <w:r>
              <w:rPr>
                <w:rFonts w:hint="eastAsia" w:ascii="Times New Roman" w:hAnsi="Times New Roman" w:cs="Times New Roman"/>
                <w:sz w:val="21"/>
                <w:szCs w:val="21"/>
              </w:rPr>
              <w:t>材料之间应具有相容性；</w:t>
            </w:r>
          </w:p>
          <w:p w14:paraId="215009D9">
            <w:pPr>
              <w:spacing w:line="360" w:lineRule="auto"/>
              <w:ind w:left="0" w:leftChars="0" w:firstLine="422" w:firstLineChars="200"/>
              <w:rPr>
                <w:rFonts w:ascii="Times New Roman" w:hAnsi="Times New Roman" w:cs="Times New Roman"/>
                <w:b/>
                <w:bCs/>
                <w:sz w:val="21"/>
                <w:szCs w:val="21"/>
              </w:rPr>
            </w:pPr>
            <w:r>
              <w:rPr>
                <w:rFonts w:hint="default" w:ascii="Times New Roman" w:hAnsi="Times New Roman" w:cs="Times New Roman"/>
                <w:b/>
                <w:bCs/>
                <w:kern w:val="2"/>
                <w:sz w:val="21"/>
                <w:szCs w:val="21"/>
              </w:rPr>
              <w:t>2</w:t>
            </w:r>
            <w:r>
              <w:rPr>
                <w:rFonts w:hint="eastAsia" w:ascii="宋体" w:hAnsi="宋体"/>
                <w:b/>
                <w:bCs/>
                <w:kern w:val="0"/>
                <w:sz w:val="21"/>
                <w:szCs w:val="21"/>
              </w:rPr>
              <w:t xml:space="preserve">  </w:t>
            </w:r>
            <w:r>
              <w:rPr>
                <w:rFonts w:hint="eastAsia" w:ascii="Times New Roman" w:hAnsi="Times New Roman" w:cs="Times New Roman"/>
                <w:sz w:val="21"/>
                <w:szCs w:val="21"/>
              </w:rPr>
              <w:t>水泥基渗透结晶型涂料防水层应设置在混凝土结构表面；</w:t>
            </w:r>
          </w:p>
          <w:p w14:paraId="69906036">
            <w:pPr>
              <w:spacing w:line="360" w:lineRule="auto"/>
              <w:ind w:left="0" w:leftChars="0" w:firstLine="422" w:firstLineChars="200"/>
              <w:rPr>
                <w:rFonts w:hint="eastAsia" w:asciiTheme="minorEastAsia" w:hAnsiTheme="minorEastAsia" w:eastAsiaTheme="minorEastAsia" w:cstheme="minorEastAsia"/>
                <w:b/>
                <w:color w:val="auto"/>
                <w:szCs w:val="21"/>
                <w:highlight w:val="none"/>
                <w:lang w:val="en-US" w:eastAsia="zh-CN"/>
              </w:rPr>
            </w:pPr>
            <w:r>
              <w:rPr>
                <w:rFonts w:hint="eastAsia" w:ascii="Times New Roman" w:hAnsi="Times New Roman" w:cs="Times New Roman"/>
                <w:b/>
                <w:bCs/>
                <w:sz w:val="21"/>
                <w:szCs w:val="21"/>
              </w:rPr>
              <w:t>3</w:t>
            </w:r>
            <w:r>
              <w:rPr>
                <w:rFonts w:hint="eastAsia" w:ascii="宋体" w:hAnsi="宋体"/>
                <w:b/>
                <w:bCs/>
                <w:kern w:val="0"/>
                <w:sz w:val="21"/>
                <w:szCs w:val="21"/>
              </w:rPr>
              <w:t xml:space="preserve">  </w:t>
            </w:r>
            <w:r>
              <w:rPr>
                <w:rFonts w:hint="eastAsia" w:ascii="Times New Roman" w:hAnsi="Times New Roman" w:cs="Times New Roman"/>
                <w:sz w:val="21"/>
                <w:szCs w:val="21"/>
              </w:rPr>
              <w:t>水泥基渗透结晶型涂料防水层上不宜进行热熔法作业。</w:t>
            </w:r>
          </w:p>
        </w:tc>
      </w:tr>
      <w:tr w14:paraId="7F58770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center"/>
          </w:tcPr>
          <w:p w14:paraId="3FD387B6">
            <w:pPr>
              <w:shd w:val="clear" w:color="auto" w:fill="FFFFFF"/>
              <w:spacing w:line="360" w:lineRule="auto"/>
              <w:jc w:val="both"/>
              <w:rPr>
                <w:rFonts w:hint="default" w:asciiTheme="minorEastAsia" w:hAnsiTheme="minorEastAsia" w:eastAsiaTheme="minorEastAsia" w:cstheme="minorEastAsia"/>
                <w:sz w:val="21"/>
                <w:szCs w:val="20"/>
                <w:lang w:val="en-US" w:eastAsia="zh-CN"/>
              </w:rPr>
            </w:pPr>
            <w:r>
              <w:rPr>
                <w:rFonts w:hint="eastAsia" w:asciiTheme="minorEastAsia" w:hAnsiTheme="minorEastAsia" w:eastAsiaTheme="minorEastAsia" w:cstheme="minorEastAsia"/>
                <w:sz w:val="21"/>
                <w:szCs w:val="20"/>
                <w:lang w:val="en-US" w:eastAsia="zh-CN"/>
              </w:rPr>
              <w:t>明确了水泥基渗透结晶型防水涂料的厚度与用量关系，水泥基渗透结晶型防水剂在防水混凝土和防水砂浆中的掺加量要求。</w:t>
            </w:r>
          </w:p>
        </w:tc>
        <w:tc>
          <w:tcPr>
            <w:tcW w:w="5390" w:type="dxa"/>
            <w:noWrap w:val="0"/>
            <w:vAlign w:val="center"/>
          </w:tcPr>
          <w:p w14:paraId="52D50611">
            <w:pPr>
              <w:spacing w:line="360" w:lineRule="auto"/>
              <w:ind w:left="0" w:leftChars="0"/>
              <w:jc w:val="left"/>
              <w:rPr>
                <w:rFonts w:ascii="Times New Roman" w:hAnsi="Times New Roman" w:cs="Times New Roman"/>
                <w:sz w:val="21"/>
                <w:szCs w:val="21"/>
              </w:rPr>
            </w:pPr>
            <w:r>
              <w:rPr>
                <w:rFonts w:ascii="Times New Roman" w:hAnsi="Times New Roman" w:cs="Times New Roman"/>
                <w:b/>
                <w:bCs/>
                <w:sz w:val="21"/>
                <w:szCs w:val="21"/>
              </w:rPr>
              <w:t>5</w:t>
            </w:r>
            <w:r>
              <w:rPr>
                <w:rFonts w:ascii="Times New Roman" w:hAnsi="Times New Roman" w:cs="Times New Roman"/>
                <w:b/>
                <w:bCs/>
                <w:spacing w:val="26"/>
                <w:kern w:val="0"/>
                <w:sz w:val="21"/>
                <w:szCs w:val="21"/>
              </w:rPr>
              <w:t>.</w:t>
            </w:r>
            <w:r>
              <w:rPr>
                <w:rFonts w:ascii="Times New Roman" w:hAnsi="Times New Roman" w:cs="Times New Roman"/>
                <w:b/>
                <w:bCs/>
                <w:sz w:val="21"/>
                <w:szCs w:val="21"/>
              </w:rPr>
              <w:t>1</w:t>
            </w:r>
            <w:r>
              <w:rPr>
                <w:rFonts w:ascii="Times New Roman" w:hAnsi="Times New Roman" w:cs="Times New Roman"/>
                <w:b/>
                <w:bCs/>
                <w:spacing w:val="26"/>
                <w:kern w:val="0"/>
                <w:sz w:val="21"/>
                <w:szCs w:val="21"/>
              </w:rPr>
              <w:t>.</w:t>
            </w:r>
            <w:r>
              <w:rPr>
                <w:rFonts w:hint="eastAsia" w:ascii="Times New Roman" w:hAnsi="Times New Roman" w:cs="Times New Roman"/>
                <w:b/>
                <w:bCs/>
                <w:sz w:val="21"/>
                <w:szCs w:val="21"/>
                <w:lang w:val="en-US" w:eastAsia="zh-CN"/>
              </w:rPr>
              <w:t>7</w:t>
            </w:r>
            <w:r>
              <w:rPr>
                <w:rFonts w:hint="eastAsia" w:ascii="宋体" w:hAnsi="宋体"/>
                <w:b/>
                <w:bCs/>
                <w:kern w:val="0"/>
                <w:sz w:val="21"/>
                <w:szCs w:val="21"/>
              </w:rPr>
              <w:t xml:space="preserve">  </w:t>
            </w:r>
            <w:r>
              <w:rPr>
                <w:rFonts w:hint="eastAsia" w:ascii="Times New Roman" w:hAnsi="Times New Roman" w:cs="Times New Roman"/>
                <w:sz w:val="21"/>
                <w:szCs w:val="21"/>
              </w:rPr>
              <w:t>水泥基渗透结晶型防水材料用量应符合下列规定：</w:t>
            </w:r>
          </w:p>
          <w:p w14:paraId="6E78A793">
            <w:pPr>
              <w:spacing w:line="360" w:lineRule="auto"/>
              <w:ind w:left="0" w:leftChars="0" w:firstLine="422" w:firstLineChars="200"/>
              <w:rPr>
                <w:rFonts w:hint="eastAsia" w:asciiTheme="minorEastAsia" w:hAnsiTheme="minorEastAsia" w:eastAsiaTheme="minorEastAsia" w:cstheme="minorEastAsia"/>
                <w:kern w:val="0"/>
                <w:sz w:val="21"/>
                <w:szCs w:val="21"/>
              </w:rPr>
            </w:pPr>
            <w:r>
              <w:rPr>
                <w:rFonts w:ascii="Times New Roman" w:hAnsi="Times New Roman" w:cs="Times New Roman"/>
                <w:b/>
                <w:bCs/>
                <w:sz w:val="21"/>
                <w:szCs w:val="21"/>
              </w:rPr>
              <w:t>1</w:t>
            </w:r>
            <w:r>
              <w:rPr>
                <w:rFonts w:hint="eastAsia" w:ascii="宋体" w:hAnsi="宋体"/>
                <w:b/>
                <w:bCs/>
                <w:kern w:val="0"/>
                <w:sz w:val="21"/>
                <w:szCs w:val="21"/>
              </w:rPr>
              <w:t xml:space="preserve">  </w:t>
            </w:r>
            <w:r>
              <w:rPr>
                <w:rFonts w:hint="eastAsia" w:ascii="宋体" w:hAnsi="宋体"/>
                <w:kern w:val="0"/>
                <w:sz w:val="21"/>
                <w:szCs w:val="21"/>
              </w:rPr>
              <w:t>水泥基渗透结晶型防水涂料用于混凝土结构表面涂布时，</w:t>
            </w:r>
            <w:r>
              <w:rPr>
                <w:rFonts w:hint="eastAsia" w:ascii="宋体" w:hAnsi="宋体"/>
                <w:kern w:val="0"/>
                <w:sz w:val="21"/>
                <w:szCs w:val="21"/>
                <w:lang w:val="en-US" w:eastAsia="zh-CN"/>
              </w:rPr>
              <w:t>防水层厚度不应小于</w:t>
            </w:r>
            <w:r>
              <w:rPr>
                <w:rFonts w:hint="eastAsia" w:asciiTheme="minorEastAsia" w:hAnsiTheme="minorEastAsia" w:eastAsiaTheme="minorEastAsia" w:cstheme="minorEastAsia"/>
                <w:kern w:val="0"/>
                <w:sz w:val="21"/>
                <w:szCs w:val="21"/>
                <w:lang w:val="en-US" w:eastAsia="zh-CN"/>
              </w:rPr>
              <w:t>1.0mm，</w:t>
            </w:r>
            <w:r>
              <w:rPr>
                <w:rFonts w:hint="eastAsia" w:asciiTheme="minorEastAsia" w:hAnsiTheme="minorEastAsia" w:eastAsiaTheme="minorEastAsia" w:cstheme="minorEastAsia"/>
                <w:kern w:val="0"/>
                <w:sz w:val="21"/>
                <w:szCs w:val="21"/>
              </w:rPr>
              <w:t>材料用量不应小于1.5kg/m</w:t>
            </w:r>
            <w:r>
              <w:rPr>
                <w:rFonts w:hint="eastAsia" w:asciiTheme="minorEastAsia" w:hAnsiTheme="minorEastAsia" w:eastAsiaTheme="minorEastAsia" w:cstheme="minorEastAsia"/>
                <w:kern w:val="0"/>
                <w:sz w:val="21"/>
                <w:szCs w:val="21"/>
                <w:vertAlign w:val="superscript"/>
              </w:rPr>
              <w:t>2</w:t>
            </w:r>
            <w:r>
              <w:rPr>
                <w:rFonts w:hint="eastAsia" w:asciiTheme="minorEastAsia" w:hAnsiTheme="minorEastAsia" w:eastAsiaTheme="minorEastAsia" w:cstheme="minorEastAsia"/>
                <w:kern w:val="0"/>
                <w:sz w:val="21"/>
                <w:szCs w:val="21"/>
              </w:rPr>
              <w:t>；</w:t>
            </w:r>
          </w:p>
          <w:p w14:paraId="5B6A6890">
            <w:pPr>
              <w:spacing w:line="360" w:lineRule="auto"/>
              <w:ind w:left="0" w:leftChars="0" w:firstLine="422" w:firstLineChars="200"/>
              <w:rPr>
                <w:rFonts w:hint="eastAsia" w:ascii="宋体" w:hAnsi="宋体"/>
                <w:kern w:val="0"/>
                <w:sz w:val="21"/>
                <w:szCs w:val="21"/>
              </w:rPr>
            </w:pPr>
            <w:r>
              <w:rPr>
                <w:rFonts w:hint="eastAsia" w:ascii="Times New Roman" w:hAnsi="Times New Roman" w:cs="Times New Roman"/>
                <w:b/>
                <w:bCs/>
                <w:sz w:val="21"/>
                <w:szCs w:val="21"/>
              </w:rPr>
              <w:t xml:space="preserve">2 </w:t>
            </w:r>
            <w:r>
              <w:rPr>
                <w:rFonts w:hint="eastAsia" w:ascii="宋体" w:hAnsi="宋体"/>
                <w:b/>
                <w:bCs/>
                <w:kern w:val="0"/>
                <w:sz w:val="21"/>
                <w:szCs w:val="21"/>
              </w:rPr>
              <w:t xml:space="preserve"> </w:t>
            </w:r>
            <w:r>
              <w:rPr>
                <w:rFonts w:hint="eastAsia" w:ascii="宋体" w:hAnsi="宋体"/>
                <w:kern w:val="0"/>
                <w:sz w:val="21"/>
                <w:szCs w:val="21"/>
              </w:rPr>
              <w:t>水泥基渗透结晶型防水涂料用于混凝土结构平面干撒施工时，材料用量</w:t>
            </w:r>
            <w:bookmarkStart w:id="24" w:name="_Hlk175738834"/>
            <w:r>
              <w:rPr>
                <w:rFonts w:hint="eastAsia" w:ascii="宋体" w:hAnsi="宋体"/>
                <w:kern w:val="0"/>
                <w:sz w:val="21"/>
                <w:szCs w:val="21"/>
              </w:rPr>
              <w:t>不应小于</w:t>
            </w:r>
            <w:r>
              <w:rPr>
                <w:rFonts w:hint="eastAsia" w:asciiTheme="minorEastAsia" w:hAnsiTheme="minorEastAsia" w:eastAsiaTheme="minorEastAsia" w:cstheme="minorEastAsia"/>
                <w:kern w:val="0"/>
                <w:sz w:val="21"/>
                <w:szCs w:val="21"/>
              </w:rPr>
              <w:t>1.</w:t>
            </w:r>
            <w:r>
              <w:rPr>
                <w:rFonts w:hint="eastAsia" w:asciiTheme="minorEastAsia" w:hAnsiTheme="minorEastAsia" w:eastAsiaTheme="minorEastAsia" w:cstheme="minorEastAsia"/>
                <w:kern w:val="0"/>
                <w:sz w:val="21"/>
                <w:szCs w:val="21"/>
                <w:lang w:val="en-US" w:eastAsia="zh-CN"/>
              </w:rPr>
              <w:t>6</w:t>
            </w:r>
            <w:r>
              <w:rPr>
                <w:rFonts w:hint="eastAsia" w:asciiTheme="minorEastAsia" w:hAnsiTheme="minorEastAsia" w:eastAsiaTheme="minorEastAsia" w:cstheme="minorEastAsia"/>
                <w:kern w:val="0"/>
                <w:sz w:val="21"/>
                <w:szCs w:val="21"/>
              </w:rPr>
              <w:t>kg/m</w:t>
            </w:r>
            <w:r>
              <w:rPr>
                <w:rFonts w:hint="eastAsia" w:asciiTheme="minorEastAsia" w:hAnsiTheme="minorEastAsia" w:eastAsiaTheme="minorEastAsia" w:cstheme="minorEastAsia"/>
                <w:kern w:val="0"/>
                <w:sz w:val="21"/>
                <w:szCs w:val="21"/>
                <w:vertAlign w:val="superscript"/>
              </w:rPr>
              <w:t>2</w:t>
            </w:r>
            <w:bookmarkEnd w:id="24"/>
            <w:r>
              <w:rPr>
                <w:rFonts w:hint="eastAsia" w:ascii="宋体" w:hAnsi="宋体"/>
                <w:kern w:val="0"/>
                <w:sz w:val="21"/>
                <w:szCs w:val="21"/>
              </w:rPr>
              <w:t>；</w:t>
            </w:r>
          </w:p>
          <w:p w14:paraId="3DA7C59A">
            <w:pPr>
              <w:spacing w:line="360" w:lineRule="auto"/>
              <w:ind w:left="0" w:leftChars="0" w:firstLine="422" w:firstLineChars="200"/>
              <w:rPr>
                <w:rFonts w:hint="eastAsia" w:ascii="宋体" w:hAnsi="宋体"/>
                <w:kern w:val="0"/>
                <w:sz w:val="21"/>
                <w:szCs w:val="21"/>
              </w:rPr>
            </w:pPr>
            <w:r>
              <w:rPr>
                <w:rFonts w:hint="eastAsia" w:ascii="Times New Roman" w:hAnsi="Times New Roman" w:cs="Times New Roman"/>
                <w:b/>
                <w:bCs/>
                <w:sz w:val="21"/>
                <w:szCs w:val="21"/>
              </w:rPr>
              <w:t xml:space="preserve">3 </w:t>
            </w:r>
            <w:r>
              <w:rPr>
                <w:rFonts w:hint="eastAsia" w:ascii="宋体" w:hAnsi="宋体"/>
                <w:b/>
                <w:bCs/>
                <w:kern w:val="0"/>
                <w:sz w:val="21"/>
                <w:szCs w:val="21"/>
              </w:rPr>
              <w:t xml:space="preserve"> </w:t>
            </w:r>
            <w:r>
              <w:rPr>
                <w:rFonts w:hint="eastAsia" w:ascii="宋体" w:hAnsi="宋体"/>
                <w:kern w:val="0"/>
                <w:sz w:val="21"/>
                <w:szCs w:val="21"/>
              </w:rPr>
              <w:t>水泥基渗透结晶型防水剂掺入防水混凝土拌合物中使用时，防水剂掺量应符合设计及产品说明书要求，并应经通过试验确定配合比，达到防水混凝土质量和混凝土抗渗等级设计要求；</w:t>
            </w:r>
          </w:p>
          <w:p w14:paraId="6B9A3B7B">
            <w:pPr>
              <w:spacing w:line="360" w:lineRule="auto"/>
              <w:ind w:left="0" w:leftChars="0" w:firstLine="422" w:firstLineChars="200"/>
              <w:rPr>
                <w:rFonts w:hint="eastAsia" w:asciiTheme="minorEastAsia" w:hAnsiTheme="minorEastAsia" w:eastAsiaTheme="minorEastAsia" w:cstheme="minorEastAsia"/>
                <w:b/>
                <w:color w:val="auto"/>
                <w:szCs w:val="21"/>
                <w:highlight w:val="none"/>
                <w:lang w:val="en-US" w:eastAsia="zh-CN"/>
              </w:rPr>
            </w:pPr>
            <w:r>
              <w:rPr>
                <w:rFonts w:hint="eastAsia" w:ascii="Times New Roman" w:hAnsi="Times New Roman" w:cs="Times New Roman"/>
                <w:b/>
                <w:bCs/>
                <w:sz w:val="21"/>
                <w:szCs w:val="21"/>
              </w:rPr>
              <w:t xml:space="preserve">4 </w:t>
            </w:r>
            <w:r>
              <w:rPr>
                <w:rFonts w:hint="eastAsia" w:ascii="宋体" w:hAnsi="宋体"/>
                <w:b/>
                <w:bCs/>
                <w:kern w:val="0"/>
                <w:sz w:val="21"/>
                <w:szCs w:val="21"/>
              </w:rPr>
              <w:t xml:space="preserve"> </w:t>
            </w:r>
            <w:r>
              <w:rPr>
                <w:rFonts w:hint="eastAsia" w:ascii="宋体" w:hAnsi="宋体"/>
                <w:kern w:val="0"/>
                <w:sz w:val="21"/>
                <w:szCs w:val="21"/>
              </w:rPr>
              <w:t>水泥基渗透结晶型防水剂掺入水泥防水砂浆中使用时，防水剂掺量应符合设计与产品说明书要求。</w:t>
            </w:r>
          </w:p>
        </w:tc>
      </w:tr>
      <w:tr w14:paraId="7BCE397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center"/>
          </w:tcPr>
          <w:p w14:paraId="1B965BBA">
            <w:pPr>
              <w:shd w:val="clear" w:color="auto" w:fill="FFFFFF"/>
              <w:spacing w:line="360" w:lineRule="auto"/>
              <w:jc w:val="both"/>
              <w:rPr>
                <w:rFonts w:hint="eastAsia" w:asciiTheme="minorEastAsia" w:hAnsiTheme="minorEastAsia" w:eastAsiaTheme="minorEastAsia" w:cstheme="minorEastAsia"/>
                <w:sz w:val="21"/>
                <w:szCs w:val="20"/>
                <w:lang w:val="en-US" w:eastAsia="zh-CN"/>
              </w:rPr>
            </w:pPr>
            <w:r>
              <w:rPr>
                <w:rFonts w:hint="eastAsia" w:asciiTheme="minorEastAsia" w:hAnsiTheme="minorEastAsia" w:eastAsiaTheme="minorEastAsia" w:cstheme="minorEastAsia"/>
                <w:sz w:val="21"/>
                <w:szCs w:val="20"/>
                <w:lang w:val="en-US" w:eastAsia="zh-CN"/>
              </w:rPr>
              <w:t>罗列了采用水泥基渗透结晶型防水材料的地下工程防水构造做法。</w:t>
            </w:r>
          </w:p>
        </w:tc>
        <w:tc>
          <w:tcPr>
            <w:tcW w:w="5390" w:type="dxa"/>
            <w:noWrap w:val="0"/>
            <w:vAlign w:val="center"/>
          </w:tcPr>
          <w:p w14:paraId="737C6DF2">
            <w:pPr>
              <w:spacing w:line="360" w:lineRule="auto"/>
              <w:ind w:left="0" w:leftChars="0"/>
              <w:jc w:val="both"/>
              <w:rPr>
                <w:rFonts w:hint="eastAsia" w:asciiTheme="minorEastAsia" w:hAnsiTheme="minorEastAsia" w:eastAsiaTheme="minorEastAsia" w:cstheme="minorEastAsia"/>
                <w:b/>
                <w:color w:val="auto"/>
                <w:szCs w:val="21"/>
                <w:highlight w:val="none"/>
                <w:lang w:val="en-US" w:eastAsia="zh-CN"/>
              </w:rPr>
            </w:pPr>
            <w:r>
              <w:rPr>
                <w:rFonts w:ascii="Times New Roman" w:hAnsi="Times New Roman" w:cs="Times New Roman"/>
                <w:b/>
                <w:bCs/>
                <w:sz w:val="21"/>
                <w:szCs w:val="21"/>
              </w:rPr>
              <w:t>5</w:t>
            </w:r>
            <w:r>
              <w:rPr>
                <w:rFonts w:ascii="Times New Roman" w:hAnsi="Times New Roman" w:cs="Times New Roman"/>
                <w:b/>
                <w:bCs/>
                <w:spacing w:val="26"/>
                <w:kern w:val="0"/>
                <w:sz w:val="21"/>
                <w:szCs w:val="21"/>
              </w:rPr>
              <w:t>.</w:t>
            </w:r>
            <w:r>
              <w:rPr>
                <w:rFonts w:ascii="Times New Roman" w:hAnsi="Times New Roman" w:cs="Times New Roman"/>
                <w:b/>
                <w:bCs/>
                <w:sz w:val="21"/>
                <w:szCs w:val="21"/>
              </w:rPr>
              <w:t>2</w:t>
            </w:r>
            <w:r>
              <w:rPr>
                <w:rFonts w:ascii="Times New Roman" w:hAnsi="Times New Roman" w:cs="Times New Roman"/>
                <w:b/>
                <w:bCs/>
                <w:spacing w:val="26"/>
                <w:kern w:val="0"/>
                <w:sz w:val="21"/>
                <w:szCs w:val="21"/>
              </w:rPr>
              <w:t>.</w:t>
            </w:r>
            <w:r>
              <w:rPr>
                <w:rFonts w:hint="eastAsia" w:ascii="Times New Roman" w:hAnsi="Times New Roman" w:cs="Times New Roman"/>
                <w:b/>
                <w:bCs/>
                <w:sz w:val="21"/>
                <w:szCs w:val="21"/>
              </w:rPr>
              <w:t>1</w:t>
            </w:r>
            <w:r>
              <w:rPr>
                <w:rFonts w:hint="eastAsia" w:ascii="宋体" w:hAnsi="宋体"/>
                <w:b/>
                <w:bCs/>
                <w:kern w:val="0"/>
                <w:sz w:val="21"/>
                <w:szCs w:val="21"/>
              </w:rPr>
              <w:t xml:space="preserve"> </w:t>
            </w:r>
            <w:r>
              <w:rPr>
                <w:rFonts w:hint="eastAsia" w:ascii="宋体" w:hAnsi="宋体"/>
                <w:sz w:val="21"/>
                <w:szCs w:val="21"/>
              </w:rPr>
              <w:t>地下工程</w:t>
            </w:r>
            <w:r>
              <w:rPr>
                <w:rFonts w:hint="eastAsia" w:ascii="宋体" w:hAnsi="宋体"/>
                <w:sz w:val="21"/>
                <w:szCs w:val="21"/>
                <w:lang w:val="en-US" w:eastAsia="zh-CN"/>
              </w:rPr>
              <w:t>防水等级</w:t>
            </w:r>
            <w:r>
              <w:rPr>
                <w:rFonts w:hint="eastAsia" w:ascii="宋体" w:hAnsi="宋体"/>
                <w:sz w:val="21"/>
                <w:szCs w:val="21"/>
              </w:rPr>
              <w:t>应根据工程的防水类别和工程防水使用环境类别确定，采用水泥基渗透结晶型防水材料的地下工程防水构造做法见</w:t>
            </w:r>
            <w:r>
              <w:rPr>
                <w:rFonts w:hint="default" w:ascii="Times New Roman" w:hAnsi="Times New Roman" w:cs="Times New Roman"/>
                <w:sz w:val="21"/>
                <w:szCs w:val="21"/>
              </w:rPr>
              <w:t>表</w:t>
            </w:r>
            <w:r>
              <w:rPr>
                <w:rFonts w:hint="eastAsia" w:asciiTheme="minorEastAsia" w:hAnsiTheme="minorEastAsia" w:eastAsiaTheme="minorEastAsia" w:cstheme="minorEastAsia"/>
                <w:sz w:val="21"/>
                <w:szCs w:val="21"/>
              </w:rPr>
              <w:t>5.2.</w:t>
            </w:r>
            <w:r>
              <w:rPr>
                <w:rFonts w:hint="eastAsia" w:asciiTheme="minorEastAsia" w:hAnsiTheme="minorEastAsia" w:eastAsiaTheme="minorEastAsia" w:cstheme="minorEastAsia"/>
                <w:sz w:val="21"/>
                <w:szCs w:val="21"/>
                <w:lang w:val="en-US" w:eastAsia="zh-CN"/>
              </w:rPr>
              <w:t>1。</w:t>
            </w:r>
          </w:p>
        </w:tc>
      </w:tr>
      <w:tr w14:paraId="20D7DC0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center"/>
          </w:tcPr>
          <w:p w14:paraId="6A0C3EF8">
            <w:pPr>
              <w:shd w:val="clear" w:color="auto" w:fill="FFFFFF"/>
              <w:spacing w:line="360" w:lineRule="auto"/>
              <w:jc w:val="both"/>
              <w:rPr>
                <w:rFonts w:hint="default" w:asciiTheme="minorEastAsia" w:hAnsiTheme="minorEastAsia" w:eastAsiaTheme="minorEastAsia" w:cstheme="minorEastAsia"/>
                <w:sz w:val="21"/>
                <w:szCs w:val="20"/>
                <w:lang w:val="en-US" w:eastAsia="zh-CN"/>
              </w:rPr>
            </w:pPr>
            <w:r>
              <w:rPr>
                <w:rFonts w:hint="eastAsia" w:asciiTheme="minorEastAsia" w:hAnsiTheme="minorEastAsia" w:eastAsiaTheme="minorEastAsia" w:cstheme="minorEastAsia"/>
                <w:sz w:val="21"/>
                <w:szCs w:val="20"/>
                <w:lang w:val="en-US" w:eastAsia="zh-CN"/>
              </w:rPr>
              <w:t>明确了种植顶板采用刚性防水体系时，可不设置柔性耐根穿刺层。</w:t>
            </w:r>
          </w:p>
        </w:tc>
        <w:tc>
          <w:tcPr>
            <w:tcW w:w="5390" w:type="dxa"/>
            <w:noWrap w:val="0"/>
            <w:vAlign w:val="center"/>
          </w:tcPr>
          <w:p w14:paraId="70257752">
            <w:pPr>
              <w:spacing w:line="360" w:lineRule="auto"/>
              <w:ind w:left="0" w:leftChars="0"/>
              <w:jc w:val="both"/>
              <w:rPr>
                <w:rFonts w:ascii="Times New Roman" w:hAnsi="Times New Roman" w:cs="Times New Roman"/>
                <w:b/>
                <w:bCs/>
                <w:sz w:val="21"/>
                <w:szCs w:val="21"/>
              </w:rPr>
            </w:pPr>
            <w:r>
              <w:rPr>
                <w:rFonts w:ascii="Times New Roman" w:hAnsi="Times New Roman" w:cs="Times New Roman"/>
                <w:b/>
                <w:bCs/>
                <w:sz w:val="21"/>
                <w:szCs w:val="21"/>
              </w:rPr>
              <w:t>5</w:t>
            </w:r>
            <w:r>
              <w:rPr>
                <w:rFonts w:ascii="Times New Roman" w:hAnsi="Times New Roman" w:cs="Times New Roman"/>
                <w:b/>
                <w:bCs/>
                <w:spacing w:val="26"/>
                <w:kern w:val="0"/>
                <w:sz w:val="21"/>
                <w:szCs w:val="21"/>
              </w:rPr>
              <w:t>.</w:t>
            </w:r>
            <w:r>
              <w:rPr>
                <w:rFonts w:ascii="Times New Roman" w:hAnsi="Times New Roman" w:cs="Times New Roman"/>
                <w:b/>
                <w:bCs/>
                <w:sz w:val="21"/>
                <w:szCs w:val="21"/>
              </w:rPr>
              <w:t>2</w:t>
            </w:r>
            <w:r>
              <w:rPr>
                <w:rFonts w:ascii="Times New Roman" w:hAnsi="Times New Roman" w:cs="Times New Roman"/>
                <w:b/>
                <w:bCs/>
                <w:spacing w:val="26"/>
                <w:kern w:val="0"/>
                <w:sz w:val="21"/>
                <w:szCs w:val="21"/>
              </w:rPr>
              <w:t>.</w:t>
            </w:r>
            <w:r>
              <w:rPr>
                <w:rFonts w:hint="eastAsia" w:ascii="Times New Roman" w:hAnsi="Times New Roman" w:cs="Times New Roman"/>
                <w:b/>
                <w:bCs/>
                <w:sz w:val="21"/>
                <w:szCs w:val="21"/>
              </w:rPr>
              <w:t>2</w:t>
            </w:r>
            <w:r>
              <w:rPr>
                <w:rFonts w:ascii="宋体" w:hAnsi="宋体"/>
                <w:b/>
                <w:bCs/>
                <w:kern w:val="0"/>
                <w:sz w:val="21"/>
                <w:szCs w:val="21"/>
              </w:rPr>
              <w:t xml:space="preserve"> </w:t>
            </w:r>
            <w:r>
              <w:rPr>
                <w:rFonts w:hint="eastAsia" w:ascii="Times New Roman" w:hAnsi="Times New Roman" w:cs="Times New Roman"/>
                <w:sz w:val="21"/>
                <w:szCs w:val="21"/>
              </w:rPr>
              <w:t>地下工程种植顶板外设防水层</w:t>
            </w:r>
            <w:r>
              <w:rPr>
                <w:rFonts w:hint="eastAsia" w:ascii="Times New Roman" w:hAnsi="Times New Roman" w:cs="Times New Roman"/>
                <w:sz w:val="21"/>
                <w:szCs w:val="21"/>
                <w:lang w:val="en-US" w:eastAsia="zh-CN"/>
              </w:rPr>
              <w:t>采</w:t>
            </w:r>
            <w:r>
              <w:rPr>
                <w:rFonts w:hint="eastAsia" w:ascii="Times New Roman" w:hAnsi="Times New Roman" w:cs="Times New Roman"/>
                <w:sz w:val="21"/>
                <w:szCs w:val="21"/>
              </w:rPr>
              <w:t>用水泥基渗透结晶型防水涂料、水性渗透型无机防水剂、防水砂浆或</w:t>
            </w:r>
            <w:r>
              <w:rPr>
                <w:rFonts w:hint="eastAsia" w:ascii="Times New Roman" w:hAnsi="Times New Roman" w:cs="Times New Roman"/>
                <w:sz w:val="21"/>
                <w:szCs w:val="21"/>
                <w:lang w:val="en-US" w:eastAsia="zh-CN"/>
              </w:rPr>
              <w:t>防水</w:t>
            </w:r>
            <w:r>
              <w:rPr>
                <w:rFonts w:hint="eastAsia" w:ascii="Times New Roman" w:hAnsi="Times New Roman" w:cs="Times New Roman"/>
                <w:sz w:val="21"/>
                <w:szCs w:val="21"/>
              </w:rPr>
              <w:t>细石混凝土等刚性防水材料</w:t>
            </w:r>
            <w:r>
              <w:rPr>
                <w:rFonts w:hint="eastAsia" w:ascii="Times New Roman" w:hAnsi="Times New Roman" w:cs="Times New Roman"/>
                <w:sz w:val="21"/>
                <w:szCs w:val="21"/>
                <w:lang w:val="en-US" w:eastAsia="zh-CN"/>
              </w:rPr>
              <w:t>形成刚性防水体系</w:t>
            </w:r>
            <w:r>
              <w:rPr>
                <w:rFonts w:hint="eastAsia" w:ascii="Times New Roman" w:hAnsi="Times New Roman" w:cs="Times New Roman"/>
                <w:sz w:val="21"/>
                <w:szCs w:val="21"/>
              </w:rPr>
              <w:t>时，可不设置柔性耐根穿刺层。</w:t>
            </w:r>
          </w:p>
        </w:tc>
      </w:tr>
      <w:tr w14:paraId="0D32C6E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center"/>
          </w:tcPr>
          <w:p w14:paraId="619FB0D1">
            <w:pPr>
              <w:shd w:val="clear" w:color="auto" w:fill="FFFFFF"/>
              <w:spacing w:line="360" w:lineRule="auto"/>
              <w:jc w:val="both"/>
              <w:rPr>
                <w:rFonts w:hint="default" w:asciiTheme="minorEastAsia" w:hAnsiTheme="minorEastAsia" w:eastAsiaTheme="minorEastAsia" w:cstheme="minorEastAsia"/>
                <w:sz w:val="21"/>
                <w:szCs w:val="20"/>
                <w:lang w:val="en-US" w:eastAsia="zh-CN"/>
              </w:rPr>
            </w:pPr>
            <w:r>
              <w:rPr>
                <w:rFonts w:hint="eastAsia" w:asciiTheme="minorEastAsia" w:hAnsiTheme="minorEastAsia" w:eastAsiaTheme="minorEastAsia" w:cstheme="minorEastAsia"/>
                <w:sz w:val="21"/>
                <w:szCs w:val="20"/>
                <w:lang w:val="en-US" w:eastAsia="zh-CN"/>
              </w:rPr>
              <w:t>罗列了采用水泥基渗透结晶型防水材料的室内防水工程、水池工程、其他工程防水构造做法。</w:t>
            </w:r>
          </w:p>
        </w:tc>
        <w:tc>
          <w:tcPr>
            <w:tcW w:w="5390" w:type="dxa"/>
            <w:noWrap w:val="0"/>
            <w:vAlign w:val="center"/>
          </w:tcPr>
          <w:p w14:paraId="4494B0A5">
            <w:pPr>
              <w:spacing w:line="360" w:lineRule="auto"/>
              <w:ind w:left="0" w:leftChars="0"/>
              <w:jc w:val="left"/>
              <w:rPr>
                <w:rFonts w:hint="eastAsia" w:ascii="宋体" w:hAnsi="宋体"/>
                <w:sz w:val="21"/>
                <w:szCs w:val="21"/>
              </w:rPr>
            </w:pPr>
            <w:r>
              <w:rPr>
                <w:rFonts w:ascii="Times New Roman" w:hAnsi="Times New Roman" w:cs="Times New Roman"/>
                <w:b/>
                <w:bCs/>
                <w:sz w:val="21"/>
                <w:szCs w:val="21"/>
              </w:rPr>
              <w:t>5</w:t>
            </w:r>
            <w:r>
              <w:rPr>
                <w:rFonts w:ascii="Times New Roman" w:hAnsi="Times New Roman" w:cs="Times New Roman"/>
                <w:b/>
                <w:bCs/>
                <w:spacing w:val="26"/>
                <w:kern w:val="0"/>
                <w:sz w:val="21"/>
                <w:szCs w:val="21"/>
              </w:rPr>
              <w:t>.</w:t>
            </w:r>
            <w:r>
              <w:rPr>
                <w:rFonts w:ascii="Times New Roman" w:hAnsi="Times New Roman" w:cs="Times New Roman"/>
                <w:b/>
                <w:bCs/>
                <w:sz w:val="21"/>
                <w:szCs w:val="21"/>
              </w:rPr>
              <w:t>3</w:t>
            </w:r>
            <w:r>
              <w:rPr>
                <w:rFonts w:ascii="Times New Roman" w:hAnsi="Times New Roman" w:cs="Times New Roman"/>
                <w:b/>
                <w:bCs/>
                <w:spacing w:val="26"/>
                <w:kern w:val="0"/>
                <w:sz w:val="21"/>
                <w:szCs w:val="21"/>
              </w:rPr>
              <w:t>.</w:t>
            </w:r>
            <w:r>
              <w:rPr>
                <w:rFonts w:ascii="Times New Roman" w:hAnsi="Times New Roman" w:cs="Times New Roman"/>
                <w:b/>
                <w:bCs/>
                <w:sz w:val="21"/>
                <w:szCs w:val="21"/>
              </w:rPr>
              <w:t>1</w:t>
            </w:r>
            <w:r>
              <w:rPr>
                <w:rFonts w:ascii="宋体" w:hAnsi="宋体"/>
                <w:b/>
                <w:bCs/>
                <w:kern w:val="0"/>
                <w:sz w:val="21"/>
                <w:szCs w:val="21"/>
              </w:rPr>
              <w:t xml:space="preserve">  </w:t>
            </w:r>
            <w:r>
              <w:rPr>
                <w:rFonts w:hint="eastAsia" w:ascii="宋体" w:hAnsi="宋体"/>
                <w:sz w:val="21"/>
                <w:szCs w:val="21"/>
              </w:rPr>
              <w:t>室内防水工程设计应根据工程特点，满足使用要求。采用水泥基渗透结晶型防水材料的室内工程防水构造做法见表5.3.1。</w:t>
            </w:r>
          </w:p>
          <w:p w14:paraId="348EF37E">
            <w:pPr>
              <w:spacing w:line="360" w:lineRule="auto"/>
              <w:ind w:left="0" w:leftChars="0"/>
              <w:jc w:val="left"/>
              <w:rPr>
                <w:rFonts w:hint="eastAsia" w:ascii="宋体" w:hAnsi="宋体"/>
                <w:sz w:val="21"/>
                <w:szCs w:val="21"/>
              </w:rPr>
            </w:pPr>
            <w:r>
              <w:rPr>
                <w:rFonts w:ascii="Times New Roman" w:hAnsi="Times New Roman" w:cs="Times New Roman"/>
                <w:b/>
                <w:bCs/>
                <w:sz w:val="21"/>
                <w:szCs w:val="21"/>
              </w:rPr>
              <w:t>5</w:t>
            </w:r>
            <w:r>
              <w:rPr>
                <w:rFonts w:ascii="Times New Roman" w:hAnsi="Times New Roman" w:cs="Times New Roman"/>
                <w:b/>
                <w:bCs/>
                <w:spacing w:val="26"/>
                <w:kern w:val="0"/>
                <w:sz w:val="21"/>
                <w:szCs w:val="21"/>
              </w:rPr>
              <w:t>.</w:t>
            </w:r>
            <w:r>
              <w:rPr>
                <w:rFonts w:hint="eastAsia" w:ascii="Times New Roman" w:hAnsi="Times New Roman" w:cs="Times New Roman"/>
                <w:b/>
                <w:bCs/>
                <w:sz w:val="21"/>
                <w:szCs w:val="21"/>
              </w:rPr>
              <w:t>4</w:t>
            </w:r>
            <w:r>
              <w:rPr>
                <w:rFonts w:ascii="Times New Roman" w:hAnsi="Times New Roman" w:cs="Times New Roman"/>
                <w:b/>
                <w:bCs/>
                <w:spacing w:val="26"/>
                <w:kern w:val="0"/>
                <w:sz w:val="21"/>
                <w:szCs w:val="21"/>
              </w:rPr>
              <w:t>.</w:t>
            </w:r>
            <w:r>
              <w:rPr>
                <w:rFonts w:ascii="Times New Roman" w:hAnsi="Times New Roman" w:cs="Times New Roman"/>
                <w:b/>
                <w:bCs/>
                <w:sz w:val="21"/>
                <w:szCs w:val="21"/>
              </w:rPr>
              <w:t>1</w:t>
            </w:r>
            <w:r>
              <w:rPr>
                <w:rFonts w:hint="eastAsia" w:ascii="宋体" w:hAnsi="宋体"/>
                <w:b/>
                <w:bCs/>
                <w:kern w:val="0"/>
                <w:sz w:val="21"/>
                <w:szCs w:val="21"/>
              </w:rPr>
              <w:t xml:space="preserve">  </w:t>
            </w:r>
            <w:r>
              <w:rPr>
                <w:rFonts w:hint="eastAsia" w:ascii="宋体" w:hAnsi="宋体"/>
                <w:sz w:val="21"/>
                <w:szCs w:val="21"/>
              </w:rPr>
              <w:t>水池工程应根据工程类型、特点和使用要求进行防水设计，采用水泥基渗透结晶型防水材料的水池工程防水构造做法见表5.4.1。</w:t>
            </w:r>
          </w:p>
          <w:p w14:paraId="7E297C43">
            <w:pPr>
              <w:spacing w:line="360" w:lineRule="auto"/>
              <w:ind w:left="0" w:leftChars="0"/>
              <w:rPr>
                <w:rFonts w:ascii="Times New Roman" w:hAnsi="Times New Roman" w:cs="Times New Roman"/>
                <w:b/>
                <w:bCs/>
                <w:sz w:val="21"/>
                <w:szCs w:val="21"/>
              </w:rPr>
            </w:pPr>
            <w:r>
              <w:rPr>
                <w:rFonts w:ascii="Times New Roman" w:hAnsi="Times New Roman" w:cs="Times New Roman"/>
                <w:b/>
                <w:bCs/>
                <w:sz w:val="21"/>
                <w:szCs w:val="21"/>
              </w:rPr>
              <w:t>5</w:t>
            </w:r>
            <w:r>
              <w:rPr>
                <w:rFonts w:ascii="Times New Roman" w:hAnsi="Times New Roman" w:cs="Times New Roman"/>
                <w:b/>
                <w:bCs/>
                <w:spacing w:val="26"/>
                <w:kern w:val="0"/>
                <w:sz w:val="21"/>
                <w:szCs w:val="21"/>
              </w:rPr>
              <w:t>.</w:t>
            </w:r>
            <w:r>
              <w:rPr>
                <w:rFonts w:hint="eastAsia" w:ascii="Times New Roman" w:hAnsi="Times New Roman" w:cs="Times New Roman"/>
                <w:b/>
                <w:bCs/>
                <w:sz w:val="21"/>
                <w:szCs w:val="21"/>
              </w:rPr>
              <w:t>5</w:t>
            </w:r>
            <w:r>
              <w:rPr>
                <w:rFonts w:ascii="Times New Roman" w:hAnsi="Times New Roman" w:cs="Times New Roman"/>
                <w:b/>
                <w:bCs/>
                <w:spacing w:val="26"/>
                <w:kern w:val="0"/>
                <w:sz w:val="21"/>
                <w:szCs w:val="21"/>
              </w:rPr>
              <w:t>.</w:t>
            </w:r>
            <w:r>
              <w:rPr>
                <w:rFonts w:hint="eastAsia" w:ascii="Times New Roman" w:hAnsi="Times New Roman" w:cs="Times New Roman"/>
                <w:b/>
                <w:bCs/>
                <w:sz w:val="21"/>
                <w:szCs w:val="21"/>
              </w:rPr>
              <w:t>2</w:t>
            </w:r>
            <w:r>
              <w:rPr>
                <w:rFonts w:hint="eastAsia" w:ascii="宋体" w:hAnsi="宋体"/>
                <w:b/>
                <w:bCs/>
                <w:kern w:val="0"/>
                <w:sz w:val="21"/>
                <w:szCs w:val="21"/>
              </w:rPr>
              <w:t xml:space="preserve">  </w:t>
            </w:r>
            <w:r>
              <w:rPr>
                <w:rFonts w:hint="eastAsia" w:ascii="宋体" w:hAnsi="宋体"/>
                <w:sz w:val="21"/>
                <w:szCs w:val="21"/>
              </w:rPr>
              <w:t>采用水泥基渗透结晶型防水材料的桥梁、水利、海工等工程，应根据工程类型、特点和使用要求进行防水设计，防水构造做法见表</w:t>
            </w:r>
            <w:r>
              <w:rPr>
                <w:rFonts w:ascii="宋体" w:hAnsi="宋体"/>
                <w:sz w:val="21"/>
                <w:szCs w:val="21"/>
              </w:rPr>
              <w:t>5.5.1</w:t>
            </w:r>
            <w:r>
              <w:rPr>
                <w:rFonts w:hint="eastAsia" w:ascii="宋体" w:hAnsi="宋体"/>
                <w:sz w:val="21"/>
                <w:szCs w:val="21"/>
              </w:rPr>
              <w:t>。</w:t>
            </w:r>
          </w:p>
        </w:tc>
      </w:tr>
      <w:tr w14:paraId="7FAECA7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center"/>
          </w:tcPr>
          <w:p w14:paraId="3964A83F">
            <w:pPr>
              <w:shd w:val="clear" w:color="auto" w:fill="FFFFFF"/>
              <w:spacing w:line="360" w:lineRule="auto"/>
              <w:jc w:val="both"/>
              <w:rPr>
                <w:rFonts w:hint="default" w:asciiTheme="minorEastAsia" w:hAnsiTheme="minorEastAsia" w:eastAsiaTheme="minorEastAsia" w:cstheme="minorEastAsia"/>
                <w:sz w:val="21"/>
                <w:szCs w:val="20"/>
                <w:lang w:val="en-US" w:eastAsia="zh-CN"/>
              </w:rPr>
            </w:pPr>
            <w:r>
              <w:rPr>
                <w:rFonts w:hint="eastAsia" w:asciiTheme="minorEastAsia" w:hAnsiTheme="minorEastAsia" w:eastAsiaTheme="minorEastAsia" w:cstheme="minorEastAsia"/>
                <w:sz w:val="21"/>
                <w:szCs w:val="20"/>
                <w:lang w:val="en-US" w:eastAsia="zh-CN"/>
              </w:rPr>
              <w:t>规定了采用水泥基渗透结晶型防水材料的防水工程渗漏治理要求。</w:t>
            </w:r>
          </w:p>
        </w:tc>
        <w:tc>
          <w:tcPr>
            <w:tcW w:w="5390" w:type="dxa"/>
            <w:noWrap w:val="0"/>
            <w:vAlign w:val="center"/>
          </w:tcPr>
          <w:p w14:paraId="764DE7D1">
            <w:pPr>
              <w:spacing w:line="360" w:lineRule="auto"/>
              <w:ind w:left="0" w:leftChars="0"/>
              <w:rPr>
                <w:rFonts w:hint="default" w:ascii="Times New Roman" w:hAnsi="Times New Roman" w:eastAsia="宋体" w:cs="Times New Roman"/>
                <w:b/>
                <w:bCs/>
                <w:sz w:val="21"/>
                <w:szCs w:val="21"/>
                <w:lang w:val="en-US" w:eastAsia="zh-CN"/>
              </w:rPr>
            </w:pPr>
            <w:r>
              <w:rPr>
                <w:rFonts w:hint="eastAsia" w:cs="Times New Roman"/>
                <w:b/>
                <w:bCs/>
                <w:sz w:val="21"/>
                <w:szCs w:val="21"/>
                <w:lang w:val="en-US" w:eastAsia="zh-CN"/>
              </w:rPr>
              <w:t xml:space="preserve">7  </w:t>
            </w:r>
            <w:r>
              <w:rPr>
                <w:rFonts w:hint="eastAsia" w:ascii="宋体" w:hAnsi="宋体"/>
                <w:sz w:val="21"/>
                <w:szCs w:val="21"/>
                <w:lang w:val="en-US" w:eastAsia="zh-CN"/>
              </w:rPr>
              <w:t>工程渗漏治理</w:t>
            </w:r>
          </w:p>
        </w:tc>
      </w:tr>
      <w:tr w14:paraId="5AF672C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3478" w:type="dxa"/>
            <w:noWrap w:val="0"/>
            <w:vAlign w:val="center"/>
          </w:tcPr>
          <w:p w14:paraId="55AF4F31">
            <w:pPr>
              <w:shd w:val="clear" w:color="auto" w:fill="FFFFFF"/>
              <w:spacing w:line="360" w:lineRule="auto"/>
              <w:jc w:val="both"/>
              <w:rPr>
                <w:rFonts w:hint="default" w:eastAsia="宋体" w:asciiTheme="minorEastAsia" w:hAnsiTheme="minorEastAsia" w:cstheme="minorEastAsia"/>
                <w:sz w:val="21"/>
                <w:szCs w:val="20"/>
                <w:lang w:val="en-US" w:eastAsia="zh-CN"/>
              </w:rPr>
            </w:pPr>
            <w:r>
              <w:rPr>
                <w:rFonts w:hint="eastAsia" w:asciiTheme="minorEastAsia" w:hAnsiTheme="minorEastAsia" w:eastAsiaTheme="minorEastAsia" w:cstheme="minorEastAsia"/>
                <w:sz w:val="21"/>
                <w:szCs w:val="20"/>
                <w:lang w:val="en-US" w:eastAsia="zh-CN"/>
              </w:rPr>
              <w:t>对</w:t>
            </w:r>
            <w:r>
              <w:rPr>
                <w:rFonts w:hint="eastAsia" w:ascii="宋体" w:hAnsi="宋体" w:cs="宋体"/>
                <w:sz w:val="21"/>
                <w:szCs w:val="21"/>
              </w:rPr>
              <w:t>水泥基渗透结晶型防水剂</w:t>
            </w:r>
            <w:r>
              <w:rPr>
                <w:rFonts w:hint="eastAsia" w:ascii="宋体" w:hAnsi="宋体" w:cs="宋体"/>
                <w:sz w:val="21"/>
                <w:szCs w:val="21"/>
                <w:lang w:val="en-US" w:eastAsia="zh-CN"/>
              </w:rPr>
              <w:t>的掺加过程进行规定。</w:t>
            </w:r>
          </w:p>
        </w:tc>
        <w:tc>
          <w:tcPr>
            <w:tcW w:w="5390" w:type="dxa"/>
            <w:noWrap w:val="0"/>
            <w:vAlign w:val="center"/>
          </w:tcPr>
          <w:p w14:paraId="14C73388">
            <w:pPr>
              <w:tabs>
                <w:tab w:val="left" w:pos="850"/>
              </w:tabs>
              <w:spacing w:line="360" w:lineRule="auto"/>
              <w:ind w:left="0" w:leftChars="0"/>
              <w:jc w:val="left"/>
              <w:rPr>
                <w:rFonts w:hint="eastAsia" w:cs="Times New Roman"/>
                <w:b/>
                <w:bCs/>
                <w:sz w:val="21"/>
                <w:szCs w:val="21"/>
                <w:lang w:val="en-US" w:eastAsia="zh-CN"/>
              </w:rPr>
            </w:pPr>
            <w:r>
              <w:rPr>
                <w:rFonts w:hint="eastAsia" w:ascii="Times New Roman" w:hAnsi="Times New Roman" w:cs="Times New Roman"/>
                <w:b/>
                <w:bCs/>
                <w:sz w:val="21"/>
                <w:szCs w:val="21"/>
                <w:lang w:val="en-US" w:eastAsia="zh-CN"/>
              </w:rPr>
              <w:t>8</w:t>
            </w:r>
            <w:r>
              <w:rPr>
                <w:rFonts w:ascii="Times New Roman" w:hAnsi="Times New Roman" w:cs="Times New Roman"/>
                <w:b/>
                <w:bCs/>
                <w:spacing w:val="26"/>
                <w:kern w:val="0"/>
                <w:sz w:val="21"/>
                <w:szCs w:val="21"/>
              </w:rPr>
              <w:t>.</w:t>
            </w:r>
            <w:r>
              <w:rPr>
                <w:rFonts w:ascii="Times New Roman" w:hAnsi="Times New Roman" w:cs="Times New Roman"/>
                <w:b/>
                <w:bCs/>
                <w:sz w:val="21"/>
                <w:szCs w:val="21"/>
              </w:rPr>
              <w:t>1</w:t>
            </w:r>
            <w:r>
              <w:rPr>
                <w:rFonts w:ascii="Times New Roman" w:hAnsi="Times New Roman" w:cs="Times New Roman"/>
                <w:b/>
                <w:bCs/>
                <w:spacing w:val="26"/>
                <w:kern w:val="0"/>
                <w:sz w:val="21"/>
                <w:szCs w:val="21"/>
              </w:rPr>
              <w:t>.</w:t>
            </w:r>
            <w:r>
              <w:rPr>
                <w:rFonts w:ascii="Times New Roman" w:hAnsi="Times New Roman" w:cs="Times New Roman"/>
                <w:b/>
                <w:bCs/>
                <w:sz w:val="21"/>
                <w:szCs w:val="21"/>
              </w:rPr>
              <w:t>3</w:t>
            </w:r>
            <w:r>
              <w:rPr>
                <w:rFonts w:cs="Times New Roman" w:asciiTheme="minorEastAsia" w:hAnsiTheme="minorEastAsia" w:eastAsiaTheme="minorEastAsia"/>
                <w:b/>
                <w:bCs/>
                <w:sz w:val="21"/>
                <w:szCs w:val="21"/>
              </w:rPr>
              <w:t xml:space="preserve">  </w:t>
            </w:r>
            <w:r>
              <w:rPr>
                <w:rFonts w:hint="eastAsia" w:ascii="宋体" w:hAnsi="宋体" w:cs="宋体"/>
                <w:sz w:val="21"/>
                <w:szCs w:val="21"/>
              </w:rPr>
              <w:t>水泥基渗透结晶型防水剂</w:t>
            </w:r>
            <w:r>
              <w:rPr>
                <w:rFonts w:hint="eastAsia" w:ascii="宋体" w:hAnsi="宋体" w:cs="宋体"/>
                <w:sz w:val="21"/>
                <w:szCs w:val="21"/>
                <w:lang w:val="en-US" w:eastAsia="zh-CN"/>
              </w:rPr>
              <w:t>掺加过程</w:t>
            </w:r>
            <w:r>
              <w:rPr>
                <w:rFonts w:hint="eastAsia" w:cs="Times New Roman" w:asciiTheme="minorEastAsia" w:hAnsiTheme="minorEastAsia" w:eastAsiaTheme="minorEastAsia"/>
                <w:b w:val="0"/>
                <w:bCs w:val="0"/>
                <w:sz w:val="21"/>
                <w:szCs w:val="21"/>
                <w:lang w:val="en-US" w:eastAsia="zh-CN"/>
              </w:rPr>
              <w:t>应留存现场影像资料，并检查掺加记录表、混凝土运输单</w:t>
            </w:r>
            <w:r>
              <w:rPr>
                <w:rFonts w:hint="eastAsia" w:ascii="宋体" w:hAnsi="宋体" w:cs="宋体"/>
                <w:sz w:val="21"/>
                <w:szCs w:val="21"/>
              </w:rPr>
              <w:t>。</w:t>
            </w:r>
          </w:p>
        </w:tc>
      </w:tr>
    </w:tbl>
    <w:p w14:paraId="0F6DC525">
      <w:pPr>
        <w:keepNext w:val="0"/>
        <w:keepLines w:val="0"/>
        <w:pageBreakBefore w:val="0"/>
        <w:widowControl w:val="0"/>
        <w:numPr>
          <w:ilvl w:val="0"/>
          <w:numId w:val="5"/>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宋体" w:cs="宋体"/>
          <w:b/>
          <w:bCs w:val="0"/>
          <w:color w:val="auto"/>
          <w:spacing w:val="0"/>
          <w:kern w:val="2"/>
          <w:sz w:val="24"/>
          <w:szCs w:val="24"/>
          <w:lang w:val="en-US" w:eastAsia="zh-CN" w:bidi="ar-SA"/>
        </w:rPr>
      </w:pPr>
      <w:r>
        <w:rPr>
          <w:rFonts w:hint="eastAsia" w:ascii="Times New Roman" w:hAnsi="Times New Roman" w:eastAsia="宋体" w:cs="宋体"/>
          <w:b/>
          <w:bCs w:val="0"/>
          <w:color w:val="auto"/>
          <w:spacing w:val="0"/>
          <w:kern w:val="2"/>
          <w:sz w:val="24"/>
          <w:szCs w:val="24"/>
          <w:lang w:val="en-US" w:eastAsia="zh-CN" w:bidi="ar-SA"/>
        </w:rPr>
        <w:t>主要试验</w:t>
      </w:r>
      <w:r>
        <w:rPr>
          <w:rFonts w:hint="eastAsia" w:cs="宋体"/>
          <w:b/>
          <w:bCs w:val="0"/>
          <w:color w:val="auto"/>
          <w:spacing w:val="0"/>
          <w:kern w:val="2"/>
          <w:sz w:val="24"/>
          <w:szCs w:val="24"/>
          <w:lang w:val="en-US" w:eastAsia="zh-CN" w:bidi="ar-SA"/>
        </w:rPr>
        <w:t>（或验证）</w:t>
      </w:r>
      <w:r>
        <w:rPr>
          <w:rFonts w:hint="eastAsia" w:ascii="Times New Roman" w:hAnsi="Times New Roman" w:eastAsia="宋体" w:cs="宋体"/>
          <w:b/>
          <w:bCs w:val="0"/>
          <w:color w:val="auto"/>
          <w:spacing w:val="0"/>
          <w:kern w:val="2"/>
          <w:sz w:val="24"/>
          <w:szCs w:val="24"/>
          <w:lang w:val="en-US" w:eastAsia="zh-CN" w:bidi="ar-SA"/>
        </w:rPr>
        <w:t>情况分析</w:t>
      </w:r>
    </w:p>
    <w:p w14:paraId="74AED4AC">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default" w:ascii="Times New Roman" w:hAnsi="Times New Roman" w:eastAsia="黑体" w:cs="黑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rPr>
        <w:t>（一）</w:t>
      </w:r>
      <w:r>
        <w:rPr>
          <w:rFonts w:hint="eastAsia" w:eastAsia="黑体" w:cs="黑体"/>
          <w:b w:val="0"/>
          <w:bCs/>
          <w:color w:val="auto"/>
          <w:spacing w:val="0"/>
          <w:kern w:val="2"/>
          <w:sz w:val="24"/>
          <w:szCs w:val="24"/>
          <w:lang w:val="en-US" w:eastAsia="zh-CN"/>
        </w:rPr>
        <w:t>试验验证的目的</w:t>
      </w:r>
    </w:p>
    <w:p w14:paraId="60BE36B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jc w:val="both"/>
        <w:textAlignment w:val="auto"/>
        <w:outlineLvl w:val="0"/>
        <w:rPr>
          <w:rFonts w:hint="eastAsia" w:ascii="Times New Roman" w:hAnsi="Times New Roman" w:cs="宋体"/>
          <w:color w:val="auto"/>
          <w:sz w:val="24"/>
        </w:rPr>
      </w:pPr>
      <w:r>
        <w:rPr>
          <w:rFonts w:hint="eastAsia" w:ascii="Times New Roman" w:hAnsi="Times New Roman" w:cs="宋体"/>
          <w:color w:val="auto"/>
          <w:sz w:val="24"/>
          <w:lang w:val="en-US" w:eastAsia="zh-CN"/>
        </w:rPr>
        <w:t>本次试验验证的目的是对</w:t>
      </w:r>
      <w:r>
        <w:rPr>
          <w:rFonts w:hint="eastAsia" w:cs="宋体"/>
          <w:color w:val="auto"/>
          <w:sz w:val="24"/>
          <w:lang w:val="en-US" w:eastAsia="zh-CN"/>
        </w:rPr>
        <w:t>本规范</w:t>
      </w:r>
      <w:r>
        <w:rPr>
          <w:rFonts w:hint="eastAsia" w:ascii="Times New Roman" w:hAnsi="Times New Roman" w:cs="宋体"/>
          <w:color w:val="auto"/>
          <w:sz w:val="24"/>
          <w:lang w:val="en-US" w:eastAsia="zh-CN"/>
        </w:rPr>
        <w:t>的科学性、准确性和可行性进行试验验证</w:t>
      </w:r>
      <w:r>
        <w:rPr>
          <w:rFonts w:hint="eastAsia" w:cs="宋体"/>
          <w:color w:val="auto"/>
          <w:sz w:val="24"/>
          <w:lang w:val="en-US" w:eastAsia="zh-CN"/>
        </w:rPr>
        <w:t>，共分为两种试验验证。一种试验验证是采用与</w:t>
      </w:r>
      <w:r>
        <w:rPr>
          <w:rFonts w:hint="eastAsia" w:ascii="宋体" w:hAnsi="宋体"/>
          <w:color w:val="auto"/>
          <w:sz w:val="24"/>
          <w:szCs w:val="24"/>
          <w:highlight w:val="none"/>
          <w:lang w:val="en-US" w:eastAsia="zh-CN"/>
        </w:rPr>
        <w:t>建材行业标准《水泥基渗透结晶型防水材料》GB/T 18445相同的试验方法，</w:t>
      </w:r>
      <w:r>
        <w:rPr>
          <w:rFonts w:hint="eastAsia" w:cs="宋体"/>
          <w:color w:val="auto"/>
          <w:sz w:val="24"/>
          <w:lang w:val="en-US" w:eastAsia="zh-CN"/>
        </w:rPr>
        <w:t>验证</w:t>
      </w:r>
      <w:r>
        <w:rPr>
          <w:rFonts w:hint="eastAsia" w:ascii="宋体" w:hAnsi="宋体"/>
          <w:color w:val="auto"/>
          <w:sz w:val="24"/>
          <w:szCs w:val="24"/>
          <w:highlight w:val="none"/>
          <w:lang w:val="en-US" w:eastAsia="zh-CN"/>
        </w:rPr>
        <w:t>水泥基渗透结晶型防水材料的关键应用性能指标。另一种试验验证是选取工程项目进行实际施工验证</w:t>
      </w:r>
      <w:r>
        <w:rPr>
          <w:rFonts w:hint="eastAsia" w:ascii="Times New Roman" w:hAnsi="Times New Roman" w:cs="宋体"/>
          <w:color w:val="auto"/>
          <w:sz w:val="24"/>
          <w:lang w:val="en-US" w:eastAsia="zh-CN"/>
        </w:rPr>
        <w:t>。本次试验验证为</w:t>
      </w:r>
      <w:r>
        <w:rPr>
          <w:rFonts w:hint="eastAsia" w:cs="宋体"/>
          <w:color w:val="auto"/>
          <w:sz w:val="24"/>
          <w:lang w:val="en-US" w:eastAsia="zh-CN"/>
        </w:rPr>
        <w:t>本规范</w:t>
      </w:r>
      <w:r>
        <w:rPr>
          <w:rFonts w:hint="eastAsia" w:ascii="Times New Roman" w:hAnsi="Times New Roman" w:cs="宋体"/>
          <w:color w:val="auto"/>
          <w:sz w:val="24"/>
          <w:lang w:val="en-US" w:eastAsia="zh-CN"/>
        </w:rPr>
        <w:t>的</w:t>
      </w:r>
      <w:r>
        <w:rPr>
          <w:rFonts w:hint="eastAsia" w:cs="宋体"/>
          <w:color w:val="auto"/>
          <w:sz w:val="24"/>
          <w:lang w:val="en-US" w:eastAsia="zh-CN"/>
        </w:rPr>
        <w:t>制定</w:t>
      </w:r>
      <w:r>
        <w:rPr>
          <w:rFonts w:hint="eastAsia" w:ascii="Times New Roman" w:hAnsi="Times New Roman" w:cs="宋体"/>
          <w:color w:val="auto"/>
          <w:sz w:val="24"/>
          <w:lang w:val="en-US" w:eastAsia="zh-CN"/>
        </w:rPr>
        <w:t>提供科学和技术依据，更加科学、合理地非固化橡胶沥青防水涂料</w:t>
      </w:r>
      <w:r>
        <w:rPr>
          <w:rFonts w:hint="eastAsia" w:cs="宋体"/>
          <w:color w:val="auto"/>
          <w:sz w:val="24"/>
          <w:lang w:val="en-US" w:eastAsia="zh-CN"/>
        </w:rPr>
        <w:t>设计、施工、验收等</w:t>
      </w:r>
      <w:r>
        <w:rPr>
          <w:rFonts w:hint="eastAsia" w:ascii="Times New Roman" w:hAnsi="Times New Roman" w:cs="宋体"/>
          <w:color w:val="auto"/>
          <w:sz w:val="24"/>
          <w:lang w:val="en-US" w:eastAsia="zh-CN"/>
        </w:rPr>
        <w:t>。</w:t>
      </w:r>
    </w:p>
    <w:p w14:paraId="62A3E890">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default" w:ascii="Times New Roman" w:hAnsi="Times New Roman" w:eastAsia="黑体" w:cs="黑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rPr>
        <w:t>（二）试验验证</w:t>
      </w:r>
      <w:r>
        <w:rPr>
          <w:rFonts w:hint="eastAsia" w:eastAsia="黑体" w:cs="黑体"/>
          <w:b w:val="0"/>
          <w:bCs/>
          <w:color w:val="auto"/>
          <w:spacing w:val="0"/>
          <w:kern w:val="2"/>
          <w:sz w:val="24"/>
          <w:szCs w:val="24"/>
          <w:lang w:val="en-US" w:eastAsia="zh-CN"/>
        </w:rPr>
        <w:t>承担</w:t>
      </w:r>
      <w:r>
        <w:rPr>
          <w:rFonts w:hint="eastAsia" w:ascii="Times New Roman" w:hAnsi="Times New Roman" w:eastAsia="黑体" w:cs="黑体"/>
          <w:b w:val="0"/>
          <w:bCs/>
          <w:color w:val="auto"/>
          <w:spacing w:val="0"/>
          <w:kern w:val="2"/>
          <w:sz w:val="24"/>
          <w:szCs w:val="24"/>
          <w:lang w:val="en-US" w:eastAsia="zh-CN"/>
        </w:rPr>
        <w:t>单位</w:t>
      </w:r>
    </w:p>
    <w:p w14:paraId="7FF12DA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jc w:val="both"/>
        <w:textAlignment w:val="auto"/>
        <w:outlineLvl w:val="0"/>
        <w:rPr>
          <w:rFonts w:hint="eastAsia" w:ascii="Times New Roman" w:hAnsi="Times New Roman" w:cs="宋体"/>
          <w:color w:val="auto"/>
          <w:sz w:val="24"/>
          <w:lang w:val="en-US" w:eastAsia="zh-CN"/>
        </w:rPr>
      </w:pPr>
      <w:r>
        <w:rPr>
          <w:rFonts w:hint="eastAsia" w:cs="宋体"/>
          <w:color w:val="auto"/>
          <w:sz w:val="24"/>
          <w:lang w:val="en-US" w:eastAsia="zh-CN"/>
        </w:rPr>
        <w:t>水泥基渗透结晶型防水材料</w:t>
      </w:r>
      <w:r>
        <w:rPr>
          <w:rFonts w:hint="eastAsia" w:ascii="宋体" w:hAnsi="宋体"/>
          <w:color w:val="auto"/>
          <w:sz w:val="24"/>
          <w:szCs w:val="24"/>
          <w:highlight w:val="none"/>
          <w:lang w:val="en-US" w:eastAsia="zh-CN"/>
        </w:rPr>
        <w:t>关键应用性能指标验证</w:t>
      </w:r>
      <w:r>
        <w:rPr>
          <w:rFonts w:hint="eastAsia" w:cs="宋体"/>
          <w:color w:val="auto"/>
          <w:sz w:val="24"/>
          <w:lang w:val="en-US" w:eastAsia="zh-CN"/>
        </w:rPr>
        <w:t>、工程项目调研及</w:t>
      </w:r>
      <w:r>
        <w:rPr>
          <w:rFonts w:hint="eastAsia" w:ascii="宋体" w:hAnsi="宋体"/>
          <w:color w:val="auto"/>
          <w:sz w:val="24"/>
          <w:szCs w:val="24"/>
          <w:highlight w:val="none"/>
          <w:lang w:val="en-US" w:eastAsia="zh-CN"/>
        </w:rPr>
        <w:t>实际施工</w:t>
      </w:r>
      <w:r>
        <w:rPr>
          <w:rFonts w:hint="eastAsia" w:ascii="Times New Roman" w:hAnsi="Times New Roman" w:cs="宋体"/>
          <w:color w:val="auto"/>
          <w:sz w:val="24"/>
          <w:lang w:val="en-US" w:eastAsia="zh-CN"/>
        </w:rPr>
        <w:t>验证</w:t>
      </w:r>
      <w:r>
        <w:rPr>
          <w:rFonts w:hint="eastAsia" w:cs="宋体"/>
          <w:color w:val="auto"/>
          <w:sz w:val="24"/>
          <w:lang w:val="en-US" w:eastAsia="zh-CN"/>
        </w:rPr>
        <w:t>均</w:t>
      </w:r>
      <w:r>
        <w:rPr>
          <w:rFonts w:hint="eastAsia" w:ascii="Times New Roman" w:hAnsi="Times New Roman" w:cs="宋体"/>
          <w:color w:val="auto"/>
          <w:sz w:val="24"/>
          <w:lang w:val="en-US" w:eastAsia="zh-CN"/>
        </w:rPr>
        <w:t>由中建材苏州防水研究院有限公司</w:t>
      </w:r>
      <w:r>
        <w:rPr>
          <w:rFonts w:hint="eastAsia" w:cs="宋体"/>
          <w:color w:val="auto"/>
          <w:sz w:val="24"/>
          <w:lang w:val="en-US" w:eastAsia="zh-CN"/>
        </w:rPr>
        <w:t>联合相关企业进行。</w:t>
      </w:r>
    </w:p>
    <w:p w14:paraId="117EE405">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default" w:ascii="Times New Roman" w:hAnsi="Times New Roman" w:eastAsia="黑体" w:cs="黑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rPr>
        <w:t>（三）关键应用性能指标验证</w:t>
      </w:r>
    </w:p>
    <w:p w14:paraId="5A9950B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outlineLvl w:val="0"/>
        <w:rPr>
          <w:rFonts w:hint="default" w:ascii="Times New Roman" w:hAnsi="Times New Roman" w:cs="宋体"/>
          <w:color w:val="auto"/>
          <w:sz w:val="24"/>
          <w:lang w:val="en-US" w:eastAsia="zh-CN"/>
        </w:rPr>
      </w:pPr>
      <w:r>
        <w:rPr>
          <w:rFonts w:hint="eastAsia" w:ascii="Times New Roman" w:hAnsi="Times New Roman" w:cs="宋体"/>
          <w:color w:val="auto"/>
          <w:sz w:val="24"/>
          <w:lang w:val="en-US" w:eastAsia="zh-CN"/>
        </w:rPr>
        <w:t>本次共</w:t>
      </w:r>
      <w:r>
        <w:rPr>
          <w:rFonts w:hint="eastAsia" w:cs="宋体"/>
          <w:color w:val="auto"/>
          <w:sz w:val="24"/>
          <w:lang w:val="en-US" w:eastAsia="zh-CN"/>
        </w:rPr>
        <w:t>搜集10</w:t>
      </w:r>
      <w:r>
        <w:rPr>
          <w:rFonts w:hint="eastAsia" w:ascii="Times New Roman" w:hAnsi="Times New Roman" w:cs="宋体"/>
          <w:color w:val="auto"/>
          <w:sz w:val="24"/>
          <w:lang w:val="en-US" w:eastAsia="zh-CN"/>
        </w:rPr>
        <w:t>个</w:t>
      </w:r>
      <w:r>
        <w:rPr>
          <w:rFonts w:hint="eastAsia" w:cs="宋体"/>
          <w:color w:val="auto"/>
          <w:sz w:val="24"/>
          <w:lang w:val="en-US" w:eastAsia="zh-CN"/>
        </w:rPr>
        <w:t>不同厂家的水泥基渗透结晶型防水材料</w:t>
      </w:r>
      <w:r>
        <w:rPr>
          <w:rFonts w:hint="eastAsia" w:ascii="Times New Roman" w:hAnsi="Times New Roman" w:cs="宋体"/>
          <w:color w:val="auto"/>
          <w:sz w:val="24"/>
          <w:lang w:val="en-US" w:eastAsia="zh-CN"/>
        </w:rPr>
        <w:t>样品，其中</w:t>
      </w:r>
      <w:r>
        <w:rPr>
          <w:rFonts w:hint="eastAsia" w:cs="宋体"/>
          <w:color w:val="auto"/>
          <w:sz w:val="24"/>
          <w:lang w:val="en-US" w:eastAsia="zh-CN"/>
        </w:rPr>
        <w:t>水泥基渗透结晶型防水涂料8</w:t>
      </w:r>
      <w:r>
        <w:rPr>
          <w:rFonts w:hint="eastAsia" w:ascii="Times New Roman" w:hAnsi="Times New Roman" w:cs="宋体"/>
          <w:color w:val="auto"/>
          <w:sz w:val="24"/>
          <w:lang w:val="en-US" w:eastAsia="zh-CN"/>
        </w:rPr>
        <w:t>个，</w:t>
      </w:r>
      <w:r>
        <w:rPr>
          <w:rFonts w:hint="eastAsia" w:cs="宋体"/>
          <w:color w:val="auto"/>
          <w:sz w:val="24"/>
          <w:lang w:val="en-US" w:eastAsia="zh-CN"/>
        </w:rPr>
        <w:t>水泥基渗透结晶型防水剂7</w:t>
      </w:r>
      <w:r>
        <w:rPr>
          <w:rFonts w:hint="eastAsia" w:ascii="Times New Roman" w:hAnsi="Times New Roman" w:cs="宋体"/>
          <w:color w:val="auto"/>
          <w:sz w:val="24"/>
          <w:lang w:val="en-US" w:eastAsia="zh-CN"/>
        </w:rPr>
        <w:t>个。</w:t>
      </w:r>
      <w:r>
        <w:rPr>
          <w:rFonts w:hint="eastAsia" w:cs="宋体"/>
          <w:color w:val="auto"/>
          <w:sz w:val="24"/>
          <w:lang w:val="en-US" w:eastAsia="zh-CN"/>
        </w:rPr>
        <w:t>测试了水泥基渗透结晶型防水涂料的施工性、28d湿基面粘接强度、砂浆抗渗性能、混凝土抗渗性能，以及水泥基渗透结晶型防水剂的28d收缩率比、混凝土抗渗性能、自修复能力（愈合率）等</w:t>
      </w:r>
      <w:r>
        <w:rPr>
          <w:rFonts w:hint="eastAsia" w:ascii="宋体" w:hAnsi="宋体"/>
          <w:color w:val="auto"/>
          <w:sz w:val="24"/>
          <w:szCs w:val="24"/>
          <w:highlight w:val="none"/>
          <w:lang w:val="en-US" w:eastAsia="zh-CN"/>
        </w:rPr>
        <w:t>关键应用性能指标，验证结果见表表3～表7。</w:t>
      </w:r>
    </w:p>
    <w:p w14:paraId="1F8C44A6">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宋体" w:hAnsi="宋体" w:eastAsia="宋体" w:cs="宋体"/>
          <w:b w:val="0"/>
          <w:bCs/>
          <w:color w:val="auto"/>
          <w:spacing w:val="0"/>
          <w:kern w:val="2"/>
          <w:sz w:val="24"/>
          <w:szCs w:val="24"/>
          <w:lang w:val="en-US" w:eastAsia="zh-CN"/>
        </w:rPr>
      </w:pPr>
      <w:r>
        <w:rPr>
          <w:rFonts w:hint="default" w:ascii="宋体" w:hAnsi="宋体" w:eastAsia="宋体" w:cs="宋体"/>
          <w:b w:val="0"/>
          <w:bCs/>
          <w:color w:val="auto"/>
          <w:spacing w:val="0"/>
          <w:kern w:val="2"/>
          <w:sz w:val="24"/>
          <w:szCs w:val="24"/>
          <w:lang w:val="en-US" w:eastAsia="zh-CN"/>
        </w:rPr>
        <w:t>（</w:t>
      </w:r>
      <w:r>
        <w:rPr>
          <w:rFonts w:hint="eastAsia" w:ascii="宋体" w:hAnsi="宋体" w:cs="宋体"/>
          <w:b w:val="0"/>
          <w:bCs/>
          <w:color w:val="auto"/>
          <w:spacing w:val="0"/>
          <w:kern w:val="2"/>
          <w:sz w:val="24"/>
          <w:szCs w:val="24"/>
          <w:lang w:val="en-US" w:eastAsia="zh-CN"/>
        </w:rPr>
        <w:t>1</w:t>
      </w:r>
      <w:r>
        <w:rPr>
          <w:rFonts w:hint="default" w:ascii="宋体" w:hAnsi="宋体" w:eastAsia="宋体" w:cs="宋体"/>
          <w:b w:val="0"/>
          <w:bCs/>
          <w:color w:val="auto"/>
          <w:spacing w:val="0"/>
          <w:kern w:val="2"/>
          <w:sz w:val="24"/>
          <w:szCs w:val="24"/>
          <w:lang w:val="en-US" w:eastAsia="zh-CN"/>
        </w:rPr>
        <w:t>）</w:t>
      </w:r>
      <w:r>
        <w:rPr>
          <w:rFonts w:hint="eastAsia" w:cs="宋体"/>
          <w:color w:val="auto"/>
          <w:sz w:val="24"/>
          <w:lang w:val="en-US" w:eastAsia="zh-CN"/>
        </w:rPr>
        <w:t>水泥基渗透结晶型防水涂料的施工性</w:t>
      </w:r>
    </w:p>
    <w:p w14:paraId="2FF484F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黑体" w:hAnsi="黑体" w:eastAsia="黑体" w:cs="黑体"/>
          <w:b w:val="0"/>
          <w:bCs w:val="0"/>
          <w:sz w:val="24"/>
          <w:szCs w:val="24"/>
          <w:lang w:val="en-US" w:eastAsia="zh-CN"/>
        </w:rPr>
      </w:pPr>
      <w:r>
        <w:rPr>
          <w:rFonts w:hint="eastAsia" w:ascii="黑体" w:hAnsi="黑体" w:eastAsia="黑体" w:cs="黑体"/>
          <w:b w:val="0"/>
          <w:bCs w:val="0"/>
          <w:sz w:val="24"/>
          <w:szCs w:val="24"/>
          <w:lang w:val="en-US" w:eastAsia="zh-CN"/>
        </w:rPr>
        <w:t>表3  水泥基渗透结晶型防水涂料的施工性</w:t>
      </w:r>
    </w:p>
    <w:tbl>
      <w:tblPr>
        <w:tblStyle w:val="11"/>
        <w:tblW w:w="4996" w:type="pct"/>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653"/>
        <w:gridCol w:w="946"/>
        <w:gridCol w:w="946"/>
        <w:gridCol w:w="947"/>
        <w:gridCol w:w="947"/>
        <w:gridCol w:w="947"/>
        <w:gridCol w:w="947"/>
        <w:gridCol w:w="947"/>
        <w:gridCol w:w="947"/>
        <w:gridCol w:w="947"/>
      </w:tblGrid>
      <w:tr w14:paraId="409A1E27">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PrEx>
        <w:trPr>
          <w:trHeight w:val="616" w:hRule="atLeast"/>
          <w:jc w:val="center"/>
        </w:trPr>
        <w:tc>
          <w:tcPr>
            <w:tcW w:w="1438" w:type="pct"/>
            <w:gridSpan w:val="2"/>
            <w:tcBorders>
              <w:bottom w:val="single" w:color="000000" w:sz="4" w:space="0"/>
              <w:right w:val="single" w:color="000000" w:sz="4" w:space="0"/>
            </w:tcBorders>
            <w:noWrap/>
            <w:vAlign w:val="center"/>
          </w:tcPr>
          <w:p w14:paraId="32471921">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样品编号</w:t>
            </w:r>
          </w:p>
        </w:tc>
        <w:tc>
          <w:tcPr>
            <w:tcW w:w="418" w:type="pct"/>
            <w:tcBorders>
              <w:left w:val="single" w:color="000000" w:sz="4" w:space="0"/>
              <w:bottom w:val="single" w:color="000000" w:sz="4" w:space="0"/>
              <w:right w:val="single" w:color="000000" w:sz="4" w:space="0"/>
            </w:tcBorders>
            <w:noWrap w:val="0"/>
            <w:vAlign w:val="center"/>
          </w:tcPr>
          <w:p w14:paraId="72E5077C">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427" w:type="pct"/>
            <w:tcBorders>
              <w:left w:val="single" w:color="000000" w:sz="4" w:space="0"/>
              <w:bottom w:val="single" w:color="000000" w:sz="4" w:space="0"/>
              <w:right w:val="single" w:color="000000" w:sz="4" w:space="0"/>
            </w:tcBorders>
            <w:noWrap w:val="0"/>
            <w:vAlign w:val="center"/>
          </w:tcPr>
          <w:p w14:paraId="37067CF5">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475" w:type="pct"/>
            <w:tcBorders>
              <w:left w:val="single" w:color="000000" w:sz="4" w:space="0"/>
              <w:bottom w:val="single" w:color="000000" w:sz="4" w:space="0"/>
              <w:right w:val="single" w:color="000000" w:sz="4" w:space="0"/>
            </w:tcBorders>
            <w:noWrap w:val="0"/>
            <w:vAlign w:val="center"/>
          </w:tcPr>
          <w:p w14:paraId="2DDA7FBF">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w:t>
            </w:r>
          </w:p>
        </w:tc>
        <w:tc>
          <w:tcPr>
            <w:tcW w:w="468" w:type="pct"/>
            <w:tcBorders>
              <w:left w:val="single" w:color="000000" w:sz="4" w:space="0"/>
              <w:bottom w:val="single" w:color="000000" w:sz="4" w:space="0"/>
              <w:right w:val="single" w:color="000000" w:sz="4" w:space="0"/>
            </w:tcBorders>
            <w:noWrap w:val="0"/>
            <w:vAlign w:val="center"/>
          </w:tcPr>
          <w:p w14:paraId="4DB0A3A7">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w:t>
            </w:r>
          </w:p>
        </w:tc>
        <w:tc>
          <w:tcPr>
            <w:tcW w:w="450" w:type="pct"/>
            <w:tcBorders>
              <w:left w:val="single" w:color="000000" w:sz="4" w:space="0"/>
              <w:bottom w:val="single" w:color="000000" w:sz="4" w:space="0"/>
              <w:right w:val="single" w:color="000000" w:sz="4" w:space="0"/>
            </w:tcBorders>
            <w:noWrap w:val="0"/>
            <w:vAlign w:val="center"/>
          </w:tcPr>
          <w:p w14:paraId="1A445005">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450" w:type="pct"/>
            <w:tcBorders>
              <w:left w:val="single" w:color="000000" w:sz="4" w:space="0"/>
              <w:bottom w:val="single" w:color="000000" w:sz="4" w:space="0"/>
              <w:right w:val="single" w:color="000000" w:sz="4" w:space="0"/>
            </w:tcBorders>
            <w:noWrap w:val="0"/>
            <w:vAlign w:val="center"/>
          </w:tcPr>
          <w:p w14:paraId="07874ED1">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w:t>
            </w:r>
          </w:p>
        </w:tc>
        <w:tc>
          <w:tcPr>
            <w:tcW w:w="450" w:type="pct"/>
            <w:tcBorders>
              <w:left w:val="single" w:color="000000" w:sz="4" w:space="0"/>
              <w:bottom w:val="single" w:color="000000" w:sz="4" w:space="0"/>
              <w:right w:val="single" w:color="000000" w:sz="4" w:space="0"/>
            </w:tcBorders>
            <w:noWrap w:val="0"/>
            <w:vAlign w:val="center"/>
          </w:tcPr>
          <w:p w14:paraId="3C527E1E">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7#</w:t>
            </w:r>
          </w:p>
        </w:tc>
        <w:tc>
          <w:tcPr>
            <w:tcW w:w="419" w:type="pct"/>
            <w:tcBorders>
              <w:left w:val="single" w:color="000000" w:sz="4" w:space="0"/>
              <w:bottom w:val="single" w:color="000000" w:sz="4" w:space="0"/>
            </w:tcBorders>
            <w:noWrap w:val="0"/>
            <w:vAlign w:val="center"/>
          </w:tcPr>
          <w:p w14:paraId="7EC53D70">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w:t>
            </w:r>
          </w:p>
        </w:tc>
      </w:tr>
      <w:tr w14:paraId="1971110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718" w:type="pct"/>
            <w:vMerge w:val="restart"/>
            <w:tcBorders>
              <w:top w:val="single" w:color="000000" w:sz="4" w:space="0"/>
              <w:right w:val="single" w:color="000000" w:sz="4" w:space="0"/>
            </w:tcBorders>
            <w:noWrap/>
            <w:vAlign w:val="center"/>
          </w:tcPr>
          <w:p w14:paraId="441D8D60">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施工性</w:t>
            </w:r>
          </w:p>
        </w:tc>
        <w:tc>
          <w:tcPr>
            <w:tcW w:w="719" w:type="pct"/>
            <w:tcBorders>
              <w:top w:val="single" w:color="000000" w:sz="4" w:space="0"/>
              <w:bottom w:val="single" w:color="000000" w:sz="4" w:space="0"/>
              <w:right w:val="single" w:color="000000" w:sz="4" w:space="0"/>
            </w:tcBorders>
            <w:noWrap/>
            <w:vAlign w:val="center"/>
          </w:tcPr>
          <w:p w14:paraId="7274013F">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加水搅拌后</w:t>
            </w:r>
          </w:p>
        </w:tc>
        <w:tc>
          <w:tcPr>
            <w:tcW w:w="418" w:type="pct"/>
            <w:tcBorders>
              <w:top w:val="single" w:color="000000" w:sz="4" w:space="0"/>
              <w:left w:val="single" w:color="000000" w:sz="4" w:space="0"/>
              <w:bottom w:val="single" w:color="000000" w:sz="4" w:space="0"/>
              <w:right w:val="single" w:color="000000" w:sz="4" w:space="0"/>
            </w:tcBorders>
            <w:noWrap/>
            <w:vAlign w:val="center"/>
          </w:tcPr>
          <w:p w14:paraId="66F13C31">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27" w:type="pct"/>
            <w:tcBorders>
              <w:top w:val="single" w:color="000000" w:sz="4" w:space="0"/>
              <w:left w:val="single" w:color="000000" w:sz="4" w:space="0"/>
              <w:bottom w:val="single" w:color="000000" w:sz="4" w:space="0"/>
              <w:right w:val="single" w:color="000000" w:sz="4" w:space="0"/>
            </w:tcBorders>
            <w:noWrap/>
            <w:vAlign w:val="center"/>
          </w:tcPr>
          <w:p w14:paraId="2B503A83">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75" w:type="pct"/>
            <w:tcBorders>
              <w:top w:val="single" w:color="000000" w:sz="4" w:space="0"/>
              <w:left w:val="single" w:color="000000" w:sz="4" w:space="0"/>
              <w:bottom w:val="single" w:color="000000" w:sz="4" w:space="0"/>
              <w:right w:val="single" w:color="000000" w:sz="4" w:space="0"/>
            </w:tcBorders>
            <w:noWrap/>
            <w:vAlign w:val="center"/>
          </w:tcPr>
          <w:p w14:paraId="52072290">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68" w:type="pct"/>
            <w:tcBorders>
              <w:top w:val="single" w:color="000000" w:sz="4" w:space="0"/>
              <w:left w:val="single" w:color="000000" w:sz="4" w:space="0"/>
              <w:bottom w:val="single" w:color="000000" w:sz="4" w:space="0"/>
              <w:right w:val="single" w:color="000000" w:sz="4" w:space="0"/>
            </w:tcBorders>
            <w:noWrap/>
            <w:vAlign w:val="center"/>
          </w:tcPr>
          <w:p w14:paraId="30E602F7">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706460AD">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2143E44">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6DD76364">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19" w:type="pct"/>
            <w:tcBorders>
              <w:top w:val="single" w:color="000000" w:sz="4" w:space="0"/>
              <w:left w:val="single" w:color="000000" w:sz="4" w:space="0"/>
              <w:bottom w:val="single" w:color="000000" w:sz="4" w:space="0"/>
            </w:tcBorders>
            <w:noWrap/>
            <w:vAlign w:val="center"/>
          </w:tcPr>
          <w:p w14:paraId="74A9C2E5">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r>
      <w:tr w14:paraId="511522FB">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718" w:type="pct"/>
            <w:vMerge w:val="continue"/>
            <w:tcBorders>
              <w:right w:val="single" w:color="000000" w:sz="4" w:space="0"/>
            </w:tcBorders>
            <w:noWrap/>
            <w:vAlign w:val="center"/>
          </w:tcPr>
          <w:p w14:paraId="22CD0D42">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p>
        </w:tc>
        <w:tc>
          <w:tcPr>
            <w:tcW w:w="719" w:type="pct"/>
            <w:tcBorders>
              <w:top w:val="single" w:color="000000" w:sz="4" w:space="0"/>
              <w:right w:val="single" w:color="000000" w:sz="4" w:space="0"/>
            </w:tcBorders>
            <w:noWrap/>
            <w:vAlign w:val="center"/>
          </w:tcPr>
          <w:p w14:paraId="7C3C04CD">
            <w:pPr>
              <w:keepNext w:val="0"/>
              <w:keepLines w:val="0"/>
              <w:widowControl/>
              <w:suppressLineNumbers w:val="0"/>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20min</w:t>
            </w:r>
          </w:p>
        </w:tc>
        <w:tc>
          <w:tcPr>
            <w:tcW w:w="418" w:type="pct"/>
            <w:tcBorders>
              <w:top w:val="single" w:color="000000" w:sz="4" w:space="0"/>
              <w:left w:val="single" w:color="000000" w:sz="4" w:space="0"/>
              <w:right w:val="single" w:color="000000" w:sz="4" w:space="0"/>
            </w:tcBorders>
            <w:noWrap/>
            <w:vAlign w:val="center"/>
          </w:tcPr>
          <w:p w14:paraId="28DE595C">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27" w:type="pct"/>
            <w:tcBorders>
              <w:top w:val="single" w:color="000000" w:sz="4" w:space="0"/>
              <w:left w:val="single" w:color="000000" w:sz="4" w:space="0"/>
              <w:right w:val="single" w:color="000000" w:sz="4" w:space="0"/>
            </w:tcBorders>
            <w:noWrap/>
            <w:vAlign w:val="center"/>
          </w:tcPr>
          <w:p w14:paraId="187872F6">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75" w:type="pct"/>
            <w:tcBorders>
              <w:top w:val="single" w:color="000000" w:sz="4" w:space="0"/>
              <w:left w:val="single" w:color="000000" w:sz="4" w:space="0"/>
              <w:right w:val="single" w:color="000000" w:sz="4" w:space="0"/>
            </w:tcBorders>
            <w:noWrap/>
            <w:vAlign w:val="center"/>
          </w:tcPr>
          <w:p w14:paraId="64A7C59F">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68" w:type="pct"/>
            <w:tcBorders>
              <w:top w:val="single" w:color="000000" w:sz="4" w:space="0"/>
              <w:left w:val="single" w:color="000000" w:sz="4" w:space="0"/>
              <w:right w:val="single" w:color="000000" w:sz="4" w:space="0"/>
            </w:tcBorders>
            <w:noWrap/>
            <w:vAlign w:val="center"/>
          </w:tcPr>
          <w:p w14:paraId="4FC16C33">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50" w:type="pct"/>
            <w:tcBorders>
              <w:top w:val="single" w:color="000000" w:sz="4" w:space="0"/>
              <w:left w:val="single" w:color="000000" w:sz="4" w:space="0"/>
              <w:right w:val="single" w:color="000000" w:sz="4" w:space="0"/>
            </w:tcBorders>
            <w:noWrap/>
            <w:vAlign w:val="center"/>
          </w:tcPr>
          <w:p w14:paraId="7CF9E52A">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50" w:type="pct"/>
            <w:tcBorders>
              <w:top w:val="single" w:color="000000" w:sz="4" w:space="0"/>
              <w:left w:val="single" w:color="000000" w:sz="4" w:space="0"/>
              <w:right w:val="single" w:color="000000" w:sz="4" w:space="0"/>
            </w:tcBorders>
            <w:noWrap/>
            <w:vAlign w:val="center"/>
          </w:tcPr>
          <w:p w14:paraId="6EDE962F">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50" w:type="pct"/>
            <w:tcBorders>
              <w:top w:val="single" w:color="000000" w:sz="4" w:space="0"/>
              <w:left w:val="single" w:color="000000" w:sz="4" w:space="0"/>
              <w:right w:val="single" w:color="000000" w:sz="4" w:space="0"/>
            </w:tcBorders>
            <w:noWrap/>
            <w:vAlign w:val="center"/>
          </w:tcPr>
          <w:p w14:paraId="6DDE4732">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c>
          <w:tcPr>
            <w:tcW w:w="419" w:type="pct"/>
            <w:tcBorders>
              <w:top w:val="single" w:color="000000" w:sz="4" w:space="0"/>
              <w:left w:val="single" w:color="000000" w:sz="4" w:space="0"/>
            </w:tcBorders>
            <w:noWrap/>
            <w:vAlign w:val="center"/>
          </w:tcPr>
          <w:p w14:paraId="785A108D">
            <w:pPr>
              <w:widowControl/>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刮涂无障碍</w:t>
            </w:r>
          </w:p>
        </w:tc>
      </w:tr>
    </w:tbl>
    <w:p w14:paraId="08FD1EC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contextualSpacing/>
        <w:textAlignment w:val="auto"/>
        <w:rPr>
          <w:rFonts w:hint="eastAsia" w:ascii="宋体" w:hAnsi="宋体" w:eastAsia="宋体" w:cs="宋体"/>
          <w:b/>
          <w:bCs/>
          <w:color w:val="000000"/>
          <w:sz w:val="24"/>
          <w:szCs w:val="24"/>
          <w:lang w:val="en-US" w:eastAsia="zh-CN"/>
        </w:rPr>
      </w:pPr>
      <w:r>
        <w:rPr>
          <w:rFonts w:hint="eastAsia" w:ascii="宋体" w:hAnsi="宋体" w:eastAsia="宋体" w:cs="宋体"/>
          <w:color w:val="000000"/>
          <w:sz w:val="24"/>
          <w:szCs w:val="24"/>
          <w:lang w:val="en-US" w:eastAsia="zh-CN"/>
        </w:rPr>
        <w:t>按JG/T 26规定进行。从干粉加水搅拌开始计时，按GB/T 17671标准搅拌程序搅拌后，用刷子在标准混凝土板或石棉水泥板上涂刷。如果涂刷顺利，则表明刮涂无障碍；将余料用湿布覆盖搅拌锅，20 min后在搅拌机中用高速搅拌30s后，再次用刷子进行涂刷。如涂刷顺利，则表明刮涂无障碍。</w:t>
      </w:r>
      <w:r>
        <w:rPr>
          <w:rFonts w:hint="eastAsia" w:ascii="宋体" w:hAnsi="宋体" w:cs="宋体"/>
          <w:color w:val="000000"/>
          <w:sz w:val="24"/>
          <w:szCs w:val="24"/>
          <w:lang w:val="en-US" w:eastAsia="zh-CN"/>
        </w:rPr>
        <w:t>实验结果表明：均无刮涂障碍，</w:t>
      </w:r>
      <w:r>
        <w:rPr>
          <w:rFonts w:hint="eastAsia" w:ascii="宋体" w:hAnsi="宋体" w:eastAsia="宋体" w:cs="宋体"/>
          <w:color w:val="000000"/>
          <w:sz w:val="24"/>
          <w:szCs w:val="24"/>
          <w:lang w:val="en-US" w:eastAsia="zh-CN"/>
        </w:rPr>
        <w:t>合格率100%。</w:t>
      </w:r>
    </w:p>
    <w:p w14:paraId="427FEA8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contextualSpacing/>
        <w:jc w:val="both"/>
        <w:textAlignment w:val="auto"/>
        <w:rPr>
          <w:rFonts w:hint="default" w:ascii="宋体" w:hAnsi="宋体" w:eastAsia="宋体" w:cs="宋体"/>
          <w:b w:val="0"/>
          <w:bCs w:val="0"/>
          <w:color w:val="000000"/>
          <w:sz w:val="24"/>
          <w:szCs w:val="24"/>
          <w:lang w:val="en-US" w:eastAsia="zh-CN"/>
        </w:rPr>
      </w:pPr>
      <w:r>
        <w:rPr>
          <w:rFonts w:hint="default" w:ascii="宋体" w:hAnsi="宋体" w:eastAsia="宋体" w:cs="宋体"/>
          <w:b w:val="0"/>
          <w:bCs w:val="0"/>
          <w:color w:val="000000"/>
          <w:sz w:val="24"/>
          <w:szCs w:val="24"/>
          <w:lang w:val="en-US" w:eastAsia="zh-CN"/>
        </w:rPr>
        <w:t>（</w:t>
      </w:r>
      <w:r>
        <w:rPr>
          <w:rFonts w:hint="eastAsia" w:ascii="宋体" w:hAnsi="宋体" w:cs="宋体"/>
          <w:b w:val="0"/>
          <w:bCs w:val="0"/>
          <w:color w:val="000000"/>
          <w:sz w:val="24"/>
          <w:szCs w:val="24"/>
          <w:lang w:val="en-US" w:eastAsia="zh-CN"/>
        </w:rPr>
        <w:t>2</w:t>
      </w:r>
      <w:r>
        <w:rPr>
          <w:rFonts w:hint="default" w:ascii="宋体" w:hAnsi="宋体" w:eastAsia="宋体" w:cs="宋体"/>
          <w:b w:val="0"/>
          <w:bCs w:val="0"/>
          <w:color w:val="000000"/>
          <w:sz w:val="24"/>
          <w:szCs w:val="24"/>
          <w:lang w:val="en-US" w:eastAsia="zh-CN"/>
        </w:rPr>
        <w:t>）</w:t>
      </w:r>
      <w:r>
        <w:rPr>
          <w:rFonts w:hint="eastAsia" w:cs="宋体"/>
          <w:color w:val="auto"/>
          <w:sz w:val="24"/>
          <w:lang w:val="en-US" w:eastAsia="zh-CN"/>
        </w:rPr>
        <w:t>水泥基渗透结晶型防水涂料的28d湿基面粘接强度</w:t>
      </w:r>
    </w:p>
    <w:p w14:paraId="1523BD11">
      <w:pPr>
        <w:numPr>
          <w:ilvl w:val="0"/>
          <w:numId w:val="0"/>
        </w:numPr>
        <w:spacing w:line="360" w:lineRule="auto"/>
        <w:ind w:leftChars="200"/>
        <w:contextualSpacing/>
        <w:jc w:val="center"/>
        <w:rPr>
          <w:rFonts w:hint="eastAsia" w:ascii="黑体" w:hAnsi="黑体" w:eastAsia="黑体" w:cs="黑体"/>
          <w:b w:val="0"/>
          <w:bCs w:val="0"/>
          <w:color w:val="000000"/>
          <w:sz w:val="24"/>
          <w:szCs w:val="24"/>
          <w:lang w:val="en-US" w:eastAsia="zh-CN"/>
        </w:rPr>
      </w:pPr>
      <w:r>
        <w:rPr>
          <w:rFonts w:hint="eastAsia" w:ascii="黑体" w:hAnsi="黑体" w:eastAsia="黑体" w:cs="黑体"/>
          <w:b w:val="0"/>
          <w:bCs w:val="0"/>
          <w:color w:val="000000"/>
          <w:sz w:val="24"/>
          <w:szCs w:val="24"/>
          <w:lang w:val="en-US" w:eastAsia="zh-CN"/>
        </w:rPr>
        <w:t>表4  水泥基渗透结晶型防水涂料的28d湿基面粘接强度</w:t>
      </w:r>
    </w:p>
    <w:tbl>
      <w:tblPr>
        <w:tblStyle w:val="1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474"/>
        <w:gridCol w:w="636"/>
        <w:gridCol w:w="636"/>
        <w:gridCol w:w="636"/>
        <w:gridCol w:w="636"/>
        <w:gridCol w:w="636"/>
        <w:gridCol w:w="636"/>
        <w:gridCol w:w="636"/>
        <w:gridCol w:w="636"/>
      </w:tblGrid>
      <w:tr w14:paraId="5A278D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noWrap w:val="0"/>
            <w:vAlign w:val="center"/>
          </w:tcPr>
          <w:p w14:paraId="067B924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样品编号</w:t>
            </w:r>
          </w:p>
        </w:tc>
        <w:tc>
          <w:tcPr>
            <w:tcW w:w="0" w:type="auto"/>
            <w:noWrap w:val="0"/>
            <w:vAlign w:val="center"/>
          </w:tcPr>
          <w:p w14:paraId="64CD5E6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w:t>
            </w:r>
          </w:p>
        </w:tc>
        <w:tc>
          <w:tcPr>
            <w:tcW w:w="0" w:type="auto"/>
            <w:noWrap w:val="0"/>
            <w:vAlign w:val="center"/>
          </w:tcPr>
          <w:p w14:paraId="5AEAB6C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w:t>
            </w:r>
          </w:p>
        </w:tc>
        <w:tc>
          <w:tcPr>
            <w:tcW w:w="0" w:type="auto"/>
            <w:noWrap w:val="0"/>
            <w:vAlign w:val="center"/>
          </w:tcPr>
          <w:p w14:paraId="33D2F80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w:t>
            </w:r>
          </w:p>
        </w:tc>
        <w:tc>
          <w:tcPr>
            <w:tcW w:w="0" w:type="auto"/>
            <w:noWrap w:val="0"/>
            <w:vAlign w:val="center"/>
          </w:tcPr>
          <w:p w14:paraId="5801915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w:t>
            </w:r>
          </w:p>
        </w:tc>
        <w:tc>
          <w:tcPr>
            <w:tcW w:w="0" w:type="auto"/>
            <w:noWrap w:val="0"/>
            <w:vAlign w:val="center"/>
          </w:tcPr>
          <w:p w14:paraId="366B8A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0" w:type="auto"/>
            <w:noWrap w:val="0"/>
            <w:vAlign w:val="center"/>
          </w:tcPr>
          <w:p w14:paraId="5E7E895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w:t>
            </w:r>
          </w:p>
        </w:tc>
        <w:tc>
          <w:tcPr>
            <w:tcW w:w="0" w:type="auto"/>
            <w:noWrap w:val="0"/>
            <w:vAlign w:val="center"/>
          </w:tcPr>
          <w:p w14:paraId="5C6E7E3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w:t>
            </w:r>
          </w:p>
        </w:tc>
        <w:tc>
          <w:tcPr>
            <w:tcW w:w="0" w:type="auto"/>
            <w:noWrap w:val="0"/>
            <w:vAlign w:val="center"/>
          </w:tcPr>
          <w:p w14:paraId="62E93B9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w:t>
            </w:r>
          </w:p>
        </w:tc>
      </w:tr>
      <w:tr w14:paraId="5DDD03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noWrap w:val="0"/>
            <w:vAlign w:val="center"/>
          </w:tcPr>
          <w:p w14:paraId="005D5374">
            <w:pPr>
              <w:keepNext w:val="0"/>
              <w:keepLines w:val="0"/>
              <w:pageBreakBefore w:val="0"/>
              <w:widowControl/>
              <w:numPr>
                <w:ilvl w:val="0"/>
                <w:numId w:val="0"/>
              </w:numPr>
              <w:kinsoku/>
              <w:wordWrap/>
              <w:overflowPunct/>
              <w:topLinePunct w:val="0"/>
              <w:autoSpaceDE/>
              <w:autoSpaceDN/>
              <w:bidi w:val="0"/>
              <w:adjustRightInd/>
              <w:snapToGrid/>
              <w:spacing w:line="360" w:lineRule="auto"/>
              <w:contextualSpacing/>
              <w:jc w:val="center"/>
              <w:textAlignment w:val="auto"/>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color w:val="auto"/>
                <w:sz w:val="21"/>
                <w:szCs w:val="21"/>
                <w:lang w:val="en-US" w:eastAsia="zh-CN"/>
              </w:rPr>
              <w:t>28d湿基面粘接强度/MPa</w:t>
            </w:r>
          </w:p>
        </w:tc>
        <w:tc>
          <w:tcPr>
            <w:tcW w:w="0" w:type="auto"/>
            <w:noWrap w:val="0"/>
            <w:vAlign w:val="center"/>
          </w:tcPr>
          <w:p w14:paraId="0A61DCC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color w:val="000000"/>
                <w:kern w:val="0"/>
                <w:sz w:val="21"/>
                <w:szCs w:val="21"/>
                <w:lang w:val="en-US" w:eastAsia="zh-CN"/>
              </w:rPr>
              <w:t>1.99</w:t>
            </w:r>
          </w:p>
        </w:tc>
        <w:tc>
          <w:tcPr>
            <w:tcW w:w="0" w:type="auto"/>
            <w:noWrap w:val="0"/>
            <w:vAlign w:val="center"/>
          </w:tcPr>
          <w:p w14:paraId="34F749B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2.01</w:t>
            </w:r>
          </w:p>
        </w:tc>
        <w:tc>
          <w:tcPr>
            <w:tcW w:w="0" w:type="auto"/>
            <w:noWrap w:val="0"/>
            <w:vAlign w:val="center"/>
          </w:tcPr>
          <w:p w14:paraId="77E758C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1.65</w:t>
            </w:r>
          </w:p>
        </w:tc>
        <w:tc>
          <w:tcPr>
            <w:tcW w:w="0" w:type="auto"/>
            <w:noWrap w:val="0"/>
            <w:vAlign w:val="center"/>
          </w:tcPr>
          <w:p w14:paraId="10075A5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2.05</w:t>
            </w:r>
          </w:p>
        </w:tc>
        <w:tc>
          <w:tcPr>
            <w:tcW w:w="0" w:type="auto"/>
            <w:noWrap w:val="0"/>
            <w:vAlign w:val="center"/>
          </w:tcPr>
          <w:p w14:paraId="3409E40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2.29</w:t>
            </w:r>
          </w:p>
        </w:tc>
        <w:tc>
          <w:tcPr>
            <w:tcW w:w="0" w:type="auto"/>
            <w:noWrap w:val="0"/>
            <w:vAlign w:val="center"/>
          </w:tcPr>
          <w:p w14:paraId="0C1BEFC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1.</w:t>
            </w:r>
            <w:r>
              <w:rPr>
                <w:rFonts w:hint="eastAsia" w:ascii="宋体" w:hAnsi="宋体" w:eastAsia="宋体" w:cs="宋体"/>
                <w:color w:val="000000"/>
                <w:kern w:val="0"/>
                <w:sz w:val="21"/>
                <w:szCs w:val="21"/>
                <w:lang w:val="en-US" w:eastAsia="zh-CN"/>
              </w:rPr>
              <w:t>62</w:t>
            </w:r>
          </w:p>
        </w:tc>
        <w:tc>
          <w:tcPr>
            <w:tcW w:w="0" w:type="auto"/>
            <w:noWrap w:val="0"/>
            <w:vAlign w:val="center"/>
          </w:tcPr>
          <w:p w14:paraId="0788237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2.48</w:t>
            </w:r>
          </w:p>
        </w:tc>
        <w:tc>
          <w:tcPr>
            <w:tcW w:w="0" w:type="auto"/>
            <w:noWrap w:val="0"/>
            <w:vAlign w:val="center"/>
          </w:tcPr>
          <w:p w14:paraId="373ECF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2.18</w:t>
            </w:r>
          </w:p>
        </w:tc>
      </w:tr>
    </w:tbl>
    <w:p w14:paraId="63C29B9E">
      <w:pPr>
        <w:pStyle w:val="19"/>
        <w:keepNext w:val="0"/>
        <w:keepLines w:val="0"/>
        <w:pageBreakBefore w:val="0"/>
        <w:widowControl/>
        <w:tabs>
          <w:tab w:val="center" w:pos="4201"/>
          <w:tab w:val="right" w:leader="dot" w:pos="9298"/>
        </w:tabs>
        <w:kinsoku/>
        <w:wordWrap/>
        <w:overflowPunct/>
        <w:topLinePunct w:val="0"/>
        <w:autoSpaceDE w:val="0"/>
        <w:autoSpaceDN w:val="0"/>
        <w:bidi w:val="0"/>
        <w:adjustRightInd/>
        <w:snapToGrid/>
        <w:spacing w:line="360" w:lineRule="auto"/>
        <w:textAlignment w:val="auto"/>
        <w:rPr>
          <w:rFonts w:hint="default" w:ascii="Times New Roman" w:hAnsi="Times New Roman" w:cs="Times New Roman"/>
          <w:color w:val="auto"/>
          <w:sz w:val="24"/>
          <w:szCs w:val="24"/>
          <w:lang w:val="en-US" w:eastAsia="zh-CN"/>
        </w:rPr>
      </w:pPr>
      <w:r>
        <w:rPr>
          <w:rFonts w:hint="default" w:ascii="Times New Roman" w:hAnsi="Times New Roman" w:cs="Times New Roman"/>
          <w:color w:val="auto"/>
          <w:sz w:val="24"/>
          <w:szCs w:val="24"/>
          <w:lang w:val="en-US" w:eastAsia="zh-CN"/>
        </w:rPr>
        <w:t>先将标准混凝土板浸泡24 h，并清洗表面，取出后用湿毛巾擦干表面，无明水。将成型框放在混凝土板成型面上，将制备好的试样倒入成型框中，抹平，放置24 h后脱模，10个试件为一组(如图2)，整个成型过程20 min内完成。</w:t>
      </w:r>
      <w:r>
        <w:rPr>
          <w:rFonts w:hint="eastAsia" w:ascii="Times New Roman" w:cs="Times New Roman"/>
          <w:color w:val="auto"/>
          <w:sz w:val="24"/>
          <w:szCs w:val="24"/>
          <w:lang w:val="en-US" w:eastAsia="zh-CN"/>
        </w:rPr>
        <w:t>实验结果全部≥1.0MPa，合格率100%。</w:t>
      </w:r>
    </w:p>
    <w:p w14:paraId="5793E5EE">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default" w:ascii="宋体" w:hAnsi="宋体" w:eastAsia="宋体" w:cs="宋体"/>
          <w:b w:val="0"/>
          <w:bCs/>
          <w:color w:val="auto"/>
          <w:spacing w:val="0"/>
          <w:kern w:val="2"/>
          <w:sz w:val="24"/>
          <w:szCs w:val="24"/>
          <w:lang w:val="en-US" w:eastAsia="zh-CN"/>
        </w:rPr>
      </w:pPr>
      <w:r>
        <w:rPr>
          <w:rFonts w:hint="default" w:ascii="宋体" w:hAnsi="宋体" w:eastAsia="宋体" w:cs="宋体"/>
          <w:b w:val="0"/>
          <w:bCs/>
          <w:color w:val="auto"/>
          <w:spacing w:val="0"/>
          <w:kern w:val="2"/>
          <w:sz w:val="24"/>
          <w:szCs w:val="24"/>
          <w:lang w:val="en-US" w:eastAsia="zh-CN"/>
        </w:rPr>
        <w:t>（</w:t>
      </w:r>
      <w:r>
        <w:rPr>
          <w:rFonts w:hint="eastAsia" w:ascii="宋体" w:hAnsi="宋体" w:cs="宋体"/>
          <w:b w:val="0"/>
          <w:bCs/>
          <w:color w:val="auto"/>
          <w:spacing w:val="0"/>
          <w:kern w:val="2"/>
          <w:sz w:val="24"/>
          <w:szCs w:val="24"/>
          <w:lang w:val="en-US" w:eastAsia="zh-CN"/>
        </w:rPr>
        <w:t>3</w:t>
      </w:r>
      <w:r>
        <w:rPr>
          <w:rFonts w:hint="default" w:ascii="宋体" w:hAnsi="宋体" w:eastAsia="宋体" w:cs="宋体"/>
          <w:b w:val="0"/>
          <w:bCs/>
          <w:color w:val="auto"/>
          <w:spacing w:val="0"/>
          <w:kern w:val="2"/>
          <w:sz w:val="24"/>
          <w:szCs w:val="24"/>
          <w:lang w:val="en-US" w:eastAsia="zh-CN"/>
        </w:rPr>
        <w:t>）</w:t>
      </w:r>
      <w:r>
        <w:rPr>
          <w:rFonts w:hint="eastAsia" w:cs="宋体"/>
          <w:color w:val="auto"/>
          <w:sz w:val="24"/>
          <w:lang w:val="en-US" w:eastAsia="zh-CN"/>
        </w:rPr>
        <w:t>水泥基渗透结晶型防水涂料的砂浆抗渗性能</w:t>
      </w:r>
    </w:p>
    <w:p w14:paraId="09B3B11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jc w:val="center"/>
        <w:textAlignment w:val="auto"/>
        <w:rPr>
          <w:rFonts w:hint="eastAsia" w:ascii="黑体" w:hAnsi="黑体" w:eastAsia="黑体" w:cs="黑体"/>
          <w:b w:val="0"/>
          <w:bCs/>
          <w:color w:val="auto"/>
          <w:spacing w:val="0"/>
          <w:kern w:val="2"/>
          <w:sz w:val="24"/>
          <w:szCs w:val="24"/>
          <w:lang w:val="en-US" w:eastAsia="zh-CN"/>
        </w:rPr>
      </w:pPr>
      <w:r>
        <w:rPr>
          <w:rFonts w:hint="eastAsia" w:ascii="黑体" w:hAnsi="黑体" w:eastAsia="黑体" w:cs="黑体"/>
          <w:b w:val="0"/>
          <w:bCs/>
          <w:color w:val="auto"/>
          <w:spacing w:val="0"/>
          <w:kern w:val="2"/>
          <w:sz w:val="24"/>
          <w:szCs w:val="24"/>
          <w:lang w:val="en-US" w:eastAsia="zh-CN"/>
        </w:rPr>
        <w:t>表5  水泥基渗透结晶型防水涂料的砂浆抗渗性能</w:t>
      </w:r>
    </w:p>
    <w:tbl>
      <w:tblPr>
        <w:tblStyle w:val="11"/>
        <w:tblW w:w="5000" w:type="pct"/>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1145"/>
        <w:gridCol w:w="2875"/>
        <w:gridCol w:w="644"/>
        <w:gridCol w:w="644"/>
        <w:gridCol w:w="644"/>
        <w:gridCol w:w="644"/>
        <w:gridCol w:w="644"/>
        <w:gridCol w:w="644"/>
        <w:gridCol w:w="644"/>
        <w:gridCol w:w="646"/>
      </w:tblGrid>
      <w:tr w14:paraId="7D2F0AD3">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2190" w:type="pct"/>
            <w:gridSpan w:val="2"/>
            <w:tcBorders>
              <w:bottom w:val="single" w:color="000000" w:sz="4" w:space="0"/>
              <w:right w:val="single" w:color="000000" w:sz="4" w:space="0"/>
            </w:tcBorders>
            <w:noWrap/>
            <w:vAlign w:val="center"/>
          </w:tcPr>
          <w:p w14:paraId="7987BB0A">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样品编号</w:t>
            </w:r>
          </w:p>
        </w:tc>
        <w:tc>
          <w:tcPr>
            <w:tcW w:w="350" w:type="pct"/>
            <w:tcBorders>
              <w:left w:val="single" w:color="000000" w:sz="4" w:space="0"/>
              <w:bottom w:val="single" w:color="000000" w:sz="4" w:space="0"/>
              <w:right w:val="single" w:color="000000" w:sz="4" w:space="0"/>
            </w:tcBorders>
            <w:noWrap w:val="0"/>
            <w:vAlign w:val="center"/>
          </w:tcPr>
          <w:p w14:paraId="493C2E3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350" w:type="pct"/>
            <w:tcBorders>
              <w:left w:val="single" w:color="000000" w:sz="4" w:space="0"/>
              <w:bottom w:val="single" w:color="000000" w:sz="4" w:space="0"/>
              <w:right w:val="single" w:color="000000" w:sz="4" w:space="0"/>
            </w:tcBorders>
            <w:noWrap w:val="0"/>
            <w:vAlign w:val="center"/>
          </w:tcPr>
          <w:p w14:paraId="0F60F7F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350" w:type="pct"/>
            <w:tcBorders>
              <w:left w:val="single" w:color="000000" w:sz="4" w:space="0"/>
              <w:bottom w:val="single" w:color="000000" w:sz="4" w:space="0"/>
              <w:right w:val="single" w:color="000000" w:sz="4" w:space="0"/>
            </w:tcBorders>
            <w:noWrap w:val="0"/>
            <w:vAlign w:val="center"/>
          </w:tcPr>
          <w:p w14:paraId="00A1328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350" w:type="pct"/>
            <w:tcBorders>
              <w:left w:val="single" w:color="000000" w:sz="4" w:space="0"/>
              <w:bottom w:val="single" w:color="000000" w:sz="4" w:space="0"/>
              <w:right w:val="single" w:color="000000" w:sz="4" w:space="0"/>
            </w:tcBorders>
            <w:noWrap w:val="0"/>
            <w:vAlign w:val="center"/>
          </w:tcPr>
          <w:p w14:paraId="7B4836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350" w:type="pct"/>
            <w:tcBorders>
              <w:left w:val="single" w:color="000000" w:sz="4" w:space="0"/>
              <w:bottom w:val="single" w:color="000000" w:sz="4" w:space="0"/>
              <w:right w:val="single" w:color="000000" w:sz="4" w:space="0"/>
            </w:tcBorders>
            <w:noWrap w:val="0"/>
            <w:vAlign w:val="center"/>
          </w:tcPr>
          <w:p w14:paraId="458E2D4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350" w:type="pct"/>
            <w:tcBorders>
              <w:left w:val="single" w:color="000000" w:sz="4" w:space="0"/>
              <w:bottom w:val="single" w:color="000000" w:sz="4" w:space="0"/>
              <w:right w:val="single" w:color="000000" w:sz="4" w:space="0"/>
            </w:tcBorders>
            <w:noWrap w:val="0"/>
            <w:vAlign w:val="center"/>
          </w:tcPr>
          <w:p w14:paraId="320EA8D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350" w:type="pct"/>
            <w:tcBorders>
              <w:left w:val="single" w:color="000000" w:sz="4" w:space="0"/>
              <w:bottom w:val="single" w:color="000000" w:sz="4" w:space="0"/>
              <w:right w:val="single" w:color="000000" w:sz="4" w:space="0"/>
            </w:tcBorders>
            <w:noWrap/>
            <w:vAlign w:val="center"/>
          </w:tcPr>
          <w:p w14:paraId="7C6E0ED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w:t>
            </w:r>
          </w:p>
        </w:tc>
        <w:tc>
          <w:tcPr>
            <w:tcW w:w="352" w:type="pct"/>
            <w:tcBorders>
              <w:left w:val="single" w:color="000000" w:sz="4" w:space="0"/>
              <w:bottom w:val="single" w:color="000000" w:sz="4" w:space="0"/>
            </w:tcBorders>
            <w:noWrap/>
            <w:vAlign w:val="center"/>
          </w:tcPr>
          <w:p w14:paraId="259B628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w:t>
            </w:r>
          </w:p>
        </w:tc>
      </w:tr>
      <w:tr w14:paraId="082BD145">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624" w:type="pct"/>
            <w:vMerge w:val="restart"/>
            <w:tcBorders>
              <w:top w:val="single" w:color="000000" w:sz="4" w:space="0"/>
              <w:right w:val="single" w:color="000000" w:sz="4" w:space="0"/>
            </w:tcBorders>
            <w:noWrap/>
            <w:vAlign w:val="center"/>
          </w:tcPr>
          <w:p w14:paraId="611FD151">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砂浆抗渗性能</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6FE737F4">
            <w:pPr>
              <w:widowControl/>
              <w:topLinePunct/>
              <w:spacing w:line="240" w:lineRule="exact"/>
              <w:jc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color w:val="000000"/>
                <w:kern w:val="0"/>
                <w:sz w:val="21"/>
                <w:szCs w:val="21"/>
              </w:rPr>
              <w:t>28d带涂层砂浆的抗渗压力</w:t>
            </w:r>
            <w:r>
              <w:rPr>
                <w:rFonts w:hint="eastAsia" w:ascii="宋体" w:hAnsi="宋体" w:eastAsia="宋体" w:cs="宋体"/>
                <w:color w:val="000000"/>
                <w:kern w:val="0"/>
                <w:sz w:val="21"/>
                <w:szCs w:val="21"/>
                <w:lang w:val="en-US" w:eastAsia="zh-CN"/>
              </w:rPr>
              <w:t>/MPa</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169884BA">
            <w:pPr>
              <w:widowControl/>
              <w:topLinePunct/>
              <w:spacing w:line="240" w:lineRule="exact"/>
              <w:jc w:val="center"/>
              <w:rPr>
                <w:rFonts w:hint="eastAsia" w:ascii="宋体" w:hAnsi="宋体" w:eastAsia="宋体" w:cs="宋体"/>
                <w:i w:val="0"/>
                <w:iCs w:val="0"/>
                <w:color w:val="auto"/>
                <w:sz w:val="21"/>
                <w:szCs w:val="21"/>
                <w:u w:val="none"/>
              </w:rPr>
            </w:pPr>
            <w:r>
              <w:rPr>
                <w:rFonts w:hint="eastAsia" w:ascii="宋体" w:hAnsi="宋体" w:eastAsia="宋体" w:cs="宋体"/>
                <w:color w:val="000000"/>
                <w:kern w:val="0"/>
                <w:sz w:val="21"/>
                <w:szCs w:val="21"/>
              </w:rPr>
              <w:t>1.4</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38845283">
            <w:pPr>
              <w:widowControl/>
              <w:topLinePunct/>
              <w:spacing w:line="240" w:lineRule="exact"/>
              <w:jc w:val="center"/>
              <w:rPr>
                <w:rFonts w:hint="eastAsia" w:ascii="宋体" w:hAnsi="宋体" w:eastAsia="宋体" w:cs="宋体"/>
                <w:i w:val="0"/>
                <w:iCs w:val="0"/>
                <w:color w:val="auto"/>
                <w:sz w:val="21"/>
                <w:szCs w:val="21"/>
                <w:u w:val="none"/>
              </w:rPr>
            </w:pPr>
            <w:r>
              <w:rPr>
                <w:rFonts w:hint="eastAsia" w:ascii="宋体" w:hAnsi="宋体" w:eastAsia="宋体" w:cs="宋体"/>
                <w:color w:val="000000"/>
                <w:kern w:val="0"/>
                <w:sz w:val="21"/>
                <w:szCs w:val="21"/>
              </w:rPr>
              <w:t>1.2</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17AA2335">
            <w:pPr>
              <w:widowControl/>
              <w:topLinePunct/>
              <w:jc w:val="center"/>
              <w:rPr>
                <w:rFonts w:hint="eastAsia" w:ascii="宋体" w:hAnsi="宋体" w:eastAsia="宋体" w:cs="宋体"/>
                <w:i w:val="0"/>
                <w:iCs w:val="0"/>
                <w:color w:val="auto"/>
                <w:sz w:val="21"/>
                <w:szCs w:val="21"/>
                <w:u w:val="none"/>
              </w:rPr>
            </w:pPr>
            <w:r>
              <w:rPr>
                <w:rFonts w:hint="eastAsia" w:ascii="宋体" w:hAnsi="宋体" w:eastAsia="宋体" w:cs="宋体"/>
                <w:color w:val="000000"/>
                <w:kern w:val="0"/>
                <w:sz w:val="21"/>
                <w:szCs w:val="21"/>
              </w:rPr>
              <w:t>1.4</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28B62ECA">
            <w:pPr>
              <w:widowControl/>
              <w:topLinePunct/>
              <w:spacing w:line="240" w:lineRule="exact"/>
              <w:jc w:val="center"/>
              <w:rPr>
                <w:rFonts w:hint="eastAsia" w:ascii="宋体" w:hAnsi="宋体" w:eastAsia="宋体" w:cs="宋体"/>
                <w:i w:val="0"/>
                <w:iCs w:val="0"/>
                <w:color w:val="auto"/>
                <w:sz w:val="21"/>
                <w:szCs w:val="21"/>
                <w:u w:val="none"/>
              </w:rPr>
            </w:pPr>
            <w:r>
              <w:rPr>
                <w:rFonts w:hint="eastAsia" w:ascii="宋体" w:hAnsi="宋体" w:eastAsia="宋体" w:cs="宋体"/>
                <w:color w:val="000000"/>
                <w:kern w:val="0"/>
                <w:sz w:val="21"/>
                <w:szCs w:val="21"/>
              </w:rPr>
              <w:t>0.9</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08DCC23C">
            <w:pPr>
              <w:widowControl/>
              <w:topLinePunct/>
              <w:spacing w:line="240" w:lineRule="exact"/>
              <w:jc w:val="center"/>
              <w:rPr>
                <w:rFonts w:hint="eastAsia" w:ascii="宋体" w:hAnsi="宋体" w:eastAsia="宋体" w:cs="宋体"/>
                <w:i w:val="0"/>
                <w:iCs w:val="0"/>
                <w:color w:val="auto"/>
                <w:sz w:val="21"/>
                <w:szCs w:val="21"/>
                <w:u w:val="none"/>
              </w:rPr>
            </w:pPr>
            <w:r>
              <w:rPr>
                <w:rFonts w:hint="eastAsia" w:ascii="宋体" w:hAnsi="宋体" w:eastAsia="宋体" w:cs="宋体"/>
                <w:color w:val="000000"/>
                <w:kern w:val="0"/>
                <w:sz w:val="21"/>
                <w:szCs w:val="21"/>
              </w:rPr>
              <w:t>1.1</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0CA8654F">
            <w:pPr>
              <w:widowControl/>
              <w:topLinePunct/>
              <w:spacing w:line="240" w:lineRule="exact"/>
              <w:jc w:val="center"/>
              <w:rPr>
                <w:rFonts w:hint="eastAsia" w:ascii="宋体" w:hAnsi="宋体" w:eastAsia="宋体" w:cs="宋体"/>
                <w:i w:val="0"/>
                <w:iCs w:val="0"/>
                <w:color w:val="auto"/>
                <w:sz w:val="21"/>
                <w:szCs w:val="21"/>
                <w:u w:val="none"/>
              </w:rPr>
            </w:pPr>
            <w:r>
              <w:rPr>
                <w:rFonts w:hint="eastAsia" w:ascii="宋体" w:hAnsi="宋体" w:eastAsia="宋体" w:cs="宋体"/>
                <w:color w:val="000000"/>
                <w:kern w:val="0"/>
                <w:sz w:val="21"/>
                <w:szCs w:val="21"/>
              </w:rPr>
              <w:t>0.7</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0A9E2DB7">
            <w:pPr>
              <w:widowControl/>
              <w:topLinePunct/>
              <w:spacing w:line="240" w:lineRule="exact"/>
              <w:jc w:val="center"/>
              <w:rPr>
                <w:rFonts w:hint="eastAsia" w:ascii="宋体" w:hAnsi="宋体" w:eastAsia="宋体" w:cs="宋体"/>
                <w:i w:val="0"/>
                <w:iCs w:val="0"/>
                <w:color w:val="auto"/>
                <w:sz w:val="21"/>
                <w:szCs w:val="21"/>
                <w:u w:val="none"/>
              </w:rPr>
            </w:pPr>
            <w:r>
              <w:rPr>
                <w:rFonts w:hint="eastAsia" w:ascii="宋体" w:hAnsi="宋体" w:eastAsia="宋体" w:cs="宋体"/>
                <w:color w:val="000000"/>
                <w:kern w:val="0"/>
                <w:sz w:val="21"/>
                <w:szCs w:val="21"/>
              </w:rPr>
              <w:t>0.9</w:t>
            </w:r>
          </w:p>
        </w:tc>
        <w:tc>
          <w:tcPr>
            <w:tcW w:w="352" w:type="pct"/>
            <w:tcBorders>
              <w:top w:val="single" w:color="000000" w:sz="4" w:space="0"/>
              <w:left w:val="single" w:color="000000" w:sz="4" w:space="0"/>
              <w:bottom w:val="single" w:color="000000" w:sz="4" w:space="0"/>
            </w:tcBorders>
            <w:noWrap/>
            <w:vAlign w:val="center"/>
          </w:tcPr>
          <w:p w14:paraId="0BDBD35A">
            <w:pPr>
              <w:widowControl/>
              <w:topLinePunct/>
              <w:spacing w:line="240" w:lineRule="exact"/>
              <w:jc w:val="center"/>
              <w:rPr>
                <w:rFonts w:hint="eastAsia" w:ascii="宋体" w:hAnsi="宋体" w:eastAsia="宋体" w:cs="宋体"/>
                <w:i w:val="0"/>
                <w:iCs w:val="0"/>
                <w:color w:val="auto"/>
                <w:sz w:val="21"/>
                <w:szCs w:val="21"/>
                <w:u w:val="none"/>
              </w:rPr>
            </w:pPr>
            <w:r>
              <w:rPr>
                <w:rFonts w:hint="eastAsia" w:ascii="宋体" w:hAnsi="宋体" w:eastAsia="宋体" w:cs="宋体"/>
                <w:color w:val="000000"/>
                <w:kern w:val="0"/>
                <w:sz w:val="21"/>
                <w:szCs w:val="21"/>
              </w:rPr>
              <w:t>0.8</w:t>
            </w:r>
          </w:p>
        </w:tc>
      </w:tr>
      <w:tr w14:paraId="0B5FA1E6">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624" w:type="pct"/>
            <w:vMerge w:val="continue"/>
            <w:tcBorders>
              <w:right w:val="single" w:color="000000" w:sz="4" w:space="0"/>
            </w:tcBorders>
            <w:noWrap/>
            <w:vAlign w:val="center"/>
          </w:tcPr>
          <w:p w14:paraId="522AAC2C">
            <w:pPr>
              <w:spacing w:line="240" w:lineRule="auto"/>
              <w:jc w:val="center"/>
              <w:rPr>
                <w:rFonts w:hint="eastAsia" w:ascii="宋体" w:hAnsi="宋体" w:eastAsia="宋体" w:cs="宋体"/>
                <w:i w:val="0"/>
                <w:iCs w:val="0"/>
                <w:color w:val="000000"/>
                <w:sz w:val="21"/>
                <w:szCs w:val="21"/>
                <w:u w:val="none"/>
              </w:rPr>
            </w:pP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1440B37D">
            <w:pPr>
              <w:topLinePunct/>
              <w:spacing w:line="240" w:lineRule="exact"/>
              <w:jc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color w:val="000000"/>
                <w:kern w:val="0"/>
                <w:sz w:val="21"/>
                <w:szCs w:val="21"/>
              </w:rPr>
              <w:t>28d抗渗压力比(带涂层)</w:t>
            </w:r>
            <w:r>
              <w:rPr>
                <w:rFonts w:hint="eastAsia" w:ascii="宋体" w:hAnsi="宋体" w:eastAsia="宋体" w:cs="宋体"/>
                <w:color w:val="000000"/>
                <w:kern w:val="0"/>
                <w:sz w:val="21"/>
                <w:szCs w:val="21"/>
                <w:lang w:val="en-US" w:eastAsia="zh-CN"/>
              </w:rPr>
              <w:t>/%</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4FAC4331">
            <w:pPr>
              <w:widowControl/>
              <w:topLinePunct/>
              <w:spacing w:line="240" w:lineRule="exact"/>
              <w:jc w:val="center"/>
              <w:rPr>
                <w:rFonts w:hint="eastAsia" w:ascii="宋体" w:hAnsi="宋体" w:eastAsia="宋体" w:cs="宋体"/>
                <w:i w:val="0"/>
                <w:iCs w:val="0"/>
                <w:color w:val="auto"/>
                <w:sz w:val="21"/>
                <w:szCs w:val="21"/>
                <w:u w:val="none"/>
                <w:lang w:val="en-US" w:eastAsia="zh-CN"/>
              </w:rPr>
            </w:pPr>
            <w:r>
              <w:rPr>
                <w:rFonts w:hint="eastAsia" w:ascii="宋体" w:hAnsi="宋体" w:eastAsia="宋体" w:cs="宋体"/>
                <w:color w:val="000000"/>
                <w:kern w:val="0"/>
                <w:sz w:val="21"/>
                <w:szCs w:val="21"/>
              </w:rPr>
              <w:t>4</w:t>
            </w:r>
            <w:r>
              <w:rPr>
                <w:rFonts w:hint="eastAsia" w:ascii="宋体" w:hAnsi="宋体" w:eastAsia="宋体" w:cs="宋体"/>
                <w:color w:val="000000"/>
                <w:kern w:val="0"/>
                <w:sz w:val="21"/>
                <w:szCs w:val="21"/>
                <w:lang w:val="en-US" w:eastAsia="zh-CN"/>
              </w:rPr>
              <w:t>48</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1E29CA17">
            <w:pPr>
              <w:widowControl/>
              <w:topLinePunct/>
              <w:spacing w:line="240" w:lineRule="exact"/>
              <w:jc w:val="center"/>
              <w:rPr>
                <w:rFonts w:hint="eastAsia"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sz w:val="21"/>
                <w:szCs w:val="21"/>
                <w:u w:val="none"/>
                <w:lang w:val="en-US" w:eastAsia="zh-CN"/>
              </w:rPr>
              <w:t>398</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4DE03C6C">
            <w:pPr>
              <w:widowControl/>
              <w:topLinePunct/>
              <w:jc w:val="center"/>
              <w:rPr>
                <w:rFonts w:hint="eastAsia" w:ascii="宋体" w:hAnsi="宋体" w:eastAsia="宋体" w:cs="宋体"/>
                <w:i w:val="0"/>
                <w:iCs w:val="0"/>
                <w:color w:val="auto"/>
                <w:sz w:val="21"/>
                <w:szCs w:val="21"/>
                <w:u w:val="none"/>
                <w:lang w:val="en-US" w:eastAsia="zh-CN"/>
              </w:rPr>
            </w:pPr>
            <w:r>
              <w:rPr>
                <w:rFonts w:hint="eastAsia" w:ascii="宋体" w:hAnsi="宋体" w:eastAsia="宋体" w:cs="宋体"/>
                <w:color w:val="000000"/>
                <w:kern w:val="0"/>
                <w:sz w:val="21"/>
                <w:szCs w:val="21"/>
              </w:rPr>
              <w:t>4</w:t>
            </w:r>
            <w:r>
              <w:rPr>
                <w:rFonts w:hint="eastAsia" w:ascii="宋体" w:hAnsi="宋体" w:eastAsia="宋体" w:cs="宋体"/>
                <w:color w:val="000000"/>
                <w:kern w:val="0"/>
                <w:sz w:val="21"/>
                <w:szCs w:val="21"/>
                <w:lang w:val="en-US" w:eastAsia="zh-CN"/>
              </w:rPr>
              <w:t>89</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608C68CC">
            <w:pPr>
              <w:widowControl/>
              <w:topLinePunct/>
              <w:spacing w:line="240" w:lineRule="exact"/>
              <w:jc w:val="center"/>
              <w:rPr>
                <w:rFonts w:hint="eastAsia" w:ascii="宋体" w:hAnsi="宋体" w:eastAsia="宋体" w:cs="宋体"/>
                <w:i w:val="0"/>
                <w:iCs w:val="0"/>
                <w:color w:val="auto"/>
                <w:sz w:val="21"/>
                <w:szCs w:val="21"/>
                <w:u w:val="none"/>
                <w:lang w:eastAsia="zh-CN"/>
              </w:rPr>
            </w:pPr>
            <w:r>
              <w:rPr>
                <w:rFonts w:hint="eastAsia" w:ascii="宋体" w:hAnsi="宋体" w:eastAsia="宋体" w:cs="宋体"/>
                <w:color w:val="000000"/>
                <w:kern w:val="0"/>
                <w:sz w:val="21"/>
                <w:szCs w:val="21"/>
              </w:rPr>
              <w:t>30</w:t>
            </w:r>
            <w:r>
              <w:rPr>
                <w:rFonts w:hint="eastAsia" w:ascii="宋体" w:hAnsi="宋体" w:eastAsia="宋体" w:cs="宋体"/>
                <w:color w:val="000000"/>
                <w:kern w:val="0"/>
                <w:sz w:val="21"/>
                <w:szCs w:val="21"/>
                <w:lang w:val="en-US" w:eastAsia="zh-CN"/>
              </w:rPr>
              <w:t>5</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2F83B53C">
            <w:pPr>
              <w:widowControl/>
              <w:topLinePunct/>
              <w:spacing w:line="240" w:lineRule="exact"/>
              <w:jc w:val="center"/>
              <w:rPr>
                <w:rFonts w:hint="eastAsia" w:ascii="宋体" w:hAnsi="宋体" w:eastAsia="宋体" w:cs="宋体"/>
                <w:i w:val="0"/>
                <w:iCs w:val="0"/>
                <w:color w:val="auto"/>
                <w:sz w:val="21"/>
                <w:szCs w:val="21"/>
                <w:u w:val="none"/>
              </w:rPr>
            </w:pPr>
            <w:r>
              <w:rPr>
                <w:rFonts w:hint="eastAsia" w:ascii="宋体" w:hAnsi="宋体" w:eastAsia="宋体" w:cs="宋体"/>
                <w:color w:val="000000"/>
                <w:kern w:val="0"/>
                <w:sz w:val="21"/>
                <w:szCs w:val="21"/>
              </w:rPr>
              <w:t>367</w:t>
            </w:r>
          </w:p>
        </w:tc>
        <w:tc>
          <w:tcPr>
            <w:tcW w:w="350" w:type="pct"/>
            <w:tcBorders>
              <w:top w:val="single" w:color="000000" w:sz="4" w:space="0"/>
              <w:left w:val="single" w:color="000000" w:sz="4" w:space="0"/>
              <w:bottom w:val="single" w:color="000000" w:sz="4" w:space="0"/>
              <w:right w:val="single" w:color="000000" w:sz="4" w:space="0"/>
            </w:tcBorders>
            <w:noWrap w:val="0"/>
            <w:vAlign w:val="center"/>
          </w:tcPr>
          <w:p w14:paraId="39506DE0">
            <w:pPr>
              <w:widowControl/>
              <w:topLinePunct/>
              <w:spacing w:line="240" w:lineRule="exact"/>
              <w:jc w:val="center"/>
              <w:rPr>
                <w:rFonts w:hint="eastAsia" w:ascii="宋体" w:hAnsi="宋体" w:eastAsia="宋体" w:cs="宋体"/>
                <w:i w:val="0"/>
                <w:iCs w:val="0"/>
                <w:color w:val="auto"/>
                <w:sz w:val="21"/>
                <w:szCs w:val="21"/>
                <w:highlight w:val="none"/>
                <w:u w:val="none"/>
                <w:lang w:val="en-US" w:eastAsia="zh-CN"/>
              </w:rPr>
            </w:pPr>
            <w:r>
              <w:rPr>
                <w:rFonts w:hint="eastAsia" w:ascii="宋体" w:hAnsi="宋体" w:eastAsia="宋体" w:cs="宋体"/>
                <w:color w:val="000000"/>
                <w:kern w:val="0"/>
                <w:sz w:val="21"/>
                <w:szCs w:val="21"/>
                <w:highlight w:val="none"/>
                <w:u w:val="none"/>
              </w:rPr>
              <w:t>2</w:t>
            </w:r>
            <w:r>
              <w:rPr>
                <w:rFonts w:hint="eastAsia" w:ascii="宋体" w:hAnsi="宋体" w:eastAsia="宋体" w:cs="宋体"/>
                <w:color w:val="000000"/>
                <w:kern w:val="0"/>
                <w:sz w:val="21"/>
                <w:szCs w:val="21"/>
                <w:highlight w:val="none"/>
                <w:u w:val="none"/>
                <w:lang w:val="en-US" w:eastAsia="zh-CN"/>
              </w:rPr>
              <w:t>35</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4002B2D3">
            <w:pPr>
              <w:widowControl/>
              <w:topLinePunct/>
              <w:spacing w:line="240" w:lineRule="exact"/>
              <w:jc w:val="center"/>
              <w:rPr>
                <w:rFonts w:hint="eastAsia" w:ascii="宋体" w:hAnsi="宋体" w:eastAsia="宋体" w:cs="宋体"/>
                <w:i w:val="0"/>
                <w:iCs w:val="0"/>
                <w:color w:val="auto"/>
                <w:sz w:val="21"/>
                <w:szCs w:val="21"/>
                <w:u w:val="none"/>
                <w:lang w:val="en-US" w:eastAsia="zh-CN"/>
              </w:rPr>
            </w:pPr>
            <w:r>
              <w:rPr>
                <w:rFonts w:hint="eastAsia" w:ascii="宋体" w:hAnsi="宋体" w:eastAsia="宋体" w:cs="宋体"/>
                <w:color w:val="000000"/>
                <w:kern w:val="0"/>
                <w:sz w:val="21"/>
                <w:szCs w:val="21"/>
                <w:lang w:val="en-US" w:eastAsia="zh-CN"/>
              </w:rPr>
              <w:t>298</w:t>
            </w:r>
          </w:p>
        </w:tc>
        <w:tc>
          <w:tcPr>
            <w:tcW w:w="352" w:type="pct"/>
            <w:tcBorders>
              <w:top w:val="single" w:color="000000" w:sz="4" w:space="0"/>
              <w:left w:val="single" w:color="000000" w:sz="4" w:space="0"/>
              <w:bottom w:val="single" w:color="000000" w:sz="4" w:space="0"/>
            </w:tcBorders>
            <w:noWrap/>
            <w:vAlign w:val="center"/>
          </w:tcPr>
          <w:p w14:paraId="16A9ABD1">
            <w:pPr>
              <w:widowControl/>
              <w:topLinePunct/>
              <w:spacing w:line="240" w:lineRule="exact"/>
              <w:jc w:val="center"/>
              <w:rPr>
                <w:rFonts w:hint="eastAsia" w:ascii="宋体" w:hAnsi="宋体" w:eastAsia="宋体" w:cs="宋体"/>
                <w:i w:val="0"/>
                <w:iCs w:val="0"/>
                <w:color w:val="auto"/>
                <w:sz w:val="21"/>
                <w:szCs w:val="21"/>
                <w:u w:val="none"/>
                <w:lang w:val="en-US" w:eastAsia="zh-CN"/>
              </w:rPr>
            </w:pPr>
            <w:r>
              <w:rPr>
                <w:rFonts w:hint="eastAsia" w:ascii="宋体" w:hAnsi="宋体" w:eastAsia="宋体" w:cs="宋体"/>
                <w:color w:val="000000"/>
                <w:kern w:val="0"/>
                <w:sz w:val="21"/>
                <w:szCs w:val="21"/>
              </w:rPr>
              <w:t>2</w:t>
            </w:r>
            <w:r>
              <w:rPr>
                <w:rFonts w:hint="eastAsia" w:ascii="宋体" w:hAnsi="宋体" w:eastAsia="宋体" w:cs="宋体"/>
                <w:color w:val="000000"/>
                <w:kern w:val="0"/>
                <w:sz w:val="21"/>
                <w:szCs w:val="21"/>
                <w:lang w:val="en-US" w:eastAsia="zh-CN"/>
              </w:rPr>
              <w:t>80</w:t>
            </w:r>
          </w:p>
        </w:tc>
      </w:tr>
      <w:tr w14:paraId="650FD85E">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624" w:type="pct"/>
            <w:vMerge w:val="continue"/>
            <w:tcBorders>
              <w:right w:val="single" w:color="000000" w:sz="4" w:space="0"/>
            </w:tcBorders>
            <w:noWrap/>
            <w:vAlign w:val="center"/>
          </w:tcPr>
          <w:p w14:paraId="617875F3">
            <w:pPr>
              <w:spacing w:line="240" w:lineRule="auto"/>
              <w:jc w:val="center"/>
              <w:rPr>
                <w:rFonts w:hint="eastAsia" w:ascii="宋体" w:hAnsi="宋体" w:eastAsia="宋体" w:cs="宋体"/>
                <w:i w:val="0"/>
                <w:iCs w:val="0"/>
                <w:color w:val="000000"/>
                <w:sz w:val="21"/>
                <w:szCs w:val="21"/>
                <w:u w:val="none"/>
              </w:rPr>
            </w:pP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52E9F687">
            <w:pPr>
              <w:widowControl/>
              <w:topLinePunct/>
              <w:spacing w:line="240" w:lineRule="exact"/>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28d去除涂层砂浆的抗渗压力</w:t>
            </w:r>
            <w:r>
              <w:rPr>
                <w:rFonts w:hint="eastAsia" w:ascii="宋体" w:hAnsi="宋体" w:eastAsia="宋体" w:cs="宋体"/>
                <w:color w:val="000000"/>
                <w:kern w:val="0"/>
                <w:sz w:val="21"/>
                <w:szCs w:val="21"/>
                <w:lang w:val="en-US" w:eastAsia="zh-CN"/>
              </w:rPr>
              <w:t>/MPa</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5C895CC4">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0.9</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557D3372">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0.8</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3450BEF8">
            <w:pPr>
              <w:widowControl/>
              <w:topLinePun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0.6</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635E852D">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0.</w:t>
            </w:r>
            <w:r>
              <w:rPr>
                <w:rFonts w:hint="eastAsia" w:ascii="宋体" w:hAnsi="宋体" w:eastAsia="宋体" w:cs="宋体"/>
                <w:color w:val="000000"/>
                <w:kern w:val="0"/>
                <w:sz w:val="21"/>
                <w:szCs w:val="21"/>
                <w:lang w:val="en-US" w:eastAsia="zh-CN"/>
              </w:rPr>
              <w:t>8</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2F6FCA4D">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0.7</w:t>
            </w:r>
          </w:p>
        </w:tc>
        <w:tc>
          <w:tcPr>
            <w:tcW w:w="350" w:type="pct"/>
            <w:tcBorders>
              <w:top w:val="single" w:color="000000" w:sz="4" w:space="0"/>
              <w:left w:val="single" w:color="000000" w:sz="4" w:space="0"/>
              <w:bottom w:val="single" w:color="000000" w:sz="4" w:space="0"/>
              <w:right w:val="single" w:color="000000" w:sz="4" w:space="0"/>
            </w:tcBorders>
            <w:noWrap w:val="0"/>
            <w:vAlign w:val="center"/>
          </w:tcPr>
          <w:p w14:paraId="7F7C573B">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0.</w:t>
            </w:r>
            <w:r>
              <w:rPr>
                <w:rFonts w:hint="eastAsia" w:ascii="宋体" w:hAnsi="宋体" w:eastAsia="宋体" w:cs="宋体"/>
                <w:color w:val="000000"/>
                <w:kern w:val="0"/>
                <w:sz w:val="21"/>
                <w:szCs w:val="21"/>
                <w:lang w:val="en-US" w:eastAsia="zh-CN"/>
              </w:rPr>
              <w:t>6</w:t>
            </w:r>
          </w:p>
        </w:tc>
        <w:tc>
          <w:tcPr>
            <w:tcW w:w="350" w:type="pct"/>
            <w:tcBorders>
              <w:top w:val="single" w:color="000000" w:sz="4" w:space="0"/>
              <w:left w:val="single" w:color="000000" w:sz="4" w:space="0"/>
              <w:bottom w:val="single" w:color="000000" w:sz="4" w:space="0"/>
              <w:right w:val="single" w:color="000000" w:sz="4" w:space="0"/>
            </w:tcBorders>
            <w:noWrap/>
            <w:vAlign w:val="center"/>
          </w:tcPr>
          <w:p w14:paraId="2027430B">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0.7</w:t>
            </w:r>
          </w:p>
        </w:tc>
        <w:tc>
          <w:tcPr>
            <w:tcW w:w="352" w:type="pct"/>
            <w:tcBorders>
              <w:top w:val="single" w:color="000000" w:sz="4" w:space="0"/>
              <w:left w:val="single" w:color="000000" w:sz="4" w:space="0"/>
              <w:bottom w:val="single" w:color="000000" w:sz="4" w:space="0"/>
            </w:tcBorders>
            <w:noWrap/>
            <w:vAlign w:val="center"/>
          </w:tcPr>
          <w:p w14:paraId="436D4D5F">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0.7</w:t>
            </w:r>
          </w:p>
        </w:tc>
      </w:tr>
      <w:tr w14:paraId="19A70C5C">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624" w:type="pct"/>
            <w:vMerge w:val="continue"/>
            <w:tcBorders>
              <w:right w:val="single" w:color="000000" w:sz="4" w:space="0"/>
            </w:tcBorders>
            <w:noWrap/>
            <w:vAlign w:val="center"/>
          </w:tcPr>
          <w:p w14:paraId="577B90D7">
            <w:pPr>
              <w:spacing w:line="240" w:lineRule="auto"/>
              <w:jc w:val="center"/>
              <w:rPr>
                <w:rFonts w:hint="eastAsia" w:ascii="宋体" w:hAnsi="宋体" w:eastAsia="宋体" w:cs="宋体"/>
                <w:i w:val="0"/>
                <w:iCs w:val="0"/>
                <w:color w:val="000000"/>
                <w:sz w:val="21"/>
                <w:szCs w:val="21"/>
                <w:u w:val="none"/>
              </w:rPr>
            </w:pPr>
          </w:p>
        </w:tc>
        <w:tc>
          <w:tcPr>
            <w:tcW w:w="1566" w:type="pct"/>
            <w:tcBorders>
              <w:top w:val="single" w:color="000000" w:sz="4" w:space="0"/>
              <w:left w:val="single" w:color="000000" w:sz="4" w:space="0"/>
              <w:right w:val="single" w:color="000000" w:sz="4" w:space="0"/>
            </w:tcBorders>
            <w:noWrap/>
            <w:vAlign w:val="center"/>
          </w:tcPr>
          <w:p w14:paraId="5DE47864">
            <w:pPr>
              <w:topLinePunct/>
              <w:spacing w:line="240" w:lineRule="exact"/>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28d抗渗压力比(去除涂层)</w:t>
            </w:r>
            <w:r>
              <w:rPr>
                <w:rFonts w:hint="eastAsia" w:ascii="宋体" w:hAnsi="宋体" w:eastAsia="宋体" w:cs="宋体"/>
                <w:color w:val="000000"/>
                <w:kern w:val="0"/>
                <w:sz w:val="21"/>
                <w:szCs w:val="21"/>
                <w:lang w:val="en-US" w:eastAsia="zh-CN"/>
              </w:rPr>
              <w:t>/%</w:t>
            </w:r>
          </w:p>
        </w:tc>
        <w:tc>
          <w:tcPr>
            <w:tcW w:w="350" w:type="pct"/>
            <w:tcBorders>
              <w:top w:val="single" w:color="000000" w:sz="4" w:space="0"/>
              <w:left w:val="single" w:color="000000" w:sz="4" w:space="0"/>
              <w:right w:val="single" w:color="000000" w:sz="4" w:space="0"/>
            </w:tcBorders>
            <w:noWrap/>
            <w:vAlign w:val="center"/>
          </w:tcPr>
          <w:p w14:paraId="5FAD22B6">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lang w:val="en-US" w:eastAsia="zh-CN"/>
              </w:rPr>
              <w:t>312</w:t>
            </w:r>
          </w:p>
        </w:tc>
        <w:tc>
          <w:tcPr>
            <w:tcW w:w="350" w:type="pct"/>
            <w:tcBorders>
              <w:top w:val="single" w:color="000000" w:sz="4" w:space="0"/>
              <w:left w:val="single" w:color="000000" w:sz="4" w:space="0"/>
              <w:right w:val="single" w:color="000000" w:sz="4" w:space="0"/>
            </w:tcBorders>
            <w:noWrap/>
            <w:vAlign w:val="center"/>
          </w:tcPr>
          <w:p w14:paraId="31A4DBA4">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2</w:t>
            </w:r>
            <w:r>
              <w:rPr>
                <w:rFonts w:hint="eastAsia" w:ascii="宋体" w:hAnsi="宋体" w:eastAsia="宋体" w:cs="宋体"/>
                <w:color w:val="000000"/>
                <w:kern w:val="0"/>
                <w:sz w:val="21"/>
                <w:szCs w:val="21"/>
                <w:lang w:val="en-US" w:eastAsia="zh-CN"/>
              </w:rPr>
              <w:t>76</w:t>
            </w:r>
          </w:p>
        </w:tc>
        <w:tc>
          <w:tcPr>
            <w:tcW w:w="350" w:type="pct"/>
            <w:tcBorders>
              <w:top w:val="single" w:color="000000" w:sz="4" w:space="0"/>
              <w:left w:val="single" w:color="000000" w:sz="4" w:space="0"/>
              <w:right w:val="single" w:color="000000" w:sz="4" w:space="0"/>
            </w:tcBorders>
            <w:noWrap/>
            <w:vAlign w:val="center"/>
          </w:tcPr>
          <w:p w14:paraId="4FC17F84">
            <w:pPr>
              <w:widowControl/>
              <w:topLinePun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lang w:val="en-US" w:eastAsia="zh-CN"/>
              </w:rPr>
              <w:t>199</w:t>
            </w:r>
          </w:p>
        </w:tc>
        <w:tc>
          <w:tcPr>
            <w:tcW w:w="350" w:type="pct"/>
            <w:tcBorders>
              <w:top w:val="single" w:color="000000" w:sz="4" w:space="0"/>
              <w:left w:val="single" w:color="000000" w:sz="4" w:space="0"/>
              <w:right w:val="single" w:color="000000" w:sz="4" w:space="0"/>
            </w:tcBorders>
            <w:noWrap/>
            <w:vAlign w:val="center"/>
          </w:tcPr>
          <w:p w14:paraId="2DA46831">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233</w:t>
            </w:r>
          </w:p>
        </w:tc>
        <w:tc>
          <w:tcPr>
            <w:tcW w:w="350" w:type="pct"/>
            <w:tcBorders>
              <w:top w:val="single" w:color="000000" w:sz="4" w:space="0"/>
              <w:left w:val="single" w:color="000000" w:sz="4" w:space="0"/>
              <w:right w:val="single" w:color="000000" w:sz="4" w:space="0"/>
            </w:tcBorders>
            <w:noWrap/>
            <w:vAlign w:val="center"/>
          </w:tcPr>
          <w:p w14:paraId="13B03005">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233</w:t>
            </w:r>
          </w:p>
        </w:tc>
        <w:tc>
          <w:tcPr>
            <w:tcW w:w="350" w:type="pct"/>
            <w:tcBorders>
              <w:top w:val="single" w:color="000000" w:sz="4" w:space="0"/>
              <w:left w:val="single" w:color="000000" w:sz="4" w:space="0"/>
              <w:right w:val="single" w:color="000000" w:sz="4" w:space="0"/>
            </w:tcBorders>
            <w:noWrap w:val="0"/>
            <w:vAlign w:val="center"/>
          </w:tcPr>
          <w:p w14:paraId="3646994D">
            <w:pPr>
              <w:widowControl/>
              <w:topLinePunct/>
              <w:spacing w:line="240" w:lineRule="exact"/>
              <w:jc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color w:val="000000"/>
                <w:kern w:val="0"/>
                <w:sz w:val="21"/>
                <w:szCs w:val="21"/>
                <w:highlight w:val="none"/>
                <w:u w:val="none"/>
              </w:rPr>
              <w:t>16</w:t>
            </w:r>
            <w:r>
              <w:rPr>
                <w:rFonts w:hint="eastAsia" w:ascii="宋体" w:hAnsi="宋体" w:eastAsia="宋体" w:cs="宋体"/>
                <w:color w:val="000000"/>
                <w:kern w:val="0"/>
                <w:sz w:val="21"/>
                <w:szCs w:val="21"/>
                <w:highlight w:val="none"/>
                <w:u w:val="none"/>
                <w:lang w:val="en-US" w:eastAsia="zh-CN"/>
              </w:rPr>
              <w:t>2</w:t>
            </w:r>
          </w:p>
        </w:tc>
        <w:tc>
          <w:tcPr>
            <w:tcW w:w="350" w:type="pct"/>
            <w:tcBorders>
              <w:top w:val="single" w:color="000000" w:sz="4" w:space="0"/>
              <w:left w:val="single" w:color="000000" w:sz="4" w:space="0"/>
              <w:right w:val="single" w:color="000000" w:sz="4" w:space="0"/>
            </w:tcBorders>
            <w:noWrap/>
            <w:vAlign w:val="center"/>
          </w:tcPr>
          <w:p w14:paraId="7A21A6FD">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2</w:t>
            </w:r>
            <w:r>
              <w:rPr>
                <w:rFonts w:hint="eastAsia" w:ascii="宋体" w:hAnsi="宋体" w:eastAsia="宋体" w:cs="宋体"/>
                <w:color w:val="000000"/>
                <w:kern w:val="0"/>
                <w:sz w:val="21"/>
                <w:szCs w:val="21"/>
                <w:lang w:val="en-US" w:eastAsia="zh-CN"/>
              </w:rPr>
              <w:t>25</w:t>
            </w:r>
          </w:p>
        </w:tc>
        <w:tc>
          <w:tcPr>
            <w:tcW w:w="352" w:type="pct"/>
            <w:tcBorders>
              <w:top w:val="single" w:color="000000" w:sz="4" w:space="0"/>
              <w:left w:val="single" w:color="000000" w:sz="4" w:space="0"/>
            </w:tcBorders>
            <w:noWrap/>
            <w:vAlign w:val="center"/>
          </w:tcPr>
          <w:p w14:paraId="48DE7AD8">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000000"/>
                <w:kern w:val="0"/>
                <w:sz w:val="21"/>
                <w:szCs w:val="21"/>
              </w:rPr>
              <w:t>2</w:t>
            </w:r>
            <w:r>
              <w:rPr>
                <w:rFonts w:hint="eastAsia" w:ascii="宋体" w:hAnsi="宋体" w:eastAsia="宋体" w:cs="宋体"/>
                <w:color w:val="000000"/>
                <w:kern w:val="0"/>
                <w:sz w:val="21"/>
                <w:szCs w:val="21"/>
                <w:lang w:val="en-US" w:eastAsia="zh-CN"/>
              </w:rPr>
              <w:t>15</w:t>
            </w:r>
          </w:p>
        </w:tc>
      </w:tr>
    </w:tbl>
    <w:p w14:paraId="3DB8955E">
      <w:pPr>
        <w:numPr>
          <w:ilvl w:val="0"/>
          <w:numId w:val="0"/>
        </w:numPr>
        <w:spacing w:line="360" w:lineRule="auto"/>
        <w:ind w:firstLine="480" w:firstLineChars="200"/>
        <w:contextualSpacing/>
        <w:rPr>
          <w:rFonts w:hint="eastAsia" w:ascii="宋体" w:hAnsi="宋体" w:eastAsia="宋体" w:cs="宋体"/>
          <w:b w:val="0"/>
          <w:bCs w:val="0"/>
          <w:color w:val="000000"/>
          <w:sz w:val="24"/>
          <w:szCs w:val="24"/>
          <w:lang w:val="en-US" w:eastAsia="zh-CN"/>
        </w:rPr>
      </w:pPr>
      <w:r>
        <w:rPr>
          <w:rFonts w:hint="eastAsia" w:ascii="宋体" w:hAnsi="宋体" w:cs="宋体"/>
          <w:b w:val="0"/>
          <w:bCs w:val="0"/>
          <w:color w:val="000000"/>
          <w:sz w:val="24"/>
          <w:szCs w:val="24"/>
          <w:lang w:val="en-US" w:eastAsia="zh-CN"/>
        </w:rPr>
        <w:t>基准砂浆抗渗压力设定为0.3MPa</w:t>
      </w:r>
      <w:r>
        <w:rPr>
          <w:rFonts w:hint="eastAsia" w:ascii="宋体" w:hAnsi="宋体" w:eastAsia="宋体" w:cs="宋体"/>
          <w:b w:val="0"/>
          <w:bCs w:val="0"/>
          <w:color w:val="000000"/>
          <w:sz w:val="24"/>
          <w:szCs w:val="24"/>
          <w:lang w:val="en-US" w:eastAsia="zh-CN"/>
        </w:rPr>
        <w:t>，合格率为</w:t>
      </w:r>
      <w:r>
        <w:rPr>
          <w:rFonts w:hint="eastAsia" w:ascii="宋体" w:hAnsi="宋体" w:cs="宋体"/>
          <w:b w:val="0"/>
          <w:bCs w:val="0"/>
          <w:color w:val="000000"/>
          <w:sz w:val="24"/>
          <w:szCs w:val="24"/>
          <w:lang w:val="en-US" w:eastAsia="zh-CN"/>
        </w:rPr>
        <w:t>87.5</w:t>
      </w:r>
      <w:r>
        <w:rPr>
          <w:rFonts w:hint="eastAsia" w:ascii="宋体" w:hAnsi="宋体" w:eastAsia="宋体" w:cs="宋体"/>
          <w:b w:val="0"/>
          <w:bCs w:val="0"/>
          <w:color w:val="000000"/>
          <w:sz w:val="24"/>
          <w:szCs w:val="24"/>
          <w:lang w:val="en-US" w:eastAsia="zh-CN"/>
        </w:rPr>
        <w:t>%。</w:t>
      </w:r>
    </w:p>
    <w:p w14:paraId="02851676">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default" w:ascii="宋体" w:hAnsi="宋体" w:eastAsia="宋体" w:cs="宋体"/>
          <w:b w:val="0"/>
          <w:bCs/>
          <w:color w:val="auto"/>
          <w:spacing w:val="0"/>
          <w:kern w:val="2"/>
          <w:sz w:val="24"/>
          <w:szCs w:val="24"/>
          <w:lang w:val="en-US" w:eastAsia="zh-CN"/>
        </w:rPr>
      </w:pPr>
      <w:r>
        <w:rPr>
          <w:rFonts w:hint="default" w:ascii="宋体" w:hAnsi="宋体" w:eastAsia="宋体" w:cs="宋体"/>
          <w:b w:val="0"/>
          <w:bCs/>
          <w:color w:val="auto"/>
          <w:spacing w:val="0"/>
          <w:kern w:val="2"/>
          <w:sz w:val="24"/>
          <w:szCs w:val="24"/>
          <w:lang w:val="en-US" w:eastAsia="zh-CN"/>
        </w:rPr>
        <w:t>（</w:t>
      </w:r>
      <w:r>
        <w:rPr>
          <w:rFonts w:hint="eastAsia" w:ascii="宋体" w:hAnsi="宋体" w:cs="宋体"/>
          <w:b w:val="0"/>
          <w:bCs/>
          <w:color w:val="auto"/>
          <w:spacing w:val="0"/>
          <w:kern w:val="2"/>
          <w:sz w:val="24"/>
          <w:szCs w:val="24"/>
          <w:lang w:val="en-US" w:eastAsia="zh-CN"/>
        </w:rPr>
        <w:t>4</w:t>
      </w:r>
      <w:r>
        <w:rPr>
          <w:rFonts w:hint="default" w:ascii="宋体" w:hAnsi="宋体" w:eastAsia="宋体" w:cs="宋体"/>
          <w:b w:val="0"/>
          <w:bCs/>
          <w:color w:val="auto"/>
          <w:spacing w:val="0"/>
          <w:kern w:val="2"/>
          <w:sz w:val="24"/>
          <w:szCs w:val="24"/>
          <w:lang w:val="en-US" w:eastAsia="zh-CN"/>
        </w:rPr>
        <w:t>）</w:t>
      </w:r>
      <w:r>
        <w:rPr>
          <w:rFonts w:hint="eastAsia" w:cs="宋体"/>
          <w:color w:val="auto"/>
          <w:sz w:val="24"/>
          <w:lang w:val="en-US" w:eastAsia="zh-CN"/>
        </w:rPr>
        <w:t>水泥基渗透结晶型防水涂料的混凝土抗渗性能</w:t>
      </w:r>
    </w:p>
    <w:p w14:paraId="190ADFAD">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jc w:val="center"/>
        <w:textAlignment w:val="auto"/>
        <w:rPr>
          <w:rFonts w:hint="eastAsia" w:ascii="黑体" w:hAnsi="黑体" w:eastAsia="黑体" w:cs="黑体"/>
          <w:b w:val="0"/>
          <w:bCs/>
          <w:color w:val="auto"/>
          <w:spacing w:val="0"/>
          <w:kern w:val="2"/>
          <w:sz w:val="24"/>
          <w:szCs w:val="24"/>
          <w:lang w:val="en-US" w:eastAsia="zh-CN"/>
        </w:rPr>
      </w:pPr>
      <w:r>
        <w:rPr>
          <w:rFonts w:hint="eastAsia" w:ascii="黑体" w:hAnsi="黑体" w:eastAsia="黑体" w:cs="黑体"/>
          <w:b w:val="0"/>
          <w:bCs/>
          <w:color w:val="auto"/>
          <w:spacing w:val="0"/>
          <w:kern w:val="2"/>
          <w:sz w:val="24"/>
          <w:szCs w:val="24"/>
          <w:lang w:val="en-US" w:eastAsia="zh-CN"/>
        </w:rPr>
        <w:t>表6  水泥基渗透结晶型防水涂料的混凝土抗渗性能</w:t>
      </w:r>
    </w:p>
    <w:tbl>
      <w:tblPr>
        <w:tblStyle w:val="11"/>
        <w:tblW w:w="5000" w:type="pct"/>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387"/>
        <w:gridCol w:w="3766"/>
        <w:gridCol w:w="627"/>
        <w:gridCol w:w="627"/>
        <w:gridCol w:w="627"/>
        <w:gridCol w:w="627"/>
        <w:gridCol w:w="627"/>
        <w:gridCol w:w="627"/>
        <w:gridCol w:w="627"/>
        <w:gridCol w:w="632"/>
      </w:tblGrid>
      <w:tr w14:paraId="1D15ED2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2263" w:type="pct"/>
            <w:gridSpan w:val="2"/>
            <w:tcBorders>
              <w:bottom w:val="single" w:color="000000" w:sz="4" w:space="0"/>
              <w:right w:val="single" w:color="000000" w:sz="4" w:space="0"/>
            </w:tcBorders>
            <w:noWrap/>
            <w:vAlign w:val="center"/>
          </w:tcPr>
          <w:p w14:paraId="44B601C2">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样品编号</w:t>
            </w:r>
          </w:p>
        </w:tc>
        <w:tc>
          <w:tcPr>
            <w:tcW w:w="341" w:type="pct"/>
            <w:tcBorders>
              <w:left w:val="single" w:color="000000" w:sz="4" w:space="0"/>
              <w:bottom w:val="single" w:color="000000" w:sz="4" w:space="0"/>
              <w:right w:val="single" w:color="000000" w:sz="4" w:space="0"/>
            </w:tcBorders>
            <w:noWrap w:val="0"/>
            <w:vAlign w:val="center"/>
          </w:tcPr>
          <w:p w14:paraId="0E24F41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1#</w:t>
            </w:r>
          </w:p>
        </w:tc>
        <w:tc>
          <w:tcPr>
            <w:tcW w:w="341" w:type="pct"/>
            <w:tcBorders>
              <w:left w:val="single" w:color="000000" w:sz="4" w:space="0"/>
              <w:bottom w:val="single" w:color="000000" w:sz="4" w:space="0"/>
              <w:right w:val="single" w:color="000000" w:sz="4" w:space="0"/>
            </w:tcBorders>
            <w:noWrap w:val="0"/>
            <w:vAlign w:val="center"/>
          </w:tcPr>
          <w:p w14:paraId="001BE1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2#</w:t>
            </w:r>
          </w:p>
        </w:tc>
        <w:tc>
          <w:tcPr>
            <w:tcW w:w="341" w:type="pct"/>
            <w:tcBorders>
              <w:left w:val="single" w:color="000000" w:sz="4" w:space="0"/>
              <w:bottom w:val="single" w:color="000000" w:sz="4" w:space="0"/>
              <w:right w:val="single" w:color="000000" w:sz="4" w:space="0"/>
            </w:tcBorders>
            <w:noWrap w:val="0"/>
            <w:vAlign w:val="center"/>
          </w:tcPr>
          <w:p w14:paraId="3B2FBE4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3#</w:t>
            </w:r>
          </w:p>
        </w:tc>
        <w:tc>
          <w:tcPr>
            <w:tcW w:w="341" w:type="pct"/>
            <w:tcBorders>
              <w:left w:val="single" w:color="000000" w:sz="4" w:space="0"/>
              <w:bottom w:val="single" w:color="000000" w:sz="4" w:space="0"/>
              <w:right w:val="single" w:color="000000" w:sz="4" w:space="0"/>
            </w:tcBorders>
            <w:noWrap w:val="0"/>
            <w:vAlign w:val="center"/>
          </w:tcPr>
          <w:p w14:paraId="557EE6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4#</w:t>
            </w:r>
          </w:p>
        </w:tc>
        <w:tc>
          <w:tcPr>
            <w:tcW w:w="341" w:type="pct"/>
            <w:tcBorders>
              <w:left w:val="single" w:color="000000" w:sz="4" w:space="0"/>
              <w:bottom w:val="single" w:color="000000" w:sz="4" w:space="0"/>
              <w:right w:val="single" w:color="000000" w:sz="4" w:space="0"/>
            </w:tcBorders>
            <w:noWrap w:val="0"/>
            <w:vAlign w:val="center"/>
          </w:tcPr>
          <w:p w14:paraId="7506E18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5#</w:t>
            </w:r>
          </w:p>
        </w:tc>
        <w:tc>
          <w:tcPr>
            <w:tcW w:w="341" w:type="pct"/>
            <w:tcBorders>
              <w:left w:val="single" w:color="000000" w:sz="4" w:space="0"/>
              <w:bottom w:val="single" w:color="000000" w:sz="4" w:space="0"/>
              <w:right w:val="single" w:color="000000" w:sz="4" w:space="0"/>
            </w:tcBorders>
            <w:noWrap w:val="0"/>
            <w:vAlign w:val="center"/>
          </w:tcPr>
          <w:p w14:paraId="1C29463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6#</w:t>
            </w:r>
          </w:p>
        </w:tc>
        <w:tc>
          <w:tcPr>
            <w:tcW w:w="341" w:type="pct"/>
            <w:tcBorders>
              <w:left w:val="single" w:color="000000" w:sz="4" w:space="0"/>
              <w:bottom w:val="single" w:color="000000" w:sz="4" w:space="0"/>
              <w:right w:val="single" w:color="000000" w:sz="4" w:space="0"/>
            </w:tcBorders>
            <w:noWrap/>
            <w:vAlign w:val="center"/>
          </w:tcPr>
          <w:p w14:paraId="69663C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7#</w:t>
            </w:r>
          </w:p>
        </w:tc>
        <w:tc>
          <w:tcPr>
            <w:tcW w:w="344" w:type="pct"/>
            <w:tcBorders>
              <w:left w:val="single" w:color="000000" w:sz="4" w:space="0"/>
              <w:bottom w:val="single" w:color="000000" w:sz="4" w:space="0"/>
            </w:tcBorders>
            <w:noWrap/>
            <w:vAlign w:val="center"/>
          </w:tcPr>
          <w:p w14:paraId="19353F6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8#</w:t>
            </w:r>
          </w:p>
        </w:tc>
      </w:tr>
      <w:tr w14:paraId="4349AC9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210" w:type="pct"/>
            <w:vMerge w:val="restart"/>
            <w:tcBorders>
              <w:top w:val="single" w:color="000000" w:sz="4" w:space="0"/>
              <w:right w:val="single" w:color="000000" w:sz="4" w:space="0"/>
            </w:tcBorders>
            <w:noWrap/>
            <w:vAlign w:val="center"/>
          </w:tcPr>
          <w:p w14:paraId="006FD96C">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混凝土抗渗性能</w:t>
            </w:r>
          </w:p>
        </w:tc>
        <w:tc>
          <w:tcPr>
            <w:tcW w:w="2052" w:type="pct"/>
            <w:tcBorders>
              <w:top w:val="single" w:color="000000" w:sz="4" w:space="0"/>
              <w:left w:val="single" w:color="000000" w:sz="4" w:space="0"/>
              <w:bottom w:val="single" w:color="000000" w:sz="4" w:space="0"/>
              <w:right w:val="single" w:color="000000" w:sz="4" w:space="0"/>
            </w:tcBorders>
            <w:noWrap/>
            <w:vAlign w:val="center"/>
          </w:tcPr>
          <w:p w14:paraId="569E6A8B">
            <w:pPr>
              <w:widowControl/>
              <w:topLinePunct/>
              <w:spacing w:line="240" w:lineRule="exact"/>
              <w:jc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color w:val="000000"/>
                <w:kern w:val="0"/>
                <w:sz w:val="21"/>
                <w:szCs w:val="21"/>
              </w:rPr>
              <w:t>28d带涂层混凝土的抗渗压力</w:t>
            </w:r>
            <w:r>
              <w:rPr>
                <w:rFonts w:hint="eastAsia" w:ascii="宋体" w:hAnsi="宋体" w:eastAsia="宋体" w:cs="宋体"/>
                <w:color w:val="000000"/>
                <w:kern w:val="0"/>
                <w:sz w:val="21"/>
                <w:szCs w:val="21"/>
                <w:lang w:val="en-US" w:eastAsia="zh-CN"/>
              </w:rPr>
              <w:t>/MPa</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7951E64C">
            <w:pPr>
              <w:widowControl/>
              <w:topLinePunct/>
              <w:spacing w:line="240" w:lineRule="exact"/>
              <w:jc w:val="center"/>
              <w:rPr>
                <w:rFonts w:hint="eastAsia" w:ascii="宋体" w:hAnsi="宋体" w:eastAsia="宋体" w:cs="宋体"/>
                <w:i w:val="0"/>
                <w:iCs w:val="0"/>
                <w:color w:val="FF0000"/>
                <w:sz w:val="21"/>
                <w:szCs w:val="21"/>
                <w:u w:val="none"/>
              </w:rPr>
            </w:pPr>
            <w:r>
              <w:rPr>
                <w:rFonts w:hint="eastAsia" w:ascii="宋体" w:hAnsi="宋体" w:eastAsia="宋体" w:cs="宋体"/>
                <w:color w:val="000000"/>
                <w:kern w:val="0"/>
                <w:sz w:val="21"/>
                <w:szCs w:val="21"/>
              </w:rPr>
              <w:t>1.5</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467D845B">
            <w:pPr>
              <w:widowControl/>
              <w:topLinePunct/>
              <w:spacing w:line="240" w:lineRule="exact"/>
              <w:jc w:val="center"/>
              <w:rPr>
                <w:rFonts w:hint="eastAsia" w:ascii="宋体" w:hAnsi="宋体" w:eastAsia="宋体" w:cs="宋体"/>
                <w:i w:val="0"/>
                <w:iCs w:val="0"/>
                <w:color w:val="FF0000"/>
                <w:sz w:val="21"/>
                <w:szCs w:val="21"/>
                <w:u w:val="none"/>
              </w:rPr>
            </w:pPr>
            <w:r>
              <w:rPr>
                <w:rFonts w:hint="eastAsia" w:ascii="宋体" w:hAnsi="宋体" w:eastAsia="宋体" w:cs="宋体"/>
                <w:color w:val="000000"/>
                <w:kern w:val="0"/>
                <w:sz w:val="21"/>
                <w:szCs w:val="21"/>
              </w:rPr>
              <w:t>1.4</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177BE898">
            <w:pPr>
              <w:widowControl/>
              <w:topLinePunct/>
              <w:spacing w:line="240" w:lineRule="exact"/>
              <w:jc w:val="center"/>
              <w:rPr>
                <w:rFonts w:hint="eastAsia"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sz w:val="21"/>
                <w:szCs w:val="21"/>
                <w:u w:val="none"/>
                <w:lang w:val="en-US" w:eastAsia="zh-CN"/>
              </w:rPr>
              <w:t>1.0</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343B04E9">
            <w:pPr>
              <w:widowControl/>
              <w:topLinePunct/>
              <w:spacing w:line="240" w:lineRule="exact"/>
              <w:jc w:val="center"/>
              <w:rPr>
                <w:rFonts w:hint="eastAsia" w:ascii="宋体" w:hAnsi="宋体" w:eastAsia="宋体" w:cs="宋体"/>
                <w:i w:val="0"/>
                <w:iCs w:val="0"/>
                <w:color w:val="FF0000"/>
                <w:sz w:val="21"/>
                <w:szCs w:val="21"/>
                <w:u w:val="none"/>
              </w:rPr>
            </w:pPr>
            <w:r>
              <w:rPr>
                <w:rFonts w:hint="eastAsia" w:ascii="宋体" w:hAnsi="宋体" w:eastAsia="宋体" w:cs="宋体"/>
                <w:color w:val="000000"/>
                <w:kern w:val="0"/>
                <w:sz w:val="21"/>
                <w:szCs w:val="21"/>
              </w:rPr>
              <w:t>1.3</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691D9823">
            <w:pPr>
              <w:widowControl/>
              <w:topLinePunct/>
              <w:spacing w:line="240" w:lineRule="exact"/>
              <w:jc w:val="center"/>
              <w:rPr>
                <w:rFonts w:hint="eastAsia" w:ascii="宋体" w:hAnsi="宋体" w:eastAsia="宋体" w:cs="宋体"/>
                <w:i w:val="0"/>
                <w:iCs w:val="0"/>
                <w:color w:val="FF0000"/>
                <w:sz w:val="21"/>
                <w:szCs w:val="21"/>
                <w:u w:val="none"/>
              </w:rPr>
            </w:pPr>
            <w:r>
              <w:rPr>
                <w:rFonts w:hint="eastAsia" w:ascii="宋体" w:hAnsi="宋体" w:eastAsia="宋体" w:cs="宋体"/>
                <w:color w:val="000000"/>
                <w:kern w:val="0"/>
                <w:sz w:val="21"/>
                <w:szCs w:val="21"/>
              </w:rPr>
              <w:t>1.2</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0B10FE48">
            <w:pPr>
              <w:widowControl/>
              <w:topLinePunct/>
              <w:spacing w:line="240" w:lineRule="exact"/>
              <w:jc w:val="center"/>
              <w:rPr>
                <w:rFonts w:hint="eastAsia" w:ascii="宋体" w:hAnsi="宋体" w:eastAsia="宋体" w:cs="宋体"/>
                <w:i w:val="0"/>
                <w:iCs w:val="0"/>
                <w:color w:val="FF0000"/>
                <w:sz w:val="21"/>
                <w:szCs w:val="21"/>
                <w:u w:val="none"/>
              </w:rPr>
            </w:pPr>
            <w:r>
              <w:rPr>
                <w:rFonts w:hint="eastAsia" w:ascii="宋体" w:hAnsi="宋体" w:eastAsia="宋体" w:cs="宋体"/>
                <w:color w:val="000000"/>
                <w:kern w:val="0"/>
                <w:sz w:val="21"/>
                <w:szCs w:val="21"/>
              </w:rPr>
              <w:t>0.9</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14A3B115">
            <w:pPr>
              <w:widowControl/>
              <w:topLinePunct/>
              <w:spacing w:line="240" w:lineRule="exact"/>
              <w:jc w:val="center"/>
              <w:rPr>
                <w:rFonts w:hint="eastAsia" w:ascii="宋体" w:hAnsi="宋体" w:eastAsia="宋体" w:cs="宋体"/>
                <w:i w:val="0"/>
                <w:iCs w:val="0"/>
                <w:color w:val="FF0000"/>
                <w:sz w:val="21"/>
                <w:szCs w:val="21"/>
                <w:u w:val="none"/>
              </w:rPr>
            </w:pPr>
            <w:r>
              <w:rPr>
                <w:rFonts w:hint="eastAsia" w:ascii="宋体" w:hAnsi="宋体" w:eastAsia="宋体" w:cs="宋体"/>
                <w:color w:val="000000"/>
                <w:kern w:val="0"/>
                <w:sz w:val="21"/>
                <w:szCs w:val="21"/>
              </w:rPr>
              <w:t>1.1</w:t>
            </w:r>
          </w:p>
        </w:tc>
        <w:tc>
          <w:tcPr>
            <w:tcW w:w="344" w:type="pct"/>
            <w:tcBorders>
              <w:top w:val="single" w:color="000000" w:sz="4" w:space="0"/>
              <w:left w:val="single" w:color="000000" w:sz="4" w:space="0"/>
              <w:bottom w:val="single" w:color="000000" w:sz="4" w:space="0"/>
            </w:tcBorders>
            <w:noWrap/>
            <w:vAlign w:val="center"/>
          </w:tcPr>
          <w:p w14:paraId="734742DC">
            <w:pPr>
              <w:widowControl/>
              <w:topLinePunct/>
              <w:spacing w:line="240" w:lineRule="exact"/>
              <w:jc w:val="center"/>
              <w:rPr>
                <w:rFonts w:hint="eastAsia" w:ascii="宋体" w:hAnsi="宋体" w:eastAsia="宋体" w:cs="宋体"/>
                <w:i w:val="0"/>
                <w:iCs w:val="0"/>
                <w:color w:val="FF0000"/>
                <w:sz w:val="21"/>
                <w:szCs w:val="21"/>
                <w:u w:val="none"/>
              </w:rPr>
            </w:pPr>
            <w:r>
              <w:rPr>
                <w:rFonts w:hint="eastAsia" w:ascii="宋体" w:hAnsi="宋体" w:eastAsia="宋体" w:cs="宋体"/>
                <w:color w:val="000000"/>
                <w:kern w:val="0"/>
                <w:sz w:val="21"/>
                <w:szCs w:val="21"/>
              </w:rPr>
              <w:t>1.2</w:t>
            </w:r>
          </w:p>
        </w:tc>
      </w:tr>
      <w:tr w14:paraId="1C34BA26">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210" w:type="pct"/>
            <w:vMerge w:val="continue"/>
            <w:tcBorders>
              <w:right w:val="single" w:color="000000" w:sz="4" w:space="0"/>
            </w:tcBorders>
            <w:noWrap/>
            <w:vAlign w:val="center"/>
          </w:tcPr>
          <w:p w14:paraId="170ABDC2">
            <w:pPr>
              <w:spacing w:line="240" w:lineRule="auto"/>
              <w:jc w:val="center"/>
              <w:rPr>
                <w:rFonts w:hint="eastAsia" w:ascii="宋体" w:hAnsi="宋体" w:eastAsia="宋体" w:cs="宋体"/>
                <w:i w:val="0"/>
                <w:iCs w:val="0"/>
                <w:color w:val="000000"/>
                <w:sz w:val="21"/>
                <w:szCs w:val="21"/>
                <w:u w:val="none"/>
              </w:rPr>
            </w:pPr>
          </w:p>
        </w:tc>
        <w:tc>
          <w:tcPr>
            <w:tcW w:w="2052" w:type="pct"/>
            <w:tcBorders>
              <w:top w:val="single" w:color="000000" w:sz="4" w:space="0"/>
              <w:left w:val="single" w:color="000000" w:sz="4" w:space="0"/>
              <w:bottom w:val="single" w:color="000000" w:sz="4" w:space="0"/>
              <w:right w:val="single" w:color="000000" w:sz="4" w:space="0"/>
            </w:tcBorders>
            <w:noWrap/>
            <w:vAlign w:val="center"/>
          </w:tcPr>
          <w:p w14:paraId="578BF99B">
            <w:pPr>
              <w:widowControl/>
              <w:topLinePunct/>
              <w:spacing w:line="240" w:lineRule="exact"/>
              <w:jc w:val="center"/>
              <w:rPr>
                <w:rFonts w:hint="eastAsia" w:ascii="宋体" w:hAnsi="宋体" w:eastAsia="宋体" w:cs="宋体"/>
                <w:i w:val="0"/>
                <w:iCs w:val="0"/>
                <w:color w:val="000000"/>
                <w:sz w:val="21"/>
                <w:szCs w:val="21"/>
                <w:u w:val="none"/>
              </w:rPr>
            </w:pPr>
            <w:r>
              <w:rPr>
                <w:rFonts w:hint="eastAsia" w:ascii="宋体" w:hAnsi="宋体" w:eastAsia="宋体" w:cs="宋体"/>
                <w:color w:val="000000"/>
                <w:kern w:val="0"/>
                <w:sz w:val="21"/>
                <w:szCs w:val="21"/>
              </w:rPr>
              <w:t xml:space="preserve">28d抗渗压力比(带涂层） </w:t>
            </w:r>
            <w:r>
              <w:rPr>
                <w:rFonts w:hint="eastAsia" w:ascii="宋体" w:hAnsi="宋体" w:eastAsia="宋体" w:cs="宋体"/>
                <w:color w:val="000000"/>
                <w:kern w:val="0"/>
                <w:sz w:val="21"/>
                <w:szCs w:val="21"/>
                <w:lang w:val="en-US" w:eastAsia="zh-CN"/>
              </w:rPr>
              <w:t>/%</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410355CE">
            <w:pPr>
              <w:widowControl/>
              <w:topLinePunct/>
              <w:spacing w:line="240" w:lineRule="exact"/>
              <w:jc w:val="center"/>
              <w:rPr>
                <w:rFonts w:hint="eastAsia" w:ascii="宋体" w:hAnsi="宋体" w:eastAsia="宋体" w:cs="宋体"/>
                <w:i w:val="0"/>
                <w:iCs w:val="0"/>
                <w:color w:val="FF0000"/>
                <w:sz w:val="21"/>
                <w:szCs w:val="21"/>
                <w:u w:val="none"/>
                <w:lang w:val="en-US" w:eastAsia="zh-CN"/>
              </w:rPr>
            </w:pPr>
            <w:r>
              <w:rPr>
                <w:rFonts w:hint="eastAsia" w:ascii="宋体" w:hAnsi="宋体" w:eastAsia="宋体" w:cs="宋体"/>
                <w:color w:val="000000"/>
                <w:kern w:val="0"/>
                <w:sz w:val="21"/>
                <w:szCs w:val="21"/>
              </w:rPr>
              <w:t>375</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794CA501">
            <w:pPr>
              <w:widowControl/>
              <w:topLinePunct/>
              <w:spacing w:line="240" w:lineRule="exact"/>
              <w:jc w:val="center"/>
              <w:rPr>
                <w:rFonts w:hint="eastAsia" w:ascii="宋体" w:hAnsi="宋体" w:eastAsia="宋体" w:cs="宋体"/>
                <w:i w:val="0"/>
                <w:iCs w:val="0"/>
                <w:color w:val="FF0000"/>
                <w:sz w:val="21"/>
                <w:szCs w:val="21"/>
                <w:u w:val="none"/>
                <w:lang w:val="en-US" w:eastAsia="zh-CN"/>
              </w:rPr>
            </w:pPr>
            <w:r>
              <w:rPr>
                <w:rFonts w:hint="eastAsia" w:ascii="宋体" w:hAnsi="宋体" w:eastAsia="宋体" w:cs="宋体"/>
                <w:color w:val="000000"/>
                <w:kern w:val="0"/>
                <w:sz w:val="21"/>
                <w:szCs w:val="21"/>
              </w:rPr>
              <w:t>350</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33398F90">
            <w:pPr>
              <w:widowControl/>
              <w:topLinePunct/>
              <w:spacing w:line="240" w:lineRule="exact"/>
              <w:jc w:val="center"/>
              <w:rPr>
                <w:rFonts w:hint="eastAsia" w:ascii="宋体" w:hAnsi="宋体" w:eastAsia="宋体" w:cs="宋体"/>
                <w:i w:val="0"/>
                <w:iCs w:val="0"/>
                <w:color w:val="auto"/>
                <w:sz w:val="21"/>
                <w:szCs w:val="21"/>
                <w:u w:val="none"/>
                <w:lang w:val="en-US" w:eastAsia="zh-CN"/>
              </w:rPr>
            </w:pPr>
            <w:r>
              <w:rPr>
                <w:rFonts w:hint="eastAsia" w:ascii="宋体" w:hAnsi="宋体" w:eastAsia="宋体" w:cs="宋体"/>
                <w:i w:val="0"/>
                <w:iCs w:val="0"/>
                <w:color w:val="auto"/>
                <w:sz w:val="21"/>
                <w:szCs w:val="21"/>
                <w:u w:val="none"/>
                <w:lang w:val="en-US" w:eastAsia="zh-CN"/>
              </w:rPr>
              <w:t>255</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1672CFC9">
            <w:pPr>
              <w:widowControl/>
              <w:topLinePunct/>
              <w:spacing w:line="240" w:lineRule="exact"/>
              <w:jc w:val="center"/>
              <w:rPr>
                <w:rFonts w:hint="eastAsia" w:ascii="宋体" w:hAnsi="宋体" w:eastAsia="宋体" w:cs="宋体"/>
                <w:i w:val="0"/>
                <w:iCs w:val="0"/>
                <w:color w:val="FF0000"/>
                <w:sz w:val="21"/>
                <w:szCs w:val="21"/>
                <w:u w:val="none"/>
                <w:lang w:eastAsia="zh-CN"/>
              </w:rPr>
            </w:pPr>
            <w:r>
              <w:rPr>
                <w:rFonts w:hint="eastAsia" w:ascii="宋体" w:hAnsi="宋体" w:eastAsia="宋体" w:cs="宋体"/>
                <w:color w:val="000000"/>
                <w:kern w:val="0"/>
                <w:sz w:val="21"/>
                <w:szCs w:val="21"/>
              </w:rPr>
              <w:t>325</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7B72222D">
            <w:pPr>
              <w:widowControl/>
              <w:topLinePunct/>
              <w:spacing w:line="240" w:lineRule="exact"/>
              <w:jc w:val="center"/>
              <w:rPr>
                <w:rFonts w:hint="eastAsia" w:ascii="宋体" w:hAnsi="宋体" w:eastAsia="宋体" w:cs="宋体"/>
                <w:i w:val="0"/>
                <w:iCs w:val="0"/>
                <w:color w:val="FF0000"/>
                <w:sz w:val="21"/>
                <w:szCs w:val="21"/>
                <w:u w:val="none"/>
              </w:rPr>
            </w:pPr>
            <w:r>
              <w:rPr>
                <w:rFonts w:hint="eastAsia" w:ascii="宋体" w:hAnsi="宋体" w:eastAsia="宋体" w:cs="宋体"/>
                <w:color w:val="000000"/>
                <w:kern w:val="0"/>
                <w:sz w:val="21"/>
                <w:szCs w:val="21"/>
              </w:rPr>
              <w:t>300</w:t>
            </w:r>
          </w:p>
        </w:tc>
        <w:tc>
          <w:tcPr>
            <w:tcW w:w="341" w:type="pct"/>
            <w:tcBorders>
              <w:top w:val="single" w:color="000000" w:sz="4" w:space="0"/>
              <w:left w:val="single" w:color="000000" w:sz="4" w:space="0"/>
              <w:bottom w:val="single" w:color="000000" w:sz="4" w:space="0"/>
              <w:right w:val="single" w:color="000000" w:sz="4" w:space="0"/>
            </w:tcBorders>
            <w:noWrap w:val="0"/>
            <w:vAlign w:val="center"/>
          </w:tcPr>
          <w:p w14:paraId="44B07AC6">
            <w:pPr>
              <w:widowControl/>
              <w:topLinePunct/>
              <w:spacing w:line="240" w:lineRule="exact"/>
              <w:jc w:val="center"/>
              <w:rPr>
                <w:rFonts w:hint="eastAsia" w:ascii="宋体" w:hAnsi="宋体" w:eastAsia="宋体" w:cs="宋体"/>
                <w:i w:val="0"/>
                <w:iCs w:val="0"/>
                <w:color w:val="auto"/>
                <w:sz w:val="21"/>
                <w:szCs w:val="21"/>
                <w:highlight w:val="none"/>
                <w:u w:val="none"/>
                <w:lang w:val="en-US" w:eastAsia="zh-CN"/>
              </w:rPr>
            </w:pPr>
            <w:r>
              <w:rPr>
                <w:rFonts w:hint="eastAsia" w:ascii="宋体" w:hAnsi="宋体" w:eastAsia="宋体" w:cs="宋体"/>
                <w:color w:val="auto"/>
                <w:kern w:val="0"/>
                <w:sz w:val="21"/>
                <w:szCs w:val="21"/>
                <w:highlight w:val="none"/>
                <w:u w:val="none"/>
              </w:rPr>
              <w:t>225</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3670EC72">
            <w:pPr>
              <w:widowControl/>
              <w:topLinePunct/>
              <w:spacing w:line="240" w:lineRule="exact"/>
              <w:jc w:val="center"/>
              <w:rPr>
                <w:rFonts w:hint="eastAsia" w:ascii="宋体" w:hAnsi="宋体" w:eastAsia="宋体" w:cs="宋体"/>
                <w:i w:val="0"/>
                <w:iCs w:val="0"/>
                <w:color w:val="FF0000"/>
                <w:sz w:val="21"/>
                <w:szCs w:val="21"/>
                <w:u w:val="none"/>
                <w:lang w:val="en-US" w:eastAsia="zh-CN"/>
              </w:rPr>
            </w:pPr>
            <w:r>
              <w:rPr>
                <w:rFonts w:hint="eastAsia" w:ascii="宋体" w:hAnsi="宋体" w:eastAsia="宋体" w:cs="宋体"/>
                <w:color w:val="000000"/>
                <w:kern w:val="0"/>
                <w:sz w:val="21"/>
                <w:szCs w:val="21"/>
              </w:rPr>
              <w:t>275</w:t>
            </w:r>
          </w:p>
        </w:tc>
        <w:tc>
          <w:tcPr>
            <w:tcW w:w="344" w:type="pct"/>
            <w:tcBorders>
              <w:top w:val="single" w:color="000000" w:sz="4" w:space="0"/>
              <w:left w:val="single" w:color="000000" w:sz="4" w:space="0"/>
              <w:bottom w:val="single" w:color="000000" w:sz="4" w:space="0"/>
            </w:tcBorders>
            <w:noWrap/>
            <w:vAlign w:val="center"/>
          </w:tcPr>
          <w:p w14:paraId="7BEA16D6">
            <w:pPr>
              <w:widowControl/>
              <w:topLinePunct/>
              <w:spacing w:line="240" w:lineRule="exact"/>
              <w:jc w:val="center"/>
              <w:rPr>
                <w:rFonts w:hint="eastAsia" w:ascii="宋体" w:hAnsi="宋体" w:eastAsia="宋体" w:cs="宋体"/>
                <w:i w:val="0"/>
                <w:iCs w:val="0"/>
                <w:color w:val="FF0000"/>
                <w:sz w:val="21"/>
                <w:szCs w:val="21"/>
                <w:u w:val="none"/>
                <w:lang w:val="en-US" w:eastAsia="zh-CN"/>
              </w:rPr>
            </w:pPr>
            <w:r>
              <w:rPr>
                <w:rFonts w:hint="eastAsia" w:ascii="宋体" w:hAnsi="宋体" w:eastAsia="宋体" w:cs="宋体"/>
                <w:color w:val="000000"/>
                <w:kern w:val="0"/>
                <w:sz w:val="21"/>
                <w:szCs w:val="21"/>
              </w:rPr>
              <w:t>300</w:t>
            </w:r>
          </w:p>
        </w:tc>
      </w:tr>
      <w:tr w14:paraId="390B9DA5">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210" w:type="pct"/>
            <w:vMerge w:val="continue"/>
            <w:tcBorders>
              <w:right w:val="single" w:color="000000" w:sz="4" w:space="0"/>
            </w:tcBorders>
            <w:noWrap/>
            <w:vAlign w:val="center"/>
          </w:tcPr>
          <w:p w14:paraId="39280AC4">
            <w:pPr>
              <w:spacing w:line="240" w:lineRule="auto"/>
              <w:jc w:val="center"/>
              <w:rPr>
                <w:rFonts w:hint="eastAsia" w:ascii="宋体" w:hAnsi="宋体" w:eastAsia="宋体" w:cs="宋体"/>
                <w:i w:val="0"/>
                <w:iCs w:val="0"/>
                <w:color w:val="000000"/>
                <w:sz w:val="21"/>
                <w:szCs w:val="21"/>
                <w:u w:val="none"/>
              </w:rPr>
            </w:pPr>
          </w:p>
        </w:tc>
        <w:tc>
          <w:tcPr>
            <w:tcW w:w="2052" w:type="pct"/>
            <w:tcBorders>
              <w:top w:val="single" w:color="000000" w:sz="4" w:space="0"/>
              <w:left w:val="single" w:color="000000" w:sz="4" w:space="0"/>
              <w:bottom w:val="single" w:color="000000" w:sz="4" w:space="0"/>
              <w:right w:val="single" w:color="000000" w:sz="4" w:space="0"/>
            </w:tcBorders>
            <w:noWrap/>
            <w:vAlign w:val="center"/>
          </w:tcPr>
          <w:p w14:paraId="64BD9A3C">
            <w:pPr>
              <w:widowControl/>
              <w:topLinePunct/>
              <w:spacing w:line="240" w:lineRule="exact"/>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28d去除涂层混凝土的抗渗压力</w:t>
            </w:r>
            <w:r>
              <w:rPr>
                <w:rFonts w:hint="eastAsia" w:ascii="宋体" w:hAnsi="宋体" w:eastAsia="宋体" w:cs="宋体"/>
                <w:color w:val="000000"/>
                <w:kern w:val="0"/>
                <w:sz w:val="21"/>
                <w:szCs w:val="21"/>
                <w:lang w:val="en-US" w:eastAsia="zh-CN"/>
              </w:rPr>
              <w:t>/MPa</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64262000">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1.1</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39E1B544">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1.1</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5E29CB1F">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0.9</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41AC5444">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1</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07C4A5C8">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0.9</w:t>
            </w:r>
          </w:p>
        </w:tc>
        <w:tc>
          <w:tcPr>
            <w:tcW w:w="341" w:type="pct"/>
            <w:tcBorders>
              <w:top w:val="single" w:color="000000" w:sz="4" w:space="0"/>
              <w:left w:val="single" w:color="000000" w:sz="4" w:space="0"/>
              <w:bottom w:val="single" w:color="000000" w:sz="4" w:space="0"/>
              <w:right w:val="single" w:color="000000" w:sz="4" w:space="0"/>
            </w:tcBorders>
            <w:noWrap w:val="0"/>
            <w:vAlign w:val="center"/>
          </w:tcPr>
          <w:p w14:paraId="6A7BDF45">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auto"/>
                <w:kern w:val="0"/>
                <w:sz w:val="21"/>
                <w:szCs w:val="21"/>
              </w:rPr>
              <w:t>0.7</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1E74961D">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0.8</w:t>
            </w:r>
          </w:p>
        </w:tc>
        <w:tc>
          <w:tcPr>
            <w:tcW w:w="344" w:type="pct"/>
            <w:tcBorders>
              <w:top w:val="single" w:color="000000" w:sz="4" w:space="0"/>
              <w:left w:val="single" w:color="000000" w:sz="4" w:space="0"/>
              <w:bottom w:val="single" w:color="000000" w:sz="4" w:space="0"/>
            </w:tcBorders>
            <w:noWrap/>
            <w:vAlign w:val="center"/>
          </w:tcPr>
          <w:p w14:paraId="793AE48D">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0.9</w:t>
            </w:r>
          </w:p>
        </w:tc>
      </w:tr>
      <w:tr w14:paraId="578B231D">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210" w:type="pct"/>
            <w:vMerge w:val="continue"/>
            <w:tcBorders>
              <w:right w:val="single" w:color="000000" w:sz="4" w:space="0"/>
            </w:tcBorders>
            <w:noWrap/>
            <w:vAlign w:val="center"/>
          </w:tcPr>
          <w:p w14:paraId="5CFF14BA">
            <w:pPr>
              <w:spacing w:line="240" w:lineRule="auto"/>
              <w:jc w:val="center"/>
              <w:rPr>
                <w:rFonts w:hint="eastAsia" w:ascii="宋体" w:hAnsi="宋体" w:eastAsia="宋体" w:cs="宋体"/>
                <w:i w:val="0"/>
                <w:iCs w:val="0"/>
                <w:color w:val="000000"/>
                <w:sz w:val="21"/>
                <w:szCs w:val="21"/>
                <w:u w:val="none"/>
              </w:rPr>
            </w:pPr>
          </w:p>
        </w:tc>
        <w:tc>
          <w:tcPr>
            <w:tcW w:w="2052" w:type="pct"/>
            <w:tcBorders>
              <w:top w:val="single" w:color="000000" w:sz="4" w:space="0"/>
              <w:left w:val="single" w:color="000000" w:sz="4" w:space="0"/>
              <w:bottom w:val="single" w:color="000000" w:sz="4" w:space="0"/>
              <w:right w:val="single" w:color="000000" w:sz="4" w:space="0"/>
            </w:tcBorders>
            <w:noWrap/>
            <w:vAlign w:val="center"/>
          </w:tcPr>
          <w:p w14:paraId="32FA32B3">
            <w:pPr>
              <w:widowControl/>
              <w:topLinePunct/>
              <w:spacing w:line="240" w:lineRule="exact"/>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000000"/>
                <w:kern w:val="0"/>
                <w:sz w:val="21"/>
                <w:szCs w:val="21"/>
              </w:rPr>
              <w:t>28d抗渗压力比(去除涂层）</w:t>
            </w:r>
            <w:r>
              <w:rPr>
                <w:rFonts w:hint="eastAsia" w:ascii="宋体" w:hAnsi="宋体" w:eastAsia="宋体" w:cs="宋体"/>
                <w:color w:val="000000"/>
                <w:kern w:val="0"/>
                <w:sz w:val="21"/>
                <w:szCs w:val="21"/>
                <w:lang w:val="en-US" w:eastAsia="zh-CN"/>
              </w:rPr>
              <w:t>/%</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7B7A4FB3">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275</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4525DBA7">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275</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718A214B">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205</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60868458">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250</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3EA088A3">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225</w:t>
            </w:r>
          </w:p>
        </w:tc>
        <w:tc>
          <w:tcPr>
            <w:tcW w:w="341" w:type="pct"/>
            <w:tcBorders>
              <w:top w:val="single" w:color="000000" w:sz="4" w:space="0"/>
              <w:left w:val="single" w:color="000000" w:sz="4" w:space="0"/>
              <w:bottom w:val="single" w:color="000000" w:sz="4" w:space="0"/>
              <w:right w:val="single" w:color="000000" w:sz="4" w:space="0"/>
            </w:tcBorders>
            <w:noWrap w:val="0"/>
            <w:vAlign w:val="center"/>
          </w:tcPr>
          <w:p w14:paraId="2356758C">
            <w:pPr>
              <w:widowControl/>
              <w:topLinePunct/>
              <w:spacing w:line="240" w:lineRule="exact"/>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color w:val="auto"/>
                <w:kern w:val="0"/>
                <w:sz w:val="21"/>
                <w:szCs w:val="21"/>
              </w:rPr>
              <w:t>175</w:t>
            </w:r>
          </w:p>
        </w:tc>
        <w:tc>
          <w:tcPr>
            <w:tcW w:w="341" w:type="pct"/>
            <w:tcBorders>
              <w:top w:val="single" w:color="000000" w:sz="4" w:space="0"/>
              <w:left w:val="single" w:color="000000" w:sz="4" w:space="0"/>
              <w:bottom w:val="single" w:color="000000" w:sz="4" w:space="0"/>
              <w:right w:val="single" w:color="000000" w:sz="4" w:space="0"/>
            </w:tcBorders>
            <w:noWrap/>
            <w:vAlign w:val="center"/>
          </w:tcPr>
          <w:p w14:paraId="732CBE61">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200</w:t>
            </w:r>
          </w:p>
        </w:tc>
        <w:tc>
          <w:tcPr>
            <w:tcW w:w="344" w:type="pct"/>
            <w:tcBorders>
              <w:top w:val="single" w:color="000000" w:sz="4" w:space="0"/>
              <w:left w:val="single" w:color="000000" w:sz="4" w:space="0"/>
              <w:bottom w:val="single" w:color="000000" w:sz="4" w:space="0"/>
            </w:tcBorders>
            <w:noWrap/>
            <w:vAlign w:val="center"/>
          </w:tcPr>
          <w:p w14:paraId="48F7300E">
            <w:pPr>
              <w:widowControl/>
              <w:topLinePunct/>
              <w:spacing w:line="240" w:lineRule="exact"/>
              <w:jc w:val="center"/>
              <w:rPr>
                <w:rFonts w:hint="eastAsia" w:ascii="宋体" w:hAnsi="宋体" w:eastAsia="宋体" w:cs="宋体"/>
                <w:i w:val="0"/>
                <w:iCs w:val="0"/>
                <w:color w:val="FF0000"/>
                <w:kern w:val="0"/>
                <w:sz w:val="21"/>
                <w:szCs w:val="21"/>
                <w:u w:val="none"/>
                <w:lang w:val="en-US" w:eastAsia="zh-CN" w:bidi="ar"/>
              </w:rPr>
            </w:pPr>
            <w:r>
              <w:rPr>
                <w:rFonts w:hint="eastAsia" w:ascii="宋体" w:hAnsi="宋体" w:eastAsia="宋体" w:cs="宋体"/>
                <w:color w:val="000000"/>
                <w:kern w:val="0"/>
                <w:sz w:val="21"/>
                <w:szCs w:val="21"/>
              </w:rPr>
              <w:t>225</w:t>
            </w:r>
          </w:p>
        </w:tc>
      </w:tr>
      <w:tr w14:paraId="4380FB53">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210" w:type="pct"/>
            <w:vMerge w:val="continue"/>
            <w:tcBorders>
              <w:right w:val="single" w:color="000000" w:sz="4" w:space="0"/>
            </w:tcBorders>
            <w:noWrap/>
            <w:vAlign w:val="center"/>
          </w:tcPr>
          <w:p w14:paraId="17F388DE">
            <w:pPr>
              <w:spacing w:line="240" w:lineRule="auto"/>
              <w:jc w:val="center"/>
              <w:rPr>
                <w:rFonts w:hint="eastAsia" w:ascii="宋体" w:hAnsi="宋体" w:eastAsia="宋体" w:cs="宋体"/>
                <w:i w:val="0"/>
                <w:iCs w:val="0"/>
                <w:color w:val="000000"/>
                <w:sz w:val="21"/>
                <w:szCs w:val="21"/>
                <w:u w:val="none"/>
              </w:rPr>
            </w:pPr>
          </w:p>
        </w:tc>
        <w:tc>
          <w:tcPr>
            <w:tcW w:w="2052" w:type="pct"/>
            <w:tcBorders>
              <w:top w:val="single" w:color="000000" w:sz="4" w:space="0"/>
              <w:left w:val="single" w:color="000000" w:sz="4" w:space="0"/>
              <w:right w:val="single" w:color="000000" w:sz="4" w:space="0"/>
            </w:tcBorders>
            <w:noWrap/>
            <w:vAlign w:val="center"/>
          </w:tcPr>
          <w:p w14:paraId="2CB9FDDA">
            <w:pPr>
              <w:widowControl/>
              <w:topLinePunct/>
              <w:spacing w:line="240" w:lineRule="exact"/>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56d带涂层混凝土的第二次抗渗压力</w:t>
            </w:r>
            <w:r>
              <w:rPr>
                <w:rFonts w:hint="eastAsia" w:ascii="宋体" w:hAnsi="宋体" w:eastAsia="宋体" w:cs="宋体"/>
                <w:color w:val="000000"/>
                <w:kern w:val="0"/>
                <w:sz w:val="21"/>
                <w:szCs w:val="21"/>
                <w:lang w:val="en-US" w:eastAsia="zh-CN"/>
              </w:rPr>
              <w:t>/MPa</w:t>
            </w:r>
            <w:r>
              <w:rPr>
                <w:rFonts w:hint="eastAsia" w:ascii="宋体" w:hAnsi="宋体" w:eastAsia="宋体" w:cs="宋体"/>
                <w:color w:val="000000"/>
                <w:kern w:val="0"/>
                <w:sz w:val="21"/>
                <w:szCs w:val="21"/>
              </w:rPr>
              <w:t xml:space="preserve"> </w:t>
            </w:r>
          </w:p>
        </w:tc>
        <w:tc>
          <w:tcPr>
            <w:tcW w:w="341" w:type="pct"/>
            <w:tcBorders>
              <w:top w:val="single" w:color="000000" w:sz="4" w:space="0"/>
              <w:left w:val="single" w:color="000000" w:sz="4" w:space="0"/>
              <w:right w:val="single" w:color="000000" w:sz="4" w:space="0"/>
            </w:tcBorders>
            <w:noWrap/>
            <w:vAlign w:val="center"/>
          </w:tcPr>
          <w:p w14:paraId="6F8F2BCC">
            <w:pPr>
              <w:widowControl/>
              <w:topLinePunct/>
              <w:spacing w:line="240" w:lineRule="exact"/>
              <w:jc w:val="center"/>
              <w:rPr>
                <w:rFonts w:hint="eastAsia" w:ascii="宋体" w:hAnsi="宋体" w:eastAsia="宋体" w:cs="宋体"/>
                <w:color w:val="FF0000"/>
                <w:kern w:val="0"/>
                <w:sz w:val="21"/>
                <w:szCs w:val="21"/>
                <w:lang w:val="en-US" w:eastAsia="zh-CN"/>
              </w:rPr>
            </w:pPr>
            <w:r>
              <w:rPr>
                <w:rFonts w:hint="eastAsia" w:ascii="宋体" w:hAnsi="宋体" w:eastAsia="宋体" w:cs="宋体"/>
                <w:color w:val="000000"/>
                <w:kern w:val="0"/>
                <w:sz w:val="21"/>
                <w:szCs w:val="21"/>
              </w:rPr>
              <w:t>1.3</w:t>
            </w:r>
          </w:p>
        </w:tc>
        <w:tc>
          <w:tcPr>
            <w:tcW w:w="341" w:type="pct"/>
            <w:tcBorders>
              <w:top w:val="single" w:color="000000" w:sz="4" w:space="0"/>
              <w:left w:val="single" w:color="000000" w:sz="4" w:space="0"/>
              <w:right w:val="single" w:color="000000" w:sz="4" w:space="0"/>
            </w:tcBorders>
            <w:noWrap/>
            <w:vAlign w:val="center"/>
          </w:tcPr>
          <w:p w14:paraId="1D793FEC">
            <w:pPr>
              <w:widowControl/>
              <w:topLinePunct/>
              <w:spacing w:line="240" w:lineRule="exact"/>
              <w:jc w:val="center"/>
              <w:rPr>
                <w:rFonts w:hint="eastAsia" w:ascii="宋体" w:hAnsi="宋体" w:eastAsia="宋体" w:cs="宋体"/>
                <w:color w:val="FF0000"/>
                <w:kern w:val="0"/>
                <w:sz w:val="21"/>
                <w:szCs w:val="21"/>
              </w:rPr>
            </w:pPr>
            <w:r>
              <w:rPr>
                <w:rFonts w:hint="eastAsia" w:ascii="宋体" w:hAnsi="宋体" w:eastAsia="宋体" w:cs="宋体"/>
                <w:color w:val="000000"/>
                <w:kern w:val="0"/>
                <w:sz w:val="21"/>
                <w:szCs w:val="21"/>
              </w:rPr>
              <w:t>1.2</w:t>
            </w:r>
          </w:p>
        </w:tc>
        <w:tc>
          <w:tcPr>
            <w:tcW w:w="341" w:type="pct"/>
            <w:tcBorders>
              <w:top w:val="single" w:color="000000" w:sz="4" w:space="0"/>
              <w:left w:val="single" w:color="000000" w:sz="4" w:space="0"/>
              <w:right w:val="single" w:color="000000" w:sz="4" w:space="0"/>
            </w:tcBorders>
            <w:noWrap/>
            <w:vAlign w:val="center"/>
          </w:tcPr>
          <w:p w14:paraId="7F314A48">
            <w:pPr>
              <w:widowControl/>
              <w:topLinePunct/>
              <w:spacing w:line="240" w:lineRule="exact"/>
              <w:jc w:val="center"/>
              <w:rPr>
                <w:rFonts w:hint="eastAsia" w:ascii="宋体" w:hAnsi="宋体" w:eastAsia="宋体" w:cs="宋体"/>
                <w:color w:val="auto"/>
                <w:kern w:val="0"/>
                <w:sz w:val="21"/>
                <w:szCs w:val="21"/>
                <w:lang w:val="en-US" w:eastAsia="zh-CN"/>
              </w:rPr>
            </w:pPr>
            <w:r>
              <w:rPr>
                <w:rFonts w:hint="eastAsia" w:ascii="宋体" w:hAnsi="宋体" w:eastAsia="宋体" w:cs="宋体"/>
                <w:color w:val="auto"/>
                <w:kern w:val="0"/>
                <w:sz w:val="21"/>
                <w:szCs w:val="21"/>
                <w:lang w:val="en-US" w:eastAsia="zh-CN"/>
              </w:rPr>
              <w:t>0.9</w:t>
            </w:r>
          </w:p>
        </w:tc>
        <w:tc>
          <w:tcPr>
            <w:tcW w:w="341" w:type="pct"/>
            <w:tcBorders>
              <w:top w:val="single" w:color="000000" w:sz="4" w:space="0"/>
              <w:left w:val="single" w:color="000000" w:sz="4" w:space="0"/>
              <w:right w:val="single" w:color="000000" w:sz="4" w:space="0"/>
            </w:tcBorders>
            <w:noWrap/>
            <w:vAlign w:val="center"/>
          </w:tcPr>
          <w:p w14:paraId="12C99661">
            <w:pPr>
              <w:widowControl/>
              <w:topLinePunct/>
              <w:spacing w:line="240" w:lineRule="exact"/>
              <w:jc w:val="center"/>
              <w:rPr>
                <w:rFonts w:hint="eastAsia" w:ascii="宋体" w:hAnsi="宋体" w:eastAsia="宋体" w:cs="宋体"/>
                <w:color w:val="FF0000"/>
                <w:kern w:val="0"/>
                <w:sz w:val="21"/>
                <w:szCs w:val="21"/>
              </w:rPr>
            </w:pPr>
            <w:r>
              <w:rPr>
                <w:rFonts w:hint="eastAsia" w:ascii="宋体" w:hAnsi="宋体" w:eastAsia="宋体" w:cs="宋体"/>
                <w:color w:val="000000"/>
                <w:kern w:val="0"/>
                <w:sz w:val="21"/>
                <w:szCs w:val="21"/>
              </w:rPr>
              <w:t>0.9</w:t>
            </w:r>
          </w:p>
        </w:tc>
        <w:tc>
          <w:tcPr>
            <w:tcW w:w="341" w:type="pct"/>
            <w:tcBorders>
              <w:top w:val="single" w:color="000000" w:sz="4" w:space="0"/>
              <w:left w:val="single" w:color="000000" w:sz="4" w:space="0"/>
              <w:right w:val="single" w:color="000000" w:sz="4" w:space="0"/>
            </w:tcBorders>
            <w:noWrap/>
            <w:vAlign w:val="center"/>
          </w:tcPr>
          <w:p w14:paraId="1A6A5953">
            <w:pPr>
              <w:widowControl/>
              <w:topLinePunct/>
              <w:spacing w:line="240" w:lineRule="exact"/>
              <w:jc w:val="center"/>
              <w:rPr>
                <w:rFonts w:hint="eastAsia" w:ascii="宋体" w:hAnsi="宋体" w:eastAsia="宋体" w:cs="宋体"/>
                <w:color w:val="FF0000"/>
                <w:kern w:val="0"/>
                <w:sz w:val="21"/>
                <w:szCs w:val="21"/>
              </w:rPr>
            </w:pPr>
            <w:r>
              <w:rPr>
                <w:rFonts w:hint="eastAsia" w:ascii="宋体" w:hAnsi="宋体" w:eastAsia="宋体" w:cs="宋体"/>
                <w:color w:val="000000"/>
                <w:kern w:val="0"/>
                <w:sz w:val="21"/>
                <w:szCs w:val="21"/>
              </w:rPr>
              <w:t>1.1</w:t>
            </w:r>
          </w:p>
        </w:tc>
        <w:tc>
          <w:tcPr>
            <w:tcW w:w="341" w:type="pct"/>
            <w:tcBorders>
              <w:top w:val="single" w:color="000000" w:sz="4" w:space="0"/>
              <w:left w:val="single" w:color="000000" w:sz="4" w:space="0"/>
              <w:right w:val="single" w:color="000000" w:sz="4" w:space="0"/>
            </w:tcBorders>
            <w:noWrap w:val="0"/>
            <w:vAlign w:val="center"/>
          </w:tcPr>
          <w:p w14:paraId="2F830811">
            <w:pPr>
              <w:widowControl/>
              <w:topLinePunct/>
              <w:spacing w:line="240" w:lineRule="exact"/>
              <w:jc w:val="center"/>
              <w:rPr>
                <w:rFonts w:hint="eastAsia" w:ascii="宋体" w:hAnsi="宋体" w:eastAsia="宋体" w:cs="宋体"/>
                <w:color w:val="auto"/>
                <w:kern w:val="0"/>
                <w:sz w:val="21"/>
                <w:szCs w:val="21"/>
                <w:highlight w:val="none"/>
                <w:u w:val="single"/>
              </w:rPr>
            </w:pPr>
            <w:r>
              <w:rPr>
                <w:rFonts w:hint="eastAsia" w:ascii="宋体" w:hAnsi="宋体" w:eastAsia="宋体" w:cs="宋体"/>
                <w:color w:val="auto"/>
                <w:kern w:val="0"/>
                <w:sz w:val="21"/>
                <w:szCs w:val="21"/>
                <w:highlight w:val="none"/>
                <w:u w:val="none"/>
              </w:rPr>
              <w:t>0.7</w:t>
            </w:r>
          </w:p>
        </w:tc>
        <w:tc>
          <w:tcPr>
            <w:tcW w:w="341" w:type="pct"/>
            <w:tcBorders>
              <w:top w:val="single" w:color="000000" w:sz="4" w:space="0"/>
              <w:left w:val="single" w:color="000000" w:sz="4" w:space="0"/>
              <w:right w:val="single" w:color="000000" w:sz="4" w:space="0"/>
            </w:tcBorders>
            <w:noWrap/>
            <w:vAlign w:val="center"/>
          </w:tcPr>
          <w:p w14:paraId="25B91F35">
            <w:pPr>
              <w:widowControl/>
              <w:topLinePunct/>
              <w:spacing w:line="240" w:lineRule="exact"/>
              <w:jc w:val="center"/>
              <w:rPr>
                <w:rFonts w:hint="eastAsia" w:ascii="宋体" w:hAnsi="宋体" w:eastAsia="宋体" w:cs="宋体"/>
                <w:color w:val="FF0000"/>
                <w:kern w:val="0"/>
                <w:sz w:val="21"/>
                <w:szCs w:val="21"/>
              </w:rPr>
            </w:pPr>
            <w:r>
              <w:rPr>
                <w:rFonts w:hint="eastAsia" w:ascii="宋体" w:hAnsi="宋体" w:eastAsia="宋体" w:cs="宋体"/>
                <w:color w:val="000000"/>
                <w:kern w:val="0"/>
                <w:sz w:val="21"/>
                <w:szCs w:val="21"/>
              </w:rPr>
              <w:t>0.9</w:t>
            </w:r>
          </w:p>
        </w:tc>
        <w:tc>
          <w:tcPr>
            <w:tcW w:w="344" w:type="pct"/>
            <w:tcBorders>
              <w:top w:val="single" w:color="000000" w:sz="4" w:space="0"/>
              <w:left w:val="single" w:color="000000" w:sz="4" w:space="0"/>
            </w:tcBorders>
            <w:noWrap/>
            <w:vAlign w:val="center"/>
          </w:tcPr>
          <w:p w14:paraId="208667F8">
            <w:pPr>
              <w:widowControl/>
              <w:topLinePunct/>
              <w:spacing w:line="240" w:lineRule="exact"/>
              <w:jc w:val="center"/>
              <w:rPr>
                <w:rFonts w:hint="eastAsia" w:ascii="宋体" w:hAnsi="宋体" w:eastAsia="宋体" w:cs="宋体"/>
                <w:color w:val="FF0000"/>
                <w:kern w:val="0"/>
                <w:sz w:val="21"/>
                <w:szCs w:val="21"/>
              </w:rPr>
            </w:pPr>
            <w:r>
              <w:rPr>
                <w:rFonts w:hint="eastAsia" w:ascii="宋体" w:hAnsi="宋体" w:eastAsia="宋体" w:cs="宋体"/>
                <w:color w:val="000000"/>
                <w:kern w:val="0"/>
                <w:sz w:val="21"/>
                <w:szCs w:val="21"/>
              </w:rPr>
              <w:t>0.9</w:t>
            </w:r>
          </w:p>
        </w:tc>
      </w:tr>
    </w:tbl>
    <w:p w14:paraId="645658D3">
      <w:pPr>
        <w:numPr>
          <w:ilvl w:val="0"/>
          <w:numId w:val="0"/>
        </w:numPr>
        <w:spacing w:line="360" w:lineRule="auto"/>
        <w:ind w:firstLine="480" w:firstLineChars="200"/>
        <w:contextualSpacing/>
        <w:rPr>
          <w:rFonts w:hint="eastAsia" w:ascii="宋体" w:hAnsi="宋体" w:eastAsia="宋体" w:cs="宋体"/>
          <w:b w:val="0"/>
          <w:bCs w:val="0"/>
          <w:color w:val="000000"/>
          <w:sz w:val="24"/>
          <w:szCs w:val="24"/>
          <w:lang w:val="en-US" w:eastAsia="zh-CN"/>
        </w:rPr>
      </w:pPr>
      <w:r>
        <w:rPr>
          <w:rFonts w:hint="eastAsia" w:ascii="宋体" w:hAnsi="宋体" w:cs="宋体"/>
          <w:b w:val="0"/>
          <w:bCs w:val="0"/>
          <w:color w:val="000000"/>
          <w:sz w:val="24"/>
          <w:szCs w:val="24"/>
          <w:lang w:val="en-US" w:eastAsia="zh-CN"/>
        </w:rPr>
        <w:t>基准混凝土抗渗压力设定为0.3MPa</w:t>
      </w:r>
      <w:r>
        <w:rPr>
          <w:rFonts w:hint="eastAsia" w:ascii="宋体" w:hAnsi="宋体" w:eastAsia="宋体" w:cs="宋体"/>
          <w:b w:val="0"/>
          <w:bCs w:val="0"/>
          <w:color w:val="000000"/>
          <w:sz w:val="24"/>
          <w:szCs w:val="24"/>
          <w:lang w:val="en-US" w:eastAsia="zh-CN"/>
        </w:rPr>
        <w:t>，合格率为</w:t>
      </w:r>
      <w:r>
        <w:rPr>
          <w:rFonts w:hint="eastAsia" w:ascii="宋体" w:hAnsi="宋体" w:cs="宋体"/>
          <w:b w:val="0"/>
          <w:bCs w:val="0"/>
          <w:color w:val="000000"/>
          <w:sz w:val="24"/>
          <w:szCs w:val="24"/>
          <w:lang w:val="en-US" w:eastAsia="zh-CN"/>
        </w:rPr>
        <w:t>87.5</w:t>
      </w:r>
      <w:r>
        <w:rPr>
          <w:rFonts w:hint="eastAsia" w:ascii="宋体" w:hAnsi="宋体" w:eastAsia="宋体" w:cs="宋体"/>
          <w:b w:val="0"/>
          <w:bCs w:val="0"/>
          <w:color w:val="000000"/>
          <w:sz w:val="24"/>
          <w:szCs w:val="24"/>
          <w:lang w:val="en-US" w:eastAsia="zh-CN"/>
        </w:rPr>
        <w:t>%。</w:t>
      </w:r>
    </w:p>
    <w:p w14:paraId="1B12D7D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contextualSpacing/>
        <w:jc w:val="both"/>
        <w:textAlignment w:val="auto"/>
        <w:rPr>
          <w:rFonts w:hint="default" w:ascii="宋体" w:hAnsi="宋体" w:eastAsia="宋体" w:cs="宋体"/>
          <w:b w:val="0"/>
          <w:bCs w:val="0"/>
          <w:color w:val="000000"/>
          <w:sz w:val="24"/>
          <w:szCs w:val="24"/>
          <w:lang w:val="en-US" w:eastAsia="zh-CN"/>
        </w:rPr>
      </w:pPr>
      <w:r>
        <w:rPr>
          <w:rFonts w:hint="default" w:ascii="宋体" w:hAnsi="宋体" w:eastAsia="宋体" w:cs="宋体"/>
          <w:b w:val="0"/>
          <w:bCs w:val="0"/>
          <w:color w:val="000000"/>
          <w:sz w:val="24"/>
          <w:szCs w:val="24"/>
          <w:lang w:val="en-US" w:eastAsia="zh-CN"/>
        </w:rPr>
        <w:t>（</w:t>
      </w:r>
      <w:r>
        <w:rPr>
          <w:rFonts w:hint="eastAsia" w:ascii="宋体" w:hAnsi="宋体" w:cs="宋体"/>
          <w:b w:val="0"/>
          <w:bCs w:val="0"/>
          <w:color w:val="000000"/>
          <w:sz w:val="24"/>
          <w:szCs w:val="24"/>
          <w:lang w:val="en-US" w:eastAsia="zh-CN"/>
        </w:rPr>
        <w:t>5</w:t>
      </w:r>
      <w:r>
        <w:rPr>
          <w:rFonts w:hint="default" w:ascii="宋体" w:hAnsi="宋体" w:eastAsia="宋体" w:cs="宋体"/>
          <w:b w:val="0"/>
          <w:bCs w:val="0"/>
          <w:color w:val="000000"/>
          <w:sz w:val="24"/>
          <w:szCs w:val="24"/>
          <w:lang w:val="en-US" w:eastAsia="zh-CN"/>
        </w:rPr>
        <w:t>）</w:t>
      </w:r>
      <w:r>
        <w:rPr>
          <w:rFonts w:hint="eastAsia" w:cs="宋体"/>
          <w:color w:val="auto"/>
          <w:sz w:val="24"/>
          <w:lang w:val="en-US" w:eastAsia="zh-CN"/>
        </w:rPr>
        <w:t>水泥基渗透结晶型防水剂的28d收缩率比</w:t>
      </w:r>
    </w:p>
    <w:p w14:paraId="1B05D1A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contextualSpacing/>
        <w:jc w:val="center"/>
        <w:textAlignment w:val="auto"/>
        <w:rPr>
          <w:rFonts w:hint="eastAsia" w:ascii="黑体" w:hAnsi="黑体" w:eastAsia="黑体" w:cs="黑体"/>
          <w:b w:val="0"/>
          <w:bCs w:val="0"/>
          <w:color w:val="000000"/>
          <w:sz w:val="24"/>
          <w:szCs w:val="24"/>
          <w:lang w:val="en-US" w:eastAsia="zh-CN"/>
        </w:rPr>
      </w:pPr>
      <w:r>
        <w:rPr>
          <w:rFonts w:hint="eastAsia" w:ascii="黑体" w:hAnsi="黑体" w:eastAsia="黑体" w:cs="黑体"/>
          <w:b w:val="0"/>
          <w:bCs w:val="0"/>
          <w:color w:val="000000"/>
          <w:sz w:val="24"/>
          <w:szCs w:val="24"/>
          <w:lang w:val="en-US" w:eastAsia="zh-CN"/>
        </w:rPr>
        <w:t>表7  水泥基渗透结晶型防水涂料的28d收缩率比</w:t>
      </w:r>
    </w:p>
    <w:tbl>
      <w:tblPr>
        <w:tblStyle w:val="1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34"/>
        <w:gridCol w:w="636"/>
        <w:gridCol w:w="636"/>
        <w:gridCol w:w="636"/>
        <w:gridCol w:w="636"/>
        <w:gridCol w:w="426"/>
        <w:gridCol w:w="636"/>
        <w:gridCol w:w="636"/>
      </w:tblGrid>
      <w:tr w14:paraId="7ED6BA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noWrap w:val="0"/>
            <w:vAlign w:val="center"/>
          </w:tcPr>
          <w:p w14:paraId="2EDF2A8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样品编号</w:t>
            </w:r>
          </w:p>
        </w:tc>
        <w:tc>
          <w:tcPr>
            <w:tcW w:w="0" w:type="auto"/>
            <w:noWrap w:val="0"/>
            <w:vAlign w:val="center"/>
          </w:tcPr>
          <w:p w14:paraId="63086F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w:t>
            </w:r>
          </w:p>
        </w:tc>
        <w:tc>
          <w:tcPr>
            <w:tcW w:w="0" w:type="auto"/>
            <w:noWrap w:val="0"/>
            <w:vAlign w:val="center"/>
          </w:tcPr>
          <w:p w14:paraId="488200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w:t>
            </w:r>
          </w:p>
        </w:tc>
        <w:tc>
          <w:tcPr>
            <w:tcW w:w="0" w:type="auto"/>
            <w:noWrap w:val="0"/>
            <w:vAlign w:val="center"/>
          </w:tcPr>
          <w:p w14:paraId="473A6F2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w:t>
            </w:r>
          </w:p>
        </w:tc>
        <w:tc>
          <w:tcPr>
            <w:tcW w:w="0" w:type="auto"/>
            <w:noWrap w:val="0"/>
            <w:vAlign w:val="center"/>
          </w:tcPr>
          <w:p w14:paraId="6A38D0D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w:t>
            </w:r>
          </w:p>
        </w:tc>
        <w:tc>
          <w:tcPr>
            <w:tcW w:w="0" w:type="auto"/>
            <w:noWrap w:val="0"/>
            <w:vAlign w:val="center"/>
          </w:tcPr>
          <w:p w14:paraId="3C29894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0" w:type="auto"/>
            <w:noWrap w:val="0"/>
            <w:vAlign w:val="center"/>
          </w:tcPr>
          <w:p w14:paraId="0E2DCD1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w:t>
            </w:r>
          </w:p>
        </w:tc>
        <w:tc>
          <w:tcPr>
            <w:tcW w:w="0" w:type="auto"/>
            <w:noWrap w:val="0"/>
            <w:vAlign w:val="center"/>
          </w:tcPr>
          <w:p w14:paraId="72CB77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cs="宋体"/>
                <w:i w:val="0"/>
                <w:iCs w:val="0"/>
                <w:color w:val="000000"/>
                <w:kern w:val="0"/>
                <w:sz w:val="21"/>
                <w:szCs w:val="21"/>
                <w:u w:val="none"/>
                <w:lang w:val="en-US" w:eastAsia="zh-CN" w:bidi="ar"/>
              </w:rPr>
              <w:t>7</w:t>
            </w:r>
            <w:r>
              <w:rPr>
                <w:rFonts w:hint="eastAsia" w:ascii="宋体" w:hAnsi="宋体" w:eastAsia="宋体" w:cs="宋体"/>
                <w:i w:val="0"/>
                <w:iCs w:val="0"/>
                <w:color w:val="000000"/>
                <w:kern w:val="0"/>
                <w:sz w:val="21"/>
                <w:szCs w:val="21"/>
                <w:u w:val="none"/>
                <w:lang w:val="en-US" w:eastAsia="zh-CN" w:bidi="ar"/>
              </w:rPr>
              <w:t>#</w:t>
            </w:r>
          </w:p>
        </w:tc>
      </w:tr>
      <w:tr w14:paraId="5BB790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noWrap w:val="0"/>
            <w:vAlign w:val="center"/>
          </w:tcPr>
          <w:p w14:paraId="67F06237">
            <w:pPr>
              <w:keepNext w:val="0"/>
              <w:keepLines w:val="0"/>
              <w:pageBreakBefore w:val="0"/>
              <w:widowControl/>
              <w:numPr>
                <w:ilvl w:val="0"/>
                <w:numId w:val="0"/>
              </w:numPr>
              <w:kinsoku/>
              <w:wordWrap/>
              <w:overflowPunct/>
              <w:topLinePunct w:val="0"/>
              <w:autoSpaceDE/>
              <w:autoSpaceDN/>
              <w:bidi w:val="0"/>
              <w:adjustRightInd/>
              <w:snapToGrid/>
              <w:spacing w:line="360" w:lineRule="auto"/>
              <w:contextualSpacing/>
              <w:jc w:val="center"/>
              <w:textAlignment w:val="auto"/>
              <w:rPr>
                <w:rFonts w:hint="default" w:ascii="宋体" w:hAnsi="宋体" w:eastAsia="宋体" w:cs="宋体"/>
                <w:b w:val="0"/>
                <w:bCs w:val="0"/>
                <w:color w:val="000000"/>
                <w:sz w:val="21"/>
                <w:szCs w:val="21"/>
                <w:vertAlign w:val="baseline"/>
                <w:lang w:val="en-US" w:eastAsia="zh-CN"/>
              </w:rPr>
            </w:pPr>
            <w:r>
              <w:rPr>
                <w:rFonts w:hint="eastAsia" w:ascii="宋体" w:hAnsi="宋体" w:eastAsia="宋体" w:cs="宋体"/>
                <w:color w:val="auto"/>
                <w:sz w:val="21"/>
                <w:szCs w:val="21"/>
                <w:lang w:val="en-US" w:eastAsia="zh-CN"/>
              </w:rPr>
              <w:t>28d收缩率比</w:t>
            </w:r>
            <w:r>
              <w:rPr>
                <w:rFonts w:hint="eastAsia" w:ascii="宋体" w:hAnsi="宋体" w:cs="宋体"/>
                <w:color w:val="auto"/>
                <w:sz w:val="21"/>
                <w:szCs w:val="21"/>
                <w:lang w:val="en-US" w:eastAsia="zh-CN"/>
              </w:rPr>
              <w:t>/%</w:t>
            </w:r>
          </w:p>
        </w:tc>
        <w:tc>
          <w:tcPr>
            <w:tcW w:w="0" w:type="auto"/>
            <w:noWrap w:val="0"/>
            <w:vAlign w:val="center"/>
          </w:tcPr>
          <w:p w14:paraId="5646B59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rPr>
              <w:t>48.7</w:t>
            </w:r>
          </w:p>
        </w:tc>
        <w:tc>
          <w:tcPr>
            <w:tcW w:w="0" w:type="auto"/>
            <w:noWrap w:val="0"/>
            <w:vAlign w:val="center"/>
          </w:tcPr>
          <w:p w14:paraId="42E1E8D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rPr>
              <w:t>47.2</w:t>
            </w:r>
          </w:p>
        </w:tc>
        <w:tc>
          <w:tcPr>
            <w:tcW w:w="0" w:type="auto"/>
            <w:noWrap w:val="0"/>
            <w:vAlign w:val="center"/>
          </w:tcPr>
          <w:p w14:paraId="219716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rPr>
              <w:t>40.1</w:t>
            </w:r>
          </w:p>
        </w:tc>
        <w:tc>
          <w:tcPr>
            <w:tcW w:w="0" w:type="auto"/>
            <w:noWrap w:val="0"/>
            <w:vAlign w:val="center"/>
          </w:tcPr>
          <w:p w14:paraId="3E424B4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rPr>
              <w:t>48.7</w:t>
            </w:r>
          </w:p>
        </w:tc>
        <w:tc>
          <w:tcPr>
            <w:tcW w:w="0" w:type="auto"/>
            <w:noWrap w:val="0"/>
            <w:vAlign w:val="center"/>
          </w:tcPr>
          <w:p w14:paraId="49363CE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cs="宋体"/>
                <w:kern w:val="0"/>
                <w:sz w:val="21"/>
                <w:szCs w:val="21"/>
              </w:rPr>
              <w:t>48</w:t>
            </w:r>
          </w:p>
        </w:tc>
        <w:tc>
          <w:tcPr>
            <w:tcW w:w="0" w:type="auto"/>
            <w:noWrap w:val="0"/>
            <w:vAlign w:val="center"/>
          </w:tcPr>
          <w:p w14:paraId="42CF074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kern w:val="0"/>
                <w:sz w:val="21"/>
                <w:szCs w:val="21"/>
              </w:rPr>
              <w:t>41.2</w:t>
            </w:r>
          </w:p>
        </w:tc>
        <w:tc>
          <w:tcPr>
            <w:tcW w:w="0" w:type="auto"/>
            <w:noWrap w:val="0"/>
            <w:vAlign w:val="center"/>
          </w:tcPr>
          <w:p w14:paraId="6135715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rPr>
              <w:t>41.6</w:t>
            </w:r>
          </w:p>
        </w:tc>
      </w:tr>
    </w:tbl>
    <w:p w14:paraId="6C5F0530">
      <w:pPr>
        <w:numPr>
          <w:ilvl w:val="0"/>
          <w:numId w:val="0"/>
        </w:numPr>
        <w:spacing w:line="360" w:lineRule="auto"/>
        <w:ind w:firstLine="480" w:firstLineChars="200"/>
        <w:contextualSpacing/>
        <w:rPr>
          <w:rFonts w:hint="eastAsia" w:ascii="宋体" w:hAnsi="宋体" w:eastAsia="宋体" w:cs="宋体"/>
          <w:b w:val="0"/>
          <w:bCs w:val="0"/>
          <w:color w:val="000000"/>
          <w:sz w:val="24"/>
          <w:szCs w:val="24"/>
          <w:lang w:val="en-US" w:eastAsia="zh-CN"/>
        </w:rPr>
      </w:pPr>
      <w:r>
        <w:rPr>
          <w:rFonts w:hint="eastAsia" w:ascii="宋体" w:hAnsi="宋体" w:cs="宋体"/>
          <w:b w:val="0"/>
          <w:bCs w:val="0"/>
          <w:color w:val="000000"/>
          <w:sz w:val="24"/>
          <w:szCs w:val="24"/>
          <w:lang w:val="en-US" w:eastAsia="zh-CN"/>
        </w:rPr>
        <w:t>按GB 8076的规定进行</w:t>
      </w:r>
      <w:r>
        <w:rPr>
          <w:rFonts w:hint="eastAsia" w:ascii="宋体" w:hAnsi="宋体" w:eastAsia="宋体" w:cs="宋体"/>
          <w:b w:val="0"/>
          <w:bCs w:val="0"/>
          <w:color w:val="000000"/>
          <w:sz w:val="24"/>
          <w:szCs w:val="24"/>
          <w:lang w:val="en-US" w:eastAsia="zh-CN"/>
        </w:rPr>
        <w:t>，合格率为</w:t>
      </w:r>
      <w:r>
        <w:rPr>
          <w:rFonts w:hint="eastAsia" w:ascii="宋体" w:hAnsi="宋体" w:cs="宋体"/>
          <w:b w:val="0"/>
          <w:bCs w:val="0"/>
          <w:color w:val="000000"/>
          <w:sz w:val="24"/>
          <w:szCs w:val="24"/>
          <w:lang w:val="en-US" w:eastAsia="zh-CN"/>
        </w:rPr>
        <w:t>100</w:t>
      </w:r>
      <w:r>
        <w:rPr>
          <w:rFonts w:hint="eastAsia" w:ascii="宋体" w:hAnsi="宋体" w:eastAsia="宋体" w:cs="宋体"/>
          <w:b w:val="0"/>
          <w:bCs w:val="0"/>
          <w:color w:val="000000"/>
          <w:sz w:val="24"/>
          <w:szCs w:val="24"/>
          <w:lang w:val="en-US" w:eastAsia="zh-CN"/>
        </w:rPr>
        <w:t>%。</w:t>
      </w:r>
    </w:p>
    <w:p w14:paraId="1459D50E">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default" w:ascii="宋体" w:hAnsi="宋体" w:eastAsia="宋体" w:cs="宋体"/>
          <w:b w:val="0"/>
          <w:bCs/>
          <w:color w:val="auto"/>
          <w:spacing w:val="0"/>
          <w:kern w:val="2"/>
          <w:sz w:val="24"/>
          <w:szCs w:val="24"/>
          <w:lang w:val="en-US" w:eastAsia="zh-CN"/>
        </w:rPr>
      </w:pPr>
      <w:r>
        <w:rPr>
          <w:rFonts w:hint="default" w:ascii="宋体" w:hAnsi="宋体" w:eastAsia="宋体" w:cs="宋体"/>
          <w:b w:val="0"/>
          <w:bCs/>
          <w:color w:val="auto"/>
          <w:spacing w:val="0"/>
          <w:kern w:val="2"/>
          <w:sz w:val="24"/>
          <w:szCs w:val="24"/>
          <w:lang w:val="en-US" w:eastAsia="zh-CN"/>
        </w:rPr>
        <w:t>（</w:t>
      </w:r>
      <w:r>
        <w:rPr>
          <w:rFonts w:hint="eastAsia" w:ascii="宋体" w:hAnsi="宋体" w:cs="宋体"/>
          <w:b w:val="0"/>
          <w:bCs/>
          <w:color w:val="auto"/>
          <w:spacing w:val="0"/>
          <w:kern w:val="2"/>
          <w:sz w:val="24"/>
          <w:szCs w:val="24"/>
          <w:lang w:val="en-US" w:eastAsia="zh-CN"/>
        </w:rPr>
        <w:t>6</w:t>
      </w:r>
      <w:r>
        <w:rPr>
          <w:rFonts w:hint="default" w:ascii="宋体" w:hAnsi="宋体" w:eastAsia="宋体" w:cs="宋体"/>
          <w:b w:val="0"/>
          <w:bCs/>
          <w:color w:val="auto"/>
          <w:spacing w:val="0"/>
          <w:kern w:val="2"/>
          <w:sz w:val="24"/>
          <w:szCs w:val="24"/>
          <w:lang w:val="en-US" w:eastAsia="zh-CN"/>
        </w:rPr>
        <w:t>）</w:t>
      </w:r>
      <w:r>
        <w:rPr>
          <w:rFonts w:hint="eastAsia" w:cs="宋体"/>
          <w:color w:val="auto"/>
          <w:sz w:val="24"/>
          <w:lang w:val="en-US" w:eastAsia="zh-CN"/>
        </w:rPr>
        <w:t>水泥基渗透结晶型防水剂的混凝土抗渗性能</w:t>
      </w:r>
    </w:p>
    <w:p w14:paraId="613FC07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jc w:val="center"/>
        <w:textAlignment w:val="auto"/>
        <w:rPr>
          <w:rFonts w:hint="eastAsia" w:ascii="黑体" w:hAnsi="黑体" w:eastAsia="黑体" w:cs="黑体"/>
          <w:b w:val="0"/>
          <w:bCs/>
          <w:color w:val="auto"/>
          <w:spacing w:val="0"/>
          <w:kern w:val="2"/>
          <w:sz w:val="24"/>
          <w:szCs w:val="24"/>
          <w:lang w:val="en-US" w:eastAsia="zh-CN"/>
        </w:rPr>
      </w:pPr>
      <w:r>
        <w:rPr>
          <w:rFonts w:hint="eastAsia" w:ascii="黑体" w:hAnsi="黑体" w:eastAsia="黑体" w:cs="黑体"/>
          <w:b w:val="0"/>
          <w:bCs/>
          <w:color w:val="auto"/>
          <w:spacing w:val="0"/>
          <w:kern w:val="2"/>
          <w:sz w:val="24"/>
          <w:szCs w:val="24"/>
          <w:lang w:val="en-US" w:eastAsia="zh-CN"/>
        </w:rPr>
        <w:t>表8  水泥基渗透结晶型防水涂料的混凝土抗渗性能</w:t>
      </w:r>
    </w:p>
    <w:tbl>
      <w:tblPr>
        <w:tblStyle w:val="11"/>
        <w:tblW w:w="4649" w:type="pct"/>
        <w:jc w:val="center"/>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1145"/>
        <w:gridCol w:w="2875"/>
        <w:gridCol w:w="644"/>
        <w:gridCol w:w="644"/>
        <w:gridCol w:w="644"/>
        <w:gridCol w:w="644"/>
        <w:gridCol w:w="644"/>
        <w:gridCol w:w="644"/>
        <w:gridCol w:w="646"/>
      </w:tblGrid>
      <w:tr w14:paraId="339D119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2356" w:type="pct"/>
            <w:gridSpan w:val="2"/>
            <w:tcBorders>
              <w:bottom w:val="single" w:color="000000" w:sz="4" w:space="0"/>
              <w:right w:val="single" w:color="000000" w:sz="4" w:space="0"/>
            </w:tcBorders>
            <w:noWrap/>
            <w:vAlign w:val="center"/>
          </w:tcPr>
          <w:p w14:paraId="4067566D">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样品编号</w:t>
            </w:r>
          </w:p>
        </w:tc>
        <w:tc>
          <w:tcPr>
            <w:tcW w:w="377" w:type="pct"/>
            <w:tcBorders>
              <w:left w:val="single" w:color="000000" w:sz="4" w:space="0"/>
              <w:bottom w:val="single" w:color="000000" w:sz="4" w:space="0"/>
              <w:right w:val="single" w:color="000000" w:sz="4" w:space="0"/>
            </w:tcBorders>
            <w:noWrap w:val="0"/>
            <w:vAlign w:val="center"/>
          </w:tcPr>
          <w:p w14:paraId="0E4FD6E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377" w:type="pct"/>
            <w:tcBorders>
              <w:left w:val="single" w:color="000000" w:sz="4" w:space="0"/>
              <w:bottom w:val="single" w:color="000000" w:sz="4" w:space="0"/>
              <w:right w:val="single" w:color="000000" w:sz="4" w:space="0"/>
            </w:tcBorders>
            <w:noWrap w:val="0"/>
            <w:vAlign w:val="center"/>
          </w:tcPr>
          <w:p w14:paraId="137193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377" w:type="pct"/>
            <w:tcBorders>
              <w:left w:val="single" w:color="000000" w:sz="4" w:space="0"/>
              <w:bottom w:val="single" w:color="000000" w:sz="4" w:space="0"/>
              <w:right w:val="single" w:color="000000" w:sz="4" w:space="0"/>
            </w:tcBorders>
            <w:noWrap w:val="0"/>
            <w:vAlign w:val="center"/>
          </w:tcPr>
          <w:p w14:paraId="7F7FA99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377" w:type="pct"/>
            <w:tcBorders>
              <w:left w:val="single" w:color="000000" w:sz="4" w:space="0"/>
              <w:bottom w:val="single" w:color="000000" w:sz="4" w:space="0"/>
              <w:right w:val="single" w:color="000000" w:sz="4" w:space="0"/>
            </w:tcBorders>
            <w:noWrap w:val="0"/>
            <w:vAlign w:val="center"/>
          </w:tcPr>
          <w:p w14:paraId="7BEA15E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377" w:type="pct"/>
            <w:tcBorders>
              <w:left w:val="single" w:color="000000" w:sz="4" w:space="0"/>
              <w:bottom w:val="single" w:color="000000" w:sz="4" w:space="0"/>
              <w:right w:val="single" w:color="000000" w:sz="4" w:space="0"/>
            </w:tcBorders>
            <w:noWrap w:val="0"/>
            <w:vAlign w:val="center"/>
          </w:tcPr>
          <w:p w14:paraId="4E3B536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377" w:type="pct"/>
            <w:tcBorders>
              <w:left w:val="single" w:color="000000" w:sz="4" w:space="0"/>
              <w:bottom w:val="single" w:color="000000" w:sz="4" w:space="0"/>
              <w:right w:val="single" w:color="000000" w:sz="4" w:space="0"/>
            </w:tcBorders>
            <w:noWrap w:val="0"/>
            <w:vAlign w:val="center"/>
          </w:tcPr>
          <w:p w14:paraId="0074D8D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378" w:type="pct"/>
            <w:tcBorders>
              <w:left w:val="single" w:color="000000" w:sz="4" w:space="0"/>
              <w:bottom w:val="single" w:color="000000" w:sz="4" w:space="0"/>
            </w:tcBorders>
            <w:noWrap/>
            <w:vAlign w:val="center"/>
          </w:tcPr>
          <w:p w14:paraId="4028037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cs="宋体"/>
                <w:i w:val="0"/>
                <w:iCs w:val="0"/>
                <w:color w:val="000000"/>
                <w:kern w:val="0"/>
                <w:sz w:val="21"/>
                <w:szCs w:val="21"/>
                <w:u w:val="none"/>
                <w:lang w:val="en-US" w:eastAsia="zh-CN" w:bidi="ar"/>
              </w:rPr>
              <w:t>7</w:t>
            </w:r>
            <w:r>
              <w:rPr>
                <w:rFonts w:hint="eastAsia" w:ascii="宋体" w:hAnsi="宋体" w:eastAsia="宋体" w:cs="宋体"/>
                <w:i w:val="0"/>
                <w:iCs w:val="0"/>
                <w:color w:val="000000"/>
                <w:kern w:val="0"/>
                <w:sz w:val="21"/>
                <w:szCs w:val="21"/>
                <w:u w:val="none"/>
                <w:lang w:val="en-US" w:eastAsia="zh-CN" w:bidi="ar"/>
              </w:rPr>
              <w:t>#</w:t>
            </w:r>
          </w:p>
        </w:tc>
      </w:tr>
      <w:tr w14:paraId="277789A6">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671" w:type="pct"/>
            <w:vMerge w:val="restart"/>
            <w:tcBorders>
              <w:top w:val="single" w:color="000000" w:sz="4" w:space="0"/>
              <w:right w:val="single" w:color="000000" w:sz="4" w:space="0"/>
            </w:tcBorders>
            <w:noWrap/>
            <w:vAlign w:val="center"/>
          </w:tcPr>
          <w:p w14:paraId="47D9C403">
            <w:pPr>
              <w:keepNext w:val="0"/>
              <w:keepLines w:val="0"/>
              <w:widowControl/>
              <w:suppressLineNumbers w:val="0"/>
              <w:spacing w:line="240" w:lineRule="auto"/>
              <w:jc w:val="center"/>
              <w:textAlignment w:val="center"/>
              <w:rPr>
                <w:rFonts w:hint="eastAsia" w:ascii="宋体" w:hAnsi="宋体" w:eastAsia="宋体" w:cs="宋体"/>
                <w:i w:val="0"/>
                <w:iCs w:val="0"/>
                <w:color w:val="000000"/>
                <w:sz w:val="21"/>
                <w:szCs w:val="21"/>
                <w:u w:val="none"/>
              </w:rPr>
            </w:pPr>
            <w:r>
              <w:rPr>
                <w:rFonts w:hint="eastAsia" w:ascii="宋体" w:hAnsi="宋体" w:cs="宋体"/>
                <w:i w:val="0"/>
                <w:iCs w:val="0"/>
                <w:color w:val="000000"/>
                <w:kern w:val="0"/>
                <w:sz w:val="21"/>
                <w:szCs w:val="21"/>
                <w:u w:val="none"/>
                <w:lang w:val="en-US" w:eastAsia="zh-CN" w:bidi="ar"/>
              </w:rPr>
              <w:t>混凝土</w:t>
            </w:r>
            <w:r>
              <w:rPr>
                <w:rFonts w:hint="eastAsia" w:ascii="宋体" w:hAnsi="宋体" w:eastAsia="宋体" w:cs="宋体"/>
                <w:i w:val="0"/>
                <w:iCs w:val="0"/>
                <w:color w:val="000000"/>
                <w:kern w:val="0"/>
                <w:sz w:val="21"/>
                <w:szCs w:val="21"/>
                <w:u w:val="none"/>
                <w:lang w:val="en-US" w:eastAsia="zh-CN" w:bidi="ar"/>
              </w:rPr>
              <w:t>抗渗性能</w:t>
            </w:r>
          </w:p>
        </w:tc>
        <w:tc>
          <w:tcPr>
            <w:tcW w:w="2875" w:type="dxa"/>
            <w:tcBorders>
              <w:top w:val="single" w:color="000000" w:sz="4" w:space="0"/>
              <w:left w:val="single" w:color="000000" w:sz="4" w:space="0"/>
              <w:bottom w:val="single" w:color="000000" w:sz="4" w:space="0"/>
              <w:right w:val="single" w:color="000000" w:sz="4" w:space="0"/>
            </w:tcBorders>
            <w:noWrap/>
            <w:vAlign w:val="center"/>
          </w:tcPr>
          <w:p w14:paraId="31DE7EBF">
            <w:pPr>
              <w:topLinePunct/>
              <w:spacing w:line="240" w:lineRule="auto"/>
              <w:jc w:val="center"/>
              <w:rPr>
                <w:rFonts w:hint="default" w:ascii="宋体" w:hAnsi="宋体" w:eastAsia="宋体" w:cs="宋体"/>
                <w:i w:val="0"/>
                <w:iCs w:val="0"/>
                <w:color w:val="000000"/>
                <w:sz w:val="21"/>
                <w:szCs w:val="21"/>
                <w:u w:val="none"/>
                <w:lang w:val="en-US" w:eastAsia="zh-CN"/>
              </w:rPr>
            </w:pPr>
            <w:r>
              <w:rPr>
                <w:rFonts w:hint="eastAsia" w:ascii="宋体" w:hAnsi="宋体"/>
                <w:sz w:val="21"/>
                <w:szCs w:val="21"/>
              </w:rPr>
              <w:t>28d掺防水剂混凝土的抗渗压力/MPa</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60D54C78">
            <w:pPr>
              <w:widowControl/>
              <w:topLinePunct/>
              <w:spacing w:line="240" w:lineRule="auto"/>
              <w:jc w:val="center"/>
              <w:rPr>
                <w:rFonts w:hint="eastAsia" w:ascii="宋体" w:hAnsi="宋体" w:eastAsia="宋体" w:cs="宋体"/>
                <w:i w:val="0"/>
                <w:iCs w:val="0"/>
                <w:color w:val="auto"/>
                <w:sz w:val="21"/>
                <w:szCs w:val="21"/>
                <w:u w:val="none"/>
              </w:rPr>
            </w:pPr>
            <w:r>
              <w:rPr>
                <w:rFonts w:hint="eastAsia" w:ascii="宋体" w:hAnsi="宋体" w:cs="宋体"/>
                <w:kern w:val="0"/>
                <w:sz w:val="21"/>
                <w:szCs w:val="21"/>
              </w:rPr>
              <w:t>0.9</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140C1142">
            <w:pPr>
              <w:widowControl/>
              <w:topLinePunct/>
              <w:spacing w:line="240" w:lineRule="auto"/>
              <w:jc w:val="center"/>
              <w:rPr>
                <w:rFonts w:hint="eastAsia" w:ascii="宋体" w:hAnsi="宋体" w:eastAsia="宋体" w:cs="宋体"/>
                <w:i w:val="0"/>
                <w:iCs w:val="0"/>
                <w:color w:val="auto"/>
                <w:sz w:val="21"/>
                <w:szCs w:val="21"/>
                <w:u w:val="none"/>
              </w:rPr>
            </w:pPr>
            <w:r>
              <w:rPr>
                <w:rFonts w:hint="eastAsia" w:ascii="宋体" w:hAnsi="宋体" w:cs="宋体"/>
                <w:kern w:val="0"/>
                <w:sz w:val="21"/>
                <w:szCs w:val="21"/>
              </w:rPr>
              <w:t>0.8</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6F024DE4">
            <w:pPr>
              <w:widowControl/>
              <w:topLinePunct/>
              <w:spacing w:line="240" w:lineRule="auto"/>
              <w:jc w:val="center"/>
              <w:rPr>
                <w:rFonts w:hint="eastAsia" w:ascii="宋体" w:hAnsi="宋体" w:eastAsia="宋体" w:cs="宋体"/>
                <w:i w:val="0"/>
                <w:iCs w:val="0"/>
                <w:color w:val="auto"/>
                <w:sz w:val="21"/>
                <w:szCs w:val="21"/>
                <w:u w:val="none"/>
              </w:rPr>
            </w:pPr>
            <w:r>
              <w:rPr>
                <w:rFonts w:hint="eastAsia" w:ascii="宋体" w:hAnsi="宋体" w:cs="宋体"/>
                <w:kern w:val="0"/>
                <w:sz w:val="21"/>
                <w:szCs w:val="21"/>
              </w:rPr>
              <w:t>0.7</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35E4F077">
            <w:pPr>
              <w:widowControl/>
              <w:topLinePunct/>
              <w:spacing w:line="240" w:lineRule="auto"/>
              <w:jc w:val="center"/>
              <w:rPr>
                <w:rFonts w:hint="eastAsia" w:ascii="宋体" w:hAnsi="宋体" w:eastAsia="宋体" w:cs="宋体"/>
                <w:i w:val="0"/>
                <w:iCs w:val="0"/>
                <w:color w:val="auto"/>
                <w:sz w:val="21"/>
                <w:szCs w:val="21"/>
                <w:u w:val="none"/>
              </w:rPr>
            </w:pPr>
            <w:r>
              <w:rPr>
                <w:rFonts w:hint="eastAsia" w:ascii="宋体" w:hAnsi="宋体" w:cs="宋体"/>
                <w:kern w:val="0"/>
                <w:sz w:val="21"/>
                <w:szCs w:val="21"/>
              </w:rPr>
              <w:t>0.8</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05318290">
            <w:pPr>
              <w:widowControl/>
              <w:topLinePunct/>
              <w:spacing w:line="240" w:lineRule="auto"/>
              <w:jc w:val="center"/>
              <w:rPr>
                <w:rFonts w:hint="eastAsia" w:ascii="宋体" w:hAnsi="宋体" w:eastAsia="宋体" w:cs="宋体"/>
                <w:i w:val="0"/>
                <w:iCs w:val="0"/>
                <w:color w:val="auto"/>
                <w:sz w:val="21"/>
                <w:szCs w:val="21"/>
                <w:u w:val="none"/>
              </w:rPr>
            </w:pPr>
            <w:r>
              <w:rPr>
                <w:rFonts w:hint="eastAsia" w:ascii="宋体" w:hAnsi="宋体" w:cs="宋体"/>
                <w:kern w:val="0"/>
                <w:sz w:val="21"/>
                <w:szCs w:val="21"/>
              </w:rPr>
              <w:t>0.7</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16807CCC">
            <w:pPr>
              <w:widowControl/>
              <w:topLinePunct/>
              <w:spacing w:line="240" w:lineRule="auto"/>
              <w:jc w:val="center"/>
              <w:rPr>
                <w:rFonts w:hint="eastAsia" w:ascii="宋体" w:hAnsi="宋体" w:eastAsia="宋体" w:cs="宋体"/>
                <w:i w:val="0"/>
                <w:iCs w:val="0"/>
                <w:color w:val="auto"/>
                <w:sz w:val="21"/>
                <w:szCs w:val="21"/>
                <w:u w:val="none"/>
              </w:rPr>
            </w:pPr>
            <w:r>
              <w:rPr>
                <w:rFonts w:hint="eastAsia" w:ascii="宋体" w:hAnsi="宋体" w:cs="宋体"/>
                <w:kern w:val="0"/>
                <w:sz w:val="21"/>
                <w:szCs w:val="21"/>
              </w:rPr>
              <w:t>0.6</w:t>
            </w:r>
          </w:p>
        </w:tc>
        <w:tc>
          <w:tcPr>
            <w:tcW w:w="646" w:type="dxa"/>
            <w:tcBorders>
              <w:top w:val="single" w:color="000000" w:sz="4" w:space="0"/>
              <w:left w:val="single" w:color="000000" w:sz="4" w:space="0"/>
              <w:bottom w:val="single" w:color="000000" w:sz="4" w:space="0"/>
            </w:tcBorders>
            <w:noWrap/>
            <w:vAlign w:val="center"/>
          </w:tcPr>
          <w:p w14:paraId="662BF119">
            <w:pPr>
              <w:widowControl/>
              <w:topLinePunct/>
              <w:spacing w:line="240" w:lineRule="auto"/>
              <w:jc w:val="center"/>
              <w:rPr>
                <w:rFonts w:hint="eastAsia" w:ascii="宋体" w:hAnsi="宋体" w:eastAsia="宋体" w:cs="宋体"/>
                <w:i w:val="0"/>
                <w:iCs w:val="0"/>
                <w:color w:val="auto"/>
                <w:sz w:val="21"/>
                <w:szCs w:val="21"/>
                <w:u w:val="none"/>
              </w:rPr>
            </w:pPr>
            <w:r>
              <w:rPr>
                <w:rFonts w:hint="eastAsia" w:ascii="宋体" w:hAnsi="宋体" w:cs="宋体"/>
                <w:kern w:val="0"/>
                <w:sz w:val="21"/>
                <w:szCs w:val="21"/>
              </w:rPr>
              <w:t>0.7</w:t>
            </w:r>
          </w:p>
        </w:tc>
      </w:tr>
      <w:tr w14:paraId="118B3EC9">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671" w:type="pct"/>
            <w:vMerge w:val="continue"/>
            <w:tcBorders>
              <w:right w:val="single" w:color="000000" w:sz="4" w:space="0"/>
            </w:tcBorders>
            <w:noWrap/>
            <w:vAlign w:val="center"/>
          </w:tcPr>
          <w:p w14:paraId="3B4B0BDE">
            <w:pPr>
              <w:spacing w:line="240" w:lineRule="auto"/>
              <w:jc w:val="center"/>
              <w:rPr>
                <w:rFonts w:hint="eastAsia" w:ascii="宋体" w:hAnsi="宋体" w:eastAsia="宋体" w:cs="宋体"/>
                <w:i w:val="0"/>
                <w:iCs w:val="0"/>
                <w:color w:val="000000"/>
                <w:sz w:val="21"/>
                <w:szCs w:val="21"/>
                <w:u w:val="none"/>
              </w:rPr>
            </w:pPr>
          </w:p>
        </w:tc>
        <w:tc>
          <w:tcPr>
            <w:tcW w:w="2875" w:type="dxa"/>
            <w:tcBorders>
              <w:top w:val="single" w:color="000000" w:sz="4" w:space="0"/>
              <w:left w:val="single" w:color="000000" w:sz="4" w:space="0"/>
              <w:bottom w:val="single" w:color="000000" w:sz="4" w:space="0"/>
              <w:right w:val="single" w:color="000000" w:sz="4" w:space="0"/>
            </w:tcBorders>
            <w:noWrap/>
            <w:vAlign w:val="center"/>
          </w:tcPr>
          <w:p w14:paraId="461FE0FA">
            <w:pPr>
              <w:topLinePunct/>
              <w:spacing w:line="240" w:lineRule="auto"/>
              <w:jc w:val="center"/>
              <w:rPr>
                <w:rFonts w:hint="default" w:ascii="宋体" w:hAnsi="宋体" w:eastAsia="宋体" w:cs="宋体"/>
                <w:i w:val="0"/>
                <w:iCs w:val="0"/>
                <w:color w:val="000000"/>
                <w:sz w:val="21"/>
                <w:szCs w:val="21"/>
                <w:u w:val="none"/>
                <w:lang w:val="en-US" w:eastAsia="zh-CN"/>
              </w:rPr>
            </w:pPr>
            <w:r>
              <w:rPr>
                <w:rFonts w:hint="eastAsia" w:ascii="宋体" w:hAnsi="宋体"/>
                <w:sz w:val="21"/>
                <w:szCs w:val="21"/>
              </w:rPr>
              <w:t>28d抗渗压力比/％</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09849E7D">
            <w:pPr>
              <w:widowControl/>
              <w:topLinePunct/>
              <w:spacing w:line="240" w:lineRule="auto"/>
              <w:jc w:val="center"/>
              <w:rPr>
                <w:rFonts w:hint="default" w:ascii="宋体" w:hAnsi="宋体" w:eastAsia="宋体" w:cs="宋体"/>
                <w:i w:val="0"/>
                <w:iCs w:val="0"/>
                <w:color w:val="auto"/>
                <w:sz w:val="21"/>
                <w:szCs w:val="21"/>
                <w:u w:val="none"/>
                <w:lang w:val="en-US" w:eastAsia="zh-CN"/>
              </w:rPr>
            </w:pPr>
            <w:r>
              <w:rPr>
                <w:rFonts w:hint="eastAsia" w:ascii="宋体" w:hAnsi="宋体" w:cs="宋体"/>
                <w:kern w:val="0"/>
                <w:sz w:val="21"/>
                <w:szCs w:val="21"/>
              </w:rPr>
              <w:t>300</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2BE322E9">
            <w:pPr>
              <w:widowControl/>
              <w:topLinePunct/>
              <w:spacing w:line="240" w:lineRule="auto"/>
              <w:jc w:val="center"/>
              <w:rPr>
                <w:rFonts w:hint="default" w:ascii="宋体" w:hAnsi="宋体" w:eastAsia="宋体" w:cs="宋体"/>
                <w:i w:val="0"/>
                <w:iCs w:val="0"/>
                <w:color w:val="auto"/>
                <w:sz w:val="21"/>
                <w:szCs w:val="21"/>
                <w:u w:val="none"/>
                <w:lang w:val="en-US" w:eastAsia="zh-CN"/>
              </w:rPr>
            </w:pPr>
            <w:r>
              <w:rPr>
                <w:rFonts w:hint="eastAsia" w:ascii="宋体" w:hAnsi="宋体" w:cs="宋体"/>
                <w:kern w:val="0"/>
                <w:sz w:val="21"/>
                <w:szCs w:val="21"/>
              </w:rPr>
              <w:t>267</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52CF2892">
            <w:pPr>
              <w:widowControl/>
              <w:topLinePunct/>
              <w:spacing w:line="240" w:lineRule="auto"/>
              <w:jc w:val="center"/>
              <w:rPr>
                <w:rFonts w:hint="default" w:ascii="宋体" w:hAnsi="宋体" w:eastAsia="宋体" w:cs="宋体"/>
                <w:i w:val="0"/>
                <w:iCs w:val="0"/>
                <w:color w:val="auto"/>
                <w:sz w:val="21"/>
                <w:szCs w:val="21"/>
                <w:u w:val="none"/>
                <w:lang w:val="en-US" w:eastAsia="zh-CN"/>
              </w:rPr>
            </w:pPr>
            <w:r>
              <w:rPr>
                <w:rFonts w:hint="eastAsia" w:ascii="宋体" w:hAnsi="宋体" w:cs="宋体"/>
                <w:kern w:val="0"/>
                <w:sz w:val="21"/>
                <w:szCs w:val="21"/>
              </w:rPr>
              <w:t>233</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1A6AFFA5">
            <w:pPr>
              <w:widowControl/>
              <w:topLinePunct/>
              <w:spacing w:line="240" w:lineRule="auto"/>
              <w:jc w:val="center"/>
              <w:rPr>
                <w:rFonts w:hint="eastAsia" w:ascii="宋体" w:hAnsi="宋体" w:eastAsia="宋体" w:cs="宋体"/>
                <w:i w:val="0"/>
                <w:iCs w:val="0"/>
                <w:color w:val="auto"/>
                <w:sz w:val="21"/>
                <w:szCs w:val="21"/>
                <w:u w:val="none"/>
                <w:lang w:eastAsia="zh-CN"/>
              </w:rPr>
            </w:pPr>
            <w:r>
              <w:rPr>
                <w:rFonts w:hint="eastAsia" w:ascii="宋体" w:hAnsi="宋体" w:cs="宋体"/>
                <w:kern w:val="0"/>
                <w:sz w:val="21"/>
                <w:szCs w:val="21"/>
              </w:rPr>
              <w:t>267</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681E4B65">
            <w:pPr>
              <w:widowControl/>
              <w:topLinePunct/>
              <w:spacing w:line="240" w:lineRule="auto"/>
              <w:jc w:val="center"/>
              <w:rPr>
                <w:rFonts w:hint="eastAsia" w:ascii="宋体" w:hAnsi="宋体" w:eastAsia="宋体" w:cs="宋体"/>
                <w:i w:val="0"/>
                <w:iCs w:val="0"/>
                <w:color w:val="auto"/>
                <w:sz w:val="21"/>
                <w:szCs w:val="21"/>
                <w:u w:val="none"/>
              </w:rPr>
            </w:pPr>
            <w:r>
              <w:rPr>
                <w:rFonts w:hint="eastAsia" w:ascii="宋体" w:hAnsi="宋体" w:cs="宋体"/>
                <w:kern w:val="0"/>
                <w:sz w:val="21"/>
                <w:szCs w:val="21"/>
              </w:rPr>
              <w:t>233</w:t>
            </w:r>
          </w:p>
        </w:tc>
        <w:tc>
          <w:tcPr>
            <w:tcW w:w="644" w:type="dxa"/>
            <w:tcBorders>
              <w:top w:val="single" w:color="000000" w:sz="4" w:space="0"/>
              <w:left w:val="single" w:color="000000" w:sz="4" w:space="0"/>
              <w:bottom w:val="single" w:color="000000" w:sz="4" w:space="0"/>
              <w:right w:val="single" w:color="000000" w:sz="4" w:space="0"/>
            </w:tcBorders>
            <w:noWrap w:val="0"/>
            <w:vAlign w:val="center"/>
          </w:tcPr>
          <w:p w14:paraId="770AE194">
            <w:pPr>
              <w:widowControl/>
              <w:topLinePunct/>
              <w:spacing w:line="240" w:lineRule="auto"/>
              <w:jc w:val="center"/>
              <w:rPr>
                <w:rFonts w:hint="default" w:ascii="宋体" w:hAnsi="宋体" w:eastAsia="宋体" w:cs="宋体"/>
                <w:i w:val="0"/>
                <w:iCs w:val="0"/>
                <w:color w:val="auto"/>
                <w:sz w:val="21"/>
                <w:szCs w:val="21"/>
                <w:highlight w:val="none"/>
                <w:u w:val="none"/>
                <w:lang w:val="en-US" w:eastAsia="zh-CN"/>
              </w:rPr>
            </w:pPr>
            <w:r>
              <w:rPr>
                <w:rFonts w:hint="eastAsia" w:ascii="宋体" w:hAnsi="宋体" w:cs="宋体"/>
                <w:kern w:val="0"/>
                <w:sz w:val="21"/>
                <w:szCs w:val="21"/>
              </w:rPr>
              <w:t>200</w:t>
            </w:r>
          </w:p>
        </w:tc>
        <w:tc>
          <w:tcPr>
            <w:tcW w:w="646" w:type="dxa"/>
            <w:tcBorders>
              <w:top w:val="single" w:color="000000" w:sz="4" w:space="0"/>
              <w:left w:val="single" w:color="000000" w:sz="4" w:space="0"/>
              <w:bottom w:val="single" w:color="000000" w:sz="4" w:space="0"/>
            </w:tcBorders>
            <w:noWrap/>
            <w:vAlign w:val="center"/>
          </w:tcPr>
          <w:p w14:paraId="677C29D3">
            <w:pPr>
              <w:widowControl/>
              <w:topLinePunct/>
              <w:spacing w:line="240" w:lineRule="auto"/>
              <w:jc w:val="center"/>
              <w:rPr>
                <w:rFonts w:hint="default" w:ascii="宋体" w:hAnsi="宋体" w:eastAsia="宋体" w:cs="宋体"/>
                <w:i w:val="0"/>
                <w:iCs w:val="0"/>
                <w:color w:val="auto"/>
                <w:sz w:val="21"/>
                <w:szCs w:val="21"/>
                <w:u w:val="none"/>
                <w:lang w:val="en-US" w:eastAsia="zh-CN"/>
              </w:rPr>
            </w:pPr>
            <w:r>
              <w:rPr>
                <w:rFonts w:hint="eastAsia" w:ascii="宋体" w:hAnsi="宋体" w:cs="宋体"/>
                <w:kern w:val="0"/>
                <w:sz w:val="21"/>
                <w:szCs w:val="21"/>
              </w:rPr>
              <w:t>233</w:t>
            </w:r>
          </w:p>
        </w:tc>
      </w:tr>
      <w:tr w14:paraId="7DFB2426">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671" w:type="pct"/>
            <w:vMerge w:val="continue"/>
            <w:tcBorders>
              <w:right w:val="single" w:color="000000" w:sz="4" w:space="0"/>
            </w:tcBorders>
            <w:noWrap/>
            <w:vAlign w:val="center"/>
          </w:tcPr>
          <w:p w14:paraId="587F618E">
            <w:pPr>
              <w:spacing w:line="240" w:lineRule="auto"/>
              <w:jc w:val="center"/>
              <w:rPr>
                <w:rFonts w:hint="eastAsia" w:ascii="宋体" w:hAnsi="宋体" w:eastAsia="宋体" w:cs="宋体"/>
                <w:i w:val="0"/>
                <w:iCs w:val="0"/>
                <w:color w:val="000000"/>
                <w:sz w:val="21"/>
                <w:szCs w:val="21"/>
                <w:u w:val="none"/>
              </w:rPr>
            </w:pPr>
          </w:p>
        </w:tc>
        <w:tc>
          <w:tcPr>
            <w:tcW w:w="2875" w:type="dxa"/>
            <w:tcBorders>
              <w:top w:val="single" w:color="000000" w:sz="4" w:space="0"/>
              <w:left w:val="single" w:color="000000" w:sz="4" w:space="0"/>
              <w:bottom w:val="single" w:color="000000" w:sz="4" w:space="0"/>
              <w:right w:val="single" w:color="000000" w:sz="4" w:space="0"/>
            </w:tcBorders>
            <w:noWrap/>
            <w:vAlign w:val="center"/>
          </w:tcPr>
          <w:p w14:paraId="6CB64131">
            <w:pPr>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spacing w:val="-6"/>
                <w:sz w:val="21"/>
                <w:szCs w:val="21"/>
              </w:rPr>
              <w:t>56d掺防水剂混凝土的第二次抗渗压力/MPa</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60DB5658">
            <w:pPr>
              <w:widowControl/>
              <w:topLinePunct/>
              <w:spacing w:line="240" w:lineRule="auto"/>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0.9</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0EA75621">
            <w:pPr>
              <w:widowControl/>
              <w:topLinePunct/>
              <w:spacing w:line="240" w:lineRule="auto"/>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0.9</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2B05E97E">
            <w:pPr>
              <w:widowControl/>
              <w:topLinePunct/>
              <w:spacing w:line="240" w:lineRule="auto"/>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0.9</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23037F99">
            <w:pPr>
              <w:widowControl/>
              <w:topLinePunct/>
              <w:spacing w:line="240" w:lineRule="auto"/>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0.7</w:t>
            </w:r>
          </w:p>
        </w:tc>
        <w:tc>
          <w:tcPr>
            <w:tcW w:w="644" w:type="dxa"/>
            <w:tcBorders>
              <w:top w:val="single" w:color="000000" w:sz="4" w:space="0"/>
              <w:left w:val="single" w:color="000000" w:sz="4" w:space="0"/>
              <w:bottom w:val="single" w:color="000000" w:sz="4" w:space="0"/>
              <w:right w:val="single" w:color="000000" w:sz="4" w:space="0"/>
            </w:tcBorders>
            <w:noWrap/>
            <w:vAlign w:val="center"/>
          </w:tcPr>
          <w:p w14:paraId="1678527B">
            <w:pPr>
              <w:widowControl/>
              <w:topLinePunct/>
              <w:spacing w:line="240" w:lineRule="auto"/>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0.8</w:t>
            </w:r>
          </w:p>
        </w:tc>
        <w:tc>
          <w:tcPr>
            <w:tcW w:w="644" w:type="dxa"/>
            <w:tcBorders>
              <w:top w:val="single" w:color="000000" w:sz="4" w:space="0"/>
              <w:left w:val="single" w:color="000000" w:sz="4" w:space="0"/>
              <w:bottom w:val="single" w:color="000000" w:sz="4" w:space="0"/>
              <w:right w:val="single" w:color="000000" w:sz="4" w:space="0"/>
            </w:tcBorders>
            <w:noWrap w:val="0"/>
            <w:vAlign w:val="center"/>
          </w:tcPr>
          <w:p w14:paraId="5EF2855E">
            <w:pPr>
              <w:widowControl/>
              <w:topLinePunct/>
              <w:spacing w:line="240" w:lineRule="auto"/>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0.7</w:t>
            </w:r>
          </w:p>
        </w:tc>
        <w:tc>
          <w:tcPr>
            <w:tcW w:w="646" w:type="dxa"/>
            <w:tcBorders>
              <w:top w:val="single" w:color="000000" w:sz="4" w:space="0"/>
              <w:left w:val="single" w:color="000000" w:sz="4" w:space="0"/>
              <w:bottom w:val="single" w:color="000000" w:sz="4" w:space="0"/>
            </w:tcBorders>
            <w:noWrap/>
            <w:vAlign w:val="center"/>
          </w:tcPr>
          <w:p w14:paraId="769685C7">
            <w:pPr>
              <w:widowControl/>
              <w:topLinePunct/>
              <w:spacing w:line="240" w:lineRule="auto"/>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0.7</w:t>
            </w:r>
          </w:p>
        </w:tc>
      </w:tr>
      <w:tr w14:paraId="030604B8">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671" w:type="pct"/>
            <w:vMerge w:val="continue"/>
            <w:tcBorders>
              <w:right w:val="single" w:color="000000" w:sz="4" w:space="0"/>
            </w:tcBorders>
            <w:noWrap/>
            <w:vAlign w:val="center"/>
          </w:tcPr>
          <w:p w14:paraId="5706159F">
            <w:pPr>
              <w:spacing w:line="240" w:lineRule="auto"/>
              <w:jc w:val="center"/>
              <w:rPr>
                <w:rFonts w:hint="eastAsia" w:ascii="宋体" w:hAnsi="宋体" w:eastAsia="宋体" w:cs="宋体"/>
                <w:i w:val="0"/>
                <w:iCs w:val="0"/>
                <w:color w:val="000000"/>
                <w:sz w:val="21"/>
                <w:szCs w:val="21"/>
                <w:u w:val="none"/>
              </w:rPr>
            </w:pPr>
          </w:p>
        </w:tc>
        <w:tc>
          <w:tcPr>
            <w:tcW w:w="2875" w:type="dxa"/>
            <w:tcBorders>
              <w:top w:val="single" w:color="000000" w:sz="4" w:space="0"/>
              <w:left w:val="single" w:color="000000" w:sz="4" w:space="0"/>
              <w:right w:val="single" w:color="000000" w:sz="4" w:space="0"/>
            </w:tcBorders>
            <w:noWrap/>
            <w:vAlign w:val="center"/>
          </w:tcPr>
          <w:p w14:paraId="20E8F29B">
            <w:pPr>
              <w:tabs>
                <w:tab w:val="left" w:pos="3559"/>
              </w:tabs>
              <w:topLinePunct/>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sz w:val="21"/>
                <w:szCs w:val="21"/>
              </w:rPr>
              <w:t>56d第二次抗渗压力比/％</w:t>
            </w:r>
          </w:p>
        </w:tc>
        <w:tc>
          <w:tcPr>
            <w:tcW w:w="644" w:type="dxa"/>
            <w:tcBorders>
              <w:top w:val="single" w:color="000000" w:sz="4" w:space="0"/>
              <w:left w:val="single" w:color="000000" w:sz="4" w:space="0"/>
              <w:right w:val="single" w:color="000000" w:sz="4" w:space="0"/>
            </w:tcBorders>
            <w:noWrap/>
            <w:vAlign w:val="center"/>
          </w:tcPr>
          <w:p w14:paraId="65859698">
            <w:pPr>
              <w:widowControl/>
              <w:topLinePunct/>
              <w:spacing w:line="240" w:lineRule="auto"/>
              <w:jc w:val="center"/>
              <w:rPr>
                <w:rFonts w:hint="default"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225</w:t>
            </w:r>
          </w:p>
        </w:tc>
        <w:tc>
          <w:tcPr>
            <w:tcW w:w="644" w:type="dxa"/>
            <w:tcBorders>
              <w:top w:val="single" w:color="000000" w:sz="4" w:space="0"/>
              <w:left w:val="single" w:color="000000" w:sz="4" w:space="0"/>
              <w:right w:val="single" w:color="000000" w:sz="4" w:space="0"/>
            </w:tcBorders>
            <w:noWrap/>
            <w:vAlign w:val="center"/>
          </w:tcPr>
          <w:p w14:paraId="79852A5A">
            <w:pPr>
              <w:widowControl/>
              <w:topLinePunct/>
              <w:spacing w:line="240" w:lineRule="auto"/>
              <w:jc w:val="center"/>
              <w:rPr>
                <w:rFonts w:hint="default"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225</w:t>
            </w:r>
          </w:p>
        </w:tc>
        <w:tc>
          <w:tcPr>
            <w:tcW w:w="644" w:type="dxa"/>
            <w:tcBorders>
              <w:top w:val="single" w:color="000000" w:sz="4" w:space="0"/>
              <w:left w:val="single" w:color="000000" w:sz="4" w:space="0"/>
              <w:right w:val="single" w:color="000000" w:sz="4" w:space="0"/>
            </w:tcBorders>
            <w:noWrap/>
            <w:vAlign w:val="center"/>
          </w:tcPr>
          <w:p w14:paraId="0733372A">
            <w:pPr>
              <w:widowControl/>
              <w:topLinePunct/>
              <w:spacing w:line="240" w:lineRule="auto"/>
              <w:jc w:val="center"/>
              <w:rPr>
                <w:rFonts w:hint="default"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225</w:t>
            </w:r>
          </w:p>
        </w:tc>
        <w:tc>
          <w:tcPr>
            <w:tcW w:w="644" w:type="dxa"/>
            <w:tcBorders>
              <w:top w:val="single" w:color="000000" w:sz="4" w:space="0"/>
              <w:left w:val="single" w:color="000000" w:sz="4" w:space="0"/>
              <w:right w:val="single" w:color="000000" w:sz="4" w:space="0"/>
            </w:tcBorders>
            <w:noWrap/>
            <w:vAlign w:val="center"/>
          </w:tcPr>
          <w:p w14:paraId="7E531738">
            <w:pPr>
              <w:widowControl/>
              <w:topLinePunct/>
              <w:spacing w:line="240" w:lineRule="auto"/>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175</w:t>
            </w:r>
          </w:p>
        </w:tc>
        <w:tc>
          <w:tcPr>
            <w:tcW w:w="644" w:type="dxa"/>
            <w:tcBorders>
              <w:top w:val="single" w:color="000000" w:sz="4" w:space="0"/>
              <w:left w:val="single" w:color="000000" w:sz="4" w:space="0"/>
              <w:right w:val="single" w:color="000000" w:sz="4" w:space="0"/>
            </w:tcBorders>
            <w:noWrap/>
            <w:vAlign w:val="center"/>
          </w:tcPr>
          <w:p w14:paraId="6F9483C9">
            <w:pPr>
              <w:widowControl/>
              <w:topLinePunct/>
              <w:spacing w:line="240" w:lineRule="auto"/>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200</w:t>
            </w:r>
          </w:p>
        </w:tc>
        <w:tc>
          <w:tcPr>
            <w:tcW w:w="644" w:type="dxa"/>
            <w:tcBorders>
              <w:top w:val="single" w:color="000000" w:sz="4" w:space="0"/>
              <w:left w:val="single" w:color="000000" w:sz="4" w:space="0"/>
              <w:right w:val="single" w:color="000000" w:sz="4" w:space="0"/>
            </w:tcBorders>
            <w:noWrap w:val="0"/>
            <w:vAlign w:val="center"/>
          </w:tcPr>
          <w:p w14:paraId="1DBFF673">
            <w:pPr>
              <w:widowControl/>
              <w:topLinePunct/>
              <w:spacing w:line="240" w:lineRule="auto"/>
              <w:jc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cs="宋体"/>
                <w:kern w:val="0"/>
                <w:sz w:val="21"/>
                <w:szCs w:val="21"/>
              </w:rPr>
              <w:t>175</w:t>
            </w:r>
          </w:p>
        </w:tc>
        <w:tc>
          <w:tcPr>
            <w:tcW w:w="646" w:type="dxa"/>
            <w:tcBorders>
              <w:top w:val="single" w:color="000000" w:sz="4" w:space="0"/>
              <w:left w:val="single" w:color="000000" w:sz="4" w:space="0"/>
            </w:tcBorders>
            <w:noWrap/>
            <w:vAlign w:val="center"/>
          </w:tcPr>
          <w:p w14:paraId="713AF36C">
            <w:pPr>
              <w:widowControl/>
              <w:topLinePunct/>
              <w:spacing w:line="240" w:lineRule="auto"/>
              <w:jc w:val="center"/>
              <w:rPr>
                <w:rFonts w:hint="default" w:ascii="宋体" w:hAnsi="宋体" w:eastAsia="宋体" w:cs="宋体"/>
                <w:i w:val="0"/>
                <w:iCs w:val="0"/>
                <w:color w:val="auto"/>
                <w:kern w:val="0"/>
                <w:sz w:val="21"/>
                <w:szCs w:val="21"/>
                <w:u w:val="none"/>
                <w:lang w:val="en-US" w:eastAsia="zh-CN" w:bidi="ar"/>
              </w:rPr>
            </w:pPr>
            <w:r>
              <w:rPr>
                <w:rFonts w:hint="eastAsia" w:ascii="宋体" w:hAnsi="宋体" w:cs="宋体"/>
                <w:kern w:val="0"/>
                <w:sz w:val="21"/>
                <w:szCs w:val="21"/>
              </w:rPr>
              <w:t>175</w:t>
            </w:r>
          </w:p>
        </w:tc>
      </w:tr>
    </w:tbl>
    <w:p w14:paraId="7B3FD0CF">
      <w:pPr>
        <w:numPr>
          <w:ilvl w:val="0"/>
          <w:numId w:val="0"/>
        </w:numPr>
        <w:spacing w:line="360" w:lineRule="auto"/>
        <w:ind w:firstLine="480" w:firstLineChars="200"/>
        <w:contextualSpacing/>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28d</w:t>
      </w:r>
      <w:r>
        <w:rPr>
          <w:rFonts w:hint="eastAsia" w:ascii="宋体" w:hAnsi="宋体" w:cs="宋体"/>
          <w:b w:val="0"/>
          <w:bCs w:val="0"/>
          <w:color w:val="000000"/>
          <w:sz w:val="24"/>
          <w:szCs w:val="24"/>
          <w:lang w:val="en-US" w:eastAsia="zh-CN"/>
        </w:rPr>
        <w:t>抗渗性能验证的</w:t>
      </w:r>
      <w:r>
        <w:rPr>
          <w:rFonts w:hint="eastAsia" w:ascii="宋体" w:hAnsi="宋体" w:eastAsia="宋体" w:cs="宋体"/>
          <w:b w:val="0"/>
          <w:bCs w:val="0"/>
          <w:color w:val="000000"/>
          <w:sz w:val="24"/>
          <w:szCs w:val="24"/>
          <w:lang w:val="en-US" w:eastAsia="zh-CN"/>
        </w:rPr>
        <w:t>混凝土</w:t>
      </w:r>
      <w:r>
        <w:rPr>
          <w:rFonts w:hint="eastAsia" w:ascii="宋体" w:hAnsi="宋体" w:cs="宋体"/>
          <w:b w:val="0"/>
          <w:bCs w:val="0"/>
          <w:color w:val="000000"/>
          <w:sz w:val="24"/>
          <w:szCs w:val="24"/>
          <w:lang w:val="en-US" w:eastAsia="zh-CN"/>
        </w:rPr>
        <w:t>抗渗压力设定为0.3MPa</w:t>
      </w:r>
      <w:r>
        <w:rPr>
          <w:rFonts w:hint="eastAsia" w:ascii="宋体" w:hAnsi="宋体" w:eastAsia="宋体" w:cs="宋体"/>
          <w:b w:val="0"/>
          <w:bCs w:val="0"/>
          <w:color w:val="000000"/>
          <w:sz w:val="24"/>
          <w:szCs w:val="24"/>
          <w:lang w:val="en-US" w:eastAsia="zh-CN"/>
        </w:rPr>
        <w:t>，合格率为</w:t>
      </w:r>
      <w:r>
        <w:rPr>
          <w:rFonts w:hint="eastAsia" w:ascii="宋体" w:hAnsi="宋体" w:cs="宋体"/>
          <w:b w:val="0"/>
          <w:bCs w:val="0"/>
          <w:color w:val="000000"/>
          <w:sz w:val="24"/>
          <w:szCs w:val="24"/>
          <w:lang w:val="en-US" w:eastAsia="zh-CN"/>
        </w:rPr>
        <w:t>100</w:t>
      </w:r>
      <w:r>
        <w:rPr>
          <w:rFonts w:hint="eastAsia" w:ascii="宋体" w:hAnsi="宋体" w:eastAsia="宋体" w:cs="宋体"/>
          <w:b w:val="0"/>
          <w:bCs w:val="0"/>
          <w:color w:val="000000"/>
          <w:sz w:val="24"/>
          <w:szCs w:val="24"/>
          <w:lang w:val="en-US" w:eastAsia="zh-CN"/>
        </w:rPr>
        <w:t>%。</w:t>
      </w:r>
    </w:p>
    <w:p w14:paraId="0697C6B8">
      <w:pPr>
        <w:numPr>
          <w:ilvl w:val="0"/>
          <w:numId w:val="0"/>
        </w:numPr>
        <w:spacing w:line="360" w:lineRule="auto"/>
        <w:ind w:firstLine="480" w:firstLineChars="200"/>
        <w:contextualSpacing/>
        <w:rPr>
          <w:rFonts w:hint="eastAsia" w:ascii="宋体" w:hAnsi="宋体" w:eastAsia="宋体" w:cs="宋体"/>
          <w:b w:val="0"/>
          <w:bCs w:val="0"/>
          <w:color w:val="000000"/>
          <w:sz w:val="24"/>
          <w:szCs w:val="24"/>
          <w:lang w:val="en-US" w:eastAsia="zh-CN"/>
        </w:rPr>
      </w:pPr>
      <w:r>
        <w:rPr>
          <w:rFonts w:hint="eastAsia" w:ascii="宋体" w:hAnsi="宋体" w:cs="宋体"/>
          <w:b w:val="0"/>
          <w:bCs w:val="0"/>
          <w:color w:val="000000"/>
          <w:sz w:val="24"/>
          <w:szCs w:val="24"/>
          <w:lang w:val="en-US" w:eastAsia="zh-CN"/>
        </w:rPr>
        <w:t>56</w:t>
      </w:r>
      <w:r>
        <w:rPr>
          <w:rFonts w:hint="eastAsia" w:ascii="宋体" w:hAnsi="宋体" w:eastAsia="宋体" w:cs="宋体"/>
          <w:b w:val="0"/>
          <w:bCs w:val="0"/>
          <w:color w:val="000000"/>
          <w:sz w:val="24"/>
          <w:szCs w:val="24"/>
          <w:lang w:val="en-US" w:eastAsia="zh-CN"/>
        </w:rPr>
        <w:t>d</w:t>
      </w:r>
      <w:r>
        <w:rPr>
          <w:rFonts w:hint="eastAsia" w:ascii="宋体" w:hAnsi="宋体" w:cs="宋体"/>
          <w:b w:val="0"/>
          <w:bCs w:val="0"/>
          <w:color w:val="000000"/>
          <w:sz w:val="24"/>
          <w:szCs w:val="24"/>
          <w:lang w:val="en-US" w:eastAsia="zh-CN"/>
        </w:rPr>
        <w:t>抗渗性能验证的基准</w:t>
      </w:r>
      <w:r>
        <w:rPr>
          <w:rFonts w:hint="eastAsia" w:ascii="宋体" w:hAnsi="宋体" w:eastAsia="宋体" w:cs="宋体"/>
          <w:b w:val="0"/>
          <w:bCs w:val="0"/>
          <w:color w:val="000000"/>
          <w:sz w:val="24"/>
          <w:szCs w:val="24"/>
          <w:lang w:val="en-US" w:eastAsia="zh-CN"/>
        </w:rPr>
        <w:t>混凝土</w:t>
      </w:r>
      <w:r>
        <w:rPr>
          <w:rFonts w:hint="eastAsia" w:ascii="宋体" w:hAnsi="宋体" w:cs="宋体"/>
          <w:b w:val="0"/>
          <w:bCs w:val="0"/>
          <w:color w:val="000000"/>
          <w:sz w:val="24"/>
          <w:szCs w:val="24"/>
          <w:lang w:val="en-US" w:eastAsia="zh-CN"/>
        </w:rPr>
        <w:t>抗渗压力设定为0.4MPa</w:t>
      </w:r>
      <w:r>
        <w:rPr>
          <w:rFonts w:hint="eastAsia" w:ascii="宋体" w:hAnsi="宋体" w:eastAsia="宋体" w:cs="宋体"/>
          <w:b w:val="0"/>
          <w:bCs w:val="0"/>
          <w:color w:val="000000"/>
          <w:sz w:val="24"/>
          <w:szCs w:val="24"/>
          <w:lang w:val="en-US" w:eastAsia="zh-CN"/>
        </w:rPr>
        <w:t>，合格率为</w:t>
      </w:r>
      <w:r>
        <w:rPr>
          <w:rFonts w:hint="eastAsia" w:ascii="宋体" w:hAnsi="宋体" w:cs="宋体"/>
          <w:b w:val="0"/>
          <w:bCs w:val="0"/>
          <w:color w:val="000000"/>
          <w:sz w:val="24"/>
          <w:szCs w:val="24"/>
          <w:lang w:val="en-US" w:eastAsia="zh-CN"/>
        </w:rPr>
        <w:t>100</w:t>
      </w:r>
      <w:r>
        <w:rPr>
          <w:rFonts w:hint="eastAsia" w:ascii="宋体" w:hAnsi="宋体" w:eastAsia="宋体" w:cs="宋体"/>
          <w:b w:val="0"/>
          <w:bCs w:val="0"/>
          <w:color w:val="000000"/>
          <w:sz w:val="24"/>
          <w:szCs w:val="24"/>
          <w:lang w:val="en-US" w:eastAsia="zh-CN"/>
        </w:rPr>
        <w:t>%。</w:t>
      </w:r>
    </w:p>
    <w:p w14:paraId="3BFCBA3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contextualSpacing/>
        <w:jc w:val="both"/>
        <w:textAlignment w:val="auto"/>
        <w:rPr>
          <w:rFonts w:hint="default" w:ascii="宋体" w:hAnsi="宋体" w:eastAsia="宋体" w:cs="宋体"/>
          <w:b w:val="0"/>
          <w:bCs w:val="0"/>
          <w:color w:val="000000"/>
          <w:sz w:val="24"/>
          <w:szCs w:val="24"/>
          <w:lang w:val="en-US" w:eastAsia="zh-CN"/>
        </w:rPr>
      </w:pPr>
      <w:r>
        <w:rPr>
          <w:rFonts w:hint="default" w:ascii="宋体" w:hAnsi="宋体" w:eastAsia="宋体" w:cs="宋体"/>
          <w:b w:val="0"/>
          <w:bCs w:val="0"/>
          <w:color w:val="000000"/>
          <w:sz w:val="24"/>
          <w:szCs w:val="24"/>
          <w:lang w:val="en-US" w:eastAsia="zh-CN"/>
        </w:rPr>
        <w:t>（</w:t>
      </w:r>
      <w:r>
        <w:rPr>
          <w:rFonts w:hint="eastAsia" w:ascii="宋体" w:hAnsi="宋体" w:cs="宋体"/>
          <w:b w:val="0"/>
          <w:bCs w:val="0"/>
          <w:color w:val="000000"/>
          <w:sz w:val="24"/>
          <w:szCs w:val="24"/>
          <w:lang w:val="en-US" w:eastAsia="zh-CN"/>
        </w:rPr>
        <w:t>7</w:t>
      </w:r>
      <w:r>
        <w:rPr>
          <w:rFonts w:hint="default" w:ascii="宋体" w:hAnsi="宋体" w:eastAsia="宋体" w:cs="宋体"/>
          <w:b w:val="0"/>
          <w:bCs w:val="0"/>
          <w:color w:val="000000"/>
          <w:sz w:val="24"/>
          <w:szCs w:val="24"/>
          <w:lang w:val="en-US" w:eastAsia="zh-CN"/>
        </w:rPr>
        <w:t>）</w:t>
      </w:r>
      <w:r>
        <w:rPr>
          <w:rFonts w:hint="eastAsia" w:cs="宋体"/>
          <w:color w:val="auto"/>
          <w:sz w:val="24"/>
          <w:lang w:val="en-US" w:eastAsia="zh-CN"/>
        </w:rPr>
        <w:t>水泥基渗透结晶型防水剂的自修复能力（愈合率）</w:t>
      </w:r>
    </w:p>
    <w:p w14:paraId="603061D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contextualSpacing/>
        <w:jc w:val="center"/>
        <w:textAlignment w:val="auto"/>
        <w:rPr>
          <w:rFonts w:hint="eastAsia" w:ascii="黑体" w:hAnsi="黑体" w:eastAsia="黑体" w:cs="黑体"/>
          <w:b w:val="0"/>
          <w:bCs w:val="0"/>
          <w:color w:val="000000"/>
          <w:sz w:val="24"/>
          <w:szCs w:val="24"/>
          <w:lang w:val="en-US" w:eastAsia="zh-CN"/>
        </w:rPr>
      </w:pPr>
      <w:r>
        <w:rPr>
          <w:rFonts w:hint="eastAsia" w:ascii="黑体" w:hAnsi="黑体" w:eastAsia="黑体" w:cs="黑体"/>
          <w:b w:val="0"/>
          <w:bCs w:val="0"/>
          <w:color w:val="000000"/>
          <w:sz w:val="24"/>
          <w:szCs w:val="24"/>
          <w:lang w:val="en-US" w:eastAsia="zh-CN"/>
        </w:rPr>
        <w:t>表9  水泥基渗透结晶型防水剂的自修复能力（愈合率）</w:t>
      </w:r>
    </w:p>
    <w:tbl>
      <w:tblPr>
        <w:tblStyle w:val="1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526"/>
        <w:gridCol w:w="426"/>
        <w:gridCol w:w="426"/>
        <w:gridCol w:w="426"/>
        <w:gridCol w:w="426"/>
        <w:gridCol w:w="426"/>
        <w:gridCol w:w="426"/>
        <w:gridCol w:w="426"/>
      </w:tblGrid>
      <w:tr w14:paraId="357185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noWrap w:val="0"/>
            <w:vAlign w:val="center"/>
          </w:tcPr>
          <w:p w14:paraId="2A835AD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样品编号</w:t>
            </w:r>
          </w:p>
        </w:tc>
        <w:tc>
          <w:tcPr>
            <w:tcW w:w="0" w:type="auto"/>
            <w:noWrap w:val="0"/>
            <w:vAlign w:val="center"/>
          </w:tcPr>
          <w:p w14:paraId="6C6877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w:t>
            </w:r>
          </w:p>
        </w:tc>
        <w:tc>
          <w:tcPr>
            <w:tcW w:w="0" w:type="auto"/>
            <w:noWrap w:val="0"/>
            <w:vAlign w:val="center"/>
          </w:tcPr>
          <w:p w14:paraId="1A42EEA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w:t>
            </w:r>
          </w:p>
        </w:tc>
        <w:tc>
          <w:tcPr>
            <w:tcW w:w="0" w:type="auto"/>
            <w:noWrap w:val="0"/>
            <w:vAlign w:val="center"/>
          </w:tcPr>
          <w:p w14:paraId="189CF2A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w:t>
            </w:r>
          </w:p>
        </w:tc>
        <w:tc>
          <w:tcPr>
            <w:tcW w:w="0" w:type="auto"/>
            <w:noWrap w:val="0"/>
            <w:vAlign w:val="center"/>
          </w:tcPr>
          <w:p w14:paraId="219EC5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w:t>
            </w:r>
          </w:p>
        </w:tc>
        <w:tc>
          <w:tcPr>
            <w:tcW w:w="0" w:type="auto"/>
            <w:noWrap w:val="0"/>
            <w:vAlign w:val="center"/>
          </w:tcPr>
          <w:p w14:paraId="3BA3923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0" w:type="auto"/>
            <w:noWrap w:val="0"/>
            <w:vAlign w:val="center"/>
          </w:tcPr>
          <w:p w14:paraId="70496F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w:t>
            </w:r>
          </w:p>
        </w:tc>
        <w:tc>
          <w:tcPr>
            <w:tcW w:w="0" w:type="auto"/>
            <w:noWrap w:val="0"/>
            <w:vAlign w:val="center"/>
          </w:tcPr>
          <w:p w14:paraId="3682EA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cs="宋体"/>
                <w:i w:val="0"/>
                <w:iCs w:val="0"/>
                <w:color w:val="000000"/>
                <w:kern w:val="0"/>
                <w:sz w:val="21"/>
                <w:szCs w:val="21"/>
                <w:u w:val="none"/>
                <w:lang w:val="en-US" w:eastAsia="zh-CN" w:bidi="ar"/>
              </w:rPr>
              <w:t>7</w:t>
            </w:r>
            <w:r>
              <w:rPr>
                <w:rFonts w:hint="eastAsia" w:ascii="宋体" w:hAnsi="宋体" w:eastAsia="宋体" w:cs="宋体"/>
                <w:i w:val="0"/>
                <w:iCs w:val="0"/>
                <w:color w:val="000000"/>
                <w:kern w:val="0"/>
                <w:sz w:val="21"/>
                <w:szCs w:val="21"/>
                <w:u w:val="none"/>
                <w:lang w:val="en-US" w:eastAsia="zh-CN" w:bidi="ar"/>
              </w:rPr>
              <w:t>#</w:t>
            </w:r>
          </w:p>
        </w:tc>
      </w:tr>
      <w:tr w14:paraId="467AC0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noWrap w:val="0"/>
            <w:vAlign w:val="center"/>
          </w:tcPr>
          <w:p w14:paraId="6D882D49">
            <w:pPr>
              <w:keepNext w:val="0"/>
              <w:keepLines w:val="0"/>
              <w:pageBreakBefore w:val="0"/>
              <w:widowControl/>
              <w:numPr>
                <w:ilvl w:val="0"/>
                <w:numId w:val="0"/>
              </w:numPr>
              <w:kinsoku/>
              <w:wordWrap/>
              <w:overflowPunct/>
              <w:topLinePunct w:val="0"/>
              <w:autoSpaceDE/>
              <w:autoSpaceDN/>
              <w:bidi w:val="0"/>
              <w:adjustRightInd/>
              <w:snapToGrid/>
              <w:spacing w:line="360" w:lineRule="auto"/>
              <w:contextualSpacing/>
              <w:jc w:val="center"/>
              <w:textAlignment w:val="auto"/>
              <w:rPr>
                <w:rFonts w:hint="default" w:ascii="宋体" w:hAnsi="宋体" w:eastAsia="宋体" w:cs="宋体"/>
                <w:b w:val="0"/>
                <w:bCs w:val="0"/>
                <w:color w:val="000000"/>
                <w:sz w:val="21"/>
                <w:szCs w:val="21"/>
                <w:vertAlign w:val="baseline"/>
                <w:lang w:val="en-US" w:eastAsia="zh-CN"/>
              </w:rPr>
            </w:pPr>
            <w:r>
              <w:rPr>
                <w:rFonts w:hint="eastAsia" w:ascii="宋体" w:hAnsi="宋体" w:cs="宋体"/>
                <w:color w:val="auto"/>
                <w:sz w:val="21"/>
                <w:szCs w:val="21"/>
                <w:lang w:val="en-US" w:eastAsia="zh-CN"/>
              </w:rPr>
              <w:t>自修复能力（愈合率）/%</w:t>
            </w:r>
          </w:p>
        </w:tc>
        <w:tc>
          <w:tcPr>
            <w:tcW w:w="0" w:type="auto"/>
            <w:noWrap w:val="0"/>
            <w:vAlign w:val="center"/>
          </w:tcPr>
          <w:p w14:paraId="05F63BB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lang w:val="en-US" w:eastAsia="zh-CN"/>
              </w:rPr>
              <w:t>24</w:t>
            </w:r>
          </w:p>
        </w:tc>
        <w:tc>
          <w:tcPr>
            <w:tcW w:w="0" w:type="auto"/>
            <w:noWrap w:val="0"/>
            <w:vAlign w:val="center"/>
          </w:tcPr>
          <w:p w14:paraId="03CF97E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lang w:val="en-US" w:eastAsia="zh-CN"/>
              </w:rPr>
              <w:t>38</w:t>
            </w:r>
          </w:p>
        </w:tc>
        <w:tc>
          <w:tcPr>
            <w:tcW w:w="0" w:type="auto"/>
            <w:noWrap w:val="0"/>
            <w:vAlign w:val="center"/>
          </w:tcPr>
          <w:p w14:paraId="1A7DFED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lang w:val="en-US" w:eastAsia="zh-CN"/>
              </w:rPr>
              <w:t>39</w:t>
            </w:r>
          </w:p>
        </w:tc>
        <w:tc>
          <w:tcPr>
            <w:tcW w:w="0" w:type="auto"/>
            <w:noWrap w:val="0"/>
            <w:vAlign w:val="center"/>
          </w:tcPr>
          <w:p w14:paraId="2B8D53F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lang w:val="en-US" w:eastAsia="zh-CN"/>
              </w:rPr>
              <w:t>48</w:t>
            </w:r>
          </w:p>
        </w:tc>
        <w:tc>
          <w:tcPr>
            <w:tcW w:w="0" w:type="auto"/>
            <w:noWrap w:val="0"/>
            <w:vAlign w:val="center"/>
          </w:tcPr>
          <w:p w14:paraId="64942D1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kern w:val="0"/>
                <w:sz w:val="21"/>
                <w:szCs w:val="21"/>
                <w:lang w:val="en-US" w:eastAsia="zh-CN"/>
              </w:rPr>
              <w:t>40</w:t>
            </w:r>
          </w:p>
        </w:tc>
        <w:tc>
          <w:tcPr>
            <w:tcW w:w="0" w:type="auto"/>
            <w:noWrap w:val="0"/>
            <w:vAlign w:val="center"/>
          </w:tcPr>
          <w:p w14:paraId="19C400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kern w:val="0"/>
                <w:sz w:val="21"/>
                <w:szCs w:val="21"/>
                <w:lang w:val="en-US" w:eastAsia="zh-CN"/>
              </w:rPr>
              <w:t>46</w:t>
            </w:r>
          </w:p>
        </w:tc>
        <w:tc>
          <w:tcPr>
            <w:tcW w:w="0" w:type="auto"/>
            <w:noWrap w:val="0"/>
            <w:vAlign w:val="center"/>
          </w:tcPr>
          <w:p w14:paraId="1BB4B44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val="0"/>
                <w:bCs w:val="0"/>
                <w:color w:val="000000"/>
                <w:sz w:val="21"/>
                <w:szCs w:val="21"/>
                <w:vertAlign w:val="baseline"/>
                <w:lang w:val="en-US" w:eastAsia="zh-CN"/>
              </w:rPr>
            </w:pPr>
            <w:r>
              <w:rPr>
                <w:rFonts w:hint="eastAsia" w:ascii="宋体" w:hAnsi="宋体" w:cs="宋体"/>
                <w:kern w:val="0"/>
                <w:sz w:val="21"/>
                <w:szCs w:val="21"/>
                <w:lang w:val="en-US" w:eastAsia="zh-CN"/>
              </w:rPr>
              <w:t>45</w:t>
            </w:r>
          </w:p>
        </w:tc>
      </w:tr>
    </w:tbl>
    <w:p w14:paraId="28F677C9">
      <w:pPr>
        <w:numPr>
          <w:ilvl w:val="0"/>
          <w:numId w:val="0"/>
        </w:numPr>
        <w:spacing w:line="360" w:lineRule="auto"/>
        <w:ind w:firstLine="480" w:firstLineChars="200"/>
        <w:contextualSpacing/>
        <w:rPr>
          <w:rFonts w:hint="eastAsia" w:ascii="宋体" w:hAnsi="宋体" w:eastAsia="宋体" w:cs="宋体"/>
          <w:b w:val="0"/>
          <w:bCs w:val="0"/>
          <w:color w:val="000000"/>
          <w:sz w:val="24"/>
          <w:szCs w:val="24"/>
          <w:lang w:val="en-US" w:eastAsia="zh-CN"/>
        </w:rPr>
      </w:pPr>
      <w:r>
        <w:rPr>
          <w:rFonts w:hint="eastAsia" w:ascii="宋体" w:hAnsi="宋体" w:cs="宋体"/>
          <w:b w:val="0"/>
          <w:bCs w:val="0"/>
          <w:color w:val="000000"/>
          <w:sz w:val="24"/>
          <w:szCs w:val="24"/>
          <w:lang w:val="en-US" w:eastAsia="zh-CN"/>
        </w:rPr>
        <w:t>对比试件的愈合率为30%。在自愈合性能上，掺防水剂的混凝土明显优于基准混凝土，验证试验测试的多组样品可全愈合。</w:t>
      </w:r>
    </w:p>
    <w:p w14:paraId="5FBFDA26">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both"/>
        <w:textAlignment w:val="auto"/>
        <w:rPr>
          <w:rFonts w:hint="default" w:ascii="宋体" w:hAnsi="宋体" w:eastAsia="宋体" w:cs="宋体"/>
          <w:b w:val="0"/>
          <w:bCs w:val="0"/>
          <w:color w:val="000000"/>
          <w:sz w:val="24"/>
          <w:szCs w:val="24"/>
          <w:lang w:val="en-US" w:eastAsia="zh-CN"/>
        </w:rPr>
      </w:pPr>
      <w:r>
        <w:rPr>
          <w:rFonts w:hint="eastAsia" w:ascii="宋体" w:hAnsi="宋体" w:cs="宋体"/>
          <w:b w:val="0"/>
          <w:bCs w:val="0"/>
          <w:color w:val="000000"/>
          <w:sz w:val="24"/>
          <w:szCs w:val="24"/>
          <w:lang w:val="en-US" w:eastAsia="zh-CN"/>
        </w:rPr>
        <w:t>综上，以上</w:t>
      </w:r>
      <w:r>
        <w:rPr>
          <w:rFonts w:hint="eastAsia" w:ascii="宋体" w:hAnsi="宋体" w:cs="宋体"/>
          <w:b w:val="0"/>
          <w:bCs w:val="0"/>
          <w:color w:val="auto"/>
          <w:sz w:val="24"/>
          <w:szCs w:val="24"/>
          <w:lang w:val="en-US" w:eastAsia="zh-CN"/>
        </w:rPr>
        <w:t>试验情况进一步证实，标准文本中4.0.2条、4.0.3条、5.1.4条、6.2.2条、6.4.1条等规定与</w:t>
      </w:r>
      <w:r>
        <w:rPr>
          <w:rFonts w:hint="eastAsia" w:ascii="宋体" w:hAnsi="宋体" w:cs="宋体"/>
          <w:b w:val="0"/>
          <w:bCs w:val="0"/>
          <w:color w:val="000000"/>
          <w:sz w:val="24"/>
          <w:szCs w:val="24"/>
          <w:lang w:val="en-US" w:eastAsia="zh-CN"/>
        </w:rPr>
        <w:t>材料的关键性能指标匹配，在施工应用环节具有合理性。</w:t>
      </w:r>
    </w:p>
    <w:p w14:paraId="067E1DA1">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default" w:ascii="Times New Roman" w:hAnsi="Times New Roman" w:eastAsia="黑体" w:cs="黑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rPr>
        <w:t>（</w:t>
      </w:r>
      <w:r>
        <w:rPr>
          <w:rFonts w:hint="eastAsia" w:eastAsia="黑体" w:cs="黑体"/>
          <w:b w:val="0"/>
          <w:bCs/>
          <w:color w:val="auto"/>
          <w:spacing w:val="0"/>
          <w:kern w:val="2"/>
          <w:sz w:val="24"/>
          <w:szCs w:val="24"/>
          <w:lang w:val="en-US" w:eastAsia="zh-CN"/>
        </w:rPr>
        <w:t>四</w:t>
      </w:r>
      <w:r>
        <w:rPr>
          <w:rFonts w:hint="eastAsia" w:ascii="Times New Roman" w:hAnsi="Times New Roman" w:eastAsia="黑体" w:cs="黑体"/>
          <w:b w:val="0"/>
          <w:bCs/>
          <w:color w:val="auto"/>
          <w:spacing w:val="0"/>
          <w:kern w:val="2"/>
          <w:sz w:val="24"/>
          <w:szCs w:val="24"/>
          <w:lang w:val="en-US" w:eastAsia="zh-CN"/>
        </w:rPr>
        <w:t>）工程项目验证</w:t>
      </w:r>
    </w:p>
    <w:p w14:paraId="302EF62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jc w:val="both"/>
        <w:textAlignment w:val="auto"/>
        <w:outlineLvl w:val="0"/>
        <w:rPr>
          <w:rFonts w:hint="eastAsia" w:cs="宋体"/>
          <w:color w:val="auto"/>
          <w:sz w:val="24"/>
          <w:lang w:val="en-US" w:eastAsia="zh-CN"/>
        </w:rPr>
      </w:pPr>
      <w:r>
        <w:rPr>
          <w:rFonts w:hint="eastAsia" w:ascii="Times New Roman" w:hAnsi="Times New Roman" w:cs="宋体"/>
          <w:color w:val="auto"/>
          <w:sz w:val="24"/>
          <w:lang w:val="en-US" w:eastAsia="zh-CN"/>
        </w:rPr>
        <w:t>编制组选</w:t>
      </w:r>
      <w:r>
        <w:rPr>
          <w:rFonts w:hint="eastAsia" w:ascii="Times New Roman" w:hAnsi="Times New Roman" w:cs="宋体"/>
          <w:color w:val="auto"/>
          <w:sz w:val="24"/>
          <w:highlight w:val="none"/>
          <w:lang w:val="en-US" w:eastAsia="zh-CN"/>
        </w:rPr>
        <w:t>取</w:t>
      </w:r>
      <w:r>
        <w:rPr>
          <w:rFonts w:hint="eastAsia" w:cs="宋体"/>
          <w:color w:val="auto"/>
          <w:sz w:val="24"/>
          <w:highlight w:val="none"/>
          <w:lang w:val="en-US" w:eastAsia="zh-CN"/>
        </w:rPr>
        <w:t>了全国范围内不同区域的20</w:t>
      </w:r>
      <w:r>
        <w:rPr>
          <w:rFonts w:hint="eastAsia" w:ascii="Times New Roman" w:hAnsi="Times New Roman" w:cs="宋体"/>
          <w:color w:val="auto"/>
          <w:sz w:val="24"/>
          <w:highlight w:val="none"/>
          <w:lang w:val="en-US" w:eastAsia="zh-CN"/>
        </w:rPr>
        <w:t>个</w:t>
      </w:r>
      <w:r>
        <w:rPr>
          <w:rFonts w:hint="eastAsia" w:cs="宋体"/>
          <w:color w:val="auto"/>
          <w:sz w:val="24"/>
          <w:lang w:val="en-US" w:eastAsia="zh-CN"/>
        </w:rPr>
        <w:t>工程项目（具体工程项目见表10），对其水泥基渗透结晶型防水材料防水工程的设计、施工、质量验收进行验证，结果表明按照本规范部分或全部要求进行的工程项目设计、施工和质量验收环节合理、有序，投入使用后均未发生渗漏情况。上述工程项目验证尤其证实了标准中5.1.3条、5.1.4条、5.1.5条、5.1.6条、5.2.1条、5.2.2条、5.2.4条、5.3.1条、5.3.5条、5.4.3条、6.1.7条、6.1.8条、7.2.6条、7.2.7条、7.3.5条等规定在实际工程应用中，满足了1.0.1条提出的“技术先进、质量可靠、经济合理、安全环保”的要求。</w:t>
      </w:r>
    </w:p>
    <w:p w14:paraId="29C4C89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0" w:firstLineChars="0"/>
        <w:jc w:val="center"/>
        <w:textAlignment w:val="auto"/>
        <w:rPr>
          <w:rFonts w:hint="default" w:ascii="黑体" w:hAnsi="黑体" w:eastAsia="黑体" w:cs="黑体"/>
          <w:b w:val="0"/>
          <w:bCs/>
          <w:color w:val="auto"/>
          <w:spacing w:val="0"/>
          <w:kern w:val="2"/>
          <w:sz w:val="24"/>
          <w:szCs w:val="24"/>
          <w:lang w:val="en-US" w:eastAsia="zh-CN"/>
        </w:rPr>
      </w:pPr>
      <w:r>
        <w:rPr>
          <w:rFonts w:hint="eastAsia" w:ascii="黑体" w:hAnsi="黑体" w:eastAsia="黑体" w:cs="黑体"/>
          <w:b w:val="0"/>
          <w:bCs/>
          <w:color w:val="auto"/>
          <w:spacing w:val="0"/>
          <w:kern w:val="2"/>
          <w:sz w:val="24"/>
          <w:szCs w:val="24"/>
          <w:lang w:val="en-US" w:eastAsia="zh-CN"/>
        </w:rPr>
        <w:t xml:space="preserve">表10  </w:t>
      </w:r>
      <w:r>
        <w:rPr>
          <w:rFonts w:hint="eastAsia" w:ascii="Times New Roman" w:hAnsi="Times New Roman" w:eastAsia="黑体" w:cs="黑体"/>
          <w:b w:val="0"/>
          <w:bCs/>
          <w:color w:val="auto"/>
          <w:spacing w:val="0"/>
          <w:kern w:val="2"/>
          <w:sz w:val="24"/>
          <w:szCs w:val="24"/>
          <w:lang w:val="en-US" w:eastAsia="zh-CN"/>
        </w:rPr>
        <w:t>工程项目验证</w:t>
      </w:r>
      <w:r>
        <w:rPr>
          <w:rFonts w:hint="eastAsia" w:ascii="黑体" w:hAnsi="黑体" w:eastAsia="黑体" w:cs="黑体"/>
          <w:b w:val="0"/>
          <w:bCs/>
          <w:color w:val="auto"/>
          <w:spacing w:val="0"/>
          <w:kern w:val="2"/>
          <w:sz w:val="24"/>
          <w:szCs w:val="24"/>
          <w:lang w:val="en-US" w:eastAsia="zh-CN"/>
        </w:rPr>
        <w:t>案例</w:t>
      </w:r>
    </w:p>
    <w:tbl>
      <w:tblPr>
        <w:tblStyle w:val="11"/>
        <w:tblW w:w="500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1002"/>
        <w:gridCol w:w="5920"/>
        <w:gridCol w:w="2252"/>
      </w:tblGrid>
      <w:tr w14:paraId="7387A10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18DEEFB8">
            <w:pPr>
              <w:shd w:val="clear" w:color="auto" w:fill="FFFFFF"/>
              <w:spacing w:line="24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序号</w:t>
            </w:r>
          </w:p>
        </w:tc>
        <w:tc>
          <w:tcPr>
            <w:tcW w:w="3226" w:type="pct"/>
            <w:noWrap w:val="0"/>
            <w:vAlign w:val="center"/>
          </w:tcPr>
          <w:p w14:paraId="4F5749F9">
            <w:pPr>
              <w:shd w:val="clear" w:color="auto" w:fill="FFFFFF"/>
              <w:spacing w:line="24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项目名称</w:t>
            </w:r>
          </w:p>
        </w:tc>
        <w:tc>
          <w:tcPr>
            <w:tcW w:w="1227" w:type="pct"/>
            <w:noWrap w:val="0"/>
            <w:vAlign w:val="center"/>
          </w:tcPr>
          <w:p w14:paraId="3D5E9A14">
            <w:pPr>
              <w:shd w:val="clear" w:color="auto" w:fill="FFFFFF"/>
              <w:spacing w:line="24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建设地点</w:t>
            </w:r>
          </w:p>
        </w:tc>
      </w:tr>
      <w:tr w14:paraId="0A03238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56AEBF0E">
            <w:pPr>
              <w:shd w:val="clear" w:color="auto" w:fill="FFFFFF"/>
              <w:spacing w:line="24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w:t>
            </w:r>
          </w:p>
        </w:tc>
        <w:tc>
          <w:tcPr>
            <w:tcW w:w="3226" w:type="pct"/>
            <w:noWrap w:val="0"/>
            <w:vAlign w:val="center"/>
          </w:tcPr>
          <w:p w14:paraId="0FC0141F">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color w:val="000000"/>
                <w:kern w:val="0"/>
                <w:sz w:val="21"/>
                <w:szCs w:val="21"/>
                <w:u w:val="none"/>
                <w:lang w:val="en-US" w:eastAsia="zh-CN" w:bidi="ar"/>
              </w:rPr>
              <w:t>济南地铁8号线</w:t>
            </w:r>
          </w:p>
        </w:tc>
        <w:tc>
          <w:tcPr>
            <w:tcW w:w="1227" w:type="pct"/>
            <w:noWrap w:val="0"/>
            <w:vAlign w:val="center"/>
          </w:tcPr>
          <w:p w14:paraId="5217DBDD">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济南市</w:t>
            </w:r>
          </w:p>
        </w:tc>
      </w:tr>
      <w:tr w14:paraId="30E111B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137688D6">
            <w:pPr>
              <w:shd w:val="clear" w:color="auto" w:fill="FFFFFF"/>
              <w:spacing w:line="24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3226" w:type="pct"/>
            <w:noWrap w:val="0"/>
            <w:vAlign w:val="center"/>
          </w:tcPr>
          <w:p w14:paraId="0D692E09">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color w:val="000000"/>
                <w:kern w:val="0"/>
                <w:sz w:val="21"/>
                <w:szCs w:val="21"/>
                <w:u w:val="none"/>
                <w:lang w:val="en-US" w:eastAsia="zh-CN" w:bidi="ar"/>
              </w:rPr>
              <w:t>绍兴地铁2号线</w:t>
            </w:r>
          </w:p>
        </w:tc>
        <w:tc>
          <w:tcPr>
            <w:tcW w:w="1227" w:type="pct"/>
            <w:noWrap w:val="0"/>
            <w:vAlign w:val="center"/>
          </w:tcPr>
          <w:p w14:paraId="09B34993">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绍兴市</w:t>
            </w:r>
          </w:p>
        </w:tc>
      </w:tr>
      <w:tr w14:paraId="506036A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1FE6FCF8">
            <w:pPr>
              <w:shd w:val="clear" w:color="auto" w:fill="FFFFFF"/>
              <w:spacing w:line="24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w:t>
            </w:r>
          </w:p>
        </w:tc>
        <w:tc>
          <w:tcPr>
            <w:tcW w:w="3226" w:type="pct"/>
            <w:noWrap w:val="0"/>
            <w:vAlign w:val="center"/>
          </w:tcPr>
          <w:p w14:paraId="253951E1">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color w:val="000000"/>
                <w:kern w:val="0"/>
                <w:sz w:val="21"/>
                <w:szCs w:val="21"/>
                <w:u w:val="none"/>
                <w:lang w:val="en-US" w:eastAsia="zh-CN" w:bidi="ar"/>
              </w:rPr>
              <w:t>杭州地铁18号线</w:t>
            </w:r>
          </w:p>
        </w:tc>
        <w:tc>
          <w:tcPr>
            <w:tcW w:w="1227" w:type="pct"/>
            <w:noWrap w:val="0"/>
            <w:vAlign w:val="center"/>
          </w:tcPr>
          <w:p w14:paraId="09BFAEF1">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杭州市</w:t>
            </w:r>
          </w:p>
        </w:tc>
      </w:tr>
      <w:tr w14:paraId="287A8C3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41D8CF26">
            <w:pPr>
              <w:shd w:val="clear" w:color="auto" w:fill="FFFFFF"/>
              <w:spacing w:line="24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3226" w:type="pct"/>
            <w:noWrap w:val="0"/>
            <w:vAlign w:val="center"/>
          </w:tcPr>
          <w:p w14:paraId="1BCAA342">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color w:val="000000"/>
                <w:kern w:val="0"/>
                <w:sz w:val="21"/>
                <w:szCs w:val="21"/>
                <w:u w:val="none"/>
                <w:lang w:val="en-US" w:eastAsia="zh-CN" w:bidi="ar"/>
              </w:rPr>
              <w:t>佛山地铁4号线</w:t>
            </w:r>
          </w:p>
        </w:tc>
        <w:tc>
          <w:tcPr>
            <w:tcW w:w="1227" w:type="pct"/>
            <w:noWrap w:val="0"/>
            <w:vAlign w:val="center"/>
          </w:tcPr>
          <w:p w14:paraId="0E5CA6F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佛山市</w:t>
            </w:r>
          </w:p>
        </w:tc>
      </w:tr>
      <w:tr w14:paraId="1486ECA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546" w:type="pct"/>
            <w:noWrap w:val="0"/>
            <w:vAlign w:val="center"/>
          </w:tcPr>
          <w:p w14:paraId="65091632">
            <w:pPr>
              <w:shd w:val="clear" w:color="auto" w:fill="FFFFFF"/>
              <w:spacing w:line="24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3226" w:type="pct"/>
            <w:noWrap w:val="0"/>
            <w:vAlign w:val="center"/>
          </w:tcPr>
          <w:p w14:paraId="371C29DE">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color w:val="000000"/>
                <w:kern w:val="0"/>
                <w:sz w:val="21"/>
                <w:szCs w:val="21"/>
                <w:u w:val="none"/>
                <w:lang w:val="en-US" w:eastAsia="zh-CN" w:bidi="ar"/>
              </w:rPr>
              <w:t>青岛胶东国际机场电力管廊项目</w:t>
            </w:r>
          </w:p>
        </w:tc>
        <w:tc>
          <w:tcPr>
            <w:tcW w:w="1227" w:type="pct"/>
            <w:noWrap w:val="0"/>
            <w:vAlign w:val="center"/>
          </w:tcPr>
          <w:p w14:paraId="3905E8B2">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青岛市胶州市</w:t>
            </w:r>
          </w:p>
        </w:tc>
      </w:tr>
      <w:tr w14:paraId="6E372AC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4D7138B5">
            <w:pPr>
              <w:shd w:val="clear" w:color="auto" w:fill="FFFFFF"/>
              <w:spacing w:line="24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3226" w:type="pct"/>
            <w:noWrap w:val="0"/>
            <w:vAlign w:val="center"/>
          </w:tcPr>
          <w:p w14:paraId="7A330819">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color w:val="000000"/>
                <w:kern w:val="0"/>
                <w:sz w:val="21"/>
                <w:szCs w:val="21"/>
                <w:u w:val="none"/>
                <w:lang w:val="en-US" w:eastAsia="zh-CN" w:bidi="ar"/>
              </w:rPr>
              <w:t>宁波奥体中心项目</w:t>
            </w:r>
          </w:p>
        </w:tc>
        <w:tc>
          <w:tcPr>
            <w:tcW w:w="1227" w:type="pct"/>
            <w:noWrap w:val="0"/>
            <w:vAlign w:val="center"/>
          </w:tcPr>
          <w:p w14:paraId="2C083139">
            <w:pPr>
              <w:keepNext w:val="0"/>
              <w:keepLines w:val="0"/>
              <w:widowControl/>
              <w:suppressLineNumbers w:val="0"/>
              <w:jc w:val="center"/>
              <w:textAlignment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宁波市江北区</w:t>
            </w:r>
          </w:p>
        </w:tc>
      </w:tr>
      <w:tr w14:paraId="58F2948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1873E3CB">
            <w:pPr>
              <w:shd w:val="clear" w:color="auto" w:fill="FFFFFF"/>
              <w:spacing w:line="24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3226" w:type="pct"/>
            <w:noWrap w:val="0"/>
            <w:vAlign w:val="center"/>
          </w:tcPr>
          <w:p w14:paraId="4A51DA0E">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color w:val="000000"/>
                <w:kern w:val="0"/>
                <w:sz w:val="21"/>
                <w:szCs w:val="21"/>
                <w:u w:val="none"/>
                <w:lang w:val="en-US" w:eastAsia="zh-CN" w:bidi="ar"/>
              </w:rPr>
              <w:t>苏州高岭土科创大厦项目</w:t>
            </w:r>
          </w:p>
        </w:tc>
        <w:tc>
          <w:tcPr>
            <w:tcW w:w="1227" w:type="pct"/>
            <w:noWrap w:val="0"/>
            <w:vAlign w:val="center"/>
          </w:tcPr>
          <w:p w14:paraId="65279855">
            <w:pPr>
              <w:keepNext w:val="0"/>
              <w:keepLines w:val="0"/>
              <w:widowControl/>
              <w:suppressLineNumbers w:val="0"/>
              <w:jc w:val="center"/>
              <w:textAlignment w:val="center"/>
              <w:rPr>
                <w:rFonts w:hint="default"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苏州市新区</w:t>
            </w:r>
          </w:p>
        </w:tc>
      </w:tr>
      <w:tr w14:paraId="765E73E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66CDA937">
            <w:pPr>
              <w:shd w:val="clear" w:color="auto" w:fill="FFFFFF"/>
              <w:spacing w:line="24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3226" w:type="pct"/>
            <w:noWrap w:val="0"/>
            <w:vAlign w:val="center"/>
          </w:tcPr>
          <w:p w14:paraId="5815BA22">
            <w:pPr>
              <w:keepNext w:val="0"/>
              <w:keepLines w:val="0"/>
              <w:widowControl/>
              <w:suppressLineNumbers w:val="0"/>
              <w:jc w:val="center"/>
              <w:textAlignment w:val="center"/>
              <w:rPr>
                <w:rFonts w:hint="eastAsia" w:ascii="宋体" w:hAnsi="宋体" w:eastAsia="宋体" w:cs="宋体"/>
                <w:color w:val="auto"/>
                <w:sz w:val="21"/>
                <w:szCs w:val="21"/>
                <w:highlight w:val="none"/>
                <w:lang w:val="en-US" w:eastAsia="zh-CN"/>
              </w:rPr>
            </w:pPr>
            <w:r>
              <w:rPr>
                <w:rFonts w:hint="eastAsia" w:ascii="宋体" w:hAnsi="宋体" w:eastAsia="宋体" w:cs="宋体"/>
                <w:i w:val="0"/>
                <w:iCs w:val="0"/>
                <w:color w:val="000000"/>
                <w:kern w:val="0"/>
                <w:sz w:val="21"/>
                <w:szCs w:val="21"/>
                <w:u w:val="none"/>
                <w:lang w:val="en-US" w:eastAsia="zh-CN" w:bidi="ar"/>
              </w:rPr>
              <w:t>苏州一醉皇冠假日酒店项目</w:t>
            </w:r>
          </w:p>
        </w:tc>
        <w:tc>
          <w:tcPr>
            <w:tcW w:w="1227" w:type="pct"/>
            <w:noWrap w:val="0"/>
            <w:vAlign w:val="center"/>
          </w:tcPr>
          <w:p w14:paraId="01F5B11A">
            <w:pPr>
              <w:keepNext w:val="0"/>
              <w:keepLines w:val="0"/>
              <w:widowControl/>
              <w:suppressLineNumbers w:val="0"/>
              <w:jc w:val="center"/>
              <w:textAlignment w:val="center"/>
              <w:rPr>
                <w:rFonts w:hint="default"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苏州市昆山市</w:t>
            </w:r>
          </w:p>
        </w:tc>
      </w:tr>
      <w:tr w14:paraId="68B7E1F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0473B283">
            <w:pPr>
              <w:shd w:val="clear" w:color="auto" w:fill="FFFFFF"/>
              <w:spacing w:line="240" w:lineRule="auto"/>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3226" w:type="pct"/>
            <w:noWrap w:val="0"/>
            <w:vAlign w:val="center"/>
          </w:tcPr>
          <w:p w14:paraId="484B9A24">
            <w:pPr>
              <w:shd w:val="clear" w:color="auto" w:fill="FFFFFF"/>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color w:val="auto"/>
                <w:sz w:val="21"/>
                <w:szCs w:val="21"/>
                <w:highlight w:val="none"/>
                <w:lang w:val="en-US" w:eastAsia="zh-CN"/>
              </w:rPr>
              <w:t>尚德园项目</w:t>
            </w:r>
          </w:p>
        </w:tc>
        <w:tc>
          <w:tcPr>
            <w:tcW w:w="1227" w:type="pct"/>
            <w:noWrap w:val="0"/>
            <w:vAlign w:val="center"/>
          </w:tcPr>
          <w:p w14:paraId="2AD24923">
            <w:pPr>
              <w:shd w:val="clear" w:color="auto" w:fill="FFFFFF"/>
              <w:spacing w:line="240" w:lineRule="auto"/>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sz w:val="21"/>
                <w:szCs w:val="21"/>
                <w:lang w:val="en-US" w:eastAsia="zh-CN"/>
              </w:rPr>
              <w:t>德州市德城区</w:t>
            </w:r>
          </w:p>
        </w:tc>
      </w:tr>
      <w:tr w14:paraId="257644E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3CA8ABFE">
            <w:pPr>
              <w:shd w:val="clear" w:color="auto" w:fill="FFFFFF"/>
              <w:spacing w:line="240" w:lineRule="auto"/>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3226" w:type="pct"/>
            <w:noWrap w:val="0"/>
            <w:vAlign w:val="center"/>
          </w:tcPr>
          <w:p w14:paraId="2332859F">
            <w:pPr>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sz w:val="21"/>
                <w:szCs w:val="21"/>
                <w:vertAlign w:val="baseline"/>
                <w:lang w:val="en-US" w:eastAsia="zh-CN"/>
              </w:rPr>
              <w:t>运河大社区西区安置区棚户区改造项目（二期）</w:t>
            </w:r>
          </w:p>
        </w:tc>
        <w:tc>
          <w:tcPr>
            <w:tcW w:w="1227" w:type="pct"/>
            <w:noWrap w:val="0"/>
            <w:vAlign w:val="center"/>
          </w:tcPr>
          <w:p w14:paraId="6447E354">
            <w:pPr>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sz w:val="21"/>
                <w:szCs w:val="21"/>
                <w:vertAlign w:val="baseline"/>
                <w:lang w:val="en-US" w:eastAsia="zh-CN"/>
              </w:rPr>
              <w:t>德州市运河经济技术开发区</w:t>
            </w:r>
          </w:p>
        </w:tc>
      </w:tr>
      <w:tr w14:paraId="5596B1C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2942ACC2">
            <w:pPr>
              <w:shd w:val="clear" w:color="auto" w:fill="FFFFFF"/>
              <w:spacing w:line="240" w:lineRule="auto"/>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11</w:t>
            </w:r>
          </w:p>
        </w:tc>
        <w:tc>
          <w:tcPr>
            <w:tcW w:w="3226" w:type="pct"/>
            <w:noWrap w:val="0"/>
            <w:vAlign w:val="center"/>
          </w:tcPr>
          <w:p w14:paraId="4CD2B5C1">
            <w:pPr>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sz w:val="21"/>
                <w:szCs w:val="21"/>
                <w:vertAlign w:val="baseline"/>
                <w:lang w:val="en-US" w:eastAsia="zh-CN"/>
              </w:rPr>
              <w:t>济南市城投经贸生态港科创产业园项目（一期）</w:t>
            </w:r>
          </w:p>
        </w:tc>
        <w:tc>
          <w:tcPr>
            <w:tcW w:w="1227" w:type="pct"/>
            <w:noWrap w:val="0"/>
            <w:vAlign w:val="center"/>
          </w:tcPr>
          <w:p w14:paraId="4ED385EA">
            <w:pPr>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sz w:val="21"/>
                <w:szCs w:val="21"/>
                <w:vertAlign w:val="baseline"/>
                <w:lang w:val="en-US" w:eastAsia="zh-CN"/>
              </w:rPr>
              <w:t>济南市历城区</w:t>
            </w:r>
          </w:p>
        </w:tc>
      </w:tr>
      <w:tr w14:paraId="0E380E0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291F8ED8">
            <w:pPr>
              <w:shd w:val="clear" w:color="auto" w:fill="FFFFFF"/>
              <w:spacing w:line="240" w:lineRule="auto"/>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12</w:t>
            </w:r>
          </w:p>
        </w:tc>
        <w:tc>
          <w:tcPr>
            <w:tcW w:w="3226" w:type="pct"/>
            <w:noWrap w:val="0"/>
            <w:vAlign w:val="center"/>
          </w:tcPr>
          <w:p w14:paraId="75516F0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琼海市体育馆游泳馆项目</w:t>
            </w:r>
          </w:p>
        </w:tc>
        <w:tc>
          <w:tcPr>
            <w:tcW w:w="1227" w:type="pct"/>
            <w:noWrap w:val="0"/>
            <w:vAlign w:val="center"/>
          </w:tcPr>
          <w:p w14:paraId="327DD7B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海南省琼海市</w:t>
            </w:r>
          </w:p>
        </w:tc>
      </w:tr>
      <w:tr w14:paraId="076CBEC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74F1E3B6">
            <w:pPr>
              <w:shd w:val="clear" w:color="auto" w:fill="FFFFFF"/>
              <w:spacing w:line="240" w:lineRule="auto"/>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13</w:t>
            </w:r>
          </w:p>
        </w:tc>
        <w:tc>
          <w:tcPr>
            <w:tcW w:w="3226" w:type="pct"/>
            <w:noWrap w:val="0"/>
            <w:vAlign w:val="center"/>
          </w:tcPr>
          <w:p w14:paraId="0941CF2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海南省工银大厦</w:t>
            </w:r>
          </w:p>
        </w:tc>
        <w:tc>
          <w:tcPr>
            <w:tcW w:w="1227" w:type="pct"/>
            <w:noWrap w:val="0"/>
            <w:vAlign w:val="center"/>
          </w:tcPr>
          <w:p w14:paraId="3D0ACF66">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海口市美兰区</w:t>
            </w:r>
          </w:p>
        </w:tc>
      </w:tr>
      <w:tr w14:paraId="3CAB0A8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24AC20E3">
            <w:pPr>
              <w:shd w:val="clear" w:color="auto" w:fill="FFFFFF"/>
              <w:spacing w:line="240" w:lineRule="auto"/>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14</w:t>
            </w:r>
          </w:p>
        </w:tc>
        <w:tc>
          <w:tcPr>
            <w:tcW w:w="3226" w:type="pct"/>
            <w:noWrap w:val="0"/>
            <w:vAlign w:val="center"/>
          </w:tcPr>
          <w:p w14:paraId="5DF5B5E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盐城在水一方商住楼</w:t>
            </w:r>
          </w:p>
        </w:tc>
        <w:tc>
          <w:tcPr>
            <w:tcW w:w="1227" w:type="pct"/>
            <w:noWrap w:val="0"/>
            <w:vAlign w:val="center"/>
          </w:tcPr>
          <w:p w14:paraId="45AA836C">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盐城市亭湖区</w:t>
            </w:r>
          </w:p>
        </w:tc>
      </w:tr>
      <w:tr w14:paraId="389D87C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42086818">
            <w:pPr>
              <w:shd w:val="clear" w:color="auto" w:fill="FFFFFF"/>
              <w:spacing w:line="240" w:lineRule="auto"/>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15</w:t>
            </w:r>
          </w:p>
        </w:tc>
        <w:tc>
          <w:tcPr>
            <w:tcW w:w="3226" w:type="pct"/>
            <w:noWrap w:val="0"/>
            <w:vAlign w:val="center"/>
          </w:tcPr>
          <w:p w14:paraId="35DDDDC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三亚杜威国际学校项目</w:t>
            </w:r>
          </w:p>
        </w:tc>
        <w:tc>
          <w:tcPr>
            <w:tcW w:w="1227" w:type="pct"/>
            <w:noWrap w:val="0"/>
            <w:vAlign w:val="center"/>
          </w:tcPr>
          <w:p w14:paraId="371029A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三亚市海棠区</w:t>
            </w:r>
          </w:p>
        </w:tc>
      </w:tr>
      <w:tr w14:paraId="1051E6F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63CB5A7F">
            <w:pPr>
              <w:shd w:val="clear" w:color="auto" w:fill="FFFFFF"/>
              <w:spacing w:line="240" w:lineRule="auto"/>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16</w:t>
            </w:r>
          </w:p>
        </w:tc>
        <w:tc>
          <w:tcPr>
            <w:tcW w:w="3226" w:type="pct"/>
            <w:noWrap w:val="0"/>
            <w:vAlign w:val="center"/>
          </w:tcPr>
          <w:p w14:paraId="3F87398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“丁祠花苑”三期新增规划区域保障性住房工程</w:t>
            </w:r>
          </w:p>
        </w:tc>
        <w:tc>
          <w:tcPr>
            <w:tcW w:w="1227" w:type="pct"/>
            <w:noWrap w:val="0"/>
            <w:vAlign w:val="center"/>
          </w:tcPr>
          <w:p w14:paraId="418258B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南通市海安市</w:t>
            </w:r>
          </w:p>
        </w:tc>
      </w:tr>
      <w:tr w14:paraId="342FCF5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24471C7C">
            <w:pPr>
              <w:shd w:val="clear" w:color="auto" w:fill="FFFFFF"/>
              <w:spacing w:line="240" w:lineRule="auto"/>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17</w:t>
            </w:r>
          </w:p>
        </w:tc>
        <w:tc>
          <w:tcPr>
            <w:tcW w:w="3226" w:type="pct"/>
            <w:noWrap w:val="0"/>
            <w:vAlign w:val="center"/>
          </w:tcPr>
          <w:p w14:paraId="7C9373E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海安市海陵中学北校区少年儿童体育学校建设项目</w:t>
            </w:r>
          </w:p>
        </w:tc>
        <w:tc>
          <w:tcPr>
            <w:tcW w:w="1227" w:type="pct"/>
            <w:noWrap w:val="0"/>
            <w:vAlign w:val="center"/>
          </w:tcPr>
          <w:p w14:paraId="3A9FD51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南通市海安市</w:t>
            </w:r>
          </w:p>
        </w:tc>
      </w:tr>
      <w:tr w14:paraId="4515AD1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jc w:val="center"/>
        </w:trPr>
        <w:tc>
          <w:tcPr>
            <w:tcW w:w="546" w:type="pct"/>
            <w:noWrap w:val="0"/>
            <w:vAlign w:val="center"/>
          </w:tcPr>
          <w:p w14:paraId="1BCF1668">
            <w:pPr>
              <w:shd w:val="clear" w:color="auto" w:fill="FFFFFF"/>
              <w:spacing w:line="240" w:lineRule="auto"/>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18</w:t>
            </w:r>
          </w:p>
        </w:tc>
        <w:tc>
          <w:tcPr>
            <w:tcW w:w="3226" w:type="pct"/>
            <w:noWrap w:val="0"/>
            <w:vAlign w:val="center"/>
          </w:tcPr>
          <w:p w14:paraId="144820A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彭一住宅小区旧住房拆除重建工程防水项目</w:t>
            </w:r>
          </w:p>
        </w:tc>
        <w:tc>
          <w:tcPr>
            <w:tcW w:w="1227" w:type="pct"/>
            <w:noWrap w:val="0"/>
            <w:vAlign w:val="center"/>
          </w:tcPr>
          <w:p w14:paraId="52D1899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上海市静安区</w:t>
            </w:r>
          </w:p>
        </w:tc>
      </w:tr>
    </w:tbl>
    <w:p w14:paraId="32D4343B">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宋体" w:cs="宋体"/>
          <w:b w:val="0"/>
          <w:bCs/>
          <w:color w:val="auto"/>
          <w:spacing w:val="0"/>
          <w:kern w:val="2"/>
          <w:sz w:val="24"/>
          <w:szCs w:val="24"/>
          <w:lang w:val="en-US" w:eastAsia="zh-CN" w:bidi="ar-SA"/>
        </w:rPr>
      </w:pPr>
      <w:r>
        <w:rPr>
          <w:rFonts w:hint="eastAsia" w:ascii="Times New Roman" w:hAnsi="Times New Roman" w:eastAsia="宋体" w:cs="宋体"/>
          <w:b/>
          <w:bCs w:val="0"/>
          <w:color w:val="auto"/>
          <w:spacing w:val="0"/>
          <w:kern w:val="2"/>
          <w:sz w:val="24"/>
          <w:szCs w:val="24"/>
          <w:lang w:val="en-US" w:eastAsia="zh-CN" w:bidi="ar-SA"/>
        </w:rPr>
        <w:t>四、标准中如果涉及专利，应有明确的知识产权说明</w:t>
      </w:r>
    </w:p>
    <w:p w14:paraId="248F29D1">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本规范不涉及专利，不会影响该产品专利的知识产权保护问题。</w:t>
      </w:r>
    </w:p>
    <w:p w14:paraId="084D595E">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宋体" w:cs="宋体"/>
          <w:b/>
          <w:bCs w:val="0"/>
          <w:color w:val="auto"/>
          <w:spacing w:val="0"/>
          <w:kern w:val="2"/>
          <w:sz w:val="24"/>
          <w:szCs w:val="24"/>
          <w:lang w:val="en-US" w:eastAsia="zh-CN" w:bidi="ar-SA"/>
        </w:rPr>
      </w:pPr>
      <w:r>
        <w:rPr>
          <w:rFonts w:hint="eastAsia" w:ascii="Times New Roman" w:hAnsi="Times New Roman" w:eastAsia="宋体" w:cs="宋体"/>
          <w:b/>
          <w:bCs w:val="0"/>
          <w:color w:val="auto"/>
          <w:spacing w:val="0"/>
          <w:kern w:val="2"/>
          <w:sz w:val="24"/>
          <w:szCs w:val="24"/>
          <w:lang w:val="en-US" w:eastAsia="zh-CN" w:bidi="ar-SA"/>
        </w:rPr>
        <w:t>五、产业化情况、推广应用论证和预期达到的经济效果等情况</w:t>
      </w:r>
    </w:p>
    <w:p w14:paraId="1A1A1383">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eastAsia" w:ascii="Times New Roman" w:hAnsi="Times New Roman" w:eastAsia="黑体" w:cs="黑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rPr>
        <w:t>（一）经济效益、社会效益、产业规模、推广应用、工程应用情况、预期达到的经济、社会效益</w:t>
      </w:r>
    </w:p>
    <w:p w14:paraId="545A5719">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1.经济效益：通过规范</w:t>
      </w:r>
      <w:r>
        <w:rPr>
          <w:rFonts w:hint="eastAsia" w:cs="宋体"/>
          <w:color w:val="auto"/>
          <w:sz w:val="24"/>
          <w:lang w:val="en-US" w:eastAsia="zh-CN"/>
        </w:rPr>
        <w:t>水泥基渗透结晶型防水材料</w:t>
      </w:r>
      <w:r>
        <w:rPr>
          <w:rFonts w:hint="eastAsia" w:ascii="Times New Roman" w:hAnsi="Times New Roman" w:eastAsia="宋体" w:cs="宋体"/>
          <w:b w:val="0"/>
          <w:bCs/>
          <w:color w:val="auto"/>
          <w:spacing w:val="0"/>
          <w:kern w:val="2"/>
          <w:sz w:val="24"/>
          <w:szCs w:val="24"/>
          <w:lang w:val="en-US" w:eastAsia="zh-CN"/>
        </w:rPr>
        <w:t xml:space="preserve">防水工程的材料选择、施工工艺和技术要求，有助于降低工程成本，降低工程渗漏率，提高经济效益。标准中的技术要求和指标能够促进资源的合理利用，减少浪费，提高资源利用效率。随着规范的实施，将推动相关产业的标准化、规范化发展，有助于企业拓展市场，增加就业机会。 </w:t>
      </w:r>
    </w:p>
    <w:p w14:paraId="1CF10953">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2.社会效益：本规范的实施将提高</w:t>
      </w:r>
      <w:r>
        <w:rPr>
          <w:rFonts w:hint="eastAsia" w:cs="宋体"/>
          <w:color w:val="auto"/>
          <w:sz w:val="24"/>
          <w:lang w:val="en-US" w:eastAsia="zh-CN"/>
        </w:rPr>
        <w:t>水泥基渗透结晶型防水材料</w:t>
      </w:r>
      <w:r>
        <w:rPr>
          <w:rFonts w:hint="eastAsia" w:ascii="Times New Roman" w:hAnsi="Times New Roman" w:eastAsia="宋体" w:cs="宋体"/>
          <w:b w:val="0"/>
          <w:bCs/>
          <w:color w:val="auto"/>
          <w:spacing w:val="0"/>
          <w:kern w:val="2"/>
          <w:sz w:val="24"/>
          <w:szCs w:val="24"/>
          <w:lang w:val="en-US" w:eastAsia="zh-CN"/>
        </w:rPr>
        <w:t xml:space="preserve">防水工程质量，延长建筑使用寿命，保障基础设施和民生工程的安全和稳定。高质量的防水工程将提升基础设施和民生工程信任感和安全感，提升民众住房居住体验，有助于社会和谐稳定。标准中强调的材料选择、设计要点、施工工艺等要求有助于减少环境污染，促进可持续发展。 </w:t>
      </w:r>
    </w:p>
    <w:p w14:paraId="584ED4AB">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3.产业规模：首先，随着人们生活水平的提高，对于住宅和商业建筑的防水要求越来越高，尤其是在剧烈气候变化的影响下，建筑物需要更加强大和可靠的防水材料。其次，基础设施建设的不断推进也为</w:t>
      </w:r>
      <w:r>
        <w:rPr>
          <w:rFonts w:hint="eastAsia" w:cs="宋体"/>
          <w:color w:val="auto"/>
          <w:sz w:val="24"/>
          <w:lang w:val="en-US" w:eastAsia="zh-CN"/>
        </w:rPr>
        <w:t>水泥基渗透结晶型防水材料</w:t>
      </w:r>
      <w:r>
        <w:rPr>
          <w:rFonts w:hint="eastAsia" w:ascii="Times New Roman" w:hAnsi="Times New Roman" w:eastAsia="宋体" w:cs="宋体"/>
          <w:b w:val="0"/>
          <w:bCs/>
          <w:color w:val="auto"/>
          <w:spacing w:val="0"/>
          <w:kern w:val="2"/>
          <w:sz w:val="24"/>
          <w:szCs w:val="24"/>
          <w:lang w:val="en-US" w:eastAsia="zh-CN"/>
        </w:rPr>
        <w:t>的发展提供了机遇。另外，环保和健康意识的提升也将促进</w:t>
      </w:r>
      <w:r>
        <w:rPr>
          <w:rFonts w:hint="eastAsia" w:cs="宋体"/>
          <w:color w:val="auto"/>
          <w:sz w:val="24"/>
          <w:lang w:val="en-US" w:eastAsia="zh-CN"/>
        </w:rPr>
        <w:t>水泥基渗透结晶型防水材料</w:t>
      </w:r>
      <w:r>
        <w:rPr>
          <w:rFonts w:hint="eastAsia" w:ascii="Times New Roman" w:hAnsi="Times New Roman" w:eastAsia="宋体" w:cs="宋体"/>
          <w:b w:val="0"/>
          <w:bCs/>
          <w:color w:val="auto"/>
          <w:spacing w:val="0"/>
          <w:kern w:val="2"/>
          <w:sz w:val="24"/>
          <w:szCs w:val="24"/>
          <w:lang w:val="en-US" w:eastAsia="zh-CN"/>
        </w:rPr>
        <w:t>的市场需求。相对于传统防水材料，</w:t>
      </w:r>
      <w:r>
        <w:rPr>
          <w:rFonts w:hint="eastAsia" w:cs="宋体"/>
          <w:color w:val="auto"/>
          <w:sz w:val="24"/>
          <w:lang w:val="en-US" w:eastAsia="zh-CN"/>
        </w:rPr>
        <w:t>水泥基渗透结晶型防水材料</w:t>
      </w:r>
      <w:r>
        <w:rPr>
          <w:rFonts w:hint="eastAsia" w:ascii="Times New Roman" w:hAnsi="Times New Roman" w:eastAsia="宋体" w:cs="宋体"/>
          <w:b w:val="0"/>
          <w:bCs/>
          <w:color w:val="auto"/>
          <w:spacing w:val="0"/>
          <w:kern w:val="2"/>
          <w:sz w:val="24"/>
          <w:szCs w:val="24"/>
          <w:lang w:val="en-US" w:eastAsia="zh-CN"/>
        </w:rPr>
        <w:t>更加环保健康，符合现代社会的可持续发展理念。标准的实施将提高</w:t>
      </w:r>
      <w:r>
        <w:rPr>
          <w:rFonts w:hint="eastAsia" w:cs="宋体"/>
          <w:color w:val="auto"/>
          <w:sz w:val="24"/>
          <w:lang w:val="en-US" w:eastAsia="zh-CN"/>
        </w:rPr>
        <w:t>水泥基渗透结晶型防水材料</w:t>
      </w:r>
      <w:r>
        <w:rPr>
          <w:rFonts w:hint="eastAsia" w:ascii="Times New Roman" w:hAnsi="Times New Roman" w:eastAsia="宋体" w:cs="宋体"/>
          <w:b w:val="0"/>
          <w:bCs/>
          <w:color w:val="auto"/>
          <w:spacing w:val="0"/>
          <w:kern w:val="2"/>
          <w:sz w:val="24"/>
          <w:szCs w:val="24"/>
          <w:lang w:val="en-US" w:eastAsia="zh-CN"/>
        </w:rPr>
        <w:t>的应用技术门槛，淘汰落后工艺，优势企业整合资源，实现规模化发展。带动上下游产业协同发展，如原材料供应、施工设备制造等产业产业规模也相应扩大。</w:t>
      </w:r>
    </w:p>
    <w:p w14:paraId="4F830E46">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 xml:space="preserve">4.推广应用：设计院、开发单位、施工单位等对符合该规范的产品认可度提升，更多工程项目优先选用。随着宣传普及，行业对本规范的理解与执行度提高，产品应用范围从传统建筑防水领域，拓展至更多对防水要求严苛的特殊工程，将带动更多地区和行业采用这一技术，推动其广泛应用。 </w:t>
      </w:r>
    </w:p>
    <w:p w14:paraId="61DD9AF7">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5.工程应用情况：在</w:t>
      </w:r>
      <w:r>
        <w:rPr>
          <w:rFonts w:hint="eastAsia" w:cs="宋体"/>
          <w:b w:val="0"/>
          <w:bCs/>
          <w:color w:val="auto"/>
          <w:spacing w:val="0"/>
          <w:kern w:val="2"/>
          <w:sz w:val="24"/>
          <w:szCs w:val="24"/>
          <w:lang w:val="en-US" w:eastAsia="zh-CN"/>
        </w:rPr>
        <w:t>上海、</w:t>
      </w:r>
      <w:r>
        <w:rPr>
          <w:rFonts w:hint="eastAsia" w:ascii="Times New Roman" w:hAnsi="Times New Roman" w:eastAsia="宋体" w:cs="宋体"/>
          <w:b w:val="0"/>
          <w:bCs/>
          <w:color w:val="auto"/>
          <w:spacing w:val="0"/>
          <w:kern w:val="2"/>
          <w:sz w:val="24"/>
          <w:szCs w:val="24"/>
          <w:lang w:val="en-US" w:eastAsia="zh-CN"/>
        </w:rPr>
        <w:t>江苏、广东、</w:t>
      </w:r>
      <w:r>
        <w:rPr>
          <w:rFonts w:hint="eastAsia" w:cs="宋体"/>
          <w:b w:val="0"/>
          <w:bCs/>
          <w:color w:val="auto"/>
          <w:spacing w:val="0"/>
          <w:kern w:val="2"/>
          <w:sz w:val="24"/>
          <w:szCs w:val="24"/>
          <w:lang w:val="en-US" w:eastAsia="zh-CN"/>
        </w:rPr>
        <w:t>浙江、</w:t>
      </w:r>
      <w:r>
        <w:rPr>
          <w:rFonts w:hint="eastAsia" w:ascii="Times New Roman" w:hAnsi="Times New Roman" w:eastAsia="宋体" w:cs="宋体"/>
          <w:b w:val="0"/>
          <w:bCs/>
          <w:color w:val="auto"/>
          <w:spacing w:val="0"/>
          <w:kern w:val="2"/>
          <w:sz w:val="24"/>
          <w:szCs w:val="24"/>
          <w:lang w:val="en-US" w:eastAsia="zh-CN"/>
        </w:rPr>
        <w:t>山东</w:t>
      </w:r>
      <w:r>
        <w:rPr>
          <w:rFonts w:hint="eastAsia" w:cs="宋体"/>
          <w:b w:val="0"/>
          <w:bCs/>
          <w:color w:val="auto"/>
          <w:spacing w:val="0"/>
          <w:kern w:val="2"/>
          <w:sz w:val="24"/>
          <w:szCs w:val="24"/>
          <w:lang w:val="en-US" w:eastAsia="zh-CN"/>
        </w:rPr>
        <w:t>、海南</w:t>
      </w:r>
      <w:r>
        <w:rPr>
          <w:rFonts w:hint="eastAsia" w:ascii="Times New Roman" w:hAnsi="Times New Roman" w:eastAsia="宋体" w:cs="宋体"/>
          <w:b w:val="0"/>
          <w:bCs/>
          <w:color w:val="auto"/>
          <w:spacing w:val="0"/>
          <w:kern w:val="2"/>
          <w:sz w:val="24"/>
          <w:szCs w:val="24"/>
          <w:lang w:val="en-US" w:eastAsia="zh-CN"/>
        </w:rPr>
        <w:t>、辽宁等多个过程中得到应用，在地下防水工程、</w:t>
      </w:r>
      <w:r>
        <w:rPr>
          <w:rFonts w:hint="eastAsia" w:cs="宋体"/>
          <w:b w:val="0"/>
          <w:bCs/>
          <w:color w:val="auto"/>
          <w:spacing w:val="0"/>
          <w:kern w:val="2"/>
          <w:sz w:val="24"/>
          <w:szCs w:val="24"/>
          <w:lang w:val="en-US" w:eastAsia="zh-CN"/>
        </w:rPr>
        <w:t>室内防水工程、水池防水</w:t>
      </w:r>
      <w:r>
        <w:rPr>
          <w:rFonts w:hint="eastAsia" w:ascii="Times New Roman" w:hAnsi="Times New Roman" w:eastAsia="宋体" w:cs="宋体"/>
          <w:b w:val="0"/>
          <w:bCs/>
          <w:color w:val="auto"/>
          <w:spacing w:val="0"/>
          <w:kern w:val="2"/>
          <w:sz w:val="24"/>
          <w:szCs w:val="24"/>
          <w:lang w:val="en-US" w:eastAsia="zh-CN"/>
        </w:rPr>
        <w:t>工程</w:t>
      </w:r>
      <w:r>
        <w:rPr>
          <w:rFonts w:hint="eastAsia" w:cs="宋体"/>
          <w:b w:val="0"/>
          <w:bCs/>
          <w:color w:val="auto"/>
          <w:spacing w:val="0"/>
          <w:kern w:val="2"/>
          <w:sz w:val="24"/>
          <w:szCs w:val="24"/>
          <w:lang w:val="en-US" w:eastAsia="zh-CN"/>
        </w:rPr>
        <w:t>等工程</w:t>
      </w:r>
      <w:r>
        <w:rPr>
          <w:rFonts w:hint="eastAsia" w:ascii="Times New Roman" w:hAnsi="Times New Roman" w:eastAsia="宋体" w:cs="宋体"/>
          <w:b w:val="0"/>
          <w:bCs/>
          <w:color w:val="auto"/>
          <w:spacing w:val="0"/>
          <w:kern w:val="2"/>
          <w:sz w:val="24"/>
          <w:szCs w:val="24"/>
          <w:lang w:val="en-US" w:eastAsia="zh-CN"/>
        </w:rPr>
        <w:t>中表现出色。如某地铁隧道防水工程，</w:t>
      </w:r>
      <w:r>
        <w:rPr>
          <w:rFonts w:hint="eastAsia" w:cs="宋体"/>
          <w:b w:val="0"/>
          <w:bCs/>
          <w:color w:val="auto"/>
          <w:spacing w:val="0"/>
          <w:kern w:val="2"/>
          <w:sz w:val="24"/>
          <w:szCs w:val="24"/>
          <w:lang w:val="en-US" w:eastAsia="zh-CN"/>
        </w:rPr>
        <w:t>按规范要求</w:t>
      </w:r>
      <w:r>
        <w:rPr>
          <w:rFonts w:hint="eastAsia" w:ascii="Times New Roman" w:hAnsi="Times New Roman" w:eastAsia="宋体" w:cs="宋体"/>
          <w:b w:val="0"/>
          <w:bCs/>
          <w:color w:val="auto"/>
          <w:spacing w:val="0"/>
          <w:kern w:val="2"/>
          <w:sz w:val="24"/>
          <w:szCs w:val="24"/>
          <w:lang w:val="en-US" w:eastAsia="zh-CN"/>
        </w:rPr>
        <w:t>应用水泥基渗透结晶型防水材料后，有效抵御地下水侵蚀，确保隧道长期安全稳定运行，防水效果得到充分验证 。</w:t>
      </w:r>
    </w:p>
    <w:p w14:paraId="23F63726">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6.预期经济效益：高质量的水泥基渗透结晶型防水材料防水工程将显著降低建筑防水渗漏率，大幅减少渗漏引发的结构损坏、内饰修复、设备故障等各类经济损失，预计可降低后期维修成本40%以上 ；同时显著提高防水工程使用寿命，将常规防水工程10</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15年的使用寿命延长至25</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30年，减少工程二次防水改造投入，降低建筑全生命周期运营成本，带来长期稳定的经济效益。标准的实施将有效带动上下游产业链协同升级发展，上游推动水泥、渗透结晶母料、活性二氧化硅微粉等原材料企业提升产品质量、优化产能结构，下游带动施工设备企业研发适配该材料的智能化施工设备，如智能化高压喷涂设备、自动搅拌输送一体化设备等 ，相较于传统人工及半机械化施工，可使施工效率提升30%以上，降低人工成本25%左右，同时减少施工过程中的材料浪费，进一步压缩施工成本。据中国建筑材料联合会市场监测中心统计及行业调研数据预测 ，标准实施后三年内，我国水泥基渗透结晶型防水材料市场规模将从2024年的49.8亿元增长至2027年的68.5亿元，年复合增长率达11.2%，进一步推动防水行业产业结构优化，带动相关产业就业与经济增长，助力建筑行业向高质量、低碳化、集约化方向发展，实现经济效益与产业效益的双重提升。</w:t>
      </w:r>
    </w:p>
    <w:p w14:paraId="34A47F4D">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7.预期社会效益：本规范的实施将促进水泥基渗透结晶型防水材料的可持续发展，提高整体社会效益和经济效益。以地铁隧道项目为例，采用符合</w:t>
      </w:r>
      <w:r>
        <w:rPr>
          <w:rFonts w:hint="eastAsia" w:cs="宋体"/>
          <w:b w:val="0"/>
          <w:bCs/>
          <w:color w:val="auto"/>
          <w:spacing w:val="0"/>
          <w:kern w:val="2"/>
          <w:sz w:val="24"/>
          <w:szCs w:val="24"/>
          <w:lang w:val="en-US" w:eastAsia="zh-CN"/>
        </w:rPr>
        <w:t>本规范</w:t>
      </w:r>
      <w:r>
        <w:rPr>
          <w:rFonts w:hint="eastAsia" w:ascii="Times New Roman" w:hAnsi="Times New Roman" w:eastAsia="宋体" w:cs="宋体"/>
          <w:b w:val="0"/>
          <w:bCs/>
          <w:color w:val="auto"/>
          <w:spacing w:val="0"/>
          <w:kern w:val="2"/>
          <w:sz w:val="24"/>
          <w:szCs w:val="24"/>
          <w:lang w:val="en-US" w:eastAsia="zh-CN"/>
        </w:rPr>
        <w:t>的</w:t>
      </w:r>
      <w:r>
        <w:rPr>
          <w:rFonts w:hint="eastAsia" w:cs="宋体"/>
          <w:b w:val="0"/>
          <w:bCs/>
          <w:color w:val="auto"/>
          <w:spacing w:val="0"/>
          <w:kern w:val="2"/>
          <w:sz w:val="24"/>
          <w:szCs w:val="24"/>
          <w:lang w:val="en-US" w:eastAsia="zh-CN"/>
        </w:rPr>
        <w:t>应用技术</w:t>
      </w:r>
      <w:r>
        <w:rPr>
          <w:rFonts w:hint="eastAsia" w:ascii="Times New Roman" w:hAnsi="Times New Roman" w:eastAsia="宋体" w:cs="宋体"/>
          <w:b w:val="0"/>
          <w:bCs/>
          <w:color w:val="auto"/>
          <w:spacing w:val="0"/>
          <w:kern w:val="2"/>
          <w:sz w:val="24"/>
          <w:szCs w:val="24"/>
          <w:lang w:val="en-US" w:eastAsia="zh-CN"/>
        </w:rPr>
        <w:t>后，渗漏率从旧标准时期的20%</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30%15%降至5%以下，显著降低了后期维修成本。同时，</w:t>
      </w:r>
      <w:r>
        <w:rPr>
          <w:rFonts w:hint="eastAsia" w:cs="宋体"/>
          <w:b w:val="0"/>
          <w:bCs/>
          <w:color w:val="auto"/>
          <w:spacing w:val="0"/>
          <w:kern w:val="2"/>
          <w:sz w:val="24"/>
          <w:szCs w:val="24"/>
          <w:lang w:val="en-US" w:eastAsia="zh-CN"/>
        </w:rPr>
        <w:t>规范</w:t>
      </w:r>
      <w:r>
        <w:rPr>
          <w:rFonts w:hint="eastAsia" w:ascii="Times New Roman" w:hAnsi="Times New Roman" w:eastAsia="宋体" w:cs="宋体"/>
          <w:b w:val="0"/>
          <w:bCs/>
          <w:color w:val="auto"/>
          <w:spacing w:val="0"/>
          <w:kern w:val="2"/>
          <w:sz w:val="24"/>
          <w:szCs w:val="24"/>
          <w:lang w:val="en-US" w:eastAsia="zh-CN"/>
        </w:rPr>
        <w:t>推动了行业绿色转型，减少了施工过程中的环境污染。在极端气候频发的当下，该标准为我国北方寒区、南方高温高湿地区的建筑提供了可靠的防水解决方案，保障了基础设施的长期安全运行，间接促进了区域经济发展。</w:t>
      </w:r>
    </w:p>
    <w:p w14:paraId="31084B5B">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1"/>
        <w:rPr>
          <w:rFonts w:hint="eastAsia" w:ascii="Times New Roman" w:hAnsi="Times New Roman" w:eastAsia="黑体" w:cs="黑体"/>
          <w:b w:val="0"/>
          <w:bCs/>
          <w:color w:val="auto"/>
          <w:spacing w:val="0"/>
          <w:kern w:val="2"/>
          <w:sz w:val="24"/>
          <w:szCs w:val="24"/>
          <w:lang w:val="en-US" w:eastAsia="zh-CN"/>
        </w:rPr>
      </w:pPr>
      <w:r>
        <w:rPr>
          <w:rFonts w:hint="eastAsia" w:ascii="Times New Roman" w:hAnsi="Times New Roman" w:eastAsia="黑体" w:cs="黑体"/>
          <w:b w:val="0"/>
          <w:bCs/>
          <w:color w:val="auto"/>
          <w:spacing w:val="0"/>
          <w:kern w:val="2"/>
          <w:sz w:val="24"/>
          <w:szCs w:val="24"/>
          <w:lang w:val="en-US" w:eastAsia="zh-CN"/>
        </w:rPr>
        <w:t>（二）本标准指标的技术先进性以及本标准的发布对行业及社会发展的促进作用，即与“宜业尚品造福人类”的相关性</w:t>
      </w:r>
    </w:p>
    <w:p w14:paraId="5FCE1699">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 xml:space="preserve">1.技术先进性： </w:t>
      </w:r>
    </w:p>
    <w:p w14:paraId="7BF2926F">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 xml:space="preserve">1）创新引领：本规范中的技术要求和指标体现了行业内的最新技术和研究成果，具有创新性。 </w:t>
      </w:r>
    </w:p>
    <w:p w14:paraId="33408B01">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 xml:space="preserve">2）提升技术水平：本规范的实施将推动相关企业提升技术水平，加强技术创新和研发能力。 </w:t>
      </w:r>
    </w:p>
    <w:p w14:paraId="0DAF3878">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 xml:space="preserve">2.行业发展： </w:t>
      </w:r>
    </w:p>
    <w:p w14:paraId="2545716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 xml:space="preserve">1）促进标准化：本规范的实施将推动水泥基渗透结晶型防水材料应用技术的标准化、规范化发展。 </w:t>
      </w:r>
    </w:p>
    <w:p w14:paraId="1634F679">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 xml:space="preserve">2）提升国际竞争力：随着本规范的普及和应用，将提升我国在这一领域的国际竞争力，促进国际合作与交流。 </w:t>
      </w:r>
    </w:p>
    <w:p w14:paraId="105A966B">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水泥基渗透结晶型防水材料应用技术规范》的颁布实施与“宜业尚品造福人类”的理念紧密相关。规范的实施将促进相关产业的健康发展，提供更多的就业机会，同时提升防水工程的质量和安全性，为公众创造更加安全、便捷、舒适的环境。此外，本规范中的环保和可持续发展要求也有助于保护生态环境，实现人与自然的和谐共生。</w:t>
      </w:r>
    </w:p>
    <w:p w14:paraId="1E9C7D78">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bCs w:val="0"/>
          <w:color w:val="auto"/>
          <w:spacing w:val="0"/>
          <w:kern w:val="2"/>
          <w:sz w:val="24"/>
          <w:szCs w:val="24"/>
          <w:lang w:val="en-US" w:eastAsia="zh-CN" w:bidi="ar-SA"/>
        </w:rPr>
        <w:t>六、采用国际标准和国外先进标准情况，与国际、国外同类标准水平的对比情况，国内外关键指标对比分析或与测试的国外样品、样机的相关数据对比情况:</w:t>
      </w:r>
    </w:p>
    <w:p w14:paraId="3248A19F">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目前未检索到与本规范直接相关的国际标准或国外先进标准。国外发达国家虽有同类产品和大量应用案例，但国外的产品说明书与技术资料只涉及了水泥基渗透结晶型防水材料的相关产品要求，并没有针对其应用相关的技术规范，无法对应用过程中的设计、材料选择、施工、质量验收等环节进行指导，并且国外相关技术文件与国内相关建筑防水标准规定存在差异，不符合我国建筑防水应用国情，难以采用。本规范仅借鉴参考针对该产品要求的相关国际技术指标。</w:t>
      </w:r>
    </w:p>
    <w:p w14:paraId="58B685DC">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宋体" w:cs="宋体"/>
          <w:b w:val="0"/>
          <w:bCs/>
          <w:color w:val="auto"/>
          <w:spacing w:val="0"/>
          <w:kern w:val="2"/>
          <w:sz w:val="24"/>
          <w:szCs w:val="24"/>
          <w:lang w:val="en-US" w:eastAsia="zh-CN" w:bidi="ar-SA"/>
        </w:rPr>
      </w:pPr>
      <w:r>
        <w:rPr>
          <w:rFonts w:hint="eastAsia" w:ascii="Times New Roman" w:hAnsi="Times New Roman" w:eastAsia="宋体" w:cs="宋体"/>
          <w:b/>
          <w:bCs w:val="0"/>
          <w:color w:val="auto"/>
          <w:spacing w:val="0"/>
          <w:kern w:val="2"/>
          <w:sz w:val="24"/>
          <w:szCs w:val="24"/>
          <w:lang w:val="en-US" w:eastAsia="zh-CN" w:bidi="ar-SA"/>
        </w:rPr>
        <w:t>七、与现行相关法律、法规、规章及相关标准，特别是强制性标准的协调性</w:t>
      </w:r>
    </w:p>
    <w:p w14:paraId="00BABA43">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本规范依据</w:t>
      </w:r>
      <w:r>
        <w:rPr>
          <w:rFonts w:hint="eastAsia" w:cs="宋体"/>
          <w:b w:val="0"/>
          <w:bCs/>
          <w:color w:val="auto"/>
          <w:spacing w:val="0"/>
          <w:kern w:val="2"/>
          <w:sz w:val="24"/>
          <w:szCs w:val="24"/>
          <w:lang w:val="en-US" w:eastAsia="zh-CN"/>
        </w:rPr>
        <w:t>现行</w:t>
      </w:r>
      <w:r>
        <w:rPr>
          <w:rFonts w:hint="eastAsia" w:ascii="Times New Roman" w:hAnsi="Times New Roman" w:eastAsia="宋体" w:cs="宋体"/>
          <w:b w:val="0"/>
          <w:bCs/>
          <w:color w:val="auto"/>
          <w:spacing w:val="0"/>
          <w:kern w:val="2"/>
          <w:sz w:val="24"/>
          <w:szCs w:val="24"/>
          <w:lang w:val="en-US" w:eastAsia="zh-CN"/>
        </w:rPr>
        <w:t>《建筑与市政工程防水通用规范》GB 55030、《水泥基渗透结晶型防水材料》</w:t>
      </w:r>
      <w:r>
        <w:rPr>
          <w:rFonts w:hint="eastAsia" w:cs="宋体"/>
          <w:b w:val="0"/>
          <w:bCs/>
          <w:color w:val="auto"/>
          <w:spacing w:val="0"/>
          <w:kern w:val="2"/>
          <w:sz w:val="24"/>
          <w:szCs w:val="24"/>
          <w:lang w:val="en-US" w:eastAsia="zh-CN"/>
        </w:rPr>
        <w:t>GB</w:t>
      </w:r>
      <w:r>
        <w:rPr>
          <w:rFonts w:hint="eastAsia" w:ascii="Times New Roman" w:hAnsi="Times New Roman" w:eastAsia="宋体" w:cs="宋体"/>
          <w:b w:val="0"/>
          <w:bCs/>
          <w:color w:val="auto"/>
          <w:spacing w:val="0"/>
          <w:kern w:val="2"/>
          <w:sz w:val="24"/>
          <w:szCs w:val="24"/>
          <w:lang w:val="en-US" w:eastAsia="zh-CN"/>
        </w:rPr>
        <w:t xml:space="preserve">/T </w:t>
      </w:r>
      <w:r>
        <w:rPr>
          <w:rFonts w:hint="eastAsia" w:cs="宋体"/>
          <w:b w:val="0"/>
          <w:bCs/>
          <w:color w:val="auto"/>
          <w:spacing w:val="0"/>
          <w:kern w:val="2"/>
          <w:sz w:val="24"/>
          <w:szCs w:val="24"/>
          <w:lang w:val="en-US" w:eastAsia="zh-CN"/>
        </w:rPr>
        <w:t>18445</w:t>
      </w:r>
      <w:r>
        <w:rPr>
          <w:rFonts w:hint="eastAsia" w:ascii="Times New Roman" w:hAnsi="Times New Roman" w:eastAsia="宋体" w:cs="宋体"/>
          <w:b w:val="0"/>
          <w:bCs/>
          <w:color w:val="auto"/>
          <w:spacing w:val="0"/>
          <w:kern w:val="2"/>
          <w:sz w:val="24"/>
          <w:szCs w:val="24"/>
          <w:lang w:val="en-US" w:eastAsia="zh-CN"/>
        </w:rPr>
        <w:t>，并与上述标准配套细化应用技术规范，满足《建筑与市政工程防水通用规范》GB 55030—2022对防水工程设计、施工、验收提出的新要求。通过制订本规范，从而来规范水泥基渗透结晶型防水材料设计、材料、施工和质量验收</w:t>
      </w:r>
      <w:r>
        <w:rPr>
          <w:rFonts w:hint="eastAsia" w:cs="宋体"/>
          <w:b w:val="0"/>
          <w:bCs/>
          <w:color w:val="auto"/>
          <w:spacing w:val="0"/>
          <w:kern w:val="2"/>
          <w:sz w:val="24"/>
          <w:szCs w:val="24"/>
          <w:lang w:val="en-US" w:eastAsia="zh-CN"/>
        </w:rPr>
        <w:t>，</w:t>
      </w:r>
      <w:r>
        <w:rPr>
          <w:rFonts w:hint="eastAsia" w:ascii="Times New Roman" w:hAnsi="Times New Roman" w:eastAsia="宋体" w:cs="宋体"/>
          <w:b w:val="0"/>
          <w:bCs/>
          <w:color w:val="auto"/>
          <w:spacing w:val="0"/>
          <w:kern w:val="2"/>
          <w:sz w:val="24"/>
          <w:szCs w:val="24"/>
          <w:lang w:val="en-US" w:eastAsia="zh-CN"/>
        </w:rPr>
        <w:t>真正达到完美防水工程效果，满足建筑防水工程质量的需要。</w:t>
      </w:r>
    </w:p>
    <w:p w14:paraId="1D025143">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本规范与国家标准</w:t>
      </w:r>
      <w:bookmarkStart w:id="25" w:name="OLE_LINK14"/>
      <w:r>
        <w:rPr>
          <w:rFonts w:hint="eastAsia" w:ascii="Times New Roman" w:hAnsi="Times New Roman" w:eastAsia="宋体" w:cs="宋体"/>
          <w:b w:val="0"/>
          <w:bCs/>
          <w:color w:val="auto"/>
          <w:spacing w:val="0"/>
          <w:kern w:val="2"/>
          <w:sz w:val="24"/>
          <w:szCs w:val="24"/>
          <w:lang w:val="en-US" w:eastAsia="zh-CN"/>
        </w:rPr>
        <w:t>《建筑与市政工程防水通用规范》GB 55030—2022、《住宅项目规范》GB 55038—2025、《地下工程防水技术规范》GB 50108—2008，行业标准《</w:t>
      </w:r>
      <w:r>
        <w:rPr>
          <w:rFonts w:hint="eastAsia" w:cs="宋体"/>
          <w:b w:val="0"/>
          <w:bCs/>
          <w:color w:val="auto"/>
          <w:spacing w:val="0"/>
          <w:kern w:val="2"/>
          <w:sz w:val="24"/>
          <w:szCs w:val="24"/>
          <w:lang w:val="en-US" w:eastAsia="zh-CN"/>
        </w:rPr>
        <w:t>住宅室内防水工程技术规范</w:t>
      </w:r>
      <w:r>
        <w:rPr>
          <w:rFonts w:hint="eastAsia" w:ascii="Times New Roman" w:hAnsi="Times New Roman" w:eastAsia="宋体" w:cs="宋体"/>
          <w:b w:val="0"/>
          <w:bCs/>
          <w:color w:val="auto"/>
          <w:spacing w:val="0"/>
          <w:kern w:val="2"/>
          <w:sz w:val="24"/>
          <w:szCs w:val="24"/>
          <w:lang w:val="en-US" w:eastAsia="zh-CN"/>
        </w:rPr>
        <w:t>》</w:t>
      </w:r>
      <w:bookmarkStart w:id="26" w:name="OLE_LINK11"/>
      <w:r>
        <w:rPr>
          <w:rFonts w:hint="eastAsia" w:ascii="Times New Roman" w:hAnsi="Times New Roman" w:eastAsia="宋体" w:cs="宋体"/>
          <w:b w:val="0"/>
          <w:bCs/>
          <w:color w:val="auto"/>
          <w:spacing w:val="0"/>
          <w:kern w:val="2"/>
          <w:sz w:val="24"/>
          <w:szCs w:val="24"/>
          <w:lang w:val="en-US" w:eastAsia="zh-CN"/>
        </w:rPr>
        <w:t xml:space="preserve">JGJ </w:t>
      </w:r>
      <w:bookmarkEnd w:id="26"/>
      <w:r>
        <w:rPr>
          <w:rFonts w:hint="eastAsia" w:cs="宋体"/>
          <w:b w:val="0"/>
          <w:bCs/>
          <w:color w:val="auto"/>
          <w:spacing w:val="0"/>
          <w:kern w:val="2"/>
          <w:sz w:val="24"/>
          <w:szCs w:val="24"/>
          <w:lang w:val="en-US" w:eastAsia="zh-CN"/>
        </w:rPr>
        <w:t>298</w:t>
      </w:r>
      <w:r>
        <w:rPr>
          <w:rFonts w:hint="eastAsia" w:ascii="Times New Roman" w:hAnsi="Times New Roman" w:eastAsia="宋体" w:cs="宋体"/>
          <w:b w:val="0"/>
          <w:bCs/>
          <w:color w:val="auto"/>
          <w:spacing w:val="0"/>
          <w:kern w:val="2"/>
          <w:sz w:val="24"/>
          <w:szCs w:val="24"/>
          <w:lang w:val="en-US" w:eastAsia="zh-CN"/>
        </w:rPr>
        <w:t>—20</w:t>
      </w:r>
      <w:r>
        <w:rPr>
          <w:rFonts w:hint="eastAsia" w:cs="宋体"/>
          <w:b w:val="0"/>
          <w:bCs/>
          <w:color w:val="auto"/>
          <w:spacing w:val="0"/>
          <w:kern w:val="2"/>
          <w:sz w:val="24"/>
          <w:szCs w:val="24"/>
          <w:lang w:val="en-US" w:eastAsia="zh-CN"/>
        </w:rPr>
        <w:t>13</w:t>
      </w:r>
      <w:bookmarkEnd w:id="25"/>
      <w:r>
        <w:rPr>
          <w:rFonts w:hint="eastAsia" w:ascii="Times New Roman" w:hAnsi="Times New Roman" w:eastAsia="宋体" w:cs="宋体"/>
          <w:b w:val="0"/>
          <w:bCs/>
          <w:color w:val="auto"/>
          <w:spacing w:val="0"/>
          <w:kern w:val="2"/>
          <w:sz w:val="24"/>
          <w:szCs w:val="24"/>
          <w:lang w:val="en-US" w:eastAsia="zh-CN"/>
        </w:rPr>
        <w:t>等有关标准相协调一致。并参考《地下工程水泥基渗透结晶型防水材料应用技术标准》DB</w:t>
      </w:r>
      <w:r>
        <w:rPr>
          <w:rFonts w:hint="eastAsia" w:cs="宋体"/>
          <w:b w:val="0"/>
          <w:bCs/>
          <w:color w:val="auto"/>
          <w:spacing w:val="0"/>
          <w:kern w:val="2"/>
          <w:sz w:val="24"/>
          <w:szCs w:val="24"/>
          <w:lang w:val="en-US" w:eastAsia="zh-CN"/>
        </w:rPr>
        <w:t>J51</w:t>
      </w:r>
      <w:r>
        <w:rPr>
          <w:rFonts w:hint="eastAsia" w:ascii="Times New Roman" w:hAnsi="Times New Roman" w:eastAsia="宋体" w:cs="宋体"/>
          <w:b w:val="0"/>
          <w:bCs/>
          <w:color w:val="auto"/>
          <w:spacing w:val="0"/>
          <w:kern w:val="2"/>
          <w:sz w:val="24"/>
          <w:szCs w:val="24"/>
          <w:lang w:val="en-US" w:eastAsia="zh-CN"/>
        </w:rPr>
        <w:t xml:space="preserve">/T </w:t>
      </w:r>
      <w:r>
        <w:rPr>
          <w:rFonts w:hint="eastAsia" w:cs="宋体"/>
          <w:b w:val="0"/>
          <w:bCs/>
          <w:color w:val="auto"/>
          <w:spacing w:val="0"/>
          <w:kern w:val="2"/>
          <w:sz w:val="24"/>
          <w:szCs w:val="24"/>
          <w:lang w:val="en-US" w:eastAsia="zh-CN"/>
        </w:rPr>
        <w:t>181</w:t>
      </w:r>
      <w:r>
        <w:rPr>
          <w:rFonts w:hint="eastAsia" w:ascii="Times New Roman" w:hAnsi="Times New Roman" w:eastAsia="宋体" w:cs="宋体"/>
          <w:b w:val="0"/>
          <w:bCs/>
          <w:color w:val="auto"/>
          <w:spacing w:val="0"/>
          <w:kern w:val="2"/>
          <w:sz w:val="24"/>
          <w:szCs w:val="24"/>
          <w:lang w:val="en-US" w:eastAsia="zh-CN"/>
        </w:rPr>
        <w:t>—20</w:t>
      </w:r>
      <w:r>
        <w:rPr>
          <w:rFonts w:hint="eastAsia" w:cs="宋体"/>
          <w:b w:val="0"/>
          <w:bCs/>
          <w:color w:val="auto"/>
          <w:spacing w:val="0"/>
          <w:kern w:val="2"/>
          <w:sz w:val="24"/>
          <w:szCs w:val="24"/>
          <w:lang w:val="en-US" w:eastAsia="zh-CN"/>
        </w:rPr>
        <w:t>21</w:t>
      </w:r>
      <w:r>
        <w:rPr>
          <w:rFonts w:hint="eastAsia" w:ascii="Times New Roman" w:hAnsi="Times New Roman" w:eastAsia="宋体" w:cs="宋体"/>
          <w:b w:val="0"/>
          <w:bCs/>
          <w:color w:val="auto"/>
          <w:spacing w:val="0"/>
          <w:kern w:val="2"/>
          <w:sz w:val="24"/>
          <w:szCs w:val="24"/>
          <w:lang w:val="en-US" w:eastAsia="zh-CN"/>
        </w:rPr>
        <w:t xml:space="preserve">、《聚合物水泥、渗透结晶型防水材料应用技术规程》T/CECS </w:t>
      </w:r>
      <w:r>
        <w:rPr>
          <w:rFonts w:hint="eastAsia" w:cs="宋体"/>
          <w:b w:val="0"/>
          <w:bCs/>
          <w:color w:val="auto"/>
          <w:spacing w:val="0"/>
          <w:kern w:val="2"/>
          <w:sz w:val="24"/>
          <w:szCs w:val="24"/>
          <w:lang w:val="en-US" w:eastAsia="zh-CN"/>
        </w:rPr>
        <w:t>195：2006</w:t>
      </w:r>
      <w:r>
        <w:rPr>
          <w:rFonts w:hint="eastAsia" w:ascii="Times New Roman" w:hAnsi="Times New Roman" w:eastAsia="宋体" w:cs="宋体"/>
          <w:b w:val="0"/>
          <w:bCs/>
          <w:color w:val="auto"/>
          <w:spacing w:val="0"/>
          <w:kern w:val="2"/>
          <w:sz w:val="24"/>
          <w:szCs w:val="24"/>
          <w:lang w:val="en-US" w:eastAsia="zh-CN"/>
        </w:rPr>
        <w:t>、《水泥基渗透结晶型防水材料应用技术标准》T/</w:t>
      </w:r>
      <w:r>
        <w:rPr>
          <w:rFonts w:hint="eastAsia" w:cs="宋体"/>
          <w:b w:val="0"/>
          <w:bCs/>
          <w:color w:val="auto"/>
          <w:spacing w:val="0"/>
          <w:kern w:val="2"/>
          <w:sz w:val="24"/>
          <w:szCs w:val="24"/>
          <w:lang w:val="en-US" w:eastAsia="zh-CN"/>
        </w:rPr>
        <w:t>ASC</w:t>
      </w:r>
      <w:r>
        <w:rPr>
          <w:rFonts w:hint="eastAsia" w:ascii="Times New Roman" w:hAnsi="Times New Roman" w:eastAsia="宋体" w:cs="宋体"/>
          <w:b w:val="0"/>
          <w:bCs/>
          <w:color w:val="auto"/>
          <w:spacing w:val="0"/>
          <w:kern w:val="2"/>
          <w:sz w:val="24"/>
          <w:szCs w:val="24"/>
          <w:lang w:val="en-US" w:eastAsia="zh-CN"/>
        </w:rPr>
        <w:t xml:space="preserve"> </w:t>
      </w:r>
      <w:r>
        <w:rPr>
          <w:rFonts w:hint="eastAsia" w:cs="宋体"/>
          <w:b w:val="0"/>
          <w:bCs/>
          <w:color w:val="auto"/>
          <w:spacing w:val="0"/>
          <w:kern w:val="2"/>
          <w:sz w:val="24"/>
          <w:szCs w:val="24"/>
          <w:lang w:val="en-US" w:eastAsia="zh-CN"/>
        </w:rPr>
        <w:t>21</w:t>
      </w:r>
      <w:r>
        <w:rPr>
          <w:rFonts w:hint="eastAsia" w:ascii="Times New Roman" w:hAnsi="Times New Roman" w:eastAsia="宋体" w:cs="宋体"/>
          <w:b w:val="0"/>
          <w:bCs/>
          <w:color w:val="auto"/>
          <w:spacing w:val="0"/>
          <w:kern w:val="2"/>
          <w:sz w:val="24"/>
          <w:szCs w:val="24"/>
          <w:lang w:val="en-US" w:eastAsia="zh-CN"/>
        </w:rPr>
        <w:t>—</w:t>
      </w:r>
      <w:r>
        <w:rPr>
          <w:rFonts w:hint="eastAsia" w:cs="宋体"/>
          <w:b w:val="0"/>
          <w:bCs/>
          <w:color w:val="auto"/>
          <w:spacing w:val="0"/>
          <w:kern w:val="2"/>
          <w:sz w:val="24"/>
          <w:szCs w:val="24"/>
          <w:lang w:val="en-US" w:eastAsia="zh-CN"/>
        </w:rPr>
        <w:t>2021、《刚性防水工程技术规程》T/CECS 1004—2022</w:t>
      </w:r>
      <w:r>
        <w:rPr>
          <w:rFonts w:hint="eastAsia" w:ascii="Times New Roman" w:hAnsi="Times New Roman" w:eastAsia="宋体" w:cs="宋体"/>
          <w:b w:val="0"/>
          <w:bCs/>
          <w:color w:val="auto"/>
          <w:spacing w:val="0"/>
          <w:kern w:val="2"/>
          <w:sz w:val="24"/>
          <w:szCs w:val="24"/>
          <w:lang w:val="en-US" w:eastAsia="zh-CN"/>
        </w:rPr>
        <w:t>。本规范制定和实施后，与上述标准互为补充，将进一步完善防水工程领域的标准化体系，不仅推进水泥基渗透结晶型防水材料研发、生产、设计、施工，为相关生产单位、设计单位、施工单位及管理单位提供相关的依据，而且对行业的健康发展必将产生积极的作用，鼓励水泥基渗透结晶型防水材料技术的开发和应用，满足市场和工程需要。</w:t>
      </w:r>
    </w:p>
    <w:p w14:paraId="0BF4F2A6">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 xml:space="preserve">本规范与现行相关法律、法规、规章及强制性标准保持协调，无矛盾和冲突。 </w:t>
      </w:r>
    </w:p>
    <w:p w14:paraId="5E1C6283">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宋体" w:cs="宋体"/>
          <w:b w:val="0"/>
          <w:bCs/>
          <w:color w:val="auto"/>
          <w:spacing w:val="0"/>
          <w:kern w:val="2"/>
          <w:sz w:val="24"/>
          <w:szCs w:val="24"/>
          <w:lang w:val="en-US" w:eastAsia="zh-CN" w:bidi="ar-SA"/>
        </w:rPr>
      </w:pPr>
      <w:r>
        <w:rPr>
          <w:rFonts w:hint="eastAsia" w:ascii="Times New Roman" w:hAnsi="Times New Roman" w:eastAsia="宋体" w:cs="宋体"/>
          <w:b/>
          <w:bCs w:val="0"/>
          <w:color w:val="auto"/>
          <w:spacing w:val="0"/>
          <w:kern w:val="2"/>
          <w:sz w:val="24"/>
          <w:szCs w:val="24"/>
          <w:lang w:val="en-US" w:eastAsia="zh-CN" w:bidi="ar-SA"/>
        </w:rPr>
        <w:t>八、重大分歧意见的处理经过和依据</w:t>
      </w:r>
    </w:p>
    <w:p w14:paraId="3144C0F1">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在</w:t>
      </w:r>
      <w:r>
        <w:rPr>
          <w:rFonts w:hint="eastAsia" w:cs="宋体"/>
          <w:b w:val="0"/>
          <w:bCs/>
          <w:color w:val="auto"/>
          <w:spacing w:val="0"/>
          <w:kern w:val="2"/>
          <w:sz w:val="24"/>
          <w:szCs w:val="24"/>
          <w:lang w:val="en-US" w:eastAsia="zh-CN"/>
        </w:rPr>
        <w:t>规范</w:t>
      </w:r>
      <w:r>
        <w:rPr>
          <w:rFonts w:hint="eastAsia" w:ascii="Times New Roman" w:hAnsi="Times New Roman" w:eastAsia="宋体" w:cs="宋体"/>
          <w:b w:val="0"/>
          <w:bCs/>
          <w:color w:val="auto"/>
          <w:spacing w:val="0"/>
          <w:kern w:val="2"/>
          <w:sz w:val="24"/>
          <w:szCs w:val="24"/>
          <w:lang w:val="en-US" w:eastAsia="zh-CN"/>
        </w:rPr>
        <w:t>的编制过程中，广泛征求了行业相关单位和业内专家的意见和建议，主要针对规范规定的各项技术要求和指标做了深入研讨，各家单位和行业专家结合自身的工作经验和实验验证提出了作为数据支撑的有力依据，最终对规范要求达成一致。编制过程中对规范的主要内容并未产生重大意见分歧。</w:t>
      </w:r>
    </w:p>
    <w:p w14:paraId="28D12491">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宋体" w:cs="宋体"/>
          <w:b w:val="0"/>
          <w:bCs/>
          <w:color w:val="auto"/>
          <w:spacing w:val="0"/>
          <w:kern w:val="2"/>
          <w:sz w:val="24"/>
          <w:szCs w:val="24"/>
          <w:lang w:val="en-US" w:eastAsia="zh-CN" w:bidi="ar-SA"/>
        </w:rPr>
      </w:pPr>
      <w:r>
        <w:rPr>
          <w:rFonts w:hint="eastAsia" w:ascii="Times New Roman" w:hAnsi="Times New Roman" w:eastAsia="宋体" w:cs="宋体"/>
          <w:b/>
          <w:bCs w:val="0"/>
          <w:color w:val="auto"/>
          <w:spacing w:val="0"/>
          <w:kern w:val="2"/>
          <w:sz w:val="24"/>
          <w:szCs w:val="24"/>
          <w:lang w:val="en-US" w:eastAsia="zh-CN" w:bidi="ar-SA"/>
        </w:rPr>
        <w:t>九、标准性质的建议说明</w:t>
      </w:r>
    </w:p>
    <w:p w14:paraId="3F292B53">
      <w:pPr>
        <w:shd w:val="clear" w:color="auto" w:fill="FFFFFF"/>
        <w:spacing w:line="360" w:lineRule="auto"/>
        <w:ind w:firstLine="480"/>
        <w:rPr>
          <w:bCs/>
          <w:iCs/>
          <w:color w:val="auto"/>
          <w:sz w:val="24"/>
          <w:highlight w:val="none"/>
        </w:rPr>
      </w:pPr>
      <w:r>
        <w:rPr>
          <w:rFonts w:hint="eastAsia"/>
          <w:iCs/>
          <w:color w:val="auto"/>
          <w:sz w:val="24"/>
          <w:highlight w:val="none"/>
        </w:rPr>
        <w:t>建议</w:t>
      </w:r>
      <w:r>
        <w:rPr>
          <w:iCs/>
          <w:color w:val="auto"/>
          <w:sz w:val="24"/>
          <w:highlight w:val="none"/>
        </w:rPr>
        <w:t>作为</w:t>
      </w:r>
      <w:r>
        <w:rPr>
          <w:rFonts w:hint="eastAsia"/>
          <w:iCs/>
          <w:color w:val="auto"/>
          <w:sz w:val="24"/>
          <w:highlight w:val="none"/>
        </w:rPr>
        <w:t>建材行业推荐标准实施。</w:t>
      </w:r>
    </w:p>
    <w:p w14:paraId="451E6947">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宋体" w:cs="宋体"/>
          <w:b w:val="0"/>
          <w:bCs/>
          <w:color w:val="auto"/>
          <w:spacing w:val="0"/>
          <w:kern w:val="2"/>
          <w:sz w:val="24"/>
          <w:szCs w:val="24"/>
          <w:lang w:val="en-US" w:eastAsia="zh-CN" w:bidi="ar-SA"/>
        </w:rPr>
      </w:pPr>
      <w:r>
        <w:rPr>
          <w:rFonts w:hint="eastAsia" w:ascii="Times New Roman" w:hAnsi="Times New Roman" w:eastAsia="宋体" w:cs="宋体"/>
          <w:b/>
          <w:bCs w:val="0"/>
          <w:color w:val="auto"/>
          <w:spacing w:val="0"/>
          <w:kern w:val="2"/>
          <w:sz w:val="24"/>
          <w:szCs w:val="24"/>
          <w:lang w:val="en-US" w:eastAsia="zh-CN" w:bidi="ar-SA"/>
        </w:rPr>
        <w:t>十、贯彻标准的要求和措施建议</w:t>
      </w:r>
    </w:p>
    <w:p w14:paraId="07166D56">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建议在本规范正式发布后，对相关设计、施工</w:t>
      </w:r>
      <w:r>
        <w:rPr>
          <w:rFonts w:hint="eastAsia" w:cs="宋体"/>
          <w:b w:val="0"/>
          <w:bCs/>
          <w:color w:val="auto"/>
          <w:spacing w:val="0"/>
          <w:kern w:val="2"/>
          <w:sz w:val="24"/>
          <w:szCs w:val="24"/>
          <w:lang w:val="en-US" w:eastAsia="zh-CN"/>
        </w:rPr>
        <w:t>、监理</w:t>
      </w:r>
      <w:r>
        <w:rPr>
          <w:rFonts w:hint="eastAsia" w:ascii="Times New Roman" w:hAnsi="Times New Roman" w:eastAsia="宋体" w:cs="宋体"/>
          <w:b w:val="0"/>
          <w:bCs/>
          <w:color w:val="auto"/>
          <w:spacing w:val="0"/>
          <w:kern w:val="2"/>
          <w:sz w:val="24"/>
          <w:szCs w:val="24"/>
          <w:lang w:val="en-US" w:eastAsia="zh-CN"/>
        </w:rPr>
        <w:t>企业进行宣贯。具体实施措施建议如下：</w:t>
      </w:r>
    </w:p>
    <w:p w14:paraId="10EC8DFE">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1）加大标准宣传力度，提高认知度，建立信息公共平台，将有参考价值的案例、好的做法和经验等在行业内部公开发布，引起有关部门领导和相关企业单位的重视，使相关单位能够积极主动的购买标准和资料、参加培训、结合本单位实际情况学习研究标准并准备贯彻实施标准。</w:t>
      </w:r>
    </w:p>
    <w:p w14:paraId="152555E9">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2）标准归口单位进行贯标指导，组织标准宣贯培训班，由标准制定人员主讲。设立专门的答疑或咨询部门或网站，为贯标企业排忧解难，组织有关人员积极参加行业协会组织的各项活动，培训班等。及时了解标准制、修订信息。</w:t>
      </w:r>
    </w:p>
    <w:p w14:paraId="1349E2BE">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3）鼓励行业相关企业或项目部成立标准贯彻实施小组，组员由技术负责人、质量负责人、标准化技术人员、设计人员、质检人员、施工技术人员等技术相关工作人员组成，进行明确的分工合作，适时组织标准宣贯会，使有关人员拥有标准、了解标准、熟悉标准，执行标准。</w:t>
      </w:r>
    </w:p>
    <w:p w14:paraId="31C64743">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ascii="Times New Roman" w:hAnsi="Times New Roman" w:eastAsia="宋体" w:cs="宋体"/>
          <w:b w:val="0"/>
          <w:bCs/>
          <w:color w:val="auto"/>
          <w:spacing w:val="0"/>
          <w:kern w:val="2"/>
          <w:sz w:val="24"/>
          <w:szCs w:val="24"/>
          <w:lang w:val="en-US" w:eastAsia="zh-CN"/>
        </w:rPr>
      </w:pPr>
      <w:r>
        <w:rPr>
          <w:rFonts w:hint="eastAsia" w:ascii="Times New Roman" w:hAnsi="Times New Roman" w:eastAsia="宋体" w:cs="宋体"/>
          <w:b w:val="0"/>
          <w:bCs/>
          <w:color w:val="auto"/>
          <w:spacing w:val="0"/>
          <w:kern w:val="2"/>
          <w:sz w:val="24"/>
          <w:szCs w:val="24"/>
          <w:lang w:val="en-US" w:eastAsia="zh-CN"/>
        </w:rPr>
        <w:t>（4）标准化技术人员全面负责贯标实施工作，跟踪服务对贯标中出现的技术问题进行协调处理作好贯标记录，并进行长期监督检查工作。</w:t>
      </w:r>
    </w:p>
    <w:p w14:paraId="16154F5E">
      <w:pPr>
        <w:keepNext w:val="0"/>
        <w:keepLines w:val="0"/>
        <w:pageBreakBefore w:val="0"/>
        <w:widowControl w:val="0"/>
        <w:numPr>
          <w:ilvl w:val="0"/>
          <w:numId w:val="6"/>
        </w:numPr>
        <w:kinsoku/>
        <w:wordWrap/>
        <w:overflowPunct/>
        <w:topLinePunct w:val="0"/>
        <w:autoSpaceDE/>
        <w:autoSpaceDN/>
        <w:bidi w:val="0"/>
        <w:adjustRightInd/>
        <w:snapToGrid/>
        <w:spacing w:before="157" w:beforeLines="50" w:after="157" w:afterLines="50" w:line="360" w:lineRule="auto"/>
        <w:jc w:val="both"/>
        <w:textAlignment w:val="auto"/>
        <w:outlineLvl w:val="0"/>
        <w:rPr>
          <w:rFonts w:hint="eastAsia" w:ascii="Times New Roman" w:hAnsi="Times New Roman" w:eastAsia="宋体" w:cs="宋体"/>
          <w:b/>
          <w:bCs w:val="0"/>
          <w:color w:val="auto"/>
          <w:spacing w:val="0"/>
          <w:kern w:val="2"/>
          <w:sz w:val="24"/>
          <w:szCs w:val="24"/>
          <w:lang w:val="en-US" w:eastAsia="zh-CN" w:bidi="ar-SA"/>
        </w:rPr>
      </w:pPr>
      <w:r>
        <w:rPr>
          <w:rFonts w:hint="eastAsia" w:ascii="Times New Roman" w:hAnsi="Times New Roman" w:eastAsia="宋体" w:cs="宋体"/>
          <w:b/>
          <w:bCs w:val="0"/>
          <w:color w:val="auto"/>
          <w:spacing w:val="0"/>
          <w:kern w:val="2"/>
          <w:sz w:val="24"/>
          <w:szCs w:val="24"/>
          <w:lang w:val="en-US" w:eastAsia="zh-CN" w:bidi="ar-SA"/>
        </w:rPr>
        <w:t>废止现行有关标准的建议。</w:t>
      </w:r>
    </w:p>
    <w:p w14:paraId="6FE1F012">
      <w:pPr>
        <w:shd w:val="clear" w:color="auto" w:fill="FFFFFF"/>
        <w:spacing w:line="300" w:lineRule="auto"/>
        <w:ind w:firstLine="424" w:firstLineChars="177"/>
        <w:rPr>
          <w:rFonts w:hint="eastAsia" w:ascii="Times New Roman" w:hAnsi="Times New Roman" w:eastAsia="宋体" w:cs="宋体"/>
          <w:b w:val="0"/>
          <w:bCs/>
          <w:color w:val="auto"/>
          <w:spacing w:val="0"/>
          <w:kern w:val="2"/>
          <w:sz w:val="21"/>
          <w:szCs w:val="21"/>
          <w:lang w:val="en-US" w:eastAsia="zh-CN"/>
        </w:rPr>
      </w:pPr>
      <w:r>
        <w:rPr>
          <w:rFonts w:hint="eastAsia"/>
          <w:bCs/>
          <w:iCs/>
          <w:color w:val="auto"/>
          <w:sz w:val="24"/>
          <w:highlight w:val="none"/>
        </w:rPr>
        <w:t>无。</w:t>
      </w:r>
    </w:p>
    <w:p w14:paraId="12B51626">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0"/>
        <w:rPr>
          <w:rFonts w:hint="eastAsia" w:ascii="Times New Roman" w:hAnsi="Times New Roman" w:eastAsia="宋体" w:cs="宋体"/>
          <w:b w:val="0"/>
          <w:bCs/>
          <w:color w:val="auto"/>
          <w:spacing w:val="0"/>
          <w:kern w:val="2"/>
          <w:sz w:val="24"/>
          <w:szCs w:val="24"/>
          <w:lang w:val="en-US" w:eastAsia="zh-CN" w:bidi="ar-SA"/>
        </w:rPr>
      </w:pPr>
      <w:r>
        <w:rPr>
          <w:rFonts w:hint="eastAsia" w:cs="宋体"/>
          <w:b/>
          <w:bCs w:val="0"/>
          <w:color w:val="auto"/>
          <w:spacing w:val="0"/>
          <w:kern w:val="2"/>
          <w:sz w:val="24"/>
          <w:szCs w:val="24"/>
          <w:lang w:val="en-US" w:eastAsia="zh-CN" w:bidi="ar-SA"/>
        </w:rPr>
        <w:t>十二、</w:t>
      </w:r>
      <w:r>
        <w:rPr>
          <w:rFonts w:hint="eastAsia" w:ascii="Times New Roman" w:hAnsi="Times New Roman" w:eastAsia="宋体" w:cs="宋体"/>
          <w:b/>
          <w:bCs w:val="0"/>
          <w:color w:val="auto"/>
          <w:spacing w:val="0"/>
          <w:kern w:val="2"/>
          <w:sz w:val="24"/>
          <w:szCs w:val="24"/>
          <w:lang w:val="en-US" w:eastAsia="zh-CN" w:bidi="ar-SA"/>
        </w:rPr>
        <w:t>其他应予说明的事项</w:t>
      </w:r>
    </w:p>
    <w:p w14:paraId="10B14BAF">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jc w:val="both"/>
        <w:textAlignment w:val="auto"/>
        <w:rPr>
          <w:rFonts w:hint="eastAsia" w:eastAsia="宋体"/>
          <w:bCs/>
          <w:iCs/>
          <w:color w:val="auto"/>
          <w:sz w:val="24"/>
          <w:highlight w:val="none"/>
          <w:lang w:val="en-US" w:eastAsia="zh-CN"/>
        </w:rPr>
      </w:pPr>
      <w:r>
        <w:rPr>
          <w:rFonts w:hint="eastAsia"/>
          <w:bCs/>
          <w:iCs/>
          <w:color w:val="auto"/>
          <w:sz w:val="24"/>
          <w:highlight w:val="none"/>
        </w:rPr>
        <mc:AlternateContent>
          <mc:Choice Requires="wps">
            <w:drawing>
              <wp:anchor distT="0" distB="0" distL="114300" distR="114300" simplePos="0" relativeHeight="251659264" behindDoc="0" locked="0" layoutInCell="1" allowOverlap="1">
                <wp:simplePos x="0" y="0"/>
                <wp:positionH relativeFrom="column">
                  <wp:posOffset>2157095</wp:posOffset>
                </wp:positionH>
                <wp:positionV relativeFrom="paragraph">
                  <wp:posOffset>3758565</wp:posOffset>
                </wp:positionV>
                <wp:extent cx="1767840" cy="0"/>
                <wp:effectExtent l="0" t="5080" r="0" b="4445"/>
                <wp:wrapNone/>
                <wp:docPr id="2" name="直接箭头连接符 2"/>
                <wp:cNvGraphicFramePr/>
                <a:graphic xmlns:a="http://schemas.openxmlformats.org/drawingml/2006/main">
                  <a:graphicData uri="http://schemas.microsoft.com/office/word/2010/wordprocessingShape">
                    <wps:wsp>
                      <wps:cNvCnPr>
                        <a:cxnSpLocks noChangeShapeType="1"/>
                      </wps:cNvCnPr>
                      <wps:spPr bwMode="auto">
                        <a:xfrm>
                          <a:off x="0" y="0"/>
                          <a:ext cx="1767840" cy="0"/>
                        </a:xfrm>
                        <a:prstGeom prst="straightConnector1">
                          <a:avLst/>
                        </a:prstGeom>
                        <a:noFill/>
                        <a:ln w="9525">
                          <a:solidFill>
                            <a:srgbClr val="000000"/>
                          </a:solidFill>
                          <a:round/>
                        </a:ln>
                        <a:effectLst/>
                      </wps:spPr>
                      <wps:bodyPr/>
                    </wps:wsp>
                  </a:graphicData>
                </a:graphic>
              </wp:anchor>
            </w:drawing>
          </mc:Choice>
          <mc:Fallback>
            <w:pict>
              <v:shape id="_x0000_s1026" o:spid="_x0000_s1026" o:spt="32" type="#_x0000_t32" style="position:absolute;left:0pt;margin-left:169.85pt;margin-top:295.95pt;height:0pt;width:139.2pt;z-index:251659264;mso-width-relative:page;mso-height-relative:page;" filled="f" stroked="t" coordsize="21600,21600" o:gfxdata="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Kaz8S2AAAAAsBAAAPAAAAAAAAAAEAIAAAACIAAABkcnMvZG93bnJldi54&#10;bWxQSwECFAAUAAAACACHTuJAz8GVDfoBAADMAwAADgAAAAAAAAABACAAAAAnAQAAZHJzL2Uyb0Rv&#10;Yy54bWxQSwUGAAAAAAYABgBZAQAAkwUAAAAA&#10;">
                <v:fill on="f" focussize="0,0"/>
                <v:stroke color="#000000" joinstyle="round"/>
                <v:imagedata o:title=""/>
                <o:lock v:ext="edit" aspectratio="f"/>
              </v:shape>
            </w:pict>
          </mc:Fallback>
        </mc:AlternateContent>
      </w:r>
      <w:r>
        <w:rPr>
          <w:rFonts w:hint="eastAsia" w:ascii="Times New Roman" w:hAnsi="Times New Roman" w:eastAsia="宋体" w:cs="宋体"/>
          <w:b w:val="0"/>
          <w:bCs/>
          <w:color w:val="auto"/>
          <w:spacing w:val="0"/>
          <w:kern w:val="2"/>
          <w:sz w:val="24"/>
          <w:szCs w:val="24"/>
          <w:lang w:val="en-US" w:eastAsia="zh-CN"/>
        </w:rPr>
        <w:t>本规范的主编单位中建材苏州防水研究院有限公司为主要的宣贯主体，将联合建材工业综合标准化技术委员会、</w:t>
      </w:r>
      <w:r>
        <w:rPr>
          <w:rFonts w:hint="eastAsia" w:cs="宋体"/>
          <w:b w:val="0"/>
          <w:bCs/>
          <w:color w:val="auto"/>
          <w:spacing w:val="0"/>
          <w:kern w:val="2"/>
          <w:sz w:val="24"/>
          <w:szCs w:val="24"/>
          <w:lang w:val="en-US" w:eastAsia="zh-CN"/>
        </w:rPr>
        <w:t>中国硅酸盐学会防水材料专业委员会，组织对</w:t>
      </w:r>
      <w:r>
        <w:rPr>
          <w:rFonts w:hint="eastAsia"/>
          <w:iCs/>
          <w:color w:val="auto"/>
          <w:sz w:val="24"/>
          <w:highlight w:val="none"/>
        </w:rPr>
        <w:t>上海凯顿百森建筑材料科技发展有限公司</w:t>
      </w:r>
      <w:r>
        <w:rPr>
          <w:rFonts w:hint="eastAsia"/>
          <w:iCs/>
          <w:color w:val="auto"/>
          <w:sz w:val="24"/>
          <w:highlight w:val="none"/>
          <w:lang w:eastAsia="zh-CN"/>
        </w:rPr>
        <w:t>、</w:t>
      </w:r>
      <w:r>
        <w:rPr>
          <w:rFonts w:hint="eastAsia"/>
          <w:iCs/>
          <w:color w:val="auto"/>
          <w:sz w:val="24"/>
          <w:highlight w:val="none"/>
        </w:rPr>
        <w:t>南京晶磊兴建材有限公司</w:t>
      </w:r>
      <w:r>
        <w:rPr>
          <w:rFonts w:hint="eastAsia"/>
          <w:iCs/>
          <w:color w:val="auto"/>
          <w:sz w:val="24"/>
          <w:highlight w:val="none"/>
          <w:lang w:eastAsia="zh-CN"/>
        </w:rPr>
        <w:t>、</w:t>
      </w:r>
      <w:r>
        <w:rPr>
          <w:rFonts w:hint="eastAsia"/>
          <w:iCs/>
          <w:color w:val="auto"/>
          <w:sz w:val="24"/>
          <w:highlight w:val="none"/>
        </w:rPr>
        <w:t>福州大匠环保建筑材料有限公司</w:t>
      </w:r>
      <w:r>
        <w:rPr>
          <w:rFonts w:hint="eastAsia"/>
          <w:iCs/>
          <w:color w:val="auto"/>
          <w:sz w:val="24"/>
          <w:highlight w:val="none"/>
          <w:lang w:eastAsia="zh-CN"/>
        </w:rPr>
        <w:t>、</w:t>
      </w:r>
      <w:r>
        <w:rPr>
          <w:rFonts w:hint="eastAsia"/>
          <w:iCs/>
          <w:color w:val="auto"/>
          <w:sz w:val="24"/>
          <w:highlight w:val="none"/>
        </w:rPr>
        <w:t>抑渗特</w:t>
      </w:r>
      <w:r>
        <w:rPr>
          <w:rFonts w:hint="eastAsia"/>
          <w:iCs/>
          <w:color w:val="auto"/>
          <w:sz w:val="24"/>
          <w:highlight w:val="none"/>
          <w:lang w:eastAsia="zh-CN"/>
        </w:rPr>
        <w:t>（</w:t>
      </w:r>
      <w:r>
        <w:rPr>
          <w:rFonts w:hint="eastAsia"/>
          <w:iCs/>
          <w:color w:val="auto"/>
          <w:sz w:val="24"/>
          <w:highlight w:val="none"/>
        </w:rPr>
        <w:t>上海</w:t>
      </w:r>
      <w:r>
        <w:rPr>
          <w:rFonts w:hint="eastAsia"/>
          <w:iCs/>
          <w:color w:val="auto"/>
          <w:sz w:val="24"/>
          <w:highlight w:val="none"/>
          <w:lang w:eastAsia="zh-CN"/>
        </w:rPr>
        <w:t>）</w:t>
      </w:r>
      <w:r>
        <w:rPr>
          <w:rFonts w:hint="eastAsia"/>
          <w:iCs/>
          <w:color w:val="auto"/>
          <w:sz w:val="24"/>
          <w:highlight w:val="none"/>
        </w:rPr>
        <w:t>材料科技有限公司</w:t>
      </w:r>
      <w:r>
        <w:rPr>
          <w:rFonts w:hint="eastAsia"/>
          <w:iCs/>
          <w:color w:val="auto"/>
          <w:sz w:val="24"/>
          <w:highlight w:val="none"/>
          <w:lang w:eastAsia="zh-CN"/>
        </w:rPr>
        <w:t>、</w:t>
      </w:r>
      <w:r>
        <w:rPr>
          <w:rFonts w:hint="eastAsia"/>
          <w:iCs/>
          <w:color w:val="auto"/>
          <w:sz w:val="24"/>
          <w:highlight w:val="none"/>
        </w:rPr>
        <w:t>佳固士新材料有限公司</w:t>
      </w:r>
      <w:r>
        <w:rPr>
          <w:rFonts w:hint="eastAsia"/>
          <w:iCs/>
          <w:color w:val="auto"/>
          <w:sz w:val="24"/>
          <w:highlight w:val="none"/>
          <w:lang w:eastAsia="zh-CN"/>
        </w:rPr>
        <w:t>、</w:t>
      </w:r>
      <w:r>
        <w:rPr>
          <w:rFonts w:hint="eastAsia"/>
          <w:iCs/>
          <w:color w:val="auto"/>
          <w:sz w:val="24"/>
          <w:highlight w:val="none"/>
        </w:rPr>
        <w:t>浙江益生宜居新材料科技有限公司</w:t>
      </w:r>
      <w:r>
        <w:rPr>
          <w:rFonts w:hint="eastAsia"/>
          <w:iCs/>
          <w:color w:val="auto"/>
          <w:sz w:val="24"/>
          <w:highlight w:val="none"/>
          <w:lang w:eastAsia="zh-CN"/>
        </w:rPr>
        <w:t>、</w:t>
      </w:r>
      <w:r>
        <w:rPr>
          <w:rFonts w:hint="eastAsia"/>
          <w:iCs/>
          <w:color w:val="auto"/>
          <w:sz w:val="24"/>
          <w:highlight w:val="none"/>
        </w:rPr>
        <w:t>云南欣城防水科技有限公司</w:t>
      </w:r>
      <w:r>
        <w:rPr>
          <w:rFonts w:hint="eastAsia"/>
          <w:iCs/>
          <w:color w:val="auto"/>
          <w:sz w:val="24"/>
          <w:highlight w:val="none"/>
          <w:lang w:eastAsia="zh-CN"/>
        </w:rPr>
        <w:t>、</w:t>
      </w:r>
      <w:r>
        <w:rPr>
          <w:rFonts w:hint="eastAsia"/>
          <w:iCs/>
          <w:color w:val="auto"/>
          <w:sz w:val="24"/>
          <w:highlight w:val="none"/>
        </w:rPr>
        <w:t>北京可立特科技发展有限公司</w:t>
      </w:r>
      <w:r>
        <w:rPr>
          <w:rFonts w:hint="eastAsia"/>
          <w:iCs/>
          <w:color w:val="auto"/>
          <w:sz w:val="24"/>
          <w:highlight w:val="none"/>
          <w:lang w:eastAsia="zh-CN"/>
        </w:rPr>
        <w:t>、</w:t>
      </w:r>
      <w:r>
        <w:rPr>
          <w:rFonts w:hint="eastAsia"/>
          <w:iCs/>
          <w:color w:val="auto"/>
          <w:sz w:val="24"/>
          <w:highlight w:val="none"/>
        </w:rPr>
        <w:t>日丰科技有限公司</w:t>
      </w:r>
      <w:r>
        <w:rPr>
          <w:rFonts w:hint="eastAsia"/>
          <w:iCs/>
          <w:color w:val="auto"/>
          <w:sz w:val="24"/>
          <w:highlight w:val="none"/>
          <w:lang w:eastAsia="zh-CN"/>
        </w:rPr>
        <w:t>、</w:t>
      </w:r>
      <w:r>
        <w:rPr>
          <w:rFonts w:hint="eastAsia"/>
          <w:iCs/>
          <w:color w:val="auto"/>
          <w:sz w:val="24"/>
          <w:highlight w:val="none"/>
        </w:rPr>
        <w:t>惠勒新材料科技（江苏）有限公司</w:t>
      </w:r>
      <w:r>
        <w:rPr>
          <w:rFonts w:hint="eastAsia" w:cs="宋体"/>
          <w:b w:val="0"/>
          <w:bCs/>
          <w:color w:val="auto"/>
          <w:spacing w:val="0"/>
          <w:kern w:val="2"/>
          <w:sz w:val="24"/>
          <w:szCs w:val="24"/>
          <w:lang w:val="en-US" w:eastAsia="zh-CN"/>
        </w:rPr>
        <w:t>等相关</w:t>
      </w:r>
      <w:r>
        <w:rPr>
          <w:rFonts w:hint="eastAsia" w:ascii="Times New Roman" w:hAnsi="Times New Roman" w:eastAsia="宋体" w:cs="宋体"/>
          <w:b w:val="0"/>
          <w:bCs/>
          <w:color w:val="auto"/>
          <w:spacing w:val="0"/>
          <w:kern w:val="2"/>
          <w:sz w:val="24"/>
          <w:szCs w:val="24"/>
          <w:lang w:val="en-US" w:eastAsia="zh-CN"/>
        </w:rPr>
        <w:t>生产厂家、施工企业、设计单位、科研</w:t>
      </w:r>
      <w:r>
        <w:rPr>
          <w:rFonts w:hint="eastAsia" w:cs="宋体"/>
          <w:b w:val="0"/>
          <w:bCs/>
          <w:color w:val="auto"/>
          <w:spacing w:val="0"/>
          <w:kern w:val="2"/>
          <w:sz w:val="24"/>
          <w:szCs w:val="24"/>
          <w:lang w:val="en-US" w:eastAsia="zh-CN"/>
        </w:rPr>
        <w:t>单位以及相关</w:t>
      </w:r>
      <w:r>
        <w:rPr>
          <w:rFonts w:hint="eastAsia" w:ascii="Times New Roman" w:hAnsi="Times New Roman" w:eastAsia="宋体" w:cs="宋体"/>
          <w:b w:val="0"/>
          <w:bCs/>
          <w:color w:val="auto"/>
          <w:spacing w:val="0"/>
          <w:kern w:val="2"/>
          <w:sz w:val="24"/>
          <w:szCs w:val="24"/>
          <w:lang w:val="en-US" w:eastAsia="zh-CN"/>
        </w:rPr>
        <w:t>检测机构等进行标准宣贯工作。具体做法包括：编制标准宣贯手册及图示解读材料，明确核心技术要求与工程应用要点；举办全国性线上线下相结合的宣贯培训班，由标准编制核心成员现场授课并答疑；搭建行业交流平台，分享典型工程应用案例与标准化施工示范视频；联合地方</w:t>
      </w:r>
      <w:r>
        <w:rPr>
          <w:rFonts w:hint="eastAsia" w:cs="宋体"/>
          <w:b w:val="0"/>
          <w:bCs/>
          <w:color w:val="auto"/>
          <w:spacing w:val="0"/>
          <w:kern w:val="2"/>
          <w:sz w:val="24"/>
          <w:szCs w:val="24"/>
          <w:lang w:val="en-US" w:eastAsia="zh-CN"/>
        </w:rPr>
        <w:t>建筑防水</w:t>
      </w:r>
      <w:r>
        <w:rPr>
          <w:rFonts w:hint="eastAsia" w:ascii="Times New Roman" w:hAnsi="Times New Roman" w:eastAsia="宋体" w:cs="宋体"/>
          <w:b w:val="0"/>
          <w:bCs/>
          <w:color w:val="auto"/>
          <w:spacing w:val="0"/>
          <w:kern w:val="2"/>
          <w:sz w:val="24"/>
          <w:szCs w:val="24"/>
          <w:lang w:val="en-US" w:eastAsia="zh-CN"/>
        </w:rPr>
        <w:t>行业协会开展区域化宣贯活动，精准覆盖重点应用市场；建立长效咨询机制，通过线上答疑通道及时回应行业单位在标准执行中的技术难题。</w:t>
      </w:r>
    </w:p>
    <w:sectPr>
      <w:headerReference r:id="rId7" w:type="default"/>
      <w:footerReference r:id="rId8" w:type="default"/>
      <w:pgSz w:w="11906" w:h="16838"/>
      <w:pgMar w:top="1588" w:right="1474" w:bottom="1304" w:left="1474" w:header="851" w:footer="992" w:gutter="0"/>
      <w:pgNumType w:fmt="numberInDash"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A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AE71C">
    <w:pPr>
      <w:pStyle w:val="6"/>
      <w:tabs>
        <w:tab w:val="center" w:pos="4677"/>
        <w:tab w:val="clear" w:pos="4153"/>
        <w:tab w:val="clear" w:pos="8306"/>
      </w:tabs>
      <w:ind w:firstLine="360"/>
      <w:jc w:val="both"/>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3B8833"/>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03B8833"/>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2196C5">
    <w:pPr>
      <w:pStyle w:val="6"/>
      <w:tabs>
        <w:tab w:val="center" w:pos="4677"/>
        <w:tab w:val="clear" w:pos="4153"/>
        <w:tab w:val="clear" w:pos="8306"/>
      </w:tabs>
      <w:ind w:firstLine="360"/>
      <w:jc w:val="both"/>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719006"/>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17719006"/>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C60E25">
    <w:pPr>
      <w:pStyle w:val="6"/>
      <w:tabs>
        <w:tab w:val="center" w:pos="4677"/>
        <w:tab w:val="clear" w:pos="4153"/>
        <w:tab w:val="clear" w:pos="8306"/>
      </w:tabs>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45551">
    <w:pPr>
      <w:pStyle w:val="6"/>
      <w:tabs>
        <w:tab w:val="center" w:pos="4677"/>
        <w:tab w:val="clear" w:pos="4153"/>
        <w:tab w:val="clear" w:pos="8306"/>
      </w:tabs>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70C4F">
    <w:pPr>
      <w:pStyle w:val="7"/>
    </w:pPr>
    <w:r>
      <w:rPr>
        <w:rFonts w:hint="eastAsia" w:ascii="黑体" w:hAnsi="黑体" w:eastAsia="黑体" w:cs="黑体"/>
        <w:lang w:val="en-US" w:eastAsia="zh-CN"/>
      </w:rPr>
      <w:t>建材行业标准</w:t>
    </w:r>
    <w:r>
      <w:rPr>
        <w:rFonts w:hint="eastAsia" w:ascii="黑体" w:hAnsi="黑体" w:eastAsia="黑体" w:cs="黑体"/>
      </w:rPr>
      <w:t>《</w:t>
    </w:r>
    <w:r>
      <w:rPr>
        <w:rFonts w:hint="eastAsia" w:ascii="黑体" w:hAnsi="黑体" w:eastAsia="黑体" w:cs="黑体"/>
        <w:lang w:val="en-US" w:eastAsia="zh-CN"/>
      </w:rPr>
      <w:t>水泥基渗透结晶型防水材料应用技术规范</w:t>
    </w:r>
    <w:r>
      <w:rPr>
        <w:rFonts w:hint="eastAsia" w:ascii="黑体" w:hAnsi="黑体" w:eastAsia="黑体" w:cs="黑体"/>
      </w:rPr>
      <w:t>》编制说明</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570E2">
    <w:pPr>
      <w:pStyle w:val="7"/>
      <w:rPr>
        <w:rFonts w:hint="default"/>
        <w:lang w:val="en-US"/>
      </w:rPr>
    </w:pPr>
    <w:r>
      <w:rPr>
        <w:rFonts w:hint="eastAsia" w:ascii="黑体" w:hAnsi="黑体" w:eastAsia="黑体" w:cs="黑体"/>
        <w:lang w:val="en-US" w:eastAsia="zh-CN"/>
      </w:rPr>
      <w:t>建材行业标准</w:t>
    </w:r>
    <w:r>
      <w:rPr>
        <w:rFonts w:hint="eastAsia" w:ascii="黑体" w:hAnsi="黑体" w:eastAsia="黑体" w:cs="黑体"/>
      </w:rPr>
      <w:t>《</w:t>
    </w:r>
    <w:r>
      <w:rPr>
        <w:rFonts w:hint="eastAsia" w:ascii="黑体" w:hAnsi="黑体" w:eastAsia="黑体" w:cs="黑体"/>
        <w:lang w:val="en-US" w:eastAsia="zh-CN"/>
      </w:rPr>
      <w:t>水泥基渗透结晶型防水材料应用技术规范</w:t>
    </w:r>
    <w:r>
      <w:rPr>
        <w:rFonts w:hint="eastAsia" w:ascii="黑体" w:hAnsi="黑体" w:eastAsia="黑体" w:cs="黑体"/>
      </w:rPr>
      <w:t>》编制说明</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62D59A9"/>
    <w:multiLevelType w:val="singleLevel"/>
    <w:tmpl w:val="F62D59A9"/>
    <w:lvl w:ilvl="0" w:tentative="0">
      <w:start w:val="3"/>
      <w:numFmt w:val="chineseCounting"/>
      <w:suff w:val="nothing"/>
      <w:lvlText w:val="%1、"/>
      <w:lvlJc w:val="left"/>
      <w:rPr>
        <w:rFonts w:hint="eastAsia"/>
      </w:rPr>
    </w:lvl>
  </w:abstractNum>
  <w:abstractNum w:abstractNumId="1">
    <w:nsid w:val="12B38B78"/>
    <w:multiLevelType w:val="singleLevel"/>
    <w:tmpl w:val="12B38B78"/>
    <w:lvl w:ilvl="0" w:tentative="0">
      <w:start w:val="11"/>
      <w:numFmt w:val="chineseCounting"/>
      <w:suff w:val="nothing"/>
      <w:lvlText w:val="%1、"/>
      <w:lvlJc w:val="left"/>
      <w:rPr>
        <w:rFonts w:hint="eastAsia"/>
      </w:rPr>
    </w:lvl>
  </w:abstractNum>
  <w:abstractNum w:abstractNumId="2">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1"/>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30"/>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646260FA"/>
    <w:multiLevelType w:val="multilevel"/>
    <w:tmpl w:val="646260FA"/>
    <w:lvl w:ilvl="0" w:tentative="0">
      <w:start w:val="1"/>
      <w:numFmt w:val="decimal"/>
      <w:pStyle w:val="33"/>
      <w:suff w:val="nothing"/>
      <w:lvlText w:val="表%1　"/>
      <w:lvlJc w:val="left"/>
      <w:pPr>
        <w:ind w:left="0" w:firstLine="0"/>
      </w:pPr>
      <w:rPr>
        <w:rFonts w:hint="eastAsia" w:ascii="黑体" w:hAnsi="Times New Roman" w:eastAsia="黑体"/>
        <w:b w:val="0"/>
        <w:i w:val="0"/>
        <w:color w:val="000000" w:themeColor="text1"/>
        <w:sz w:val="21"/>
        <w14:textFill>
          <w14:solidFill>
            <w14:schemeClr w14:val="tx1"/>
          </w14:solidFill>
        </w14:textFill>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4">
    <w:nsid w:val="6CEA2025"/>
    <w:multiLevelType w:val="multilevel"/>
    <w:tmpl w:val="6CEA2025"/>
    <w:lvl w:ilvl="0" w:tentative="0">
      <w:start w:val="1"/>
      <w:numFmt w:val="none"/>
      <w:pStyle w:val="23"/>
      <w:suff w:val="nothing"/>
      <w:lvlText w:val="%1"/>
      <w:lvlJc w:val="left"/>
      <w:pPr>
        <w:ind w:left="0" w:firstLine="0"/>
      </w:pPr>
      <w:rPr>
        <w:rFonts w:hint="default" w:ascii="Times New Roman" w:hAnsi="Times New Roman"/>
        <w:b/>
        <w:i w:val="0"/>
        <w:sz w:val="21"/>
      </w:rPr>
    </w:lvl>
    <w:lvl w:ilvl="1" w:tentative="0">
      <w:start w:val="1"/>
      <w:numFmt w:val="decimal"/>
      <w:pStyle w:val="24"/>
      <w:suff w:val="nothing"/>
      <w:lvlText w:val="%1%2　"/>
      <w:lvlJc w:val="left"/>
      <w:pPr>
        <w:ind w:left="0" w:firstLine="0"/>
      </w:pPr>
      <w:rPr>
        <w:rFonts w:hint="eastAsia" w:ascii="黑体" w:hAnsi="Times New Roman" w:eastAsia="黑体"/>
        <w:b w:val="0"/>
        <w:i w:val="0"/>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42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5">
    <w:nsid w:val="6DBF04F4"/>
    <w:multiLevelType w:val="multilevel"/>
    <w:tmpl w:val="6DBF04F4"/>
    <w:lvl w:ilvl="0" w:tentative="0">
      <w:start w:val="1"/>
      <w:numFmt w:val="none"/>
      <w:pStyle w:val="32"/>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2"/>
  </w:num>
  <w:num w:numId="2">
    <w:abstractNumId w:val="4"/>
  </w:num>
  <w:num w:numId="3">
    <w:abstractNumId w:val="5"/>
  </w:num>
  <w:num w:numId="4">
    <w:abstractNumId w:val="3"/>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Y1ZjQ2OTZjYTE4MzhiZjhjYjdlNWQ1ZTFiMjlkMzMifQ=="/>
  </w:docVars>
  <w:rsids>
    <w:rsidRoot w:val="00000000"/>
    <w:rsid w:val="00052A18"/>
    <w:rsid w:val="001A64C4"/>
    <w:rsid w:val="0023368B"/>
    <w:rsid w:val="00244288"/>
    <w:rsid w:val="00247343"/>
    <w:rsid w:val="002A31C0"/>
    <w:rsid w:val="00557FE0"/>
    <w:rsid w:val="007756C4"/>
    <w:rsid w:val="00920750"/>
    <w:rsid w:val="00A6244D"/>
    <w:rsid w:val="00BE32F3"/>
    <w:rsid w:val="00F83B7A"/>
    <w:rsid w:val="011253ED"/>
    <w:rsid w:val="011B0745"/>
    <w:rsid w:val="015570E6"/>
    <w:rsid w:val="0159126E"/>
    <w:rsid w:val="016C2D4F"/>
    <w:rsid w:val="01780EF9"/>
    <w:rsid w:val="017F6D8E"/>
    <w:rsid w:val="018C1643"/>
    <w:rsid w:val="01A81972"/>
    <w:rsid w:val="01A86BBB"/>
    <w:rsid w:val="01CE1272"/>
    <w:rsid w:val="01D84888"/>
    <w:rsid w:val="02063662"/>
    <w:rsid w:val="02290C40"/>
    <w:rsid w:val="02301FCF"/>
    <w:rsid w:val="02533F0F"/>
    <w:rsid w:val="02581886"/>
    <w:rsid w:val="025901A2"/>
    <w:rsid w:val="02702D13"/>
    <w:rsid w:val="028468FD"/>
    <w:rsid w:val="02C60B85"/>
    <w:rsid w:val="02D7069C"/>
    <w:rsid w:val="02EB239A"/>
    <w:rsid w:val="02F0175E"/>
    <w:rsid w:val="02F6727C"/>
    <w:rsid w:val="03231B33"/>
    <w:rsid w:val="03295D4B"/>
    <w:rsid w:val="032B375B"/>
    <w:rsid w:val="03496512"/>
    <w:rsid w:val="035E3114"/>
    <w:rsid w:val="035E4F33"/>
    <w:rsid w:val="036D2DAF"/>
    <w:rsid w:val="03A5118B"/>
    <w:rsid w:val="03C36E72"/>
    <w:rsid w:val="03C92B17"/>
    <w:rsid w:val="03CD1A9F"/>
    <w:rsid w:val="040C0819"/>
    <w:rsid w:val="042D03E9"/>
    <w:rsid w:val="042F4508"/>
    <w:rsid w:val="047D1139"/>
    <w:rsid w:val="04B2316F"/>
    <w:rsid w:val="04D03D68"/>
    <w:rsid w:val="04F512B6"/>
    <w:rsid w:val="04FF3EDA"/>
    <w:rsid w:val="05034C87"/>
    <w:rsid w:val="0539563E"/>
    <w:rsid w:val="055E50A5"/>
    <w:rsid w:val="057C19CF"/>
    <w:rsid w:val="05880374"/>
    <w:rsid w:val="05883ED0"/>
    <w:rsid w:val="05AA2098"/>
    <w:rsid w:val="05AF3B52"/>
    <w:rsid w:val="05C07ECE"/>
    <w:rsid w:val="05C80770"/>
    <w:rsid w:val="06081544"/>
    <w:rsid w:val="060C4B01"/>
    <w:rsid w:val="061834A6"/>
    <w:rsid w:val="062C6F51"/>
    <w:rsid w:val="06360DA7"/>
    <w:rsid w:val="065A13C7"/>
    <w:rsid w:val="06695834"/>
    <w:rsid w:val="06CC4290"/>
    <w:rsid w:val="070A3A44"/>
    <w:rsid w:val="070D0B30"/>
    <w:rsid w:val="0714287C"/>
    <w:rsid w:val="071F545F"/>
    <w:rsid w:val="07245E7A"/>
    <w:rsid w:val="0737795B"/>
    <w:rsid w:val="075347A0"/>
    <w:rsid w:val="075674E0"/>
    <w:rsid w:val="07576F23"/>
    <w:rsid w:val="07601EE6"/>
    <w:rsid w:val="07634BF4"/>
    <w:rsid w:val="078F1BA8"/>
    <w:rsid w:val="07A958E6"/>
    <w:rsid w:val="07BD65FB"/>
    <w:rsid w:val="07BE007D"/>
    <w:rsid w:val="07DE62E4"/>
    <w:rsid w:val="08147C9D"/>
    <w:rsid w:val="08236132"/>
    <w:rsid w:val="082779D0"/>
    <w:rsid w:val="08346591"/>
    <w:rsid w:val="087E2F85"/>
    <w:rsid w:val="087F3B5B"/>
    <w:rsid w:val="08935065"/>
    <w:rsid w:val="08B84ACC"/>
    <w:rsid w:val="08D72A91"/>
    <w:rsid w:val="08FE572C"/>
    <w:rsid w:val="090F487F"/>
    <w:rsid w:val="09126232"/>
    <w:rsid w:val="09175C96"/>
    <w:rsid w:val="093A3733"/>
    <w:rsid w:val="09594501"/>
    <w:rsid w:val="095B311E"/>
    <w:rsid w:val="097D1872"/>
    <w:rsid w:val="098615E3"/>
    <w:rsid w:val="09CF3E35"/>
    <w:rsid w:val="09F935EE"/>
    <w:rsid w:val="0A3E54A5"/>
    <w:rsid w:val="0A40746F"/>
    <w:rsid w:val="0A590531"/>
    <w:rsid w:val="0A977A12"/>
    <w:rsid w:val="0AAB489B"/>
    <w:rsid w:val="0B1839AA"/>
    <w:rsid w:val="0B7A69B0"/>
    <w:rsid w:val="0B867103"/>
    <w:rsid w:val="0B925AA8"/>
    <w:rsid w:val="0BDE0CED"/>
    <w:rsid w:val="0C085D6A"/>
    <w:rsid w:val="0C346B5F"/>
    <w:rsid w:val="0C444873"/>
    <w:rsid w:val="0C566AD6"/>
    <w:rsid w:val="0C5C24FB"/>
    <w:rsid w:val="0C760F26"/>
    <w:rsid w:val="0C825B1D"/>
    <w:rsid w:val="0C985340"/>
    <w:rsid w:val="0CB11F5E"/>
    <w:rsid w:val="0CEA5470"/>
    <w:rsid w:val="0D2941EA"/>
    <w:rsid w:val="0D3037CB"/>
    <w:rsid w:val="0D8439D4"/>
    <w:rsid w:val="0D8A0ADC"/>
    <w:rsid w:val="0DAD6BC9"/>
    <w:rsid w:val="0DAF0B93"/>
    <w:rsid w:val="0DB00467"/>
    <w:rsid w:val="0DD32A48"/>
    <w:rsid w:val="0DE91651"/>
    <w:rsid w:val="0DE927DC"/>
    <w:rsid w:val="0DED16BC"/>
    <w:rsid w:val="0E6354DA"/>
    <w:rsid w:val="0E6A098F"/>
    <w:rsid w:val="0EC341CA"/>
    <w:rsid w:val="0ECE329B"/>
    <w:rsid w:val="0EE54141"/>
    <w:rsid w:val="0EEA1027"/>
    <w:rsid w:val="0F0E18EA"/>
    <w:rsid w:val="0F1A028E"/>
    <w:rsid w:val="0F8A6D23"/>
    <w:rsid w:val="0FB74CB2"/>
    <w:rsid w:val="0FC93A62"/>
    <w:rsid w:val="0FF94348"/>
    <w:rsid w:val="101A2510"/>
    <w:rsid w:val="103D2114"/>
    <w:rsid w:val="1045133B"/>
    <w:rsid w:val="10675755"/>
    <w:rsid w:val="106C4CD2"/>
    <w:rsid w:val="107734BE"/>
    <w:rsid w:val="1097590F"/>
    <w:rsid w:val="10E01064"/>
    <w:rsid w:val="10ED3781"/>
    <w:rsid w:val="110E3C53"/>
    <w:rsid w:val="111A1769"/>
    <w:rsid w:val="112B0016"/>
    <w:rsid w:val="11717F0E"/>
    <w:rsid w:val="11743790"/>
    <w:rsid w:val="11797405"/>
    <w:rsid w:val="11D861DF"/>
    <w:rsid w:val="12045226"/>
    <w:rsid w:val="1258312B"/>
    <w:rsid w:val="12631F4C"/>
    <w:rsid w:val="12A06CFD"/>
    <w:rsid w:val="12A54313"/>
    <w:rsid w:val="12CA3D79"/>
    <w:rsid w:val="13141B7F"/>
    <w:rsid w:val="132F1E2E"/>
    <w:rsid w:val="133B6A25"/>
    <w:rsid w:val="13712447"/>
    <w:rsid w:val="139B5716"/>
    <w:rsid w:val="13A46379"/>
    <w:rsid w:val="13CC58CF"/>
    <w:rsid w:val="13D529D6"/>
    <w:rsid w:val="13D80718"/>
    <w:rsid w:val="13DB39AC"/>
    <w:rsid w:val="14217850"/>
    <w:rsid w:val="1424570B"/>
    <w:rsid w:val="14445DAD"/>
    <w:rsid w:val="14787805"/>
    <w:rsid w:val="14E135FC"/>
    <w:rsid w:val="14E54E9B"/>
    <w:rsid w:val="15023C9F"/>
    <w:rsid w:val="150C50D0"/>
    <w:rsid w:val="15323E58"/>
    <w:rsid w:val="1534197E"/>
    <w:rsid w:val="153B4ABB"/>
    <w:rsid w:val="155E2E9F"/>
    <w:rsid w:val="15CA22E2"/>
    <w:rsid w:val="15CA4090"/>
    <w:rsid w:val="15E62472"/>
    <w:rsid w:val="15EB5EA9"/>
    <w:rsid w:val="1606188B"/>
    <w:rsid w:val="160E046E"/>
    <w:rsid w:val="1614475E"/>
    <w:rsid w:val="163360DA"/>
    <w:rsid w:val="1638549E"/>
    <w:rsid w:val="164107F7"/>
    <w:rsid w:val="16482398"/>
    <w:rsid w:val="167C538B"/>
    <w:rsid w:val="167F30CD"/>
    <w:rsid w:val="16946B78"/>
    <w:rsid w:val="16CD208A"/>
    <w:rsid w:val="16D056D6"/>
    <w:rsid w:val="16E15456"/>
    <w:rsid w:val="17343EB7"/>
    <w:rsid w:val="173914CE"/>
    <w:rsid w:val="1759391E"/>
    <w:rsid w:val="178A180E"/>
    <w:rsid w:val="178E7A6B"/>
    <w:rsid w:val="179130B8"/>
    <w:rsid w:val="179E57D5"/>
    <w:rsid w:val="17DD62FD"/>
    <w:rsid w:val="17DE3E23"/>
    <w:rsid w:val="17F6558B"/>
    <w:rsid w:val="18297794"/>
    <w:rsid w:val="18300071"/>
    <w:rsid w:val="1831419A"/>
    <w:rsid w:val="18371EB1"/>
    <w:rsid w:val="18403B39"/>
    <w:rsid w:val="18414ADE"/>
    <w:rsid w:val="18754787"/>
    <w:rsid w:val="187F73B4"/>
    <w:rsid w:val="18AD1107"/>
    <w:rsid w:val="18BF3C55"/>
    <w:rsid w:val="18D80F53"/>
    <w:rsid w:val="19614D0C"/>
    <w:rsid w:val="19801636"/>
    <w:rsid w:val="1988673C"/>
    <w:rsid w:val="19923117"/>
    <w:rsid w:val="199E1ABC"/>
    <w:rsid w:val="19C01A32"/>
    <w:rsid w:val="19CA1E86"/>
    <w:rsid w:val="19E15DAB"/>
    <w:rsid w:val="19E709A4"/>
    <w:rsid w:val="1A131F09"/>
    <w:rsid w:val="1A3348FA"/>
    <w:rsid w:val="1A4E703E"/>
    <w:rsid w:val="1A4F0D0E"/>
    <w:rsid w:val="1A6920CA"/>
    <w:rsid w:val="1A736AA5"/>
    <w:rsid w:val="1A964C8B"/>
    <w:rsid w:val="1A9D7FC6"/>
    <w:rsid w:val="1AC3196F"/>
    <w:rsid w:val="1ACE63D1"/>
    <w:rsid w:val="1AD339E7"/>
    <w:rsid w:val="1ADF238C"/>
    <w:rsid w:val="1AED4AA9"/>
    <w:rsid w:val="1B157F7A"/>
    <w:rsid w:val="1B196182"/>
    <w:rsid w:val="1B5A4718"/>
    <w:rsid w:val="1B6603B7"/>
    <w:rsid w:val="1B6D7998"/>
    <w:rsid w:val="1BAF1D5E"/>
    <w:rsid w:val="1BB11F7A"/>
    <w:rsid w:val="1BB90E2F"/>
    <w:rsid w:val="1BD85578"/>
    <w:rsid w:val="1BEC4D61"/>
    <w:rsid w:val="1BEC6B0F"/>
    <w:rsid w:val="1BF41E67"/>
    <w:rsid w:val="1C33473D"/>
    <w:rsid w:val="1C4032FE"/>
    <w:rsid w:val="1C9A0F05"/>
    <w:rsid w:val="1CA34AB4"/>
    <w:rsid w:val="1CD24EBC"/>
    <w:rsid w:val="1CEE4B08"/>
    <w:rsid w:val="1D8D2573"/>
    <w:rsid w:val="1D9B4C90"/>
    <w:rsid w:val="1E57048B"/>
    <w:rsid w:val="1E707ECB"/>
    <w:rsid w:val="1E7554E1"/>
    <w:rsid w:val="1E7E3C6A"/>
    <w:rsid w:val="1E894AE9"/>
    <w:rsid w:val="1E911BEF"/>
    <w:rsid w:val="1E91399D"/>
    <w:rsid w:val="1EA35FEA"/>
    <w:rsid w:val="1EB51D82"/>
    <w:rsid w:val="1EDB2E6A"/>
    <w:rsid w:val="1EDC730E"/>
    <w:rsid w:val="1EE12B77"/>
    <w:rsid w:val="1EF65EF6"/>
    <w:rsid w:val="1F3F3065"/>
    <w:rsid w:val="1F5350F7"/>
    <w:rsid w:val="1F543A73"/>
    <w:rsid w:val="1F6D1ACB"/>
    <w:rsid w:val="1FB72A69"/>
    <w:rsid w:val="1FCF6E73"/>
    <w:rsid w:val="1FD46AEE"/>
    <w:rsid w:val="201C198C"/>
    <w:rsid w:val="20250841"/>
    <w:rsid w:val="202D76F6"/>
    <w:rsid w:val="2031368A"/>
    <w:rsid w:val="203767C6"/>
    <w:rsid w:val="207D51EF"/>
    <w:rsid w:val="20C0055D"/>
    <w:rsid w:val="20F63F8C"/>
    <w:rsid w:val="21026DD4"/>
    <w:rsid w:val="21050673"/>
    <w:rsid w:val="21190ECC"/>
    <w:rsid w:val="212B00D9"/>
    <w:rsid w:val="21325FDD"/>
    <w:rsid w:val="21674E89"/>
    <w:rsid w:val="2177331E"/>
    <w:rsid w:val="21A7544D"/>
    <w:rsid w:val="21C359FD"/>
    <w:rsid w:val="21EB5ABA"/>
    <w:rsid w:val="21EF55AB"/>
    <w:rsid w:val="220A4192"/>
    <w:rsid w:val="221072CF"/>
    <w:rsid w:val="221943D6"/>
    <w:rsid w:val="2221328A"/>
    <w:rsid w:val="222A65E3"/>
    <w:rsid w:val="223E7F76"/>
    <w:rsid w:val="228A0E2F"/>
    <w:rsid w:val="22A243CB"/>
    <w:rsid w:val="22C84FC9"/>
    <w:rsid w:val="23132275"/>
    <w:rsid w:val="2318468D"/>
    <w:rsid w:val="232E07E1"/>
    <w:rsid w:val="235227B7"/>
    <w:rsid w:val="23767606"/>
    <w:rsid w:val="237815D0"/>
    <w:rsid w:val="23A87060"/>
    <w:rsid w:val="23AE6D9F"/>
    <w:rsid w:val="23BF2D5B"/>
    <w:rsid w:val="23E7405F"/>
    <w:rsid w:val="23F46EA8"/>
    <w:rsid w:val="23FA3D93"/>
    <w:rsid w:val="24082954"/>
    <w:rsid w:val="242F51F8"/>
    <w:rsid w:val="24A26904"/>
    <w:rsid w:val="24A5429E"/>
    <w:rsid w:val="24A80841"/>
    <w:rsid w:val="24B403E6"/>
    <w:rsid w:val="24BA6E36"/>
    <w:rsid w:val="25287CED"/>
    <w:rsid w:val="254A3F44"/>
    <w:rsid w:val="256B13EC"/>
    <w:rsid w:val="256F255E"/>
    <w:rsid w:val="2582760D"/>
    <w:rsid w:val="259721E1"/>
    <w:rsid w:val="25BD776E"/>
    <w:rsid w:val="25E7670E"/>
    <w:rsid w:val="25ED1E01"/>
    <w:rsid w:val="25F122B8"/>
    <w:rsid w:val="260F621B"/>
    <w:rsid w:val="261E020C"/>
    <w:rsid w:val="26233A75"/>
    <w:rsid w:val="26277D93"/>
    <w:rsid w:val="26461511"/>
    <w:rsid w:val="26541E80"/>
    <w:rsid w:val="267977D6"/>
    <w:rsid w:val="267E0CAB"/>
    <w:rsid w:val="26890B30"/>
    <w:rsid w:val="26B612DE"/>
    <w:rsid w:val="26E53528"/>
    <w:rsid w:val="26FE003E"/>
    <w:rsid w:val="271C2272"/>
    <w:rsid w:val="274E2D73"/>
    <w:rsid w:val="27F80B2E"/>
    <w:rsid w:val="28137B19"/>
    <w:rsid w:val="2837314D"/>
    <w:rsid w:val="283B2CB1"/>
    <w:rsid w:val="284E0B51"/>
    <w:rsid w:val="285920D5"/>
    <w:rsid w:val="28702875"/>
    <w:rsid w:val="287700A8"/>
    <w:rsid w:val="287E4F92"/>
    <w:rsid w:val="288B1FB9"/>
    <w:rsid w:val="288F719F"/>
    <w:rsid w:val="28904CC6"/>
    <w:rsid w:val="28C86007"/>
    <w:rsid w:val="28D21DAE"/>
    <w:rsid w:val="28D252DE"/>
    <w:rsid w:val="28D63020"/>
    <w:rsid w:val="28F6721F"/>
    <w:rsid w:val="29051210"/>
    <w:rsid w:val="290A0F1C"/>
    <w:rsid w:val="29235B3A"/>
    <w:rsid w:val="29315FA2"/>
    <w:rsid w:val="2939710B"/>
    <w:rsid w:val="293B10D5"/>
    <w:rsid w:val="295E6B72"/>
    <w:rsid w:val="29802F8C"/>
    <w:rsid w:val="29AC1FD3"/>
    <w:rsid w:val="29B56FBB"/>
    <w:rsid w:val="29B570DA"/>
    <w:rsid w:val="29BF1D06"/>
    <w:rsid w:val="29EB48A9"/>
    <w:rsid w:val="29F431CF"/>
    <w:rsid w:val="2A0239A1"/>
    <w:rsid w:val="2A3E70CF"/>
    <w:rsid w:val="2A997BC6"/>
    <w:rsid w:val="2AB63109"/>
    <w:rsid w:val="2AFE6211"/>
    <w:rsid w:val="2B125E66"/>
    <w:rsid w:val="2B133692"/>
    <w:rsid w:val="2B287437"/>
    <w:rsid w:val="2B4F352E"/>
    <w:rsid w:val="2B746468"/>
    <w:rsid w:val="2B7A7297"/>
    <w:rsid w:val="2B8317DE"/>
    <w:rsid w:val="2BAC1E16"/>
    <w:rsid w:val="2C0E0D23"/>
    <w:rsid w:val="2C1A3554"/>
    <w:rsid w:val="2C273B93"/>
    <w:rsid w:val="2C4C53A8"/>
    <w:rsid w:val="2C671021"/>
    <w:rsid w:val="2C6D5A4A"/>
    <w:rsid w:val="2C820DC9"/>
    <w:rsid w:val="2C882884"/>
    <w:rsid w:val="2C8903AA"/>
    <w:rsid w:val="2C934D84"/>
    <w:rsid w:val="2CB702F7"/>
    <w:rsid w:val="2CC579F6"/>
    <w:rsid w:val="2CC97BEB"/>
    <w:rsid w:val="2CE43832"/>
    <w:rsid w:val="2CED3F55"/>
    <w:rsid w:val="2CFA6096"/>
    <w:rsid w:val="2D2074FA"/>
    <w:rsid w:val="2D270819"/>
    <w:rsid w:val="2D285E15"/>
    <w:rsid w:val="2D2B1556"/>
    <w:rsid w:val="2D2C76B3"/>
    <w:rsid w:val="2D410C84"/>
    <w:rsid w:val="2D412A32"/>
    <w:rsid w:val="2D60735C"/>
    <w:rsid w:val="2D947006"/>
    <w:rsid w:val="2DC45B3D"/>
    <w:rsid w:val="2DD6761F"/>
    <w:rsid w:val="2DD846C1"/>
    <w:rsid w:val="2DE31109"/>
    <w:rsid w:val="2DEA1255"/>
    <w:rsid w:val="2E11659A"/>
    <w:rsid w:val="2E3F08B9"/>
    <w:rsid w:val="2E410F01"/>
    <w:rsid w:val="2E50117F"/>
    <w:rsid w:val="2E507B3E"/>
    <w:rsid w:val="2E552C39"/>
    <w:rsid w:val="2E5A3DAC"/>
    <w:rsid w:val="2E8B0409"/>
    <w:rsid w:val="2EFC4E63"/>
    <w:rsid w:val="2F087CAC"/>
    <w:rsid w:val="2F1E127D"/>
    <w:rsid w:val="2F6628DC"/>
    <w:rsid w:val="2F920BF0"/>
    <w:rsid w:val="2FA8323D"/>
    <w:rsid w:val="2FAD2601"/>
    <w:rsid w:val="2FCD7402"/>
    <w:rsid w:val="2FEF49C8"/>
    <w:rsid w:val="300C7328"/>
    <w:rsid w:val="30182689"/>
    <w:rsid w:val="30274161"/>
    <w:rsid w:val="302D729E"/>
    <w:rsid w:val="305331A8"/>
    <w:rsid w:val="305B0253"/>
    <w:rsid w:val="30B32AE0"/>
    <w:rsid w:val="30EE1123"/>
    <w:rsid w:val="310821E5"/>
    <w:rsid w:val="31172428"/>
    <w:rsid w:val="31311B3A"/>
    <w:rsid w:val="315E271C"/>
    <w:rsid w:val="315F792B"/>
    <w:rsid w:val="31763F3B"/>
    <w:rsid w:val="31866D56"/>
    <w:rsid w:val="31903F88"/>
    <w:rsid w:val="31A812D2"/>
    <w:rsid w:val="31C12394"/>
    <w:rsid w:val="31C83722"/>
    <w:rsid w:val="31DC0AA3"/>
    <w:rsid w:val="31FB7654"/>
    <w:rsid w:val="322748ED"/>
    <w:rsid w:val="3237040E"/>
    <w:rsid w:val="32783A6E"/>
    <w:rsid w:val="32963820"/>
    <w:rsid w:val="329F0927"/>
    <w:rsid w:val="32CD4E7D"/>
    <w:rsid w:val="331A7FAD"/>
    <w:rsid w:val="331C1F78"/>
    <w:rsid w:val="33296443"/>
    <w:rsid w:val="33353039"/>
    <w:rsid w:val="333714A3"/>
    <w:rsid w:val="334F15B3"/>
    <w:rsid w:val="335608B1"/>
    <w:rsid w:val="335F00B6"/>
    <w:rsid w:val="33802506"/>
    <w:rsid w:val="339F1D94"/>
    <w:rsid w:val="33AF4B9A"/>
    <w:rsid w:val="33B91574"/>
    <w:rsid w:val="33CD5020"/>
    <w:rsid w:val="33EF4F96"/>
    <w:rsid w:val="3400200F"/>
    <w:rsid w:val="34014CC9"/>
    <w:rsid w:val="342D3D10"/>
    <w:rsid w:val="347436ED"/>
    <w:rsid w:val="34A52E51"/>
    <w:rsid w:val="34CE54F3"/>
    <w:rsid w:val="34D10B40"/>
    <w:rsid w:val="351D5B33"/>
    <w:rsid w:val="352C3FC8"/>
    <w:rsid w:val="35300FAC"/>
    <w:rsid w:val="35352E7D"/>
    <w:rsid w:val="35447564"/>
    <w:rsid w:val="355C3AE4"/>
    <w:rsid w:val="3566572C"/>
    <w:rsid w:val="357F234A"/>
    <w:rsid w:val="35856106"/>
    <w:rsid w:val="359409B2"/>
    <w:rsid w:val="35B50130"/>
    <w:rsid w:val="36201D7F"/>
    <w:rsid w:val="36213401"/>
    <w:rsid w:val="362A675A"/>
    <w:rsid w:val="362F5B1E"/>
    <w:rsid w:val="363E2205"/>
    <w:rsid w:val="36401AD9"/>
    <w:rsid w:val="366D1A51"/>
    <w:rsid w:val="367F4CF7"/>
    <w:rsid w:val="36AF3103"/>
    <w:rsid w:val="36CA4479"/>
    <w:rsid w:val="36E40CBB"/>
    <w:rsid w:val="36FD5C1C"/>
    <w:rsid w:val="373553B6"/>
    <w:rsid w:val="375810A4"/>
    <w:rsid w:val="37610F7D"/>
    <w:rsid w:val="376954D7"/>
    <w:rsid w:val="376D2DA2"/>
    <w:rsid w:val="378400EB"/>
    <w:rsid w:val="3784633D"/>
    <w:rsid w:val="378E2D18"/>
    <w:rsid w:val="37906A90"/>
    <w:rsid w:val="37B00EE0"/>
    <w:rsid w:val="37E1109A"/>
    <w:rsid w:val="380840B8"/>
    <w:rsid w:val="381D6354"/>
    <w:rsid w:val="38213B8C"/>
    <w:rsid w:val="38237904"/>
    <w:rsid w:val="382D0783"/>
    <w:rsid w:val="38673BE0"/>
    <w:rsid w:val="388C7258"/>
    <w:rsid w:val="38B92017"/>
    <w:rsid w:val="38C34C43"/>
    <w:rsid w:val="38CF711A"/>
    <w:rsid w:val="38E74176"/>
    <w:rsid w:val="391D25A6"/>
    <w:rsid w:val="391E1E7A"/>
    <w:rsid w:val="396255B9"/>
    <w:rsid w:val="396E2E01"/>
    <w:rsid w:val="399F120C"/>
    <w:rsid w:val="39A2099B"/>
    <w:rsid w:val="39F94DC1"/>
    <w:rsid w:val="39FD1201"/>
    <w:rsid w:val="3A0B68A2"/>
    <w:rsid w:val="3A255BB6"/>
    <w:rsid w:val="3A281202"/>
    <w:rsid w:val="3A30493E"/>
    <w:rsid w:val="3A661D2A"/>
    <w:rsid w:val="3A795804"/>
    <w:rsid w:val="3A992100"/>
    <w:rsid w:val="3A9E14C4"/>
    <w:rsid w:val="3ADE3FB6"/>
    <w:rsid w:val="3AE0614F"/>
    <w:rsid w:val="3AED2B51"/>
    <w:rsid w:val="3AF47336"/>
    <w:rsid w:val="3B181184"/>
    <w:rsid w:val="3B2E0A9A"/>
    <w:rsid w:val="3B3A1B15"/>
    <w:rsid w:val="3B4E4C98"/>
    <w:rsid w:val="3B53405D"/>
    <w:rsid w:val="3BB43191"/>
    <w:rsid w:val="3BBA232E"/>
    <w:rsid w:val="3BBF5F54"/>
    <w:rsid w:val="3BE473AB"/>
    <w:rsid w:val="3BEE1FD7"/>
    <w:rsid w:val="3BF21AC7"/>
    <w:rsid w:val="3BFA6BCE"/>
    <w:rsid w:val="3C1852A6"/>
    <w:rsid w:val="3C320116"/>
    <w:rsid w:val="3C41385B"/>
    <w:rsid w:val="3C526A0A"/>
    <w:rsid w:val="3C53008C"/>
    <w:rsid w:val="3C554238"/>
    <w:rsid w:val="3C584469"/>
    <w:rsid w:val="3C6329C5"/>
    <w:rsid w:val="3C85293C"/>
    <w:rsid w:val="3CBE7BFC"/>
    <w:rsid w:val="3CE820FA"/>
    <w:rsid w:val="3CEA09F1"/>
    <w:rsid w:val="3CEB6517"/>
    <w:rsid w:val="3D006466"/>
    <w:rsid w:val="3D143CBF"/>
    <w:rsid w:val="3D344362"/>
    <w:rsid w:val="3D442D81"/>
    <w:rsid w:val="3D632551"/>
    <w:rsid w:val="3D9646D4"/>
    <w:rsid w:val="3DAB63D2"/>
    <w:rsid w:val="3DB55F0C"/>
    <w:rsid w:val="3DB646B6"/>
    <w:rsid w:val="3DD75419"/>
    <w:rsid w:val="3DE25B6C"/>
    <w:rsid w:val="3DFE00DB"/>
    <w:rsid w:val="3DFF671E"/>
    <w:rsid w:val="3E14665D"/>
    <w:rsid w:val="3E2E0DB1"/>
    <w:rsid w:val="3ECF52B1"/>
    <w:rsid w:val="3ED01E68"/>
    <w:rsid w:val="3EED6576"/>
    <w:rsid w:val="3F4F0FDF"/>
    <w:rsid w:val="3F5877F3"/>
    <w:rsid w:val="3F591E5E"/>
    <w:rsid w:val="3F744EE9"/>
    <w:rsid w:val="40291970"/>
    <w:rsid w:val="402E5098"/>
    <w:rsid w:val="404448BC"/>
    <w:rsid w:val="40532D51"/>
    <w:rsid w:val="407056B1"/>
    <w:rsid w:val="407836C0"/>
    <w:rsid w:val="40B437EF"/>
    <w:rsid w:val="410C362B"/>
    <w:rsid w:val="411918A4"/>
    <w:rsid w:val="411B561D"/>
    <w:rsid w:val="41211416"/>
    <w:rsid w:val="412D70FE"/>
    <w:rsid w:val="4134182D"/>
    <w:rsid w:val="41344930"/>
    <w:rsid w:val="41536EA6"/>
    <w:rsid w:val="41586871"/>
    <w:rsid w:val="41656898"/>
    <w:rsid w:val="41782A6F"/>
    <w:rsid w:val="41820AD5"/>
    <w:rsid w:val="41BD1AED"/>
    <w:rsid w:val="41EE4ADF"/>
    <w:rsid w:val="42002A64"/>
    <w:rsid w:val="420A5691"/>
    <w:rsid w:val="42251667"/>
    <w:rsid w:val="4226071D"/>
    <w:rsid w:val="423346D0"/>
    <w:rsid w:val="423821FE"/>
    <w:rsid w:val="42454AF7"/>
    <w:rsid w:val="42642FF3"/>
    <w:rsid w:val="427A5913"/>
    <w:rsid w:val="429926D2"/>
    <w:rsid w:val="42A142B5"/>
    <w:rsid w:val="432F1853"/>
    <w:rsid w:val="43650DD1"/>
    <w:rsid w:val="43963680"/>
    <w:rsid w:val="439E42E3"/>
    <w:rsid w:val="43EA39CC"/>
    <w:rsid w:val="43FD72F8"/>
    <w:rsid w:val="441D403E"/>
    <w:rsid w:val="442C0469"/>
    <w:rsid w:val="4439774B"/>
    <w:rsid w:val="446948F1"/>
    <w:rsid w:val="447A08AC"/>
    <w:rsid w:val="44890AEF"/>
    <w:rsid w:val="449851D6"/>
    <w:rsid w:val="449F47B6"/>
    <w:rsid w:val="44B11C89"/>
    <w:rsid w:val="44CE0BF8"/>
    <w:rsid w:val="44D53D34"/>
    <w:rsid w:val="44DE708D"/>
    <w:rsid w:val="45002C52"/>
    <w:rsid w:val="45717F01"/>
    <w:rsid w:val="458B0897"/>
    <w:rsid w:val="459B31D0"/>
    <w:rsid w:val="45A858ED"/>
    <w:rsid w:val="45BE173B"/>
    <w:rsid w:val="45F11042"/>
    <w:rsid w:val="45F4468E"/>
    <w:rsid w:val="46340F2E"/>
    <w:rsid w:val="463F1DAD"/>
    <w:rsid w:val="46A33DE3"/>
    <w:rsid w:val="46BD7176"/>
    <w:rsid w:val="46EE10DD"/>
    <w:rsid w:val="471C20EE"/>
    <w:rsid w:val="47215957"/>
    <w:rsid w:val="47354F5E"/>
    <w:rsid w:val="473E1636"/>
    <w:rsid w:val="474D4ED2"/>
    <w:rsid w:val="476475F1"/>
    <w:rsid w:val="478A34FC"/>
    <w:rsid w:val="47AD561A"/>
    <w:rsid w:val="47B16CDB"/>
    <w:rsid w:val="47D50693"/>
    <w:rsid w:val="48095259"/>
    <w:rsid w:val="481C1C7A"/>
    <w:rsid w:val="481E59F2"/>
    <w:rsid w:val="4832149E"/>
    <w:rsid w:val="48360F8E"/>
    <w:rsid w:val="48480CC1"/>
    <w:rsid w:val="48B56357"/>
    <w:rsid w:val="490177EE"/>
    <w:rsid w:val="490E6CFE"/>
    <w:rsid w:val="493C0826"/>
    <w:rsid w:val="49470F79"/>
    <w:rsid w:val="49667651"/>
    <w:rsid w:val="498B5309"/>
    <w:rsid w:val="49A07007"/>
    <w:rsid w:val="49A24D8D"/>
    <w:rsid w:val="49AE591B"/>
    <w:rsid w:val="49B04D70"/>
    <w:rsid w:val="49B20AE8"/>
    <w:rsid w:val="49CF3448"/>
    <w:rsid w:val="4A031344"/>
    <w:rsid w:val="4A2F2139"/>
    <w:rsid w:val="4A4A0D21"/>
    <w:rsid w:val="4A6242BC"/>
    <w:rsid w:val="4A7D490B"/>
    <w:rsid w:val="4A883EA8"/>
    <w:rsid w:val="4A9D43ED"/>
    <w:rsid w:val="4AAE5753"/>
    <w:rsid w:val="4AB60164"/>
    <w:rsid w:val="4AC9395E"/>
    <w:rsid w:val="4AE66C9B"/>
    <w:rsid w:val="4B106B52"/>
    <w:rsid w:val="4B37121B"/>
    <w:rsid w:val="4B375749"/>
    <w:rsid w:val="4B58746D"/>
    <w:rsid w:val="4B7E5126"/>
    <w:rsid w:val="4B8C414A"/>
    <w:rsid w:val="4B937C16"/>
    <w:rsid w:val="4BA01A5D"/>
    <w:rsid w:val="4BCD1C09"/>
    <w:rsid w:val="4BF76C86"/>
    <w:rsid w:val="4BFE6267"/>
    <w:rsid w:val="4C082C41"/>
    <w:rsid w:val="4C123AC0"/>
    <w:rsid w:val="4C2C4B82"/>
    <w:rsid w:val="4C5B5467"/>
    <w:rsid w:val="4C771084"/>
    <w:rsid w:val="4C88417A"/>
    <w:rsid w:val="4C96791F"/>
    <w:rsid w:val="4CA26BF2"/>
    <w:rsid w:val="4CA30BBC"/>
    <w:rsid w:val="4CB132D9"/>
    <w:rsid w:val="4CCE79E7"/>
    <w:rsid w:val="4D023B34"/>
    <w:rsid w:val="4D93478D"/>
    <w:rsid w:val="4DA62712"/>
    <w:rsid w:val="4DB766CD"/>
    <w:rsid w:val="4DC1579E"/>
    <w:rsid w:val="4DCD6C37"/>
    <w:rsid w:val="4DF571F5"/>
    <w:rsid w:val="4DF6495C"/>
    <w:rsid w:val="4E092CA1"/>
    <w:rsid w:val="4E1A4EAE"/>
    <w:rsid w:val="4E3227D6"/>
    <w:rsid w:val="4E5B79A0"/>
    <w:rsid w:val="4EA14414"/>
    <w:rsid w:val="4EFA58EB"/>
    <w:rsid w:val="4F2F0729"/>
    <w:rsid w:val="4F50502B"/>
    <w:rsid w:val="4F602D94"/>
    <w:rsid w:val="4F8B6F81"/>
    <w:rsid w:val="4F934F18"/>
    <w:rsid w:val="4FA17635"/>
    <w:rsid w:val="50396D99"/>
    <w:rsid w:val="50B93970"/>
    <w:rsid w:val="50BF679B"/>
    <w:rsid w:val="50C57353"/>
    <w:rsid w:val="50CE1413"/>
    <w:rsid w:val="50E772C9"/>
    <w:rsid w:val="51085492"/>
    <w:rsid w:val="51330760"/>
    <w:rsid w:val="51340035"/>
    <w:rsid w:val="51360251"/>
    <w:rsid w:val="514E7348"/>
    <w:rsid w:val="515F1905"/>
    <w:rsid w:val="516266C2"/>
    <w:rsid w:val="51711289"/>
    <w:rsid w:val="517D7C2E"/>
    <w:rsid w:val="5185387F"/>
    <w:rsid w:val="51927C26"/>
    <w:rsid w:val="51B75523"/>
    <w:rsid w:val="51BD002A"/>
    <w:rsid w:val="51C4585C"/>
    <w:rsid w:val="52392A02"/>
    <w:rsid w:val="52463BF4"/>
    <w:rsid w:val="526A01B2"/>
    <w:rsid w:val="528D3EA0"/>
    <w:rsid w:val="5290573F"/>
    <w:rsid w:val="52952D55"/>
    <w:rsid w:val="52992845"/>
    <w:rsid w:val="529C2335"/>
    <w:rsid w:val="529C40E3"/>
    <w:rsid w:val="52C04854"/>
    <w:rsid w:val="52D41ACF"/>
    <w:rsid w:val="52DE46FC"/>
    <w:rsid w:val="52F51BB9"/>
    <w:rsid w:val="52F70203"/>
    <w:rsid w:val="5317472C"/>
    <w:rsid w:val="531B7CA0"/>
    <w:rsid w:val="532B53D5"/>
    <w:rsid w:val="532F6D06"/>
    <w:rsid w:val="534053B7"/>
    <w:rsid w:val="534D6E50"/>
    <w:rsid w:val="53511D60"/>
    <w:rsid w:val="5373753A"/>
    <w:rsid w:val="539B25ED"/>
    <w:rsid w:val="53A61A40"/>
    <w:rsid w:val="54155225"/>
    <w:rsid w:val="546E1AAF"/>
    <w:rsid w:val="546F5EAC"/>
    <w:rsid w:val="54B308BD"/>
    <w:rsid w:val="54BF0EA3"/>
    <w:rsid w:val="54F741E0"/>
    <w:rsid w:val="55202DAA"/>
    <w:rsid w:val="55230AEC"/>
    <w:rsid w:val="553377F5"/>
    <w:rsid w:val="5576698E"/>
    <w:rsid w:val="55805F3E"/>
    <w:rsid w:val="55865D8B"/>
    <w:rsid w:val="55990DAE"/>
    <w:rsid w:val="55D83684"/>
    <w:rsid w:val="56462CE4"/>
    <w:rsid w:val="56A17F1A"/>
    <w:rsid w:val="56C51A99"/>
    <w:rsid w:val="56DF6C95"/>
    <w:rsid w:val="571526B6"/>
    <w:rsid w:val="571D14B6"/>
    <w:rsid w:val="571E0092"/>
    <w:rsid w:val="57437223"/>
    <w:rsid w:val="57763155"/>
    <w:rsid w:val="577D745D"/>
    <w:rsid w:val="57AA72A2"/>
    <w:rsid w:val="57E200A3"/>
    <w:rsid w:val="57E52089"/>
    <w:rsid w:val="57F14ED1"/>
    <w:rsid w:val="58254B7B"/>
    <w:rsid w:val="5829466B"/>
    <w:rsid w:val="584D65AC"/>
    <w:rsid w:val="584E40D2"/>
    <w:rsid w:val="585D2567"/>
    <w:rsid w:val="58773537"/>
    <w:rsid w:val="587C0C3F"/>
    <w:rsid w:val="58A91308"/>
    <w:rsid w:val="58D55EE8"/>
    <w:rsid w:val="58DE7204"/>
    <w:rsid w:val="58EF1411"/>
    <w:rsid w:val="58F44C79"/>
    <w:rsid w:val="58FC1D80"/>
    <w:rsid w:val="591946E0"/>
    <w:rsid w:val="59301A29"/>
    <w:rsid w:val="593D72CD"/>
    <w:rsid w:val="595E6596"/>
    <w:rsid w:val="596D0588"/>
    <w:rsid w:val="597C3D3A"/>
    <w:rsid w:val="5998630B"/>
    <w:rsid w:val="599B3347"/>
    <w:rsid w:val="599F549F"/>
    <w:rsid w:val="59A57D21"/>
    <w:rsid w:val="59E545C2"/>
    <w:rsid w:val="59ED0ECA"/>
    <w:rsid w:val="59EF71EF"/>
    <w:rsid w:val="5A00764E"/>
    <w:rsid w:val="5A3A1C71"/>
    <w:rsid w:val="5A430530"/>
    <w:rsid w:val="5A5534F6"/>
    <w:rsid w:val="5A56726E"/>
    <w:rsid w:val="5A603436"/>
    <w:rsid w:val="5AAD1584"/>
    <w:rsid w:val="5AB25C0E"/>
    <w:rsid w:val="5AD21A31"/>
    <w:rsid w:val="5AEB3E5A"/>
    <w:rsid w:val="5B6D2E51"/>
    <w:rsid w:val="5B841BB9"/>
    <w:rsid w:val="5B93792A"/>
    <w:rsid w:val="5BA54009"/>
    <w:rsid w:val="5BB57FC4"/>
    <w:rsid w:val="5BF31218"/>
    <w:rsid w:val="5BFE7BBD"/>
    <w:rsid w:val="5C0A0310"/>
    <w:rsid w:val="5C1949F7"/>
    <w:rsid w:val="5C2A2760"/>
    <w:rsid w:val="5C4F0418"/>
    <w:rsid w:val="5C5123E2"/>
    <w:rsid w:val="5C675762"/>
    <w:rsid w:val="5C9D2F32"/>
    <w:rsid w:val="5CB70498"/>
    <w:rsid w:val="5CBF734C"/>
    <w:rsid w:val="5CF27722"/>
    <w:rsid w:val="5D0C00B7"/>
    <w:rsid w:val="5D177188"/>
    <w:rsid w:val="5D245401"/>
    <w:rsid w:val="5D283143"/>
    <w:rsid w:val="5D2F6C90"/>
    <w:rsid w:val="5D753EAF"/>
    <w:rsid w:val="5D755C5D"/>
    <w:rsid w:val="5D7C348F"/>
    <w:rsid w:val="5DA70F68"/>
    <w:rsid w:val="5DB414DE"/>
    <w:rsid w:val="5E2E2D6A"/>
    <w:rsid w:val="5E5B1A31"/>
    <w:rsid w:val="5E620E12"/>
    <w:rsid w:val="5E6D41E7"/>
    <w:rsid w:val="5E7F4FE5"/>
    <w:rsid w:val="5E8A5738"/>
    <w:rsid w:val="5E8C5954"/>
    <w:rsid w:val="5E9465B6"/>
    <w:rsid w:val="5EA90415"/>
    <w:rsid w:val="5EC944B2"/>
    <w:rsid w:val="5ED2780B"/>
    <w:rsid w:val="5ED6097D"/>
    <w:rsid w:val="5EE12B13"/>
    <w:rsid w:val="5EFB0610"/>
    <w:rsid w:val="5F011E9E"/>
    <w:rsid w:val="5F0E6369"/>
    <w:rsid w:val="5F3833E6"/>
    <w:rsid w:val="5F422460"/>
    <w:rsid w:val="5F487ACD"/>
    <w:rsid w:val="5F697A43"/>
    <w:rsid w:val="5F775CBC"/>
    <w:rsid w:val="5F7A1C50"/>
    <w:rsid w:val="5F893C41"/>
    <w:rsid w:val="5F8F3FA2"/>
    <w:rsid w:val="5FAB005C"/>
    <w:rsid w:val="5FAE5456"/>
    <w:rsid w:val="5FB707AE"/>
    <w:rsid w:val="5FF1260A"/>
    <w:rsid w:val="5FF4730D"/>
    <w:rsid w:val="601173AC"/>
    <w:rsid w:val="602F410D"/>
    <w:rsid w:val="603B318E"/>
    <w:rsid w:val="606D5311"/>
    <w:rsid w:val="607D37A6"/>
    <w:rsid w:val="60874625"/>
    <w:rsid w:val="60A54AAB"/>
    <w:rsid w:val="60A62955"/>
    <w:rsid w:val="60BE791B"/>
    <w:rsid w:val="60E455D3"/>
    <w:rsid w:val="610417D1"/>
    <w:rsid w:val="611A2DA3"/>
    <w:rsid w:val="612260FC"/>
    <w:rsid w:val="613761A4"/>
    <w:rsid w:val="614222FA"/>
    <w:rsid w:val="6155027F"/>
    <w:rsid w:val="615F4C5A"/>
    <w:rsid w:val="617A5F38"/>
    <w:rsid w:val="619A3EE4"/>
    <w:rsid w:val="619E1C26"/>
    <w:rsid w:val="61D840E6"/>
    <w:rsid w:val="61D94A0C"/>
    <w:rsid w:val="61E81CB1"/>
    <w:rsid w:val="61F950AE"/>
    <w:rsid w:val="620B44B1"/>
    <w:rsid w:val="62214605"/>
    <w:rsid w:val="625436EF"/>
    <w:rsid w:val="625D2770"/>
    <w:rsid w:val="626A7D5A"/>
    <w:rsid w:val="62740F21"/>
    <w:rsid w:val="62A02FB2"/>
    <w:rsid w:val="62C04957"/>
    <w:rsid w:val="62CE653B"/>
    <w:rsid w:val="62D77FFB"/>
    <w:rsid w:val="62D972A2"/>
    <w:rsid w:val="630A235D"/>
    <w:rsid w:val="6321704F"/>
    <w:rsid w:val="633B6EEE"/>
    <w:rsid w:val="634B5A87"/>
    <w:rsid w:val="636536D2"/>
    <w:rsid w:val="63754C08"/>
    <w:rsid w:val="63780255"/>
    <w:rsid w:val="6380470F"/>
    <w:rsid w:val="639332E1"/>
    <w:rsid w:val="63D25BB7"/>
    <w:rsid w:val="6401109D"/>
    <w:rsid w:val="64065861"/>
    <w:rsid w:val="64356146"/>
    <w:rsid w:val="644242FF"/>
    <w:rsid w:val="645B2050"/>
    <w:rsid w:val="64947D16"/>
    <w:rsid w:val="64A13B2C"/>
    <w:rsid w:val="64C319A4"/>
    <w:rsid w:val="64D616D7"/>
    <w:rsid w:val="651E6376"/>
    <w:rsid w:val="6533652A"/>
    <w:rsid w:val="657607C4"/>
    <w:rsid w:val="658A5B0D"/>
    <w:rsid w:val="65A215B9"/>
    <w:rsid w:val="65AC068A"/>
    <w:rsid w:val="65B80DDC"/>
    <w:rsid w:val="65C459D3"/>
    <w:rsid w:val="65D8147F"/>
    <w:rsid w:val="65DA6FA5"/>
    <w:rsid w:val="65FC6F1B"/>
    <w:rsid w:val="660B3602"/>
    <w:rsid w:val="662F72F1"/>
    <w:rsid w:val="665605A5"/>
    <w:rsid w:val="665C20B0"/>
    <w:rsid w:val="66613222"/>
    <w:rsid w:val="6679056C"/>
    <w:rsid w:val="66F65C85"/>
    <w:rsid w:val="66FC4926"/>
    <w:rsid w:val="670C13E0"/>
    <w:rsid w:val="673646AF"/>
    <w:rsid w:val="67695363"/>
    <w:rsid w:val="677B47B7"/>
    <w:rsid w:val="679124B9"/>
    <w:rsid w:val="67A23AF2"/>
    <w:rsid w:val="68210EBB"/>
    <w:rsid w:val="68282249"/>
    <w:rsid w:val="683B3E0E"/>
    <w:rsid w:val="683E1A6D"/>
    <w:rsid w:val="684A6664"/>
    <w:rsid w:val="685E3EBD"/>
    <w:rsid w:val="686B0388"/>
    <w:rsid w:val="687453D3"/>
    <w:rsid w:val="688A4CB2"/>
    <w:rsid w:val="688F051A"/>
    <w:rsid w:val="68953657"/>
    <w:rsid w:val="689B3FF9"/>
    <w:rsid w:val="68A5389A"/>
    <w:rsid w:val="68A94AC5"/>
    <w:rsid w:val="68B41D2F"/>
    <w:rsid w:val="68C1444C"/>
    <w:rsid w:val="690B56C7"/>
    <w:rsid w:val="693C3D75"/>
    <w:rsid w:val="6966360B"/>
    <w:rsid w:val="69673FE6"/>
    <w:rsid w:val="69B61AD7"/>
    <w:rsid w:val="69BB533F"/>
    <w:rsid w:val="69DD767D"/>
    <w:rsid w:val="6A010FA4"/>
    <w:rsid w:val="6A107439"/>
    <w:rsid w:val="6A2C1D99"/>
    <w:rsid w:val="6A3550F2"/>
    <w:rsid w:val="6A5C442C"/>
    <w:rsid w:val="6A817C06"/>
    <w:rsid w:val="6A846923"/>
    <w:rsid w:val="6AB97AD1"/>
    <w:rsid w:val="6ACA583A"/>
    <w:rsid w:val="6ADE48AC"/>
    <w:rsid w:val="6AF44D7B"/>
    <w:rsid w:val="6B122D3D"/>
    <w:rsid w:val="6B1A29A2"/>
    <w:rsid w:val="6B2A62D8"/>
    <w:rsid w:val="6B56531F"/>
    <w:rsid w:val="6B8F0831"/>
    <w:rsid w:val="6BAC3191"/>
    <w:rsid w:val="6BC54253"/>
    <w:rsid w:val="6BCE135A"/>
    <w:rsid w:val="6BDF5315"/>
    <w:rsid w:val="6C2947E2"/>
    <w:rsid w:val="6C477A9F"/>
    <w:rsid w:val="6C523D39"/>
    <w:rsid w:val="6C643A6C"/>
    <w:rsid w:val="6C7214B6"/>
    <w:rsid w:val="6C8E6D3B"/>
    <w:rsid w:val="6CA420BB"/>
    <w:rsid w:val="6CBF0CA2"/>
    <w:rsid w:val="6CCE7137"/>
    <w:rsid w:val="6CE56B09"/>
    <w:rsid w:val="6CEB5F3B"/>
    <w:rsid w:val="6CF90AB3"/>
    <w:rsid w:val="6D6941B3"/>
    <w:rsid w:val="6D6E405D"/>
    <w:rsid w:val="6DA12E99"/>
    <w:rsid w:val="6DC05D8D"/>
    <w:rsid w:val="6DD3286D"/>
    <w:rsid w:val="6DE22E9A"/>
    <w:rsid w:val="6E33426E"/>
    <w:rsid w:val="6E443B55"/>
    <w:rsid w:val="6E766F24"/>
    <w:rsid w:val="6E8F6DCF"/>
    <w:rsid w:val="6E91666F"/>
    <w:rsid w:val="6E930639"/>
    <w:rsid w:val="6E957F0D"/>
    <w:rsid w:val="6E971ED7"/>
    <w:rsid w:val="6EC46A44"/>
    <w:rsid w:val="6ECB1B80"/>
    <w:rsid w:val="6EE964AB"/>
    <w:rsid w:val="6F0B6421"/>
    <w:rsid w:val="6F0C37D0"/>
    <w:rsid w:val="6F254440"/>
    <w:rsid w:val="6F401B5A"/>
    <w:rsid w:val="6F573414"/>
    <w:rsid w:val="6F623F07"/>
    <w:rsid w:val="6F7B5355"/>
    <w:rsid w:val="6F806E0F"/>
    <w:rsid w:val="6FAA5C3A"/>
    <w:rsid w:val="6FC71F26"/>
    <w:rsid w:val="6FC82564"/>
    <w:rsid w:val="6FF62C2D"/>
    <w:rsid w:val="702E686B"/>
    <w:rsid w:val="703E6382"/>
    <w:rsid w:val="707A20B1"/>
    <w:rsid w:val="708C3591"/>
    <w:rsid w:val="709B4D9A"/>
    <w:rsid w:val="70E433CD"/>
    <w:rsid w:val="70E4517B"/>
    <w:rsid w:val="70FA04FB"/>
    <w:rsid w:val="710E21F8"/>
    <w:rsid w:val="71237A52"/>
    <w:rsid w:val="712437CA"/>
    <w:rsid w:val="712B2DAA"/>
    <w:rsid w:val="71385DC2"/>
    <w:rsid w:val="71477CCB"/>
    <w:rsid w:val="715C11B6"/>
    <w:rsid w:val="717835AD"/>
    <w:rsid w:val="71B77679"/>
    <w:rsid w:val="71BC3A02"/>
    <w:rsid w:val="71DB20DB"/>
    <w:rsid w:val="71F87130"/>
    <w:rsid w:val="71FB452B"/>
    <w:rsid w:val="720311B3"/>
    <w:rsid w:val="720A6E64"/>
    <w:rsid w:val="723839D1"/>
    <w:rsid w:val="72693B8A"/>
    <w:rsid w:val="72852221"/>
    <w:rsid w:val="72B30FEF"/>
    <w:rsid w:val="72B75B91"/>
    <w:rsid w:val="72BD3ED6"/>
    <w:rsid w:val="72E511D3"/>
    <w:rsid w:val="7329331A"/>
    <w:rsid w:val="734737A0"/>
    <w:rsid w:val="73530396"/>
    <w:rsid w:val="737629FD"/>
    <w:rsid w:val="73813156"/>
    <w:rsid w:val="73A62BBC"/>
    <w:rsid w:val="73C13552"/>
    <w:rsid w:val="73D2750D"/>
    <w:rsid w:val="73ED2599"/>
    <w:rsid w:val="73F25E01"/>
    <w:rsid w:val="741E27B8"/>
    <w:rsid w:val="742E4493"/>
    <w:rsid w:val="744027CD"/>
    <w:rsid w:val="744D3038"/>
    <w:rsid w:val="74730CF0"/>
    <w:rsid w:val="74836A59"/>
    <w:rsid w:val="74B35591"/>
    <w:rsid w:val="74FA6D1C"/>
    <w:rsid w:val="75157FF9"/>
    <w:rsid w:val="751A73BE"/>
    <w:rsid w:val="753A180E"/>
    <w:rsid w:val="7541494A"/>
    <w:rsid w:val="75895DB2"/>
    <w:rsid w:val="75C81777"/>
    <w:rsid w:val="75E81681"/>
    <w:rsid w:val="75EB2B08"/>
    <w:rsid w:val="7630676D"/>
    <w:rsid w:val="764F4504"/>
    <w:rsid w:val="76516E0F"/>
    <w:rsid w:val="76876590"/>
    <w:rsid w:val="76CF5F86"/>
    <w:rsid w:val="772C162A"/>
    <w:rsid w:val="77470212"/>
    <w:rsid w:val="77572E77"/>
    <w:rsid w:val="777728A5"/>
    <w:rsid w:val="77B84C6C"/>
    <w:rsid w:val="77C11D73"/>
    <w:rsid w:val="77C84A1B"/>
    <w:rsid w:val="77C90C27"/>
    <w:rsid w:val="77F331BA"/>
    <w:rsid w:val="77FA5285"/>
    <w:rsid w:val="783511AA"/>
    <w:rsid w:val="78686692"/>
    <w:rsid w:val="7877282E"/>
    <w:rsid w:val="78827754"/>
    <w:rsid w:val="78850FF2"/>
    <w:rsid w:val="78A93168"/>
    <w:rsid w:val="78B74F24"/>
    <w:rsid w:val="78D47644"/>
    <w:rsid w:val="78D855C6"/>
    <w:rsid w:val="790A599B"/>
    <w:rsid w:val="790F4D60"/>
    <w:rsid w:val="79250169"/>
    <w:rsid w:val="79312F28"/>
    <w:rsid w:val="79750A88"/>
    <w:rsid w:val="79927E6B"/>
    <w:rsid w:val="7A0643B5"/>
    <w:rsid w:val="7A886B78"/>
    <w:rsid w:val="7A8D3814"/>
    <w:rsid w:val="7A910122"/>
    <w:rsid w:val="7A9E02FF"/>
    <w:rsid w:val="7AE85868"/>
    <w:rsid w:val="7AF92103"/>
    <w:rsid w:val="7B2E771F"/>
    <w:rsid w:val="7B3E69C5"/>
    <w:rsid w:val="7B560A24"/>
    <w:rsid w:val="7B6B5AAA"/>
    <w:rsid w:val="7BA92EF7"/>
    <w:rsid w:val="7BC03722"/>
    <w:rsid w:val="7BDA1655"/>
    <w:rsid w:val="7BE35412"/>
    <w:rsid w:val="7C0C478A"/>
    <w:rsid w:val="7C0E7550"/>
    <w:rsid w:val="7C510CBF"/>
    <w:rsid w:val="7C8617DD"/>
    <w:rsid w:val="7CB9570E"/>
    <w:rsid w:val="7CC3658D"/>
    <w:rsid w:val="7CDC31AB"/>
    <w:rsid w:val="7D07647A"/>
    <w:rsid w:val="7D1E37C3"/>
    <w:rsid w:val="7D2863F0"/>
    <w:rsid w:val="7D64135F"/>
    <w:rsid w:val="7D6C6B44"/>
    <w:rsid w:val="7D6E0B58"/>
    <w:rsid w:val="7D6E474B"/>
    <w:rsid w:val="7D8948E1"/>
    <w:rsid w:val="7D913252"/>
    <w:rsid w:val="7DA737B9"/>
    <w:rsid w:val="7DBA65C5"/>
    <w:rsid w:val="7DCE6F97"/>
    <w:rsid w:val="7DE22A43"/>
    <w:rsid w:val="7DF86EFC"/>
    <w:rsid w:val="7DFB58B2"/>
    <w:rsid w:val="7E1352F2"/>
    <w:rsid w:val="7E2527A1"/>
    <w:rsid w:val="7E2D63B4"/>
    <w:rsid w:val="7E4436FD"/>
    <w:rsid w:val="7E6478FC"/>
    <w:rsid w:val="7E7C2E97"/>
    <w:rsid w:val="7EC00FD6"/>
    <w:rsid w:val="7ED06D3F"/>
    <w:rsid w:val="7F4514DB"/>
    <w:rsid w:val="7F767E58"/>
    <w:rsid w:val="7F9D7C19"/>
    <w:rsid w:val="7FAF2DF8"/>
    <w:rsid w:val="7FBE4DEA"/>
    <w:rsid w:val="7FF865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qFormat="1" w:uiPriority="99"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paragraph" w:styleId="3">
    <w:name w:val="heading 2"/>
    <w:basedOn w:val="1"/>
    <w:qFormat/>
    <w:uiPriority w:val="9"/>
    <w:pPr>
      <w:keepNext/>
      <w:keepLines/>
      <w:spacing w:before="260" w:after="260" w:line="416" w:lineRule="auto"/>
      <w:outlineLvl w:val="1"/>
    </w:pPr>
    <w:rPr>
      <w:rFonts w:ascii="Cambria" w:hAnsi="Cambria" w:eastAsia="宋体" w:cs="Times New Roman"/>
      <w:b/>
      <w:bCs/>
      <w:sz w:val="32"/>
      <w:szCs w:val="32"/>
    </w:rPr>
  </w:style>
  <w:style w:type="paragraph" w:styleId="4">
    <w:name w:val="heading 3"/>
    <w:basedOn w:val="1"/>
    <w:next w:val="1"/>
    <w:qFormat/>
    <w:uiPriority w:val="9"/>
    <w:pPr>
      <w:keepNext/>
      <w:keepLines/>
      <w:spacing w:before="260" w:after="260" w:line="416" w:lineRule="auto"/>
      <w:outlineLvl w:val="2"/>
    </w:pPr>
    <w:rPr>
      <w:b/>
      <w:bCs/>
      <w:sz w:val="32"/>
      <w:szCs w:val="32"/>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5">
    <w:name w:val="Body Text"/>
    <w:basedOn w:val="1"/>
    <w:qFormat/>
    <w:uiPriority w:val="1"/>
    <w:pPr>
      <w:spacing w:line="240" w:lineRule="auto"/>
      <w:ind w:left="0" w:leftChars="0" w:firstLine="200" w:firstLineChars="200"/>
    </w:pPr>
    <w:rPr>
      <w:rFonts w:ascii="宋体" w:hAnsi="宋体" w:cs="宋体"/>
      <w:sz w:val="21"/>
      <w:szCs w:val="21"/>
      <w:lang w:eastAsia="en-US"/>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8">
    <w:name w:val="List Continue 2"/>
    <w:basedOn w:val="1"/>
    <w:unhideWhenUsed/>
    <w:qFormat/>
    <w:uiPriority w:val="99"/>
    <w:pPr>
      <w:spacing w:after="120" w:afterLines="0" w:afterAutospacing="0"/>
      <w:ind w:left="840" w:leftChars="400"/>
    </w:pPr>
  </w:style>
  <w:style w:type="paragraph" w:styleId="9">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rPr>
  </w:style>
  <w:style w:type="paragraph" w:styleId="10">
    <w:name w:val="Normal (Web)"/>
    <w:basedOn w:val="1"/>
    <w:qFormat/>
    <w:uiPriority w:val="0"/>
    <w:rPr>
      <w:sz w:val="24"/>
    </w:rPr>
  </w:style>
  <w:style w:type="table" w:styleId="12">
    <w:name w:val="Table Grid"/>
    <w:basedOn w:val="11"/>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0"/>
    <w:rPr>
      <w:b/>
    </w:rPr>
  </w:style>
  <w:style w:type="character" w:styleId="15">
    <w:name w:val="page number"/>
    <w:qFormat/>
    <w:uiPriority w:val="0"/>
    <w:rPr>
      <w:rFonts w:ascii="Times New Roman" w:hAnsi="Times New Roman" w:eastAsia="宋体"/>
      <w:sz w:val="18"/>
    </w:rPr>
  </w:style>
  <w:style w:type="character" w:styleId="16">
    <w:name w:val="Emphasis"/>
    <w:basedOn w:val="13"/>
    <w:qFormat/>
    <w:uiPriority w:val="20"/>
    <w:rPr>
      <w:i/>
    </w:rPr>
  </w:style>
  <w:style w:type="character" w:styleId="17">
    <w:name w:val="Hyperlink"/>
    <w:unhideWhenUsed/>
    <w:qFormat/>
    <w:uiPriority w:val="99"/>
    <w:rPr>
      <w:color w:val="0000FF"/>
      <w:u w:val="single"/>
    </w:rPr>
  </w:style>
  <w:style w:type="paragraph" w:styleId="18">
    <w:name w:val="List Paragraph"/>
    <w:basedOn w:val="1"/>
    <w:qFormat/>
    <w:uiPriority w:val="34"/>
    <w:pPr>
      <w:ind w:firstLine="420" w:firstLineChars="200"/>
    </w:pPr>
  </w:style>
  <w:style w:type="paragraph" w:customStyle="1" w:styleId="19">
    <w:name w:val="段"/>
    <w:qFormat/>
    <w:uiPriority w:val="0"/>
    <w:pPr>
      <w:autoSpaceDE w:val="0"/>
      <w:autoSpaceDN w:val="0"/>
      <w:ind w:firstLine="200" w:firstLineChars="200"/>
      <w:jc w:val="both"/>
    </w:pPr>
    <w:rPr>
      <w:rFonts w:ascii="宋体" w:hAnsi="Times New Roman" w:eastAsia="宋体" w:cs="Times New Roman"/>
      <w:sz w:val="22"/>
      <w:lang w:val="en-US" w:eastAsia="zh-CN" w:bidi="ar-SA"/>
    </w:rPr>
  </w:style>
  <w:style w:type="paragraph" w:customStyle="1" w:styleId="20">
    <w:name w:val="Heading4"/>
    <w:basedOn w:val="1"/>
    <w:next w:val="1"/>
    <w:qFormat/>
    <w:uiPriority w:val="99"/>
    <w:pPr>
      <w:spacing w:line="400" w:lineRule="exact"/>
    </w:pPr>
    <w:rPr>
      <w:szCs w:val="28"/>
    </w:rPr>
  </w:style>
  <w:style w:type="paragraph" w:customStyle="1" w:styleId="21">
    <w:name w:val="一级条标题"/>
    <w:next w:val="19"/>
    <w:autoRedefine/>
    <w:qFormat/>
    <w:uiPriority w:val="0"/>
    <w:pPr>
      <w:numPr>
        <w:ilvl w:val="1"/>
        <w:numId w:val="1"/>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22">
    <w:name w:val="目次、标准名称标题"/>
    <w:basedOn w:val="23"/>
    <w:next w:val="19"/>
    <w:qFormat/>
    <w:uiPriority w:val="0"/>
    <w:pPr>
      <w:numPr>
        <w:ilvl w:val="0"/>
        <w:numId w:val="0"/>
      </w:numPr>
      <w:spacing w:line="460" w:lineRule="exact"/>
    </w:pPr>
  </w:style>
  <w:style w:type="paragraph" w:customStyle="1" w:styleId="23">
    <w:name w:val="前言、引言标题"/>
    <w:next w:val="1"/>
    <w:qFormat/>
    <w:uiPriority w:val="0"/>
    <w:pPr>
      <w:numPr>
        <w:ilvl w:val="0"/>
        <w:numId w:val="2"/>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24">
    <w:name w:val="章标题"/>
    <w:next w:val="19"/>
    <w:qFormat/>
    <w:uiPriority w:val="0"/>
    <w:pPr>
      <w:numPr>
        <w:ilvl w:val="1"/>
        <w:numId w:val="2"/>
      </w:numPr>
      <w:spacing w:before="50" w:beforeLines="50" w:after="50" w:afterLines="50"/>
      <w:jc w:val="both"/>
      <w:outlineLvl w:val="1"/>
    </w:pPr>
    <w:rPr>
      <w:rFonts w:ascii="黑体" w:hAnsi="黑体" w:eastAsia="黑体" w:cs="Times New Roman"/>
      <w:sz w:val="24"/>
      <w:lang w:val="en-US" w:eastAsia="zh-CN" w:bidi="ar-SA"/>
    </w:rPr>
  </w:style>
  <w:style w:type="paragraph" w:customStyle="1" w:styleId="25">
    <w:name w:val="标准书脚_奇数页"/>
    <w:qFormat/>
    <w:uiPriority w:val="0"/>
    <w:pPr>
      <w:spacing w:before="120"/>
      <w:jc w:val="right"/>
    </w:pPr>
    <w:rPr>
      <w:rFonts w:ascii="Times New Roman" w:hAnsi="Times New Roman" w:eastAsia="宋体" w:cs="Times New Roman"/>
      <w:sz w:val="18"/>
      <w:lang w:val="en-US" w:eastAsia="zh-CN" w:bidi="ar-SA"/>
    </w:rPr>
  </w:style>
  <w:style w:type="character" w:customStyle="1" w:styleId="26">
    <w:name w:val="style21"/>
    <w:qFormat/>
    <w:uiPriority w:val="0"/>
    <w:rPr>
      <w:color w:val="0000A0"/>
      <w:sz w:val="33"/>
      <w:szCs w:val="33"/>
    </w:rPr>
  </w:style>
  <w:style w:type="paragraph" w:customStyle="1" w:styleId="27">
    <w:name w:val="封面标准名称"/>
    <w:basedOn w:val="1"/>
    <w:autoRedefine/>
    <w:qFormat/>
    <w:uiPriority w:val="0"/>
    <w:pPr>
      <w:topLinePunct/>
      <w:spacing w:line="680" w:lineRule="exact"/>
      <w:jc w:val="center"/>
      <w:textAlignment w:val="center"/>
    </w:pPr>
    <w:rPr>
      <w:rFonts w:ascii="黑体" w:hAnsi="黑体" w:eastAsia="黑体" w:cs="宋体"/>
      <w:kern w:val="0"/>
      <w:sz w:val="52"/>
      <w:szCs w:val="52"/>
    </w:rPr>
  </w:style>
  <w:style w:type="paragraph" w:customStyle="1" w:styleId="28">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29">
    <w:name w:val="封面标准英文名称"/>
    <w:basedOn w:val="1"/>
    <w:autoRedefine/>
    <w:qFormat/>
    <w:uiPriority w:val="0"/>
    <w:pPr>
      <w:spacing w:before="370" w:after="100" w:afterAutospacing="1" w:line="400" w:lineRule="exact"/>
      <w:jc w:val="center"/>
    </w:pPr>
    <w:rPr>
      <w:kern w:val="0"/>
      <w:sz w:val="28"/>
      <w:szCs w:val="28"/>
    </w:rPr>
  </w:style>
  <w:style w:type="paragraph" w:customStyle="1" w:styleId="30">
    <w:name w:val="二级条标题"/>
    <w:basedOn w:val="21"/>
    <w:next w:val="19"/>
    <w:qFormat/>
    <w:uiPriority w:val="0"/>
    <w:pPr>
      <w:numPr>
        <w:ilvl w:val="2"/>
        <w:numId w:val="1"/>
      </w:numPr>
      <w:spacing w:before="50" w:after="50"/>
      <w:outlineLvl w:val="3"/>
    </w:pPr>
  </w:style>
  <w:style w:type="paragraph" w:customStyle="1" w:styleId="31">
    <w:name w:val="注：（正文）"/>
    <w:basedOn w:val="32"/>
    <w:next w:val="19"/>
    <w:qFormat/>
    <w:uiPriority w:val="0"/>
  </w:style>
  <w:style w:type="paragraph" w:customStyle="1" w:styleId="32">
    <w:name w:val="注："/>
    <w:next w:val="19"/>
    <w:qFormat/>
    <w:uiPriority w:val="0"/>
    <w:pPr>
      <w:widowControl w:val="0"/>
      <w:numPr>
        <w:ilvl w:val="0"/>
        <w:numId w:val="3"/>
      </w:numPr>
      <w:autoSpaceDE w:val="0"/>
      <w:autoSpaceDN w:val="0"/>
      <w:jc w:val="both"/>
    </w:pPr>
    <w:rPr>
      <w:rFonts w:ascii="宋体" w:hAnsi="Times New Roman" w:eastAsia="宋体" w:cs="Times New Roman"/>
      <w:sz w:val="18"/>
      <w:szCs w:val="18"/>
      <w:lang w:val="en-US" w:eastAsia="zh-CN" w:bidi="ar-SA"/>
    </w:rPr>
  </w:style>
  <w:style w:type="paragraph" w:customStyle="1" w:styleId="33">
    <w:name w:val="正文表标题"/>
    <w:next w:val="19"/>
    <w:qFormat/>
    <w:uiPriority w:val="0"/>
    <w:pPr>
      <w:numPr>
        <w:ilvl w:val="0"/>
        <w:numId w:val="4"/>
      </w:numPr>
      <w:jc w:val="center"/>
    </w:pPr>
    <w:rPr>
      <w:rFonts w:ascii="黑体" w:hAnsi="Times New Roman" w:eastAsia="黑体" w:cs="Times New Roman"/>
      <w:sz w:val="21"/>
      <w:lang w:val="en-US" w:eastAsia="zh-CN" w:bidi="ar-SA"/>
    </w:rPr>
  </w:style>
  <w:style w:type="paragraph" w:customStyle="1" w:styleId="34">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character" w:customStyle="1" w:styleId="35">
    <w:name w:val="ql-font-timesnewroman"/>
    <w:basedOn w:val="13"/>
    <w:qFormat/>
    <w:uiPriority w:val="0"/>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webp"/><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31</Pages>
  <Words>5470</Words>
  <Characters>5660</Characters>
  <Lines>0</Lines>
  <Paragraphs>0</Paragraphs>
  <TotalTime>0</TotalTime>
  <ScaleCrop>false</ScaleCrop>
  <LinksUpToDate>false</LinksUpToDate>
  <CharactersWithSpaces>5678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2024-11-03T23:58:00Z</dcterms:created>
  <dc:creator>zhang</dc:creator>
  <cp:lastModifiedBy>Lynne</cp:lastModifiedBy>
  <cp:lastPrinted>2026-02-06T05:28:11Z</cp:lastPrinted>
  <dcterms:modified xsi:type="dcterms:W3CDTF">2026-02-06T05:34:43Z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C1F726D2B6D3402C86173DF176B3CE85_13</vt:lpwstr>
  </property>
  <property fmtid="{D5CDD505-2E9C-101B-9397-08002B2CF9AE}" pid="4" name="KSOTemplateDocerSaveRecord">
    <vt:lpwstr>eyJoZGlkIjoiNTk1OGI5YjJlZDY4NDU5N2U1MWY0NTY2ZjJhODVmM2IiLCJ1c2VySWQiOiIyMDE2MDcxODYifQ==</vt:lpwstr>
  </property>
</Properties>
</file>