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0"/>
        <w:tblpPr w:leftFromText="180" w:rightFromText="180" w:vertAnchor="text" w:horzAnchor="page" w:tblpX="4822" w:tblpY="77"/>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68"/>
              <w:framePr w:w="0" w:hRule="auto" w:hSpace="0" w:vSpace="0" w:wrap="auto" w:vAnchor="margin" w:hAnchor="text" w:xAlign="left" w:yAlign="inline"/>
              <w:rPr>
                <w:b w:val="0"/>
                <w:szCs w:val="20"/>
              </w:rPr>
            </w:pPr>
            <w:bookmarkStart w:id="0" w:name="_Toc17544"/>
            <w:bookmarkStart w:id="1" w:name="_Toc2196"/>
            <w:bookmarkStart w:id="2" w:name="_Toc28458"/>
            <w:bookmarkStart w:id="3" w:name="_Toc11886"/>
            <w:bookmarkStart w:id="4" w:name="_Toc399"/>
            <w:bookmarkStart w:id="5" w:name="_Toc25897"/>
            <w:bookmarkStart w:id="6" w:name="_Toc8161"/>
            <w:bookmarkStart w:id="7" w:name="_Toc14790"/>
            <w:bookmarkStart w:id="8" w:name="_Toc511"/>
            <w:bookmarkStart w:id="9" w:name="_Toc451845312"/>
          </w:p>
          <w:p>
            <w:pPr>
              <w:pStyle w:val="68"/>
              <w:framePr w:w="0" w:hRule="auto" w:hSpace="0" w:vSpace="0" w:wrap="auto" w:vAnchor="margin" w:hAnchor="text" w:xAlign="left" w:yAlign="inline"/>
              <w:rPr>
                <w:sz w:val="28"/>
                <w:szCs w:val="28"/>
              </w:rPr>
            </w:pPr>
            <w:r>
              <w:rPr>
                <w:sz w:val="21"/>
                <w:szCs w:val="21"/>
              </w:rPr>
              <w:t xml:space="preserve"> </w:t>
            </w:r>
          </w:p>
        </w:tc>
      </w:tr>
    </w:tbl>
    <w:p>
      <w:pPr>
        <w:tabs>
          <w:tab w:val="center" w:pos="4201"/>
          <w:tab w:val="right" w:leader="dot" w:pos="9298"/>
        </w:tabs>
      </w:pPr>
      <w:bookmarkStart w:id="10" w:name="_Toc7183"/>
    </w:p>
    <w:p>
      <w:pPr>
        <w:tabs>
          <w:tab w:val="center" w:pos="4201"/>
          <w:tab w:val="right" w:leader="dot" w:pos="9298"/>
        </w:tabs>
      </w:pPr>
    </w:p>
    <w:p>
      <w:pPr>
        <w:tabs>
          <w:tab w:val="center" w:pos="4201"/>
          <w:tab w:val="right" w:leader="dot" w:pos="9298"/>
        </w:tabs>
      </w:pPr>
    </w:p>
    <w:p>
      <w:pPr>
        <w:pStyle w:val="53"/>
      </w:pPr>
      <w:r>
        <w:rPr>
          <w:rFonts w:ascii="Times New Roman"/>
        </w:rPr>
        <w:t>ICS</w:t>
      </w:r>
      <w:r>
        <w:rPr>
          <w:rFonts w:hint="eastAsia" w:ascii="MS Gothic" w:hAnsi="MS Gothic" w:eastAsia="宋体" w:cs="MS Gothic"/>
        </w:rPr>
        <w:t xml:space="preserve"> </w:t>
      </w:r>
      <w:r>
        <w:rPr>
          <w:rFonts w:hint="eastAsia"/>
          <w:sz w:val="18"/>
        </w:rPr>
        <w:t>9</w:t>
      </w:r>
      <w:r>
        <w:rPr>
          <w:sz w:val="18"/>
        </w:rPr>
        <w:t>1.100.30</w:t>
      </w:r>
    </w:p>
    <w:p>
      <w:pPr>
        <w:pStyle w:val="53"/>
      </w:pPr>
      <w:r>
        <w:t xml:space="preserve">CCS </w:t>
      </w:r>
      <w:r>
        <w:rPr>
          <w:rFonts w:hint="eastAsia"/>
          <w:sz w:val="18"/>
        </w:rPr>
        <w:t>P25</w:t>
      </w:r>
    </w:p>
    <w:tbl>
      <w:tblPr>
        <w:tblStyle w:val="19"/>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53"/>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7"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pPr>
                                    <w:tabs>
                                      <w:tab w:val="center" w:pos="4201"/>
                                      <w:tab w:val="right" w:leader="dot" w:pos="9298"/>
                                    </w:tabs>
                                  </w:pPr>
                                </w:p>
                              </w:txbxContent>
                            </wps:txbx>
                            <wps:bodyPr upright="1"/>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AX&#10;Uri7sQEAAG0DAAAOAAAAAAAAAAEAIAAAACQBAABkcnMvZTJvRG9jLnhtbFBLBQYAAAAABgAGAFkB&#10;AABHBQAAAAA=&#10;">
                      <v:fill on="t" focussize="0,0"/>
                      <v:stroke on="f"/>
                      <v:imagedata o:title=""/>
                      <o:lock v:ext="edit" aspectratio="f"/>
                      <v:textbox>
                        <w:txbxContent>
                          <w:p>
                            <w:pPr>
                              <w:tabs>
                                <w:tab w:val="center" w:pos="4201"/>
                                <w:tab w:val="right" w:leader="dot" w:pos="9298"/>
                              </w:tabs>
                            </w:pPr>
                          </w:p>
                        </w:txbxContent>
                      </v:textbox>
                    </v:rect>
                  </w:pict>
                </mc:Fallback>
              </mc:AlternateContent>
            </w:r>
          </w:p>
        </w:tc>
      </w:tr>
    </w:tbl>
    <w:p>
      <w:pPr>
        <w:pStyle w:val="68"/>
        <w:rPr>
          <w:b w:val="0"/>
        </w:rPr>
      </w:pPr>
      <w:r>
        <w:rPr>
          <w:b w:val="0"/>
        </w:rPr>
        <w:fldChar w:fldCharType="begin">
          <w:ffData>
            <w:name w:val="c1"/>
            <w:enabled/>
            <w:calcOnExit w:val="0"/>
            <w:entryMacro w:val="ShowHelp15"/>
            <w:textInput>
              <w:maxLength w:val="2"/>
            </w:textInput>
          </w:ffData>
        </w:fldChar>
      </w:r>
      <w:r>
        <w:rPr>
          <w:b w:val="0"/>
        </w:rPr>
        <w:instrText xml:space="preserve"> FORMTEXT </w:instrText>
      </w:r>
      <w:r>
        <w:rPr>
          <w:b w:val="0"/>
        </w:rPr>
        <w:fldChar w:fldCharType="separate"/>
      </w:r>
      <w:r>
        <w:rPr>
          <w:rFonts w:hint="eastAsia"/>
          <w:b w:val="0"/>
        </w:rPr>
        <w:t>JC</w:t>
      </w:r>
      <w:r>
        <w:rPr>
          <w:b w:val="0"/>
        </w:rPr>
        <w:fldChar w:fldCharType="end"/>
      </w:r>
    </w:p>
    <w:p>
      <w:pPr>
        <w:pStyle w:val="54"/>
      </w:pPr>
      <w:r>
        <w:rPr>
          <w:rFonts w:hint="eastAsia"/>
        </w:rPr>
        <w:t>中华人民共和国</w:t>
      </w:r>
      <w:r>
        <w:fldChar w:fldCharType="begin">
          <w:ffData>
            <w:name w:val="c2"/>
            <w:enabled/>
            <w:calcOnExit w:val="0"/>
            <w:entryMacro w:val="showhelp11"/>
            <w:textInput/>
          </w:ffData>
        </w:fldChar>
      </w:r>
      <w:r>
        <w:instrText xml:space="preserve"> FORMTEXT </w:instrText>
      </w:r>
      <w:r>
        <w:fldChar w:fldCharType="separate"/>
      </w:r>
      <w:r>
        <w:rPr>
          <w:rFonts w:hint="eastAsia"/>
        </w:rPr>
        <w:t>建材</w:t>
      </w:r>
      <w:r>
        <w:fldChar w:fldCharType="end"/>
      </w:r>
      <w:r>
        <w:rPr>
          <w:rFonts w:hint="eastAsia"/>
        </w:rPr>
        <w:t>行业标准</w:t>
      </w:r>
    </w:p>
    <w:p>
      <w:pPr>
        <w:pStyle w:val="70"/>
      </w:pPr>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hint="eastAsia" w:ascii="Times New Roman"/>
        </w:rPr>
        <w:t>JC</w:t>
      </w:r>
      <w:r>
        <w:rPr>
          <w:rFonts w:ascii="Times New Roman"/>
        </w:rPr>
        <w:fldChar w:fldCharType="end"/>
      </w:r>
      <w:r>
        <w:rPr>
          <w:rFonts w:ascii="Times New Roman"/>
        </w:rPr>
        <w:t xml:space="preserve">/T </w:t>
      </w:r>
      <w:r>
        <w:fldChar w:fldCharType="begin">
          <w:ffData>
            <w:name w:val="StdNo1"/>
            <w:enabled/>
            <w:calcOnExit w:val="0"/>
            <w:textInput>
              <w:default w:val="XXXXX"/>
            </w:textInput>
          </w:ffData>
        </w:fldChar>
      </w:r>
      <w:r>
        <w:instrText xml:space="preserve"> FORMTEXT </w:instrText>
      </w:r>
      <w:r>
        <w:fldChar w:fldCharType="separate"/>
      </w:r>
      <w:r>
        <w:t>XXXXX</w:t>
      </w:r>
      <w:r>
        <w:fldChar w:fldCharType="end"/>
      </w:r>
      <w:r>
        <w:t>—</w:t>
      </w:r>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p>
    <w:tbl>
      <w:tblPr>
        <w:tblStyle w:val="19"/>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40"/>
              <w:ind w:right="210"/>
            </w:pPr>
          </w:p>
        </w:tc>
      </w:tr>
    </w:tbl>
    <w:p>
      <w:pPr>
        <w:pStyle w:val="70"/>
      </w:pPr>
    </w:p>
    <w:p>
      <w:pPr>
        <w:pStyle w:val="70"/>
      </w:pPr>
    </w:p>
    <w:p>
      <w:pPr>
        <w:pStyle w:val="17"/>
        <w:framePr w:w="9632" w:h="7002" w:hRule="exact" w:wrap="around" w:vAnchor="page" w:hAnchor="page" w:x="1203" w:y="5263" w:anchorLock="1"/>
        <w:widowControl w:val="0"/>
        <w:spacing w:before="0" w:beforeAutospacing="0" w:after="0" w:afterAutospacing="0" w:line="680" w:lineRule="exact"/>
        <w:jc w:val="center"/>
        <w:textAlignment w:val="center"/>
        <w:rPr>
          <w:rFonts w:ascii="黑体" w:hAnsi="宋体" w:eastAsia="黑体" w:cs="黑体"/>
          <w:sz w:val="52"/>
          <w:szCs w:val="52"/>
          <w:lang w:bidi="ar"/>
        </w:rPr>
      </w:pPr>
      <w:r>
        <w:rPr>
          <w:rFonts w:hint="eastAsia" w:ascii="黑体" w:hAnsi="宋体" w:eastAsia="黑体" w:cs="黑体"/>
          <w:sz w:val="52"/>
          <w:szCs w:val="52"/>
          <w:lang w:bidi="ar"/>
        </w:rPr>
        <w:t>钢渣粉在混凝土中应用技术规范</w:t>
      </w:r>
    </w:p>
    <w:p>
      <w:pPr>
        <w:pStyle w:val="37"/>
        <w:framePr w:w="9632" w:h="7002" w:hRule="exact" w:vAnchor="page" w:hAnchor="page" w:x="1203" w:y="5263"/>
        <w:rPr>
          <w:rFonts w:ascii="Times New Roman"/>
        </w:rPr>
      </w:pPr>
    </w:p>
    <w:p>
      <w:pPr>
        <w:pStyle w:val="37"/>
        <w:framePr w:w="9632" w:h="7002" w:hRule="exact" w:vAnchor="page" w:hAnchor="page" w:x="1203" w:y="5263"/>
      </w:pPr>
      <w:r>
        <w:rPr>
          <w:rFonts w:hint="eastAsia"/>
        </w:rPr>
        <w:t>（</w:t>
      </w:r>
      <w:r>
        <w:rPr>
          <w:rFonts w:hint="eastAsia"/>
          <w:lang w:val="en-US" w:eastAsia="zh-CN"/>
        </w:rPr>
        <w:t>征求意见稿</w:t>
      </w:r>
      <w:r>
        <w:rPr>
          <w:rFonts w:hint="eastAsia"/>
        </w:rPr>
        <w:t>）</w:t>
      </w:r>
    </w:p>
    <w:tbl>
      <w:tblPr>
        <w:tblStyle w:val="19"/>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73"/>
              <w:framePr w:w="9522" w:x="1251" w:y="7290"/>
              <w:rPr>
                <w:rFonts w:eastAsia="黑体"/>
                <w:sz w:val="28"/>
              </w:rPr>
            </w:pPr>
            <w:r>
              <w:rPr>
                <w:rFonts w:hint="eastAsia" w:eastAsia="黑体"/>
                <w:sz w:val="32"/>
                <w:szCs w:val="32"/>
              </w:rPr>
              <w:t>Technical code for application of steel</w:t>
            </w:r>
            <w:r>
              <w:rPr>
                <w:rFonts w:eastAsia="黑体"/>
                <w:sz w:val="28"/>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8"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pPr>
                                    <w:tabs>
                                      <w:tab w:val="center" w:pos="4201"/>
                                      <w:tab w:val="right" w:leader="dot" w:pos="9298"/>
                                    </w:tabs>
                                  </w:pPr>
                                </w:p>
                              </w:txbxContent>
                            </wps:txbx>
                            <wps:bodyPr upright="1"/>
                          </wps:wsp>
                        </a:graphicData>
                      </a:graphic>
                    </wp:anchor>
                  </w:drawing>
                </mc:Choice>
                <mc:Fallback>
                  <w:pict>
                    <v:rect id="RQ" o:spid="_x0000_s1026" o:spt="1" style="position:absolute;left:0pt;margin-left:173.3pt;margin-top:337.15pt;height:20pt;width:150pt;z-index:-251653120;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39f34NcAAAAL&#10;AQAADwAAAAAAAAABACAAAAAiAAAAZHJzL2Rvd25yZXYueG1sUEsBAhQAFAAAAAgAh07iQEeZ2pir&#10;AQAAbQMAAA4AAAAAAAAAAQAgAAAAJgEAAGRycy9lMm9Eb2MueG1sUEsFBgAAAAAGAAYAWQEAAEMF&#10;AAAAAA==&#10;">
                      <v:fill on="t" focussize="0,0"/>
                      <v:stroke on="f"/>
                      <v:imagedata o:title=""/>
                      <o:lock v:ext="edit" aspectratio="f"/>
                      <v:textbox>
                        <w:txbxContent>
                          <w:p>
                            <w:pPr>
                              <w:tabs>
                                <w:tab w:val="center" w:pos="4201"/>
                                <w:tab w:val="right" w:leader="dot" w:pos="9298"/>
                              </w:tabs>
                            </w:pPr>
                          </w:p>
                        </w:txbxContent>
                      </v:textbox>
                      <w10:anchorlock/>
                    </v:rect>
                  </w:pict>
                </mc:Fallback>
              </mc:AlternateContent>
            </w:r>
            <w:r>
              <w:rPr>
                <w:rFonts w:hint="eastAsia" w:eastAsia="黑体"/>
                <w:sz w:val="32"/>
                <w:szCs w:val="32"/>
              </w:rPr>
              <w:t xml:space="preserve"> slag powder in concrete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78"/>
              <w:framePr w:w="9522" w:x="1251" w:y="7290"/>
            </w:pPr>
          </w:p>
        </w:tc>
      </w:tr>
    </w:tbl>
    <w:p>
      <w:pPr>
        <w:pStyle w:val="75"/>
        <w:framePr w:x="1741" w:y="14041"/>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r>
        <w:rPr>
          <w:rFonts w:ascii="黑体"/>
        </w:rPr>
        <w:t>-</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pPr>
        <w:pStyle w:val="42"/>
        <w:framePr w:x="7096" w:y="14176"/>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r>
        <w:rPr>
          <w:rFonts w:ascii="黑体"/>
        </w:rPr>
        <w:t>-</w:t>
      </w:r>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实施</w:t>
      </w:r>
    </w:p>
    <w:p>
      <w:pPr>
        <w:pStyle w:val="61"/>
        <w:framePr w:x="2186" w:y="15211"/>
      </w:pPr>
      <w:r>
        <mc:AlternateContent>
          <mc:Choice Requires="wps">
            <w:drawing>
              <wp:anchor distT="0" distB="0" distL="114300" distR="114300" simplePos="0" relativeHeight="251662336"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10"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pPr>
                              <w:tabs>
                                <w:tab w:val="center" w:pos="4201"/>
                                <w:tab w:val="right" w:leader="dot" w:pos="9298"/>
                              </w:tabs>
                            </w:pPr>
                          </w:p>
                        </w:txbxContent>
                      </wps:txbx>
                      <wps:bodyPr upright="1"/>
                    </wps:wsp>
                  </a:graphicData>
                </a:graphic>
              </wp:anchor>
            </w:drawing>
          </mc:Choice>
          <mc:Fallback>
            <w:pict>
              <v:rect id="LB" o:spid="_x0000_s1026" o:spt="1" style="position:absolute;left:0pt;margin-left:142.55pt;margin-top:-310.45pt;height:24pt;width:100pt;z-index:-251654144;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Pm17tbZ&#10;AAAADQEAAA8AAAAAAAAAAQAgAAAAIgAAAGRycy9kb3ducmV2LnhtbFBLAQIUABQAAAAIAIdO4kDI&#10;tweqrQEAAG4DAAAOAAAAAAAAAAEAIAAAACgBAABkcnMvZTJvRG9jLnhtbFBLBQYAAAAABgAGAFkB&#10;AABHBQAAAAA=&#10;">
                <v:fill on="t" focussize="0,0"/>
                <v:stroke on="f"/>
                <v:imagedata o:title=""/>
                <o:lock v:ext="edit" aspectratio="f"/>
                <v:textbox>
                  <w:txbxContent>
                    <w:p>
                      <w:pPr>
                        <w:tabs>
                          <w:tab w:val="center" w:pos="4201"/>
                          <w:tab w:val="right" w:leader="dot" w:pos="9298"/>
                        </w:tabs>
                      </w:pPr>
                    </w:p>
                  </w:txbxContent>
                </v:textbox>
              </v:rect>
            </w:pict>
          </mc:Fallback>
        </mc:AlternateContent>
      </w:r>
      <w:r>
        <mc:AlternateContent>
          <mc:Choice Requires="wps">
            <w:drawing>
              <wp:anchor distT="0" distB="0" distL="114300" distR="114300" simplePos="0" relativeHeight="251661312"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2"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pPr>
                              <w:tabs>
                                <w:tab w:val="center" w:pos="4201"/>
                                <w:tab w:val="right" w:leader="dot" w:pos="9298"/>
                              </w:tabs>
                            </w:pPr>
                          </w:p>
                        </w:txbxContent>
                      </wps:txbx>
                      <wps:bodyPr upright="1"/>
                    </wps:wsp>
                  </a:graphicData>
                </a:graphic>
              </wp:anchor>
            </w:drawing>
          </mc:Choice>
          <mc:Fallback>
            <w:pict>
              <v:rect id="DT" o:spid="_x0000_s1026" o:spt="1" style="position:absolute;left:0pt;margin-left:347.55pt;margin-top:-585.45pt;height:18pt;width:90pt;z-index:-251655168;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fyYoR&#10;2gAAAA8BAAAPAAAAAAAAAAEAIAAAACIAAABkcnMvZG93bnJldi54bWxQSwECFAAUAAAACACHTuJA&#10;Vel8EK0BAABuAwAADgAAAAAAAAABACAAAAApAQAAZHJzL2Uyb0RvYy54bWxQSwUGAAAAAAYABgBZ&#10;AQAASAUAAAAA&#10;">
                <v:fill on="t" focussize="0,0"/>
                <v:stroke on="f"/>
                <v:imagedata o:title=""/>
                <o:lock v:ext="edit" aspectratio="f"/>
                <v:textbox>
                  <w:txbxContent>
                    <w:p>
                      <w:pPr>
                        <w:tabs>
                          <w:tab w:val="center" w:pos="4201"/>
                          <w:tab w:val="right" w:leader="dot" w:pos="9298"/>
                        </w:tabs>
                      </w:pP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-464820</wp:posOffset>
                </wp:positionH>
                <wp:positionV relativeFrom="paragraph">
                  <wp:posOffset>-7021195</wp:posOffset>
                </wp:positionV>
                <wp:extent cx="6120130" cy="0"/>
                <wp:effectExtent l="0" t="4445" r="0" b="5080"/>
                <wp:wrapNone/>
                <wp:docPr id="14"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36.6pt;margin-top:-552.85pt;height:0pt;width:481.9pt;z-index:251665408;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7JZGg2AAAAA8BAAAP&#10;AAAAAAAAAAEAIAAAACIAAABkcnMvZG93bnJldi54bWxQSwECFAAUAAAACACHTuJAmihrUd8BAADQ&#10;AwAADgAAAAAAAAABACAAAAAnAQAAZHJzL2Uyb0RvYy54bWxQSwUGAAAAAAYABgBZAQAAeAU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中华人民共和国工业和信息化部</w:t>
      </w:r>
      <w:r>
        <w:fldChar w:fldCharType="end"/>
      </w:r>
      <w:r>
        <w:rPr>
          <w:rFonts w:hint="eastAsia"/>
        </w:rPr>
        <w:t xml:space="preserve">  </w:t>
      </w:r>
      <w:r>
        <w:rPr>
          <w:rStyle w:val="29"/>
          <w:rFonts w:hint="eastAsia"/>
        </w:rPr>
        <w:t>发布</w:t>
      </w:r>
    </w:p>
    <w:p>
      <w:pPr>
        <w:tabs>
          <w:tab w:val="center" w:pos="4201"/>
          <w:tab w:val="right" w:leader="dot" w:pos="9298"/>
        </w:tabs>
        <w:sectPr>
          <w:headerReference r:id="rId5" w:type="first"/>
          <w:footerReference r:id="rId8" w:type="first"/>
          <w:headerReference r:id="rId3" w:type="default"/>
          <w:footerReference r:id="rId6" w:type="default"/>
          <w:headerReference r:id="rId4" w:type="even"/>
          <w:footerReference r:id="rId7" w:type="even"/>
          <w:pgSz w:w="11906" w:h="16838"/>
          <w:pgMar w:top="567" w:right="850" w:bottom="1134" w:left="1418" w:header="0" w:footer="0" w:gutter="0"/>
          <w:pgNumType w:start="1"/>
          <w:cols w:space="720" w:num="1"/>
          <w:docGrid w:type="lines" w:linePitch="312" w:charSpace="0"/>
        </w:sectPr>
      </w:pPr>
      <w:r>
        <mc:AlternateContent>
          <mc:Choice Requires="wps">
            <w:drawing>
              <wp:anchor distT="0" distB="0" distL="114300" distR="114300" simplePos="0" relativeHeight="251666432" behindDoc="0" locked="1" layoutInCell="1" allowOverlap="1">
                <wp:simplePos x="0" y="0"/>
                <wp:positionH relativeFrom="column">
                  <wp:posOffset>161290</wp:posOffset>
                </wp:positionH>
                <wp:positionV relativeFrom="page">
                  <wp:posOffset>9430385</wp:posOffset>
                </wp:positionV>
                <wp:extent cx="6120130" cy="0"/>
                <wp:effectExtent l="0" t="4445" r="0" b="508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2.7pt;margin-top:742.55pt;height:0pt;width:481.9pt;mso-position-vertical-relative:page;z-index:251666432;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pPr>
        <w:pStyle w:val="57"/>
        <w:ind w:firstLine="150"/>
        <w:outlineLvl w:val="9"/>
        <w:rPr>
          <w:rFonts w:hAnsi="黑体"/>
          <w:sz w:val="30"/>
          <w:szCs w:val="30"/>
        </w:rPr>
      </w:pPr>
      <w:bookmarkStart w:id="11" w:name="_Toc18035"/>
      <w:bookmarkStart w:id="12" w:name="_Toc5313"/>
      <w:r>
        <w:rPr>
          <w:rFonts w:hAnsi="黑体"/>
          <w:sz w:val="30"/>
          <w:szCs w:val="30"/>
        </w:rPr>
        <w:t>前</w:t>
      </w:r>
      <w:r>
        <w:rPr>
          <w:rFonts w:hint="eastAsia" w:hAnsi="黑体"/>
          <w:sz w:val="30"/>
          <w:szCs w:val="30"/>
        </w:rPr>
        <w:t xml:space="preserve"> </w:t>
      </w:r>
      <w:r>
        <w:rPr>
          <w:rFonts w:hAnsi="黑体"/>
          <w:sz w:val="30"/>
          <w:szCs w:val="30"/>
        </w:rPr>
        <w:t xml:space="preserve"> 言</w:t>
      </w:r>
      <w:bookmarkEnd w:id="0"/>
      <w:bookmarkEnd w:id="1"/>
      <w:bookmarkEnd w:id="2"/>
      <w:bookmarkEnd w:id="3"/>
      <w:bookmarkEnd w:id="4"/>
      <w:bookmarkEnd w:id="5"/>
      <w:bookmarkEnd w:id="6"/>
      <w:bookmarkEnd w:id="7"/>
      <w:bookmarkEnd w:id="8"/>
      <w:bookmarkEnd w:id="10"/>
      <w:bookmarkEnd w:id="11"/>
      <w:bookmarkEnd w:id="12"/>
    </w:p>
    <w:p>
      <w:pPr>
        <w:pStyle w:val="6"/>
        <w:ind w:firstLine="560" w:firstLineChars="200"/>
        <w:rPr>
          <w:rFonts w:ascii="Times New Roman" w:hAnsi="Times New Roman"/>
          <w:bCs/>
          <w:sz w:val="28"/>
          <w:szCs w:val="28"/>
        </w:rPr>
      </w:pPr>
    </w:p>
    <w:p>
      <w:pPr>
        <w:pStyle w:val="63"/>
        <w:spacing w:line="360" w:lineRule="auto"/>
        <w:ind w:firstLine="480"/>
        <w:rPr>
          <w:rFonts w:ascii="Times New Roman"/>
          <w:sz w:val="24"/>
          <w:szCs w:val="24"/>
        </w:rPr>
      </w:pPr>
      <w:r>
        <w:rPr>
          <w:rFonts w:ascii="Times New Roman"/>
          <w:sz w:val="24"/>
          <w:szCs w:val="24"/>
        </w:rPr>
        <w:t>根据《工业和信息化部办公厅关于印发2024年第二批行业标准制修订和外文版项目计划的通知》（工信厅科函〔2024〕191号）的要求，</w:t>
      </w:r>
      <w:r>
        <w:rPr>
          <w:rFonts w:hint="eastAsia" w:ascii="Times New Roman"/>
          <w:sz w:val="24"/>
          <w:szCs w:val="24"/>
        </w:rPr>
        <w:t>规范</w:t>
      </w:r>
      <w:r>
        <w:rPr>
          <w:rFonts w:ascii="Times New Roman"/>
          <w:sz w:val="24"/>
          <w:szCs w:val="24"/>
        </w:rPr>
        <w:t>编制组经广泛调查研究，认真总结实践经验，参考国内和国际标准，并在广泛征求意见的基础上，编制了本</w:t>
      </w:r>
      <w:r>
        <w:rPr>
          <w:rFonts w:hint="eastAsia" w:ascii="Times New Roman"/>
          <w:sz w:val="24"/>
          <w:szCs w:val="24"/>
        </w:rPr>
        <w:t>规范</w:t>
      </w:r>
      <w:r>
        <w:rPr>
          <w:rFonts w:ascii="Times New Roman"/>
          <w:sz w:val="24"/>
          <w:szCs w:val="24"/>
        </w:rPr>
        <w:t>。</w:t>
      </w:r>
    </w:p>
    <w:p>
      <w:pPr>
        <w:pStyle w:val="63"/>
        <w:spacing w:line="360" w:lineRule="auto"/>
        <w:ind w:firstLine="480"/>
        <w:rPr>
          <w:rFonts w:ascii="Times New Roman"/>
          <w:sz w:val="24"/>
          <w:szCs w:val="24"/>
        </w:rPr>
      </w:pPr>
      <w:r>
        <w:rPr>
          <w:rFonts w:ascii="Times New Roman"/>
          <w:sz w:val="24"/>
          <w:szCs w:val="24"/>
        </w:rPr>
        <w:t>本</w:t>
      </w:r>
      <w:r>
        <w:rPr>
          <w:rFonts w:hint="eastAsia" w:ascii="Times New Roman"/>
          <w:sz w:val="24"/>
          <w:szCs w:val="24"/>
        </w:rPr>
        <w:t>规范</w:t>
      </w:r>
      <w:r>
        <w:rPr>
          <w:rFonts w:ascii="Times New Roman"/>
          <w:sz w:val="24"/>
          <w:szCs w:val="24"/>
        </w:rPr>
        <w:t>共分为7章，主要技术内容包括：1 总则</w:t>
      </w:r>
      <w:r>
        <w:rPr>
          <w:rFonts w:hint="eastAsia" w:ascii="Times New Roman"/>
          <w:sz w:val="24"/>
          <w:szCs w:val="24"/>
        </w:rPr>
        <w:t xml:space="preserve">；2 </w:t>
      </w:r>
      <w:r>
        <w:rPr>
          <w:rFonts w:ascii="Times New Roman"/>
          <w:sz w:val="24"/>
          <w:szCs w:val="24"/>
        </w:rPr>
        <w:t>术语</w:t>
      </w:r>
      <w:r>
        <w:rPr>
          <w:rFonts w:hint="eastAsia" w:ascii="Times New Roman"/>
          <w:sz w:val="24"/>
          <w:szCs w:val="24"/>
        </w:rPr>
        <w:t>和定义；3</w:t>
      </w:r>
      <w:r>
        <w:rPr>
          <w:rFonts w:ascii="Times New Roman"/>
          <w:sz w:val="24"/>
          <w:szCs w:val="24"/>
        </w:rPr>
        <w:t xml:space="preserve"> </w:t>
      </w:r>
      <w:r>
        <w:rPr>
          <w:rFonts w:hint="eastAsia" w:ascii="Times New Roman"/>
          <w:sz w:val="24"/>
          <w:szCs w:val="24"/>
        </w:rPr>
        <w:t>原材料；4</w:t>
      </w:r>
      <w:r>
        <w:rPr>
          <w:rFonts w:ascii="Times New Roman"/>
          <w:sz w:val="24"/>
          <w:szCs w:val="24"/>
        </w:rPr>
        <w:t xml:space="preserve"> </w:t>
      </w:r>
      <w:r>
        <w:rPr>
          <w:rFonts w:hint="eastAsia" w:ascii="Times New Roman"/>
          <w:sz w:val="24"/>
          <w:szCs w:val="24"/>
        </w:rPr>
        <w:t>混凝土性能；5</w:t>
      </w:r>
      <w:r>
        <w:rPr>
          <w:rFonts w:ascii="Times New Roman"/>
          <w:sz w:val="24"/>
          <w:szCs w:val="24"/>
        </w:rPr>
        <w:t xml:space="preserve"> </w:t>
      </w:r>
      <w:r>
        <w:rPr>
          <w:rFonts w:hint="eastAsia" w:ascii="Times New Roman"/>
          <w:sz w:val="24"/>
          <w:szCs w:val="24"/>
        </w:rPr>
        <w:t>配合比设计；6</w:t>
      </w:r>
      <w:r>
        <w:rPr>
          <w:rFonts w:ascii="Times New Roman"/>
          <w:sz w:val="24"/>
          <w:szCs w:val="24"/>
        </w:rPr>
        <w:t xml:space="preserve"> 施工</w:t>
      </w:r>
      <w:r>
        <w:rPr>
          <w:rFonts w:hint="eastAsia" w:ascii="Times New Roman"/>
          <w:sz w:val="24"/>
          <w:szCs w:val="24"/>
        </w:rPr>
        <w:t>；7</w:t>
      </w:r>
      <w:r>
        <w:rPr>
          <w:rFonts w:ascii="Times New Roman"/>
          <w:sz w:val="24"/>
          <w:szCs w:val="24"/>
        </w:rPr>
        <w:t xml:space="preserve"> 质量检验</w:t>
      </w:r>
      <w:r>
        <w:rPr>
          <w:rFonts w:hint="eastAsia" w:ascii="Times New Roman"/>
          <w:sz w:val="24"/>
          <w:szCs w:val="24"/>
        </w:rPr>
        <w:t>。</w:t>
      </w:r>
    </w:p>
    <w:p>
      <w:pPr>
        <w:pStyle w:val="63"/>
        <w:spacing w:line="360" w:lineRule="auto"/>
        <w:ind w:firstLine="480"/>
        <w:rPr>
          <w:rFonts w:ascii="Times New Roman"/>
          <w:sz w:val="24"/>
          <w:szCs w:val="24"/>
        </w:rPr>
      </w:pPr>
      <w:r>
        <w:rPr>
          <w:rFonts w:hint="eastAsia" w:ascii="Times New Roman"/>
          <w:sz w:val="24"/>
          <w:szCs w:val="24"/>
        </w:rPr>
        <w:t>本规范</w:t>
      </w:r>
      <w:r>
        <w:rPr>
          <w:rFonts w:ascii="Times New Roman"/>
          <w:sz w:val="24"/>
          <w:szCs w:val="24"/>
        </w:rPr>
        <w:t>的某些内容可能</w:t>
      </w:r>
      <w:r>
        <w:rPr>
          <w:rFonts w:hint="eastAsia" w:ascii="Times New Roman"/>
          <w:sz w:val="24"/>
          <w:szCs w:val="24"/>
        </w:rPr>
        <w:t>直接或间接</w:t>
      </w:r>
      <w:r>
        <w:rPr>
          <w:rFonts w:ascii="Times New Roman"/>
          <w:sz w:val="24"/>
          <w:szCs w:val="24"/>
        </w:rPr>
        <w:t>涉及专利</w:t>
      </w:r>
      <w:r>
        <w:rPr>
          <w:rFonts w:hint="eastAsia" w:ascii="Times New Roman"/>
          <w:sz w:val="24"/>
          <w:szCs w:val="24"/>
        </w:rPr>
        <w:t>，</w:t>
      </w:r>
      <w:r>
        <w:rPr>
          <w:rFonts w:ascii="Times New Roman"/>
          <w:sz w:val="24"/>
          <w:szCs w:val="24"/>
        </w:rPr>
        <w:t>本</w:t>
      </w:r>
      <w:r>
        <w:rPr>
          <w:rFonts w:hint="eastAsia" w:ascii="Times New Roman"/>
          <w:sz w:val="24"/>
          <w:szCs w:val="24"/>
        </w:rPr>
        <w:t>规范</w:t>
      </w:r>
      <w:r>
        <w:rPr>
          <w:rFonts w:ascii="Times New Roman"/>
          <w:sz w:val="24"/>
          <w:szCs w:val="24"/>
        </w:rPr>
        <w:t>的发布机构不承担识别</w:t>
      </w:r>
      <w:r>
        <w:rPr>
          <w:rFonts w:hint="eastAsia" w:ascii="Times New Roman"/>
          <w:sz w:val="24"/>
          <w:szCs w:val="24"/>
        </w:rPr>
        <w:t>这些</w:t>
      </w:r>
      <w:r>
        <w:rPr>
          <w:rFonts w:ascii="Times New Roman"/>
          <w:sz w:val="24"/>
          <w:szCs w:val="24"/>
        </w:rPr>
        <w:t>专利的责任。</w:t>
      </w:r>
    </w:p>
    <w:p>
      <w:pPr>
        <w:pStyle w:val="63"/>
        <w:spacing w:line="360" w:lineRule="auto"/>
        <w:ind w:firstLine="480"/>
        <w:rPr>
          <w:rFonts w:ascii="Times New Roman"/>
          <w:sz w:val="24"/>
          <w:szCs w:val="24"/>
        </w:rPr>
      </w:pPr>
      <w:r>
        <w:rPr>
          <w:rFonts w:ascii="Times New Roman"/>
          <w:sz w:val="24"/>
          <w:szCs w:val="24"/>
        </w:rPr>
        <w:t>本</w:t>
      </w:r>
      <w:r>
        <w:rPr>
          <w:rFonts w:hint="eastAsia" w:ascii="Times New Roman"/>
          <w:sz w:val="24"/>
          <w:szCs w:val="24"/>
        </w:rPr>
        <w:t>规范</w:t>
      </w:r>
      <w:r>
        <w:rPr>
          <w:rFonts w:ascii="Times New Roman"/>
          <w:sz w:val="24"/>
          <w:szCs w:val="24"/>
        </w:rPr>
        <w:t>由中国建筑材料联合会归口</w:t>
      </w:r>
      <w:r>
        <w:rPr>
          <w:rFonts w:hint="eastAsia" w:ascii="Times New Roman"/>
          <w:sz w:val="24"/>
          <w:szCs w:val="24"/>
        </w:rPr>
        <w:t>管理，由中国建筑科学研究院有限公司负责具体技术内容的解释</w:t>
      </w:r>
      <w:r>
        <w:rPr>
          <w:rFonts w:ascii="Times New Roman"/>
          <w:sz w:val="24"/>
          <w:szCs w:val="24"/>
        </w:rPr>
        <w:t>。</w:t>
      </w:r>
      <w:r>
        <w:rPr>
          <w:rFonts w:hint="eastAsia" w:ascii="Times New Roman"/>
          <w:sz w:val="24"/>
          <w:szCs w:val="24"/>
        </w:rPr>
        <w:t>执行过程中如有意见或建议，请寄送解释单位（地址：北京市朝阳区北三环东路30号，邮编：100013，邮箱：xiasnxia@126.com）。</w:t>
      </w:r>
    </w:p>
    <w:p>
      <w:pPr>
        <w:pStyle w:val="63"/>
        <w:spacing w:line="360" w:lineRule="auto"/>
        <w:ind w:firstLine="480"/>
        <w:rPr>
          <w:rFonts w:ascii="Times New Roman"/>
          <w:sz w:val="24"/>
          <w:szCs w:val="24"/>
        </w:rPr>
      </w:pPr>
      <w:r>
        <w:rPr>
          <w:rFonts w:hint="eastAsia" w:ascii="Times New Roman"/>
          <w:sz w:val="24"/>
          <w:szCs w:val="24"/>
        </w:rPr>
        <w:t>主编</w:t>
      </w:r>
      <w:r>
        <w:rPr>
          <w:rFonts w:ascii="Times New Roman"/>
          <w:sz w:val="24"/>
          <w:szCs w:val="24"/>
        </w:rPr>
        <w:t>单位：中国建筑科学研究院有限公司。</w:t>
      </w:r>
    </w:p>
    <w:p>
      <w:pPr>
        <w:pStyle w:val="63"/>
        <w:spacing w:line="360" w:lineRule="auto"/>
        <w:ind w:firstLine="480"/>
        <w:rPr>
          <w:rFonts w:ascii="Times New Roman"/>
          <w:sz w:val="24"/>
          <w:szCs w:val="24"/>
        </w:rPr>
      </w:pPr>
      <w:r>
        <w:rPr>
          <w:rFonts w:hint="eastAsia" w:ascii="Times New Roman"/>
          <w:sz w:val="24"/>
          <w:szCs w:val="24"/>
        </w:rPr>
        <w:t>参编</w:t>
      </w:r>
      <w:r>
        <w:rPr>
          <w:rFonts w:ascii="Times New Roman"/>
          <w:sz w:val="24"/>
          <w:szCs w:val="24"/>
        </w:rPr>
        <w:t>单位：三明市高速公路建设集团有限公司</w:t>
      </w:r>
    </w:p>
    <w:p>
      <w:pPr>
        <w:pStyle w:val="63"/>
        <w:spacing w:line="360" w:lineRule="auto"/>
        <w:ind w:firstLine="1680" w:firstLineChars="700"/>
        <w:rPr>
          <w:rFonts w:ascii="Times New Roman"/>
          <w:sz w:val="24"/>
          <w:szCs w:val="24"/>
        </w:rPr>
      </w:pPr>
      <w:r>
        <w:rPr>
          <w:rFonts w:ascii="Times New Roman"/>
          <w:sz w:val="24"/>
          <w:szCs w:val="24"/>
        </w:rPr>
        <w:t>广东长正建设有限公司</w:t>
      </w:r>
    </w:p>
    <w:p>
      <w:pPr>
        <w:pStyle w:val="63"/>
        <w:spacing w:line="360" w:lineRule="auto"/>
        <w:ind w:firstLine="1680" w:firstLineChars="700"/>
        <w:rPr>
          <w:rFonts w:ascii="Times New Roman"/>
          <w:sz w:val="24"/>
          <w:szCs w:val="24"/>
        </w:rPr>
      </w:pPr>
      <w:r>
        <w:rPr>
          <w:rFonts w:ascii="Times New Roman"/>
          <w:sz w:val="24"/>
          <w:szCs w:val="24"/>
        </w:rPr>
        <w:t>河南交通职业技术学院</w:t>
      </w:r>
    </w:p>
    <w:p>
      <w:pPr>
        <w:pStyle w:val="63"/>
        <w:spacing w:line="360" w:lineRule="auto"/>
        <w:ind w:firstLine="1680" w:firstLineChars="700"/>
        <w:rPr>
          <w:rFonts w:ascii="Times New Roman"/>
          <w:sz w:val="24"/>
          <w:szCs w:val="24"/>
        </w:rPr>
      </w:pPr>
      <w:r>
        <w:rPr>
          <w:rFonts w:ascii="Times New Roman"/>
          <w:sz w:val="24"/>
          <w:szCs w:val="24"/>
        </w:rPr>
        <w:t>中建西部建设湖南有限公司</w:t>
      </w:r>
    </w:p>
    <w:p>
      <w:pPr>
        <w:pStyle w:val="63"/>
        <w:spacing w:line="360" w:lineRule="auto"/>
        <w:ind w:firstLine="1680" w:firstLineChars="700"/>
        <w:rPr>
          <w:rFonts w:ascii="Times New Roman"/>
          <w:sz w:val="24"/>
          <w:szCs w:val="24"/>
        </w:rPr>
      </w:pPr>
      <w:r>
        <w:rPr>
          <w:rFonts w:ascii="Times New Roman"/>
          <w:sz w:val="24"/>
          <w:szCs w:val="24"/>
        </w:rPr>
        <w:t>武汉理工大学</w:t>
      </w:r>
    </w:p>
    <w:p>
      <w:pPr>
        <w:pStyle w:val="63"/>
        <w:spacing w:line="360" w:lineRule="auto"/>
        <w:ind w:firstLine="1680" w:firstLineChars="700"/>
        <w:rPr>
          <w:rFonts w:ascii="Times New Roman"/>
          <w:sz w:val="24"/>
          <w:szCs w:val="24"/>
        </w:rPr>
      </w:pPr>
      <w:r>
        <w:rPr>
          <w:rFonts w:ascii="Times New Roman"/>
          <w:sz w:val="24"/>
          <w:szCs w:val="24"/>
        </w:rPr>
        <w:t>清华大学</w:t>
      </w:r>
    </w:p>
    <w:p>
      <w:pPr>
        <w:pStyle w:val="63"/>
        <w:spacing w:line="360" w:lineRule="auto"/>
        <w:ind w:firstLine="1680" w:firstLineChars="700"/>
        <w:rPr>
          <w:rFonts w:ascii="Times New Roman"/>
          <w:sz w:val="24"/>
          <w:szCs w:val="24"/>
        </w:rPr>
      </w:pPr>
      <w:r>
        <w:rPr>
          <w:rFonts w:hint="eastAsia" w:ascii="Times New Roman"/>
          <w:sz w:val="24"/>
          <w:szCs w:val="24"/>
        </w:rPr>
        <w:t>武汉大学</w:t>
      </w:r>
    </w:p>
    <w:p>
      <w:pPr>
        <w:pStyle w:val="63"/>
        <w:spacing w:line="360" w:lineRule="auto"/>
        <w:ind w:firstLine="1680" w:firstLineChars="700"/>
        <w:rPr>
          <w:rFonts w:ascii="Times New Roman"/>
          <w:sz w:val="24"/>
          <w:szCs w:val="24"/>
        </w:rPr>
      </w:pPr>
      <w:r>
        <w:rPr>
          <w:rFonts w:hint="eastAsia" w:ascii="Times New Roman"/>
          <w:sz w:val="24"/>
          <w:szCs w:val="24"/>
        </w:rPr>
        <w:t>东南大学</w:t>
      </w:r>
    </w:p>
    <w:p>
      <w:pPr>
        <w:pStyle w:val="63"/>
        <w:spacing w:line="360" w:lineRule="auto"/>
        <w:ind w:firstLine="1680" w:firstLineChars="700"/>
        <w:rPr>
          <w:rFonts w:ascii="Times New Roman"/>
          <w:sz w:val="24"/>
          <w:szCs w:val="24"/>
        </w:rPr>
      </w:pPr>
      <w:r>
        <w:rPr>
          <w:rFonts w:ascii="Times New Roman"/>
          <w:sz w:val="24"/>
          <w:szCs w:val="24"/>
        </w:rPr>
        <w:t>太原理工大学</w:t>
      </w:r>
    </w:p>
    <w:p>
      <w:pPr>
        <w:pStyle w:val="63"/>
        <w:spacing w:line="360" w:lineRule="auto"/>
        <w:ind w:firstLine="1680" w:firstLineChars="700"/>
        <w:rPr>
          <w:rFonts w:ascii="Times New Roman"/>
          <w:sz w:val="24"/>
          <w:szCs w:val="24"/>
        </w:rPr>
      </w:pPr>
      <w:r>
        <w:rPr>
          <w:rFonts w:hint="eastAsia" w:ascii="Times New Roman"/>
          <w:sz w:val="24"/>
          <w:szCs w:val="24"/>
        </w:rPr>
        <w:t>河南</w:t>
      </w:r>
      <w:r>
        <w:rPr>
          <w:rFonts w:ascii="Times New Roman"/>
          <w:sz w:val="24"/>
          <w:szCs w:val="24"/>
        </w:rPr>
        <w:t>理工大学</w:t>
      </w:r>
    </w:p>
    <w:p>
      <w:pPr>
        <w:pStyle w:val="63"/>
        <w:spacing w:line="360" w:lineRule="auto"/>
        <w:ind w:firstLine="1680" w:firstLineChars="700"/>
        <w:rPr>
          <w:rFonts w:ascii="Times New Roman"/>
          <w:sz w:val="24"/>
          <w:szCs w:val="24"/>
        </w:rPr>
      </w:pPr>
      <w:r>
        <w:rPr>
          <w:rFonts w:ascii="Times New Roman"/>
          <w:sz w:val="24"/>
          <w:szCs w:val="24"/>
        </w:rPr>
        <w:t>河北农业大学</w:t>
      </w:r>
    </w:p>
    <w:p>
      <w:pPr>
        <w:pStyle w:val="63"/>
        <w:spacing w:line="360" w:lineRule="auto"/>
        <w:ind w:firstLine="1680" w:firstLineChars="700"/>
        <w:rPr>
          <w:rFonts w:ascii="Times New Roman"/>
          <w:sz w:val="24"/>
          <w:szCs w:val="24"/>
        </w:rPr>
      </w:pPr>
      <w:r>
        <w:rPr>
          <w:rFonts w:ascii="Times New Roman"/>
          <w:sz w:val="24"/>
          <w:szCs w:val="24"/>
        </w:rPr>
        <w:t>中交第二公路工程局有限公司</w:t>
      </w:r>
    </w:p>
    <w:p>
      <w:pPr>
        <w:pStyle w:val="63"/>
        <w:spacing w:line="360" w:lineRule="auto"/>
        <w:ind w:firstLine="1680" w:firstLineChars="700"/>
        <w:rPr>
          <w:rFonts w:ascii="Times New Roman"/>
          <w:sz w:val="24"/>
          <w:szCs w:val="24"/>
        </w:rPr>
      </w:pPr>
      <w:r>
        <w:rPr>
          <w:rFonts w:ascii="Times New Roman"/>
          <w:sz w:val="24"/>
          <w:szCs w:val="24"/>
        </w:rPr>
        <w:t>上海宝冶集团有限公司</w:t>
      </w:r>
    </w:p>
    <w:p>
      <w:pPr>
        <w:pStyle w:val="63"/>
        <w:spacing w:line="360" w:lineRule="auto"/>
        <w:ind w:firstLine="1680" w:firstLineChars="700"/>
        <w:rPr>
          <w:rFonts w:ascii="Times New Roman"/>
          <w:sz w:val="24"/>
          <w:szCs w:val="24"/>
        </w:rPr>
      </w:pPr>
      <w:r>
        <w:rPr>
          <w:rFonts w:ascii="Times New Roman"/>
          <w:sz w:val="24"/>
          <w:szCs w:val="24"/>
        </w:rPr>
        <w:t>中电建路桥集团有限公司</w:t>
      </w:r>
    </w:p>
    <w:p>
      <w:pPr>
        <w:pStyle w:val="63"/>
        <w:spacing w:line="360" w:lineRule="auto"/>
        <w:ind w:firstLine="1680" w:firstLineChars="700"/>
        <w:rPr>
          <w:rFonts w:ascii="Times New Roman"/>
          <w:sz w:val="24"/>
          <w:szCs w:val="24"/>
        </w:rPr>
      </w:pPr>
      <w:r>
        <w:rPr>
          <w:rFonts w:ascii="Times New Roman"/>
          <w:sz w:val="24"/>
          <w:szCs w:val="24"/>
        </w:rPr>
        <w:t>山东钢铁股份有限公司</w:t>
      </w:r>
    </w:p>
    <w:p>
      <w:pPr>
        <w:pStyle w:val="63"/>
        <w:spacing w:line="360" w:lineRule="auto"/>
        <w:ind w:firstLine="1680" w:firstLineChars="700"/>
        <w:rPr>
          <w:rFonts w:ascii="Times New Roman"/>
          <w:sz w:val="24"/>
          <w:szCs w:val="24"/>
        </w:rPr>
      </w:pPr>
      <w:r>
        <w:rPr>
          <w:rFonts w:ascii="Times New Roman"/>
          <w:sz w:val="24"/>
          <w:szCs w:val="24"/>
        </w:rPr>
        <w:t>唐山钢铁集团有限责任公司</w:t>
      </w:r>
    </w:p>
    <w:p>
      <w:pPr>
        <w:pStyle w:val="63"/>
        <w:spacing w:line="360" w:lineRule="auto"/>
        <w:ind w:firstLine="1680" w:firstLineChars="700"/>
        <w:rPr>
          <w:rFonts w:ascii="Times New Roman"/>
          <w:sz w:val="24"/>
          <w:szCs w:val="24"/>
        </w:rPr>
      </w:pPr>
      <w:r>
        <w:rPr>
          <w:rFonts w:ascii="Times New Roman"/>
          <w:sz w:val="24"/>
          <w:szCs w:val="24"/>
        </w:rPr>
        <w:t>宝武环科武汉金属资源有限责任公司</w:t>
      </w:r>
    </w:p>
    <w:p>
      <w:pPr>
        <w:pStyle w:val="63"/>
        <w:spacing w:line="360" w:lineRule="auto"/>
        <w:ind w:firstLine="1680" w:firstLineChars="700"/>
        <w:rPr>
          <w:rFonts w:ascii="Times New Roman"/>
          <w:sz w:val="24"/>
          <w:szCs w:val="24"/>
        </w:rPr>
      </w:pPr>
      <w:r>
        <w:rPr>
          <w:rFonts w:ascii="Times New Roman"/>
          <w:sz w:val="24"/>
          <w:szCs w:val="24"/>
        </w:rPr>
        <w:t>建研院检测中心有限公司</w:t>
      </w:r>
    </w:p>
    <w:p>
      <w:pPr>
        <w:pStyle w:val="63"/>
        <w:spacing w:line="360" w:lineRule="auto"/>
        <w:ind w:firstLine="1680" w:firstLineChars="700"/>
        <w:rPr>
          <w:rFonts w:ascii="Times New Roman"/>
          <w:sz w:val="24"/>
          <w:szCs w:val="24"/>
        </w:rPr>
      </w:pPr>
      <w:r>
        <w:rPr>
          <w:rFonts w:ascii="Times New Roman"/>
          <w:sz w:val="24"/>
          <w:szCs w:val="24"/>
        </w:rPr>
        <w:t>建研建材有限公司</w:t>
      </w:r>
    </w:p>
    <w:p>
      <w:pPr>
        <w:pStyle w:val="63"/>
        <w:spacing w:line="360" w:lineRule="auto"/>
        <w:ind w:firstLine="480"/>
        <w:rPr>
          <w:rFonts w:ascii="Times New Roman"/>
          <w:sz w:val="24"/>
          <w:szCs w:val="24"/>
        </w:rPr>
      </w:pPr>
      <w:r>
        <w:rPr>
          <w:rFonts w:ascii="Times New Roman"/>
          <w:sz w:val="24"/>
          <w:szCs w:val="24"/>
        </w:rPr>
        <w:t>主要起草人：</w:t>
      </w:r>
    </w:p>
    <w:p>
      <w:pPr>
        <w:pStyle w:val="63"/>
        <w:spacing w:line="360" w:lineRule="auto"/>
        <w:ind w:firstLine="480"/>
        <w:rPr>
          <w:rFonts w:ascii="Times New Roman"/>
          <w:sz w:val="24"/>
          <w:szCs w:val="24"/>
        </w:rPr>
      </w:pPr>
    </w:p>
    <w:p>
      <w:pPr>
        <w:pStyle w:val="63"/>
        <w:spacing w:line="360" w:lineRule="auto"/>
        <w:ind w:firstLine="480"/>
        <w:rPr>
          <w:rFonts w:ascii="Times New Roman"/>
          <w:sz w:val="24"/>
          <w:szCs w:val="24"/>
        </w:rPr>
      </w:pPr>
    </w:p>
    <w:p>
      <w:pPr>
        <w:pStyle w:val="63"/>
        <w:spacing w:line="360" w:lineRule="auto"/>
        <w:ind w:firstLine="480"/>
        <w:rPr>
          <w:rFonts w:ascii="Times New Roman"/>
          <w:sz w:val="24"/>
          <w:szCs w:val="24"/>
        </w:rPr>
      </w:pPr>
      <w:r>
        <w:rPr>
          <w:rFonts w:hint="eastAsia" w:ascii="Times New Roman"/>
          <w:sz w:val="24"/>
          <w:szCs w:val="24"/>
        </w:rPr>
        <w:t>主要审查人：</w:t>
      </w:r>
    </w:p>
    <w:p>
      <w:pPr>
        <w:ind w:firstLine="560" w:firstLineChars="200"/>
        <w:rPr>
          <w:sz w:val="28"/>
          <w:szCs w:val="28"/>
        </w:rPr>
      </w:pPr>
    </w:p>
    <w:p>
      <w:pPr>
        <w:ind w:firstLine="560" w:firstLineChars="200"/>
        <w:rPr>
          <w:sz w:val="28"/>
          <w:szCs w:val="28"/>
        </w:rPr>
      </w:pPr>
    </w:p>
    <w:p>
      <w:pPr>
        <w:ind w:firstLine="560" w:firstLineChars="200"/>
        <w:rPr>
          <w:sz w:val="28"/>
          <w:szCs w:val="28"/>
        </w:rPr>
      </w:pPr>
    </w:p>
    <w:p>
      <w:pPr>
        <w:pStyle w:val="11"/>
        <w:overflowPunct w:val="0"/>
        <w:autoSpaceDE w:val="0"/>
        <w:autoSpaceDN w:val="0"/>
        <w:adjustRightInd w:val="0"/>
        <w:snapToGrid w:val="0"/>
        <w:spacing w:after="0" w:line="288" w:lineRule="auto"/>
        <w:ind w:left="0" w:leftChars="0"/>
        <w:jc w:val="center"/>
        <w:sectPr>
          <w:headerReference r:id="rId9" w:type="default"/>
          <w:pgSz w:w="11906" w:h="16838"/>
          <w:pgMar w:top="1361" w:right="1021" w:bottom="1134" w:left="1021" w:header="1021" w:footer="992" w:gutter="0"/>
          <w:pgNumType w:start="1"/>
          <w:cols w:space="720" w:num="1"/>
          <w:docGrid w:linePitch="312" w:charSpace="0"/>
        </w:sectPr>
      </w:pPr>
    </w:p>
    <w:p>
      <w:pPr>
        <w:pStyle w:val="60"/>
        <w:jc w:val="center"/>
        <w:rPr>
          <w:rFonts w:ascii="Times New Roman" w:hAnsi="Times New Roman"/>
          <w:color w:val="auto"/>
          <w:sz w:val="30"/>
          <w:szCs w:val="30"/>
        </w:rPr>
      </w:pPr>
      <w:bookmarkStart w:id="13" w:name="_Toc1038"/>
      <w:bookmarkStart w:id="14" w:name="_Toc12468"/>
      <w:bookmarkStart w:id="15" w:name="_Toc6804"/>
      <w:bookmarkStart w:id="16" w:name="_Toc17638"/>
      <w:bookmarkStart w:id="17" w:name="_Toc10894"/>
      <w:bookmarkStart w:id="18" w:name="_Toc5941"/>
      <w:r>
        <w:rPr>
          <w:rFonts w:ascii="Times New Roman" w:hAnsi="Times New Roman"/>
          <w:color w:val="auto"/>
          <w:sz w:val="30"/>
          <w:szCs w:val="30"/>
          <w:lang w:val="zh-CN"/>
        </w:rPr>
        <w:t>目</w:t>
      </w:r>
      <w:r>
        <w:rPr>
          <w:rFonts w:hint="eastAsia" w:ascii="Times New Roman" w:hAnsi="Times New Roman"/>
          <w:color w:val="auto"/>
          <w:sz w:val="30"/>
          <w:szCs w:val="30"/>
        </w:rPr>
        <w:t xml:space="preserve">  </w:t>
      </w:r>
      <w:r>
        <w:rPr>
          <w:rFonts w:ascii="Times New Roman" w:hAnsi="Times New Roman"/>
          <w:color w:val="auto"/>
          <w:sz w:val="30"/>
          <w:szCs w:val="30"/>
          <w:lang w:val="zh-CN"/>
        </w:rPr>
        <w:t xml:space="preserve"> </w:t>
      </w:r>
      <w:bookmarkEnd w:id="13"/>
      <w:bookmarkEnd w:id="14"/>
      <w:bookmarkEnd w:id="15"/>
      <w:bookmarkEnd w:id="16"/>
      <w:r>
        <w:rPr>
          <w:rFonts w:hint="eastAsia" w:ascii="Times New Roman" w:hAnsi="Times New Roman"/>
          <w:color w:val="auto"/>
          <w:sz w:val="30"/>
          <w:szCs w:val="30"/>
        </w:rPr>
        <w:t>次</w:t>
      </w:r>
      <w:bookmarkEnd w:id="17"/>
      <w:bookmarkEnd w:id="18"/>
    </w:p>
    <w:sdt>
      <w:sdtPr>
        <w:rPr>
          <w:rFonts w:ascii="宋体" w:hAnsi="宋体"/>
        </w:rPr>
        <w:id w:val="147482478"/>
        <w15:color w:val="DBDBDB"/>
        <w:docPartObj>
          <w:docPartGallery w:val="Table of Contents"/>
          <w:docPartUnique/>
        </w:docPartObj>
      </w:sdtPr>
      <w:sdtEndPr>
        <w:rPr>
          <w:rFonts w:ascii="Times New Roman" w:hAnsi="Times New Roman"/>
        </w:rPr>
      </w:sdtEndPr>
      <w:sdtContent>
        <w:p>
          <w:r>
            <w:fldChar w:fldCharType="begin"/>
          </w:r>
          <w:r>
            <w:instrText xml:space="preserve">TOC \o "1-3" \h \u </w:instrText>
          </w:r>
          <w:r>
            <w:fldChar w:fldCharType="separate"/>
          </w:r>
        </w:p>
        <w:p>
          <w:pPr>
            <w:pStyle w:val="15"/>
            <w:tabs>
              <w:tab w:val="right" w:leader="dot" w:pos="9864"/>
            </w:tabs>
            <w:spacing w:line="360" w:lineRule="auto"/>
            <w:rPr>
              <w:rFonts w:eastAsiaTheme="minorEastAsia"/>
              <w:sz w:val="24"/>
              <w:szCs w:val="24"/>
            </w:rPr>
          </w:pPr>
          <w:r>
            <w:fldChar w:fldCharType="begin"/>
          </w:r>
          <w:r>
            <w:instrText xml:space="preserve"> HYPERLINK \l "_Toc18035" </w:instrText>
          </w:r>
          <w:r>
            <w:fldChar w:fldCharType="separate"/>
          </w:r>
          <w:r>
            <w:rPr>
              <w:rFonts w:eastAsiaTheme="minorEastAsia"/>
              <w:sz w:val="24"/>
              <w:szCs w:val="24"/>
            </w:rPr>
            <w:t>前  言</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_Toc18035 \h </w:instrText>
          </w:r>
          <w:r>
            <w:rPr>
              <w:rFonts w:eastAsiaTheme="minorEastAsia"/>
              <w:sz w:val="24"/>
              <w:szCs w:val="24"/>
            </w:rPr>
            <w:fldChar w:fldCharType="separate"/>
          </w:r>
          <w:r>
            <w:rPr>
              <w:rFonts w:eastAsiaTheme="minorEastAsia"/>
              <w:sz w:val="24"/>
              <w:szCs w:val="24"/>
            </w:rPr>
            <w:t>1</w:t>
          </w:r>
          <w:r>
            <w:rPr>
              <w:rFonts w:eastAsiaTheme="minorEastAsia"/>
              <w:sz w:val="24"/>
              <w:szCs w:val="24"/>
            </w:rPr>
            <w:fldChar w:fldCharType="end"/>
          </w:r>
          <w:r>
            <w:rPr>
              <w:rFonts w:eastAsiaTheme="minorEastAsia"/>
              <w:sz w:val="24"/>
              <w:szCs w:val="24"/>
            </w:rPr>
            <w:fldChar w:fldCharType="end"/>
          </w:r>
        </w:p>
        <w:p>
          <w:pPr>
            <w:pStyle w:val="15"/>
            <w:tabs>
              <w:tab w:val="right" w:leader="dot" w:pos="9864"/>
            </w:tabs>
            <w:spacing w:line="360" w:lineRule="auto"/>
            <w:rPr>
              <w:rFonts w:eastAsiaTheme="minorEastAsia"/>
              <w:sz w:val="24"/>
              <w:szCs w:val="24"/>
            </w:rPr>
          </w:pPr>
          <w:r>
            <w:fldChar w:fldCharType="begin"/>
          </w:r>
          <w:r>
            <w:instrText xml:space="preserve"> HYPERLINK \l "_Toc23546" </w:instrText>
          </w:r>
          <w:r>
            <w:fldChar w:fldCharType="separate"/>
          </w:r>
          <w:r>
            <w:rPr>
              <w:rFonts w:eastAsiaTheme="minorEastAsia"/>
              <w:bCs/>
              <w:sz w:val="24"/>
              <w:szCs w:val="24"/>
            </w:rPr>
            <w:t>1  总则</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_Toc23546 \h </w:instrText>
          </w:r>
          <w:r>
            <w:rPr>
              <w:rFonts w:eastAsiaTheme="minorEastAsia"/>
              <w:sz w:val="24"/>
              <w:szCs w:val="24"/>
            </w:rPr>
            <w:fldChar w:fldCharType="separate"/>
          </w:r>
          <w:r>
            <w:rPr>
              <w:rFonts w:eastAsiaTheme="minorEastAsia"/>
              <w:sz w:val="24"/>
              <w:szCs w:val="24"/>
            </w:rPr>
            <w:t>1</w:t>
          </w:r>
          <w:r>
            <w:rPr>
              <w:rFonts w:eastAsiaTheme="minorEastAsia"/>
              <w:sz w:val="24"/>
              <w:szCs w:val="24"/>
            </w:rPr>
            <w:fldChar w:fldCharType="end"/>
          </w:r>
          <w:r>
            <w:rPr>
              <w:rFonts w:eastAsiaTheme="minorEastAsia"/>
              <w:sz w:val="24"/>
              <w:szCs w:val="24"/>
            </w:rPr>
            <w:fldChar w:fldCharType="end"/>
          </w:r>
        </w:p>
        <w:p>
          <w:pPr>
            <w:pStyle w:val="15"/>
            <w:tabs>
              <w:tab w:val="right" w:leader="dot" w:pos="9864"/>
            </w:tabs>
            <w:spacing w:line="360" w:lineRule="auto"/>
            <w:rPr>
              <w:rFonts w:eastAsiaTheme="minorEastAsia"/>
              <w:sz w:val="24"/>
              <w:szCs w:val="24"/>
            </w:rPr>
          </w:pPr>
          <w:r>
            <w:fldChar w:fldCharType="begin"/>
          </w:r>
          <w:r>
            <w:instrText xml:space="preserve"> HYPERLINK \l "_Toc27662" </w:instrText>
          </w:r>
          <w:r>
            <w:fldChar w:fldCharType="separate"/>
          </w:r>
          <w:r>
            <w:rPr>
              <w:rFonts w:eastAsiaTheme="minorEastAsia"/>
              <w:bCs/>
              <w:sz w:val="24"/>
              <w:szCs w:val="24"/>
            </w:rPr>
            <w:t>2  术语和定义</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_Toc27662 \h </w:instrText>
          </w:r>
          <w:r>
            <w:rPr>
              <w:rFonts w:eastAsiaTheme="minorEastAsia"/>
              <w:sz w:val="24"/>
              <w:szCs w:val="24"/>
            </w:rPr>
            <w:fldChar w:fldCharType="separate"/>
          </w:r>
          <w:r>
            <w:rPr>
              <w:rFonts w:eastAsiaTheme="minorEastAsia"/>
              <w:sz w:val="24"/>
              <w:szCs w:val="24"/>
            </w:rPr>
            <w:t>2</w:t>
          </w:r>
          <w:r>
            <w:rPr>
              <w:rFonts w:eastAsiaTheme="minorEastAsia"/>
              <w:sz w:val="24"/>
              <w:szCs w:val="24"/>
            </w:rPr>
            <w:fldChar w:fldCharType="end"/>
          </w:r>
          <w:r>
            <w:rPr>
              <w:rFonts w:eastAsiaTheme="minorEastAsia"/>
              <w:sz w:val="24"/>
              <w:szCs w:val="24"/>
            </w:rPr>
            <w:fldChar w:fldCharType="end"/>
          </w:r>
        </w:p>
        <w:p>
          <w:pPr>
            <w:pStyle w:val="15"/>
            <w:tabs>
              <w:tab w:val="right" w:leader="dot" w:pos="9864"/>
            </w:tabs>
            <w:spacing w:line="360" w:lineRule="auto"/>
            <w:rPr>
              <w:rFonts w:eastAsiaTheme="minorEastAsia"/>
              <w:sz w:val="24"/>
              <w:szCs w:val="24"/>
            </w:rPr>
          </w:pPr>
          <w:r>
            <w:fldChar w:fldCharType="begin"/>
          </w:r>
          <w:r>
            <w:instrText xml:space="preserve"> HYPERLINK \l "_Toc14408" </w:instrText>
          </w:r>
          <w:r>
            <w:fldChar w:fldCharType="separate"/>
          </w:r>
          <w:r>
            <w:rPr>
              <w:rFonts w:eastAsiaTheme="minorEastAsia"/>
              <w:bCs/>
              <w:sz w:val="24"/>
              <w:szCs w:val="24"/>
            </w:rPr>
            <w:t>3  原材料</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_Toc14408 \h </w:instrText>
          </w:r>
          <w:r>
            <w:rPr>
              <w:rFonts w:eastAsiaTheme="minorEastAsia"/>
              <w:sz w:val="24"/>
              <w:szCs w:val="24"/>
            </w:rPr>
            <w:fldChar w:fldCharType="separate"/>
          </w:r>
          <w:r>
            <w:rPr>
              <w:rFonts w:eastAsiaTheme="minorEastAsia"/>
              <w:sz w:val="24"/>
              <w:szCs w:val="24"/>
            </w:rPr>
            <w:t>3</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"_Toc21226" </w:instrText>
          </w:r>
          <w:r>
            <w:fldChar w:fldCharType="separate"/>
          </w:r>
          <w:r>
            <w:rPr>
              <w:rFonts w:eastAsiaTheme="minorEastAsia"/>
              <w:bCs/>
              <w:sz w:val="24"/>
              <w:szCs w:val="24"/>
            </w:rPr>
            <w:t>3.1  钢渣粉</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_Toc21226 \h </w:instrText>
          </w:r>
          <w:r>
            <w:rPr>
              <w:rFonts w:eastAsiaTheme="minorEastAsia"/>
              <w:sz w:val="24"/>
              <w:szCs w:val="24"/>
            </w:rPr>
            <w:fldChar w:fldCharType="separate"/>
          </w:r>
          <w:r>
            <w:rPr>
              <w:rFonts w:eastAsiaTheme="minorEastAsia"/>
              <w:sz w:val="24"/>
              <w:szCs w:val="24"/>
            </w:rPr>
            <w:t>3</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"_Toc26371" </w:instrText>
          </w:r>
          <w:r>
            <w:fldChar w:fldCharType="separate"/>
          </w:r>
          <w:r>
            <w:rPr>
              <w:rFonts w:eastAsiaTheme="minorEastAsia"/>
              <w:bCs/>
              <w:sz w:val="24"/>
              <w:szCs w:val="24"/>
            </w:rPr>
            <w:t xml:space="preserve">3.2 </w:t>
          </w:r>
          <w:r>
            <w:rPr>
              <w:rFonts w:hint="eastAsia" w:eastAsiaTheme="minorEastAsia"/>
              <w:bCs/>
              <w:sz w:val="24"/>
              <w:szCs w:val="24"/>
            </w:rPr>
            <w:t xml:space="preserve"> </w:t>
          </w:r>
          <w:r>
            <w:rPr>
              <w:rFonts w:eastAsiaTheme="minorEastAsia"/>
              <w:bCs/>
              <w:sz w:val="24"/>
              <w:szCs w:val="24"/>
            </w:rPr>
            <w:t>混凝土其他原材料</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_Toc26371 \h </w:instrText>
          </w:r>
          <w:r>
            <w:rPr>
              <w:rFonts w:eastAsiaTheme="minorEastAsia"/>
              <w:sz w:val="24"/>
              <w:szCs w:val="24"/>
            </w:rPr>
            <w:fldChar w:fldCharType="separate"/>
          </w:r>
          <w:r>
            <w:rPr>
              <w:rFonts w:eastAsiaTheme="minorEastAsia"/>
              <w:sz w:val="24"/>
              <w:szCs w:val="24"/>
            </w:rPr>
            <w:t>4</w:t>
          </w:r>
          <w:r>
            <w:rPr>
              <w:rFonts w:eastAsiaTheme="minorEastAsia"/>
              <w:sz w:val="24"/>
              <w:szCs w:val="24"/>
            </w:rPr>
            <w:fldChar w:fldCharType="end"/>
          </w:r>
          <w:r>
            <w:rPr>
              <w:rFonts w:eastAsiaTheme="minorEastAsia"/>
              <w:sz w:val="24"/>
              <w:szCs w:val="24"/>
            </w:rPr>
            <w:fldChar w:fldCharType="end"/>
          </w:r>
        </w:p>
        <w:p>
          <w:pPr>
            <w:pStyle w:val="15"/>
            <w:tabs>
              <w:tab w:val="right" w:leader="dot" w:pos="9864"/>
            </w:tabs>
            <w:spacing w:line="360" w:lineRule="auto"/>
            <w:rPr>
              <w:rFonts w:eastAsiaTheme="minorEastAsia"/>
              <w:sz w:val="24"/>
              <w:szCs w:val="24"/>
            </w:rPr>
          </w:pPr>
          <w:r>
            <w:fldChar w:fldCharType="begin"/>
          </w:r>
          <w:r>
            <w:instrText xml:space="preserve"> HYPERLINK \l "_Toc6374" </w:instrText>
          </w:r>
          <w:r>
            <w:fldChar w:fldCharType="separate"/>
          </w:r>
          <w:r>
            <w:rPr>
              <w:rFonts w:eastAsiaTheme="minorEastAsia"/>
              <w:bCs/>
              <w:sz w:val="24"/>
              <w:szCs w:val="24"/>
            </w:rPr>
            <w:t>4  混凝土性能</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_Toc6374 \h </w:instrText>
          </w:r>
          <w:r>
            <w:rPr>
              <w:rFonts w:eastAsiaTheme="minorEastAsia"/>
              <w:sz w:val="24"/>
              <w:szCs w:val="24"/>
            </w:rPr>
            <w:fldChar w:fldCharType="separate"/>
          </w:r>
          <w:r>
            <w:rPr>
              <w:rFonts w:eastAsiaTheme="minorEastAsia"/>
              <w:sz w:val="24"/>
              <w:szCs w:val="24"/>
            </w:rPr>
            <w:t>5</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"_Toc10790" </w:instrText>
          </w:r>
          <w:r>
            <w:fldChar w:fldCharType="separate"/>
          </w:r>
          <w:r>
            <w:rPr>
              <w:rFonts w:eastAsiaTheme="minorEastAsia"/>
              <w:bCs/>
              <w:sz w:val="24"/>
              <w:szCs w:val="24"/>
            </w:rPr>
            <w:t>4.1  拌合物性能</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_Toc10790 \h </w:instrText>
          </w:r>
          <w:r>
            <w:rPr>
              <w:rFonts w:eastAsiaTheme="minorEastAsia"/>
              <w:sz w:val="24"/>
              <w:szCs w:val="24"/>
            </w:rPr>
            <w:fldChar w:fldCharType="separate"/>
          </w:r>
          <w:r>
            <w:rPr>
              <w:rFonts w:eastAsiaTheme="minorEastAsia"/>
              <w:sz w:val="24"/>
              <w:szCs w:val="24"/>
            </w:rPr>
            <w:t>5</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"_Toc28000" </w:instrText>
          </w:r>
          <w:r>
            <w:fldChar w:fldCharType="separate"/>
          </w:r>
          <w:r>
            <w:rPr>
              <w:rFonts w:eastAsiaTheme="minorEastAsia"/>
              <w:bCs/>
              <w:sz w:val="24"/>
              <w:szCs w:val="24"/>
            </w:rPr>
            <w:t>4.2  力学性能</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_Toc28000 \h </w:instrText>
          </w:r>
          <w:r>
            <w:rPr>
              <w:rFonts w:eastAsiaTheme="minorEastAsia"/>
              <w:sz w:val="24"/>
              <w:szCs w:val="24"/>
            </w:rPr>
            <w:fldChar w:fldCharType="separate"/>
          </w:r>
          <w:r>
            <w:rPr>
              <w:rFonts w:eastAsiaTheme="minorEastAsia"/>
              <w:sz w:val="24"/>
              <w:szCs w:val="24"/>
            </w:rPr>
            <w:t>6</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"_Toc15282" </w:instrText>
          </w:r>
          <w:r>
            <w:fldChar w:fldCharType="separate"/>
          </w:r>
          <w:r>
            <w:rPr>
              <w:rFonts w:eastAsiaTheme="minorEastAsia"/>
              <w:bCs/>
              <w:sz w:val="24"/>
              <w:szCs w:val="24"/>
            </w:rPr>
            <w:t>4.3  长期性能与耐久性能</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_Toc15282 \h </w:instrText>
          </w:r>
          <w:r>
            <w:rPr>
              <w:rFonts w:eastAsiaTheme="minorEastAsia"/>
              <w:sz w:val="24"/>
              <w:szCs w:val="24"/>
            </w:rPr>
            <w:fldChar w:fldCharType="separate"/>
          </w:r>
          <w:r>
            <w:rPr>
              <w:rFonts w:eastAsiaTheme="minorEastAsia"/>
              <w:sz w:val="24"/>
              <w:szCs w:val="24"/>
            </w:rPr>
            <w:t>6</w:t>
          </w:r>
          <w:r>
            <w:rPr>
              <w:rFonts w:eastAsiaTheme="minorEastAsia"/>
              <w:sz w:val="24"/>
              <w:szCs w:val="24"/>
            </w:rPr>
            <w:fldChar w:fldCharType="end"/>
          </w:r>
          <w:r>
            <w:rPr>
              <w:rFonts w:eastAsiaTheme="minorEastAsia"/>
              <w:sz w:val="24"/>
              <w:szCs w:val="24"/>
            </w:rPr>
            <w:fldChar w:fldCharType="end"/>
          </w:r>
        </w:p>
        <w:p>
          <w:pPr>
            <w:pStyle w:val="15"/>
            <w:tabs>
              <w:tab w:val="right" w:leader="dot" w:pos="9864"/>
            </w:tabs>
            <w:spacing w:line="360" w:lineRule="auto"/>
            <w:rPr>
              <w:rFonts w:eastAsiaTheme="minorEastAsia"/>
              <w:sz w:val="24"/>
              <w:szCs w:val="24"/>
            </w:rPr>
          </w:pPr>
          <w:r>
            <w:fldChar w:fldCharType="begin"/>
          </w:r>
          <w:r>
            <w:instrText xml:space="preserve"> HYPERLINK \l "_Toc20970" </w:instrText>
          </w:r>
          <w:r>
            <w:fldChar w:fldCharType="separate"/>
          </w:r>
          <w:r>
            <w:rPr>
              <w:rFonts w:eastAsiaTheme="minorEastAsia"/>
              <w:bCs/>
              <w:sz w:val="24"/>
              <w:szCs w:val="24"/>
            </w:rPr>
            <w:t>5  配合比设计</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_Toc20970 \h </w:instrText>
          </w:r>
          <w:r>
            <w:rPr>
              <w:rFonts w:eastAsiaTheme="minorEastAsia"/>
              <w:sz w:val="24"/>
              <w:szCs w:val="24"/>
            </w:rPr>
            <w:fldChar w:fldCharType="separate"/>
          </w:r>
          <w:r>
            <w:rPr>
              <w:rFonts w:eastAsiaTheme="minorEastAsia"/>
              <w:sz w:val="24"/>
              <w:szCs w:val="24"/>
            </w:rPr>
            <w:t>7</w:t>
          </w:r>
          <w:r>
            <w:rPr>
              <w:rFonts w:eastAsiaTheme="minorEastAsia"/>
              <w:sz w:val="24"/>
              <w:szCs w:val="24"/>
            </w:rPr>
            <w:fldChar w:fldCharType="end"/>
          </w:r>
          <w:r>
            <w:rPr>
              <w:rFonts w:eastAsiaTheme="minorEastAsia"/>
              <w:sz w:val="24"/>
              <w:szCs w:val="24"/>
            </w:rPr>
            <w:fldChar w:fldCharType="end"/>
          </w:r>
        </w:p>
        <w:p>
          <w:pPr>
            <w:pStyle w:val="15"/>
            <w:tabs>
              <w:tab w:val="right" w:leader="dot" w:pos="9864"/>
            </w:tabs>
            <w:spacing w:line="360" w:lineRule="auto"/>
            <w:rPr>
              <w:rFonts w:eastAsiaTheme="minorEastAsia"/>
              <w:sz w:val="24"/>
              <w:szCs w:val="24"/>
            </w:rPr>
          </w:pPr>
          <w:r>
            <w:fldChar w:fldCharType="begin"/>
          </w:r>
          <w:r>
            <w:instrText xml:space="preserve"> HYPERLINK \l "_Toc28713" </w:instrText>
          </w:r>
          <w:r>
            <w:fldChar w:fldCharType="separate"/>
          </w:r>
          <w:r>
            <w:rPr>
              <w:rFonts w:eastAsiaTheme="minorEastAsia"/>
              <w:bCs/>
              <w:sz w:val="24"/>
              <w:szCs w:val="24"/>
            </w:rPr>
            <w:t>6  施工</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_Toc28713 \h </w:instrText>
          </w:r>
          <w:r>
            <w:rPr>
              <w:rFonts w:eastAsiaTheme="minorEastAsia"/>
              <w:sz w:val="24"/>
              <w:szCs w:val="24"/>
            </w:rPr>
            <w:fldChar w:fldCharType="separate"/>
          </w:r>
          <w:r>
            <w:rPr>
              <w:rFonts w:eastAsiaTheme="minorEastAsia"/>
              <w:sz w:val="24"/>
              <w:szCs w:val="24"/>
            </w:rPr>
            <w:t>9</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"_Toc1388" </w:instrText>
          </w:r>
          <w:r>
            <w:fldChar w:fldCharType="separate"/>
          </w:r>
          <w:r>
            <w:rPr>
              <w:rFonts w:eastAsiaTheme="minorEastAsia"/>
              <w:bCs/>
              <w:sz w:val="24"/>
              <w:szCs w:val="24"/>
            </w:rPr>
            <w:t>6.1  一般规定</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_Toc1388 \h </w:instrText>
          </w:r>
          <w:r>
            <w:rPr>
              <w:rFonts w:eastAsiaTheme="minorEastAsia"/>
              <w:sz w:val="24"/>
              <w:szCs w:val="24"/>
            </w:rPr>
            <w:fldChar w:fldCharType="separate"/>
          </w:r>
          <w:r>
            <w:rPr>
              <w:rFonts w:eastAsiaTheme="minorEastAsia"/>
              <w:sz w:val="24"/>
              <w:szCs w:val="24"/>
            </w:rPr>
            <w:t>9</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"_Toc32142" </w:instrText>
          </w:r>
          <w:r>
            <w:fldChar w:fldCharType="separate"/>
          </w:r>
          <w:r>
            <w:rPr>
              <w:rFonts w:eastAsiaTheme="minorEastAsia"/>
              <w:bCs/>
              <w:sz w:val="24"/>
              <w:szCs w:val="24"/>
            </w:rPr>
            <w:t>6.2  原材料贮存与计量</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_Toc32142 \h </w:instrText>
          </w:r>
          <w:r>
            <w:rPr>
              <w:rFonts w:eastAsiaTheme="minorEastAsia"/>
              <w:sz w:val="24"/>
              <w:szCs w:val="24"/>
            </w:rPr>
            <w:fldChar w:fldCharType="separate"/>
          </w:r>
          <w:r>
            <w:rPr>
              <w:rFonts w:eastAsiaTheme="minorEastAsia"/>
              <w:sz w:val="24"/>
              <w:szCs w:val="24"/>
            </w:rPr>
            <w:t>9</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"_Toc5524" </w:instrText>
          </w:r>
          <w:r>
            <w:fldChar w:fldCharType="separate"/>
          </w:r>
          <w:r>
            <w:rPr>
              <w:rFonts w:eastAsiaTheme="minorEastAsia"/>
              <w:bCs/>
              <w:sz w:val="24"/>
              <w:szCs w:val="24"/>
            </w:rPr>
            <w:t>6.3  搅拌与运输</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_Toc5524 \h </w:instrText>
          </w:r>
          <w:r>
            <w:rPr>
              <w:rFonts w:eastAsiaTheme="minorEastAsia"/>
              <w:sz w:val="24"/>
              <w:szCs w:val="24"/>
            </w:rPr>
            <w:fldChar w:fldCharType="separate"/>
          </w:r>
          <w:r>
            <w:rPr>
              <w:rFonts w:eastAsiaTheme="minorEastAsia"/>
              <w:sz w:val="24"/>
              <w:szCs w:val="24"/>
            </w:rPr>
            <w:t>10</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"_Toc5040" </w:instrText>
          </w:r>
          <w:r>
            <w:fldChar w:fldCharType="separate"/>
          </w:r>
          <w:r>
            <w:rPr>
              <w:rFonts w:eastAsiaTheme="minorEastAsia"/>
              <w:bCs/>
              <w:sz w:val="24"/>
              <w:szCs w:val="24"/>
            </w:rPr>
            <w:t>6.4  浇筑</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_Toc5040 \h </w:instrText>
          </w:r>
          <w:r>
            <w:rPr>
              <w:rFonts w:eastAsiaTheme="minorEastAsia"/>
              <w:sz w:val="24"/>
              <w:szCs w:val="24"/>
            </w:rPr>
            <w:fldChar w:fldCharType="separate"/>
          </w:r>
          <w:r>
            <w:rPr>
              <w:rFonts w:eastAsiaTheme="minorEastAsia"/>
              <w:sz w:val="24"/>
              <w:szCs w:val="24"/>
            </w:rPr>
            <w:t>10</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"_Toc12418" </w:instrText>
          </w:r>
          <w:r>
            <w:fldChar w:fldCharType="separate"/>
          </w:r>
          <w:r>
            <w:rPr>
              <w:rFonts w:eastAsiaTheme="minorEastAsia"/>
              <w:bCs/>
              <w:sz w:val="24"/>
              <w:szCs w:val="24"/>
            </w:rPr>
            <w:t>6.5  养护</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_Toc12418 \h </w:instrText>
          </w:r>
          <w:r>
            <w:rPr>
              <w:rFonts w:eastAsiaTheme="minorEastAsia"/>
              <w:sz w:val="24"/>
              <w:szCs w:val="24"/>
            </w:rPr>
            <w:fldChar w:fldCharType="separate"/>
          </w:r>
          <w:r>
            <w:rPr>
              <w:rFonts w:eastAsiaTheme="minorEastAsia"/>
              <w:sz w:val="24"/>
              <w:szCs w:val="24"/>
            </w:rPr>
            <w:t>10</w:t>
          </w:r>
          <w:r>
            <w:rPr>
              <w:rFonts w:eastAsiaTheme="minorEastAsia"/>
              <w:sz w:val="24"/>
              <w:szCs w:val="24"/>
            </w:rPr>
            <w:fldChar w:fldCharType="end"/>
          </w:r>
          <w:r>
            <w:rPr>
              <w:rFonts w:eastAsiaTheme="minorEastAsia"/>
              <w:sz w:val="24"/>
              <w:szCs w:val="24"/>
            </w:rPr>
            <w:fldChar w:fldCharType="end"/>
          </w:r>
        </w:p>
        <w:p>
          <w:pPr>
            <w:pStyle w:val="15"/>
            <w:tabs>
              <w:tab w:val="right" w:leader="dot" w:pos="9864"/>
            </w:tabs>
            <w:spacing w:line="360" w:lineRule="auto"/>
            <w:rPr>
              <w:rFonts w:eastAsiaTheme="minorEastAsia"/>
              <w:sz w:val="24"/>
              <w:szCs w:val="24"/>
            </w:rPr>
          </w:pPr>
          <w:r>
            <w:fldChar w:fldCharType="begin"/>
          </w:r>
          <w:r>
            <w:instrText xml:space="preserve"> HYPERLINK \l "_Toc6030" </w:instrText>
          </w:r>
          <w:r>
            <w:fldChar w:fldCharType="separate"/>
          </w:r>
          <w:r>
            <w:rPr>
              <w:rFonts w:eastAsiaTheme="minorEastAsia"/>
              <w:bCs/>
              <w:sz w:val="24"/>
              <w:szCs w:val="24"/>
            </w:rPr>
            <w:t>7  质量检验</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_Toc6030 \h </w:instrText>
          </w:r>
          <w:r>
            <w:rPr>
              <w:rFonts w:eastAsiaTheme="minorEastAsia"/>
              <w:sz w:val="24"/>
              <w:szCs w:val="24"/>
            </w:rPr>
            <w:fldChar w:fldCharType="separate"/>
          </w:r>
          <w:r>
            <w:rPr>
              <w:rFonts w:eastAsiaTheme="minorEastAsia"/>
              <w:sz w:val="24"/>
              <w:szCs w:val="24"/>
            </w:rPr>
            <w:t>12</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"_Toc24846" </w:instrText>
          </w:r>
          <w:r>
            <w:fldChar w:fldCharType="separate"/>
          </w:r>
          <w:r>
            <w:rPr>
              <w:rFonts w:eastAsiaTheme="minorEastAsia"/>
              <w:bCs/>
              <w:sz w:val="24"/>
              <w:szCs w:val="24"/>
            </w:rPr>
            <w:t>7.1  原材料质量检验</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_Toc24846 \h </w:instrText>
          </w:r>
          <w:r>
            <w:rPr>
              <w:rFonts w:eastAsiaTheme="minorEastAsia"/>
              <w:sz w:val="24"/>
              <w:szCs w:val="24"/>
            </w:rPr>
            <w:fldChar w:fldCharType="separate"/>
          </w:r>
          <w:r>
            <w:rPr>
              <w:rFonts w:eastAsiaTheme="minorEastAsia"/>
              <w:sz w:val="24"/>
              <w:szCs w:val="24"/>
            </w:rPr>
            <w:t>12</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"_Toc8981" </w:instrText>
          </w:r>
          <w:r>
            <w:fldChar w:fldCharType="separate"/>
          </w:r>
          <w:r>
            <w:rPr>
              <w:rFonts w:eastAsiaTheme="minorEastAsia"/>
              <w:bCs/>
              <w:sz w:val="24"/>
              <w:szCs w:val="24"/>
            </w:rPr>
            <w:t>7.2  混凝土拌合物性能检验</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_Toc8981 \h </w:instrText>
          </w:r>
          <w:r>
            <w:rPr>
              <w:rFonts w:eastAsiaTheme="minorEastAsia"/>
              <w:sz w:val="24"/>
              <w:szCs w:val="24"/>
            </w:rPr>
            <w:fldChar w:fldCharType="separate"/>
          </w:r>
          <w:r>
            <w:rPr>
              <w:rFonts w:eastAsiaTheme="minorEastAsia"/>
              <w:sz w:val="24"/>
              <w:szCs w:val="24"/>
            </w:rPr>
            <w:t>12</w:t>
          </w:r>
          <w:r>
            <w:rPr>
              <w:rFonts w:eastAsiaTheme="minorEastAsia"/>
              <w:sz w:val="24"/>
              <w:szCs w:val="24"/>
            </w:rPr>
            <w:fldChar w:fldCharType="end"/>
          </w:r>
          <w:r>
            <w:rPr>
              <w:rFonts w:eastAsiaTheme="minorEastAsia"/>
              <w:sz w:val="24"/>
              <w:szCs w:val="24"/>
            </w:rPr>
            <w:fldChar w:fldCharType="end"/>
          </w:r>
        </w:p>
        <w:p>
          <w:pPr>
            <w:pStyle w:val="16"/>
            <w:tabs>
              <w:tab w:val="right" w:leader="dot" w:pos="9864"/>
            </w:tabs>
            <w:spacing w:line="360" w:lineRule="auto"/>
            <w:rPr>
              <w:rFonts w:eastAsiaTheme="minorEastAsia"/>
              <w:sz w:val="24"/>
              <w:szCs w:val="24"/>
            </w:rPr>
          </w:pPr>
          <w:r>
            <w:fldChar w:fldCharType="begin"/>
          </w:r>
          <w:r>
            <w:instrText xml:space="preserve"> HYPERLINK \l "_Toc29218" </w:instrText>
          </w:r>
          <w:r>
            <w:fldChar w:fldCharType="separate"/>
          </w:r>
          <w:r>
            <w:rPr>
              <w:rFonts w:eastAsiaTheme="minorEastAsia"/>
              <w:bCs/>
              <w:sz w:val="24"/>
              <w:szCs w:val="24"/>
            </w:rPr>
            <w:t>7.3  硬化混凝土性能检验</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_Toc29218 \h </w:instrText>
          </w:r>
          <w:r>
            <w:rPr>
              <w:rFonts w:eastAsiaTheme="minorEastAsia"/>
              <w:sz w:val="24"/>
              <w:szCs w:val="24"/>
            </w:rPr>
            <w:fldChar w:fldCharType="separate"/>
          </w:r>
          <w:r>
            <w:rPr>
              <w:rFonts w:eastAsiaTheme="minorEastAsia"/>
              <w:sz w:val="24"/>
              <w:szCs w:val="24"/>
            </w:rPr>
            <w:t>12</w:t>
          </w:r>
          <w:r>
            <w:rPr>
              <w:rFonts w:eastAsiaTheme="minorEastAsia"/>
              <w:sz w:val="24"/>
              <w:szCs w:val="24"/>
            </w:rPr>
            <w:fldChar w:fldCharType="end"/>
          </w:r>
          <w:r>
            <w:rPr>
              <w:rFonts w:eastAsiaTheme="minorEastAsia"/>
              <w:sz w:val="24"/>
              <w:szCs w:val="24"/>
            </w:rPr>
            <w:fldChar w:fldCharType="end"/>
          </w:r>
        </w:p>
        <w:p>
          <w:pPr>
            <w:pStyle w:val="15"/>
            <w:tabs>
              <w:tab w:val="right" w:leader="dot" w:pos="9864"/>
            </w:tabs>
            <w:spacing w:line="360" w:lineRule="auto"/>
            <w:rPr>
              <w:rFonts w:eastAsiaTheme="minorEastAsia"/>
              <w:sz w:val="24"/>
              <w:szCs w:val="24"/>
            </w:rPr>
          </w:pPr>
          <w:r>
            <w:fldChar w:fldCharType="begin"/>
          </w:r>
          <w:r>
            <w:instrText xml:space="preserve"> HYPERLINK \l "_Toc13185" </w:instrText>
          </w:r>
          <w:r>
            <w:fldChar w:fldCharType="separate"/>
          </w:r>
          <w:r>
            <w:rPr>
              <w:rFonts w:eastAsiaTheme="minorEastAsia"/>
              <w:sz w:val="24"/>
              <w:szCs w:val="24"/>
            </w:rPr>
            <w:t>用词说明</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_Toc13185 \h </w:instrText>
          </w:r>
          <w:r>
            <w:rPr>
              <w:rFonts w:eastAsiaTheme="minorEastAsia"/>
              <w:sz w:val="24"/>
              <w:szCs w:val="24"/>
            </w:rPr>
            <w:fldChar w:fldCharType="separate"/>
          </w:r>
          <w:r>
            <w:rPr>
              <w:rFonts w:eastAsiaTheme="minorEastAsia"/>
              <w:sz w:val="24"/>
              <w:szCs w:val="24"/>
            </w:rPr>
            <w:t>14</w:t>
          </w:r>
          <w:r>
            <w:rPr>
              <w:rFonts w:eastAsiaTheme="minorEastAsia"/>
              <w:sz w:val="24"/>
              <w:szCs w:val="24"/>
            </w:rPr>
            <w:fldChar w:fldCharType="end"/>
          </w:r>
          <w:r>
            <w:rPr>
              <w:rFonts w:eastAsiaTheme="minorEastAsia"/>
              <w:sz w:val="24"/>
              <w:szCs w:val="24"/>
            </w:rPr>
            <w:fldChar w:fldCharType="end"/>
          </w:r>
        </w:p>
        <w:p>
          <w:pPr>
            <w:pStyle w:val="15"/>
            <w:tabs>
              <w:tab w:val="right" w:leader="dot" w:pos="9864"/>
            </w:tabs>
            <w:spacing w:line="360" w:lineRule="auto"/>
            <w:rPr>
              <w:rFonts w:eastAsiaTheme="minorEastAsia"/>
              <w:sz w:val="24"/>
              <w:szCs w:val="24"/>
            </w:rPr>
          </w:pPr>
          <w:r>
            <w:fldChar w:fldCharType="begin"/>
          </w:r>
          <w:r>
            <w:instrText xml:space="preserve"> HYPERLINK \l "_Toc23036" </w:instrText>
          </w:r>
          <w:r>
            <w:fldChar w:fldCharType="separate"/>
          </w:r>
          <w:r>
            <w:rPr>
              <w:rFonts w:eastAsiaTheme="minorEastAsia"/>
              <w:sz w:val="24"/>
              <w:szCs w:val="24"/>
            </w:rPr>
            <w:t>引用标准名录</w:t>
          </w:r>
          <w:r>
            <w:rPr>
              <w:rFonts w:eastAsiaTheme="minorEastAsia"/>
              <w:sz w:val="24"/>
              <w:szCs w:val="24"/>
            </w:rPr>
            <w:tab/>
          </w:r>
          <w:r>
            <w:rPr>
              <w:rFonts w:eastAsiaTheme="minorEastAsia"/>
              <w:sz w:val="24"/>
              <w:szCs w:val="24"/>
            </w:rPr>
            <w:fldChar w:fldCharType="begin"/>
          </w:r>
          <w:r>
            <w:rPr>
              <w:rFonts w:eastAsiaTheme="minorEastAsia"/>
              <w:sz w:val="24"/>
              <w:szCs w:val="24"/>
            </w:rPr>
            <w:instrText xml:space="preserve"> PAGEREF _Toc23036 \h </w:instrText>
          </w:r>
          <w:r>
            <w:rPr>
              <w:rFonts w:eastAsiaTheme="minorEastAsia"/>
              <w:sz w:val="24"/>
              <w:szCs w:val="24"/>
            </w:rPr>
            <w:fldChar w:fldCharType="separate"/>
          </w:r>
          <w:r>
            <w:rPr>
              <w:rFonts w:eastAsiaTheme="minorEastAsia"/>
              <w:sz w:val="24"/>
              <w:szCs w:val="24"/>
            </w:rPr>
            <w:t>15</w:t>
          </w:r>
          <w:r>
            <w:rPr>
              <w:rFonts w:eastAsiaTheme="minorEastAsia"/>
              <w:sz w:val="24"/>
              <w:szCs w:val="24"/>
            </w:rPr>
            <w:fldChar w:fldCharType="end"/>
          </w:r>
          <w:r>
            <w:rPr>
              <w:rFonts w:eastAsiaTheme="minorEastAsia"/>
              <w:sz w:val="24"/>
              <w:szCs w:val="24"/>
            </w:rPr>
            <w:fldChar w:fldCharType="end"/>
          </w:r>
        </w:p>
        <w:p>
          <w:pPr>
            <w:jc w:val="center"/>
          </w:pPr>
          <w:r>
            <w:fldChar w:fldCharType="end"/>
          </w:r>
        </w:p>
      </w:sdtContent>
    </w:sdt>
    <w:p/>
    <w:p/>
    <w:p/>
    <w:p>
      <w:pPr>
        <w:pStyle w:val="15"/>
        <w:tabs>
          <w:tab w:val="right" w:leader="dot" w:pos="9864"/>
        </w:tabs>
      </w:pPr>
    </w:p>
    <w:p>
      <w:pPr>
        <w:tabs>
          <w:tab w:val="right" w:leader="middleDot" w:pos="5893"/>
        </w:tabs>
      </w:pPr>
    </w:p>
    <w:p>
      <w:pPr>
        <w:tabs>
          <w:tab w:val="right" w:leader="middleDot" w:pos="5893"/>
        </w:tabs>
        <w:sectPr>
          <w:footerReference r:id="rId10" w:type="default"/>
          <w:pgSz w:w="11906" w:h="16838"/>
          <w:pgMar w:top="1361" w:right="1021" w:bottom="1134" w:left="1021" w:header="1021" w:footer="992" w:gutter="0"/>
          <w:pgNumType w:start="1"/>
          <w:cols w:space="720" w:num="1"/>
          <w:docGrid w:linePitch="312" w:charSpace="0"/>
        </w:sectPr>
      </w:pPr>
    </w:p>
    <w:p>
      <w:pPr>
        <w:spacing w:before="312" w:beforeLines="100" w:after="312" w:afterLines="100" w:line="360" w:lineRule="auto"/>
        <w:jc w:val="center"/>
        <w:outlineLvl w:val="0"/>
        <w:rPr>
          <w:b/>
          <w:bCs/>
          <w:sz w:val="28"/>
          <w:szCs w:val="28"/>
        </w:rPr>
      </w:pPr>
      <w:bookmarkStart w:id="19" w:name="_Toc9159"/>
      <w:bookmarkStart w:id="20" w:name="_Toc23546"/>
      <w:bookmarkStart w:id="21" w:name="_Toc7325"/>
      <w:bookmarkStart w:id="22" w:name="_Toc21754"/>
      <w:bookmarkStart w:id="23" w:name="_Toc3301"/>
      <w:r>
        <w:rPr>
          <w:b/>
          <w:bCs/>
          <w:sz w:val="28"/>
          <w:szCs w:val="28"/>
        </w:rPr>
        <w:t>1  总则</w:t>
      </w:r>
      <w:bookmarkEnd w:id="19"/>
      <w:bookmarkEnd w:id="20"/>
      <w:bookmarkEnd w:id="21"/>
      <w:bookmarkEnd w:id="22"/>
    </w:p>
    <w:p>
      <w:pPr>
        <w:spacing w:line="360" w:lineRule="auto"/>
        <w:rPr>
          <w:sz w:val="24"/>
          <w:szCs w:val="24"/>
        </w:rPr>
      </w:pPr>
      <w:r>
        <w:rPr>
          <w:sz w:val="24"/>
          <w:szCs w:val="24"/>
        </w:rPr>
        <w:t>1.0.1  为规范</w:t>
      </w:r>
      <w:r>
        <w:rPr>
          <w:rFonts w:hint="eastAsia"/>
          <w:sz w:val="24"/>
          <w:szCs w:val="24"/>
        </w:rPr>
        <w:t>钢渣粉在混凝土中的应用</w:t>
      </w:r>
      <w:r>
        <w:rPr>
          <w:sz w:val="24"/>
          <w:szCs w:val="24"/>
        </w:rPr>
        <w:t>，保</w:t>
      </w:r>
      <w:r>
        <w:rPr>
          <w:rFonts w:hint="eastAsia"/>
          <w:sz w:val="24"/>
          <w:szCs w:val="24"/>
        </w:rPr>
        <w:t>障</w:t>
      </w:r>
      <w:r>
        <w:rPr>
          <w:sz w:val="24"/>
          <w:szCs w:val="24"/>
        </w:rPr>
        <w:t>工程质量，做到技术先进、</w:t>
      </w:r>
      <w:r>
        <w:rPr>
          <w:rFonts w:hint="eastAsia"/>
          <w:sz w:val="24"/>
          <w:szCs w:val="24"/>
        </w:rPr>
        <w:t>安全适用、</w:t>
      </w:r>
      <w:r>
        <w:rPr>
          <w:sz w:val="24"/>
          <w:szCs w:val="24"/>
        </w:rPr>
        <w:t>经济合理，制定本规</w:t>
      </w:r>
      <w:r>
        <w:rPr>
          <w:rFonts w:hint="eastAsia"/>
          <w:sz w:val="24"/>
          <w:szCs w:val="24"/>
        </w:rPr>
        <w:t>范</w:t>
      </w:r>
      <w:r>
        <w:rPr>
          <w:sz w:val="24"/>
          <w:szCs w:val="24"/>
        </w:rPr>
        <w:t>。</w:t>
      </w:r>
    </w:p>
    <w:p>
      <w:pPr>
        <w:spacing w:line="360" w:lineRule="auto"/>
        <w:rPr>
          <w:sz w:val="24"/>
          <w:szCs w:val="24"/>
        </w:rPr>
      </w:pPr>
      <w:bookmarkStart w:id="24" w:name="_Toc4672"/>
      <w:r>
        <w:rPr>
          <w:sz w:val="24"/>
          <w:szCs w:val="24"/>
        </w:rPr>
        <w:t>1.0.2  本</w:t>
      </w:r>
      <w:r>
        <w:rPr>
          <w:rFonts w:hint="eastAsia"/>
          <w:sz w:val="24"/>
          <w:szCs w:val="24"/>
        </w:rPr>
        <w:t>规范</w:t>
      </w:r>
      <w:r>
        <w:rPr>
          <w:sz w:val="24"/>
          <w:szCs w:val="24"/>
        </w:rPr>
        <w:t>适用于</w:t>
      </w:r>
      <w:bookmarkStart w:id="25" w:name="OLE_LINK1"/>
      <w:r>
        <w:rPr>
          <w:rFonts w:hint="eastAsia"/>
          <w:sz w:val="24"/>
          <w:szCs w:val="24"/>
        </w:rPr>
        <w:t>钢渣粉在混凝土中的配合比设计、施工与质量检验</w:t>
      </w:r>
      <w:bookmarkEnd w:id="25"/>
      <w:r>
        <w:rPr>
          <w:sz w:val="24"/>
          <w:szCs w:val="24"/>
        </w:rPr>
        <w:t>。</w:t>
      </w:r>
      <w:bookmarkEnd w:id="24"/>
    </w:p>
    <w:p>
      <w:pPr>
        <w:spacing w:line="360" w:lineRule="auto"/>
        <w:rPr>
          <w:sz w:val="24"/>
          <w:szCs w:val="24"/>
        </w:rPr>
      </w:pPr>
      <w:r>
        <w:rPr>
          <w:sz w:val="24"/>
          <w:szCs w:val="24"/>
        </w:rPr>
        <w:t>1.0.3  钢渣粉在混凝土中的应用除应符合本规范</w:t>
      </w:r>
      <w:r>
        <w:rPr>
          <w:rFonts w:hint="eastAsia"/>
          <w:sz w:val="24"/>
          <w:szCs w:val="24"/>
        </w:rPr>
        <w:t>规定</w:t>
      </w:r>
      <w:r>
        <w:rPr>
          <w:sz w:val="24"/>
          <w:szCs w:val="24"/>
        </w:rPr>
        <w:t>外，尚应符合国家现行有关标准的规定。</w:t>
      </w:r>
    </w:p>
    <w:p>
      <w:pPr>
        <w:rPr>
          <w:szCs w:val="22"/>
        </w:rPr>
      </w:pPr>
      <w:r>
        <w:rPr>
          <w:szCs w:val="22"/>
        </w:rPr>
        <w:br w:type="page"/>
      </w:r>
    </w:p>
    <w:p>
      <w:pPr>
        <w:spacing w:before="312" w:beforeLines="100" w:after="312" w:afterLines="100" w:line="360" w:lineRule="auto"/>
        <w:jc w:val="center"/>
        <w:outlineLvl w:val="0"/>
        <w:rPr>
          <w:b/>
          <w:bCs/>
          <w:sz w:val="28"/>
          <w:szCs w:val="28"/>
        </w:rPr>
      </w:pPr>
      <w:bookmarkStart w:id="26" w:name="_Toc8303"/>
      <w:bookmarkStart w:id="27" w:name="_Toc27662"/>
      <w:bookmarkStart w:id="28" w:name="_Toc21762"/>
      <w:bookmarkStart w:id="29" w:name="_Toc253"/>
      <w:r>
        <w:rPr>
          <w:rFonts w:hint="eastAsia"/>
          <w:b/>
          <w:bCs/>
          <w:sz w:val="28"/>
          <w:szCs w:val="28"/>
        </w:rPr>
        <w:t>2</w:t>
      </w:r>
      <w:r>
        <w:rPr>
          <w:b/>
          <w:bCs/>
          <w:sz w:val="28"/>
          <w:szCs w:val="28"/>
        </w:rPr>
        <w:t xml:space="preserve">  </w:t>
      </w:r>
      <w:r>
        <w:rPr>
          <w:rFonts w:hint="eastAsia"/>
          <w:b/>
          <w:bCs/>
          <w:sz w:val="28"/>
          <w:szCs w:val="28"/>
        </w:rPr>
        <w:t>术语和定义</w:t>
      </w:r>
      <w:bookmarkEnd w:id="26"/>
      <w:bookmarkEnd w:id="27"/>
      <w:bookmarkEnd w:id="28"/>
      <w:bookmarkEnd w:id="29"/>
    </w:p>
    <w:p>
      <w:pPr>
        <w:spacing w:line="360" w:lineRule="auto"/>
        <w:rPr>
          <w:sz w:val="24"/>
          <w:szCs w:val="24"/>
        </w:rPr>
      </w:pPr>
      <w:bookmarkStart w:id="30" w:name="_Toc9542"/>
      <w:r>
        <w:rPr>
          <w:rFonts w:hint="eastAsia"/>
          <w:sz w:val="24"/>
          <w:szCs w:val="24"/>
        </w:rPr>
        <w:t>2</w:t>
      </w:r>
      <w:r>
        <w:rPr>
          <w:sz w:val="24"/>
          <w:szCs w:val="24"/>
        </w:rPr>
        <w:t>.</w:t>
      </w:r>
      <w:r>
        <w:rPr>
          <w:rFonts w:hint="eastAsia"/>
          <w:sz w:val="24"/>
          <w:szCs w:val="24"/>
        </w:rPr>
        <w:t>0</w:t>
      </w:r>
      <w:r>
        <w:rPr>
          <w:sz w:val="24"/>
          <w:szCs w:val="24"/>
        </w:rPr>
        <w:t xml:space="preserve">.1 </w:t>
      </w:r>
      <w:r>
        <w:rPr>
          <w:rFonts w:hint="eastAsia"/>
          <w:sz w:val="24"/>
          <w:szCs w:val="24"/>
        </w:rPr>
        <w:t xml:space="preserve"> 钢渣 </w:t>
      </w:r>
      <w:bookmarkEnd w:id="30"/>
      <w:r>
        <w:rPr>
          <w:rFonts w:hint="eastAsia"/>
          <w:sz w:val="24"/>
          <w:szCs w:val="24"/>
        </w:rPr>
        <w:t>steel slag</w:t>
      </w:r>
    </w:p>
    <w:p>
      <w:pPr>
        <w:spacing w:line="360" w:lineRule="auto"/>
        <w:ind w:firstLine="480" w:firstLineChars="200"/>
        <w:rPr>
          <w:sz w:val="24"/>
          <w:szCs w:val="24"/>
        </w:rPr>
      </w:pPr>
      <w:r>
        <w:rPr>
          <w:rFonts w:hint="eastAsia"/>
          <w:sz w:val="24"/>
          <w:szCs w:val="24"/>
        </w:rPr>
        <w:t>钢铁企业转炉炼钢或电炉炼钢生产过程排放的副产物。</w:t>
      </w:r>
    </w:p>
    <w:p>
      <w:pPr>
        <w:spacing w:line="360" w:lineRule="auto"/>
        <w:rPr>
          <w:sz w:val="24"/>
          <w:szCs w:val="24"/>
        </w:rPr>
      </w:pPr>
      <w:r>
        <w:rPr>
          <w:rFonts w:hint="eastAsia"/>
          <w:sz w:val="24"/>
          <w:szCs w:val="24"/>
        </w:rPr>
        <w:t>2.0.2  钢渣粉 steel slag powder</w:t>
      </w:r>
    </w:p>
    <w:p>
      <w:pPr>
        <w:spacing w:line="360" w:lineRule="auto"/>
        <w:ind w:firstLine="480" w:firstLineChars="200"/>
        <w:rPr>
          <w:sz w:val="24"/>
          <w:szCs w:val="24"/>
        </w:rPr>
      </w:pPr>
      <w:r>
        <w:rPr>
          <w:rFonts w:hint="eastAsia"/>
          <w:sz w:val="24"/>
          <w:szCs w:val="24"/>
        </w:rPr>
        <w:t>钢渣经稳定化处理后粉磨或分选、除铁至规定细度的粉体材料。</w:t>
      </w:r>
    </w:p>
    <w:p>
      <w:pPr>
        <w:spacing w:line="360" w:lineRule="auto"/>
        <w:rPr>
          <w:sz w:val="24"/>
          <w:szCs w:val="24"/>
        </w:rPr>
      </w:pPr>
      <w:bookmarkStart w:id="31" w:name="_Toc5214"/>
      <w:r>
        <w:rPr>
          <w:rFonts w:hint="eastAsia"/>
          <w:sz w:val="24"/>
          <w:szCs w:val="24"/>
        </w:rPr>
        <w:t>2.0.3  矿物掺合料 mineral admixture</w:t>
      </w:r>
      <w:bookmarkEnd w:id="31"/>
    </w:p>
    <w:p>
      <w:pPr>
        <w:spacing w:line="360" w:lineRule="auto"/>
        <w:ind w:firstLine="480" w:firstLineChars="200"/>
        <w:rPr>
          <w:sz w:val="24"/>
          <w:szCs w:val="24"/>
        </w:rPr>
      </w:pPr>
      <w:r>
        <w:rPr>
          <w:rFonts w:hint="eastAsia"/>
          <w:sz w:val="24"/>
          <w:szCs w:val="24"/>
        </w:rPr>
        <w:t>以硅、铝、钙等一种或多种氧化物为主要成分，具有规定细度，掺入混凝土中能改善混凝土性能的粉体材料</w:t>
      </w:r>
      <w:r>
        <w:rPr>
          <w:sz w:val="24"/>
          <w:szCs w:val="24"/>
        </w:rPr>
        <w:t>。</w:t>
      </w:r>
    </w:p>
    <w:p>
      <w:pPr>
        <w:spacing w:line="360" w:lineRule="auto"/>
        <w:ind w:firstLine="420" w:firstLineChars="200"/>
        <w:rPr>
          <w:szCs w:val="22"/>
        </w:rPr>
      </w:pPr>
    </w:p>
    <w:p>
      <w:pPr>
        <w:rPr>
          <w:szCs w:val="22"/>
        </w:rPr>
      </w:pPr>
      <w:r>
        <w:rPr>
          <w:szCs w:val="22"/>
        </w:rPr>
        <w:br w:type="page"/>
      </w:r>
    </w:p>
    <w:p>
      <w:pPr>
        <w:spacing w:before="312" w:beforeLines="100" w:after="312" w:afterLines="100" w:line="360" w:lineRule="auto"/>
        <w:jc w:val="center"/>
        <w:outlineLvl w:val="0"/>
        <w:rPr>
          <w:b/>
          <w:bCs/>
          <w:sz w:val="30"/>
          <w:szCs w:val="30"/>
        </w:rPr>
      </w:pPr>
      <w:bookmarkStart w:id="32" w:name="_Toc17932"/>
      <w:bookmarkStart w:id="33" w:name="_Toc28059"/>
      <w:bookmarkStart w:id="34" w:name="_Toc27512"/>
      <w:bookmarkStart w:id="35" w:name="_Toc14408"/>
      <w:r>
        <w:rPr>
          <w:rFonts w:hint="eastAsia"/>
          <w:b/>
          <w:bCs/>
          <w:sz w:val="30"/>
          <w:szCs w:val="30"/>
        </w:rPr>
        <w:t>3</w:t>
      </w:r>
      <w:r>
        <w:rPr>
          <w:b/>
          <w:bCs/>
          <w:sz w:val="30"/>
          <w:szCs w:val="30"/>
        </w:rPr>
        <w:t xml:space="preserve">  </w:t>
      </w:r>
      <w:bookmarkEnd w:id="32"/>
      <w:bookmarkEnd w:id="33"/>
      <w:r>
        <w:rPr>
          <w:rFonts w:hint="eastAsia"/>
          <w:b/>
          <w:bCs/>
          <w:sz w:val="30"/>
          <w:szCs w:val="30"/>
        </w:rPr>
        <w:t>原材料</w:t>
      </w:r>
      <w:bookmarkEnd w:id="34"/>
      <w:bookmarkEnd w:id="35"/>
    </w:p>
    <w:p>
      <w:pPr>
        <w:spacing w:before="156" w:beforeLines="50" w:after="156" w:afterLines="50" w:line="360" w:lineRule="auto"/>
        <w:jc w:val="center"/>
        <w:outlineLvl w:val="1"/>
        <w:rPr>
          <w:b/>
          <w:bCs/>
          <w:sz w:val="28"/>
          <w:szCs w:val="28"/>
        </w:rPr>
      </w:pPr>
      <w:bookmarkStart w:id="36" w:name="_Toc18665"/>
      <w:bookmarkStart w:id="37" w:name="_Toc21226"/>
      <w:r>
        <w:rPr>
          <w:rFonts w:hint="eastAsia"/>
          <w:b/>
          <w:bCs/>
          <w:sz w:val="28"/>
          <w:szCs w:val="28"/>
        </w:rPr>
        <w:t>3.</w:t>
      </w:r>
      <w:r>
        <w:rPr>
          <w:b/>
          <w:bCs/>
          <w:sz w:val="28"/>
          <w:szCs w:val="28"/>
        </w:rPr>
        <w:t xml:space="preserve">1  </w:t>
      </w:r>
      <w:r>
        <w:rPr>
          <w:rFonts w:hint="eastAsia"/>
          <w:b/>
          <w:bCs/>
          <w:sz w:val="28"/>
          <w:szCs w:val="28"/>
        </w:rPr>
        <w:t>钢渣粉</w:t>
      </w:r>
      <w:bookmarkEnd w:id="36"/>
      <w:bookmarkEnd w:id="37"/>
    </w:p>
    <w:p>
      <w:pPr>
        <w:spacing w:line="360" w:lineRule="auto"/>
        <w:rPr>
          <w:sz w:val="24"/>
          <w:szCs w:val="24"/>
        </w:rPr>
      </w:pPr>
      <w:r>
        <w:rPr>
          <w:rFonts w:hint="eastAsia"/>
          <w:sz w:val="24"/>
          <w:szCs w:val="24"/>
        </w:rPr>
        <w:t>3</w:t>
      </w:r>
      <w:r>
        <w:rPr>
          <w:sz w:val="24"/>
          <w:szCs w:val="24"/>
        </w:rPr>
        <w:t>.1.1 钢渣粉放射性核素限量应符合现行国家标准《建筑材料放射性核素限量》GB</w:t>
      </w:r>
      <w:r>
        <w:rPr>
          <w:rFonts w:hint="eastAsia"/>
          <w:sz w:val="24"/>
          <w:szCs w:val="24"/>
        </w:rPr>
        <w:t xml:space="preserve"> </w:t>
      </w:r>
      <w:r>
        <w:rPr>
          <w:sz w:val="24"/>
          <w:szCs w:val="24"/>
        </w:rPr>
        <w:t>6566的有关规定。</w:t>
      </w:r>
    </w:p>
    <w:p>
      <w:pPr>
        <w:spacing w:line="360" w:lineRule="auto"/>
        <w:rPr>
          <w:sz w:val="24"/>
          <w:szCs w:val="24"/>
        </w:rPr>
      </w:pPr>
      <w:r>
        <w:rPr>
          <w:rFonts w:hint="eastAsia"/>
          <w:sz w:val="24"/>
          <w:szCs w:val="24"/>
        </w:rPr>
        <w:t>3</w:t>
      </w:r>
      <w:r>
        <w:rPr>
          <w:sz w:val="24"/>
          <w:szCs w:val="24"/>
        </w:rPr>
        <w:t>.1.2 钢渣粉的技术指标和测试方法应符合表</w:t>
      </w:r>
      <w:r>
        <w:rPr>
          <w:rFonts w:hint="eastAsia"/>
          <w:sz w:val="24"/>
          <w:szCs w:val="24"/>
        </w:rPr>
        <w:t>3</w:t>
      </w:r>
      <w:r>
        <w:rPr>
          <w:sz w:val="24"/>
          <w:szCs w:val="24"/>
        </w:rPr>
        <w:t>.</w:t>
      </w:r>
      <w:r>
        <w:rPr>
          <w:rFonts w:hint="eastAsia"/>
          <w:sz w:val="24"/>
          <w:szCs w:val="24"/>
        </w:rPr>
        <w:t>1.2</w:t>
      </w:r>
      <w:r>
        <w:rPr>
          <w:sz w:val="24"/>
          <w:szCs w:val="24"/>
        </w:rPr>
        <w:t>的规定。</w:t>
      </w:r>
    </w:p>
    <w:p>
      <w:pPr>
        <w:widowControl/>
        <w:tabs>
          <w:tab w:val="center" w:pos="4201"/>
          <w:tab w:val="right" w:leader="dot" w:pos="9298"/>
        </w:tabs>
        <w:autoSpaceDE w:val="0"/>
        <w:autoSpaceDN w:val="0"/>
        <w:spacing w:before="120" w:after="120"/>
        <w:jc w:val="center"/>
        <w:rPr>
          <w:rFonts w:eastAsia="黑体"/>
          <w:color w:val="000000"/>
          <w:kern w:val="0"/>
        </w:rPr>
      </w:pPr>
      <w:r>
        <w:rPr>
          <w:rFonts w:eastAsia="黑体"/>
          <w:color w:val="000000"/>
          <w:kern w:val="0"/>
        </w:rPr>
        <w:t>表</w:t>
      </w:r>
      <w:r>
        <w:rPr>
          <w:rFonts w:hint="eastAsia" w:eastAsia="黑体"/>
          <w:color w:val="000000"/>
          <w:kern w:val="0"/>
        </w:rPr>
        <w:t>3</w:t>
      </w:r>
      <w:r>
        <w:rPr>
          <w:rFonts w:eastAsia="黑体"/>
          <w:color w:val="000000"/>
          <w:kern w:val="0"/>
        </w:rPr>
        <w:t>.1.2  钢渣粉技术指标和测试方法</w:t>
      </w:r>
    </w:p>
    <w:tbl>
      <w:tblPr>
        <w:tblStyle w:val="19"/>
        <w:tblW w:w="4602" w:type="pct"/>
        <w:jc w:val="center"/>
        <w:tblLayout w:type="autofit"/>
        <w:tblCellMar>
          <w:top w:w="0" w:type="dxa"/>
          <w:left w:w="108" w:type="dxa"/>
          <w:bottom w:w="0" w:type="dxa"/>
          <w:right w:w="108" w:type="dxa"/>
        </w:tblCellMar>
      </w:tblPr>
      <w:tblGrid>
        <w:gridCol w:w="1174"/>
        <w:gridCol w:w="1172"/>
        <w:gridCol w:w="1395"/>
        <w:gridCol w:w="1398"/>
        <w:gridCol w:w="2705"/>
      </w:tblGrid>
      <w:tr>
        <w:tblPrEx>
          <w:tblCellMar>
            <w:top w:w="0" w:type="dxa"/>
            <w:left w:w="108" w:type="dxa"/>
            <w:bottom w:w="0" w:type="dxa"/>
            <w:right w:w="108" w:type="dxa"/>
          </w:tblCellMar>
        </w:tblPrEx>
        <w:trPr>
          <w:trHeight w:val="454" w:hRule="exact"/>
          <w:jc w:val="center"/>
        </w:trPr>
        <w:tc>
          <w:tcPr>
            <w:tcW w:w="1496" w:type="pct"/>
            <w:gridSpan w:val="2"/>
            <w:vMerge w:val="restart"/>
            <w:tcBorders>
              <w:top w:val="single" w:color="000000" w:sz="4" w:space="0"/>
              <w:left w:val="single" w:color="000000" w:sz="4" w:space="0"/>
              <w:right w:val="single" w:color="000000" w:sz="4" w:space="0"/>
            </w:tcBorders>
            <w:vAlign w:val="center"/>
          </w:tcPr>
          <w:p>
            <w:pPr>
              <w:widowControl/>
              <w:tabs>
                <w:tab w:val="center" w:pos="4201"/>
                <w:tab w:val="right" w:leader="dot" w:pos="9298"/>
              </w:tabs>
              <w:autoSpaceDE w:val="0"/>
              <w:autoSpaceDN w:val="0"/>
              <w:ind w:firstLine="29" w:firstLineChars="14"/>
              <w:jc w:val="center"/>
              <w:rPr>
                <w:color w:val="000000"/>
                <w:kern w:val="0"/>
              </w:rPr>
            </w:pPr>
            <w:r>
              <w:rPr>
                <w:color w:val="000000"/>
                <w:kern w:val="0"/>
              </w:rPr>
              <w:t>项目</w:t>
            </w:r>
          </w:p>
        </w:tc>
        <w:tc>
          <w:tcPr>
            <w:tcW w:w="1780" w:type="pct"/>
            <w:gridSpan w:val="2"/>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ind w:firstLine="29" w:firstLineChars="14"/>
              <w:jc w:val="center"/>
              <w:rPr>
                <w:color w:val="000000"/>
                <w:kern w:val="0"/>
              </w:rPr>
            </w:pPr>
            <w:r>
              <w:rPr>
                <w:color w:val="000000"/>
                <w:kern w:val="0"/>
              </w:rPr>
              <w:t>技术指标</w:t>
            </w:r>
          </w:p>
        </w:tc>
        <w:tc>
          <w:tcPr>
            <w:tcW w:w="1722" w:type="pct"/>
            <w:vMerge w:val="restart"/>
            <w:tcBorders>
              <w:top w:val="single" w:color="000000" w:sz="4" w:space="0"/>
              <w:left w:val="nil"/>
              <w:right w:val="single" w:color="000000" w:sz="4" w:space="0"/>
            </w:tcBorders>
            <w:vAlign w:val="center"/>
          </w:tcPr>
          <w:p>
            <w:pPr>
              <w:widowControl/>
              <w:tabs>
                <w:tab w:val="center" w:pos="4201"/>
                <w:tab w:val="right" w:leader="dot" w:pos="9298"/>
              </w:tabs>
              <w:autoSpaceDE w:val="0"/>
              <w:autoSpaceDN w:val="0"/>
              <w:ind w:firstLine="29" w:firstLineChars="14"/>
              <w:jc w:val="center"/>
              <w:rPr>
                <w:color w:val="000000"/>
                <w:kern w:val="0"/>
              </w:rPr>
            </w:pPr>
            <w:r>
              <w:rPr>
                <w:color w:val="000000"/>
                <w:kern w:val="0"/>
              </w:rPr>
              <w:t>测试方法</w:t>
            </w:r>
          </w:p>
        </w:tc>
      </w:tr>
      <w:tr>
        <w:tblPrEx>
          <w:tblCellMar>
            <w:top w:w="0" w:type="dxa"/>
            <w:left w:w="108" w:type="dxa"/>
            <w:bottom w:w="0" w:type="dxa"/>
            <w:right w:w="108" w:type="dxa"/>
          </w:tblCellMar>
        </w:tblPrEx>
        <w:trPr>
          <w:trHeight w:val="454" w:hRule="exact"/>
          <w:jc w:val="center"/>
        </w:trPr>
        <w:tc>
          <w:tcPr>
            <w:tcW w:w="1496" w:type="pct"/>
            <w:gridSpan w:val="2"/>
            <w:vMerge w:val="continue"/>
            <w:tcBorders>
              <w:left w:val="single" w:color="000000" w:sz="4" w:space="0"/>
              <w:right w:val="single" w:color="000000" w:sz="4" w:space="0"/>
            </w:tcBorders>
            <w:vAlign w:val="center"/>
          </w:tcPr>
          <w:p>
            <w:pPr>
              <w:widowControl/>
              <w:tabs>
                <w:tab w:val="center" w:pos="4201"/>
                <w:tab w:val="right" w:leader="dot" w:pos="9298"/>
              </w:tabs>
              <w:autoSpaceDE w:val="0"/>
              <w:autoSpaceDN w:val="0"/>
              <w:ind w:firstLine="29" w:firstLineChars="14"/>
              <w:jc w:val="center"/>
              <w:rPr>
                <w:color w:val="000000"/>
                <w:kern w:val="0"/>
              </w:rPr>
            </w:pPr>
          </w:p>
        </w:tc>
        <w:tc>
          <w:tcPr>
            <w:tcW w:w="889" w:type="pct"/>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ind w:firstLine="29" w:firstLineChars="14"/>
              <w:jc w:val="center"/>
              <w:rPr>
                <w:rFonts w:hint="eastAsia" w:eastAsia="宋体"/>
                <w:color w:val="000000"/>
                <w:kern w:val="0"/>
                <w:lang w:val="en-US" w:eastAsia="zh-CN"/>
              </w:rPr>
            </w:pPr>
            <w:r>
              <w:rPr>
                <w:rFonts w:hint="eastAsia" w:ascii="宋体" w:hAnsi="宋体" w:eastAsia="宋体" w:cs="宋体"/>
                <w:color w:val="000000"/>
                <w:kern w:val="0"/>
                <w:lang w:val="en-US" w:eastAsia="zh-CN"/>
              </w:rPr>
              <w:t>Ⅰ</w:t>
            </w:r>
            <w:r>
              <w:rPr>
                <w:rFonts w:hint="eastAsia"/>
                <w:color w:val="000000"/>
                <w:kern w:val="0"/>
                <w:lang w:val="en-US" w:eastAsia="zh-CN"/>
              </w:rPr>
              <w:t>级</w:t>
            </w:r>
          </w:p>
        </w:tc>
        <w:tc>
          <w:tcPr>
            <w:tcW w:w="891" w:type="pct"/>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ind w:firstLine="29" w:firstLineChars="14"/>
              <w:jc w:val="center"/>
              <w:rPr>
                <w:rFonts w:hint="eastAsia" w:eastAsia="宋体"/>
                <w:color w:val="000000"/>
                <w:kern w:val="0"/>
                <w:lang w:val="en-US" w:eastAsia="zh-CN"/>
              </w:rPr>
            </w:pPr>
            <w:r>
              <w:rPr>
                <w:rFonts w:hint="eastAsia" w:ascii="宋体" w:hAnsi="宋体" w:eastAsia="宋体" w:cs="宋体"/>
                <w:color w:val="000000"/>
                <w:kern w:val="0"/>
                <w:lang w:val="en-US" w:eastAsia="zh-CN"/>
              </w:rPr>
              <w:t>Ⅱ</w:t>
            </w:r>
            <w:r>
              <w:rPr>
                <w:rFonts w:hint="eastAsia"/>
                <w:color w:val="000000"/>
                <w:kern w:val="0"/>
                <w:lang w:val="en-US" w:eastAsia="zh-CN"/>
              </w:rPr>
              <w:t>级</w:t>
            </w:r>
          </w:p>
        </w:tc>
        <w:tc>
          <w:tcPr>
            <w:tcW w:w="1722" w:type="pct"/>
            <w:vMerge w:val="continue"/>
            <w:tcBorders>
              <w:left w:val="nil"/>
              <w:bottom w:val="single" w:color="000000" w:sz="4" w:space="0"/>
              <w:right w:val="single" w:color="000000" w:sz="4" w:space="0"/>
            </w:tcBorders>
            <w:vAlign w:val="center"/>
          </w:tcPr>
          <w:p>
            <w:pPr>
              <w:widowControl/>
              <w:tabs>
                <w:tab w:val="center" w:pos="4201"/>
                <w:tab w:val="right" w:leader="dot" w:pos="9298"/>
              </w:tabs>
              <w:autoSpaceDE w:val="0"/>
              <w:autoSpaceDN w:val="0"/>
              <w:ind w:firstLine="29" w:firstLineChars="14"/>
              <w:jc w:val="center"/>
              <w:rPr>
                <w:color w:val="000000"/>
                <w:kern w:val="0"/>
              </w:rPr>
            </w:pPr>
          </w:p>
        </w:tc>
      </w:tr>
      <w:tr>
        <w:tblPrEx>
          <w:tblCellMar>
            <w:top w:w="0" w:type="dxa"/>
            <w:left w:w="108" w:type="dxa"/>
            <w:bottom w:w="0" w:type="dxa"/>
            <w:right w:w="108" w:type="dxa"/>
          </w:tblCellMar>
        </w:tblPrEx>
        <w:trPr>
          <w:trHeight w:val="23" w:hRule="atLeast"/>
          <w:jc w:val="center"/>
        </w:trPr>
        <w:tc>
          <w:tcPr>
            <w:tcW w:w="1496" w:type="pct"/>
            <w:gridSpan w:val="2"/>
            <w:tcBorders>
              <w:top w:val="single" w:color="000000" w:sz="4" w:space="0"/>
              <w:left w:val="single" w:color="000000" w:sz="4" w:space="0"/>
              <w:right w:val="single" w:color="000000" w:sz="4" w:space="0"/>
            </w:tcBorders>
            <w:vAlign w:val="center"/>
          </w:tcPr>
          <w:p>
            <w:pPr>
              <w:widowControl/>
              <w:tabs>
                <w:tab w:val="center" w:pos="4201"/>
                <w:tab w:val="right" w:leader="dot" w:pos="9298"/>
              </w:tabs>
              <w:autoSpaceDE w:val="0"/>
              <w:autoSpaceDN w:val="0"/>
              <w:ind w:firstLine="29" w:firstLineChars="14"/>
              <w:jc w:val="center"/>
              <w:rPr>
                <w:color w:val="000000"/>
                <w:kern w:val="0"/>
              </w:rPr>
            </w:pPr>
            <w:r>
              <w:rPr>
                <w:color w:val="000000"/>
                <w:kern w:val="0"/>
              </w:rPr>
              <w:t>比表面积（m</w:t>
            </w:r>
            <w:r>
              <w:rPr>
                <w:color w:val="000000"/>
                <w:kern w:val="0"/>
                <w:vertAlign w:val="superscript"/>
              </w:rPr>
              <w:t>2</w:t>
            </w:r>
            <w:r>
              <w:rPr>
                <w:color w:val="000000"/>
                <w:kern w:val="0"/>
              </w:rPr>
              <w:t>/kg）</w:t>
            </w:r>
          </w:p>
        </w:tc>
        <w:tc>
          <w:tcPr>
            <w:tcW w:w="1780" w:type="pct"/>
            <w:gridSpan w:val="2"/>
            <w:tcBorders>
              <w:top w:val="single" w:color="000000" w:sz="4" w:space="0"/>
              <w:left w:val="nil"/>
              <w:bottom w:val="single" w:color="auto" w:sz="4" w:space="0"/>
              <w:right w:val="single" w:color="000000" w:sz="4" w:space="0"/>
            </w:tcBorders>
            <w:vAlign w:val="center"/>
          </w:tcPr>
          <w:p>
            <w:pPr>
              <w:widowControl/>
              <w:tabs>
                <w:tab w:val="center" w:pos="4201"/>
                <w:tab w:val="right" w:leader="dot" w:pos="9298"/>
              </w:tabs>
              <w:autoSpaceDE w:val="0"/>
              <w:autoSpaceDN w:val="0"/>
              <w:ind w:firstLine="29" w:firstLineChars="14"/>
              <w:jc w:val="center"/>
              <w:rPr>
                <w:rFonts w:hint="eastAsia" w:ascii="宋体" w:hAnsi="宋体" w:cs="宋体"/>
                <w:color w:val="000000"/>
                <w:kern w:val="0"/>
              </w:rPr>
            </w:pPr>
            <w:r>
              <w:rPr>
                <w:rFonts w:hint="eastAsia" w:ascii="宋体" w:hAnsi="宋体" w:cs="宋体"/>
                <w:color w:val="000000"/>
                <w:kern w:val="0"/>
              </w:rPr>
              <w:t>≥</w:t>
            </w:r>
            <w:r>
              <w:rPr>
                <w:rFonts w:hint="eastAsia"/>
                <w:color w:val="000000"/>
                <w:kern w:val="0"/>
              </w:rPr>
              <w:t>40</w:t>
            </w:r>
            <w:r>
              <w:rPr>
                <w:color w:val="000000"/>
                <w:kern w:val="0"/>
              </w:rPr>
              <w:t>0</w:t>
            </w:r>
          </w:p>
        </w:tc>
        <w:tc>
          <w:tcPr>
            <w:tcW w:w="1722" w:type="pct"/>
            <w:tcBorders>
              <w:top w:val="single" w:color="000000" w:sz="4" w:space="0"/>
              <w:left w:val="nil"/>
              <w:right w:val="single" w:color="000000" w:sz="4" w:space="0"/>
            </w:tcBorders>
            <w:vAlign w:val="center"/>
          </w:tcPr>
          <w:p>
            <w:pPr>
              <w:widowControl/>
              <w:tabs>
                <w:tab w:val="center" w:pos="4201"/>
                <w:tab w:val="right" w:leader="dot" w:pos="9298"/>
              </w:tabs>
              <w:autoSpaceDE w:val="0"/>
              <w:autoSpaceDN w:val="0"/>
              <w:ind w:firstLine="420" w:firstLineChars="200"/>
              <w:jc w:val="left"/>
              <w:rPr>
                <w:color w:val="000000"/>
                <w:kern w:val="0"/>
              </w:rPr>
            </w:pPr>
            <w:r>
              <w:rPr>
                <w:color w:val="000000"/>
                <w:kern w:val="0"/>
              </w:rPr>
              <w:t>按现行国家标准《用于水泥和混凝土中的钢渣粉》GB/T 20491所列的</w:t>
            </w:r>
            <w:r>
              <w:rPr>
                <w:rFonts w:hint="eastAsia"/>
                <w:color w:val="000000"/>
                <w:kern w:val="0"/>
              </w:rPr>
              <w:t>勃氏法</w:t>
            </w:r>
            <w:r>
              <w:rPr>
                <w:color w:val="000000"/>
                <w:kern w:val="0"/>
              </w:rPr>
              <w:t>测试比表面积。</w:t>
            </w:r>
          </w:p>
        </w:tc>
      </w:tr>
      <w:tr>
        <w:tblPrEx>
          <w:tblCellMar>
            <w:top w:w="0" w:type="dxa"/>
            <w:left w:w="108" w:type="dxa"/>
            <w:bottom w:w="0" w:type="dxa"/>
            <w:right w:w="108" w:type="dxa"/>
          </w:tblCellMar>
        </w:tblPrEx>
        <w:trPr>
          <w:trHeight w:val="23" w:hRule="atLeast"/>
          <w:jc w:val="center"/>
        </w:trPr>
        <w:tc>
          <w:tcPr>
            <w:tcW w:w="749" w:type="pct"/>
            <w:vMerge w:val="restart"/>
            <w:tcBorders>
              <w:top w:val="single" w:color="auto" w:sz="4" w:space="0"/>
              <w:left w:val="single" w:color="auto"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活性指数（%）</w:t>
            </w:r>
          </w:p>
        </w:tc>
        <w:tc>
          <w:tcPr>
            <w:tcW w:w="747" w:type="pct"/>
            <w:tcBorders>
              <w:top w:val="single" w:color="auto" w:sz="4" w:space="0"/>
              <w:left w:val="nil"/>
              <w:bottom w:val="single" w:color="000000" w:sz="4" w:space="0"/>
              <w:right w:val="single" w:color="auto"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7d</w:t>
            </w:r>
          </w:p>
        </w:tc>
        <w:tc>
          <w:tcPr>
            <w:tcW w:w="88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color w:val="000000"/>
                <w:kern w:val="0"/>
              </w:rPr>
            </w:pPr>
            <w:r>
              <w:rPr>
                <w:rFonts w:hint="eastAsia" w:ascii="宋体" w:hAnsi="宋体" w:cs="宋体"/>
                <w:color w:val="000000"/>
                <w:kern w:val="0"/>
              </w:rPr>
              <w:t>≥</w:t>
            </w:r>
            <w:r>
              <w:rPr>
                <w:color w:val="000000"/>
                <w:kern w:val="0"/>
              </w:rPr>
              <w:t>65</w:t>
            </w:r>
          </w:p>
        </w:tc>
        <w:tc>
          <w:tcPr>
            <w:tcW w:w="891" w:type="pct"/>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rPr>
                <w:rFonts w:hint="eastAsia" w:ascii="宋体" w:hAnsi="宋体" w:cs="宋体"/>
                <w:color w:val="000000"/>
                <w:kern w:val="0"/>
              </w:rPr>
            </w:pPr>
            <w:r>
              <w:rPr>
                <w:rFonts w:hint="eastAsia" w:ascii="宋体" w:hAnsi="宋体" w:cs="宋体"/>
                <w:color w:val="000000"/>
                <w:kern w:val="0"/>
              </w:rPr>
              <w:t>≥</w:t>
            </w:r>
            <w:r>
              <w:rPr>
                <w:rFonts w:hint="eastAsia"/>
                <w:color w:val="000000"/>
                <w:kern w:val="0"/>
                <w:lang w:val="en-US" w:eastAsia="zh-CN"/>
              </w:rPr>
              <w:t>55</w:t>
            </w:r>
          </w:p>
        </w:tc>
        <w:tc>
          <w:tcPr>
            <w:tcW w:w="1722" w:type="pct"/>
            <w:vMerge w:val="restart"/>
            <w:tcBorders>
              <w:top w:val="single" w:color="auto" w:sz="4" w:space="0"/>
              <w:left w:val="single" w:color="auto" w:sz="4" w:space="0"/>
              <w:right w:val="single" w:color="000000" w:sz="4" w:space="0"/>
            </w:tcBorders>
            <w:vAlign w:val="center"/>
          </w:tcPr>
          <w:p>
            <w:pPr>
              <w:widowControl/>
              <w:tabs>
                <w:tab w:val="center" w:pos="4201"/>
                <w:tab w:val="right" w:leader="dot" w:pos="9298"/>
              </w:tabs>
              <w:autoSpaceDE w:val="0"/>
              <w:autoSpaceDN w:val="0"/>
              <w:ind w:firstLine="420" w:firstLineChars="200"/>
              <w:jc w:val="left"/>
              <w:rPr>
                <w:color w:val="000000"/>
                <w:kern w:val="0"/>
              </w:rPr>
            </w:pPr>
            <w:r>
              <w:rPr>
                <w:color w:val="000000"/>
                <w:kern w:val="0"/>
              </w:rPr>
              <w:t>按现行国家标准《用于水泥和混凝土中的钢渣粉》GB/T 20491所列有关规定进行测定。</w:t>
            </w:r>
          </w:p>
        </w:tc>
      </w:tr>
      <w:tr>
        <w:tblPrEx>
          <w:tblCellMar>
            <w:top w:w="0" w:type="dxa"/>
            <w:left w:w="108" w:type="dxa"/>
            <w:bottom w:w="0" w:type="dxa"/>
            <w:right w:w="108" w:type="dxa"/>
          </w:tblCellMar>
        </w:tblPrEx>
        <w:trPr>
          <w:trHeight w:val="23" w:hRule="atLeast"/>
          <w:jc w:val="center"/>
        </w:trPr>
        <w:tc>
          <w:tcPr>
            <w:tcW w:w="749" w:type="pct"/>
            <w:vMerge w:val="continue"/>
            <w:tcBorders>
              <w:top w:val="nil"/>
              <w:left w:val="single" w:color="auto" w:sz="4" w:space="0"/>
              <w:bottom w:val="single" w:color="auto"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p>
        </w:tc>
        <w:tc>
          <w:tcPr>
            <w:tcW w:w="747" w:type="pct"/>
            <w:tcBorders>
              <w:top w:val="single" w:color="000000"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28d</w:t>
            </w:r>
          </w:p>
        </w:tc>
        <w:tc>
          <w:tcPr>
            <w:tcW w:w="88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color w:val="000000"/>
                <w:kern w:val="0"/>
              </w:rPr>
            </w:pPr>
            <w:r>
              <w:rPr>
                <w:rFonts w:hint="eastAsia" w:ascii="宋体" w:hAnsi="宋体" w:cs="宋体"/>
                <w:color w:val="000000"/>
                <w:kern w:val="0"/>
              </w:rPr>
              <w:t>≥</w:t>
            </w:r>
            <w:r>
              <w:rPr>
                <w:color w:val="000000"/>
                <w:kern w:val="0"/>
              </w:rPr>
              <w:t>80</w:t>
            </w:r>
          </w:p>
        </w:tc>
        <w:tc>
          <w:tcPr>
            <w:tcW w:w="891" w:type="pct"/>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rPr>
                <w:rFonts w:hint="eastAsia" w:ascii="宋体" w:hAnsi="宋体" w:cs="宋体"/>
                <w:color w:val="000000"/>
                <w:kern w:val="0"/>
              </w:rPr>
            </w:pPr>
            <w:r>
              <w:rPr>
                <w:rFonts w:hint="eastAsia" w:ascii="宋体" w:hAnsi="宋体" w:cs="宋体"/>
                <w:color w:val="000000"/>
                <w:kern w:val="0"/>
              </w:rPr>
              <w:t>≥</w:t>
            </w:r>
            <w:r>
              <w:rPr>
                <w:color w:val="000000"/>
                <w:kern w:val="0"/>
              </w:rPr>
              <w:t>65</w:t>
            </w:r>
          </w:p>
        </w:tc>
        <w:tc>
          <w:tcPr>
            <w:tcW w:w="1722" w:type="pct"/>
            <w:vMerge w:val="continue"/>
            <w:tcBorders>
              <w:left w:val="single" w:color="auto" w:sz="4" w:space="0"/>
              <w:right w:val="single" w:color="000000" w:sz="4" w:space="0"/>
            </w:tcBorders>
            <w:vAlign w:val="center"/>
          </w:tcPr>
          <w:p>
            <w:pPr>
              <w:widowControl/>
              <w:tabs>
                <w:tab w:val="center" w:pos="4201"/>
                <w:tab w:val="right" w:leader="dot" w:pos="9298"/>
              </w:tabs>
              <w:autoSpaceDE w:val="0"/>
              <w:autoSpaceDN w:val="0"/>
              <w:ind w:firstLine="420" w:firstLineChars="200"/>
              <w:jc w:val="left"/>
              <w:rPr>
                <w:color w:val="000000"/>
                <w:kern w:val="0"/>
              </w:rPr>
            </w:pPr>
          </w:p>
        </w:tc>
      </w:tr>
      <w:tr>
        <w:tblPrEx>
          <w:tblCellMar>
            <w:top w:w="0" w:type="dxa"/>
            <w:left w:w="108" w:type="dxa"/>
            <w:bottom w:w="0" w:type="dxa"/>
            <w:right w:w="108" w:type="dxa"/>
          </w:tblCellMar>
        </w:tblPrEx>
        <w:trPr>
          <w:trHeight w:val="23" w:hRule="atLeast"/>
          <w:jc w:val="center"/>
        </w:trPr>
        <w:tc>
          <w:tcPr>
            <w:tcW w:w="1496" w:type="pct"/>
            <w:gridSpan w:val="2"/>
            <w:tcBorders>
              <w:top w:val="single" w:color="auto" w:sz="4" w:space="0"/>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流动度比（%）</w:t>
            </w:r>
          </w:p>
        </w:tc>
        <w:tc>
          <w:tcPr>
            <w:tcW w:w="1780" w:type="pct"/>
            <w:gridSpan w:val="2"/>
            <w:tcBorders>
              <w:top w:val="single" w:color="auto"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rFonts w:hint="eastAsia" w:ascii="宋体" w:hAnsi="宋体" w:cs="宋体"/>
                <w:color w:val="000000"/>
                <w:kern w:val="0"/>
              </w:rPr>
            </w:pPr>
            <w:r>
              <w:rPr>
                <w:rFonts w:hint="eastAsia" w:ascii="宋体" w:hAnsi="宋体" w:cs="宋体"/>
                <w:color w:val="000000"/>
                <w:kern w:val="0"/>
              </w:rPr>
              <w:t>≥</w:t>
            </w:r>
            <w:r>
              <w:rPr>
                <w:color w:val="000000"/>
                <w:kern w:val="0"/>
              </w:rPr>
              <w:t>9</w:t>
            </w:r>
            <w:r>
              <w:rPr>
                <w:rFonts w:hint="eastAsia"/>
                <w:color w:val="000000"/>
                <w:kern w:val="0"/>
                <w:lang w:val="en-US" w:eastAsia="zh-CN"/>
              </w:rPr>
              <w:t>0</w:t>
            </w:r>
          </w:p>
        </w:tc>
        <w:tc>
          <w:tcPr>
            <w:tcW w:w="1722" w:type="pct"/>
            <w:vMerge w:val="continue"/>
            <w:tcBorders>
              <w:left w:val="nil"/>
              <w:right w:val="single" w:color="000000" w:sz="4" w:space="0"/>
            </w:tcBorders>
            <w:vAlign w:val="center"/>
          </w:tcPr>
          <w:p>
            <w:pPr>
              <w:widowControl/>
              <w:tabs>
                <w:tab w:val="center" w:pos="4201"/>
                <w:tab w:val="right" w:leader="dot" w:pos="9298"/>
              </w:tabs>
              <w:autoSpaceDE w:val="0"/>
              <w:autoSpaceDN w:val="0"/>
              <w:ind w:firstLine="420" w:firstLineChars="200"/>
              <w:jc w:val="left"/>
              <w:rPr>
                <w:color w:val="000000"/>
                <w:kern w:val="0"/>
              </w:rPr>
            </w:pPr>
          </w:p>
        </w:tc>
      </w:tr>
      <w:tr>
        <w:tblPrEx>
          <w:tblCellMar>
            <w:top w:w="0" w:type="dxa"/>
            <w:left w:w="108" w:type="dxa"/>
            <w:bottom w:w="0" w:type="dxa"/>
            <w:right w:w="108" w:type="dxa"/>
          </w:tblCellMar>
        </w:tblPrEx>
        <w:trPr>
          <w:trHeight w:val="23" w:hRule="atLeast"/>
          <w:jc w:val="center"/>
        </w:trPr>
        <w:tc>
          <w:tcPr>
            <w:tcW w:w="1496" w:type="pct"/>
            <w:gridSpan w:val="2"/>
            <w:tcBorders>
              <w:top w:val="single" w:color="000000" w:sz="4" w:space="0"/>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含水量（%）</w:t>
            </w:r>
          </w:p>
        </w:tc>
        <w:tc>
          <w:tcPr>
            <w:tcW w:w="1780" w:type="pct"/>
            <w:gridSpan w:val="2"/>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rFonts w:hint="eastAsia" w:ascii="宋体" w:hAnsi="宋体" w:cs="宋体"/>
                <w:color w:val="000000"/>
                <w:kern w:val="0"/>
              </w:rPr>
            </w:pPr>
            <w:r>
              <w:rPr>
                <w:rFonts w:hint="eastAsia" w:ascii="宋体" w:hAnsi="宋体" w:cs="宋体"/>
                <w:color w:val="000000"/>
                <w:kern w:val="0"/>
              </w:rPr>
              <w:t>≤</w:t>
            </w:r>
            <w:r>
              <w:rPr>
                <w:color w:val="000000"/>
                <w:kern w:val="0"/>
              </w:rPr>
              <w:t>1.0</w:t>
            </w:r>
          </w:p>
        </w:tc>
        <w:tc>
          <w:tcPr>
            <w:tcW w:w="1722" w:type="pct"/>
            <w:vMerge w:val="continue"/>
            <w:tcBorders>
              <w:left w:val="nil"/>
              <w:right w:val="single" w:color="000000" w:sz="4" w:space="0"/>
            </w:tcBorders>
            <w:vAlign w:val="center"/>
          </w:tcPr>
          <w:p>
            <w:pPr>
              <w:widowControl/>
              <w:tabs>
                <w:tab w:val="center" w:pos="4201"/>
                <w:tab w:val="right" w:leader="dot" w:pos="9298"/>
              </w:tabs>
              <w:autoSpaceDE w:val="0"/>
              <w:autoSpaceDN w:val="0"/>
              <w:ind w:firstLine="420" w:firstLineChars="200"/>
              <w:jc w:val="left"/>
              <w:rPr>
                <w:color w:val="000000"/>
                <w:kern w:val="0"/>
              </w:rPr>
            </w:pPr>
          </w:p>
        </w:tc>
      </w:tr>
      <w:tr>
        <w:tblPrEx>
          <w:tblCellMar>
            <w:top w:w="0" w:type="dxa"/>
            <w:left w:w="108" w:type="dxa"/>
            <w:bottom w:w="0" w:type="dxa"/>
            <w:right w:w="108" w:type="dxa"/>
          </w:tblCellMar>
        </w:tblPrEx>
        <w:trPr>
          <w:trHeight w:val="23" w:hRule="atLeast"/>
          <w:jc w:val="center"/>
        </w:trPr>
        <w:tc>
          <w:tcPr>
            <w:tcW w:w="1496" w:type="pct"/>
            <w:gridSpan w:val="2"/>
            <w:tcBorders>
              <w:top w:val="single" w:color="auto" w:sz="4" w:space="0"/>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密度（g/cm</w:t>
            </w:r>
            <w:r>
              <w:rPr>
                <w:color w:val="000000"/>
                <w:kern w:val="0"/>
                <w:vertAlign w:val="superscript"/>
              </w:rPr>
              <w:t>3</w:t>
            </w:r>
            <w:r>
              <w:rPr>
                <w:color w:val="000000"/>
                <w:kern w:val="0"/>
              </w:rPr>
              <w:t>）</w:t>
            </w:r>
          </w:p>
        </w:tc>
        <w:tc>
          <w:tcPr>
            <w:tcW w:w="1780" w:type="pct"/>
            <w:gridSpan w:val="2"/>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rFonts w:hint="eastAsia" w:ascii="宋体" w:hAnsi="宋体" w:cs="宋体"/>
                <w:color w:val="000000"/>
                <w:kern w:val="0"/>
              </w:rPr>
            </w:pPr>
            <w:r>
              <w:rPr>
                <w:rFonts w:hint="eastAsia" w:ascii="宋体" w:hAnsi="宋体" w:cs="宋体"/>
                <w:color w:val="000000"/>
                <w:kern w:val="0"/>
              </w:rPr>
              <w:t>≥</w:t>
            </w:r>
            <w:r>
              <w:rPr>
                <w:rFonts w:hint="eastAsia"/>
                <w:color w:val="000000"/>
                <w:kern w:val="0"/>
                <w:lang w:val="en-US" w:eastAsia="zh-CN"/>
              </w:rPr>
              <w:t>2.8</w:t>
            </w:r>
          </w:p>
        </w:tc>
        <w:tc>
          <w:tcPr>
            <w:tcW w:w="1722" w:type="pct"/>
            <w:vMerge w:val="continue"/>
            <w:tcBorders>
              <w:left w:val="nil"/>
              <w:bottom w:val="single" w:color="000000" w:sz="4" w:space="0"/>
              <w:right w:val="single" w:color="000000" w:sz="4" w:space="0"/>
            </w:tcBorders>
            <w:vAlign w:val="center"/>
          </w:tcPr>
          <w:p>
            <w:pPr>
              <w:widowControl/>
              <w:tabs>
                <w:tab w:val="center" w:pos="4201"/>
                <w:tab w:val="right" w:leader="dot" w:pos="9298"/>
              </w:tabs>
              <w:autoSpaceDE w:val="0"/>
              <w:autoSpaceDN w:val="0"/>
              <w:ind w:firstLine="420" w:firstLineChars="200"/>
              <w:jc w:val="left"/>
              <w:rPr>
                <w:color w:val="000000"/>
                <w:kern w:val="0"/>
              </w:rPr>
            </w:pPr>
          </w:p>
        </w:tc>
      </w:tr>
      <w:tr>
        <w:tblPrEx>
          <w:tblCellMar>
            <w:top w:w="0" w:type="dxa"/>
            <w:left w:w="108" w:type="dxa"/>
            <w:bottom w:w="0" w:type="dxa"/>
            <w:right w:w="108" w:type="dxa"/>
          </w:tblCellMar>
        </w:tblPrEx>
        <w:trPr>
          <w:trHeight w:val="23" w:hRule="atLeast"/>
          <w:jc w:val="center"/>
        </w:trPr>
        <w:tc>
          <w:tcPr>
            <w:tcW w:w="1496" w:type="pct"/>
            <w:gridSpan w:val="2"/>
            <w:tcBorders>
              <w:top w:val="single" w:color="000000" w:sz="4" w:space="0"/>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rFonts w:hint="eastAsia"/>
                <w:color w:val="000000"/>
                <w:kern w:val="0"/>
              </w:rPr>
              <w:t>金属铁含量</w:t>
            </w:r>
          </w:p>
        </w:tc>
        <w:tc>
          <w:tcPr>
            <w:tcW w:w="1780" w:type="pct"/>
            <w:gridSpan w:val="2"/>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rFonts w:hint="eastAsia" w:ascii="宋体" w:hAnsi="宋体" w:cs="宋体"/>
                <w:color w:val="000000"/>
                <w:kern w:val="0"/>
              </w:rPr>
            </w:pPr>
            <w:r>
              <w:rPr>
                <w:rFonts w:hint="eastAsia" w:ascii="宋体" w:hAnsi="宋体" w:cs="宋体"/>
                <w:color w:val="000000"/>
                <w:kern w:val="0"/>
              </w:rPr>
              <w:t>≤</w:t>
            </w:r>
            <w:r>
              <w:rPr>
                <w:rFonts w:hint="eastAsia"/>
                <w:color w:val="000000"/>
                <w:kern w:val="0"/>
                <w:lang w:val="en-US" w:eastAsia="zh-CN"/>
              </w:rPr>
              <w:t>2</w:t>
            </w:r>
            <w:r>
              <w:rPr>
                <w:color w:val="000000"/>
                <w:kern w:val="0"/>
              </w:rPr>
              <w:t>.0</w:t>
            </w:r>
          </w:p>
        </w:tc>
        <w:tc>
          <w:tcPr>
            <w:tcW w:w="1722" w:type="pct"/>
            <w:tcBorders>
              <w:top w:val="single" w:color="000000" w:sz="4" w:space="0"/>
              <w:left w:val="nil"/>
              <w:right w:val="single" w:color="000000" w:sz="4" w:space="0"/>
            </w:tcBorders>
            <w:vAlign w:val="center"/>
          </w:tcPr>
          <w:p>
            <w:pPr>
              <w:widowControl/>
              <w:tabs>
                <w:tab w:val="center" w:pos="4201"/>
                <w:tab w:val="right" w:leader="dot" w:pos="9298"/>
              </w:tabs>
              <w:autoSpaceDE w:val="0"/>
              <w:autoSpaceDN w:val="0"/>
              <w:ind w:firstLine="420" w:firstLineChars="200"/>
              <w:jc w:val="left"/>
              <w:rPr>
                <w:rFonts w:hint="default" w:eastAsia="宋体"/>
                <w:color w:val="000000"/>
                <w:kern w:val="0"/>
                <w:lang w:val="en-US" w:eastAsia="zh-CN"/>
              </w:rPr>
            </w:pPr>
            <w:r>
              <w:rPr>
                <w:rFonts w:hint="eastAsia"/>
                <w:color w:val="000000"/>
                <w:kern w:val="0"/>
                <w:lang w:val="en-US" w:eastAsia="zh-CN"/>
              </w:rPr>
              <w:t>按现行国家标准《</w:t>
            </w:r>
            <w:r>
              <w:rPr>
                <w:rFonts w:hint="eastAsia"/>
                <w:color w:val="000000"/>
                <w:kern w:val="0"/>
              </w:rPr>
              <w:t>铁矿石 金属铁含量的测定 三氯化铁-乙酸钠滴定法</w:t>
            </w:r>
            <w:r>
              <w:rPr>
                <w:rFonts w:hint="eastAsia"/>
                <w:color w:val="000000"/>
                <w:kern w:val="0"/>
                <w:lang w:eastAsia="zh-CN"/>
              </w:rPr>
              <w:t>》</w:t>
            </w:r>
            <w:r>
              <w:rPr>
                <w:rFonts w:hint="eastAsia"/>
                <w:color w:val="000000"/>
                <w:kern w:val="0"/>
                <w:lang w:val="en-US" w:eastAsia="zh-CN"/>
              </w:rPr>
              <w:t>GB/T 6730.6所列有关规定进行测定。</w:t>
            </w:r>
          </w:p>
        </w:tc>
      </w:tr>
      <w:tr>
        <w:tblPrEx>
          <w:tblCellMar>
            <w:top w:w="0" w:type="dxa"/>
            <w:left w:w="108" w:type="dxa"/>
            <w:bottom w:w="0" w:type="dxa"/>
            <w:right w:w="108" w:type="dxa"/>
          </w:tblCellMar>
        </w:tblPrEx>
        <w:trPr>
          <w:trHeight w:val="23" w:hRule="atLeast"/>
          <w:jc w:val="center"/>
        </w:trPr>
        <w:tc>
          <w:tcPr>
            <w:tcW w:w="1496" w:type="pct"/>
            <w:gridSpan w:val="2"/>
            <w:tcBorders>
              <w:top w:val="single" w:color="000000" w:sz="4" w:space="0"/>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氯离子含量（%）</w:t>
            </w:r>
          </w:p>
        </w:tc>
        <w:tc>
          <w:tcPr>
            <w:tcW w:w="1780" w:type="pct"/>
            <w:gridSpan w:val="2"/>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rFonts w:hint="eastAsia" w:ascii="宋体" w:hAnsi="宋体" w:cs="宋体"/>
                <w:color w:val="000000"/>
                <w:kern w:val="0"/>
              </w:rPr>
            </w:pPr>
            <w:r>
              <w:rPr>
                <w:rFonts w:hint="eastAsia" w:ascii="宋体" w:hAnsi="宋体" w:cs="宋体"/>
                <w:color w:val="000000"/>
                <w:kern w:val="0"/>
              </w:rPr>
              <w:t>≤</w:t>
            </w:r>
            <w:r>
              <w:rPr>
                <w:color w:val="000000"/>
                <w:kern w:val="0"/>
              </w:rPr>
              <w:t>0.06</w:t>
            </w:r>
          </w:p>
        </w:tc>
        <w:tc>
          <w:tcPr>
            <w:tcW w:w="1722" w:type="pct"/>
            <w:vMerge w:val="restart"/>
            <w:tcBorders>
              <w:top w:val="single" w:color="000000" w:sz="4" w:space="0"/>
              <w:left w:val="nil"/>
              <w:right w:val="single" w:color="000000" w:sz="4" w:space="0"/>
            </w:tcBorders>
            <w:vAlign w:val="center"/>
          </w:tcPr>
          <w:p>
            <w:pPr>
              <w:widowControl/>
              <w:tabs>
                <w:tab w:val="center" w:pos="4201"/>
                <w:tab w:val="right" w:leader="dot" w:pos="9298"/>
              </w:tabs>
              <w:autoSpaceDE w:val="0"/>
              <w:autoSpaceDN w:val="0"/>
              <w:ind w:firstLine="420" w:firstLineChars="200"/>
              <w:jc w:val="left"/>
              <w:rPr>
                <w:color w:val="000000"/>
                <w:kern w:val="0"/>
              </w:rPr>
            </w:pPr>
            <w:r>
              <w:rPr>
                <w:color w:val="000000"/>
                <w:kern w:val="0"/>
              </w:rPr>
              <w:t>按现行国家标准《用于水泥和混凝土中的钢渣粉》GB/T 20491所列有关规定进行测定。</w:t>
            </w:r>
          </w:p>
        </w:tc>
      </w:tr>
      <w:tr>
        <w:tblPrEx>
          <w:tblCellMar>
            <w:top w:w="0" w:type="dxa"/>
            <w:left w:w="108" w:type="dxa"/>
            <w:bottom w:w="0" w:type="dxa"/>
            <w:right w:w="108" w:type="dxa"/>
          </w:tblCellMar>
        </w:tblPrEx>
        <w:trPr>
          <w:trHeight w:val="23" w:hRule="atLeast"/>
          <w:jc w:val="center"/>
        </w:trPr>
        <w:tc>
          <w:tcPr>
            <w:tcW w:w="1496" w:type="pct"/>
            <w:gridSpan w:val="2"/>
            <w:tcBorders>
              <w:top w:val="single" w:color="000000" w:sz="4" w:space="0"/>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三氧化硫含量（%）</w:t>
            </w:r>
          </w:p>
        </w:tc>
        <w:tc>
          <w:tcPr>
            <w:tcW w:w="1780" w:type="pct"/>
            <w:gridSpan w:val="2"/>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rFonts w:hint="eastAsia" w:ascii="宋体" w:hAnsi="宋体" w:cs="宋体"/>
                <w:color w:val="000000"/>
                <w:kern w:val="0"/>
              </w:rPr>
            </w:pPr>
            <w:r>
              <w:rPr>
                <w:rFonts w:hint="eastAsia" w:ascii="宋体" w:hAnsi="宋体" w:cs="宋体"/>
                <w:color w:val="000000"/>
                <w:kern w:val="0"/>
              </w:rPr>
              <w:t>≤</w:t>
            </w:r>
            <w:r>
              <w:rPr>
                <w:color w:val="000000"/>
                <w:kern w:val="0"/>
              </w:rPr>
              <w:t>4.0</w:t>
            </w:r>
          </w:p>
        </w:tc>
        <w:tc>
          <w:tcPr>
            <w:tcW w:w="1722" w:type="pct"/>
            <w:vMerge w:val="continue"/>
            <w:tcBorders>
              <w:left w:val="nil"/>
              <w:right w:val="single" w:color="000000" w:sz="4" w:space="0"/>
            </w:tcBorders>
            <w:vAlign w:val="center"/>
          </w:tcPr>
          <w:p>
            <w:pPr>
              <w:widowControl/>
              <w:tabs>
                <w:tab w:val="center" w:pos="4201"/>
                <w:tab w:val="right" w:leader="dot" w:pos="9298"/>
              </w:tabs>
              <w:autoSpaceDE w:val="0"/>
              <w:autoSpaceDN w:val="0"/>
              <w:ind w:firstLine="420" w:firstLineChars="200"/>
              <w:jc w:val="left"/>
              <w:rPr>
                <w:color w:val="000000"/>
                <w:kern w:val="0"/>
              </w:rPr>
            </w:pPr>
          </w:p>
        </w:tc>
      </w:tr>
      <w:tr>
        <w:tblPrEx>
          <w:tblCellMar>
            <w:top w:w="0" w:type="dxa"/>
            <w:left w:w="108" w:type="dxa"/>
            <w:bottom w:w="0" w:type="dxa"/>
            <w:right w:w="108" w:type="dxa"/>
          </w:tblCellMar>
        </w:tblPrEx>
        <w:trPr>
          <w:trHeight w:val="23" w:hRule="atLeast"/>
          <w:jc w:val="center"/>
        </w:trPr>
        <w:tc>
          <w:tcPr>
            <w:tcW w:w="1496" w:type="pct"/>
            <w:gridSpan w:val="2"/>
            <w:tcBorders>
              <w:top w:val="single" w:color="000000" w:sz="4" w:space="0"/>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游离氧化钙含量（%）</w:t>
            </w:r>
          </w:p>
        </w:tc>
        <w:tc>
          <w:tcPr>
            <w:tcW w:w="1780" w:type="pct"/>
            <w:gridSpan w:val="2"/>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rFonts w:hint="eastAsia" w:ascii="宋体" w:hAnsi="宋体" w:cs="宋体"/>
                <w:color w:val="000000"/>
                <w:kern w:val="0"/>
              </w:rPr>
            </w:pPr>
            <w:r>
              <w:rPr>
                <w:rFonts w:hint="eastAsia" w:ascii="宋体" w:hAnsi="宋体" w:cs="宋体"/>
                <w:color w:val="000000"/>
                <w:kern w:val="0"/>
              </w:rPr>
              <w:t>≤</w:t>
            </w:r>
            <w:r>
              <w:rPr>
                <w:rFonts w:hint="eastAsia"/>
                <w:color w:val="000000"/>
                <w:kern w:val="0"/>
                <w:lang w:val="en-US" w:eastAsia="zh-CN"/>
              </w:rPr>
              <w:t>3</w:t>
            </w:r>
            <w:r>
              <w:rPr>
                <w:color w:val="000000"/>
                <w:kern w:val="0"/>
              </w:rPr>
              <w:t>.0</w:t>
            </w:r>
          </w:p>
        </w:tc>
        <w:tc>
          <w:tcPr>
            <w:tcW w:w="1722" w:type="pct"/>
            <w:vMerge w:val="continue"/>
            <w:tcBorders>
              <w:left w:val="nil"/>
              <w:right w:val="single" w:color="000000" w:sz="4" w:space="0"/>
            </w:tcBorders>
            <w:vAlign w:val="center"/>
          </w:tcPr>
          <w:p>
            <w:pPr>
              <w:widowControl/>
              <w:tabs>
                <w:tab w:val="center" w:pos="4201"/>
                <w:tab w:val="right" w:leader="dot" w:pos="9298"/>
              </w:tabs>
              <w:autoSpaceDE w:val="0"/>
              <w:autoSpaceDN w:val="0"/>
              <w:ind w:firstLine="420" w:firstLineChars="200"/>
              <w:jc w:val="left"/>
              <w:rPr>
                <w:color w:val="000000"/>
                <w:kern w:val="0"/>
              </w:rPr>
            </w:pPr>
          </w:p>
        </w:tc>
      </w:tr>
      <w:tr>
        <w:tblPrEx>
          <w:tblCellMar>
            <w:top w:w="0" w:type="dxa"/>
            <w:left w:w="108" w:type="dxa"/>
            <w:bottom w:w="0" w:type="dxa"/>
            <w:right w:w="108" w:type="dxa"/>
          </w:tblCellMar>
        </w:tblPrEx>
        <w:trPr>
          <w:trHeight w:val="23" w:hRule="atLeast"/>
          <w:jc w:val="center"/>
        </w:trPr>
        <w:tc>
          <w:tcPr>
            <w:tcW w:w="1496" w:type="pct"/>
            <w:gridSpan w:val="2"/>
            <w:tcBorders>
              <w:top w:val="single" w:color="000000" w:sz="4" w:space="0"/>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安定性沸煮法</w:t>
            </w:r>
          </w:p>
        </w:tc>
        <w:tc>
          <w:tcPr>
            <w:tcW w:w="1780" w:type="pct"/>
            <w:gridSpan w:val="2"/>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合格</w:t>
            </w:r>
          </w:p>
        </w:tc>
        <w:tc>
          <w:tcPr>
            <w:tcW w:w="1722" w:type="pct"/>
            <w:vMerge w:val="continue"/>
            <w:tcBorders>
              <w:left w:val="nil"/>
              <w:right w:val="single" w:color="000000" w:sz="4" w:space="0"/>
            </w:tcBorders>
            <w:vAlign w:val="center"/>
          </w:tcPr>
          <w:p>
            <w:pPr>
              <w:widowControl/>
              <w:tabs>
                <w:tab w:val="center" w:pos="4201"/>
                <w:tab w:val="right" w:leader="dot" w:pos="9298"/>
              </w:tabs>
              <w:autoSpaceDE w:val="0"/>
              <w:autoSpaceDN w:val="0"/>
              <w:ind w:firstLine="420" w:firstLineChars="200"/>
              <w:jc w:val="left"/>
              <w:rPr>
                <w:color w:val="000000"/>
                <w:kern w:val="0"/>
              </w:rPr>
            </w:pPr>
          </w:p>
        </w:tc>
      </w:tr>
      <w:tr>
        <w:tblPrEx>
          <w:tblCellMar>
            <w:top w:w="0" w:type="dxa"/>
            <w:left w:w="108" w:type="dxa"/>
            <w:bottom w:w="0" w:type="dxa"/>
            <w:right w:w="108" w:type="dxa"/>
          </w:tblCellMar>
        </w:tblPrEx>
        <w:trPr>
          <w:trHeight w:val="23" w:hRule="atLeast"/>
          <w:jc w:val="center"/>
        </w:trPr>
        <w:tc>
          <w:tcPr>
            <w:tcW w:w="1496" w:type="pct"/>
            <w:gridSpan w:val="2"/>
            <w:tcBorders>
              <w:top w:val="single" w:color="000000" w:sz="4" w:space="0"/>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rFonts w:hint="eastAsia" w:eastAsia="宋体"/>
                <w:color w:val="000000"/>
                <w:kern w:val="0"/>
                <w:lang w:val="en-US" w:eastAsia="zh-CN"/>
              </w:rPr>
            </w:pPr>
            <w:r>
              <w:rPr>
                <w:color w:val="000000"/>
                <w:kern w:val="0"/>
              </w:rPr>
              <w:t>安定性压蒸法</w:t>
            </w:r>
            <w:r>
              <w:rPr>
                <w:rFonts w:hint="eastAsia"/>
                <w:color w:val="000000"/>
                <w:kern w:val="0"/>
                <w:vertAlign w:val="superscript"/>
                <w:lang w:val="en-US" w:eastAsia="zh-CN"/>
              </w:rPr>
              <w:t>a</w:t>
            </w:r>
          </w:p>
        </w:tc>
        <w:tc>
          <w:tcPr>
            <w:tcW w:w="1780" w:type="pct"/>
            <w:gridSpan w:val="2"/>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6h膨胀率</w:t>
            </w:r>
            <w:r>
              <w:rPr>
                <w:rFonts w:hint="eastAsia" w:ascii="宋体" w:hAnsi="宋体" w:cs="宋体"/>
                <w:color w:val="000000"/>
                <w:kern w:val="0"/>
              </w:rPr>
              <w:t>≤</w:t>
            </w:r>
            <w:r>
              <w:rPr>
                <w:color w:val="000000"/>
                <w:kern w:val="0"/>
              </w:rPr>
              <w:t>0.50%</w:t>
            </w:r>
          </w:p>
        </w:tc>
        <w:tc>
          <w:tcPr>
            <w:tcW w:w="1722" w:type="pct"/>
            <w:vMerge w:val="continue"/>
            <w:tcBorders>
              <w:left w:val="nil"/>
              <w:bottom w:val="single" w:color="auto" w:sz="4" w:space="0"/>
              <w:right w:val="single" w:color="000000" w:sz="4" w:space="0"/>
            </w:tcBorders>
            <w:vAlign w:val="center"/>
          </w:tcPr>
          <w:p>
            <w:pPr>
              <w:widowControl/>
              <w:tabs>
                <w:tab w:val="center" w:pos="4201"/>
                <w:tab w:val="right" w:leader="dot" w:pos="9298"/>
              </w:tabs>
              <w:autoSpaceDE w:val="0"/>
              <w:autoSpaceDN w:val="0"/>
              <w:ind w:firstLine="420" w:firstLineChars="200"/>
              <w:jc w:val="left"/>
              <w:rPr>
                <w:color w:val="000000"/>
                <w:kern w:val="0"/>
              </w:rPr>
            </w:pPr>
          </w:p>
        </w:tc>
      </w:tr>
      <w:tr>
        <w:tblPrEx>
          <w:tblCellMar>
            <w:top w:w="0" w:type="dxa"/>
            <w:left w:w="108" w:type="dxa"/>
            <w:bottom w:w="0" w:type="dxa"/>
            <w:right w:w="108" w:type="dxa"/>
          </w:tblCellMar>
        </w:tblPrEx>
        <w:trPr>
          <w:trHeight w:val="567"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ind w:firstLine="420" w:firstLineChars="200"/>
              <w:jc w:val="left"/>
              <w:rPr>
                <w:color w:val="000000"/>
                <w:kern w:val="0"/>
              </w:rPr>
            </w:pPr>
            <w:r>
              <w:rPr>
                <w:color w:val="000000"/>
                <w:kern w:val="0"/>
              </w:rPr>
              <w:t>a 如果钢渣粉中MgO含量不大于5%时，可不检验压蒸安定性</w:t>
            </w:r>
            <w:r>
              <w:rPr>
                <w:rFonts w:hint="eastAsia"/>
                <w:color w:val="000000"/>
                <w:kern w:val="0"/>
                <w:lang w:eastAsia="zh-CN"/>
              </w:rPr>
              <w:t>；</w:t>
            </w:r>
            <w:r>
              <w:rPr>
                <w:rFonts w:hint="eastAsia"/>
                <w:color w:val="000000"/>
                <w:kern w:val="0"/>
                <w:lang w:val="en-US" w:eastAsia="zh-CN"/>
              </w:rPr>
              <w:t>当</w:t>
            </w:r>
            <w:r>
              <w:rPr>
                <w:color w:val="000000"/>
                <w:kern w:val="0"/>
              </w:rPr>
              <w:t>钢渣粉中MgO含量大于</w:t>
            </w:r>
            <w:r>
              <w:rPr>
                <w:rFonts w:hint="eastAsia"/>
                <w:color w:val="000000"/>
                <w:kern w:val="0"/>
                <w:lang w:val="en-US" w:eastAsia="zh-CN"/>
              </w:rPr>
              <w:t>13</w:t>
            </w:r>
            <w:r>
              <w:rPr>
                <w:color w:val="000000"/>
                <w:kern w:val="0"/>
              </w:rPr>
              <w:t>%时，压蒸安定性</w:t>
            </w:r>
            <w:r>
              <w:rPr>
                <w:rFonts w:hint="eastAsia"/>
                <w:color w:val="000000"/>
                <w:kern w:val="0"/>
                <w:lang w:val="en-US" w:eastAsia="zh-CN"/>
              </w:rPr>
              <w:t>应检验合格</w:t>
            </w:r>
            <w:r>
              <w:rPr>
                <w:rFonts w:hint="eastAsia"/>
                <w:color w:val="000000"/>
                <w:kern w:val="0"/>
              </w:rPr>
              <w:t>。</w:t>
            </w:r>
          </w:p>
        </w:tc>
      </w:tr>
    </w:tbl>
    <w:p>
      <w:pPr>
        <w:spacing w:line="360" w:lineRule="auto"/>
        <w:rPr>
          <w:sz w:val="24"/>
          <w:szCs w:val="24"/>
        </w:rPr>
      </w:pPr>
      <w:r>
        <w:rPr>
          <w:rFonts w:hint="eastAsia"/>
          <w:sz w:val="24"/>
          <w:szCs w:val="24"/>
        </w:rPr>
        <w:t>3</w:t>
      </w:r>
      <w:r>
        <w:rPr>
          <w:sz w:val="24"/>
          <w:szCs w:val="24"/>
        </w:rPr>
        <w:t xml:space="preserve">.1.3 </w:t>
      </w:r>
      <w:r>
        <w:rPr>
          <w:rFonts w:hint="eastAsia"/>
          <w:sz w:val="24"/>
          <w:szCs w:val="24"/>
        </w:rPr>
        <w:t xml:space="preserve"> </w:t>
      </w:r>
      <w:r>
        <w:rPr>
          <w:sz w:val="24"/>
          <w:szCs w:val="24"/>
        </w:rPr>
        <w:t>钢渣粉中的碱含量可由供需双方协商确定，当钢渣粉用于具有碱活性骨料的混凝土中时，宜限制碱含量。钢渣粉中的碱含量应按Na</w:t>
      </w:r>
      <w:r>
        <w:rPr>
          <w:sz w:val="24"/>
          <w:szCs w:val="24"/>
          <w:vertAlign w:val="subscript"/>
        </w:rPr>
        <w:t>2</w:t>
      </w:r>
      <w:r>
        <w:rPr>
          <w:sz w:val="24"/>
          <w:szCs w:val="24"/>
        </w:rPr>
        <w:t>O和</w:t>
      </w:r>
      <w:r>
        <w:rPr>
          <w:rFonts w:hint="eastAsia"/>
          <w:sz w:val="24"/>
          <w:szCs w:val="24"/>
        </w:rPr>
        <w:t>K</w:t>
      </w:r>
      <w:r>
        <w:rPr>
          <w:rFonts w:hint="eastAsia"/>
          <w:sz w:val="24"/>
          <w:szCs w:val="24"/>
          <w:vertAlign w:val="subscript"/>
        </w:rPr>
        <w:t>2</w:t>
      </w:r>
      <w:r>
        <w:rPr>
          <w:sz w:val="24"/>
          <w:szCs w:val="24"/>
        </w:rPr>
        <w:t>O当量计，并以Na</w:t>
      </w:r>
      <w:r>
        <w:rPr>
          <w:sz w:val="24"/>
          <w:szCs w:val="24"/>
          <w:vertAlign w:val="subscript"/>
        </w:rPr>
        <w:t>2</w:t>
      </w:r>
      <w:r>
        <w:rPr>
          <w:sz w:val="24"/>
          <w:szCs w:val="24"/>
        </w:rPr>
        <w:t>O</w:t>
      </w:r>
      <w:r>
        <w:rPr>
          <w:rFonts w:hint="eastAsia"/>
          <w:sz w:val="24"/>
          <w:szCs w:val="24"/>
        </w:rPr>
        <w:t xml:space="preserve"> </w:t>
      </w:r>
      <w:r>
        <w:rPr>
          <w:sz w:val="24"/>
          <w:szCs w:val="24"/>
        </w:rPr>
        <w:t>+</w:t>
      </w:r>
      <w:r>
        <w:rPr>
          <w:rFonts w:hint="eastAsia"/>
          <w:sz w:val="24"/>
          <w:szCs w:val="24"/>
        </w:rPr>
        <w:t xml:space="preserve"> </w:t>
      </w:r>
      <w:r>
        <w:rPr>
          <w:sz w:val="24"/>
          <w:szCs w:val="24"/>
        </w:rPr>
        <w:t>0.658</w:t>
      </w:r>
      <w:r>
        <w:rPr>
          <w:rFonts w:hint="eastAsia"/>
          <w:sz w:val="24"/>
          <w:szCs w:val="24"/>
        </w:rPr>
        <w:t xml:space="preserve"> </w:t>
      </w:r>
      <w:r>
        <w:rPr>
          <w:sz w:val="24"/>
          <w:szCs w:val="24"/>
        </w:rPr>
        <w:t>K</w:t>
      </w:r>
      <w:r>
        <w:rPr>
          <w:sz w:val="24"/>
          <w:szCs w:val="24"/>
          <w:vertAlign w:val="subscript"/>
        </w:rPr>
        <w:t>2</w:t>
      </w:r>
      <w:r>
        <w:rPr>
          <w:sz w:val="24"/>
          <w:szCs w:val="24"/>
        </w:rPr>
        <w:t>O计算值表示。钢渣粉中碱含量的检验方法应按现行国家标准《水泥化学分析方法》GB/T 176的有关规定进行测试。</w:t>
      </w:r>
    </w:p>
    <w:p>
      <w:pPr>
        <w:rPr>
          <w:rFonts w:hint="eastAsia"/>
          <w:b/>
          <w:bCs/>
          <w:sz w:val="28"/>
          <w:szCs w:val="28"/>
        </w:rPr>
      </w:pPr>
      <w:bookmarkStart w:id="38" w:name="_Toc26371"/>
      <w:bookmarkStart w:id="39" w:name="_Toc9694"/>
      <w:r>
        <w:rPr>
          <w:rFonts w:hint="eastAsia"/>
          <w:b/>
          <w:bCs/>
          <w:sz w:val="28"/>
          <w:szCs w:val="28"/>
        </w:rPr>
        <w:br w:type="page"/>
      </w:r>
    </w:p>
    <w:p>
      <w:pPr>
        <w:spacing w:before="156" w:beforeLines="50" w:after="156" w:afterLines="50" w:line="360" w:lineRule="auto"/>
        <w:jc w:val="center"/>
        <w:outlineLvl w:val="1"/>
        <w:rPr>
          <w:b/>
          <w:bCs/>
          <w:sz w:val="28"/>
          <w:szCs w:val="28"/>
        </w:rPr>
      </w:pPr>
      <w:r>
        <w:rPr>
          <w:rFonts w:hint="eastAsia"/>
          <w:b/>
          <w:bCs/>
          <w:sz w:val="28"/>
          <w:szCs w:val="28"/>
        </w:rPr>
        <w:t>3.2 混凝土其他原材料</w:t>
      </w:r>
      <w:bookmarkEnd w:id="38"/>
      <w:bookmarkEnd w:id="39"/>
    </w:p>
    <w:p>
      <w:pPr>
        <w:spacing w:line="360" w:lineRule="auto"/>
        <w:rPr>
          <w:sz w:val="24"/>
          <w:szCs w:val="24"/>
        </w:rPr>
      </w:pPr>
      <w:r>
        <w:rPr>
          <w:rFonts w:hint="eastAsia"/>
          <w:sz w:val="24"/>
          <w:szCs w:val="24"/>
        </w:rPr>
        <w:t>3</w:t>
      </w:r>
      <w:r>
        <w:rPr>
          <w:sz w:val="24"/>
          <w:szCs w:val="24"/>
        </w:rPr>
        <w:t xml:space="preserve">.2.1 </w:t>
      </w:r>
      <w:r>
        <w:rPr>
          <w:rFonts w:hint="eastAsia"/>
          <w:sz w:val="24"/>
          <w:szCs w:val="24"/>
        </w:rPr>
        <w:t xml:space="preserve"> </w:t>
      </w:r>
      <w:r>
        <w:rPr>
          <w:sz w:val="24"/>
          <w:szCs w:val="24"/>
        </w:rPr>
        <w:t>水泥</w:t>
      </w:r>
      <w:r>
        <w:rPr>
          <w:rFonts w:hint="eastAsia"/>
          <w:sz w:val="24"/>
          <w:szCs w:val="24"/>
        </w:rPr>
        <w:t>宜</w:t>
      </w:r>
      <w:r>
        <w:rPr>
          <w:sz w:val="24"/>
          <w:szCs w:val="24"/>
        </w:rPr>
        <w:t>采用硅酸盐水泥或普通硅酸盐水泥，其性能应符合现行国家标准《通用硅酸盐水泥》GB 175的有关规定。</w:t>
      </w:r>
    </w:p>
    <w:p>
      <w:pPr>
        <w:spacing w:line="360" w:lineRule="auto"/>
        <w:rPr>
          <w:sz w:val="24"/>
          <w:szCs w:val="24"/>
        </w:rPr>
      </w:pPr>
      <w:r>
        <w:rPr>
          <w:rFonts w:hint="eastAsia"/>
          <w:sz w:val="24"/>
          <w:szCs w:val="24"/>
        </w:rPr>
        <w:t>3</w:t>
      </w:r>
      <w:r>
        <w:rPr>
          <w:sz w:val="24"/>
          <w:szCs w:val="24"/>
        </w:rPr>
        <w:t xml:space="preserve">.2.2 </w:t>
      </w:r>
      <w:r>
        <w:rPr>
          <w:rFonts w:hint="eastAsia"/>
          <w:sz w:val="24"/>
          <w:szCs w:val="24"/>
        </w:rPr>
        <w:t xml:space="preserve"> </w:t>
      </w:r>
      <w:r>
        <w:rPr>
          <w:sz w:val="24"/>
          <w:szCs w:val="24"/>
        </w:rPr>
        <w:t>钢渣粉与其他矿物掺合料复合使用时，其他矿物掺合料应符合现行国家标准</w:t>
      </w:r>
      <w:bookmarkStart w:id="40" w:name="OLE_LINK3"/>
      <w:r>
        <w:rPr>
          <w:sz w:val="24"/>
          <w:szCs w:val="24"/>
        </w:rPr>
        <w:t>《矿物掺合料应用技术规范》GB/T 51003</w:t>
      </w:r>
      <w:bookmarkEnd w:id="40"/>
      <w:r>
        <w:rPr>
          <w:sz w:val="24"/>
          <w:szCs w:val="24"/>
        </w:rPr>
        <w:t>的有关规定。</w:t>
      </w:r>
    </w:p>
    <w:p>
      <w:pPr>
        <w:spacing w:line="360" w:lineRule="auto"/>
        <w:rPr>
          <w:sz w:val="24"/>
          <w:szCs w:val="24"/>
        </w:rPr>
      </w:pPr>
      <w:r>
        <w:rPr>
          <w:rFonts w:hint="eastAsia"/>
          <w:sz w:val="24"/>
          <w:szCs w:val="24"/>
        </w:rPr>
        <w:t>3</w:t>
      </w:r>
      <w:r>
        <w:rPr>
          <w:sz w:val="24"/>
          <w:szCs w:val="24"/>
        </w:rPr>
        <w:t xml:space="preserve">.2.3 </w:t>
      </w:r>
      <w:r>
        <w:rPr>
          <w:rFonts w:hint="eastAsia"/>
          <w:sz w:val="24"/>
          <w:szCs w:val="24"/>
        </w:rPr>
        <w:t xml:space="preserve"> </w:t>
      </w:r>
      <w:r>
        <w:rPr>
          <w:sz w:val="24"/>
          <w:szCs w:val="24"/>
        </w:rPr>
        <w:t>骨料应符合现行国家标准《建设用碎石、卵石》GB/T 14685</w:t>
      </w:r>
      <w:r>
        <w:rPr>
          <w:rFonts w:hint="eastAsia"/>
          <w:sz w:val="24"/>
          <w:szCs w:val="24"/>
        </w:rPr>
        <w:t>、</w:t>
      </w:r>
      <w:r>
        <w:rPr>
          <w:sz w:val="24"/>
          <w:szCs w:val="24"/>
        </w:rPr>
        <w:t>《建设用砂》GB/T 14684</w:t>
      </w:r>
      <w:r>
        <w:rPr>
          <w:rFonts w:hint="eastAsia"/>
          <w:sz w:val="24"/>
          <w:szCs w:val="24"/>
        </w:rPr>
        <w:t>和JGJ 52</w:t>
      </w:r>
      <w:r>
        <w:rPr>
          <w:sz w:val="24"/>
          <w:szCs w:val="24"/>
        </w:rPr>
        <w:t>的有关规定。</w:t>
      </w:r>
    </w:p>
    <w:p>
      <w:pPr>
        <w:spacing w:line="360" w:lineRule="auto"/>
        <w:rPr>
          <w:sz w:val="24"/>
          <w:szCs w:val="24"/>
        </w:rPr>
      </w:pPr>
      <w:r>
        <w:rPr>
          <w:rFonts w:hint="eastAsia"/>
          <w:sz w:val="24"/>
          <w:szCs w:val="24"/>
        </w:rPr>
        <w:t>3</w:t>
      </w:r>
      <w:r>
        <w:rPr>
          <w:sz w:val="24"/>
          <w:szCs w:val="24"/>
        </w:rPr>
        <w:t>.2.</w:t>
      </w:r>
      <w:r>
        <w:rPr>
          <w:rFonts w:hint="eastAsia"/>
          <w:sz w:val="24"/>
          <w:szCs w:val="24"/>
        </w:rPr>
        <w:t>4</w:t>
      </w:r>
      <w:r>
        <w:rPr>
          <w:sz w:val="24"/>
          <w:szCs w:val="24"/>
        </w:rPr>
        <w:t xml:space="preserve"> </w:t>
      </w:r>
      <w:r>
        <w:rPr>
          <w:rFonts w:hint="eastAsia"/>
          <w:sz w:val="24"/>
          <w:szCs w:val="24"/>
        </w:rPr>
        <w:t xml:space="preserve"> </w:t>
      </w:r>
      <w:r>
        <w:rPr>
          <w:sz w:val="24"/>
          <w:szCs w:val="24"/>
        </w:rPr>
        <w:t>混凝土外加剂应符合现行国家标准《混凝土外加剂》GB 8076和《混凝土外加剂应用技术规范》GB 50119的有关规定。混凝土膨胀剂应符合现行国家标准《混凝土膨胀剂》GB 23439的有关规定。混凝土防水剂应符合现行</w:t>
      </w:r>
      <w:r>
        <w:rPr>
          <w:rFonts w:hint="eastAsia"/>
          <w:sz w:val="24"/>
          <w:szCs w:val="24"/>
        </w:rPr>
        <w:t>的</w:t>
      </w:r>
      <w:r>
        <w:rPr>
          <w:sz w:val="24"/>
          <w:szCs w:val="24"/>
        </w:rPr>
        <w:t>行业标准《砂浆、混凝土防水剂》JC 474有关规定。混凝土防冻剂应符合现行</w:t>
      </w:r>
      <w:r>
        <w:rPr>
          <w:rFonts w:hint="eastAsia"/>
          <w:sz w:val="24"/>
          <w:szCs w:val="24"/>
        </w:rPr>
        <w:t>的</w:t>
      </w:r>
      <w:r>
        <w:rPr>
          <w:sz w:val="24"/>
          <w:szCs w:val="24"/>
        </w:rPr>
        <w:t>行业标准《混凝土防冻剂》JC 475规定。外加剂与</w:t>
      </w:r>
      <w:r>
        <w:rPr>
          <w:rFonts w:hint="eastAsia"/>
          <w:sz w:val="24"/>
          <w:szCs w:val="24"/>
        </w:rPr>
        <w:t>钢渣粉</w:t>
      </w:r>
      <w:r>
        <w:rPr>
          <w:sz w:val="24"/>
          <w:szCs w:val="24"/>
        </w:rPr>
        <w:t>、水泥和其他矿物掺合料的适应性应经试验验证。</w:t>
      </w:r>
    </w:p>
    <w:p>
      <w:pPr>
        <w:spacing w:line="360" w:lineRule="auto"/>
        <w:rPr>
          <w:sz w:val="24"/>
          <w:szCs w:val="24"/>
        </w:rPr>
      </w:pPr>
      <w:r>
        <w:rPr>
          <w:rFonts w:hint="eastAsia"/>
          <w:sz w:val="24"/>
          <w:szCs w:val="24"/>
        </w:rPr>
        <w:t>3</w:t>
      </w:r>
      <w:r>
        <w:rPr>
          <w:sz w:val="24"/>
          <w:szCs w:val="24"/>
        </w:rPr>
        <w:t>.2.</w:t>
      </w:r>
      <w:r>
        <w:rPr>
          <w:rFonts w:hint="eastAsia"/>
          <w:sz w:val="24"/>
          <w:szCs w:val="24"/>
        </w:rPr>
        <w:t>5</w:t>
      </w:r>
      <w:r>
        <w:rPr>
          <w:sz w:val="24"/>
          <w:szCs w:val="24"/>
        </w:rPr>
        <w:t xml:space="preserve"> </w:t>
      </w:r>
      <w:r>
        <w:rPr>
          <w:rFonts w:hint="eastAsia"/>
          <w:sz w:val="24"/>
          <w:szCs w:val="24"/>
        </w:rPr>
        <w:t xml:space="preserve"> </w:t>
      </w:r>
      <w:r>
        <w:rPr>
          <w:sz w:val="24"/>
          <w:szCs w:val="24"/>
        </w:rPr>
        <w:t>混凝土用水应符合现行</w:t>
      </w:r>
      <w:r>
        <w:rPr>
          <w:rFonts w:hint="eastAsia"/>
          <w:sz w:val="24"/>
          <w:szCs w:val="24"/>
        </w:rPr>
        <w:t>的</w:t>
      </w:r>
      <w:r>
        <w:rPr>
          <w:sz w:val="24"/>
          <w:szCs w:val="24"/>
        </w:rPr>
        <w:t>行业标准《混凝土用水标准》JGJ 63的有关规定。</w:t>
      </w:r>
    </w:p>
    <w:p>
      <w:pPr>
        <w:spacing w:line="360" w:lineRule="auto"/>
        <w:rPr>
          <w:szCs w:val="22"/>
        </w:rPr>
      </w:pPr>
    </w:p>
    <w:p>
      <w:pPr>
        <w:spacing w:line="360" w:lineRule="auto"/>
        <w:rPr>
          <w:szCs w:val="22"/>
        </w:rPr>
      </w:pPr>
    </w:p>
    <w:p>
      <w:pPr>
        <w:rPr>
          <w:szCs w:val="22"/>
        </w:rPr>
      </w:pPr>
      <w:r>
        <w:rPr>
          <w:szCs w:val="22"/>
        </w:rPr>
        <w:br w:type="page"/>
      </w:r>
    </w:p>
    <w:p>
      <w:pPr>
        <w:spacing w:before="312" w:beforeLines="100" w:after="312" w:afterLines="100" w:line="360" w:lineRule="auto"/>
        <w:jc w:val="center"/>
        <w:outlineLvl w:val="0"/>
        <w:rPr>
          <w:b/>
          <w:bCs/>
          <w:sz w:val="30"/>
          <w:szCs w:val="30"/>
        </w:rPr>
      </w:pPr>
      <w:bookmarkStart w:id="41" w:name="_Toc2898"/>
      <w:bookmarkStart w:id="42" w:name="_Toc6374"/>
      <w:bookmarkStart w:id="43" w:name="_Toc688"/>
      <w:r>
        <w:rPr>
          <w:rFonts w:hint="eastAsia"/>
          <w:b/>
          <w:bCs/>
          <w:sz w:val="30"/>
          <w:szCs w:val="30"/>
        </w:rPr>
        <w:t>4</w:t>
      </w:r>
      <w:r>
        <w:rPr>
          <w:b/>
          <w:bCs/>
          <w:sz w:val="30"/>
          <w:szCs w:val="30"/>
        </w:rPr>
        <w:t xml:space="preserve">  </w:t>
      </w:r>
      <w:r>
        <w:rPr>
          <w:rFonts w:hint="eastAsia"/>
          <w:b/>
          <w:bCs/>
          <w:sz w:val="30"/>
          <w:szCs w:val="30"/>
        </w:rPr>
        <w:t>混凝土性能</w:t>
      </w:r>
      <w:bookmarkEnd w:id="41"/>
      <w:bookmarkEnd w:id="42"/>
    </w:p>
    <w:p>
      <w:pPr>
        <w:spacing w:before="156" w:beforeLines="50" w:after="156" w:afterLines="50" w:line="360" w:lineRule="auto"/>
        <w:jc w:val="center"/>
        <w:outlineLvl w:val="1"/>
        <w:rPr>
          <w:b/>
          <w:bCs/>
          <w:sz w:val="28"/>
          <w:szCs w:val="28"/>
        </w:rPr>
      </w:pPr>
      <w:bookmarkStart w:id="44" w:name="_Toc4458"/>
      <w:bookmarkStart w:id="45" w:name="_Toc10790"/>
      <w:r>
        <w:rPr>
          <w:rFonts w:hint="eastAsia"/>
          <w:b/>
          <w:bCs/>
          <w:sz w:val="28"/>
          <w:szCs w:val="28"/>
        </w:rPr>
        <w:t>4.</w:t>
      </w:r>
      <w:r>
        <w:rPr>
          <w:b/>
          <w:bCs/>
          <w:sz w:val="28"/>
          <w:szCs w:val="28"/>
        </w:rPr>
        <w:t xml:space="preserve">1  </w:t>
      </w:r>
      <w:r>
        <w:rPr>
          <w:rFonts w:hint="eastAsia"/>
          <w:b/>
          <w:bCs/>
          <w:sz w:val="28"/>
          <w:szCs w:val="28"/>
        </w:rPr>
        <w:t>拌合物性能</w:t>
      </w:r>
      <w:bookmarkEnd w:id="44"/>
      <w:bookmarkEnd w:id="45"/>
    </w:p>
    <w:p>
      <w:pPr>
        <w:spacing w:line="360" w:lineRule="auto"/>
        <w:rPr>
          <w:sz w:val="24"/>
          <w:szCs w:val="24"/>
        </w:rPr>
      </w:pPr>
      <w:r>
        <w:rPr>
          <w:rFonts w:hint="eastAsia"/>
          <w:sz w:val="24"/>
          <w:szCs w:val="24"/>
        </w:rPr>
        <w:t>4</w:t>
      </w:r>
      <w:r>
        <w:rPr>
          <w:sz w:val="24"/>
          <w:szCs w:val="24"/>
        </w:rPr>
        <w:t xml:space="preserve">.1.1 </w:t>
      </w:r>
      <w:r>
        <w:rPr>
          <w:rFonts w:hint="eastAsia"/>
          <w:sz w:val="24"/>
          <w:szCs w:val="24"/>
        </w:rPr>
        <w:t xml:space="preserve"> </w:t>
      </w:r>
      <w:r>
        <w:rPr>
          <w:sz w:val="24"/>
          <w:szCs w:val="24"/>
        </w:rPr>
        <w:t>掺钢渣粉的混凝土拌合物应具有良好的工作性，凝结时间应满足施工要求。</w:t>
      </w:r>
    </w:p>
    <w:p>
      <w:pPr>
        <w:spacing w:line="360" w:lineRule="auto"/>
        <w:rPr>
          <w:sz w:val="24"/>
          <w:szCs w:val="24"/>
        </w:rPr>
      </w:pPr>
      <w:r>
        <w:rPr>
          <w:rFonts w:hint="eastAsia"/>
          <w:sz w:val="24"/>
          <w:szCs w:val="24"/>
        </w:rPr>
        <w:t>4</w:t>
      </w:r>
      <w:r>
        <w:rPr>
          <w:sz w:val="24"/>
          <w:szCs w:val="24"/>
        </w:rPr>
        <w:t>.1.2  掺钢渣粉的混凝土拌合物的坍落度和扩展度等级划分及允许偏差应分别符合表</w:t>
      </w:r>
      <w:r>
        <w:rPr>
          <w:rFonts w:hint="eastAsia"/>
          <w:sz w:val="24"/>
          <w:szCs w:val="24"/>
        </w:rPr>
        <w:t>4</w:t>
      </w:r>
      <w:r>
        <w:rPr>
          <w:sz w:val="24"/>
          <w:szCs w:val="24"/>
        </w:rPr>
        <w:t>.1.2-1、表</w:t>
      </w:r>
      <w:r>
        <w:rPr>
          <w:rFonts w:hint="eastAsia"/>
          <w:sz w:val="24"/>
          <w:szCs w:val="24"/>
        </w:rPr>
        <w:t>4</w:t>
      </w:r>
      <w:r>
        <w:rPr>
          <w:sz w:val="24"/>
          <w:szCs w:val="24"/>
        </w:rPr>
        <w:t>.1.2-2和表</w:t>
      </w:r>
      <w:r>
        <w:rPr>
          <w:rFonts w:hint="eastAsia"/>
          <w:sz w:val="24"/>
          <w:szCs w:val="24"/>
        </w:rPr>
        <w:t>4</w:t>
      </w:r>
      <w:r>
        <w:rPr>
          <w:sz w:val="24"/>
          <w:szCs w:val="24"/>
        </w:rPr>
        <w:t>.1.2-3</w:t>
      </w:r>
      <w:r>
        <w:rPr>
          <w:rFonts w:hint="eastAsia"/>
          <w:sz w:val="24"/>
          <w:szCs w:val="24"/>
        </w:rPr>
        <w:t>的规定，扩展度适用于大流态混凝土和自密实混凝土。</w:t>
      </w:r>
      <w:r>
        <w:rPr>
          <w:sz w:val="24"/>
          <w:szCs w:val="24"/>
        </w:rPr>
        <w:t>。</w:t>
      </w:r>
    </w:p>
    <w:p>
      <w:pPr>
        <w:widowControl/>
        <w:tabs>
          <w:tab w:val="center" w:pos="4201"/>
          <w:tab w:val="right" w:leader="dot" w:pos="9298"/>
        </w:tabs>
        <w:autoSpaceDE w:val="0"/>
        <w:autoSpaceDN w:val="0"/>
        <w:spacing w:before="120" w:after="120"/>
        <w:jc w:val="center"/>
        <w:rPr>
          <w:rFonts w:eastAsia="黑体"/>
          <w:color w:val="000000"/>
          <w:kern w:val="0"/>
        </w:rPr>
      </w:pPr>
      <w:r>
        <w:rPr>
          <w:rFonts w:eastAsia="黑体"/>
          <w:color w:val="000000"/>
          <w:kern w:val="0"/>
        </w:rPr>
        <w:t>表</w:t>
      </w:r>
      <w:r>
        <w:rPr>
          <w:rFonts w:hint="eastAsia" w:eastAsia="黑体"/>
          <w:color w:val="000000"/>
          <w:kern w:val="0"/>
        </w:rPr>
        <w:t>4</w:t>
      </w:r>
      <w:r>
        <w:rPr>
          <w:rFonts w:eastAsia="黑体"/>
          <w:color w:val="000000"/>
          <w:kern w:val="0"/>
        </w:rPr>
        <w:t>.1.2-1  坍落度等级划分</w:t>
      </w:r>
    </w:p>
    <w:tbl>
      <w:tblPr>
        <w:tblStyle w:val="19"/>
        <w:tblW w:w="5000" w:type="pct"/>
        <w:jc w:val="center"/>
        <w:tblLayout w:type="autofit"/>
        <w:tblCellMar>
          <w:top w:w="0" w:type="dxa"/>
          <w:left w:w="108" w:type="dxa"/>
          <w:bottom w:w="0" w:type="dxa"/>
          <w:right w:w="108" w:type="dxa"/>
        </w:tblCellMar>
      </w:tblPr>
      <w:tblGrid>
        <w:gridCol w:w="1215"/>
        <w:gridCol w:w="3046"/>
        <w:gridCol w:w="1215"/>
        <w:gridCol w:w="3046"/>
      </w:tblGrid>
      <w:tr>
        <w:tblPrEx>
          <w:tblCellMar>
            <w:top w:w="0" w:type="dxa"/>
            <w:left w:w="108" w:type="dxa"/>
            <w:bottom w:w="0" w:type="dxa"/>
            <w:right w:w="108" w:type="dxa"/>
          </w:tblCellMar>
        </w:tblPrEx>
        <w:trPr>
          <w:cantSplit/>
          <w:trHeight w:val="454" w:hRule="atLeast"/>
          <w:jc w:val="center"/>
        </w:trPr>
        <w:tc>
          <w:tcPr>
            <w:tcW w:w="713" w:type="pct"/>
            <w:tcBorders>
              <w:top w:val="single" w:color="000000" w:sz="4" w:space="0"/>
              <w:left w:val="single" w:color="000000" w:sz="4" w:space="0"/>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等级</w:t>
            </w:r>
          </w:p>
        </w:tc>
        <w:tc>
          <w:tcPr>
            <w:tcW w:w="1787"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坍落度（mm）</w:t>
            </w:r>
          </w:p>
        </w:tc>
        <w:tc>
          <w:tcPr>
            <w:tcW w:w="713"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等级</w:t>
            </w:r>
          </w:p>
        </w:tc>
        <w:tc>
          <w:tcPr>
            <w:tcW w:w="1787"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坍落度（mm）</w:t>
            </w:r>
          </w:p>
        </w:tc>
      </w:tr>
      <w:tr>
        <w:tblPrEx>
          <w:tblCellMar>
            <w:top w:w="0" w:type="dxa"/>
            <w:left w:w="108" w:type="dxa"/>
            <w:bottom w:w="0" w:type="dxa"/>
            <w:right w:w="108" w:type="dxa"/>
          </w:tblCellMar>
        </w:tblPrEx>
        <w:trPr>
          <w:cantSplit/>
          <w:trHeight w:val="454" w:hRule="atLeast"/>
          <w:jc w:val="center"/>
        </w:trPr>
        <w:tc>
          <w:tcPr>
            <w:tcW w:w="713" w:type="pct"/>
            <w:tcBorders>
              <w:top w:val="single" w:color="000000" w:sz="4" w:space="0"/>
              <w:left w:val="single" w:color="000000" w:sz="4" w:space="0"/>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S1</w:t>
            </w:r>
          </w:p>
        </w:tc>
        <w:tc>
          <w:tcPr>
            <w:tcW w:w="1787"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10～40</w:t>
            </w:r>
          </w:p>
        </w:tc>
        <w:tc>
          <w:tcPr>
            <w:tcW w:w="713"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S4</w:t>
            </w:r>
          </w:p>
        </w:tc>
        <w:tc>
          <w:tcPr>
            <w:tcW w:w="1787"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160～210</w:t>
            </w:r>
          </w:p>
        </w:tc>
      </w:tr>
      <w:tr>
        <w:tblPrEx>
          <w:tblCellMar>
            <w:top w:w="0" w:type="dxa"/>
            <w:left w:w="108" w:type="dxa"/>
            <w:bottom w:w="0" w:type="dxa"/>
            <w:right w:w="108" w:type="dxa"/>
          </w:tblCellMar>
        </w:tblPrEx>
        <w:trPr>
          <w:cantSplit/>
          <w:trHeight w:val="454" w:hRule="atLeast"/>
          <w:jc w:val="center"/>
        </w:trPr>
        <w:tc>
          <w:tcPr>
            <w:tcW w:w="713" w:type="pct"/>
            <w:tcBorders>
              <w:top w:val="single" w:color="000000" w:sz="4" w:space="0"/>
              <w:left w:val="single" w:color="000000" w:sz="4" w:space="0"/>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S2</w:t>
            </w:r>
          </w:p>
        </w:tc>
        <w:tc>
          <w:tcPr>
            <w:tcW w:w="1787"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50～90</w:t>
            </w:r>
          </w:p>
        </w:tc>
        <w:tc>
          <w:tcPr>
            <w:tcW w:w="713"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S5</w:t>
            </w:r>
          </w:p>
        </w:tc>
        <w:tc>
          <w:tcPr>
            <w:tcW w:w="1787"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rFonts w:hint="eastAsia" w:ascii="宋体" w:hAnsi="宋体" w:cs="宋体"/>
                <w:color w:val="000000"/>
                <w:kern w:val="0"/>
              </w:rPr>
              <w:t>≥</w:t>
            </w:r>
            <w:r>
              <w:rPr>
                <w:color w:val="000000"/>
                <w:kern w:val="0"/>
              </w:rPr>
              <w:t>220</w:t>
            </w:r>
          </w:p>
        </w:tc>
      </w:tr>
      <w:tr>
        <w:tblPrEx>
          <w:tblCellMar>
            <w:top w:w="0" w:type="dxa"/>
            <w:left w:w="108" w:type="dxa"/>
            <w:bottom w:w="0" w:type="dxa"/>
            <w:right w:w="108" w:type="dxa"/>
          </w:tblCellMar>
        </w:tblPrEx>
        <w:trPr>
          <w:cantSplit/>
          <w:trHeight w:val="454" w:hRule="atLeast"/>
          <w:jc w:val="center"/>
        </w:trPr>
        <w:tc>
          <w:tcPr>
            <w:tcW w:w="713" w:type="pct"/>
            <w:tcBorders>
              <w:top w:val="single" w:color="000000" w:sz="4" w:space="0"/>
              <w:left w:val="single" w:color="000000" w:sz="4" w:space="0"/>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S3</w:t>
            </w:r>
          </w:p>
        </w:tc>
        <w:tc>
          <w:tcPr>
            <w:tcW w:w="1787"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100～150</w:t>
            </w:r>
          </w:p>
        </w:tc>
        <w:tc>
          <w:tcPr>
            <w:tcW w:w="713"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p>
        </w:tc>
        <w:tc>
          <w:tcPr>
            <w:tcW w:w="1787"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p>
        </w:tc>
      </w:tr>
    </w:tbl>
    <w:p>
      <w:pPr>
        <w:widowControl/>
        <w:tabs>
          <w:tab w:val="center" w:pos="4201"/>
          <w:tab w:val="right" w:leader="dot" w:pos="9298"/>
        </w:tabs>
        <w:autoSpaceDE w:val="0"/>
        <w:autoSpaceDN w:val="0"/>
        <w:spacing w:before="120" w:after="120"/>
        <w:jc w:val="center"/>
        <w:rPr>
          <w:rFonts w:eastAsia="黑体"/>
          <w:color w:val="000000"/>
          <w:kern w:val="0"/>
        </w:rPr>
      </w:pPr>
      <w:r>
        <w:rPr>
          <w:rFonts w:eastAsia="黑体"/>
          <w:color w:val="000000"/>
          <w:kern w:val="0"/>
        </w:rPr>
        <w:t>表</w:t>
      </w:r>
      <w:r>
        <w:rPr>
          <w:rFonts w:hint="eastAsia" w:eastAsia="黑体"/>
          <w:color w:val="000000"/>
          <w:kern w:val="0"/>
        </w:rPr>
        <w:t>4</w:t>
      </w:r>
      <w:r>
        <w:rPr>
          <w:rFonts w:eastAsia="黑体"/>
          <w:color w:val="000000"/>
          <w:kern w:val="0"/>
        </w:rPr>
        <w:t>.1.2-2  扩展度等级划分</w:t>
      </w:r>
    </w:p>
    <w:tbl>
      <w:tblPr>
        <w:tblStyle w:val="19"/>
        <w:tblW w:w="5000" w:type="pct"/>
        <w:jc w:val="center"/>
        <w:tblLayout w:type="autofit"/>
        <w:tblCellMar>
          <w:top w:w="0" w:type="dxa"/>
          <w:left w:w="108" w:type="dxa"/>
          <w:bottom w:w="0" w:type="dxa"/>
          <w:right w:w="108" w:type="dxa"/>
        </w:tblCellMar>
      </w:tblPr>
      <w:tblGrid>
        <w:gridCol w:w="1549"/>
        <w:gridCol w:w="2712"/>
        <w:gridCol w:w="1551"/>
        <w:gridCol w:w="2710"/>
      </w:tblGrid>
      <w:tr>
        <w:trPr>
          <w:cantSplit/>
          <w:trHeight w:val="454" w:hRule="atLeast"/>
          <w:jc w:val="center"/>
        </w:trPr>
        <w:tc>
          <w:tcPr>
            <w:tcW w:w="909" w:type="pct"/>
            <w:tcBorders>
              <w:top w:val="single" w:color="000000" w:sz="4" w:space="0"/>
              <w:left w:val="single" w:color="000000" w:sz="4" w:space="0"/>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等级</w:t>
            </w:r>
          </w:p>
        </w:tc>
        <w:tc>
          <w:tcPr>
            <w:tcW w:w="1591"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扩展度（mm）</w:t>
            </w:r>
          </w:p>
        </w:tc>
        <w:tc>
          <w:tcPr>
            <w:tcW w:w="910"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等级</w:t>
            </w:r>
          </w:p>
        </w:tc>
        <w:tc>
          <w:tcPr>
            <w:tcW w:w="1591"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扩展度（mm）</w:t>
            </w:r>
          </w:p>
        </w:tc>
      </w:tr>
      <w:tr>
        <w:tblPrEx>
          <w:tblCellMar>
            <w:top w:w="0" w:type="dxa"/>
            <w:left w:w="108" w:type="dxa"/>
            <w:bottom w:w="0" w:type="dxa"/>
            <w:right w:w="108" w:type="dxa"/>
          </w:tblCellMar>
        </w:tblPrEx>
        <w:trPr>
          <w:cantSplit/>
          <w:trHeight w:val="454" w:hRule="atLeast"/>
          <w:jc w:val="center"/>
        </w:trPr>
        <w:tc>
          <w:tcPr>
            <w:tcW w:w="909" w:type="pct"/>
            <w:tcBorders>
              <w:top w:val="single" w:color="000000" w:sz="4" w:space="0"/>
              <w:left w:val="single" w:color="000000" w:sz="4" w:space="0"/>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F1</w:t>
            </w:r>
          </w:p>
        </w:tc>
        <w:tc>
          <w:tcPr>
            <w:tcW w:w="1591"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rFonts w:hint="eastAsia" w:ascii="宋体" w:hAnsi="宋体" w:cs="宋体"/>
                <w:color w:val="000000"/>
                <w:kern w:val="0"/>
              </w:rPr>
              <w:t>≤</w:t>
            </w:r>
            <w:r>
              <w:rPr>
                <w:color w:val="000000"/>
                <w:kern w:val="0"/>
              </w:rPr>
              <w:t>340</w:t>
            </w:r>
          </w:p>
        </w:tc>
        <w:tc>
          <w:tcPr>
            <w:tcW w:w="910"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F4</w:t>
            </w:r>
          </w:p>
        </w:tc>
        <w:tc>
          <w:tcPr>
            <w:tcW w:w="1591"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490～550</w:t>
            </w:r>
          </w:p>
        </w:tc>
      </w:tr>
      <w:tr>
        <w:tblPrEx>
          <w:tblCellMar>
            <w:top w:w="0" w:type="dxa"/>
            <w:left w:w="108" w:type="dxa"/>
            <w:bottom w:w="0" w:type="dxa"/>
            <w:right w:w="108" w:type="dxa"/>
          </w:tblCellMar>
        </w:tblPrEx>
        <w:trPr>
          <w:cantSplit/>
          <w:trHeight w:val="454" w:hRule="atLeast"/>
          <w:jc w:val="center"/>
        </w:trPr>
        <w:tc>
          <w:tcPr>
            <w:tcW w:w="909" w:type="pct"/>
            <w:tcBorders>
              <w:top w:val="single" w:color="000000" w:sz="4" w:space="0"/>
              <w:left w:val="single" w:color="000000" w:sz="4" w:space="0"/>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F2</w:t>
            </w:r>
          </w:p>
        </w:tc>
        <w:tc>
          <w:tcPr>
            <w:tcW w:w="1591"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350～410</w:t>
            </w:r>
          </w:p>
        </w:tc>
        <w:tc>
          <w:tcPr>
            <w:tcW w:w="910"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F5</w:t>
            </w:r>
          </w:p>
        </w:tc>
        <w:tc>
          <w:tcPr>
            <w:tcW w:w="1591"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560～620</w:t>
            </w:r>
          </w:p>
        </w:tc>
      </w:tr>
      <w:tr>
        <w:tblPrEx>
          <w:tblCellMar>
            <w:top w:w="0" w:type="dxa"/>
            <w:left w:w="108" w:type="dxa"/>
            <w:bottom w:w="0" w:type="dxa"/>
            <w:right w:w="108" w:type="dxa"/>
          </w:tblCellMar>
        </w:tblPrEx>
        <w:trPr>
          <w:cantSplit/>
          <w:trHeight w:val="454" w:hRule="atLeast"/>
          <w:jc w:val="center"/>
        </w:trPr>
        <w:tc>
          <w:tcPr>
            <w:tcW w:w="909" w:type="pct"/>
            <w:tcBorders>
              <w:top w:val="single" w:color="000000" w:sz="4" w:space="0"/>
              <w:left w:val="single" w:color="000000" w:sz="4" w:space="0"/>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F3</w:t>
            </w:r>
          </w:p>
        </w:tc>
        <w:tc>
          <w:tcPr>
            <w:tcW w:w="1591"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420～480</w:t>
            </w:r>
          </w:p>
        </w:tc>
        <w:tc>
          <w:tcPr>
            <w:tcW w:w="910"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color w:val="000000"/>
                <w:kern w:val="0"/>
              </w:rPr>
              <w:t>F6</w:t>
            </w:r>
          </w:p>
        </w:tc>
        <w:tc>
          <w:tcPr>
            <w:tcW w:w="1591" w:type="pct"/>
            <w:tcBorders>
              <w:top w:val="single" w:color="000000" w:sz="4" w:space="0"/>
              <w:left w:val="nil"/>
              <w:bottom w:val="single" w:color="000000" w:sz="4" w:space="0"/>
              <w:right w:val="single" w:color="000000" w:sz="4" w:space="0"/>
            </w:tcBorders>
          </w:tcPr>
          <w:p>
            <w:pPr>
              <w:widowControl/>
              <w:tabs>
                <w:tab w:val="center" w:pos="4201"/>
                <w:tab w:val="right" w:leader="dot" w:pos="9298"/>
              </w:tabs>
              <w:autoSpaceDE w:val="0"/>
              <w:autoSpaceDN w:val="0"/>
              <w:spacing w:line="360" w:lineRule="auto"/>
              <w:jc w:val="center"/>
              <w:rPr>
                <w:color w:val="000000"/>
                <w:kern w:val="0"/>
              </w:rPr>
            </w:pPr>
            <w:r>
              <w:rPr>
                <w:rFonts w:hint="eastAsia" w:ascii="宋体" w:hAnsi="宋体" w:cs="宋体"/>
                <w:color w:val="000000"/>
                <w:kern w:val="0"/>
              </w:rPr>
              <w:t>≥</w:t>
            </w:r>
            <w:r>
              <w:rPr>
                <w:color w:val="000000"/>
                <w:kern w:val="0"/>
              </w:rPr>
              <w:t>630</w:t>
            </w:r>
          </w:p>
        </w:tc>
      </w:tr>
    </w:tbl>
    <w:p>
      <w:pPr>
        <w:widowControl/>
        <w:tabs>
          <w:tab w:val="center" w:pos="4201"/>
          <w:tab w:val="right" w:leader="dot" w:pos="9298"/>
        </w:tabs>
        <w:autoSpaceDE w:val="0"/>
        <w:autoSpaceDN w:val="0"/>
        <w:spacing w:before="120" w:after="120"/>
        <w:jc w:val="center"/>
        <w:rPr>
          <w:rFonts w:eastAsia="黑体"/>
          <w:color w:val="000000"/>
          <w:kern w:val="0"/>
        </w:rPr>
      </w:pPr>
      <w:r>
        <w:rPr>
          <w:rFonts w:eastAsia="黑体"/>
          <w:color w:val="000000"/>
          <w:kern w:val="0"/>
        </w:rPr>
        <w:t>表</w:t>
      </w:r>
      <w:r>
        <w:rPr>
          <w:rFonts w:hint="eastAsia" w:eastAsia="黑体"/>
          <w:color w:val="000000"/>
          <w:kern w:val="0"/>
        </w:rPr>
        <w:t>4</w:t>
      </w:r>
      <w:r>
        <w:rPr>
          <w:rFonts w:eastAsia="黑体"/>
          <w:color w:val="000000"/>
          <w:kern w:val="0"/>
        </w:rPr>
        <w:t>.1.2-3  坍落度和扩展度实测值与控制目标值的允许偏差（mm）</w:t>
      </w:r>
    </w:p>
    <w:tbl>
      <w:tblPr>
        <w:tblStyle w:val="19"/>
        <w:tblW w:w="5000" w:type="pct"/>
        <w:jc w:val="center"/>
        <w:tblLayout w:type="autofit"/>
        <w:tblCellMar>
          <w:top w:w="0" w:type="dxa"/>
          <w:left w:w="108" w:type="dxa"/>
          <w:bottom w:w="0" w:type="dxa"/>
          <w:right w:w="108" w:type="dxa"/>
        </w:tblCellMar>
      </w:tblPr>
      <w:tblGrid>
        <w:gridCol w:w="1727"/>
        <w:gridCol w:w="3192"/>
        <w:gridCol w:w="3603"/>
      </w:tblGrid>
      <w:tr>
        <w:tblPrEx>
          <w:tblCellMar>
            <w:top w:w="0" w:type="dxa"/>
            <w:left w:w="108" w:type="dxa"/>
            <w:bottom w:w="0" w:type="dxa"/>
            <w:right w:w="108" w:type="dxa"/>
          </w:tblCellMar>
        </w:tblPrEx>
        <w:trPr>
          <w:cantSplit/>
          <w:trHeight w:val="397" w:hRule="atLeast"/>
          <w:jc w:val="center"/>
        </w:trPr>
        <w:tc>
          <w:tcPr>
            <w:tcW w:w="1013" w:type="pct"/>
            <w:tcBorders>
              <w:top w:val="single" w:color="000000" w:sz="4" w:space="0"/>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项目</w:t>
            </w:r>
          </w:p>
        </w:tc>
        <w:tc>
          <w:tcPr>
            <w:tcW w:w="1873" w:type="pct"/>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设计值</w:t>
            </w:r>
          </w:p>
        </w:tc>
        <w:tc>
          <w:tcPr>
            <w:tcW w:w="2114" w:type="pct"/>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允许偏差</w:t>
            </w:r>
          </w:p>
        </w:tc>
      </w:tr>
      <w:tr>
        <w:tblPrEx>
          <w:tblCellMar>
            <w:top w:w="0" w:type="dxa"/>
            <w:left w:w="108" w:type="dxa"/>
            <w:bottom w:w="0" w:type="dxa"/>
            <w:right w:w="108" w:type="dxa"/>
          </w:tblCellMar>
        </w:tblPrEx>
        <w:trPr>
          <w:cantSplit/>
          <w:trHeight w:val="397" w:hRule="atLeast"/>
          <w:jc w:val="center"/>
        </w:trPr>
        <w:tc>
          <w:tcPr>
            <w:tcW w:w="1013" w:type="pct"/>
            <w:vMerge w:val="restart"/>
            <w:tcBorders>
              <w:top w:val="nil"/>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坍落度</w:t>
            </w:r>
          </w:p>
        </w:tc>
        <w:tc>
          <w:tcPr>
            <w:tcW w:w="1873" w:type="pct"/>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rFonts w:hint="eastAsia" w:ascii="宋体" w:hAnsi="宋体" w:cs="宋体"/>
                <w:color w:val="000000"/>
                <w:kern w:val="0"/>
              </w:rPr>
              <w:t>≤</w:t>
            </w:r>
            <w:r>
              <w:rPr>
                <w:color w:val="000000"/>
                <w:kern w:val="0"/>
              </w:rPr>
              <w:t>40</w:t>
            </w:r>
          </w:p>
        </w:tc>
        <w:tc>
          <w:tcPr>
            <w:tcW w:w="2114" w:type="pct"/>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rFonts w:hint="eastAsia" w:ascii="宋体" w:hAnsi="宋体" w:cs="宋体"/>
                <w:color w:val="000000"/>
                <w:kern w:val="0"/>
              </w:rPr>
              <w:t>±</w:t>
            </w:r>
            <w:r>
              <w:rPr>
                <w:color w:val="000000"/>
                <w:kern w:val="0"/>
              </w:rPr>
              <w:t>10</w:t>
            </w:r>
          </w:p>
        </w:tc>
      </w:tr>
      <w:tr>
        <w:tblPrEx>
          <w:tblCellMar>
            <w:top w:w="0" w:type="dxa"/>
            <w:left w:w="108" w:type="dxa"/>
            <w:bottom w:w="0" w:type="dxa"/>
            <w:right w:w="108" w:type="dxa"/>
          </w:tblCellMar>
        </w:tblPrEx>
        <w:trPr>
          <w:cantSplit/>
          <w:trHeight w:val="397" w:hRule="atLeast"/>
          <w:jc w:val="center"/>
        </w:trPr>
        <w:tc>
          <w:tcPr>
            <w:tcW w:w="1013" w:type="pct"/>
            <w:vMerge w:val="continue"/>
            <w:tcBorders>
              <w:top w:val="nil"/>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ind w:firstLine="420" w:firstLineChars="200"/>
              <w:jc w:val="center"/>
              <w:rPr>
                <w:color w:val="000000"/>
                <w:kern w:val="0"/>
              </w:rPr>
            </w:pPr>
          </w:p>
        </w:tc>
        <w:tc>
          <w:tcPr>
            <w:tcW w:w="1873" w:type="pct"/>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50～90</w:t>
            </w:r>
          </w:p>
        </w:tc>
        <w:tc>
          <w:tcPr>
            <w:tcW w:w="2114" w:type="pct"/>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rFonts w:hint="eastAsia" w:ascii="宋体" w:hAnsi="宋体" w:cs="宋体"/>
                <w:color w:val="000000"/>
                <w:kern w:val="0"/>
              </w:rPr>
              <w:t>±</w:t>
            </w:r>
            <w:r>
              <w:rPr>
                <w:color w:val="000000"/>
                <w:kern w:val="0"/>
              </w:rPr>
              <w:t>20</w:t>
            </w:r>
          </w:p>
        </w:tc>
      </w:tr>
      <w:tr>
        <w:tblPrEx>
          <w:tblCellMar>
            <w:top w:w="0" w:type="dxa"/>
            <w:left w:w="108" w:type="dxa"/>
            <w:bottom w:w="0" w:type="dxa"/>
            <w:right w:w="108" w:type="dxa"/>
          </w:tblCellMar>
        </w:tblPrEx>
        <w:trPr>
          <w:cantSplit/>
          <w:trHeight w:val="397" w:hRule="atLeast"/>
          <w:jc w:val="center"/>
        </w:trPr>
        <w:tc>
          <w:tcPr>
            <w:tcW w:w="1013" w:type="pct"/>
            <w:vMerge w:val="continue"/>
            <w:tcBorders>
              <w:top w:val="nil"/>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ind w:firstLine="420" w:firstLineChars="200"/>
              <w:jc w:val="center"/>
              <w:rPr>
                <w:color w:val="000000"/>
                <w:kern w:val="0"/>
              </w:rPr>
            </w:pPr>
          </w:p>
        </w:tc>
        <w:tc>
          <w:tcPr>
            <w:tcW w:w="1873" w:type="pct"/>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rFonts w:hint="eastAsia" w:ascii="宋体" w:hAnsi="宋体" w:cs="宋体"/>
                <w:color w:val="000000"/>
                <w:kern w:val="0"/>
              </w:rPr>
              <w:t>≥</w:t>
            </w:r>
            <w:r>
              <w:rPr>
                <w:color w:val="000000"/>
                <w:kern w:val="0"/>
              </w:rPr>
              <w:t>100</w:t>
            </w:r>
          </w:p>
        </w:tc>
        <w:tc>
          <w:tcPr>
            <w:tcW w:w="2114" w:type="pct"/>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rFonts w:hint="eastAsia" w:ascii="宋体" w:hAnsi="宋体" w:cs="宋体"/>
                <w:color w:val="000000"/>
                <w:kern w:val="0"/>
              </w:rPr>
              <w:t>±</w:t>
            </w:r>
            <w:r>
              <w:rPr>
                <w:color w:val="000000"/>
                <w:kern w:val="0"/>
              </w:rPr>
              <w:t>30</w:t>
            </w:r>
          </w:p>
        </w:tc>
      </w:tr>
      <w:tr>
        <w:tblPrEx>
          <w:tblCellMar>
            <w:top w:w="0" w:type="dxa"/>
            <w:left w:w="108" w:type="dxa"/>
            <w:bottom w:w="0" w:type="dxa"/>
            <w:right w:w="108" w:type="dxa"/>
          </w:tblCellMar>
        </w:tblPrEx>
        <w:trPr>
          <w:cantSplit/>
          <w:trHeight w:val="397" w:hRule="atLeast"/>
          <w:jc w:val="center"/>
        </w:trPr>
        <w:tc>
          <w:tcPr>
            <w:tcW w:w="1013" w:type="pct"/>
            <w:tcBorders>
              <w:top w:val="single" w:color="000000" w:sz="4" w:space="0"/>
              <w:left w:val="single" w:color="000000" w:sz="4" w:space="0"/>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color w:val="000000"/>
                <w:kern w:val="0"/>
              </w:rPr>
              <w:t>扩展度</w:t>
            </w:r>
          </w:p>
        </w:tc>
        <w:tc>
          <w:tcPr>
            <w:tcW w:w="1873" w:type="pct"/>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rFonts w:hint="eastAsia" w:ascii="宋体" w:hAnsi="宋体" w:cs="宋体"/>
                <w:color w:val="000000"/>
                <w:kern w:val="0"/>
              </w:rPr>
              <w:t>≥</w:t>
            </w:r>
            <w:r>
              <w:rPr>
                <w:color w:val="000000"/>
                <w:kern w:val="0"/>
              </w:rPr>
              <w:t>350</w:t>
            </w:r>
          </w:p>
        </w:tc>
        <w:tc>
          <w:tcPr>
            <w:tcW w:w="2114" w:type="pct"/>
            <w:tcBorders>
              <w:top w:val="single" w:color="000000" w:sz="4" w:space="0"/>
              <w:left w:val="nil"/>
              <w:bottom w:val="single" w:color="000000" w:sz="4" w:space="0"/>
              <w:right w:val="single" w:color="000000" w:sz="4" w:space="0"/>
            </w:tcBorders>
            <w:vAlign w:val="center"/>
          </w:tcPr>
          <w:p>
            <w:pPr>
              <w:widowControl/>
              <w:tabs>
                <w:tab w:val="center" w:pos="4201"/>
                <w:tab w:val="right" w:leader="dot" w:pos="9298"/>
              </w:tabs>
              <w:autoSpaceDE w:val="0"/>
              <w:autoSpaceDN w:val="0"/>
              <w:jc w:val="center"/>
              <w:rPr>
                <w:color w:val="000000"/>
                <w:kern w:val="0"/>
              </w:rPr>
            </w:pPr>
            <w:r>
              <w:rPr>
                <w:rFonts w:hint="eastAsia" w:ascii="宋体" w:hAnsi="宋体" w:cs="宋体"/>
                <w:color w:val="000000"/>
                <w:kern w:val="0"/>
              </w:rPr>
              <w:t>±</w:t>
            </w:r>
            <w:r>
              <w:rPr>
                <w:color w:val="000000"/>
                <w:kern w:val="0"/>
              </w:rPr>
              <w:t>30</w:t>
            </w:r>
          </w:p>
        </w:tc>
      </w:tr>
    </w:tbl>
    <w:p>
      <w:pPr>
        <w:spacing w:line="360" w:lineRule="auto"/>
        <w:rPr>
          <w:sz w:val="24"/>
          <w:szCs w:val="24"/>
        </w:rPr>
      </w:pPr>
      <w:r>
        <w:rPr>
          <w:rFonts w:hint="eastAsia"/>
          <w:sz w:val="24"/>
          <w:szCs w:val="24"/>
        </w:rPr>
        <w:t>4</w:t>
      </w:r>
      <w:r>
        <w:rPr>
          <w:sz w:val="24"/>
          <w:szCs w:val="24"/>
        </w:rPr>
        <w:t xml:space="preserve">.1.3 </w:t>
      </w:r>
      <w:r>
        <w:rPr>
          <w:rFonts w:hint="eastAsia"/>
          <w:sz w:val="24"/>
          <w:szCs w:val="24"/>
        </w:rPr>
        <w:t xml:space="preserve"> </w:t>
      </w:r>
      <w:r>
        <w:rPr>
          <w:sz w:val="24"/>
          <w:szCs w:val="24"/>
        </w:rPr>
        <w:t>掺钢渣粉的混凝土拌合物坍落度、扩展度应满足工程控制目标值和施工要求。坍落度经时损失不应影响混凝土的正常施工，用于泵送的掺钢渣粉的混凝土坍落度经时损失不宜大于30mm。</w:t>
      </w:r>
    </w:p>
    <w:p>
      <w:pPr>
        <w:spacing w:line="360" w:lineRule="auto"/>
        <w:rPr>
          <w:sz w:val="24"/>
          <w:szCs w:val="24"/>
        </w:rPr>
      </w:pPr>
      <w:r>
        <w:rPr>
          <w:rFonts w:hint="eastAsia"/>
          <w:sz w:val="24"/>
          <w:szCs w:val="24"/>
        </w:rPr>
        <w:t>4</w:t>
      </w:r>
      <w:r>
        <w:rPr>
          <w:sz w:val="24"/>
          <w:szCs w:val="24"/>
        </w:rPr>
        <w:t xml:space="preserve">.1.4 </w:t>
      </w:r>
      <w:r>
        <w:rPr>
          <w:rFonts w:hint="eastAsia"/>
          <w:sz w:val="24"/>
          <w:szCs w:val="24"/>
        </w:rPr>
        <w:t xml:space="preserve"> </w:t>
      </w:r>
      <w:r>
        <w:rPr>
          <w:sz w:val="24"/>
          <w:szCs w:val="24"/>
        </w:rPr>
        <w:t>掺钢渣粉的混凝土拌合物中水溶性氯离子最大含量应符合现行国家标准《混凝土结构通用规范》GB 55008的有关规定。水溶性氯离子含量试验方法应按现行的行业标准《混凝土中氯离子含量检测技术规程》JGJ/T 322的有关规定执行。</w:t>
      </w:r>
    </w:p>
    <w:p>
      <w:pPr>
        <w:spacing w:line="360" w:lineRule="auto"/>
        <w:rPr>
          <w:sz w:val="24"/>
          <w:szCs w:val="24"/>
        </w:rPr>
      </w:pPr>
      <w:r>
        <w:rPr>
          <w:rFonts w:hint="eastAsia"/>
          <w:sz w:val="24"/>
          <w:szCs w:val="24"/>
        </w:rPr>
        <w:t>4</w:t>
      </w:r>
      <w:r>
        <w:rPr>
          <w:sz w:val="24"/>
          <w:szCs w:val="24"/>
        </w:rPr>
        <w:t>.1.5  掺钢渣粉的混凝土拌合物性能试验方法应按现行的国家标准《普通混凝土拌合物性能试验方法标准》GB/T 50080有关规定执行。</w:t>
      </w:r>
    </w:p>
    <w:p>
      <w:pPr>
        <w:spacing w:before="156" w:beforeLines="50" w:after="156" w:afterLines="50" w:line="360" w:lineRule="auto"/>
        <w:jc w:val="center"/>
        <w:outlineLvl w:val="1"/>
        <w:rPr>
          <w:b/>
          <w:bCs/>
          <w:sz w:val="28"/>
          <w:szCs w:val="28"/>
        </w:rPr>
      </w:pPr>
      <w:bookmarkStart w:id="46" w:name="_Toc28000"/>
      <w:bookmarkStart w:id="47" w:name="_Toc6519"/>
      <w:r>
        <w:rPr>
          <w:rFonts w:hint="eastAsia"/>
          <w:b/>
          <w:bCs/>
          <w:sz w:val="28"/>
          <w:szCs w:val="28"/>
        </w:rPr>
        <w:t>4</w:t>
      </w:r>
      <w:r>
        <w:rPr>
          <w:b/>
          <w:bCs/>
          <w:sz w:val="28"/>
          <w:szCs w:val="28"/>
        </w:rPr>
        <w:t>.2  力学性能</w:t>
      </w:r>
      <w:bookmarkEnd w:id="46"/>
      <w:bookmarkEnd w:id="47"/>
    </w:p>
    <w:p>
      <w:pPr>
        <w:spacing w:line="360" w:lineRule="auto"/>
        <w:rPr>
          <w:sz w:val="24"/>
          <w:szCs w:val="24"/>
        </w:rPr>
      </w:pPr>
      <w:bookmarkStart w:id="48" w:name="_Toc525"/>
      <w:r>
        <w:rPr>
          <w:rFonts w:hint="eastAsia"/>
          <w:sz w:val="24"/>
          <w:szCs w:val="24"/>
        </w:rPr>
        <w:t>4</w:t>
      </w:r>
      <w:r>
        <w:rPr>
          <w:sz w:val="24"/>
          <w:szCs w:val="24"/>
        </w:rPr>
        <w:t>.2.1  掺钢渣粉的混凝土力学性能应满足设计要求。</w:t>
      </w:r>
      <w:bookmarkEnd w:id="48"/>
    </w:p>
    <w:p>
      <w:pPr>
        <w:spacing w:line="360" w:lineRule="auto"/>
        <w:rPr>
          <w:sz w:val="24"/>
          <w:szCs w:val="24"/>
        </w:rPr>
      </w:pPr>
      <w:r>
        <w:rPr>
          <w:rFonts w:hint="eastAsia"/>
          <w:sz w:val="24"/>
          <w:szCs w:val="24"/>
        </w:rPr>
        <w:t>4</w:t>
      </w:r>
      <w:r>
        <w:rPr>
          <w:sz w:val="24"/>
          <w:szCs w:val="24"/>
        </w:rPr>
        <w:t>.2.2  掺钢渣粉的混凝土力学性能试验方法应按现行的国家标准《混凝土物理力学性能试验方法标准》GB/T 50081的有关规定执行。</w:t>
      </w:r>
    </w:p>
    <w:p>
      <w:pPr>
        <w:spacing w:before="156" w:beforeLines="50" w:after="156" w:afterLines="50" w:line="360" w:lineRule="auto"/>
        <w:jc w:val="center"/>
        <w:outlineLvl w:val="1"/>
        <w:rPr>
          <w:b/>
          <w:bCs/>
          <w:sz w:val="28"/>
          <w:szCs w:val="28"/>
        </w:rPr>
      </w:pPr>
      <w:bookmarkStart w:id="49" w:name="_Toc15282"/>
      <w:bookmarkStart w:id="50" w:name="_Toc14659"/>
      <w:r>
        <w:rPr>
          <w:rFonts w:hint="eastAsia"/>
          <w:b/>
          <w:bCs/>
          <w:sz w:val="28"/>
          <w:szCs w:val="28"/>
        </w:rPr>
        <w:t>4</w:t>
      </w:r>
      <w:r>
        <w:rPr>
          <w:b/>
          <w:bCs/>
          <w:sz w:val="28"/>
          <w:szCs w:val="28"/>
        </w:rPr>
        <w:t>.3  耐久性能</w:t>
      </w:r>
      <w:bookmarkEnd w:id="49"/>
      <w:bookmarkEnd w:id="50"/>
    </w:p>
    <w:p>
      <w:pPr>
        <w:spacing w:line="360" w:lineRule="auto"/>
        <w:rPr>
          <w:sz w:val="24"/>
          <w:szCs w:val="24"/>
        </w:rPr>
      </w:pPr>
      <w:r>
        <w:rPr>
          <w:rFonts w:hint="eastAsia"/>
          <w:sz w:val="24"/>
          <w:szCs w:val="24"/>
        </w:rPr>
        <w:t>4</w:t>
      </w:r>
      <w:r>
        <w:rPr>
          <w:sz w:val="24"/>
          <w:szCs w:val="24"/>
        </w:rPr>
        <w:t>.3.1  当有预防碱骨料反应要求时，掺钢渣粉的混凝土应符合现行国家标准《预防混凝土碱骨料反应技术规范》GB/T 50733的有关规定。</w:t>
      </w:r>
    </w:p>
    <w:p>
      <w:pPr>
        <w:spacing w:line="360" w:lineRule="auto"/>
        <w:rPr>
          <w:sz w:val="24"/>
          <w:szCs w:val="24"/>
        </w:rPr>
      </w:pPr>
      <w:r>
        <w:rPr>
          <w:rFonts w:hint="eastAsia"/>
          <w:sz w:val="24"/>
          <w:szCs w:val="24"/>
        </w:rPr>
        <w:t>4.</w:t>
      </w:r>
      <w:r>
        <w:rPr>
          <w:sz w:val="24"/>
          <w:szCs w:val="24"/>
        </w:rPr>
        <w:t>3.2  掺钢渣粉的混凝土耐久性能，应符合国家现行标准《混凝土质量控制标准》GB 50164和《混凝土耐久性检验评定标准》JGJ/T 193的有关规定，并应满足设计要求。</w:t>
      </w:r>
    </w:p>
    <w:p>
      <w:pPr>
        <w:spacing w:line="360" w:lineRule="auto"/>
        <w:rPr>
          <w:sz w:val="24"/>
          <w:szCs w:val="24"/>
        </w:rPr>
      </w:pPr>
      <w:r>
        <w:rPr>
          <w:rFonts w:hint="eastAsia"/>
          <w:sz w:val="24"/>
          <w:szCs w:val="24"/>
        </w:rPr>
        <w:t>4</w:t>
      </w:r>
      <w:r>
        <w:rPr>
          <w:sz w:val="24"/>
          <w:szCs w:val="24"/>
        </w:rPr>
        <w:t>.3.</w:t>
      </w:r>
      <w:r>
        <w:rPr>
          <w:rFonts w:hint="eastAsia"/>
          <w:sz w:val="24"/>
          <w:szCs w:val="24"/>
        </w:rPr>
        <w:t>3</w:t>
      </w:r>
      <w:r>
        <w:rPr>
          <w:sz w:val="24"/>
          <w:szCs w:val="24"/>
        </w:rPr>
        <w:t xml:space="preserve">  掺钢渣粉的混凝土耐久性能的试验方法应按现行国家标准《普通混凝土长期性能和耐久性能试验方法标准》GB/T 50082的有关规定执行。</w:t>
      </w:r>
    </w:p>
    <w:p>
      <w:pPr>
        <w:spacing w:line="360" w:lineRule="auto"/>
      </w:pPr>
    </w:p>
    <w:p>
      <w:pPr>
        <w:spacing w:line="360" w:lineRule="auto"/>
      </w:pPr>
    </w:p>
    <w:p>
      <w:pPr>
        <w:rPr>
          <w:szCs w:val="22"/>
        </w:rPr>
      </w:pPr>
      <w:r>
        <w:rPr>
          <w:szCs w:val="22"/>
        </w:rPr>
        <w:br w:type="page"/>
      </w:r>
    </w:p>
    <w:bookmarkEnd w:id="43"/>
    <w:p>
      <w:pPr>
        <w:spacing w:before="312" w:beforeLines="100" w:after="312" w:afterLines="100" w:line="360" w:lineRule="auto"/>
        <w:jc w:val="center"/>
        <w:outlineLvl w:val="0"/>
        <w:rPr>
          <w:b/>
          <w:bCs/>
          <w:sz w:val="30"/>
          <w:szCs w:val="30"/>
        </w:rPr>
      </w:pPr>
      <w:bookmarkStart w:id="51" w:name="_Toc20970"/>
      <w:bookmarkStart w:id="52" w:name="_Toc23867"/>
      <w:r>
        <w:rPr>
          <w:rFonts w:hint="eastAsia"/>
          <w:b/>
          <w:bCs/>
          <w:sz w:val="30"/>
          <w:szCs w:val="30"/>
        </w:rPr>
        <w:t>5</w:t>
      </w:r>
      <w:r>
        <w:rPr>
          <w:b/>
          <w:bCs/>
          <w:sz w:val="30"/>
          <w:szCs w:val="30"/>
        </w:rPr>
        <w:t xml:space="preserve">  </w:t>
      </w:r>
      <w:r>
        <w:rPr>
          <w:rFonts w:hint="eastAsia"/>
          <w:b/>
          <w:bCs/>
          <w:sz w:val="30"/>
          <w:szCs w:val="30"/>
        </w:rPr>
        <w:t>配合比设计</w:t>
      </w:r>
      <w:bookmarkEnd w:id="51"/>
      <w:bookmarkEnd w:id="52"/>
    </w:p>
    <w:p>
      <w:pPr>
        <w:spacing w:line="360" w:lineRule="auto"/>
        <w:rPr>
          <w:sz w:val="24"/>
          <w:szCs w:val="24"/>
        </w:rPr>
      </w:pPr>
      <w:r>
        <w:rPr>
          <w:rFonts w:hint="eastAsia"/>
          <w:sz w:val="24"/>
          <w:szCs w:val="24"/>
        </w:rPr>
        <w:t>5</w:t>
      </w:r>
      <w:r>
        <w:rPr>
          <w:sz w:val="24"/>
          <w:szCs w:val="24"/>
        </w:rPr>
        <w:t>.</w:t>
      </w:r>
      <w:r>
        <w:rPr>
          <w:rFonts w:hint="eastAsia"/>
          <w:sz w:val="24"/>
          <w:szCs w:val="24"/>
        </w:rPr>
        <w:t>0</w:t>
      </w:r>
      <w:r>
        <w:rPr>
          <w:sz w:val="24"/>
          <w:szCs w:val="24"/>
        </w:rPr>
        <w:t xml:space="preserve">.1 </w:t>
      </w:r>
      <w:r>
        <w:rPr>
          <w:rFonts w:hint="eastAsia"/>
          <w:sz w:val="24"/>
          <w:szCs w:val="24"/>
        </w:rPr>
        <w:t xml:space="preserve"> 掺钢渣粉的混凝土配合比设计应符合现行的行业标准《普通混凝土配合比设计规程》JGJ 55有关规定进行。</w:t>
      </w:r>
    </w:p>
    <w:p>
      <w:pPr>
        <w:spacing w:line="360" w:lineRule="auto"/>
        <w:rPr>
          <w:sz w:val="24"/>
          <w:szCs w:val="24"/>
        </w:rPr>
      </w:pPr>
      <w:r>
        <w:rPr>
          <w:rFonts w:hint="eastAsia"/>
          <w:sz w:val="24"/>
          <w:szCs w:val="24"/>
        </w:rPr>
        <w:t>5</w:t>
      </w:r>
      <w:r>
        <w:rPr>
          <w:sz w:val="24"/>
          <w:szCs w:val="24"/>
        </w:rPr>
        <w:t>.0.2</w:t>
      </w:r>
      <w:r>
        <w:rPr>
          <w:rFonts w:hint="eastAsia"/>
          <w:sz w:val="24"/>
          <w:szCs w:val="24"/>
        </w:rPr>
        <w:t xml:space="preserve"> </w:t>
      </w:r>
      <w:r>
        <w:rPr>
          <w:sz w:val="24"/>
          <w:szCs w:val="24"/>
        </w:rPr>
        <w:t xml:space="preserve"> 钢渣粉在混凝土中掺量应通过试验确定。采用硅酸盐水泥或普通硅酸盐水泥时，混凝土中钢渣粉最大掺量宜符合表</w:t>
      </w:r>
      <w:r>
        <w:rPr>
          <w:rFonts w:hint="eastAsia"/>
          <w:sz w:val="24"/>
          <w:szCs w:val="24"/>
        </w:rPr>
        <w:t>5</w:t>
      </w:r>
      <w:r>
        <w:rPr>
          <w:sz w:val="24"/>
          <w:szCs w:val="24"/>
        </w:rPr>
        <w:t>.0.2的规定。</w:t>
      </w:r>
    </w:p>
    <w:p>
      <w:pPr>
        <w:widowControl/>
        <w:tabs>
          <w:tab w:val="center" w:pos="4201"/>
          <w:tab w:val="right" w:leader="dot" w:pos="9298"/>
        </w:tabs>
        <w:autoSpaceDE w:val="0"/>
        <w:autoSpaceDN w:val="0"/>
        <w:spacing w:before="120" w:after="120"/>
        <w:jc w:val="center"/>
        <w:rPr>
          <w:rFonts w:eastAsia="黑体"/>
          <w:color w:val="000000"/>
          <w:kern w:val="0"/>
        </w:rPr>
      </w:pPr>
      <w:r>
        <w:rPr>
          <w:rFonts w:eastAsia="黑体"/>
          <w:color w:val="000000"/>
          <w:kern w:val="0"/>
        </w:rPr>
        <w:t>表</w:t>
      </w:r>
      <w:r>
        <w:rPr>
          <w:rFonts w:hint="eastAsia" w:eastAsia="黑体"/>
          <w:color w:val="000000"/>
          <w:kern w:val="0"/>
        </w:rPr>
        <w:t>5</w:t>
      </w:r>
      <w:r>
        <w:rPr>
          <w:rFonts w:eastAsia="黑体"/>
          <w:color w:val="000000"/>
          <w:kern w:val="0"/>
        </w:rPr>
        <w:t>.0.2 混凝土中钢渣粉最大掺量（%）</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3186"/>
        <w:gridCol w:w="3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pct"/>
            <w:vMerge w:val="restart"/>
            <w:vAlign w:val="center"/>
          </w:tcPr>
          <w:p>
            <w:pPr>
              <w:widowControl/>
              <w:tabs>
                <w:tab w:val="center" w:pos="4201"/>
                <w:tab w:val="right" w:leader="dot" w:pos="9298"/>
              </w:tabs>
              <w:autoSpaceDE w:val="0"/>
              <w:autoSpaceDN w:val="0"/>
              <w:jc w:val="center"/>
              <w:rPr>
                <w:kern w:val="0"/>
              </w:rPr>
            </w:pPr>
            <w:r>
              <w:rPr>
                <w:kern w:val="0"/>
              </w:rPr>
              <w:t>水胶比</w:t>
            </w:r>
          </w:p>
        </w:tc>
        <w:tc>
          <w:tcPr>
            <w:tcW w:w="4148" w:type="pct"/>
            <w:gridSpan w:val="2"/>
            <w:vAlign w:val="center"/>
          </w:tcPr>
          <w:p>
            <w:pPr>
              <w:widowControl/>
              <w:tabs>
                <w:tab w:val="center" w:pos="4201"/>
                <w:tab w:val="right" w:leader="dot" w:pos="9298"/>
              </w:tabs>
              <w:autoSpaceDE w:val="0"/>
              <w:autoSpaceDN w:val="0"/>
              <w:jc w:val="center"/>
              <w:rPr>
                <w:kern w:val="0"/>
              </w:rPr>
            </w:pPr>
            <w:r>
              <w:rPr>
                <w:kern w:val="0"/>
              </w:rPr>
              <w:t>最大掺量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pct"/>
            <w:vMerge w:val="continue"/>
            <w:vAlign w:val="center"/>
          </w:tcPr>
          <w:p>
            <w:pPr>
              <w:widowControl/>
              <w:tabs>
                <w:tab w:val="center" w:pos="4201"/>
                <w:tab w:val="right" w:leader="dot" w:pos="9298"/>
              </w:tabs>
              <w:autoSpaceDE w:val="0"/>
              <w:autoSpaceDN w:val="0"/>
              <w:jc w:val="center"/>
              <w:rPr>
                <w:kern w:val="0"/>
              </w:rPr>
            </w:pPr>
          </w:p>
        </w:tc>
        <w:tc>
          <w:tcPr>
            <w:tcW w:w="1869" w:type="pct"/>
            <w:vAlign w:val="center"/>
          </w:tcPr>
          <w:p>
            <w:pPr>
              <w:widowControl/>
              <w:tabs>
                <w:tab w:val="center" w:pos="4201"/>
                <w:tab w:val="right" w:leader="dot" w:pos="9298"/>
              </w:tabs>
              <w:autoSpaceDE w:val="0"/>
              <w:autoSpaceDN w:val="0"/>
              <w:jc w:val="center"/>
              <w:rPr>
                <w:kern w:val="0"/>
              </w:rPr>
            </w:pPr>
            <w:r>
              <w:rPr>
                <w:kern w:val="0"/>
              </w:rPr>
              <w:t>采用硅酸盐水泥时</w:t>
            </w:r>
          </w:p>
        </w:tc>
        <w:tc>
          <w:tcPr>
            <w:tcW w:w="2278" w:type="pct"/>
            <w:vAlign w:val="center"/>
          </w:tcPr>
          <w:p>
            <w:pPr>
              <w:widowControl/>
              <w:tabs>
                <w:tab w:val="center" w:pos="4201"/>
                <w:tab w:val="right" w:leader="dot" w:pos="9298"/>
              </w:tabs>
              <w:autoSpaceDE w:val="0"/>
              <w:autoSpaceDN w:val="0"/>
              <w:jc w:val="center"/>
              <w:rPr>
                <w:kern w:val="0"/>
              </w:rPr>
            </w:pPr>
            <w:r>
              <w:rPr>
                <w:kern w:val="0"/>
              </w:rPr>
              <w:t>采用普通硅酸盐水泥时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pct"/>
            <w:vAlign w:val="center"/>
          </w:tcPr>
          <w:p>
            <w:pPr>
              <w:widowControl/>
              <w:tabs>
                <w:tab w:val="center" w:pos="4201"/>
                <w:tab w:val="right" w:leader="dot" w:pos="9298"/>
              </w:tabs>
              <w:autoSpaceDE w:val="0"/>
              <w:autoSpaceDN w:val="0"/>
              <w:jc w:val="center"/>
              <w:rPr>
                <w:kern w:val="0"/>
              </w:rPr>
            </w:pPr>
            <w:r>
              <w:rPr>
                <w:rFonts w:hint="eastAsia" w:ascii="宋体" w:hAnsi="宋体" w:cs="宋体"/>
                <w:kern w:val="0"/>
              </w:rPr>
              <w:t>≤</w:t>
            </w:r>
            <w:r>
              <w:rPr>
                <w:kern w:val="0"/>
              </w:rPr>
              <w:t>0.40</w:t>
            </w:r>
          </w:p>
        </w:tc>
        <w:tc>
          <w:tcPr>
            <w:tcW w:w="1869" w:type="pct"/>
            <w:vAlign w:val="center"/>
          </w:tcPr>
          <w:p>
            <w:pPr>
              <w:widowControl/>
              <w:tabs>
                <w:tab w:val="center" w:pos="4201"/>
                <w:tab w:val="right" w:leader="dot" w:pos="9298"/>
              </w:tabs>
              <w:autoSpaceDE w:val="0"/>
              <w:autoSpaceDN w:val="0"/>
              <w:jc w:val="center"/>
              <w:rPr>
                <w:kern w:val="0"/>
              </w:rPr>
            </w:pPr>
            <w:r>
              <w:rPr>
                <w:kern w:val="0"/>
              </w:rPr>
              <w:t>30</w:t>
            </w:r>
          </w:p>
        </w:tc>
        <w:tc>
          <w:tcPr>
            <w:tcW w:w="2278" w:type="pct"/>
            <w:vAlign w:val="center"/>
          </w:tcPr>
          <w:p>
            <w:pPr>
              <w:widowControl/>
              <w:tabs>
                <w:tab w:val="center" w:pos="4201"/>
                <w:tab w:val="right" w:leader="dot" w:pos="9298"/>
              </w:tabs>
              <w:autoSpaceDE w:val="0"/>
              <w:autoSpaceDN w:val="0"/>
              <w:jc w:val="center"/>
              <w:rPr>
                <w:rFonts w:hint="eastAsia" w:eastAsia="宋体"/>
                <w:kern w:val="0"/>
                <w:lang w:eastAsia="zh-CN"/>
              </w:rPr>
            </w:pPr>
            <w:r>
              <w:rPr>
                <w:kern w:val="0"/>
              </w:rPr>
              <w:t>2</w:t>
            </w:r>
            <w:r>
              <w:rPr>
                <w:rFonts w:hint="eastAsia"/>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pct"/>
            <w:vAlign w:val="center"/>
          </w:tcPr>
          <w:p>
            <w:pPr>
              <w:widowControl/>
              <w:tabs>
                <w:tab w:val="center" w:pos="4201"/>
                <w:tab w:val="right" w:leader="dot" w:pos="9298"/>
              </w:tabs>
              <w:autoSpaceDE w:val="0"/>
              <w:autoSpaceDN w:val="0"/>
              <w:jc w:val="center"/>
              <w:rPr>
                <w:kern w:val="0"/>
              </w:rPr>
            </w:pPr>
            <w:r>
              <w:rPr>
                <w:kern w:val="0"/>
              </w:rPr>
              <w:t>＞0.40</w:t>
            </w:r>
          </w:p>
        </w:tc>
        <w:tc>
          <w:tcPr>
            <w:tcW w:w="1869" w:type="pct"/>
            <w:vAlign w:val="center"/>
          </w:tcPr>
          <w:p>
            <w:pPr>
              <w:widowControl/>
              <w:tabs>
                <w:tab w:val="center" w:pos="4201"/>
                <w:tab w:val="right" w:leader="dot" w:pos="9298"/>
              </w:tabs>
              <w:autoSpaceDE w:val="0"/>
              <w:autoSpaceDN w:val="0"/>
              <w:jc w:val="center"/>
              <w:rPr>
                <w:kern w:val="0"/>
              </w:rPr>
            </w:pPr>
            <w:r>
              <w:rPr>
                <w:kern w:val="0"/>
              </w:rPr>
              <w:t>25</w:t>
            </w:r>
          </w:p>
        </w:tc>
        <w:tc>
          <w:tcPr>
            <w:tcW w:w="2278" w:type="pct"/>
            <w:vAlign w:val="center"/>
          </w:tcPr>
          <w:p>
            <w:pPr>
              <w:widowControl/>
              <w:tabs>
                <w:tab w:val="center" w:pos="4201"/>
                <w:tab w:val="right" w:leader="dot" w:pos="9298"/>
              </w:tabs>
              <w:autoSpaceDE w:val="0"/>
              <w:autoSpaceDN w:val="0"/>
              <w:jc w:val="center"/>
              <w:rPr>
                <w:rFonts w:hint="default" w:eastAsia="宋体"/>
                <w:kern w:val="0"/>
                <w:lang w:val="en-US" w:eastAsia="zh-CN"/>
              </w:rPr>
            </w:pPr>
            <w:r>
              <w:rPr>
                <w:rFonts w:hint="eastAsia"/>
                <w:kern w:val="0"/>
                <w:lang w:val="en-US" w:eastAsia="zh-CN"/>
              </w:rPr>
              <w:t>20</w:t>
            </w:r>
          </w:p>
        </w:tc>
      </w:tr>
    </w:tbl>
    <w:p>
      <w:pPr>
        <w:spacing w:line="360" w:lineRule="auto"/>
        <w:rPr>
          <w:sz w:val="24"/>
          <w:szCs w:val="24"/>
        </w:rPr>
      </w:pPr>
      <w:bookmarkStart w:id="53" w:name="_Toc7779"/>
      <w:r>
        <w:rPr>
          <w:rFonts w:hint="eastAsia"/>
          <w:sz w:val="24"/>
          <w:szCs w:val="24"/>
        </w:rPr>
        <w:t>5</w:t>
      </w:r>
      <w:r>
        <w:rPr>
          <w:sz w:val="24"/>
          <w:szCs w:val="24"/>
        </w:rPr>
        <w:t>.0.3  配合比计算时，应将钢渣粉用量计入胶凝材料用量。</w:t>
      </w:r>
      <w:bookmarkEnd w:id="53"/>
    </w:p>
    <w:p>
      <w:pPr>
        <w:spacing w:line="360" w:lineRule="auto"/>
        <w:rPr>
          <w:sz w:val="24"/>
          <w:szCs w:val="24"/>
        </w:rPr>
      </w:pPr>
      <w:r>
        <w:rPr>
          <w:rFonts w:hint="eastAsia"/>
          <w:sz w:val="24"/>
          <w:szCs w:val="24"/>
        </w:rPr>
        <w:t>5</w:t>
      </w:r>
      <w:r>
        <w:rPr>
          <w:sz w:val="24"/>
          <w:szCs w:val="24"/>
        </w:rPr>
        <w:t>.0.4  配合比计算时，胶凝材料28d胶砂抗压强度宜根据试验确定。当胶凝材料28d胶砂抗压强度无实测值，且钢渣粉掺量不超过30%时，胶凝材料28d胶砂抗压强度值可按下式计算：</w:t>
      </w:r>
    </w:p>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71"/>
        <w:gridCol w:w="2010"/>
        <w:gridCol w:w="2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671" w:type="dxa"/>
            <w:vAlign w:val="center"/>
          </w:tcPr>
          <w:p>
            <w:pPr>
              <w:spacing w:line="360" w:lineRule="auto"/>
              <w:rPr>
                <w:sz w:val="24"/>
                <w:szCs w:val="24"/>
              </w:rPr>
            </w:pPr>
          </w:p>
        </w:tc>
        <w:tc>
          <w:tcPr>
            <w:tcW w:w="2010" w:type="dxa"/>
            <w:vAlign w:val="center"/>
          </w:tcPr>
          <w:p>
            <w:pPr>
              <w:spacing w:line="360" w:lineRule="auto"/>
              <w:rPr>
                <w:sz w:val="24"/>
                <w:szCs w:val="24"/>
              </w:rPr>
            </w:pPr>
            <w:r>
              <w:rPr>
                <w:rFonts w:hint="eastAsia"/>
                <w:i/>
                <w:iCs/>
                <w:sz w:val="24"/>
                <w:szCs w:val="24"/>
              </w:rPr>
              <w:t>f</w:t>
            </w:r>
            <w:r>
              <w:rPr>
                <w:i/>
                <w:iCs/>
                <w:sz w:val="24"/>
                <w:szCs w:val="24"/>
                <w:vertAlign w:val="subscript"/>
              </w:rPr>
              <w:t>b</w:t>
            </w:r>
            <w:r>
              <w:rPr>
                <w:rFonts w:hint="eastAsia"/>
                <w:sz w:val="24"/>
                <w:szCs w:val="24"/>
              </w:rPr>
              <w:t xml:space="preserve"> </w:t>
            </w:r>
            <w:r>
              <w:rPr>
                <w:sz w:val="24"/>
                <w:szCs w:val="24"/>
              </w:rPr>
              <w:t>=</w:t>
            </w:r>
            <w:r>
              <w:rPr>
                <w:rFonts w:hint="eastAsia"/>
                <w:sz w:val="24"/>
                <w:szCs w:val="24"/>
              </w:rPr>
              <w:t xml:space="preserve"> </w:t>
            </w:r>
            <w:r>
              <w:rPr>
                <w:sz w:val="24"/>
                <w:szCs w:val="24"/>
              </w:rPr>
              <w:t>γ</w:t>
            </w:r>
            <w:r>
              <w:rPr>
                <w:sz w:val="24"/>
                <w:szCs w:val="24"/>
                <w:vertAlign w:val="subscript"/>
              </w:rPr>
              <w:t>H</w:t>
            </w:r>
            <w:r>
              <w:rPr>
                <w:sz w:val="24"/>
                <w:szCs w:val="24"/>
              </w:rPr>
              <w:t>·</w:t>
            </w:r>
            <w:r>
              <w:rPr>
                <w:i/>
                <w:iCs/>
                <w:sz w:val="24"/>
                <w:szCs w:val="24"/>
              </w:rPr>
              <w:t>f</w:t>
            </w:r>
            <w:r>
              <w:rPr>
                <w:i/>
                <w:iCs/>
                <w:sz w:val="24"/>
                <w:szCs w:val="24"/>
                <w:vertAlign w:val="subscript"/>
              </w:rPr>
              <w:t>ce</w:t>
            </w:r>
          </w:p>
        </w:tc>
        <w:tc>
          <w:tcPr>
            <w:tcW w:w="2841" w:type="dxa"/>
            <w:vAlign w:val="center"/>
          </w:tcPr>
          <w:p>
            <w:pPr>
              <w:spacing w:line="360" w:lineRule="auto"/>
              <w:jc w:val="right"/>
              <w:rPr>
                <w:sz w:val="24"/>
                <w:szCs w:val="24"/>
              </w:rPr>
            </w:pPr>
            <w:r>
              <w:rPr>
                <w:sz w:val="24"/>
                <w:szCs w:val="24"/>
              </w:rPr>
              <w:t>（</w:t>
            </w:r>
            <w:r>
              <w:rPr>
                <w:rFonts w:hint="eastAsia"/>
                <w:sz w:val="24"/>
                <w:szCs w:val="24"/>
              </w:rPr>
              <w:t>5</w:t>
            </w:r>
            <w:r>
              <w:rPr>
                <w:sz w:val="24"/>
                <w:szCs w:val="24"/>
              </w:rPr>
              <w:t>.0.4）</w:t>
            </w:r>
          </w:p>
        </w:tc>
      </w:tr>
    </w:tbl>
    <w:p>
      <w:pPr>
        <w:spacing w:line="360" w:lineRule="auto"/>
        <w:rPr>
          <w:sz w:val="24"/>
          <w:szCs w:val="24"/>
        </w:rPr>
      </w:pPr>
      <w:r>
        <w:rPr>
          <w:sz w:val="24"/>
          <w:szCs w:val="24"/>
        </w:rPr>
        <w:t>式中：</w:t>
      </w:r>
      <w:r>
        <w:rPr>
          <w:i/>
          <w:iCs/>
          <w:sz w:val="24"/>
          <w:szCs w:val="24"/>
        </w:rPr>
        <w:t>f</w:t>
      </w:r>
      <w:r>
        <w:rPr>
          <w:i/>
          <w:iCs/>
          <w:sz w:val="24"/>
          <w:szCs w:val="24"/>
          <w:vertAlign w:val="subscript"/>
        </w:rPr>
        <w:t>b</w:t>
      </w:r>
      <w:r>
        <w:rPr>
          <w:sz w:val="24"/>
          <w:szCs w:val="24"/>
        </w:rPr>
        <w:t xml:space="preserve"> ——胶凝材料28d胶砂抗压强度（MPa）；</w:t>
      </w:r>
    </w:p>
    <w:p>
      <w:pPr>
        <w:spacing w:line="360" w:lineRule="auto"/>
        <w:ind w:firstLine="680"/>
        <w:rPr>
          <w:sz w:val="24"/>
          <w:szCs w:val="24"/>
        </w:rPr>
      </w:pPr>
      <w:r>
        <w:rPr>
          <w:sz w:val="24"/>
          <w:szCs w:val="24"/>
        </w:rPr>
        <w:t>γ</w:t>
      </w:r>
      <w:r>
        <w:rPr>
          <w:sz w:val="24"/>
          <w:szCs w:val="24"/>
          <w:vertAlign w:val="subscript"/>
        </w:rPr>
        <w:t>H</w:t>
      </w:r>
      <w:r>
        <w:rPr>
          <w:rFonts w:hint="eastAsia"/>
          <w:sz w:val="24"/>
          <w:szCs w:val="24"/>
        </w:rPr>
        <w:t xml:space="preserve"> </w:t>
      </w:r>
      <w:r>
        <w:rPr>
          <w:sz w:val="24"/>
          <w:szCs w:val="24"/>
        </w:rPr>
        <w:t>——钢渣粉影响系数，可按表</w:t>
      </w:r>
      <w:r>
        <w:rPr>
          <w:rFonts w:hint="eastAsia"/>
          <w:sz w:val="24"/>
          <w:szCs w:val="24"/>
        </w:rPr>
        <w:t>5</w:t>
      </w:r>
      <w:r>
        <w:rPr>
          <w:sz w:val="24"/>
          <w:szCs w:val="24"/>
        </w:rPr>
        <w:t>.0.</w:t>
      </w:r>
      <w:r>
        <w:rPr>
          <w:rFonts w:hint="eastAsia"/>
          <w:sz w:val="24"/>
          <w:szCs w:val="24"/>
        </w:rPr>
        <w:t>4</w:t>
      </w:r>
      <w:r>
        <w:rPr>
          <w:sz w:val="24"/>
          <w:szCs w:val="24"/>
        </w:rPr>
        <w:t>取值；</w:t>
      </w:r>
    </w:p>
    <w:p>
      <w:pPr>
        <w:spacing w:line="360" w:lineRule="auto"/>
        <w:ind w:firstLine="680"/>
        <w:rPr>
          <w:sz w:val="24"/>
          <w:szCs w:val="24"/>
        </w:rPr>
      </w:pPr>
      <w:r>
        <w:rPr>
          <w:rFonts w:hint="eastAsia"/>
          <w:i/>
          <w:iCs/>
          <w:sz w:val="24"/>
          <w:szCs w:val="24"/>
        </w:rPr>
        <w:t>f</w:t>
      </w:r>
      <w:r>
        <w:rPr>
          <w:i/>
          <w:iCs/>
          <w:sz w:val="24"/>
          <w:szCs w:val="24"/>
          <w:vertAlign w:val="subscript"/>
        </w:rPr>
        <w:t>ce</w:t>
      </w:r>
      <w:r>
        <w:rPr>
          <w:rFonts w:hint="eastAsia"/>
          <w:i/>
          <w:iCs/>
          <w:sz w:val="24"/>
          <w:szCs w:val="24"/>
        </w:rPr>
        <w:t xml:space="preserve"> </w:t>
      </w:r>
      <w:r>
        <w:rPr>
          <w:sz w:val="24"/>
          <w:szCs w:val="24"/>
        </w:rPr>
        <w:t>——水泥28d胶砂抗压强度（MPa）。</w:t>
      </w:r>
    </w:p>
    <w:p>
      <w:pPr>
        <w:widowControl/>
        <w:tabs>
          <w:tab w:val="center" w:pos="4201"/>
          <w:tab w:val="right" w:leader="dot" w:pos="9298"/>
        </w:tabs>
        <w:autoSpaceDE w:val="0"/>
        <w:autoSpaceDN w:val="0"/>
        <w:spacing w:before="120" w:after="120"/>
        <w:jc w:val="center"/>
        <w:rPr>
          <w:rFonts w:eastAsia="黑体"/>
          <w:color w:val="000000"/>
          <w:kern w:val="0"/>
        </w:rPr>
      </w:pPr>
      <w:r>
        <w:rPr>
          <w:rFonts w:eastAsia="黑体"/>
          <w:color w:val="000000"/>
          <w:kern w:val="0"/>
        </w:rPr>
        <w:t>表</w:t>
      </w:r>
      <w:r>
        <w:rPr>
          <w:rFonts w:hint="eastAsia" w:eastAsia="黑体"/>
          <w:color w:val="000000"/>
          <w:kern w:val="0"/>
        </w:rPr>
        <w:t>5</w:t>
      </w:r>
      <w:r>
        <w:rPr>
          <w:rFonts w:eastAsia="黑体"/>
          <w:color w:val="000000"/>
          <w:kern w:val="0"/>
        </w:rPr>
        <w:t>.0.4  钢渣粉影响系数</w:t>
      </w:r>
    </w:p>
    <w:tbl>
      <w:tblPr>
        <w:tblStyle w:val="19"/>
        <w:tblW w:w="4921" w:type="pct"/>
        <w:jc w:val="center"/>
        <w:tblLayout w:type="autofit"/>
        <w:tblCellMar>
          <w:top w:w="0" w:type="dxa"/>
          <w:left w:w="108" w:type="dxa"/>
          <w:bottom w:w="0" w:type="dxa"/>
          <w:right w:w="108" w:type="dxa"/>
        </w:tblCellMar>
      </w:tblPr>
      <w:tblGrid>
        <w:gridCol w:w="3907"/>
        <w:gridCol w:w="4480"/>
      </w:tblGrid>
      <w:tr>
        <w:tblPrEx>
          <w:tblCellMar>
            <w:top w:w="0" w:type="dxa"/>
            <w:left w:w="108" w:type="dxa"/>
            <w:bottom w:w="0" w:type="dxa"/>
            <w:right w:w="108" w:type="dxa"/>
          </w:tblCellMar>
        </w:tblPrEx>
        <w:trPr>
          <w:trHeight w:val="454"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掺量（%）</w:t>
            </w:r>
          </w:p>
        </w:tc>
        <w:tc>
          <w:tcPr>
            <w:tcW w:w="2670" w:type="pct"/>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default" w:eastAsia="宋体"/>
                <w:kern w:val="0"/>
                <w:lang w:val="en-US" w:eastAsia="zh-CN"/>
              </w:rPr>
            </w:pPr>
            <w:r>
              <w:rPr>
                <w:kern w:val="0"/>
              </w:rPr>
              <w:t>钢渣粉</w:t>
            </w:r>
            <w:r>
              <w:rPr>
                <w:rFonts w:hint="eastAsia"/>
                <w:kern w:val="0"/>
                <w:lang w:val="en-US" w:eastAsia="zh-CN"/>
              </w:rPr>
              <w:t>影响系数</w:t>
            </w:r>
          </w:p>
        </w:tc>
      </w:tr>
      <w:tr>
        <w:tblPrEx>
          <w:tblCellMar>
            <w:top w:w="0" w:type="dxa"/>
            <w:left w:w="108" w:type="dxa"/>
            <w:bottom w:w="0" w:type="dxa"/>
            <w:right w:w="108" w:type="dxa"/>
          </w:tblCellMar>
        </w:tblPrEx>
        <w:trPr>
          <w:trHeight w:val="454"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0</w:t>
            </w:r>
          </w:p>
        </w:tc>
        <w:tc>
          <w:tcPr>
            <w:tcW w:w="2670" w:type="pct"/>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1.00</w:t>
            </w:r>
          </w:p>
        </w:tc>
      </w:tr>
      <w:tr>
        <w:tblPrEx>
          <w:tblCellMar>
            <w:top w:w="0" w:type="dxa"/>
            <w:left w:w="108" w:type="dxa"/>
            <w:bottom w:w="0" w:type="dxa"/>
            <w:right w:w="108" w:type="dxa"/>
          </w:tblCellMar>
        </w:tblPrEx>
        <w:trPr>
          <w:trHeight w:val="454"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10</w:t>
            </w:r>
          </w:p>
        </w:tc>
        <w:tc>
          <w:tcPr>
            <w:tcW w:w="2670" w:type="pct"/>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0.85</w:t>
            </w:r>
            <w:r>
              <w:rPr>
                <w:rFonts w:hint="eastAsia" w:ascii="宋体" w:hAnsi="宋体" w:cs="宋体"/>
                <w:kern w:val="0"/>
              </w:rPr>
              <w:t>～</w:t>
            </w:r>
            <w:r>
              <w:rPr>
                <w:kern w:val="0"/>
              </w:rPr>
              <w:t>0.90</w:t>
            </w:r>
          </w:p>
        </w:tc>
      </w:tr>
      <w:tr>
        <w:tblPrEx>
          <w:tblCellMar>
            <w:top w:w="0" w:type="dxa"/>
            <w:left w:w="108" w:type="dxa"/>
            <w:bottom w:w="0" w:type="dxa"/>
            <w:right w:w="108" w:type="dxa"/>
          </w:tblCellMar>
        </w:tblPrEx>
        <w:trPr>
          <w:trHeight w:val="454"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15</w:t>
            </w:r>
          </w:p>
        </w:tc>
        <w:tc>
          <w:tcPr>
            <w:tcW w:w="2670" w:type="pct"/>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0.80</w:t>
            </w:r>
            <w:r>
              <w:rPr>
                <w:rFonts w:hint="eastAsia" w:ascii="宋体" w:hAnsi="宋体" w:cs="宋体"/>
                <w:kern w:val="0"/>
              </w:rPr>
              <w:t>～</w:t>
            </w:r>
            <w:r>
              <w:rPr>
                <w:kern w:val="0"/>
              </w:rPr>
              <w:t>0.85</w:t>
            </w:r>
          </w:p>
        </w:tc>
      </w:tr>
      <w:tr>
        <w:tblPrEx>
          <w:tblCellMar>
            <w:top w:w="0" w:type="dxa"/>
            <w:left w:w="108" w:type="dxa"/>
            <w:bottom w:w="0" w:type="dxa"/>
            <w:right w:w="108" w:type="dxa"/>
          </w:tblCellMar>
        </w:tblPrEx>
        <w:trPr>
          <w:trHeight w:val="454"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20</w:t>
            </w:r>
          </w:p>
        </w:tc>
        <w:tc>
          <w:tcPr>
            <w:tcW w:w="2670" w:type="pct"/>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0.75</w:t>
            </w:r>
            <w:r>
              <w:rPr>
                <w:rFonts w:hint="eastAsia" w:ascii="宋体" w:hAnsi="宋体" w:cs="宋体"/>
                <w:kern w:val="0"/>
              </w:rPr>
              <w:t>～</w:t>
            </w:r>
            <w:r>
              <w:rPr>
                <w:kern w:val="0"/>
              </w:rPr>
              <w:t>0.80</w:t>
            </w:r>
          </w:p>
        </w:tc>
      </w:tr>
      <w:tr>
        <w:tblPrEx>
          <w:tblCellMar>
            <w:top w:w="0" w:type="dxa"/>
            <w:left w:w="108" w:type="dxa"/>
            <w:bottom w:w="0" w:type="dxa"/>
            <w:right w:w="108" w:type="dxa"/>
          </w:tblCellMar>
        </w:tblPrEx>
        <w:trPr>
          <w:trHeight w:val="454"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25</w:t>
            </w:r>
          </w:p>
        </w:tc>
        <w:tc>
          <w:tcPr>
            <w:tcW w:w="2670" w:type="pct"/>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0.70</w:t>
            </w:r>
            <w:r>
              <w:rPr>
                <w:rFonts w:hint="eastAsia" w:ascii="宋体" w:hAnsi="宋体" w:cs="宋体"/>
                <w:kern w:val="0"/>
              </w:rPr>
              <w:t>～</w:t>
            </w:r>
            <w:r>
              <w:rPr>
                <w:kern w:val="0"/>
              </w:rPr>
              <w:t>0.75</w:t>
            </w:r>
          </w:p>
        </w:tc>
      </w:tr>
      <w:tr>
        <w:tblPrEx>
          <w:tblCellMar>
            <w:top w:w="0" w:type="dxa"/>
            <w:left w:w="108" w:type="dxa"/>
            <w:bottom w:w="0" w:type="dxa"/>
            <w:right w:w="108" w:type="dxa"/>
          </w:tblCellMar>
        </w:tblPrEx>
        <w:trPr>
          <w:trHeight w:val="454"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30</w:t>
            </w:r>
          </w:p>
        </w:tc>
        <w:tc>
          <w:tcPr>
            <w:tcW w:w="2670" w:type="pct"/>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jc w:val="center"/>
              <w:rPr>
                <w:kern w:val="0"/>
              </w:rPr>
            </w:pPr>
            <w:r>
              <w:rPr>
                <w:kern w:val="0"/>
              </w:rPr>
              <w:t>0.60</w:t>
            </w:r>
            <w:r>
              <w:rPr>
                <w:rFonts w:hint="eastAsia" w:ascii="宋体" w:hAnsi="宋体" w:cs="宋体"/>
                <w:kern w:val="0"/>
              </w:rPr>
              <w:t>～</w:t>
            </w:r>
            <w:r>
              <w:rPr>
                <w:kern w:val="0"/>
              </w:rPr>
              <w:t>0.65</w:t>
            </w:r>
          </w:p>
        </w:tc>
      </w:tr>
    </w:tbl>
    <w:p>
      <w:pPr>
        <w:spacing w:line="360" w:lineRule="auto"/>
        <w:rPr>
          <w:sz w:val="24"/>
          <w:szCs w:val="24"/>
        </w:rPr>
      </w:pPr>
      <w:r>
        <w:rPr>
          <w:rFonts w:hint="eastAsia"/>
          <w:sz w:val="24"/>
          <w:szCs w:val="24"/>
        </w:rPr>
        <w:t>5</w:t>
      </w:r>
      <w:r>
        <w:rPr>
          <w:sz w:val="24"/>
          <w:szCs w:val="24"/>
        </w:rPr>
        <w:t>.0.5  对抗裂性能有明确要求的掺钢渣粉的混凝土，应通过混凝土抗裂试验和收缩试验优选配合比。</w:t>
      </w:r>
    </w:p>
    <w:p>
      <w:pPr>
        <w:spacing w:line="360" w:lineRule="auto"/>
        <w:rPr>
          <w:sz w:val="24"/>
          <w:szCs w:val="24"/>
        </w:rPr>
      </w:pPr>
      <w:r>
        <w:rPr>
          <w:rFonts w:hint="eastAsia"/>
          <w:sz w:val="24"/>
          <w:szCs w:val="24"/>
        </w:rPr>
        <w:t>5</w:t>
      </w:r>
      <w:r>
        <w:rPr>
          <w:sz w:val="24"/>
          <w:szCs w:val="24"/>
        </w:rPr>
        <w:t>.0.</w:t>
      </w:r>
      <w:r>
        <w:rPr>
          <w:rFonts w:hint="eastAsia"/>
          <w:sz w:val="24"/>
          <w:szCs w:val="24"/>
        </w:rPr>
        <w:t xml:space="preserve">6 </w:t>
      </w:r>
      <w:r>
        <w:rPr>
          <w:sz w:val="24"/>
          <w:szCs w:val="24"/>
        </w:rPr>
        <w:t xml:space="preserve"> 掺钢渣粉的混凝土出现下列情况之一时，应重新进行配合比设计：</w:t>
      </w:r>
    </w:p>
    <w:p>
      <w:pPr>
        <w:spacing w:line="360" w:lineRule="auto"/>
        <w:ind w:firstLine="480" w:firstLineChars="200"/>
        <w:rPr>
          <w:sz w:val="24"/>
          <w:szCs w:val="24"/>
        </w:rPr>
      </w:pPr>
      <w:r>
        <w:rPr>
          <w:sz w:val="24"/>
          <w:szCs w:val="24"/>
        </w:rPr>
        <w:t>1</w:t>
      </w:r>
      <w:r>
        <w:rPr>
          <w:rFonts w:hint="eastAsia"/>
          <w:sz w:val="24"/>
          <w:szCs w:val="24"/>
        </w:rPr>
        <w:t xml:space="preserve"> </w:t>
      </w:r>
      <w:r>
        <w:rPr>
          <w:sz w:val="24"/>
          <w:szCs w:val="24"/>
        </w:rPr>
        <w:t>原材料产地或厂家、品种、质量等有显著变化时；</w:t>
      </w:r>
    </w:p>
    <w:p>
      <w:pPr>
        <w:spacing w:line="360" w:lineRule="auto"/>
        <w:ind w:firstLine="480" w:firstLineChars="200"/>
        <w:rPr>
          <w:sz w:val="24"/>
          <w:szCs w:val="24"/>
        </w:rPr>
      </w:pPr>
      <w:r>
        <w:rPr>
          <w:sz w:val="24"/>
          <w:szCs w:val="24"/>
        </w:rPr>
        <w:t>2</w:t>
      </w:r>
      <w:r>
        <w:rPr>
          <w:rFonts w:hint="eastAsia"/>
          <w:sz w:val="24"/>
          <w:szCs w:val="24"/>
        </w:rPr>
        <w:t xml:space="preserve"> </w:t>
      </w:r>
      <w:r>
        <w:rPr>
          <w:sz w:val="24"/>
          <w:szCs w:val="24"/>
        </w:rPr>
        <w:t>对混凝土性能有特殊要求时；</w:t>
      </w:r>
    </w:p>
    <w:p>
      <w:pPr>
        <w:spacing w:line="360" w:lineRule="auto"/>
        <w:ind w:firstLine="480" w:firstLineChars="200"/>
        <w:rPr>
          <w:sz w:val="24"/>
          <w:szCs w:val="24"/>
        </w:rPr>
      </w:pPr>
      <w:r>
        <w:rPr>
          <w:sz w:val="24"/>
          <w:szCs w:val="24"/>
        </w:rPr>
        <w:t>3</w:t>
      </w:r>
      <w:r>
        <w:rPr>
          <w:rFonts w:hint="eastAsia"/>
          <w:sz w:val="24"/>
          <w:szCs w:val="24"/>
        </w:rPr>
        <w:t xml:space="preserve"> </w:t>
      </w:r>
      <w:r>
        <w:rPr>
          <w:sz w:val="24"/>
          <w:szCs w:val="24"/>
        </w:rPr>
        <w:t>同一配合比生产间断6个月以上时。</w:t>
      </w:r>
    </w:p>
    <w:p>
      <w:pPr>
        <w:spacing w:line="360" w:lineRule="auto"/>
        <w:rPr>
          <w:sz w:val="24"/>
          <w:szCs w:val="24"/>
        </w:rPr>
      </w:pPr>
      <w:r>
        <w:rPr>
          <w:rFonts w:hint="eastAsia"/>
          <w:sz w:val="24"/>
          <w:szCs w:val="24"/>
        </w:rPr>
        <w:t>5</w:t>
      </w:r>
      <w:r>
        <w:rPr>
          <w:sz w:val="24"/>
          <w:szCs w:val="24"/>
        </w:rPr>
        <w:t>.0.</w:t>
      </w:r>
      <w:r>
        <w:rPr>
          <w:rFonts w:hint="eastAsia"/>
          <w:sz w:val="24"/>
          <w:szCs w:val="24"/>
        </w:rPr>
        <w:t xml:space="preserve">7 </w:t>
      </w:r>
      <w:r>
        <w:rPr>
          <w:sz w:val="24"/>
          <w:szCs w:val="24"/>
        </w:rPr>
        <w:t xml:space="preserve"> 掺钢渣粉混凝土生产</w:t>
      </w:r>
      <w:r>
        <w:rPr>
          <w:rFonts w:hint="eastAsia"/>
          <w:sz w:val="24"/>
          <w:szCs w:val="24"/>
        </w:rPr>
        <w:t>的</w:t>
      </w:r>
      <w:r>
        <w:rPr>
          <w:sz w:val="24"/>
          <w:szCs w:val="24"/>
        </w:rPr>
        <w:t>配合比应进行性能验证。</w:t>
      </w:r>
    </w:p>
    <w:p>
      <w:pPr>
        <w:spacing w:line="360" w:lineRule="auto"/>
        <w:rPr>
          <w:szCs w:val="22"/>
        </w:rPr>
      </w:pPr>
    </w:p>
    <w:p>
      <w:pPr>
        <w:spacing w:line="360" w:lineRule="auto"/>
        <w:rPr>
          <w:szCs w:val="22"/>
        </w:rPr>
      </w:pPr>
    </w:p>
    <w:p>
      <w:pPr>
        <w:rPr>
          <w:b/>
          <w:bCs/>
          <w:szCs w:val="22"/>
        </w:rPr>
      </w:pPr>
      <w:bookmarkStart w:id="54" w:name="_Toc30196"/>
      <w:bookmarkStart w:id="55" w:name="_Toc259"/>
      <w:bookmarkStart w:id="56" w:name="_Toc20642"/>
      <w:bookmarkStart w:id="57" w:name="_Toc28144"/>
      <w:bookmarkStart w:id="58" w:name="_Toc28535"/>
      <w:r>
        <w:rPr>
          <w:rFonts w:hint="eastAsia"/>
          <w:b/>
          <w:bCs/>
          <w:szCs w:val="22"/>
        </w:rPr>
        <w:br w:type="page"/>
      </w:r>
    </w:p>
    <w:p>
      <w:pPr>
        <w:spacing w:before="312" w:beforeLines="100" w:after="312" w:afterLines="100" w:line="360" w:lineRule="auto"/>
        <w:jc w:val="center"/>
        <w:outlineLvl w:val="0"/>
        <w:rPr>
          <w:b/>
          <w:bCs/>
          <w:sz w:val="30"/>
          <w:szCs w:val="30"/>
        </w:rPr>
      </w:pPr>
      <w:bookmarkStart w:id="59" w:name="_Toc28713"/>
      <w:bookmarkStart w:id="60" w:name="_Toc9643"/>
      <w:bookmarkStart w:id="61" w:name="_Toc6077"/>
      <w:r>
        <w:rPr>
          <w:rFonts w:hint="eastAsia"/>
          <w:b/>
          <w:bCs/>
          <w:sz w:val="30"/>
          <w:szCs w:val="30"/>
        </w:rPr>
        <w:t>6</w:t>
      </w:r>
      <w:r>
        <w:rPr>
          <w:b/>
          <w:bCs/>
          <w:sz w:val="30"/>
          <w:szCs w:val="30"/>
        </w:rPr>
        <w:t xml:space="preserve">  </w:t>
      </w:r>
      <w:r>
        <w:rPr>
          <w:rFonts w:hint="eastAsia"/>
          <w:b/>
          <w:bCs/>
          <w:sz w:val="30"/>
          <w:szCs w:val="30"/>
        </w:rPr>
        <w:t>施工</w:t>
      </w:r>
      <w:bookmarkEnd w:id="59"/>
      <w:bookmarkEnd w:id="60"/>
    </w:p>
    <w:p>
      <w:pPr>
        <w:spacing w:before="156" w:beforeLines="50" w:after="156" w:afterLines="50" w:line="360" w:lineRule="auto"/>
        <w:jc w:val="center"/>
        <w:outlineLvl w:val="1"/>
        <w:rPr>
          <w:b/>
          <w:bCs/>
          <w:sz w:val="28"/>
          <w:szCs w:val="28"/>
        </w:rPr>
      </w:pPr>
      <w:bookmarkStart w:id="62" w:name="_Toc13312"/>
      <w:bookmarkStart w:id="63" w:name="_Toc1388"/>
      <w:r>
        <w:rPr>
          <w:rFonts w:hint="eastAsia"/>
          <w:b/>
          <w:bCs/>
          <w:sz w:val="28"/>
          <w:szCs w:val="28"/>
        </w:rPr>
        <w:t>6.</w:t>
      </w:r>
      <w:r>
        <w:rPr>
          <w:b/>
          <w:bCs/>
          <w:sz w:val="28"/>
          <w:szCs w:val="28"/>
        </w:rPr>
        <w:t xml:space="preserve">1  </w:t>
      </w:r>
      <w:r>
        <w:rPr>
          <w:rFonts w:hint="eastAsia"/>
          <w:b/>
          <w:bCs/>
          <w:sz w:val="28"/>
          <w:szCs w:val="28"/>
        </w:rPr>
        <w:t>一般规定</w:t>
      </w:r>
      <w:bookmarkEnd w:id="62"/>
      <w:bookmarkEnd w:id="63"/>
    </w:p>
    <w:bookmarkEnd w:id="54"/>
    <w:bookmarkEnd w:id="55"/>
    <w:bookmarkEnd w:id="56"/>
    <w:bookmarkEnd w:id="57"/>
    <w:bookmarkEnd w:id="58"/>
    <w:bookmarkEnd w:id="61"/>
    <w:p>
      <w:pPr>
        <w:spacing w:line="360" w:lineRule="auto"/>
        <w:rPr>
          <w:sz w:val="24"/>
          <w:szCs w:val="24"/>
        </w:rPr>
      </w:pPr>
      <w:r>
        <w:rPr>
          <w:rFonts w:hint="eastAsia"/>
          <w:sz w:val="24"/>
          <w:szCs w:val="24"/>
        </w:rPr>
        <w:t>6</w:t>
      </w:r>
      <w:r>
        <w:rPr>
          <w:sz w:val="24"/>
          <w:szCs w:val="24"/>
        </w:rPr>
        <w:t>.1.1  混凝土的生产应符合国家现行标准《预拌混凝土》GB/T 14902和《预拌混凝土绿色生产及管理技术规程》JGJ/T 328的有关规定。</w:t>
      </w:r>
    </w:p>
    <w:p>
      <w:pPr>
        <w:spacing w:line="360" w:lineRule="auto"/>
        <w:rPr>
          <w:sz w:val="24"/>
          <w:szCs w:val="24"/>
        </w:rPr>
      </w:pPr>
      <w:r>
        <w:rPr>
          <w:rFonts w:hint="eastAsia"/>
          <w:sz w:val="24"/>
          <w:szCs w:val="24"/>
        </w:rPr>
        <w:t>6</w:t>
      </w:r>
      <w:r>
        <w:rPr>
          <w:sz w:val="24"/>
          <w:szCs w:val="24"/>
        </w:rPr>
        <w:t>.1.2  混凝土的施工应符合现行国家标准《混凝土结构工程施工规范》GB 50666和《混凝土质量控制标准》GB 50164的有关规定。</w:t>
      </w:r>
    </w:p>
    <w:p>
      <w:pPr>
        <w:spacing w:line="360" w:lineRule="auto"/>
        <w:rPr>
          <w:sz w:val="24"/>
          <w:szCs w:val="24"/>
        </w:rPr>
      </w:pPr>
      <w:r>
        <w:rPr>
          <w:rFonts w:hint="eastAsia"/>
          <w:sz w:val="24"/>
          <w:szCs w:val="24"/>
        </w:rPr>
        <w:t>6</w:t>
      </w:r>
      <w:r>
        <w:rPr>
          <w:sz w:val="24"/>
          <w:szCs w:val="24"/>
        </w:rPr>
        <w:t>.1.3  高强混凝土、大体积混凝土的施工应分别符合国家现行标准《高强混凝土应用技术规程》JGJ/T 281和《大体积混凝土施工标准》GB 50496的有关规定。</w:t>
      </w:r>
    </w:p>
    <w:p>
      <w:pPr>
        <w:spacing w:line="360" w:lineRule="auto"/>
        <w:rPr>
          <w:sz w:val="24"/>
          <w:szCs w:val="24"/>
        </w:rPr>
      </w:pPr>
      <w:r>
        <w:rPr>
          <w:rFonts w:hint="eastAsia"/>
          <w:sz w:val="24"/>
          <w:szCs w:val="24"/>
        </w:rPr>
        <w:t>6</w:t>
      </w:r>
      <w:r>
        <w:rPr>
          <w:sz w:val="24"/>
          <w:szCs w:val="24"/>
        </w:rPr>
        <w:t>.1.4  钢渣粉使用前，应进行与外加剂相容性试验，试验应采用工程混凝土配合比的胶凝材料组成，应符合现行</w:t>
      </w:r>
      <w:r>
        <w:rPr>
          <w:rFonts w:hint="eastAsia"/>
          <w:sz w:val="24"/>
          <w:szCs w:val="24"/>
        </w:rPr>
        <w:t>的</w:t>
      </w:r>
      <w:r>
        <w:rPr>
          <w:sz w:val="24"/>
          <w:szCs w:val="24"/>
        </w:rPr>
        <w:t>行业标准《水泥与减水剂相容性试验方法》JC/T 1083的有关规定。</w:t>
      </w:r>
    </w:p>
    <w:p>
      <w:pPr>
        <w:spacing w:before="156" w:beforeLines="50" w:after="156" w:afterLines="50" w:line="360" w:lineRule="auto"/>
        <w:jc w:val="center"/>
        <w:outlineLvl w:val="1"/>
        <w:rPr>
          <w:b/>
          <w:bCs/>
          <w:sz w:val="28"/>
          <w:szCs w:val="28"/>
        </w:rPr>
      </w:pPr>
      <w:bookmarkStart w:id="64" w:name="_Toc1031"/>
      <w:bookmarkStart w:id="65" w:name="_Toc32142"/>
      <w:r>
        <w:rPr>
          <w:rFonts w:hint="eastAsia"/>
          <w:b/>
          <w:bCs/>
          <w:sz w:val="28"/>
          <w:szCs w:val="28"/>
        </w:rPr>
        <w:t>6.2  原材料贮存与计量</w:t>
      </w:r>
      <w:bookmarkEnd w:id="64"/>
      <w:bookmarkEnd w:id="65"/>
    </w:p>
    <w:p>
      <w:pPr>
        <w:spacing w:line="360" w:lineRule="auto"/>
        <w:rPr>
          <w:sz w:val="24"/>
          <w:szCs w:val="24"/>
        </w:rPr>
      </w:pPr>
      <w:r>
        <w:rPr>
          <w:rFonts w:hint="eastAsia"/>
          <w:sz w:val="24"/>
          <w:szCs w:val="24"/>
        </w:rPr>
        <w:t>6</w:t>
      </w:r>
      <w:r>
        <w:rPr>
          <w:sz w:val="24"/>
          <w:szCs w:val="24"/>
        </w:rPr>
        <w:t>.2.1  钢渣粉应单独贮存，不得与水泥和其他矿物掺合料相混，并应防止受潮或被其他杂物污染。</w:t>
      </w:r>
    </w:p>
    <w:p>
      <w:pPr>
        <w:spacing w:line="360" w:lineRule="auto"/>
        <w:rPr>
          <w:sz w:val="24"/>
          <w:szCs w:val="24"/>
        </w:rPr>
      </w:pPr>
      <w:r>
        <w:rPr>
          <w:rFonts w:hint="eastAsia"/>
          <w:sz w:val="24"/>
          <w:szCs w:val="24"/>
        </w:rPr>
        <w:t>6</w:t>
      </w:r>
      <w:r>
        <w:rPr>
          <w:sz w:val="24"/>
          <w:szCs w:val="24"/>
        </w:rPr>
        <w:t>.2.2  其他混凝土原材料的贮存应符合现行国家标准《混凝土质量控制标准》GB 50164的有关规定。</w:t>
      </w:r>
    </w:p>
    <w:p>
      <w:pPr>
        <w:spacing w:line="360" w:lineRule="auto"/>
        <w:rPr>
          <w:sz w:val="24"/>
          <w:szCs w:val="24"/>
        </w:rPr>
      </w:pPr>
      <w:r>
        <w:rPr>
          <w:rFonts w:hint="eastAsia"/>
          <w:sz w:val="24"/>
          <w:szCs w:val="24"/>
        </w:rPr>
        <w:t>6</w:t>
      </w:r>
      <w:r>
        <w:rPr>
          <w:sz w:val="24"/>
          <w:szCs w:val="24"/>
        </w:rPr>
        <w:t>.2.3  原材料计量应采用电子计量设备，计量设备的精度应符合现行国家标准《建筑施工机械与设备混凝土搅拌站（楼）》GB/T 10171的有关规定。每一工作班开始前，应对计量设备进行零点校准。</w:t>
      </w:r>
    </w:p>
    <w:p>
      <w:pPr>
        <w:spacing w:line="360" w:lineRule="auto"/>
        <w:rPr>
          <w:sz w:val="24"/>
          <w:szCs w:val="24"/>
        </w:rPr>
      </w:pPr>
      <w:r>
        <w:rPr>
          <w:rFonts w:hint="eastAsia"/>
          <w:sz w:val="24"/>
          <w:szCs w:val="24"/>
        </w:rPr>
        <w:t>6</w:t>
      </w:r>
      <w:r>
        <w:rPr>
          <w:sz w:val="24"/>
          <w:szCs w:val="24"/>
        </w:rPr>
        <w:t>.2.4  钢渣粉和其他原材料的计量允许偏差应符合表</w:t>
      </w:r>
      <w:r>
        <w:rPr>
          <w:rFonts w:hint="eastAsia"/>
          <w:sz w:val="24"/>
          <w:szCs w:val="24"/>
        </w:rPr>
        <w:t>6</w:t>
      </w:r>
      <w:r>
        <w:rPr>
          <w:sz w:val="24"/>
          <w:szCs w:val="24"/>
        </w:rPr>
        <w:t>.2.4的规定，并应每班检查1次。</w:t>
      </w:r>
    </w:p>
    <w:p>
      <w:pPr>
        <w:widowControl/>
        <w:tabs>
          <w:tab w:val="center" w:pos="4201"/>
          <w:tab w:val="right" w:leader="dot" w:pos="9298"/>
        </w:tabs>
        <w:autoSpaceDE w:val="0"/>
        <w:autoSpaceDN w:val="0"/>
        <w:spacing w:before="120" w:after="120"/>
        <w:jc w:val="center"/>
        <w:rPr>
          <w:rFonts w:eastAsia="黑体"/>
          <w:color w:val="000000"/>
          <w:kern w:val="0"/>
        </w:rPr>
      </w:pPr>
      <w:r>
        <w:rPr>
          <w:rFonts w:eastAsia="黑体"/>
          <w:color w:val="000000"/>
          <w:kern w:val="0"/>
        </w:rPr>
        <w:t>表</w:t>
      </w:r>
      <w:r>
        <w:rPr>
          <w:rFonts w:hint="eastAsia" w:eastAsia="黑体"/>
          <w:color w:val="000000"/>
          <w:kern w:val="0"/>
        </w:rPr>
        <w:t>6</w:t>
      </w:r>
      <w:r>
        <w:rPr>
          <w:rFonts w:eastAsia="黑体"/>
          <w:color w:val="000000"/>
          <w:kern w:val="0"/>
        </w:rPr>
        <w:t>.2.4</w:t>
      </w:r>
      <w:r>
        <w:rPr>
          <w:rFonts w:hint="eastAsia" w:eastAsia="黑体"/>
          <w:color w:val="000000"/>
          <w:kern w:val="0"/>
        </w:rPr>
        <w:t xml:space="preserve"> </w:t>
      </w:r>
      <w:r>
        <w:rPr>
          <w:rFonts w:eastAsia="黑体"/>
          <w:color w:val="000000"/>
          <w:kern w:val="0"/>
        </w:rPr>
        <w:t xml:space="preserve"> 混凝土原材料计量允许偏差（%）</w:t>
      </w:r>
    </w:p>
    <w:tbl>
      <w:tblPr>
        <w:tblStyle w:val="19"/>
        <w:tblW w:w="47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972"/>
        <w:gridCol w:w="973"/>
        <w:gridCol w:w="973"/>
        <w:gridCol w:w="973"/>
        <w:gridCol w:w="978"/>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6" w:type="pct"/>
            <w:vAlign w:val="center"/>
          </w:tcPr>
          <w:p>
            <w:pPr>
              <w:widowControl/>
              <w:tabs>
                <w:tab w:val="center" w:pos="4201"/>
                <w:tab w:val="right" w:leader="dot" w:pos="9298"/>
              </w:tabs>
              <w:autoSpaceDE w:val="0"/>
              <w:autoSpaceDN w:val="0"/>
              <w:jc w:val="center"/>
              <w:rPr>
                <w:kern w:val="0"/>
              </w:rPr>
            </w:pPr>
            <w:r>
              <w:rPr>
                <w:kern w:val="0"/>
              </w:rPr>
              <w:t>原材料品种</w:t>
            </w:r>
          </w:p>
        </w:tc>
        <w:tc>
          <w:tcPr>
            <w:tcW w:w="597" w:type="pct"/>
            <w:vAlign w:val="center"/>
          </w:tcPr>
          <w:p>
            <w:pPr>
              <w:widowControl/>
              <w:tabs>
                <w:tab w:val="center" w:pos="4201"/>
                <w:tab w:val="right" w:leader="dot" w:pos="9298"/>
              </w:tabs>
              <w:autoSpaceDE w:val="0"/>
              <w:autoSpaceDN w:val="0"/>
              <w:jc w:val="center"/>
              <w:rPr>
                <w:kern w:val="0"/>
              </w:rPr>
            </w:pPr>
            <w:r>
              <w:rPr>
                <w:kern w:val="0"/>
              </w:rPr>
              <w:t>水泥</w:t>
            </w:r>
          </w:p>
        </w:tc>
        <w:tc>
          <w:tcPr>
            <w:tcW w:w="597" w:type="pct"/>
            <w:vAlign w:val="center"/>
          </w:tcPr>
          <w:p>
            <w:pPr>
              <w:widowControl/>
              <w:tabs>
                <w:tab w:val="center" w:pos="4201"/>
                <w:tab w:val="right" w:leader="dot" w:pos="9298"/>
              </w:tabs>
              <w:autoSpaceDE w:val="0"/>
              <w:autoSpaceDN w:val="0"/>
              <w:jc w:val="center"/>
              <w:rPr>
                <w:kern w:val="0"/>
              </w:rPr>
            </w:pPr>
            <w:r>
              <w:rPr>
                <w:kern w:val="0"/>
              </w:rPr>
              <w:t>骨料</w:t>
            </w:r>
          </w:p>
        </w:tc>
        <w:tc>
          <w:tcPr>
            <w:tcW w:w="597" w:type="pct"/>
            <w:vAlign w:val="center"/>
          </w:tcPr>
          <w:p>
            <w:pPr>
              <w:widowControl/>
              <w:tabs>
                <w:tab w:val="center" w:pos="4201"/>
                <w:tab w:val="right" w:leader="dot" w:pos="9298"/>
              </w:tabs>
              <w:autoSpaceDE w:val="0"/>
              <w:autoSpaceDN w:val="0"/>
              <w:jc w:val="center"/>
              <w:rPr>
                <w:kern w:val="0"/>
              </w:rPr>
            </w:pPr>
            <w:r>
              <w:rPr>
                <w:kern w:val="0"/>
              </w:rPr>
              <w:t>水</w:t>
            </w:r>
          </w:p>
        </w:tc>
        <w:tc>
          <w:tcPr>
            <w:tcW w:w="597" w:type="pct"/>
            <w:vAlign w:val="center"/>
          </w:tcPr>
          <w:p>
            <w:pPr>
              <w:widowControl/>
              <w:tabs>
                <w:tab w:val="center" w:pos="4201"/>
                <w:tab w:val="right" w:leader="dot" w:pos="9298"/>
              </w:tabs>
              <w:autoSpaceDE w:val="0"/>
              <w:autoSpaceDN w:val="0"/>
              <w:jc w:val="center"/>
              <w:rPr>
                <w:kern w:val="0"/>
              </w:rPr>
            </w:pPr>
            <w:r>
              <w:rPr>
                <w:kern w:val="0"/>
              </w:rPr>
              <w:t>外加剂</w:t>
            </w:r>
          </w:p>
        </w:tc>
        <w:tc>
          <w:tcPr>
            <w:tcW w:w="600" w:type="pct"/>
            <w:vAlign w:val="center"/>
          </w:tcPr>
          <w:p>
            <w:pPr>
              <w:widowControl/>
              <w:tabs>
                <w:tab w:val="center" w:pos="4201"/>
                <w:tab w:val="right" w:leader="dot" w:pos="9298"/>
              </w:tabs>
              <w:autoSpaceDE w:val="0"/>
              <w:autoSpaceDN w:val="0"/>
              <w:jc w:val="center"/>
              <w:rPr>
                <w:kern w:val="0"/>
              </w:rPr>
            </w:pPr>
            <w:r>
              <w:rPr>
                <w:rFonts w:hint="eastAsia"/>
                <w:kern w:val="0"/>
              </w:rPr>
              <w:t>钢渣粉</w:t>
            </w:r>
          </w:p>
        </w:tc>
        <w:tc>
          <w:tcPr>
            <w:tcW w:w="600" w:type="pct"/>
            <w:vAlign w:val="center"/>
          </w:tcPr>
          <w:p>
            <w:pPr>
              <w:widowControl/>
              <w:tabs>
                <w:tab w:val="center" w:pos="4201"/>
                <w:tab w:val="right" w:leader="dot" w:pos="9298"/>
              </w:tabs>
              <w:autoSpaceDE w:val="0"/>
              <w:autoSpaceDN w:val="0"/>
              <w:jc w:val="center"/>
              <w:rPr>
                <w:kern w:val="0"/>
              </w:rPr>
            </w:pPr>
            <w:r>
              <w:rPr>
                <w:rFonts w:hint="eastAsia"/>
                <w:kern w:val="0"/>
              </w:rPr>
              <w:t>其他</w:t>
            </w:r>
            <w:r>
              <w:rPr>
                <w:kern w:val="0"/>
              </w:rPr>
              <w:t>掺合料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6" w:type="pct"/>
            <w:vAlign w:val="center"/>
          </w:tcPr>
          <w:p>
            <w:pPr>
              <w:widowControl/>
              <w:tabs>
                <w:tab w:val="center" w:pos="4201"/>
                <w:tab w:val="right" w:leader="dot" w:pos="9298"/>
              </w:tabs>
              <w:autoSpaceDE w:val="0"/>
              <w:autoSpaceDN w:val="0"/>
              <w:jc w:val="center"/>
              <w:rPr>
                <w:kern w:val="0"/>
              </w:rPr>
            </w:pPr>
            <w:r>
              <w:rPr>
                <w:kern w:val="0"/>
              </w:rPr>
              <w:t>每盘计量允许偏差</w:t>
            </w:r>
          </w:p>
        </w:tc>
        <w:tc>
          <w:tcPr>
            <w:tcW w:w="597" w:type="pct"/>
            <w:vAlign w:val="center"/>
          </w:tcPr>
          <w:p>
            <w:pPr>
              <w:widowControl/>
              <w:tabs>
                <w:tab w:val="center" w:pos="4201"/>
                <w:tab w:val="right" w:leader="dot" w:pos="9298"/>
              </w:tabs>
              <w:autoSpaceDE w:val="0"/>
              <w:autoSpaceDN w:val="0"/>
              <w:jc w:val="center"/>
              <w:rPr>
                <w:kern w:val="0"/>
              </w:rPr>
            </w:pPr>
            <w:r>
              <w:rPr>
                <w:rFonts w:hint="eastAsia" w:ascii="宋体" w:hAnsi="宋体" w:cs="宋体"/>
                <w:kern w:val="0"/>
              </w:rPr>
              <w:t>±</w:t>
            </w:r>
            <w:r>
              <w:rPr>
                <w:kern w:val="0"/>
              </w:rPr>
              <w:t>2</w:t>
            </w:r>
          </w:p>
        </w:tc>
        <w:tc>
          <w:tcPr>
            <w:tcW w:w="597" w:type="pct"/>
            <w:vAlign w:val="center"/>
          </w:tcPr>
          <w:p>
            <w:pPr>
              <w:widowControl/>
              <w:tabs>
                <w:tab w:val="center" w:pos="4201"/>
                <w:tab w:val="right" w:leader="dot" w:pos="9298"/>
              </w:tabs>
              <w:autoSpaceDE w:val="0"/>
              <w:autoSpaceDN w:val="0"/>
              <w:jc w:val="center"/>
              <w:rPr>
                <w:kern w:val="0"/>
              </w:rPr>
            </w:pPr>
            <w:r>
              <w:rPr>
                <w:rFonts w:hint="eastAsia" w:ascii="宋体" w:hAnsi="宋体" w:cs="宋体"/>
                <w:kern w:val="0"/>
              </w:rPr>
              <w:t>±</w:t>
            </w:r>
            <w:r>
              <w:rPr>
                <w:kern w:val="0"/>
              </w:rPr>
              <w:t>3</w:t>
            </w:r>
          </w:p>
        </w:tc>
        <w:tc>
          <w:tcPr>
            <w:tcW w:w="597" w:type="pct"/>
            <w:vAlign w:val="center"/>
          </w:tcPr>
          <w:p>
            <w:pPr>
              <w:widowControl/>
              <w:tabs>
                <w:tab w:val="center" w:pos="4201"/>
                <w:tab w:val="right" w:leader="dot" w:pos="9298"/>
              </w:tabs>
              <w:autoSpaceDE w:val="0"/>
              <w:autoSpaceDN w:val="0"/>
              <w:jc w:val="center"/>
              <w:rPr>
                <w:kern w:val="0"/>
              </w:rPr>
            </w:pPr>
            <w:r>
              <w:rPr>
                <w:rFonts w:hint="eastAsia" w:ascii="宋体" w:hAnsi="宋体" w:cs="宋体"/>
                <w:kern w:val="0"/>
              </w:rPr>
              <w:t>±</w:t>
            </w:r>
            <w:r>
              <w:rPr>
                <w:kern w:val="0"/>
              </w:rPr>
              <w:t>1</w:t>
            </w:r>
          </w:p>
        </w:tc>
        <w:tc>
          <w:tcPr>
            <w:tcW w:w="597" w:type="pct"/>
            <w:vAlign w:val="center"/>
          </w:tcPr>
          <w:p>
            <w:pPr>
              <w:widowControl/>
              <w:tabs>
                <w:tab w:val="center" w:pos="4201"/>
                <w:tab w:val="right" w:leader="dot" w:pos="9298"/>
              </w:tabs>
              <w:autoSpaceDE w:val="0"/>
              <w:autoSpaceDN w:val="0"/>
              <w:jc w:val="center"/>
              <w:rPr>
                <w:kern w:val="0"/>
              </w:rPr>
            </w:pPr>
            <w:r>
              <w:rPr>
                <w:rFonts w:hint="eastAsia" w:ascii="宋体" w:hAnsi="宋体" w:cs="宋体"/>
                <w:kern w:val="0"/>
              </w:rPr>
              <w:t>±</w:t>
            </w:r>
            <w:r>
              <w:rPr>
                <w:kern w:val="0"/>
              </w:rPr>
              <w:t>1</w:t>
            </w:r>
          </w:p>
        </w:tc>
        <w:tc>
          <w:tcPr>
            <w:tcW w:w="600" w:type="pct"/>
            <w:vAlign w:val="center"/>
          </w:tcPr>
          <w:p>
            <w:pPr>
              <w:widowControl/>
              <w:tabs>
                <w:tab w:val="center" w:pos="4201"/>
                <w:tab w:val="right" w:leader="dot" w:pos="9298"/>
              </w:tabs>
              <w:autoSpaceDE w:val="0"/>
              <w:autoSpaceDN w:val="0"/>
              <w:jc w:val="center"/>
              <w:rPr>
                <w:rFonts w:ascii="宋体" w:hAnsi="宋体" w:cs="宋体"/>
                <w:kern w:val="0"/>
              </w:rPr>
            </w:pPr>
            <w:r>
              <w:rPr>
                <w:rFonts w:hint="eastAsia" w:ascii="宋体" w:hAnsi="宋体" w:cs="宋体"/>
                <w:kern w:val="0"/>
              </w:rPr>
              <w:t>±</w:t>
            </w:r>
            <w:r>
              <w:rPr>
                <w:kern w:val="0"/>
              </w:rPr>
              <w:t>2</w:t>
            </w:r>
          </w:p>
        </w:tc>
        <w:tc>
          <w:tcPr>
            <w:tcW w:w="600" w:type="pct"/>
            <w:vAlign w:val="center"/>
          </w:tcPr>
          <w:p>
            <w:pPr>
              <w:widowControl/>
              <w:tabs>
                <w:tab w:val="center" w:pos="4201"/>
                <w:tab w:val="right" w:leader="dot" w:pos="9298"/>
              </w:tabs>
              <w:autoSpaceDE w:val="0"/>
              <w:autoSpaceDN w:val="0"/>
              <w:jc w:val="center"/>
              <w:rPr>
                <w:kern w:val="0"/>
              </w:rPr>
            </w:pPr>
            <w:r>
              <w:rPr>
                <w:rFonts w:hint="eastAsia" w:ascii="宋体" w:hAnsi="宋体" w:cs="宋体"/>
                <w:kern w:val="0"/>
              </w:rPr>
              <w:t>±</w:t>
            </w:r>
            <w:r>
              <w:rPr>
                <w:kern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6" w:type="pct"/>
            <w:vAlign w:val="center"/>
          </w:tcPr>
          <w:p>
            <w:pPr>
              <w:widowControl/>
              <w:tabs>
                <w:tab w:val="center" w:pos="4201"/>
                <w:tab w:val="right" w:leader="dot" w:pos="9298"/>
              </w:tabs>
              <w:autoSpaceDE w:val="0"/>
              <w:autoSpaceDN w:val="0"/>
              <w:jc w:val="center"/>
              <w:rPr>
                <w:kern w:val="0"/>
              </w:rPr>
            </w:pPr>
            <w:r>
              <w:rPr>
                <w:kern w:val="0"/>
              </w:rPr>
              <w:t>累计计量允许偏差</w:t>
            </w:r>
          </w:p>
        </w:tc>
        <w:tc>
          <w:tcPr>
            <w:tcW w:w="597" w:type="pct"/>
            <w:vAlign w:val="center"/>
          </w:tcPr>
          <w:p>
            <w:pPr>
              <w:widowControl/>
              <w:tabs>
                <w:tab w:val="center" w:pos="4201"/>
                <w:tab w:val="right" w:leader="dot" w:pos="9298"/>
              </w:tabs>
              <w:autoSpaceDE w:val="0"/>
              <w:autoSpaceDN w:val="0"/>
              <w:jc w:val="center"/>
              <w:rPr>
                <w:kern w:val="0"/>
              </w:rPr>
            </w:pPr>
            <w:r>
              <w:rPr>
                <w:rFonts w:hint="eastAsia" w:ascii="宋体" w:hAnsi="宋体" w:cs="宋体"/>
                <w:kern w:val="0"/>
              </w:rPr>
              <w:t>±</w:t>
            </w:r>
            <w:r>
              <w:rPr>
                <w:kern w:val="0"/>
              </w:rPr>
              <w:t>1</w:t>
            </w:r>
          </w:p>
        </w:tc>
        <w:tc>
          <w:tcPr>
            <w:tcW w:w="597" w:type="pct"/>
            <w:vAlign w:val="center"/>
          </w:tcPr>
          <w:p>
            <w:pPr>
              <w:widowControl/>
              <w:tabs>
                <w:tab w:val="center" w:pos="4201"/>
                <w:tab w:val="right" w:leader="dot" w:pos="9298"/>
              </w:tabs>
              <w:autoSpaceDE w:val="0"/>
              <w:autoSpaceDN w:val="0"/>
              <w:jc w:val="center"/>
              <w:rPr>
                <w:kern w:val="0"/>
              </w:rPr>
            </w:pPr>
            <w:r>
              <w:rPr>
                <w:rFonts w:hint="eastAsia" w:ascii="宋体" w:hAnsi="宋体" w:cs="宋体"/>
                <w:kern w:val="0"/>
              </w:rPr>
              <w:t>±</w:t>
            </w:r>
            <w:r>
              <w:rPr>
                <w:kern w:val="0"/>
              </w:rPr>
              <w:t>2</w:t>
            </w:r>
          </w:p>
        </w:tc>
        <w:tc>
          <w:tcPr>
            <w:tcW w:w="597" w:type="pct"/>
            <w:vAlign w:val="center"/>
          </w:tcPr>
          <w:p>
            <w:pPr>
              <w:widowControl/>
              <w:tabs>
                <w:tab w:val="center" w:pos="4201"/>
                <w:tab w:val="right" w:leader="dot" w:pos="9298"/>
              </w:tabs>
              <w:autoSpaceDE w:val="0"/>
              <w:autoSpaceDN w:val="0"/>
              <w:jc w:val="center"/>
              <w:rPr>
                <w:kern w:val="0"/>
              </w:rPr>
            </w:pPr>
            <w:r>
              <w:rPr>
                <w:rFonts w:hint="eastAsia" w:ascii="宋体" w:hAnsi="宋体" w:cs="宋体"/>
                <w:kern w:val="0"/>
              </w:rPr>
              <w:t>±</w:t>
            </w:r>
            <w:r>
              <w:rPr>
                <w:kern w:val="0"/>
              </w:rPr>
              <w:t>1</w:t>
            </w:r>
          </w:p>
        </w:tc>
        <w:tc>
          <w:tcPr>
            <w:tcW w:w="597" w:type="pct"/>
            <w:vAlign w:val="center"/>
          </w:tcPr>
          <w:p>
            <w:pPr>
              <w:widowControl/>
              <w:tabs>
                <w:tab w:val="center" w:pos="4201"/>
                <w:tab w:val="right" w:leader="dot" w:pos="9298"/>
              </w:tabs>
              <w:autoSpaceDE w:val="0"/>
              <w:autoSpaceDN w:val="0"/>
              <w:jc w:val="center"/>
              <w:rPr>
                <w:kern w:val="0"/>
              </w:rPr>
            </w:pPr>
            <w:r>
              <w:rPr>
                <w:rFonts w:hint="eastAsia" w:ascii="宋体" w:hAnsi="宋体" w:cs="宋体"/>
                <w:kern w:val="0"/>
              </w:rPr>
              <w:t>±</w:t>
            </w:r>
            <w:r>
              <w:rPr>
                <w:kern w:val="0"/>
              </w:rPr>
              <w:t>1</w:t>
            </w:r>
          </w:p>
        </w:tc>
        <w:tc>
          <w:tcPr>
            <w:tcW w:w="600" w:type="pct"/>
            <w:vAlign w:val="center"/>
          </w:tcPr>
          <w:p>
            <w:pPr>
              <w:widowControl/>
              <w:tabs>
                <w:tab w:val="center" w:pos="4201"/>
                <w:tab w:val="right" w:leader="dot" w:pos="9298"/>
              </w:tabs>
              <w:autoSpaceDE w:val="0"/>
              <w:autoSpaceDN w:val="0"/>
              <w:jc w:val="center"/>
              <w:rPr>
                <w:rFonts w:ascii="宋体" w:hAnsi="宋体" w:cs="宋体"/>
                <w:kern w:val="0"/>
              </w:rPr>
            </w:pPr>
            <w:r>
              <w:rPr>
                <w:rFonts w:hint="eastAsia" w:ascii="宋体" w:hAnsi="宋体" w:cs="宋体"/>
                <w:kern w:val="0"/>
              </w:rPr>
              <w:t>±</w:t>
            </w:r>
            <w:r>
              <w:rPr>
                <w:kern w:val="0"/>
              </w:rPr>
              <w:t>1</w:t>
            </w:r>
          </w:p>
        </w:tc>
        <w:tc>
          <w:tcPr>
            <w:tcW w:w="600" w:type="pct"/>
            <w:vAlign w:val="center"/>
          </w:tcPr>
          <w:p>
            <w:pPr>
              <w:widowControl/>
              <w:tabs>
                <w:tab w:val="center" w:pos="4201"/>
                <w:tab w:val="right" w:leader="dot" w:pos="9298"/>
              </w:tabs>
              <w:autoSpaceDE w:val="0"/>
              <w:autoSpaceDN w:val="0"/>
              <w:jc w:val="center"/>
              <w:rPr>
                <w:kern w:val="0"/>
              </w:rPr>
            </w:pPr>
            <w:r>
              <w:rPr>
                <w:rFonts w:hint="eastAsia" w:ascii="宋体" w:hAnsi="宋体" w:cs="宋体"/>
                <w:kern w:val="0"/>
              </w:rPr>
              <w:t>±</w:t>
            </w:r>
            <w:r>
              <w:rPr>
                <w:kern w:val="0"/>
              </w:rPr>
              <w:t>1</w:t>
            </w:r>
          </w:p>
        </w:tc>
      </w:tr>
    </w:tbl>
    <w:p>
      <w:pPr>
        <w:widowControl/>
        <w:tabs>
          <w:tab w:val="center" w:pos="4201"/>
          <w:tab w:val="right" w:leader="dot" w:pos="9298"/>
        </w:tabs>
        <w:autoSpaceDE w:val="0"/>
        <w:autoSpaceDN w:val="0"/>
        <w:spacing w:line="360" w:lineRule="auto"/>
        <w:rPr>
          <w:kern w:val="0"/>
        </w:rPr>
      </w:pPr>
      <w:r>
        <w:rPr>
          <w:kern w:val="0"/>
        </w:rPr>
        <w:t>注：累计计量允许偏差是指每一运输车中各盘混凝土的每种材料计量和的偏差。</w:t>
      </w:r>
    </w:p>
    <w:p>
      <w:pPr>
        <w:spacing w:line="360" w:lineRule="auto"/>
        <w:rPr>
          <w:sz w:val="24"/>
          <w:szCs w:val="24"/>
        </w:rPr>
      </w:pPr>
      <w:r>
        <w:rPr>
          <w:rFonts w:hint="eastAsia"/>
          <w:sz w:val="24"/>
          <w:szCs w:val="24"/>
        </w:rPr>
        <w:t>6</w:t>
      </w:r>
      <w:r>
        <w:rPr>
          <w:sz w:val="24"/>
          <w:szCs w:val="24"/>
        </w:rPr>
        <w:t>.2.5  原材料计量过程中，应根据粗、细骨料含水率的变化，调整粗、细骨料和拌合用水的用量。</w:t>
      </w:r>
    </w:p>
    <w:p>
      <w:pPr>
        <w:spacing w:before="156" w:beforeLines="50" w:after="156" w:afterLines="50" w:line="360" w:lineRule="auto"/>
        <w:jc w:val="center"/>
        <w:outlineLvl w:val="1"/>
        <w:rPr>
          <w:b/>
          <w:bCs/>
          <w:sz w:val="28"/>
          <w:szCs w:val="28"/>
        </w:rPr>
      </w:pPr>
      <w:bookmarkStart w:id="66" w:name="_Toc19731"/>
      <w:bookmarkStart w:id="67" w:name="_Toc5524"/>
      <w:r>
        <w:rPr>
          <w:rFonts w:hint="eastAsia"/>
          <w:b/>
          <w:bCs/>
          <w:sz w:val="28"/>
          <w:szCs w:val="28"/>
        </w:rPr>
        <w:t>6.3  搅拌与运输</w:t>
      </w:r>
      <w:bookmarkEnd w:id="66"/>
      <w:bookmarkEnd w:id="67"/>
    </w:p>
    <w:p>
      <w:pPr>
        <w:spacing w:line="360" w:lineRule="auto"/>
        <w:rPr>
          <w:sz w:val="24"/>
          <w:szCs w:val="24"/>
        </w:rPr>
      </w:pPr>
      <w:r>
        <w:rPr>
          <w:rFonts w:hint="eastAsia"/>
          <w:sz w:val="24"/>
          <w:szCs w:val="24"/>
        </w:rPr>
        <w:t>6</w:t>
      </w:r>
      <w:r>
        <w:rPr>
          <w:sz w:val="24"/>
          <w:szCs w:val="24"/>
        </w:rPr>
        <w:t>.3.1  钢渣粉宜与其他胶凝材料一起投料搅拌；混凝土搅拌应采用强制式搅拌机，搅拌机应符合现行</w:t>
      </w:r>
      <w:r>
        <w:rPr>
          <w:rFonts w:hint="eastAsia"/>
          <w:sz w:val="24"/>
          <w:szCs w:val="24"/>
        </w:rPr>
        <w:t>的</w:t>
      </w:r>
      <w:r>
        <w:rPr>
          <w:sz w:val="24"/>
          <w:szCs w:val="24"/>
        </w:rPr>
        <w:t>国家标准《建筑施工机械与设备 混凝土搅拌机》GB/T 9142的有关规定，预拌混凝土企业生产采用的搅拌机应符合现行国家标准《建筑施工机械与设备 混凝土搅拌站（楼）》GB/T 10171的有关规定。</w:t>
      </w:r>
    </w:p>
    <w:p>
      <w:pPr>
        <w:spacing w:line="360" w:lineRule="auto"/>
        <w:rPr>
          <w:sz w:val="24"/>
          <w:szCs w:val="24"/>
        </w:rPr>
      </w:pPr>
      <w:r>
        <w:rPr>
          <w:rFonts w:hint="eastAsia"/>
          <w:sz w:val="24"/>
          <w:szCs w:val="24"/>
        </w:rPr>
        <w:t>6</w:t>
      </w:r>
      <w:r>
        <w:rPr>
          <w:sz w:val="24"/>
          <w:szCs w:val="24"/>
        </w:rPr>
        <w:t>.3.2  混凝土拌合物应搅拌均匀；同一盘混凝土的搅拌匀质性应符合现行国家标准《混凝土质量控制标准》GB 50164的有关规定。</w:t>
      </w:r>
    </w:p>
    <w:p>
      <w:pPr>
        <w:spacing w:line="360" w:lineRule="auto"/>
        <w:rPr>
          <w:sz w:val="24"/>
          <w:szCs w:val="24"/>
        </w:rPr>
      </w:pPr>
      <w:r>
        <w:rPr>
          <w:rFonts w:hint="eastAsia"/>
          <w:sz w:val="24"/>
          <w:szCs w:val="24"/>
        </w:rPr>
        <w:t>6</w:t>
      </w:r>
      <w:r>
        <w:rPr>
          <w:sz w:val="24"/>
          <w:szCs w:val="24"/>
        </w:rPr>
        <w:t>.3.3  混凝土运输应采用符合现行</w:t>
      </w:r>
      <w:r>
        <w:rPr>
          <w:rFonts w:hint="eastAsia"/>
          <w:sz w:val="24"/>
          <w:szCs w:val="24"/>
        </w:rPr>
        <w:t>的</w:t>
      </w:r>
      <w:r>
        <w:rPr>
          <w:sz w:val="24"/>
          <w:szCs w:val="24"/>
        </w:rPr>
        <w:t>国家标准《混凝土搅拌运输车》GB/T 26408规定的搅拌运输车，混凝土运输到建筑施工点时不应离析。</w:t>
      </w:r>
    </w:p>
    <w:p>
      <w:pPr>
        <w:spacing w:before="156" w:beforeLines="50" w:after="156" w:afterLines="50" w:line="360" w:lineRule="auto"/>
        <w:jc w:val="center"/>
        <w:outlineLvl w:val="1"/>
        <w:rPr>
          <w:b/>
          <w:bCs/>
          <w:sz w:val="28"/>
          <w:szCs w:val="28"/>
        </w:rPr>
      </w:pPr>
      <w:bookmarkStart w:id="68" w:name="_Toc2042"/>
      <w:bookmarkStart w:id="69" w:name="_Toc5040"/>
      <w:r>
        <w:rPr>
          <w:rFonts w:hint="eastAsia"/>
          <w:b/>
          <w:bCs/>
          <w:sz w:val="28"/>
          <w:szCs w:val="28"/>
        </w:rPr>
        <w:t>6.4  浇筑</w:t>
      </w:r>
      <w:bookmarkEnd w:id="68"/>
      <w:bookmarkEnd w:id="69"/>
    </w:p>
    <w:p>
      <w:pPr>
        <w:spacing w:line="360" w:lineRule="auto"/>
        <w:rPr>
          <w:sz w:val="24"/>
          <w:szCs w:val="24"/>
        </w:rPr>
      </w:pPr>
      <w:r>
        <w:rPr>
          <w:rFonts w:hint="eastAsia"/>
          <w:sz w:val="24"/>
          <w:szCs w:val="24"/>
        </w:rPr>
        <w:t>6</w:t>
      </w:r>
      <w:r>
        <w:rPr>
          <w:sz w:val="24"/>
          <w:szCs w:val="24"/>
        </w:rPr>
        <w:t>.4.1  混凝土运送到施工现场时，实测坍落度与要求坍落度之间的允许偏差应符合本</w:t>
      </w:r>
      <w:r>
        <w:rPr>
          <w:rFonts w:hint="eastAsia"/>
          <w:sz w:val="24"/>
          <w:szCs w:val="24"/>
        </w:rPr>
        <w:t>规范</w:t>
      </w:r>
      <w:r>
        <w:rPr>
          <w:sz w:val="24"/>
          <w:szCs w:val="24"/>
        </w:rPr>
        <w:t>第5.1.2条的规定。</w:t>
      </w:r>
    </w:p>
    <w:p>
      <w:pPr>
        <w:spacing w:line="360" w:lineRule="auto"/>
        <w:rPr>
          <w:sz w:val="24"/>
          <w:szCs w:val="24"/>
        </w:rPr>
      </w:pPr>
      <w:r>
        <w:rPr>
          <w:rFonts w:hint="eastAsia"/>
          <w:sz w:val="24"/>
          <w:szCs w:val="24"/>
        </w:rPr>
        <w:t>6</w:t>
      </w:r>
      <w:r>
        <w:rPr>
          <w:sz w:val="24"/>
          <w:szCs w:val="24"/>
        </w:rPr>
        <w:t>.4.2  夏季施工时，混凝土拌合物入模温度不应超过35°C，大体积混凝土拌合物入模温度不宜超过30°C；施工现场环境温度高于35°C时，应采取遮阳和降温措施或避开高温时段浇筑混凝土。</w:t>
      </w:r>
    </w:p>
    <w:p>
      <w:pPr>
        <w:spacing w:line="360" w:lineRule="auto"/>
        <w:rPr>
          <w:sz w:val="24"/>
          <w:szCs w:val="24"/>
        </w:rPr>
      </w:pPr>
      <w:r>
        <w:rPr>
          <w:rFonts w:hint="eastAsia"/>
          <w:sz w:val="24"/>
          <w:szCs w:val="24"/>
        </w:rPr>
        <w:t>6</w:t>
      </w:r>
      <w:r>
        <w:rPr>
          <w:sz w:val="24"/>
          <w:szCs w:val="24"/>
        </w:rPr>
        <w:t>.4.3  冬期施工，应符合现行</w:t>
      </w:r>
      <w:r>
        <w:rPr>
          <w:rFonts w:hint="eastAsia"/>
          <w:sz w:val="24"/>
          <w:szCs w:val="24"/>
        </w:rPr>
        <w:t>的</w:t>
      </w:r>
      <w:r>
        <w:rPr>
          <w:sz w:val="24"/>
          <w:szCs w:val="24"/>
        </w:rPr>
        <w:t>行业标准《建筑工程冬期施工规程》JGJ/T 104的有关规定。</w:t>
      </w:r>
    </w:p>
    <w:p>
      <w:pPr>
        <w:spacing w:line="360" w:lineRule="auto"/>
        <w:rPr>
          <w:sz w:val="24"/>
          <w:szCs w:val="24"/>
        </w:rPr>
      </w:pPr>
      <w:r>
        <w:rPr>
          <w:rFonts w:hint="eastAsia"/>
          <w:sz w:val="24"/>
          <w:szCs w:val="24"/>
        </w:rPr>
        <w:t>6</w:t>
      </w:r>
      <w:r>
        <w:rPr>
          <w:sz w:val="24"/>
          <w:szCs w:val="24"/>
        </w:rPr>
        <w:t>.4.4  混凝土浇筑时应避免漏振或过振。振捣后的混凝土表面不应出现明显的浮浆层。</w:t>
      </w:r>
    </w:p>
    <w:p>
      <w:pPr>
        <w:spacing w:line="360" w:lineRule="auto"/>
        <w:rPr>
          <w:sz w:val="24"/>
          <w:szCs w:val="24"/>
        </w:rPr>
      </w:pPr>
      <w:r>
        <w:rPr>
          <w:rFonts w:hint="eastAsia"/>
          <w:sz w:val="24"/>
          <w:szCs w:val="24"/>
        </w:rPr>
        <w:t>6</w:t>
      </w:r>
      <w:r>
        <w:rPr>
          <w:sz w:val="24"/>
          <w:szCs w:val="24"/>
        </w:rPr>
        <w:t>.4.5  混凝土在初凝前和终凝前，宜分别对混凝土裸露表面进行抹面处理。</w:t>
      </w:r>
    </w:p>
    <w:p>
      <w:pPr>
        <w:spacing w:before="156" w:beforeLines="50" w:after="156" w:afterLines="50" w:line="360" w:lineRule="auto"/>
        <w:jc w:val="center"/>
        <w:outlineLvl w:val="1"/>
        <w:rPr>
          <w:b/>
          <w:bCs/>
          <w:sz w:val="28"/>
          <w:szCs w:val="28"/>
        </w:rPr>
      </w:pPr>
      <w:bookmarkStart w:id="70" w:name="_Toc4306"/>
      <w:bookmarkStart w:id="71" w:name="_Toc12418"/>
      <w:r>
        <w:rPr>
          <w:rFonts w:hint="eastAsia"/>
          <w:b/>
          <w:bCs/>
          <w:sz w:val="28"/>
          <w:szCs w:val="28"/>
        </w:rPr>
        <w:t>6.5  养护</w:t>
      </w:r>
      <w:bookmarkEnd w:id="70"/>
      <w:bookmarkEnd w:id="71"/>
    </w:p>
    <w:p>
      <w:pPr>
        <w:spacing w:line="360" w:lineRule="auto"/>
        <w:rPr>
          <w:sz w:val="24"/>
          <w:szCs w:val="24"/>
        </w:rPr>
      </w:pPr>
      <w:r>
        <w:rPr>
          <w:rFonts w:hint="eastAsia"/>
          <w:sz w:val="24"/>
          <w:szCs w:val="24"/>
        </w:rPr>
        <w:t>6</w:t>
      </w:r>
      <w:r>
        <w:rPr>
          <w:sz w:val="24"/>
          <w:szCs w:val="24"/>
        </w:rPr>
        <w:t>.5.1  混凝土的养护应符合现行国家标准《混凝土质量控制标准》GB 50164和《混凝土结构工程施工规范》GB 50666的有关规定。掺钢渣粉的大体积混凝土的养护应符合现行国家标准《大体积混凝土施工标准》GB 50496的有关规定。</w:t>
      </w:r>
    </w:p>
    <w:p>
      <w:pPr>
        <w:spacing w:line="360" w:lineRule="auto"/>
        <w:rPr>
          <w:sz w:val="24"/>
          <w:szCs w:val="24"/>
        </w:rPr>
      </w:pPr>
      <w:r>
        <w:rPr>
          <w:rFonts w:hint="eastAsia"/>
          <w:sz w:val="24"/>
          <w:szCs w:val="24"/>
        </w:rPr>
        <w:t>6</w:t>
      </w:r>
      <w:r>
        <w:rPr>
          <w:sz w:val="24"/>
          <w:szCs w:val="24"/>
        </w:rPr>
        <w:t>.5.2  混凝土浇筑后，应立即进行保湿养护。保湿养护可采用洒水、覆盖薄膜、喷涂养护剂等方式。</w:t>
      </w:r>
    </w:p>
    <w:p>
      <w:pPr>
        <w:spacing w:line="360" w:lineRule="auto"/>
        <w:rPr>
          <w:sz w:val="24"/>
          <w:szCs w:val="24"/>
        </w:rPr>
      </w:pPr>
      <w:r>
        <w:rPr>
          <w:rFonts w:hint="eastAsia"/>
          <w:sz w:val="24"/>
          <w:szCs w:val="24"/>
        </w:rPr>
        <w:t xml:space="preserve">6.5.3  </w:t>
      </w:r>
      <w:r>
        <w:rPr>
          <w:sz w:val="24"/>
          <w:szCs w:val="24"/>
        </w:rPr>
        <w:t>掺钢渣粉的混凝土应适当延长养护时间，养护时间宜不少于14d。</w:t>
      </w:r>
    </w:p>
    <w:p>
      <w:pPr>
        <w:spacing w:line="360" w:lineRule="auto"/>
        <w:ind w:firstLine="420" w:firstLineChars="200"/>
        <w:rPr>
          <w:szCs w:val="22"/>
        </w:rPr>
      </w:pPr>
    </w:p>
    <w:p>
      <w:pPr>
        <w:rPr>
          <w:b/>
          <w:bCs/>
          <w:szCs w:val="22"/>
        </w:rPr>
      </w:pPr>
      <w:bookmarkStart w:id="72" w:name="_Toc20589"/>
      <w:bookmarkStart w:id="73" w:name="_Toc1903"/>
      <w:bookmarkStart w:id="74" w:name="_Toc18427"/>
      <w:bookmarkStart w:id="75" w:name="_Toc24801"/>
      <w:bookmarkStart w:id="76" w:name="_Toc5835"/>
      <w:r>
        <w:rPr>
          <w:rFonts w:hint="eastAsia"/>
          <w:b/>
          <w:bCs/>
          <w:szCs w:val="22"/>
        </w:rPr>
        <w:br w:type="page"/>
      </w:r>
    </w:p>
    <w:bookmarkEnd w:id="72"/>
    <w:bookmarkEnd w:id="73"/>
    <w:bookmarkEnd w:id="74"/>
    <w:bookmarkEnd w:id="75"/>
    <w:bookmarkEnd w:id="76"/>
    <w:p>
      <w:pPr>
        <w:spacing w:before="312" w:beforeLines="100" w:after="312" w:afterLines="100" w:line="360" w:lineRule="auto"/>
        <w:jc w:val="center"/>
        <w:outlineLvl w:val="0"/>
        <w:rPr>
          <w:b/>
          <w:bCs/>
          <w:sz w:val="30"/>
          <w:szCs w:val="30"/>
        </w:rPr>
      </w:pPr>
      <w:bookmarkStart w:id="77" w:name="_Toc5776"/>
      <w:bookmarkStart w:id="78" w:name="_Toc6030"/>
      <w:r>
        <w:rPr>
          <w:rFonts w:hint="eastAsia"/>
          <w:b/>
          <w:bCs/>
          <w:sz w:val="30"/>
          <w:szCs w:val="30"/>
        </w:rPr>
        <w:t>7</w:t>
      </w:r>
      <w:r>
        <w:rPr>
          <w:b/>
          <w:bCs/>
          <w:sz w:val="30"/>
          <w:szCs w:val="30"/>
        </w:rPr>
        <w:t xml:space="preserve">  </w:t>
      </w:r>
      <w:r>
        <w:rPr>
          <w:rFonts w:hint="eastAsia"/>
          <w:b/>
          <w:bCs/>
          <w:sz w:val="30"/>
          <w:szCs w:val="30"/>
        </w:rPr>
        <w:t>质量检验</w:t>
      </w:r>
      <w:bookmarkEnd w:id="77"/>
      <w:bookmarkEnd w:id="78"/>
    </w:p>
    <w:p>
      <w:pPr>
        <w:spacing w:before="156" w:beforeLines="50" w:after="156" w:afterLines="50" w:line="360" w:lineRule="auto"/>
        <w:jc w:val="center"/>
        <w:outlineLvl w:val="1"/>
        <w:rPr>
          <w:b/>
          <w:bCs/>
          <w:sz w:val="28"/>
          <w:szCs w:val="28"/>
        </w:rPr>
      </w:pPr>
      <w:bookmarkStart w:id="79" w:name="_Toc24846"/>
      <w:bookmarkStart w:id="80" w:name="_Toc32183"/>
      <w:r>
        <w:rPr>
          <w:rFonts w:hint="eastAsia"/>
          <w:b/>
          <w:bCs/>
          <w:sz w:val="28"/>
          <w:szCs w:val="28"/>
        </w:rPr>
        <w:t>7.</w:t>
      </w:r>
      <w:r>
        <w:rPr>
          <w:b/>
          <w:bCs/>
          <w:sz w:val="28"/>
          <w:szCs w:val="28"/>
        </w:rPr>
        <w:t xml:space="preserve">1  </w:t>
      </w:r>
      <w:r>
        <w:rPr>
          <w:rFonts w:hint="eastAsia"/>
          <w:b/>
          <w:bCs/>
          <w:sz w:val="28"/>
          <w:szCs w:val="28"/>
        </w:rPr>
        <w:t>原材料质量检验</w:t>
      </w:r>
      <w:bookmarkEnd w:id="79"/>
      <w:bookmarkEnd w:id="80"/>
    </w:p>
    <w:p>
      <w:pPr>
        <w:spacing w:line="360" w:lineRule="auto"/>
        <w:rPr>
          <w:sz w:val="24"/>
          <w:szCs w:val="24"/>
        </w:rPr>
      </w:pPr>
      <w:r>
        <w:rPr>
          <w:rFonts w:hint="eastAsia"/>
          <w:sz w:val="24"/>
          <w:szCs w:val="24"/>
        </w:rPr>
        <w:t>7.</w:t>
      </w:r>
      <w:r>
        <w:rPr>
          <w:sz w:val="24"/>
          <w:szCs w:val="24"/>
        </w:rPr>
        <w:t xml:space="preserve">1.1  </w:t>
      </w:r>
      <w:r>
        <w:rPr>
          <w:rFonts w:hint="eastAsia"/>
          <w:sz w:val="24"/>
          <w:szCs w:val="24"/>
        </w:rPr>
        <w:t>混凝土原材料进场时，应按规定划分的检验批验收出厂检验报告或合格证等质量证明文件，外加剂产品还应具有使用说明书。</w:t>
      </w:r>
    </w:p>
    <w:p>
      <w:pPr>
        <w:spacing w:line="360" w:lineRule="auto"/>
        <w:rPr>
          <w:sz w:val="24"/>
          <w:szCs w:val="24"/>
        </w:rPr>
      </w:pPr>
      <w:r>
        <w:rPr>
          <w:rFonts w:hint="eastAsia"/>
          <w:sz w:val="24"/>
          <w:szCs w:val="24"/>
        </w:rPr>
        <w:t>7.1.2  混凝土原材料进场时应对材料的外观、规格、等级、生产日期等进行检查，并应按检验批随机抽取样品进行检验，每个检验批检验不得少于1次。</w:t>
      </w:r>
    </w:p>
    <w:p>
      <w:pPr>
        <w:spacing w:line="360" w:lineRule="auto"/>
        <w:rPr>
          <w:sz w:val="24"/>
          <w:szCs w:val="24"/>
        </w:rPr>
      </w:pPr>
      <w:r>
        <w:rPr>
          <w:rFonts w:hint="eastAsia"/>
          <w:sz w:val="24"/>
          <w:szCs w:val="24"/>
        </w:rPr>
        <w:t>7.1.3  钢渣粉的进场检验项目应包括密度、比表面积、流动度比、活性指数、含水量、不安定组分（</w:t>
      </w:r>
      <w:r>
        <w:rPr>
          <w:rFonts w:hint="eastAsia"/>
          <w:i/>
          <w:iCs/>
          <w:sz w:val="24"/>
          <w:szCs w:val="24"/>
        </w:rPr>
        <w:t>f</w:t>
      </w:r>
      <w:r>
        <w:rPr>
          <w:rFonts w:hint="eastAsia"/>
          <w:sz w:val="24"/>
          <w:szCs w:val="24"/>
        </w:rPr>
        <w:t>-CaO和MgO）含量</w:t>
      </w:r>
      <w:r>
        <w:rPr>
          <w:rFonts w:hint="eastAsia"/>
          <w:sz w:val="24"/>
          <w:szCs w:val="24"/>
          <w:lang w:eastAsia="zh-CN"/>
        </w:rPr>
        <w:t>、</w:t>
      </w:r>
      <w:r>
        <w:rPr>
          <w:rFonts w:hint="eastAsia"/>
          <w:sz w:val="24"/>
          <w:szCs w:val="24"/>
        </w:rPr>
        <w:t>铁含量。</w:t>
      </w:r>
    </w:p>
    <w:p>
      <w:pPr>
        <w:spacing w:line="360" w:lineRule="auto"/>
        <w:rPr>
          <w:sz w:val="24"/>
          <w:szCs w:val="24"/>
        </w:rPr>
      </w:pPr>
      <w:r>
        <w:rPr>
          <w:rFonts w:hint="eastAsia"/>
          <w:sz w:val="24"/>
          <w:szCs w:val="24"/>
        </w:rPr>
        <w:t>7.1.4  钢渣粉应以每200t为一个检验批，每个批次的钢渣粉应来自同一产地、同一厂家、同一类别；供应不足200t时，应以实际供应数量作为一个检验批。</w:t>
      </w:r>
    </w:p>
    <w:p>
      <w:pPr>
        <w:spacing w:line="360" w:lineRule="auto"/>
        <w:rPr>
          <w:sz w:val="24"/>
          <w:szCs w:val="24"/>
        </w:rPr>
      </w:pPr>
      <w:r>
        <w:rPr>
          <w:rFonts w:hint="eastAsia"/>
          <w:sz w:val="24"/>
          <w:szCs w:val="24"/>
        </w:rPr>
        <w:t>7.1.5  钢渣粉检验项目的检验结果均符合技术要求的为合格品，检验结果有两个项目不符合技术要求的为不合格品，有一个项目不符合技术要求时应加倍取样，对不合格的项目进行复检，评定时以复检结果为准</w:t>
      </w:r>
      <w:r>
        <w:rPr>
          <w:rFonts w:hint="eastAsia"/>
          <w:sz w:val="24"/>
          <w:szCs w:val="24"/>
          <w:lang w:eastAsia="zh-CN"/>
        </w:rPr>
        <w:t>，</w:t>
      </w:r>
      <w:r>
        <w:rPr>
          <w:rFonts w:hint="eastAsia"/>
          <w:sz w:val="24"/>
          <w:szCs w:val="24"/>
        </w:rPr>
        <w:t>安定性不合格退场处理。</w:t>
      </w:r>
    </w:p>
    <w:p>
      <w:pPr>
        <w:spacing w:line="360" w:lineRule="auto"/>
        <w:rPr>
          <w:sz w:val="24"/>
          <w:szCs w:val="24"/>
        </w:rPr>
      </w:pPr>
      <w:r>
        <w:rPr>
          <w:rFonts w:hint="eastAsia"/>
          <w:sz w:val="24"/>
          <w:szCs w:val="24"/>
        </w:rPr>
        <w:t>7.1.6  钢渣粉存储期超过6个月时，使用前应按本规范规定的批次进行复验，复验项目同进场检验</w:t>
      </w:r>
      <w:r>
        <w:rPr>
          <w:rFonts w:hint="eastAsia"/>
          <w:sz w:val="24"/>
          <w:szCs w:val="24"/>
          <w:lang w:val="en-US" w:eastAsia="zh-CN"/>
        </w:rPr>
        <w:t>项目</w:t>
      </w:r>
      <w:r>
        <w:rPr>
          <w:rFonts w:hint="eastAsia"/>
          <w:sz w:val="24"/>
          <w:szCs w:val="24"/>
        </w:rPr>
        <w:t>，复验结果应满足本规范第4.1节的规定后方可使用。</w:t>
      </w:r>
    </w:p>
    <w:p>
      <w:pPr>
        <w:spacing w:line="360" w:lineRule="auto"/>
        <w:rPr>
          <w:sz w:val="24"/>
          <w:szCs w:val="24"/>
        </w:rPr>
      </w:pPr>
      <w:r>
        <w:rPr>
          <w:rFonts w:hint="eastAsia"/>
          <w:sz w:val="24"/>
          <w:szCs w:val="24"/>
        </w:rPr>
        <w:t>7.1.7  其他混凝土原材料的检验项目和检验规则应符合现行国家标准《混凝土质量控制标准》GB 50164的有关规定。</w:t>
      </w:r>
    </w:p>
    <w:p>
      <w:pPr>
        <w:spacing w:before="156" w:beforeLines="50" w:after="156" w:afterLines="50" w:line="360" w:lineRule="auto"/>
        <w:jc w:val="center"/>
        <w:outlineLvl w:val="1"/>
        <w:rPr>
          <w:b/>
          <w:bCs/>
          <w:sz w:val="28"/>
          <w:szCs w:val="28"/>
        </w:rPr>
      </w:pPr>
      <w:bookmarkStart w:id="81" w:name="_Toc8981"/>
      <w:bookmarkStart w:id="82" w:name="_Toc5004"/>
      <w:r>
        <w:rPr>
          <w:rFonts w:hint="eastAsia"/>
          <w:b/>
          <w:bCs/>
          <w:sz w:val="28"/>
          <w:szCs w:val="28"/>
        </w:rPr>
        <w:t>7.2  混凝土拌合物性能检验</w:t>
      </w:r>
      <w:bookmarkEnd w:id="81"/>
      <w:bookmarkEnd w:id="82"/>
    </w:p>
    <w:p>
      <w:pPr>
        <w:spacing w:line="360" w:lineRule="auto"/>
        <w:rPr>
          <w:sz w:val="24"/>
          <w:szCs w:val="24"/>
        </w:rPr>
      </w:pPr>
      <w:r>
        <w:rPr>
          <w:rFonts w:hint="eastAsia"/>
          <w:sz w:val="24"/>
          <w:szCs w:val="24"/>
        </w:rPr>
        <w:t>7.2.1  在生产和施工过程中，应在搅拌地点和浇筑地点分别对混凝土拌合物进行抽样检验。</w:t>
      </w:r>
    </w:p>
    <w:p>
      <w:pPr>
        <w:spacing w:line="360" w:lineRule="auto"/>
        <w:rPr>
          <w:sz w:val="24"/>
          <w:szCs w:val="24"/>
        </w:rPr>
      </w:pPr>
      <w:r>
        <w:rPr>
          <w:rFonts w:hint="eastAsia"/>
          <w:sz w:val="24"/>
          <w:szCs w:val="24"/>
        </w:rPr>
        <w:t>7.2.2  混凝土拌合物的检验频率应符合现行国家标准《混凝土结构工程施工质量验收规范》GB 50204的有关规定。</w:t>
      </w:r>
    </w:p>
    <w:p>
      <w:pPr>
        <w:spacing w:line="360" w:lineRule="auto"/>
        <w:rPr>
          <w:sz w:val="24"/>
          <w:szCs w:val="24"/>
        </w:rPr>
      </w:pPr>
      <w:r>
        <w:rPr>
          <w:rFonts w:hint="eastAsia"/>
          <w:sz w:val="24"/>
          <w:szCs w:val="24"/>
        </w:rPr>
        <w:t>7.2.3  掺钢渣粉的混凝土拌合物性能应符合本规范第4.1节的规定。</w:t>
      </w:r>
    </w:p>
    <w:p>
      <w:pPr>
        <w:spacing w:before="156" w:beforeLines="50" w:after="156" w:afterLines="50" w:line="360" w:lineRule="auto"/>
        <w:jc w:val="center"/>
        <w:outlineLvl w:val="1"/>
        <w:rPr>
          <w:b/>
          <w:bCs/>
          <w:sz w:val="28"/>
          <w:szCs w:val="28"/>
        </w:rPr>
      </w:pPr>
      <w:bookmarkStart w:id="83" w:name="_Toc4833"/>
      <w:bookmarkStart w:id="84" w:name="_Toc29218"/>
      <w:r>
        <w:rPr>
          <w:rFonts w:hint="eastAsia"/>
          <w:b/>
          <w:bCs/>
          <w:sz w:val="28"/>
          <w:szCs w:val="28"/>
        </w:rPr>
        <w:t>7.3  硬化混凝土性能检验</w:t>
      </w:r>
      <w:bookmarkEnd w:id="83"/>
      <w:bookmarkEnd w:id="84"/>
    </w:p>
    <w:p>
      <w:pPr>
        <w:spacing w:line="360" w:lineRule="auto"/>
        <w:rPr>
          <w:sz w:val="24"/>
          <w:szCs w:val="24"/>
        </w:rPr>
      </w:pPr>
      <w:r>
        <w:rPr>
          <w:rFonts w:hint="eastAsia"/>
          <w:sz w:val="24"/>
          <w:szCs w:val="24"/>
        </w:rPr>
        <w:t>7.3.1  掺钢渣粉的混凝土强度检验评定应符合现行国家标准《混凝土强度检验评定标准》GB/T 50107的有关规定，其他力学性能检验应满足设计要求。</w:t>
      </w:r>
    </w:p>
    <w:p>
      <w:pPr>
        <w:spacing w:line="360" w:lineRule="auto"/>
        <w:rPr>
          <w:sz w:val="24"/>
          <w:szCs w:val="24"/>
        </w:rPr>
      </w:pPr>
      <w:r>
        <w:rPr>
          <w:rFonts w:hint="eastAsia"/>
          <w:sz w:val="24"/>
          <w:szCs w:val="24"/>
        </w:rPr>
        <w:t>7.3.2  掺钢渣粉的混凝土耐久性能检验评定应符合现行的行业标准《混凝土耐久性检验评定标准》JGJ/T 193的有关规定。</w:t>
      </w:r>
    </w:p>
    <w:p>
      <w:pPr>
        <w:spacing w:line="360" w:lineRule="auto"/>
        <w:rPr>
          <w:sz w:val="24"/>
          <w:szCs w:val="24"/>
        </w:rPr>
      </w:pPr>
      <w:r>
        <w:rPr>
          <w:rFonts w:hint="eastAsia"/>
          <w:sz w:val="24"/>
          <w:szCs w:val="24"/>
        </w:rPr>
        <w:t>7.3.3  掺钢渣粉的混凝土长期性能检验规则与主编讨论，可按现行的行业标准《混凝土耐久性检验评定标准》JGJ/T 193中耐久性检验的规定执行。</w:t>
      </w:r>
    </w:p>
    <w:p>
      <w:pPr>
        <w:spacing w:line="360" w:lineRule="auto"/>
        <w:rPr>
          <w:sz w:val="24"/>
          <w:szCs w:val="24"/>
        </w:rPr>
      </w:pPr>
    </w:p>
    <w:p>
      <w:pPr>
        <w:pStyle w:val="5"/>
        <w:ind w:firstLine="482"/>
        <w:rPr>
          <w:rFonts w:ascii="Times New Roman" w:hAnsi="Times New Roman"/>
          <w:sz w:val="24"/>
          <w:szCs w:val="24"/>
        </w:rPr>
        <w:sectPr>
          <w:headerReference r:id="rId11" w:type="default"/>
          <w:footerReference r:id="rId12" w:type="default"/>
          <w:pgSz w:w="11906" w:h="16838"/>
          <w:pgMar w:top="1440" w:right="1800" w:bottom="1440" w:left="1800" w:header="851" w:footer="992" w:gutter="0"/>
          <w:pgNumType w:start="1"/>
          <w:cols w:space="720" w:num="1"/>
          <w:docGrid w:type="lines" w:linePitch="312" w:charSpace="0"/>
        </w:sectPr>
      </w:pPr>
    </w:p>
    <w:p>
      <w:pPr>
        <w:spacing w:before="640" w:after="560"/>
        <w:jc w:val="center"/>
        <w:outlineLvl w:val="0"/>
        <w:rPr>
          <w:rFonts w:ascii="黑体" w:hAnsi="黑体" w:eastAsia="黑体" w:cs="黑体"/>
          <w:sz w:val="32"/>
          <w:szCs w:val="32"/>
        </w:rPr>
      </w:pPr>
      <w:bookmarkStart w:id="85" w:name="_Toc23080"/>
      <w:bookmarkStart w:id="86" w:name="_Toc21495"/>
      <w:bookmarkStart w:id="87" w:name="_Toc13185"/>
      <w:r>
        <w:rPr>
          <w:rFonts w:hint="eastAsia" w:ascii="黑体" w:hAnsi="黑体" w:eastAsia="黑体" w:cs="黑体"/>
          <w:sz w:val="32"/>
          <w:szCs w:val="32"/>
        </w:rPr>
        <w:t>用词说明</w:t>
      </w:r>
      <w:bookmarkEnd w:id="85"/>
      <w:bookmarkEnd w:id="86"/>
      <w:bookmarkEnd w:id="87"/>
    </w:p>
    <w:p>
      <w:pPr>
        <w:widowControl/>
        <w:tabs>
          <w:tab w:val="center" w:pos="4201"/>
          <w:tab w:val="right" w:leader="dot" w:pos="9298"/>
        </w:tabs>
        <w:autoSpaceDE w:val="0"/>
        <w:autoSpaceDN w:val="0"/>
        <w:spacing w:line="312" w:lineRule="auto"/>
        <w:ind w:firstLine="420" w:firstLineChars="200"/>
        <w:rPr>
          <w:color w:val="000000" w:themeColor="text1"/>
          <w:kern w:val="0"/>
          <w14:textFill>
            <w14:solidFill>
              <w14:schemeClr w14:val="tx1"/>
            </w14:solidFill>
          </w14:textFill>
        </w:rPr>
      </w:pPr>
      <w:r>
        <w:rPr>
          <w:color w:val="000000" w:themeColor="text1"/>
          <w:kern w:val="0"/>
          <w14:textFill>
            <w14:solidFill>
              <w14:schemeClr w14:val="tx1"/>
            </w14:solidFill>
          </w14:textFill>
        </w:rPr>
        <w:t>为便于在执行本</w:t>
      </w:r>
      <w:r>
        <w:rPr>
          <w:rFonts w:hint="eastAsia"/>
          <w:color w:val="000000" w:themeColor="text1"/>
          <w:kern w:val="0"/>
          <w14:textFill>
            <w14:solidFill>
              <w14:schemeClr w14:val="tx1"/>
            </w14:solidFill>
          </w14:textFill>
        </w:rPr>
        <w:t>规范</w:t>
      </w:r>
      <w:r>
        <w:rPr>
          <w:color w:val="000000" w:themeColor="text1"/>
          <w:kern w:val="0"/>
          <w14:textFill>
            <w14:solidFill>
              <w14:schemeClr w14:val="tx1"/>
            </w14:solidFill>
          </w14:textFill>
        </w:rPr>
        <w:t>条文时区别对待，对要求严格程度不同的用词说明如下：</w:t>
      </w:r>
    </w:p>
    <w:p>
      <w:pPr>
        <w:widowControl/>
        <w:tabs>
          <w:tab w:val="center" w:pos="4201"/>
          <w:tab w:val="right" w:leader="dot" w:pos="9298"/>
        </w:tabs>
        <w:autoSpaceDE w:val="0"/>
        <w:autoSpaceDN w:val="0"/>
        <w:spacing w:line="312" w:lineRule="auto"/>
        <w:ind w:firstLine="422" w:firstLineChars="200"/>
        <w:rPr>
          <w:color w:val="000000" w:themeColor="text1"/>
          <w:kern w:val="0"/>
          <w14:textFill>
            <w14:solidFill>
              <w14:schemeClr w14:val="tx1"/>
            </w14:solidFill>
          </w14:textFill>
        </w:rPr>
      </w:pPr>
      <w:bookmarkStart w:id="88" w:name="_Toc15413"/>
      <w:bookmarkStart w:id="89" w:name="_Toc29003"/>
      <w:bookmarkStart w:id="90" w:name="_Toc26043"/>
      <w:r>
        <w:rPr>
          <w:b/>
          <w:bCs/>
          <w:color w:val="000000" w:themeColor="text1"/>
          <w:kern w:val="0"/>
          <w14:textFill>
            <w14:solidFill>
              <w14:schemeClr w14:val="tx1"/>
            </w14:solidFill>
          </w14:textFill>
        </w:rPr>
        <w:t>1</w:t>
      </w:r>
      <w:r>
        <w:rPr>
          <w:color w:val="000000" w:themeColor="text1"/>
          <w:kern w:val="0"/>
          <w14:textFill>
            <w14:solidFill>
              <w14:schemeClr w14:val="tx1"/>
            </w14:solidFill>
          </w14:textFill>
        </w:rPr>
        <w:t xml:space="preserve"> </w:t>
      </w:r>
      <w:r>
        <w:rPr>
          <w:rFonts w:hint="eastAsia"/>
          <w:color w:val="000000" w:themeColor="text1"/>
          <w:kern w:val="0"/>
          <w14:textFill>
            <w14:solidFill>
              <w14:schemeClr w14:val="tx1"/>
            </w14:solidFill>
          </w14:textFill>
        </w:rPr>
        <w:t xml:space="preserve"> </w:t>
      </w:r>
      <w:r>
        <w:rPr>
          <w:color w:val="000000" w:themeColor="text1"/>
          <w:kern w:val="0"/>
          <w14:textFill>
            <w14:solidFill>
              <w14:schemeClr w14:val="tx1"/>
            </w14:solidFill>
          </w14:textFill>
        </w:rPr>
        <w:t>表示很严格，非这样做不可的：</w:t>
      </w:r>
      <w:bookmarkEnd w:id="88"/>
      <w:bookmarkEnd w:id="89"/>
      <w:bookmarkEnd w:id="90"/>
    </w:p>
    <w:p>
      <w:pPr>
        <w:widowControl/>
        <w:tabs>
          <w:tab w:val="center" w:pos="4201"/>
          <w:tab w:val="right" w:leader="dot" w:pos="9298"/>
        </w:tabs>
        <w:autoSpaceDE w:val="0"/>
        <w:autoSpaceDN w:val="0"/>
        <w:spacing w:line="312" w:lineRule="auto"/>
        <w:ind w:firstLine="378" w:firstLineChars="180"/>
        <w:rPr>
          <w:color w:val="000000" w:themeColor="text1"/>
          <w:kern w:val="0"/>
          <w14:textFill>
            <w14:solidFill>
              <w14:schemeClr w14:val="tx1"/>
            </w14:solidFill>
          </w14:textFill>
        </w:rPr>
      </w:pPr>
      <w:r>
        <w:rPr>
          <w:color w:val="000000" w:themeColor="text1"/>
          <w:kern w:val="0"/>
          <w14:textFill>
            <w14:solidFill>
              <w14:schemeClr w14:val="tx1"/>
            </w14:solidFill>
          </w14:textFill>
        </w:rPr>
        <w:t>正面词采用</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必须</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，反面词采用</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严禁</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w:t>
      </w:r>
    </w:p>
    <w:p>
      <w:pPr>
        <w:widowControl/>
        <w:tabs>
          <w:tab w:val="center" w:pos="4201"/>
          <w:tab w:val="right" w:leader="dot" w:pos="9298"/>
        </w:tabs>
        <w:autoSpaceDE w:val="0"/>
        <w:autoSpaceDN w:val="0"/>
        <w:spacing w:line="312" w:lineRule="auto"/>
        <w:ind w:firstLine="422" w:firstLineChars="200"/>
        <w:rPr>
          <w:color w:val="000000" w:themeColor="text1"/>
          <w:kern w:val="0"/>
          <w14:textFill>
            <w14:solidFill>
              <w14:schemeClr w14:val="tx1"/>
            </w14:solidFill>
          </w14:textFill>
        </w:rPr>
      </w:pPr>
      <w:bookmarkStart w:id="91" w:name="_Toc17135"/>
      <w:bookmarkStart w:id="92" w:name="_Toc16033"/>
      <w:bookmarkStart w:id="93" w:name="_Toc12347"/>
      <w:r>
        <w:rPr>
          <w:b/>
          <w:bCs/>
          <w:color w:val="000000" w:themeColor="text1"/>
          <w:kern w:val="0"/>
          <w14:textFill>
            <w14:solidFill>
              <w14:schemeClr w14:val="tx1"/>
            </w14:solidFill>
          </w14:textFill>
        </w:rPr>
        <w:t>2</w:t>
      </w:r>
      <w:r>
        <w:rPr>
          <w:color w:val="000000" w:themeColor="text1"/>
          <w:kern w:val="0"/>
          <w14:textFill>
            <w14:solidFill>
              <w14:schemeClr w14:val="tx1"/>
            </w14:solidFill>
          </w14:textFill>
        </w:rPr>
        <w:t xml:space="preserve"> </w:t>
      </w:r>
      <w:r>
        <w:rPr>
          <w:rFonts w:hint="eastAsia"/>
          <w:color w:val="000000" w:themeColor="text1"/>
          <w:kern w:val="0"/>
          <w14:textFill>
            <w14:solidFill>
              <w14:schemeClr w14:val="tx1"/>
            </w14:solidFill>
          </w14:textFill>
        </w:rPr>
        <w:t xml:space="preserve"> </w:t>
      </w:r>
      <w:r>
        <w:rPr>
          <w:color w:val="000000" w:themeColor="text1"/>
          <w:kern w:val="0"/>
          <w14:textFill>
            <w14:solidFill>
              <w14:schemeClr w14:val="tx1"/>
            </w14:solidFill>
          </w14:textFill>
        </w:rPr>
        <w:t>表示严格，在正常情况下均应这样做的：</w:t>
      </w:r>
      <w:bookmarkEnd w:id="91"/>
      <w:bookmarkEnd w:id="92"/>
      <w:bookmarkEnd w:id="93"/>
    </w:p>
    <w:p>
      <w:pPr>
        <w:widowControl/>
        <w:tabs>
          <w:tab w:val="center" w:pos="4201"/>
          <w:tab w:val="right" w:leader="dot" w:pos="9298"/>
        </w:tabs>
        <w:autoSpaceDE w:val="0"/>
        <w:autoSpaceDN w:val="0"/>
        <w:spacing w:line="312" w:lineRule="auto"/>
        <w:ind w:firstLine="378" w:firstLineChars="180"/>
        <w:rPr>
          <w:color w:val="000000" w:themeColor="text1"/>
          <w:kern w:val="0"/>
          <w14:textFill>
            <w14:solidFill>
              <w14:schemeClr w14:val="tx1"/>
            </w14:solidFill>
          </w14:textFill>
        </w:rPr>
      </w:pPr>
      <w:r>
        <w:rPr>
          <w:color w:val="000000" w:themeColor="text1"/>
          <w:kern w:val="0"/>
          <w14:textFill>
            <w14:solidFill>
              <w14:schemeClr w14:val="tx1"/>
            </w14:solidFill>
          </w14:textFill>
        </w:rPr>
        <w:t>正面词采用</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应</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，反面词采用</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不应</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或</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不得</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w:t>
      </w:r>
    </w:p>
    <w:p>
      <w:pPr>
        <w:widowControl/>
        <w:tabs>
          <w:tab w:val="center" w:pos="4201"/>
          <w:tab w:val="right" w:leader="dot" w:pos="9298"/>
        </w:tabs>
        <w:autoSpaceDE w:val="0"/>
        <w:autoSpaceDN w:val="0"/>
        <w:spacing w:line="312" w:lineRule="auto"/>
        <w:ind w:firstLine="422" w:firstLineChars="200"/>
        <w:rPr>
          <w:color w:val="000000" w:themeColor="text1"/>
          <w:kern w:val="0"/>
          <w14:textFill>
            <w14:solidFill>
              <w14:schemeClr w14:val="tx1"/>
            </w14:solidFill>
          </w14:textFill>
        </w:rPr>
      </w:pPr>
      <w:bookmarkStart w:id="94" w:name="_Toc14278"/>
      <w:bookmarkStart w:id="95" w:name="_Toc28438"/>
      <w:bookmarkStart w:id="96" w:name="_Toc15764"/>
      <w:r>
        <w:rPr>
          <w:b/>
          <w:bCs/>
          <w:color w:val="000000" w:themeColor="text1"/>
          <w:kern w:val="0"/>
          <w14:textFill>
            <w14:solidFill>
              <w14:schemeClr w14:val="tx1"/>
            </w14:solidFill>
          </w14:textFill>
        </w:rPr>
        <w:t xml:space="preserve">3 </w:t>
      </w:r>
      <w:r>
        <w:rPr>
          <w:rFonts w:hint="eastAsia"/>
          <w:color w:val="000000" w:themeColor="text1"/>
          <w:kern w:val="0"/>
          <w14:textFill>
            <w14:solidFill>
              <w14:schemeClr w14:val="tx1"/>
            </w14:solidFill>
          </w14:textFill>
        </w:rPr>
        <w:t xml:space="preserve"> </w:t>
      </w:r>
      <w:r>
        <w:rPr>
          <w:color w:val="000000" w:themeColor="text1"/>
          <w:kern w:val="0"/>
          <w14:textFill>
            <w14:solidFill>
              <w14:schemeClr w14:val="tx1"/>
            </w14:solidFill>
          </w14:textFill>
        </w:rPr>
        <w:t>表示允许稍有选择，在条件许可时首先应这样做的：</w:t>
      </w:r>
      <w:bookmarkEnd w:id="94"/>
      <w:bookmarkEnd w:id="95"/>
      <w:bookmarkEnd w:id="96"/>
    </w:p>
    <w:p>
      <w:pPr>
        <w:widowControl/>
        <w:tabs>
          <w:tab w:val="center" w:pos="4201"/>
          <w:tab w:val="right" w:leader="dot" w:pos="9298"/>
        </w:tabs>
        <w:autoSpaceDE w:val="0"/>
        <w:autoSpaceDN w:val="0"/>
        <w:spacing w:line="312" w:lineRule="auto"/>
        <w:ind w:firstLine="378" w:firstLineChars="180"/>
        <w:rPr>
          <w:color w:val="000000" w:themeColor="text1"/>
          <w:kern w:val="0"/>
          <w14:textFill>
            <w14:solidFill>
              <w14:schemeClr w14:val="tx1"/>
            </w14:solidFill>
          </w14:textFill>
        </w:rPr>
      </w:pPr>
      <w:r>
        <w:rPr>
          <w:color w:val="000000" w:themeColor="text1"/>
          <w:kern w:val="0"/>
          <w14:textFill>
            <w14:solidFill>
              <w14:schemeClr w14:val="tx1"/>
            </w14:solidFill>
          </w14:textFill>
        </w:rPr>
        <w:t>正面词采用</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宜</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，反面词采用</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不宜</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w:t>
      </w:r>
    </w:p>
    <w:p>
      <w:pPr>
        <w:widowControl/>
        <w:tabs>
          <w:tab w:val="center" w:pos="4201"/>
          <w:tab w:val="right" w:leader="dot" w:pos="9298"/>
        </w:tabs>
        <w:autoSpaceDE w:val="0"/>
        <w:autoSpaceDN w:val="0"/>
        <w:spacing w:line="312" w:lineRule="auto"/>
        <w:ind w:firstLine="379" w:firstLineChars="180"/>
        <w:rPr>
          <w:color w:val="000000" w:themeColor="text1"/>
          <w14:textFill>
            <w14:solidFill>
              <w14:schemeClr w14:val="tx1"/>
            </w14:solidFill>
          </w14:textFill>
        </w:rPr>
      </w:pPr>
      <w:bookmarkStart w:id="97" w:name="_Toc28232"/>
      <w:bookmarkStart w:id="98" w:name="_Toc13446"/>
      <w:bookmarkStart w:id="99" w:name="_Toc126"/>
      <w:r>
        <w:rPr>
          <w:b/>
          <w:bCs/>
          <w:color w:val="000000" w:themeColor="text1"/>
          <w:kern w:val="0"/>
          <w14:textFill>
            <w14:solidFill>
              <w14:schemeClr w14:val="tx1"/>
            </w14:solidFill>
          </w14:textFill>
        </w:rPr>
        <w:t xml:space="preserve">4 </w:t>
      </w:r>
      <w:r>
        <w:rPr>
          <w:rFonts w:hint="eastAsia"/>
          <w:b/>
          <w:bCs/>
          <w:color w:val="000000" w:themeColor="text1"/>
          <w:kern w:val="0"/>
          <w14:textFill>
            <w14:solidFill>
              <w14:schemeClr w14:val="tx1"/>
            </w14:solidFill>
          </w14:textFill>
        </w:rPr>
        <w:t xml:space="preserve"> </w:t>
      </w:r>
      <w:r>
        <w:rPr>
          <w:color w:val="000000" w:themeColor="text1"/>
          <w:kern w:val="0"/>
          <w14:textFill>
            <w14:solidFill>
              <w14:schemeClr w14:val="tx1"/>
            </w14:solidFill>
          </w14:textFill>
        </w:rPr>
        <w:t>表示有选择，在一定条件下可以这样做的，采用</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可</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w:t>
      </w:r>
      <w:bookmarkEnd w:id="97"/>
      <w:bookmarkEnd w:id="98"/>
      <w:bookmarkEnd w:id="99"/>
    </w:p>
    <w:p>
      <w:pPr>
        <w:pStyle w:val="18"/>
        <w:tabs>
          <w:tab w:val="clear" w:pos="4201"/>
          <w:tab w:val="clear" w:pos="9298"/>
        </w:tabs>
        <w:jc w:val="both"/>
        <w:outlineLvl w:val="9"/>
        <w:rPr>
          <w:rFonts w:ascii="黑体" w:hAnsi="黑体" w:eastAsia="黑体"/>
          <w:b w:val="0"/>
          <w:color w:val="000000" w:themeColor="text1"/>
          <w14:textFill>
            <w14:solidFill>
              <w14:schemeClr w14:val="tx1"/>
            </w14:solidFill>
          </w14:textFill>
        </w:rPr>
        <w:sectPr>
          <w:pgSz w:w="11906" w:h="16838"/>
          <w:pgMar w:top="1701" w:right="1134" w:bottom="1134" w:left="1418" w:header="1361" w:footer="1134" w:gutter="0"/>
          <w:cols w:space="425" w:num="1"/>
          <w:formProt w:val="0"/>
          <w:docGrid w:type="lines" w:linePitch="312" w:charSpace="0"/>
        </w:sectPr>
      </w:pPr>
    </w:p>
    <w:p>
      <w:pPr>
        <w:spacing w:before="640" w:after="560"/>
        <w:jc w:val="center"/>
        <w:outlineLvl w:val="0"/>
        <w:rPr>
          <w:rFonts w:ascii="黑体" w:hAnsi="黑体" w:eastAsia="黑体" w:cs="黑体"/>
          <w:sz w:val="32"/>
          <w:szCs w:val="32"/>
        </w:rPr>
      </w:pPr>
      <w:bookmarkStart w:id="100" w:name="_Toc22264"/>
      <w:bookmarkStart w:id="101" w:name="_Toc27021"/>
      <w:bookmarkStart w:id="102" w:name="_Toc17100"/>
      <w:bookmarkStart w:id="103" w:name="_Toc73947000"/>
      <w:bookmarkStart w:id="104" w:name="_Toc23036"/>
      <w:bookmarkStart w:id="105" w:name="_Toc32720"/>
      <w:bookmarkStart w:id="106" w:name="_Toc27696"/>
      <w:bookmarkStart w:id="107" w:name="_Toc894422633"/>
      <w:r>
        <w:rPr>
          <w:rFonts w:ascii="黑体" w:hAnsi="黑体" w:eastAsia="黑体" w:cs="黑体"/>
          <w:sz w:val="32"/>
          <w:szCs w:val="32"/>
        </w:rPr>
        <w:t>引用标准名录</w:t>
      </w:r>
      <w:bookmarkEnd w:id="100"/>
      <w:bookmarkEnd w:id="101"/>
      <w:bookmarkEnd w:id="102"/>
      <w:bookmarkEnd w:id="103"/>
      <w:bookmarkEnd w:id="104"/>
      <w:bookmarkEnd w:id="105"/>
      <w:bookmarkEnd w:id="106"/>
      <w:bookmarkEnd w:id="107"/>
    </w:p>
    <w:p>
      <w:pPr>
        <w:spacing w:line="360" w:lineRule="auto"/>
        <w:ind w:firstLine="480" w:firstLineChars="200"/>
        <w:rPr>
          <w:sz w:val="24"/>
          <w:szCs w:val="24"/>
        </w:rPr>
      </w:pPr>
      <w:r>
        <w:rPr>
          <w:sz w:val="24"/>
          <w:szCs w:val="24"/>
        </w:rPr>
        <w:t>GB/T 50080  普通混凝土拌合物性能试验方法标准</w:t>
      </w:r>
    </w:p>
    <w:p>
      <w:pPr>
        <w:spacing w:line="360" w:lineRule="auto"/>
        <w:ind w:firstLine="480" w:firstLineChars="200"/>
        <w:rPr>
          <w:sz w:val="24"/>
          <w:szCs w:val="24"/>
        </w:rPr>
      </w:pPr>
      <w:r>
        <w:rPr>
          <w:sz w:val="24"/>
          <w:szCs w:val="24"/>
        </w:rPr>
        <w:t>GB/T 50081  混凝土物理力学性能试验方法标准</w:t>
      </w:r>
    </w:p>
    <w:p>
      <w:pPr>
        <w:spacing w:line="360" w:lineRule="auto"/>
        <w:ind w:firstLine="480" w:firstLineChars="200"/>
        <w:rPr>
          <w:sz w:val="24"/>
          <w:szCs w:val="24"/>
        </w:rPr>
      </w:pPr>
      <w:r>
        <w:rPr>
          <w:sz w:val="24"/>
          <w:szCs w:val="24"/>
        </w:rPr>
        <w:t>GB/T 50082  普通混凝土长期性能和耐久性能试验方法标准</w:t>
      </w:r>
    </w:p>
    <w:p>
      <w:pPr>
        <w:spacing w:line="360" w:lineRule="auto"/>
        <w:ind w:firstLine="480" w:firstLineChars="200"/>
        <w:rPr>
          <w:sz w:val="24"/>
          <w:szCs w:val="24"/>
        </w:rPr>
      </w:pPr>
      <w:r>
        <w:rPr>
          <w:sz w:val="24"/>
          <w:szCs w:val="24"/>
        </w:rPr>
        <w:t>GB 50164    混凝土质量控制标准</w:t>
      </w:r>
    </w:p>
    <w:p>
      <w:pPr>
        <w:spacing w:line="360" w:lineRule="auto"/>
        <w:ind w:firstLine="480" w:firstLineChars="200"/>
        <w:rPr>
          <w:sz w:val="24"/>
          <w:szCs w:val="24"/>
        </w:rPr>
      </w:pPr>
      <w:r>
        <w:rPr>
          <w:sz w:val="24"/>
          <w:szCs w:val="24"/>
        </w:rPr>
        <w:t>GB 50666    混凝土结构工程施工规范</w:t>
      </w:r>
    </w:p>
    <w:p>
      <w:pPr>
        <w:spacing w:line="360" w:lineRule="auto"/>
        <w:ind w:firstLine="480" w:firstLineChars="200"/>
        <w:rPr>
          <w:sz w:val="24"/>
          <w:szCs w:val="24"/>
        </w:rPr>
      </w:pPr>
      <w:r>
        <w:rPr>
          <w:sz w:val="24"/>
          <w:szCs w:val="24"/>
        </w:rPr>
        <w:t>GB/T 51003  矿物掺合料应用技术规范</w:t>
      </w:r>
    </w:p>
    <w:p>
      <w:pPr>
        <w:spacing w:line="360" w:lineRule="auto"/>
        <w:ind w:firstLine="480" w:firstLineChars="200"/>
        <w:rPr>
          <w:sz w:val="24"/>
          <w:szCs w:val="24"/>
        </w:rPr>
      </w:pPr>
      <w:r>
        <w:rPr>
          <w:sz w:val="24"/>
          <w:szCs w:val="24"/>
        </w:rPr>
        <w:t>GB 55008    混凝土结构通用规范</w:t>
      </w:r>
    </w:p>
    <w:p>
      <w:pPr>
        <w:spacing w:line="360" w:lineRule="auto"/>
        <w:ind w:firstLine="480" w:firstLineChars="200"/>
        <w:rPr>
          <w:sz w:val="24"/>
          <w:szCs w:val="24"/>
        </w:rPr>
      </w:pPr>
      <w:r>
        <w:rPr>
          <w:sz w:val="24"/>
          <w:szCs w:val="24"/>
        </w:rPr>
        <w:t>GB 175      通用硅酸盐水泥</w:t>
      </w:r>
    </w:p>
    <w:p>
      <w:pPr>
        <w:spacing w:line="360" w:lineRule="auto"/>
        <w:ind w:firstLine="480" w:firstLineChars="200"/>
        <w:rPr>
          <w:sz w:val="24"/>
          <w:szCs w:val="24"/>
        </w:rPr>
      </w:pPr>
      <w:r>
        <w:rPr>
          <w:sz w:val="24"/>
          <w:szCs w:val="24"/>
        </w:rPr>
        <w:t>GB 6566     建筑材料放射性核素限量</w:t>
      </w:r>
    </w:p>
    <w:p>
      <w:pPr>
        <w:spacing w:line="360" w:lineRule="auto"/>
        <w:ind w:firstLine="480" w:firstLineChars="200"/>
        <w:rPr>
          <w:sz w:val="24"/>
          <w:szCs w:val="24"/>
        </w:rPr>
      </w:pPr>
      <w:r>
        <w:rPr>
          <w:sz w:val="24"/>
          <w:szCs w:val="24"/>
        </w:rPr>
        <w:t>GB/T 14902  预拌混凝土</w:t>
      </w:r>
    </w:p>
    <w:p>
      <w:pPr>
        <w:spacing w:line="360" w:lineRule="auto"/>
        <w:ind w:firstLine="480" w:firstLineChars="200"/>
        <w:rPr>
          <w:sz w:val="24"/>
          <w:szCs w:val="24"/>
        </w:rPr>
      </w:pPr>
      <w:r>
        <w:rPr>
          <w:sz w:val="24"/>
          <w:szCs w:val="24"/>
        </w:rPr>
        <w:t>GB/T 20491 用于水泥和混凝土中的钢渣粉</w:t>
      </w:r>
    </w:p>
    <w:p>
      <w:pPr>
        <w:spacing w:line="360" w:lineRule="auto"/>
        <w:ind w:firstLine="480" w:firstLineChars="200"/>
        <w:rPr>
          <w:sz w:val="24"/>
          <w:szCs w:val="24"/>
        </w:rPr>
      </w:pPr>
      <w:r>
        <w:rPr>
          <w:sz w:val="24"/>
          <w:szCs w:val="24"/>
        </w:rPr>
        <w:t>JGJ 55      普通混凝土配合比设计规程</w:t>
      </w:r>
    </w:p>
    <w:p>
      <w:pPr>
        <w:spacing w:line="360" w:lineRule="auto"/>
        <w:ind w:firstLine="480" w:firstLineChars="200"/>
        <w:rPr>
          <w:sz w:val="24"/>
          <w:szCs w:val="24"/>
        </w:rPr>
      </w:pPr>
      <w:r>
        <w:rPr>
          <w:sz w:val="24"/>
          <w:szCs w:val="24"/>
        </w:rPr>
        <w:t>JGJ/T 193   混凝土耐久性检验评定标准</w:t>
      </w:r>
    </w:p>
    <w:p>
      <w:pPr>
        <w:spacing w:line="360" w:lineRule="auto"/>
        <w:ind w:firstLine="480" w:firstLineChars="200"/>
        <w:rPr>
          <w:sz w:val="24"/>
          <w:szCs w:val="24"/>
        </w:rPr>
      </w:pPr>
      <w:r>
        <w:rPr>
          <w:sz w:val="24"/>
          <w:szCs w:val="24"/>
        </w:rPr>
        <w:t>JGJ/T 281   高强混凝土应用技术规程</w:t>
      </w:r>
    </w:p>
    <w:p>
      <w:pPr>
        <w:spacing w:line="360" w:lineRule="auto"/>
        <w:ind w:firstLine="480" w:firstLineChars="200"/>
        <w:rPr>
          <w:sz w:val="24"/>
          <w:szCs w:val="24"/>
        </w:rPr>
      </w:pPr>
      <w:r>
        <w:rPr>
          <w:sz w:val="24"/>
          <w:szCs w:val="24"/>
        </w:rPr>
        <w:t>GB/T 203   用于水泥中的粒化高炉矿渣</w:t>
      </w:r>
    </w:p>
    <w:p>
      <w:pPr>
        <w:spacing w:line="360" w:lineRule="auto"/>
        <w:ind w:firstLine="480" w:firstLineChars="200"/>
        <w:rPr>
          <w:sz w:val="24"/>
          <w:szCs w:val="24"/>
        </w:rPr>
      </w:pPr>
      <w:r>
        <w:rPr>
          <w:sz w:val="24"/>
          <w:szCs w:val="24"/>
        </w:rPr>
        <w:t>GB/T 208   水泥密度测定方法</w:t>
      </w:r>
    </w:p>
    <w:p>
      <w:pPr>
        <w:spacing w:line="360" w:lineRule="auto"/>
        <w:ind w:firstLine="480" w:firstLineChars="200"/>
        <w:rPr>
          <w:sz w:val="24"/>
          <w:szCs w:val="24"/>
        </w:rPr>
      </w:pPr>
      <w:r>
        <w:rPr>
          <w:sz w:val="24"/>
          <w:szCs w:val="24"/>
        </w:rPr>
        <w:t>GB/T 750   水泥压蒸安定性试验方法</w:t>
      </w:r>
    </w:p>
    <w:p>
      <w:pPr>
        <w:spacing w:line="360" w:lineRule="auto"/>
        <w:ind w:firstLine="480" w:firstLineChars="200"/>
        <w:rPr>
          <w:sz w:val="24"/>
          <w:szCs w:val="24"/>
        </w:rPr>
      </w:pPr>
      <w:r>
        <w:rPr>
          <w:sz w:val="24"/>
          <w:szCs w:val="24"/>
        </w:rPr>
        <w:t>GB/T 1345  水泥细度检验方法（筛析法）</w:t>
      </w:r>
    </w:p>
    <w:p>
      <w:pPr>
        <w:spacing w:line="360" w:lineRule="auto"/>
        <w:ind w:firstLine="480" w:firstLineChars="200"/>
        <w:rPr>
          <w:sz w:val="24"/>
          <w:szCs w:val="24"/>
        </w:rPr>
      </w:pPr>
      <w:r>
        <w:rPr>
          <w:sz w:val="24"/>
          <w:szCs w:val="24"/>
        </w:rPr>
        <w:t>GB/T 1346  水泥标准稠度用水量、凝结时间、安定性检验方法</w:t>
      </w:r>
    </w:p>
    <w:p>
      <w:pPr>
        <w:spacing w:line="360" w:lineRule="auto"/>
        <w:ind w:firstLine="480" w:firstLineChars="200"/>
        <w:rPr>
          <w:sz w:val="24"/>
          <w:szCs w:val="24"/>
        </w:rPr>
      </w:pPr>
      <w:r>
        <w:rPr>
          <w:sz w:val="24"/>
          <w:szCs w:val="24"/>
        </w:rPr>
        <w:t>GB/T 17671 水泥胶砂强度检验方法（ISO法）</w:t>
      </w:r>
    </w:p>
    <w:p>
      <w:pPr>
        <w:spacing w:line="360" w:lineRule="auto"/>
        <w:ind w:firstLine="480" w:firstLineChars="200"/>
        <w:rPr>
          <w:sz w:val="24"/>
          <w:szCs w:val="24"/>
        </w:rPr>
      </w:pPr>
      <w:r>
        <w:rPr>
          <w:sz w:val="24"/>
          <w:szCs w:val="24"/>
        </w:rPr>
        <w:t>GB/T 21372 硅酸盐水泥熟料</w:t>
      </w:r>
    </w:p>
    <w:p>
      <w:pPr>
        <w:spacing w:line="360" w:lineRule="auto"/>
        <w:ind w:firstLine="480" w:firstLineChars="200"/>
        <w:rPr>
          <w:sz w:val="24"/>
          <w:szCs w:val="24"/>
        </w:rPr>
      </w:pPr>
      <w:r>
        <w:rPr>
          <w:sz w:val="24"/>
          <w:szCs w:val="24"/>
        </w:rPr>
        <w:t>YB/T 022   用于水泥中的钢渣</w:t>
      </w:r>
    </w:p>
    <w:p>
      <w:pPr>
        <w:spacing w:line="360" w:lineRule="auto"/>
        <w:ind w:firstLine="480" w:firstLineChars="200"/>
      </w:pPr>
      <w:r>
        <w:rPr>
          <w:sz w:val="24"/>
          <w:szCs w:val="24"/>
        </w:rPr>
        <w:t>YB/T 140   钢渣化学分析方法</w:t>
      </w:r>
    </w:p>
    <w:bookmarkEnd w:id="9"/>
    <w:bookmarkEnd w:id="23"/>
    <w:p>
      <w:pPr>
        <w:rPr>
          <w:b/>
          <w:bCs/>
          <w:szCs w:val="22"/>
        </w:rPr>
      </w:pPr>
      <w:r>
        <w:rPr>
          <w:b/>
          <w:bCs/>
          <w:szCs w:val="22"/>
        </w:rPr>
        <w:br w:type="page"/>
      </w:r>
    </w:p>
    <w:p>
      <w:pPr>
        <w:pStyle w:val="31"/>
        <w:numPr>
          <w:ilvl w:val="1"/>
          <w:numId w:val="0"/>
        </w:numPr>
        <w:ind w:leftChars="0"/>
        <w:jc w:val="center"/>
        <w:outlineLvl w:val="9"/>
        <w:rPr>
          <w:rFonts w:ascii="Times New Roman"/>
          <w:color w:val="auto"/>
          <w:sz w:val="32"/>
          <w:szCs w:val="32"/>
          <w:highlight w:val="none"/>
        </w:rPr>
      </w:pPr>
      <w:bookmarkStart w:id="108" w:name="_Toc27880"/>
      <w:r>
        <w:rPr>
          <w:rFonts w:hint="eastAsia" w:ascii="黑体" w:hAnsi="黑体" w:eastAsia="黑体"/>
          <w:color w:val="auto"/>
          <w:sz w:val="32"/>
          <w:szCs w:val="32"/>
          <w:highlight w:val="none"/>
        </w:rPr>
        <w:t>中华人民</w:t>
      </w:r>
      <w:r>
        <w:rPr>
          <w:rFonts w:ascii="黑体" w:hAnsi="黑体" w:eastAsia="黑体"/>
          <w:color w:val="auto"/>
          <w:sz w:val="32"/>
          <w:szCs w:val="32"/>
          <w:highlight w:val="none"/>
        </w:rPr>
        <w:t>共和国</w:t>
      </w:r>
      <w:r>
        <w:rPr>
          <w:rFonts w:hint="eastAsia" w:ascii="黑体" w:hAnsi="黑体" w:eastAsia="黑体"/>
          <w:color w:val="auto"/>
          <w:sz w:val="32"/>
          <w:szCs w:val="32"/>
          <w:highlight w:val="none"/>
        </w:rPr>
        <w:t>建材</w:t>
      </w:r>
      <w:r>
        <w:rPr>
          <w:rFonts w:ascii="黑体" w:hAnsi="黑体" w:eastAsia="黑体"/>
          <w:color w:val="auto"/>
          <w:sz w:val="32"/>
          <w:szCs w:val="32"/>
          <w:highlight w:val="none"/>
        </w:rPr>
        <w:t>行业标准</w:t>
      </w:r>
      <w:bookmarkEnd w:id="108"/>
    </w:p>
    <w:p>
      <w:pPr>
        <w:pStyle w:val="31"/>
        <w:numPr>
          <w:ilvl w:val="1"/>
          <w:numId w:val="0"/>
        </w:numPr>
        <w:ind w:leftChars="0"/>
        <w:rPr>
          <w:rFonts w:ascii="Times New Roman"/>
          <w:color w:val="auto"/>
          <w:sz w:val="32"/>
          <w:szCs w:val="32"/>
          <w:highlight w:val="none"/>
        </w:rPr>
      </w:pPr>
    </w:p>
    <w:p>
      <w:pPr>
        <w:tabs>
          <w:tab w:val="center" w:pos="4201"/>
          <w:tab w:val="right" w:leader="dot" w:pos="9298"/>
        </w:tabs>
        <w:ind w:left="0" w:leftChars="0" w:firstLine="0" w:firstLineChars="0"/>
        <w:jc w:val="center"/>
        <w:rPr>
          <w:rFonts w:hint="eastAsia" w:ascii="宋体" w:hAnsi="宋体" w:eastAsia="宋体"/>
          <w:color w:val="auto"/>
          <w:sz w:val="32"/>
          <w:szCs w:val="32"/>
          <w:highlight w:val="none"/>
          <w:lang w:val="en-US" w:eastAsia="zh-CN"/>
        </w:rPr>
      </w:pPr>
      <w:r>
        <w:rPr>
          <w:rFonts w:hint="eastAsia" w:ascii="宋体" w:hAnsi="宋体" w:eastAsia="宋体"/>
          <w:color w:val="auto"/>
          <w:sz w:val="32"/>
          <w:szCs w:val="32"/>
          <w:highlight w:val="none"/>
          <w:lang w:val="en-US" w:eastAsia="zh-CN"/>
        </w:rPr>
        <w:t>天然火山灰质材料在混凝土中应用技术规范</w:t>
      </w:r>
    </w:p>
    <w:p>
      <w:pPr>
        <w:tabs>
          <w:tab w:val="center" w:pos="4201"/>
          <w:tab w:val="right" w:leader="dot" w:pos="9298"/>
        </w:tabs>
        <w:ind w:left="0" w:leftChars="0" w:firstLine="0" w:firstLineChars="0"/>
        <w:jc w:val="center"/>
        <w:rPr>
          <w:rFonts w:ascii="宋体" w:hAnsi="宋体" w:eastAsia="宋体"/>
          <w:color w:val="auto"/>
          <w:sz w:val="32"/>
          <w:szCs w:val="32"/>
          <w:highlight w:val="none"/>
        </w:rPr>
      </w:pPr>
    </w:p>
    <w:p>
      <w:pPr>
        <w:tabs>
          <w:tab w:val="center" w:pos="4201"/>
          <w:tab w:val="right" w:leader="dot" w:pos="9298"/>
        </w:tabs>
        <w:jc w:val="center"/>
        <w:rPr>
          <w:rFonts w:ascii="宋体" w:hAnsi="宋体" w:eastAsia="宋体"/>
          <w:color w:val="auto"/>
          <w:sz w:val="32"/>
          <w:szCs w:val="32"/>
          <w:highlight w:val="none"/>
        </w:rPr>
      </w:pPr>
    </w:p>
    <w:p>
      <w:pPr>
        <w:tabs>
          <w:tab w:val="center" w:pos="4201"/>
          <w:tab w:val="right" w:leader="dot" w:pos="9298"/>
        </w:tabs>
        <w:jc w:val="center"/>
        <w:rPr>
          <w:rFonts w:ascii="宋体" w:hAnsi="宋体" w:eastAsia="宋体"/>
          <w:color w:val="auto"/>
          <w:sz w:val="32"/>
          <w:szCs w:val="32"/>
          <w:highlight w:val="none"/>
        </w:rPr>
      </w:pPr>
    </w:p>
    <w:p>
      <w:pPr>
        <w:tabs>
          <w:tab w:val="center" w:pos="4201"/>
          <w:tab w:val="right" w:leader="dot" w:pos="9298"/>
        </w:tabs>
        <w:ind w:left="0" w:leftChars="0" w:firstLine="0" w:firstLineChars="0"/>
        <w:jc w:val="center"/>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JC/T XXX-XXXX</w:t>
      </w:r>
    </w:p>
    <w:p>
      <w:pPr>
        <w:tabs>
          <w:tab w:val="center" w:pos="4201"/>
          <w:tab w:val="right" w:leader="dot" w:pos="9298"/>
        </w:tabs>
        <w:jc w:val="center"/>
        <w:rPr>
          <w:rFonts w:ascii="宋体" w:hAnsi="宋体" w:eastAsia="宋体"/>
          <w:color w:val="auto"/>
          <w:sz w:val="32"/>
          <w:szCs w:val="32"/>
          <w:highlight w:val="none"/>
        </w:rPr>
      </w:pPr>
    </w:p>
    <w:p>
      <w:pPr>
        <w:tabs>
          <w:tab w:val="center" w:pos="4201"/>
          <w:tab w:val="right" w:leader="dot" w:pos="9298"/>
        </w:tabs>
        <w:jc w:val="center"/>
        <w:rPr>
          <w:rFonts w:ascii="宋体" w:hAnsi="宋体" w:eastAsia="宋体"/>
          <w:color w:val="auto"/>
          <w:sz w:val="32"/>
          <w:szCs w:val="32"/>
          <w:highlight w:val="none"/>
        </w:rPr>
      </w:pPr>
    </w:p>
    <w:p>
      <w:pPr>
        <w:tabs>
          <w:tab w:val="center" w:pos="4201"/>
          <w:tab w:val="right" w:leader="dot" w:pos="9298"/>
        </w:tabs>
        <w:spacing w:before="156" w:beforeLines="50" w:after="156" w:afterLines="50"/>
        <w:ind w:left="0" w:leftChars="0" w:firstLine="0" w:firstLineChars="0"/>
        <w:jc w:val="center"/>
        <w:outlineLvl w:val="0"/>
        <w:rPr>
          <w:rFonts w:ascii="宋体" w:hAnsi="宋体" w:eastAsia="宋体"/>
          <w:color w:val="auto"/>
          <w:sz w:val="32"/>
          <w:szCs w:val="32"/>
          <w:highlight w:val="none"/>
        </w:rPr>
      </w:pPr>
      <w:bookmarkStart w:id="109" w:name="_Toc3678"/>
      <w:bookmarkStart w:id="110" w:name="_Toc26135"/>
      <w:bookmarkStart w:id="111" w:name="_Toc1579"/>
      <w:bookmarkStart w:id="112" w:name="_Toc149943877"/>
      <w:bookmarkStart w:id="113" w:name="_Toc7787"/>
      <w:bookmarkStart w:id="114" w:name="_Toc32650"/>
      <w:bookmarkStart w:id="115" w:name="_Toc14427"/>
      <w:r>
        <w:rPr>
          <w:rFonts w:hint="eastAsia" w:ascii="宋体" w:hAnsi="宋体" w:eastAsia="宋体"/>
          <w:color w:val="auto"/>
          <w:spacing w:val="106"/>
          <w:kern w:val="0"/>
          <w:sz w:val="32"/>
          <w:szCs w:val="32"/>
          <w:highlight w:val="none"/>
          <w:fitText w:val="1920" w:id="537140333"/>
        </w:rPr>
        <w:t>条文</w:t>
      </w:r>
      <w:r>
        <w:rPr>
          <w:rFonts w:ascii="宋体" w:hAnsi="宋体" w:eastAsia="宋体"/>
          <w:color w:val="auto"/>
          <w:spacing w:val="106"/>
          <w:kern w:val="0"/>
          <w:sz w:val="32"/>
          <w:szCs w:val="32"/>
          <w:highlight w:val="none"/>
          <w:fitText w:val="1920" w:id="537140333"/>
        </w:rPr>
        <w:t>说</w:t>
      </w:r>
      <w:r>
        <w:rPr>
          <w:rFonts w:ascii="宋体" w:hAnsi="宋体" w:eastAsia="宋体"/>
          <w:color w:val="auto"/>
          <w:spacing w:val="2"/>
          <w:kern w:val="0"/>
          <w:sz w:val="32"/>
          <w:szCs w:val="32"/>
          <w:highlight w:val="none"/>
          <w:fitText w:val="1920" w:id="537140333"/>
        </w:rPr>
        <w:t>明</w:t>
      </w:r>
      <w:bookmarkEnd w:id="109"/>
      <w:bookmarkEnd w:id="110"/>
      <w:bookmarkEnd w:id="111"/>
      <w:bookmarkEnd w:id="112"/>
      <w:bookmarkEnd w:id="113"/>
      <w:bookmarkEnd w:id="114"/>
      <w:bookmarkEnd w:id="115"/>
    </w:p>
    <w:p>
      <w:pPr>
        <w:pStyle w:val="31"/>
        <w:numPr>
          <w:ilvl w:val="1"/>
          <w:numId w:val="0"/>
        </w:numPr>
        <w:ind w:leftChars="0"/>
        <w:rPr>
          <w:rFonts w:ascii="Times New Roman"/>
          <w:color w:val="auto"/>
          <w:highlight w:val="none"/>
        </w:rPr>
      </w:pPr>
    </w:p>
    <w:p>
      <w:pPr>
        <w:pStyle w:val="31"/>
        <w:numPr>
          <w:ilvl w:val="1"/>
          <w:numId w:val="0"/>
        </w:numPr>
        <w:ind w:leftChars="0"/>
        <w:rPr>
          <w:rFonts w:ascii="Times New Roman"/>
          <w:color w:val="auto"/>
          <w:highlight w:val="none"/>
        </w:rPr>
        <w:sectPr>
          <w:pgSz w:w="11906" w:h="16838"/>
          <w:pgMar w:top="1701" w:right="1134" w:bottom="1134" w:left="1418" w:header="1361" w:footer="1134" w:gutter="0"/>
          <w:pgBorders>
            <w:top w:val="none" w:sz="0" w:space="0"/>
            <w:left w:val="none" w:sz="0" w:space="0"/>
            <w:bottom w:val="none" w:sz="0" w:space="0"/>
            <w:right w:val="none" w:sz="0" w:space="0"/>
          </w:pgBorders>
          <w:pgNumType w:fmt="decimal"/>
          <w:cols w:space="425" w:num="1"/>
          <w:formProt w:val="0"/>
          <w:docGrid w:type="lines" w:linePitch="312" w:charSpace="0"/>
        </w:sectPr>
      </w:pPr>
    </w:p>
    <w:p>
      <w:pPr>
        <w:tabs>
          <w:tab w:val="center" w:pos="4201"/>
          <w:tab w:val="right" w:leader="dot" w:pos="9298"/>
        </w:tabs>
        <w:ind w:left="0" w:leftChars="0" w:firstLine="0" w:firstLineChars="0"/>
        <w:jc w:val="center"/>
        <w:rPr>
          <w:rFonts w:hint="default" w:ascii="Times New Roman Regular" w:hAnsi="Times New Roman Regular" w:eastAsia="黑体" w:cs="Times New Roman Regular"/>
          <w:color w:val="auto"/>
          <w:sz w:val="32"/>
          <w:szCs w:val="32"/>
          <w:highlight w:val="none"/>
        </w:rPr>
      </w:pPr>
      <w:r>
        <w:rPr>
          <w:rFonts w:hint="default" w:ascii="Times New Roman Regular" w:hAnsi="Times New Roman Regular" w:eastAsia="黑体" w:cs="Times New Roman Regular"/>
          <w:color w:val="auto"/>
          <w:sz w:val="32"/>
          <w:szCs w:val="32"/>
          <w:highlight w:val="none"/>
        </w:rPr>
        <w:t>制 订 说 明</w:t>
      </w:r>
    </w:p>
    <w:p>
      <w:pPr>
        <w:tabs>
          <w:tab w:val="center" w:pos="4201"/>
          <w:tab w:val="right" w:leader="dot" w:pos="9298"/>
        </w:tabs>
        <w:rPr>
          <w:rFonts w:hint="default" w:ascii="Times New Roman Regular" w:hAnsi="Times New Roman Regular" w:eastAsia="仿宋_GB2312" w:cs="Times New Roman Regular"/>
          <w:b/>
          <w:bCs/>
          <w:caps/>
          <w:color w:val="auto"/>
          <w:sz w:val="44"/>
          <w:szCs w:val="36"/>
          <w:highlight w:val="none"/>
        </w:rPr>
      </w:pPr>
    </w:p>
    <w:p>
      <w:pPr>
        <w:tabs>
          <w:tab w:val="center" w:pos="4201"/>
          <w:tab w:val="right" w:leader="dot" w:pos="9298"/>
        </w:tabs>
        <w:spacing w:before="156" w:beforeLines="50" w:line="360" w:lineRule="auto"/>
        <w:rPr>
          <w:rFonts w:hint="default" w:ascii="Times New Roman Regular" w:hAnsi="Times New Roman Regular" w:cs="Times New Roman Regular"/>
          <w:color w:val="auto"/>
          <w:sz w:val="24"/>
          <w:highlight w:val="none"/>
        </w:rPr>
      </w:pPr>
      <w:r>
        <w:rPr>
          <w:rFonts w:hint="default" w:ascii="Times New Roman Regular" w:hAnsi="Times New Roman Regular" w:cs="Times New Roman Regular"/>
          <w:color w:val="auto"/>
          <w:sz w:val="24"/>
          <w:highlight w:val="none"/>
        </w:rPr>
        <w:tab/>
      </w:r>
      <w:r>
        <w:rPr>
          <w:rFonts w:hint="default" w:ascii="Times New Roman Regular" w:hAnsi="Times New Roman Regular" w:cs="Times New Roman Regular"/>
          <w:color w:val="auto"/>
          <w:sz w:val="24"/>
          <w:highlight w:val="none"/>
        </w:rPr>
        <w:t>《钢渣粉在混凝土中应用技术规范》JC/T XXX-XXXX，工业和信息化部××年××月××日以第××号公告</w:t>
      </w:r>
      <w:r>
        <w:rPr>
          <w:rFonts w:hint="eastAsia" w:ascii="Times New Roman Regular" w:hAnsi="Times New Roman Regular" w:cs="Times New Roman Regular"/>
          <w:color w:val="auto"/>
          <w:sz w:val="24"/>
          <w:highlight w:val="none"/>
          <w:lang w:val="en-US" w:eastAsia="zh-CN"/>
        </w:rPr>
        <w:t>批准、</w:t>
      </w:r>
      <w:r>
        <w:rPr>
          <w:rFonts w:hint="default" w:ascii="Times New Roman Regular" w:hAnsi="Times New Roman Regular" w:cs="Times New Roman Regular"/>
          <w:color w:val="auto"/>
          <w:sz w:val="24"/>
          <w:highlight w:val="none"/>
        </w:rPr>
        <w:t>发布。</w:t>
      </w:r>
    </w:p>
    <w:p>
      <w:pPr>
        <w:tabs>
          <w:tab w:val="center" w:pos="4201"/>
          <w:tab w:val="right" w:leader="dot" w:pos="9298"/>
        </w:tabs>
        <w:spacing w:before="156" w:beforeLines="50" w:line="360" w:lineRule="auto"/>
        <w:ind w:firstLine="480" w:firstLineChars="200"/>
        <w:rPr>
          <w:rFonts w:hint="default" w:ascii="Times New Roman Regular" w:hAnsi="Times New Roman Regular" w:cs="Times New Roman Regular"/>
          <w:color w:val="auto"/>
          <w:sz w:val="24"/>
          <w:highlight w:val="none"/>
        </w:rPr>
      </w:pPr>
      <w:r>
        <w:rPr>
          <w:rFonts w:hint="default" w:ascii="Times New Roman Regular" w:hAnsi="Times New Roman Regular" w:cs="Times New Roman Regular"/>
          <w:color w:val="auto"/>
          <w:sz w:val="24"/>
          <w:highlight w:val="none"/>
        </w:rPr>
        <w:t>本规范编制过程中，编制组总结我国</w:t>
      </w:r>
      <w:r>
        <w:rPr>
          <w:rFonts w:hint="eastAsia" w:ascii="Times New Roman Regular" w:hAnsi="Times New Roman Regular" w:cs="Times New Roman Regular"/>
          <w:color w:val="auto"/>
          <w:sz w:val="24"/>
          <w:highlight w:val="none"/>
          <w:lang w:val="en-US" w:eastAsia="zh-CN"/>
        </w:rPr>
        <w:t>钢渣粉</w:t>
      </w:r>
      <w:r>
        <w:rPr>
          <w:rFonts w:hint="default" w:ascii="Times New Roman Regular" w:hAnsi="Times New Roman Regular" w:cs="Times New Roman Regular"/>
          <w:color w:val="auto"/>
          <w:sz w:val="24"/>
          <w:highlight w:val="none"/>
        </w:rPr>
        <w:t>在混凝土中应用实践经验的基础上，经参考有关资料广泛征求有关专家和单位的意见并积极听取各方建议编制而成。规范的编制进行了大量的调研和验证试验，对主要问题进行了反复讨论并广泛征求了各方意见，与相关标准规范进行了协调</w:t>
      </w:r>
    </w:p>
    <w:p>
      <w:pPr>
        <w:tabs>
          <w:tab w:val="center" w:pos="4201"/>
          <w:tab w:val="right" w:leader="dot" w:pos="9298"/>
        </w:tabs>
        <w:spacing w:before="156" w:beforeLines="50" w:line="360" w:lineRule="auto"/>
        <w:ind w:firstLine="480" w:firstLineChars="200"/>
        <w:rPr>
          <w:rFonts w:hint="default" w:ascii="Times New Roman Regular" w:hAnsi="Times New Roman Regular" w:cs="Times New Roman Regular"/>
          <w:color w:val="auto"/>
          <w:sz w:val="24"/>
          <w:highlight w:val="none"/>
        </w:rPr>
      </w:pPr>
      <w:r>
        <w:rPr>
          <w:rFonts w:hint="default" w:ascii="Times New Roman Regular" w:hAnsi="Times New Roman Regular" w:cs="Times New Roman Regular"/>
          <w:color w:val="auto"/>
          <w:sz w:val="24"/>
          <w:highlight w:val="none"/>
        </w:rPr>
        <w:t>为便于扩大设计、施工、科研、学校等单位有关人员在使用本</w:t>
      </w:r>
      <w:r>
        <w:rPr>
          <w:rFonts w:hint="eastAsia" w:ascii="Times New Roman Regular" w:hAnsi="Times New Roman Regular" w:cs="Times New Roman Regular"/>
          <w:color w:val="auto"/>
          <w:sz w:val="24"/>
          <w:highlight w:val="none"/>
          <w:lang w:eastAsia="zh-CN"/>
        </w:rPr>
        <w:t>规范</w:t>
      </w:r>
      <w:r>
        <w:rPr>
          <w:rFonts w:hint="default" w:ascii="Times New Roman Regular" w:hAnsi="Times New Roman Regular" w:cs="Times New Roman Regular"/>
          <w:color w:val="auto"/>
          <w:sz w:val="24"/>
          <w:highlight w:val="none"/>
        </w:rPr>
        <w:t>时能正确理解和执行条文规定，《钢渣粉在混凝土中应用技术规范》编制组按章、节、条顺序编制了本</w:t>
      </w:r>
      <w:r>
        <w:rPr>
          <w:rFonts w:hint="eastAsia" w:ascii="Times New Roman Regular" w:hAnsi="Times New Roman Regular" w:cs="Times New Roman Regular"/>
          <w:color w:val="auto"/>
          <w:sz w:val="24"/>
          <w:highlight w:val="none"/>
          <w:lang w:eastAsia="zh-CN"/>
        </w:rPr>
        <w:t>规范</w:t>
      </w:r>
      <w:r>
        <w:rPr>
          <w:rFonts w:hint="default" w:ascii="Times New Roman Regular" w:hAnsi="Times New Roman Regular" w:cs="Times New Roman Regular"/>
          <w:color w:val="auto"/>
          <w:sz w:val="24"/>
          <w:highlight w:val="none"/>
        </w:rPr>
        <w:t>中的条文说明，对条文规定的目的、依据以及执行中需要注意的有关事项进行了说明。但是，本条文说明不具备与</w:t>
      </w:r>
      <w:r>
        <w:rPr>
          <w:rFonts w:hint="eastAsia" w:ascii="Times New Roman Regular" w:hAnsi="Times New Roman Regular" w:cs="Times New Roman Regular"/>
          <w:color w:val="auto"/>
          <w:sz w:val="24"/>
          <w:highlight w:val="none"/>
          <w:lang w:eastAsia="zh-CN"/>
        </w:rPr>
        <w:t>规范</w:t>
      </w:r>
      <w:r>
        <w:rPr>
          <w:rFonts w:hint="default" w:ascii="Times New Roman Regular" w:hAnsi="Times New Roman Regular" w:cs="Times New Roman Regular"/>
          <w:color w:val="auto"/>
          <w:sz w:val="24"/>
          <w:highlight w:val="none"/>
        </w:rPr>
        <w:t>正文同等的法律效力，仅供使用者作为理解和把握</w:t>
      </w:r>
      <w:r>
        <w:rPr>
          <w:rFonts w:hint="eastAsia" w:ascii="Times New Roman Regular" w:hAnsi="Times New Roman Regular" w:cs="Times New Roman Regular"/>
          <w:color w:val="auto"/>
          <w:sz w:val="24"/>
          <w:highlight w:val="none"/>
          <w:lang w:eastAsia="zh-CN"/>
        </w:rPr>
        <w:t>规范</w:t>
      </w:r>
      <w:r>
        <w:rPr>
          <w:rFonts w:hint="default" w:ascii="Times New Roman Regular" w:hAnsi="Times New Roman Regular" w:cs="Times New Roman Regular"/>
          <w:color w:val="auto"/>
          <w:sz w:val="24"/>
          <w:highlight w:val="none"/>
        </w:rPr>
        <w:t>规定的参考。</w:t>
      </w:r>
    </w:p>
    <w:p>
      <w:pPr>
        <w:tabs>
          <w:tab w:val="center" w:pos="4201"/>
          <w:tab w:val="right" w:leader="dot" w:pos="9298"/>
        </w:tabs>
        <w:spacing w:before="156" w:beforeLines="50" w:line="360" w:lineRule="auto"/>
        <w:ind w:left="0" w:leftChars="0" w:firstLine="0" w:firstLineChars="0"/>
        <w:rPr>
          <w:rFonts w:hint="default" w:ascii="Times New Roman Regular" w:hAnsi="Times New Roman Regular" w:cs="Times New Roman Regular"/>
          <w:color w:val="auto"/>
          <w:sz w:val="24"/>
          <w:highlight w:val="none"/>
        </w:rPr>
      </w:pPr>
    </w:p>
    <w:p>
      <w:pPr>
        <w:tabs>
          <w:tab w:val="center" w:pos="4201"/>
          <w:tab w:val="right" w:leader="dot" w:pos="9298"/>
        </w:tabs>
        <w:rPr>
          <w:rFonts w:hint="default" w:ascii="Times New Roman Regular" w:hAnsi="Times New Roman Regular" w:cs="Times New Roman Regular"/>
          <w:color w:val="auto"/>
          <w:highlight w:val="none"/>
        </w:rPr>
        <w:sectPr>
          <w:footerReference r:id="rId13" w:type="default"/>
          <w:pgSz w:w="11906" w:h="16838"/>
          <w:pgMar w:top="1701" w:right="1134" w:bottom="1134" w:left="1417" w:header="851" w:footer="992" w:gutter="0"/>
          <w:pgNumType w:fmt="decimal" w:start="17"/>
          <w:cols w:space="720" w:num="1"/>
          <w:docGrid w:type="lines" w:linePitch="312" w:charSpace="0"/>
        </w:sectPr>
      </w:pPr>
    </w:p>
    <w:p>
      <w:pPr>
        <w:pStyle w:val="9"/>
        <w:tabs>
          <w:tab w:val="center" w:pos="4153"/>
          <w:tab w:val="clear" w:pos="4201"/>
          <w:tab w:val="clear" w:pos="9298"/>
        </w:tabs>
        <w:ind w:left="0" w:leftChars="0" w:firstLine="0" w:firstLineChars="0"/>
        <w:jc w:val="center"/>
        <w:rPr>
          <w:rFonts w:hint="default" w:ascii="Times New Roman Regular" w:hAnsi="Times New Roman Regular" w:cs="Times New Roman Regular"/>
          <w:bCs/>
          <w:color w:val="auto"/>
          <w:sz w:val="28"/>
          <w:szCs w:val="28"/>
          <w:highlight w:val="none"/>
        </w:rPr>
      </w:pPr>
      <w:r>
        <w:rPr>
          <w:rFonts w:hint="default" w:ascii="Times New Roman Regular" w:hAnsi="Times New Roman Regular" w:cs="Times New Roman Regular"/>
          <w:bCs/>
          <w:color w:val="auto"/>
          <w:sz w:val="28"/>
          <w:szCs w:val="28"/>
          <w:highlight w:val="none"/>
        </w:rPr>
        <w:t>目  次</w:t>
      </w:r>
    </w:p>
    <w:p>
      <w:pPr>
        <w:pStyle w:val="15"/>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outlineLvl w:val="1"/>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_Toc24677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i w:val="0"/>
          <w:caps w:val="0"/>
          <w:smallCaps w:val="0"/>
          <w:strike w:val="0"/>
          <w:dstrike w:val="0"/>
          <w:vanish w:val="0"/>
          <w:color w:val="auto"/>
          <w:spacing w:val="0"/>
          <w:w w:val="100"/>
          <w:kern w:val="21"/>
          <w:position w:val="0"/>
          <w:sz w:val="21"/>
          <w:szCs w:val="21"/>
          <w:vertAlign w:val="baseline"/>
          <w14:shadow w14:blurRad="0" w14:dist="0" w14:dir="0" w14:sx="0" w14:sy="0" w14:kx="0" w14:ky="0" w14:algn="none">
            <w14:srgbClr w14:val="000000"/>
          </w14:shadow>
        </w:rPr>
        <w:t xml:space="preserve">1 </w:t>
      </w:r>
      <w:r>
        <w:rPr>
          <w:rFonts w:hint="eastAsia" w:ascii="Times New Roman" w:hAnsi="Times New Roman" w:cs="Times New Roman"/>
          <w:i w:val="0"/>
          <w:caps w:val="0"/>
          <w:smallCaps w:val="0"/>
          <w:strike w:val="0"/>
          <w:dstrike w:val="0"/>
          <w:vanish w:val="0"/>
          <w:color w:val="auto"/>
          <w:spacing w:val="0"/>
          <w:w w:val="100"/>
          <w:kern w:val="21"/>
          <w:position w:val="0"/>
          <w:sz w:val="21"/>
          <w:szCs w:val="21"/>
          <w:vertAlign w:val="baseline"/>
          <w:lang w:val="en-US" w:eastAsia="zh-CN"/>
          <w14:shadow w14:blurRad="0" w14:dist="0" w14:dir="0" w14:sx="0" w14:sy="0" w14:kx="0" w14:ky="0" w14:algn="none">
            <w14:srgbClr w14:val="000000"/>
          </w14:shadow>
        </w:rPr>
        <w:t xml:space="preserve"> </w:t>
      </w:r>
      <w:r>
        <w:rPr>
          <w:rFonts w:hint="default" w:ascii="Times New Roman" w:hAnsi="Times New Roman" w:cs="Times New Roman" w:eastAsiaTheme="minorEastAsia"/>
          <w:bCs/>
          <w:color w:val="auto"/>
          <w:sz w:val="21"/>
          <w:szCs w:val="21"/>
          <w:highlight w:val="none"/>
        </w:rPr>
        <w:t>总  则</w:t>
      </w:r>
      <w:r>
        <w:rPr>
          <w:rFonts w:hint="default" w:ascii="Times New Roman" w:hAnsi="Times New Roman" w:cs="Times New Roman" w:eastAsiaTheme="minorEastAsia"/>
          <w:color w:val="auto"/>
          <w:sz w:val="21"/>
          <w:szCs w:val="21"/>
        </w:rPr>
        <w:tab/>
      </w:r>
      <w:r>
        <w:rPr>
          <w:rFonts w:hint="default" w:ascii="Times New Roman" w:hAnsi="Times New Roman" w:cs="Times New Roman" w:eastAsiaTheme="minorEastAsia"/>
          <w:color w:val="auto"/>
          <w:sz w:val="21"/>
          <w:szCs w:val="21"/>
        </w:rPr>
        <w:fldChar w:fldCharType="begin"/>
      </w:r>
      <w:r>
        <w:rPr>
          <w:rFonts w:hint="default" w:ascii="Times New Roman" w:hAnsi="Times New Roman" w:cs="Times New Roman" w:eastAsiaTheme="minorEastAsia"/>
          <w:color w:val="auto"/>
          <w:sz w:val="21"/>
          <w:szCs w:val="21"/>
        </w:rPr>
        <w:instrText xml:space="preserve"> PAGEREF _Toc24677 \h </w:instrText>
      </w:r>
      <w:r>
        <w:rPr>
          <w:rFonts w:hint="default" w:ascii="Times New Roman" w:hAnsi="Times New Roman" w:cs="Times New Roman" w:eastAsiaTheme="minorEastAsia"/>
          <w:color w:val="auto"/>
          <w:sz w:val="21"/>
          <w:szCs w:val="21"/>
        </w:rPr>
        <w:fldChar w:fldCharType="separate"/>
      </w:r>
      <w:r>
        <w:rPr>
          <w:rFonts w:hint="default" w:ascii="Times New Roman" w:hAnsi="Times New Roman" w:cs="Times New Roman" w:eastAsiaTheme="minorEastAsia"/>
          <w:color w:val="auto"/>
          <w:sz w:val="21"/>
          <w:szCs w:val="21"/>
        </w:rPr>
        <w:t>19</w:t>
      </w:r>
      <w:r>
        <w:rPr>
          <w:rFonts w:hint="default" w:ascii="Times New Roman" w:hAnsi="Times New Roman" w:cs="Times New Roman" w:eastAsiaTheme="minorEastAsia"/>
          <w:color w:val="auto"/>
          <w:sz w:val="21"/>
          <w:szCs w:val="21"/>
        </w:rPr>
        <w:fldChar w:fldCharType="end"/>
      </w:r>
      <w:r>
        <w:rPr>
          <w:rFonts w:hint="default" w:ascii="Times New Roman" w:hAnsi="Times New Roman" w:cs="Times New Roman" w:eastAsiaTheme="minorEastAsia"/>
          <w:color w:val="auto"/>
          <w:sz w:val="21"/>
          <w:szCs w:val="21"/>
          <w:highlight w:val="none"/>
        </w:rPr>
        <w:fldChar w:fldCharType="end"/>
      </w:r>
    </w:p>
    <w:p>
      <w:pPr>
        <w:pStyle w:val="15"/>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_Toc26648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color w:val="auto"/>
          <w:sz w:val="21"/>
          <w:szCs w:val="21"/>
          <w:highlight w:val="none"/>
          <w:lang w:val="en-US" w:eastAsia="zh-CN"/>
        </w:rPr>
        <w:t>2  术语</w:t>
      </w:r>
      <w:r>
        <w:rPr>
          <w:rFonts w:hint="eastAsia" w:cs="Times New Roman" w:eastAsiaTheme="minorEastAsia"/>
          <w:color w:val="auto"/>
          <w:sz w:val="21"/>
          <w:szCs w:val="21"/>
          <w:highlight w:val="none"/>
          <w:lang w:val="en-US" w:eastAsia="zh-CN"/>
        </w:rPr>
        <w:t>和定义</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0</w:t>
      </w:r>
    </w:p>
    <w:p>
      <w:pPr>
        <w:pStyle w:val="15"/>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_Toc8509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color w:val="auto"/>
          <w:sz w:val="21"/>
          <w:szCs w:val="21"/>
          <w:highlight w:val="none"/>
          <w:lang w:val="en-US" w:eastAsia="zh-CN"/>
        </w:rPr>
        <w:t xml:space="preserve">3  </w:t>
      </w:r>
      <w:r>
        <w:rPr>
          <w:rFonts w:hint="eastAsia" w:cs="Times New Roman" w:eastAsiaTheme="minorEastAsia"/>
          <w:color w:val="auto"/>
          <w:sz w:val="21"/>
          <w:szCs w:val="21"/>
          <w:highlight w:val="none"/>
          <w:lang w:val="en-US" w:eastAsia="zh-CN"/>
        </w:rPr>
        <w:t>原</w:t>
      </w:r>
      <w:r>
        <w:rPr>
          <w:rFonts w:hint="default" w:ascii="Times New Roman" w:hAnsi="Times New Roman" w:cs="Times New Roman" w:eastAsiaTheme="minorEastAsia"/>
          <w:color w:val="auto"/>
          <w:sz w:val="21"/>
          <w:szCs w:val="21"/>
          <w:highlight w:val="none"/>
          <w:lang w:val="en-US" w:eastAsia="zh-CN"/>
        </w:rPr>
        <w:t>材料</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1</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_Toc22017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bCs w:val="0"/>
          <w:smallCaps w:val="0"/>
          <w:color w:val="auto"/>
          <w:sz w:val="21"/>
          <w:szCs w:val="21"/>
          <w:highlight w:val="none"/>
          <w:lang w:val="en-US" w:eastAsia="zh-CN"/>
        </w:rPr>
        <w:t xml:space="preserve">3.1 </w:t>
      </w:r>
      <w:r>
        <w:rPr>
          <w:rFonts w:hint="eastAsia" w:ascii="Times New Roman" w:hAnsi="Times New Roman" w:cs="Times New Roman" w:eastAsiaTheme="minorEastAsia"/>
          <w:bCs w:val="0"/>
          <w:smallCaps w:val="0"/>
          <w:color w:val="auto"/>
          <w:sz w:val="21"/>
          <w:szCs w:val="21"/>
          <w:highlight w:val="none"/>
          <w:lang w:val="en-US" w:eastAsia="zh-CN"/>
        </w:rPr>
        <w:t xml:space="preserve"> 钢渣粉</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1</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_Toc25679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bCs w:val="0"/>
          <w:smallCaps w:val="0"/>
          <w:color w:val="auto"/>
          <w:sz w:val="21"/>
          <w:szCs w:val="21"/>
          <w:highlight w:val="none"/>
          <w:lang w:val="en-US" w:eastAsia="zh-CN"/>
        </w:rPr>
        <w:t xml:space="preserve">3.2 </w:t>
      </w:r>
      <w:r>
        <w:rPr>
          <w:rFonts w:hint="eastAsia" w:ascii="Times New Roman" w:hAnsi="Times New Roman" w:cs="Times New Roman" w:eastAsiaTheme="minorEastAsia"/>
          <w:bCs w:val="0"/>
          <w:smallCaps w:val="0"/>
          <w:color w:val="auto"/>
          <w:sz w:val="21"/>
          <w:szCs w:val="21"/>
          <w:highlight w:val="none"/>
          <w:lang w:val="en-US" w:eastAsia="zh-CN"/>
        </w:rPr>
        <w:t xml:space="preserve"> 混凝土</w:t>
      </w:r>
      <w:r>
        <w:rPr>
          <w:rFonts w:hint="default" w:ascii="Times New Roman" w:hAnsi="Times New Roman" w:cs="Times New Roman" w:eastAsiaTheme="minorEastAsia"/>
          <w:bCs w:val="0"/>
          <w:smallCaps w:val="0"/>
          <w:color w:val="auto"/>
          <w:sz w:val="21"/>
          <w:szCs w:val="21"/>
          <w:highlight w:val="none"/>
          <w:lang w:val="en-US" w:eastAsia="zh-CN"/>
        </w:rPr>
        <w:t>其他材料</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2</w:t>
      </w:r>
    </w:p>
    <w:p>
      <w:pPr>
        <w:pStyle w:val="15"/>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_Toc3074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color w:val="auto"/>
          <w:sz w:val="21"/>
          <w:szCs w:val="21"/>
          <w:highlight w:val="none"/>
          <w:lang w:val="en-US" w:eastAsia="zh-CN"/>
        </w:rPr>
        <w:t>4  混凝土性能</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4</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_Toc21440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bCs w:val="0"/>
          <w:smallCaps w:val="0"/>
          <w:color w:val="auto"/>
          <w:sz w:val="21"/>
          <w:szCs w:val="21"/>
          <w:highlight w:val="none"/>
          <w:lang w:val="en-US" w:eastAsia="zh-CN"/>
        </w:rPr>
        <w:t xml:space="preserve">4.1 </w:t>
      </w:r>
      <w:r>
        <w:rPr>
          <w:rFonts w:hint="eastAsia" w:ascii="Times New Roman" w:hAnsi="Times New Roman" w:cs="Times New Roman" w:eastAsiaTheme="minorEastAsia"/>
          <w:bCs w:val="0"/>
          <w:smallCaps w:val="0"/>
          <w:color w:val="auto"/>
          <w:sz w:val="21"/>
          <w:szCs w:val="21"/>
          <w:highlight w:val="none"/>
          <w:lang w:val="en-US" w:eastAsia="zh-CN"/>
        </w:rPr>
        <w:t xml:space="preserve"> </w:t>
      </w:r>
      <w:r>
        <w:rPr>
          <w:rFonts w:hint="default" w:ascii="Times New Roman" w:hAnsi="Times New Roman" w:cs="Times New Roman" w:eastAsiaTheme="minorEastAsia"/>
          <w:bCs w:val="0"/>
          <w:smallCaps w:val="0"/>
          <w:color w:val="auto"/>
          <w:sz w:val="21"/>
          <w:szCs w:val="21"/>
          <w:highlight w:val="none"/>
          <w:lang w:val="en-US" w:eastAsia="zh-CN"/>
        </w:rPr>
        <w:t>拌合物性能</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4</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_Toc23541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bCs w:val="0"/>
          <w:smallCaps w:val="0"/>
          <w:color w:val="auto"/>
          <w:sz w:val="21"/>
          <w:szCs w:val="21"/>
          <w:highlight w:val="none"/>
          <w:lang w:val="en-US" w:eastAsia="zh-CN"/>
        </w:rPr>
        <w:t xml:space="preserve">4.2 </w:t>
      </w:r>
      <w:r>
        <w:rPr>
          <w:rFonts w:hint="eastAsia" w:ascii="Times New Roman" w:hAnsi="Times New Roman" w:cs="Times New Roman" w:eastAsiaTheme="minorEastAsia"/>
          <w:bCs w:val="0"/>
          <w:smallCaps w:val="0"/>
          <w:color w:val="auto"/>
          <w:sz w:val="21"/>
          <w:szCs w:val="21"/>
          <w:highlight w:val="none"/>
          <w:lang w:val="en-US" w:eastAsia="zh-CN"/>
        </w:rPr>
        <w:t xml:space="preserve"> </w:t>
      </w:r>
      <w:r>
        <w:rPr>
          <w:rFonts w:hint="default" w:ascii="Times New Roman" w:hAnsi="Times New Roman" w:cs="Times New Roman" w:eastAsiaTheme="minorEastAsia"/>
          <w:bCs w:val="0"/>
          <w:smallCaps w:val="0"/>
          <w:color w:val="auto"/>
          <w:sz w:val="21"/>
          <w:szCs w:val="21"/>
          <w:highlight w:val="none"/>
          <w:lang w:val="en-US" w:eastAsia="zh-CN"/>
        </w:rPr>
        <w:t>力学性能</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4</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_Toc4414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bCs w:val="0"/>
          <w:smallCaps w:val="0"/>
          <w:color w:val="auto"/>
          <w:sz w:val="21"/>
          <w:szCs w:val="21"/>
          <w:highlight w:val="none"/>
          <w:lang w:val="en-US" w:eastAsia="zh-CN"/>
        </w:rPr>
        <w:t xml:space="preserve">4.3 </w:t>
      </w:r>
      <w:r>
        <w:rPr>
          <w:rFonts w:hint="eastAsia" w:ascii="Times New Roman" w:hAnsi="Times New Roman" w:cs="Times New Roman" w:eastAsiaTheme="minorEastAsia"/>
          <w:bCs w:val="0"/>
          <w:smallCaps w:val="0"/>
          <w:color w:val="auto"/>
          <w:sz w:val="21"/>
          <w:szCs w:val="21"/>
          <w:highlight w:val="none"/>
          <w:lang w:val="en-US" w:eastAsia="zh-CN"/>
        </w:rPr>
        <w:t xml:space="preserve"> </w:t>
      </w:r>
      <w:r>
        <w:rPr>
          <w:rFonts w:hint="default" w:ascii="Times New Roman" w:hAnsi="Times New Roman" w:cs="Times New Roman" w:eastAsiaTheme="minorEastAsia"/>
          <w:bCs w:val="0"/>
          <w:smallCaps w:val="0"/>
          <w:color w:val="auto"/>
          <w:sz w:val="21"/>
          <w:szCs w:val="21"/>
          <w:highlight w:val="none"/>
          <w:lang w:val="en-US" w:eastAsia="zh-CN"/>
        </w:rPr>
        <w:t>耐久性能</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5</w:t>
      </w:r>
    </w:p>
    <w:p>
      <w:pPr>
        <w:pStyle w:val="15"/>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_Toc793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color w:val="auto"/>
          <w:sz w:val="21"/>
          <w:szCs w:val="21"/>
          <w:highlight w:val="none"/>
          <w:lang w:val="en-US" w:eastAsia="zh-CN"/>
        </w:rPr>
        <w:t>5  配合比设计</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6</w:t>
      </w:r>
    </w:p>
    <w:p>
      <w:pPr>
        <w:pStyle w:val="15"/>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_Toc17939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color w:val="auto"/>
          <w:sz w:val="21"/>
          <w:szCs w:val="21"/>
          <w:highlight w:val="none"/>
          <w:lang w:val="en-US" w:eastAsia="zh-CN"/>
        </w:rPr>
        <w:t>6  施  工</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7</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_Toc2681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bCs w:val="0"/>
          <w:smallCaps w:val="0"/>
          <w:color w:val="auto"/>
          <w:sz w:val="21"/>
          <w:szCs w:val="21"/>
          <w:highlight w:val="none"/>
        </w:rPr>
        <w:t>6.1</w:t>
      </w:r>
      <w:r>
        <w:rPr>
          <w:rFonts w:hint="default" w:ascii="Times New Roman" w:hAnsi="Times New Roman" w:cs="Times New Roman" w:eastAsiaTheme="minorEastAsia"/>
          <w:bCs w:val="0"/>
          <w:smallCaps w:val="0"/>
          <w:color w:val="auto"/>
          <w:sz w:val="21"/>
          <w:szCs w:val="21"/>
          <w:highlight w:val="none"/>
          <w:lang w:val="en-US" w:eastAsia="zh-CN"/>
        </w:rPr>
        <w:t xml:space="preserve"> </w:t>
      </w:r>
      <w:r>
        <w:rPr>
          <w:rFonts w:hint="eastAsia" w:ascii="Times New Roman" w:hAnsi="Times New Roman" w:cs="Times New Roman" w:eastAsiaTheme="minorEastAsia"/>
          <w:bCs w:val="0"/>
          <w:smallCaps w:val="0"/>
          <w:color w:val="auto"/>
          <w:sz w:val="21"/>
          <w:szCs w:val="21"/>
          <w:highlight w:val="none"/>
          <w:lang w:val="en-US" w:eastAsia="zh-CN"/>
        </w:rPr>
        <w:t xml:space="preserve"> </w:t>
      </w:r>
      <w:r>
        <w:rPr>
          <w:rFonts w:hint="default" w:ascii="Times New Roman" w:hAnsi="Times New Roman" w:cs="Times New Roman" w:eastAsiaTheme="minorEastAsia"/>
          <w:bCs w:val="0"/>
          <w:smallCaps w:val="0"/>
          <w:color w:val="auto"/>
          <w:sz w:val="21"/>
          <w:szCs w:val="21"/>
          <w:highlight w:val="none"/>
        </w:rPr>
        <w:t>一般规定</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7</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_Toc20600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bCs w:val="0"/>
          <w:smallCaps w:val="0"/>
          <w:color w:val="auto"/>
          <w:sz w:val="21"/>
          <w:szCs w:val="21"/>
          <w:highlight w:val="none"/>
        </w:rPr>
        <w:t>6.2</w:t>
      </w:r>
      <w:r>
        <w:rPr>
          <w:rFonts w:hint="default" w:ascii="Times New Roman" w:hAnsi="Times New Roman" w:cs="Times New Roman" w:eastAsiaTheme="minorEastAsia"/>
          <w:bCs w:val="0"/>
          <w:smallCaps w:val="0"/>
          <w:color w:val="auto"/>
          <w:sz w:val="21"/>
          <w:szCs w:val="21"/>
          <w:highlight w:val="none"/>
          <w:lang w:val="en-US" w:eastAsia="zh-CN"/>
        </w:rPr>
        <w:t xml:space="preserve"> </w:t>
      </w:r>
      <w:r>
        <w:rPr>
          <w:rFonts w:hint="eastAsia" w:ascii="Times New Roman" w:hAnsi="Times New Roman" w:cs="Times New Roman" w:eastAsiaTheme="minorEastAsia"/>
          <w:bCs w:val="0"/>
          <w:smallCaps w:val="0"/>
          <w:color w:val="auto"/>
          <w:sz w:val="21"/>
          <w:szCs w:val="21"/>
          <w:highlight w:val="none"/>
          <w:lang w:val="en-US" w:eastAsia="zh-CN"/>
        </w:rPr>
        <w:t xml:space="preserve"> </w:t>
      </w:r>
      <w:r>
        <w:rPr>
          <w:rFonts w:hint="default" w:ascii="Times New Roman" w:hAnsi="Times New Roman" w:cs="Times New Roman" w:eastAsiaTheme="minorEastAsia"/>
          <w:bCs w:val="0"/>
          <w:smallCaps w:val="0"/>
          <w:color w:val="auto"/>
          <w:sz w:val="21"/>
          <w:szCs w:val="21"/>
          <w:highlight w:val="none"/>
        </w:rPr>
        <w:t>原材料贮存</w:t>
      </w:r>
      <w:r>
        <w:rPr>
          <w:rFonts w:hint="default" w:ascii="Times New Roman" w:hAnsi="Times New Roman" w:cs="Times New Roman" w:eastAsiaTheme="minorEastAsia"/>
          <w:bCs w:val="0"/>
          <w:smallCaps w:val="0"/>
          <w:color w:val="auto"/>
          <w:sz w:val="21"/>
          <w:szCs w:val="21"/>
          <w:highlight w:val="none"/>
          <w:lang w:val="en-US" w:eastAsia="zh-CN"/>
        </w:rPr>
        <w:t>与计量</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7</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_Toc21337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bCs w:val="0"/>
          <w:smallCaps w:val="0"/>
          <w:color w:val="auto"/>
          <w:sz w:val="21"/>
          <w:szCs w:val="21"/>
          <w:highlight w:val="none"/>
          <w:lang w:val="en-US" w:eastAsia="zh-CN"/>
        </w:rPr>
        <w:t>6.3</w:t>
      </w:r>
      <w:r>
        <w:rPr>
          <w:rFonts w:hint="eastAsia" w:ascii="Times New Roman" w:hAnsi="Times New Roman" w:cs="Times New Roman" w:eastAsiaTheme="minorEastAsia"/>
          <w:bCs w:val="0"/>
          <w:smallCaps w:val="0"/>
          <w:color w:val="auto"/>
          <w:sz w:val="21"/>
          <w:szCs w:val="21"/>
          <w:highlight w:val="none"/>
          <w:lang w:val="en-US" w:eastAsia="zh-CN"/>
        </w:rPr>
        <w:t xml:space="preserve">  </w:t>
      </w:r>
      <w:r>
        <w:rPr>
          <w:rFonts w:hint="default" w:ascii="Times New Roman" w:hAnsi="Times New Roman" w:cs="Times New Roman" w:eastAsiaTheme="minorEastAsia"/>
          <w:bCs w:val="0"/>
          <w:smallCaps w:val="0"/>
          <w:color w:val="auto"/>
          <w:sz w:val="21"/>
          <w:szCs w:val="21"/>
          <w:highlight w:val="none"/>
          <w:lang w:val="en-US" w:eastAsia="zh-CN"/>
        </w:rPr>
        <w:t>搅拌与运输</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8</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_Toc24782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bCs w:val="0"/>
          <w:smallCaps w:val="0"/>
          <w:color w:val="auto"/>
          <w:sz w:val="21"/>
          <w:szCs w:val="21"/>
          <w:highlight w:val="none"/>
          <w:lang w:val="en-US" w:eastAsia="zh-CN"/>
        </w:rPr>
        <w:t>6.4</w:t>
      </w:r>
      <w:r>
        <w:rPr>
          <w:rFonts w:hint="eastAsia" w:ascii="Times New Roman" w:hAnsi="Times New Roman" w:cs="Times New Roman" w:eastAsiaTheme="minorEastAsia"/>
          <w:bCs w:val="0"/>
          <w:smallCaps w:val="0"/>
          <w:color w:val="auto"/>
          <w:sz w:val="21"/>
          <w:szCs w:val="21"/>
          <w:highlight w:val="none"/>
          <w:lang w:val="en-US" w:eastAsia="zh-CN"/>
        </w:rPr>
        <w:t xml:space="preserve">  </w:t>
      </w:r>
      <w:r>
        <w:rPr>
          <w:rFonts w:hint="default" w:ascii="Times New Roman" w:hAnsi="Times New Roman" w:cs="Times New Roman" w:eastAsiaTheme="minorEastAsia"/>
          <w:bCs w:val="0"/>
          <w:smallCaps w:val="0"/>
          <w:color w:val="auto"/>
          <w:sz w:val="21"/>
          <w:szCs w:val="21"/>
          <w:highlight w:val="none"/>
          <w:lang w:val="en-US" w:eastAsia="zh-CN"/>
        </w:rPr>
        <w:t>浇筑</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8</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_Toc30743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bCs w:val="0"/>
          <w:smallCaps w:val="0"/>
          <w:color w:val="auto"/>
          <w:sz w:val="21"/>
          <w:szCs w:val="21"/>
          <w:highlight w:val="none"/>
          <w:lang w:val="en-US" w:eastAsia="zh-CN"/>
        </w:rPr>
        <w:t>6.5</w:t>
      </w:r>
      <w:r>
        <w:rPr>
          <w:rFonts w:hint="eastAsia" w:ascii="Times New Roman" w:hAnsi="Times New Roman" w:cs="Times New Roman" w:eastAsiaTheme="minorEastAsia"/>
          <w:bCs w:val="0"/>
          <w:smallCaps w:val="0"/>
          <w:color w:val="auto"/>
          <w:sz w:val="21"/>
          <w:szCs w:val="21"/>
          <w:highlight w:val="none"/>
          <w:lang w:val="en-US" w:eastAsia="zh-CN"/>
        </w:rPr>
        <w:t xml:space="preserve">  </w:t>
      </w:r>
      <w:r>
        <w:rPr>
          <w:rFonts w:hint="default" w:ascii="Times New Roman" w:hAnsi="Times New Roman" w:cs="Times New Roman" w:eastAsiaTheme="minorEastAsia"/>
          <w:bCs w:val="0"/>
          <w:smallCaps w:val="0"/>
          <w:color w:val="auto"/>
          <w:sz w:val="21"/>
          <w:szCs w:val="21"/>
          <w:highlight w:val="none"/>
          <w:lang w:val="en-US" w:eastAsia="zh-CN"/>
        </w:rPr>
        <w:t>养护</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2</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9</w:t>
      </w:r>
    </w:p>
    <w:p>
      <w:pPr>
        <w:pStyle w:val="15"/>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_Toc11634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color w:val="auto"/>
          <w:sz w:val="21"/>
          <w:szCs w:val="21"/>
          <w:highlight w:val="none"/>
          <w:lang w:val="en-US" w:eastAsia="zh-CN"/>
        </w:rPr>
        <w:t>7  质量检验</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3</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0</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_Toc11567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bCs w:val="0"/>
          <w:smallCaps w:val="0"/>
          <w:color w:val="auto"/>
          <w:sz w:val="21"/>
          <w:szCs w:val="21"/>
          <w:highlight w:val="none"/>
        </w:rPr>
        <w:t>7.1</w:t>
      </w:r>
      <w:r>
        <w:rPr>
          <w:rFonts w:hint="default" w:ascii="Times New Roman" w:hAnsi="Times New Roman" w:cs="Times New Roman" w:eastAsiaTheme="minorEastAsia"/>
          <w:bCs w:val="0"/>
          <w:smallCaps w:val="0"/>
          <w:color w:val="auto"/>
          <w:sz w:val="21"/>
          <w:szCs w:val="21"/>
          <w:highlight w:val="none"/>
          <w:lang w:val="en-US" w:eastAsia="zh-CN"/>
        </w:rPr>
        <w:t xml:space="preserve"> </w:t>
      </w:r>
      <w:r>
        <w:rPr>
          <w:rFonts w:hint="eastAsia" w:ascii="Times New Roman" w:hAnsi="Times New Roman" w:cs="Times New Roman" w:eastAsiaTheme="minorEastAsia"/>
          <w:bCs w:val="0"/>
          <w:smallCaps w:val="0"/>
          <w:color w:val="auto"/>
          <w:sz w:val="21"/>
          <w:szCs w:val="21"/>
          <w:highlight w:val="none"/>
          <w:lang w:val="en-US" w:eastAsia="zh-CN"/>
        </w:rPr>
        <w:t xml:space="preserve"> </w:t>
      </w:r>
      <w:r>
        <w:rPr>
          <w:rFonts w:hint="default" w:ascii="Times New Roman" w:hAnsi="Times New Roman" w:cs="Times New Roman" w:eastAsiaTheme="minorEastAsia"/>
          <w:bCs w:val="0"/>
          <w:smallCaps w:val="0"/>
          <w:color w:val="auto"/>
          <w:sz w:val="21"/>
          <w:szCs w:val="21"/>
          <w:highlight w:val="none"/>
        </w:rPr>
        <w:t>原材料质量检验</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3</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0</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_Toc23099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bCs w:val="0"/>
          <w:smallCaps w:val="0"/>
          <w:color w:val="auto"/>
          <w:sz w:val="21"/>
          <w:szCs w:val="21"/>
          <w:highlight w:val="none"/>
        </w:rPr>
        <w:t>7.2</w:t>
      </w:r>
      <w:r>
        <w:rPr>
          <w:rFonts w:hint="default" w:ascii="Times New Roman" w:hAnsi="Times New Roman" w:cs="Times New Roman" w:eastAsiaTheme="minorEastAsia"/>
          <w:bCs w:val="0"/>
          <w:smallCaps w:val="0"/>
          <w:color w:val="auto"/>
          <w:sz w:val="21"/>
          <w:szCs w:val="21"/>
          <w:highlight w:val="none"/>
          <w:lang w:val="en-US" w:eastAsia="zh-CN"/>
        </w:rPr>
        <w:t xml:space="preserve"> </w:t>
      </w:r>
      <w:r>
        <w:rPr>
          <w:rFonts w:hint="eastAsia" w:ascii="Times New Roman" w:hAnsi="Times New Roman" w:cs="Times New Roman" w:eastAsiaTheme="minorEastAsia"/>
          <w:bCs w:val="0"/>
          <w:smallCaps w:val="0"/>
          <w:color w:val="auto"/>
          <w:sz w:val="21"/>
          <w:szCs w:val="21"/>
          <w:highlight w:val="none"/>
          <w:lang w:val="en-US" w:eastAsia="zh-CN"/>
        </w:rPr>
        <w:t xml:space="preserve"> </w:t>
      </w:r>
      <w:r>
        <w:rPr>
          <w:rFonts w:hint="default" w:ascii="Times New Roman" w:hAnsi="Times New Roman" w:cs="Times New Roman" w:eastAsiaTheme="minorEastAsia"/>
          <w:bCs w:val="0"/>
          <w:smallCaps w:val="0"/>
          <w:color w:val="auto"/>
          <w:sz w:val="21"/>
          <w:szCs w:val="21"/>
          <w:highlight w:val="none"/>
        </w:rPr>
        <w:t>混凝土拌合物性能检验</w:t>
      </w:r>
      <w:r>
        <w:rPr>
          <w:rFonts w:hint="default" w:ascii="Times New Roman" w:hAnsi="Times New Roman" w:cs="Times New Roman" w:eastAsiaTheme="minorEastAsia"/>
          <w:color w:val="auto"/>
          <w:sz w:val="21"/>
          <w:szCs w:val="21"/>
        </w:rPr>
        <w:tab/>
      </w:r>
      <w:r>
        <w:rPr>
          <w:rFonts w:hint="eastAsia" w:cs="Times New Roman" w:eastAsiaTheme="minorEastAsia"/>
          <w:color w:val="auto"/>
          <w:sz w:val="21"/>
          <w:szCs w:val="21"/>
          <w:lang w:val="en-US" w:eastAsia="zh-CN"/>
        </w:rPr>
        <w:t>3</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0</w:t>
      </w:r>
    </w:p>
    <w:p>
      <w:pPr>
        <w:pStyle w:val="16"/>
        <w:keepNext w:val="0"/>
        <w:keepLines w:val="0"/>
        <w:pageBreakBefore w:val="0"/>
        <w:widowControl/>
        <w:tabs>
          <w:tab w:val="right" w:leader="dot" w:pos="9354"/>
        </w:tabs>
        <w:kinsoku/>
        <w:wordWrap/>
        <w:overflowPunct/>
        <w:topLinePunct w:val="0"/>
        <w:autoSpaceDE w:val="0"/>
        <w:autoSpaceDN w:val="0"/>
        <w:bidi w:val="0"/>
        <w:adjustRightInd/>
        <w:spacing w:line="360" w:lineRule="auto"/>
        <w:textAlignment w:val="auto"/>
        <w:rPr>
          <w:rFonts w:hint="eastAsia"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rPr>
        <w:fldChar w:fldCharType="begin"/>
      </w:r>
      <w:r>
        <w:rPr>
          <w:rFonts w:hint="default" w:ascii="Times New Roman" w:hAnsi="Times New Roman" w:cs="Times New Roman" w:eastAsiaTheme="minorEastAsia"/>
          <w:color w:val="auto"/>
          <w:sz w:val="21"/>
          <w:szCs w:val="21"/>
          <w:highlight w:val="none"/>
        </w:rPr>
        <w:instrText xml:space="preserve"> HYPERLINK \l _Toc27456 </w:instrText>
      </w:r>
      <w:r>
        <w:rPr>
          <w:rFonts w:hint="default" w:ascii="Times New Roman" w:hAnsi="Times New Roman" w:cs="Times New Roman" w:eastAsiaTheme="minorEastAsia"/>
          <w:color w:val="auto"/>
          <w:sz w:val="21"/>
          <w:szCs w:val="21"/>
          <w:highlight w:val="none"/>
        </w:rPr>
        <w:fldChar w:fldCharType="separate"/>
      </w:r>
      <w:r>
        <w:rPr>
          <w:rFonts w:hint="default" w:ascii="Times New Roman" w:hAnsi="Times New Roman" w:cs="Times New Roman" w:eastAsiaTheme="minorEastAsia"/>
          <w:color w:val="auto"/>
          <w:sz w:val="21"/>
          <w:szCs w:val="21"/>
          <w:highlight w:val="none"/>
        </w:rPr>
        <w:t>7.3</w:t>
      </w:r>
      <w:r>
        <w:rPr>
          <w:rFonts w:hint="default" w:ascii="Times New Roman" w:hAnsi="Times New Roman" w:cs="Times New Roman" w:eastAsiaTheme="minorEastAsia"/>
          <w:color w:val="auto"/>
          <w:sz w:val="21"/>
          <w:szCs w:val="21"/>
          <w:highlight w:val="none"/>
          <w:lang w:val="en-US" w:eastAsia="zh-CN"/>
        </w:rPr>
        <w:t xml:space="preserve"> </w:t>
      </w:r>
      <w:r>
        <w:rPr>
          <w:rFonts w:hint="eastAsia"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硬化混凝土性能检验</w:t>
      </w:r>
      <w:r>
        <w:rPr>
          <w:rFonts w:hint="default" w:ascii="Times New Roman" w:hAnsi="Times New Roman" w:cs="Times New Roman" w:eastAsiaTheme="minorEastAsia"/>
          <w:color w:val="auto"/>
          <w:sz w:val="21"/>
          <w:szCs w:val="21"/>
          <w:highlight w:val="none"/>
        </w:rPr>
        <w:tab/>
      </w:r>
      <w:r>
        <w:rPr>
          <w:rFonts w:hint="eastAsia"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rPr>
        <w:fldChar w:fldCharType="end"/>
      </w:r>
      <w:r>
        <w:rPr>
          <w:rFonts w:hint="eastAsia" w:cs="Times New Roman" w:eastAsiaTheme="minorEastAsia"/>
          <w:color w:val="auto"/>
          <w:sz w:val="21"/>
          <w:szCs w:val="21"/>
          <w:highlight w:val="none"/>
          <w:lang w:val="en-US" w:eastAsia="zh-CN"/>
        </w:rPr>
        <w:t>1</w:t>
      </w:r>
    </w:p>
    <w:p>
      <w:pPr>
        <w:rPr>
          <w:rFonts w:hint="default" w:ascii="Times New Roman" w:hAnsi="Times New Roman" w:cs="Times New Roman" w:eastAsiaTheme="minorEastAsia"/>
          <w:color w:val="auto"/>
          <w:sz w:val="21"/>
          <w:szCs w:val="21"/>
          <w:highlight w:val="none"/>
        </w:rPr>
      </w:pPr>
      <w:bookmarkStart w:id="142" w:name="_GoBack"/>
      <w:bookmarkEnd w:id="142"/>
    </w:p>
    <w:p>
      <w:pPr>
        <w:rPr>
          <w:rFonts w:hint="default" w:ascii="Times New Roman" w:hAnsi="Times New Roman" w:cs="Times New Roman" w:eastAsiaTheme="minorEastAsia"/>
          <w:color w:val="auto"/>
          <w:sz w:val="21"/>
          <w:szCs w:val="21"/>
          <w:highlight w:val="none"/>
        </w:rPr>
      </w:pPr>
    </w:p>
    <w:p>
      <w:pPr>
        <w:pStyle w:val="88"/>
        <w:keepNext w:val="0"/>
        <w:keepLines w:val="0"/>
        <w:pageBreakBefore w:val="0"/>
        <w:widowControl w:val="0"/>
        <w:kinsoku/>
        <w:wordWrap/>
        <w:overflowPunct/>
        <w:topLinePunct w:val="0"/>
        <w:autoSpaceDE/>
        <w:autoSpaceDN/>
        <w:bidi w:val="0"/>
        <w:adjustRightInd/>
        <w:snapToGrid/>
        <w:spacing w:before="157" w:beforeLines="50" w:after="313" w:afterLines="100" w:line="400" w:lineRule="exact"/>
        <w:ind w:left="0" w:leftChars="0" w:right="0" w:rightChars="0" w:firstLine="0" w:firstLineChars="0"/>
        <w:jc w:val="center"/>
        <w:textAlignment w:val="auto"/>
        <w:outlineLvl w:val="0"/>
        <w:rPr>
          <w:rFonts w:hint="default" w:ascii="Times New Roman" w:hAnsi="Times New Roman" w:eastAsia="宋体" w:cs="Times New Roman"/>
          <w:color w:val="auto"/>
          <w:sz w:val="32"/>
          <w:szCs w:val="32"/>
          <w:highlight w:val="none"/>
        </w:rPr>
        <w:sectPr>
          <w:footerReference r:id="rId14" w:type="default"/>
          <w:pgSz w:w="11906" w:h="16838"/>
          <w:pgMar w:top="1440" w:right="1800" w:bottom="1440" w:left="1800" w:header="851" w:footer="992" w:gutter="0"/>
          <w:pgNumType w:fmt="decimal"/>
          <w:cols w:space="720" w:num="1"/>
          <w:docGrid w:type="lines" w:linePitch="312" w:charSpace="0"/>
        </w:sectPr>
      </w:pPr>
      <w:bookmarkStart w:id="116" w:name="_Toc24677"/>
      <w:bookmarkStart w:id="117" w:name="_Toc1986"/>
      <w:bookmarkStart w:id="118" w:name="_Toc481586530"/>
      <w:bookmarkStart w:id="119" w:name="_Toc486247930"/>
      <w:bookmarkStart w:id="120" w:name="_Toc14810"/>
      <w:bookmarkStart w:id="121" w:name="_Toc509849565"/>
      <w:bookmarkStart w:id="122" w:name="_Toc17440"/>
      <w:bookmarkStart w:id="123" w:name="_Toc20971"/>
      <w:bookmarkStart w:id="124" w:name="_Toc481589833"/>
      <w:bookmarkStart w:id="125" w:name="_Toc14437"/>
      <w:bookmarkStart w:id="126" w:name="_Toc6615"/>
      <w:bookmarkStart w:id="127" w:name="_Toc245"/>
      <w:bookmarkStart w:id="128" w:name="_Toc22895669"/>
      <w:bookmarkStart w:id="129" w:name="_Toc13947"/>
      <w:bookmarkStart w:id="130" w:name="_Toc481589625"/>
      <w:bookmarkStart w:id="131" w:name="_Toc10248"/>
      <w:bookmarkStart w:id="132" w:name="_Toc23260875"/>
      <w:bookmarkStart w:id="133" w:name="_Toc19118"/>
      <w:bookmarkStart w:id="134" w:name="_Toc481589729"/>
      <w:bookmarkStart w:id="135" w:name="_Toc1739476639"/>
      <w:bookmarkStart w:id="136" w:name="_Toc25912871"/>
      <w:bookmarkStart w:id="137" w:name="_Toc509849362"/>
      <w:bookmarkStart w:id="138" w:name="_Toc29563"/>
      <w:bookmarkStart w:id="139" w:name="_Toc472351497"/>
      <w:bookmarkStart w:id="140" w:name="_Toc72400695"/>
      <w:bookmarkStart w:id="141" w:name="_Toc23260546"/>
    </w:p>
    <w:p>
      <w:pPr>
        <w:pStyle w:val="88"/>
        <w:keepNext w:val="0"/>
        <w:keepLines w:val="0"/>
        <w:pageBreakBefore w:val="0"/>
        <w:widowControl w:val="0"/>
        <w:kinsoku/>
        <w:wordWrap/>
        <w:overflowPunct/>
        <w:topLinePunct w:val="0"/>
        <w:autoSpaceDE/>
        <w:autoSpaceDN/>
        <w:bidi w:val="0"/>
        <w:adjustRightInd/>
        <w:snapToGrid/>
        <w:spacing w:before="157" w:beforeLines="50" w:after="313" w:afterLines="100" w:line="400" w:lineRule="exact"/>
        <w:ind w:left="0" w:leftChars="0" w:right="0" w:rightChars="0" w:firstLine="0" w:firstLineChars="0"/>
        <w:jc w:val="center"/>
        <w:textAlignment w:val="auto"/>
        <w:outlineLvl w:val="0"/>
        <w:rPr>
          <w:rFonts w:hint="default" w:ascii="Times New Roman" w:hAnsi="Times New Roman" w:eastAsia="宋体" w:cs="Times New Roman"/>
          <w:color w:val="auto"/>
          <w:sz w:val="32"/>
          <w:szCs w:val="32"/>
          <w:highlight w:val="none"/>
        </w:rPr>
      </w:pPr>
      <w:r>
        <w:rPr>
          <w:rFonts w:hint="default" w:ascii="Times New Roman" w:hAnsi="Times New Roman" w:eastAsia="宋体" w:cs="Times New Roman"/>
          <w:b/>
          <w:bCs/>
          <w:color w:val="auto"/>
          <w:sz w:val="32"/>
          <w:szCs w:val="32"/>
          <w:highlight w:val="none"/>
        </w:rPr>
        <w:t>总  则</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pPr>
        <w:spacing w:line="360" w:lineRule="auto"/>
        <w:rPr>
          <w:rFonts w:hint="eastAsia"/>
          <w:sz w:val="24"/>
          <w:szCs w:val="24"/>
        </w:rPr>
      </w:pPr>
      <w:r>
        <w:rPr>
          <w:sz w:val="24"/>
          <w:szCs w:val="24"/>
        </w:rPr>
        <w:t xml:space="preserve">1.0.1  </w:t>
      </w:r>
      <w:r>
        <w:rPr>
          <w:rFonts w:hint="eastAsia"/>
          <w:sz w:val="24"/>
          <w:szCs w:val="24"/>
        </w:rPr>
        <w:t>本条明确了本规范的编制目的。钢渣粉作为钢铁工业大宗固废，其在混凝土中的应用是实现固废资源化、践行“双碳”战略的重要路径，但当前行业存在材料质量失控、应用工艺不统一、质量验收无依据等问题，导致工程质量风险增加。因此，规范编制旨在通过明确原材料要求、配合比设计方法、施工工艺参数及质量检验标准，为钢渣粉混凝土应用提供统一技术依据，确保工程质量安全，同时兼顾技术先进性与经济合理性，推动钢渣粉规模化、规范化利用。</w:t>
      </w:r>
    </w:p>
    <w:p>
      <w:pPr>
        <w:spacing w:line="360" w:lineRule="auto"/>
        <w:rPr>
          <w:rFonts w:hint="eastAsia"/>
          <w:sz w:val="24"/>
          <w:szCs w:val="24"/>
        </w:rPr>
      </w:pPr>
      <w:r>
        <w:rPr>
          <w:sz w:val="24"/>
          <w:szCs w:val="24"/>
        </w:rPr>
        <w:t>1.0.</w:t>
      </w:r>
      <w:r>
        <w:rPr>
          <w:rFonts w:hint="eastAsia"/>
          <w:sz w:val="24"/>
          <w:szCs w:val="24"/>
          <w:lang w:val="en-US" w:eastAsia="zh-CN"/>
        </w:rPr>
        <w:t>2</w:t>
      </w:r>
      <w:r>
        <w:rPr>
          <w:sz w:val="24"/>
          <w:szCs w:val="24"/>
        </w:rPr>
        <w:t xml:space="preserve">  </w:t>
      </w:r>
      <w:r>
        <w:rPr>
          <w:rFonts w:hint="eastAsia"/>
          <w:sz w:val="24"/>
          <w:szCs w:val="24"/>
        </w:rPr>
        <w:t>本条界定了本规范的适用范围。本规范聚焦钢渣粉在混凝土中的核心应用环节，涵盖配合比设计、施工全过程及质量检验，适用于工业与民用建筑、市政工程、道路桥梁、水利工程等各类采用钢渣粉混凝土的建设项目。对于特种混凝土中钢渣粉的应用，除应符合本规范外，还需满足相应特种混凝土标准的专门要求。</w:t>
      </w:r>
    </w:p>
    <w:p>
      <w:pPr>
        <w:spacing w:line="360" w:lineRule="auto"/>
        <w:rPr>
          <w:rFonts w:hint="eastAsia"/>
          <w:sz w:val="24"/>
          <w:szCs w:val="24"/>
        </w:rPr>
      </w:pPr>
      <w:r>
        <w:rPr>
          <w:sz w:val="24"/>
          <w:szCs w:val="24"/>
        </w:rPr>
        <w:t>1.0.</w:t>
      </w:r>
      <w:r>
        <w:rPr>
          <w:rFonts w:hint="eastAsia"/>
          <w:sz w:val="24"/>
          <w:szCs w:val="24"/>
          <w:lang w:val="en-US" w:eastAsia="zh-CN"/>
        </w:rPr>
        <w:t>3</w:t>
      </w:r>
      <w:r>
        <w:rPr>
          <w:sz w:val="24"/>
          <w:szCs w:val="24"/>
        </w:rPr>
        <w:t xml:space="preserve">  </w:t>
      </w:r>
      <w:r>
        <w:rPr>
          <w:rFonts w:hint="eastAsia"/>
          <w:sz w:val="24"/>
          <w:szCs w:val="24"/>
        </w:rPr>
        <w:t>本条强调了标准的协调性。钢渣粉混凝土应用涉及原材料、混凝土性能、施工、验收等多个环节，相关技术要求已在国家现行标准中有所规定。本规范作为专项技术规范，重点针对钢渣粉特性补充专属要求，未重复现行标准已明确的共性内容。因此，在实际应用中，需将本规范与相关国家标准、行业标准协同执行，确保技术要求的完整性和一致性。</w:t>
      </w:r>
    </w:p>
    <w:p>
      <w:pPr>
        <w:spacing w:line="360" w:lineRule="auto"/>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br w:type="page"/>
      </w:r>
    </w:p>
    <w:p>
      <w:pPr>
        <w:pStyle w:val="88"/>
        <w:keepNext w:val="0"/>
        <w:keepLines w:val="0"/>
        <w:pageBreakBefore w:val="0"/>
        <w:widowControl w:val="0"/>
        <w:kinsoku/>
        <w:wordWrap/>
        <w:overflowPunct/>
        <w:topLinePunct w:val="0"/>
        <w:autoSpaceDE/>
        <w:autoSpaceDN/>
        <w:bidi w:val="0"/>
        <w:adjustRightInd/>
        <w:snapToGrid/>
        <w:spacing w:before="157" w:beforeLines="50" w:after="313" w:afterLines="100" w:line="400" w:lineRule="exact"/>
        <w:ind w:left="0" w:leftChars="0" w:right="0" w:rightChars="0" w:firstLine="0" w:firstLineChars="0"/>
        <w:jc w:val="center"/>
        <w:textAlignment w:val="auto"/>
        <w:outlineLvl w:val="0"/>
        <w:rPr>
          <w:rFonts w:hint="default" w:ascii="Times New Roman" w:hAnsi="Times New Roman" w:eastAsia="宋体" w:cs="Times New Roman"/>
          <w:color w:val="auto"/>
          <w:sz w:val="32"/>
          <w:szCs w:val="32"/>
          <w:highlight w:val="none"/>
        </w:rPr>
      </w:pPr>
      <w:r>
        <w:rPr>
          <w:rFonts w:hint="eastAsia" w:ascii="Times New Roman" w:hAnsi="Times New Roman" w:eastAsia="宋体" w:cs="Times New Roman"/>
          <w:b/>
          <w:bCs/>
          <w:color w:val="auto"/>
          <w:sz w:val="32"/>
          <w:szCs w:val="32"/>
          <w:highlight w:val="none"/>
          <w:lang w:val="en-US" w:eastAsia="zh-CN"/>
        </w:rPr>
        <w:t>术语和定义</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2</w:t>
      </w:r>
      <w:r>
        <w:rPr>
          <w:sz w:val="24"/>
          <w:szCs w:val="24"/>
        </w:rPr>
        <w:t xml:space="preserve">.0.1  </w:t>
      </w:r>
      <w:r>
        <w:rPr>
          <w:rFonts w:hint="eastAsia"/>
          <w:sz w:val="24"/>
          <w:szCs w:val="24"/>
        </w:rPr>
        <w:t>本条定义了“钢渣”的核心内涵。钢渣是炼钢过程产生的副产物，主要由钙、硅、铝、铁等氧化物组成，其成分受炼钢工艺、原料品位等影响较大。明确钢渣的来源属性，是后续钢渣粉加工、性能控制的基础，避免与其他工业废渣混淆。</w:t>
      </w:r>
    </w:p>
    <w:p>
      <w:pPr>
        <w:spacing w:line="360" w:lineRule="auto"/>
        <w:rPr>
          <w:rFonts w:hint="eastAsia"/>
          <w:sz w:val="24"/>
          <w:szCs w:val="24"/>
        </w:rPr>
      </w:pPr>
      <w:r>
        <w:rPr>
          <w:rFonts w:hint="eastAsia"/>
          <w:sz w:val="24"/>
          <w:szCs w:val="24"/>
          <w:lang w:val="en-US" w:eastAsia="zh-CN"/>
        </w:rPr>
        <w:t>2</w:t>
      </w:r>
      <w:r>
        <w:rPr>
          <w:sz w:val="24"/>
          <w:szCs w:val="24"/>
        </w:rPr>
        <w:t>.0.</w:t>
      </w:r>
      <w:r>
        <w:rPr>
          <w:rFonts w:hint="eastAsia"/>
          <w:sz w:val="24"/>
          <w:szCs w:val="24"/>
          <w:lang w:val="en-US" w:eastAsia="zh-CN"/>
        </w:rPr>
        <w:t>2</w:t>
      </w:r>
      <w:r>
        <w:rPr>
          <w:sz w:val="24"/>
          <w:szCs w:val="24"/>
        </w:rPr>
        <w:t xml:space="preserve">  </w:t>
      </w:r>
      <w:r>
        <w:rPr>
          <w:rFonts w:hint="eastAsia"/>
          <w:sz w:val="24"/>
          <w:szCs w:val="24"/>
        </w:rPr>
        <w:t>本条定义了“钢渣粉”的技术属性。钢渣需经稳定化处理降低游离氧化钙（</w:t>
      </w:r>
      <w:r>
        <w:rPr>
          <w:rFonts w:hint="eastAsia"/>
          <w:i/>
          <w:iCs/>
          <w:sz w:val="24"/>
          <w:szCs w:val="24"/>
        </w:rPr>
        <w:t>f</w:t>
      </w:r>
      <w:r>
        <w:rPr>
          <w:rFonts w:hint="eastAsia"/>
          <w:sz w:val="24"/>
          <w:szCs w:val="24"/>
        </w:rPr>
        <w:t>-CaO）、游离氧化镁（</w:t>
      </w:r>
      <w:r>
        <w:rPr>
          <w:rFonts w:hint="eastAsia"/>
          <w:i/>
          <w:iCs/>
          <w:sz w:val="24"/>
          <w:szCs w:val="24"/>
        </w:rPr>
        <w:t>f</w:t>
      </w:r>
      <w:r>
        <w:rPr>
          <w:rFonts w:hint="eastAsia"/>
          <w:sz w:val="24"/>
          <w:szCs w:val="24"/>
        </w:rPr>
        <w:t>-MgO）含量，再通过粉磨、分选、除铁等工艺控制细度与杂质含量，方可作为混凝土掺合料使用。强调“稳定化处理”与“规定细度”，是因为钢渣原始状态下安定性风险高、活性低，需通过工艺优化满足混凝土应用要求，这也是钢渣粉与天然矿物掺合料的核心区别。</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2</w:t>
      </w:r>
      <w:r>
        <w:rPr>
          <w:sz w:val="24"/>
          <w:szCs w:val="24"/>
        </w:rPr>
        <w:t>.0.</w:t>
      </w:r>
      <w:r>
        <w:rPr>
          <w:rFonts w:hint="eastAsia"/>
          <w:sz w:val="24"/>
          <w:szCs w:val="24"/>
          <w:lang w:val="en-US" w:eastAsia="zh-CN"/>
        </w:rPr>
        <w:t>3</w:t>
      </w:r>
      <w:r>
        <w:rPr>
          <w:sz w:val="24"/>
          <w:szCs w:val="24"/>
        </w:rPr>
        <w:t xml:space="preserve">  </w:t>
      </w:r>
      <w:r>
        <w:rPr>
          <w:rFonts w:hint="eastAsia"/>
          <w:sz w:val="24"/>
          <w:szCs w:val="24"/>
        </w:rPr>
        <w:t>本条引用了“矿物掺合料”的通用定义，明确钢渣粉的材料归类。钢渣粉以硅、铝、钙氧化物为主要成分，掺入混凝土后可通过火山灰反应、微集料填充效应改善混凝土性能，符合矿物掺合料的核心特征。本定义与《矿物掺合料应用技术规范》GB/T 51003保持一致，确保术语体系的统一性。</w:t>
      </w: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br w:type="page"/>
      </w:r>
    </w:p>
    <w:p>
      <w:pPr>
        <w:pStyle w:val="88"/>
        <w:keepNext w:val="0"/>
        <w:keepLines w:val="0"/>
        <w:pageBreakBefore w:val="0"/>
        <w:widowControl w:val="0"/>
        <w:kinsoku/>
        <w:wordWrap/>
        <w:overflowPunct/>
        <w:topLinePunct w:val="0"/>
        <w:autoSpaceDE/>
        <w:autoSpaceDN/>
        <w:bidi w:val="0"/>
        <w:adjustRightInd/>
        <w:snapToGrid/>
        <w:spacing w:before="157" w:beforeLines="50" w:after="313" w:afterLines="100" w:line="400" w:lineRule="exact"/>
        <w:ind w:left="0" w:leftChars="0" w:right="0" w:rightChars="0" w:firstLine="0" w:firstLineChars="0"/>
        <w:jc w:val="center"/>
        <w:textAlignment w:val="auto"/>
        <w:outlineLvl w:val="0"/>
        <w:rPr>
          <w:rFonts w:hint="default" w:ascii="Times New Roman" w:hAnsi="Times New Roman" w:eastAsia="宋体" w:cs="Times New Roman"/>
          <w:color w:val="auto"/>
          <w:sz w:val="32"/>
          <w:szCs w:val="32"/>
          <w:highlight w:val="none"/>
        </w:rPr>
      </w:pPr>
      <w:r>
        <w:rPr>
          <w:rFonts w:hint="eastAsia" w:cs="Times New Roman"/>
          <w:b/>
          <w:bCs/>
          <w:color w:val="auto"/>
          <w:sz w:val="32"/>
          <w:szCs w:val="32"/>
          <w:highlight w:val="none"/>
          <w:lang w:val="en-US" w:eastAsia="zh-CN"/>
        </w:rPr>
        <w:t>原材料</w:t>
      </w:r>
    </w:p>
    <w:p>
      <w:pPr>
        <w:spacing w:before="156" w:beforeLines="50" w:after="156" w:afterLines="50" w:line="360" w:lineRule="auto"/>
        <w:jc w:val="center"/>
        <w:outlineLvl w:val="1"/>
        <w:rPr>
          <w:b/>
          <w:bCs/>
          <w:sz w:val="28"/>
          <w:szCs w:val="28"/>
        </w:rPr>
      </w:pPr>
      <w:r>
        <w:rPr>
          <w:rFonts w:hint="eastAsia"/>
          <w:b/>
          <w:bCs/>
          <w:sz w:val="28"/>
          <w:szCs w:val="28"/>
        </w:rPr>
        <w:t>3.</w:t>
      </w:r>
      <w:r>
        <w:rPr>
          <w:b/>
          <w:bCs/>
          <w:sz w:val="28"/>
          <w:szCs w:val="28"/>
        </w:rPr>
        <w:t xml:space="preserve">1  </w:t>
      </w:r>
      <w:r>
        <w:rPr>
          <w:rFonts w:hint="eastAsia"/>
          <w:b/>
          <w:bCs/>
          <w:sz w:val="28"/>
          <w:szCs w:val="28"/>
        </w:rPr>
        <w:t>钢渣粉</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3</w:t>
      </w:r>
      <w:r>
        <w:rPr>
          <w:sz w:val="24"/>
          <w:szCs w:val="24"/>
        </w:rPr>
        <w:t>.</w:t>
      </w:r>
      <w:r>
        <w:rPr>
          <w:rFonts w:hint="eastAsia"/>
          <w:sz w:val="24"/>
          <w:szCs w:val="24"/>
          <w:lang w:val="en-US" w:eastAsia="zh-CN"/>
        </w:rPr>
        <w:t>1</w:t>
      </w:r>
      <w:r>
        <w:rPr>
          <w:sz w:val="24"/>
          <w:szCs w:val="24"/>
        </w:rPr>
        <w:t xml:space="preserve">.1  </w:t>
      </w:r>
      <w:r>
        <w:rPr>
          <w:rFonts w:hint="eastAsia"/>
          <w:sz w:val="24"/>
          <w:szCs w:val="24"/>
        </w:rPr>
        <w:t>钢渣作为天然矿物资源，可能因地质成因或炼钢原料带入放射性核素，若放射性超标，长期用于建筑工程会对人体健康造成辐射危害。因此，明确钢渣粉放射性核素限量应符合《建筑材料放射性核素限量》GB 6566，与其他建筑用粉体材料的放射性控制要求保持一致，保障工程使用安全性。</w:t>
      </w:r>
    </w:p>
    <w:p>
      <w:pPr>
        <w:spacing w:line="360" w:lineRule="auto"/>
        <w:rPr>
          <w:rFonts w:hint="eastAsia"/>
          <w:sz w:val="24"/>
          <w:szCs w:val="24"/>
          <w:lang w:eastAsia="zh-CN"/>
        </w:rPr>
      </w:pPr>
      <w:r>
        <w:rPr>
          <w:rFonts w:hint="eastAsia"/>
          <w:sz w:val="24"/>
          <w:szCs w:val="24"/>
          <w:lang w:val="en-US" w:eastAsia="zh-CN"/>
        </w:rPr>
        <w:t>3</w:t>
      </w:r>
      <w:r>
        <w:rPr>
          <w:sz w:val="24"/>
          <w:szCs w:val="24"/>
        </w:rPr>
        <w:t>.</w:t>
      </w:r>
      <w:r>
        <w:rPr>
          <w:rFonts w:hint="eastAsia"/>
          <w:sz w:val="24"/>
          <w:szCs w:val="24"/>
          <w:lang w:val="en-US" w:eastAsia="zh-CN"/>
        </w:rPr>
        <w:t>1</w:t>
      </w:r>
      <w:r>
        <w:rPr>
          <w:sz w:val="24"/>
          <w:szCs w:val="24"/>
        </w:rPr>
        <w:t>.</w:t>
      </w:r>
      <w:r>
        <w:rPr>
          <w:rFonts w:hint="eastAsia"/>
          <w:sz w:val="24"/>
          <w:szCs w:val="24"/>
          <w:lang w:val="en-US" w:eastAsia="zh-CN"/>
        </w:rPr>
        <w:t>2</w:t>
      </w:r>
      <w:r>
        <w:rPr>
          <w:sz w:val="24"/>
          <w:szCs w:val="24"/>
        </w:rPr>
        <w:t xml:space="preserve">  </w:t>
      </w:r>
      <w:r>
        <w:rPr>
          <w:rFonts w:hint="eastAsia"/>
          <w:sz w:val="24"/>
          <w:szCs w:val="24"/>
        </w:rPr>
        <w:t>本条规定了钢渣粉的核心技术指标及测试方法</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比表面积≥400m²/kg：钢渣粉活性与比表面积密切相关，比表面积过低时，活性成分难以充分暴露，火山灰反应不充分；参考GB/T 20491及工程实践，400m²/kg是兼顾活性与粉磨能耗的合理阈值，采用勃氏法测试可确保结果准确性。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活性指数（7d≥</w:t>
      </w:r>
      <w:r>
        <w:rPr>
          <w:rFonts w:hint="eastAsia"/>
          <w:sz w:val="24"/>
          <w:szCs w:val="24"/>
          <w:lang w:val="en-US" w:eastAsia="zh-CN"/>
        </w:rPr>
        <w:t>55%、</w:t>
      </w:r>
      <w:r>
        <w:rPr>
          <w:rFonts w:hint="eastAsia"/>
          <w:sz w:val="24"/>
          <w:szCs w:val="24"/>
          <w:lang w:eastAsia="zh-CN"/>
        </w:rPr>
        <w:t>65%，28d≥</w:t>
      </w:r>
      <w:r>
        <w:rPr>
          <w:rFonts w:hint="eastAsia"/>
          <w:sz w:val="24"/>
          <w:szCs w:val="24"/>
          <w:lang w:val="en-US" w:eastAsia="zh-CN"/>
        </w:rPr>
        <w:t>65%、</w:t>
      </w:r>
      <w:r>
        <w:rPr>
          <w:rFonts w:hint="eastAsia"/>
          <w:sz w:val="24"/>
          <w:szCs w:val="24"/>
          <w:lang w:eastAsia="zh-CN"/>
        </w:rPr>
        <w:t>80%）：活性指数是评价钢渣粉胶凝性能的核心指标，7d 指标反映早期活性，28d指标反映后期反应程度；指标值基于全国</w:t>
      </w:r>
      <w:r>
        <w:rPr>
          <w:rFonts w:hint="eastAsia"/>
          <w:sz w:val="24"/>
          <w:szCs w:val="24"/>
          <w:lang w:val="en-US" w:eastAsia="zh-CN"/>
        </w:rPr>
        <w:t>多</w:t>
      </w:r>
      <w:r>
        <w:rPr>
          <w:rFonts w:hint="eastAsia"/>
          <w:sz w:val="24"/>
          <w:szCs w:val="24"/>
          <w:lang w:eastAsia="zh-CN"/>
        </w:rPr>
        <w:t>家钢厂钢渣粉试验数据确定，确保钢渣粉掺入后混凝土强度满足设计要求。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流动度比≥9</w:t>
      </w:r>
      <w:r>
        <w:rPr>
          <w:rFonts w:hint="eastAsia"/>
          <w:sz w:val="24"/>
          <w:szCs w:val="24"/>
          <w:lang w:val="en-US" w:eastAsia="zh-CN"/>
        </w:rPr>
        <w:t>0</w:t>
      </w:r>
      <w:r>
        <w:rPr>
          <w:rFonts w:hint="eastAsia"/>
          <w:sz w:val="24"/>
          <w:szCs w:val="24"/>
          <w:lang w:eastAsia="zh-CN"/>
        </w:rPr>
        <w:t>%：流动度比反映钢渣粉对混凝土工作性的影响，比值过低会导致混凝土需水量增加、坍落度损失加快，设定≥9</w:t>
      </w:r>
      <w:r>
        <w:rPr>
          <w:rFonts w:hint="eastAsia"/>
          <w:sz w:val="24"/>
          <w:szCs w:val="24"/>
          <w:lang w:val="en-US" w:eastAsia="zh-CN"/>
        </w:rPr>
        <w:t>0</w:t>
      </w:r>
      <w:r>
        <w:rPr>
          <w:rFonts w:hint="eastAsia"/>
          <w:sz w:val="24"/>
          <w:szCs w:val="24"/>
          <w:lang w:eastAsia="zh-CN"/>
        </w:rPr>
        <w:t>%可保证混凝土拌合物具有良好的施工适应性。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含水量≤1.0%：钢渣粉含水量过高易导致结块、活性降低，还会影响混凝土水胶比精准控制；限定≤1.0%与GB/T 20491保持一致，确保材料存储稳定性与混凝土性能稳定性。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密度≥3.2g/cm³：钢渣粉密度高于水泥、粉煤灰等掺合料，较高的密度可改善混凝土密实度；参考试验数据，密度≥3.2g/cm³的钢渣粉颗粒级配更合理，填充效应更显著。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Fe金属铁含量≤2.0%：钢渣粉中未除尽的金属铁会影响混凝土匀质性，还可能因锈蚀膨胀导致混凝土表面起砂；采用GB/T 6730.6测试方法，限定含量≤2.0%可避免上述问题。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氯离子含量≤0.06%：氯离子会加速钢筋锈蚀，影响混凝土结构耐久性；指标与GB/T 20491、GB 50164保持一致，适配混凝土结构耐久性要求。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三氧化硫含量≤4.0%：三氧化硫过高易导致混凝土体积膨胀开裂；参考ASTM C618及国内工程验证数据，设定≤4.0%可平衡材料性能与安全性。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游离氧化钙含量≤4.0%：</w:t>
      </w:r>
      <w:r>
        <w:rPr>
          <w:rFonts w:hint="eastAsia"/>
          <w:i/>
          <w:iCs/>
          <w:sz w:val="24"/>
          <w:szCs w:val="24"/>
          <w:lang w:eastAsia="zh-CN"/>
        </w:rPr>
        <w:t>f</w:t>
      </w:r>
      <w:r>
        <w:rPr>
          <w:rFonts w:hint="eastAsia"/>
          <w:sz w:val="24"/>
          <w:szCs w:val="24"/>
          <w:lang w:eastAsia="zh-CN"/>
        </w:rPr>
        <w:t>-CaO是导致钢渣粉混凝土安定性不良的主要因素，限定≤4.0%可降低水化膨胀风险。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1"/>
          <w:szCs w:val="21"/>
          <w:highlight w:val="none"/>
          <w:lang w:eastAsia="zh-CN"/>
        </w:rPr>
      </w:pPr>
      <w:r>
        <w:rPr>
          <w:rFonts w:hint="eastAsia"/>
          <w:sz w:val="24"/>
          <w:szCs w:val="24"/>
          <w:lang w:eastAsia="zh-CN"/>
        </w:rPr>
        <w:t>安定性要求：沸煮法合格可快速筛查游离氧化钙导致的瞬时膨胀风险，压蒸法可验证长期体积稳定性；当MgO含量≤5%时，其水化膨胀风险极低，故允许不检验压蒸安定性，简化检测流程。</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3</w:t>
      </w:r>
      <w:r>
        <w:rPr>
          <w:sz w:val="24"/>
          <w:szCs w:val="24"/>
        </w:rPr>
        <w:t>.</w:t>
      </w:r>
      <w:r>
        <w:rPr>
          <w:rFonts w:hint="eastAsia"/>
          <w:sz w:val="24"/>
          <w:szCs w:val="24"/>
          <w:lang w:val="en-US" w:eastAsia="zh-CN"/>
        </w:rPr>
        <w:t>1</w:t>
      </w:r>
      <w:r>
        <w:rPr>
          <w:sz w:val="24"/>
          <w:szCs w:val="24"/>
        </w:rPr>
        <w:t>.</w:t>
      </w:r>
      <w:r>
        <w:rPr>
          <w:rFonts w:hint="eastAsia"/>
          <w:sz w:val="24"/>
          <w:szCs w:val="24"/>
          <w:lang w:val="en-US" w:eastAsia="zh-CN"/>
        </w:rPr>
        <w:t>3</w:t>
      </w:r>
      <w:r>
        <w:rPr>
          <w:sz w:val="24"/>
          <w:szCs w:val="24"/>
        </w:rPr>
        <w:t xml:space="preserve">  </w:t>
      </w:r>
      <w:r>
        <w:rPr>
          <w:rFonts w:hint="eastAsia"/>
          <w:sz w:val="24"/>
          <w:szCs w:val="24"/>
        </w:rPr>
        <w:t>钢渣粉中的碱可能与混凝土中碱活性骨料发生碱 - 骨料反应，导致混凝土膨胀开裂。由于钢渣粉碱含量受炼钢原料影响较大，故允许供需双方协商确定；但当混凝土采用碱活性骨料时，需限制钢渣粉碱含量，避免反应风险。碱含量计算方法采用行业通用的“Na</w:t>
      </w:r>
      <w:r>
        <w:rPr>
          <w:rFonts w:hint="eastAsia"/>
          <w:sz w:val="24"/>
          <w:szCs w:val="24"/>
          <w:vertAlign w:val="subscript"/>
          <w:lang w:val="en-US" w:eastAsia="zh-CN"/>
        </w:rPr>
        <w:t>2</w:t>
      </w:r>
      <w:r>
        <w:rPr>
          <w:rFonts w:hint="eastAsia"/>
          <w:sz w:val="24"/>
          <w:szCs w:val="24"/>
        </w:rPr>
        <w:t>O + 0.658K</w:t>
      </w:r>
      <w:r>
        <w:rPr>
          <w:rFonts w:hint="eastAsia"/>
          <w:sz w:val="24"/>
          <w:szCs w:val="24"/>
          <w:vertAlign w:val="subscript"/>
          <w:lang w:val="en-US" w:eastAsia="zh-CN"/>
        </w:rPr>
        <w:t>2</w:t>
      </w:r>
      <w:r>
        <w:rPr>
          <w:rFonts w:hint="eastAsia"/>
          <w:sz w:val="24"/>
          <w:szCs w:val="24"/>
        </w:rPr>
        <w:t>O”当量计，测试方法参考GB/T 176，确保数据准确性与可比性。</w:t>
      </w:r>
    </w:p>
    <w:p>
      <w:pPr>
        <w:spacing w:before="156" w:beforeLines="50" w:after="156" w:afterLines="50" w:line="360" w:lineRule="auto"/>
        <w:jc w:val="center"/>
        <w:outlineLvl w:val="1"/>
        <w:rPr>
          <w:b/>
          <w:bCs/>
          <w:sz w:val="28"/>
          <w:szCs w:val="28"/>
        </w:rPr>
      </w:pPr>
      <w:r>
        <w:rPr>
          <w:rFonts w:hint="eastAsia"/>
          <w:b/>
          <w:bCs/>
          <w:sz w:val="28"/>
          <w:szCs w:val="28"/>
        </w:rPr>
        <w:t>3.</w:t>
      </w:r>
      <w:r>
        <w:rPr>
          <w:rFonts w:hint="eastAsia"/>
          <w:b/>
          <w:bCs/>
          <w:sz w:val="28"/>
          <w:szCs w:val="28"/>
          <w:lang w:val="en-US" w:eastAsia="zh-CN"/>
        </w:rPr>
        <w:t>2</w:t>
      </w:r>
      <w:r>
        <w:rPr>
          <w:b/>
          <w:bCs/>
          <w:sz w:val="28"/>
          <w:szCs w:val="28"/>
        </w:rPr>
        <w:t xml:space="preserve">  </w:t>
      </w:r>
      <w:r>
        <w:rPr>
          <w:rFonts w:hint="eastAsia"/>
          <w:b/>
          <w:bCs/>
          <w:sz w:val="28"/>
          <w:szCs w:val="28"/>
        </w:rPr>
        <w:t>混凝土其他原材料</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3</w:t>
      </w:r>
      <w:r>
        <w:rPr>
          <w:sz w:val="24"/>
          <w:szCs w:val="24"/>
        </w:rPr>
        <w:t>.</w:t>
      </w:r>
      <w:r>
        <w:rPr>
          <w:rFonts w:hint="eastAsia"/>
          <w:sz w:val="24"/>
          <w:szCs w:val="24"/>
          <w:lang w:val="en-US" w:eastAsia="zh-CN"/>
        </w:rPr>
        <w:t>2</w:t>
      </w:r>
      <w:r>
        <w:rPr>
          <w:sz w:val="24"/>
          <w:szCs w:val="24"/>
        </w:rPr>
        <w:t xml:space="preserve">.1  </w:t>
      </w:r>
      <w:r>
        <w:rPr>
          <w:rFonts w:hint="eastAsia"/>
          <w:sz w:val="24"/>
          <w:szCs w:val="24"/>
        </w:rPr>
        <w:t>硅酸盐水泥、普通硅酸盐水泥水化活性高，能生成充足的Ca (OH)</w:t>
      </w:r>
      <w:r>
        <w:rPr>
          <w:rFonts w:hint="eastAsia"/>
          <w:sz w:val="24"/>
          <w:szCs w:val="24"/>
          <w:vertAlign w:val="subscript"/>
          <w:lang w:val="en-US" w:eastAsia="zh-CN"/>
        </w:rPr>
        <w:t>2</w:t>
      </w:r>
      <w:r>
        <w:rPr>
          <w:rFonts w:hint="eastAsia"/>
          <w:sz w:val="24"/>
          <w:szCs w:val="24"/>
        </w:rPr>
        <w:t>，可有效激发钢渣粉的火山灰活性，二者相容性良好；而矿渣水泥、火山灰质水泥本身含大量混合材，水化产物中Ca (OH)</w:t>
      </w:r>
      <w:r>
        <w:rPr>
          <w:rFonts w:hint="eastAsia"/>
          <w:sz w:val="24"/>
          <w:szCs w:val="24"/>
          <w:vertAlign w:val="subscript"/>
          <w:lang w:val="en-US" w:eastAsia="zh-CN"/>
        </w:rPr>
        <w:t>2</w:t>
      </w:r>
      <w:r>
        <w:rPr>
          <w:rFonts w:hint="eastAsia"/>
          <w:sz w:val="24"/>
          <w:szCs w:val="24"/>
        </w:rPr>
        <w:t>含量较低，可能抑制钢渣粉反应，故不推荐优先使用。水泥性能符合GB 175，可确保胶凝体系基础性能稳定。</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3</w:t>
      </w:r>
      <w:r>
        <w:rPr>
          <w:sz w:val="24"/>
          <w:szCs w:val="24"/>
        </w:rPr>
        <w:t>.</w:t>
      </w:r>
      <w:r>
        <w:rPr>
          <w:rFonts w:hint="eastAsia"/>
          <w:sz w:val="24"/>
          <w:szCs w:val="24"/>
          <w:lang w:val="en-US" w:eastAsia="zh-CN"/>
        </w:rPr>
        <w:t>2</w:t>
      </w:r>
      <w:r>
        <w:rPr>
          <w:sz w:val="24"/>
          <w:szCs w:val="24"/>
        </w:rPr>
        <w:t>.</w:t>
      </w:r>
      <w:r>
        <w:rPr>
          <w:rFonts w:hint="eastAsia"/>
          <w:sz w:val="24"/>
          <w:szCs w:val="24"/>
          <w:lang w:val="en-US" w:eastAsia="zh-CN"/>
        </w:rPr>
        <w:t>2</w:t>
      </w:r>
      <w:r>
        <w:rPr>
          <w:sz w:val="24"/>
          <w:szCs w:val="24"/>
        </w:rPr>
        <w:t xml:space="preserve">  </w:t>
      </w:r>
      <w:r>
        <w:rPr>
          <w:rFonts w:hint="eastAsia"/>
          <w:sz w:val="24"/>
          <w:szCs w:val="24"/>
        </w:rPr>
        <w:t>钢渣粉与其他矿物掺合料复合使用时，可通过性能互补改善混凝土工作性、强度及耐久性。其他矿物掺合料需符合GB/T 51003，可避免因掺合料质量不佳导致混凝土性能波动，确保复合体系的稳定性。</w:t>
      </w:r>
    </w:p>
    <w:p>
      <w:pPr>
        <w:spacing w:line="360" w:lineRule="auto"/>
        <w:rPr>
          <w:rFonts w:hint="eastAsia"/>
          <w:sz w:val="24"/>
          <w:szCs w:val="24"/>
        </w:rPr>
      </w:pPr>
      <w:r>
        <w:rPr>
          <w:rFonts w:hint="eastAsia"/>
          <w:sz w:val="24"/>
          <w:szCs w:val="24"/>
          <w:lang w:val="en-US" w:eastAsia="zh-CN"/>
        </w:rPr>
        <w:t>3</w:t>
      </w:r>
      <w:r>
        <w:rPr>
          <w:sz w:val="24"/>
          <w:szCs w:val="24"/>
        </w:rPr>
        <w:t>.</w:t>
      </w:r>
      <w:r>
        <w:rPr>
          <w:rFonts w:hint="eastAsia"/>
          <w:sz w:val="24"/>
          <w:szCs w:val="24"/>
          <w:lang w:val="en-US" w:eastAsia="zh-CN"/>
        </w:rPr>
        <w:t>2</w:t>
      </w:r>
      <w:r>
        <w:rPr>
          <w:sz w:val="24"/>
          <w:szCs w:val="24"/>
        </w:rPr>
        <w:t>.</w:t>
      </w:r>
      <w:r>
        <w:rPr>
          <w:rFonts w:hint="eastAsia"/>
          <w:sz w:val="24"/>
          <w:szCs w:val="24"/>
          <w:lang w:val="en-US" w:eastAsia="zh-CN"/>
        </w:rPr>
        <w:t>3</w:t>
      </w:r>
      <w:r>
        <w:rPr>
          <w:sz w:val="24"/>
          <w:szCs w:val="24"/>
        </w:rPr>
        <w:t xml:space="preserve">  </w:t>
      </w:r>
      <w:r>
        <w:rPr>
          <w:rFonts w:hint="eastAsia"/>
          <w:sz w:val="24"/>
          <w:szCs w:val="24"/>
        </w:rPr>
        <w:t>骨料作为混凝土主要组成部分，其质量直接影响混凝土强度、耐久性及工作性。GB/T 14684、GB/T 14685及JGJ 52对骨料的颗粒级配、含泥量、泥块含量、有害物质含量等指标作出了详细规定，选用符合上述标准的骨料，可保障钢渣粉混凝土的整体性能，避免因骨料质量问题引发的结构安全隐患。</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3</w:t>
      </w:r>
      <w:r>
        <w:rPr>
          <w:sz w:val="24"/>
          <w:szCs w:val="24"/>
        </w:rPr>
        <w:t>.</w:t>
      </w:r>
      <w:r>
        <w:rPr>
          <w:rFonts w:hint="eastAsia"/>
          <w:sz w:val="24"/>
          <w:szCs w:val="24"/>
          <w:lang w:val="en-US" w:eastAsia="zh-CN"/>
        </w:rPr>
        <w:t>2</w:t>
      </w:r>
      <w:r>
        <w:rPr>
          <w:sz w:val="24"/>
          <w:szCs w:val="24"/>
        </w:rPr>
        <w:t>.</w:t>
      </w:r>
      <w:r>
        <w:rPr>
          <w:rFonts w:hint="eastAsia"/>
          <w:sz w:val="24"/>
          <w:szCs w:val="24"/>
          <w:lang w:val="en-US" w:eastAsia="zh-CN"/>
        </w:rPr>
        <w:t>4</w:t>
      </w:r>
      <w:r>
        <w:rPr>
          <w:sz w:val="24"/>
          <w:szCs w:val="24"/>
        </w:rPr>
        <w:t xml:space="preserve">  </w:t>
      </w:r>
      <w:r>
        <w:rPr>
          <w:rFonts w:hint="eastAsia"/>
          <w:sz w:val="24"/>
          <w:szCs w:val="24"/>
        </w:rPr>
        <w:t>外加剂与钢渣粉、水泥的适应性是保障混凝土工作性的关键——钢渣粉表面多孔、吸附性强，可能导致外加剂有效含量降低，出现坍落度损失过快等问题。因此，要求外加剂符合GB 8076、GB 50119等标准，并通过适应性试验验证；缓凝剂可调节混凝土凝结时间，适配钢渣粉混凝土早期水化较慢的特性，故明确其需纳入配合比设计考量。各类专用外加剂（膨胀剂、防水剂、防冻剂）需符合对应标准，确保混凝土满足特殊功能要求。</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3</w:t>
      </w:r>
      <w:r>
        <w:rPr>
          <w:sz w:val="24"/>
          <w:szCs w:val="24"/>
        </w:rPr>
        <w:t>.</w:t>
      </w:r>
      <w:r>
        <w:rPr>
          <w:rFonts w:hint="eastAsia"/>
          <w:sz w:val="24"/>
          <w:szCs w:val="24"/>
          <w:lang w:val="en-US" w:eastAsia="zh-CN"/>
        </w:rPr>
        <w:t>2</w:t>
      </w:r>
      <w:r>
        <w:rPr>
          <w:sz w:val="24"/>
          <w:szCs w:val="24"/>
        </w:rPr>
        <w:t>.</w:t>
      </w:r>
      <w:r>
        <w:rPr>
          <w:rFonts w:hint="eastAsia"/>
          <w:sz w:val="24"/>
          <w:szCs w:val="24"/>
          <w:lang w:val="en-US" w:eastAsia="zh-CN"/>
        </w:rPr>
        <w:t>5</w:t>
      </w:r>
      <w:r>
        <w:rPr>
          <w:sz w:val="24"/>
          <w:szCs w:val="24"/>
        </w:rPr>
        <w:t xml:space="preserve">  </w:t>
      </w:r>
      <w:r>
        <w:rPr>
          <w:rFonts w:hint="eastAsia"/>
          <w:sz w:val="24"/>
          <w:szCs w:val="24"/>
        </w:rPr>
        <w:t>混凝土用水的质量直接影响水泥水化、骨料与胶凝材料的粘结性能，若水中含有油污、氯离子、硫酸盐等有害物质，会导致混凝土强度降低、钢筋锈蚀等问题。JGJ 63对混凝土用水的pH值、氯离子含量、硫酸盐含量等指标作出了严格规定，选用符合该标准的水，可保障钢渣粉混凝土的水化进程与长期耐久性。</w:t>
      </w: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br w:type="page"/>
      </w:r>
    </w:p>
    <w:p>
      <w:pPr>
        <w:pStyle w:val="88"/>
        <w:keepNext w:val="0"/>
        <w:keepLines w:val="0"/>
        <w:pageBreakBefore w:val="0"/>
        <w:widowControl w:val="0"/>
        <w:kinsoku/>
        <w:wordWrap/>
        <w:overflowPunct/>
        <w:topLinePunct w:val="0"/>
        <w:autoSpaceDE/>
        <w:autoSpaceDN/>
        <w:bidi w:val="0"/>
        <w:adjustRightInd/>
        <w:snapToGrid/>
        <w:spacing w:before="157" w:beforeLines="50" w:after="313" w:afterLines="100" w:line="400" w:lineRule="exact"/>
        <w:ind w:left="0" w:leftChars="0" w:right="0" w:rightChars="0" w:firstLine="0" w:firstLineChars="0"/>
        <w:jc w:val="center"/>
        <w:textAlignment w:val="auto"/>
        <w:outlineLvl w:val="0"/>
        <w:rPr>
          <w:rFonts w:hint="default" w:ascii="Times New Roman" w:hAnsi="Times New Roman" w:eastAsia="宋体" w:cs="Times New Roman"/>
          <w:color w:val="auto"/>
          <w:sz w:val="32"/>
          <w:szCs w:val="32"/>
          <w:highlight w:val="none"/>
        </w:rPr>
      </w:pPr>
      <w:r>
        <w:rPr>
          <w:rFonts w:hint="eastAsia" w:cs="Times New Roman"/>
          <w:b/>
          <w:bCs/>
          <w:color w:val="auto"/>
          <w:sz w:val="32"/>
          <w:szCs w:val="32"/>
          <w:highlight w:val="none"/>
          <w:lang w:val="en-US" w:eastAsia="zh-CN"/>
        </w:rPr>
        <w:t>混凝土性能</w:t>
      </w:r>
    </w:p>
    <w:p>
      <w:pPr>
        <w:spacing w:before="156" w:beforeLines="50" w:after="156" w:afterLines="50" w:line="360" w:lineRule="auto"/>
        <w:jc w:val="center"/>
        <w:outlineLvl w:val="1"/>
        <w:rPr>
          <w:rFonts w:hint="default" w:eastAsia="宋体"/>
          <w:b/>
          <w:bCs/>
          <w:sz w:val="28"/>
          <w:szCs w:val="28"/>
          <w:lang w:val="en-US" w:eastAsia="zh-CN"/>
        </w:rPr>
      </w:pPr>
      <w:r>
        <w:rPr>
          <w:rFonts w:hint="eastAsia"/>
          <w:b/>
          <w:bCs/>
          <w:sz w:val="28"/>
          <w:szCs w:val="28"/>
          <w:lang w:val="en-US" w:eastAsia="zh-CN"/>
        </w:rPr>
        <w:t>4</w:t>
      </w:r>
      <w:r>
        <w:rPr>
          <w:rFonts w:hint="eastAsia"/>
          <w:b/>
          <w:bCs/>
          <w:sz w:val="28"/>
          <w:szCs w:val="28"/>
        </w:rPr>
        <w:t>.</w:t>
      </w:r>
      <w:r>
        <w:rPr>
          <w:b/>
          <w:bCs/>
          <w:sz w:val="28"/>
          <w:szCs w:val="28"/>
        </w:rPr>
        <w:t xml:space="preserve">1  </w:t>
      </w:r>
      <w:r>
        <w:rPr>
          <w:rFonts w:hint="eastAsia"/>
          <w:b/>
          <w:bCs/>
          <w:sz w:val="28"/>
          <w:szCs w:val="28"/>
          <w:lang w:val="en-US" w:eastAsia="zh-CN"/>
        </w:rPr>
        <w:t>拌合物性能</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4</w:t>
      </w:r>
      <w:r>
        <w:rPr>
          <w:sz w:val="24"/>
          <w:szCs w:val="24"/>
        </w:rPr>
        <w:t>.</w:t>
      </w:r>
      <w:r>
        <w:rPr>
          <w:rFonts w:hint="eastAsia"/>
          <w:sz w:val="24"/>
          <w:szCs w:val="24"/>
          <w:lang w:val="en-US" w:eastAsia="zh-CN"/>
        </w:rPr>
        <w:t>1</w:t>
      </w:r>
      <w:r>
        <w:rPr>
          <w:sz w:val="24"/>
          <w:szCs w:val="24"/>
        </w:rPr>
        <w:t xml:space="preserve">.1  </w:t>
      </w:r>
      <w:r>
        <w:rPr>
          <w:rFonts w:hint="eastAsia"/>
          <w:sz w:val="24"/>
          <w:szCs w:val="24"/>
        </w:rPr>
        <w:t>钢渣粉混凝土的工作性直接影响施工质量，若工作性不佳，易出现离析、泌水、振捣不实等问题，导致混凝土内部孔隙率增加、强度降低。同时，凝结时间需适配施工节奏，故要求拌合物具有良好工作性且凝结时间满足施工要求，确保混凝土顺利浇筑、密实成型。</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4</w:t>
      </w:r>
      <w:r>
        <w:rPr>
          <w:sz w:val="24"/>
          <w:szCs w:val="24"/>
        </w:rPr>
        <w:t>.</w:t>
      </w:r>
      <w:r>
        <w:rPr>
          <w:rFonts w:hint="eastAsia"/>
          <w:sz w:val="24"/>
          <w:szCs w:val="24"/>
          <w:lang w:val="en-US" w:eastAsia="zh-CN"/>
        </w:rPr>
        <w:t>1</w:t>
      </w:r>
      <w:r>
        <w:rPr>
          <w:sz w:val="24"/>
          <w:szCs w:val="24"/>
        </w:rPr>
        <w:t>.</w:t>
      </w:r>
      <w:r>
        <w:rPr>
          <w:rFonts w:hint="eastAsia"/>
          <w:sz w:val="24"/>
          <w:szCs w:val="24"/>
          <w:lang w:val="en-US" w:eastAsia="zh-CN"/>
        </w:rPr>
        <w:t>2</w:t>
      </w:r>
      <w:r>
        <w:rPr>
          <w:sz w:val="24"/>
          <w:szCs w:val="24"/>
        </w:rPr>
        <w:t xml:space="preserve">  </w:t>
      </w:r>
      <w:r>
        <w:rPr>
          <w:rFonts w:hint="eastAsia"/>
          <w:sz w:val="24"/>
          <w:szCs w:val="24"/>
        </w:rPr>
        <w:t>坍落度、扩展度是评价混凝土拌合物流动性的核心指标，其等级划分及允许偏差参考GB/T 14902（报批稿），与预拌混凝土</w:t>
      </w:r>
      <w:r>
        <w:rPr>
          <w:rFonts w:hint="eastAsia"/>
          <w:sz w:val="24"/>
          <w:szCs w:val="24"/>
          <w:lang w:val="en-US" w:eastAsia="zh-CN"/>
        </w:rPr>
        <w:t>国家</w:t>
      </w:r>
      <w:r>
        <w:rPr>
          <w:rFonts w:hint="eastAsia"/>
          <w:sz w:val="24"/>
          <w:szCs w:val="24"/>
        </w:rPr>
        <w:t>标准保持一致，确保指标体系的统一性。扩展度适用于大流态混凝土，可更准确反映其流动性与抗离析能力；允许偏差的设定基于工程实践数据，兼顾施工操作的灵活性与质量控制的严格性。</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4</w:t>
      </w:r>
      <w:r>
        <w:rPr>
          <w:sz w:val="24"/>
          <w:szCs w:val="24"/>
        </w:rPr>
        <w:t>.</w:t>
      </w:r>
      <w:r>
        <w:rPr>
          <w:rFonts w:hint="eastAsia"/>
          <w:sz w:val="24"/>
          <w:szCs w:val="24"/>
          <w:lang w:val="en-US" w:eastAsia="zh-CN"/>
        </w:rPr>
        <w:t>1</w:t>
      </w:r>
      <w:r>
        <w:rPr>
          <w:sz w:val="24"/>
          <w:szCs w:val="24"/>
        </w:rPr>
        <w:t>.</w:t>
      </w:r>
      <w:r>
        <w:rPr>
          <w:rFonts w:hint="eastAsia"/>
          <w:sz w:val="24"/>
          <w:szCs w:val="24"/>
          <w:lang w:val="en-US" w:eastAsia="zh-CN"/>
        </w:rPr>
        <w:t>3</w:t>
      </w:r>
      <w:r>
        <w:rPr>
          <w:sz w:val="24"/>
          <w:szCs w:val="24"/>
        </w:rPr>
        <w:t xml:space="preserve">  </w:t>
      </w:r>
      <w:r>
        <w:rPr>
          <w:rFonts w:hint="eastAsia"/>
          <w:sz w:val="24"/>
          <w:szCs w:val="24"/>
        </w:rPr>
        <w:t>坍落度经时损失过大，会导致混凝土浇筑困难、振捣不密实，影响结构成型质量。结合钢渣粉混凝土的特性，规定泵送混凝土坍落度经时损失不宜大于30mm，可保障混凝土从搅拌站运输至施工现场后仍具有良好的工作性，满足泵送、浇筑要求。</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4</w:t>
      </w:r>
      <w:r>
        <w:rPr>
          <w:sz w:val="24"/>
          <w:szCs w:val="24"/>
        </w:rPr>
        <w:t>.</w:t>
      </w:r>
      <w:r>
        <w:rPr>
          <w:rFonts w:hint="eastAsia"/>
          <w:sz w:val="24"/>
          <w:szCs w:val="24"/>
          <w:lang w:val="en-US" w:eastAsia="zh-CN"/>
        </w:rPr>
        <w:t>1</w:t>
      </w:r>
      <w:r>
        <w:rPr>
          <w:sz w:val="24"/>
          <w:szCs w:val="24"/>
        </w:rPr>
        <w:t>.</w:t>
      </w:r>
      <w:r>
        <w:rPr>
          <w:rFonts w:hint="eastAsia"/>
          <w:sz w:val="24"/>
          <w:szCs w:val="24"/>
          <w:lang w:val="en-US" w:eastAsia="zh-CN"/>
        </w:rPr>
        <w:t>4</w:t>
      </w:r>
      <w:r>
        <w:rPr>
          <w:sz w:val="24"/>
          <w:szCs w:val="24"/>
        </w:rPr>
        <w:t xml:space="preserve">  </w:t>
      </w:r>
      <w:r>
        <w:rPr>
          <w:rFonts w:hint="eastAsia"/>
          <w:sz w:val="24"/>
          <w:szCs w:val="24"/>
        </w:rPr>
        <w:t>混凝土中水溶性氯离子含量过高会引发钢筋锈蚀，影响结构耐久性。《混凝土结构通用规范》GB 55008对不同环境类别、结构类型的混凝土氯离子含量作出了强制性规定，本条明确钢渣粉混凝土需符合该标准，可确保结构长期使用安全；测试方法参考 JGJ/T 322，保证检测结果的准确性。</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4</w:t>
      </w:r>
      <w:r>
        <w:rPr>
          <w:sz w:val="24"/>
          <w:szCs w:val="24"/>
        </w:rPr>
        <w:t>.</w:t>
      </w:r>
      <w:r>
        <w:rPr>
          <w:rFonts w:hint="eastAsia"/>
          <w:sz w:val="24"/>
          <w:szCs w:val="24"/>
          <w:lang w:val="en-US" w:eastAsia="zh-CN"/>
        </w:rPr>
        <w:t>1</w:t>
      </w:r>
      <w:r>
        <w:rPr>
          <w:sz w:val="24"/>
          <w:szCs w:val="24"/>
        </w:rPr>
        <w:t>.</w:t>
      </w:r>
      <w:r>
        <w:rPr>
          <w:rFonts w:hint="eastAsia"/>
          <w:sz w:val="24"/>
          <w:szCs w:val="24"/>
          <w:lang w:val="en-US" w:eastAsia="zh-CN"/>
        </w:rPr>
        <w:t>5</w:t>
      </w:r>
      <w:r>
        <w:rPr>
          <w:sz w:val="24"/>
          <w:szCs w:val="24"/>
        </w:rPr>
        <w:t xml:space="preserve">  </w:t>
      </w:r>
      <w:r>
        <w:rPr>
          <w:rFonts w:hint="eastAsia"/>
          <w:sz w:val="24"/>
          <w:szCs w:val="24"/>
        </w:rPr>
        <w:t>GB/T 50080 是混凝土拌合物性能试验的通用标准，其规定的试验方法成熟、可靠，适用于钢渣粉混凝土。采用统一的试验方法，可确保不同单位、不同工程的试验数据具有可比性，为配合比优化、质量检验提供科学依据。</w:t>
      </w:r>
    </w:p>
    <w:p>
      <w:pPr>
        <w:spacing w:before="156" w:beforeLines="50" w:after="156" w:afterLines="50" w:line="360" w:lineRule="auto"/>
        <w:jc w:val="center"/>
        <w:outlineLvl w:val="1"/>
        <w:rPr>
          <w:rFonts w:hint="default" w:eastAsia="宋体"/>
          <w:b/>
          <w:bCs/>
          <w:sz w:val="28"/>
          <w:szCs w:val="28"/>
          <w:lang w:val="en-US" w:eastAsia="zh-CN"/>
        </w:rPr>
      </w:pPr>
      <w:r>
        <w:rPr>
          <w:rFonts w:hint="eastAsia"/>
          <w:b/>
          <w:bCs/>
          <w:sz w:val="28"/>
          <w:szCs w:val="28"/>
          <w:lang w:val="en-US" w:eastAsia="zh-CN"/>
        </w:rPr>
        <w:t>4</w:t>
      </w:r>
      <w:r>
        <w:rPr>
          <w:rFonts w:hint="eastAsia"/>
          <w:b/>
          <w:bCs/>
          <w:sz w:val="28"/>
          <w:szCs w:val="28"/>
        </w:rPr>
        <w:t>.</w:t>
      </w:r>
      <w:r>
        <w:rPr>
          <w:rFonts w:hint="eastAsia"/>
          <w:b/>
          <w:bCs/>
          <w:sz w:val="28"/>
          <w:szCs w:val="28"/>
          <w:lang w:val="en-US" w:eastAsia="zh-CN"/>
        </w:rPr>
        <w:t>2</w:t>
      </w:r>
      <w:r>
        <w:rPr>
          <w:b/>
          <w:bCs/>
          <w:sz w:val="28"/>
          <w:szCs w:val="28"/>
        </w:rPr>
        <w:t xml:space="preserve">  </w:t>
      </w:r>
      <w:r>
        <w:rPr>
          <w:rFonts w:hint="eastAsia"/>
          <w:b/>
          <w:bCs/>
          <w:sz w:val="28"/>
          <w:szCs w:val="28"/>
          <w:lang w:val="en-US" w:eastAsia="zh-CN"/>
        </w:rPr>
        <w:t>力学性能</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4</w:t>
      </w:r>
      <w:r>
        <w:rPr>
          <w:sz w:val="24"/>
          <w:szCs w:val="24"/>
        </w:rPr>
        <w:t>.</w:t>
      </w:r>
      <w:r>
        <w:rPr>
          <w:rFonts w:hint="eastAsia"/>
          <w:sz w:val="24"/>
          <w:szCs w:val="24"/>
          <w:lang w:val="en-US" w:eastAsia="zh-CN"/>
        </w:rPr>
        <w:t>2</w:t>
      </w:r>
      <w:r>
        <w:rPr>
          <w:sz w:val="24"/>
          <w:szCs w:val="24"/>
        </w:rPr>
        <w:t xml:space="preserve">.1  </w:t>
      </w:r>
      <w:r>
        <w:rPr>
          <w:rFonts w:hint="eastAsia"/>
          <w:sz w:val="24"/>
          <w:szCs w:val="24"/>
        </w:rPr>
        <w:t>钢渣粉混凝土的力学性能是结构设计的核心依据，需满足工程设计要求。</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4</w:t>
      </w:r>
      <w:r>
        <w:rPr>
          <w:sz w:val="24"/>
          <w:szCs w:val="24"/>
        </w:rPr>
        <w:t>.</w:t>
      </w:r>
      <w:r>
        <w:rPr>
          <w:rFonts w:hint="eastAsia"/>
          <w:sz w:val="24"/>
          <w:szCs w:val="24"/>
          <w:lang w:val="en-US" w:eastAsia="zh-CN"/>
        </w:rPr>
        <w:t>2</w:t>
      </w:r>
      <w:r>
        <w:rPr>
          <w:sz w:val="24"/>
          <w:szCs w:val="24"/>
        </w:rPr>
        <w:t>.</w:t>
      </w:r>
      <w:r>
        <w:rPr>
          <w:rFonts w:hint="eastAsia"/>
          <w:sz w:val="24"/>
          <w:szCs w:val="24"/>
          <w:lang w:val="en-US" w:eastAsia="zh-CN"/>
        </w:rPr>
        <w:t>2</w:t>
      </w:r>
      <w:r>
        <w:rPr>
          <w:sz w:val="24"/>
          <w:szCs w:val="24"/>
        </w:rPr>
        <w:t xml:space="preserve">  </w:t>
      </w:r>
      <w:r>
        <w:rPr>
          <w:rFonts w:hint="eastAsia"/>
          <w:sz w:val="24"/>
          <w:szCs w:val="24"/>
        </w:rPr>
        <w:t>GB/T 50081 规定了混凝土抗压强度、抗折强度、弹性模量等力学性能的试验方法，该标准在行业内广泛应用，试验结果准确、可靠。钢渣粉混凝土的力学性能试验采用该标准，可确保试验流程规范、数据可比，为强度评定、结构设计提供可信依据。</w:t>
      </w:r>
    </w:p>
    <w:p>
      <w:pPr>
        <w:spacing w:before="156" w:beforeLines="50" w:after="156" w:afterLines="50" w:line="360" w:lineRule="auto"/>
        <w:jc w:val="center"/>
        <w:outlineLvl w:val="1"/>
        <w:rPr>
          <w:b/>
          <w:bCs/>
          <w:sz w:val="28"/>
          <w:szCs w:val="28"/>
        </w:rPr>
      </w:pPr>
      <w:r>
        <w:rPr>
          <w:rFonts w:hint="eastAsia"/>
          <w:b/>
          <w:bCs/>
          <w:sz w:val="28"/>
          <w:szCs w:val="28"/>
          <w:lang w:val="en-US" w:eastAsia="zh-CN"/>
        </w:rPr>
        <w:t>4</w:t>
      </w:r>
      <w:r>
        <w:rPr>
          <w:rFonts w:hint="eastAsia"/>
          <w:b/>
          <w:bCs/>
          <w:sz w:val="28"/>
          <w:szCs w:val="28"/>
        </w:rPr>
        <w:t>.</w:t>
      </w:r>
      <w:r>
        <w:rPr>
          <w:rFonts w:hint="eastAsia"/>
          <w:b/>
          <w:bCs/>
          <w:sz w:val="28"/>
          <w:szCs w:val="28"/>
          <w:lang w:val="en-US" w:eastAsia="zh-CN"/>
        </w:rPr>
        <w:t>3</w:t>
      </w:r>
      <w:r>
        <w:rPr>
          <w:b/>
          <w:bCs/>
          <w:sz w:val="28"/>
          <w:szCs w:val="28"/>
        </w:rPr>
        <w:t xml:space="preserve">  </w:t>
      </w:r>
      <w:r>
        <w:rPr>
          <w:rFonts w:hint="eastAsia"/>
          <w:b/>
          <w:bCs/>
          <w:sz w:val="28"/>
          <w:szCs w:val="28"/>
        </w:rPr>
        <w:t>耐久性能</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4</w:t>
      </w:r>
      <w:r>
        <w:rPr>
          <w:sz w:val="24"/>
          <w:szCs w:val="24"/>
        </w:rPr>
        <w:t>.</w:t>
      </w:r>
      <w:r>
        <w:rPr>
          <w:rFonts w:hint="eastAsia"/>
          <w:sz w:val="24"/>
          <w:szCs w:val="24"/>
          <w:lang w:val="en-US" w:eastAsia="zh-CN"/>
        </w:rPr>
        <w:t>3</w:t>
      </w:r>
      <w:r>
        <w:rPr>
          <w:sz w:val="24"/>
          <w:szCs w:val="24"/>
        </w:rPr>
        <w:t xml:space="preserve">.1  </w:t>
      </w:r>
      <w:r>
        <w:rPr>
          <w:rFonts w:hint="eastAsia"/>
          <w:sz w:val="24"/>
          <w:szCs w:val="24"/>
        </w:rPr>
        <w:t>碱骨料反应是影响混凝土长期耐久性的关键因素之一，钢渣粉中的碱可能加剧该反应。《预防混凝土碱骨料反应技术规范》GB/T 50733明确了预防碱骨料反应的技术措施，钢渣粉混凝土需符合该标准，可避免因碱骨料反应导致的结构开裂、耐久性下降。</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4</w:t>
      </w:r>
      <w:r>
        <w:rPr>
          <w:sz w:val="24"/>
          <w:szCs w:val="24"/>
        </w:rPr>
        <w:t>.</w:t>
      </w:r>
      <w:r>
        <w:rPr>
          <w:rFonts w:hint="eastAsia"/>
          <w:sz w:val="24"/>
          <w:szCs w:val="24"/>
          <w:lang w:val="en-US" w:eastAsia="zh-CN"/>
        </w:rPr>
        <w:t>3</w:t>
      </w:r>
      <w:r>
        <w:rPr>
          <w:sz w:val="24"/>
          <w:szCs w:val="24"/>
        </w:rPr>
        <w:t>.</w:t>
      </w:r>
      <w:r>
        <w:rPr>
          <w:rFonts w:hint="eastAsia"/>
          <w:sz w:val="24"/>
          <w:szCs w:val="24"/>
          <w:lang w:val="en-US" w:eastAsia="zh-CN"/>
        </w:rPr>
        <w:t>2</w:t>
      </w:r>
      <w:r>
        <w:rPr>
          <w:sz w:val="24"/>
          <w:szCs w:val="24"/>
        </w:rPr>
        <w:t xml:space="preserve">  </w:t>
      </w:r>
      <w:r>
        <w:rPr>
          <w:rFonts w:hint="eastAsia"/>
          <w:sz w:val="24"/>
          <w:szCs w:val="24"/>
        </w:rPr>
        <w:t>GB 50164 规定了混凝土质量控制的通用要求，JGJ/T 193 明确了混凝土耐久性的检验评定方法。钢渣粉混凝土的耐久性能需符合上述标准，同时满足设计要求，可确保其在不同环境条件下具有良好的长期稳定性。</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4</w:t>
      </w:r>
      <w:r>
        <w:rPr>
          <w:sz w:val="24"/>
          <w:szCs w:val="24"/>
        </w:rPr>
        <w:t>.</w:t>
      </w:r>
      <w:r>
        <w:rPr>
          <w:rFonts w:hint="eastAsia"/>
          <w:sz w:val="24"/>
          <w:szCs w:val="24"/>
          <w:lang w:val="en-US" w:eastAsia="zh-CN"/>
        </w:rPr>
        <w:t>3</w:t>
      </w:r>
      <w:r>
        <w:rPr>
          <w:sz w:val="24"/>
          <w:szCs w:val="24"/>
        </w:rPr>
        <w:t>.</w:t>
      </w:r>
      <w:r>
        <w:rPr>
          <w:rFonts w:hint="eastAsia"/>
          <w:sz w:val="24"/>
          <w:szCs w:val="24"/>
          <w:lang w:val="en-US" w:eastAsia="zh-CN"/>
        </w:rPr>
        <w:t>3</w:t>
      </w:r>
      <w:r>
        <w:rPr>
          <w:sz w:val="24"/>
          <w:szCs w:val="24"/>
        </w:rPr>
        <w:t xml:space="preserve">  </w:t>
      </w:r>
      <w:r>
        <w:rPr>
          <w:rFonts w:hint="eastAsia"/>
          <w:sz w:val="24"/>
          <w:szCs w:val="24"/>
        </w:rPr>
        <w:t>GB/T 50082 规定了混凝土耐久性能的试验方法，该标准是混凝土耐久性试验的权威依据。采用该标准的试验方法，可系统评价钢渣粉混凝土的长期性能与耐久性能，为工程应用中的耐久性设计、质量控制提供科学数据。</w:t>
      </w: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br w:type="page"/>
      </w:r>
    </w:p>
    <w:p>
      <w:pPr>
        <w:pStyle w:val="88"/>
        <w:keepNext w:val="0"/>
        <w:keepLines w:val="0"/>
        <w:pageBreakBefore w:val="0"/>
        <w:widowControl w:val="0"/>
        <w:kinsoku/>
        <w:wordWrap/>
        <w:overflowPunct/>
        <w:topLinePunct w:val="0"/>
        <w:autoSpaceDE/>
        <w:autoSpaceDN/>
        <w:bidi w:val="0"/>
        <w:adjustRightInd/>
        <w:snapToGrid/>
        <w:spacing w:before="157" w:beforeLines="50" w:after="313" w:afterLines="100" w:line="400" w:lineRule="exact"/>
        <w:ind w:left="0" w:leftChars="0" w:right="0" w:rightChars="0" w:firstLine="0" w:firstLineChars="0"/>
        <w:jc w:val="center"/>
        <w:textAlignment w:val="auto"/>
        <w:outlineLvl w:val="0"/>
        <w:rPr>
          <w:rFonts w:hint="default" w:ascii="Times New Roman" w:hAnsi="Times New Roman" w:eastAsia="宋体" w:cs="Times New Roman"/>
          <w:color w:val="auto"/>
          <w:sz w:val="32"/>
          <w:szCs w:val="32"/>
          <w:highlight w:val="none"/>
        </w:rPr>
      </w:pPr>
      <w:r>
        <w:rPr>
          <w:rFonts w:hint="eastAsia" w:cs="Times New Roman"/>
          <w:b/>
          <w:bCs/>
          <w:color w:val="auto"/>
          <w:sz w:val="32"/>
          <w:szCs w:val="32"/>
          <w:highlight w:val="none"/>
          <w:lang w:val="en-US" w:eastAsia="zh-CN"/>
        </w:rPr>
        <w:t>配合比设计</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5</w:t>
      </w:r>
      <w:r>
        <w:rPr>
          <w:sz w:val="24"/>
          <w:szCs w:val="24"/>
        </w:rPr>
        <w:t xml:space="preserve">.0.1  </w:t>
      </w:r>
      <w:r>
        <w:rPr>
          <w:rFonts w:hint="eastAsia"/>
          <w:sz w:val="24"/>
          <w:szCs w:val="24"/>
        </w:rPr>
        <w:t>《普通混凝土配合比设计规程》JGJ 55是混凝土配合比设计的通用规范，其规定的基准配合比设计→试配调整→施工配合比确定流程成熟、通用，适用于钢渣粉混凝土。钢渣粉混凝土配合比设计遵循该规范，可确保设计流程规范，同时结合钢渣粉特性补充专属要求，实现通用方法与专项技术的结合。</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5</w:t>
      </w:r>
      <w:r>
        <w:rPr>
          <w:sz w:val="24"/>
          <w:szCs w:val="24"/>
        </w:rPr>
        <w:t>.0.</w:t>
      </w:r>
      <w:r>
        <w:rPr>
          <w:rFonts w:hint="eastAsia"/>
          <w:sz w:val="24"/>
          <w:szCs w:val="24"/>
          <w:lang w:val="en-US" w:eastAsia="zh-CN"/>
        </w:rPr>
        <w:t>2</w:t>
      </w:r>
      <w:r>
        <w:rPr>
          <w:sz w:val="24"/>
          <w:szCs w:val="24"/>
        </w:rPr>
        <w:t xml:space="preserve">  </w:t>
      </w:r>
      <w:r>
        <w:rPr>
          <w:rFonts w:hint="eastAsia"/>
          <w:sz w:val="24"/>
          <w:szCs w:val="24"/>
        </w:rPr>
        <w:t>钢渣粉掺量过高会导致混凝土早期强度不足、坍落度损失加快，掺量过低则无法充分发挥其火山灰效应与填充效应。本条基于大量试验数据，按水胶比划分最大掺量：水胶比≤0.40时，硅酸盐水泥体系最大掺量30%、普通硅酸盐水泥体系2</w:t>
      </w:r>
      <w:r>
        <w:rPr>
          <w:rFonts w:hint="eastAsia"/>
          <w:sz w:val="24"/>
          <w:szCs w:val="24"/>
          <w:lang w:val="en-US" w:eastAsia="zh-CN"/>
        </w:rPr>
        <w:t>5</w:t>
      </w:r>
      <w:r>
        <w:rPr>
          <w:rFonts w:hint="eastAsia"/>
          <w:sz w:val="24"/>
          <w:szCs w:val="24"/>
        </w:rPr>
        <w:t>%；水胶比＞0.40时，对应掺量分别为25%、</w:t>
      </w:r>
      <w:r>
        <w:rPr>
          <w:rFonts w:hint="eastAsia"/>
          <w:sz w:val="24"/>
          <w:szCs w:val="24"/>
          <w:lang w:val="en-US" w:eastAsia="zh-CN"/>
        </w:rPr>
        <w:t>20</w:t>
      </w:r>
      <w:r>
        <w:rPr>
          <w:rFonts w:hint="eastAsia"/>
          <w:sz w:val="24"/>
          <w:szCs w:val="24"/>
        </w:rPr>
        <w:t>%。该规定可平衡混凝土强度、工作性与耐久性，避免因掺量不当引发的性能问题</w:t>
      </w:r>
    </w:p>
    <w:p>
      <w:pPr>
        <w:spacing w:line="360" w:lineRule="auto"/>
        <w:rPr>
          <w:rFonts w:hint="eastAsia"/>
          <w:sz w:val="24"/>
          <w:szCs w:val="24"/>
        </w:rPr>
      </w:pPr>
      <w:r>
        <w:rPr>
          <w:rFonts w:hint="eastAsia"/>
          <w:sz w:val="24"/>
          <w:szCs w:val="24"/>
          <w:lang w:val="en-US" w:eastAsia="zh-CN"/>
        </w:rPr>
        <w:t>5</w:t>
      </w:r>
      <w:r>
        <w:rPr>
          <w:sz w:val="24"/>
          <w:szCs w:val="24"/>
        </w:rPr>
        <w:t>.0.</w:t>
      </w:r>
      <w:r>
        <w:rPr>
          <w:rFonts w:hint="eastAsia"/>
          <w:sz w:val="24"/>
          <w:szCs w:val="24"/>
          <w:lang w:val="en-US" w:eastAsia="zh-CN"/>
        </w:rPr>
        <w:t>3</w:t>
      </w:r>
      <w:r>
        <w:rPr>
          <w:sz w:val="24"/>
          <w:szCs w:val="24"/>
        </w:rPr>
        <w:t xml:space="preserve">  </w:t>
      </w:r>
      <w:r>
        <w:rPr>
          <w:rFonts w:hint="eastAsia"/>
          <w:sz w:val="24"/>
          <w:szCs w:val="24"/>
        </w:rPr>
        <w:t>钢渣粉掺入混凝土后，可通过火山灰反应生成胶凝物质，参与混凝土强度发展，其功能与水泥、矿渣粉等胶凝材料一致。因此，配合比计算时将钢渣粉计入胶凝材料用量，符合混凝土配合比设计的胶凝材料总量控制原则，可确保水胶比、砂率等关键参数计算准确，保障混凝土性能稳定。</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5</w:t>
      </w:r>
      <w:r>
        <w:rPr>
          <w:sz w:val="24"/>
          <w:szCs w:val="24"/>
        </w:rPr>
        <w:t>.0.</w:t>
      </w:r>
      <w:r>
        <w:rPr>
          <w:rFonts w:hint="eastAsia"/>
          <w:sz w:val="24"/>
          <w:szCs w:val="24"/>
          <w:lang w:val="en-US" w:eastAsia="zh-CN"/>
        </w:rPr>
        <w:t>4</w:t>
      </w:r>
      <w:r>
        <w:rPr>
          <w:sz w:val="24"/>
          <w:szCs w:val="24"/>
        </w:rPr>
        <w:t xml:space="preserve">  </w:t>
      </w:r>
      <w:r>
        <w:rPr>
          <w:rFonts w:hint="eastAsia"/>
          <w:sz w:val="24"/>
          <w:szCs w:val="24"/>
        </w:rPr>
        <w:t>胶凝材料28d胶砂抗压强度是混凝土配合比设计中确定水胶比的核心参数。当无实测值时，引入钢渣粉影响系数γ</w:t>
      </w:r>
      <w:r>
        <w:rPr>
          <w:rFonts w:hint="eastAsia"/>
          <w:sz w:val="24"/>
          <w:szCs w:val="24"/>
          <w:vertAlign w:val="subscript"/>
        </w:rPr>
        <w:t>H</w:t>
      </w:r>
      <w:r>
        <w:rPr>
          <w:rFonts w:hint="eastAsia"/>
          <w:sz w:val="24"/>
          <w:szCs w:val="24"/>
        </w:rPr>
        <w:t>，可间接计算胶凝材料强度。γ</w:t>
      </w:r>
      <w:r>
        <w:rPr>
          <w:rFonts w:hint="eastAsia"/>
          <w:sz w:val="24"/>
          <w:szCs w:val="24"/>
          <w:vertAlign w:val="subscript"/>
        </w:rPr>
        <w:t>H</w:t>
      </w:r>
      <w:r>
        <w:rPr>
          <w:rFonts w:hint="eastAsia"/>
          <w:sz w:val="24"/>
          <w:szCs w:val="24"/>
        </w:rPr>
        <w:t>取值基于不同掺量下钢渣粉对胶砂强度的影响试验，按掺量梯度划分取值范围，可确保计算结果的合理性，为配合比设计提供依据</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5</w:t>
      </w:r>
      <w:r>
        <w:rPr>
          <w:sz w:val="24"/>
          <w:szCs w:val="24"/>
        </w:rPr>
        <w:t>.0.</w:t>
      </w:r>
      <w:r>
        <w:rPr>
          <w:rFonts w:hint="eastAsia"/>
          <w:sz w:val="24"/>
          <w:szCs w:val="24"/>
          <w:lang w:val="en-US" w:eastAsia="zh-CN"/>
        </w:rPr>
        <w:t>5</w:t>
      </w:r>
      <w:r>
        <w:rPr>
          <w:sz w:val="24"/>
          <w:szCs w:val="24"/>
        </w:rPr>
        <w:t xml:space="preserve">  </w:t>
      </w:r>
      <w:r>
        <w:rPr>
          <w:rFonts w:hint="eastAsia"/>
          <w:sz w:val="24"/>
          <w:szCs w:val="24"/>
        </w:rPr>
        <w:t>钢渣粉混凝土的收缩性能与普通混凝土存在差异，部分钢渣粉可能因水化膨胀特性改善混凝土抗裂性，但也可能因活性不足导致收缩增大。对于抗裂性能有明确要求的工程，通过抗裂试验和收缩试验优选配合比，可避免混凝土早期开裂，保障结构耐久性</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5</w:t>
      </w:r>
      <w:r>
        <w:rPr>
          <w:sz w:val="24"/>
          <w:szCs w:val="24"/>
        </w:rPr>
        <w:t>.0.</w:t>
      </w:r>
      <w:r>
        <w:rPr>
          <w:rFonts w:hint="eastAsia"/>
          <w:sz w:val="24"/>
          <w:szCs w:val="24"/>
          <w:lang w:val="en-US" w:eastAsia="zh-CN"/>
        </w:rPr>
        <w:t>6</w:t>
      </w:r>
      <w:r>
        <w:rPr>
          <w:sz w:val="24"/>
          <w:szCs w:val="24"/>
        </w:rPr>
        <w:t xml:space="preserve">  </w:t>
      </w:r>
      <w:r>
        <w:rPr>
          <w:rFonts w:hint="eastAsia"/>
          <w:sz w:val="24"/>
          <w:szCs w:val="24"/>
        </w:rPr>
        <w:t>原材料质量、性能要求、生产间断时间等因素会直接影响钢渣粉混凝土的性能。当原材料发生显著变化时，配合比需重新设计以适配新原料特性；当工程对混凝土有特殊要求时，需针对性优化配合比；生产间断6个月以上时，原材料性能可能发生变化，重新设计配合比可确保混凝土性能满足要求</w:t>
      </w:r>
      <w:r>
        <w:rPr>
          <w:rFonts w:hint="eastAsia"/>
          <w:sz w:val="24"/>
          <w:szCs w:val="24"/>
          <w:lang w:eastAsia="zh-CN"/>
        </w:rPr>
        <w:t>。</w:t>
      </w:r>
    </w:p>
    <w:p>
      <w:pPr>
        <w:spacing w:line="360" w:lineRule="auto"/>
        <w:rPr>
          <w:rFonts w:hint="eastAsia"/>
          <w:sz w:val="24"/>
          <w:szCs w:val="24"/>
        </w:rPr>
      </w:pPr>
      <w:r>
        <w:rPr>
          <w:rFonts w:hint="eastAsia"/>
          <w:sz w:val="24"/>
          <w:szCs w:val="24"/>
          <w:lang w:val="en-US" w:eastAsia="zh-CN"/>
        </w:rPr>
        <w:t>5</w:t>
      </w:r>
      <w:r>
        <w:rPr>
          <w:sz w:val="24"/>
          <w:szCs w:val="24"/>
        </w:rPr>
        <w:t>.0.</w:t>
      </w:r>
      <w:r>
        <w:rPr>
          <w:rFonts w:hint="eastAsia"/>
          <w:sz w:val="24"/>
          <w:szCs w:val="24"/>
          <w:lang w:val="en-US" w:eastAsia="zh-CN"/>
        </w:rPr>
        <w:t>7</w:t>
      </w:r>
      <w:r>
        <w:rPr>
          <w:sz w:val="24"/>
          <w:szCs w:val="24"/>
        </w:rPr>
        <w:t xml:space="preserve">  </w:t>
      </w:r>
      <w:r>
        <w:rPr>
          <w:rFonts w:hint="eastAsia"/>
          <w:sz w:val="24"/>
          <w:szCs w:val="24"/>
        </w:rPr>
        <w:t>实验室配合比与实际生产条件存在差异，生产配合比需通过性能验证调整参数，确保混凝土性能符合设计要求，避免因生产条件差异导致的质量波动。</w:t>
      </w: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br w:type="page"/>
      </w:r>
    </w:p>
    <w:p>
      <w:pPr>
        <w:pStyle w:val="88"/>
        <w:keepNext w:val="0"/>
        <w:keepLines w:val="0"/>
        <w:pageBreakBefore w:val="0"/>
        <w:widowControl w:val="0"/>
        <w:kinsoku/>
        <w:wordWrap/>
        <w:overflowPunct/>
        <w:topLinePunct w:val="0"/>
        <w:autoSpaceDE/>
        <w:autoSpaceDN/>
        <w:bidi w:val="0"/>
        <w:adjustRightInd/>
        <w:snapToGrid/>
        <w:spacing w:before="157" w:beforeLines="50" w:after="313" w:afterLines="100" w:line="400" w:lineRule="exact"/>
        <w:ind w:left="0" w:leftChars="0" w:right="0" w:rightChars="0" w:firstLine="0" w:firstLineChars="0"/>
        <w:jc w:val="center"/>
        <w:textAlignment w:val="auto"/>
        <w:outlineLvl w:val="0"/>
        <w:rPr>
          <w:rFonts w:hint="default" w:ascii="Times New Roman" w:hAnsi="Times New Roman" w:eastAsia="宋体" w:cs="Times New Roman"/>
          <w:color w:val="auto"/>
          <w:sz w:val="32"/>
          <w:szCs w:val="32"/>
          <w:highlight w:val="none"/>
        </w:rPr>
      </w:pPr>
      <w:r>
        <w:rPr>
          <w:rFonts w:hint="eastAsia" w:cs="Times New Roman"/>
          <w:b/>
          <w:bCs/>
          <w:color w:val="auto"/>
          <w:sz w:val="32"/>
          <w:szCs w:val="32"/>
          <w:highlight w:val="none"/>
          <w:lang w:val="en-US" w:eastAsia="zh-CN"/>
        </w:rPr>
        <w:t>施工</w:t>
      </w:r>
    </w:p>
    <w:p>
      <w:pPr>
        <w:spacing w:before="156" w:beforeLines="50" w:after="156" w:afterLines="50" w:line="360" w:lineRule="auto"/>
        <w:jc w:val="center"/>
        <w:outlineLvl w:val="1"/>
        <w:rPr>
          <w:rFonts w:hint="eastAsia" w:eastAsia="宋体"/>
          <w:b/>
          <w:bCs/>
          <w:sz w:val="28"/>
          <w:szCs w:val="28"/>
          <w:lang w:eastAsia="zh-CN"/>
        </w:rPr>
      </w:pPr>
      <w:r>
        <w:rPr>
          <w:rFonts w:hint="eastAsia"/>
          <w:b/>
          <w:bCs/>
          <w:sz w:val="28"/>
          <w:szCs w:val="28"/>
          <w:lang w:val="en-US" w:eastAsia="zh-CN"/>
        </w:rPr>
        <w:t>6</w:t>
      </w:r>
      <w:r>
        <w:rPr>
          <w:rFonts w:hint="eastAsia"/>
          <w:b/>
          <w:bCs/>
          <w:sz w:val="28"/>
          <w:szCs w:val="28"/>
        </w:rPr>
        <w:t>.</w:t>
      </w:r>
      <w:r>
        <w:rPr>
          <w:b/>
          <w:bCs/>
          <w:sz w:val="28"/>
          <w:szCs w:val="28"/>
        </w:rPr>
        <w:t xml:space="preserve">1  </w:t>
      </w:r>
      <w:r>
        <w:rPr>
          <w:rFonts w:hint="eastAsia"/>
          <w:b/>
          <w:bCs/>
          <w:sz w:val="28"/>
          <w:szCs w:val="28"/>
          <w:lang w:val="en-US" w:eastAsia="zh-CN"/>
        </w:rPr>
        <w:t>一般规定</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 xml:space="preserve">1.1  </w:t>
      </w:r>
      <w:r>
        <w:rPr>
          <w:rFonts w:hint="eastAsia"/>
          <w:sz w:val="24"/>
          <w:szCs w:val="24"/>
        </w:rPr>
        <w:t>GB/T 14902规定了预拌混凝土的质量要求，JGJ/T 328明确了预拌混凝土绿色生产的技术要求。钢渣粉混凝土的生产需符合上述标准，可确保生产过程规范、产品质量稳定，同时兼顾绿色环保要求</w:t>
      </w:r>
      <w:r>
        <w:rPr>
          <w:rFonts w:hint="eastAsia"/>
          <w:sz w:val="24"/>
          <w:szCs w:val="24"/>
          <w:lang w:eastAsia="zh-CN"/>
        </w:rPr>
        <w:t>。</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6.</w:t>
      </w:r>
      <w:r>
        <w:rPr>
          <w:sz w:val="24"/>
          <w:szCs w:val="24"/>
        </w:rPr>
        <w:t>1.</w:t>
      </w:r>
      <w:r>
        <w:rPr>
          <w:rFonts w:hint="eastAsia"/>
          <w:sz w:val="24"/>
          <w:szCs w:val="24"/>
          <w:lang w:val="en-US" w:eastAsia="zh-CN"/>
        </w:rPr>
        <w:t>2</w:t>
      </w:r>
      <w:r>
        <w:rPr>
          <w:sz w:val="24"/>
          <w:szCs w:val="24"/>
        </w:rPr>
        <w:t xml:space="preserve">  </w:t>
      </w:r>
      <w:r>
        <w:rPr>
          <w:rFonts w:hint="eastAsia"/>
          <w:sz w:val="24"/>
          <w:szCs w:val="24"/>
        </w:rPr>
        <w:t>GB 50666规定了混凝土结构工程施工的通用工艺和质量控制要求，GB 50164明确了混凝土质量控制的关键环节。钢渣粉混凝土的施工遵循上述标准，可确保施工流程规范，同时结合其特性补充专属要求，保障工程质量</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1.</w:t>
      </w:r>
      <w:r>
        <w:rPr>
          <w:rFonts w:hint="eastAsia"/>
          <w:sz w:val="24"/>
          <w:szCs w:val="24"/>
          <w:lang w:val="en-US" w:eastAsia="zh-CN"/>
        </w:rPr>
        <w:t>3</w:t>
      </w:r>
      <w:r>
        <w:rPr>
          <w:sz w:val="24"/>
          <w:szCs w:val="24"/>
        </w:rPr>
        <w:t xml:space="preserve">  </w:t>
      </w:r>
      <w:r>
        <w:rPr>
          <w:rFonts w:hint="eastAsia"/>
          <w:sz w:val="24"/>
          <w:szCs w:val="24"/>
        </w:rPr>
        <w:t>高强混凝土、大体积混凝土的施工具有特殊性：高强混凝土工作性要求高、水化热集中，大体积混凝土易因温度应力开裂。JGJ/T 281、GB 50496分别针对两类混凝土的施工工艺作出了专门规定，钢渣粉高强混凝土、钢渣粉大体积混凝土的施工需符合上述标准，可确保施工质量与结构安全</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1.</w:t>
      </w:r>
      <w:r>
        <w:rPr>
          <w:rFonts w:hint="eastAsia"/>
          <w:sz w:val="24"/>
          <w:szCs w:val="24"/>
          <w:lang w:val="en-US" w:eastAsia="zh-CN"/>
        </w:rPr>
        <w:t>4</w:t>
      </w:r>
      <w:r>
        <w:rPr>
          <w:sz w:val="24"/>
          <w:szCs w:val="24"/>
        </w:rPr>
        <w:t xml:space="preserve">  </w:t>
      </w:r>
      <w:r>
        <w:rPr>
          <w:rFonts w:hint="eastAsia"/>
          <w:sz w:val="24"/>
          <w:szCs w:val="24"/>
        </w:rPr>
        <w:t>钢渣粉表面多孔、吸附性强，可能与外加剂发生不相容问题。JC/T 1083 规定了水泥与减水剂相容性的试验方法，采用该方法验证钢渣粉、水泥与外加剂的相容性，可提前发现问题并调整外加剂掺量或类型，保障混凝土拌合物工作性稳定</w:t>
      </w:r>
      <w:r>
        <w:rPr>
          <w:rFonts w:hint="eastAsia"/>
          <w:sz w:val="24"/>
          <w:szCs w:val="24"/>
          <w:lang w:eastAsia="zh-CN"/>
        </w:rPr>
        <w:t>。</w:t>
      </w:r>
    </w:p>
    <w:p>
      <w:pPr>
        <w:spacing w:before="156" w:beforeLines="50" w:after="156" w:afterLines="50" w:line="360" w:lineRule="auto"/>
        <w:jc w:val="center"/>
        <w:outlineLvl w:val="1"/>
        <w:rPr>
          <w:b/>
          <w:bCs/>
          <w:sz w:val="28"/>
          <w:szCs w:val="28"/>
        </w:rPr>
      </w:pPr>
      <w:r>
        <w:rPr>
          <w:rFonts w:hint="eastAsia"/>
          <w:b/>
          <w:bCs/>
          <w:sz w:val="28"/>
          <w:szCs w:val="28"/>
          <w:lang w:val="en-US" w:eastAsia="zh-CN"/>
        </w:rPr>
        <w:t>6</w:t>
      </w:r>
      <w:r>
        <w:rPr>
          <w:rFonts w:hint="eastAsia"/>
          <w:b/>
          <w:bCs/>
          <w:sz w:val="28"/>
          <w:szCs w:val="28"/>
        </w:rPr>
        <w:t>.</w:t>
      </w:r>
      <w:r>
        <w:rPr>
          <w:rFonts w:hint="eastAsia"/>
          <w:b/>
          <w:bCs/>
          <w:sz w:val="28"/>
          <w:szCs w:val="28"/>
          <w:lang w:val="en-US" w:eastAsia="zh-CN"/>
        </w:rPr>
        <w:t>2</w:t>
      </w:r>
      <w:r>
        <w:rPr>
          <w:b/>
          <w:bCs/>
          <w:sz w:val="28"/>
          <w:szCs w:val="28"/>
        </w:rPr>
        <w:t xml:space="preserve">  </w:t>
      </w:r>
      <w:r>
        <w:rPr>
          <w:rFonts w:hint="eastAsia"/>
          <w:b/>
          <w:bCs/>
          <w:sz w:val="28"/>
          <w:szCs w:val="28"/>
        </w:rPr>
        <w:t>原材料贮存与计量</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2</w:t>
      </w:r>
      <w:r>
        <w:rPr>
          <w:sz w:val="24"/>
          <w:szCs w:val="24"/>
        </w:rPr>
        <w:t xml:space="preserve">.1  </w:t>
      </w:r>
      <w:r>
        <w:rPr>
          <w:rFonts w:hint="eastAsia"/>
          <w:sz w:val="24"/>
          <w:szCs w:val="24"/>
        </w:rPr>
        <w:t>钢渣粉若与水泥、其他矿物掺合料混合贮存，易发生交叉污染，影响材料性能；钢渣粉吸潮后会结块、活性降低，被杂物污染后会影响混凝土匀质性。因此，要求钢渣粉单独贮存、防潮防污染，可确保其质量稳定，避免对混凝土性能产生不利影响</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2</w:t>
      </w:r>
      <w:r>
        <w:rPr>
          <w:sz w:val="24"/>
          <w:szCs w:val="24"/>
        </w:rPr>
        <w:t>.</w:t>
      </w:r>
      <w:r>
        <w:rPr>
          <w:rFonts w:hint="eastAsia"/>
          <w:sz w:val="24"/>
          <w:szCs w:val="24"/>
          <w:lang w:val="en-US" w:eastAsia="zh-CN"/>
        </w:rPr>
        <w:t>2</w:t>
      </w:r>
      <w:r>
        <w:rPr>
          <w:sz w:val="24"/>
          <w:szCs w:val="24"/>
        </w:rPr>
        <w:t xml:space="preserve">  </w:t>
      </w:r>
      <w:r>
        <w:rPr>
          <w:rFonts w:hint="eastAsia"/>
          <w:sz w:val="24"/>
          <w:szCs w:val="24"/>
        </w:rPr>
        <w:t>GB 50164 对混凝土原材料的贮存作出了明确规定，其他原材料的贮存遵循该标准，可确保原材料质量稳定，避免因贮存不当导致的性能退化</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2</w:t>
      </w:r>
      <w:r>
        <w:rPr>
          <w:sz w:val="24"/>
          <w:szCs w:val="24"/>
        </w:rPr>
        <w:t>.</w:t>
      </w:r>
      <w:r>
        <w:rPr>
          <w:rFonts w:hint="eastAsia"/>
          <w:sz w:val="24"/>
          <w:szCs w:val="24"/>
          <w:lang w:val="en-US" w:eastAsia="zh-CN"/>
        </w:rPr>
        <w:t>3</w:t>
      </w:r>
      <w:r>
        <w:rPr>
          <w:sz w:val="24"/>
          <w:szCs w:val="24"/>
        </w:rPr>
        <w:t xml:space="preserve">  </w:t>
      </w:r>
      <w:r>
        <w:rPr>
          <w:rFonts w:hint="eastAsia"/>
          <w:sz w:val="24"/>
          <w:szCs w:val="24"/>
        </w:rPr>
        <w:t>电子计量设备的精度直接影响原材料计量准确性，进而影响混凝土配合比稳定性。GB/T 10171规定了混凝土搅拌站（楼）计量设备的精度要求，工作班前进行零点校准，可消除计量设备的系统误差，确保原材料计量准确，保障混凝土性能均匀一致</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2</w:t>
      </w:r>
      <w:r>
        <w:rPr>
          <w:sz w:val="24"/>
          <w:szCs w:val="24"/>
        </w:rPr>
        <w:t>.</w:t>
      </w:r>
      <w:r>
        <w:rPr>
          <w:rFonts w:hint="eastAsia"/>
          <w:sz w:val="24"/>
          <w:szCs w:val="24"/>
          <w:lang w:val="en-US" w:eastAsia="zh-CN"/>
        </w:rPr>
        <w:t>4</w:t>
      </w:r>
      <w:r>
        <w:rPr>
          <w:sz w:val="24"/>
          <w:szCs w:val="24"/>
        </w:rPr>
        <w:t xml:space="preserve">  </w:t>
      </w:r>
      <w:r>
        <w:rPr>
          <w:rFonts w:hint="eastAsia"/>
          <w:sz w:val="24"/>
          <w:szCs w:val="24"/>
        </w:rPr>
        <w:t>原材料计量偏差过大会导致混凝土配合比偏离设计值，引发性能波动。本条参考GB 50164，规定了钢渣粉及其他原材料的计量允许偏差，其中每盘计量允许偏差针对单盘混凝土，累计计量允许偏差针对同一运输车混凝土，每班检查1次可及时发现并纠正计量误差，确保计量精度符合要求</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2</w:t>
      </w:r>
      <w:r>
        <w:rPr>
          <w:sz w:val="24"/>
          <w:szCs w:val="24"/>
        </w:rPr>
        <w:t>.</w:t>
      </w:r>
      <w:r>
        <w:rPr>
          <w:rFonts w:hint="eastAsia"/>
          <w:sz w:val="24"/>
          <w:szCs w:val="24"/>
          <w:lang w:val="en-US" w:eastAsia="zh-CN"/>
        </w:rPr>
        <w:t>5</w:t>
      </w:r>
      <w:r>
        <w:rPr>
          <w:sz w:val="24"/>
          <w:szCs w:val="24"/>
        </w:rPr>
        <w:t xml:space="preserve">  </w:t>
      </w:r>
      <w:r>
        <w:rPr>
          <w:rFonts w:hint="eastAsia"/>
          <w:sz w:val="24"/>
          <w:szCs w:val="24"/>
        </w:rPr>
        <w:t>粗、细骨料的含水率会随环境湿度变化，若不及时调整用水量，会导致混凝土实际水胶比偏离设计值。因此，计量过程中需根据骨料含水率变化调整骨料用量和拌合用水量，确保混凝土配合比准确，性能稳定</w:t>
      </w:r>
      <w:r>
        <w:rPr>
          <w:rFonts w:hint="eastAsia"/>
          <w:sz w:val="24"/>
          <w:szCs w:val="24"/>
          <w:lang w:eastAsia="zh-CN"/>
        </w:rPr>
        <w:t>。</w:t>
      </w:r>
    </w:p>
    <w:p>
      <w:pPr>
        <w:spacing w:before="156" w:beforeLines="50" w:after="156" w:afterLines="50" w:line="360" w:lineRule="auto"/>
        <w:jc w:val="center"/>
        <w:outlineLvl w:val="1"/>
        <w:rPr>
          <w:rFonts w:hint="default" w:eastAsia="宋体"/>
          <w:b/>
          <w:bCs/>
          <w:sz w:val="28"/>
          <w:szCs w:val="28"/>
          <w:lang w:val="en-US" w:eastAsia="zh-CN"/>
        </w:rPr>
      </w:pPr>
      <w:r>
        <w:rPr>
          <w:rFonts w:hint="eastAsia"/>
          <w:b/>
          <w:bCs/>
          <w:sz w:val="28"/>
          <w:szCs w:val="28"/>
          <w:lang w:val="en-US" w:eastAsia="zh-CN"/>
        </w:rPr>
        <w:t>6</w:t>
      </w:r>
      <w:r>
        <w:rPr>
          <w:rFonts w:hint="eastAsia"/>
          <w:b/>
          <w:bCs/>
          <w:sz w:val="28"/>
          <w:szCs w:val="28"/>
        </w:rPr>
        <w:t>.</w:t>
      </w:r>
      <w:r>
        <w:rPr>
          <w:rFonts w:hint="eastAsia"/>
          <w:b/>
          <w:bCs/>
          <w:sz w:val="28"/>
          <w:szCs w:val="28"/>
          <w:lang w:val="en-US" w:eastAsia="zh-CN"/>
        </w:rPr>
        <w:t>3</w:t>
      </w:r>
      <w:r>
        <w:rPr>
          <w:b/>
          <w:bCs/>
          <w:sz w:val="28"/>
          <w:szCs w:val="28"/>
        </w:rPr>
        <w:t xml:space="preserve">  </w:t>
      </w:r>
      <w:r>
        <w:rPr>
          <w:rFonts w:hint="eastAsia"/>
          <w:b/>
          <w:bCs/>
          <w:sz w:val="28"/>
          <w:szCs w:val="28"/>
          <w:lang w:val="en-US" w:eastAsia="zh-CN"/>
        </w:rPr>
        <w:t>搅拌与运输</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3</w:t>
      </w:r>
      <w:r>
        <w:rPr>
          <w:sz w:val="24"/>
          <w:szCs w:val="24"/>
        </w:rPr>
        <w:t xml:space="preserve">.1  </w:t>
      </w:r>
      <w:r>
        <w:rPr>
          <w:rFonts w:hint="eastAsia"/>
          <w:sz w:val="24"/>
          <w:szCs w:val="24"/>
        </w:rPr>
        <w:t>钢渣粉与其他胶凝材料一起投料搅拌，可确保其均匀分散在胶凝体系中，避免局部聚集影响火山灰反应；强制式搅拌机的搅拌效果优于自落式搅拌机，可使混凝土拌合物更均匀，适配钢渣粉颗粒较粗、需充分混合的特性。GB/T 9142、GB/T 10171分别对混凝土搅拌机、搅拌站（楼）作出了技术规定，采用符合标准的设备可保障搅拌质量</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3</w:t>
      </w:r>
      <w:r>
        <w:rPr>
          <w:sz w:val="24"/>
          <w:szCs w:val="24"/>
        </w:rPr>
        <w:t>.</w:t>
      </w:r>
      <w:r>
        <w:rPr>
          <w:rFonts w:hint="eastAsia"/>
          <w:sz w:val="24"/>
          <w:szCs w:val="24"/>
          <w:lang w:val="en-US" w:eastAsia="zh-CN"/>
        </w:rPr>
        <w:t>2</w:t>
      </w:r>
      <w:r>
        <w:rPr>
          <w:sz w:val="24"/>
          <w:szCs w:val="24"/>
        </w:rPr>
        <w:t xml:space="preserve">  </w:t>
      </w:r>
      <w:r>
        <w:rPr>
          <w:rFonts w:hint="eastAsia"/>
          <w:sz w:val="24"/>
          <w:szCs w:val="24"/>
        </w:rPr>
        <w:t>混凝土拌合物搅拌不均匀会导致局部强度不足、耐久性下降，GB 50164规定了同一盘混凝土的搅拌匀质性要求。</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3</w:t>
      </w:r>
      <w:r>
        <w:rPr>
          <w:sz w:val="24"/>
          <w:szCs w:val="24"/>
        </w:rPr>
        <w:t>.</w:t>
      </w:r>
      <w:r>
        <w:rPr>
          <w:rFonts w:hint="eastAsia"/>
          <w:sz w:val="24"/>
          <w:szCs w:val="24"/>
          <w:lang w:val="en-US" w:eastAsia="zh-CN"/>
        </w:rPr>
        <w:t>3</w:t>
      </w:r>
      <w:r>
        <w:rPr>
          <w:sz w:val="24"/>
          <w:szCs w:val="24"/>
        </w:rPr>
        <w:t xml:space="preserve">  </w:t>
      </w:r>
      <w:r>
        <w:rPr>
          <w:rFonts w:hint="eastAsia"/>
          <w:sz w:val="24"/>
          <w:szCs w:val="24"/>
        </w:rPr>
        <w:t>GB/T 26408规定了混凝土搅拌运输车的技术要求，采用符合标准的搅拌运输车，可避免混凝土在运输过程中离析、泌水</w:t>
      </w:r>
      <w:r>
        <w:rPr>
          <w:rFonts w:hint="eastAsia"/>
          <w:sz w:val="24"/>
          <w:szCs w:val="24"/>
          <w:lang w:eastAsia="zh-CN"/>
        </w:rPr>
        <w:t>。</w:t>
      </w:r>
    </w:p>
    <w:p>
      <w:pPr>
        <w:spacing w:before="156" w:beforeLines="50" w:after="156" w:afterLines="50" w:line="360" w:lineRule="auto"/>
        <w:jc w:val="center"/>
        <w:outlineLvl w:val="1"/>
        <w:rPr>
          <w:rFonts w:hint="eastAsia" w:eastAsia="宋体"/>
          <w:b/>
          <w:bCs/>
          <w:sz w:val="28"/>
          <w:szCs w:val="28"/>
          <w:lang w:eastAsia="zh-CN"/>
        </w:rPr>
      </w:pPr>
      <w:r>
        <w:rPr>
          <w:rFonts w:hint="eastAsia"/>
          <w:b/>
          <w:bCs/>
          <w:sz w:val="28"/>
          <w:szCs w:val="28"/>
          <w:lang w:val="en-US" w:eastAsia="zh-CN"/>
        </w:rPr>
        <w:t>6</w:t>
      </w:r>
      <w:r>
        <w:rPr>
          <w:rFonts w:hint="eastAsia"/>
          <w:b/>
          <w:bCs/>
          <w:sz w:val="28"/>
          <w:szCs w:val="28"/>
        </w:rPr>
        <w:t>.</w:t>
      </w:r>
      <w:r>
        <w:rPr>
          <w:rFonts w:hint="eastAsia"/>
          <w:b/>
          <w:bCs/>
          <w:sz w:val="28"/>
          <w:szCs w:val="28"/>
          <w:lang w:val="en-US" w:eastAsia="zh-CN"/>
        </w:rPr>
        <w:t>4</w:t>
      </w:r>
      <w:r>
        <w:rPr>
          <w:b/>
          <w:bCs/>
          <w:sz w:val="28"/>
          <w:szCs w:val="28"/>
        </w:rPr>
        <w:t xml:space="preserve">  </w:t>
      </w:r>
      <w:r>
        <w:rPr>
          <w:rFonts w:hint="eastAsia"/>
          <w:b/>
          <w:bCs/>
          <w:sz w:val="28"/>
          <w:szCs w:val="28"/>
          <w:lang w:val="en-US" w:eastAsia="zh-CN"/>
        </w:rPr>
        <w:t>浇筑</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4</w:t>
      </w:r>
      <w:r>
        <w:rPr>
          <w:sz w:val="24"/>
          <w:szCs w:val="24"/>
        </w:rPr>
        <w:t xml:space="preserve">.1  </w:t>
      </w:r>
      <w:r>
        <w:rPr>
          <w:rFonts w:hint="eastAsia"/>
          <w:sz w:val="24"/>
          <w:szCs w:val="24"/>
        </w:rPr>
        <w:t>混凝土运抵施工现场后的坍落度与要求坍落度的偏差过大，会影响浇筑施工。本条引用本规范第4.1.2条的允许偏差要求，可确保混凝土拌合物工作性满足施工需求，保障浇筑质量</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4</w:t>
      </w:r>
      <w:r>
        <w:rPr>
          <w:sz w:val="24"/>
          <w:szCs w:val="24"/>
        </w:rPr>
        <w:t>.</w:t>
      </w:r>
      <w:r>
        <w:rPr>
          <w:rFonts w:hint="eastAsia"/>
          <w:sz w:val="24"/>
          <w:szCs w:val="24"/>
          <w:lang w:val="en-US" w:eastAsia="zh-CN"/>
        </w:rPr>
        <w:t>2</w:t>
      </w:r>
      <w:r>
        <w:rPr>
          <w:sz w:val="24"/>
          <w:szCs w:val="24"/>
        </w:rPr>
        <w:t xml:space="preserve">  </w:t>
      </w:r>
      <w:r>
        <w:rPr>
          <w:rFonts w:hint="eastAsia"/>
          <w:sz w:val="24"/>
          <w:szCs w:val="24"/>
        </w:rPr>
        <w:t>混凝土入模温度过高，会加速水泥水化，导致水化热集中释放，引发温度裂缝；同时，高温会加快水分蒸发，导致混凝土表面失水过快，出现干缩裂缝。因此，规定夏季入模温度限值，并要求采取遮阳、降温措施或避开高温时段浇筑，可有效控制温度裂缝风险</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4</w:t>
      </w:r>
      <w:r>
        <w:rPr>
          <w:sz w:val="24"/>
          <w:szCs w:val="24"/>
        </w:rPr>
        <w:t>.</w:t>
      </w:r>
      <w:r>
        <w:rPr>
          <w:rFonts w:hint="eastAsia"/>
          <w:sz w:val="24"/>
          <w:szCs w:val="24"/>
          <w:lang w:val="en-US" w:eastAsia="zh-CN"/>
        </w:rPr>
        <w:t>3</w:t>
      </w:r>
      <w:r>
        <w:rPr>
          <w:sz w:val="24"/>
          <w:szCs w:val="24"/>
        </w:rPr>
        <w:t xml:space="preserve">  </w:t>
      </w:r>
      <w:r>
        <w:rPr>
          <w:rFonts w:hint="eastAsia"/>
          <w:sz w:val="24"/>
          <w:szCs w:val="24"/>
        </w:rPr>
        <w:t>冬期低温会延缓水泥水化，降低混凝土早期强度发展速度，甚至导致混凝土在冰点以下受冻破坏；钢渣粉混凝土早期水化较慢，低温环境下强度发展更缓，抗冻能力更弱。JGJ/T 104对冬期施工的温度界定、原材料预热、养护措施等作出了详细规定，钢渣粉混凝土冬期施工符合该标准，可确保混凝土正常水化、避免早期受冻，同时建议适当降低钢渣粉掺量，提升早期强度</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4</w:t>
      </w:r>
      <w:r>
        <w:rPr>
          <w:sz w:val="24"/>
          <w:szCs w:val="24"/>
        </w:rPr>
        <w:t>.</w:t>
      </w:r>
      <w:r>
        <w:rPr>
          <w:rFonts w:hint="eastAsia"/>
          <w:sz w:val="24"/>
          <w:szCs w:val="24"/>
          <w:lang w:val="en-US" w:eastAsia="zh-CN"/>
        </w:rPr>
        <w:t>4</w:t>
      </w:r>
      <w:r>
        <w:rPr>
          <w:sz w:val="24"/>
          <w:szCs w:val="24"/>
        </w:rPr>
        <w:t xml:space="preserve">  </w:t>
      </w:r>
      <w:r>
        <w:rPr>
          <w:rFonts w:hint="eastAsia"/>
          <w:sz w:val="24"/>
          <w:szCs w:val="24"/>
        </w:rPr>
        <w:t>漏振会导致混凝土局部密实度不足，形成蜂窝、孔洞等缺陷；过振会导致骨料下沉、浆体上浮，引发分层离析，破坏混凝土匀质性。振捣后表面无明显浮浆层，可判断振捣适度，避免因振捣不当导致的质量缺陷，确保混凝土密实成型</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4</w:t>
      </w:r>
      <w:r>
        <w:rPr>
          <w:sz w:val="24"/>
          <w:szCs w:val="24"/>
        </w:rPr>
        <w:t>.</w:t>
      </w:r>
      <w:r>
        <w:rPr>
          <w:rFonts w:hint="eastAsia"/>
          <w:sz w:val="24"/>
          <w:szCs w:val="24"/>
          <w:lang w:val="en-US" w:eastAsia="zh-CN"/>
        </w:rPr>
        <w:t>5</w:t>
      </w:r>
      <w:r>
        <w:rPr>
          <w:sz w:val="24"/>
          <w:szCs w:val="24"/>
        </w:rPr>
        <w:t xml:space="preserve">  </w:t>
      </w:r>
      <w:r>
        <w:rPr>
          <w:rFonts w:hint="eastAsia"/>
          <w:sz w:val="24"/>
          <w:szCs w:val="24"/>
        </w:rPr>
        <w:t>混凝土初凝前抹面可消除表面浮浆、气泡，初凝后终凝前二次抹面可闭合表面微裂缝，提升混凝土表面平整度与抗裂性。钢渣粉混凝土早期收缩较大，二次抹面可有效控制表面裂缝，保障混凝土外观质量与耐久性</w:t>
      </w:r>
      <w:r>
        <w:rPr>
          <w:rFonts w:hint="eastAsia"/>
          <w:sz w:val="24"/>
          <w:szCs w:val="24"/>
          <w:lang w:eastAsia="zh-CN"/>
        </w:rPr>
        <w:t>。</w:t>
      </w:r>
    </w:p>
    <w:p>
      <w:pPr>
        <w:spacing w:before="156" w:beforeLines="50" w:after="156" w:afterLines="50" w:line="360" w:lineRule="auto"/>
        <w:jc w:val="center"/>
        <w:outlineLvl w:val="1"/>
        <w:rPr>
          <w:rFonts w:hint="eastAsia" w:eastAsia="宋体"/>
          <w:b/>
          <w:bCs/>
          <w:sz w:val="28"/>
          <w:szCs w:val="28"/>
          <w:lang w:eastAsia="zh-CN"/>
        </w:rPr>
      </w:pPr>
      <w:r>
        <w:rPr>
          <w:rFonts w:hint="eastAsia"/>
          <w:b/>
          <w:bCs/>
          <w:sz w:val="28"/>
          <w:szCs w:val="28"/>
          <w:lang w:val="en-US" w:eastAsia="zh-CN"/>
        </w:rPr>
        <w:t>6</w:t>
      </w:r>
      <w:r>
        <w:rPr>
          <w:rFonts w:hint="eastAsia"/>
          <w:b/>
          <w:bCs/>
          <w:sz w:val="28"/>
          <w:szCs w:val="28"/>
        </w:rPr>
        <w:t>.</w:t>
      </w:r>
      <w:r>
        <w:rPr>
          <w:rFonts w:hint="eastAsia"/>
          <w:b/>
          <w:bCs/>
          <w:sz w:val="28"/>
          <w:szCs w:val="28"/>
          <w:lang w:val="en-US" w:eastAsia="zh-CN"/>
        </w:rPr>
        <w:t>5</w:t>
      </w:r>
      <w:r>
        <w:rPr>
          <w:b/>
          <w:bCs/>
          <w:sz w:val="28"/>
          <w:szCs w:val="28"/>
        </w:rPr>
        <w:t xml:space="preserve">  </w:t>
      </w:r>
      <w:r>
        <w:rPr>
          <w:rFonts w:hint="eastAsia"/>
          <w:b/>
          <w:bCs/>
          <w:sz w:val="28"/>
          <w:szCs w:val="28"/>
          <w:lang w:val="en-US" w:eastAsia="zh-CN"/>
        </w:rPr>
        <w:t>养护</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6</w:t>
      </w:r>
      <w:r>
        <w:rPr>
          <w:sz w:val="24"/>
          <w:szCs w:val="24"/>
        </w:rPr>
        <w:t>.</w:t>
      </w:r>
      <w:r>
        <w:rPr>
          <w:rFonts w:hint="eastAsia"/>
          <w:sz w:val="24"/>
          <w:szCs w:val="24"/>
          <w:lang w:val="en-US" w:eastAsia="zh-CN"/>
        </w:rPr>
        <w:t>5</w:t>
      </w:r>
      <w:r>
        <w:rPr>
          <w:sz w:val="24"/>
          <w:szCs w:val="24"/>
        </w:rPr>
        <w:t xml:space="preserve">.1  </w:t>
      </w:r>
      <w:r>
        <w:rPr>
          <w:rFonts w:hint="eastAsia"/>
          <w:sz w:val="24"/>
          <w:szCs w:val="24"/>
        </w:rPr>
        <w:t>GB 50164、GB 50666 规定了混凝土养护的通用要求，GB 50496 明确了大体积混凝土的养护要点。钢渣粉混凝土的养护遵循上述标准，可确保养护过程规范，同时结合其特性补充专属要求，保障混凝土强度发展与耐久性</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6</w:t>
      </w:r>
      <w:r>
        <w:rPr>
          <w:sz w:val="24"/>
          <w:szCs w:val="24"/>
        </w:rPr>
        <w:t>.</w:t>
      </w:r>
      <w:r>
        <w:rPr>
          <w:rFonts w:hint="eastAsia"/>
          <w:sz w:val="24"/>
          <w:szCs w:val="24"/>
          <w:lang w:val="en-US" w:eastAsia="zh-CN"/>
        </w:rPr>
        <w:t>5</w:t>
      </w:r>
      <w:r>
        <w:rPr>
          <w:sz w:val="24"/>
          <w:szCs w:val="24"/>
        </w:rPr>
        <w:t>.</w:t>
      </w:r>
      <w:r>
        <w:rPr>
          <w:rFonts w:hint="eastAsia"/>
          <w:sz w:val="24"/>
          <w:szCs w:val="24"/>
          <w:lang w:val="en-US" w:eastAsia="zh-CN"/>
        </w:rPr>
        <w:t>2</w:t>
      </w:r>
      <w:r>
        <w:rPr>
          <w:sz w:val="24"/>
          <w:szCs w:val="24"/>
        </w:rPr>
        <w:t xml:space="preserve">  </w:t>
      </w:r>
      <w:r>
        <w:rPr>
          <w:rFonts w:hint="eastAsia"/>
          <w:sz w:val="24"/>
          <w:szCs w:val="24"/>
        </w:rPr>
        <w:t>混凝土浇筑后，表面水分快速蒸发会导致干缩裂缝，影响强度与耐久性。立即进行保湿养护，可减少水分蒸发，为水泥水化和钢渣粉</w:t>
      </w:r>
      <w:r>
        <w:rPr>
          <w:rFonts w:hint="eastAsia"/>
          <w:sz w:val="24"/>
          <w:szCs w:val="24"/>
          <w:lang w:val="en-US" w:eastAsia="zh-CN"/>
        </w:rPr>
        <w:t>水化</w:t>
      </w:r>
      <w:r>
        <w:rPr>
          <w:rFonts w:hint="eastAsia"/>
          <w:sz w:val="24"/>
          <w:szCs w:val="24"/>
        </w:rPr>
        <w:t>反应提供充足水分，确保混凝土性能稳定发展</w:t>
      </w:r>
      <w:r>
        <w:rPr>
          <w:rFonts w:hint="eastAsia"/>
          <w:sz w:val="24"/>
          <w:szCs w:val="24"/>
          <w:lang w:eastAsia="zh-CN"/>
        </w:rPr>
        <w:t>。</w:t>
      </w:r>
    </w:p>
    <w:p>
      <w:pPr>
        <w:spacing w:line="360" w:lineRule="auto"/>
        <w:rPr>
          <w:rFonts w:hint="default" w:ascii="Times New Roman" w:hAnsi="Times New Roman" w:cs="Times New Roman" w:eastAsiaTheme="minorEastAsia"/>
          <w:color w:val="auto"/>
          <w:sz w:val="21"/>
          <w:szCs w:val="21"/>
          <w:highlight w:val="none"/>
        </w:rPr>
      </w:pPr>
      <w:r>
        <w:rPr>
          <w:rFonts w:hint="eastAsia"/>
          <w:sz w:val="24"/>
          <w:szCs w:val="24"/>
          <w:lang w:val="en-US" w:eastAsia="zh-CN"/>
        </w:rPr>
        <w:t>6</w:t>
      </w:r>
      <w:r>
        <w:rPr>
          <w:sz w:val="24"/>
          <w:szCs w:val="24"/>
        </w:rPr>
        <w:t>.</w:t>
      </w:r>
      <w:r>
        <w:rPr>
          <w:rFonts w:hint="eastAsia"/>
          <w:sz w:val="24"/>
          <w:szCs w:val="24"/>
          <w:lang w:val="en-US" w:eastAsia="zh-CN"/>
        </w:rPr>
        <w:t>5</w:t>
      </w:r>
      <w:r>
        <w:rPr>
          <w:sz w:val="24"/>
          <w:szCs w:val="24"/>
        </w:rPr>
        <w:t>.</w:t>
      </w:r>
      <w:r>
        <w:rPr>
          <w:rFonts w:hint="eastAsia"/>
          <w:sz w:val="24"/>
          <w:szCs w:val="24"/>
          <w:lang w:val="en-US" w:eastAsia="zh-CN"/>
        </w:rPr>
        <w:t>3</w:t>
      </w:r>
      <w:r>
        <w:rPr>
          <w:sz w:val="24"/>
          <w:szCs w:val="24"/>
        </w:rPr>
        <w:t xml:space="preserve">  </w:t>
      </w:r>
      <w:r>
        <w:rPr>
          <w:rFonts w:hint="eastAsia"/>
          <w:sz w:val="24"/>
          <w:szCs w:val="24"/>
        </w:rPr>
        <w:t>钢渣粉的</w:t>
      </w:r>
      <w:r>
        <w:rPr>
          <w:rFonts w:hint="eastAsia"/>
          <w:sz w:val="24"/>
          <w:szCs w:val="24"/>
          <w:lang w:val="en-US" w:eastAsia="zh-CN"/>
        </w:rPr>
        <w:t>水化</w:t>
      </w:r>
      <w:r>
        <w:rPr>
          <w:rFonts w:hint="eastAsia"/>
          <w:sz w:val="24"/>
          <w:szCs w:val="24"/>
        </w:rPr>
        <w:t>反应较水泥水化滞后，其后期强度发展依赖长期湿润环境。普通混凝土养护时间不少于7d，而钢渣粉混凝土适当延长养护时间至不少于14d，可确保火山灰反应充分进行，提升混凝土密实度、强度及耐久性，避免因养护不足导致的早期开裂、强度偏低等问题。</w:t>
      </w: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br w:type="page"/>
      </w:r>
    </w:p>
    <w:p>
      <w:pPr>
        <w:pStyle w:val="88"/>
        <w:keepNext w:val="0"/>
        <w:keepLines w:val="0"/>
        <w:pageBreakBefore w:val="0"/>
        <w:widowControl w:val="0"/>
        <w:kinsoku/>
        <w:wordWrap/>
        <w:overflowPunct/>
        <w:topLinePunct w:val="0"/>
        <w:autoSpaceDE/>
        <w:autoSpaceDN/>
        <w:bidi w:val="0"/>
        <w:adjustRightInd/>
        <w:snapToGrid/>
        <w:spacing w:before="157" w:beforeLines="50" w:after="313" w:afterLines="100" w:line="400" w:lineRule="exact"/>
        <w:ind w:left="0" w:leftChars="0" w:right="0" w:rightChars="0" w:firstLine="0" w:firstLineChars="0"/>
        <w:jc w:val="center"/>
        <w:textAlignment w:val="auto"/>
        <w:outlineLvl w:val="0"/>
        <w:rPr>
          <w:rFonts w:hint="default" w:ascii="Times New Roman" w:hAnsi="Times New Roman" w:eastAsia="宋体" w:cs="Times New Roman"/>
          <w:color w:val="auto"/>
          <w:sz w:val="32"/>
          <w:szCs w:val="32"/>
          <w:highlight w:val="none"/>
        </w:rPr>
      </w:pPr>
      <w:r>
        <w:rPr>
          <w:rFonts w:hint="eastAsia" w:cs="Times New Roman"/>
          <w:b/>
          <w:bCs/>
          <w:color w:val="auto"/>
          <w:sz w:val="32"/>
          <w:szCs w:val="32"/>
          <w:highlight w:val="none"/>
          <w:lang w:val="en-US" w:eastAsia="zh-CN"/>
        </w:rPr>
        <w:t>质量检验</w:t>
      </w:r>
    </w:p>
    <w:p>
      <w:pPr>
        <w:spacing w:before="156" w:beforeLines="50" w:after="156" w:afterLines="50" w:line="360" w:lineRule="auto"/>
        <w:jc w:val="center"/>
        <w:outlineLvl w:val="1"/>
        <w:rPr>
          <w:b/>
          <w:bCs/>
          <w:sz w:val="28"/>
          <w:szCs w:val="28"/>
        </w:rPr>
      </w:pPr>
      <w:r>
        <w:rPr>
          <w:rFonts w:hint="eastAsia"/>
          <w:b/>
          <w:bCs/>
          <w:sz w:val="28"/>
          <w:szCs w:val="28"/>
          <w:lang w:val="en-US" w:eastAsia="zh-CN"/>
        </w:rPr>
        <w:t>7</w:t>
      </w:r>
      <w:r>
        <w:rPr>
          <w:rFonts w:hint="eastAsia"/>
          <w:b/>
          <w:bCs/>
          <w:sz w:val="28"/>
          <w:szCs w:val="28"/>
        </w:rPr>
        <w:t>.</w:t>
      </w:r>
      <w:r>
        <w:rPr>
          <w:b/>
          <w:bCs/>
          <w:sz w:val="28"/>
          <w:szCs w:val="28"/>
        </w:rPr>
        <w:t xml:space="preserve">1  </w:t>
      </w:r>
      <w:r>
        <w:rPr>
          <w:rFonts w:hint="eastAsia"/>
          <w:b/>
          <w:bCs/>
          <w:sz w:val="28"/>
          <w:szCs w:val="28"/>
        </w:rPr>
        <w:t>原材料质量检验</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w:t>
      </w:r>
      <w:r>
        <w:rPr>
          <w:sz w:val="24"/>
          <w:szCs w:val="24"/>
        </w:rPr>
        <w:t xml:space="preserve">1.1  </w:t>
      </w:r>
      <w:r>
        <w:rPr>
          <w:rFonts w:hint="eastAsia"/>
          <w:sz w:val="24"/>
          <w:szCs w:val="24"/>
        </w:rPr>
        <w:t>出厂检验报告、合格证是原材料质量的重要证明文件，外加剂使用说明书可指导正确使用。进场时查验上述文件，可确保原材料质量符合标准要求，从源头控制混凝土质量</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w:t>
      </w:r>
      <w:r>
        <w:rPr>
          <w:sz w:val="24"/>
          <w:szCs w:val="24"/>
        </w:rPr>
        <w:t>1.</w:t>
      </w:r>
      <w:r>
        <w:rPr>
          <w:rFonts w:hint="eastAsia"/>
          <w:sz w:val="24"/>
          <w:szCs w:val="24"/>
          <w:lang w:val="en-US" w:eastAsia="zh-CN"/>
        </w:rPr>
        <w:t>2</w:t>
      </w:r>
      <w:r>
        <w:rPr>
          <w:sz w:val="24"/>
          <w:szCs w:val="24"/>
        </w:rPr>
        <w:t xml:space="preserve">  </w:t>
      </w:r>
      <w:r>
        <w:rPr>
          <w:rFonts w:hint="eastAsia"/>
          <w:sz w:val="24"/>
          <w:szCs w:val="24"/>
        </w:rPr>
        <w:t>原材料外观、规格、等级、生产日期等直观指标的检查，可快速筛查不合格材料；按检验批随机抽样检验，可系统评价原材料质量稳定性，避免不合格材料用于工程</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w:t>
      </w:r>
      <w:r>
        <w:rPr>
          <w:sz w:val="24"/>
          <w:szCs w:val="24"/>
        </w:rPr>
        <w:t>1.</w:t>
      </w:r>
      <w:r>
        <w:rPr>
          <w:rFonts w:hint="eastAsia"/>
          <w:sz w:val="24"/>
          <w:szCs w:val="24"/>
          <w:lang w:val="en-US" w:eastAsia="zh-CN"/>
        </w:rPr>
        <w:t>3</w:t>
      </w:r>
      <w:r>
        <w:rPr>
          <w:sz w:val="24"/>
          <w:szCs w:val="24"/>
        </w:rPr>
        <w:t xml:space="preserve">  </w:t>
      </w:r>
      <w:r>
        <w:rPr>
          <w:rFonts w:hint="eastAsia"/>
          <w:sz w:val="24"/>
          <w:szCs w:val="24"/>
        </w:rPr>
        <w:t>钢渣粉的密度、比表面积、流动度比、活性指数直接影响混凝土工作性与强度；含水量、不安定组分影响混凝土安定性；铁含量影响混凝土匀质性。将上述指标列为进场检验项目，可全面评价钢渣粉质量，确保其符合本规范要求；检验方法与GB/T 20491保持一致</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w:t>
      </w:r>
      <w:r>
        <w:rPr>
          <w:sz w:val="24"/>
          <w:szCs w:val="24"/>
        </w:rPr>
        <w:t>1.</w:t>
      </w:r>
      <w:r>
        <w:rPr>
          <w:rFonts w:hint="eastAsia"/>
          <w:sz w:val="24"/>
          <w:szCs w:val="24"/>
          <w:lang w:val="en-US" w:eastAsia="zh-CN"/>
        </w:rPr>
        <w:t>4</w:t>
      </w:r>
      <w:r>
        <w:rPr>
          <w:sz w:val="24"/>
          <w:szCs w:val="24"/>
        </w:rPr>
        <w:t xml:space="preserve">  </w:t>
      </w:r>
      <w:r>
        <w:rPr>
          <w:rFonts w:hint="eastAsia"/>
          <w:sz w:val="24"/>
          <w:szCs w:val="24"/>
        </w:rPr>
        <w:t>钢渣粉质量受产地、厂家、类别的影响较大，按每200t划分检验批，可确保同一批次材料质量均匀一致；供应不足200t时按实际数量作为一个检验批，可避免因批量过小导致的检验成本过高，兼顾质量控制与经济性</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w:t>
      </w:r>
      <w:r>
        <w:rPr>
          <w:sz w:val="24"/>
          <w:szCs w:val="24"/>
        </w:rPr>
        <w:t>1.</w:t>
      </w:r>
      <w:r>
        <w:rPr>
          <w:rFonts w:hint="eastAsia"/>
          <w:sz w:val="24"/>
          <w:szCs w:val="24"/>
          <w:lang w:val="en-US" w:eastAsia="zh-CN"/>
        </w:rPr>
        <w:t>5</w:t>
      </w:r>
      <w:r>
        <w:rPr>
          <w:sz w:val="24"/>
          <w:szCs w:val="24"/>
        </w:rPr>
        <w:t xml:space="preserve">  </w:t>
      </w:r>
      <w:r>
        <w:rPr>
          <w:rFonts w:hint="eastAsia"/>
          <w:sz w:val="24"/>
          <w:szCs w:val="24"/>
        </w:rPr>
        <w:t>明确钢渣粉合格品、不合格品的判定规则，可规范检验结果处理流程：检验结果全部合格时方可使用；两个项目不合格时直接判定为不合格品，禁止使用；一个项目不合格时加倍取样复检，可避免因抽样误差导致的误判，确保判定结果准确。安定性不合格会直接导致混凝土开裂，故要求退场处理，严禁使用</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w:t>
      </w:r>
      <w:r>
        <w:rPr>
          <w:sz w:val="24"/>
          <w:szCs w:val="24"/>
        </w:rPr>
        <w:t>1.</w:t>
      </w:r>
      <w:r>
        <w:rPr>
          <w:rFonts w:hint="eastAsia"/>
          <w:sz w:val="24"/>
          <w:szCs w:val="24"/>
          <w:lang w:val="en-US" w:eastAsia="zh-CN"/>
        </w:rPr>
        <w:t>6</w:t>
      </w:r>
      <w:r>
        <w:rPr>
          <w:sz w:val="24"/>
          <w:szCs w:val="24"/>
        </w:rPr>
        <w:t xml:space="preserve">  </w:t>
      </w:r>
      <w:r>
        <w:rPr>
          <w:rFonts w:hint="eastAsia"/>
          <w:sz w:val="24"/>
          <w:szCs w:val="24"/>
        </w:rPr>
        <w:t>钢渣粉存储期超过6个月时，可能因吸潮、结块导致活性降低、含水量增加，影响混凝土性能。使用前按进场检验项目复验，可确保其质量仍满足本规范要求，避免因存储时间过长导致的工程质量风险</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w:t>
      </w:r>
      <w:r>
        <w:rPr>
          <w:sz w:val="24"/>
          <w:szCs w:val="24"/>
        </w:rPr>
        <w:t>1.</w:t>
      </w:r>
      <w:r>
        <w:rPr>
          <w:rFonts w:hint="eastAsia"/>
          <w:sz w:val="24"/>
          <w:szCs w:val="24"/>
          <w:lang w:val="en-US" w:eastAsia="zh-CN"/>
        </w:rPr>
        <w:t>7</w:t>
      </w:r>
      <w:r>
        <w:rPr>
          <w:sz w:val="24"/>
          <w:szCs w:val="24"/>
        </w:rPr>
        <w:t xml:space="preserve">  </w:t>
      </w:r>
      <w:r>
        <w:rPr>
          <w:rFonts w:hint="eastAsia"/>
          <w:sz w:val="24"/>
          <w:szCs w:val="24"/>
        </w:rPr>
        <w:t>GB 50164对水泥、骨料、外加剂等原材料的检验项目、检验规则作出了明确规定，其他原材料的检验遵循该标准，可确保检验流程规范、结果准确，保障混凝土原材料质量全面可控</w:t>
      </w:r>
      <w:r>
        <w:rPr>
          <w:rFonts w:hint="eastAsia"/>
          <w:sz w:val="24"/>
          <w:szCs w:val="24"/>
          <w:lang w:eastAsia="zh-CN"/>
        </w:rPr>
        <w:t>。</w:t>
      </w:r>
    </w:p>
    <w:p>
      <w:pPr>
        <w:spacing w:before="156" w:beforeLines="50" w:after="156" w:afterLines="50" w:line="360" w:lineRule="auto"/>
        <w:jc w:val="center"/>
        <w:outlineLvl w:val="1"/>
        <w:rPr>
          <w:b/>
          <w:bCs/>
          <w:sz w:val="28"/>
          <w:szCs w:val="28"/>
        </w:rPr>
      </w:pPr>
      <w:r>
        <w:rPr>
          <w:rFonts w:hint="eastAsia"/>
          <w:b/>
          <w:bCs/>
          <w:sz w:val="28"/>
          <w:szCs w:val="28"/>
          <w:lang w:val="en-US" w:eastAsia="zh-CN"/>
        </w:rPr>
        <w:t>7</w:t>
      </w:r>
      <w:r>
        <w:rPr>
          <w:rFonts w:hint="eastAsia"/>
          <w:b/>
          <w:bCs/>
          <w:sz w:val="28"/>
          <w:szCs w:val="28"/>
        </w:rPr>
        <w:t>.</w:t>
      </w:r>
      <w:r>
        <w:rPr>
          <w:rFonts w:hint="eastAsia"/>
          <w:b/>
          <w:bCs/>
          <w:sz w:val="28"/>
          <w:szCs w:val="28"/>
          <w:lang w:val="en-US" w:eastAsia="zh-CN"/>
        </w:rPr>
        <w:t>2</w:t>
      </w:r>
      <w:r>
        <w:rPr>
          <w:b/>
          <w:bCs/>
          <w:sz w:val="28"/>
          <w:szCs w:val="28"/>
        </w:rPr>
        <w:t xml:space="preserve">  </w:t>
      </w:r>
      <w:r>
        <w:rPr>
          <w:rFonts w:hint="eastAsia"/>
          <w:b/>
          <w:bCs/>
          <w:sz w:val="28"/>
          <w:szCs w:val="28"/>
        </w:rPr>
        <w:t>混凝土拌合物性能检验</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w:t>
      </w:r>
      <w:r>
        <w:rPr>
          <w:sz w:val="24"/>
          <w:szCs w:val="24"/>
        </w:rPr>
        <w:t>.</w:t>
      </w:r>
      <w:r>
        <w:rPr>
          <w:rFonts w:hint="eastAsia"/>
          <w:sz w:val="24"/>
          <w:szCs w:val="24"/>
          <w:lang w:val="en-US" w:eastAsia="zh-CN"/>
        </w:rPr>
        <w:t>2</w:t>
      </w:r>
      <w:r>
        <w:rPr>
          <w:sz w:val="24"/>
          <w:szCs w:val="24"/>
        </w:rPr>
        <w:t xml:space="preserve">.1  </w:t>
      </w:r>
      <w:r>
        <w:rPr>
          <w:rFonts w:hint="eastAsia"/>
          <w:sz w:val="24"/>
          <w:szCs w:val="24"/>
        </w:rPr>
        <w:t>在搅拌地点检验拌合物性能，可及时调整配合比，确保产品质量；在浇筑地点检验，可验证混凝土运输过程中性能是否稳定，避免因运输导致的工作性不佳影响浇筑质量。两点检验相结合，可实现拌合物性能的全流程控制</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7.2</w:t>
      </w:r>
      <w:r>
        <w:rPr>
          <w:sz w:val="24"/>
          <w:szCs w:val="24"/>
        </w:rPr>
        <w:t>.</w:t>
      </w:r>
      <w:r>
        <w:rPr>
          <w:rFonts w:hint="eastAsia"/>
          <w:sz w:val="24"/>
          <w:szCs w:val="24"/>
          <w:lang w:val="en-US" w:eastAsia="zh-CN"/>
        </w:rPr>
        <w:t>2</w:t>
      </w:r>
      <w:r>
        <w:rPr>
          <w:sz w:val="24"/>
          <w:szCs w:val="24"/>
        </w:rPr>
        <w:t xml:space="preserve">  </w:t>
      </w:r>
      <w:r>
        <w:rPr>
          <w:rFonts w:hint="eastAsia"/>
          <w:sz w:val="24"/>
          <w:szCs w:val="24"/>
        </w:rPr>
        <w:t>GB 50204规定了混凝土拌合物性能的检验频率，该频率基于工程实践确定，可确保及时发现并纠正拌合物性能波动，保障混凝土质量均匀一致。钢渣粉混凝土拌合物性能检验频率遵循该标准，可与混凝土结构工程施工质量验收要求保持一致</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7.2</w:t>
      </w:r>
      <w:r>
        <w:rPr>
          <w:sz w:val="24"/>
          <w:szCs w:val="24"/>
        </w:rPr>
        <w:t>.</w:t>
      </w:r>
      <w:r>
        <w:rPr>
          <w:rFonts w:hint="eastAsia"/>
          <w:sz w:val="24"/>
          <w:szCs w:val="24"/>
          <w:lang w:val="en-US" w:eastAsia="zh-CN"/>
        </w:rPr>
        <w:t>3</w:t>
      </w:r>
      <w:r>
        <w:rPr>
          <w:sz w:val="24"/>
          <w:szCs w:val="24"/>
        </w:rPr>
        <w:t xml:space="preserve">  </w:t>
      </w:r>
      <w:r>
        <w:rPr>
          <w:rFonts w:hint="eastAsia"/>
          <w:sz w:val="24"/>
          <w:szCs w:val="24"/>
        </w:rPr>
        <w:t>本规范第4.1节明确了钢渣粉混凝土拌合物的性能要求，拌合物性能检验结果需符合该要求，可确保混凝土工作性、耐久性满足设计与施工需求，为硬化混凝土性能奠定基础</w:t>
      </w:r>
      <w:r>
        <w:rPr>
          <w:rFonts w:hint="eastAsia"/>
          <w:sz w:val="24"/>
          <w:szCs w:val="24"/>
          <w:lang w:eastAsia="zh-CN"/>
        </w:rPr>
        <w:t>。</w:t>
      </w:r>
    </w:p>
    <w:p>
      <w:pPr>
        <w:spacing w:before="156" w:beforeLines="50" w:after="156" w:afterLines="50" w:line="360" w:lineRule="auto"/>
        <w:jc w:val="center"/>
        <w:outlineLvl w:val="1"/>
        <w:rPr>
          <w:rFonts w:hint="eastAsia"/>
          <w:b/>
          <w:bCs/>
          <w:sz w:val="28"/>
          <w:szCs w:val="28"/>
        </w:rPr>
      </w:pPr>
      <w:r>
        <w:rPr>
          <w:rFonts w:hint="eastAsia"/>
          <w:b/>
          <w:bCs/>
          <w:sz w:val="28"/>
          <w:szCs w:val="28"/>
          <w:lang w:val="en-US" w:eastAsia="zh-CN"/>
        </w:rPr>
        <w:t>7</w:t>
      </w:r>
      <w:r>
        <w:rPr>
          <w:rFonts w:hint="eastAsia"/>
          <w:b/>
          <w:bCs/>
          <w:sz w:val="28"/>
          <w:szCs w:val="28"/>
        </w:rPr>
        <w:t>.</w:t>
      </w:r>
      <w:r>
        <w:rPr>
          <w:rFonts w:hint="eastAsia"/>
          <w:b/>
          <w:bCs/>
          <w:sz w:val="28"/>
          <w:szCs w:val="28"/>
          <w:lang w:val="en-US" w:eastAsia="zh-CN"/>
        </w:rPr>
        <w:t>3</w:t>
      </w:r>
      <w:r>
        <w:rPr>
          <w:b/>
          <w:bCs/>
          <w:sz w:val="28"/>
          <w:szCs w:val="28"/>
        </w:rPr>
        <w:t xml:space="preserve">  </w:t>
      </w:r>
      <w:r>
        <w:rPr>
          <w:rFonts w:hint="eastAsia"/>
          <w:b/>
          <w:bCs/>
          <w:sz w:val="28"/>
          <w:szCs w:val="28"/>
        </w:rPr>
        <w:t>硬化混凝土性能检验</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7.3</w:t>
      </w:r>
      <w:r>
        <w:rPr>
          <w:sz w:val="24"/>
          <w:szCs w:val="24"/>
        </w:rPr>
        <w:t xml:space="preserve">.1  </w:t>
      </w:r>
      <w:r>
        <w:rPr>
          <w:rFonts w:hint="eastAsia"/>
          <w:sz w:val="24"/>
          <w:szCs w:val="24"/>
        </w:rPr>
        <w:t>GB/T 50107规定了混凝土强度检验评定的方法，是混凝土强度验收的通用标准。钢渣粉混凝土强度检验评定符合该标准，可确保强度验收规范、结果准确；其他力学性能需满足设计要求，可保障结构承载能力符合设计预期</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7.3</w:t>
      </w:r>
      <w:r>
        <w:rPr>
          <w:sz w:val="24"/>
          <w:szCs w:val="24"/>
        </w:rPr>
        <w:t>.</w:t>
      </w:r>
      <w:r>
        <w:rPr>
          <w:rFonts w:hint="eastAsia"/>
          <w:sz w:val="24"/>
          <w:szCs w:val="24"/>
          <w:lang w:val="en-US" w:eastAsia="zh-CN"/>
        </w:rPr>
        <w:t>2</w:t>
      </w:r>
      <w:r>
        <w:rPr>
          <w:sz w:val="24"/>
          <w:szCs w:val="24"/>
        </w:rPr>
        <w:t xml:space="preserve">  </w:t>
      </w:r>
      <w:r>
        <w:rPr>
          <w:rFonts w:hint="eastAsia"/>
          <w:sz w:val="24"/>
          <w:szCs w:val="24"/>
        </w:rPr>
        <w:t>JGJ/T 193 规定了混凝土耐久性检验评定的方法，钢渣粉混凝土耐久性能检验评定符合该标准，可系统评价其在特定环境下的长期稳定性，确保结构耐久性满足设计使用年限要求</w:t>
      </w:r>
      <w:r>
        <w:rPr>
          <w:rFonts w:hint="eastAsia"/>
          <w:sz w:val="24"/>
          <w:szCs w:val="24"/>
          <w:lang w:eastAsia="zh-CN"/>
        </w:rPr>
        <w:t>。</w:t>
      </w:r>
    </w:p>
    <w:p>
      <w:pPr>
        <w:spacing w:line="360" w:lineRule="auto"/>
        <w:rPr>
          <w:rFonts w:hint="eastAsia" w:ascii="Times New Roman" w:hAnsi="Times New Roman" w:eastAsia="宋体" w:cs="Times New Roman"/>
          <w:color w:val="auto"/>
          <w:sz w:val="21"/>
          <w:szCs w:val="21"/>
          <w:highlight w:val="none"/>
          <w:lang w:eastAsia="zh-CN"/>
        </w:rPr>
      </w:pPr>
      <w:r>
        <w:rPr>
          <w:rFonts w:hint="eastAsia"/>
          <w:sz w:val="24"/>
          <w:szCs w:val="24"/>
          <w:lang w:val="en-US" w:eastAsia="zh-CN"/>
        </w:rPr>
        <w:t>7.3</w:t>
      </w:r>
      <w:r>
        <w:rPr>
          <w:sz w:val="24"/>
          <w:szCs w:val="24"/>
        </w:rPr>
        <w:t>.</w:t>
      </w:r>
      <w:r>
        <w:rPr>
          <w:rFonts w:hint="eastAsia"/>
          <w:sz w:val="24"/>
          <w:szCs w:val="24"/>
          <w:lang w:val="en-US" w:eastAsia="zh-CN"/>
        </w:rPr>
        <w:t>3</w:t>
      </w:r>
      <w:r>
        <w:rPr>
          <w:sz w:val="24"/>
          <w:szCs w:val="24"/>
        </w:rPr>
        <w:t xml:space="preserve">  </w:t>
      </w:r>
      <w:r>
        <w:rPr>
          <w:rFonts w:hint="eastAsia"/>
          <w:sz w:val="24"/>
          <w:szCs w:val="24"/>
        </w:rPr>
        <w:t>混凝土长期性能是影响结构长期变形、裂缝控制的关键因素，目前暂无专门的长期性能检验规则。参考JGJ/T 193中耐久性检验的规定执行，可规范长期性能检验流程，为评价钢渣粉混凝土的长期稳定性提供依据</w:t>
      </w:r>
      <w:r>
        <w:rPr>
          <w:rFonts w:hint="eastAsia"/>
          <w:sz w:val="24"/>
          <w:szCs w:val="24"/>
          <w:lang w:eastAsia="zh-CN"/>
        </w:rPr>
        <w:t>。</w:t>
      </w:r>
    </w:p>
    <w:p>
      <w:pPr>
        <w:rPr>
          <w:rFonts w:hint="default" w:ascii="Times New Roman" w:hAnsi="Times New Roman" w:cs="Times New Roman" w:eastAsiaTheme="minorEastAsia"/>
          <w:color w:val="auto"/>
          <w:sz w:val="21"/>
          <w:szCs w:val="21"/>
          <w:highlight w:val="none"/>
        </w:rPr>
      </w:pPr>
    </w:p>
    <w:p>
      <w:pPr>
        <w:rPr>
          <w:rFonts w:hint="default" w:ascii="Times New Roman" w:hAnsi="Times New Roman" w:cs="Times New Roman" w:eastAsiaTheme="minorEastAsia"/>
          <w:color w:val="auto"/>
          <w:sz w:val="21"/>
          <w:szCs w:val="21"/>
          <w:highlight w:val="none"/>
        </w:rPr>
      </w:pPr>
    </w:p>
    <w:sectPr>
      <w:footerReference r:id="rId15" w:type="default"/>
      <w:pgSz w:w="11906" w:h="16838"/>
      <w:pgMar w:top="1440" w:right="1800" w:bottom="1440" w:left="1800" w:header="851" w:footer="992" w:gutter="0"/>
      <w:pgNumType w:fmt="decimal" w:start="19"/>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201"/>
        <w:tab w:val="right" w:leader="dot" w:pos="9298"/>
      </w:tabs>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201"/>
        <w:tab w:val="right" w:leader="dot" w:pos="9298"/>
      </w:tabs>
      <w:ind w:firstLine="360"/>
    </w:pPr>
  </w:p>
  <w:p>
    <w:pPr>
      <w:pStyle w:val="13"/>
      <w:tabs>
        <w:tab w:val="center" w:pos="4201"/>
        <w:tab w:val="right" w:leader="dot" w:pos="9298"/>
      </w:tabs>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201"/>
        <w:tab w:val="right" w:leader="dot" w:pos="9298"/>
      </w:tabs>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3"/>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NJWO7QAAAABQEAAA8AAAAAAAAA&#10;AQAgAAAAIgAAAGRycy9kb3ducmV2LnhtbFBLAQIUABQAAAAIAIdO4kB0D/Sx4AEAALsDAAAOAAAA&#10;AAAAAAEAIAAAAB8BAABkcnMvZTJvRG9jLnhtbFBLBQYAAAAABgAGAFkBAABx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3"/>
                          </w:pPr>
                          <w:r>
                            <w:fldChar w:fldCharType="begin"/>
                          </w:r>
                          <w:r>
                            <w:instrText xml:space="preserve"> PAGE  \* MERGEFORMAT </w:instrText>
                          </w:r>
                          <w:r>
                            <w:fldChar w:fldCharType="separate"/>
                          </w:r>
                          <w:r>
                            <w:t>35</w:t>
                          </w:r>
                          <w:r>
                            <w:fldChar w:fldCharType="end"/>
                          </w:r>
                        </w:p>
                      </w:txbxContent>
                    </wps:txbx>
                    <wps:bodyPr vert="horz" wrap="none" lIns="0" tIns="0" rIns="0" bIns="0" anchor="t" anchorCtr="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NJWO7QAAAABQEAAA8AAAAAAAAA&#10;AQAgAAAAIgAAAGRycy9kb3ducmV2LnhtbFBLAQIUABQAAAAIAIdO4kCtTGLi4AEAALwDAAAOAAAA&#10;AAAAAAEAIAAAAB8BAABkcnMvZTJvRG9jLnhtbFBLBQYAAAAABgAGAFkBAABx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201"/>
        <w:tab w:val="right" w:leader="dot" w:pos="9298"/>
      </w:tabs>
      <w:ind w:left="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201"/>
        <w:tab w:val="right" w:leader="dot" w:pos="9298"/>
      </w:tabs>
    </w:pPr>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201"/>
        <w:tab w:val="right" w:leader="dot" w:pos="9298"/>
      </w:tabs>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201"/>
        <w:tab w:val="right" w:leader="dot" w:pos="9298"/>
      </w:tabs>
      <w:wordWrap w:val="0"/>
      <w:ind w:left="420"/>
      <w:jc w:val="right"/>
    </w:pPr>
    <w:r>
      <w:rPr>
        <w:rFonts w:hint="eastAsia" w:ascii="黑体" w:hAnsi="黑体" w:eastAsia="黑体" w:cs="黑体"/>
      </w:rPr>
      <w:t>XX/T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right"/>
      <w:rPr>
        <w:sz w:val="21"/>
        <w:szCs w:val="21"/>
      </w:rPr>
    </w:pPr>
    <w:r>
      <w:rPr>
        <w:rFonts w:hint="eastAsia" w:ascii="黑体" w:hAnsi="黑体" w:eastAsia="黑体" w:cs="黑体"/>
        <w:sz w:val="21"/>
        <w:szCs w:val="21"/>
      </w:rPr>
      <w:t>XX/T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pStyle w:val="64"/>
      <w:suff w:val="nothing"/>
      <w:lvlText w:val="%1　"/>
      <w:lvlJc w:val="left"/>
      <w:pPr>
        <w:ind w:left="0" w:firstLine="0"/>
      </w:pPr>
      <w:rPr>
        <w:rFonts w:hint="eastAsia" w:ascii="黑体" w:hAnsi="Times New Roman" w:eastAsia="黑体"/>
        <w:b w:val="0"/>
        <w:i w:val="0"/>
        <w:sz w:val="21"/>
        <w:szCs w:val="21"/>
        <w:lang w:eastAsia="zh-CN"/>
      </w:rPr>
    </w:lvl>
    <w:lvl w:ilvl="1" w:tentative="0">
      <w:start w:val="1"/>
      <w:numFmt w:val="decimal"/>
      <w:pStyle w:val="45"/>
      <w:suff w:val="nothing"/>
      <w:lvlText w:val="%1.%2　"/>
      <w:lvlJc w:val="left"/>
      <w:pPr>
        <w:ind w:left="851" w:firstLine="0"/>
      </w:pPr>
      <w:rPr>
        <w:rFonts w:hint="eastAsia" w:ascii="黑体" w:hAnsi="Times New Roman" w:eastAsia="黑体" w:cs="Times New Roman"/>
        <w:b w:val="0"/>
        <w:bCs w:val="0"/>
        <w:i w:val="0"/>
        <w:iCs w:val="0"/>
        <w:caps w:val="0"/>
        <w:outline w:val="0"/>
        <w:shadow w:val="0"/>
        <w:emboss w:val="0"/>
        <w:imprint w:val="0"/>
        <w:vanish w:val="0"/>
        <w:spacing w:val="0"/>
        <w:kern w:val="0"/>
        <w:position w:val="0"/>
        <w:sz w:val="21"/>
        <w:szCs w:val="21"/>
        <w:u w:val="none"/>
        <w:vertAlign w:val="baseline"/>
      </w:rPr>
    </w:lvl>
    <w:lvl w:ilvl="2" w:tentative="0">
      <w:start w:val="1"/>
      <w:numFmt w:val="decimal"/>
      <w:pStyle w:val="48"/>
      <w:suff w:val="nothing"/>
      <w:lvlText w:val="%1.%2.%3　"/>
      <w:lvlJc w:val="left"/>
      <w:pPr>
        <w:ind w:left="0" w:firstLine="0"/>
      </w:pPr>
      <w:rPr>
        <w:rFonts w:hint="eastAsia" w:ascii="黑体" w:hAnsi="Times New Roman" w:eastAsia="黑体"/>
        <w:b w:val="0"/>
        <w:i w:val="0"/>
        <w:sz w:val="21"/>
      </w:rPr>
    </w:lvl>
    <w:lvl w:ilvl="3" w:tentative="0">
      <w:start w:val="1"/>
      <w:numFmt w:val="decimal"/>
      <w:pStyle w:val="47"/>
      <w:suff w:val="nothing"/>
      <w:lvlText w:val="%1.%2.%3.%4　"/>
      <w:lvlJc w:val="left"/>
      <w:pPr>
        <w:ind w:left="0" w:firstLine="0"/>
      </w:pPr>
      <w:rPr>
        <w:rFonts w:hint="eastAsia" w:ascii="黑体" w:hAnsi="Times New Roman" w:eastAsia="黑体"/>
        <w:b w:val="0"/>
        <w:i w:val="0"/>
        <w:sz w:val="21"/>
      </w:rPr>
    </w:lvl>
    <w:lvl w:ilvl="4" w:tentative="0">
      <w:start w:val="1"/>
      <w:numFmt w:val="decimal"/>
      <w:pStyle w:val="46"/>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00000002"/>
    <w:multiLevelType w:val="multilevel"/>
    <w:tmpl w:val="00000002"/>
    <w:lvl w:ilvl="0" w:tentative="0">
      <w:start w:val="1"/>
      <w:numFmt w:val="decimal"/>
      <w:pStyle w:val="7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44C50F90"/>
    <w:multiLevelType w:val="multilevel"/>
    <w:tmpl w:val="44C50F90"/>
    <w:lvl w:ilvl="0" w:tentative="0">
      <w:start w:val="1"/>
      <w:numFmt w:val="lowerLetter"/>
      <w:pStyle w:val="7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6"/>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49DD6F04"/>
    <w:multiLevelType w:val="multilevel"/>
    <w:tmpl w:val="49DD6F04"/>
    <w:lvl w:ilvl="0" w:tentative="0">
      <w:start w:val="1"/>
      <w:numFmt w:val="decimal"/>
      <w:pStyle w:val="88"/>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wMGE1NDRlOTdmZDMyZjE1YzM4OWExMWRkYzhhY2QifQ=="/>
    <w:docVar w:name="KSO_WPS_MARK_KEY" w:val="d3a3cc0d-cab6-47d9-a5c9-ffc47a736495"/>
  </w:docVars>
  <w:rsids>
    <w:rsidRoot w:val="00172A27"/>
    <w:rsid w:val="000004D3"/>
    <w:rsid w:val="00000C00"/>
    <w:rsid w:val="0000157D"/>
    <w:rsid w:val="00006F11"/>
    <w:rsid w:val="00006F46"/>
    <w:rsid w:val="00010277"/>
    <w:rsid w:val="000118EA"/>
    <w:rsid w:val="00013365"/>
    <w:rsid w:val="00013A77"/>
    <w:rsid w:val="0002000D"/>
    <w:rsid w:val="000233C2"/>
    <w:rsid w:val="00024667"/>
    <w:rsid w:val="000330F7"/>
    <w:rsid w:val="00037C89"/>
    <w:rsid w:val="000417DF"/>
    <w:rsid w:val="00041B00"/>
    <w:rsid w:val="00047597"/>
    <w:rsid w:val="00051A18"/>
    <w:rsid w:val="000551FF"/>
    <w:rsid w:val="0006379F"/>
    <w:rsid w:val="00066A10"/>
    <w:rsid w:val="00067AAE"/>
    <w:rsid w:val="00070E4F"/>
    <w:rsid w:val="00071C95"/>
    <w:rsid w:val="00075C50"/>
    <w:rsid w:val="00080166"/>
    <w:rsid w:val="000844E5"/>
    <w:rsid w:val="00084BB1"/>
    <w:rsid w:val="00090745"/>
    <w:rsid w:val="00097482"/>
    <w:rsid w:val="000A04B5"/>
    <w:rsid w:val="000A19BB"/>
    <w:rsid w:val="000A45B3"/>
    <w:rsid w:val="000A6ED2"/>
    <w:rsid w:val="000A7D87"/>
    <w:rsid w:val="000B2206"/>
    <w:rsid w:val="000B43AC"/>
    <w:rsid w:val="000C0604"/>
    <w:rsid w:val="000C589E"/>
    <w:rsid w:val="000D1C43"/>
    <w:rsid w:val="000D3D9D"/>
    <w:rsid w:val="000E33AA"/>
    <w:rsid w:val="000E4625"/>
    <w:rsid w:val="000E6D3A"/>
    <w:rsid w:val="000F2B38"/>
    <w:rsid w:val="000F2D82"/>
    <w:rsid w:val="000F53A8"/>
    <w:rsid w:val="000F633C"/>
    <w:rsid w:val="000F6CDE"/>
    <w:rsid w:val="001079B9"/>
    <w:rsid w:val="001127BC"/>
    <w:rsid w:val="001137C7"/>
    <w:rsid w:val="001176CE"/>
    <w:rsid w:val="00121BC3"/>
    <w:rsid w:val="00122FB6"/>
    <w:rsid w:val="0012713C"/>
    <w:rsid w:val="0013331D"/>
    <w:rsid w:val="00133B74"/>
    <w:rsid w:val="00136521"/>
    <w:rsid w:val="00137D61"/>
    <w:rsid w:val="00137DB4"/>
    <w:rsid w:val="0014126F"/>
    <w:rsid w:val="00141878"/>
    <w:rsid w:val="00144C29"/>
    <w:rsid w:val="00147E88"/>
    <w:rsid w:val="00151903"/>
    <w:rsid w:val="001573C7"/>
    <w:rsid w:val="00161E4C"/>
    <w:rsid w:val="00161F73"/>
    <w:rsid w:val="001629A9"/>
    <w:rsid w:val="00163D21"/>
    <w:rsid w:val="0016663F"/>
    <w:rsid w:val="00167CB4"/>
    <w:rsid w:val="00172A27"/>
    <w:rsid w:val="00176056"/>
    <w:rsid w:val="0018279E"/>
    <w:rsid w:val="00183993"/>
    <w:rsid w:val="00185131"/>
    <w:rsid w:val="00186EFD"/>
    <w:rsid w:val="001908B4"/>
    <w:rsid w:val="0019579D"/>
    <w:rsid w:val="001A1774"/>
    <w:rsid w:val="001A22E9"/>
    <w:rsid w:val="001A2F25"/>
    <w:rsid w:val="001A5F30"/>
    <w:rsid w:val="001A6CFA"/>
    <w:rsid w:val="001A710C"/>
    <w:rsid w:val="001B17AE"/>
    <w:rsid w:val="001B2555"/>
    <w:rsid w:val="001B365E"/>
    <w:rsid w:val="001B4761"/>
    <w:rsid w:val="001B6259"/>
    <w:rsid w:val="001B730C"/>
    <w:rsid w:val="001C745D"/>
    <w:rsid w:val="001C7470"/>
    <w:rsid w:val="001C7C0F"/>
    <w:rsid w:val="001D11DD"/>
    <w:rsid w:val="001D3DA3"/>
    <w:rsid w:val="001E3E92"/>
    <w:rsid w:val="001E737C"/>
    <w:rsid w:val="001F2276"/>
    <w:rsid w:val="001F281E"/>
    <w:rsid w:val="001F2A9B"/>
    <w:rsid w:val="001F535C"/>
    <w:rsid w:val="001F581B"/>
    <w:rsid w:val="00200BA6"/>
    <w:rsid w:val="002023D7"/>
    <w:rsid w:val="002036D0"/>
    <w:rsid w:val="002050C9"/>
    <w:rsid w:val="00211D23"/>
    <w:rsid w:val="002135F8"/>
    <w:rsid w:val="00216117"/>
    <w:rsid w:val="00217C21"/>
    <w:rsid w:val="00234BFF"/>
    <w:rsid w:val="00240860"/>
    <w:rsid w:val="00241B0A"/>
    <w:rsid w:val="002460CB"/>
    <w:rsid w:val="0025242E"/>
    <w:rsid w:val="002532F1"/>
    <w:rsid w:val="002568AF"/>
    <w:rsid w:val="0025709C"/>
    <w:rsid w:val="00265951"/>
    <w:rsid w:val="00267404"/>
    <w:rsid w:val="00273125"/>
    <w:rsid w:val="00276C68"/>
    <w:rsid w:val="00277C16"/>
    <w:rsid w:val="002805DB"/>
    <w:rsid w:val="002812A9"/>
    <w:rsid w:val="00281414"/>
    <w:rsid w:val="002870E4"/>
    <w:rsid w:val="00287D18"/>
    <w:rsid w:val="00293020"/>
    <w:rsid w:val="002979C0"/>
    <w:rsid w:val="002A3D04"/>
    <w:rsid w:val="002A3D8E"/>
    <w:rsid w:val="002B1F89"/>
    <w:rsid w:val="002B5221"/>
    <w:rsid w:val="002B71C5"/>
    <w:rsid w:val="002B71E5"/>
    <w:rsid w:val="002C0F6B"/>
    <w:rsid w:val="002C235C"/>
    <w:rsid w:val="002C42ED"/>
    <w:rsid w:val="002C4D3D"/>
    <w:rsid w:val="002C7C8F"/>
    <w:rsid w:val="002D04CE"/>
    <w:rsid w:val="002D17A3"/>
    <w:rsid w:val="002D4F39"/>
    <w:rsid w:val="002D6012"/>
    <w:rsid w:val="002D7EBA"/>
    <w:rsid w:val="002E3077"/>
    <w:rsid w:val="002F1F14"/>
    <w:rsid w:val="002F364B"/>
    <w:rsid w:val="002F4407"/>
    <w:rsid w:val="002F6379"/>
    <w:rsid w:val="003048C5"/>
    <w:rsid w:val="003167FD"/>
    <w:rsid w:val="00321E33"/>
    <w:rsid w:val="00321F8B"/>
    <w:rsid w:val="00322B63"/>
    <w:rsid w:val="0032350B"/>
    <w:rsid w:val="00326AC9"/>
    <w:rsid w:val="0033125C"/>
    <w:rsid w:val="00332C06"/>
    <w:rsid w:val="003339B5"/>
    <w:rsid w:val="00347E69"/>
    <w:rsid w:val="00350014"/>
    <w:rsid w:val="00351B6A"/>
    <w:rsid w:val="003554A4"/>
    <w:rsid w:val="0036206E"/>
    <w:rsid w:val="00370580"/>
    <w:rsid w:val="00377431"/>
    <w:rsid w:val="003810FE"/>
    <w:rsid w:val="00382AB6"/>
    <w:rsid w:val="0038552C"/>
    <w:rsid w:val="0039364E"/>
    <w:rsid w:val="003936F1"/>
    <w:rsid w:val="003A0CC9"/>
    <w:rsid w:val="003A1CA4"/>
    <w:rsid w:val="003A5693"/>
    <w:rsid w:val="003A666B"/>
    <w:rsid w:val="003B7640"/>
    <w:rsid w:val="003C153F"/>
    <w:rsid w:val="003C4EE2"/>
    <w:rsid w:val="003C6EBC"/>
    <w:rsid w:val="003C7660"/>
    <w:rsid w:val="003C7AA5"/>
    <w:rsid w:val="003D7772"/>
    <w:rsid w:val="003E0EA3"/>
    <w:rsid w:val="003E3F6D"/>
    <w:rsid w:val="003F0C9E"/>
    <w:rsid w:val="003F4539"/>
    <w:rsid w:val="003F4CE9"/>
    <w:rsid w:val="003F55A0"/>
    <w:rsid w:val="00400826"/>
    <w:rsid w:val="00400AD9"/>
    <w:rsid w:val="00400BAC"/>
    <w:rsid w:val="00401975"/>
    <w:rsid w:val="0040270C"/>
    <w:rsid w:val="004031FE"/>
    <w:rsid w:val="00403EB8"/>
    <w:rsid w:val="00404200"/>
    <w:rsid w:val="004131CE"/>
    <w:rsid w:val="004134EF"/>
    <w:rsid w:val="004150F1"/>
    <w:rsid w:val="0041665E"/>
    <w:rsid w:val="00416A3B"/>
    <w:rsid w:val="00417881"/>
    <w:rsid w:val="004248E7"/>
    <w:rsid w:val="00430F21"/>
    <w:rsid w:val="00431246"/>
    <w:rsid w:val="0043236B"/>
    <w:rsid w:val="00433B99"/>
    <w:rsid w:val="00434D26"/>
    <w:rsid w:val="00434F3C"/>
    <w:rsid w:val="0043553D"/>
    <w:rsid w:val="004369E5"/>
    <w:rsid w:val="00444FBB"/>
    <w:rsid w:val="0044673A"/>
    <w:rsid w:val="00452F71"/>
    <w:rsid w:val="00454506"/>
    <w:rsid w:val="00454770"/>
    <w:rsid w:val="0045610A"/>
    <w:rsid w:val="00461736"/>
    <w:rsid w:val="004628BD"/>
    <w:rsid w:val="00462C27"/>
    <w:rsid w:val="00465728"/>
    <w:rsid w:val="00466223"/>
    <w:rsid w:val="00474797"/>
    <w:rsid w:val="004747C8"/>
    <w:rsid w:val="0047595F"/>
    <w:rsid w:val="00475CFD"/>
    <w:rsid w:val="00480002"/>
    <w:rsid w:val="00483FE2"/>
    <w:rsid w:val="00484F2C"/>
    <w:rsid w:val="0048533F"/>
    <w:rsid w:val="00485871"/>
    <w:rsid w:val="00486954"/>
    <w:rsid w:val="00490835"/>
    <w:rsid w:val="00491E06"/>
    <w:rsid w:val="00495CEF"/>
    <w:rsid w:val="00496CB3"/>
    <w:rsid w:val="004A19C1"/>
    <w:rsid w:val="004A2AA7"/>
    <w:rsid w:val="004A2CE6"/>
    <w:rsid w:val="004B0CF0"/>
    <w:rsid w:val="004B6B21"/>
    <w:rsid w:val="004C1517"/>
    <w:rsid w:val="004C2881"/>
    <w:rsid w:val="004C29E8"/>
    <w:rsid w:val="004C2D3A"/>
    <w:rsid w:val="004D6770"/>
    <w:rsid w:val="004E0FA9"/>
    <w:rsid w:val="004E50D9"/>
    <w:rsid w:val="004E584D"/>
    <w:rsid w:val="004F076B"/>
    <w:rsid w:val="004F4400"/>
    <w:rsid w:val="004F59C3"/>
    <w:rsid w:val="004F5C37"/>
    <w:rsid w:val="004F7BDE"/>
    <w:rsid w:val="0050383D"/>
    <w:rsid w:val="00506477"/>
    <w:rsid w:val="005105A7"/>
    <w:rsid w:val="00512554"/>
    <w:rsid w:val="00524D6B"/>
    <w:rsid w:val="00525A24"/>
    <w:rsid w:val="00543B39"/>
    <w:rsid w:val="00546174"/>
    <w:rsid w:val="00553E5F"/>
    <w:rsid w:val="0056042C"/>
    <w:rsid w:val="00560EF8"/>
    <w:rsid w:val="00561EB2"/>
    <w:rsid w:val="00561EEA"/>
    <w:rsid w:val="0056451A"/>
    <w:rsid w:val="00565096"/>
    <w:rsid w:val="00565733"/>
    <w:rsid w:val="005661E5"/>
    <w:rsid w:val="00567481"/>
    <w:rsid w:val="00582ABB"/>
    <w:rsid w:val="005833BD"/>
    <w:rsid w:val="005848D0"/>
    <w:rsid w:val="005A1CFE"/>
    <w:rsid w:val="005A6B86"/>
    <w:rsid w:val="005B10F3"/>
    <w:rsid w:val="005B3E6F"/>
    <w:rsid w:val="005B4386"/>
    <w:rsid w:val="005B47B8"/>
    <w:rsid w:val="005B5FCC"/>
    <w:rsid w:val="005B76A7"/>
    <w:rsid w:val="005B7A07"/>
    <w:rsid w:val="005C2531"/>
    <w:rsid w:val="005C6AC1"/>
    <w:rsid w:val="005C6E1C"/>
    <w:rsid w:val="005D03DF"/>
    <w:rsid w:val="005D4699"/>
    <w:rsid w:val="005D6364"/>
    <w:rsid w:val="005D6874"/>
    <w:rsid w:val="005D6A29"/>
    <w:rsid w:val="005D787C"/>
    <w:rsid w:val="005D7E01"/>
    <w:rsid w:val="005E1B60"/>
    <w:rsid w:val="005E1F38"/>
    <w:rsid w:val="005E39CF"/>
    <w:rsid w:val="005F15B4"/>
    <w:rsid w:val="005F22E8"/>
    <w:rsid w:val="005F7ED3"/>
    <w:rsid w:val="00600C27"/>
    <w:rsid w:val="00601894"/>
    <w:rsid w:val="0060215F"/>
    <w:rsid w:val="006116EC"/>
    <w:rsid w:val="00613697"/>
    <w:rsid w:val="006156D7"/>
    <w:rsid w:val="00621C52"/>
    <w:rsid w:val="00622809"/>
    <w:rsid w:val="00625EEE"/>
    <w:rsid w:val="006274E7"/>
    <w:rsid w:val="00631873"/>
    <w:rsid w:val="006405C3"/>
    <w:rsid w:val="006412D9"/>
    <w:rsid w:val="00642A0A"/>
    <w:rsid w:val="00643562"/>
    <w:rsid w:val="00652184"/>
    <w:rsid w:val="00652EA5"/>
    <w:rsid w:val="00657648"/>
    <w:rsid w:val="00660F09"/>
    <w:rsid w:val="006665C0"/>
    <w:rsid w:val="006707AF"/>
    <w:rsid w:val="00670831"/>
    <w:rsid w:val="00674CDF"/>
    <w:rsid w:val="00674E18"/>
    <w:rsid w:val="00676CD7"/>
    <w:rsid w:val="006811DA"/>
    <w:rsid w:val="00681D0C"/>
    <w:rsid w:val="00682AFA"/>
    <w:rsid w:val="006843BE"/>
    <w:rsid w:val="00684FF4"/>
    <w:rsid w:val="00685DF3"/>
    <w:rsid w:val="00697DCF"/>
    <w:rsid w:val="00697E74"/>
    <w:rsid w:val="006A0201"/>
    <w:rsid w:val="006A12B4"/>
    <w:rsid w:val="006A3C66"/>
    <w:rsid w:val="006A45DD"/>
    <w:rsid w:val="006A4FBF"/>
    <w:rsid w:val="006A5800"/>
    <w:rsid w:val="006B353E"/>
    <w:rsid w:val="006C0A9A"/>
    <w:rsid w:val="006C1DF7"/>
    <w:rsid w:val="006C2CBF"/>
    <w:rsid w:val="006C314C"/>
    <w:rsid w:val="006C3888"/>
    <w:rsid w:val="006C58B8"/>
    <w:rsid w:val="006C5F5C"/>
    <w:rsid w:val="006C6692"/>
    <w:rsid w:val="006C74B8"/>
    <w:rsid w:val="006D0552"/>
    <w:rsid w:val="006D3E1C"/>
    <w:rsid w:val="006D5E55"/>
    <w:rsid w:val="006D7CA6"/>
    <w:rsid w:val="006E09D4"/>
    <w:rsid w:val="006E2E46"/>
    <w:rsid w:val="006E2E4A"/>
    <w:rsid w:val="006E7593"/>
    <w:rsid w:val="006F008C"/>
    <w:rsid w:val="006F1C63"/>
    <w:rsid w:val="006F6E64"/>
    <w:rsid w:val="007014FD"/>
    <w:rsid w:val="00703E5B"/>
    <w:rsid w:val="00705357"/>
    <w:rsid w:val="00705EBD"/>
    <w:rsid w:val="00712A5C"/>
    <w:rsid w:val="00721E71"/>
    <w:rsid w:val="00721F92"/>
    <w:rsid w:val="00722059"/>
    <w:rsid w:val="00725217"/>
    <w:rsid w:val="007252FA"/>
    <w:rsid w:val="007354D0"/>
    <w:rsid w:val="00737CE3"/>
    <w:rsid w:val="007435BC"/>
    <w:rsid w:val="00744010"/>
    <w:rsid w:val="007538D4"/>
    <w:rsid w:val="00754A22"/>
    <w:rsid w:val="00763BA4"/>
    <w:rsid w:val="00771ABD"/>
    <w:rsid w:val="00775DE6"/>
    <w:rsid w:val="007829CB"/>
    <w:rsid w:val="00783DE8"/>
    <w:rsid w:val="00786DA2"/>
    <w:rsid w:val="00793D1B"/>
    <w:rsid w:val="007958E0"/>
    <w:rsid w:val="00795A52"/>
    <w:rsid w:val="00796476"/>
    <w:rsid w:val="007B02C2"/>
    <w:rsid w:val="007B0674"/>
    <w:rsid w:val="007B0984"/>
    <w:rsid w:val="007B22AF"/>
    <w:rsid w:val="007B3929"/>
    <w:rsid w:val="007C014E"/>
    <w:rsid w:val="007C1546"/>
    <w:rsid w:val="007C3852"/>
    <w:rsid w:val="007C3DA4"/>
    <w:rsid w:val="007C501C"/>
    <w:rsid w:val="007C5BB8"/>
    <w:rsid w:val="007C5D6A"/>
    <w:rsid w:val="007C67A7"/>
    <w:rsid w:val="007D000E"/>
    <w:rsid w:val="007D30AF"/>
    <w:rsid w:val="007D4E76"/>
    <w:rsid w:val="007D5901"/>
    <w:rsid w:val="007D778F"/>
    <w:rsid w:val="007E17DA"/>
    <w:rsid w:val="007E19EC"/>
    <w:rsid w:val="007E24D9"/>
    <w:rsid w:val="007E3BB4"/>
    <w:rsid w:val="007E609F"/>
    <w:rsid w:val="007E6622"/>
    <w:rsid w:val="007E7530"/>
    <w:rsid w:val="007F290E"/>
    <w:rsid w:val="0080454D"/>
    <w:rsid w:val="0080628D"/>
    <w:rsid w:val="00812426"/>
    <w:rsid w:val="008127C7"/>
    <w:rsid w:val="00817055"/>
    <w:rsid w:val="008170AD"/>
    <w:rsid w:val="00817A28"/>
    <w:rsid w:val="008213B8"/>
    <w:rsid w:val="0082628C"/>
    <w:rsid w:val="008276F2"/>
    <w:rsid w:val="008356AC"/>
    <w:rsid w:val="00835FE1"/>
    <w:rsid w:val="00836F3A"/>
    <w:rsid w:val="00841349"/>
    <w:rsid w:val="00851AC7"/>
    <w:rsid w:val="00853AA0"/>
    <w:rsid w:val="00855472"/>
    <w:rsid w:val="00862BDA"/>
    <w:rsid w:val="008638B7"/>
    <w:rsid w:val="00867C49"/>
    <w:rsid w:val="00870BAC"/>
    <w:rsid w:val="00873112"/>
    <w:rsid w:val="00874E48"/>
    <w:rsid w:val="00876D9D"/>
    <w:rsid w:val="008773FD"/>
    <w:rsid w:val="00882201"/>
    <w:rsid w:val="008827F7"/>
    <w:rsid w:val="00885141"/>
    <w:rsid w:val="00885652"/>
    <w:rsid w:val="00893A34"/>
    <w:rsid w:val="0089470F"/>
    <w:rsid w:val="00895C89"/>
    <w:rsid w:val="0089637C"/>
    <w:rsid w:val="008A379E"/>
    <w:rsid w:val="008A4BB5"/>
    <w:rsid w:val="008B043B"/>
    <w:rsid w:val="008B505F"/>
    <w:rsid w:val="008C5055"/>
    <w:rsid w:val="008D2487"/>
    <w:rsid w:val="008D6807"/>
    <w:rsid w:val="008D71E0"/>
    <w:rsid w:val="008E06D5"/>
    <w:rsid w:val="008E07EF"/>
    <w:rsid w:val="008E2FCE"/>
    <w:rsid w:val="008E6E25"/>
    <w:rsid w:val="00903666"/>
    <w:rsid w:val="0091525C"/>
    <w:rsid w:val="00924846"/>
    <w:rsid w:val="00925070"/>
    <w:rsid w:val="00925AC6"/>
    <w:rsid w:val="0093050A"/>
    <w:rsid w:val="00930725"/>
    <w:rsid w:val="00937E2A"/>
    <w:rsid w:val="009408F1"/>
    <w:rsid w:val="00943121"/>
    <w:rsid w:val="00944488"/>
    <w:rsid w:val="00945D29"/>
    <w:rsid w:val="00953451"/>
    <w:rsid w:val="00953967"/>
    <w:rsid w:val="00955679"/>
    <w:rsid w:val="00957E9C"/>
    <w:rsid w:val="00977ACB"/>
    <w:rsid w:val="009800AD"/>
    <w:rsid w:val="0098426A"/>
    <w:rsid w:val="00990BE7"/>
    <w:rsid w:val="00991ED0"/>
    <w:rsid w:val="00992A9B"/>
    <w:rsid w:val="00996D7C"/>
    <w:rsid w:val="009A09BA"/>
    <w:rsid w:val="009A15EB"/>
    <w:rsid w:val="009A5137"/>
    <w:rsid w:val="009A701C"/>
    <w:rsid w:val="009A770B"/>
    <w:rsid w:val="009B3DBC"/>
    <w:rsid w:val="009B46B7"/>
    <w:rsid w:val="009C0644"/>
    <w:rsid w:val="009C4D04"/>
    <w:rsid w:val="009D2201"/>
    <w:rsid w:val="009D3A5C"/>
    <w:rsid w:val="009D3D8A"/>
    <w:rsid w:val="009D6CFC"/>
    <w:rsid w:val="009D7A85"/>
    <w:rsid w:val="009E3748"/>
    <w:rsid w:val="009E4B61"/>
    <w:rsid w:val="009F4EEB"/>
    <w:rsid w:val="009F53ED"/>
    <w:rsid w:val="00A02739"/>
    <w:rsid w:val="00A03C76"/>
    <w:rsid w:val="00A04954"/>
    <w:rsid w:val="00A06B44"/>
    <w:rsid w:val="00A079A7"/>
    <w:rsid w:val="00A1328A"/>
    <w:rsid w:val="00A13C38"/>
    <w:rsid w:val="00A2051B"/>
    <w:rsid w:val="00A206A4"/>
    <w:rsid w:val="00A20E2F"/>
    <w:rsid w:val="00A21CD2"/>
    <w:rsid w:val="00A2325D"/>
    <w:rsid w:val="00A242D1"/>
    <w:rsid w:val="00A2516A"/>
    <w:rsid w:val="00A30DB6"/>
    <w:rsid w:val="00A31754"/>
    <w:rsid w:val="00A35466"/>
    <w:rsid w:val="00A3725B"/>
    <w:rsid w:val="00A40D2E"/>
    <w:rsid w:val="00A414BF"/>
    <w:rsid w:val="00A41857"/>
    <w:rsid w:val="00A41B46"/>
    <w:rsid w:val="00A421A3"/>
    <w:rsid w:val="00A5335F"/>
    <w:rsid w:val="00A54074"/>
    <w:rsid w:val="00A55218"/>
    <w:rsid w:val="00A62326"/>
    <w:rsid w:val="00A65DE0"/>
    <w:rsid w:val="00A668FD"/>
    <w:rsid w:val="00A678F8"/>
    <w:rsid w:val="00A67FDF"/>
    <w:rsid w:val="00A73BA1"/>
    <w:rsid w:val="00A75077"/>
    <w:rsid w:val="00A773F9"/>
    <w:rsid w:val="00A775E7"/>
    <w:rsid w:val="00A829DC"/>
    <w:rsid w:val="00A82E5F"/>
    <w:rsid w:val="00A85147"/>
    <w:rsid w:val="00A93A97"/>
    <w:rsid w:val="00A93C6F"/>
    <w:rsid w:val="00A97646"/>
    <w:rsid w:val="00A979D0"/>
    <w:rsid w:val="00A97DBB"/>
    <w:rsid w:val="00A97DBD"/>
    <w:rsid w:val="00AA05A7"/>
    <w:rsid w:val="00AA178A"/>
    <w:rsid w:val="00AB0633"/>
    <w:rsid w:val="00AB4491"/>
    <w:rsid w:val="00AC10F5"/>
    <w:rsid w:val="00AC1944"/>
    <w:rsid w:val="00AC20E4"/>
    <w:rsid w:val="00AC6BEA"/>
    <w:rsid w:val="00AC7D86"/>
    <w:rsid w:val="00AD1EA9"/>
    <w:rsid w:val="00AD2231"/>
    <w:rsid w:val="00AD6978"/>
    <w:rsid w:val="00AD79F7"/>
    <w:rsid w:val="00AE08A5"/>
    <w:rsid w:val="00AE35F4"/>
    <w:rsid w:val="00AE6820"/>
    <w:rsid w:val="00AF3237"/>
    <w:rsid w:val="00AF5D5C"/>
    <w:rsid w:val="00B02E8F"/>
    <w:rsid w:val="00B0778B"/>
    <w:rsid w:val="00B10877"/>
    <w:rsid w:val="00B16713"/>
    <w:rsid w:val="00B22BA0"/>
    <w:rsid w:val="00B23A60"/>
    <w:rsid w:val="00B30F73"/>
    <w:rsid w:val="00B352CF"/>
    <w:rsid w:val="00B3583B"/>
    <w:rsid w:val="00B35F8B"/>
    <w:rsid w:val="00B36F86"/>
    <w:rsid w:val="00B37985"/>
    <w:rsid w:val="00B41222"/>
    <w:rsid w:val="00B42B47"/>
    <w:rsid w:val="00B4340B"/>
    <w:rsid w:val="00B4465A"/>
    <w:rsid w:val="00B46A23"/>
    <w:rsid w:val="00B51008"/>
    <w:rsid w:val="00B510F5"/>
    <w:rsid w:val="00B51E53"/>
    <w:rsid w:val="00B52F45"/>
    <w:rsid w:val="00B534A3"/>
    <w:rsid w:val="00B5358A"/>
    <w:rsid w:val="00B54752"/>
    <w:rsid w:val="00B54D99"/>
    <w:rsid w:val="00B55CAA"/>
    <w:rsid w:val="00B654EB"/>
    <w:rsid w:val="00B664EC"/>
    <w:rsid w:val="00B719E8"/>
    <w:rsid w:val="00B75AB2"/>
    <w:rsid w:val="00B76B5A"/>
    <w:rsid w:val="00B8022C"/>
    <w:rsid w:val="00B87917"/>
    <w:rsid w:val="00B91D11"/>
    <w:rsid w:val="00B92E18"/>
    <w:rsid w:val="00B931A9"/>
    <w:rsid w:val="00B958BF"/>
    <w:rsid w:val="00B96662"/>
    <w:rsid w:val="00BA05C5"/>
    <w:rsid w:val="00BA43A2"/>
    <w:rsid w:val="00BA46CC"/>
    <w:rsid w:val="00BC09EA"/>
    <w:rsid w:val="00BC3F9E"/>
    <w:rsid w:val="00BC418F"/>
    <w:rsid w:val="00BC697E"/>
    <w:rsid w:val="00BD42C7"/>
    <w:rsid w:val="00BD6520"/>
    <w:rsid w:val="00BE3C1F"/>
    <w:rsid w:val="00BE7159"/>
    <w:rsid w:val="00BF01D6"/>
    <w:rsid w:val="00BF18BB"/>
    <w:rsid w:val="00BF7A61"/>
    <w:rsid w:val="00BF7C44"/>
    <w:rsid w:val="00C02439"/>
    <w:rsid w:val="00C04EFD"/>
    <w:rsid w:val="00C07A60"/>
    <w:rsid w:val="00C07B5A"/>
    <w:rsid w:val="00C12AB0"/>
    <w:rsid w:val="00C12AEC"/>
    <w:rsid w:val="00C15631"/>
    <w:rsid w:val="00C15900"/>
    <w:rsid w:val="00C15C44"/>
    <w:rsid w:val="00C16BBB"/>
    <w:rsid w:val="00C26BF0"/>
    <w:rsid w:val="00C30D71"/>
    <w:rsid w:val="00C31F72"/>
    <w:rsid w:val="00C335CC"/>
    <w:rsid w:val="00C41465"/>
    <w:rsid w:val="00C434C8"/>
    <w:rsid w:val="00C46904"/>
    <w:rsid w:val="00C529F2"/>
    <w:rsid w:val="00C5625B"/>
    <w:rsid w:val="00C601AB"/>
    <w:rsid w:val="00C61AA5"/>
    <w:rsid w:val="00C654EE"/>
    <w:rsid w:val="00C70D65"/>
    <w:rsid w:val="00C71911"/>
    <w:rsid w:val="00C71B51"/>
    <w:rsid w:val="00C72177"/>
    <w:rsid w:val="00C764A8"/>
    <w:rsid w:val="00C81605"/>
    <w:rsid w:val="00C90598"/>
    <w:rsid w:val="00C9097C"/>
    <w:rsid w:val="00C94364"/>
    <w:rsid w:val="00CA2000"/>
    <w:rsid w:val="00CA41F1"/>
    <w:rsid w:val="00CA78D2"/>
    <w:rsid w:val="00CB54FE"/>
    <w:rsid w:val="00CB6DCC"/>
    <w:rsid w:val="00CB6F9F"/>
    <w:rsid w:val="00CC3B40"/>
    <w:rsid w:val="00CC3DE5"/>
    <w:rsid w:val="00CC6FE9"/>
    <w:rsid w:val="00CD4C20"/>
    <w:rsid w:val="00CD4E81"/>
    <w:rsid w:val="00CD5166"/>
    <w:rsid w:val="00CD6862"/>
    <w:rsid w:val="00CE0A7E"/>
    <w:rsid w:val="00CE2C46"/>
    <w:rsid w:val="00CE317A"/>
    <w:rsid w:val="00CE5C90"/>
    <w:rsid w:val="00CE5EE3"/>
    <w:rsid w:val="00CF0425"/>
    <w:rsid w:val="00D004A8"/>
    <w:rsid w:val="00D01B69"/>
    <w:rsid w:val="00D01FD1"/>
    <w:rsid w:val="00D06E14"/>
    <w:rsid w:val="00D13CB9"/>
    <w:rsid w:val="00D142CC"/>
    <w:rsid w:val="00D1517B"/>
    <w:rsid w:val="00D20BDB"/>
    <w:rsid w:val="00D235E1"/>
    <w:rsid w:val="00D357CB"/>
    <w:rsid w:val="00D45484"/>
    <w:rsid w:val="00D50088"/>
    <w:rsid w:val="00D50F3E"/>
    <w:rsid w:val="00D54AA3"/>
    <w:rsid w:val="00D57685"/>
    <w:rsid w:val="00D6765B"/>
    <w:rsid w:val="00D7183A"/>
    <w:rsid w:val="00D72328"/>
    <w:rsid w:val="00D7294C"/>
    <w:rsid w:val="00D74F93"/>
    <w:rsid w:val="00D75AD8"/>
    <w:rsid w:val="00D75C8A"/>
    <w:rsid w:val="00D76FD2"/>
    <w:rsid w:val="00D772D7"/>
    <w:rsid w:val="00D868C8"/>
    <w:rsid w:val="00D87DE9"/>
    <w:rsid w:val="00D91095"/>
    <w:rsid w:val="00DA074E"/>
    <w:rsid w:val="00DA1B79"/>
    <w:rsid w:val="00DA5FCF"/>
    <w:rsid w:val="00DB2019"/>
    <w:rsid w:val="00DB240D"/>
    <w:rsid w:val="00DC0B7C"/>
    <w:rsid w:val="00DC4005"/>
    <w:rsid w:val="00DC48C4"/>
    <w:rsid w:val="00DC5D11"/>
    <w:rsid w:val="00DC5EFC"/>
    <w:rsid w:val="00DC5F90"/>
    <w:rsid w:val="00DD5D93"/>
    <w:rsid w:val="00DD69B7"/>
    <w:rsid w:val="00DE4107"/>
    <w:rsid w:val="00DF4883"/>
    <w:rsid w:val="00DF5AFD"/>
    <w:rsid w:val="00DF5B70"/>
    <w:rsid w:val="00DF5CC0"/>
    <w:rsid w:val="00DF67BC"/>
    <w:rsid w:val="00E01863"/>
    <w:rsid w:val="00E01A2B"/>
    <w:rsid w:val="00E030DC"/>
    <w:rsid w:val="00E05132"/>
    <w:rsid w:val="00E07B59"/>
    <w:rsid w:val="00E1004F"/>
    <w:rsid w:val="00E1022E"/>
    <w:rsid w:val="00E1124F"/>
    <w:rsid w:val="00E13691"/>
    <w:rsid w:val="00E1393D"/>
    <w:rsid w:val="00E15FAF"/>
    <w:rsid w:val="00E225E4"/>
    <w:rsid w:val="00E226CA"/>
    <w:rsid w:val="00E352AB"/>
    <w:rsid w:val="00E35B24"/>
    <w:rsid w:val="00E36392"/>
    <w:rsid w:val="00E40554"/>
    <w:rsid w:val="00E408B8"/>
    <w:rsid w:val="00E415C4"/>
    <w:rsid w:val="00E420A1"/>
    <w:rsid w:val="00E42F5A"/>
    <w:rsid w:val="00E45375"/>
    <w:rsid w:val="00E46D98"/>
    <w:rsid w:val="00E47148"/>
    <w:rsid w:val="00E534A3"/>
    <w:rsid w:val="00E5361D"/>
    <w:rsid w:val="00E57BB8"/>
    <w:rsid w:val="00E61385"/>
    <w:rsid w:val="00E63418"/>
    <w:rsid w:val="00E63898"/>
    <w:rsid w:val="00E63DA0"/>
    <w:rsid w:val="00E64CCF"/>
    <w:rsid w:val="00E90369"/>
    <w:rsid w:val="00E90EF7"/>
    <w:rsid w:val="00E92679"/>
    <w:rsid w:val="00E9296E"/>
    <w:rsid w:val="00E95FC0"/>
    <w:rsid w:val="00E977FA"/>
    <w:rsid w:val="00EA0642"/>
    <w:rsid w:val="00EA20A1"/>
    <w:rsid w:val="00EA24AA"/>
    <w:rsid w:val="00EA4CD4"/>
    <w:rsid w:val="00EB1D0F"/>
    <w:rsid w:val="00EB2E9F"/>
    <w:rsid w:val="00EB39A1"/>
    <w:rsid w:val="00EB5ED0"/>
    <w:rsid w:val="00EC0737"/>
    <w:rsid w:val="00EC503E"/>
    <w:rsid w:val="00EC6B18"/>
    <w:rsid w:val="00EC7963"/>
    <w:rsid w:val="00EE0FFB"/>
    <w:rsid w:val="00EE18E1"/>
    <w:rsid w:val="00EE1998"/>
    <w:rsid w:val="00EE2A02"/>
    <w:rsid w:val="00EE4FCD"/>
    <w:rsid w:val="00EE5449"/>
    <w:rsid w:val="00EF3AF9"/>
    <w:rsid w:val="00EF73EB"/>
    <w:rsid w:val="00EF7B7D"/>
    <w:rsid w:val="00F0189A"/>
    <w:rsid w:val="00F06293"/>
    <w:rsid w:val="00F07B00"/>
    <w:rsid w:val="00F10DAE"/>
    <w:rsid w:val="00F12715"/>
    <w:rsid w:val="00F24C10"/>
    <w:rsid w:val="00F254AB"/>
    <w:rsid w:val="00F26CC9"/>
    <w:rsid w:val="00F26D72"/>
    <w:rsid w:val="00F30BA7"/>
    <w:rsid w:val="00F3316B"/>
    <w:rsid w:val="00F362DF"/>
    <w:rsid w:val="00F441F3"/>
    <w:rsid w:val="00F52371"/>
    <w:rsid w:val="00F53A9F"/>
    <w:rsid w:val="00F5405D"/>
    <w:rsid w:val="00F542F4"/>
    <w:rsid w:val="00F54D4C"/>
    <w:rsid w:val="00F568BA"/>
    <w:rsid w:val="00F56F29"/>
    <w:rsid w:val="00F57892"/>
    <w:rsid w:val="00F627BA"/>
    <w:rsid w:val="00F63CD5"/>
    <w:rsid w:val="00F7198F"/>
    <w:rsid w:val="00F741A1"/>
    <w:rsid w:val="00F77AE0"/>
    <w:rsid w:val="00F8237E"/>
    <w:rsid w:val="00F86F1A"/>
    <w:rsid w:val="00F91B68"/>
    <w:rsid w:val="00F9272D"/>
    <w:rsid w:val="00F9541D"/>
    <w:rsid w:val="00FA147C"/>
    <w:rsid w:val="00FA626C"/>
    <w:rsid w:val="00FA7026"/>
    <w:rsid w:val="00FB49F7"/>
    <w:rsid w:val="00FB5E73"/>
    <w:rsid w:val="00FB66BB"/>
    <w:rsid w:val="00FB721B"/>
    <w:rsid w:val="00FB761C"/>
    <w:rsid w:val="00FC0868"/>
    <w:rsid w:val="00FC0D68"/>
    <w:rsid w:val="00FC66DB"/>
    <w:rsid w:val="00FC693D"/>
    <w:rsid w:val="00FC7662"/>
    <w:rsid w:val="00FC7B91"/>
    <w:rsid w:val="00FD33D5"/>
    <w:rsid w:val="00FE08AD"/>
    <w:rsid w:val="00FE0D02"/>
    <w:rsid w:val="00FE12B2"/>
    <w:rsid w:val="00FE2A76"/>
    <w:rsid w:val="00FE3A1E"/>
    <w:rsid w:val="00FE3B28"/>
    <w:rsid w:val="00FF0A89"/>
    <w:rsid w:val="00FF0BA4"/>
    <w:rsid w:val="02B7624C"/>
    <w:rsid w:val="03E220B1"/>
    <w:rsid w:val="04255C4C"/>
    <w:rsid w:val="043E78DB"/>
    <w:rsid w:val="04645078"/>
    <w:rsid w:val="059524BC"/>
    <w:rsid w:val="06470A04"/>
    <w:rsid w:val="06917DCF"/>
    <w:rsid w:val="06946B6E"/>
    <w:rsid w:val="07B45841"/>
    <w:rsid w:val="07D339C6"/>
    <w:rsid w:val="08362309"/>
    <w:rsid w:val="08504937"/>
    <w:rsid w:val="09625482"/>
    <w:rsid w:val="0A6F6B3B"/>
    <w:rsid w:val="0C356949"/>
    <w:rsid w:val="0CA6467F"/>
    <w:rsid w:val="0D254CCC"/>
    <w:rsid w:val="0DEA53DA"/>
    <w:rsid w:val="0E757B85"/>
    <w:rsid w:val="0EBE29D2"/>
    <w:rsid w:val="0EC248F6"/>
    <w:rsid w:val="0ED0275F"/>
    <w:rsid w:val="113529A2"/>
    <w:rsid w:val="114451DF"/>
    <w:rsid w:val="124279FC"/>
    <w:rsid w:val="12495E46"/>
    <w:rsid w:val="12D766AA"/>
    <w:rsid w:val="12E6549C"/>
    <w:rsid w:val="1340774D"/>
    <w:rsid w:val="140B311F"/>
    <w:rsid w:val="143973A7"/>
    <w:rsid w:val="14522159"/>
    <w:rsid w:val="15314028"/>
    <w:rsid w:val="17EC44CB"/>
    <w:rsid w:val="18455282"/>
    <w:rsid w:val="198025ED"/>
    <w:rsid w:val="19BC0D1B"/>
    <w:rsid w:val="19C3097F"/>
    <w:rsid w:val="19DB0CD6"/>
    <w:rsid w:val="19F2287A"/>
    <w:rsid w:val="1A622AE9"/>
    <w:rsid w:val="1B015FD9"/>
    <w:rsid w:val="1B19589E"/>
    <w:rsid w:val="1BA142B9"/>
    <w:rsid w:val="1BB355FD"/>
    <w:rsid w:val="1BE42050"/>
    <w:rsid w:val="1C161887"/>
    <w:rsid w:val="1C623C74"/>
    <w:rsid w:val="1C954CD6"/>
    <w:rsid w:val="1CB16406"/>
    <w:rsid w:val="1D63667C"/>
    <w:rsid w:val="1E496E49"/>
    <w:rsid w:val="1F07508B"/>
    <w:rsid w:val="1F0D55A5"/>
    <w:rsid w:val="1F3E7561"/>
    <w:rsid w:val="1F431715"/>
    <w:rsid w:val="1F510DCE"/>
    <w:rsid w:val="1FD51FB0"/>
    <w:rsid w:val="202A2888"/>
    <w:rsid w:val="20A474A0"/>
    <w:rsid w:val="20B3038F"/>
    <w:rsid w:val="20C718F8"/>
    <w:rsid w:val="2133399E"/>
    <w:rsid w:val="218A47DC"/>
    <w:rsid w:val="2211698F"/>
    <w:rsid w:val="221C2930"/>
    <w:rsid w:val="222871B2"/>
    <w:rsid w:val="22BC6BAD"/>
    <w:rsid w:val="23161D12"/>
    <w:rsid w:val="23241AEC"/>
    <w:rsid w:val="23A763B5"/>
    <w:rsid w:val="23D9610A"/>
    <w:rsid w:val="24177FCA"/>
    <w:rsid w:val="242E48A7"/>
    <w:rsid w:val="244D30D3"/>
    <w:rsid w:val="246A6C90"/>
    <w:rsid w:val="251226A9"/>
    <w:rsid w:val="259B31E7"/>
    <w:rsid w:val="26565004"/>
    <w:rsid w:val="267872EA"/>
    <w:rsid w:val="26A763FC"/>
    <w:rsid w:val="27356372"/>
    <w:rsid w:val="27B84247"/>
    <w:rsid w:val="2809570F"/>
    <w:rsid w:val="28154AE0"/>
    <w:rsid w:val="28B171A2"/>
    <w:rsid w:val="29090D21"/>
    <w:rsid w:val="2A20179D"/>
    <w:rsid w:val="2A73683E"/>
    <w:rsid w:val="2B193F6F"/>
    <w:rsid w:val="2BAB24F4"/>
    <w:rsid w:val="2C3D0221"/>
    <w:rsid w:val="2D0C025E"/>
    <w:rsid w:val="2D895FDB"/>
    <w:rsid w:val="2DA95BA7"/>
    <w:rsid w:val="2DE979AB"/>
    <w:rsid w:val="2E675C07"/>
    <w:rsid w:val="2E9D3C5B"/>
    <w:rsid w:val="2F2231DB"/>
    <w:rsid w:val="303B0E1F"/>
    <w:rsid w:val="30776C64"/>
    <w:rsid w:val="309A4E14"/>
    <w:rsid w:val="31EF0910"/>
    <w:rsid w:val="32A550C7"/>
    <w:rsid w:val="345B535D"/>
    <w:rsid w:val="34DB2DD1"/>
    <w:rsid w:val="356D7A88"/>
    <w:rsid w:val="357000CE"/>
    <w:rsid w:val="35AD5556"/>
    <w:rsid w:val="36DB1203"/>
    <w:rsid w:val="36F70557"/>
    <w:rsid w:val="372D37D2"/>
    <w:rsid w:val="37824682"/>
    <w:rsid w:val="37C23E36"/>
    <w:rsid w:val="37CC760F"/>
    <w:rsid w:val="3862667F"/>
    <w:rsid w:val="390F3484"/>
    <w:rsid w:val="3B372E05"/>
    <w:rsid w:val="3B652103"/>
    <w:rsid w:val="3B777619"/>
    <w:rsid w:val="3CFB7F4C"/>
    <w:rsid w:val="3E5C49AB"/>
    <w:rsid w:val="3EE04355"/>
    <w:rsid w:val="3EFC1E31"/>
    <w:rsid w:val="3F411E5D"/>
    <w:rsid w:val="3F757F36"/>
    <w:rsid w:val="40944351"/>
    <w:rsid w:val="41016309"/>
    <w:rsid w:val="413F035C"/>
    <w:rsid w:val="416F172F"/>
    <w:rsid w:val="419C389B"/>
    <w:rsid w:val="41DC7BE4"/>
    <w:rsid w:val="444B0C73"/>
    <w:rsid w:val="453D182B"/>
    <w:rsid w:val="45C23823"/>
    <w:rsid w:val="46340F2E"/>
    <w:rsid w:val="46BC6036"/>
    <w:rsid w:val="47884CC7"/>
    <w:rsid w:val="487B2E38"/>
    <w:rsid w:val="48DF33D4"/>
    <w:rsid w:val="4A496916"/>
    <w:rsid w:val="4A7C1915"/>
    <w:rsid w:val="4ABD5821"/>
    <w:rsid w:val="4B315A3D"/>
    <w:rsid w:val="4B3B24B9"/>
    <w:rsid w:val="4B8D7117"/>
    <w:rsid w:val="4C892CA6"/>
    <w:rsid w:val="4CA02EC1"/>
    <w:rsid w:val="4CC6173D"/>
    <w:rsid w:val="4CCC2461"/>
    <w:rsid w:val="4CFC532E"/>
    <w:rsid w:val="4D36650B"/>
    <w:rsid w:val="4D827719"/>
    <w:rsid w:val="4DBD6297"/>
    <w:rsid w:val="4DCE4056"/>
    <w:rsid w:val="4DE532A6"/>
    <w:rsid w:val="4F4D7DBE"/>
    <w:rsid w:val="4FAC6A0F"/>
    <w:rsid w:val="501722AD"/>
    <w:rsid w:val="518D21E0"/>
    <w:rsid w:val="51E91D78"/>
    <w:rsid w:val="51F10F2C"/>
    <w:rsid w:val="52483BB1"/>
    <w:rsid w:val="53617407"/>
    <w:rsid w:val="53BB031F"/>
    <w:rsid w:val="53FF21D9"/>
    <w:rsid w:val="544B59AE"/>
    <w:rsid w:val="54BC2F36"/>
    <w:rsid w:val="54FB3CF8"/>
    <w:rsid w:val="550F1949"/>
    <w:rsid w:val="55333AE0"/>
    <w:rsid w:val="554A5CEE"/>
    <w:rsid w:val="5589462D"/>
    <w:rsid w:val="5593256D"/>
    <w:rsid w:val="57695971"/>
    <w:rsid w:val="57916601"/>
    <w:rsid w:val="57C0138B"/>
    <w:rsid w:val="58391116"/>
    <w:rsid w:val="590244E4"/>
    <w:rsid w:val="596A2F28"/>
    <w:rsid w:val="59E3084A"/>
    <w:rsid w:val="5A1464AD"/>
    <w:rsid w:val="5AB84216"/>
    <w:rsid w:val="5B1B2FA6"/>
    <w:rsid w:val="5C464521"/>
    <w:rsid w:val="5C6A31E5"/>
    <w:rsid w:val="5C8902A5"/>
    <w:rsid w:val="5DF9317F"/>
    <w:rsid w:val="5EEB4D92"/>
    <w:rsid w:val="5F7C1FAC"/>
    <w:rsid w:val="5FB159CD"/>
    <w:rsid w:val="60B82C07"/>
    <w:rsid w:val="60D02AA9"/>
    <w:rsid w:val="61304D03"/>
    <w:rsid w:val="61A977EC"/>
    <w:rsid w:val="62137FEA"/>
    <w:rsid w:val="62B12FAF"/>
    <w:rsid w:val="63321D06"/>
    <w:rsid w:val="64654D25"/>
    <w:rsid w:val="647F5A95"/>
    <w:rsid w:val="64B63D82"/>
    <w:rsid w:val="64F43F8D"/>
    <w:rsid w:val="6508335F"/>
    <w:rsid w:val="651445AE"/>
    <w:rsid w:val="653F56B9"/>
    <w:rsid w:val="658F5210"/>
    <w:rsid w:val="65A35F01"/>
    <w:rsid w:val="65F43260"/>
    <w:rsid w:val="66344D29"/>
    <w:rsid w:val="66D82555"/>
    <w:rsid w:val="67211FB9"/>
    <w:rsid w:val="67B6759E"/>
    <w:rsid w:val="67C20977"/>
    <w:rsid w:val="68274FB8"/>
    <w:rsid w:val="68FD0ACD"/>
    <w:rsid w:val="69593717"/>
    <w:rsid w:val="699E19CF"/>
    <w:rsid w:val="69BA4014"/>
    <w:rsid w:val="69F20F61"/>
    <w:rsid w:val="6B057DD6"/>
    <w:rsid w:val="6BEC1D4A"/>
    <w:rsid w:val="6D0260E5"/>
    <w:rsid w:val="6D0854A3"/>
    <w:rsid w:val="6D602009"/>
    <w:rsid w:val="6EFA21B6"/>
    <w:rsid w:val="6F8D7AC0"/>
    <w:rsid w:val="703272B9"/>
    <w:rsid w:val="70FA7B6B"/>
    <w:rsid w:val="72557CCD"/>
    <w:rsid w:val="72924175"/>
    <w:rsid w:val="735B2C4C"/>
    <w:rsid w:val="73892147"/>
    <w:rsid w:val="74EC7395"/>
    <w:rsid w:val="750B3CB5"/>
    <w:rsid w:val="75243E8C"/>
    <w:rsid w:val="76447A48"/>
    <w:rsid w:val="768D7A8F"/>
    <w:rsid w:val="76BB03A9"/>
    <w:rsid w:val="76BF1A9C"/>
    <w:rsid w:val="76E51AD2"/>
    <w:rsid w:val="76FC6DCB"/>
    <w:rsid w:val="77335562"/>
    <w:rsid w:val="78E6462E"/>
    <w:rsid w:val="794F1F27"/>
    <w:rsid w:val="796735C6"/>
    <w:rsid w:val="7A814144"/>
    <w:rsid w:val="7A8208A6"/>
    <w:rsid w:val="7B90024F"/>
    <w:rsid w:val="7BB65B65"/>
    <w:rsid w:val="7BBD1613"/>
    <w:rsid w:val="7BDF0A67"/>
    <w:rsid w:val="7BF33E63"/>
    <w:rsid w:val="7BFC15CB"/>
    <w:rsid w:val="7C464F3C"/>
    <w:rsid w:val="7CC00072"/>
    <w:rsid w:val="7D1F2218"/>
    <w:rsid w:val="7EB82523"/>
    <w:rsid w:val="7EFB3869"/>
    <w:rsid w:val="7FAF4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widowControl/>
      <w:spacing w:before="100" w:beforeAutospacing="1" w:after="100" w:afterAutospacing="1"/>
      <w:jc w:val="left"/>
      <w:outlineLvl w:val="2"/>
    </w:pPr>
    <w:rPr>
      <w:rFonts w:ascii="宋体" w:hAnsi="宋体" w:cs="宋体"/>
      <w:b/>
      <w:bCs/>
      <w:kern w:val="0"/>
      <w:sz w:val="27"/>
      <w:szCs w:val="27"/>
    </w:rPr>
  </w:style>
  <w:style w:type="paragraph" w:styleId="5">
    <w:name w:val="heading 4"/>
    <w:basedOn w:val="1"/>
    <w:next w:val="1"/>
    <w:unhideWhenUsed/>
    <w:qFormat/>
    <w:uiPriority w:val="9"/>
    <w:pPr>
      <w:keepNext/>
      <w:keepLines/>
      <w:spacing w:line="360" w:lineRule="auto"/>
      <w:ind w:firstLine="200" w:firstLineChars="200"/>
      <w:outlineLvl w:val="3"/>
    </w:pPr>
    <w:rPr>
      <w:rFonts w:ascii="Cambria" w:hAnsi="Cambria"/>
      <w:b/>
      <w:bCs/>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unhideWhenUsed/>
    <w:qFormat/>
    <w:uiPriority w:val="99"/>
    <w:pPr>
      <w:spacing w:line="400" w:lineRule="exact"/>
      <w:jc w:val="left"/>
    </w:pPr>
    <w:rPr>
      <w:rFonts w:ascii="Calibri" w:hAnsi="Calibri"/>
      <w:kern w:val="0"/>
      <w:sz w:val="24"/>
      <w:szCs w:val="24"/>
    </w:rPr>
  </w:style>
  <w:style w:type="paragraph" w:styleId="7">
    <w:name w:val="Body Text"/>
    <w:basedOn w:val="1"/>
    <w:unhideWhenUsed/>
    <w:qFormat/>
    <w:uiPriority w:val="99"/>
    <w:pPr>
      <w:adjustRightInd w:val="0"/>
      <w:snapToGrid w:val="0"/>
    </w:pPr>
    <w:rPr>
      <w:color w:val="000000"/>
      <w:sz w:val="15"/>
      <w:szCs w:val="24"/>
    </w:rPr>
  </w:style>
  <w:style w:type="paragraph" w:styleId="8">
    <w:name w:val="toc 3"/>
    <w:basedOn w:val="1"/>
    <w:next w:val="1"/>
    <w:unhideWhenUsed/>
    <w:qFormat/>
    <w:uiPriority w:val="39"/>
    <w:pPr>
      <w:ind w:left="840" w:leftChars="400"/>
    </w:pPr>
  </w:style>
  <w:style w:type="paragraph" w:styleId="9">
    <w:name w:val="Plain Text"/>
    <w:basedOn w:val="1"/>
    <w:qFormat/>
    <w:uiPriority w:val="0"/>
    <w:pPr>
      <w:tabs>
        <w:tab w:val="center" w:pos="4201"/>
        <w:tab w:val="right" w:leader="dot" w:pos="9298"/>
      </w:tabs>
    </w:pPr>
    <w:rPr>
      <w:rFonts w:ascii="宋体" w:hAnsi="Courier New" w:cs="Courier New"/>
      <w:szCs w:val="21"/>
    </w:rPr>
  </w:style>
  <w:style w:type="paragraph" w:styleId="10">
    <w:name w:val="Date"/>
    <w:basedOn w:val="1"/>
    <w:next w:val="1"/>
    <w:qFormat/>
    <w:uiPriority w:val="0"/>
    <w:pPr>
      <w:ind w:left="100" w:leftChars="2500"/>
    </w:pPr>
  </w:style>
  <w:style w:type="paragraph" w:styleId="11">
    <w:name w:val="Body Text Indent 2"/>
    <w:basedOn w:val="1"/>
    <w:unhideWhenUsed/>
    <w:qFormat/>
    <w:uiPriority w:val="99"/>
    <w:pPr>
      <w:spacing w:after="120" w:line="480" w:lineRule="auto"/>
      <w:ind w:left="420" w:leftChars="200"/>
    </w:pPr>
  </w:style>
  <w:style w:type="paragraph" w:styleId="12">
    <w:name w:val="Balloon Text"/>
    <w:basedOn w:val="1"/>
    <w:link w:val="26"/>
    <w:qFormat/>
    <w:uiPriority w:val="0"/>
    <w:rPr>
      <w:sz w:val="18"/>
      <w:szCs w:val="18"/>
    </w:rPr>
  </w:style>
  <w:style w:type="paragraph" w:styleId="13">
    <w:name w:val="footer"/>
    <w:basedOn w:val="1"/>
    <w:link w:val="27"/>
    <w:qFormat/>
    <w:uiPriority w:val="99"/>
    <w:pPr>
      <w:tabs>
        <w:tab w:val="center" w:pos="4153"/>
        <w:tab w:val="right" w:pos="8306"/>
      </w:tabs>
      <w:snapToGrid w:val="0"/>
      <w:jc w:val="left"/>
    </w:pPr>
    <w:rPr>
      <w:sz w:val="18"/>
      <w:szCs w:val="18"/>
    </w:rPr>
  </w:style>
  <w:style w:type="paragraph" w:styleId="14">
    <w:name w:val="header"/>
    <w:basedOn w:val="1"/>
    <w:link w:val="28"/>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toc 2"/>
    <w:basedOn w:val="1"/>
    <w:next w:val="1"/>
    <w:unhideWhenUsed/>
    <w:qFormat/>
    <w:uiPriority w:val="39"/>
    <w:pPr>
      <w:ind w:left="420" w:leftChars="200"/>
    </w:pPr>
  </w:style>
  <w:style w:type="paragraph" w:styleId="17">
    <w:name w:val="Normal (Web)"/>
    <w:basedOn w:val="1"/>
    <w:unhideWhenUsed/>
    <w:qFormat/>
    <w:uiPriority w:val="99"/>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styleId="18">
    <w:name w:val="Title"/>
    <w:basedOn w:val="1"/>
    <w:next w:val="1"/>
    <w:qFormat/>
    <w:uiPriority w:val="0"/>
    <w:pPr>
      <w:tabs>
        <w:tab w:val="center" w:pos="4201"/>
        <w:tab w:val="right" w:leader="dot" w:pos="9298"/>
      </w:tabs>
      <w:spacing w:before="240" w:after="60"/>
      <w:jc w:val="center"/>
      <w:outlineLvl w:val="0"/>
    </w:pPr>
    <w:rPr>
      <w:rFonts w:ascii="Calibri Light" w:hAnsi="Calibri Light"/>
      <w:b/>
      <w:bCs/>
      <w:sz w:val="32"/>
      <w:szCs w:val="32"/>
    </w:rPr>
  </w:style>
  <w:style w:type="table" w:styleId="20">
    <w:name w:val="Table Grid"/>
    <w:basedOn w:val="1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rFonts w:ascii="Times New Roman" w:hAnsi="Times New Roman" w:eastAsia="宋体" w:cs="Times New Roman"/>
      <w:b/>
      <w:bCs/>
    </w:rPr>
  </w:style>
  <w:style w:type="character" w:styleId="23">
    <w:name w:val="Emphasis"/>
    <w:qFormat/>
    <w:uiPriority w:val="0"/>
    <w:rPr>
      <w:rFonts w:ascii="Times New Roman" w:hAnsi="Times New Roman" w:eastAsia="宋体" w:cs="Times New Roman"/>
      <w:i/>
      <w:iCs/>
    </w:rPr>
  </w:style>
  <w:style w:type="character" w:styleId="24">
    <w:name w:val="Hyperlink"/>
    <w:basedOn w:val="21"/>
    <w:qFormat/>
    <w:uiPriority w:val="99"/>
    <w:rPr>
      <w:rFonts w:ascii="Times New Roman" w:hAnsi="Times New Roman" w:eastAsia="宋体" w:cs="Times New Roman"/>
      <w:color w:val="0000FF"/>
      <w:u w:val="single"/>
    </w:rPr>
  </w:style>
  <w:style w:type="character" w:customStyle="1" w:styleId="25">
    <w:name w:val="标题 1 字符"/>
    <w:link w:val="2"/>
    <w:qFormat/>
    <w:uiPriority w:val="9"/>
    <w:rPr>
      <w:rFonts w:ascii="Times New Roman" w:hAnsi="Times New Roman" w:eastAsia="宋体" w:cs="Times New Roman"/>
      <w:b/>
      <w:bCs/>
      <w:kern w:val="44"/>
      <w:sz w:val="44"/>
      <w:szCs w:val="44"/>
    </w:rPr>
  </w:style>
  <w:style w:type="character" w:customStyle="1" w:styleId="26">
    <w:name w:val="批注框文本 字符"/>
    <w:link w:val="12"/>
    <w:qFormat/>
    <w:uiPriority w:val="0"/>
    <w:rPr>
      <w:rFonts w:ascii="Times New Roman" w:hAnsi="Times New Roman" w:eastAsia="宋体" w:cs="Times New Roman"/>
      <w:kern w:val="2"/>
      <w:sz w:val="18"/>
      <w:szCs w:val="18"/>
    </w:rPr>
  </w:style>
  <w:style w:type="character" w:customStyle="1" w:styleId="27">
    <w:name w:val="页脚 字符"/>
    <w:link w:val="13"/>
    <w:qFormat/>
    <w:uiPriority w:val="99"/>
    <w:rPr>
      <w:rFonts w:ascii="Times New Roman" w:hAnsi="Times New Roman" w:eastAsia="宋体" w:cs="Times New Roman"/>
      <w:kern w:val="2"/>
      <w:sz w:val="18"/>
      <w:szCs w:val="18"/>
    </w:rPr>
  </w:style>
  <w:style w:type="character" w:customStyle="1" w:styleId="28">
    <w:name w:val="页眉 字符"/>
    <w:link w:val="14"/>
    <w:qFormat/>
    <w:uiPriority w:val="99"/>
    <w:rPr>
      <w:rFonts w:ascii="Times New Roman" w:hAnsi="Times New Roman" w:eastAsia="宋体" w:cs="Times New Roman"/>
      <w:kern w:val="2"/>
      <w:sz w:val="18"/>
      <w:szCs w:val="18"/>
    </w:rPr>
  </w:style>
  <w:style w:type="character" w:customStyle="1" w:styleId="29">
    <w:name w:val="发布"/>
    <w:basedOn w:val="21"/>
    <w:qFormat/>
    <w:uiPriority w:val="0"/>
    <w:rPr>
      <w:rFonts w:ascii="黑体" w:hAnsi="Times New Roman" w:eastAsia="黑体" w:cs="Times New Roman"/>
      <w:spacing w:val="85"/>
      <w:w w:val="100"/>
      <w:position w:val="3"/>
      <w:sz w:val="28"/>
      <w:szCs w:val="28"/>
    </w:rPr>
  </w:style>
  <w:style w:type="character" w:customStyle="1" w:styleId="30">
    <w:name w:val="段 Char"/>
    <w:link w:val="31"/>
    <w:qFormat/>
    <w:uiPriority w:val="0"/>
    <w:rPr>
      <w:rFonts w:ascii="宋体"/>
      <w:sz w:val="21"/>
      <w:lang w:val="en-US" w:eastAsia="zh-CN" w:bidi="ar-SA"/>
    </w:rPr>
  </w:style>
  <w:style w:type="paragraph" w:customStyle="1" w:styleId="31">
    <w:name w:val="段"/>
    <w:link w:val="3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2">
    <w:name w:val="apple-converted-space"/>
    <w:qFormat/>
    <w:uiPriority w:val="0"/>
    <w:rPr>
      <w:rFonts w:ascii="Times New Roman" w:hAnsi="Times New Roman" w:eastAsia="宋体" w:cs="Times New Roman"/>
    </w:rPr>
  </w:style>
  <w:style w:type="character" w:customStyle="1" w:styleId="33">
    <w:name w:val="gt-baf-back1"/>
    <w:qFormat/>
    <w:uiPriority w:val="0"/>
  </w:style>
  <w:style w:type="character" w:customStyle="1" w:styleId="34">
    <w:name w:val="hps"/>
    <w:qFormat/>
    <w:uiPriority w:val="0"/>
  </w:style>
  <w:style w:type="paragraph" w:customStyle="1" w:styleId="35">
    <w:name w:val="封面一致性程度标识"/>
    <w:basedOn w:val="36"/>
    <w:qFormat/>
    <w:uiPriority w:val="0"/>
    <w:pPr>
      <w:spacing w:before="440"/>
    </w:pPr>
    <w:rPr>
      <w:rFonts w:ascii="宋体" w:eastAsia="宋体"/>
    </w:rPr>
  </w:style>
  <w:style w:type="paragraph" w:customStyle="1" w:styleId="36">
    <w:name w:val="封面标准英文名称"/>
    <w:basedOn w:val="37"/>
    <w:qFormat/>
    <w:uiPriority w:val="0"/>
    <w:pPr>
      <w:framePr w:w="9639" w:vAnchor="page" w:hAnchor="page" w:y="6408"/>
      <w:spacing w:before="370" w:line="400" w:lineRule="exact"/>
    </w:pPr>
    <w:rPr>
      <w:rFonts w:ascii="Times New Roman"/>
      <w:sz w:val="28"/>
      <w:szCs w:val="28"/>
    </w:rPr>
  </w:style>
  <w:style w:type="paragraph" w:customStyle="1" w:styleId="3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8">
    <w:name w:val="正文表标题"/>
    <w:next w:val="31"/>
    <w:qFormat/>
    <w:uiPriority w:val="0"/>
    <w:pPr>
      <w:spacing w:before="156" w:beforeLines="50" w:after="156" w:afterLines="50"/>
      <w:jc w:val="center"/>
    </w:pPr>
    <w:rPr>
      <w:rFonts w:ascii="黑体" w:hAnsi="Times New Roman" w:eastAsia="黑体" w:cs="Times New Roman"/>
      <w:sz w:val="21"/>
      <w:lang w:val="en-US" w:eastAsia="zh-CN" w:bidi="ar-SA"/>
    </w:rPr>
  </w:style>
  <w:style w:type="paragraph" w:customStyle="1" w:styleId="39">
    <w:name w:val="Char Char Char Char"/>
    <w:basedOn w:val="1"/>
    <w:qFormat/>
    <w:uiPriority w:val="0"/>
    <w:rPr>
      <w:rFonts w:ascii="仿宋_GB2312" w:eastAsia="仿宋_GB2312"/>
      <w:b/>
      <w:sz w:val="32"/>
      <w:szCs w:val="32"/>
    </w:rPr>
  </w:style>
  <w:style w:type="paragraph" w:customStyle="1" w:styleId="4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41">
    <w:name w:val="WPSOffice手动目录 1"/>
    <w:qFormat/>
    <w:uiPriority w:val="0"/>
    <w:rPr>
      <w:rFonts w:ascii="Times New Roman" w:hAnsi="Times New Roman" w:eastAsia="宋体" w:cs="Times New Roman"/>
      <w:lang w:val="en-US" w:eastAsia="zh-CN" w:bidi="ar-SA"/>
    </w:rPr>
  </w:style>
  <w:style w:type="paragraph" w:customStyle="1" w:styleId="42">
    <w:name w:val="其他实施日期"/>
    <w:basedOn w:val="43"/>
    <w:qFormat/>
    <w:uiPriority w:val="0"/>
    <w:pPr>
      <w:framePr w:w="3997" w:h="471" w:hRule="exact" w:vSpace="181" w:vAnchor="page" w:hAnchor="page" w:x="7089" w:y="14097"/>
    </w:pPr>
  </w:style>
  <w:style w:type="paragraph" w:customStyle="1" w:styleId="43">
    <w:name w:val="实施日期"/>
    <w:basedOn w:val="44"/>
    <w:qFormat/>
    <w:uiPriority w:val="0"/>
    <w:pPr>
      <w:framePr w:hSpace="0" w:xAlign="right"/>
      <w:jc w:val="right"/>
    </w:pPr>
  </w:style>
  <w:style w:type="paragraph" w:customStyle="1" w:styleId="4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45">
    <w:name w:val="一级条标题"/>
    <w:next w:val="3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6">
    <w:name w:val="四级条标题"/>
    <w:basedOn w:val="47"/>
    <w:next w:val="31"/>
    <w:qFormat/>
    <w:uiPriority w:val="0"/>
    <w:pPr>
      <w:numPr>
        <w:ilvl w:val="4"/>
      </w:numPr>
      <w:outlineLvl w:val="5"/>
    </w:pPr>
  </w:style>
  <w:style w:type="paragraph" w:customStyle="1" w:styleId="47">
    <w:name w:val="三级条标题"/>
    <w:basedOn w:val="48"/>
    <w:next w:val="31"/>
    <w:qFormat/>
    <w:uiPriority w:val="0"/>
    <w:pPr>
      <w:numPr>
        <w:ilvl w:val="3"/>
      </w:numPr>
      <w:outlineLvl w:val="4"/>
    </w:pPr>
  </w:style>
  <w:style w:type="paragraph" w:customStyle="1" w:styleId="48">
    <w:name w:val="二级条标题"/>
    <w:basedOn w:val="45"/>
    <w:next w:val="31"/>
    <w:qFormat/>
    <w:uiPriority w:val="0"/>
    <w:pPr>
      <w:numPr>
        <w:ilvl w:val="2"/>
      </w:numPr>
      <w:outlineLvl w:val="3"/>
    </w:pPr>
    <w:rPr>
      <w:rFonts w:ascii="Times New Roman" w:eastAsia="宋体"/>
    </w:rPr>
  </w:style>
  <w:style w:type="paragraph" w:customStyle="1" w:styleId="49">
    <w:name w:val="表内容"/>
    <w:basedOn w:val="1"/>
    <w:qFormat/>
    <w:uiPriority w:val="99"/>
    <w:pPr>
      <w:autoSpaceDE w:val="0"/>
      <w:autoSpaceDN w:val="0"/>
      <w:adjustRightInd w:val="0"/>
      <w:spacing w:before="34" w:after="34" w:line="320" w:lineRule="atLeast"/>
      <w:jc w:val="center"/>
      <w:textAlignment w:val="center"/>
    </w:pPr>
    <w:rPr>
      <w:rFonts w:ascii="宋体" w:cs="宋体"/>
      <w:color w:val="000000"/>
      <w:sz w:val="18"/>
      <w:szCs w:val="18"/>
      <w:lang w:val="zh-CN"/>
    </w:rPr>
  </w:style>
  <w:style w:type="paragraph" w:customStyle="1" w:styleId="50">
    <w:name w:val="前言、引言标题"/>
    <w:next w:val="3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1">
    <w:name w:val="标准文件_文件名称"/>
    <w:basedOn w:val="1"/>
    <w:next w:val="1"/>
    <w:qFormat/>
    <w:uiPriority w:val="0"/>
    <w:pPr>
      <w:framePr w:w="9639" w:h="6976" w:hRule="exact" w:wrap="around" w:vAnchor="page" w:hAnchor="page" w:y="6408"/>
      <w:widowControl/>
      <w:spacing w:line="700" w:lineRule="exact"/>
      <w:jc w:val="center"/>
    </w:pPr>
    <w:rPr>
      <w:rFonts w:ascii="黑体" w:hAnsi="黑体" w:eastAsia="黑体"/>
      <w:bCs/>
      <w:kern w:val="0"/>
      <w:sz w:val="52"/>
      <w:szCs w:val="20"/>
    </w:rPr>
  </w:style>
  <w:style w:type="paragraph" w:customStyle="1" w:styleId="52">
    <w:name w:val="五级条标题"/>
    <w:basedOn w:val="46"/>
    <w:next w:val="31"/>
    <w:qFormat/>
    <w:uiPriority w:val="0"/>
    <w:pPr>
      <w:numPr>
        <w:ilvl w:val="5"/>
      </w:numPr>
      <w:outlineLvl w:val="6"/>
    </w:pPr>
  </w:style>
  <w:style w:type="paragraph" w:customStyle="1" w:styleId="5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5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5">
    <w:name w:val="Table Paragraph"/>
    <w:basedOn w:val="1"/>
    <w:qFormat/>
    <w:uiPriority w:val="1"/>
    <w:pPr>
      <w:spacing w:line="360" w:lineRule="auto"/>
      <w:ind w:left="103" w:leftChars="1" w:right="25" w:rightChars="12"/>
    </w:pPr>
    <w:rPr>
      <w:rFonts w:ascii="华文中宋" w:hAnsi="华文中宋" w:cs="华文中宋"/>
      <w:kern w:val="0"/>
      <w:sz w:val="24"/>
    </w:rPr>
  </w:style>
  <w:style w:type="paragraph" w:customStyle="1" w:styleId="56">
    <w:name w:val="数字编号列项（二级）"/>
    <w:qFormat/>
    <w:uiPriority w:val="0"/>
    <w:pPr>
      <w:numPr>
        <w:ilvl w:val="1"/>
        <w:numId w:val="2"/>
      </w:numPr>
      <w:jc w:val="both"/>
    </w:pPr>
    <w:rPr>
      <w:rFonts w:ascii="宋体" w:hAnsi="Times New Roman" w:eastAsia="宋体" w:cs="Times New Roman"/>
      <w:sz w:val="21"/>
      <w:lang w:val="en-US" w:eastAsia="zh-CN" w:bidi="ar-SA"/>
    </w:rPr>
  </w:style>
  <w:style w:type="paragraph" w:customStyle="1" w:styleId="57">
    <w:name w:val="1 章"/>
    <w:basedOn w:val="1"/>
    <w:qFormat/>
    <w:uiPriority w:val="0"/>
    <w:pPr>
      <w:ind w:firstLine="140" w:firstLineChars="50"/>
      <w:jc w:val="center"/>
      <w:outlineLvl w:val="0"/>
    </w:pPr>
    <w:rPr>
      <w:rFonts w:ascii="黑体" w:hAnsi="Calibri" w:eastAsia="黑体" w:cs="宋体"/>
      <w:bCs/>
      <w:kern w:val="0"/>
      <w:sz w:val="28"/>
      <w:szCs w:val="28"/>
    </w:rPr>
  </w:style>
  <w:style w:type="paragraph" w:customStyle="1" w:styleId="5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9">
    <w:name w:val="_Style 56"/>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60">
    <w:name w:val="TOC 标题1"/>
    <w:basedOn w:val="2"/>
    <w:next w:val="1"/>
    <w:unhideWhenUsed/>
    <w:qFormat/>
    <w:uiPriority w:val="39"/>
    <w:pPr>
      <w:widowControl/>
      <w:spacing w:before="240" w:after="0" w:line="259" w:lineRule="auto"/>
      <w:jc w:val="left"/>
      <w:outlineLvl w:val="9"/>
    </w:pPr>
    <w:rPr>
      <w:rFonts w:ascii="Cambria" w:hAnsi="Cambria"/>
      <w:b w:val="0"/>
      <w:bCs w:val="0"/>
      <w:color w:val="366091"/>
      <w:kern w:val="0"/>
      <w:sz w:val="32"/>
      <w:szCs w:val="32"/>
    </w:rPr>
  </w:style>
  <w:style w:type="paragraph" w:customStyle="1" w:styleId="61">
    <w:name w:val="其他发布部门"/>
    <w:basedOn w:val="62"/>
    <w:qFormat/>
    <w:uiPriority w:val="0"/>
    <w:pPr>
      <w:framePr w:w="7938" w:h="1134" w:hRule="exact" w:hSpace="125" w:vSpace="181" w:vAnchor="page" w:hAnchor="page" w:x="2150" w:y="15310"/>
      <w:spacing w:line="0" w:lineRule="atLeast"/>
    </w:pPr>
    <w:rPr>
      <w:rFonts w:ascii="黑体" w:eastAsia="黑体"/>
      <w:spacing w:val="20"/>
      <w:sz w:val="28"/>
    </w:rPr>
  </w:style>
  <w:style w:type="paragraph" w:customStyle="1" w:styleId="62">
    <w:name w:val="发布部门"/>
    <w:next w:val="3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6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
    <w:name w:val="章标题"/>
    <w:next w:val="31"/>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65">
    <w:name w:val="7 修改正文（无编号）"/>
    <w:basedOn w:val="66"/>
    <w:qFormat/>
    <w:uiPriority w:val="0"/>
    <w:pPr>
      <w:ind w:firstLine="560" w:firstLineChars="200"/>
    </w:pPr>
    <w:rPr>
      <w:lang w:val="zh-CN"/>
    </w:rPr>
  </w:style>
  <w:style w:type="paragraph" w:customStyle="1" w:styleId="66">
    <w:name w:val="3 修改（有编号）"/>
    <w:basedOn w:val="1"/>
    <w:qFormat/>
    <w:uiPriority w:val="0"/>
    <w:rPr>
      <w:rFonts w:ascii="仿宋_GB2312" w:hAnsi="Calibri" w:eastAsia="仿宋_GB2312" w:cs="宋体"/>
      <w:bCs/>
      <w:kern w:val="0"/>
      <w:sz w:val="28"/>
      <w:szCs w:val="28"/>
    </w:rPr>
  </w:style>
  <w:style w:type="paragraph" w:customStyle="1" w:styleId="67">
    <w:name w:val="五级无"/>
    <w:basedOn w:val="52"/>
    <w:qFormat/>
    <w:uiPriority w:val="0"/>
    <w:pPr>
      <w:spacing w:before="0" w:beforeLines="0" w:after="0" w:afterLines="0"/>
    </w:pPr>
    <w:rPr>
      <w:rFonts w:ascii="宋体"/>
    </w:rPr>
  </w:style>
  <w:style w:type="paragraph" w:customStyle="1" w:styleId="6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9">
    <w:name w:val="条2"/>
    <w:basedOn w:val="1"/>
    <w:next w:val="31"/>
    <w:qFormat/>
    <w:uiPriority w:val="0"/>
    <w:pPr>
      <w:outlineLvl w:val="1"/>
    </w:pPr>
    <w:rPr>
      <w:rFonts w:ascii="黑体" w:eastAsia="黑体"/>
      <w:kern w:val="21"/>
      <w:szCs w:val="20"/>
    </w:rPr>
  </w:style>
  <w:style w:type="paragraph" w:customStyle="1" w:styleId="7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72">
    <w:name w:val="目次、标准名称标题"/>
    <w:basedOn w:val="1"/>
    <w:next w:val="3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73">
    <w:name w:val="封面标准文稿类别"/>
    <w:basedOn w:val="35"/>
    <w:qFormat/>
    <w:uiPriority w:val="0"/>
    <w:pPr>
      <w:spacing w:after="160" w:line="240" w:lineRule="auto"/>
    </w:pPr>
    <w:rPr>
      <w:rFonts w:ascii="Times New Roman"/>
      <w:sz w:val="24"/>
    </w:rPr>
  </w:style>
  <w:style w:type="paragraph" w:customStyle="1" w:styleId="74">
    <w:name w:val="1"/>
    <w:basedOn w:val="57"/>
    <w:next w:val="1"/>
    <w:qFormat/>
    <w:uiPriority w:val="0"/>
    <w:pPr>
      <w:spacing w:line="360" w:lineRule="auto"/>
      <w:ind w:firstLine="435"/>
    </w:pPr>
    <w:rPr>
      <w:b/>
      <w:szCs w:val="24"/>
    </w:rPr>
  </w:style>
  <w:style w:type="paragraph" w:customStyle="1" w:styleId="75">
    <w:name w:val="其他发布日期"/>
    <w:basedOn w:val="44"/>
    <w:qFormat/>
    <w:uiPriority w:val="0"/>
    <w:pPr>
      <w:framePr w:w="3997" w:h="471" w:hRule="exact" w:vSpace="181" w:vAnchor="page" w:hAnchor="page" w:x="1419" w:y="14097"/>
      <w:numPr>
        <w:ilvl w:val="0"/>
        <w:numId w:val="3"/>
      </w:numPr>
    </w:pPr>
  </w:style>
  <w:style w:type="paragraph" w:customStyle="1" w:styleId="76">
    <w:name w:val="_Style 73"/>
    <w:unhideWhenUsed/>
    <w:qFormat/>
    <w:uiPriority w:val="99"/>
    <w:rPr>
      <w:rFonts w:ascii="Times New Roman" w:hAnsi="Times New Roman" w:eastAsia="宋体" w:cs="Times New Roman"/>
      <w:kern w:val="2"/>
      <w:sz w:val="21"/>
      <w:szCs w:val="21"/>
      <w:lang w:val="en-US" w:eastAsia="zh-CN" w:bidi="ar-SA"/>
    </w:rPr>
  </w:style>
  <w:style w:type="paragraph" w:customStyle="1" w:styleId="77">
    <w:name w:val="Body text|1"/>
    <w:basedOn w:val="1"/>
    <w:qFormat/>
    <w:uiPriority w:val="0"/>
    <w:pPr>
      <w:spacing w:line="338" w:lineRule="auto"/>
      <w:ind w:firstLine="400"/>
      <w:jc w:val="left"/>
    </w:pPr>
    <w:rPr>
      <w:rFonts w:ascii="宋体" w:hAnsi="宋体" w:cs="宋体"/>
      <w:color w:val="000000"/>
      <w:kern w:val="0"/>
      <w:sz w:val="19"/>
      <w:szCs w:val="19"/>
      <w:lang w:val="zh-TW" w:eastAsia="zh-TW" w:bidi="zh-TW"/>
    </w:rPr>
  </w:style>
  <w:style w:type="paragraph" w:customStyle="1" w:styleId="78">
    <w:name w:val="封面标准文稿编辑信息"/>
    <w:basedOn w:val="73"/>
    <w:qFormat/>
    <w:uiPriority w:val="0"/>
    <w:pPr>
      <w:spacing w:before="180" w:line="180" w:lineRule="exact"/>
    </w:pPr>
    <w:rPr>
      <w:sz w:val="21"/>
    </w:rPr>
  </w:style>
  <w:style w:type="paragraph" w:customStyle="1" w:styleId="79">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styleId="80">
    <w:name w:val="List Paragraph"/>
    <w:basedOn w:val="1"/>
    <w:qFormat/>
    <w:uiPriority w:val="34"/>
    <w:pPr>
      <w:ind w:firstLine="420" w:firstLineChars="200"/>
    </w:pPr>
    <w:rPr>
      <w:rFonts w:ascii="等线" w:hAnsi="等线" w:eastAsia="等线"/>
      <w:szCs w:val="22"/>
    </w:rPr>
  </w:style>
  <w:style w:type="paragraph" w:customStyle="1" w:styleId="81">
    <w:name w:val="WPSOffice手动目录 2"/>
    <w:qFormat/>
    <w:uiPriority w:val="0"/>
    <w:pPr>
      <w:ind w:left="200" w:leftChars="200"/>
    </w:pPr>
    <w:rPr>
      <w:rFonts w:ascii="Times New Roman" w:hAnsi="Times New Roman" w:eastAsia="宋体" w:cs="Times New Roman"/>
      <w:lang w:val="en-US" w:eastAsia="zh-CN" w:bidi="ar-SA"/>
    </w:rPr>
  </w:style>
  <w:style w:type="table" w:customStyle="1" w:styleId="82">
    <w:name w:val="Table Normal"/>
    <w:unhideWhenUsed/>
    <w:qFormat/>
    <w:uiPriority w:val="0"/>
    <w:tblPr>
      <w:tblCellMar>
        <w:top w:w="0" w:type="dxa"/>
        <w:left w:w="0" w:type="dxa"/>
        <w:bottom w:w="0" w:type="dxa"/>
        <w:right w:w="0" w:type="dxa"/>
      </w:tblCellMar>
    </w:tblPr>
  </w:style>
  <w:style w:type="paragraph" w:customStyle="1" w:styleId="83">
    <w:name w:val="标准文件_章标题"/>
    <w:next w:val="63"/>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8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85">
    <w:name w:val="标准文件_文件编号"/>
    <w:basedOn w:val="63"/>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86">
    <w:name w:val="标准文件_替换文件编号"/>
    <w:basedOn w:val="85"/>
    <w:qFormat/>
    <w:uiPriority w:val="0"/>
    <w:pPr>
      <w:spacing w:before="57"/>
    </w:pPr>
    <w:rPr>
      <w:sz w:val="21"/>
    </w:rPr>
  </w:style>
  <w:style w:type="paragraph" w:customStyle="1" w:styleId="87">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88">
    <w:name w:val="章"/>
    <w:basedOn w:val="1"/>
    <w:qFormat/>
    <w:uiPriority w:val="0"/>
    <w:pPr>
      <w:numPr>
        <w:ilvl w:val="0"/>
        <w:numId w:val="5"/>
      </w:numPr>
      <w:tabs>
        <w:tab w:val="center" w:pos="4201"/>
        <w:tab w:val="right" w:leader="dot" w:pos="9298"/>
      </w:tabs>
      <w:adjustRightInd w:val="0"/>
      <w:spacing w:before="156" w:beforeLines="50" w:after="156" w:afterLines="50"/>
      <w:ind w:left="0"/>
      <w:jc w:val="center"/>
      <w:outlineLvl w:val="0"/>
    </w:pPr>
    <w:rPr>
      <w:b/>
      <w:kern w:val="21"/>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35</Pages>
  <Words>14056</Words>
  <Characters>15999</Characters>
  <Lines>362</Lines>
  <Paragraphs>422</Paragraphs>
  <TotalTime>6</TotalTime>
  <ScaleCrop>false</ScaleCrop>
  <LinksUpToDate>false</LinksUpToDate>
  <CharactersWithSpaces>16913</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2015-09-15T00:51:00Z</dcterms:created>
  <dc:creator>华信</dc:creator>
  <cp:lastModifiedBy>Xinxin Ma</cp:lastModifiedBy>
  <cp:lastPrinted>2026-02-10T10:01:00Z</cp:lastPrinted>
  <dcterms:modified xsi:type="dcterms:W3CDTF">2026-02-27T01:47:30Z</dcterms:modified>
  <dc:title>ICS 91.180</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FA48C1EF8B254CCB92296BBFFCA4E093</vt:lpwstr>
  </property>
  <property fmtid="{D5CDD505-2E9C-101B-9397-08002B2CF9AE}" pid="4" name="KSOTemplateDocerSaveRecord">
    <vt:lpwstr>eyJoZGlkIjoiMzNiYjI1YzNiNTBlMTdkZWZiZjI1M2M4NzA1N2Y4NDgiLCJ1c2VySWQiOiI1MDY1OTQ3ODUifQ==</vt:lpwstr>
  </property>
</Properties>
</file>