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spacing w:afterLines="150" w:line="480" w:lineRule="auto"/>
        <w:jc w:val="both"/>
        <w:rPr>
          <w:rFonts w:hint="eastAsia" w:ascii="黑体" w:eastAsia="黑体"/>
          <w:sz w:val="52"/>
          <w:szCs w:val="52"/>
          <w:highlight w:val="none"/>
          <w:lang w:val="en-US" w:eastAsia="zh-CN"/>
        </w:rPr>
      </w:pPr>
    </w:p>
    <w:p>
      <w:pPr>
        <w:spacing w:afterLines="150" w:line="480" w:lineRule="auto"/>
        <w:jc w:val="center"/>
        <w:rPr>
          <w:rFonts w:hint="eastAsia" w:ascii="黑体" w:eastAsia="黑体"/>
          <w:sz w:val="52"/>
          <w:szCs w:val="52"/>
          <w:highlight w:val="none"/>
          <w:lang w:val="en-US" w:eastAsia="zh-CN"/>
        </w:rPr>
      </w:pPr>
      <w:r>
        <w:rPr>
          <w:rFonts w:hint="eastAsia" w:ascii="黑体" w:eastAsia="黑体"/>
          <w:sz w:val="52"/>
          <w:szCs w:val="52"/>
          <w:highlight w:val="none"/>
          <w:lang w:val="en-US" w:eastAsia="zh-CN"/>
        </w:rPr>
        <w:t>行业标准</w:t>
      </w:r>
    </w:p>
    <w:p>
      <w:pPr>
        <w:spacing w:afterLines="150" w:line="480" w:lineRule="auto"/>
        <w:jc w:val="center"/>
        <w:rPr>
          <w:rFonts w:hint="eastAsia" w:ascii="黑体" w:eastAsia="黑体"/>
          <w:sz w:val="52"/>
          <w:szCs w:val="52"/>
          <w:highlight w:val="none"/>
          <w:lang w:val="en-US" w:eastAsia="zh-CN"/>
        </w:rPr>
      </w:pPr>
      <w:r>
        <w:rPr>
          <w:rFonts w:hint="eastAsia" w:ascii="黑体" w:eastAsia="黑体"/>
          <w:sz w:val="52"/>
          <w:szCs w:val="52"/>
          <w:highlight w:val="none"/>
          <w:lang w:val="en-US" w:eastAsia="zh-CN"/>
        </w:rPr>
        <w:t>《钢渣粉在混凝土中应用技术规范》（征求意见阶段）</w:t>
      </w:r>
    </w:p>
    <w:p>
      <w:pPr>
        <w:spacing w:afterLines="150" w:line="480" w:lineRule="auto"/>
        <w:jc w:val="center"/>
        <w:rPr>
          <w:rFonts w:hint="eastAsia" w:ascii="黑体" w:eastAsia="黑体"/>
          <w:sz w:val="52"/>
          <w:szCs w:val="52"/>
          <w:highlight w:val="none"/>
          <w:lang w:val="en-US" w:eastAsia="zh-CN"/>
        </w:rPr>
      </w:pPr>
      <w:r>
        <w:rPr>
          <w:rFonts w:hint="eastAsia" w:ascii="黑体" w:eastAsia="黑体"/>
          <w:sz w:val="52"/>
          <w:szCs w:val="52"/>
          <w:highlight w:val="none"/>
          <w:lang w:val="en-US" w:eastAsia="zh-CN"/>
        </w:rPr>
        <w:t>编制说明</w:t>
      </w:r>
    </w:p>
    <w:p>
      <w:pPr>
        <w:spacing w:afterLines="150" w:line="480" w:lineRule="auto"/>
        <w:jc w:val="center"/>
        <w:rPr>
          <w:rFonts w:hint="eastAsia" w:ascii="黑体" w:eastAsia="黑体"/>
          <w:sz w:val="48"/>
          <w:szCs w:val="48"/>
          <w:highlight w:val="none"/>
          <w:lang w:val="en-US" w:eastAsia="zh-CN"/>
        </w:rPr>
      </w:pPr>
    </w:p>
    <w:p>
      <w:pPr>
        <w:spacing w:afterLines="150" w:line="480" w:lineRule="auto"/>
        <w:jc w:val="both"/>
        <w:rPr>
          <w:rFonts w:hint="eastAsia" w:ascii="黑体" w:eastAsia="黑体"/>
          <w:sz w:val="44"/>
          <w:szCs w:val="44"/>
          <w:highlight w:val="none"/>
          <w:lang w:val="en-US" w:eastAsia="zh-CN"/>
        </w:rPr>
      </w:pPr>
    </w:p>
    <w:p>
      <w:pPr>
        <w:spacing w:afterLines="150" w:line="480" w:lineRule="auto"/>
        <w:jc w:val="both"/>
        <w:rPr>
          <w:rFonts w:hint="eastAsia" w:ascii="黑体" w:eastAsia="黑体"/>
          <w:sz w:val="44"/>
          <w:szCs w:val="44"/>
          <w:highlight w:val="none"/>
          <w:lang w:val="en-US" w:eastAsia="zh-CN"/>
        </w:rPr>
      </w:pPr>
    </w:p>
    <w:p>
      <w:pPr>
        <w:spacing w:afterLines="150" w:line="480" w:lineRule="auto"/>
        <w:jc w:val="both"/>
        <w:rPr>
          <w:rFonts w:hint="eastAsia" w:ascii="黑体" w:eastAsia="黑体"/>
          <w:sz w:val="44"/>
          <w:szCs w:val="44"/>
          <w:highlight w:val="none"/>
          <w:lang w:val="en-US" w:eastAsia="zh-CN"/>
        </w:rPr>
      </w:pPr>
    </w:p>
    <w:p>
      <w:pPr>
        <w:keepNext w:val="0"/>
        <w:keepLines w:val="0"/>
        <w:pageBreakBefore w:val="0"/>
        <w:widowControl w:val="0"/>
        <w:kinsoku/>
        <w:wordWrap/>
        <w:overflowPunct/>
        <w:topLinePunct w:val="0"/>
        <w:autoSpaceDE/>
        <w:autoSpaceDN/>
        <w:bidi w:val="0"/>
        <w:adjustRightInd/>
        <w:snapToGrid/>
        <w:spacing w:after="157" w:afterLines="50" w:line="240" w:lineRule="auto"/>
        <w:jc w:val="center"/>
        <w:textAlignment w:val="auto"/>
        <w:rPr>
          <w:rFonts w:hint="eastAsia" w:ascii="黑体" w:eastAsia="黑体"/>
          <w:sz w:val="28"/>
          <w:szCs w:val="28"/>
          <w:highlight w:val="none"/>
          <w:lang w:val="en-US" w:eastAsia="zh-CN"/>
        </w:rPr>
      </w:pPr>
      <w:r>
        <w:rPr>
          <w:rFonts w:hint="eastAsia" w:ascii="黑体" w:eastAsia="黑体"/>
          <w:sz w:val="28"/>
          <w:szCs w:val="28"/>
          <w:highlight w:val="none"/>
          <w:lang w:val="en-US" w:eastAsia="zh-CN"/>
        </w:rPr>
        <w:t>《钢渣粉在混凝土中应用技术规范》编制组</w:t>
      </w:r>
    </w:p>
    <w:p>
      <w:pPr>
        <w:keepNext w:val="0"/>
        <w:keepLines w:val="0"/>
        <w:pageBreakBefore w:val="0"/>
        <w:widowControl w:val="0"/>
        <w:kinsoku/>
        <w:wordWrap/>
        <w:overflowPunct/>
        <w:topLinePunct w:val="0"/>
        <w:autoSpaceDE/>
        <w:autoSpaceDN/>
        <w:bidi w:val="0"/>
        <w:adjustRightInd/>
        <w:snapToGrid/>
        <w:spacing w:afterLines="150" w:line="240" w:lineRule="auto"/>
        <w:jc w:val="center"/>
        <w:textAlignment w:val="auto"/>
        <w:rPr>
          <w:rFonts w:hint="default" w:ascii="黑体" w:eastAsia="黑体"/>
          <w:sz w:val="28"/>
          <w:szCs w:val="28"/>
          <w:highlight w:val="none"/>
          <w:lang w:val="en-US" w:eastAsia="zh-CN"/>
        </w:rPr>
      </w:pPr>
      <w:r>
        <w:rPr>
          <w:rFonts w:hint="eastAsia" w:ascii="黑体" w:eastAsia="黑体"/>
          <w:sz w:val="28"/>
          <w:szCs w:val="28"/>
          <w:highlight w:val="none"/>
          <w:lang w:val="en-US" w:eastAsia="zh-CN"/>
        </w:rPr>
        <w:t>二○二六年二月</w:t>
      </w:r>
    </w:p>
    <w:p>
      <w:pPr>
        <w:adjustRightInd w:val="0"/>
        <w:snapToGrid w:val="0"/>
        <w:rPr>
          <w:rFonts w:hint="eastAsia"/>
          <w:highlight w:val="none"/>
        </w:rPr>
      </w:pPr>
    </w:p>
    <w:p>
      <w:pPr>
        <w:adjustRightInd w:val="0"/>
        <w:snapToGrid w:val="0"/>
        <w:rPr>
          <w:rFonts w:hint="eastAsia"/>
          <w:highlight w:val="none"/>
        </w:rPr>
        <w:sectPr>
          <w:footerReference r:id="rId3" w:type="default"/>
          <w:footerReference r:id="rId4" w:type="even"/>
          <w:pgSz w:w="11906" w:h="16838"/>
          <w:pgMar w:top="1440" w:right="1797" w:bottom="1440" w:left="1797" w:header="851" w:footer="992" w:gutter="0"/>
          <w:pgBorders>
            <w:top w:val="none" w:sz="0" w:space="0"/>
            <w:left w:val="none" w:sz="0" w:space="0"/>
            <w:bottom w:val="none" w:sz="0" w:space="0"/>
            <w:right w:val="none" w:sz="0" w:space="0"/>
          </w:pgBorders>
          <w:pgNumType w:start="0"/>
          <w:cols w:space="720" w:num="1"/>
          <w:titlePg/>
          <w:docGrid w:type="lines" w:linePitch="312" w:charSpace="0"/>
        </w:sectPr>
      </w:pPr>
    </w:p>
    <w:p>
      <w:pPr>
        <w:spacing w:before="0" w:beforeLines="0" w:after="0" w:afterLines="0" w:line="240" w:lineRule="auto"/>
        <w:ind w:left="0" w:leftChars="0" w:right="0" w:rightChars="0" w:firstLine="0" w:firstLineChars="0"/>
        <w:jc w:val="center"/>
        <w:rPr>
          <w:rFonts w:hint="default" w:ascii="Times New Roman" w:hAnsi="Times New Roman" w:cs="Times New Roman"/>
          <w:sz w:val="36"/>
          <w:szCs w:val="36"/>
          <w:highlight w:val="none"/>
        </w:rPr>
      </w:pPr>
      <w:r>
        <w:rPr>
          <w:rFonts w:hint="default" w:ascii="Times New Roman" w:hAnsi="Times New Roman" w:eastAsia="宋体" w:cs="Times New Roman"/>
          <w:sz w:val="36"/>
          <w:szCs w:val="36"/>
          <w:highlight w:val="none"/>
        </w:rPr>
        <w:t>目</w:t>
      </w:r>
      <w:r>
        <w:rPr>
          <w:rFonts w:hint="default" w:ascii="Times New Roman" w:hAnsi="Times New Roman" w:eastAsia="宋体" w:cs="Times New Roman"/>
          <w:sz w:val="36"/>
          <w:szCs w:val="36"/>
          <w:highlight w:val="none"/>
          <w:lang w:val="en-US" w:eastAsia="zh-CN"/>
        </w:rPr>
        <w:t xml:space="preserve">  </w:t>
      </w:r>
      <w:r>
        <w:rPr>
          <w:rFonts w:hint="default" w:ascii="Times New Roman" w:hAnsi="Times New Roman" w:eastAsia="宋体" w:cs="Times New Roman"/>
          <w:sz w:val="36"/>
          <w:szCs w:val="36"/>
          <w:highlight w:val="none"/>
        </w:rPr>
        <w:t>录</w:t>
      </w:r>
    </w:p>
    <w:p>
      <w:pPr>
        <w:pStyle w:val="13"/>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TOC \o "1-2" \h \u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_Toc30668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rPr>
        <w:t>一、</w:t>
      </w:r>
      <w:r>
        <w:rPr>
          <w:rFonts w:hint="default" w:ascii="Times New Roman" w:hAnsi="Times New Roman" w:eastAsia="宋体" w:cs="Times New Roman"/>
          <w:bCs/>
          <w:sz w:val="24"/>
          <w:szCs w:val="24"/>
          <w:highlight w:val="none"/>
          <w:lang w:val="en-US" w:eastAsia="zh-CN"/>
        </w:rPr>
        <w:t>工作简况</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_Toc30668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4"/>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_Toc11373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rPr>
        <w:t>1.1任务来源</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_Toc11373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4"/>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_Toc4334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lang w:val="en-US" w:eastAsia="zh-CN"/>
        </w:rPr>
        <w:t>1.2 编制背景</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_Toc4334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1</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4"/>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_Toc31727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rPr>
        <w:t>1.3主要参加单位和工作组成员及其所做的工作</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_Toc31727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4"/>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_Toc21074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rPr>
        <w:t>1.</w:t>
      </w:r>
      <w:r>
        <w:rPr>
          <w:rFonts w:hint="default" w:ascii="Times New Roman" w:hAnsi="Times New Roman" w:eastAsia="宋体" w:cs="Times New Roman"/>
          <w:bCs/>
          <w:sz w:val="24"/>
          <w:szCs w:val="24"/>
          <w:highlight w:val="none"/>
          <w:lang w:val="en-US" w:eastAsia="zh-CN"/>
        </w:rPr>
        <w:t>4</w:t>
      </w:r>
      <w:r>
        <w:rPr>
          <w:rFonts w:hint="default" w:ascii="Times New Roman" w:hAnsi="Times New Roman" w:eastAsia="宋体" w:cs="Times New Roman"/>
          <w:bCs/>
          <w:sz w:val="24"/>
          <w:szCs w:val="24"/>
          <w:highlight w:val="none"/>
        </w:rPr>
        <w:t>主要工作过程</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_Toc21074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4</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4"/>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_Toc9767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sz w:val="24"/>
          <w:szCs w:val="24"/>
          <w:highlight w:val="none"/>
        </w:rPr>
        <w:t>（</w:t>
      </w:r>
      <w:r>
        <w:rPr>
          <w:rFonts w:hint="default" w:ascii="Times New Roman" w:hAnsi="Times New Roman" w:eastAsia="宋体" w:cs="Times New Roman"/>
          <w:sz w:val="24"/>
          <w:szCs w:val="24"/>
          <w:highlight w:val="none"/>
          <w:lang w:val="en-US" w:eastAsia="zh-CN"/>
        </w:rPr>
        <w:t>一</w:t>
      </w:r>
      <w:r>
        <w:rPr>
          <w:rFonts w:hint="default" w:ascii="Times New Roman" w:hAnsi="Times New Roman" w:eastAsia="宋体" w:cs="Times New Roman"/>
          <w:sz w:val="24"/>
          <w:szCs w:val="24"/>
          <w:highlight w:val="none"/>
        </w:rPr>
        <w:t>）开展调研工作</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_Toc9767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4</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4"/>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_Toc3611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sz w:val="24"/>
          <w:szCs w:val="24"/>
          <w:highlight w:val="none"/>
        </w:rPr>
        <w:t>（</w:t>
      </w:r>
      <w:r>
        <w:rPr>
          <w:rFonts w:hint="default" w:ascii="Times New Roman" w:hAnsi="Times New Roman" w:eastAsia="宋体" w:cs="Times New Roman"/>
          <w:sz w:val="24"/>
          <w:szCs w:val="24"/>
          <w:highlight w:val="none"/>
          <w:lang w:val="en-US" w:eastAsia="zh-CN"/>
        </w:rPr>
        <w:t>二</w:t>
      </w:r>
      <w:r>
        <w:rPr>
          <w:rFonts w:hint="default" w:ascii="Times New Roman" w:hAnsi="Times New Roman" w:eastAsia="宋体" w:cs="Times New Roman"/>
          <w:sz w:val="24"/>
          <w:szCs w:val="24"/>
          <w:highlight w:val="none"/>
        </w:rPr>
        <w:t>）</w:t>
      </w:r>
      <w:r>
        <w:rPr>
          <w:rFonts w:hint="default" w:ascii="Times New Roman" w:hAnsi="Times New Roman" w:eastAsia="宋体" w:cs="Times New Roman"/>
          <w:sz w:val="24"/>
          <w:szCs w:val="24"/>
          <w:highlight w:val="none"/>
          <w:lang w:val="en-US" w:eastAsia="zh-CN"/>
        </w:rPr>
        <w:t>编制组成立暨第一次工作会议</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_Toc3611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4"/>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_Toc12952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sz w:val="24"/>
          <w:szCs w:val="24"/>
          <w:highlight w:val="none"/>
          <w:lang w:val="en-US" w:eastAsia="zh-CN"/>
        </w:rPr>
        <w:t>（三）</w:t>
      </w:r>
      <w:r>
        <w:rPr>
          <w:rFonts w:hint="default" w:ascii="Times New Roman" w:hAnsi="Times New Roman" w:eastAsia="宋体" w:cs="Times New Roman"/>
          <w:sz w:val="24"/>
          <w:szCs w:val="24"/>
          <w:highlight w:val="none"/>
          <w:lang w:eastAsia="zh-CN"/>
        </w:rPr>
        <w:t>样品征集与</w:t>
      </w:r>
      <w:r>
        <w:rPr>
          <w:rFonts w:hint="default" w:ascii="Times New Roman" w:hAnsi="Times New Roman" w:eastAsia="宋体" w:cs="Times New Roman"/>
          <w:sz w:val="24"/>
          <w:szCs w:val="24"/>
          <w:highlight w:val="none"/>
        </w:rPr>
        <w:t>试验验证</w:t>
      </w:r>
      <w:r>
        <w:rPr>
          <w:rFonts w:hint="default" w:ascii="Times New Roman" w:hAnsi="Times New Roman" w:eastAsia="宋体" w:cs="Times New Roman"/>
          <w:sz w:val="24"/>
          <w:szCs w:val="24"/>
          <w:highlight w:val="none"/>
          <w:lang w:val="en-US" w:eastAsia="zh-CN"/>
        </w:rPr>
        <w:t>工作</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_Toc12952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4"/>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_Toc23555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sz w:val="24"/>
          <w:szCs w:val="24"/>
          <w:highlight w:val="none"/>
          <w:lang w:val="en-US" w:eastAsia="zh-CN"/>
        </w:rPr>
        <w:t>（四）确定标准征求意见稿</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_Toc23555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3"/>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_Toc22350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rPr>
        <w:t>二、标准</w:t>
      </w:r>
      <w:r>
        <w:rPr>
          <w:rFonts w:hint="default" w:ascii="Times New Roman" w:hAnsi="Times New Roman" w:eastAsia="宋体" w:cs="Times New Roman"/>
          <w:bCs/>
          <w:sz w:val="24"/>
          <w:szCs w:val="24"/>
          <w:highlight w:val="none"/>
          <w:lang w:eastAsia="zh-CN"/>
        </w:rPr>
        <w:t>制定</w:t>
      </w:r>
      <w:r>
        <w:rPr>
          <w:rFonts w:hint="default" w:ascii="Times New Roman" w:hAnsi="Times New Roman" w:eastAsia="宋体" w:cs="Times New Roman"/>
          <w:bCs/>
          <w:sz w:val="24"/>
          <w:szCs w:val="24"/>
          <w:highlight w:val="none"/>
        </w:rPr>
        <w:t>的原则和主要内容</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_Toc22350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4"/>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_Toc2615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rPr>
        <w:t>2.1标准</w:t>
      </w:r>
      <w:r>
        <w:rPr>
          <w:rFonts w:hint="default" w:ascii="Times New Roman" w:hAnsi="Times New Roman" w:eastAsia="宋体" w:cs="Times New Roman"/>
          <w:bCs/>
          <w:sz w:val="24"/>
          <w:szCs w:val="24"/>
          <w:highlight w:val="none"/>
          <w:lang w:eastAsia="zh-CN"/>
        </w:rPr>
        <w:t>制定</w:t>
      </w:r>
      <w:r>
        <w:rPr>
          <w:rFonts w:hint="default" w:ascii="Times New Roman" w:hAnsi="Times New Roman" w:eastAsia="宋体" w:cs="Times New Roman"/>
          <w:bCs/>
          <w:sz w:val="24"/>
          <w:szCs w:val="24"/>
          <w:highlight w:val="none"/>
        </w:rPr>
        <w:t>的原则</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_Toc2615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8</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4"/>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_Toc8393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rPr>
        <w:t>2.2标准</w:t>
      </w:r>
      <w:r>
        <w:rPr>
          <w:rFonts w:hint="default" w:ascii="Times New Roman" w:hAnsi="Times New Roman" w:eastAsia="宋体" w:cs="Times New Roman"/>
          <w:bCs/>
          <w:sz w:val="24"/>
          <w:szCs w:val="24"/>
          <w:highlight w:val="none"/>
          <w:lang w:eastAsia="zh-CN"/>
        </w:rPr>
        <w:t>制定</w:t>
      </w:r>
      <w:r>
        <w:rPr>
          <w:rFonts w:hint="default" w:ascii="Times New Roman" w:hAnsi="Times New Roman" w:eastAsia="宋体" w:cs="Times New Roman"/>
          <w:bCs/>
          <w:sz w:val="24"/>
          <w:szCs w:val="24"/>
          <w:highlight w:val="none"/>
        </w:rPr>
        <w:t>的主要内容</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_Toc8393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9</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4"/>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_Toc13853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sz w:val="24"/>
          <w:szCs w:val="24"/>
          <w:highlight w:val="none"/>
        </w:rPr>
        <w:t>2.</w:t>
      </w:r>
      <w:r>
        <w:rPr>
          <w:rFonts w:hint="default" w:ascii="Times New Roman" w:hAnsi="Times New Roman" w:eastAsia="宋体" w:cs="Times New Roman"/>
          <w:bCs/>
          <w:sz w:val="24"/>
          <w:szCs w:val="24"/>
          <w:highlight w:val="none"/>
          <w:lang w:val="en-US" w:eastAsia="zh-CN"/>
        </w:rPr>
        <w:t>3重点工作及需要研究的内容</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_Toc13853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20</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3"/>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_Toc30262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kern w:val="0"/>
          <w:sz w:val="24"/>
          <w:szCs w:val="24"/>
          <w:highlight w:val="none"/>
          <w:lang w:val="en-US" w:eastAsia="zh-CN"/>
        </w:rPr>
        <w:t>三</w:t>
      </w:r>
      <w:r>
        <w:rPr>
          <w:rFonts w:hint="default" w:ascii="Times New Roman" w:hAnsi="Times New Roman" w:eastAsia="宋体" w:cs="Times New Roman"/>
          <w:bCs/>
          <w:kern w:val="0"/>
          <w:sz w:val="24"/>
          <w:szCs w:val="24"/>
          <w:highlight w:val="none"/>
        </w:rPr>
        <w:t>、标准涉及专利的情况</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_Toc30262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20</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3"/>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_Toc21532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kern w:val="0"/>
          <w:sz w:val="24"/>
          <w:szCs w:val="24"/>
          <w:highlight w:val="none"/>
          <w:lang w:val="en-US" w:eastAsia="zh-CN"/>
        </w:rPr>
        <w:t>四</w:t>
      </w:r>
      <w:r>
        <w:rPr>
          <w:rFonts w:hint="default" w:ascii="Times New Roman" w:hAnsi="Times New Roman" w:eastAsia="宋体" w:cs="Times New Roman"/>
          <w:bCs/>
          <w:kern w:val="0"/>
          <w:sz w:val="24"/>
          <w:szCs w:val="24"/>
          <w:highlight w:val="none"/>
        </w:rPr>
        <w:t>、</w:t>
      </w:r>
      <w:r>
        <w:rPr>
          <w:rFonts w:hint="default" w:ascii="Times New Roman" w:hAnsi="Times New Roman" w:eastAsia="宋体" w:cs="Times New Roman"/>
          <w:sz w:val="24"/>
          <w:szCs w:val="24"/>
          <w:highlight w:val="none"/>
        </w:rPr>
        <w:t>主要试验验证的情况</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_Toc21532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20</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3"/>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_Toc17542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kern w:val="0"/>
          <w:sz w:val="24"/>
          <w:szCs w:val="24"/>
          <w:highlight w:val="none"/>
          <w:lang w:val="en-US" w:eastAsia="zh-CN"/>
        </w:rPr>
        <w:t>五</w:t>
      </w:r>
      <w:r>
        <w:rPr>
          <w:rFonts w:hint="default" w:ascii="Times New Roman" w:hAnsi="Times New Roman" w:eastAsia="宋体" w:cs="Times New Roman"/>
          <w:bCs/>
          <w:kern w:val="0"/>
          <w:sz w:val="24"/>
          <w:szCs w:val="24"/>
          <w:highlight w:val="none"/>
        </w:rPr>
        <w:t>、产业化情况、推广应用论证和预期达到的经济效果情况</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_Toc17542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29</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3"/>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_Toc26341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kern w:val="0"/>
          <w:sz w:val="24"/>
          <w:szCs w:val="24"/>
          <w:highlight w:val="none"/>
          <w:lang w:val="en-US" w:eastAsia="zh-CN"/>
        </w:rPr>
        <w:t>六</w:t>
      </w:r>
      <w:r>
        <w:rPr>
          <w:rFonts w:hint="default" w:ascii="Times New Roman" w:hAnsi="Times New Roman" w:eastAsia="宋体" w:cs="Times New Roman"/>
          <w:bCs/>
          <w:kern w:val="0"/>
          <w:sz w:val="24"/>
          <w:szCs w:val="24"/>
          <w:highlight w:val="none"/>
        </w:rPr>
        <w:t>、采用国际标准和同外先进标准的情况</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_Toc26341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33</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3"/>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_Toc12065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kern w:val="0"/>
          <w:sz w:val="24"/>
          <w:szCs w:val="24"/>
          <w:highlight w:val="none"/>
          <w:lang w:val="en-US" w:eastAsia="zh-CN"/>
        </w:rPr>
        <w:t>七</w:t>
      </w:r>
      <w:r>
        <w:rPr>
          <w:rFonts w:hint="default" w:ascii="Times New Roman" w:hAnsi="Times New Roman" w:eastAsia="宋体" w:cs="Times New Roman"/>
          <w:bCs/>
          <w:kern w:val="0"/>
          <w:sz w:val="24"/>
          <w:szCs w:val="24"/>
          <w:highlight w:val="none"/>
        </w:rPr>
        <w:t>、与现行标准的协调性情况</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_Toc12065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35</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3"/>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_Toc27090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kern w:val="0"/>
          <w:sz w:val="24"/>
          <w:szCs w:val="24"/>
          <w:highlight w:val="none"/>
          <w:lang w:val="en-US" w:eastAsia="zh-CN"/>
        </w:rPr>
        <w:t>八</w:t>
      </w:r>
      <w:r>
        <w:rPr>
          <w:rFonts w:hint="default" w:ascii="Times New Roman" w:hAnsi="Times New Roman" w:eastAsia="宋体" w:cs="Times New Roman"/>
          <w:bCs/>
          <w:kern w:val="0"/>
          <w:sz w:val="24"/>
          <w:szCs w:val="24"/>
          <w:highlight w:val="none"/>
        </w:rPr>
        <w:t>、重大分歧意见的处理经过和依据</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_Toc27090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3"/>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_Toc23365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kern w:val="0"/>
          <w:sz w:val="24"/>
          <w:szCs w:val="24"/>
          <w:highlight w:val="none"/>
          <w:lang w:val="en-US" w:eastAsia="zh-CN"/>
        </w:rPr>
        <w:t>九</w:t>
      </w:r>
      <w:r>
        <w:rPr>
          <w:rFonts w:hint="default" w:ascii="Times New Roman" w:hAnsi="Times New Roman" w:eastAsia="宋体" w:cs="Times New Roman"/>
          <w:bCs/>
          <w:kern w:val="0"/>
          <w:sz w:val="24"/>
          <w:szCs w:val="24"/>
          <w:highlight w:val="none"/>
        </w:rPr>
        <w:t>、标准性质的建议说明</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_Toc23365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3"/>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_Toc20298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kern w:val="0"/>
          <w:sz w:val="24"/>
          <w:szCs w:val="24"/>
          <w:highlight w:val="none"/>
        </w:rPr>
        <w:t>十、贯彻标准的要求和措施建议</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_Toc20298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36</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3"/>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sz w:val="24"/>
          <w:szCs w:val="24"/>
        </w:rPr>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_Toc21333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kern w:val="0"/>
          <w:sz w:val="24"/>
          <w:szCs w:val="24"/>
          <w:highlight w:val="none"/>
        </w:rPr>
        <w:t>十一、废止现行相关标准的建议</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_Toc21333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37</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pStyle w:val="13"/>
        <w:keepNext w:val="0"/>
        <w:keepLines w:val="0"/>
        <w:pageBreakBefore w:val="0"/>
        <w:widowControl w:val="0"/>
        <w:tabs>
          <w:tab w:val="right" w:leader="dot" w:pos="8312"/>
        </w:tabs>
        <w:kinsoku/>
        <w:wordWrap/>
        <w:overflowPunct/>
        <w:topLinePunct w:val="0"/>
        <w:autoSpaceDE/>
        <w:autoSpaceDN/>
        <w:bidi w:val="0"/>
        <w:adjustRightInd/>
        <w:snapToGrid/>
        <w:spacing w:line="360" w:lineRule="auto"/>
        <w:textAlignment w:val="auto"/>
      </w:pPr>
      <w:r>
        <w:rPr>
          <w:rFonts w:hint="default" w:ascii="Times New Roman" w:hAnsi="Times New Roman" w:eastAsia="宋体" w:cs="Times New Roman"/>
          <w:sz w:val="24"/>
          <w:szCs w:val="24"/>
          <w:highlight w:val="none"/>
        </w:rPr>
        <w:fldChar w:fldCharType="begin"/>
      </w:r>
      <w:r>
        <w:rPr>
          <w:rFonts w:hint="default" w:ascii="Times New Roman" w:hAnsi="Times New Roman" w:eastAsia="宋体" w:cs="Times New Roman"/>
          <w:sz w:val="24"/>
          <w:szCs w:val="24"/>
          <w:highlight w:val="none"/>
        </w:rPr>
        <w:instrText xml:space="preserve"> HYPERLINK \l _Toc15189 </w:instrText>
      </w:r>
      <w:r>
        <w:rPr>
          <w:rFonts w:hint="default" w:ascii="Times New Roman" w:hAnsi="Times New Roman" w:eastAsia="宋体" w:cs="Times New Roman"/>
          <w:sz w:val="24"/>
          <w:szCs w:val="24"/>
          <w:highlight w:val="none"/>
        </w:rPr>
        <w:fldChar w:fldCharType="separate"/>
      </w:r>
      <w:r>
        <w:rPr>
          <w:rFonts w:hint="default" w:ascii="Times New Roman" w:hAnsi="Times New Roman" w:eastAsia="宋体" w:cs="Times New Roman"/>
          <w:bCs/>
          <w:kern w:val="0"/>
          <w:sz w:val="24"/>
          <w:szCs w:val="24"/>
          <w:highlight w:val="none"/>
        </w:rPr>
        <w:t>十二、其它应予说明的事项</w:t>
      </w: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rPr>
        <w:fldChar w:fldCharType="begin"/>
      </w:r>
      <w:r>
        <w:rPr>
          <w:rFonts w:hint="default" w:ascii="Times New Roman" w:hAnsi="Times New Roman" w:eastAsia="宋体" w:cs="Times New Roman"/>
          <w:sz w:val="24"/>
          <w:szCs w:val="24"/>
        </w:rPr>
        <w:instrText xml:space="preserve"> PAGEREF _Toc15189 \h </w:instrText>
      </w:r>
      <w:r>
        <w:rPr>
          <w:rFonts w:hint="default" w:ascii="Times New Roman" w:hAnsi="Times New Roman" w:eastAsia="宋体" w:cs="Times New Roman"/>
          <w:sz w:val="24"/>
          <w:szCs w:val="24"/>
        </w:rPr>
        <w:fldChar w:fldCharType="separate"/>
      </w:r>
      <w:r>
        <w:rPr>
          <w:rFonts w:hint="default" w:ascii="Times New Roman" w:hAnsi="Times New Roman" w:eastAsia="宋体" w:cs="Times New Roman"/>
          <w:sz w:val="24"/>
          <w:szCs w:val="24"/>
        </w:rPr>
        <w:t>37</w:t>
      </w:r>
      <w:r>
        <w:rPr>
          <w:rFonts w:hint="default" w:ascii="Times New Roman" w:hAnsi="Times New Roman" w:eastAsia="宋体" w:cs="Times New Roman"/>
          <w:sz w:val="24"/>
          <w:szCs w:val="24"/>
        </w:rPr>
        <w:fldChar w:fldCharType="end"/>
      </w:r>
      <w:r>
        <w:rPr>
          <w:rFonts w:hint="default" w:ascii="Times New Roman" w:hAnsi="Times New Roman" w:eastAsia="宋体" w:cs="Times New Roman"/>
          <w:sz w:val="24"/>
          <w:szCs w:val="24"/>
          <w:highlight w:val="none"/>
        </w:rPr>
        <w:fldChar w:fldCharType="end"/>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highlight w:val="none"/>
        </w:rPr>
        <w:sectPr>
          <w:footerReference r:id="rId5" w:type="first"/>
          <w:pgSz w:w="11906" w:h="16838"/>
          <w:pgMar w:top="1440" w:right="1797" w:bottom="1440" w:left="1797" w:header="851" w:footer="992" w:gutter="0"/>
          <w:pgBorders>
            <w:top w:val="none" w:sz="0" w:space="0"/>
            <w:left w:val="none" w:sz="0" w:space="0"/>
            <w:bottom w:val="none" w:sz="0" w:space="0"/>
            <w:right w:val="none" w:sz="0" w:space="0"/>
          </w:pgBorders>
          <w:pgNumType w:start="1"/>
          <w:cols w:space="720" w:num="1"/>
          <w:titlePg/>
          <w:docGrid w:type="lines" w:linePitch="312" w:charSpace="0"/>
        </w:sectPr>
      </w:pPr>
      <w:r>
        <w:rPr>
          <w:rFonts w:hint="default" w:ascii="Times New Roman" w:hAnsi="Times New Roman" w:eastAsia="宋体" w:cs="Times New Roman"/>
          <w:szCs w:val="24"/>
          <w:highlight w:val="none"/>
        </w:rPr>
        <w:fldChar w:fldCharType="end"/>
      </w:r>
    </w:p>
    <w:p>
      <w:pPr>
        <w:adjustRightInd w:val="0"/>
        <w:snapToGrid w:val="0"/>
        <w:spacing w:before="156" w:beforeLines="50" w:after="156" w:afterLines="50" w:line="360" w:lineRule="auto"/>
        <w:outlineLvl w:val="0"/>
        <w:rPr>
          <w:rFonts w:hint="default" w:ascii="黑体" w:hAnsi="黑体" w:eastAsia="黑体"/>
          <w:b/>
          <w:bCs/>
          <w:sz w:val="28"/>
          <w:szCs w:val="28"/>
          <w:highlight w:val="none"/>
          <w:lang w:val="en-US" w:eastAsia="zh-CN"/>
        </w:rPr>
      </w:pPr>
      <w:bookmarkStart w:id="0" w:name="_Toc30668"/>
      <w:r>
        <w:rPr>
          <w:rFonts w:ascii="黑体" w:hAnsi="黑体" w:eastAsia="黑体"/>
          <w:b/>
          <w:bCs/>
          <w:sz w:val="28"/>
          <w:szCs w:val="28"/>
          <w:highlight w:val="none"/>
        </w:rPr>
        <w:t>一、</w:t>
      </w:r>
      <w:r>
        <w:rPr>
          <w:rFonts w:hint="eastAsia" w:ascii="黑体" w:hAnsi="黑体" w:eastAsia="黑体"/>
          <w:b/>
          <w:bCs/>
          <w:sz w:val="28"/>
          <w:szCs w:val="28"/>
          <w:highlight w:val="none"/>
          <w:lang w:val="en-US" w:eastAsia="zh-CN"/>
        </w:rPr>
        <w:t>工作简况</w:t>
      </w:r>
      <w:bookmarkEnd w:id="0"/>
    </w:p>
    <w:p>
      <w:pPr>
        <w:adjustRightInd w:val="0"/>
        <w:snapToGrid w:val="0"/>
        <w:spacing w:before="156" w:beforeLines="50" w:after="156" w:afterLines="50" w:line="360" w:lineRule="auto"/>
        <w:outlineLvl w:val="1"/>
        <w:rPr>
          <w:b/>
          <w:bCs/>
          <w:sz w:val="24"/>
          <w:highlight w:val="none"/>
        </w:rPr>
      </w:pPr>
      <w:bookmarkStart w:id="1" w:name="_Toc11373"/>
      <w:r>
        <w:rPr>
          <w:rFonts w:hint="eastAsia"/>
          <w:b/>
          <w:bCs/>
          <w:sz w:val="24"/>
          <w:highlight w:val="none"/>
        </w:rPr>
        <w:t>1.1任务来源</w:t>
      </w:r>
      <w:bookmarkEnd w:id="1"/>
    </w:p>
    <w:p>
      <w:pPr>
        <w:spacing w:line="360" w:lineRule="auto"/>
        <w:ind w:firstLine="480" w:firstLineChars="200"/>
        <w:rPr>
          <w:sz w:val="24"/>
          <w:highlight w:val="none"/>
        </w:rPr>
      </w:pPr>
      <w:r>
        <w:rPr>
          <w:rFonts w:hint="eastAsia" w:ascii="Times New Roman" w:hAnsi="Times New Roman"/>
          <w:sz w:val="24"/>
          <w:szCs w:val="24"/>
          <w:highlight w:val="none"/>
          <w:lang w:val="en-US" w:eastAsia="zh-CN"/>
        </w:rPr>
        <w:t>根据《工业和信息化部办公厅关于印发2024年第二批行业标准制修订和外文版项目计划的通知》（工信厅科函〔2024〕191号）的要求</w:t>
      </w:r>
      <w:r>
        <w:rPr>
          <w:rFonts w:hint="eastAsia" w:cs="宋体"/>
          <w:sz w:val="24"/>
          <w:highlight w:val="none"/>
        </w:rPr>
        <w:t>，由中国建筑科学研究院有限公司会同有关单位制订行业标准《钢渣粉在混凝土中应用技术规范》（计划编号：2024-0760T-JC）</w:t>
      </w:r>
      <w:r>
        <w:rPr>
          <w:rFonts w:hint="eastAsia" w:cs="宋体"/>
          <w:sz w:val="24"/>
          <w:highlight w:val="none"/>
          <w:lang w:val="en-US" w:eastAsia="zh-CN"/>
        </w:rPr>
        <w:t>，项目周期24个月，由建材工业综合标准化技术委员会负责归口管理，主管部门为工业和信息化部。</w:t>
      </w:r>
    </w:p>
    <w:p>
      <w:pPr>
        <w:adjustRightInd w:val="0"/>
        <w:snapToGrid w:val="0"/>
        <w:spacing w:before="156" w:beforeLines="50" w:after="156" w:afterLines="50" w:line="360" w:lineRule="auto"/>
        <w:outlineLvl w:val="1"/>
        <w:rPr>
          <w:rFonts w:hint="eastAsia" w:ascii="Times New Roman" w:hAnsi="Times New Roman" w:eastAsia="宋体" w:cs="Times New Roman"/>
          <w:b/>
          <w:bCs/>
          <w:sz w:val="24"/>
          <w:highlight w:val="none"/>
          <w:lang w:val="en-US" w:eastAsia="zh-CN"/>
        </w:rPr>
      </w:pPr>
      <w:bookmarkStart w:id="2" w:name="_Toc4334"/>
      <w:r>
        <w:rPr>
          <w:rFonts w:hint="eastAsia" w:ascii="Times New Roman" w:hAnsi="Times New Roman" w:eastAsia="宋体" w:cs="Times New Roman"/>
          <w:b/>
          <w:bCs/>
          <w:sz w:val="24"/>
          <w:highlight w:val="none"/>
          <w:lang w:val="en-US" w:eastAsia="zh-CN"/>
        </w:rPr>
        <w:t>1.2 编制背景</w:t>
      </w:r>
      <w:bookmarkEnd w:id="2"/>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sz w:val="24"/>
          <w:szCs w:val="24"/>
          <w:highlight w:val="none"/>
        </w:rPr>
      </w:pPr>
      <w:r>
        <w:rPr>
          <w:rFonts w:hint="eastAsia" w:ascii="Times New Roman" w:hAnsi="Times New Roman" w:cs="Times New Roman"/>
          <w:sz w:val="24"/>
          <w:szCs w:val="24"/>
          <w:highlight w:val="none"/>
        </w:rPr>
        <w:t>（</w:t>
      </w:r>
      <w:r>
        <w:rPr>
          <w:rFonts w:hint="eastAsia" w:ascii="Times New Roman" w:hAnsi="Times New Roman" w:cs="Times New Roman"/>
          <w:sz w:val="24"/>
          <w:szCs w:val="24"/>
          <w:highlight w:val="none"/>
          <w:lang w:val="en-US" w:eastAsia="zh-CN"/>
        </w:rPr>
        <w:t>1</w:t>
      </w:r>
      <w:r>
        <w:rPr>
          <w:rFonts w:hint="eastAsia" w:ascii="Times New Roman" w:hAnsi="Times New Roman" w:cs="Times New Roman"/>
          <w:sz w:val="24"/>
          <w:szCs w:val="24"/>
          <w:highlight w:val="none"/>
        </w:rPr>
        <w:t>）钢渣储量大，急需实现固废资源化利用</w:t>
      </w:r>
    </w:p>
    <w:p>
      <w:pPr>
        <w:spacing w:line="360" w:lineRule="auto"/>
        <w:ind w:firstLine="480" w:firstLineChars="200"/>
        <w:rPr>
          <w:rFonts w:hint="eastAsia"/>
          <w:b w:val="0"/>
          <w:bCs/>
          <w:sz w:val="24"/>
          <w:lang w:val="en-US" w:eastAsia="zh-CN"/>
        </w:rPr>
      </w:pPr>
      <w:r>
        <w:rPr>
          <w:rFonts w:hint="eastAsia"/>
          <w:b w:val="0"/>
          <w:bCs/>
          <w:sz w:val="24"/>
          <w:lang w:val="en-US" w:eastAsia="zh-CN"/>
        </w:rPr>
        <w:t>我国是钢铁企业大国，钢渣是炼钢过程中排放的副产物。2022年粗钢产量为10.13亿吨，钢渣年排放量1亿吨以上。钢渣是钢铁企业消纳量比较低的大宗固废之一，长期困扰钢铁产业相关地区的经济循环发展。目前我国钢渣的综合利用率仅为25%左右，其存放量高达10亿吨。这不仅占用土地和浪费资源，其所含的重金属元素还会污染空气、土壤和河流。</w:t>
      </w:r>
    </w:p>
    <w:p>
      <w:pPr>
        <w:spacing w:line="360" w:lineRule="auto"/>
        <w:ind w:firstLine="480" w:firstLineChars="200"/>
        <w:rPr>
          <w:rFonts w:hint="eastAsia"/>
          <w:b w:val="0"/>
          <w:bCs/>
          <w:sz w:val="24"/>
          <w:lang w:val="en-US" w:eastAsia="zh-CN"/>
        </w:rPr>
      </w:pPr>
      <w:r>
        <w:rPr>
          <w:rFonts w:hint="eastAsia"/>
          <w:b w:val="0"/>
          <w:bCs/>
          <w:sz w:val="24"/>
          <w:lang w:val="en-US" w:eastAsia="zh-CN"/>
        </w:rPr>
        <w:t>迄今为止，尚未找到大规模快速消纳钢渣的有效途径。“钢渣零排放”仍是世界钢铁行业的难题。以山西省某钢铁企业为例，该公司年排放钢渣约31.4万吨，其中水泥厂综合利用仅为2.82万吨，利用率不到9%，剩余91%的钢渣和累积堆存的数百万吨钢渣分别倾倒于桥东、闫家、南李、龙泉等村庄的农地上，不仅带来严重的环境污染和风险隐患，而且侵占毁坏大量耕地，性质恶劣。由于强制性国标《通用硅酸盐水泥》GB 175明确限制钢渣作为水泥混合材料，导致其大宗消纳渠道受阻，应用路径收窄。</w:t>
      </w:r>
    </w:p>
    <w:p>
      <w:pPr>
        <w:spacing w:line="360" w:lineRule="auto"/>
        <w:ind w:firstLine="480" w:firstLineChars="200"/>
        <w:rPr>
          <w:rFonts w:hint="eastAsia"/>
          <w:b w:val="0"/>
          <w:bCs/>
          <w:sz w:val="24"/>
          <w:lang w:val="en-US" w:eastAsia="zh-CN"/>
        </w:rPr>
      </w:pPr>
      <w:r>
        <w:rPr>
          <w:rFonts w:hint="eastAsia"/>
          <w:b w:val="0"/>
          <w:bCs/>
          <w:sz w:val="24"/>
          <w:lang w:val="en-US" w:eastAsia="zh-CN"/>
        </w:rPr>
        <w:t>近些年，我国相继颁布了钢铁行业钢渣处理相关国家政策。2019年发改委和工信部联合发布的《关于推进大宗固体废弃物综合利用产业集聚发展通知》指出，要鼓励冶金渣规模化、高质化利用，积极推动钢渣、高炉渣及尾渣深度研究分级利用、优质优用和规模化利用；2020年工信部发布《关于推动钢铁工业高质量发展的指导意见》提出力争到2025年提高钢渣等固废资源利用效率；2021年发改委发布《关于“十四五”大宗固体废弃物综合利用的指导意见》指出，扩大钢渣利用规模，扩大钢渣微粉作混凝土掺合料在建设工程等领域的利用，不断探索钢渣的其他规模化利用渠道。因此，钢渣在混凝土中的应用积极响应国家政策。</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sz w:val="24"/>
          <w:szCs w:val="24"/>
          <w:highlight w:val="none"/>
        </w:rPr>
      </w:pPr>
      <w:r>
        <w:rPr>
          <w:rFonts w:hint="eastAsia" w:ascii="Times New Roman" w:hAnsi="Times New Roman" w:cs="Times New Roman"/>
          <w:sz w:val="24"/>
          <w:szCs w:val="24"/>
          <w:highlight w:val="none"/>
        </w:rPr>
        <w:t>（</w:t>
      </w:r>
      <w:r>
        <w:rPr>
          <w:rFonts w:hint="eastAsia" w:cs="Times New Roman"/>
          <w:sz w:val="24"/>
          <w:szCs w:val="24"/>
          <w:highlight w:val="none"/>
          <w:lang w:val="en-US" w:eastAsia="zh-CN"/>
        </w:rPr>
        <w:t>2</w:t>
      </w:r>
      <w:r>
        <w:rPr>
          <w:rFonts w:hint="eastAsia" w:ascii="Times New Roman" w:hAnsi="Times New Roman" w:cs="Times New Roman"/>
          <w:sz w:val="24"/>
          <w:szCs w:val="24"/>
          <w:highlight w:val="none"/>
        </w:rPr>
        <w:t>）传统矿物掺合料紧缺，钢渣粉可作为矿物掺合料应用于混凝土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sz w:val="24"/>
          <w:szCs w:val="24"/>
          <w:highlight w:val="none"/>
        </w:rPr>
      </w:pPr>
      <w:r>
        <w:rPr>
          <w:rFonts w:hint="eastAsia" w:ascii="Times New Roman" w:hAnsi="Times New Roman" w:cs="Times New Roman"/>
          <w:sz w:val="24"/>
          <w:szCs w:val="24"/>
          <w:highlight w:val="none"/>
        </w:rPr>
        <w:t>目前我国建筑材料行业围绕钢渣粉应用开展了大量研究，主要的技术路径包括制备水泥、制备混凝土、砌块、道路材料等。已有研究表明，掺用钢渣粉可以改善混凝土（砂浆）的工作性、密实水化产物的微观结构、大幅度提高其耐久性，同时可以大量节省水泥用量，达到节能减排的目的。图2和图3为钢渣粉的宏观与微观形貌。虽然钢渣粉在水泥混凝土中的应用有很多优点，但是钢渣粉制备水泥会带来水泥硬化体体积不稳定和后期强度低等问题；制备砌块会带来体积变形开裂问题。综合来看，钢渣粉作为掺合料制备混凝土具有较好的应用前景，高效利用钢渣粉制备混凝土，不仅可解决其环境污染与资源浪费问题，也是实现混凝土绿色化的根本途径。目前，钢渣粉作为混凝土用矿物掺合料已在行业内逐步得到应用。</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sz w:val="24"/>
          <w:szCs w:val="24"/>
          <w:highlight w:val="none"/>
        </w:rPr>
      </w:pPr>
      <w:r>
        <w:rPr>
          <w:rFonts w:hint="eastAsia" w:ascii="Times New Roman" w:hAnsi="Times New Roman" w:cs="Times New Roman"/>
          <w:sz w:val="24"/>
          <w:szCs w:val="24"/>
          <w:highlight w:val="none"/>
        </w:rPr>
        <w:t>（</w:t>
      </w:r>
      <w:r>
        <w:rPr>
          <w:rFonts w:hint="eastAsia" w:cs="Times New Roman"/>
          <w:sz w:val="24"/>
          <w:szCs w:val="24"/>
          <w:highlight w:val="none"/>
          <w:lang w:val="en-US" w:eastAsia="zh-CN"/>
        </w:rPr>
        <w:t>3</w:t>
      </w:r>
      <w:r>
        <w:rPr>
          <w:rFonts w:hint="eastAsia" w:ascii="Times New Roman" w:hAnsi="Times New Roman" w:cs="Times New Roman"/>
          <w:sz w:val="24"/>
          <w:szCs w:val="24"/>
          <w:highlight w:val="none"/>
        </w:rPr>
        <w:t>）钢渣粉在混凝土应用中存在技术瓶颈，亟需规范引导</w:t>
      </w:r>
    </w:p>
    <w:p>
      <w:pPr>
        <w:spacing w:line="360" w:lineRule="auto"/>
        <w:ind w:firstLine="480" w:firstLineChars="200"/>
        <w:rPr>
          <w:rFonts w:hint="default"/>
          <w:b w:val="0"/>
          <w:bCs/>
          <w:color w:val="auto"/>
          <w:sz w:val="24"/>
          <w:lang w:val="en-US" w:eastAsia="zh-CN"/>
        </w:rPr>
      </w:pPr>
      <w:r>
        <w:rPr>
          <w:rFonts w:hint="eastAsia"/>
          <w:b w:val="0"/>
          <w:bCs/>
          <w:color w:val="auto"/>
          <w:sz w:val="24"/>
          <w:lang w:val="en-US" w:eastAsia="zh-CN"/>
        </w:rPr>
        <w:t>根据现行国家标准及行业技术要求，硅酸盐水泥的混合材料不允许使用钢渣粉。国家标准《通用硅酸盐水泥》GB 175-2023于2024年6月1日正式实施，相较于2007版，标准明确列出可用于普通硅酸盐水泥的混合材料仅包括“粒化高炉矿渣/矿渣粉、粉煤灰、石灰石、火山灰质混合材料”，未将钢渣粉纳入其中；2007版为“条文强制”，仅核心性能指标强制执行，而2023版改为“全文强制”，所有条款（包括混合材料种类）均需严格遵守，不存在“非强制条款下灵活使用”的空间。这一调整导致钢渣粉无法再作为混合材料用于硅酸盐水泥生产，而此前（2007版时期）部分企业曾在非强制条款下少量掺用钢渣粉的做法，现已不符合标准要求。</w:t>
      </w:r>
    </w:p>
    <w:p>
      <w:pPr>
        <w:spacing w:line="360" w:lineRule="auto"/>
        <w:ind w:firstLine="480" w:firstLineChars="200"/>
        <w:rPr>
          <w:rFonts w:hint="eastAsia"/>
          <w:b w:val="0"/>
          <w:bCs/>
          <w:color w:val="auto"/>
          <w:sz w:val="24"/>
          <w:lang w:val="en-US" w:eastAsia="zh-CN"/>
        </w:rPr>
      </w:pPr>
      <w:r>
        <w:rPr>
          <w:rFonts w:hint="eastAsia"/>
          <w:b w:val="0"/>
          <w:bCs/>
          <w:color w:val="auto"/>
          <w:sz w:val="24"/>
          <w:lang w:val="en-US" w:eastAsia="zh-CN"/>
        </w:rPr>
        <w:t>当前钢渣粉在混凝土中的应用面临多重问题：一是材料质量参差不齐，部分钢渣粉游离氧化钙（</w:t>
      </w:r>
      <w:r>
        <w:rPr>
          <w:rFonts w:hint="eastAsia"/>
          <w:b w:val="0"/>
          <w:bCs/>
          <w:i/>
          <w:iCs/>
          <w:color w:val="auto"/>
          <w:sz w:val="24"/>
          <w:lang w:val="en-US" w:eastAsia="zh-CN"/>
        </w:rPr>
        <w:t>f</w:t>
      </w:r>
      <w:r>
        <w:rPr>
          <w:rFonts w:hint="eastAsia"/>
          <w:b w:val="0"/>
          <w:bCs/>
          <w:color w:val="auto"/>
          <w:sz w:val="24"/>
          <w:lang w:val="en-US" w:eastAsia="zh-CN"/>
        </w:rPr>
        <w:t>-CaO）、游离氧化镁（</w:t>
      </w:r>
      <w:r>
        <w:rPr>
          <w:rFonts w:hint="eastAsia"/>
          <w:b w:val="0"/>
          <w:bCs/>
          <w:i/>
          <w:iCs/>
          <w:color w:val="auto"/>
          <w:sz w:val="24"/>
          <w:lang w:val="en-US" w:eastAsia="zh-CN"/>
        </w:rPr>
        <w:t>f</w:t>
      </w:r>
      <w:r>
        <w:rPr>
          <w:rFonts w:hint="eastAsia"/>
          <w:b w:val="0"/>
          <w:bCs/>
          <w:color w:val="auto"/>
          <w:sz w:val="24"/>
          <w:lang w:val="en-US" w:eastAsia="zh-CN"/>
        </w:rPr>
        <w:t>-MgO）含量超标，导致混凝土体积安定性不良，易开裂；二是应用工艺不统一，行业对钢渣粉掺量、复合掺配方式（如与粉煤灰、矿渣粉复配）、施工养护参数等缺乏统一标准，部分工程因掺量过高导致混凝土早期强度不足，或因未优化配合比引发耐久性下降；三是产品与工程质量管控缺失，市场上存在将低活性钢渣粉冒充高活性掺合料的现象，且缺乏钢渣粉混凝土性能检测与验收的明确依据，导致工程质量风险增加。例如某市政道路工程因使用未陈化处理的钢渣粉，通车1年后出现路面裂缝、起砂等问题，返工成本较高。</w:t>
      </w:r>
    </w:p>
    <w:p>
      <w:pPr>
        <w:adjustRightInd w:val="0"/>
        <w:snapToGrid w:val="0"/>
        <w:spacing w:before="156" w:beforeLines="50" w:after="156" w:afterLines="50" w:line="360" w:lineRule="auto"/>
        <w:ind w:firstLine="480" w:firstLineChars="200"/>
        <w:outlineLvl w:val="9"/>
        <w:rPr>
          <w:rFonts w:hint="default" w:ascii="Times New Roman" w:hAnsi="Times New Roman" w:eastAsia="宋体" w:cs="Times New Roman"/>
          <w:b w:val="0"/>
          <w:bCs/>
          <w:sz w:val="24"/>
          <w:highlight w:val="none"/>
        </w:rPr>
      </w:pPr>
      <w:r>
        <w:rPr>
          <w:rFonts w:hint="eastAsia"/>
          <w:b w:val="0"/>
          <w:bCs/>
          <w:sz w:val="24"/>
          <w:lang w:val="en-US" w:eastAsia="zh-CN"/>
        </w:rPr>
        <w:t>钢渣粉作为混凝土用矿物掺合料应用已经相对成熟，经过调研，国内外关于钢渣粉应用于混凝土工程的相关团体/协会标准不统一，造成生产企业无法控制钢渣粉质量，施工单位应用无标准可依，严重阻碍了钢渣粉在混凝土中的推广应用。因此，当前形势下迫切需要制订一本针对钢渣粉用于混凝土工程中的工程技术标准，在标准层面上对钢渣粉混凝土的原材料优选、配合比设计、施工、养护、以及质量验收等方面进行规定，为钢渣粉在混凝土中的应用及质量控制提供依据，以保证钢渣粉混凝土用于建设工程中的安全稳定和科学合理，从而大力推广钢渣粉在混凝土中的应用，提高资源利用率，解决钢渣粉对生态环境的破坏问题。该规范的制订是十分必须且必要的，其符合工程建设材料高性能化、低碳化方向的总体战略要求，响应广大相关企业经营者的呼声，可弥补当前国内外钢渣粉如何应用于混凝土工程中的标准的空白，从标准层面上对应用于混凝土的钢渣粉技术指标与施工应用方法进行规定，确保钢渣粉混凝土的工程质量，有利于钢渣粉在混凝土工程中更加科学、合理、有效的利用，能够产生技术、经济和环境的综合多赢效应。</w:t>
      </w:r>
    </w:p>
    <w:p>
      <w:pPr>
        <w:adjustRightInd w:val="0"/>
        <w:snapToGrid w:val="0"/>
        <w:spacing w:before="156" w:beforeLines="50" w:after="156" w:afterLines="50" w:line="360" w:lineRule="auto"/>
        <w:outlineLvl w:val="1"/>
        <w:rPr>
          <w:rFonts w:hint="eastAsia"/>
          <w:b/>
          <w:bCs/>
          <w:sz w:val="24"/>
          <w:highlight w:val="none"/>
        </w:rPr>
      </w:pPr>
      <w:bookmarkStart w:id="3" w:name="_Toc31727"/>
      <w:r>
        <w:rPr>
          <w:rFonts w:hint="eastAsia"/>
          <w:b/>
          <w:bCs/>
          <w:sz w:val="24"/>
          <w:highlight w:val="none"/>
        </w:rPr>
        <w:t>1.3主要参加单位和工作组成员及其所做的工作</w:t>
      </w:r>
      <w:bookmarkEnd w:id="3"/>
    </w:p>
    <w:p>
      <w:pPr>
        <w:adjustRightInd w:val="0"/>
        <w:snapToGrid w:val="0"/>
        <w:spacing w:line="360" w:lineRule="auto"/>
        <w:ind w:firstLine="480" w:firstLineChars="200"/>
        <w:rPr>
          <w:rFonts w:hint="default"/>
          <w:sz w:val="24"/>
          <w:highlight w:val="none"/>
          <w:lang w:val="en-US" w:eastAsia="zh-CN"/>
        </w:rPr>
      </w:pPr>
      <w:r>
        <w:rPr>
          <w:rFonts w:hint="eastAsia"/>
          <w:sz w:val="24"/>
          <w:highlight w:val="none"/>
        </w:rPr>
        <w:t>本文件主要负责起草单位为中国建筑科学研究院</w:t>
      </w:r>
      <w:r>
        <w:rPr>
          <w:rFonts w:hint="eastAsia"/>
          <w:sz w:val="24"/>
          <w:highlight w:val="none"/>
          <w:lang w:val="en-US" w:eastAsia="zh-CN"/>
        </w:rPr>
        <w:t>有限公司。</w:t>
      </w:r>
    </w:p>
    <w:p>
      <w:pPr>
        <w:adjustRightInd w:val="0"/>
        <w:snapToGrid w:val="0"/>
        <w:spacing w:line="360" w:lineRule="auto"/>
        <w:ind w:firstLine="480" w:firstLineChars="200"/>
        <w:rPr>
          <w:rFonts w:hint="eastAsia" w:ascii="Times New Roman" w:hAnsi="Times New Roman" w:eastAsia="宋体" w:cs="Times New Roman"/>
          <w:color w:val="000000"/>
          <w:sz w:val="24"/>
          <w:highlight w:val="none"/>
          <w:lang w:eastAsia="zh-CN"/>
        </w:rPr>
      </w:pPr>
      <w:r>
        <w:rPr>
          <w:rFonts w:hint="eastAsia" w:ascii="Times New Roman" w:hAnsi="Times New Roman" w:eastAsia="宋体" w:cs="Times New Roman"/>
          <w:color w:val="000000"/>
          <w:sz w:val="24"/>
          <w:highlight w:val="none"/>
        </w:rPr>
        <w:t>本文件参加起草单位：</w:t>
      </w:r>
      <w:r>
        <w:rPr>
          <w:rFonts w:hint="eastAsia" w:ascii="Times New Roman" w:hAnsi="Times New Roman" w:eastAsia="宋体" w:cs="Times New Roman"/>
          <w:color w:val="000000"/>
          <w:sz w:val="24"/>
          <w:highlight w:val="none"/>
          <w:lang w:eastAsia="zh-CN"/>
        </w:rPr>
        <w:t>清华大学、武汉大学、东南大学、武汉理工大学、河南理工大学、河北农业大学、河南交通职业技术学院、中交第二公路工程局、上海宝冶集团有限公司、中电建路桥集团有限公司、三明市高速公路建设集团有限公司、上海市政工程设计研究总院（集团）有限公司、山东钢铁股份有限公司、唐山钢铁集团有限责任公司、宝武环科武汉金属资源有限责任公司、建研院检测中心有限公司、建研建材有限公司</w:t>
      </w:r>
      <w:r>
        <w:rPr>
          <w:rFonts w:hint="eastAsia" w:ascii="Times New Roman" w:hAnsi="Times New Roman" w:eastAsia="宋体" w:cs="Times New Roman"/>
          <w:color w:val="000000"/>
          <w:sz w:val="24"/>
          <w:highlight w:val="none"/>
          <w:lang w:val="en-US" w:eastAsia="zh-CN"/>
        </w:rPr>
        <w:t>等</w:t>
      </w:r>
      <w:r>
        <w:rPr>
          <w:rFonts w:hint="eastAsia" w:ascii="Times New Roman" w:hAnsi="Times New Roman" w:eastAsia="宋体" w:cs="Times New Roman"/>
          <w:color w:val="000000"/>
          <w:sz w:val="24"/>
          <w:highlight w:val="none"/>
          <w:lang w:eastAsia="zh-CN"/>
        </w:rPr>
        <w:t>。</w:t>
      </w:r>
    </w:p>
    <w:p>
      <w:p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rPr>
        <w:t>各单位的分工由各单位参与本标准起草的具体人员负责落实</w:t>
      </w:r>
      <w:r>
        <w:rPr>
          <w:rFonts w:hint="eastAsia" w:ascii="Times New Roman" w:hAnsi="Times New Roman" w:eastAsia="宋体" w:cs="Times New Roman"/>
          <w:sz w:val="24"/>
          <w:highlight w:val="none"/>
          <w:lang w:eastAsia="zh-CN"/>
        </w:rPr>
        <w:t>，</w:t>
      </w:r>
      <w:r>
        <w:rPr>
          <w:rFonts w:hint="eastAsia" w:ascii="Times New Roman" w:hAnsi="Times New Roman" w:eastAsia="宋体" w:cs="Times New Roman"/>
          <w:sz w:val="24"/>
          <w:highlight w:val="none"/>
          <w:lang w:val="en-US" w:eastAsia="zh-CN"/>
        </w:rPr>
        <w:t>具体见表1.3。</w:t>
      </w:r>
    </w:p>
    <w:p>
      <w:pPr>
        <w:rPr>
          <w:rFonts w:ascii="Times New Roman" w:hAnsi="Times New Roman" w:eastAsia="黑体"/>
          <w:highlight w:val="none"/>
        </w:rPr>
      </w:pPr>
      <w:r>
        <w:rPr>
          <w:rFonts w:ascii="Times New Roman" w:hAnsi="Times New Roman" w:eastAsia="黑体"/>
          <w:highlight w:val="none"/>
        </w:rPr>
        <w:br w:type="page"/>
      </w:r>
    </w:p>
    <w:p>
      <w:pPr>
        <w:jc w:val="center"/>
        <w:rPr>
          <w:rFonts w:hint="eastAsia" w:ascii="Times New Roman" w:hAnsi="Times New Roman" w:eastAsia="宋体" w:cs="Times New Roman"/>
          <w:sz w:val="24"/>
          <w:highlight w:val="none"/>
        </w:rPr>
      </w:pPr>
      <w:r>
        <w:rPr>
          <w:rFonts w:ascii="Times New Roman" w:hAnsi="Times New Roman" w:eastAsia="黑体"/>
          <w:highlight w:val="none"/>
        </w:rPr>
        <w:t>表1</w:t>
      </w:r>
      <w:r>
        <w:rPr>
          <w:rFonts w:hint="eastAsia" w:ascii="Times New Roman" w:hAnsi="Times New Roman" w:eastAsia="黑体"/>
          <w:highlight w:val="none"/>
          <w:lang w:val="en-US" w:eastAsia="zh-CN"/>
        </w:rPr>
        <w:t>.3</w:t>
      </w:r>
      <w:r>
        <w:rPr>
          <w:rFonts w:ascii="Times New Roman" w:hAnsi="Times New Roman" w:eastAsia="黑体"/>
          <w:highlight w:val="none"/>
        </w:rPr>
        <w:t xml:space="preserve"> </w:t>
      </w:r>
      <w:r>
        <w:rPr>
          <w:rFonts w:hint="eastAsia" w:eastAsia="黑体"/>
          <w:highlight w:val="none"/>
          <w:lang w:val="en-US" w:eastAsia="zh-CN"/>
        </w:rPr>
        <w:t xml:space="preserve"> </w:t>
      </w:r>
      <w:r>
        <w:rPr>
          <w:rFonts w:ascii="Times New Roman" w:hAnsi="Times New Roman" w:eastAsia="黑体"/>
          <w:highlight w:val="none"/>
        </w:rPr>
        <w:t>参编单位任务分工</w:t>
      </w:r>
    </w:p>
    <w:tbl>
      <w:tblPr>
        <w:tblStyle w:val="17"/>
        <w:tblW w:w="501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8"/>
        <w:gridCol w:w="4307"/>
        <w:gridCol w:w="34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widowControl/>
              <w:snapToGrid w:val="0"/>
              <w:spacing w:line="300" w:lineRule="auto"/>
              <w:jc w:val="center"/>
              <w:rPr>
                <w:rFonts w:ascii="黑体" w:hAnsi="宋体" w:eastAsia="黑体" w:cs="宋体"/>
                <w:color w:val="000000"/>
                <w:kern w:val="0"/>
                <w:sz w:val="24"/>
                <w:szCs w:val="24"/>
                <w:highlight w:val="none"/>
              </w:rPr>
            </w:pPr>
            <w:r>
              <w:rPr>
                <w:rFonts w:hint="eastAsia" w:ascii="黑体" w:hAnsi="宋体" w:eastAsia="黑体" w:cs="宋体"/>
                <w:color w:val="000000"/>
                <w:kern w:val="0"/>
                <w:sz w:val="24"/>
                <w:szCs w:val="24"/>
                <w:highlight w:val="none"/>
              </w:rPr>
              <w:t>序号</w:t>
            </w:r>
          </w:p>
        </w:tc>
        <w:tc>
          <w:tcPr>
            <w:tcW w:w="2516" w:type="pct"/>
            <w:tcBorders>
              <w:top w:val="single" w:color="auto" w:sz="4" w:space="0"/>
              <w:left w:val="single" w:color="auto" w:sz="4" w:space="0"/>
              <w:bottom w:val="single" w:color="auto" w:sz="4" w:space="0"/>
              <w:right w:val="single" w:color="auto" w:sz="4" w:space="0"/>
            </w:tcBorders>
            <w:noWrap w:val="0"/>
            <w:vAlign w:val="center"/>
          </w:tcPr>
          <w:p>
            <w:pPr>
              <w:widowControl/>
              <w:snapToGrid w:val="0"/>
              <w:spacing w:line="300" w:lineRule="auto"/>
              <w:jc w:val="center"/>
              <w:rPr>
                <w:rFonts w:ascii="黑体" w:hAnsi="宋体" w:eastAsia="黑体" w:cs="宋体"/>
                <w:color w:val="000000"/>
                <w:kern w:val="0"/>
                <w:sz w:val="24"/>
                <w:szCs w:val="24"/>
                <w:highlight w:val="none"/>
              </w:rPr>
            </w:pPr>
            <w:r>
              <w:rPr>
                <w:rFonts w:hint="eastAsia" w:ascii="黑体" w:hAnsi="宋体" w:eastAsia="黑体" w:cs="宋体"/>
                <w:color w:val="000000"/>
                <w:kern w:val="0"/>
                <w:sz w:val="24"/>
                <w:szCs w:val="24"/>
                <w:highlight w:val="none"/>
              </w:rPr>
              <w:t>单位</w:t>
            </w:r>
          </w:p>
        </w:tc>
        <w:tc>
          <w:tcPr>
            <w:tcW w:w="2029" w:type="pct"/>
            <w:tcBorders>
              <w:top w:val="single" w:color="auto" w:sz="4" w:space="0"/>
              <w:left w:val="single" w:color="auto" w:sz="4" w:space="0"/>
              <w:bottom w:val="single" w:color="auto" w:sz="4" w:space="0"/>
              <w:right w:val="single" w:color="auto" w:sz="4" w:space="0"/>
            </w:tcBorders>
            <w:noWrap/>
            <w:vAlign w:val="center"/>
          </w:tcPr>
          <w:p>
            <w:pPr>
              <w:widowControl/>
              <w:snapToGrid w:val="0"/>
              <w:spacing w:line="300" w:lineRule="auto"/>
              <w:jc w:val="center"/>
              <w:rPr>
                <w:rFonts w:hint="default" w:ascii="黑体" w:hAnsi="宋体" w:eastAsia="黑体" w:cs="宋体"/>
                <w:color w:val="000000"/>
                <w:kern w:val="0"/>
                <w:sz w:val="24"/>
                <w:szCs w:val="24"/>
                <w:highlight w:val="none"/>
                <w:lang w:val="en-US" w:eastAsia="zh-CN"/>
              </w:rPr>
            </w:pPr>
            <w:r>
              <w:rPr>
                <w:rFonts w:hint="eastAsia" w:ascii="黑体" w:hAnsi="宋体" w:eastAsia="黑体" w:cs="宋体"/>
                <w:color w:val="000000"/>
                <w:kern w:val="0"/>
                <w:sz w:val="24"/>
                <w:szCs w:val="24"/>
                <w:highlight w:val="none"/>
                <w:lang w:val="en-US" w:eastAsia="zh-CN"/>
              </w:rPr>
              <w:t>工作任务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color w:val="000000"/>
                <w:kern w:val="0"/>
                <w:sz w:val="24"/>
                <w:szCs w:val="24"/>
                <w:highlight w:val="none"/>
                <w:lang w:val="en-US" w:eastAsia="zh-CN"/>
              </w:rPr>
            </w:pPr>
          </w:p>
        </w:tc>
        <w:tc>
          <w:tcPr>
            <w:tcW w:w="2516" w:type="pct"/>
            <w:tcBorders>
              <w:top w:val="single" w:color="auto" w:sz="4" w:space="0"/>
              <w:left w:val="single" w:color="auto" w:sz="4" w:space="0"/>
              <w:right w:val="single" w:color="auto" w:sz="4" w:space="0"/>
            </w:tcBorders>
            <w:noWrap w:val="0"/>
            <w:vAlign w:val="center"/>
          </w:tcPr>
          <w:p>
            <w:pPr>
              <w:widowControl/>
              <w:snapToGrid w:val="0"/>
              <w:spacing w:line="300" w:lineRule="auto"/>
              <w:jc w:val="center"/>
              <w:rPr>
                <w:rFonts w:ascii="Times New Roman" w:hAnsi="Times New Roman" w:eastAsia="宋体" w:cs="Times New Roman"/>
                <w:color w:val="000000"/>
                <w:kern w:val="0"/>
                <w:sz w:val="24"/>
                <w:szCs w:val="24"/>
                <w:highlight w:val="none"/>
                <w:lang w:val="en-US" w:eastAsia="zh-CN" w:bidi="ar-SA"/>
              </w:rPr>
            </w:pPr>
            <w:r>
              <w:rPr>
                <w:rFonts w:hint="eastAsia" w:hAnsi="宋体"/>
                <w:color w:val="000000"/>
                <w:kern w:val="0"/>
                <w:sz w:val="24"/>
                <w:szCs w:val="24"/>
                <w:highlight w:val="none"/>
              </w:rPr>
              <w:t>中国建筑科学研究院有限公司</w:t>
            </w:r>
          </w:p>
        </w:tc>
        <w:tc>
          <w:tcPr>
            <w:tcW w:w="2029" w:type="pct"/>
            <w:tcBorders>
              <w:top w:val="single" w:color="auto" w:sz="4" w:space="0"/>
              <w:left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ascii="Times New Roman" w:hAnsi="Times New Roman"/>
                <w:color w:val="000000"/>
                <w:sz w:val="24"/>
                <w:szCs w:val="24"/>
                <w:highlight w:val="none"/>
              </w:rPr>
              <w:t>组织、协调和主持标准编制</w:t>
            </w:r>
            <w:r>
              <w:rPr>
                <w:rFonts w:hint="eastAsia" w:ascii="Times New Roman" w:hAnsi="Times New Roman"/>
                <w:color w:val="000000"/>
                <w:sz w:val="24"/>
                <w:szCs w:val="24"/>
                <w:highlight w:val="none"/>
                <w:lang w:val="en-US" w:eastAsia="zh-CN"/>
              </w:rPr>
              <w:t>及验证试验工作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rPr>
            </w:pPr>
          </w:p>
        </w:tc>
        <w:tc>
          <w:tcPr>
            <w:tcW w:w="2516" w:type="pct"/>
            <w:tcBorders>
              <w:left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中交第二公路工程局</w:t>
            </w:r>
          </w:p>
        </w:tc>
        <w:tc>
          <w:tcPr>
            <w:tcW w:w="2029" w:type="pct"/>
            <w:tcBorders>
              <w:top w:val="single" w:color="auto" w:sz="4" w:space="0"/>
              <w:left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color w:val="000000"/>
                <w:kern w:val="0"/>
                <w:sz w:val="24"/>
                <w:szCs w:val="24"/>
                <w:highlight w:val="none"/>
                <w:lang w:val="en-US" w:eastAsia="zh-CN"/>
              </w:rPr>
            </w:pPr>
            <w:r>
              <w:rPr>
                <w:rFonts w:ascii="Times New Roman" w:hAnsi="Times New Roman"/>
                <w:color w:val="000000"/>
                <w:sz w:val="24"/>
                <w:szCs w:val="24"/>
                <w:highlight w:val="none"/>
              </w:rPr>
              <w:t>参与标准编制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rPr>
            </w:pPr>
          </w:p>
        </w:tc>
        <w:tc>
          <w:tcPr>
            <w:tcW w:w="2516" w:type="pct"/>
            <w:tcBorders>
              <w:top w:val="single" w:color="auto" w:sz="4" w:space="0"/>
              <w:left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清华大学</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rPr>
            </w:pPr>
            <w:r>
              <w:rPr>
                <w:rFonts w:ascii="Times New Roman" w:hAnsi="Times New Roman"/>
                <w:color w:val="000000"/>
                <w:sz w:val="24"/>
                <w:szCs w:val="24"/>
                <w:highlight w:val="none"/>
              </w:rPr>
              <w:t>承担验证试验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rPr>
            </w:pPr>
          </w:p>
        </w:tc>
        <w:tc>
          <w:tcPr>
            <w:tcW w:w="2516" w:type="pct"/>
            <w:tcBorders>
              <w:top w:val="single" w:color="auto" w:sz="4" w:space="0"/>
              <w:left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武汉大学</w:t>
            </w:r>
          </w:p>
        </w:tc>
        <w:tc>
          <w:tcPr>
            <w:tcW w:w="2029" w:type="pct"/>
            <w:tcBorders>
              <w:top w:val="single" w:color="auto" w:sz="4" w:space="0"/>
              <w:left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ascii="Times New Roman" w:hAnsi="Times New Roman"/>
                <w:color w:val="000000"/>
                <w:sz w:val="24"/>
                <w:szCs w:val="24"/>
                <w:highlight w:val="none"/>
              </w:rPr>
              <w:t>承担验证试验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lang w:val="en-US" w:eastAsia="zh-CN"/>
              </w:rPr>
            </w:pPr>
          </w:p>
        </w:tc>
        <w:tc>
          <w:tcPr>
            <w:tcW w:w="2516" w:type="pct"/>
            <w:tcBorders>
              <w:top w:val="single" w:color="auto" w:sz="4" w:space="0"/>
              <w:left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东南大学</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ascii="Times New Roman" w:hAnsi="Times New Roman"/>
                <w:color w:val="000000"/>
                <w:sz w:val="24"/>
                <w:szCs w:val="24"/>
                <w:highlight w:val="none"/>
              </w:rPr>
              <w:t>承担验证试验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rPr>
            </w:pPr>
          </w:p>
        </w:tc>
        <w:tc>
          <w:tcPr>
            <w:tcW w:w="251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武汉理工大学</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color w:val="000000"/>
                <w:kern w:val="0"/>
                <w:sz w:val="24"/>
                <w:szCs w:val="24"/>
                <w:highlight w:val="none"/>
                <w:lang w:val="en-US" w:eastAsia="zh-CN"/>
              </w:rPr>
            </w:pPr>
            <w:r>
              <w:rPr>
                <w:rFonts w:ascii="Times New Roman" w:hAnsi="Times New Roman"/>
                <w:color w:val="000000"/>
                <w:sz w:val="24"/>
                <w:szCs w:val="24"/>
                <w:highlight w:val="none"/>
              </w:rPr>
              <w:t>承担验证试验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rPr>
            </w:pPr>
          </w:p>
        </w:tc>
        <w:tc>
          <w:tcPr>
            <w:tcW w:w="251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河南理工大学</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ascii="Times New Roman" w:hAnsi="Times New Roman"/>
                <w:color w:val="000000"/>
                <w:sz w:val="24"/>
                <w:szCs w:val="24"/>
                <w:highlight w:val="none"/>
              </w:rPr>
              <w:t>参与标准编制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rPr>
            </w:pPr>
          </w:p>
        </w:tc>
        <w:tc>
          <w:tcPr>
            <w:tcW w:w="251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河北农业大学</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ascii="Times New Roman" w:hAnsi="Times New Roman"/>
                <w:color w:val="000000"/>
                <w:sz w:val="24"/>
                <w:szCs w:val="24"/>
                <w:highlight w:val="none"/>
              </w:rPr>
              <w:t>参与标准编制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rPr>
            </w:pPr>
          </w:p>
        </w:tc>
        <w:tc>
          <w:tcPr>
            <w:tcW w:w="251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河南交通职业技术学院</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ascii="Times New Roman" w:hAnsi="Times New Roman"/>
                <w:color w:val="000000"/>
                <w:sz w:val="24"/>
                <w:szCs w:val="24"/>
                <w:highlight w:val="none"/>
              </w:rPr>
              <w:t>参与标准编制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rPr>
            </w:pPr>
          </w:p>
        </w:tc>
        <w:tc>
          <w:tcPr>
            <w:tcW w:w="2516" w:type="pct"/>
            <w:tcBorders>
              <w:left w:val="single" w:color="auto" w:sz="4" w:space="0"/>
              <w:bottom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上海宝冶集团有限公司</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eastAsia="宋体" w:cs="Times New Roman"/>
                <w:color w:val="000000"/>
                <w:kern w:val="0"/>
                <w:sz w:val="24"/>
                <w:szCs w:val="24"/>
                <w:highlight w:val="none"/>
                <w:lang w:val="en-US" w:eastAsia="zh-CN" w:bidi="ar-SA"/>
              </w:rPr>
            </w:pPr>
            <w:r>
              <w:rPr>
                <w:rFonts w:ascii="Times New Roman" w:hAnsi="Times New Roman"/>
                <w:color w:val="000000"/>
                <w:sz w:val="24"/>
                <w:szCs w:val="24"/>
                <w:highlight w:val="none"/>
              </w:rPr>
              <w:t>参与标准编制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rPr>
            </w:pPr>
          </w:p>
        </w:tc>
        <w:tc>
          <w:tcPr>
            <w:tcW w:w="2516" w:type="pct"/>
            <w:tcBorders>
              <w:top w:val="single" w:color="auto" w:sz="4" w:space="0"/>
              <w:left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中电建路桥集团有限公司</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ascii="Times New Roman" w:hAnsi="Times New Roman"/>
                <w:color w:val="000000"/>
                <w:sz w:val="24"/>
                <w:szCs w:val="24"/>
                <w:highlight w:val="none"/>
              </w:rPr>
              <w:t>参与标准编制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rPr>
            </w:pPr>
          </w:p>
        </w:tc>
        <w:tc>
          <w:tcPr>
            <w:tcW w:w="2516" w:type="pct"/>
            <w:tcBorders>
              <w:top w:val="single" w:color="auto" w:sz="4" w:space="0"/>
              <w:left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三明市高速公路建设集团有限公司</w:t>
            </w:r>
          </w:p>
        </w:tc>
        <w:tc>
          <w:tcPr>
            <w:tcW w:w="2029" w:type="pct"/>
            <w:tcBorders>
              <w:top w:val="single" w:color="auto" w:sz="4" w:space="0"/>
              <w:left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rPr>
            </w:pPr>
            <w:r>
              <w:rPr>
                <w:rFonts w:ascii="Times New Roman" w:hAnsi="Times New Roman"/>
                <w:color w:val="000000"/>
                <w:sz w:val="24"/>
                <w:szCs w:val="24"/>
                <w:highlight w:val="none"/>
              </w:rPr>
              <w:t>参与标准编制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rPr>
            </w:pPr>
          </w:p>
        </w:tc>
        <w:tc>
          <w:tcPr>
            <w:tcW w:w="251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上海市政工程设计研究总院（集团）有限公司</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ascii="Times New Roman" w:hAnsi="Times New Roman"/>
                <w:color w:val="000000"/>
                <w:sz w:val="24"/>
                <w:szCs w:val="24"/>
                <w:highlight w:val="none"/>
              </w:rPr>
              <w:t>参与标准编制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rPr>
            </w:pPr>
          </w:p>
        </w:tc>
        <w:tc>
          <w:tcPr>
            <w:tcW w:w="2516" w:type="pct"/>
            <w:tcBorders>
              <w:top w:val="single" w:color="auto" w:sz="4" w:space="0"/>
              <w:left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山东钢铁股份有限公司</w:t>
            </w:r>
          </w:p>
        </w:tc>
        <w:tc>
          <w:tcPr>
            <w:tcW w:w="2029" w:type="pct"/>
            <w:tcBorders>
              <w:top w:val="single" w:color="auto" w:sz="4" w:space="0"/>
              <w:left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olor w:val="000000"/>
                <w:sz w:val="24"/>
                <w:szCs w:val="24"/>
                <w:highlight w:val="none"/>
                <w:lang w:val="en-US" w:eastAsia="zh-CN"/>
              </w:rPr>
            </w:pPr>
            <w:r>
              <w:rPr>
                <w:rFonts w:hint="eastAsia" w:ascii="Times New Roman" w:hAnsi="Times New Roman"/>
                <w:color w:val="000000"/>
                <w:sz w:val="24"/>
                <w:szCs w:val="24"/>
                <w:highlight w:val="none"/>
                <w:lang w:val="en-US" w:eastAsia="zh-CN"/>
              </w:rPr>
              <w:t>提供样品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lang w:val="en-US" w:eastAsia="zh-CN" w:bidi="ar-SA"/>
              </w:rPr>
            </w:pPr>
          </w:p>
        </w:tc>
        <w:tc>
          <w:tcPr>
            <w:tcW w:w="251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唐山钢铁集团有限责任公司</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eastAsia" w:ascii="Times New Roman" w:hAnsi="Times New Roman"/>
                <w:color w:val="000000"/>
                <w:sz w:val="24"/>
                <w:szCs w:val="24"/>
                <w:highlight w:val="none"/>
                <w:lang w:val="en-US" w:eastAsia="zh-CN"/>
              </w:rPr>
              <w:t>提供样品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lang w:val="en-US" w:eastAsia="zh-CN" w:bidi="ar-SA"/>
              </w:rPr>
            </w:pPr>
          </w:p>
        </w:tc>
        <w:tc>
          <w:tcPr>
            <w:tcW w:w="251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宝武环科武汉金属资源有限责任公司</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ascii="Times New Roman" w:hAnsi="Times New Roman"/>
                <w:color w:val="000000"/>
                <w:sz w:val="24"/>
                <w:szCs w:val="24"/>
                <w:highlight w:val="none"/>
              </w:rPr>
            </w:pPr>
            <w:r>
              <w:rPr>
                <w:rFonts w:hint="eastAsia" w:ascii="Times New Roman" w:hAnsi="Times New Roman"/>
                <w:color w:val="000000"/>
                <w:sz w:val="24"/>
                <w:szCs w:val="24"/>
                <w:highlight w:val="none"/>
                <w:lang w:val="en-US" w:eastAsia="zh-CN"/>
              </w:rPr>
              <w:t>提供样品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lang w:val="en-US" w:eastAsia="zh-CN" w:bidi="ar-SA"/>
              </w:rPr>
            </w:pPr>
          </w:p>
        </w:tc>
        <w:tc>
          <w:tcPr>
            <w:tcW w:w="2516"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建研院检测中心有限公司</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ascii="Times New Roman" w:hAnsi="Times New Roman"/>
                <w:color w:val="000000"/>
                <w:sz w:val="24"/>
                <w:szCs w:val="24"/>
                <w:highlight w:val="none"/>
              </w:rPr>
            </w:pPr>
            <w:r>
              <w:rPr>
                <w:rFonts w:hint="eastAsia" w:ascii="Times New Roman" w:hAnsi="Times New Roman"/>
                <w:color w:val="000000"/>
                <w:sz w:val="24"/>
                <w:szCs w:val="24"/>
                <w:highlight w:val="none"/>
              </w:rPr>
              <w:t>承担验证试验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54"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numPr>
                <w:ilvl w:val="0"/>
                <w:numId w:val="5"/>
              </w:numPr>
              <w:kinsoku/>
              <w:wordWrap/>
              <w:overflowPunct/>
              <w:topLinePunct w:val="0"/>
              <w:autoSpaceDE/>
              <w:autoSpaceDN/>
              <w:bidi w:val="0"/>
              <w:adjustRightInd/>
              <w:snapToGrid w:val="0"/>
              <w:spacing w:line="240" w:lineRule="auto"/>
              <w:ind w:left="454" w:leftChars="0" w:hanging="454" w:firstLineChars="0"/>
              <w:jc w:val="center"/>
              <w:textAlignment w:val="auto"/>
              <w:rPr>
                <w:rFonts w:hint="default" w:ascii="Times New Roman" w:hAnsi="Times New Roman" w:eastAsia="宋体" w:cs="Times New Roman"/>
                <w:color w:val="000000"/>
                <w:kern w:val="0"/>
                <w:sz w:val="24"/>
                <w:szCs w:val="24"/>
                <w:highlight w:val="none"/>
                <w:lang w:val="en-US" w:eastAsia="zh-CN" w:bidi="ar-SA"/>
              </w:rPr>
            </w:pPr>
          </w:p>
        </w:tc>
        <w:tc>
          <w:tcPr>
            <w:tcW w:w="2516"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ascii="Times New Roman" w:hAnsi="Times New Roman" w:eastAsia="宋体" w:cs="Times New Roman"/>
                <w:color w:val="000000"/>
                <w:kern w:val="0"/>
                <w:sz w:val="24"/>
                <w:szCs w:val="24"/>
                <w:highlight w:val="none"/>
                <w:lang w:val="en-US" w:eastAsia="zh-CN" w:bidi="ar-SA"/>
              </w:rPr>
            </w:pPr>
            <w:r>
              <w:rPr>
                <w:rFonts w:hint="default" w:ascii="Times New Roman" w:hAnsi="Times New Roman" w:eastAsia="宋体" w:cs="Times New Roman"/>
                <w:color w:val="000000"/>
                <w:kern w:val="0"/>
                <w:sz w:val="24"/>
                <w:szCs w:val="24"/>
                <w:highlight w:val="none"/>
                <w:lang w:val="en-US" w:eastAsia="zh-CN" w:bidi="ar-SA"/>
              </w:rPr>
              <w:t>建研建材有限公司</w:t>
            </w:r>
          </w:p>
        </w:tc>
        <w:tc>
          <w:tcPr>
            <w:tcW w:w="2029" w:type="pct"/>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ascii="Times New Roman" w:hAnsi="Times New Roman"/>
                <w:color w:val="000000"/>
                <w:sz w:val="24"/>
                <w:szCs w:val="24"/>
                <w:highlight w:val="none"/>
              </w:rPr>
            </w:pPr>
            <w:r>
              <w:rPr>
                <w:rFonts w:ascii="Times New Roman" w:hAnsi="Times New Roman"/>
                <w:color w:val="000000"/>
                <w:sz w:val="24"/>
                <w:szCs w:val="24"/>
                <w:highlight w:val="none"/>
              </w:rPr>
              <w:t>承担验证试验</w:t>
            </w:r>
          </w:p>
        </w:tc>
      </w:tr>
    </w:tbl>
    <w:p>
      <w:pPr>
        <w:adjustRightInd w:val="0"/>
        <w:snapToGrid w:val="0"/>
        <w:spacing w:before="156" w:beforeLines="50" w:after="156" w:afterLines="50" w:line="360" w:lineRule="auto"/>
        <w:outlineLvl w:val="1"/>
        <w:rPr>
          <w:b/>
          <w:bCs/>
          <w:sz w:val="24"/>
          <w:highlight w:val="none"/>
        </w:rPr>
      </w:pPr>
      <w:bookmarkStart w:id="4" w:name="_Toc21074"/>
      <w:r>
        <w:rPr>
          <w:rFonts w:hint="eastAsia"/>
          <w:b/>
          <w:bCs/>
          <w:sz w:val="24"/>
          <w:highlight w:val="none"/>
        </w:rPr>
        <w:t>1.</w:t>
      </w:r>
      <w:r>
        <w:rPr>
          <w:rFonts w:hint="eastAsia"/>
          <w:b/>
          <w:bCs/>
          <w:sz w:val="24"/>
          <w:highlight w:val="none"/>
          <w:lang w:val="en-US" w:eastAsia="zh-CN"/>
        </w:rPr>
        <w:t>4</w:t>
      </w:r>
      <w:r>
        <w:rPr>
          <w:rFonts w:hint="eastAsia"/>
          <w:b/>
          <w:bCs/>
          <w:sz w:val="24"/>
          <w:highlight w:val="none"/>
        </w:rPr>
        <w:t>主要工作过程</w:t>
      </w:r>
      <w:bookmarkEnd w:id="4"/>
    </w:p>
    <w:p>
      <w:pPr>
        <w:spacing w:line="360" w:lineRule="auto"/>
        <w:ind w:firstLine="480" w:firstLineChars="200"/>
        <w:outlineLvl w:val="1"/>
        <w:rPr>
          <w:rFonts w:ascii="Times New Roman" w:hAnsi="Times New Roman"/>
          <w:sz w:val="24"/>
          <w:szCs w:val="24"/>
          <w:highlight w:val="none"/>
        </w:rPr>
      </w:pPr>
      <w:bookmarkStart w:id="5" w:name="_Toc9767"/>
      <w:bookmarkStart w:id="6" w:name="_Toc25224"/>
      <w:bookmarkStart w:id="7" w:name="_Toc177990598"/>
      <w:bookmarkStart w:id="8" w:name="_Toc177988994"/>
      <w:bookmarkStart w:id="9" w:name="_Toc21652"/>
      <w:r>
        <w:rPr>
          <w:rFonts w:ascii="Times New Roman" w:hAnsi="Times New Roman"/>
          <w:sz w:val="24"/>
          <w:szCs w:val="24"/>
          <w:highlight w:val="none"/>
        </w:rPr>
        <w:t>（</w:t>
      </w:r>
      <w:r>
        <w:rPr>
          <w:rFonts w:hint="eastAsia" w:ascii="Times New Roman" w:hAnsi="Times New Roman"/>
          <w:sz w:val="24"/>
          <w:szCs w:val="24"/>
          <w:highlight w:val="none"/>
          <w:lang w:val="en-US" w:eastAsia="zh-CN"/>
        </w:rPr>
        <w:t>一</w:t>
      </w:r>
      <w:r>
        <w:rPr>
          <w:rFonts w:ascii="Times New Roman" w:hAnsi="Times New Roman"/>
          <w:sz w:val="24"/>
          <w:szCs w:val="24"/>
          <w:highlight w:val="none"/>
        </w:rPr>
        <w:t>）开展调研工作</w:t>
      </w:r>
      <w:bookmarkEnd w:id="5"/>
      <w:bookmarkEnd w:id="6"/>
      <w:bookmarkEnd w:id="7"/>
      <w:bookmarkEnd w:id="8"/>
      <w:bookmarkEnd w:id="9"/>
    </w:p>
    <w:p>
      <w:pPr>
        <w:numPr>
          <w:ilvl w:val="0"/>
          <w:numId w:val="0"/>
        </w:numPr>
        <w:spacing w:line="360" w:lineRule="auto"/>
        <w:ind w:firstLine="480" w:firstLineChars="200"/>
        <w:rPr>
          <w:rFonts w:hint="default" w:cs="宋体"/>
          <w:sz w:val="24"/>
          <w:highlight w:val="none"/>
          <w:lang w:val="en-US" w:eastAsia="zh-CN"/>
        </w:rPr>
      </w:pPr>
      <w:r>
        <w:rPr>
          <w:rFonts w:hint="eastAsia" w:cs="宋体"/>
          <w:sz w:val="24"/>
          <w:highlight w:val="none"/>
          <w:lang w:val="en-US" w:eastAsia="zh-CN"/>
        </w:rPr>
        <w:t>编制组在编制过程中，详细调研了国内外钢渣粉作为矿物掺合料在混凝土中应用的相关的研究文献，同时系统梳理总结了国内外钢渣粉在混凝土应用的相关标准规范，主要包括：</w:t>
      </w:r>
    </w:p>
    <w:p>
      <w:pPr>
        <w:numPr>
          <w:ilvl w:val="0"/>
          <w:numId w:val="6"/>
        </w:numPr>
        <w:spacing w:line="360" w:lineRule="auto"/>
        <w:ind w:firstLine="480" w:firstLineChars="200"/>
        <w:rPr>
          <w:rFonts w:hint="eastAsia"/>
          <w:sz w:val="24"/>
          <w:highlight w:val="none"/>
        </w:rPr>
      </w:pPr>
      <w:bookmarkStart w:id="10" w:name="_Toc177990599"/>
      <w:bookmarkStart w:id="11" w:name="_Toc7228"/>
      <w:bookmarkStart w:id="12" w:name="_Toc177988995"/>
      <w:r>
        <w:rPr>
          <w:rFonts w:hint="eastAsia"/>
          <w:sz w:val="24"/>
          <w:highlight w:val="none"/>
          <w:lang w:eastAsia="zh-CN"/>
        </w:rPr>
        <w:t>《</w:t>
      </w:r>
      <w:r>
        <w:rPr>
          <w:rFonts w:hint="eastAsia"/>
          <w:sz w:val="24"/>
          <w:highlight w:val="none"/>
        </w:rPr>
        <w:t>用于水泥和混凝土中的钢渣粉</w:t>
      </w:r>
      <w:r>
        <w:rPr>
          <w:rFonts w:hint="eastAsia"/>
          <w:sz w:val="24"/>
          <w:highlight w:val="none"/>
          <w:lang w:eastAsia="zh-CN"/>
        </w:rPr>
        <w:t>》</w:t>
      </w:r>
      <w:r>
        <w:rPr>
          <w:rFonts w:hint="eastAsia"/>
          <w:sz w:val="24"/>
          <w:highlight w:val="none"/>
        </w:rPr>
        <w:t xml:space="preserve">GB/T 20491-2017 </w:t>
      </w:r>
    </w:p>
    <w:p>
      <w:pPr>
        <w:numPr>
          <w:ilvl w:val="0"/>
          <w:numId w:val="6"/>
        </w:numPr>
        <w:spacing w:line="360" w:lineRule="auto"/>
        <w:ind w:firstLine="480" w:firstLineChars="200"/>
        <w:rPr>
          <w:rFonts w:hint="eastAsia"/>
          <w:sz w:val="24"/>
          <w:highlight w:val="none"/>
        </w:rPr>
      </w:pPr>
      <w:r>
        <w:rPr>
          <w:rFonts w:hint="eastAsia"/>
          <w:sz w:val="24"/>
          <w:highlight w:val="none"/>
          <w:lang w:eastAsia="zh-CN"/>
        </w:rPr>
        <w:t>《</w:t>
      </w:r>
      <w:r>
        <w:rPr>
          <w:rFonts w:hint="eastAsia"/>
          <w:sz w:val="24"/>
          <w:highlight w:val="none"/>
        </w:rPr>
        <w:t>用于水泥中的钢渣</w:t>
      </w:r>
      <w:r>
        <w:rPr>
          <w:rFonts w:hint="eastAsia"/>
          <w:sz w:val="24"/>
          <w:highlight w:val="none"/>
          <w:lang w:eastAsia="zh-CN"/>
        </w:rPr>
        <w:t>》</w:t>
      </w:r>
      <w:r>
        <w:rPr>
          <w:rFonts w:hint="eastAsia"/>
          <w:sz w:val="24"/>
          <w:highlight w:val="none"/>
        </w:rPr>
        <w:t xml:space="preserve">YB/T 022-2008 </w:t>
      </w:r>
    </w:p>
    <w:p>
      <w:pPr>
        <w:numPr>
          <w:ilvl w:val="0"/>
          <w:numId w:val="6"/>
        </w:numPr>
        <w:spacing w:line="360" w:lineRule="auto"/>
        <w:ind w:firstLine="480" w:firstLineChars="200"/>
        <w:rPr>
          <w:rFonts w:hint="eastAsia"/>
          <w:sz w:val="24"/>
          <w:highlight w:val="none"/>
        </w:rPr>
      </w:pPr>
      <w:r>
        <w:rPr>
          <w:rFonts w:hint="eastAsia"/>
          <w:sz w:val="24"/>
          <w:highlight w:val="none"/>
          <w:lang w:eastAsia="zh-CN"/>
        </w:rPr>
        <w:t>《</w:t>
      </w:r>
      <w:r>
        <w:rPr>
          <w:rFonts w:hint="eastAsia"/>
          <w:sz w:val="24"/>
          <w:highlight w:val="none"/>
        </w:rPr>
        <w:t>钢渣粉在混凝土中应用技术标准</w:t>
      </w:r>
      <w:r>
        <w:rPr>
          <w:rFonts w:hint="eastAsia"/>
          <w:sz w:val="24"/>
          <w:highlight w:val="none"/>
          <w:lang w:eastAsia="zh-CN"/>
        </w:rPr>
        <w:t>》</w:t>
      </w:r>
      <w:r>
        <w:rPr>
          <w:rFonts w:hint="eastAsia"/>
          <w:sz w:val="24"/>
          <w:highlight w:val="none"/>
        </w:rPr>
        <w:t xml:space="preserve">DG/TJ 08-2013-2019 </w:t>
      </w:r>
    </w:p>
    <w:p>
      <w:pPr>
        <w:numPr>
          <w:ilvl w:val="0"/>
          <w:numId w:val="6"/>
        </w:numPr>
        <w:spacing w:line="360" w:lineRule="auto"/>
        <w:ind w:firstLine="480" w:firstLineChars="200"/>
        <w:rPr>
          <w:rFonts w:hint="eastAsia"/>
          <w:sz w:val="24"/>
          <w:highlight w:val="none"/>
        </w:rPr>
      </w:pPr>
      <w:r>
        <w:rPr>
          <w:rFonts w:hint="eastAsia"/>
          <w:sz w:val="24"/>
          <w:highlight w:val="none"/>
        </w:rPr>
        <w:t xml:space="preserve">《钢铁渣粉》GB/T 28293-2012 </w:t>
      </w:r>
    </w:p>
    <w:p>
      <w:pPr>
        <w:numPr>
          <w:ilvl w:val="0"/>
          <w:numId w:val="6"/>
        </w:numPr>
        <w:spacing w:line="360" w:lineRule="auto"/>
        <w:ind w:firstLine="480" w:firstLineChars="200"/>
        <w:rPr>
          <w:rFonts w:hint="eastAsia"/>
          <w:sz w:val="24"/>
          <w:highlight w:val="none"/>
        </w:rPr>
      </w:pPr>
      <w:r>
        <w:rPr>
          <w:rFonts w:hint="eastAsia"/>
          <w:sz w:val="24"/>
          <w:highlight w:val="none"/>
        </w:rPr>
        <w:t xml:space="preserve">《钢铁渣粉混凝土应用技术规范》GB/T 50912-2013 </w:t>
      </w:r>
    </w:p>
    <w:p>
      <w:pPr>
        <w:numPr>
          <w:ilvl w:val="0"/>
          <w:numId w:val="6"/>
        </w:numPr>
        <w:spacing w:line="360" w:lineRule="auto"/>
        <w:ind w:firstLine="480" w:firstLineChars="200"/>
        <w:rPr>
          <w:rFonts w:hint="eastAsia"/>
          <w:sz w:val="24"/>
          <w:highlight w:val="none"/>
        </w:rPr>
      </w:pPr>
      <w:r>
        <w:rPr>
          <w:rFonts w:hint="eastAsia"/>
          <w:sz w:val="24"/>
          <w:highlight w:val="none"/>
        </w:rPr>
        <w:t xml:space="preserve">《钢渣矿渣硅酸盐水泥》GB/T 13590-2022 </w:t>
      </w:r>
    </w:p>
    <w:p>
      <w:pPr>
        <w:numPr>
          <w:ilvl w:val="0"/>
          <w:numId w:val="6"/>
        </w:numPr>
        <w:spacing w:line="360" w:lineRule="auto"/>
        <w:ind w:firstLine="480" w:firstLineChars="200"/>
        <w:rPr>
          <w:rFonts w:hint="eastAsia"/>
          <w:sz w:val="24"/>
          <w:highlight w:val="none"/>
        </w:rPr>
      </w:pPr>
      <w:r>
        <w:rPr>
          <w:rFonts w:hint="eastAsia"/>
          <w:sz w:val="24"/>
          <w:highlight w:val="none"/>
          <w:lang w:eastAsia="zh-CN"/>
        </w:rPr>
        <w:t>《</w:t>
      </w:r>
      <w:r>
        <w:rPr>
          <w:rFonts w:hint="eastAsia"/>
          <w:sz w:val="24"/>
          <w:highlight w:val="none"/>
        </w:rPr>
        <w:t>钢渣粉混凝土</w:t>
      </w:r>
      <w:r>
        <w:rPr>
          <w:rFonts w:hint="eastAsia"/>
          <w:sz w:val="24"/>
          <w:highlight w:val="none"/>
          <w:lang w:eastAsia="zh-CN"/>
        </w:rPr>
        <w:t>》</w:t>
      </w:r>
      <w:r>
        <w:rPr>
          <w:rFonts w:hint="eastAsia"/>
          <w:sz w:val="24"/>
          <w:highlight w:val="none"/>
        </w:rPr>
        <w:t xml:space="preserve">T/ZACA 025-2020 </w:t>
      </w:r>
    </w:p>
    <w:p>
      <w:pPr>
        <w:numPr>
          <w:ilvl w:val="0"/>
          <w:numId w:val="6"/>
        </w:numPr>
        <w:spacing w:line="360" w:lineRule="auto"/>
        <w:ind w:firstLine="480" w:firstLineChars="200"/>
        <w:rPr>
          <w:rFonts w:hint="eastAsia"/>
          <w:sz w:val="24"/>
          <w:highlight w:val="none"/>
        </w:rPr>
      </w:pPr>
      <w:r>
        <w:rPr>
          <w:rFonts w:hint="eastAsia"/>
          <w:sz w:val="24"/>
          <w:highlight w:val="none"/>
          <w:lang w:eastAsia="zh-CN"/>
        </w:rPr>
        <w:t>《</w:t>
      </w:r>
      <w:r>
        <w:rPr>
          <w:rFonts w:hint="eastAsia"/>
          <w:sz w:val="24"/>
          <w:highlight w:val="none"/>
        </w:rPr>
        <w:t>钢渣粉在混凝土中应用技术规程</w:t>
      </w:r>
      <w:r>
        <w:rPr>
          <w:rFonts w:hint="eastAsia"/>
          <w:sz w:val="24"/>
          <w:highlight w:val="none"/>
          <w:lang w:eastAsia="zh-CN"/>
        </w:rPr>
        <w:t>》</w:t>
      </w:r>
      <w:r>
        <w:rPr>
          <w:rFonts w:hint="eastAsia"/>
          <w:sz w:val="24"/>
          <w:highlight w:val="none"/>
        </w:rPr>
        <w:t>T/CBMF 147-2021 T/CCPA 24-2021</w:t>
      </w:r>
    </w:p>
    <w:p>
      <w:pPr>
        <w:numPr>
          <w:ilvl w:val="0"/>
          <w:numId w:val="6"/>
        </w:numPr>
        <w:spacing w:line="360" w:lineRule="auto"/>
        <w:ind w:firstLine="480" w:firstLineChars="200"/>
        <w:rPr>
          <w:rFonts w:hint="eastAsia"/>
          <w:sz w:val="24"/>
          <w:highlight w:val="none"/>
        </w:rPr>
      </w:pPr>
      <w:r>
        <w:rPr>
          <w:rFonts w:hint="eastAsia"/>
          <w:sz w:val="24"/>
          <w:highlight w:val="none"/>
          <w:lang w:eastAsia="zh-CN"/>
        </w:rPr>
        <w:t>《</w:t>
      </w:r>
      <w:r>
        <w:rPr>
          <w:rFonts w:hint="eastAsia"/>
          <w:sz w:val="24"/>
          <w:highlight w:val="none"/>
        </w:rPr>
        <w:t>钢渣粉混凝土应用技术规范</w:t>
      </w:r>
      <w:r>
        <w:rPr>
          <w:rFonts w:hint="eastAsia"/>
          <w:sz w:val="24"/>
          <w:highlight w:val="none"/>
          <w:lang w:eastAsia="zh-CN"/>
        </w:rPr>
        <w:t>》</w:t>
      </w:r>
      <w:r>
        <w:rPr>
          <w:rFonts w:hint="eastAsia"/>
          <w:sz w:val="24"/>
          <w:highlight w:val="none"/>
        </w:rPr>
        <w:t xml:space="preserve">T/JXCRC 003-2023 </w:t>
      </w:r>
    </w:p>
    <w:p>
      <w:pPr>
        <w:numPr>
          <w:ilvl w:val="0"/>
          <w:numId w:val="6"/>
        </w:numPr>
        <w:spacing w:line="360" w:lineRule="auto"/>
        <w:ind w:firstLine="480" w:firstLineChars="200"/>
        <w:rPr>
          <w:rFonts w:hint="eastAsia"/>
          <w:sz w:val="24"/>
          <w:highlight w:val="none"/>
        </w:rPr>
      </w:pPr>
      <w:r>
        <w:rPr>
          <w:rFonts w:hint="eastAsia"/>
          <w:sz w:val="24"/>
          <w:highlight w:val="none"/>
          <w:lang w:eastAsia="zh-CN"/>
        </w:rPr>
        <w:t>《</w:t>
      </w:r>
      <w:r>
        <w:rPr>
          <w:rFonts w:hint="eastAsia"/>
          <w:sz w:val="24"/>
          <w:highlight w:val="none"/>
        </w:rPr>
        <w:t>钢渣粉混凝土应用技术规程</w:t>
      </w:r>
      <w:r>
        <w:rPr>
          <w:rFonts w:hint="eastAsia"/>
          <w:sz w:val="24"/>
          <w:highlight w:val="none"/>
          <w:lang w:eastAsia="zh-CN"/>
        </w:rPr>
        <w:t>》</w:t>
      </w:r>
      <w:r>
        <w:rPr>
          <w:rFonts w:hint="eastAsia"/>
          <w:sz w:val="24"/>
          <w:highlight w:val="none"/>
        </w:rPr>
        <w:t xml:space="preserve">T/WHCA 0001-2025 </w:t>
      </w:r>
    </w:p>
    <w:p>
      <w:pPr>
        <w:numPr>
          <w:ilvl w:val="0"/>
          <w:numId w:val="6"/>
        </w:numPr>
        <w:spacing w:line="360" w:lineRule="auto"/>
        <w:ind w:firstLine="480" w:firstLineChars="200"/>
        <w:rPr>
          <w:rFonts w:hint="eastAsia"/>
          <w:sz w:val="24"/>
          <w:highlight w:val="none"/>
        </w:rPr>
      </w:pPr>
      <w:r>
        <w:rPr>
          <w:rFonts w:hint="eastAsia"/>
          <w:sz w:val="24"/>
          <w:highlight w:val="none"/>
          <w:lang w:eastAsia="zh-CN"/>
        </w:rPr>
        <w:t>《</w:t>
      </w:r>
      <w:r>
        <w:rPr>
          <w:rFonts w:hint="eastAsia"/>
          <w:sz w:val="24"/>
          <w:highlight w:val="none"/>
        </w:rPr>
        <w:t>混凝土和砂浆用超细钢渣粉</w:t>
      </w:r>
      <w:r>
        <w:rPr>
          <w:rFonts w:hint="eastAsia"/>
          <w:sz w:val="24"/>
          <w:highlight w:val="none"/>
          <w:lang w:eastAsia="zh-CN"/>
        </w:rPr>
        <w:t>》</w:t>
      </w:r>
      <w:r>
        <w:rPr>
          <w:rFonts w:hint="eastAsia"/>
          <w:sz w:val="24"/>
          <w:highlight w:val="none"/>
        </w:rPr>
        <w:t xml:space="preserve">T/CBMF 234-2023 </w:t>
      </w:r>
    </w:p>
    <w:p>
      <w:pPr>
        <w:spacing w:line="360" w:lineRule="auto"/>
        <w:ind w:firstLine="480" w:firstLineChars="200"/>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现有标准主要覆盖钢渣粉原材料指标或通用混凝土要求，缺乏钢渣粉混凝土专项规范，表</w:t>
      </w:r>
      <w:r>
        <w:rPr>
          <w:rFonts w:hint="eastAsia" w:cs="Times New Roman"/>
          <w:sz w:val="24"/>
          <w:szCs w:val="24"/>
          <w:highlight w:val="none"/>
          <w:lang w:val="en-US" w:eastAsia="zh-CN"/>
        </w:rPr>
        <w:t>1.4-1</w:t>
      </w:r>
      <w:r>
        <w:rPr>
          <w:rFonts w:hint="default" w:ascii="Times New Roman" w:hAnsi="Times New Roman" w:cs="Times New Roman"/>
          <w:sz w:val="24"/>
          <w:szCs w:val="24"/>
          <w:highlight w:val="none"/>
          <w:lang w:val="en-US" w:eastAsia="zh-CN"/>
        </w:rPr>
        <w:t>为各相关标准的适用范围、技术内容及对钢渣粉混凝土的局限性。</w:t>
      </w:r>
    </w:p>
    <w:p>
      <w:pPr>
        <w:numPr>
          <w:ilvl w:val="0"/>
          <w:numId w:val="0"/>
        </w:numPr>
        <w:spacing w:line="360" w:lineRule="auto"/>
        <w:jc w:val="center"/>
        <w:rPr>
          <w:rFonts w:hint="eastAsia" w:ascii="黑体" w:hAnsi="黑体" w:eastAsia="黑体" w:cs="黑体"/>
          <w:sz w:val="21"/>
          <w:szCs w:val="21"/>
          <w:highlight w:val="none"/>
          <w:lang w:val="en-US" w:eastAsia="zh-CN"/>
        </w:rPr>
      </w:pPr>
      <w:r>
        <w:rPr>
          <w:rFonts w:hint="eastAsia" w:ascii="黑体" w:hAnsi="黑体" w:eastAsia="黑体" w:cs="黑体"/>
          <w:sz w:val="21"/>
          <w:szCs w:val="21"/>
          <w:highlight w:val="none"/>
          <w:lang w:val="en-US" w:eastAsia="zh-CN"/>
        </w:rPr>
        <w:t>表1.4-1  钢渣粉混凝土相关标准主要内容</w:t>
      </w:r>
    </w:p>
    <w:tbl>
      <w:tblPr>
        <w:tblStyle w:val="18"/>
        <w:tblW w:w="868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2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2130" w:type="dxa"/>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编号及名称</w:t>
            </w:r>
          </w:p>
        </w:tc>
        <w:tc>
          <w:tcPr>
            <w:tcW w:w="2130" w:type="dxa"/>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适用范围</w:t>
            </w:r>
          </w:p>
        </w:tc>
        <w:tc>
          <w:tcPr>
            <w:tcW w:w="2131" w:type="dxa"/>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技术内容</w:t>
            </w:r>
          </w:p>
        </w:tc>
        <w:tc>
          <w:tcPr>
            <w:tcW w:w="2297" w:type="dxa"/>
            <w:vAlign w:val="center"/>
          </w:tcPr>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对</w:t>
            </w:r>
            <w:r>
              <w:rPr>
                <w:rFonts w:hint="eastAsia" w:ascii="Times New Roman" w:hAnsi="Times New Roman" w:eastAsia="宋体" w:cs="Times New Roman"/>
                <w:sz w:val="21"/>
                <w:szCs w:val="21"/>
                <w:vertAlign w:val="baseline"/>
                <w:lang w:val="en-US" w:eastAsia="zh-CN"/>
              </w:rPr>
              <w:t>钢渣粉混凝土</w:t>
            </w:r>
            <w:r>
              <w:rPr>
                <w:rFonts w:hint="default" w:ascii="Times New Roman" w:hAnsi="Times New Roman" w:eastAsia="宋体" w:cs="Times New Roman"/>
                <w:sz w:val="21"/>
                <w:szCs w:val="21"/>
                <w:vertAlign w:val="baseline"/>
                <w:lang w:val="en-US" w:eastAsia="zh-CN"/>
              </w:rPr>
              <w:t>的局限性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highlight w:val="none"/>
                <w:vertAlign w:val="baseline"/>
                <w:lang w:val="en-US" w:eastAsia="zh-CN"/>
              </w:rPr>
            </w:pPr>
            <w:r>
              <w:rPr>
                <w:rFonts w:hint="eastAsia" w:ascii="Times New Roman" w:hAnsi="Times New Roman" w:eastAsia="宋体" w:cs="Times New Roman"/>
                <w:sz w:val="21"/>
                <w:szCs w:val="21"/>
                <w:highlight w:val="none"/>
                <w:vertAlign w:val="baseline"/>
                <w:lang w:val="en-US" w:eastAsia="zh-CN"/>
              </w:rPr>
              <w:t>《</w:t>
            </w:r>
            <w:r>
              <w:rPr>
                <w:rFonts w:hint="default" w:ascii="Times New Roman" w:hAnsi="Times New Roman" w:eastAsia="宋体" w:cs="Times New Roman"/>
                <w:sz w:val="21"/>
                <w:szCs w:val="21"/>
                <w:highlight w:val="none"/>
                <w:vertAlign w:val="baseline"/>
                <w:lang w:val="en-US" w:eastAsia="zh-CN"/>
              </w:rPr>
              <w:t>用于水泥和混凝土中的钢渣粉</w:t>
            </w:r>
            <w:r>
              <w:rPr>
                <w:rFonts w:hint="eastAsia" w:ascii="Times New Roman" w:hAnsi="Times New Roman" w:eastAsia="宋体" w:cs="Times New Roman"/>
                <w:sz w:val="21"/>
                <w:szCs w:val="21"/>
                <w:highlight w:val="none"/>
                <w:vertAlign w:val="baseline"/>
                <w:lang w:val="en-US" w:eastAsia="zh-CN"/>
              </w:rPr>
              <w:t>》</w:t>
            </w:r>
            <w:r>
              <w:rPr>
                <w:rFonts w:hint="default" w:ascii="Times New Roman" w:hAnsi="Times New Roman" w:eastAsia="宋体" w:cs="Times New Roman"/>
                <w:sz w:val="21"/>
                <w:szCs w:val="21"/>
                <w:highlight w:val="none"/>
                <w:vertAlign w:val="baseline"/>
                <w:lang w:val="en-US" w:eastAsia="zh-CN"/>
              </w:rPr>
              <w:t xml:space="preserve">GB/T 20491-2017 </w:t>
            </w:r>
          </w:p>
        </w:tc>
        <w:tc>
          <w:tcPr>
            <w:tcW w:w="2130"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highlight w:val="none"/>
                <w:vertAlign w:val="baseline"/>
                <w:lang w:val="en-US" w:eastAsia="zh-CN"/>
              </w:rPr>
            </w:pPr>
            <w:r>
              <w:rPr>
                <w:rFonts w:hint="default" w:ascii="Times New Roman" w:hAnsi="Times New Roman" w:eastAsia="宋体" w:cs="Times New Roman"/>
                <w:sz w:val="21"/>
                <w:szCs w:val="21"/>
                <w:highlight w:val="none"/>
                <w:vertAlign w:val="baseline"/>
                <w:lang w:val="en-US" w:eastAsia="zh-CN"/>
              </w:rPr>
              <w:t>适用于</w:t>
            </w:r>
            <w:r>
              <w:rPr>
                <w:rFonts w:hint="eastAsia" w:ascii="Times New Roman" w:hAnsi="Times New Roman" w:eastAsia="宋体" w:cs="Times New Roman"/>
                <w:sz w:val="21"/>
                <w:szCs w:val="21"/>
                <w:highlight w:val="none"/>
                <w:vertAlign w:val="baseline"/>
                <w:lang w:val="en-US" w:eastAsia="zh-CN"/>
              </w:rPr>
              <w:t>水泥和混凝土中钢渣粉的生产和检验，同时也适用于钢渣粉与粒化高炉矿渣粉、粉煤灰复合的产品</w:t>
            </w:r>
          </w:p>
        </w:tc>
        <w:tc>
          <w:tcPr>
            <w:tcW w:w="2131"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highlight w:val="none"/>
                <w:vertAlign w:val="baseline"/>
                <w:lang w:val="en-US" w:eastAsia="zh-CN"/>
              </w:rPr>
            </w:pPr>
            <w:r>
              <w:rPr>
                <w:rFonts w:hint="default" w:ascii="Times New Roman" w:hAnsi="Times New Roman" w:eastAsia="宋体" w:cs="Times New Roman"/>
                <w:i w:val="0"/>
                <w:iCs w:val="0"/>
                <w:caps w:val="0"/>
                <w:spacing w:val="0"/>
                <w:sz w:val="21"/>
                <w:szCs w:val="21"/>
                <w:highlight w:val="none"/>
                <w:shd w:val="clear" w:fill="FFFFFF"/>
              </w:rPr>
              <w:t>1.</w:t>
            </w:r>
            <w:r>
              <w:rPr>
                <w:rFonts w:hint="eastAsia" w:ascii="Times New Roman" w:hAnsi="Times New Roman" w:eastAsia="宋体" w:cs="Times New Roman"/>
                <w:i w:val="0"/>
                <w:iCs w:val="0"/>
                <w:caps w:val="0"/>
                <w:spacing w:val="0"/>
                <w:sz w:val="21"/>
                <w:szCs w:val="21"/>
                <w:highlight w:val="none"/>
                <w:shd w:val="clear" w:fill="FFFFFF"/>
                <w:lang w:val="en-US" w:eastAsia="zh-CN"/>
              </w:rPr>
              <w:t>钢渣粉</w:t>
            </w:r>
            <w:r>
              <w:rPr>
                <w:rFonts w:hint="default" w:ascii="Times New Roman" w:hAnsi="Times New Roman" w:eastAsia="宋体" w:cs="Times New Roman"/>
                <w:i w:val="0"/>
                <w:iCs w:val="0"/>
                <w:caps w:val="0"/>
                <w:spacing w:val="0"/>
                <w:sz w:val="21"/>
                <w:szCs w:val="21"/>
                <w:highlight w:val="none"/>
                <w:shd w:val="clear" w:fill="FFFFFF"/>
              </w:rPr>
              <w:t>技术要求：明确钢渣粉的密度、比表面积、活性指数、游离氧化钙、氯离子含量等核心指标；2.试验方法：规定密度、活性指数、</w:t>
            </w:r>
            <w:r>
              <w:rPr>
                <w:rFonts w:hint="default" w:ascii="Times New Roman" w:hAnsi="Times New Roman" w:eastAsia="宋体" w:cs="Times New Roman"/>
                <w:i/>
                <w:iCs/>
                <w:caps w:val="0"/>
                <w:spacing w:val="0"/>
                <w:sz w:val="21"/>
                <w:szCs w:val="21"/>
                <w:highlight w:val="none"/>
                <w:shd w:val="clear" w:fill="FFFFFF"/>
              </w:rPr>
              <w:t>f</w:t>
            </w:r>
            <w:r>
              <w:rPr>
                <w:rFonts w:hint="default" w:ascii="Times New Roman" w:hAnsi="Times New Roman" w:eastAsia="宋体" w:cs="Times New Roman"/>
                <w:i w:val="0"/>
                <w:iCs w:val="0"/>
                <w:caps w:val="0"/>
                <w:spacing w:val="0"/>
                <w:sz w:val="21"/>
                <w:szCs w:val="21"/>
                <w:highlight w:val="none"/>
                <w:shd w:val="clear" w:fill="FFFFFF"/>
              </w:rPr>
              <w:t>-CaO等检测手段；3.检验验收：明确出厂检验与型式检验要求，同时规范运输贮存</w:t>
            </w:r>
          </w:p>
        </w:tc>
        <w:tc>
          <w:tcPr>
            <w:tcW w:w="2297"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highlight w:val="none"/>
                <w:vertAlign w:val="baseline"/>
                <w:lang w:val="en-US" w:eastAsia="zh-CN"/>
              </w:rPr>
            </w:pPr>
            <w:r>
              <w:rPr>
                <w:rFonts w:hint="default" w:ascii="Times New Roman" w:hAnsi="Times New Roman" w:eastAsia="宋体" w:cs="Times New Roman"/>
                <w:sz w:val="21"/>
                <w:szCs w:val="21"/>
                <w:highlight w:val="none"/>
                <w:vertAlign w:val="baseline"/>
                <w:lang w:val="en-US" w:eastAsia="zh-CN"/>
              </w:rPr>
              <w:t>1.适用场景局限</w:t>
            </w:r>
            <w:r>
              <w:rPr>
                <w:rFonts w:hint="eastAsia" w:ascii="Times New Roman" w:hAnsi="Times New Roman" w:eastAsia="宋体" w:cs="Times New Roman"/>
                <w:sz w:val="21"/>
                <w:szCs w:val="21"/>
                <w:highlight w:val="none"/>
                <w:vertAlign w:val="baseline"/>
                <w:lang w:val="en-US" w:eastAsia="zh-CN"/>
              </w:rPr>
              <w:t>，</w:t>
            </w:r>
            <w:r>
              <w:rPr>
                <w:rFonts w:hint="default" w:ascii="Times New Roman" w:hAnsi="Times New Roman" w:eastAsia="宋体" w:cs="Times New Roman"/>
                <w:sz w:val="21"/>
                <w:szCs w:val="21"/>
                <w:highlight w:val="none"/>
                <w:vertAlign w:val="baseline"/>
                <w:lang w:val="en-US" w:eastAsia="zh-CN"/>
              </w:rPr>
              <w:t>未覆盖钢渣粉在道路、大体积工程等专项混凝土中的应用，无法指导特殊环境下的性能适配；2.施工工艺缺失</w:t>
            </w:r>
            <w:r>
              <w:rPr>
                <w:rFonts w:hint="eastAsia" w:ascii="Times New Roman" w:hAnsi="Times New Roman" w:eastAsia="宋体" w:cs="Times New Roman"/>
                <w:sz w:val="21"/>
                <w:szCs w:val="21"/>
                <w:highlight w:val="none"/>
                <w:vertAlign w:val="baseline"/>
                <w:lang w:val="en-US" w:eastAsia="zh-CN"/>
              </w:rPr>
              <w:t>，</w:t>
            </w:r>
            <w:r>
              <w:rPr>
                <w:rFonts w:hint="default" w:ascii="Times New Roman" w:hAnsi="Times New Roman" w:eastAsia="宋体" w:cs="Times New Roman"/>
                <w:sz w:val="21"/>
                <w:szCs w:val="21"/>
                <w:highlight w:val="none"/>
                <w:vertAlign w:val="baseline"/>
                <w:lang w:val="en-US" w:eastAsia="zh-CN"/>
              </w:rPr>
              <w:t>仅针对钢渣粉原材料，未涉及混凝土配合比设计、搅拌振捣参数、养护周期等施工环节；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r>
              <w:rPr>
                <w:rFonts w:hint="default" w:ascii="Times New Roman" w:hAnsi="Times New Roman" w:eastAsia="宋体" w:cs="Times New Roman"/>
                <w:sz w:val="21"/>
                <w:szCs w:val="21"/>
                <w:vertAlign w:val="baseline"/>
                <w:lang w:val="en-US" w:eastAsia="zh-CN"/>
              </w:rPr>
              <w:t>钢铁渣粉</w:t>
            </w:r>
            <w:r>
              <w:rPr>
                <w:rFonts w:hint="eastAsia" w:ascii="Times New Roman" w:hAnsi="Times New Roman" w:eastAsia="宋体" w:cs="Times New Roman"/>
                <w:sz w:val="21"/>
                <w:szCs w:val="21"/>
                <w:vertAlign w:val="baseline"/>
                <w:lang w:val="en-US" w:eastAsia="zh-CN"/>
              </w:rPr>
              <w:t>》</w:t>
            </w:r>
            <w:r>
              <w:rPr>
                <w:rFonts w:hint="default" w:ascii="Times New Roman" w:hAnsi="Times New Roman" w:eastAsia="宋体" w:cs="Times New Roman"/>
                <w:sz w:val="21"/>
                <w:szCs w:val="21"/>
                <w:vertAlign w:val="baseline"/>
                <w:lang w:val="en-US" w:eastAsia="zh-CN"/>
              </w:rPr>
              <w:t>GB/T 28293-2012</w:t>
            </w:r>
          </w:p>
        </w:tc>
        <w:tc>
          <w:tcPr>
            <w:tcW w:w="2130"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适用于钢铁企业产生的转炉钢渣、电炉钢渣、高炉矿渣经粉磨制成的单一或复合钢铁渣粉，可用于水泥混合材、混凝土掺合料、砂浆掺合料等场景</w:t>
            </w:r>
          </w:p>
        </w:tc>
        <w:tc>
          <w:tcPr>
            <w:tcW w:w="2131"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1.分类分级：按渣粉类型分为钢渣粉、矿渣粉、钢铁渣复合粉，按活性指数将钢渣粉分为S75、S80、S95三个等级；2.技术指标：规定各等级渣粉的比表面积、活性指数、</w:t>
            </w:r>
            <w:r>
              <w:rPr>
                <w:rFonts w:hint="default" w:ascii="Times New Roman" w:hAnsi="Times New Roman" w:eastAsia="宋体" w:cs="Times New Roman"/>
                <w:i/>
                <w:iCs/>
                <w:sz w:val="21"/>
                <w:szCs w:val="21"/>
                <w:vertAlign w:val="baseline"/>
                <w:lang w:val="en-US" w:eastAsia="zh-CN"/>
              </w:rPr>
              <w:t>f</w:t>
            </w:r>
            <w:r>
              <w:rPr>
                <w:rFonts w:hint="default" w:ascii="Times New Roman" w:hAnsi="Times New Roman" w:eastAsia="宋体" w:cs="Times New Roman"/>
                <w:sz w:val="21"/>
                <w:szCs w:val="21"/>
                <w:vertAlign w:val="baseline"/>
                <w:lang w:val="en-US" w:eastAsia="zh-CN"/>
              </w:rPr>
              <w:t>-CaO、放射性等；3.检验规则：明确批量划分、抽样方法及合格判定标准</w:t>
            </w:r>
          </w:p>
        </w:tc>
        <w:tc>
          <w:tcPr>
            <w:tcW w:w="2297"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1.未区分钢渣粉与矿渣粉的特性差异，指标设定偏通用，对钢渣粉安定性风险管控不够精准；2.混凝土应用缺失</w:t>
            </w:r>
            <w:r>
              <w:rPr>
                <w:rFonts w:hint="eastAsia" w:ascii="Times New Roman" w:hAnsi="Times New Roman" w:eastAsia="宋体" w:cs="Times New Roman"/>
                <w:sz w:val="21"/>
                <w:szCs w:val="21"/>
                <w:vertAlign w:val="baseline"/>
                <w:lang w:val="en-US" w:eastAsia="zh-CN"/>
              </w:rPr>
              <w:t>，</w:t>
            </w:r>
            <w:r>
              <w:rPr>
                <w:rFonts w:hint="default" w:ascii="Times New Roman" w:hAnsi="Times New Roman" w:eastAsia="宋体" w:cs="Times New Roman"/>
                <w:sz w:val="21"/>
                <w:szCs w:val="21"/>
                <w:vertAlign w:val="baseline"/>
                <w:lang w:val="en-US" w:eastAsia="zh-CN"/>
              </w:rPr>
              <w:t>仅规定渣粉自身指标，无与混凝土适配的技术要求，无法直接指导混凝土生产；3.对钢渣粉与其他掺合料的复合比例、协同效应无明确指导，工程应用中易出现性能波动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r>
              <w:rPr>
                <w:rFonts w:hint="default" w:ascii="Times New Roman" w:hAnsi="Times New Roman" w:eastAsia="宋体" w:cs="Times New Roman"/>
                <w:sz w:val="21"/>
                <w:szCs w:val="21"/>
                <w:vertAlign w:val="baseline"/>
                <w:lang w:val="en-US" w:eastAsia="zh-CN"/>
              </w:rPr>
              <w:t>钢铁渣粉混凝土应用技术规范</w:t>
            </w:r>
            <w:r>
              <w:rPr>
                <w:rFonts w:hint="eastAsia" w:ascii="Times New Roman" w:hAnsi="Times New Roman" w:eastAsia="宋体" w:cs="Times New Roman"/>
                <w:sz w:val="21"/>
                <w:szCs w:val="21"/>
                <w:vertAlign w:val="baseline"/>
                <w:lang w:val="en-US" w:eastAsia="zh-CN"/>
              </w:rPr>
              <w:t>》</w:t>
            </w:r>
            <w:r>
              <w:rPr>
                <w:rFonts w:hint="default" w:ascii="Times New Roman" w:hAnsi="Times New Roman" w:eastAsia="宋体" w:cs="Times New Roman"/>
                <w:sz w:val="21"/>
                <w:szCs w:val="21"/>
                <w:vertAlign w:val="baseline"/>
                <w:lang w:val="en-US" w:eastAsia="zh-CN"/>
              </w:rPr>
              <w:t>GB/T 50912-2013</w:t>
            </w:r>
          </w:p>
        </w:tc>
        <w:tc>
          <w:tcPr>
            <w:tcW w:w="2130"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适用于工业与民用建筑、市政工程、道路桥梁等领域采用钢铁渣粉配制的混凝土</w:t>
            </w:r>
          </w:p>
        </w:tc>
        <w:tc>
          <w:tcPr>
            <w:tcW w:w="2131"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原材料要求：规定钢铁渣粉的选用标准、水泥、骨料、外加剂的技术指标；2.配合比设计：提供钢铁渣粉混凝土配合比计算流程，明确普通混凝土掺量、高强混凝土掺量，要求通过试配验证强度与和易性；3.施工与验收：规定搅拌时间、浇筑振捣、养护，验收包括试块强度、实体抗渗性</w:t>
            </w:r>
          </w:p>
        </w:tc>
        <w:tc>
          <w:tcPr>
            <w:tcW w:w="2297"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1.原材料针对性不足，钢铁渣粉为钢渣粉和粒化高炉矿渣粉加石膏磨细的粉料，不是针对钢渣粉应用混凝土的标准；</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2.</w:t>
            </w:r>
            <w:r>
              <w:rPr>
                <w:rFonts w:hint="default" w:ascii="Times New Roman" w:hAnsi="Times New Roman" w:eastAsia="宋体" w:cs="Times New Roman"/>
                <w:sz w:val="21"/>
                <w:szCs w:val="21"/>
                <w:vertAlign w:val="baseline"/>
                <w:lang w:val="en-US" w:eastAsia="zh-CN"/>
              </w:rPr>
              <w:t>未涉及海洋工程、严寒地区等恶劣环境下的钢渣粉混凝土技术要求，如无抗冻等级、抗氯离子渗透性指标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r>
              <w:rPr>
                <w:rFonts w:hint="default" w:ascii="Times New Roman" w:hAnsi="Times New Roman" w:eastAsia="宋体" w:cs="Times New Roman"/>
                <w:sz w:val="21"/>
                <w:szCs w:val="21"/>
                <w:vertAlign w:val="baseline"/>
                <w:lang w:val="en-US" w:eastAsia="zh-CN"/>
              </w:rPr>
              <w:t>钢渣矿渣硅酸盐水泥</w:t>
            </w:r>
            <w:r>
              <w:rPr>
                <w:rFonts w:hint="eastAsia" w:ascii="Times New Roman" w:hAnsi="Times New Roman" w:eastAsia="宋体" w:cs="Times New Roman"/>
                <w:sz w:val="21"/>
                <w:szCs w:val="21"/>
                <w:vertAlign w:val="baseline"/>
                <w:lang w:val="en-US" w:eastAsia="zh-CN"/>
              </w:rPr>
              <w:t>》</w:t>
            </w:r>
            <w:r>
              <w:rPr>
                <w:rFonts w:hint="default" w:ascii="Times New Roman" w:hAnsi="Times New Roman" w:eastAsia="宋体" w:cs="Times New Roman"/>
                <w:sz w:val="21"/>
                <w:szCs w:val="21"/>
                <w:vertAlign w:val="baseline"/>
                <w:lang w:val="en-US" w:eastAsia="zh-CN"/>
              </w:rPr>
              <w:t>GB/T 13590-2022</w:t>
            </w:r>
          </w:p>
        </w:tc>
        <w:tc>
          <w:tcPr>
            <w:tcW w:w="2130"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适用于以硅酸盐水泥熟料、钢渣粉、粒化高炉矿渣粉为主要组分，加入适量石膏磨细制成的钢渣矿渣硅酸盐水泥，用于普通混凝土结构、道路基层、砌筑工程等</w:t>
            </w:r>
          </w:p>
        </w:tc>
        <w:tc>
          <w:tcPr>
            <w:tcW w:w="2131"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1.强度等级分为32.5、42.5、52.5三个等级，规定各等级水泥的抗压/抗折强度；2.化学指标要求</w:t>
            </w:r>
            <w:r>
              <w:rPr>
                <w:rFonts w:hint="default" w:ascii="Times New Roman" w:hAnsi="Times New Roman" w:eastAsia="宋体" w:cs="Times New Roman"/>
                <w:i/>
                <w:iCs/>
                <w:sz w:val="21"/>
                <w:szCs w:val="21"/>
                <w:vertAlign w:val="baseline"/>
                <w:lang w:val="en-US" w:eastAsia="zh-CN"/>
              </w:rPr>
              <w:t>f</w:t>
            </w:r>
            <w:r>
              <w:rPr>
                <w:rFonts w:hint="default" w:ascii="Times New Roman" w:hAnsi="Times New Roman" w:eastAsia="宋体" w:cs="Times New Roman"/>
                <w:sz w:val="21"/>
                <w:szCs w:val="21"/>
                <w:vertAlign w:val="baseline"/>
                <w:lang w:val="en-US" w:eastAsia="zh-CN"/>
              </w:rPr>
              <w:t>-CaO、SO</w:t>
            </w:r>
            <w:r>
              <w:rPr>
                <w:rFonts w:hint="eastAsia" w:ascii="Times New Roman" w:hAnsi="Times New Roman" w:eastAsia="宋体" w:cs="Times New Roman"/>
                <w:color w:val="auto"/>
                <w:sz w:val="21"/>
                <w:szCs w:val="21"/>
                <w:vertAlign w:val="subscript"/>
                <w:lang w:val="en-US" w:eastAsia="zh-CN"/>
              </w:rPr>
              <w:t>3</w:t>
            </w:r>
            <w:r>
              <w:rPr>
                <w:rFonts w:hint="default" w:ascii="Times New Roman" w:hAnsi="Times New Roman" w:eastAsia="宋体" w:cs="Times New Roman"/>
                <w:sz w:val="21"/>
                <w:szCs w:val="21"/>
                <w:vertAlign w:val="baseline"/>
                <w:lang w:val="en-US" w:eastAsia="zh-CN"/>
              </w:rPr>
              <w:t>、氯离子</w:t>
            </w:r>
            <w:r>
              <w:rPr>
                <w:rFonts w:hint="eastAsia" w:ascii="Times New Roman" w:hAnsi="Times New Roman" w:eastAsia="宋体" w:cs="Times New Roman"/>
                <w:sz w:val="21"/>
                <w:szCs w:val="21"/>
                <w:vertAlign w:val="baseline"/>
                <w:lang w:val="en-US" w:eastAsia="zh-CN"/>
              </w:rPr>
              <w:t>含量</w:t>
            </w:r>
            <w:r>
              <w:rPr>
                <w:rFonts w:hint="default" w:ascii="Times New Roman" w:hAnsi="Times New Roman" w:eastAsia="宋体" w:cs="Times New Roman"/>
                <w:sz w:val="21"/>
                <w:szCs w:val="21"/>
                <w:vertAlign w:val="baseline"/>
                <w:lang w:val="en-US" w:eastAsia="zh-CN"/>
              </w:rPr>
              <w:t>，钢渣粉掺量、矿渣粉掺量；3.性能要求：规定安定性、凝结时间、终凝、细度</w:t>
            </w:r>
          </w:p>
        </w:tc>
        <w:tc>
          <w:tcPr>
            <w:tcW w:w="2297"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1.应用场景局限</w:t>
            </w:r>
            <w:r>
              <w:rPr>
                <w:rFonts w:hint="eastAsia" w:ascii="Times New Roman" w:hAnsi="Times New Roman" w:eastAsia="宋体" w:cs="Times New Roman"/>
                <w:sz w:val="21"/>
                <w:szCs w:val="21"/>
                <w:vertAlign w:val="baseline"/>
                <w:lang w:val="en-US" w:eastAsia="zh-CN"/>
              </w:rPr>
              <w:t>，</w:t>
            </w:r>
            <w:r>
              <w:rPr>
                <w:rFonts w:hint="default" w:ascii="Times New Roman" w:hAnsi="Times New Roman" w:eastAsia="宋体" w:cs="Times New Roman"/>
                <w:sz w:val="21"/>
                <w:szCs w:val="21"/>
                <w:vertAlign w:val="baseline"/>
                <w:lang w:val="en-US" w:eastAsia="zh-CN"/>
              </w:rPr>
              <w:t>仅针对水泥产品，不涉及钢渣粉直接作为混凝土掺合料的应用，无法指导混凝土配合比优化与施工工艺适配；2.未关联钢渣矿渣水泥配制混凝土后的力学性能、耐久性能指标，与工程实际需求脱节；3.由于强制性国标《通用硅酸盐水泥》GB 175明确限制钢渣作为水泥混合材，导致其大宗消纳渠道受阻，应用路径收窄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r>
              <w:rPr>
                <w:rFonts w:hint="default" w:ascii="Times New Roman" w:hAnsi="Times New Roman" w:eastAsia="宋体" w:cs="Times New Roman"/>
                <w:sz w:val="21"/>
                <w:szCs w:val="21"/>
                <w:vertAlign w:val="baseline"/>
                <w:lang w:val="en-US" w:eastAsia="zh-CN"/>
              </w:rPr>
              <w:t>钢渣粉在混凝土中应用技术标准</w:t>
            </w:r>
            <w:r>
              <w:rPr>
                <w:rFonts w:hint="eastAsia" w:ascii="Times New Roman" w:hAnsi="Times New Roman" w:eastAsia="宋体" w:cs="Times New Roman"/>
                <w:sz w:val="21"/>
                <w:szCs w:val="21"/>
                <w:vertAlign w:val="baseline"/>
                <w:lang w:val="en-US" w:eastAsia="zh-CN"/>
              </w:rPr>
              <w:t>》</w:t>
            </w:r>
            <w:r>
              <w:rPr>
                <w:rFonts w:hint="default" w:ascii="Times New Roman" w:hAnsi="Times New Roman" w:eastAsia="宋体" w:cs="Times New Roman"/>
                <w:sz w:val="21"/>
                <w:szCs w:val="21"/>
                <w:vertAlign w:val="baseline"/>
                <w:lang w:val="en-US" w:eastAsia="zh-CN"/>
              </w:rPr>
              <w:t>DG/TJ 08-2013-2019</w:t>
            </w:r>
          </w:p>
        </w:tc>
        <w:tc>
          <w:tcPr>
            <w:tcW w:w="2130"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适用于上海市行政区域内新建、改建、扩建工程中采用钢渣粉配制的混凝土，包括建筑结构、市政道路、桥梁隧道等场景</w:t>
            </w:r>
          </w:p>
        </w:tc>
        <w:tc>
          <w:tcPr>
            <w:tcW w:w="2131"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原材料控制细化钢渣粉本地要求，规定上海地区砂石料、外加剂的适配要求；2.配合比优化针对上海多雨、高温气候，提出道路混凝土钢渣粉掺量、大体积混凝土掺量，要求水化热峰值；3.施工与验收明确雨季施工</w:t>
            </w:r>
            <w:r>
              <w:rPr>
                <w:rFonts w:hint="eastAsia" w:ascii="Times New Roman" w:hAnsi="Times New Roman" w:eastAsia="宋体" w:cs="Times New Roman"/>
                <w:sz w:val="21"/>
                <w:szCs w:val="21"/>
                <w:vertAlign w:val="baseline"/>
                <w:lang w:val="en-US" w:eastAsia="zh-CN"/>
              </w:rPr>
              <w:t>、</w:t>
            </w:r>
            <w:r>
              <w:rPr>
                <w:rFonts w:hint="default" w:ascii="Times New Roman" w:hAnsi="Times New Roman" w:eastAsia="宋体" w:cs="Times New Roman"/>
                <w:sz w:val="21"/>
                <w:szCs w:val="21"/>
                <w:vertAlign w:val="baseline"/>
                <w:lang w:val="en-US" w:eastAsia="zh-CN"/>
              </w:rPr>
              <w:t>冬季养护措施，验收增加实体回弹强度修正系数要求</w:t>
            </w:r>
          </w:p>
        </w:tc>
        <w:tc>
          <w:tcPr>
            <w:tcW w:w="2297" w:type="dxa"/>
            <w:vAlign w:val="top"/>
          </w:tcPr>
          <w:p>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Times New Roman" w:hAnsi="Times New Roman" w:eastAsia="宋体" w:cs="Times New Roman"/>
                <w:sz w:val="21"/>
                <w:szCs w:val="21"/>
                <w:vertAlign w:val="baseline"/>
                <w:lang w:val="en-US" w:eastAsia="zh-CN"/>
              </w:rPr>
            </w:pPr>
            <w:r>
              <w:rPr>
                <w:rFonts w:hint="default" w:ascii="Times New Roman" w:hAnsi="Times New Roman" w:eastAsia="宋体" w:cs="Times New Roman"/>
                <w:sz w:val="21"/>
                <w:szCs w:val="21"/>
                <w:vertAlign w:val="baseline"/>
                <w:lang w:val="en-US" w:eastAsia="zh-CN"/>
              </w:rPr>
              <w:t>1.地域适用性局限</w:t>
            </w:r>
            <w:r>
              <w:rPr>
                <w:rFonts w:hint="eastAsia" w:ascii="Times New Roman" w:hAnsi="Times New Roman" w:eastAsia="宋体" w:cs="Times New Roman"/>
                <w:sz w:val="21"/>
                <w:szCs w:val="21"/>
                <w:vertAlign w:val="baseline"/>
                <w:lang w:val="en-US" w:eastAsia="zh-CN"/>
              </w:rPr>
              <w:t>，</w:t>
            </w:r>
            <w:r>
              <w:rPr>
                <w:rFonts w:hint="default" w:ascii="Times New Roman" w:hAnsi="Times New Roman" w:eastAsia="宋体" w:cs="Times New Roman"/>
                <w:sz w:val="21"/>
                <w:szCs w:val="21"/>
                <w:vertAlign w:val="baseline"/>
                <w:lang w:val="en-US" w:eastAsia="zh-CN"/>
              </w:rPr>
              <w:t>指标设定基于上海地区，在北方严寒、西部干旱等区域应用时，需额外调整参数，通用性不足；2.未覆盖C60及以上高强钢渣粉混凝土的技术要求；3.未与钢铁企业钢渣粉生产标准衔接，易出现原材料质量波动，影响混凝土性能稳定性</w:t>
            </w:r>
          </w:p>
        </w:tc>
      </w:tr>
    </w:tbl>
    <w:p>
      <w:pPr>
        <w:numPr>
          <w:ilvl w:val="0"/>
          <w:numId w:val="0"/>
        </w:numPr>
        <w:spacing w:line="360" w:lineRule="auto"/>
        <w:ind w:firstLine="480" w:firstLineChars="200"/>
        <w:rPr>
          <w:rFonts w:hint="default"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表1.4</w:t>
      </w:r>
      <w:r>
        <w:rPr>
          <w:rFonts w:hint="eastAsia"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对比分析了不同标准对</w:t>
      </w:r>
      <w:r>
        <w:rPr>
          <w:rFonts w:hint="eastAsia" w:cs="Times New Roman"/>
          <w:sz w:val="24"/>
          <w:szCs w:val="24"/>
          <w:highlight w:val="none"/>
          <w:lang w:val="en-US" w:eastAsia="zh-CN"/>
        </w:rPr>
        <w:t>钢渣粉分级</w:t>
      </w:r>
      <w:r>
        <w:rPr>
          <w:rFonts w:hint="eastAsia" w:ascii="Times New Roman" w:hAnsi="Times New Roman" w:eastAsia="宋体" w:cs="Times New Roman"/>
          <w:sz w:val="24"/>
          <w:szCs w:val="24"/>
          <w:highlight w:val="none"/>
          <w:lang w:val="en-US" w:eastAsia="zh-CN"/>
        </w:rPr>
        <w:t>技术指标的规定。各标准对细度、</w:t>
      </w:r>
      <w:r>
        <w:rPr>
          <w:rFonts w:hint="eastAsia" w:cs="Times New Roman"/>
          <w:b w:val="0"/>
          <w:bCs/>
          <w:color w:val="000000"/>
          <w:sz w:val="24"/>
          <w:szCs w:val="24"/>
          <w:highlight w:val="none"/>
          <w:lang w:val="en-US" w:eastAsia="zh-CN"/>
        </w:rPr>
        <w:t>7d</w:t>
      </w:r>
      <w:r>
        <w:rPr>
          <w:rFonts w:hint="eastAsia" w:ascii="Times New Roman" w:hAnsi="Times New Roman" w:cs="Times New Roman"/>
          <w:b w:val="0"/>
          <w:bCs/>
          <w:color w:val="000000"/>
          <w:sz w:val="24"/>
          <w:szCs w:val="24"/>
          <w:highlight w:val="none"/>
          <w:lang w:val="en-US" w:eastAsia="zh-CN"/>
        </w:rPr>
        <w:t>、</w:t>
      </w:r>
      <w:r>
        <w:rPr>
          <w:rFonts w:hint="default" w:ascii="Times New Roman" w:hAnsi="Times New Roman" w:cs="Times New Roman"/>
          <w:b w:val="0"/>
          <w:bCs/>
          <w:color w:val="000000"/>
          <w:sz w:val="24"/>
          <w:szCs w:val="24"/>
          <w:highlight w:val="none"/>
        </w:rPr>
        <w:t>28d活性指数</w:t>
      </w:r>
      <w:r>
        <w:rPr>
          <w:rFonts w:hint="eastAsia" w:cs="Times New Roman"/>
          <w:b w:val="0"/>
          <w:bCs/>
          <w:color w:val="000000"/>
          <w:sz w:val="24"/>
          <w:szCs w:val="24"/>
          <w:highlight w:val="none"/>
          <w:lang w:eastAsia="zh-CN"/>
        </w:rPr>
        <w:t>、</w:t>
      </w:r>
      <w:r>
        <w:rPr>
          <w:rFonts w:hint="eastAsia" w:cs="Times New Roman"/>
          <w:b w:val="0"/>
          <w:bCs/>
          <w:color w:val="000000"/>
          <w:sz w:val="24"/>
          <w:szCs w:val="24"/>
          <w:highlight w:val="none"/>
          <w:lang w:val="en-US" w:eastAsia="zh-CN"/>
        </w:rPr>
        <w:t>安定性</w:t>
      </w:r>
      <w:r>
        <w:rPr>
          <w:rFonts w:hint="eastAsia" w:ascii="Times New Roman" w:hAnsi="Times New Roman" w:cs="Times New Roman"/>
          <w:b w:val="0"/>
          <w:bCs/>
          <w:color w:val="000000"/>
          <w:sz w:val="24"/>
          <w:szCs w:val="24"/>
          <w:highlight w:val="none"/>
          <w:lang w:val="en-US" w:eastAsia="zh-CN"/>
        </w:rPr>
        <w:t>等进行了规定。</w:t>
      </w:r>
    </w:p>
    <w:p>
      <w:pPr>
        <w:numPr>
          <w:ilvl w:val="0"/>
          <w:numId w:val="0"/>
        </w:numPr>
        <w:spacing w:line="360" w:lineRule="auto"/>
        <w:jc w:val="center"/>
        <w:rPr>
          <w:rFonts w:hint="eastAsia" w:ascii="黑体" w:hAnsi="黑体" w:eastAsia="黑体" w:cs="黑体"/>
          <w:sz w:val="21"/>
          <w:szCs w:val="21"/>
          <w:highlight w:val="none"/>
          <w:lang w:val="en-US" w:eastAsia="zh-CN"/>
        </w:rPr>
      </w:pPr>
      <w:r>
        <w:rPr>
          <w:rFonts w:hint="eastAsia" w:ascii="黑体" w:hAnsi="黑体" w:eastAsia="黑体" w:cs="黑体"/>
          <w:sz w:val="21"/>
          <w:szCs w:val="21"/>
          <w:highlight w:val="none"/>
          <w:lang w:val="en-US" w:eastAsia="zh-CN"/>
        </w:rPr>
        <w:t>表1.4-2  钢渣粉技术要求</w:t>
      </w:r>
    </w:p>
    <w:tbl>
      <w:tblPr>
        <w:tblStyle w:val="18"/>
        <w:tblW w:w="109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5"/>
        <w:gridCol w:w="1405"/>
        <w:gridCol w:w="1494"/>
        <w:gridCol w:w="1411"/>
        <w:gridCol w:w="1411"/>
        <w:gridCol w:w="1411"/>
        <w:gridCol w:w="1411"/>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2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名称</w:t>
            </w:r>
          </w:p>
        </w:tc>
        <w:tc>
          <w:tcPr>
            <w:tcW w:w="140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GB/T 20491</w:t>
            </w:r>
          </w:p>
        </w:tc>
        <w:tc>
          <w:tcPr>
            <w:tcW w:w="149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Theme="minorEastAsia" w:hAnsiTheme="minorEastAsia" w:cstheme="minorEastAsia"/>
                <w:sz w:val="21"/>
                <w:szCs w:val="21"/>
                <w:vertAlign w:val="baseline"/>
                <w:lang w:val="en-US" w:eastAsia="zh-CN"/>
              </w:rPr>
              <w:t>DG/TJ 08</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Theme="minorEastAsia" w:hAnsiTheme="minorEastAsia" w:cstheme="minorEastAsia"/>
                <w:sz w:val="21"/>
                <w:szCs w:val="21"/>
                <w:vertAlign w:val="baseline"/>
                <w:lang w:val="en-US" w:eastAsia="zh-CN"/>
              </w:rPr>
              <w:t>T/ZACA 025</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lang w:val="en-US" w:eastAsia="zh-CN"/>
              </w:rPr>
              <w:t>T/</w:t>
            </w:r>
            <w:r>
              <w:rPr>
                <w:rFonts w:hint="eastAsia" w:asciiTheme="minorEastAsia" w:hAnsiTheme="minorEastAsia" w:cstheme="minorEastAsia"/>
                <w:sz w:val="21"/>
                <w:szCs w:val="21"/>
                <w:vertAlign w:val="baseline"/>
                <w:lang w:val="en-US" w:eastAsia="zh-CN"/>
              </w:rPr>
              <w:t>CBMF 147</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lang w:val="en-US" w:eastAsia="zh-CN"/>
              </w:rPr>
              <w:t>T/</w:t>
            </w:r>
            <w:r>
              <w:rPr>
                <w:rFonts w:hint="eastAsia" w:asciiTheme="minorEastAsia" w:hAnsiTheme="minorEastAsia" w:cstheme="minorEastAsia"/>
                <w:sz w:val="21"/>
                <w:szCs w:val="21"/>
                <w:vertAlign w:val="baseline"/>
                <w:lang w:val="en-US" w:eastAsia="zh-CN"/>
              </w:rPr>
              <w:t>CCPA 24</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Theme="minorEastAsia" w:hAnsiTheme="minorEastAsia" w:cstheme="minorEastAsia"/>
                <w:sz w:val="21"/>
                <w:szCs w:val="21"/>
                <w:lang w:val="en-US" w:eastAsia="zh-CN"/>
              </w:rPr>
              <w:t>T/JXCRC 003</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lang w:val="en-US" w:eastAsia="zh-CN"/>
              </w:rPr>
              <w:t>T/WHCA 0001</w:t>
            </w:r>
          </w:p>
        </w:tc>
        <w:tc>
          <w:tcPr>
            <w:tcW w:w="1412"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T/CBMF 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2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分级</w:t>
            </w:r>
          </w:p>
        </w:tc>
        <w:tc>
          <w:tcPr>
            <w:tcW w:w="140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一级、二级</w:t>
            </w:r>
          </w:p>
        </w:tc>
        <w:tc>
          <w:tcPr>
            <w:tcW w:w="149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宋体" w:hAnsi="宋体" w:eastAsia="宋体" w:cs="宋体"/>
                <w:kern w:val="0"/>
                <w:sz w:val="21"/>
                <w:szCs w:val="21"/>
                <w:vertAlign w:val="baseline"/>
                <w:lang w:val="en-US" w:eastAsia="zh-CN" w:bidi="ar"/>
              </w:rPr>
              <w:t>Ⅰ型、Ⅱ型</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Theme="minorEastAsia" w:hAnsiTheme="minorEastAsia" w:cstheme="minorEastAsia"/>
                <w:kern w:val="0"/>
                <w:sz w:val="21"/>
                <w:szCs w:val="21"/>
                <w:vertAlign w:val="baseline"/>
                <w:lang w:val="en-US" w:eastAsia="zh-CN" w:bidi="ar"/>
              </w:rPr>
              <w:t>/</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Theme="minorEastAsia" w:hAnsiTheme="minorEastAsia" w:cstheme="minorEastAsia"/>
                <w:kern w:val="0"/>
                <w:sz w:val="21"/>
                <w:szCs w:val="21"/>
                <w:vertAlign w:val="baseline"/>
                <w:lang w:val="en-US" w:eastAsia="zh-CN" w:bidi="ar"/>
              </w:rPr>
              <w:t>/</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c>
          <w:tcPr>
            <w:tcW w:w="1412"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2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i/>
                <w:iCs/>
                <w:sz w:val="21"/>
                <w:szCs w:val="21"/>
                <w:vertAlign w:val="baseline"/>
                <w:lang w:val="en-US" w:eastAsia="zh-CN"/>
              </w:rPr>
            </w:pPr>
            <w:r>
              <w:rPr>
                <w:rFonts w:hint="eastAsia" w:asciiTheme="minorEastAsia" w:hAnsiTheme="minorEastAsia" w:cstheme="minorEastAsia"/>
                <w:sz w:val="21"/>
                <w:szCs w:val="21"/>
                <w:vertAlign w:val="baseline"/>
                <w:lang w:val="en-US" w:eastAsia="zh-CN"/>
              </w:rPr>
              <w:t>45</w:t>
            </w:r>
            <w:r>
              <w:rPr>
                <w:rFonts w:hint="default" w:ascii="Times New Roman" w:hAnsi="Times New Roman" w:eastAsia="宋体" w:cs="Times New Roman"/>
                <w:i/>
                <w:iCs/>
                <w:sz w:val="21"/>
                <w:szCs w:val="21"/>
                <w:vertAlign w:val="baseline"/>
                <w:lang w:val="en-US" w:eastAsia="zh-CN"/>
              </w:rPr>
              <w:t>μ</w:t>
            </w:r>
            <w:r>
              <w:rPr>
                <w:rFonts w:hint="default" w:ascii="Times New Roman" w:hAnsi="Times New Roman" w:cs="Times New Roman"/>
                <w:i/>
                <w:iCs/>
                <w:sz w:val="21"/>
                <w:szCs w:val="21"/>
                <w:vertAlign w:val="baseline"/>
                <w:lang w:val="en-US" w:eastAsia="zh-CN"/>
              </w:rPr>
              <w:t>m</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筛余</w:t>
            </w:r>
          </w:p>
        </w:tc>
        <w:tc>
          <w:tcPr>
            <w:tcW w:w="140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w:t>
            </w:r>
          </w:p>
        </w:tc>
        <w:tc>
          <w:tcPr>
            <w:tcW w:w="149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2.0、</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10.0</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2"/>
                <w:sz w:val="21"/>
                <w:szCs w:val="21"/>
                <w:vertAlign w:val="baseline"/>
                <w:lang w:val="en-US" w:eastAsia="zh-CN" w:bidi="ar-SA"/>
              </w:rPr>
            </w:pPr>
            <w:r>
              <w:rPr>
                <w:rFonts w:hint="eastAsia" w:asciiTheme="minorEastAsia" w:hAnsiTheme="minorEastAsia" w:cstheme="minorEastAsia"/>
                <w:kern w:val="0"/>
                <w:sz w:val="21"/>
                <w:szCs w:val="21"/>
                <w:vertAlign w:val="baseline"/>
                <w:lang w:val="en-US" w:eastAsia="zh-CN" w:bidi="ar"/>
              </w:rPr>
              <w:t>/</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c>
          <w:tcPr>
            <w:tcW w:w="1412"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2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比表</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面积</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default" w:ascii="Times New Roman" w:hAnsi="Times New Roman" w:cs="Times New Roman"/>
                <w:sz w:val="21"/>
                <w:szCs w:val="21"/>
                <w:vertAlign w:val="baseline"/>
                <w:lang w:val="en-US" w:eastAsia="zh-CN"/>
              </w:rPr>
              <w:t>(m</w:t>
            </w:r>
            <w:r>
              <w:rPr>
                <w:rFonts w:hint="default" w:ascii="Times New Roman" w:hAnsi="Times New Roman" w:cs="Times New Roman"/>
                <w:sz w:val="21"/>
                <w:szCs w:val="21"/>
                <w:vertAlign w:val="superscript"/>
                <w:lang w:val="en-US" w:eastAsia="zh-CN"/>
              </w:rPr>
              <w:t>2</w:t>
            </w:r>
            <w:r>
              <w:rPr>
                <w:rFonts w:hint="default" w:ascii="Times New Roman" w:hAnsi="Times New Roman" w:cs="Times New Roman"/>
                <w:sz w:val="21"/>
                <w:szCs w:val="21"/>
                <w:vertAlign w:val="baseline"/>
                <w:lang w:val="en-US" w:eastAsia="zh-CN"/>
              </w:rPr>
              <w:t>/kg)</w:t>
            </w:r>
          </w:p>
        </w:tc>
        <w:tc>
          <w:tcPr>
            <w:tcW w:w="140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≥400</w:t>
            </w:r>
          </w:p>
        </w:tc>
        <w:tc>
          <w:tcPr>
            <w:tcW w:w="149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≥360</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2"/>
                <w:sz w:val="21"/>
                <w:szCs w:val="21"/>
                <w:vertAlign w:val="baseline"/>
                <w:lang w:val="en-US" w:eastAsia="zh-CN" w:bidi="ar-SA"/>
              </w:rPr>
            </w:pPr>
            <w:r>
              <w:rPr>
                <w:rFonts w:hint="eastAsia" w:asciiTheme="minorEastAsia" w:hAnsiTheme="minorEastAsia" w:cstheme="minorEastAsia"/>
                <w:kern w:val="0"/>
                <w:sz w:val="21"/>
                <w:szCs w:val="21"/>
                <w:vertAlign w:val="baseline"/>
                <w:lang w:val="en-US" w:eastAsia="zh-CN" w:bidi="ar"/>
              </w:rPr>
              <w:t>/</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c>
          <w:tcPr>
            <w:tcW w:w="1412"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2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7d活性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default" w:ascii="Times New Roman" w:hAnsi="Times New Roman" w:cs="Times New Roman"/>
                <w:sz w:val="21"/>
                <w:szCs w:val="21"/>
                <w:vertAlign w:val="baseline"/>
                <w:lang w:val="en-US" w:eastAsia="zh-CN"/>
              </w:rPr>
              <w:t>(%)</w:t>
            </w:r>
          </w:p>
        </w:tc>
        <w:tc>
          <w:tcPr>
            <w:tcW w:w="140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55</w:t>
            </w:r>
          </w:p>
        </w:tc>
        <w:tc>
          <w:tcPr>
            <w:tcW w:w="149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钢渣粉</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70、</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60</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复合钢渣粉</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75、</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55</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55</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2"/>
                <w:sz w:val="21"/>
                <w:szCs w:val="21"/>
                <w:vertAlign w:val="baseline"/>
                <w:lang w:val="en-US" w:eastAsia="zh-CN" w:bidi="ar-SA"/>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55</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55</w:t>
            </w:r>
          </w:p>
        </w:tc>
        <w:tc>
          <w:tcPr>
            <w:tcW w:w="1412"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2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28d活性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default" w:ascii="Times New Roman" w:hAnsi="Times New Roman" w:cs="Times New Roman"/>
                <w:sz w:val="21"/>
                <w:szCs w:val="21"/>
                <w:vertAlign w:val="baseline"/>
                <w:lang w:val="en-US" w:eastAsia="zh-CN"/>
              </w:rPr>
              <w:t>(%)</w:t>
            </w:r>
          </w:p>
        </w:tc>
        <w:tc>
          <w:tcPr>
            <w:tcW w:w="140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80、</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p>
        </w:tc>
        <w:tc>
          <w:tcPr>
            <w:tcW w:w="149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钢渣粉</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80、</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70</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复合钢渣粉</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90、</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75</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80、</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80、</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2"/>
                <w:sz w:val="21"/>
                <w:szCs w:val="21"/>
                <w:vertAlign w:val="baseline"/>
                <w:lang w:val="en-US" w:eastAsia="zh-CN" w:bidi="ar-SA"/>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80、</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80、</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p>
        </w:tc>
        <w:tc>
          <w:tcPr>
            <w:tcW w:w="1412"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80、</w:t>
            </w: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2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碱度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系数</w:t>
            </w:r>
          </w:p>
        </w:tc>
        <w:tc>
          <w:tcPr>
            <w:tcW w:w="140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≥1.8</w:t>
            </w:r>
          </w:p>
        </w:tc>
        <w:tc>
          <w:tcPr>
            <w:tcW w:w="149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≥1.8</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≥1.8</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≥1.8</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≥1.8</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≥1.8</w:t>
            </w:r>
          </w:p>
        </w:tc>
        <w:tc>
          <w:tcPr>
            <w:tcW w:w="1412"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2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游离氧化钙</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default" w:ascii="Times New Roman" w:hAnsi="Times New Roman" w:cs="Times New Roman"/>
                <w:sz w:val="21"/>
                <w:szCs w:val="21"/>
                <w:vertAlign w:val="baseline"/>
                <w:lang w:val="en-US" w:eastAsia="zh-CN"/>
              </w:rPr>
              <w:t>(%)</w:t>
            </w:r>
          </w:p>
        </w:tc>
        <w:tc>
          <w:tcPr>
            <w:tcW w:w="140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4.0</w:t>
            </w:r>
          </w:p>
        </w:tc>
        <w:tc>
          <w:tcPr>
            <w:tcW w:w="149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4.0</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4.0</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4.0</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4.0</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4.0</w:t>
            </w:r>
          </w:p>
        </w:tc>
        <w:tc>
          <w:tcPr>
            <w:tcW w:w="1412"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2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imes New Roman" w:hAnsi="Times New Roman" w:cs="Times New Roman"/>
                <w:sz w:val="21"/>
                <w:szCs w:val="21"/>
                <w:vertAlign w:val="baseline"/>
                <w:lang w:val="en-US" w:eastAsia="zh-CN"/>
              </w:rPr>
            </w:pPr>
            <w:r>
              <w:rPr>
                <w:rFonts w:hint="eastAsia" w:ascii="Times New Roman" w:hAnsi="Times New Roman" w:cs="Times New Roman"/>
                <w:sz w:val="21"/>
                <w:szCs w:val="21"/>
                <w:vertAlign w:val="baseline"/>
                <w:lang w:val="en-US" w:eastAsia="zh-CN"/>
              </w:rPr>
              <w:t>SO</w:t>
            </w:r>
            <w:r>
              <w:rPr>
                <w:rFonts w:hint="eastAsia" w:ascii="Times New Roman" w:hAnsi="Times New Roman" w:cs="Times New Roman"/>
                <w:sz w:val="21"/>
                <w:szCs w:val="21"/>
                <w:vertAlign w:val="subscript"/>
                <w:lang w:val="en-US" w:eastAsia="zh-CN"/>
              </w:rPr>
              <w:t>3</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w:t>
            </w:r>
          </w:p>
        </w:tc>
        <w:tc>
          <w:tcPr>
            <w:tcW w:w="140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3.0</w:t>
            </w:r>
          </w:p>
        </w:tc>
        <w:tc>
          <w:tcPr>
            <w:tcW w:w="149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3.0</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3.0</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3.0</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3.0</w:t>
            </w:r>
          </w:p>
        </w:tc>
        <w:tc>
          <w:tcPr>
            <w:tcW w:w="141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3.0</w:t>
            </w:r>
          </w:p>
        </w:tc>
        <w:tc>
          <w:tcPr>
            <w:tcW w:w="1412"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宋体" w:hAnsi="宋体" w:eastAsia="宋体" w:cs="宋体"/>
                <w:sz w:val="21"/>
                <w:szCs w:val="21"/>
                <w:vertAlign w:val="baseline"/>
                <w:lang w:val="en-US" w:eastAsia="zh-CN"/>
              </w:rPr>
              <w:t>≤</w:t>
            </w:r>
            <w:r>
              <w:rPr>
                <w:rFonts w:hint="eastAsia" w:asciiTheme="minorEastAsia" w:hAnsiTheme="minorEastAsia" w:cstheme="minorEastAsia"/>
                <w:sz w:val="21"/>
                <w:szCs w:val="21"/>
                <w:vertAlign w:val="baseline"/>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25"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Theme="minorEastAsia" w:hAnsiTheme="minorEastAsia" w:cstheme="minorEastAsia"/>
                <w:sz w:val="21"/>
                <w:szCs w:val="21"/>
                <w:vertAlign w:val="baseline"/>
                <w:lang w:val="en-US" w:eastAsia="zh-CN"/>
              </w:rPr>
              <w:t>氧化镁</w:t>
            </w:r>
          </w:p>
        </w:tc>
        <w:tc>
          <w:tcPr>
            <w:tcW w:w="1405"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宋体" w:hAnsi="宋体" w:eastAsia="宋体" w:cs="宋体"/>
                <w:sz w:val="21"/>
                <w:szCs w:val="21"/>
                <w:vertAlign w:val="baseline"/>
                <w:lang w:val="en-US" w:eastAsia="zh-CN"/>
              </w:rPr>
              <w:t>≤1</w:t>
            </w:r>
            <w:r>
              <w:rPr>
                <w:rFonts w:hint="eastAsia" w:asciiTheme="minorEastAsia" w:hAnsiTheme="minorEastAsia" w:cstheme="minorEastAsia"/>
                <w:sz w:val="21"/>
                <w:szCs w:val="21"/>
                <w:vertAlign w:val="baseline"/>
                <w:lang w:val="en-US" w:eastAsia="zh-CN"/>
              </w:rPr>
              <w:t>3.0</w:t>
            </w:r>
          </w:p>
        </w:tc>
        <w:tc>
          <w:tcPr>
            <w:tcW w:w="1494"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宋体" w:hAnsi="宋体" w:eastAsia="宋体" w:cs="宋体"/>
                <w:sz w:val="21"/>
                <w:szCs w:val="21"/>
                <w:vertAlign w:val="baseline"/>
                <w:lang w:val="en-US" w:eastAsia="zh-CN"/>
              </w:rPr>
              <w:t>钢渣粉</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宋体" w:hAnsi="宋体" w:eastAsia="宋体" w:cs="宋体"/>
                <w:sz w:val="21"/>
                <w:szCs w:val="21"/>
                <w:vertAlign w:val="baseline"/>
                <w:lang w:val="en-US" w:eastAsia="zh-CN"/>
              </w:rPr>
              <w:t>≤1</w:t>
            </w:r>
            <w:r>
              <w:rPr>
                <w:rFonts w:hint="eastAsia" w:asciiTheme="minorEastAsia" w:hAnsiTheme="minorEastAsia" w:cstheme="minorEastAsia"/>
                <w:sz w:val="21"/>
                <w:szCs w:val="21"/>
                <w:vertAlign w:val="baseline"/>
                <w:lang w:val="en-US" w:eastAsia="zh-CN"/>
              </w:rPr>
              <w:t>3.0</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Theme="minorEastAsia" w:hAnsiTheme="minorEastAsia" w:cstheme="minorEastAsia"/>
                <w:sz w:val="21"/>
                <w:szCs w:val="21"/>
                <w:vertAlign w:val="baseline"/>
                <w:lang w:val="en-US" w:eastAsia="zh-CN"/>
              </w:rPr>
              <w:t>复合钢渣粉</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宋体" w:hAnsi="宋体" w:eastAsia="宋体" w:cs="宋体"/>
                <w:sz w:val="21"/>
                <w:szCs w:val="21"/>
                <w:vertAlign w:val="baseline"/>
                <w:lang w:val="en-US" w:eastAsia="zh-CN"/>
              </w:rPr>
              <w:t>≤8</w:t>
            </w:r>
            <w:r>
              <w:rPr>
                <w:rFonts w:hint="eastAsia" w:asciiTheme="minorEastAsia" w:hAnsiTheme="minorEastAsia" w:cstheme="minorEastAsia"/>
                <w:sz w:val="21"/>
                <w:szCs w:val="21"/>
                <w:vertAlign w:val="baseline"/>
                <w:lang w:val="en-US" w:eastAsia="zh-CN"/>
              </w:rPr>
              <w:t>.0</w:t>
            </w:r>
          </w:p>
        </w:tc>
        <w:tc>
          <w:tcPr>
            <w:tcW w:w="141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kern w:val="0"/>
                <w:sz w:val="21"/>
                <w:szCs w:val="21"/>
                <w:vertAlign w:val="baseline"/>
                <w:lang w:val="en-US" w:eastAsia="zh-CN" w:bidi="ar"/>
              </w:rPr>
            </w:pPr>
            <w:r>
              <w:rPr>
                <w:rFonts w:hint="eastAsia" w:asciiTheme="minorEastAsia" w:hAnsiTheme="minorEastAsia" w:cstheme="minorEastAsia"/>
                <w:kern w:val="0"/>
                <w:sz w:val="21"/>
                <w:szCs w:val="21"/>
                <w:vertAlign w:val="baseline"/>
                <w:lang w:val="en-US" w:eastAsia="zh-CN" w:bidi="ar"/>
              </w:rPr>
              <w:t>/</w:t>
            </w:r>
          </w:p>
        </w:tc>
        <w:tc>
          <w:tcPr>
            <w:tcW w:w="141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kern w:val="0"/>
                <w:sz w:val="21"/>
                <w:szCs w:val="21"/>
                <w:vertAlign w:val="baseline"/>
                <w:lang w:val="en-US" w:eastAsia="zh-CN" w:bidi="ar"/>
              </w:rPr>
            </w:pPr>
            <w:r>
              <w:rPr>
                <w:rFonts w:hint="eastAsia" w:asciiTheme="minorEastAsia" w:hAnsiTheme="minorEastAsia" w:cstheme="minorEastAsia"/>
                <w:kern w:val="0"/>
                <w:sz w:val="21"/>
                <w:szCs w:val="21"/>
                <w:vertAlign w:val="baseline"/>
                <w:lang w:val="en-US" w:eastAsia="zh-CN" w:bidi="ar"/>
              </w:rPr>
              <w:t>/</w:t>
            </w:r>
          </w:p>
        </w:tc>
        <w:tc>
          <w:tcPr>
            <w:tcW w:w="141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Theme="minorEastAsia" w:hAnsiTheme="minorEastAsia" w:cstheme="minorEastAsia"/>
                <w:kern w:val="0"/>
                <w:sz w:val="21"/>
                <w:szCs w:val="21"/>
                <w:vertAlign w:val="baseline"/>
                <w:lang w:val="en-US" w:eastAsia="zh-CN" w:bidi="ar"/>
              </w:rPr>
              <w:t>/</w:t>
            </w:r>
          </w:p>
        </w:tc>
        <w:tc>
          <w:tcPr>
            <w:tcW w:w="141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Theme="minorEastAsia" w:hAnsiTheme="minorEastAsia" w:cstheme="minorEastAsia"/>
                <w:kern w:val="0"/>
                <w:sz w:val="21"/>
                <w:szCs w:val="21"/>
                <w:vertAlign w:val="baseline"/>
                <w:lang w:val="en-US" w:eastAsia="zh-CN" w:bidi="ar"/>
              </w:rPr>
              <w:t>/</w:t>
            </w:r>
          </w:p>
        </w:tc>
        <w:tc>
          <w:tcPr>
            <w:tcW w:w="1412"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25"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sz w:val="21"/>
                <w:szCs w:val="21"/>
                <w:vertAlign w:val="baseline"/>
                <w:lang w:val="en-US" w:eastAsia="zh-CN"/>
              </w:rPr>
            </w:pPr>
            <w:r>
              <w:rPr>
                <w:rFonts w:hint="eastAsia" w:asciiTheme="minorEastAsia" w:hAnsiTheme="minorEastAsia" w:cstheme="minorEastAsia"/>
                <w:sz w:val="21"/>
                <w:szCs w:val="21"/>
                <w:vertAlign w:val="baseline"/>
                <w:lang w:val="en-US" w:eastAsia="zh-CN"/>
              </w:rPr>
              <w:t>安定性</w:t>
            </w:r>
          </w:p>
        </w:tc>
        <w:tc>
          <w:tcPr>
            <w:tcW w:w="1405"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cstheme="minorEastAsia"/>
                <w:kern w:val="0"/>
                <w:sz w:val="21"/>
                <w:szCs w:val="21"/>
                <w:vertAlign w:val="baseline"/>
                <w:lang w:val="en-US" w:eastAsia="zh-CN" w:bidi="ar"/>
              </w:rPr>
            </w:pPr>
            <w:r>
              <w:rPr>
                <w:rFonts w:hint="default" w:ascii="Times New Roman" w:hAnsi="Times New Roman" w:cs="Times New Roman"/>
                <w:sz w:val="21"/>
                <w:szCs w:val="21"/>
                <w:vertAlign w:val="baseline"/>
                <w:lang w:val="en-US" w:eastAsia="zh-CN"/>
              </w:rPr>
              <w:t>MgO</w:t>
            </w:r>
            <w:r>
              <w:rPr>
                <w:rFonts w:hint="eastAsia" w:asciiTheme="minorEastAsia" w:hAnsiTheme="minorEastAsia" w:cstheme="minorEastAsia"/>
                <w:sz w:val="21"/>
                <w:szCs w:val="21"/>
                <w:vertAlign w:val="baseline"/>
                <w:lang w:val="en-US" w:eastAsia="zh-CN"/>
              </w:rPr>
              <w:t>大于13%应压蒸合格</w:t>
            </w:r>
          </w:p>
        </w:tc>
        <w:tc>
          <w:tcPr>
            <w:tcW w:w="1494"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kern w:val="0"/>
                <w:sz w:val="21"/>
                <w:szCs w:val="21"/>
                <w:vertAlign w:val="baseline"/>
                <w:lang w:val="en-US" w:eastAsia="zh-CN" w:bidi="ar"/>
              </w:rPr>
            </w:pPr>
            <w:r>
              <w:rPr>
                <w:rFonts w:hint="eastAsia" w:asciiTheme="minorEastAsia" w:hAnsiTheme="minorEastAsia" w:cstheme="minorEastAsia"/>
                <w:kern w:val="0"/>
                <w:sz w:val="21"/>
                <w:szCs w:val="21"/>
                <w:vertAlign w:val="baseline"/>
                <w:lang w:val="en-US" w:eastAsia="zh-CN" w:bidi="ar"/>
              </w:rPr>
              <w:t>/</w:t>
            </w:r>
          </w:p>
        </w:tc>
        <w:tc>
          <w:tcPr>
            <w:tcW w:w="141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kern w:val="0"/>
                <w:sz w:val="21"/>
                <w:szCs w:val="21"/>
                <w:vertAlign w:val="baseline"/>
                <w:lang w:val="en-US" w:eastAsia="zh-CN" w:bidi="ar"/>
              </w:rPr>
            </w:pPr>
            <w:r>
              <w:rPr>
                <w:rFonts w:hint="eastAsia" w:asciiTheme="minorEastAsia" w:hAnsiTheme="minorEastAsia" w:cstheme="minorEastAsia"/>
                <w:kern w:val="0"/>
                <w:sz w:val="21"/>
                <w:szCs w:val="21"/>
                <w:vertAlign w:val="baseline"/>
                <w:lang w:val="en-US" w:eastAsia="zh-CN" w:bidi="ar"/>
              </w:rPr>
              <w:t>/</w:t>
            </w:r>
          </w:p>
        </w:tc>
        <w:tc>
          <w:tcPr>
            <w:tcW w:w="141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宋体" w:hAnsi="宋体" w:eastAsia="宋体" w:cs="宋体"/>
                <w:kern w:val="0"/>
                <w:sz w:val="21"/>
                <w:szCs w:val="21"/>
                <w:vertAlign w:val="baseline"/>
                <w:lang w:val="en-US" w:eastAsia="zh-CN" w:bidi="ar"/>
              </w:rPr>
            </w:pPr>
            <w:r>
              <w:rPr>
                <w:rFonts w:hint="eastAsia" w:asciiTheme="minorEastAsia" w:hAnsiTheme="minorEastAsia" w:cstheme="minorEastAsia"/>
                <w:kern w:val="0"/>
                <w:sz w:val="21"/>
                <w:szCs w:val="21"/>
                <w:vertAlign w:val="baseline"/>
                <w:lang w:val="en-US" w:eastAsia="zh-CN" w:bidi="ar"/>
              </w:rPr>
              <w:t>/</w:t>
            </w:r>
          </w:p>
        </w:tc>
        <w:tc>
          <w:tcPr>
            <w:tcW w:w="141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c>
          <w:tcPr>
            <w:tcW w:w="1411"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c>
          <w:tcPr>
            <w:tcW w:w="1412"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cstheme="minorEastAsia"/>
                <w:sz w:val="21"/>
                <w:szCs w:val="21"/>
                <w:vertAlign w:val="baseline"/>
                <w:lang w:val="en-US" w:eastAsia="zh-CN"/>
              </w:rPr>
            </w:pPr>
            <w:r>
              <w:rPr>
                <w:rFonts w:hint="eastAsia" w:asciiTheme="minorEastAsia" w:hAnsiTheme="minorEastAsia" w:cstheme="minorEastAsia"/>
                <w:kern w:val="0"/>
                <w:sz w:val="21"/>
                <w:szCs w:val="21"/>
                <w:vertAlign w:val="baseline"/>
                <w:lang w:val="en-US" w:eastAsia="zh-CN" w:bidi="ar"/>
              </w:rPr>
              <w:t>/</w:t>
            </w:r>
          </w:p>
        </w:tc>
      </w:tr>
    </w:tbl>
    <w:p>
      <w:pPr>
        <w:numPr>
          <w:ilvl w:val="0"/>
          <w:numId w:val="0"/>
        </w:numPr>
        <w:spacing w:line="360" w:lineRule="auto"/>
        <w:ind w:firstLine="480" w:firstLineChars="200"/>
        <w:rPr>
          <w:rFonts w:hint="default"/>
          <w:sz w:val="24"/>
          <w:highlight w:val="none"/>
          <w:lang w:val="en-US" w:eastAsia="zh-CN"/>
        </w:rPr>
      </w:pPr>
      <w:r>
        <w:rPr>
          <w:rFonts w:hint="eastAsia"/>
          <w:sz w:val="24"/>
          <w:highlight w:val="none"/>
          <w:lang w:val="en-US" w:eastAsia="zh-CN"/>
        </w:rPr>
        <w:t>目前，仍缺乏有关钢渣粉在混凝土中应用的</w:t>
      </w:r>
      <w:r>
        <w:rPr>
          <w:rFonts w:hint="eastAsia" w:ascii="Times New Roman" w:hAnsi="Times New Roman"/>
          <w:sz w:val="24"/>
          <w:szCs w:val="24"/>
          <w:highlight w:val="none"/>
          <w:lang w:val="en-US" w:eastAsia="zh-CN"/>
        </w:rPr>
        <w:t>工程建设标准。</w:t>
      </w:r>
      <w:r>
        <w:rPr>
          <w:rFonts w:hint="eastAsia"/>
          <w:sz w:val="24"/>
          <w:szCs w:val="24"/>
          <w:highlight w:val="none"/>
          <w:lang w:val="en-US" w:eastAsia="zh-CN"/>
        </w:rPr>
        <w:t>因此，本</w:t>
      </w:r>
      <w:r>
        <w:rPr>
          <w:rFonts w:hint="eastAsia"/>
          <w:sz w:val="24"/>
          <w:highlight w:val="none"/>
        </w:rPr>
        <w:t>标准的</w:t>
      </w:r>
      <w:r>
        <w:rPr>
          <w:rFonts w:hint="eastAsia"/>
          <w:sz w:val="24"/>
          <w:highlight w:val="none"/>
          <w:lang w:val="en-US" w:eastAsia="zh-CN"/>
        </w:rPr>
        <w:t>制定</w:t>
      </w:r>
      <w:r>
        <w:rPr>
          <w:rFonts w:hint="eastAsia"/>
          <w:sz w:val="24"/>
          <w:highlight w:val="none"/>
        </w:rPr>
        <w:t>，将会推广、规范我国</w:t>
      </w:r>
      <w:r>
        <w:rPr>
          <w:rFonts w:hint="eastAsia"/>
          <w:sz w:val="24"/>
          <w:highlight w:val="none"/>
          <w:lang w:val="en-US" w:eastAsia="zh-CN"/>
        </w:rPr>
        <w:t>钢渣粉</w:t>
      </w:r>
      <w:r>
        <w:rPr>
          <w:rFonts w:hint="eastAsia"/>
          <w:sz w:val="24"/>
          <w:highlight w:val="none"/>
        </w:rPr>
        <w:t>在混凝土中的应用，同时加强我国</w:t>
      </w:r>
      <w:r>
        <w:rPr>
          <w:rFonts w:hint="eastAsia"/>
          <w:sz w:val="24"/>
          <w:highlight w:val="none"/>
          <w:lang w:val="en-US" w:eastAsia="zh-CN"/>
        </w:rPr>
        <w:t>钢渣粉</w:t>
      </w:r>
      <w:r>
        <w:rPr>
          <w:rFonts w:hint="eastAsia"/>
          <w:sz w:val="24"/>
          <w:highlight w:val="none"/>
        </w:rPr>
        <w:t>混凝土产品质量的监督和管理，确保</w:t>
      </w:r>
      <w:r>
        <w:rPr>
          <w:rFonts w:hint="eastAsia"/>
          <w:sz w:val="24"/>
          <w:highlight w:val="none"/>
          <w:lang w:val="en-US" w:eastAsia="zh-CN"/>
        </w:rPr>
        <w:t>钢渣粉</w:t>
      </w:r>
      <w:r>
        <w:rPr>
          <w:rFonts w:hint="eastAsia"/>
          <w:sz w:val="24"/>
          <w:highlight w:val="none"/>
        </w:rPr>
        <w:t>混凝土的工程质量。</w:t>
      </w:r>
    </w:p>
    <w:p>
      <w:pPr>
        <w:spacing w:line="360" w:lineRule="auto"/>
        <w:ind w:firstLine="480" w:firstLineChars="200"/>
        <w:outlineLvl w:val="1"/>
        <w:rPr>
          <w:rFonts w:hint="default" w:ascii="Times New Roman" w:hAnsi="Times New Roman" w:eastAsia="宋体"/>
          <w:sz w:val="24"/>
          <w:szCs w:val="24"/>
          <w:highlight w:val="none"/>
          <w:lang w:val="en-US" w:eastAsia="zh-CN"/>
        </w:rPr>
      </w:pPr>
      <w:bookmarkStart w:id="13" w:name="_Toc19814"/>
      <w:bookmarkStart w:id="14" w:name="_Toc3611"/>
      <w:r>
        <w:rPr>
          <w:rFonts w:ascii="Times New Roman" w:hAnsi="Times New Roman"/>
          <w:sz w:val="24"/>
          <w:szCs w:val="24"/>
          <w:highlight w:val="none"/>
        </w:rPr>
        <w:t>（</w:t>
      </w:r>
      <w:r>
        <w:rPr>
          <w:rFonts w:hint="eastAsia" w:ascii="Times New Roman" w:hAnsi="Times New Roman"/>
          <w:sz w:val="24"/>
          <w:szCs w:val="24"/>
          <w:highlight w:val="none"/>
          <w:lang w:val="en-US" w:eastAsia="zh-CN"/>
        </w:rPr>
        <w:t>二</w:t>
      </w:r>
      <w:r>
        <w:rPr>
          <w:rFonts w:ascii="Times New Roman" w:hAnsi="Times New Roman"/>
          <w:sz w:val="24"/>
          <w:szCs w:val="24"/>
          <w:highlight w:val="none"/>
        </w:rPr>
        <w:t>）</w:t>
      </w:r>
      <w:bookmarkEnd w:id="10"/>
      <w:bookmarkEnd w:id="11"/>
      <w:bookmarkEnd w:id="12"/>
      <w:r>
        <w:rPr>
          <w:rFonts w:hint="eastAsia" w:ascii="Times New Roman" w:hAnsi="Times New Roman"/>
          <w:sz w:val="24"/>
          <w:szCs w:val="24"/>
          <w:highlight w:val="none"/>
          <w:lang w:val="en-US" w:eastAsia="zh-CN"/>
        </w:rPr>
        <w:t>编制组成立暨第一次工作会议</w:t>
      </w:r>
      <w:bookmarkEnd w:id="13"/>
      <w:bookmarkEnd w:id="14"/>
    </w:p>
    <w:p>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rPr>
        <w:t>202</w:t>
      </w:r>
      <w:r>
        <w:rPr>
          <w:rFonts w:hint="eastAsia" w:ascii="Times New Roman" w:hAnsi="Times New Roman" w:cs="Times New Roman"/>
          <w:sz w:val="24"/>
          <w:szCs w:val="24"/>
          <w:highlight w:val="none"/>
          <w:lang w:val="en-US" w:eastAsia="zh-CN"/>
        </w:rPr>
        <w:t>5</w:t>
      </w:r>
      <w:r>
        <w:rPr>
          <w:rFonts w:hint="eastAsia" w:ascii="Times New Roman" w:hAnsi="Times New Roman" w:cs="Times New Roman"/>
          <w:sz w:val="24"/>
          <w:szCs w:val="24"/>
          <w:highlight w:val="none"/>
        </w:rPr>
        <w:t>年</w:t>
      </w:r>
      <w:r>
        <w:rPr>
          <w:rFonts w:hint="eastAsia" w:cs="Times New Roman"/>
          <w:sz w:val="24"/>
          <w:szCs w:val="24"/>
          <w:highlight w:val="none"/>
          <w:lang w:val="en-US" w:eastAsia="zh-CN"/>
        </w:rPr>
        <w:t>10</w:t>
      </w:r>
      <w:r>
        <w:rPr>
          <w:rFonts w:hint="eastAsia" w:ascii="Times New Roman" w:hAnsi="Times New Roman" w:cs="Times New Roman"/>
          <w:sz w:val="24"/>
          <w:szCs w:val="24"/>
          <w:highlight w:val="none"/>
        </w:rPr>
        <w:t>月</w:t>
      </w:r>
      <w:r>
        <w:rPr>
          <w:rFonts w:hint="eastAsia" w:cs="Times New Roman"/>
          <w:sz w:val="24"/>
          <w:szCs w:val="24"/>
          <w:highlight w:val="none"/>
          <w:lang w:val="en-US" w:eastAsia="zh-CN"/>
        </w:rPr>
        <w:t>2</w:t>
      </w:r>
      <w:r>
        <w:rPr>
          <w:rFonts w:hint="eastAsia" w:ascii="Times New Roman" w:hAnsi="Times New Roman" w:cs="Times New Roman"/>
          <w:sz w:val="24"/>
          <w:szCs w:val="24"/>
          <w:highlight w:val="none"/>
          <w:lang w:val="en-US" w:eastAsia="zh-CN"/>
        </w:rPr>
        <w:t>7</w:t>
      </w:r>
      <w:r>
        <w:rPr>
          <w:rFonts w:hint="eastAsia" w:ascii="Times New Roman" w:hAnsi="Times New Roman" w:cs="Times New Roman"/>
          <w:sz w:val="24"/>
          <w:szCs w:val="24"/>
          <w:highlight w:val="none"/>
        </w:rPr>
        <w:t>日在北京召开</w:t>
      </w:r>
      <w:r>
        <w:rPr>
          <w:rFonts w:hint="eastAsia" w:ascii="Times New Roman" w:hAnsi="Times New Roman" w:cs="Times New Roman"/>
          <w:sz w:val="24"/>
          <w:szCs w:val="24"/>
          <w:highlight w:val="none"/>
          <w:lang w:val="en-US" w:eastAsia="zh-CN"/>
        </w:rPr>
        <w:t>了</w:t>
      </w:r>
      <w:r>
        <w:rPr>
          <w:rFonts w:hint="eastAsia" w:cs="宋体"/>
          <w:sz w:val="24"/>
          <w:highlight w:val="none"/>
        </w:rPr>
        <w:t>《</w:t>
      </w:r>
      <w:r>
        <w:rPr>
          <w:rFonts w:hint="eastAsia" w:ascii="Times New Roman" w:hAnsi="Times New Roman" w:cs="Times New Roman"/>
          <w:sz w:val="24"/>
          <w:highlight w:val="none"/>
          <w:lang w:val="en-US" w:eastAsia="zh-CN"/>
        </w:rPr>
        <w:t>钢渣粉在混凝土中应用技术规范</w:t>
      </w:r>
      <w:r>
        <w:rPr>
          <w:rFonts w:hint="default" w:ascii="Times New Roman" w:hAnsi="Times New Roman" w:cs="Times New Roman"/>
          <w:sz w:val="24"/>
          <w:highlight w:val="none"/>
        </w:rPr>
        <w:t>》（以下简称</w:t>
      </w:r>
      <w:r>
        <w:rPr>
          <w:rFonts w:hint="default" w:ascii="Times New Roman" w:hAnsi="Times New Roman" w:cs="Times New Roman"/>
          <w:sz w:val="24"/>
          <w:highlight w:val="none"/>
          <w:lang w:eastAsia="zh-CN"/>
        </w:rPr>
        <w:t>《标准》</w:t>
      </w:r>
      <w:r>
        <w:rPr>
          <w:rFonts w:hint="default" w:ascii="Times New Roman" w:hAnsi="Times New Roman" w:cs="Times New Roman"/>
          <w:sz w:val="24"/>
          <w:highlight w:val="none"/>
        </w:rPr>
        <w:t>）</w:t>
      </w:r>
      <w:r>
        <w:rPr>
          <w:rFonts w:hint="eastAsia" w:ascii="Times New Roman" w:hAnsi="Times New Roman" w:cs="Times New Roman"/>
          <w:sz w:val="24"/>
          <w:szCs w:val="24"/>
          <w:highlight w:val="none"/>
        </w:rPr>
        <w:t>编制组成立暨第一次工作会议</w:t>
      </w:r>
      <w:r>
        <w:rPr>
          <w:rFonts w:ascii="Times New Roman" w:hAnsi="Times New Roman"/>
          <w:sz w:val="24"/>
          <w:szCs w:val="24"/>
          <w:highlight w:val="none"/>
        </w:rPr>
        <w:t>。</w:t>
      </w:r>
      <w:r>
        <w:rPr>
          <w:rFonts w:hint="default" w:ascii="Times New Roman" w:hAnsi="Times New Roman"/>
          <w:sz w:val="24"/>
          <w:szCs w:val="24"/>
          <w:highlight w:val="none"/>
          <w:lang w:val="en-US" w:eastAsia="zh-CN"/>
        </w:rPr>
        <w:t>会议采用线下线上相结合的方式同步进行。中国建筑材料联合会标准质量</w:t>
      </w:r>
      <w:r>
        <w:rPr>
          <w:rFonts w:hint="eastAsia" w:ascii="Times New Roman" w:hAnsi="Times New Roman"/>
          <w:sz w:val="24"/>
          <w:szCs w:val="24"/>
          <w:highlight w:val="none"/>
          <w:lang w:val="en-US" w:eastAsia="zh-CN"/>
        </w:rPr>
        <w:t>部主任</w:t>
      </w:r>
      <w:r>
        <w:rPr>
          <w:rFonts w:hint="default" w:ascii="Times New Roman" w:hAnsi="Times New Roman"/>
          <w:sz w:val="24"/>
          <w:szCs w:val="24"/>
          <w:highlight w:val="none"/>
          <w:lang w:val="en-US" w:eastAsia="zh-CN"/>
        </w:rPr>
        <w:t>曹元辉</w:t>
      </w:r>
      <w:r>
        <w:rPr>
          <w:rFonts w:hint="eastAsia" w:ascii="Times New Roman" w:hAnsi="Times New Roman"/>
          <w:sz w:val="24"/>
          <w:szCs w:val="24"/>
          <w:highlight w:val="none"/>
          <w:lang w:val="en-US" w:eastAsia="zh-CN"/>
        </w:rPr>
        <w:t>正高、</w:t>
      </w:r>
      <w:r>
        <w:rPr>
          <w:rFonts w:hint="default" w:ascii="Times New Roman" w:hAnsi="Times New Roman"/>
          <w:sz w:val="24"/>
          <w:szCs w:val="24"/>
          <w:highlight w:val="none"/>
        </w:rPr>
        <w:t>中建研科技股份有限公司</w:t>
      </w:r>
      <w:r>
        <w:rPr>
          <w:rFonts w:hint="eastAsia"/>
          <w:sz w:val="24"/>
          <w:szCs w:val="24"/>
          <w:highlight w:val="none"/>
          <w:lang w:val="en-US" w:eastAsia="zh-CN"/>
        </w:rPr>
        <w:t>总经理刘枫</w:t>
      </w:r>
      <w:r>
        <w:rPr>
          <w:rFonts w:hint="eastAsia" w:ascii="Times New Roman" w:hAnsi="Times New Roman"/>
          <w:sz w:val="24"/>
          <w:szCs w:val="24"/>
          <w:highlight w:val="none"/>
          <w:lang w:val="en-US" w:eastAsia="zh-CN"/>
        </w:rPr>
        <w:t>正高，</w:t>
      </w:r>
      <w:r>
        <w:rPr>
          <w:rFonts w:hint="default" w:ascii="Times New Roman" w:hAnsi="Times New Roman"/>
          <w:sz w:val="24"/>
          <w:szCs w:val="24"/>
          <w:highlight w:val="none"/>
        </w:rPr>
        <w:t>中国建筑科学研究院有限公司</w:t>
      </w:r>
      <w:r>
        <w:rPr>
          <w:rFonts w:hint="eastAsia" w:ascii="Times New Roman" w:hAnsi="Times New Roman"/>
          <w:sz w:val="24"/>
          <w:szCs w:val="24"/>
          <w:highlight w:val="none"/>
          <w:lang w:val="en-US" w:eastAsia="zh-CN"/>
        </w:rPr>
        <w:t>冷发光研究员、夏京亮正高、任龙芳高工</w:t>
      </w:r>
      <w:r>
        <w:rPr>
          <w:rFonts w:hint="eastAsia"/>
          <w:sz w:val="24"/>
          <w:szCs w:val="24"/>
          <w:highlight w:val="none"/>
          <w:lang w:val="en-US" w:eastAsia="zh-CN"/>
        </w:rPr>
        <w:t>、马馨鑫工程师</w:t>
      </w:r>
      <w:r>
        <w:rPr>
          <w:rFonts w:hint="eastAsia" w:ascii="Times New Roman" w:hAnsi="Times New Roman"/>
          <w:sz w:val="24"/>
          <w:szCs w:val="24"/>
          <w:highlight w:val="none"/>
          <w:lang w:val="en-US" w:eastAsia="zh-CN"/>
        </w:rPr>
        <w:t>，建研建材有限公司</w:t>
      </w:r>
      <w:r>
        <w:rPr>
          <w:rFonts w:hint="eastAsia"/>
          <w:sz w:val="24"/>
          <w:szCs w:val="24"/>
          <w:highlight w:val="none"/>
          <w:lang w:val="en-US" w:eastAsia="zh-CN"/>
        </w:rPr>
        <w:t>王晓英</w:t>
      </w:r>
      <w:r>
        <w:rPr>
          <w:rFonts w:hint="eastAsia" w:ascii="Times New Roman" w:hAnsi="Times New Roman"/>
          <w:sz w:val="24"/>
          <w:szCs w:val="24"/>
          <w:highlight w:val="none"/>
          <w:lang w:val="en-US" w:eastAsia="zh-CN"/>
        </w:rPr>
        <w:t>高</w:t>
      </w:r>
      <w:r>
        <w:rPr>
          <w:rFonts w:hint="eastAsia"/>
          <w:sz w:val="24"/>
          <w:szCs w:val="24"/>
          <w:highlight w:val="none"/>
          <w:lang w:val="en-US" w:eastAsia="zh-CN"/>
        </w:rPr>
        <w:t>工</w:t>
      </w:r>
      <w:r>
        <w:rPr>
          <w:rFonts w:hint="eastAsia" w:ascii="Times New Roman" w:hAnsi="Times New Roman"/>
          <w:sz w:val="24"/>
          <w:szCs w:val="24"/>
          <w:highlight w:val="none"/>
          <w:lang w:val="en-US" w:eastAsia="zh-CN"/>
        </w:rPr>
        <w:t>、</w:t>
      </w:r>
      <w:r>
        <w:rPr>
          <w:rFonts w:hint="eastAsia"/>
          <w:sz w:val="24"/>
          <w:szCs w:val="24"/>
          <w:highlight w:val="none"/>
          <w:lang w:val="en-US" w:eastAsia="zh-CN"/>
        </w:rPr>
        <w:t>路珏</w:t>
      </w:r>
      <w:r>
        <w:rPr>
          <w:rFonts w:hint="eastAsia" w:ascii="Times New Roman" w:hAnsi="Times New Roman"/>
          <w:sz w:val="24"/>
          <w:szCs w:val="24"/>
          <w:highlight w:val="none"/>
          <w:lang w:val="en-US" w:eastAsia="zh-CN"/>
        </w:rPr>
        <w:t>工程师</w:t>
      </w:r>
      <w:r>
        <w:rPr>
          <w:rFonts w:hint="eastAsia"/>
          <w:sz w:val="24"/>
          <w:szCs w:val="24"/>
          <w:highlight w:val="none"/>
          <w:lang w:val="en-US" w:eastAsia="zh-CN"/>
        </w:rPr>
        <w:t>、刘林朋助理工程师、张新雨助理工程师、邵书樊助理工程师</w:t>
      </w:r>
      <w:r>
        <w:rPr>
          <w:rFonts w:hint="eastAsia" w:ascii="Times New Roman" w:hAnsi="Times New Roman"/>
          <w:sz w:val="24"/>
          <w:szCs w:val="24"/>
          <w:highlight w:val="none"/>
          <w:lang w:val="en-US" w:eastAsia="zh-CN"/>
        </w:rPr>
        <w:t>，</w:t>
      </w:r>
      <w:r>
        <w:rPr>
          <w:rFonts w:hint="eastAsia" w:ascii="Times New Roman" w:hAnsi="Times New Roman"/>
          <w:sz w:val="24"/>
          <w:szCs w:val="24"/>
          <w:highlight w:val="none"/>
          <w:lang w:eastAsia="zh-CN"/>
        </w:rPr>
        <w:t>三明市高速公路建设集团有限公司</w:t>
      </w:r>
      <w:r>
        <w:rPr>
          <w:rFonts w:hint="eastAsia"/>
          <w:sz w:val="24"/>
          <w:szCs w:val="24"/>
          <w:highlight w:val="none"/>
          <w:lang w:val="en-US" w:eastAsia="zh-CN"/>
        </w:rPr>
        <w:t>庄燕珍</w:t>
      </w:r>
      <w:r>
        <w:rPr>
          <w:rFonts w:hint="eastAsia" w:ascii="Times New Roman" w:hAnsi="Times New Roman"/>
          <w:sz w:val="24"/>
          <w:szCs w:val="24"/>
          <w:highlight w:val="none"/>
          <w:lang w:val="en-US" w:eastAsia="zh-CN"/>
        </w:rPr>
        <w:t>高工</w:t>
      </w:r>
      <w:r>
        <w:rPr>
          <w:rFonts w:hint="default" w:ascii="Times New Roman" w:hAnsi="Times New Roman"/>
          <w:sz w:val="24"/>
          <w:szCs w:val="24"/>
          <w:highlight w:val="none"/>
          <w:lang w:val="en-US" w:eastAsia="zh-CN"/>
        </w:rPr>
        <w:t>、</w:t>
      </w:r>
      <w:r>
        <w:rPr>
          <w:rFonts w:hint="eastAsia"/>
          <w:sz w:val="24"/>
          <w:szCs w:val="24"/>
          <w:highlight w:val="none"/>
          <w:lang w:val="en-US" w:eastAsia="zh-CN"/>
        </w:rPr>
        <w:t>蔡光叔高工，</w:t>
      </w:r>
      <w:r>
        <w:rPr>
          <w:rFonts w:hint="default" w:ascii="Times New Roman" w:hAnsi="Times New Roman"/>
          <w:sz w:val="24"/>
          <w:szCs w:val="24"/>
          <w:highlight w:val="none"/>
          <w:lang w:val="en-US" w:eastAsia="zh-CN"/>
        </w:rPr>
        <w:t>上海市政工程设计研究总院（集团）有限公司</w:t>
      </w:r>
      <w:r>
        <w:rPr>
          <w:rFonts w:hint="eastAsia"/>
          <w:sz w:val="24"/>
          <w:szCs w:val="24"/>
          <w:highlight w:val="none"/>
          <w:lang w:val="en-US" w:eastAsia="zh-CN"/>
        </w:rPr>
        <w:t>章萍</w:t>
      </w:r>
      <w:r>
        <w:rPr>
          <w:rFonts w:hint="eastAsia" w:ascii="Times New Roman" w:hAnsi="Times New Roman"/>
          <w:sz w:val="24"/>
          <w:szCs w:val="24"/>
          <w:highlight w:val="none"/>
          <w:lang w:val="en-US" w:eastAsia="zh-CN"/>
        </w:rPr>
        <w:t>高</w:t>
      </w:r>
      <w:r>
        <w:rPr>
          <w:rFonts w:hint="eastAsia"/>
          <w:sz w:val="24"/>
          <w:szCs w:val="24"/>
          <w:highlight w:val="none"/>
          <w:lang w:val="en-US" w:eastAsia="zh-CN"/>
        </w:rPr>
        <w:t>工，清华大学房奎圳讲师，</w:t>
      </w:r>
      <w:r>
        <w:rPr>
          <w:rFonts w:hint="eastAsia" w:ascii="Times New Roman" w:hAnsi="Times New Roman"/>
          <w:sz w:val="24"/>
          <w:szCs w:val="24"/>
          <w:highlight w:val="none"/>
          <w:lang w:val="en-US" w:eastAsia="zh-CN"/>
        </w:rPr>
        <w:t>武汉大学刘数华教授、</w:t>
      </w:r>
      <w:r>
        <w:rPr>
          <w:rFonts w:hint="eastAsia"/>
          <w:sz w:val="24"/>
          <w:szCs w:val="24"/>
          <w:highlight w:val="none"/>
          <w:lang w:val="en-US" w:eastAsia="zh-CN"/>
        </w:rPr>
        <w:t>蔡新华副教授，</w:t>
      </w:r>
      <w:r>
        <w:rPr>
          <w:rFonts w:hint="default" w:ascii="Times New Roman" w:hAnsi="Times New Roman"/>
          <w:sz w:val="24"/>
          <w:szCs w:val="24"/>
          <w:highlight w:val="none"/>
          <w:lang w:val="en-US" w:eastAsia="zh-CN"/>
        </w:rPr>
        <w:t>武汉理工大学</w:t>
      </w:r>
      <w:r>
        <w:rPr>
          <w:rFonts w:hint="eastAsia" w:ascii="Times New Roman" w:hAnsi="Times New Roman"/>
          <w:sz w:val="24"/>
          <w:szCs w:val="24"/>
          <w:highlight w:val="none"/>
          <w:lang w:val="en-US" w:eastAsia="zh-CN"/>
        </w:rPr>
        <w:t>李北星教授、</w:t>
      </w:r>
      <w:r>
        <w:rPr>
          <w:rFonts w:hint="eastAsia"/>
          <w:sz w:val="24"/>
          <w:szCs w:val="24"/>
          <w:highlight w:val="none"/>
          <w:lang w:val="en-US" w:eastAsia="zh-CN"/>
        </w:rPr>
        <w:t>东南</w:t>
      </w:r>
      <w:r>
        <w:rPr>
          <w:rFonts w:hint="eastAsia" w:ascii="Times New Roman" w:hAnsi="Times New Roman"/>
          <w:sz w:val="24"/>
          <w:szCs w:val="24"/>
          <w:highlight w:val="none"/>
        </w:rPr>
        <w:t>大学</w:t>
      </w:r>
      <w:r>
        <w:rPr>
          <w:rFonts w:hint="eastAsia"/>
          <w:sz w:val="24"/>
          <w:szCs w:val="24"/>
          <w:highlight w:val="none"/>
          <w:lang w:val="en-US" w:eastAsia="zh-CN"/>
        </w:rPr>
        <w:t>张云升教授、刘志勇副教授，河南交通职业技术学院邵景干副教授、华海娜副教授，太原理工大学柯国炬教授，河南理工大学徐平教授、赵旭讲师，河北农业大学张凤双讲师、张未讲师，山东钢铁股份有限公司王利高工，宝武环科武汉金属资源有限责任公司王文涛高工，建研院检测中心有限公司戈兵高工</w:t>
      </w:r>
      <w:r>
        <w:rPr>
          <w:rFonts w:hint="eastAsia" w:ascii="Times New Roman" w:hAnsi="Times New Roman"/>
          <w:sz w:val="24"/>
          <w:szCs w:val="24"/>
          <w:highlight w:val="none"/>
          <w:lang w:val="en-US" w:eastAsia="zh-CN"/>
        </w:rPr>
        <w:t>等3</w:t>
      </w:r>
      <w:r>
        <w:rPr>
          <w:rFonts w:hint="eastAsia"/>
          <w:sz w:val="24"/>
          <w:szCs w:val="24"/>
          <w:highlight w:val="none"/>
          <w:lang w:val="en-US" w:eastAsia="zh-CN"/>
        </w:rPr>
        <w:t>0</w:t>
      </w:r>
      <w:r>
        <w:rPr>
          <w:rFonts w:hint="default" w:ascii="Times New Roman" w:hAnsi="Times New Roman"/>
          <w:sz w:val="24"/>
          <w:szCs w:val="24"/>
          <w:highlight w:val="none"/>
          <w:lang w:val="en-US" w:eastAsia="zh-CN"/>
        </w:rPr>
        <w:t>位代表参加了本次会议。</w:t>
      </w:r>
      <w:r>
        <w:rPr>
          <w:rFonts w:hint="eastAsia" w:ascii="Times New Roman" w:hAnsi="Times New Roman"/>
          <w:sz w:val="24"/>
          <w:szCs w:val="24"/>
          <w:highlight w:val="none"/>
          <w:lang w:val="en-US" w:eastAsia="zh-CN"/>
        </w:rPr>
        <w:t>会议由</w:t>
      </w:r>
      <w:r>
        <w:rPr>
          <w:rFonts w:hint="default" w:ascii="Times New Roman" w:hAnsi="Times New Roman"/>
          <w:sz w:val="24"/>
          <w:szCs w:val="24"/>
          <w:highlight w:val="none"/>
          <w:lang w:eastAsia="zh-CN"/>
        </w:rPr>
        <w:t>《标准》</w:t>
      </w:r>
      <w:r>
        <w:rPr>
          <w:rFonts w:hint="eastAsia"/>
          <w:sz w:val="24"/>
          <w:szCs w:val="24"/>
          <w:highlight w:val="none"/>
          <w:lang w:val="en-US" w:eastAsia="zh-CN"/>
        </w:rPr>
        <w:t>副</w:t>
      </w:r>
      <w:r>
        <w:rPr>
          <w:rFonts w:hint="eastAsia" w:ascii="Times New Roman" w:hAnsi="Times New Roman"/>
          <w:sz w:val="24"/>
          <w:szCs w:val="24"/>
          <w:highlight w:val="none"/>
          <w:lang w:val="en-US" w:eastAsia="zh-CN"/>
        </w:rPr>
        <w:t>主编人夏京亮正高主持。</w:t>
      </w:r>
    </w:p>
    <w:p>
      <w:pPr>
        <w:spacing w:line="360" w:lineRule="auto"/>
        <w:jc w:val="center"/>
        <w:rPr>
          <w:highlight w:val="none"/>
        </w:rPr>
      </w:pPr>
      <w:r>
        <w:drawing>
          <wp:inline distT="0" distB="0" distL="114300" distR="114300">
            <wp:extent cx="5276215" cy="3968750"/>
            <wp:effectExtent l="0" t="0" r="635" b="1270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1"/>
                    <a:stretch>
                      <a:fillRect/>
                    </a:stretch>
                  </pic:blipFill>
                  <pic:spPr>
                    <a:xfrm>
                      <a:off x="0" y="0"/>
                      <a:ext cx="5276215" cy="3968750"/>
                    </a:xfrm>
                    <a:prstGeom prst="rect">
                      <a:avLst/>
                    </a:prstGeom>
                    <a:noFill/>
                    <a:ln>
                      <a:noFill/>
                    </a:ln>
                  </pic:spPr>
                </pic:pic>
              </a:graphicData>
            </a:graphic>
          </wp:inline>
        </w:drawing>
      </w:r>
    </w:p>
    <w:p>
      <w:pPr>
        <w:spacing w:line="360" w:lineRule="auto"/>
        <w:jc w:val="center"/>
        <w:rPr>
          <w:rFonts w:hint="eastAsia"/>
          <w:highlight w:val="none"/>
          <w:lang w:val="en-US" w:eastAsia="zh-CN"/>
        </w:rPr>
      </w:pPr>
      <w:r>
        <w:drawing>
          <wp:inline distT="0" distB="0" distL="114300" distR="114300">
            <wp:extent cx="5269230" cy="3145790"/>
            <wp:effectExtent l="0" t="0" r="7620" b="1651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2"/>
                    <a:stretch>
                      <a:fillRect/>
                    </a:stretch>
                  </pic:blipFill>
                  <pic:spPr>
                    <a:xfrm>
                      <a:off x="0" y="0"/>
                      <a:ext cx="5269230" cy="3145790"/>
                    </a:xfrm>
                    <a:prstGeom prst="rect">
                      <a:avLst/>
                    </a:prstGeom>
                    <a:noFill/>
                    <a:ln>
                      <a:noFill/>
                    </a:ln>
                  </pic:spPr>
                </pic:pic>
              </a:graphicData>
            </a:graphic>
          </wp:inline>
        </w:drawing>
      </w:r>
    </w:p>
    <w:p>
      <w:pPr>
        <w:spacing w:line="360" w:lineRule="auto"/>
        <w:ind w:firstLine="480" w:firstLineChars="200"/>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夏京亮正高介绍了与会领导和专家。</w:t>
      </w:r>
      <w:r>
        <w:rPr>
          <w:rFonts w:hint="eastAsia" w:cs="Times New Roman"/>
          <w:sz w:val="24"/>
          <w:szCs w:val="24"/>
          <w:highlight w:val="none"/>
          <w:lang w:val="en-US" w:eastAsia="zh-CN"/>
        </w:rPr>
        <w:t>曹元辉主任</w:t>
      </w:r>
      <w:r>
        <w:rPr>
          <w:rFonts w:hint="default" w:ascii="Times New Roman" w:hAnsi="Times New Roman" w:cs="Times New Roman"/>
          <w:sz w:val="24"/>
          <w:szCs w:val="24"/>
          <w:highlight w:val="none"/>
          <w:lang w:val="en-US" w:eastAsia="zh-CN"/>
        </w:rPr>
        <w:t>讲话指出要遵循标准编制的科学性、先进性、协调性原则，加强对《标准》编制的管理，严格执行《标准》编制进度计划安排，保证《标准》编制质量，更好的发挥出《标准》的行业引领作用。</w:t>
      </w:r>
      <w:r>
        <w:rPr>
          <w:rFonts w:hint="eastAsia" w:cs="Times New Roman"/>
          <w:sz w:val="24"/>
          <w:szCs w:val="24"/>
          <w:highlight w:val="none"/>
          <w:lang w:val="en-US" w:eastAsia="zh-CN"/>
        </w:rPr>
        <w:t>刘枫正高</w:t>
      </w:r>
      <w:r>
        <w:rPr>
          <w:rFonts w:hint="default" w:ascii="Times New Roman" w:hAnsi="Times New Roman" w:cs="Times New Roman"/>
          <w:sz w:val="24"/>
          <w:szCs w:val="24"/>
          <w:highlight w:val="none"/>
          <w:lang w:val="en-US" w:eastAsia="zh-CN"/>
        </w:rPr>
        <w:t>对与会专家给予《标准》编制工作的大力支持表示感谢，强调了《标准》在工程应用方面的指导性作用。</w:t>
      </w:r>
      <w:r>
        <w:rPr>
          <w:rFonts w:hint="eastAsia" w:cs="Times New Roman"/>
          <w:sz w:val="24"/>
          <w:szCs w:val="24"/>
          <w:highlight w:val="none"/>
          <w:lang w:val="en-US" w:eastAsia="zh-CN"/>
        </w:rPr>
        <w:t>冷发光研究员</w:t>
      </w:r>
      <w:r>
        <w:rPr>
          <w:rFonts w:hint="default" w:ascii="Times New Roman" w:hAnsi="Times New Roman" w:cs="Times New Roman"/>
          <w:sz w:val="24"/>
          <w:szCs w:val="24"/>
          <w:highlight w:val="none"/>
          <w:lang w:val="en-US" w:eastAsia="zh-CN"/>
        </w:rPr>
        <w:t>就归口标委会对《标准》的支持和信任以及各参编单位对《标准》编制给予的支持和帮助表示了衷心感谢，并承诺主编单位也将加强《标准》的研究和组织工作，按期高质量完成标准编制。</w:t>
      </w:r>
      <w:r>
        <w:rPr>
          <w:rFonts w:hint="eastAsia" w:cs="Times New Roman"/>
          <w:sz w:val="24"/>
          <w:szCs w:val="24"/>
          <w:highlight w:val="none"/>
          <w:lang w:val="en-US" w:eastAsia="zh-CN"/>
        </w:rPr>
        <w:t>马馨鑫工程师</w:t>
      </w:r>
      <w:r>
        <w:rPr>
          <w:rFonts w:hint="default" w:ascii="Times New Roman" w:hAnsi="Times New Roman" w:cs="Times New Roman"/>
          <w:sz w:val="24"/>
          <w:szCs w:val="24"/>
          <w:highlight w:val="none"/>
          <w:lang w:val="en-US" w:eastAsia="zh-CN"/>
        </w:rPr>
        <w:t>代表编制组汇报了《标准》编制背景、任务来源、主要技术内容及前期筹备情况等。会上，编制组成员就《标准》主要技术问题、标准草案、需进一步开展的验证试验、编制组成员分工等多项内容进行了讨论，进一步明确了《标准》下一步工作内容。该标准对于推动</w:t>
      </w:r>
      <w:r>
        <w:rPr>
          <w:rFonts w:hint="eastAsia" w:cs="Times New Roman"/>
          <w:sz w:val="24"/>
          <w:szCs w:val="24"/>
          <w:highlight w:val="none"/>
          <w:lang w:val="en-US" w:eastAsia="zh-CN"/>
        </w:rPr>
        <w:t>钢渣粉</w:t>
      </w:r>
      <w:r>
        <w:rPr>
          <w:rFonts w:hint="default" w:ascii="Times New Roman" w:hAnsi="Times New Roman" w:cs="Times New Roman"/>
          <w:sz w:val="24"/>
          <w:szCs w:val="24"/>
          <w:highlight w:val="none"/>
          <w:lang w:val="en-US" w:eastAsia="zh-CN"/>
        </w:rPr>
        <w:t>在混凝土中的应用具有重要意义。</w:t>
      </w:r>
    </w:p>
    <w:p>
      <w:pPr>
        <w:spacing w:line="360" w:lineRule="auto"/>
        <w:ind w:firstLine="480" w:firstLineChars="200"/>
        <w:outlineLvl w:val="1"/>
        <w:rPr>
          <w:rFonts w:hint="eastAsia" w:ascii="Times New Roman" w:hAnsi="Times New Roman" w:eastAsia="宋体" w:cs="Times New Roman"/>
          <w:sz w:val="24"/>
          <w:szCs w:val="24"/>
          <w:highlight w:val="none"/>
          <w:lang w:val="en-US" w:eastAsia="zh-CN"/>
        </w:rPr>
      </w:pPr>
      <w:bookmarkStart w:id="15" w:name="_Toc25165"/>
      <w:bookmarkStart w:id="16" w:name="_Toc12952"/>
      <w:r>
        <w:rPr>
          <w:rFonts w:hint="eastAsia" w:ascii="Times New Roman" w:hAnsi="Times New Roman" w:eastAsia="宋体" w:cs="Times New Roman"/>
          <w:sz w:val="24"/>
          <w:szCs w:val="24"/>
          <w:highlight w:val="none"/>
          <w:lang w:val="en-US" w:eastAsia="zh-CN"/>
        </w:rPr>
        <w:t>（三）</w:t>
      </w:r>
      <w:r>
        <w:rPr>
          <w:rFonts w:hint="default" w:ascii="Times New Roman" w:hAnsi="Times New Roman" w:eastAsia="宋体" w:cs="Times New Roman"/>
          <w:sz w:val="24"/>
          <w:szCs w:val="24"/>
          <w:highlight w:val="none"/>
          <w:lang w:eastAsia="zh-CN"/>
        </w:rPr>
        <w:t>样品征集与</w:t>
      </w:r>
      <w:r>
        <w:rPr>
          <w:rFonts w:hint="default" w:ascii="Times New Roman" w:hAnsi="Times New Roman" w:eastAsia="宋体" w:cs="Times New Roman"/>
          <w:sz w:val="24"/>
          <w:szCs w:val="24"/>
          <w:highlight w:val="none"/>
        </w:rPr>
        <w:t>试验验证</w:t>
      </w:r>
      <w:r>
        <w:rPr>
          <w:rFonts w:hint="eastAsia" w:ascii="Times New Roman" w:hAnsi="Times New Roman" w:eastAsia="宋体" w:cs="Times New Roman"/>
          <w:sz w:val="24"/>
          <w:szCs w:val="24"/>
          <w:highlight w:val="none"/>
          <w:lang w:val="en-US" w:eastAsia="zh-CN"/>
        </w:rPr>
        <w:t>工作</w:t>
      </w:r>
      <w:bookmarkEnd w:id="15"/>
      <w:bookmarkEnd w:id="16"/>
    </w:p>
    <w:p>
      <w:pPr>
        <w:spacing w:line="360" w:lineRule="auto"/>
        <w:ind w:firstLine="480" w:firstLineChars="200"/>
        <w:rPr>
          <w:rFonts w:hint="eastAsia" w:ascii="Times New Roman" w:hAnsi="Times New Roman" w:eastAsia="宋体" w:cs="Times New Roman"/>
          <w:sz w:val="24"/>
          <w:szCs w:val="24"/>
          <w:highlight w:val="none"/>
          <w:lang w:val="en-US" w:eastAsia="zh-CN"/>
        </w:rPr>
      </w:pPr>
      <w:r>
        <w:rPr>
          <w:rFonts w:hint="default" w:ascii="Times New Roman" w:hAnsi="Times New Roman"/>
          <w:color w:val="auto"/>
          <w:sz w:val="24"/>
          <w:szCs w:val="24"/>
          <w:highlight w:val="none"/>
        </w:rPr>
        <w:t>为了</w:t>
      </w:r>
      <w:r>
        <w:rPr>
          <w:rFonts w:hint="eastAsia" w:ascii="Times New Roman" w:hAnsi="Times New Roman"/>
          <w:color w:val="auto"/>
          <w:sz w:val="24"/>
          <w:szCs w:val="24"/>
          <w:highlight w:val="none"/>
          <w:lang w:val="en-US" w:eastAsia="zh-CN"/>
        </w:rPr>
        <w:t>保证</w:t>
      </w:r>
      <w:r>
        <w:rPr>
          <w:rFonts w:hint="eastAsia" w:cs="Times New Roman"/>
          <w:sz w:val="24"/>
          <w:szCs w:val="24"/>
          <w:highlight w:val="none"/>
          <w:lang w:val="en-US" w:eastAsia="zh-CN"/>
        </w:rPr>
        <w:t>钢渣粉</w:t>
      </w:r>
      <w:r>
        <w:rPr>
          <w:rFonts w:hint="eastAsia" w:ascii="Times New Roman" w:hAnsi="Times New Roman"/>
          <w:color w:val="auto"/>
          <w:sz w:val="24"/>
          <w:szCs w:val="24"/>
          <w:highlight w:val="none"/>
          <w:lang w:val="en-US" w:eastAsia="zh-CN"/>
        </w:rPr>
        <w:t>材料技术指标提出的科学性、合理性</w:t>
      </w:r>
      <w:r>
        <w:rPr>
          <w:rFonts w:hint="default" w:ascii="Times New Roman" w:hAnsi="Times New Roman"/>
          <w:color w:val="auto"/>
          <w:sz w:val="24"/>
          <w:szCs w:val="24"/>
          <w:highlight w:val="none"/>
          <w:lang w:eastAsia="zh-CN"/>
        </w:rPr>
        <w:t>，</w:t>
      </w:r>
      <w:r>
        <w:rPr>
          <w:rFonts w:hint="default" w:ascii="Times New Roman" w:hAnsi="Times New Roman"/>
          <w:color w:val="auto"/>
          <w:sz w:val="24"/>
          <w:szCs w:val="24"/>
          <w:highlight w:val="none"/>
          <w:lang w:val="en-US" w:eastAsia="zh-CN"/>
        </w:rPr>
        <w:t>及其在混凝土中的应用</w:t>
      </w:r>
      <w:r>
        <w:rPr>
          <w:rFonts w:hint="default" w:ascii="Times New Roman" w:hAnsi="Times New Roman"/>
          <w:color w:val="auto"/>
          <w:sz w:val="24"/>
          <w:szCs w:val="24"/>
          <w:highlight w:val="none"/>
        </w:rPr>
        <w:t>标准化</w:t>
      </w:r>
      <w:r>
        <w:rPr>
          <w:rFonts w:hint="eastAsia" w:ascii="Times New Roman" w:hAnsi="Times New Roman"/>
          <w:color w:val="auto"/>
          <w:sz w:val="24"/>
          <w:szCs w:val="24"/>
          <w:highlight w:val="none"/>
          <w:lang w:eastAsia="zh-CN"/>
        </w:rPr>
        <w:t>、</w:t>
      </w:r>
      <w:r>
        <w:rPr>
          <w:rFonts w:hint="eastAsia" w:ascii="Times New Roman" w:hAnsi="Times New Roman"/>
          <w:color w:val="auto"/>
          <w:sz w:val="24"/>
          <w:szCs w:val="24"/>
          <w:highlight w:val="none"/>
          <w:lang w:val="en-US" w:eastAsia="zh-CN"/>
        </w:rPr>
        <w:t>规范性</w:t>
      </w:r>
      <w:r>
        <w:rPr>
          <w:rFonts w:hint="default" w:ascii="Times New Roman" w:hAnsi="Times New Roman"/>
          <w:color w:val="auto"/>
          <w:sz w:val="24"/>
          <w:szCs w:val="24"/>
          <w:highlight w:val="none"/>
        </w:rPr>
        <w:t>，</w:t>
      </w:r>
      <w:r>
        <w:rPr>
          <w:rFonts w:ascii="Segoe UI" w:hAnsi="Segoe UI" w:eastAsia="Segoe UI" w:cs="Segoe UI"/>
          <w:i w:val="0"/>
          <w:iCs w:val="0"/>
          <w:caps w:val="0"/>
          <w:spacing w:val="0"/>
          <w:sz w:val="24"/>
          <w:szCs w:val="24"/>
          <w:highlight w:val="none"/>
          <w:shd w:val="clear" w:color="auto" w:fill="FFFFFF"/>
        </w:rPr>
        <w:t>编制组在充分调研文献与相关标准的基础上，开展了系统性的样品征集与试验验证工作。联合高校、科研院所及企业等，在全国范围内征集具有代表性的样品，</w:t>
      </w:r>
      <w:r>
        <w:rPr>
          <w:rFonts w:hint="eastAsia" w:ascii="Segoe UI" w:hAnsi="Segoe UI" w:eastAsia="Segoe UI" w:cs="Segoe UI"/>
          <w:i w:val="0"/>
          <w:iCs w:val="0"/>
          <w:caps w:val="0"/>
          <w:spacing w:val="0"/>
          <w:sz w:val="24"/>
          <w:szCs w:val="24"/>
          <w:highlight w:val="none"/>
          <w:shd w:val="clear" w:color="auto" w:fill="FFFFFF"/>
        </w:rPr>
        <w:t>涉及</w:t>
      </w:r>
      <w:r>
        <w:rPr>
          <w:rFonts w:hint="eastAsia" w:ascii="Segoe UI" w:hAnsi="Segoe UI" w:eastAsia="宋体" w:cs="Segoe UI"/>
          <w:i w:val="0"/>
          <w:iCs w:val="0"/>
          <w:caps w:val="0"/>
          <w:spacing w:val="0"/>
          <w:sz w:val="24"/>
          <w:szCs w:val="24"/>
          <w:highlight w:val="none"/>
          <w:shd w:val="clear" w:color="auto" w:fill="FFFFFF"/>
          <w:lang w:val="en-US" w:eastAsia="zh-CN"/>
        </w:rPr>
        <w:t>宝钢、</w:t>
      </w:r>
      <w:r>
        <w:rPr>
          <w:rFonts w:hint="eastAsia" w:ascii="Segoe UI" w:hAnsi="Segoe UI" w:eastAsia="Segoe UI" w:cs="Segoe UI"/>
          <w:i w:val="0"/>
          <w:iCs w:val="0"/>
          <w:caps w:val="0"/>
          <w:spacing w:val="0"/>
          <w:sz w:val="24"/>
          <w:szCs w:val="24"/>
          <w:highlight w:val="none"/>
          <w:shd w:val="clear" w:color="auto" w:fill="FFFFFF"/>
        </w:rPr>
        <w:t>武</w:t>
      </w:r>
      <w:r>
        <w:rPr>
          <w:rFonts w:hint="eastAsia" w:ascii="Segoe UI" w:hAnsi="Segoe UI" w:eastAsia="宋体" w:cs="Segoe UI"/>
          <w:i w:val="0"/>
          <w:iCs w:val="0"/>
          <w:caps w:val="0"/>
          <w:spacing w:val="0"/>
          <w:sz w:val="24"/>
          <w:szCs w:val="24"/>
          <w:highlight w:val="none"/>
          <w:shd w:val="clear" w:color="auto" w:fill="FFFFFF"/>
          <w:lang w:val="en-US" w:eastAsia="zh-CN"/>
        </w:rPr>
        <w:t>钢</w:t>
      </w:r>
      <w:r>
        <w:rPr>
          <w:rFonts w:hint="eastAsia" w:ascii="Segoe UI" w:hAnsi="Segoe UI" w:eastAsia="Segoe UI" w:cs="Segoe UI"/>
          <w:i w:val="0"/>
          <w:iCs w:val="0"/>
          <w:caps w:val="0"/>
          <w:spacing w:val="0"/>
          <w:sz w:val="24"/>
          <w:szCs w:val="24"/>
          <w:highlight w:val="none"/>
          <w:shd w:val="clear" w:color="auto" w:fill="FFFFFF"/>
        </w:rPr>
        <w:t>、首钢、山钢</w:t>
      </w:r>
      <w:r>
        <w:rPr>
          <w:rFonts w:hint="eastAsia" w:ascii="Segoe UI" w:hAnsi="Segoe UI" w:eastAsia="宋体" w:cs="Segoe UI"/>
          <w:i w:val="0"/>
          <w:iCs w:val="0"/>
          <w:caps w:val="0"/>
          <w:spacing w:val="0"/>
          <w:sz w:val="24"/>
          <w:szCs w:val="24"/>
          <w:highlight w:val="none"/>
          <w:shd w:val="clear" w:color="auto" w:fill="FFFFFF"/>
          <w:lang w:eastAsia="zh-CN"/>
        </w:rPr>
        <w:t>、</w:t>
      </w:r>
      <w:r>
        <w:rPr>
          <w:rFonts w:hint="eastAsia" w:ascii="Segoe UI" w:hAnsi="Segoe UI" w:eastAsia="宋体" w:cs="Segoe UI"/>
          <w:i w:val="0"/>
          <w:iCs w:val="0"/>
          <w:caps w:val="0"/>
          <w:spacing w:val="0"/>
          <w:sz w:val="24"/>
          <w:szCs w:val="24"/>
          <w:highlight w:val="none"/>
          <w:shd w:val="clear" w:color="auto" w:fill="FFFFFF"/>
          <w:lang w:val="en-US" w:eastAsia="zh-CN"/>
        </w:rPr>
        <w:t>唐钢</w:t>
      </w:r>
      <w:r>
        <w:rPr>
          <w:rFonts w:hint="eastAsia" w:ascii="Segoe UI" w:hAnsi="Segoe UI" w:eastAsia="Segoe UI" w:cs="Segoe UI"/>
          <w:i w:val="0"/>
          <w:iCs w:val="0"/>
          <w:caps w:val="0"/>
          <w:spacing w:val="0"/>
          <w:sz w:val="24"/>
          <w:szCs w:val="24"/>
          <w:highlight w:val="none"/>
          <w:shd w:val="clear" w:color="auto" w:fill="FFFFFF"/>
        </w:rPr>
        <w:t>等主流钢厂。</w:t>
      </w:r>
      <w:r>
        <w:rPr>
          <w:rFonts w:ascii="Segoe UI" w:hAnsi="Segoe UI" w:eastAsia="Segoe UI" w:cs="Segoe UI"/>
          <w:i w:val="0"/>
          <w:iCs w:val="0"/>
          <w:caps w:val="0"/>
          <w:spacing w:val="0"/>
          <w:sz w:val="24"/>
          <w:szCs w:val="24"/>
          <w:highlight w:val="none"/>
          <w:shd w:val="clear" w:color="auto" w:fill="FFFFFF"/>
        </w:rPr>
        <w:t>针对这些样品，进行了全面的试验分析，包括化学成分（如活性氧化物含量、烧失量等）、物理性能（如细度、密度等）的测定，以及材料对混凝土工作性、力学性能、耐久性</w:t>
      </w:r>
      <w:r>
        <w:rPr>
          <w:rFonts w:hint="eastAsia" w:ascii="Segoe UI" w:hAnsi="Segoe UI" w:eastAsia="宋体" w:cs="Segoe UI"/>
          <w:i w:val="0"/>
          <w:iCs w:val="0"/>
          <w:caps w:val="0"/>
          <w:spacing w:val="0"/>
          <w:sz w:val="24"/>
          <w:szCs w:val="24"/>
          <w:highlight w:val="none"/>
          <w:shd w:val="clear" w:color="auto" w:fill="FFFFFF"/>
          <w:lang w:eastAsia="zh-CN"/>
        </w:rPr>
        <w:t>、</w:t>
      </w:r>
      <w:r>
        <w:rPr>
          <w:rFonts w:hint="eastAsia" w:ascii="Segoe UI" w:hAnsi="Segoe UI" w:eastAsia="宋体" w:cs="Segoe UI"/>
          <w:i w:val="0"/>
          <w:iCs w:val="0"/>
          <w:caps w:val="0"/>
          <w:spacing w:val="0"/>
          <w:sz w:val="24"/>
          <w:szCs w:val="24"/>
          <w:highlight w:val="none"/>
          <w:shd w:val="clear" w:color="auto" w:fill="FFFFFF"/>
          <w:lang w:val="en-US" w:eastAsia="zh-CN"/>
        </w:rPr>
        <w:t>体积稳定性</w:t>
      </w:r>
      <w:r>
        <w:rPr>
          <w:rFonts w:ascii="Segoe UI" w:hAnsi="Segoe UI" w:eastAsia="Segoe UI" w:cs="Segoe UI"/>
          <w:i w:val="0"/>
          <w:iCs w:val="0"/>
          <w:caps w:val="0"/>
          <w:spacing w:val="0"/>
          <w:sz w:val="24"/>
          <w:szCs w:val="24"/>
          <w:highlight w:val="none"/>
          <w:shd w:val="clear" w:color="auto" w:fill="FFFFFF"/>
        </w:rPr>
        <w:t>等关键性能的影响研究。</w:t>
      </w:r>
      <w:r>
        <w:rPr>
          <w:rFonts w:ascii="Segoe UI" w:hAnsi="Segoe UI" w:eastAsia="Segoe UI" w:cs="Segoe UI"/>
          <w:i w:val="0"/>
          <w:iCs w:val="0"/>
          <w:caps w:val="0"/>
          <w:color w:val="auto"/>
          <w:spacing w:val="0"/>
          <w:sz w:val="24"/>
          <w:szCs w:val="24"/>
          <w:highlight w:val="none"/>
          <w:shd w:val="clear" w:color="auto" w:fill="FFFFFF"/>
        </w:rPr>
        <w:t>经</w:t>
      </w:r>
      <w:r>
        <w:rPr>
          <w:rFonts w:hint="eastAsia" w:ascii="Segoe UI" w:hAnsi="Segoe UI" w:eastAsia="宋体" w:cs="Segoe UI"/>
          <w:i w:val="0"/>
          <w:iCs w:val="0"/>
          <w:caps w:val="0"/>
          <w:color w:val="auto"/>
          <w:spacing w:val="0"/>
          <w:sz w:val="24"/>
          <w:szCs w:val="24"/>
          <w:highlight w:val="none"/>
          <w:shd w:val="clear" w:color="auto" w:fill="FFFFFF"/>
          <w:lang w:val="en-US" w:eastAsia="zh-CN"/>
        </w:rPr>
        <w:t>过试验</w:t>
      </w:r>
      <w:r>
        <w:rPr>
          <w:rFonts w:ascii="Segoe UI" w:hAnsi="Segoe UI" w:eastAsia="Segoe UI" w:cs="Segoe UI"/>
          <w:i w:val="0"/>
          <w:iCs w:val="0"/>
          <w:caps w:val="0"/>
          <w:color w:val="auto"/>
          <w:spacing w:val="0"/>
          <w:sz w:val="24"/>
          <w:szCs w:val="24"/>
          <w:highlight w:val="none"/>
          <w:shd w:val="clear" w:color="auto" w:fill="FFFFFF"/>
        </w:rPr>
        <w:t>对比分析，获取关键数据，为</w:t>
      </w:r>
      <w:r>
        <w:rPr>
          <w:rFonts w:hint="eastAsia" w:ascii="Segoe UI" w:hAnsi="Segoe UI" w:eastAsia="宋体" w:cs="Segoe UI"/>
          <w:i w:val="0"/>
          <w:iCs w:val="0"/>
          <w:caps w:val="0"/>
          <w:color w:val="auto"/>
          <w:spacing w:val="0"/>
          <w:sz w:val="24"/>
          <w:szCs w:val="24"/>
          <w:highlight w:val="none"/>
          <w:shd w:val="clear" w:color="auto" w:fill="FFFFFF"/>
          <w:lang w:val="en-US" w:eastAsia="zh-CN"/>
        </w:rPr>
        <w:t>标准中</w:t>
      </w:r>
      <w:r>
        <w:rPr>
          <w:rFonts w:hint="eastAsia" w:ascii="Segoe UI" w:hAnsi="Segoe UI" w:cs="Segoe UI"/>
          <w:i w:val="0"/>
          <w:iCs w:val="0"/>
          <w:caps w:val="0"/>
          <w:color w:val="auto"/>
          <w:spacing w:val="0"/>
          <w:sz w:val="24"/>
          <w:szCs w:val="24"/>
          <w:highlight w:val="none"/>
          <w:shd w:val="clear" w:color="auto" w:fill="FFFFFF"/>
          <w:lang w:val="en-US" w:eastAsia="zh-CN"/>
        </w:rPr>
        <w:t>钢渣粉</w:t>
      </w:r>
      <w:r>
        <w:rPr>
          <w:rFonts w:hint="eastAsia" w:ascii="Segoe UI" w:hAnsi="Segoe UI" w:eastAsia="宋体" w:cs="Segoe UI"/>
          <w:i w:val="0"/>
          <w:iCs w:val="0"/>
          <w:caps w:val="0"/>
          <w:color w:val="auto"/>
          <w:spacing w:val="0"/>
          <w:sz w:val="24"/>
          <w:szCs w:val="24"/>
          <w:highlight w:val="none"/>
          <w:shd w:val="clear" w:color="auto" w:fill="FFFFFF"/>
          <w:lang w:val="en-US" w:eastAsia="zh-CN"/>
        </w:rPr>
        <w:t>材料</w:t>
      </w:r>
      <w:r>
        <w:rPr>
          <w:rFonts w:ascii="Segoe UI" w:hAnsi="Segoe UI" w:eastAsia="Segoe UI" w:cs="Segoe UI"/>
          <w:i w:val="0"/>
          <w:iCs w:val="0"/>
          <w:caps w:val="0"/>
          <w:color w:val="auto"/>
          <w:spacing w:val="0"/>
          <w:sz w:val="24"/>
          <w:szCs w:val="24"/>
          <w:highlight w:val="none"/>
          <w:shd w:val="clear" w:color="auto" w:fill="FFFFFF"/>
        </w:rPr>
        <w:t>技术指标、</w:t>
      </w:r>
      <w:r>
        <w:rPr>
          <w:rFonts w:hint="eastAsia" w:ascii="Segoe UI" w:hAnsi="Segoe UI" w:eastAsia="宋体" w:cs="Segoe UI"/>
          <w:i w:val="0"/>
          <w:iCs w:val="0"/>
          <w:caps w:val="0"/>
          <w:color w:val="auto"/>
          <w:spacing w:val="0"/>
          <w:sz w:val="24"/>
          <w:szCs w:val="24"/>
          <w:highlight w:val="none"/>
          <w:shd w:val="clear" w:color="auto" w:fill="FFFFFF"/>
          <w:lang w:val="en-US" w:eastAsia="zh-CN"/>
        </w:rPr>
        <w:t>活性影响系数、配合比设计、</w:t>
      </w:r>
      <w:r>
        <w:rPr>
          <w:rFonts w:ascii="Segoe UI" w:hAnsi="Segoe UI" w:eastAsia="Segoe UI" w:cs="Segoe UI"/>
          <w:i w:val="0"/>
          <w:iCs w:val="0"/>
          <w:caps w:val="0"/>
          <w:color w:val="auto"/>
          <w:spacing w:val="0"/>
          <w:sz w:val="24"/>
          <w:szCs w:val="24"/>
          <w:highlight w:val="none"/>
          <w:shd w:val="clear" w:color="auto" w:fill="FFFFFF"/>
        </w:rPr>
        <w:t>施工</w:t>
      </w:r>
      <w:r>
        <w:rPr>
          <w:rFonts w:hint="eastAsia" w:ascii="Segoe UI" w:hAnsi="Segoe UI" w:eastAsia="宋体" w:cs="Segoe UI"/>
          <w:i w:val="0"/>
          <w:iCs w:val="0"/>
          <w:caps w:val="0"/>
          <w:color w:val="auto"/>
          <w:spacing w:val="0"/>
          <w:sz w:val="24"/>
          <w:szCs w:val="24"/>
          <w:highlight w:val="none"/>
          <w:shd w:val="clear" w:color="auto" w:fill="FFFFFF"/>
          <w:lang w:val="en-US" w:eastAsia="zh-CN"/>
        </w:rPr>
        <w:t>及检验</w:t>
      </w:r>
      <w:r>
        <w:rPr>
          <w:rFonts w:ascii="Segoe UI" w:hAnsi="Segoe UI" w:eastAsia="Segoe UI" w:cs="Segoe UI"/>
          <w:i w:val="0"/>
          <w:iCs w:val="0"/>
          <w:caps w:val="0"/>
          <w:color w:val="auto"/>
          <w:spacing w:val="0"/>
          <w:sz w:val="24"/>
          <w:szCs w:val="24"/>
          <w:highlight w:val="none"/>
          <w:shd w:val="clear" w:color="auto" w:fill="FFFFFF"/>
        </w:rPr>
        <w:t>等</w:t>
      </w:r>
      <w:r>
        <w:rPr>
          <w:rFonts w:hint="eastAsia" w:ascii="Times New Roman" w:hAnsi="Times New Roman" w:eastAsia="宋体" w:cs="Times New Roman"/>
          <w:sz w:val="24"/>
          <w:szCs w:val="24"/>
          <w:highlight w:val="none"/>
          <w:lang w:val="en-US" w:eastAsia="zh-CN"/>
        </w:rPr>
        <w:t>提出</w:t>
      </w:r>
      <w:r>
        <w:rPr>
          <w:rFonts w:hint="default" w:ascii="Times New Roman" w:hAnsi="Times New Roman" w:eastAsia="宋体" w:cs="Times New Roman"/>
          <w:sz w:val="24"/>
          <w:szCs w:val="24"/>
          <w:highlight w:val="none"/>
          <w:lang w:val="en-US" w:eastAsia="zh-CN"/>
        </w:rPr>
        <w:t>提供了试验数据支撑。</w:t>
      </w:r>
    </w:p>
    <w:p>
      <w:pPr>
        <w:spacing w:line="360" w:lineRule="auto"/>
        <w:ind w:firstLine="480" w:firstLineChars="200"/>
        <w:outlineLvl w:val="1"/>
        <w:rPr>
          <w:rFonts w:hint="eastAsia" w:ascii="Times New Roman" w:hAnsi="Times New Roman" w:eastAsia="宋体" w:cs="Times New Roman"/>
          <w:color w:val="auto"/>
          <w:sz w:val="24"/>
          <w:szCs w:val="24"/>
          <w:highlight w:val="none"/>
          <w:lang w:val="en-US" w:eastAsia="zh-CN"/>
        </w:rPr>
      </w:pPr>
      <w:bookmarkStart w:id="17" w:name="_Toc23555"/>
      <w:bookmarkStart w:id="18" w:name="_Toc23600"/>
      <w:bookmarkStart w:id="19" w:name="_Toc177990600"/>
      <w:bookmarkStart w:id="20" w:name="_Toc177988996"/>
      <w:bookmarkStart w:id="21" w:name="_Toc12057"/>
      <w:r>
        <w:rPr>
          <w:rFonts w:hint="eastAsia" w:ascii="Times New Roman" w:hAnsi="Times New Roman" w:eastAsia="宋体" w:cs="Times New Roman"/>
          <w:sz w:val="24"/>
          <w:szCs w:val="24"/>
          <w:highlight w:val="none"/>
          <w:lang w:val="en-US" w:eastAsia="zh-CN"/>
        </w:rPr>
        <w:t>（四）确定标准</w:t>
      </w:r>
      <w:r>
        <w:rPr>
          <w:rFonts w:hint="eastAsia" w:ascii="Times New Roman" w:hAnsi="Times New Roman" w:eastAsia="宋体" w:cs="Times New Roman"/>
          <w:color w:val="auto"/>
          <w:sz w:val="24"/>
          <w:szCs w:val="24"/>
          <w:highlight w:val="none"/>
          <w:lang w:val="en-US" w:eastAsia="zh-CN"/>
        </w:rPr>
        <w:t>征求意见稿</w:t>
      </w:r>
      <w:bookmarkEnd w:id="17"/>
    </w:p>
    <w:bookmarkEnd w:id="18"/>
    <w:bookmarkEnd w:id="19"/>
    <w:bookmarkEnd w:id="20"/>
    <w:bookmarkEnd w:id="21"/>
    <w:p>
      <w:pPr>
        <w:spacing w:line="360" w:lineRule="auto"/>
        <w:ind w:firstLine="480" w:firstLineChars="200"/>
        <w:rPr>
          <w:rFonts w:hint="eastAsia" w:ascii="Times New Roman" w:hAnsi="Times New Roman" w:eastAsia="宋体" w:cs="Times New Roman"/>
          <w:color w:val="auto"/>
          <w:sz w:val="24"/>
          <w:szCs w:val="24"/>
          <w:highlight w:val="none"/>
          <w:lang w:eastAsia="zh-CN"/>
        </w:rPr>
      </w:pPr>
      <w:r>
        <w:rPr>
          <w:rFonts w:hint="default" w:ascii="Times New Roman" w:hAnsi="Times New Roman" w:eastAsia="宋体" w:cs="Times New Roman"/>
          <w:color w:val="auto"/>
          <w:sz w:val="24"/>
          <w:szCs w:val="24"/>
          <w:highlight w:val="none"/>
        </w:rPr>
        <w:t>根据编制组成立会上专家提出的意见，编制组深入开展了</w:t>
      </w:r>
      <w:r>
        <w:rPr>
          <w:rFonts w:hint="eastAsia" w:cs="Times New Roman"/>
          <w:color w:val="auto"/>
          <w:sz w:val="24"/>
          <w:szCs w:val="24"/>
          <w:highlight w:val="none"/>
          <w:lang w:val="en-US" w:eastAsia="zh-CN"/>
        </w:rPr>
        <w:t>钢渣粉</w:t>
      </w:r>
      <w:r>
        <w:rPr>
          <w:rFonts w:hint="eastAsia" w:ascii="Times New Roman" w:hAnsi="Times New Roman" w:eastAsia="宋体" w:cs="Times New Roman"/>
          <w:color w:val="auto"/>
          <w:sz w:val="24"/>
          <w:szCs w:val="24"/>
          <w:highlight w:val="none"/>
          <w:lang w:val="en-US" w:eastAsia="zh-CN"/>
        </w:rPr>
        <w:t>在混凝土中应用的</w:t>
      </w:r>
      <w:r>
        <w:rPr>
          <w:rFonts w:hint="default" w:ascii="Times New Roman" w:hAnsi="Times New Roman" w:eastAsia="宋体" w:cs="Times New Roman"/>
          <w:color w:val="auto"/>
          <w:sz w:val="24"/>
          <w:szCs w:val="24"/>
          <w:highlight w:val="none"/>
        </w:rPr>
        <w:t>调研工作，系统了解</w:t>
      </w:r>
      <w:r>
        <w:rPr>
          <w:rFonts w:hint="eastAsia" w:cs="Times New Roman"/>
          <w:color w:val="auto"/>
          <w:sz w:val="24"/>
          <w:szCs w:val="24"/>
          <w:highlight w:val="none"/>
          <w:lang w:val="en-US" w:eastAsia="zh-CN"/>
        </w:rPr>
        <w:t>钢渣粉</w:t>
      </w:r>
      <w:r>
        <w:rPr>
          <w:rFonts w:hint="default" w:ascii="Times New Roman" w:hAnsi="Times New Roman" w:eastAsia="宋体" w:cs="Times New Roman"/>
          <w:color w:val="auto"/>
          <w:sz w:val="24"/>
          <w:szCs w:val="24"/>
          <w:highlight w:val="none"/>
        </w:rPr>
        <w:t>在混凝土中应用的现状与技术需求。通过走访</w:t>
      </w:r>
      <w:r>
        <w:rPr>
          <w:rFonts w:hint="eastAsia" w:cs="Times New Roman"/>
          <w:color w:val="auto"/>
          <w:sz w:val="24"/>
          <w:szCs w:val="24"/>
          <w:highlight w:val="none"/>
          <w:lang w:val="en-US" w:eastAsia="zh-CN"/>
        </w:rPr>
        <w:t>钢渣粉</w:t>
      </w:r>
      <w:r>
        <w:rPr>
          <w:rFonts w:hint="default" w:ascii="Times New Roman" w:hAnsi="Times New Roman" w:eastAsia="宋体" w:cs="Times New Roman"/>
          <w:color w:val="auto"/>
          <w:sz w:val="24"/>
          <w:szCs w:val="24"/>
          <w:highlight w:val="none"/>
        </w:rPr>
        <w:t>生产企业、混凝土生产企业及施工单位，获取了大量基础数据和典型工程案例</w:t>
      </w:r>
      <w:r>
        <w:rPr>
          <w:rFonts w:hint="eastAsia"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与此同时，</w:t>
      </w:r>
      <w:r>
        <w:rPr>
          <w:rFonts w:hint="eastAsia" w:ascii="Times New Roman" w:hAnsi="Times New Roman" w:eastAsia="宋体" w:cs="Times New Roman"/>
          <w:color w:val="auto"/>
          <w:sz w:val="24"/>
          <w:szCs w:val="24"/>
          <w:highlight w:val="none"/>
          <w:lang w:val="en-US" w:eastAsia="zh-CN"/>
        </w:rPr>
        <w:t>组织各单位开展验证试验并对试验结果进行分析</w:t>
      </w:r>
      <w:r>
        <w:rPr>
          <w:rFonts w:hint="default"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val="en-US" w:eastAsia="zh-CN"/>
        </w:rPr>
        <w:t>研究</w:t>
      </w:r>
      <w:r>
        <w:rPr>
          <w:rFonts w:hint="default" w:ascii="Times New Roman" w:hAnsi="Times New Roman" w:eastAsia="宋体" w:cs="Times New Roman"/>
          <w:color w:val="auto"/>
          <w:sz w:val="24"/>
          <w:szCs w:val="24"/>
          <w:highlight w:val="none"/>
        </w:rPr>
        <w:t>不同</w:t>
      </w:r>
      <w:r>
        <w:rPr>
          <w:rFonts w:hint="eastAsia" w:cs="Times New Roman"/>
          <w:color w:val="auto"/>
          <w:sz w:val="24"/>
          <w:szCs w:val="24"/>
          <w:highlight w:val="none"/>
          <w:lang w:val="en-US" w:eastAsia="zh-CN"/>
        </w:rPr>
        <w:t>钢渣粉</w:t>
      </w:r>
      <w:r>
        <w:rPr>
          <w:rFonts w:hint="default" w:ascii="Times New Roman" w:hAnsi="Times New Roman" w:eastAsia="宋体" w:cs="Times New Roman"/>
          <w:color w:val="auto"/>
          <w:sz w:val="24"/>
          <w:szCs w:val="24"/>
          <w:highlight w:val="none"/>
        </w:rPr>
        <w:t>特性以及</w:t>
      </w:r>
      <w:r>
        <w:rPr>
          <w:rFonts w:hint="eastAsia" w:ascii="Times New Roman" w:hAnsi="Times New Roman" w:eastAsia="宋体" w:cs="Times New Roman"/>
          <w:color w:val="auto"/>
          <w:sz w:val="24"/>
          <w:szCs w:val="24"/>
          <w:highlight w:val="none"/>
          <w:lang w:val="en-US" w:eastAsia="zh-CN"/>
        </w:rPr>
        <w:t>对混凝土性能的影响</w:t>
      </w:r>
      <w:r>
        <w:rPr>
          <w:rFonts w:hint="default"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val="en-US" w:eastAsia="zh-CN"/>
        </w:rPr>
        <w:t>通过</w:t>
      </w:r>
      <w:r>
        <w:rPr>
          <w:rFonts w:hint="default" w:ascii="Times New Roman" w:hAnsi="Times New Roman" w:eastAsia="宋体" w:cs="Times New Roman"/>
          <w:color w:val="auto"/>
          <w:sz w:val="24"/>
          <w:szCs w:val="24"/>
          <w:highlight w:val="none"/>
        </w:rPr>
        <w:t>对</w:t>
      </w:r>
      <w:r>
        <w:rPr>
          <w:rFonts w:hint="eastAsia" w:ascii="Times New Roman" w:hAnsi="Times New Roman" w:eastAsia="宋体" w:cs="Times New Roman"/>
          <w:color w:val="auto"/>
          <w:sz w:val="24"/>
          <w:szCs w:val="24"/>
          <w:highlight w:val="none"/>
          <w:lang w:val="en-US" w:eastAsia="zh-CN"/>
        </w:rPr>
        <w:t>验证</w:t>
      </w:r>
      <w:r>
        <w:rPr>
          <w:rFonts w:hint="default" w:ascii="Times New Roman" w:hAnsi="Times New Roman" w:eastAsia="宋体" w:cs="Times New Roman"/>
          <w:color w:val="auto"/>
          <w:sz w:val="24"/>
          <w:szCs w:val="24"/>
          <w:highlight w:val="none"/>
        </w:rPr>
        <w:t>试验结果</w:t>
      </w:r>
      <w:r>
        <w:rPr>
          <w:rFonts w:hint="eastAsia" w:ascii="Times New Roman" w:hAnsi="Times New Roman" w:eastAsia="宋体" w:cs="Times New Roman"/>
          <w:color w:val="auto"/>
          <w:sz w:val="24"/>
          <w:szCs w:val="24"/>
          <w:highlight w:val="none"/>
          <w:lang w:val="en-US" w:eastAsia="zh-CN"/>
        </w:rPr>
        <w:t>的进一步</w:t>
      </w:r>
      <w:r>
        <w:rPr>
          <w:rFonts w:hint="default" w:ascii="Times New Roman" w:hAnsi="Times New Roman" w:eastAsia="宋体" w:cs="Times New Roman"/>
          <w:color w:val="auto"/>
          <w:sz w:val="24"/>
          <w:szCs w:val="24"/>
          <w:highlight w:val="none"/>
        </w:rPr>
        <w:t>分析，优化和完善标准草案内容，最终形成了标准征求意见稿</w:t>
      </w:r>
      <w:r>
        <w:rPr>
          <w:rFonts w:hint="eastAsia" w:ascii="Times New Roman" w:hAnsi="Times New Roman" w:eastAsia="宋体" w:cs="Times New Roman"/>
          <w:color w:val="auto"/>
          <w:sz w:val="24"/>
          <w:szCs w:val="24"/>
          <w:highlight w:val="none"/>
          <w:lang w:eastAsia="zh-CN"/>
        </w:rPr>
        <w:t>。</w:t>
      </w:r>
    </w:p>
    <w:p>
      <w:pPr>
        <w:adjustRightInd w:val="0"/>
        <w:snapToGrid w:val="0"/>
        <w:spacing w:before="156" w:beforeLines="50" w:after="156" w:afterLines="50" w:line="360" w:lineRule="auto"/>
        <w:outlineLvl w:val="0"/>
        <w:rPr>
          <w:rFonts w:ascii="黑体" w:hAnsi="黑体" w:eastAsia="黑体"/>
          <w:b/>
          <w:bCs/>
          <w:sz w:val="28"/>
          <w:szCs w:val="28"/>
          <w:highlight w:val="none"/>
        </w:rPr>
      </w:pPr>
      <w:bookmarkStart w:id="22" w:name="_Toc22350"/>
      <w:r>
        <w:rPr>
          <w:rFonts w:ascii="黑体" w:hAnsi="黑体" w:eastAsia="黑体"/>
          <w:b/>
          <w:bCs/>
          <w:sz w:val="28"/>
          <w:szCs w:val="28"/>
          <w:highlight w:val="none"/>
        </w:rPr>
        <w:t>二、标准</w:t>
      </w:r>
      <w:r>
        <w:rPr>
          <w:rFonts w:hint="eastAsia" w:ascii="黑体" w:hAnsi="黑体" w:eastAsia="黑体"/>
          <w:b/>
          <w:bCs/>
          <w:sz w:val="28"/>
          <w:szCs w:val="28"/>
          <w:highlight w:val="none"/>
          <w:lang w:eastAsia="zh-CN"/>
        </w:rPr>
        <w:t>制定</w:t>
      </w:r>
      <w:r>
        <w:rPr>
          <w:rFonts w:ascii="黑体" w:hAnsi="黑体" w:eastAsia="黑体"/>
          <w:b/>
          <w:bCs/>
          <w:sz w:val="28"/>
          <w:szCs w:val="28"/>
          <w:highlight w:val="none"/>
        </w:rPr>
        <w:t>的原则和主要内容</w:t>
      </w:r>
      <w:bookmarkEnd w:id="22"/>
    </w:p>
    <w:p>
      <w:pPr>
        <w:adjustRightInd w:val="0"/>
        <w:snapToGrid w:val="0"/>
        <w:spacing w:before="156" w:beforeLines="50" w:after="156" w:afterLines="50" w:line="360" w:lineRule="auto"/>
        <w:jc w:val="left"/>
        <w:outlineLvl w:val="1"/>
        <w:rPr>
          <w:b/>
          <w:bCs/>
          <w:sz w:val="24"/>
          <w:highlight w:val="none"/>
        </w:rPr>
      </w:pPr>
      <w:bookmarkStart w:id="23" w:name="_Toc2615"/>
      <w:r>
        <w:rPr>
          <w:rFonts w:hint="eastAsia"/>
          <w:b/>
          <w:bCs/>
          <w:sz w:val="24"/>
          <w:highlight w:val="none"/>
        </w:rPr>
        <w:t>2.1</w:t>
      </w:r>
      <w:r>
        <w:rPr>
          <w:b/>
          <w:bCs/>
          <w:sz w:val="24"/>
          <w:highlight w:val="none"/>
        </w:rPr>
        <w:t>标准</w:t>
      </w:r>
      <w:r>
        <w:rPr>
          <w:rFonts w:hint="eastAsia"/>
          <w:b/>
          <w:bCs/>
          <w:sz w:val="24"/>
          <w:highlight w:val="none"/>
          <w:lang w:eastAsia="zh-CN"/>
        </w:rPr>
        <w:t>制定</w:t>
      </w:r>
      <w:r>
        <w:rPr>
          <w:rFonts w:hint="eastAsia"/>
          <w:b/>
          <w:bCs/>
          <w:sz w:val="24"/>
          <w:highlight w:val="none"/>
        </w:rPr>
        <w:t>的</w:t>
      </w:r>
      <w:r>
        <w:rPr>
          <w:b/>
          <w:bCs/>
          <w:sz w:val="24"/>
          <w:highlight w:val="none"/>
        </w:rPr>
        <w:t>原则</w:t>
      </w:r>
      <w:bookmarkEnd w:id="23"/>
    </w:p>
    <w:p>
      <w:pPr>
        <w:spacing w:line="360" w:lineRule="auto"/>
        <w:ind w:firstLine="480" w:firstLineChars="200"/>
        <w:rPr>
          <w:sz w:val="24"/>
          <w:highlight w:val="none"/>
        </w:rPr>
      </w:pPr>
      <w:r>
        <w:rPr>
          <w:rFonts w:hint="default"/>
          <w:sz w:val="24"/>
          <w:highlight w:val="none"/>
          <w:lang w:eastAsia="zh-CN"/>
        </w:rPr>
        <w:t>本规范</w:t>
      </w:r>
      <w:r>
        <w:rPr>
          <w:rFonts w:hint="default"/>
          <w:sz w:val="24"/>
          <w:highlight w:val="none"/>
        </w:rPr>
        <w:t>在编制过程中按照建设部的（建标【2008】182号）《工程建设标准编写规定》进行编写，</w:t>
      </w:r>
      <w:r>
        <w:rPr>
          <w:rFonts w:ascii="Times New Roman" w:hAnsi="Times New Roman" w:cs="Times New Roman"/>
          <w:kern w:val="0"/>
          <w:sz w:val="24"/>
          <w:szCs w:val="24"/>
          <w:highlight w:val="none"/>
        </w:rPr>
        <w:t>遵循标准编制先进性、科学性、一致性和可行性的原则。在编制过程中，以国家法律法规、技术政策为依据，以标准化工作导则为指导，参照国内外相关标准，在验证试验的基础上，采用成熟可行的技术指标及试验方法，使本标准具有良好的可操作性。</w:t>
      </w:r>
    </w:p>
    <w:p>
      <w:pPr>
        <w:adjustRightInd w:val="0"/>
        <w:snapToGrid w:val="0"/>
        <w:spacing w:before="156" w:beforeLines="50" w:after="156" w:afterLines="50" w:line="360" w:lineRule="auto"/>
        <w:jc w:val="left"/>
        <w:outlineLvl w:val="1"/>
        <w:rPr>
          <w:sz w:val="24"/>
          <w:highlight w:val="none"/>
        </w:rPr>
      </w:pPr>
      <w:bookmarkStart w:id="24" w:name="_Toc8393"/>
      <w:r>
        <w:rPr>
          <w:rFonts w:hint="eastAsia"/>
          <w:b/>
          <w:bCs/>
          <w:sz w:val="24"/>
          <w:highlight w:val="none"/>
        </w:rPr>
        <w:t>2.2</w:t>
      </w:r>
      <w:r>
        <w:rPr>
          <w:b/>
          <w:bCs/>
          <w:sz w:val="24"/>
          <w:highlight w:val="none"/>
        </w:rPr>
        <w:t>标准</w:t>
      </w:r>
      <w:r>
        <w:rPr>
          <w:rFonts w:hint="eastAsia"/>
          <w:b/>
          <w:bCs/>
          <w:sz w:val="24"/>
          <w:highlight w:val="none"/>
          <w:lang w:eastAsia="zh-CN"/>
        </w:rPr>
        <w:t>制定</w:t>
      </w:r>
      <w:r>
        <w:rPr>
          <w:rFonts w:hint="eastAsia"/>
          <w:b/>
          <w:bCs/>
          <w:sz w:val="24"/>
          <w:highlight w:val="none"/>
        </w:rPr>
        <w:t>的</w:t>
      </w:r>
      <w:r>
        <w:rPr>
          <w:b/>
          <w:bCs/>
          <w:sz w:val="24"/>
          <w:highlight w:val="none"/>
        </w:rPr>
        <w:t>主要内容</w:t>
      </w:r>
      <w:bookmarkEnd w:id="24"/>
    </w:p>
    <w:p>
      <w:pPr>
        <w:adjustRightInd w:val="0"/>
        <w:snapToGrid w:val="0"/>
        <w:spacing w:line="360" w:lineRule="auto"/>
        <w:ind w:firstLine="480" w:firstLineChars="200"/>
        <w:rPr>
          <w:sz w:val="24"/>
          <w:highlight w:val="none"/>
        </w:rPr>
      </w:pPr>
      <w:r>
        <w:rPr>
          <w:sz w:val="24"/>
          <w:highlight w:val="none"/>
        </w:rPr>
        <w:t>标准</w:t>
      </w:r>
      <w:r>
        <w:rPr>
          <w:rFonts w:hint="eastAsia"/>
          <w:sz w:val="24"/>
          <w:highlight w:val="none"/>
          <w:lang w:eastAsia="zh-CN"/>
        </w:rPr>
        <w:t>制定</w:t>
      </w:r>
      <w:r>
        <w:rPr>
          <w:sz w:val="24"/>
          <w:highlight w:val="none"/>
        </w:rPr>
        <w:t>的主要内容包括：1.</w:t>
      </w:r>
      <w:r>
        <w:rPr>
          <w:rFonts w:hint="eastAsia"/>
          <w:sz w:val="24"/>
          <w:highlight w:val="none"/>
        </w:rPr>
        <w:t>总则</w:t>
      </w:r>
      <w:r>
        <w:rPr>
          <w:sz w:val="24"/>
          <w:highlight w:val="none"/>
        </w:rPr>
        <w:t>；2.</w:t>
      </w:r>
      <w:r>
        <w:rPr>
          <w:rFonts w:hint="eastAsia"/>
          <w:sz w:val="24"/>
          <w:highlight w:val="none"/>
        </w:rPr>
        <w:t>术语</w:t>
      </w:r>
      <w:r>
        <w:rPr>
          <w:rFonts w:hint="eastAsia"/>
          <w:sz w:val="24"/>
          <w:highlight w:val="none"/>
          <w:lang w:val="en-US" w:eastAsia="zh-CN"/>
        </w:rPr>
        <w:t>和定义</w:t>
      </w:r>
      <w:r>
        <w:rPr>
          <w:sz w:val="24"/>
          <w:highlight w:val="none"/>
        </w:rPr>
        <w:t>；3.</w:t>
      </w:r>
      <w:r>
        <w:rPr>
          <w:rFonts w:hint="eastAsia"/>
          <w:sz w:val="24"/>
          <w:highlight w:val="none"/>
        </w:rPr>
        <w:t>原材料</w:t>
      </w:r>
      <w:r>
        <w:rPr>
          <w:sz w:val="24"/>
          <w:highlight w:val="none"/>
        </w:rPr>
        <w:t>；4.混凝土性能；5.配合比设计；6.施工；7.质量检验。</w:t>
      </w:r>
    </w:p>
    <w:p>
      <w:pPr>
        <w:numPr>
          <w:ilvl w:val="0"/>
          <w:numId w:val="7"/>
        </w:numPr>
        <w:adjustRightInd w:val="0"/>
        <w:snapToGrid w:val="0"/>
        <w:spacing w:line="360" w:lineRule="auto"/>
        <w:ind w:firstLine="480" w:firstLineChars="200"/>
        <w:rPr>
          <w:rFonts w:hint="default" w:eastAsia="宋体"/>
          <w:sz w:val="24"/>
          <w:highlight w:val="none"/>
          <w:lang w:val="en-US" w:eastAsia="zh-CN"/>
        </w:rPr>
      </w:pPr>
      <w:r>
        <w:rPr>
          <w:rFonts w:hint="eastAsia"/>
          <w:sz w:val="24"/>
          <w:highlight w:val="none"/>
          <w:lang w:val="en-US" w:eastAsia="zh-CN"/>
        </w:rPr>
        <w:t>总则</w:t>
      </w:r>
    </w:p>
    <w:p>
      <w:pPr>
        <w:keepNext w:val="0"/>
        <w:keepLines w:val="0"/>
        <w:pageBreakBefore w:val="0"/>
        <w:widowControl w:val="0"/>
        <w:tabs>
          <w:tab w:val="center" w:pos="4201"/>
          <w:tab w:val="right" w:leader="dot" w:pos="9298"/>
        </w:tabs>
        <w:kinsoku/>
        <w:wordWrap/>
        <w:overflowPunct/>
        <w:topLinePunct w:val="0"/>
        <w:autoSpaceDE/>
        <w:autoSpaceDN/>
        <w:bidi w:val="0"/>
        <w:adjustRightInd/>
        <w:snapToGrid/>
        <w:spacing w:line="360" w:lineRule="auto"/>
        <w:ind w:left="0" w:leftChars="0" w:firstLine="480" w:firstLineChars="200"/>
        <w:textAlignment w:val="auto"/>
        <w:rPr>
          <w:rFonts w:hint="default" w:eastAsia="宋体"/>
          <w:sz w:val="24"/>
          <w:highlight w:val="none"/>
          <w:lang w:val="en-US" w:eastAsia="zh-CN"/>
        </w:rPr>
      </w:pPr>
      <w:r>
        <w:rPr>
          <w:rFonts w:hint="default" w:eastAsia="宋体"/>
          <w:sz w:val="24"/>
          <w:highlight w:val="none"/>
          <w:lang w:val="en-US" w:eastAsia="zh-CN"/>
        </w:rPr>
        <w:t>总则主要提出编制该标准的目的、适用范围及</w:t>
      </w:r>
      <w:r>
        <w:rPr>
          <w:rFonts w:hint="eastAsia"/>
          <w:sz w:val="24"/>
          <w:highlight w:val="none"/>
          <w:lang w:val="en-US" w:eastAsia="zh-CN"/>
        </w:rPr>
        <w:t>钢渣粉</w:t>
      </w:r>
      <w:r>
        <w:rPr>
          <w:rFonts w:hint="default" w:eastAsia="宋体"/>
          <w:sz w:val="24"/>
          <w:highlight w:val="none"/>
          <w:lang w:val="en-US" w:eastAsia="zh-CN"/>
        </w:rPr>
        <w:t>混凝土应用</w:t>
      </w:r>
      <w:r>
        <w:rPr>
          <w:rFonts w:hint="eastAsia"/>
          <w:sz w:val="24"/>
          <w:highlight w:val="none"/>
          <w:lang w:val="en-US" w:eastAsia="zh-CN"/>
        </w:rPr>
        <w:t>要求</w:t>
      </w:r>
      <w:r>
        <w:rPr>
          <w:rFonts w:hint="default" w:eastAsia="宋体"/>
          <w:sz w:val="24"/>
          <w:highlight w:val="none"/>
          <w:lang w:val="en-US" w:eastAsia="zh-CN"/>
        </w:rPr>
        <w:t>及与其他标准的关系。</w:t>
      </w:r>
    </w:p>
    <w:p>
      <w:pPr>
        <w:keepNext w:val="0"/>
        <w:keepLines w:val="0"/>
        <w:pageBreakBefore w:val="0"/>
        <w:widowControl w:val="0"/>
        <w:tabs>
          <w:tab w:val="center" w:pos="4201"/>
          <w:tab w:val="right" w:leader="dot" w:pos="9298"/>
        </w:tabs>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矿物掺合料已经成为现代混凝土不可缺少的组份。随着我国基础设施建设的大规模开展，粉煤灰、矿渣粉等传统矿物掺合料在一些地区日益紧缺</w:t>
      </w:r>
      <w:r>
        <w:rPr>
          <w:rFonts w:hint="eastAsia"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采用</w:t>
      </w:r>
      <w:r>
        <w:rPr>
          <w:rFonts w:hint="eastAsia" w:cs="Times New Roman"/>
          <w:color w:val="auto"/>
          <w:sz w:val="24"/>
          <w:szCs w:val="24"/>
          <w:highlight w:val="none"/>
          <w:lang w:val="en-US" w:eastAsia="zh-CN"/>
        </w:rPr>
        <w:t>钢渣粉</w:t>
      </w:r>
      <w:r>
        <w:rPr>
          <w:rFonts w:hint="default" w:ascii="Times New Roman" w:hAnsi="Times New Roman" w:eastAsia="宋体" w:cs="Times New Roman"/>
          <w:color w:val="auto"/>
          <w:sz w:val="24"/>
          <w:szCs w:val="24"/>
          <w:highlight w:val="none"/>
        </w:rPr>
        <w:t>作为矿物掺合料，可以节约水泥用量、降低混凝土水化热及减小混凝土收缩等，技术性能优良，经济效益明显。但在此之前，我国尚没有标准对</w:t>
      </w:r>
      <w:r>
        <w:rPr>
          <w:rFonts w:hint="eastAsia" w:cs="Times New Roman"/>
          <w:color w:val="auto"/>
          <w:sz w:val="24"/>
          <w:szCs w:val="24"/>
          <w:highlight w:val="none"/>
          <w:lang w:val="en-US" w:eastAsia="zh-CN"/>
        </w:rPr>
        <w:t>钢渣粉</w:t>
      </w:r>
      <w:r>
        <w:rPr>
          <w:rFonts w:hint="default" w:ascii="Times New Roman" w:hAnsi="Times New Roman" w:eastAsia="宋体" w:cs="Times New Roman"/>
          <w:color w:val="auto"/>
          <w:sz w:val="24"/>
          <w:szCs w:val="24"/>
          <w:highlight w:val="none"/>
        </w:rPr>
        <w:t>在混凝土中的应用技术给予明确的规定</w:t>
      </w:r>
      <w:r>
        <w:rPr>
          <w:rFonts w:hint="default" w:ascii="Times New Roman" w:hAnsi="Times New Roman" w:eastAsia="宋体" w:cs="Times New Roman"/>
          <w:color w:val="auto"/>
          <w:sz w:val="24"/>
          <w:szCs w:val="24"/>
          <w:highlight w:val="none"/>
          <w:lang w:eastAsia="zh-CN"/>
        </w:rPr>
        <w:t>。</w:t>
      </w:r>
      <w:r>
        <w:rPr>
          <w:rFonts w:hint="default" w:ascii="Times New Roman" w:hAnsi="Times New Roman" w:eastAsia="宋体" w:cs="Times New Roman"/>
          <w:color w:val="auto"/>
          <w:sz w:val="24"/>
          <w:szCs w:val="24"/>
          <w:highlight w:val="none"/>
        </w:rPr>
        <w:t>编制本</w:t>
      </w:r>
      <w:r>
        <w:rPr>
          <w:rFonts w:hint="default" w:ascii="Times New Roman" w:hAnsi="Times New Roman" w:eastAsia="宋体" w:cs="Times New Roman"/>
          <w:color w:val="auto"/>
          <w:sz w:val="24"/>
          <w:szCs w:val="24"/>
          <w:highlight w:val="none"/>
          <w:lang w:val="en-US" w:eastAsia="zh-CN"/>
        </w:rPr>
        <w:t>规范</w:t>
      </w:r>
      <w:r>
        <w:rPr>
          <w:rFonts w:hint="default" w:ascii="Times New Roman" w:hAnsi="Times New Roman" w:eastAsia="宋体" w:cs="Times New Roman"/>
          <w:color w:val="auto"/>
          <w:sz w:val="24"/>
          <w:szCs w:val="24"/>
          <w:highlight w:val="none"/>
        </w:rPr>
        <w:t>的目的是进一步规范并促进</w:t>
      </w:r>
      <w:r>
        <w:rPr>
          <w:rFonts w:hint="eastAsia" w:cs="Times New Roman"/>
          <w:color w:val="auto"/>
          <w:sz w:val="24"/>
          <w:szCs w:val="24"/>
          <w:highlight w:val="none"/>
          <w:lang w:val="en-US" w:eastAsia="zh-CN"/>
        </w:rPr>
        <w:t>钢渣粉</w:t>
      </w:r>
      <w:r>
        <w:rPr>
          <w:rFonts w:hint="eastAsia" w:ascii="Times New Roman" w:hAnsi="Times New Roman" w:eastAsia="宋体" w:cs="Times New Roman"/>
          <w:color w:val="auto"/>
          <w:sz w:val="24"/>
          <w:szCs w:val="24"/>
          <w:highlight w:val="none"/>
          <w:lang w:eastAsia="zh-CN"/>
        </w:rPr>
        <w:t>混凝土</w:t>
      </w:r>
      <w:r>
        <w:rPr>
          <w:rFonts w:hint="default" w:ascii="Times New Roman" w:hAnsi="Times New Roman" w:eastAsia="宋体" w:cs="Times New Roman"/>
          <w:color w:val="auto"/>
          <w:sz w:val="24"/>
          <w:szCs w:val="24"/>
          <w:highlight w:val="none"/>
        </w:rPr>
        <w:t>应用技术的发展，在确保建设工程质量时，有统一的</w:t>
      </w:r>
      <w:r>
        <w:rPr>
          <w:rFonts w:hint="eastAsia" w:cs="Times New Roman"/>
          <w:color w:val="auto"/>
          <w:sz w:val="24"/>
          <w:szCs w:val="24"/>
          <w:highlight w:val="none"/>
          <w:lang w:val="en-US" w:eastAsia="zh-CN"/>
        </w:rPr>
        <w:t>钢渣粉</w:t>
      </w:r>
      <w:r>
        <w:rPr>
          <w:rFonts w:hint="eastAsia" w:ascii="Times New Roman" w:hAnsi="Times New Roman" w:eastAsia="宋体" w:cs="Times New Roman"/>
          <w:color w:val="auto"/>
          <w:sz w:val="24"/>
          <w:szCs w:val="24"/>
          <w:highlight w:val="none"/>
          <w:lang w:eastAsia="zh-CN"/>
        </w:rPr>
        <w:t>混凝土</w:t>
      </w:r>
      <w:r>
        <w:rPr>
          <w:rFonts w:hint="default" w:ascii="Times New Roman" w:hAnsi="Times New Roman" w:eastAsia="宋体" w:cs="Times New Roman"/>
          <w:color w:val="auto"/>
          <w:sz w:val="24"/>
          <w:szCs w:val="24"/>
          <w:highlight w:val="none"/>
        </w:rPr>
        <w:t>技术</w:t>
      </w:r>
      <w:r>
        <w:rPr>
          <w:rFonts w:hint="default" w:ascii="Times New Roman" w:hAnsi="Times New Roman" w:eastAsia="宋体" w:cs="Times New Roman"/>
          <w:color w:val="auto"/>
          <w:sz w:val="24"/>
          <w:szCs w:val="24"/>
          <w:highlight w:val="none"/>
          <w:lang w:eastAsia="zh-CN"/>
        </w:rPr>
        <w:t>规范</w:t>
      </w:r>
      <w:r>
        <w:rPr>
          <w:rFonts w:hint="default" w:ascii="Times New Roman" w:hAnsi="Times New Roman" w:eastAsia="宋体" w:cs="Times New Roman"/>
          <w:color w:val="auto"/>
          <w:sz w:val="24"/>
          <w:szCs w:val="24"/>
          <w:highlight w:val="none"/>
        </w:rPr>
        <w:t>作为依据，并做到安全</w:t>
      </w:r>
      <w:r>
        <w:rPr>
          <w:rFonts w:hint="eastAsia" w:ascii="Times New Roman" w:hAnsi="Times New Roman" w:eastAsia="宋体" w:cs="Times New Roman"/>
          <w:color w:val="auto"/>
          <w:sz w:val="24"/>
          <w:szCs w:val="24"/>
          <w:highlight w:val="none"/>
          <w:lang w:val="en-US" w:eastAsia="zh-CN"/>
        </w:rPr>
        <w:t>适用</w:t>
      </w:r>
      <w:r>
        <w:rPr>
          <w:rFonts w:hint="default" w:ascii="Times New Roman" w:hAnsi="Times New Roman" w:eastAsia="宋体" w:cs="Times New Roman"/>
          <w:color w:val="auto"/>
          <w:sz w:val="24"/>
          <w:szCs w:val="24"/>
          <w:highlight w:val="none"/>
        </w:rPr>
        <w:t>、技术先进、经济合理。</w:t>
      </w:r>
    </w:p>
    <w:p>
      <w:pPr>
        <w:keepNext w:val="0"/>
        <w:keepLines w:val="0"/>
        <w:pageBreakBefore w:val="0"/>
        <w:widowControl w:val="0"/>
        <w:tabs>
          <w:tab w:val="center" w:pos="4201"/>
          <w:tab w:val="right" w:leader="dot" w:pos="9298"/>
        </w:tabs>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lang w:val="en-US" w:eastAsia="zh-CN"/>
        </w:rPr>
        <w:t>本规范适用于将</w:t>
      </w:r>
      <w:r>
        <w:rPr>
          <w:rFonts w:hint="eastAsia" w:cs="Times New Roman"/>
          <w:color w:val="auto"/>
          <w:sz w:val="24"/>
          <w:szCs w:val="24"/>
          <w:highlight w:val="none"/>
          <w:lang w:val="en-US" w:eastAsia="zh-CN"/>
        </w:rPr>
        <w:t>钢渣粉</w:t>
      </w:r>
      <w:r>
        <w:rPr>
          <w:rFonts w:hint="default" w:ascii="Times New Roman" w:hAnsi="Times New Roman" w:eastAsia="宋体" w:cs="Times New Roman"/>
          <w:color w:val="auto"/>
          <w:sz w:val="24"/>
          <w:szCs w:val="24"/>
          <w:highlight w:val="none"/>
          <w:lang w:val="en-US" w:eastAsia="zh-CN"/>
        </w:rPr>
        <w:t>作为一种矿物掺合料外掺入混凝土的情况，适用于公路工程、水运工程、市政工程、铁路工程、工业与民用建筑等领域内的混凝土工程。对</w:t>
      </w:r>
      <w:r>
        <w:rPr>
          <w:rFonts w:hint="eastAsia" w:cs="Times New Roman"/>
          <w:color w:val="auto"/>
          <w:sz w:val="24"/>
          <w:szCs w:val="24"/>
          <w:highlight w:val="none"/>
          <w:lang w:val="en-US" w:eastAsia="zh-CN"/>
        </w:rPr>
        <w:t>钢渣粉</w:t>
      </w:r>
      <w:r>
        <w:rPr>
          <w:rFonts w:hint="default" w:ascii="Times New Roman" w:hAnsi="Times New Roman" w:eastAsia="宋体" w:cs="Times New Roman"/>
          <w:color w:val="auto"/>
          <w:sz w:val="24"/>
          <w:szCs w:val="24"/>
          <w:highlight w:val="none"/>
          <w:lang w:val="en-US" w:eastAsia="zh-CN"/>
        </w:rPr>
        <w:t>在混凝土中应用的配合比设计、施工、质量检验等内容进行了技术规定。</w:t>
      </w:r>
    </w:p>
    <w:p>
      <w:pPr>
        <w:keepNext w:val="0"/>
        <w:keepLines w:val="0"/>
        <w:pageBreakBefore w:val="0"/>
        <w:widowControl w:val="0"/>
        <w:tabs>
          <w:tab w:val="center" w:pos="4201"/>
          <w:tab w:val="right" w:leader="dot" w:pos="9298"/>
        </w:tabs>
        <w:kinsoku/>
        <w:wordWrap/>
        <w:overflowPunct/>
        <w:topLinePunct w:val="0"/>
        <w:autoSpaceDE/>
        <w:autoSpaceDN/>
        <w:bidi w:val="0"/>
        <w:adjustRightInd/>
        <w:snapToGrid/>
        <w:spacing w:line="360" w:lineRule="auto"/>
        <w:ind w:left="0" w:leftChars="0" w:firstLine="480" w:firstLineChars="200"/>
        <w:textAlignment w:val="auto"/>
        <w:rPr>
          <w:rFonts w:hint="default" w:ascii="Times New Roman" w:hAnsi="Times New Roman" w:eastAsia="宋体" w:cs="Times New Roman"/>
          <w:color w:val="auto"/>
          <w:sz w:val="24"/>
          <w:szCs w:val="24"/>
          <w:highlight w:val="none"/>
        </w:rPr>
      </w:pPr>
      <w:r>
        <w:rPr>
          <w:rFonts w:hint="eastAsia" w:cs="Times New Roman"/>
          <w:color w:val="auto"/>
          <w:sz w:val="24"/>
          <w:szCs w:val="24"/>
          <w:highlight w:val="none"/>
          <w:lang w:val="en-US" w:eastAsia="zh-CN"/>
        </w:rPr>
        <w:t>钢渣粉</w:t>
      </w:r>
      <w:r>
        <w:rPr>
          <w:rFonts w:hint="default" w:ascii="Times New Roman" w:hAnsi="Times New Roman" w:eastAsia="宋体" w:cs="Times New Roman"/>
          <w:color w:val="auto"/>
          <w:sz w:val="24"/>
          <w:szCs w:val="24"/>
          <w:highlight w:val="none"/>
          <w:lang w:val="en-US" w:eastAsia="zh-CN"/>
        </w:rPr>
        <w:t>在混凝土中的应用涉及不同工程类别及国家标准或行业标准，在使用中除应执行本规程外，还应按所属工程类别符合有关的现行国家和行业标准规范的规定。</w:t>
      </w:r>
    </w:p>
    <w:p>
      <w:pPr>
        <w:numPr>
          <w:ilvl w:val="0"/>
          <w:numId w:val="7"/>
        </w:numPr>
        <w:adjustRightInd w:val="0"/>
        <w:snapToGrid w:val="0"/>
        <w:spacing w:line="360" w:lineRule="auto"/>
        <w:ind w:firstLine="480" w:firstLineChars="200"/>
        <w:rPr>
          <w:rFonts w:hint="default" w:eastAsia="宋体"/>
          <w:sz w:val="24"/>
          <w:highlight w:val="none"/>
          <w:lang w:val="en-US" w:eastAsia="zh-CN"/>
        </w:rPr>
      </w:pPr>
      <w:r>
        <w:rPr>
          <w:rFonts w:hint="eastAsia" w:eastAsia="宋体"/>
          <w:sz w:val="24"/>
          <w:highlight w:val="none"/>
          <w:lang w:val="en-US" w:eastAsia="zh-CN"/>
        </w:rPr>
        <w:t>术语</w:t>
      </w:r>
    </w:p>
    <w:p>
      <w:pPr>
        <w:adjustRightInd w:val="0"/>
        <w:snapToGrid w:val="0"/>
        <w:spacing w:line="360" w:lineRule="auto"/>
        <w:ind w:firstLine="480" w:firstLineChars="200"/>
        <w:rPr>
          <w:rFonts w:hint="eastAsia" w:ascii="Times New Roman" w:hAnsi="Times New Roman" w:eastAsia="宋体" w:cs="宋体"/>
          <w:color w:val="000000"/>
          <w:sz w:val="24"/>
          <w:szCs w:val="24"/>
          <w:highlight w:val="none"/>
          <w:lang w:val="en-US" w:eastAsia="zh-CN"/>
        </w:rPr>
      </w:pPr>
      <w:r>
        <w:rPr>
          <w:rFonts w:hint="eastAsia"/>
          <w:sz w:val="24"/>
          <w:highlight w:val="none"/>
          <w:lang w:val="en-US" w:eastAsia="zh-CN"/>
        </w:rPr>
        <w:t>对钢渣、钢渣粉</w:t>
      </w:r>
      <w:r>
        <w:rPr>
          <w:rFonts w:hint="eastAsia" w:ascii="Times New Roman" w:hAnsi="Times New Roman" w:eastAsia="宋体" w:cs="宋体"/>
          <w:color w:val="000000"/>
          <w:sz w:val="24"/>
          <w:szCs w:val="24"/>
          <w:highlight w:val="none"/>
          <w:lang w:val="en-US" w:eastAsia="zh-CN"/>
        </w:rPr>
        <w:t>、矿物掺合料的术语进行定义。</w:t>
      </w:r>
    </w:p>
    <w:p>
      <w:pPr>
        <w:adjustRightInd w:val="0"/>
        <w:snapToGrid w:val="0"/>
        <w:spacing w:line="360" w:lineRule="auto"/>
        <w:ind w:firstLine="480" w:firstLineChars="200"/>
        <w:rPr>
          <w:rFonts w:hint="eastAsia" w:ascii="Times New Roman" w:hAnsi="Times New Roman" w:eastAsia="宋体" w:cs="宋体"/>
          <w:color w:val="000000"/>
          <w:sz w:val="24"/>
          <w:szCs w:val="24"/>
          <w:highlight w:val="none"/>
          <w:lang w:val="en-US" w:eastAsia="zh-CN"/>
        </w:rPr>
      </w:pPr>
      <w:bookmarkStart w:id="25" w:name="_Toc12529"/>
      <w:bookmarkStart w:id="26" w:name="_Toc177"/>
      <w:bookmarkStart w:id="27" w:name="_Toc13027"/>
      <w:r>
        <w:rPr>
          <w:rFonts w:hint="eastAsia" w:ascii="Times New Roman" w:hAnsi="Times New Roman" w:eastAsia="宋体" w:cs="宋体"/>
          <w:color w:val="000000"/>
          <w:sz w:val="24"/>
          <w:szCs w:val="24"/>
          <w:highlight w:val="none"/>
          <w:lang w:val="en-US" w:eastAsia="zh-CN"/>
        </w:rPr>
        <w:t>2.0.1  钢渣 steel slag</w:t>
      </w:r>
    </w:p>
    <w:p>
      <w:pPr>
        <w:adjustRightInd w:val="0"/>
        <w:snapToGrid w:val="0"/>
        <w:spacing w:line="360" w:lineRule="auto"/>
        <w:ind w:firstLine="480" w:firstLineChars="200"/>
        <w:rPr>
          <w:rFonts w:hint="eastAsia" w:ascii="Times New Roman" w:hAnsi="Times New Roman" w:eastAsia="宋体" w:cs="宋体"/>
          <w:color w:val="000000"/>
          <w:sz w:val="24"/>
          <w:szCs w:val="24"/>
          <w:highlight w:val="none"/>
          <w:lang w:val="en-US" w:eastAsia="zh-CN"/>
        </w:rPr>
      </w:pPr>
      <w:r>
        <w:rPr>
          <w:rFonts w:hint="eastAsia" w:ascii="Times New Roman" w:hAnsi="Times New Roman" w:eastAsia="宋体" w:cs="宋体"/>
          <w:color w:val="000000"/>
          <w:sz w:val="24"/>
          <w:szCs w:val="24"/>
          <w:highlight w:val="none"/>
          <w:lang w:val="en-US" w:eastAsia="zh-CN"/>
        </w:rPr>
        <w:t>钢铁企业转炉炼钢或电炉炼钢生产过程排放的副产物。</w:t>
      </w:r>
    </w:p>
    <w:p>
      <w:pPr>
        <w:adjustRightInd w:val="0"/>
        <w:snapToGrid w:val="0"/>
        <w:spacing w:line="360" w:lineRule="auto"/>
        <w:ind w:firstLine="480" w:firstLineChars="200"/>
        <w:rPr>
          <w:rFonts w:hint="eastAsia" w:ascii="Times New Roman" w:hAnsi="Times New Roman" w:eastAsia="宋体" w:cs="宋体"/>
          <w:color w:val="000000"/>
          <w:sz w:val="24"/>
          <w:szCs w:val="24"/>
          <w:highlight w:val="none"/>
          <w:lang w:val="en-US" w:eastAsia="zh-CN"/>
        </w:rPr>
      </w:pPr>
      <w:r>
        <w:rPr>
          <w:rFonts w:hint="eastAsia" w:ascii="Times New Roman" w:hAnsi="Times New Roman" w:eastAsia="宋体" w:cs="宋体"/>
          <w:color w:val="000000"/>
          <w:sz w:val="24"/>
          <w:szCs w:val="24"/>
          <w:highlight w:val="none"/>
          <w:lang w:val="en-US" w:eastAsia="zh-CN"/>
        </w:rPr>
        <w:t>2.0.2  钢渣粉 steel slag powder</w:t>
      </w:r>
    </w:p>
    <w:p>
      <w:pPr>
        <w:adjustRightInd w:val="0"/>
        <w:snapToGrid w:val="0"/>
        <w:spacing w:line="360" w:lineRule="auto"/>
        <w:ind w:firstLine="480" w:firstLineChars="200"/>
        <w:rPr>
          <w:rFonts w:hint="eastAsia" w:ascii="Times New Roman" w:hAnsi="Times New Roman" w:eastAsia="宋体" w:cs="宋体"/>
          <w:color w:val="000000"/>
          <w:sz w:val="24"/>
          <w:szCs w:val="24"/>
          <w:highlight w:val="none"/>
          <w:lang w:val="en-US" w:eastAsia="zh-CN"/>
        </w:rPr>
      </w:pPr>
      <w:r>
        <w:rPr>
          <w:rFonts w:hint="eastAsia" w:ascii="Times New Roman" w:hAnsi="Times New Roman" w:eastAsia="宋体" w:cs="宋体"/>
          <w:color w:val="000000"/>
          <w:sz w:val="24"/>
          <w:szCs w:val="24"/>
          <w:highlight w:val="none"/>
          <w:lang w:val="en-US" w:eastAsia="zh-CN"/>
        </w:rPr>
        <w:t>钢渣经稳定化处理后粉磨或分选、除铁至规定细度的粉体材料。</w:t>
      </w:r>
    </w:p>
    <w:p>
      <w:pPr>
        <w:adjustRightInd w:val="0"/>
        <w:snapToGrid w:val="0"/>
        <w:spacing w:line="360" w:lineRule="auto"/>
        <w:ind w:firstLine="480" w:firstLineChars="200"/>
        <w:rPr>
          <w:rFonts w:hint="eastAsia" w:ascii="Times New Roman" w:hAnsi="Times New Roman" w:eastAsia="宋体" w:cs="宋体"/>
          <w:color w:val="000000"/>
          <w:sz w:val="24"/>
          <w:szCs w:val="24"/>
          <w:highlight w:val="none"/>
          <w:lang w:val="en-US" w:eastAsia="zh-CN"/>
        </w:rPr>
      </w:pPr>
      <w:r>
        <w:rPr>
          <w:rFonts w:hint="eastAsia" w:ascii="Times New Roman" w:hAnsi="Times New Roman" w:eastAsia="宋体" w:cs="宋体"/>
          <w:color w:val="000000"/>
          <w:sz w:val="24"/>
          <w:szCs w:val="24"/>
          <w:highlight w:val="none"/>
          <w:lang w:val="en-US" w:eastAsia="zh-CN"/>
        </w:rPr>
        <w:t>2.0.3  矿物掺合料 mineral admixture</w:t>
      </w:r>
    </w:p>
    <w:bookmarkEnd w:id="25"/>
    <w:bookmarkEnd w:id="26"/>
    <w:bookmarkEnd w:id="27"/>
    <w:p>
      <w:pPr>
        <w:adjustRightInd w:val="0"/>
        <w:snapToGrid w:val="0"/>
        <w:spacing w:line="360" w:lineRule="auto"/>
        <w:ind w:firstLine="480" w:firstLineChars="200"/>
        <w:rPr>
          <w:rFonts w:hint="default" w:ascii="Times New Roman" w:hAnsi="Times New Roman" w:eastAsia="宋体" w:cs="Times New Roman"/>
          <w:b w:val="0"/>
          <w:bCs w:val="0"/>
          <w:i w:val="0"/>
          <w:iCs w:val="0"/>
          <w:caps w:val="0"/>
          <w:spacing w:val="0"/>
          <w:kern w:val="2"/>
          <w:sz w:val="24"/>
          <w:szCs w:val="24"/>
          <w:highlight w:val="none"/>
          <w:shd w:val="clear" w:color="auto" w:fill="FFFFFF"/>
          <w:lang w:val="en-US" w:eastAsia="zh-CN" w:bidi="ar-SA"/>
        </w:rPr>
      </w:pPr>
      <w:r>
        <w:rPr>
          <w:rFonts w:hint="default" w:ascii="Times New Roman" w:hAnsi="Times New Roman" w:eastAsia="宋体" w:cs="Times New Roman"/>
          <w:b w:val="0"/>
          <w:bCs w:val="0"/>
          <w:i w:val="0"/>
          <w:iCs w:val="0"/>
          <w:caps w:val="0"/>
          <w:spacing w:val="0"/>
          <w:kern w:val="2"/>
          <w:sz w:val="24"/>
          <w:szCs w:val="24"/>
          <w:highlight w:val="none"/>
          <w:shd w:val="clear" w:color="auto" w:fill="FFFFFF"/>
          <w:lang w:val="en-US" w:eastAsia="zh-CN" w:bidi="ar-SA"/>
        </w:rPr>
        <w:t>以硅、铝、钙等一种或多种氧化物为主要成分，掺入混凝土中能改善混凝土性能的粉体材料。</w:t>
      </w:r>
    </w:p>
    <w:p>
      <w:pPr>
        <w:adjustRightInd w:val="0"/>
        <w:snapToGrid w:val="0"/>
        <w:spacing w:line="360" w:lineRule="auto"/>
        <w:ind w:firstLine="480" w:firstLineChars="200"/>
        <w:rPr>
          <w:rFonts w:hint="default" w:ascii="Times New Roman" w:hAnsi="Times New Roman" w:eastAsia="宋体" w:cs="Times New Roman"/>
          <w:b w:val="0"/>
          <w:bCs w:val="0"/>
          <w:i w:val="0"/>
          <w:iCs w:val="0"/>
          <w:caps w:val="0"/>
          <w:spacing w:val="0"/>
          <w:kern w:val="2"/>
          <w:sz w:val="24"/>
          <w:szCs w:val="24"/>
          <w:highlight w:val="none"/>
          <w:shd w:val="clear" w:color="auto" w:fill="FFFFFF"/>
          <w:lang w:val="en-US" w:eastAsia="zh-CN" w:bidi="ar-SA"/>
        </w:rPr>
      </w:pPr>
      <w:r>
        <w:rPr>
          <w:rFonts w:hint="default" w:ascii="Times New Roman" w:hAnsi="Times New Roman" w:eastAsia="宋体" w:cs="Times New Roman"/>
          <w:b w:val="0"/>
          <w:bCs w:val="0"/>
          <w:i w:val="0"/>
          <w:iCs w:val="0"/>
          <w:caps w:val="0"/>
          <w:spacing w:val="0"/>
          <w:kern w:val="2"/>
          <w:sz w:val="24"/>
          <w:szCs w:val="24"/>
          <w:highlight w:val="none"/>
          <w:shd w:val="clear" w:color="auto" w:fill="FFFFFF"/>
          <w:lang w:val="en-US" w:eastAsia="zh-CN" w:bidi="ar-SA"/>
        </w:rPr>
        <w:t>现行国家标准《矿物掺合料应用技术规范》GB/T 51003规定了矿物掺合料的术语和定义，本术语参照该标准进行规定。</w:t>
      </w:r>
    </w:p>
    <w:p>
      <w:pPr>
        <w:numPr>
          <w:ilvl w:val="0"/>
          <w:numId w:val="7"/>
        </w:numPr>
        <w:adjustRightInd w:val="0"/>
        <w:snapToGrid w:val="0"/>
        <w:spacing w:line="360" w:lineRule="auto"/>
        <w:ind w:firstLine="480" w:firstLineChars="200"/>
        <w:rPr>
          <w:rFonts w:hint="default" w:eastAsia="宋体"/>
          <w:sz w:val="24"/>
          <w:highlight w:val="none"/>
          <w:lang w:val="en-US" w:eastAsia="zh-CN"/>
        </w:rPr>
      </w:pPr>
      <w:r>
        <w:rPr>
          <w:rFonts w:hint="eastAsia" w:eastAsia="宋体"/>
          <w:sz w:val="24"/>
          <w:highlight w:val="none"/>
          <w:lang w:val="en-US" w:eastAsia="zh-CN"/>
        </w:rPr>
        <w:t>原材料</w:t>
      </w:r>
    </w:p>
    <w:p>
      <w:pPr>
        <w:keepNext w:val="0"/>
        <w:keepLines w:val="0"/>
        <w:pageBreakBefore w:val="0"/>
        <w:widowControl w:val="0"/>
        <w:numPr>
          <w:ilvl w:val="1"/>
          <w:numId w:val="7"/>
        </w:numPr>
        <w:kinsoku/>
        <w:wordWrap/>
        <w:overflowPunct/>
        <w:topLinePunct w:val="0"/>
        <w:autoSpaceDE/>
        <w:autoSpaceDN/>
        <w:bidi w:val="0"/>
        <w:adjustRightInd w:val="0"/>
        <w:snapToGrid w:val="0"/>
        <w:spacing w:line="360" w:lineRule="auto"/>
        <w:ind w:firstLine="480" w:firstLineChars="200"/>
        <w:textAlignment w:val="auto"/>
        <w:rPr>
          <w:rFonts w:hint="default" w:eastAsia="宋体"/>
          <w:sz w:val="24"/>
          <w:highlight w:val="none"/>
          <w:u w:val="none"/>
          <w:lang w:val="en-US" w:eastAsia="zh-CN"/>
        </w:rPr>
      </w:pPr>
      <w:r>
        <w:rPr>
          <w:rFonts w:hint="eastAsia" w:eastAsia="宋体"/>
          <w:sz w:val="24"/>
          <w:szCs w:val="24"/>
          <w:highlight w:val="none"/>
          <w:u w:val="none"/>
          <w:lang w:val="en-US" w:eastAsia="zh-CN"/>
        </w:rPr>
        <w:t>根据调研及验证试验结果，提出</w:t>
      </w:r>
      <w:r>
        <w:rPr>
          <w:rFonts w:hint="eastAsia"/>
          <w:sz w:val="24"/>
          <w:szCs w:val="24"/>
          <w:highlight w:val="none"/>
          <w:u w:val="none"/>
          <w:lang w:val="en-US" w:eastAsia="zh-CN"/>
        </w:rPr>
        <w:t>钢渣粉</w:t>
      </w:r>
      <w:r>
        <w:rPr>
          <w:rFonts w:hint="eastAsia" w:eastAsia="宋体"/>
          <w:sz w:val="24"/>
          <w:szCs w:val="24"/>
          <w:highlight w:val="none"/>
          <w:u w:val="none"/>
          <w:lang w:val="en-US" w:eastAsia="zh-CN"/>
        </w:rPr>
        <w:t>的技术指标（</w:t>
      </w:r>
      <w:r>
        <w:rPr>
          <w:rFonts w:hint="eastAsia" w:cs="Times New Roman"/>
          <w:color w:val="000000"/>
          <w:sz w:val="24"/>
          <w:szCs w:val="24"/>
          <w:highlight w:val="none"/>
          <w:u w:val="none"/>
          <w:lang w:val="en-US" w:eastAsia="zh-CN"/>
        </w:rPr>
        <w:t>比表面积、活性指数</w:t>
      </w:r>
      <w:r>
        <w:rPr>
          <w:rFonts w:hint="eastAsia" w:ascii="Times New Roman" w:hAnsi="Times New Roman" w:eastAsia="宋体" w:cs="Times New Roman"/>
          <w:color w:val="000000"/>
          <w:sz w:val="24"/>
          <w:szCs w:val="24"/>
          <w:highlight w:val="none"/>
          <w:u w:val="none"/>
          <w:lang w:eastAsia="zh-CN"/>
        </w:rPr>
        <w:t>、</w:t>
      </w:r>
      <w:r>
        <w:rPr>
          <w:rFonts w:hint="default" w:ascii="Times New Roman" w:hAnsi="Times New Roman" w:eastAsia="宋体" w:cs="Times New Roman"/>
          <w:color w:val="000000"/>
          <w:sz w:val="24"/>
          <w:szCs w:val="24"/>
          <w:highlight w:val="none"/>
          <w:u w:val="none"/>
        </w:rPr>
        <w:t>流动度比</w:t>
      </w:r>
      <w:r>
        <w:rPr>
          <w:rFonts w:hint="eastAsia" w:ascii="Times New Roman" w:hAnsi="Times New Roman" w:eastAsia="宋体" w:cs="Times New Roman"/>
          <w:color w:val="000000"/>
          <w:sz w:val="24"/>
          <w:szCs w:val="24"/>
          <w:highlight w:val="none"/>
          <w:u w:val="none"/>
          <w:lang w:eastAsia="zh-CN"/>
        </w:rPr>
        <w:t>、</w:t>
      </w:r>
      <w:r>
        <w:rPr>
          <w:rFonts w:hint="eastAsia" w:cs="Times New Roman"/>
          <w:color w:val="000000"/>
          <w:sz w:val="24"/>
          <w:szCs w:val="24"/>
          <w:highlight w:val="none"/>
          <w:u w:val="none"/>
          <w:lang w:val="en-US" w:eastAsia="zh-CN"/>
        </w:rPr>
        <w:t>含水量</w:t>
      </w:r>
      <w:r>
        <w:rPr>
          <w:rFonts w:hint="eastAsia" w:ascii="Times New Roman" w:hAnsi="Times New Roman" w:eastAsia="宋体" w:cs="Times New Roman"/>
          <w:color w:val="000000"/>
          <w:sz w:val="24"/>
          <w:szCs w:val="24"/>
          <w:highlight w:val="none"/>
          <w:u w:val="none"/>
          <w:lang w:val="en-US" w:eastAsia="zh-CN"/>
        </w:rPr>
        <w:t>、</w:t>
      </w:r>
      <w:r>
        <w:rPr>
          <w:rFonts w:hint="eastAsia" w:cs="Times New Roman"/>
          <w:color w:val="000000"/>
          <w:sz w:val="24"/>
          <w:szCs w:val="24"/>
          <w:highlight w:val="none"/>
          <w:u w:val="none"/>
          <w:lang w:val="en-US" w:eastAsia="zh-CN"/>
        </w:rPr>
        <w:t>密度、金属铁含量、氯离子含量</w:t>
      </w:r>
      <w:r>
        <w:rPr>
          <w:rFonts w:hint="eastAsia" w:ascii="Times New Roman" w:hAnsi="Times New Roman" w:eastAsia="宋体" w:cs="Times New Roman"/>
          <w:color w:val="000000"/>
          <w:sz w:val="24"/>
          <w:szCs w:val="24"/>
          <w:highlight w:val="none"/>
          <w:u w:val="none"/>
          <w:lang w:eastAsia="zh-CN"/>
        </w:rPr>
        <w:t>、</w:t>
      </w:r>
      <w:r>
        <w:rPr>
          <w:rFonts w:hint="default" w:ascii="Times New Roman" w:hAnsi="Times New Roman" w:eastAsia="宋体" w:cs="Times New Roman"/>
          <w:color w:val="000000"/>
          <w:sz w:val="24"/>
          <w:szCs w:val="24"/>
          <w:highlight w:val="none"/>
          <w:u w:val="none"/>
        </w:rPr>
        <w:t>三氧化硫含量</w:t>
      </w:r>
      <w:r>
        <w:rPr>
          <w:rFonts w:hint="eastAsia" w:ascii="Times New Roman" w:hAnsi="Times New Roman" w:eastAsia="宋体" w:cs="Times New Roman"/>
          <w:color w:val="000000"/>
          <w:sz w:val="24"/>
          <w:szCs w:val="24"/>
          <w:highlight w:val="none"/>
          <w:u w:val="none"/>
          <w:lang w:eastAsia="zh-CN"/>
        </w:rPr>
        <w:t>、</w:t>
      </w:r>
      <w:r>
        <w:rPr>
          <w:rFonts w:hint="eastAsia" w:cs="Times New Roman"/>
          <w:color w:val="000000"/>
          <w:sz w:val="24"/>
          <w:szCs w:val="24"/>
          <w:highlight w:val="none"/>
          <w:u w:val="none"/>
          <w:lang w:val="en-US" w:eastAsia="zh-CN"/>
        </w:rPr>
        <w:t>游离氧化钙含量</w:t>
      </w:r>
      <w:r>
        <w:rPr>
          <w:rFonts w:hint="eastAsia" w:ascii="Times New Roman" w:hAnsi="Times New Roman" w:eastAsia="宋体" w:cs="Times New Roman"/>
          <w:color w:val="000000"/>
          <w:sz w:val="24"/>
          <w:szCs w:val="24"/>
          <w:highlight w:val="none"/>
          <w:u w:val="none"/>
          <w:lang w:eastAsia="zh-CN"/>
        </w:rPr>
        <w:t>、</w:t>
      </w:r>
      <w:r>
        <w:rPr>
          <w:rFonts w:hint="eastAsia" w:cs="Times New Roman"/>
          <w:color w:val="000000"/>
          <w:sz w:val="24"/>
          <w:szCs w:val="24"/>
          <w:highlight w:val="none"/>
          <w:u w:val="none"/>
          <w:lang w:val="en-US" w:eastAsia="zh-CN"/>
        </w:rPr>
        <w:t>安定性</w:t>
      </w:r>
      <w:r>
        <w:rPr>
          <w:rFonts w:hint="eastAsia" w:eastAsia="宋体"/>
          <w:sz w:val="24"/>
          <w:szCs w:val="24"/>
          <w:highlight w:val="none"/>
          <w:u w:val="none"/>
          <w:lang w:val="en-US" w:eastAsia="zh-CN"/>
        </w:rPr>
        <w:t>）。</w:t>
      </w:r>
    </w:p>
    <w:tbl>
      <w:tblPr>
        <w:tblStyle w:val="17"/>
        <w:tblW w:w="4601" w:type="pct"/>
        <w:jc w:val="center"/>
        <w:tblLayout w:type="autofit"/>
        <w:tblCellMar>
          <w:top w:w="0" w:type="dxa"/>
          <w:left w:w="108" w:type="dxa"/>
          <w:bottom w:w="0" w:type="dxa"/>
          <w:right w:w="108" w:type="dxa"/>
        </w:tblCellMar>
      </w:tblPr>
      <w:tblGrid>
        <w:gridCol w:w="1175"/>
        <w:gridCol w:w="1172"/>
        <w:gridCol w:w="1395"/>
        <w:gridCol w:w="1398"/>
        <w:gridCol w:w="2707"/>
      </w:tblGrid>
      <w:tr>
        <w:tblPrEx>
          <w:tblCellMar>
            <w:top w:w="0" w:type="dxa"/>
            <w:left w:w="108" w:type="dxa"/>
            <w:bottom w:w="0" w:type="dxa"/>
            <w:right w:w="108" w:type="dxa"/>
          </w:tblCellMar>
        </w:tblPrEx>
        <w:trPr>
          <w:trHeight w:val="454" w:hRule="exact"/>
          <w:jc w:val="center"/>
        </w:trPr>
        <w:tc>
          <w:tcPr>
            <w:tcW w:w="1496" w:type="pct"/>
            <w:gridSpan w:val="2"/>
            <w:vMerge w:val="restart"/>
            <w:tcBorders>
              <w:top w:val="single" w:color="000000" w:sz="4" w:space="0"/>
              <w:left w:val="single" w:color="000000" w:sz="4" w:space="0"/>
              <w:right w:val="single" w:color="000000" w:sz="4" w:space="0"/>
            </w:tcBorders>
            <w:vAlign w:val="center"/>
          </w:tcPr>
          <w:p>
            <w:pPr>
              <w:widowControl/>
              <w:tabs>
                <w:tab w:val="center" w:pos="4201"/>
                <w:tab w:val="right" w:leader="dot" w:pos="9298"/>
              </w:tabs>
              <w:autoSpaceDE w:val="0"/>
              <w:autoSpaceDN w:val="0"/>
              <w:ind w:firstLine="29" w:firstLineChars="14"/>
              <w:jc w:val="center"/>
              <w:rPr>
                <w:color w:val="000000"/>
                <w:kern w:val="0"/>
              </w:rPr>
            </w:pPr>
            <w:bookmarkStart w:id="28" w:name="OLE_LINK1"/>
            <w:r>
              <w:rPr>
                <w:color w:val="000000"/>
                <w:kern w:val="0"/>
              </w:rPr>
              <w:t>项目</w:t>
            </w:r>
          </w:p>
        </w:tc>
        <w:tc>
          <w:tcPr>
            <w:tcW w:w="1780" w:type="pct"/>
            <w:gridSpan w:val="2"/>
            <w:tcBorders>
              <w:top w:val="single" w:color="000000" w:sz="4" w:space="0"/>
              <w:left w:val="nil"/>
              <w:bottom w:val="single" w:color="000000" w:sz="4" w:space="0"/>
              <w:right w:val="single" w:color="000000" w:sz="4" w:space="0"/>
            </w:tcBorders>
            <w:vAlign w:val="center"/>
          </w:tcPr>
          <w:p>
            <w:pPr>
              <w:widowControl/>
              <w:tabs>
                <w:tab w:val="center" w:pos="4201"/>
                <w:tab w:val="right" w:leader="dot" w:pos="9298"/>
              </w:tabs>
              <w:autoSpaceDE w:val="0"/>
              <w:autoSpaceDN w:val="0"/>
              <w:ind w:firstLine="29" w:firstLineChars="14"/>
              <w:jc w:val="center"/>
              <w:rPr>
                <w:color w:val="000000"/>
                <w:kern w:val="0"/>
              </w:rPr>
            </w:pPr>
            <w:r>
              <w:rPr>
                <w:color w:val="000000"/>
                <w:kern w:val="0"/>
              </w:rPr>
              <w:t>技术指标</w:t>
            </w:r>
          </w:p>
        </w:tc>
        <w:tc>
          <w:tcPr>
            <w:tcW w:w="1723" w:type="pct"/>
            <w:vMerge w:val="restart"/>
            <w:tcBorders>
              <w:top w:val="single" w:color="000000" w:sz="4" w:space="0"/>
              <w:left w:val="nil"/>
              <w:right w:val="single" w:color="000000" w:sz="4" w:space="0"/>
            </w:tcBorders>
            <w:vAlign w:val="center"/>
          </w:tcPr>
          <w:p>
            <w:pPr>
              <w:widowControl/>
              <w:tabs>
                <w:tab w:val="center" w:pos="4201"/>
                <w:tab w:val="right" w:leader="dot" w:pos="9298"/>
              </w:tabs>
              <w:autoSpaceDE w:val="0"/>
              <w:autoSpaceDN w:val="0"/>
              <w:ind w:firstLine="29" w:firstLineChars="14"/>
              <w:jc w:val="center"/>
              <w:rPr>
                <w:color w:val="000000"/>
                <w:kern w:val="0"/>
              </w:rPr>
            </w:pPr>
            <w:r>
              <w:rPr>
                <w:color w:val="000000"/>
                <w:kern w:val="0"/>
              </w:rPr>
              <w:t>测试方法</w:t>
            </w:r>
          </w:p>
        </w:tc>
      </w:tr>
      <w:tr>
        <w:tblPrEx>
          <w:tblCellMar>
            <w:top w:w="0" w:type="dxa"/>
            <w:left w:w="108" w:type="dxa"/>
            <w:bottom w:w="0" w:type="dxa"/>
            <w:right w:w="108" w:type="dxa"/>
          </w:tblCellMar>
        </w:tblPrEx>
        <w:trPr>
          <w:trHeight w:val="454" w:hRule="exact"/>
          <w:jc w:val="center"/>
        </w:trPr>
        <w:tc>
          <w:tcPr>
            <w:tcW w:w="1496" w:type="pct"/>
            <w:gridSpan w:val="2"/>
            <w:vMerge w:val="continue"/>
            <w:tcBorders>
              <w:left w:val="single" w:color="000000" w:sz="4" w:space="0"/>
              <w:right w:val="single" w:color="000000" w:sz="4" w:space="0"/>
            </w:tcBorders>
            <w:vAlign w:val="center"/>
          </w:tcPr>
          <w:p>
            <w:pPr>
              <w:widowControl/>
              <w:tabs>
                <w:tab w:val="center" w:pos="4201"/>
                <w:tab w:val="right" w:leader="dot" w:pos="9298"/>
              </w:tabs>
              <w:autoSpaceDE w:val="0"/>
              <w:autoSpaceDN w:val="0"/>
              <w:ind w:firstLine="29" w:firstLineChars="14"/>
              <w:jc w:val="center"/>
              <w:rPr>
                <w:color w:val="000000"/>
                <w:kern w:val="0"/>
              </w:rPr>
            </w:pPr>
          </w:p>
        </w:tc>
        <w:tc>
          <w:tcPr>
            <w:tcW w:w="889" w:type="pct"/>
            <w:tcBorders>
              <w:top w:val="single" w:color="000000" w:sz="4" w:space="0"/>
              <w:left w:val="nil"/>
              <w:bottom w:val="single" w:color="000000" w:sz="4" w:space="0"/>
              <w:right w:val="single" w:color="000000" w:sz="4" w:space="0"/>
            </w:tcBorders>
            <w:vAlign w:val="center"/>
          </w:tcPr>
          <w:p>
            <w:pPr>
              <w:widowControl/>
              <w:tabs>
                <w:tab w:val="center" w:pos="4201"/>
                <w:tab w:val="right" w:leader="dot" w:pos="9298"/>
              </w:tabs>
              <w:autoSpaceDE w:val="0"/>
              <w:autoSpaceDN w:val="0"/>
              <w:ind w:firstLine="29" w:firstLineChars="14"/>
              <w:jc w:val="center"/>
              <w:rPr>
                <w:rFonts w:hint="eastAsia" w:eastAsia="宋体"/>
                <w:color w:val="000000"/>
                <w:kern w:val="0"/>
                <w:lang w:val="en-US" w:eastAsia="zh-CN"/>
              </w:rPr>
            </w:pPr>
            <w:r>
              <w:rPr>
                <w:rFonts w:hint="eastAsia" w:ascii="宋体" w:hAnsi="宋体" w:eastAsia="宋体" w:cs="宋体"/>
                <w:color w:val="000000"/>
                <w:kern w:val="0"/>
                <w:lang w:val="en-US" w:eastAsia="zh-CN"/>
              </w:rPr>
              <w:t>Ⅰ</w:t>
            </w:r>
            <w:r>
              <w:rPr>
                <w:rFonts w:hint="eastAsia"/>
                <w:color w:val="000000"/>
                <w:kern w:val="0"/>
                <w:lang w:val="en-US" w:eastAsia="zh-CN"/>
              </w:rPr>
              <w:t>级</w:t>
            </w:r>
          </w:p>
        </w:tc>
        <w:tc>
          <w:tcPr>
            <w:tcW w:w="891" w:type="pct"/>
            <w:tcBorders>
              <w:top w:val="single" w:color="000000" w:sz="4" w:space="0"/>
              <w:left w:val="nil"/>
              <w:bottom w:val="single" w:color="000000" w:sz="4" w:space="0"/>
              <w:right w:val="single" w:color="000000" w:sz="4" w:space="0"/>
            </w:tcBorders>
            <w:vAlign w:val="center"/>
          </w:tcPr>
          <w:p>
            <w:pPr>
              <w:widowControl/>
              <w:tabs>
                <w:tab w:val="center" w:pos="4201"/>
                <w:tab w:val="right" w:leader="dot" w:pos="9298"/>
              </w:tabs>
              <w:autoSpaceDE w:val="0"/>
              <w:autoSpaceDN w:val="0"/>
              <w:ind w:firstLine="29" w:firstLineChars="14"/>
              <w:jc w:val="center"/>
              <w:rPr>
                <w:rFonts w:hint="eastAsia" w:eastAsia="宋体"/>
                <w:color w:val="000000"/>
                <w:kern w:val="0"/>
                <w:lang w:val="en-US" w:eastAsia="zh-CN"/>
              </w:rPr>
            </w:pPr>
            <w:r>
              <w:rPr>
                <w:rFonts w:hint="eastAsia" w:ascii="宋体" w:hAnsi="宋体" w:eastAsia="宋体" w:cs="宋体"/>
                <w:color w:val="000000"/>
                <w:kern w:val="0"/>
                <w:lang w:val="en-US" w:eastAsia="zh-CN"/>
              </w:rPr>
              <w:t>Ⅱ</w:t>
            </w:r>
            <w:r>
              <w:rPr>
                <w:rFonts w:hint="eastAsia"/>
                <w:color w:val="000000"/>
                <w:kern w:val="0"/>
                <w:lang w:val="en-US" w:eastAsia="zh-CN"/>
              </w:rPr>
              <w:t>级</w:t>
            </w:r>
          </w:p>
        </w:tc>
        <w:tc>
          <w:tcPr>
            <w:tcW w:w="1723" w:type="pct"/>
            <w:vMerge w:val="continue"/>
            <w:tcBorders>
              <w:left w:val="nil"/>
              <w:bottom w:val="single" w:color="000000" w:sz="4" w:space="0"/>
              <w:right w:val="single" w:color="000000" w:sz="4" w:space="0"/>
            </w:tcBorders>
            <w:vAlign w:val="center"/>
          </w:tcPr>
          <w:p>
            <w:pPr>
              <w:widowControl/>
              <w:tabs>
                <w:tab w:val="center" w:pos="4201"/>
                <w:tab w:val="right" w:leader="dot" w:pos="9298"/>
              </w:tabs>
              <w:autoSpaceDE w:val="0"/>
              <w:autoSpaceDN w:val="0"/>
              <w:ind w:firstLine="29" w:firstLineChars="14"/>
              <w:jc w:val="center"/>
              <w:rPr>
                <w:color w:val="000000"/>
                <w:kern w:val="0"/>
              </w:rPr>
            </w:pPr>
          </w:p>
        </w:tc>
      </w:tr>
      <w:tr>
        <w:tblPrEx>
          <w:tblCellMar>
            <w:top w:w="0" w:type="dxa"/>
            <w:left w:w="108" w:type="dxa"/>
            <w:bottom w:w="0" w:type="dxa"/>
            <w:right w:w="108" w:type="dxa"/>
          </w:tblCellMar>
        </w:tblPrEx>
        <w:trPr>
          <w:trHeight w:val="23" w:hRule="atLeast"/>
          <w:jc w:val="center"/>
        </w:trPr>
        <w:tc>
          <w:tcPr>
            <w:tcW w:w="1496" w:type="pct"/>
            <w:gridSpan w:val="2"/>
            <w:tcBorders>
              <w:top w:val="single" w:color="000000" w:sz="4" w:space="0"/>
              <w:left w:val="single" w:color="000000" w:sz="4" w:space="0"/>
              <w:right w:val="single" w:color="000000" w:sz="4" w:space="0"/>
            </w:tcBorders>
            <w:vAlign w:val="center"/>
          </w:tcPr>
          <w:p>
            <w:pPr>
              <w:widowControl/>
              <w:tabs>
                <w:tab w:val="center" w:pos="4201"/>
                <w:tab w:val="right" w:leader="dot" w:pos="9298"/>
              </w:tabs>
              <w:autoSpaceDE w:val="0"/>
              <w:autoSpaceDN w:val="0"/>
              <w:ind w:firstLine="29" w:firstLineChars="14"/>
              <w:jc w:val="center"/>
              <w:rPr>
                <w:color w:val="000000"/>
                <w:kern w:val="0"/>
              </w:rPr>
            </w:pPr>
            <w:r>
              <w:rPr>
                <w:color w:val="000000"/>
                <w:kern w:val="0"/>
              </w:rPr>
              <w:t>比表面积（m</w:t>
            </w:r>
            <w:r>
              <w:rPr>
                <w:color w:val="000000"/>
                <w:kern w:val="0"/>
                <w:vertAlign w:val="superscript"/>
              </w:rPr>
              <w:t>2</w:t>
            </w:r>
            <w:r>
              <w:rPr>
                <w:color w:val="000000"/>
                <w:kern w:val="0"/>
              </w:rPr>
              <w:t>/kg）</w:t>
            </w:r>
          </w:p>
        </w:tc>
        <w:tc>
          <w:tcPr>
            <w:tcW w:w="1780" w:type="pct"/>
            <w:gridSpan w:val="2"/>
            <w:tcBorders>
              <w:top w:val="single" w:color="000000" w:sz="4" w:space="0"/>
              <w:left w:val="nil"/>
              <w:bottom w:val="single" w:color="auto" w:sz="4" w:space="0"/>
              <w:right w:val="single" w:color="000000" w:sz="4" w:space="0"/>
            </w:tcBorders>
            <w:vAlign w:val="center"/>
          </w:tcPr>
          <w:p>
            <w:pPr>
              <w:widowControl/>
              <w:tabs>
                <w:tab w:val="center" w:pos="4201"/>
                <w:tab w:val="right" w:leader="dot" w:pos="9298"/>
              </w:tabs>
              <w:autoSpaceDE w:val="0"/>
              <w:autoSpaceDN w:val="0"/>
              <w:ind w:firstLine="29" w:firstLineChars="14"/>
              <w:jc w:val="center"/>
              <w:rPr>
                <w:rFonts w:hint="eastAsia" w:ascii="宋体" w:hAnsi="宋体" w:cs="宋体"/>
                <w:color w:val="000000"/>
                <w:kern w:val="0"/>
              </w:rPr>
            </w:pPr>
            <w:r>
              <w:rPr>
                <w:rFonts w:hint="eastAsia" w:ascii="宋体" w:hAnsi="宋体" w:cs="宋体"/>
                <w:color w:val="000000"/>
                <w:kern w:val="0"/>
              </w:rPr>
              <w:t>≥</w:t>
            </w:r>
            <w:r>
              <w:rPr>
                <w:rFonts w:hint="eastAsia"/>
                <w:color w:val="000000"/>
                <w:kern w:val="0"/>
              </w:rPr>
              <w:t>40</w:t>
            </w:r>
            <w:r>
              <w:rPr>
                <w:color w:val="000000"/>
                <w:kern w:val="0"/>
              </w:rPr>
              <w:t>0</w:t>
            </w:r>
          </w:p>
        </w:tc>
        <w:tc>
          <w:tcPr>
            <w:tcW w:w="1723" w:type="pct"/>
            <w:tcBorders>
              <w:top w:val="single" w:color="000000" w:sz="4" w:space="0"/>
              <w:left w:val="nil"/>
              <w:right w:val="single" w:color="000000" w:sz="4" w:space="0"/>
            </w:tcBorders>
            <w:vAlign w:val="center"/>
          </w:tcPr>
          <w:p>
            <w:pPr>
              <w:widowControl/>
              <w:tabs>
                <w:tab w:val="center" w:pos="4201"/>
                <w:tab w:val="right" w:leader="dot" w:pos="9298"/>
              </w:tabs>
              <w:autoSpaceDE w:val="0"/>
              <w:autoSpaceDN w:val="0"/>
              <w:ind w:firstLine="420" w:firstLineChars="200"/>
              <w:jc w:val="left"/>
              <w:rPr>
                <w:color w:val="000000"/>
                <w:kern w:val="0"/>
              </w:rPr>
            </w:pPr>
            <w:r>
              <w:rPr>
                <w:color w:val="000000"/>
                <w:kern w:val="0"/>
              </w:rPr>
              <w:t>按现行国家标准《用于水泥和混凝土中的钢渣粉》GB/T 20491所列的</w:t>
            </w:r>
            <w:r>
              <w:rPr>
                <w:rFonts w:hint="eastAsia"/>
                <w:color w:val="000000"/>
                <w:kern w:val="0"/>
              </w:rPr>
              <w:t>勃氏法</w:t>
            </w:r>
            <w:r>
              <w:rPr>
                <w:color w:val="000000"/>
                <w:kern w:val="0"/>
              </w:rPr>
              <w:t>测试比表面积。</w:t>
            </w:r>
          </w:p>
        </w:tc>
      </w:tr>
      <w:tr>
        <w:tblPrEx>
          <w:tblCellMar>
            <w:top w:w="0" w:type="dxa"/>
            <w:left w:w="108" w:type="dxa"/>
            <w:bottom w:w="0" w:type="dxa"/>
            <w:right w:w="108" w:type="dxa"/>
          </w:tblCellMar>
        </w:tblPrEx>
        <w:trPr>
          <w:trHeight w:val="23" w:hRule="atLeast"/>
          <w:jc w:val="center"/>
        </w:trPr>
        <w:tc>
          <w:tcPr>
            <w:tcW w:w="749" w:type="pct"/>
            <w:vMerge w:val="restart"/>
            <w:tcBorders>
              <w:top w:val="single" w:color="auto" w:sz="4" w:space="0"/>
              <w:left w:val="single" w:color="auto" w:sz="4" w:space="0"/>
              <w:bottom w:val="single" w:color="000000" w:sz="4" w:space="0"/>
              <w:right w:val="single" w:color="000000" w:sz="4" w:space="0"/>
            </w:tcBorders>
            <w:vAlign w:val="center"/>
          </w:tcPr>
          <w:p>
            <w:pPr>
              <w:widowControl/>
              <w:tabs>
                <w:tab w:val="center" w:pos="4201"/>
                <w:tab w:val="right" w:leader="dot" w:pos="9298"/>
              </w:tabs>
              <w:autoSpaceDE w:val="0"/>
              <w:autoSpaceDN w:val="0"/>
              <w:jc w:val="center"/>
              <w:rPr>
                <w:color w:val="000000"/>
                <w:kern w:val="0"/>
              </w:rPr>
            </w:pPr>
            <w:r>
              <w:rPr>
                <w:color w:val="000000"/>
                <w:kern w:val="0"/>
              </w:rPr>
              <w:t>活性指数（%）</w:t>
            </w:r>
          </w:p>
        </w:tc>
        <w:tc>
          <w:tcPr>
            <w:tcW w:w="747" w:type="pct"/>
            <w:tcBorders>
              <w:top w:val="single" w:color="auto" w:sz="4" w:space="0"/>
              <w:left w:val="nil"/>
              <w:bottom w:val="single" w:color="000000" w:sz="4" w:space="0"/>
              <w:right w:val="single" w:color="auto" w:sz="4" w:space="0"/>
            </w:tcBorders>
            <w:vAlign w:val="center"/>
          </w:tcPr>
          <w:p>
            <w:pPr>
              <w:widowControl/>
              <w:tabs>
                <w:tab w:val="center" w:pos="4201"/>
                <w:tab w:val="right" w:leader="dot" w:pos="9298"/>
              </w:tabs>
              <w:autoSpaceDE w:val="0"/>
              <w:autoSpaceDN w:val="0"/>
              <w:jc w:val="center"/>
              <w:rPr>
                <w:color w:val="000000"/>
                <w:kern w:val="0"/>
              </w:rPr>
            </w:pPr>
            <w:r>
              <w:rPr>
                <w:color w:val="000000"/>
                <w:kern w:val="0"/>
              </w:rPr>
              <w:t>7d</w:t>
            </w:r>
          </w:p>
        </w:tc>
        <w:tc>
          <w:tcPr>
            <w:tcW w:w="889" w:type="pct"/>
            <w:tcBorders>
              <w:top w:val="single" w:color="auto" w:sz="4" w:space="0"/>
              <w:left w:val="single" w:color="auto" w:sz="4" w:space="0"/>
              <w:bottom w:val="single" w:color="auto" w:sz="4" w:space="0"/>
              <w:right w:val="single" w:color="auto" w:sz="4" w:space="0"/>
            </w:tcBorders>
            <w:vAlign w:val="center"/>
          </w:tcPr>
          <w:p>
            <w:pPr>
              <w:widowControl/>
              <w:tabs>
                <w:tab w:val="center" w:pos="4201"/>
                <w:tab w:val="right" w:leader="dot" w:pos="9298"/>
              </w:tabs>
              <w:autoSpaceDE w:val="0"/>
              <w:autoSpaceDN w:val="0"/>
              <w:jc w:val="center"/>
              <w:rPr>
                <w:color w:val="000000"/>
                <w:kern w:val="0"/>
              </w:rPr>
            </w:pPr>
            <w:r>
              <w:rPr>
                <w:rFonts w:hint="eastAsia" w:ascii="宋体" w:hAnsi="宋体" w:cs="宋体"/>
                <w:color w:val="000000"/>
                <w:kern w:val="0"/>
              </w:rPr>
              <w:t>≥</w:t>
            </w:r>
            <w:r>
              <w:rPr>
                <w:color w:val="000000"/>
                <w:kern w:val="0"/>
              </w:rPr>
              <w:t>65</w:t>
            </w:r>
          </w:p>
        </w:tc>
        <w:tc>
          <w:tcPr>
            <w:tcW w:w="891" w:type="pct"/>
            <w:tcBorders>
              <w:top w:val="single" w:color="auto" w:sz="4" w:space="0"/>
              <w:left w:val="single" w:color="auto" w:sz="4" w:space="0"/>
              <w:bottom w:val="single" w:color="auto" w:sz="4" w:space="0"/>
              <w:right w:val="single" w:color="auto" w:sz="4" w:space="0"/>
            </w:tcBorders>
            <w:vAlign w:val="center"/>
          </w:tcPr>
          <w:p>
            <w:pPr>
              <w:widowControl/>
              <w:autoSpaceDE w:val="0"/>
              <w:autoSpaceDN w:val="0"/>
              <w:jc w:val="center"/>
              <w:rPr>
                <w:rFonts w:hint="eastAsia" w:ascii="宋体" w:hAnsi="宋体" w:cs="宋体"/>
                <w:color w:val="000000"/>
                <w:kern w:val="0"/>
              </w:rPr>
            </w:pPr>
            <w:r>
              <w:rPr>
                <w:rFonts w:hint="eastAsia" w:ascii="宋体" w:hAnsi="宋体" w:cs="宋体"/>
                <w:color w:val="000000"/>
                <w:kern w:val="0"/>
              </w:rPr>
              <w:t>≥</w:t>
            </w:r>
            <w:r>
              <w:rPr>
                <w:rFonts w:hint="eastAsia"/>
                <w:color w:val="000000"/>
                <w:kern w:val="0"/>
                <w:lang w:val="en-US" w:eastAsia="zh-CN"/>
              </w:rPr>
              <w:t>55</w:t>
            </w:r>
          </w:p>
        </w:tc>
        <w:tc>
          <w:tcPr>
            <w:tcW w:w="1723" w:type="pct"/>
            <w:vMerge w:val="restart"/>
            <w:tcBorders>
              <w:top w:val="single" w:color="auto" w:sz="4" w:space="0"/>
              <w:left w:val="single" w:color="auto" w:sz="4" w:space="0"/>
              <w:right w:val="single" w:color="000000" w:sz="4" w:space="0"/>
            </w:tcBorders>
            <w:vAlign w:val="center"/>
          </w:tcPr>
          <w:p>
            <w:pPr>
              <w:widowControl/>
              <w:tabs>
                <w:tab w:val="center" w:pos="4201"/>
                <w:tab w:val="right" w:leader="dot" w:pos="9298"/>
              </w:tabs>
              <w:autoSpaceDE w:val="0"/>
              <w:autoSpaceDN w:val="0"/>
              <w:ind w:firstLine="420" w:firstLineChars="200"/>
              <w:jc w:val="left"/>
              <w:rPr>
                <w:color w:val="000000"/>
                <w:kern w:val="0"/>
              </w:rPr>
            </w:pPr>
            <w:r>
              <w:rPr>
                <w:color w:val="000000"/>
                <w:kern w:val="0"/>
              </w:rPr>
              <w:t>按现行国家标准《用于水泥和混凝土中的钢渣粉》GB/T 20491所列有关规定进行测定。</w:t>
            </w:r>
          </w:p>
        </w:tc>
      </w:tr>
      <w:tr>
        <w:tblPrEx>
          <w:tblCellMar>
            <w:top w:w="0" w:type="dxa"/>
            <w:left w:w="108" w:type="dxa"/>
            <w:bottom w:w="0" w:type="dxa"/>
            <w:right w:w="108" w:type="dxa"/>
          </w:tblCellMar>
        </w:tblPrEx>
        <w:trPr>
          <w:trHeight w:val="23" w:hRule="atLeast"/>
          <w:jc w:val="center"/>
        </w:trPr>
        <w:tc>
          <w:tcPr>
            <w:tcW w:w="749" w:type="pct"/>
            <w:vMerge w:val="continue"/>
            <w:tcBorders>
              <w:top w:val="nil"/>
              <w:left w:val="single" w:color="auto" w:sz="4" w:space="0"/>
              <w:bottom w:val="single" w:color="auto" w:sz="4" w:space="0"/>
              <w:right w:val="single" w:color="000000" w:sz="4" w:space="0"/>
            </w:tcBorders>
            <w:vAlign w:val="center"/>
          </w:tcPr>
          <w:p>
            <w:pPr>
              <w:widowControl/>
              <w:tabs>
                <w:tab w:val="center" w:pos="4201"/>
                <w:tab w:val="right" w:leader="dot" w:pos="9298"/>
              </w:tabs>
              <w:autoSpaceDE w:val="0"/>
              <w:autoSpaceDN w:val="0"/>
              <w:jc w:val="center"/>
              <w:rPr>
                <w:color w:val="000000"/>
                <w:kern w:val="0"/>
              </w:rPr>
            </w:pPr>
          </w:p>
        </w:tc>
        <w:tc>
          <w:tcPr>
            <w:tcW w:w="747" w:type="pct"/>
            <w:tcBorders>
              <w:top w:val="single" w:color="000000" w:sz="4" w:space="0"/>
              <w:left w:val="nil"/>
              <w:bottom w:val="single" w:color="auto" w:sz="4" w:space="0"/>
              <w:right w:val="single" w:color="auto" w:sz="4" w:space="0"/>
            </w:tcBorders>
            <w:vAlign w:val="center"/>
          </w:tcPr>
          <w:p>
            <w:pPr>
              <w:widowControl/>
              <w:tabs>
                <w:tab w:val="center" w:pos="4201"/>
                <w:tab w:val="right" w:leader="dot" w:pos="9298"/>
              </w:tabs>
              <w:autoSpaceDE w:val="0"/>
              <w:autoSpaceDN w:val="0"/>
              <w:jc w:val="center"/>
              <w:rPr>
                <w:color w:val="000000"/>
                <w:kern w:val="0"/>
              </w:rPr>
            </w:pPr>
            <w:r>
              <w:rPr>
                <w:color w:val="000000"/>
                <w:kern w:val="0"/>
              </w:rPr>
              <w:t>28d</w:t>
            </w:r>
          </w:p>
        </w:tc>
        <w:tc>
          <w:tcPr>
            <w:tcW w:w="889" w:type="pct"/>
            <w:tcBorders>
              <w:top w:val="single" w:color="auto" w:sz="4" w:space="0"/>
              <w:left w:val="single" w:color="auto" w:sz="4" w:space="0"/>
              <w:bottom w:val="single" w:color="auto" w:sz="4" w:space="0"/>
              <w:right w:val="single" w:color="auto" w:sz="4" w:space="0"/>
            </w:tcBorders>
            <w:vAlign w:val="center"/>
          </w:tcPr>
          <w:p>
            <w:pPr>
              <w:widowControl/>
              <w:tabs>
                <w:tab w:val="center" w:pos="4201"/>
                <w:tab w:val="right" w:leader="dot" w:pos="9298"/>
              </w:tabs>
              <w:autoSpaceDE w:val="0"/>
              <w:autoSpaceDN w:val="0"/>
              <w:jc w:val="center"/>
              <w:rPr>
                <w:color w:val="000000"/>
                <w:kern w:val="0"/>
              </w:rPr>
            </w:pPr>
            <w:r>
              <w:rPr>
                <w:rFonts w:hint="eastAsia" w:ascii="宋体" w:hAnsi="宋体" w:cs="宋体"/>
                <w:color w:val="000000"/>
                <w:kern w:val="0"/>
              </w:rPr>
              <w:t>≥</w:t>
            </w:r>
            <w:r>
              <w:rPr>
                <w:color w:val="000000"/>
                <w:kern w:val="0"/>
              </w:rPr>
              <w:t>80</w:t>
            </w:r>
          </w:p>
        </w:tc>
        <w:tc>
          <w:tcPr>
            <w:tcW w:w="891" w:type="pct"/>
            <w:tcBorders>
              <w:top w:val="single" w:color="auto" w:sz="4" w:space="0"/>
              <w:left w:val="single" w:color="auto" w:sz="4" w:space="0"/>
              <w:bottom w:val="single" w:color="auto" w:sz="4" w:space="0"/>
              <w:right w:val="single" w:color="auto" w:sz="4" w:space="0"/>
            </w:tcBorders>
            <w:vAlign w:val="center"/>
          </w:tcPr>
          <w:p>
            <w:pPr>
              <w:widowControl/>
              <w:autoSpaceDE w:val="0"/>
              <w:autoSpaceDN w:val="0"/>
              <w:jc w:val="center"/>
              <w:rPr>
                <w:rFonts w:hint="eastAsia" w:ascii="宋体" w:hAnsi="宋体" w:cs="宋体"/>
                <w:color w:val="000000"/>
                <w:kern w:val="0"/>
              </w:rPr>
            </w:pPr>
            <w:r>
              <w:rPr>
                <w:rFonts w:hint="eastAsia" w:ascii="宋体" w:hAnsi="宋体" w:cs="宋体"/>
                <w:color w:val="000000"/>
                <w:kern w:val="0"/>
              </w:rPr>
              <w:t>≥</w:t>
            </w:r>
            <w:r>
              <w:rPr>
                <w:color w:val="000000"/>
                <w:kern w:val="0"/>
              </w:rPr>
              <w:t>65</w:t>
            </w:r>
          </w:p>
        </w:tc>
        <w:tc>
          <w:tcPr>
            <w:tcW w:w="1723" w:type="pct"/>
            <w:vMerge w:val="continue"/>
            <w:tcBorders>
              <w:left w:val="single" w:color="auto" w:sz="4" w:space="0"/>
              <w:right w:val="single" w:color="000000" w:sz="4" w:space="0"/>
            </w:tcBorders>
            <w:vAlign w:val="center"/>
          </w:tcPr>
          <w:p>
            <w:pPr>
              <w:widowControl/>
              <w:tabs>
                <w:tab w:val="center" w:pos="4201"/>
                <w:tab w:val="right" w:leader="dot" w:pos="9298"/>
              </w:tabs>
              <w:autoSpaceDE w:val="0"/>
              <w:autoSpaceDN w:val="0"/>
              <w:ind w:firstLine="420" w:firstLineChars="200"/>
              <w:jc w:val="left"/>
              <w:rPr>
                <w:color w:val="000000"/>
                <w:kern w:val="0"/>
              </w:rPr>
            </w:pPr>
          </w:p>
        </w:tc>
      </w:tr>
      <w:tr>
        <w:tblPrEx>
          <w:tblCellMar>
            <w:top w:w="0" w:type="dxa"/>
            <w:left w:w="108" w:type="dxa"/>
            <w:bottom w:w="0" w:type="dxa"/>
            <w:right w:w="108" w:type="dxa"/>
          </w:tblCellMar>
        </w:tblPrEx>
        <w:trPr>
          <w:trHeight w:val="23" w:hRule="atLeast"/>
          <w:jc w:val="center"/>
        </w:trPr>
        <w:tc>
          <w:tcPr>
            <w:tcW w:w="1496" w:type="pct"/>
            <w:gridSpan w:val="2"/>
            <w:tcBorders>
              <w:top w:val="single" w:color="auto" w:sz="4" w:space="0"/>
              <w:left w:val="single" w:color="000000" w:sz="4" w:space="0"/>
              <w:bottom w:val="single" w:color="000000" w:sz="4" w:space="0"/>
              <w:right w:val="single" w:color="000000" w:sz="4" w:space="0"/>
            </w:tcBorders>
            <w:vAlign w:val="center"/>
          </w:tcPr>
          <w:p>
            <w:pPr>
              <w:widowControl/>
              <w:tabs>
                <w:tab w:val="center" w:pos="4201"/>
                <w:tab w:val="right" w:leader="dot" w:pos="9298"/>
              </w:tabs>
              <w:autoSpaceDE w:val="0"/>
              <w:autoSpaceDN w:val="0"/>
              <w:jc w:val="center"/>
              <w:rPr>
                <w:color w:val="000000"/>
                <w:kern w:val="0"/>
              </w:rPr>
            </w:pPr>
            <w:r>
              <w:rPr>
                <w:color w:val="000000"/>
                <w:kern w:val="0"/>
              </w:rPr>
              <w:t>流动度比（%）</w:t>
            </w:r>
          </w:p>
        </w:tc>
        <w:tc>
          <w:tcPr>
            <w:tcW w:w="1780" w:type="pct"/>
            <w:gridSpan w:val="2"/>
            <w:tcBorders>
              <w:top w:val="single" w:color="auto" w:sz="4" w:space="0"/>
              <w:left w:val="nil"/>
              <w:bottom w:val="single" w:color="000000" w:sz="4" w:space="0"/>
              <w:right w:val="single" w:color="000000" w:sz="4" w:space="0"/>
            </w:tcBorders>
            <w:vAlign w:val="center"/>
          </w:tcPr>
          <w:p>
            <w:pPr>
              <w:widowControl/>
              <w:tabs>
                <w:tab w:val="center" w:pos="4201"/>
                <w:tab w:val="right" w:leader="dot" w:pos="9298"/>
              </w:tabs>
              <w:autoSpaceDE w:val="0"/>
              <w:autoSpaceDN w:val="0"/>
              <w:jc w:val="center"/>
              <w:rPr>
                <w:rFonts w:hint="eastAsia" w:ascii="宋体" w:hAnsi="宋体" w:cs="宋体"/>
                <w:color w:val="000000"/>
                <w:kern w:val="0"/>
              </w:rPr>
            </w:pPr>
            <w:r>
              <w:rPr>
                <w:rFonts w:hint="eastAsia" w:ascii="宋体" w:hAnsi="宋体" w:cs="宋体"/>
                <w:color w:val="000000"/>
                <w:kern w:val="0"/>
              </w:rPr>
              <w:t>≥</w:t>
            </w:r>
            <w:r>
              <w:rPr>
                <w:color w:val="000000"/>
                <w:kern w:val="0"/>
              </w:rPr>
              <w:t>9</w:t>
            </w:r>
            <w:r>
              <w:rPr>
                <w:rFonts w:hint="eastAsia"/>
                <w:color w:val="000000"/>
                <w:kern w:val="0"/>
                <w:lang w:val="en-US" w:eastAsia="zh-CN"/>
              </w:rPr>
              <w:t>0</w:t>
            </w:r>
          </w:p>
        </w:tc>
        <w:tc>
          <w:tcPr>
            <w:tcW w:w="1723" w:type="pct"/>
            <w:vMerge w:val="continue"/>
            <w:tcBorders>
              <w:left w:val="nil"/>
              <w:right w:val="single" w:color="000000" w:sz="4" w:space="0"/>
            </w:tcBorders>
            <w:vAlign w:val="center"/>
          </w:tcPr>
          <w:p>
            <w:pPr>
              <w:widowControl/>
              <w:tabs>
                <w:tab w:val="center" w:pos="4201"/>
                <w:tab w:val="right" w:leader="dot" w:pos="9298"/>
              </w:tabs>
              <w:autoSpaceDE w:val="0"/>
              <w:autoSpaceDN w:val="0"/>
              <w:ind w:firstLine="420" w:firstLineChars="200"/>
              <w:jc w:val="left"/>
              <w:rPr>
                <w:color w:val="000000"/>
                <w:kern w:val="0"/>
              </w:rPr>
            </w:pPr>
          </w:p>
        </w:tc>
      </w:tr>
      <w:tr>
        <w:tblPrEx>
          <w:tblCellMar>
            <w:top w:w="0" w:type="dxa"/>
            <w:left w:w="108" w:type="dxa"/>
            <w:bottom w:w="0" w:type="dxa"/>
            <w:right w:w="108" w:type="dxa"/>
          </w:tblCellMar>
        </w:tblPrEx>
        <w:trPr>
          <w:trHeight w:val="23" w:hRule="atLeast"/>
          <w:jc w:val="center"/>
        </w:trPr>
        <w:tc>
          <w:tcPr>
            <w:tcW w:w="1496" w:type="pct"/>
            <w:gridSpan w:val="2"/>
            <w:tcBorders>
              <w:top w:val="single" w:color="000000" w:sz="4" w:space="0"/>
              <w:left w:val="single" w:color="000000" w:sz="4" w:space="0"/>
              <w:bottom w:val="single" w:color="000000" w:sz="4" w:space="0"/>
              <w:right w:val="single" w:color="000000" w:sz="4" w:space="0"/>
            </w:tcBorders>
            <w:vAlign w:val="center"/>
          </w:tcPr>
          <w:p>
            <w:pPr>
              <w:widowControl/>
              <w:tabs>
                <w:tab w:val="center" w:pos="4201"/>
                <w:tab w:val="right" w:leader="dot" w:pos="9298"/>
              </w:tabs>
              <w:autoSpaceDE w:val="0"/>
              <w:autoSpaceDN w:val="0"/>
              <w:jc w:val="center"/>
              <w:rPr>
                <w:color w:val="000000"/>
                <w:kern w:val="0"/>
              </w:rPr>
            </w:pPr>
            <w:r>
              <w:rPr>
                <w:color w:val="000000"/>
                <w:kern w:val="0"/>
              </w:rPr>
              <w:t>含水量（%）</w:t>
            </w:r>
          </w:p>
        </w:tc>
        <w:tc>
          <w:tcPr>
            <w:tcW w:w="1780" w:type="pct"/>
            <w:gridSpan w:val="2"/>
            <w:tcBorders>
              <w:top w:val="single" w:color="000000" w:sz="4" w:space="0"/>
              <w:left w:val="nil"/>
              <w:bottom w:val="single" w:color="000000" w:sz="4" w:space="0"/>
              <w:right w:val="single" w:color="000000" w:sz="4" w:space="0"/>
            </w:tcBorders>
            <w:vAlign w:val="center"/>
          </w:tcPr>
          <w:p>
            <w:pPr>
              <w:widowControl/>
              <w:tabs>
                <w:tab w:val="center" w:pos="4201"/>
                <w:tab w:val="right" w:leader="dot" w:pos="9298"/>
              </w:tabs>
              <w:autoSpaceDE w:val="0"/>
              <w:autoSpaceDN w:val="0"/>
              <w:jc w:val="center"/>
              <w:rPr>
                <w:rFonts w:hint="eastAsia" w:ascii="宋体" w:hAnsi="宋体" w:cs="宋体"/>
                <w:color w:val="000000"/>
                <w:kern w:val="0"/>
              </w:rPr>
            </w:pPr>
            <w:r>
              <w:rPr>
                <w:rFonts w:hint="eastAsia" w:ascii="宋体" w:hAnsi="宋体" w:cs="宋体"/>
                <w:color w:val="000000"/>
                <w:kern w:val="0"/>
              </w:rPr>
              <w:t>≤</w:t>
            </w:r>
            <w:r>
              <w:rPr>
                <w:color w:val="000000"/>
                <w:kern w:val="0"/>
              </w:rPr>
              <w:t>1.0</w:t>
            </w:r>
          </w:p>
        </w:tc>
        <w:tc>
          <w:tcPr>
            <w:tcW w:w="1723" w:type="pct"/>
            <w:vMerge w:val="continue"/>
            <w:tcBorders>
              <w:left w:val="nil"/>
              <w:right w:val="single" w:color="000000" w:sz="4" w:space="0"/>
            </w:tcBorders>
            <w:vAlign w:val="center"/>
          </w:tcPr>
          <w:p>
            <w:pPr>
              <w:widowControl/>
              <w:tabs>
                <w:tab w:val="center" w:pos="4201"/>
                <w:tab w:val="right" w:leader="dot" w:pos="9298"/>
              </w:tabs>
              <w:autoSpaceDE w:val="0"/>
              <w:autoSpaceDN w:val="0"/>
              <w:ind w:firstLine="420" w:firstLineChars="200"/>
              <w:jc w:val="left"/>
              <w:rPr>
                <w:color w:val="000000"/>
                <w:kern w:val="0"/>
              </w:rPr>
            </w:pPr>
          </w:p>
        </w:tc>
      </w:tr>
      <w:tr>
        <w:tblPrEx>
          <w:tblCellMar>
            <w:top w:w="0" w:type="dxa"/>
            <w:left w:w="108" w:type="dxa"/>
            <w:bottom w:w="0" w:type="dxa"/>
            <w:right w:w="108" w:type="dxa"/>
          </w:tblCellMar>
        </w:tblPrEx>
        <w:trPr>
          <w:trHeight w:val="23" w:hRule="atLeast"/>
          <w:jc w:val="center"/>
        </w:trPr>
        <w:tc>
          <w:tcPr>
            <w:tcW w:w="1496" w:type="pct"/>
            <w:gridSpan w:val="2"/>
            <w:tcBorders>
              <w:top w:val="single" w:color="auto" w:sz="4" w:space="0"/>
              <w:left w:val="single" w:color="000000" w:sz="4" w:space="0"/>
              <w:bottom w:val="single" w:color="000000" w:sz="4" w:space="0"/>
              <w:right w:val="single" w:color="000000" w:sz="4" w:space="0"/>
            </w:tcBorders>
            <w:vAlign w:val="center"/>
          </w:tcPr>
          <w:p>
            <w:pPr>
              <w:widowControl/>
              <w:tabs>
                <w:tab w:val="center" w:pos="4201"/>
                <w:tab w:val="right" w:leader="dot" w:pos="9298"/>
              </w:tabs>
              <w:autoSpaceDE w:val="0"/>
              <w:autoSpaceDN w:val="0"/>
              <w:jc w:val="center"/>
              <w:rPr>
                <w:color w:val="000000"/>
                <w:kern w:val="0"/>
              </w:rPr>
            </w:pPr>
            <w:r>
              <w:rPr>
                <w:color w:val="000000"/>
                <w:kern w:val="0"/>
              </w:rPr>
              <w:t>密度（g/cm</w:t>
            </w:r>
            <w:r>
              <w:rPr>
                <w:color w:val="000000"/>
                <w:kern w:val="0"/>
                <w:vertAlign w:val="superscript"/>
              </w:rPr>
              <w:t>3</w:t>
            </w:r>
            <w:r>
              <w:rPr>
                <w:color w:val="000000"/>
                <w:kern w:val="0"/>
              </w:rPr>
              <w:t>）</w:t>
            </w:r>
          </w:p>
        </w:tc>
        <w:tc>
          <w:tcPr>
            <w:tcW w:w="1780" w:type="pct"/>
            <w:gridSpan w:val="2"/>
            <w:tcBorders>
              <w:top w:val="single" w:color="000000" w:sz="4" w:space="0"/>
              <w:left w:val="nil"/>
              <w:bottom w:val="single" w:color="000000" w:sz="4" w:space="0"/>
              <w:right w:val="single" w:color="000000" w:sz="4" w:space="0"/>
            </w:tcBorders>
            <w:vAlign w:val="center"/>
          </w:tcPr>
          <w:p>
            <w:pPr>
              <w:widowControl/>
              <w:tabs>
                <w:tab w:val="center" w:pos="4201"/>
                <w:tab w:val="right" w:leader="dot" w:pos="9298"/>
              </w:tabs>
              <w:autoSpaceDE w:val="0"/>
              <w:autoSpaceDN w:val="0"/>
              <w:jc w:val="center"/>
              <w:rPr>
                <w:rFonts w:hint="eastAsia" w:ascii="宋体" w:hAnsi="宋体" w:cs="宋体"/>
                <w:color w:val="000000"/>
                <w:kern w:val="0"/>
              </w:rPr>
            </w:pPr>
            <w:r>
              <w:rPr>
                <w:rFonts w:hint="eastAsia" w:ascii="宋体" w:hAnsi="宋体" w:cs="宋体"/>
                <w:color w:val="000000"/>
                <w:kern w:val="0"/>
              </w:rPr>
              <w:t>≥</w:t>
            </w:r>
            <w:r>
              <w:rPr>
                <w:rFonts w:hint="eastAsia"/>
                <w:color w:val="000000"/>
                <w:kern w:val="0"/>
                <w:lang w:val="en-US" w:eastAsia="zh-CN"/>
              </w:rPr>
              <w:t>2.8</w:t>
            </w:r>
          </w:p>
        </w:tc>
        <w:tc>
          <w:tcPr>
            <w:tcW w:w="1723" w:type="pct"/>
            <w:vMerge w:val="continue"/>
            <w:tcBorders>
              <w:left w:val="nil"/>
              <w:bottom w:val="single" w:color="000000" w:sz="4" w:space="0"/>
              <w:right w:val="single" w:color="000000" w:sz="4" w:space="0"/>
            </w:tcBorders>
            <w:vAlign w:val="center"/>
          </w:tcPr>
          <w:p>
            <w:pPr>
              <w:widowControl/>
              <w:tabs>
                <w:tab w:val="center" w:pos="4201"/>
                <w:tab w:val="right" w:leader="dot" w:pos="9298"/>
              </w:tabs>
              <w:autoSpaceDE w:val="0"/>
              <w:autoSpaceDN w:val="0"/>
              <w:ind w:firstLine="420" w:firstLineChars="200"/>
              <w:jc w:val="left"/>
              <w:rPr>
                <w:color w:val="000000"/>
                <w:kern w:val="0"/>
              </w:rPr>
            </w:pPr>
          </w:p>
        </w:tc>
      </w:tr>
      <w:tr>
        <w:tblPrEx>
          <w:tblCellMar>
            <w:top w:w="0" w:type="dxa"/>
            <w:left w:w="108" w:type="dxa"/>
            <w:bottom w:w="0" w:type="dxa"/>
            <w:right w:w="108" w:type="dxa"/>
          </w:tblCellMar>
        </w:tblPrEx>
        <w:trPr>
          <w:trHeight w:val="23" w:hRule="atLeast"/>
          <w:jc w:val="center"/>
        </w:trPr>
        <w:tc>
          <w:tcPr>
            <w:tcW w:w="1496" w:type="pct"/>
            <w:gridSpan w:val="2"/>
            <w:tcBorders>
              <w:top w:val="single" w:color="000000" w:sz="4" w:space="0"/>
              <w:left w:val="single" w:color="000000" w:sz="4" w:space="0"/>
              <w:bottom w:val="single" w:color="000000" w:sz="4" w:space="0"/>
              <w:right w:val="single" w:color="000000" w:sz="4" w:space="0"/>
            </w:tcBorders>
            <w:vAlign w:val="center"/>
          </w:tcPr>
          <w:p>
            <w:pPr>
              <w:widowControl/>
              <w:tabs>
                <w:tab w:val="center" w:pos="4201"/>
                <w:tab w:val="right" w:leader="dot" w:pos="9298"/>
              </w:tabs>
              <w:autoSpaceDE w:val="0"/>
              <w:autoSpaceDN w:val="0"/>
              <w:jc w:val="center"/>
              <w:rPr>
                <w:color w:val="000000"/>
                <w:kern w:val="0"/>
              </w:rPr>
            </w:pPr>
            <w:r>
              <w:rPr>
                <w:rFonts w:hint="eastAsia"/>
                <w:color w:val="000000"/>
                <w:kern w:val="0"/>
              </w:rPr>
              <w:t>金属铁含量</w:t>
            </w:r>
          </w:p>
        </w:tc>
        <w:tc>
          <w:tcPr>
            <w:tcW w:w="1780" w:type="pct"/>
            <w:gridSpan w:val="2"/>
            <w:tcBorders>
              <w:top w:val="single" w:color="000000" w:sz="4" w:space="0"/>
              <w:left w:val="nil"/>
              <w:bottom w:val="single" w:color="000000" w:sz="4" w:space="0"/>
              <w:right w:val="single" w:color="000000" w:sz="4" w:space="0"/>
            </w:tcBorders>
            <w:vAlign w:val="center"/>
          </w:tcPr>
          <w:p>
            <w:pPr>
              <w:widowControl/>
              <w:tabs>
                <w:tab w:val="center" w:pos="4201"/>
                <w:tab w:val="right" w:leader="dot" w:pos="9298"/>
              </w:tabs>
              <w:autoSpaceDE w:val="0"/>
              <w:autoSpaceDN w:val="0"/>
              <w:jc w:val="center"/>
              <w:rPr>
                <w:rFonts w:hint="eastAsia" w:ascii="宋体" w:hAnsi="宋体" w:cs="宋体"/>
                <w:color w:val="000000"/>
                <w:kern w:val="0"/>
              </w:rPr>
            </w:pPr>
            <w:r>
              <w:rPr>
                <w:rFonts w:hint="eastAsia" w:ascii="宋体" w:hAnsi="宋体" w:cs="宋体"/>
                <w:color w:val="000000"/>
                <w:kern w:val="0"/>
              </w:rPr>
              <w:t>≤</w:t>
            </w:r>
            <w:r>
              <w:rPr>
                <w:rFonts w:hint="eastAsia"/>
                <w:color w:val="000000"/>
                <w:kern w:val="0"/>
                <w:lang w:val="en-US" w:eastAsia="zh-CN"/>
              </w:rPr>
              <w:t>2</w:t>
            </w:r>
            <w:r>
              <w:rPr>
                <w:color w:val="000000"/>
                <w:kern w:val="0"/>
              </w:rPr>
              <w:t>.0</w:t>
            </w:r>
          </w:p>
        </w:tc>
        <w:tc>
          <w:tcPr>
            <w:tcW w:w="1723" w:type="pct"/>
            <w:tcBorders>
              <w:top w:val="single" w:color="000000" w:sz="4" w:space="0"/>
              <w:left w:val="nil"/>
              <w:right w:val="single" w:color="000000" w:sz="4" w:space="0"/>
            </w:tcBorders>
            <w:vAlign w:val="center"/>
          </w:tcPr>
          <w:p>
            <w:pPr>
              <w:widowControl/>
              <w:tabs>
                <w:tab w:val="center" w:pos="4201"/>
                <w:tab w:val="right" w:leader="dot" w:pos="9298"/>
              </w:tabs>
              <w:autoSpaceDE w:val="0"/>
              <w:autoSpaceDN w:val="0"/>
              <w:ind w:firstLine="420" w:firstLineChars="200"/>
              <w:jc w:val="left"/>
              <w:rPr>
                <w:rFonts w:hint="default" w:eastAsia="宋体"/>
                <w:color w:val="000000"/>
                <w:kern w:val="0"/>
                <w:lang w:val="en-US" w:eastAsia="zh-CN"/>
              </w:rPr>
            </w:pPr>
            <w:r>
              <w:rPr>
                <w:rFonts w:hint="eastAsia"/>
                <w:color w:val="000000"/>
                <w:kern w:val="0"/>
                <w:lang w:val="en-US" w:eastAsia="zh-CN"/>
              </w:rPr>
              <w:t>按现行国家标准《</w:t>
            </w:r>
            <w:r>
              <w:rPr>
                <w:rFonts w:hint="eastAsia"/>
                <w:color w:val="000000"/>
                <w:kern w:val="0"/>
              </w:rPr>
              <w:t>铁矿石 金属铁含量的测定 三氯化铁-乙酸钠滴定法</w:t>
            </w:r>
            <w:r>
              <w:rPr>
                <w:rFonts w:hint="eastAsia"/>
                <w:color w:val="000000"/>
                <w:kern w:val="0"/>
                <w:lang w:eastAsia="zh-CN"/>
              </w:rPr>
              <w:t>》</w:t>
            </w:r>
            <w:r>
              <w:rPr>
                <w:rFonts w:hint="eastAsia"/>
                <w:color w:val="000000"/>
                <w:kern w:val="0"/>
                <w:lang w:val="en-US" w:eastAsia="zh-CN"/>
              </w:rPr>
              <w:t>GB/T 6730.6所列有关规定进行测定。</w:t>
            </w:r>
          </w:p>
        </w:tc>
      </w:tr>
      <w:tr>
        <w:tblPrEx>
          <w:tblCellMar>
            <w:top w:w="0" w:type="dxa"/>
            <w:left w:w="108" w:type="dxa"/>
            <w:bottom w:w="0" w:type="dxa"/>
            <w:right w:w="108" w:type="dxa"/>
          </w:tblCellMar>
        </w:tblPrEx>
        <w:trPr>
          <w:trHeight w:val="23" w:hRule="atLeast"/>
          <w:jc w:val="center"/>
        </w:trPr>
        <w:tc>
          <w:tcPr>
            <w:tcW w:w="1496" w:type="pct"/>
            <w:gridSpan w:val="2"/>
            <w:tcBorders>
              <w:top w:val="single" w:color="000000" w:sz="4" w:space="0"/>
              <w:left w:val="single" w:color="000000" w:sz="4" w:space="0"/>
              <w:bottom w:val="single" w:color="000000" w:sz="4" w:space="0"/>
              <w:right w:val="single" w:color="000000" w:sz="4" w:space="0"/>
            </w:tcBorders>
            <w:vAlign w:val="center"/>
          </w:tcPr>
          <w:p>
            <w:pPr>
              <w:widowControl/>
              <w:tabs>
                <w:tab w:val="center" w:pos="4201"/>
                <w:tab w:val="right" w:leader="dot" w:pos="9298"/>
              </w:tabs>
              <w:autoSpaceDE w:val="0"/>
              <w:autoSpaceDN w:val="0"/>
              <w:jc w:val="center"/>
              <w:rPr>
                <w:color w:val="000000"/>
                <w:kern w:val="0"/>
              </w:rPr>
            </w:pPr>
            <w:r>
              <w:rPr>
                <w:color w:val="000000"/>
                <w:kern w:val="0"/>
              </w:rPr>
              <w:t>氯离子含量（%）</w:t>
            </w:r>
          </w:p>
        </w:tc>
        <w:tc>
          <w:tcPr>
            <w:tcW w:w="1780" w:type="pct"/>
            <w:gridSpan w:val="2"/>
            <w:tcBorders>
              <w:top w:val="single" w:color="000000" w:sz="4" w:space="0"/>
              <w:left w:val="nil"/>
              <w:bottom w:val="single" w:color="000000" w:sz="4" w:space="0"/>
              <w:right w:val="single" w:color="000000" w:sz="4" w:space="0"/>
            </w:tcBorders>
            <w:vAlign w:val="center"/>
          </w:tcPr>
          <w:p>
            <w:pPr>
              <w:widowControl/>
              <w:tabs>
                <w:tab w:val="center" w:pos="4201"/>
                <w:tab w:val="right" w:leader="dot" w:pos="9298"/>
              </w:tabs>
              <w:autoSpaceDE w:val="0"/>
              <w:autoSpaceDN w:val="0"/>
              <w:jc w:val="center"/>
              <w:rPr>
                <w:rFonts w:hint="eastAsia" w:ascii="宋体" w:hAnsi="宋体" w:cs="宋体"/>
                <w:color w:val="000000"/>
                <w:kern w:val="0"/>
              </w:rPr>
            </w:pPr>
            <w:r>
              <w:rPr>
                <w:rFonts w:hint="eastAsia" w:ascii="宋体" w:hAnsi="宋体" w:cs="宋体"/>
                <w:color w:val="000000"/>
                <w:kern w:val="0"/>
              </w:rPr>
              <w:t>≤</w:t>
            </w:r>
            <w:r>
              <w:rPr>
                <w:color w:val="000000"/>
                <w:kern w:val="0"/>
              </w:rPr>
              <w:t>0.06</w:t>
            </w:r>
          </w:p>
        </w:tc>
        <w:tc>
          <w:tcPr>
            <w:tcW w:w="1723" w:type="pct"/>
            <w:vMerge w:val="restart"/>
            <w:tcBorders>
              <w:top w:val="single" w:color="000000" w:sz="4" w:space="0"/>
              <w:left w:val="nil"/>
              <w:right w:val="single" w:color="000000" w:sz="4" w:space="0"/>
            </w:tcBorders>
            <w:vAlign w:val="center"/>
          </w:tcPr>
          <w:p>
            <w:pPr>
              <w:widowControl/>
              <w:tabs>
                <w:tab w:val="center" w:pos="4201"/>
                <w:tab w:val="right" w:leader="dot" w:pos="9298"/>
              </w:tabs>
              <w:autoSpaceDE w:val="0"/>
              <w:autoSpaceDN w:val="0"/>
              <w:ind w:firstLine="420" w:firstLineChars="200"/>
              <w:jc w:val="left"/>
              <w:rPr>
                <w:color w:val="000000"/>
                <w:kern w:val="0"/>
              </w:rPr>
            </w:pPr>
            <w:r>
              <w:rPr>
                <w:color w:val="000000"/>
                <w:kern w:val="0"/>
              </w:rPr>
              <w:t>按现行国家标准《用于水泥和混凝土中的钢渣粉》GB/T 20491所列有关规定进行测定。</w:t>
            </w:r>
          </w:p>
        </w:tc>
      </w:tr>
      <w:tr>
        <w:tblPrEx>
          <w:tblCellMar>
            <w:top w:w="0" w:type="dxa"/>
            <w:left w:w="108" w:type="dxa"/>
            <w:bottom w:w="0" w:type="dxa"/>
            <w:right w:w="108" w:type="dxa"/>
          </w:tblCellMar>
        </w:tblPrEx>
        <w:trPr>
          <w:trHeight w:val="23" w:hRule="atLeast"/>
          <w:jc w:val="center"/>
        </w:trPr>
        <w:tc>
          <w:tcPr>
            <w:tcW w:w="1496" w:type="pct"/>
            <w:gridSpan w:val="2"/>
            <w:tcBorders>
              <w:top w:val="single" w:color="000000" w:sz="4" w:space="0"/>
              <w:left w:val="single" w:color="000000" w:sz="4" w:space="0"/>
              <w:bottom w:val="single" w:color="000000" w:sz="4" w:space="0"/>
              <w:right w:val="single" w:color="000000" w:sz="4" w:space="0"/>
            </w:tcBorders>
            <w:vAlign w:val="center"/>
          </w:tcPr>
          <w:p>
            <w:pPr>
              <w:widowControl/>
              <w:tabs>
                <w:tab w:val="center" w:pos="4201"/>
                <w:tab w:val="right" w:leader="dot" w:pos="9298"/>
              </w:tabs>
              <w:autoSpaceDE w:val="0"/>
              <w:autoSpaceDN w:val="0"/>
              <w:jc w:val="center"/>
              <w:rPr>
                <w:color w:val="000000"/>
                <w:kern w:val="0"/>
              </w:rPr>
            </w:pPr>
            <w:r>
              <w:rPr>
                <w:color w:val="000000"/>
                <w:kern w:val="0"/>
              </w:rPr>
              <w:t>三氧化硫含量（%）</w:t>
            </w:r>
          </w:p>
        </w:tc>
        <w:tc>
          <w:tcPr>
            <w:tcW w:w="1780" w:type="pct"/>
            <w:gridSpan w:val="2"/>
            <w:tcBorders>
              <w:top w:val="single" w:color="000000" w:sz="4" w:space="0"/>
              <w:left w:val="nil"/>
              <w:bottom w:val="single" w:color="000000" w:sz="4" w:space="0"/>
              <w:right w:val="single" w:color="000000" w:sz="4" w:space="0"/>
            </w:tcBorders>
            <w:vAlign w:val="center"/>
          </w:tcPr>
          <w:p>
            <w:pPr>
              <w:widowControl/>
              <w:tabs>
                <w:tab w:val="center" w:pos="4201"/>
                <w:tab w:val="right" w:leader="dot" w:pos="9298"/>
              </w:tabs>
              <w:autoSpaceDE w:val="0"/>
              <w:autoSpaceDN w:val="0"/>
              <w:jc w:val="center"/>
              <w:rPr>
                <w:rFonts w:hint="eastAsia" w:ascii="宋体" w:hAnsi="宋体" w:cs="宋体"/>
                <w:color w:val="000000"/>
                <w:kern w:val="0"/>
              </w:rPr>
            </w:pPr>
            <w:r>
              <w:rPr>
                <w:rFonts w:hint="eastAsia" w:ascii="宋体" w:hAnsi="宋体" w:cs="宋体"/>
                <w:color w:val="000000"/>
                <w:kern w:val="0"/>
              </w:rPr>
              <w:t>≤</w:t>
            </w:r>
            <w:r>
              <w:rPr>
                <w:color w:val="000000"/>
                <w:kern w:val="0"/>
              </w:rPr>
              <w:t>4.0</w:t>
            </w:r>
          </w:p>
        </w:tc>
        <w:tc>
          <w:tcPr>
            <w:tcW w:w="1723" w:type="pct"/>
            <w:vMerge w:val="continue"/>
            <w:tcBorders>
              <w:left w:val="nil"/>
              <w:right w:val="single" w:color="000000" w:sz="4" w:space="0"/>
            </w:tcBorders>
            <w:vAlign w:val="center"/>
          </w:tcPr>
          <w:p>
            <w:pPr>
              <w:widowControl/>
              <w:tabs>
                <w:tab w:val="center" w:pos="4201"/>
                <w:tab w:val="right" w:leader="dot" w:pos="9298"/>
              </w:tabs>
              <w:autoSpaceDE w:val="0"/>
              <w:autoSpaceDN w:val="0"/>
              <w:ind w:firstLine="420" w:firstLineChars="200"/>
              <w:jc w:val="left"/>
              <w:rPr>
                <w:color w:val="000000"/>
                <w:kern w:val="0"/>
              </w:rPr>
            </w:pPr>
          </w:p>
        </w:tc>
      </w:tr>
      <w:tr>
        <w:tblPrEx>
          <w:tblCellMar>
            <w:top w:w="0" w:type="dxa"/>
            <w:left w:w="108" w:type="dxa"/>
            <w:bottom w:w="0" w:type="dxa"/>
            <w:right w:w="108" w:type="dxa"/>
          </w:tblCellMar>
        </w:tblPrEx>
        <w:trPr>
          <w:trHeight w:val="23" w:hRule="atLeast"/>
          <w:jc w:val="center"/>
        </w:trPr>
        <w:tc>
          <w:tcPr>
            <w:tcW w:w="1496" w:type="pct"/>
            <w:gridSpan w:val="2"/>
            <w:tcBorders>
              <w:top w:val="single" w:color="000000" w:sz="4" w:space="0"/>
              <w:left w:val="single" w:color="000000" w:sz="4" w:space="0"/>
              <w:bottom w:val="single" w:color="000000" w:sz="4" w:space="0"/>
              <w:right w:val="single" w:color="000000" w:sz="4" w:space="0"/>
            </w:tcBorders>
            <w:vAlign w:val="center"/>
          </w:tcPr>
          <w:p>
            <w:pPr>
              <w:widowControl/>
              <w:tabs>
                <w:tab w:val="center" w:pos="4201"/>
                <w:tab w:val="right" w:leader="dot" w:pos="9298"/>
              </w:tabs>
              <w:autoSpaceDE w:val="0"/>
              <w:autoSpaceDN w:val="0"/>
              <w:jc w:val="center"/>
              <w:rPr>
                <w:color w:val="000000"/>
                <w:kern w:val="0"/>
              </w:rPr>
            </w:pPr>
            <w:r>
              <w:rPr>
                <w:color w:val="000000"/>
                <w:kern w:val="0"/>
              </w:rPr>
              <w:t>游离氧化钙含量（%）</w:t>
            </w:r>
          </w:p>
        </w:tc>
        <w:tc>
          <w:tcPr>
            <w:tcW w:w="1780" w:type="pct"/>
            <w:gridSpan w:val="2"/>
            <w:tcBorders>
              <w:top w:val="single" w:color="000000" w:sz="4" w:space="0"/>
              <w:left w:val="nil"/>
              <w:bottom w:val="single" w:color="000000" w:sz="4" w:space="0"/>
              <w:right w:val="single" w:color="000000" w:sz="4" w:space="0"/>
            </w:tcBorders>
            <w:vAlign w:val="center"/>
          </w:tcPr>
          <w:p>
            <w:pPr>
              <w:widowControl/>
              <w:tabs>
                <w:tab w:val="center" w:pos="4201"/>
                <w:tab w:val="right" w:leader="dot" w:pos="9298"/>
              </w:tabs>
              <w:autoSpaceDE w:val="0"/>
              <w:autoSpaceDN w:val="0"/>
              <w:jc w:val="center"/>
              <w:rPr>
                <w:rFonts w:hint="eastAsia" w:ascii="宋体" w:hAnsi="宋体" w:cs="宋体"/>
                <w:color w:val="000000"/>
                <w:kern w:val="0"/>
              </w:rPr>
            </w:pPr>
            <w:r>
              <w:rPr>
                <w:rFonts w:hint="eastAsia" w:ascii="宋体" w:hAnsi="宋体" w:cs="宋体"/>
                <w:color w:val="000000"/>
                <w:kern w:val="0"/>
              </w:rPr>
              <w:t>≤</w:t>
            </w:r>
            <w:r>
              <w:rPr>
                <w:rFonts w:hint="eastAsia"/>
                <w:color w:val="000000"/>
                <w:kern w:val="0"/>
                <w:lang w:val="en-US" w:eastAsia="zh-CN"/>
              </w:rPr>
              <w:t>3</w:t>
            </w:r>
            <w:r>
              <w:rPr>
                <w:color w:val="000000"/>
                <w:kern w:val="0"/>
              </w:rPr>
              <w:t>.0</w:t>
            </w:r>
          </w:p>
        </w:tc>
        <w:tc>
          <w:tcPr>
            <w:tcW w:w="1723" w:type="pct"/>
            <w:vMerge w:val="continue"/>
            <w:tcBorders>
              <w:left w:val="nil"/>
              <w:right w:val="single" w:color="000000" w:sz="4" w:space="0"/>
            </w:tcBorders>
            <w:vAlign w:val="center"/>
          </w:tcPr>
          <w:p>
            <w:pPr>
              <w:widowControl/>
              <w:tabs>
                <w:tab w:val="center" w:pos="4201"/>
                <w:tab w:val="right" w:leader="dot" w:pos="9298"/>
              </w:tabs>
              <w:autoSpaceDE w:val="0"/>
              <w:autoSpaceDN w:val="0"/>
              <w:ind w:firstLine="420" w:firstLineChars="200"/>
              <w:jc w:val="left"/>
              <w:rPr>
                <w:color w:val="000000"/>
                <w:kern w:val="0"/>
              </w:rPr>
            </w:pPr>
          </w:p>
        </w:tc>
      </w:tr>
      <w:tr>
        <w:tblPrEx>
          <w:tblCellMar>
            <w:top w:w="0" w:type="dxa"/>
            <w:left w:w="108" w:type="dxa"/>
            <w:bottom w:w="0" w:type="dxa"/>
            <w:right w:w="108" w:type="dxa"/>
          </w:tblCellMar>
        </w:tblPrEx>
        <w:trPr>
          <w:trHeight w:val="23" w:hRule="atLeast"/>
          <w:jc w:val="center"/>
        </w:trPr>
        <w:tc>
          <w:tcPr>
            <w:tcW w:w="1496" w:type="pct"/>
            <w:gridSpan w:val="2"/>
            <w:tcBorders>
              <w:top w:val="single" w:color="000000" w:sz="4" w:space="0"/>
              <w:left w:val="single" w:color="000000" w:sz="4" w:space="0"/>
              <w:bottom w:val="single" w:color="000000" w:sz="4" w:space="0"/>
              <w:right w:val="single" w:color="000000" w:sz="4" w:space="0"/>
            </w:tcBorders>
            <w:vAlign w:val="center"/>
          </w:tcPr>
          <w:p>
            <w:pPr>
              <w:widowControl/>
              <w:tabs>
                <w:tab w:val="center" w:pos="4201"/>
                <w:tab w:val="right" w:leader="dot" w:pos="9298"/>
              </w:tabs>
              <w:autoSpaceDE w:val="0"/>
              <w:autoSpaceDN w:val="0"/>
              <w:jc w:val="center"/>
              <w:rPr>
                <w:color w:val="000000"/>
                <w:kern w:val="0"/>
              </w:rPr>
            </w:pPr>
            <w:r>
              <w:rPr>
                <w:color w:val="000000"/>
                <w:kern w:val="0"/>
              </w:rPr>
              <w:t>安定性沸煮法</w:t>
            </w:r>
          </w:p>
        </w:tc>
        <w:tc>
          <w:tcPr>
            <w:tcW w:w="1780" w:type="pct"/>
            <w:gridSpan w:val="2"/>
            <w:tcBorders>
              <w:top w:val="single" w:color="000000" w:sz="4" w:space="0"/>
              <w:left w:val="nil"/>
              <w:bottom w:val="single" w:color="000000" w:sz="4" w:space="0"/>
              <w:right w:val="single" w:color="000000" w:sz="4" w:space="0"/>
            </w:tcBorders>
            <w:vAlign w:val="center"/>
          </w:tcPr>
          <w:p>
            <w:pPr>
              <w:widowControl/>
              <w:tabs>
                <w:tab w:val="center" w:pos="4201"/>
                <w:tab w:val="right" w:leader="dot" w:pos="9298"/>
              </w:tabs>
              <w:autoSpaceDE w:val="0"/>
              <w:autoSpaceDN w:val="0"/>
              <w:jc w:val="center"/>
              <w:rPr>
                <w:color w:val="000000"/>
                <w:kern w:val="0"/>
              </w:rPr>
            </w:pPr>
            <w:r>
              <w:rPr>
                <w:color w:val="000000"/>
                <w:kern w:val="0"/>
              </w:rPr>
              <w:t>合格</w:t>
            </w:r>
          </w:p>
        </w:tc>
        <w:tc>
          <w:tcPr>
            <w:tcW w:w="1723" w:type="pct"/>
            <w:vMerge w:val="continue"/>
            <w:tcBorders>
              <w:left w:val="nil"/>
              <w:right w:val="single" w:color="000000" w:sz="4" w:space="0"/>
            </w:tcBorders>
            <w:vAlign w:val="center"/>
          </w:tcPr>
          <w:p>
            <w:pPr>
              <w:widowControl/>
              <w:tabs>
                <w:tab w:val="center" w:pos="4201"/>
                <w:tab w:val="right" w:leader="dot" w:pos="9298"/>
              </w:tabs>
              <w:autoSpaceDE w:val="0"/>
              <w:autoSpaceDN w:val="0"/>
              <w:ind w:firstLine="420" w:firstLineChars="200"/>
              <w:jc w:val="left"/>
              <w:rPr>
                <w:color w:val="000000"/>
                <w:kern w:val="0"/>
              </w:rPr>
            </w:pPr>
          </w:p>
        </w:tc>
      </w:tr>
      <w:tr>
        <w:tblPrEx>
          <w:tblCellMar>
            <w:top w:w="0" w:type="dxa"/>
            <w:left w:w="108" w:type="dxa"/>
            <w:bottom w:w="0" w:type="dxa"/>
            <w:right w:w="108" w:type="dxa"/>
          </w:tblCellMar>
        </w:tblPrEx>
        <w:trPr>
          <w:trHeight w:val="23" w:hRule="atLeast"/>
          <w:jc w:val="center"/>
        </w:trPr>
        <w:tc>
          <w:tcPr>
            <w:tcW w:w="1496" w:type="pct"/>
            <w:gridSpan w:val="2"/>
            <w:tcBorders>
              <w:top w:val="single" w:color="000000" w:sz="4" w:space="0"/>
              <w:left w:val="single" w:color="000000" w:sz="4" w:space="0"/>
              <w:bottom w:val="single" w:color="000000" w:sz="4" w:space="0"/>
              <w:right w:val="single" w:color="000000" w:sz="4" w:space="0"/>
            </w:tcBorders>
            <w:vAlign w:val="center"/>
          </w:tcPr>
          <w:p>
            <w:pPr>
              <w:widowControl/>
              <w:tabs>
                <w:tab w:val="center" w:pos="4201"/>
                <w:tab w:val="right" w:leader="dot" w:pos="9298"/>
              </w:tabs>
              <w:autoSpaceDE w:val="0"/>
              <w:autoSpaceDN w:val="0"/>
              <w:jc w:val="center"/>
              <w:rPr>
                <w:rFonts w:hint="eastAsia" w:eastAsia="宋体"/>
                <w:color w:val="000000"/>
                <w:kern w:val="0"/>
                <w:lang w:val="en-US" w:eastAsia="zh-CN"/>
              </w:rPr>
            </w:pPr>
            <w:r>
              <w:rPr>
                <w:color w:val="000000"/>
                <w:kern w:val="0"/>
              </w:rPr>
              <w:t>安定性压蒸法</w:t>
            </w:r>
            <w:r>
              <w:rPr>
                <w:rFonts w:hint="eastAsia"/>
                <w:color w:val="000000"/>
                <w:kern w:val="0"/>
                <w:vertAlign w:val="superscript"/>
                <w:lang w:val="en-US" w:eastAsia="zh-CN"/>
              </w:rPr>
              <w:t>a</w:t>
            </w:r>
          </w:p>
        </w:tc>
        <w:tc>
          <w:tcPr>
            <w:tcW w:w="1780" w:type="pct"/>
            <w:gridSpan w:val="2"/>
            <w:tcBorders>
              <w:top w:val="single" w:color="000000" w:sz="4" w:space="0"/>
              <w:left w:val="nil"/>
              <w:bottom w:val="single" w:color="000000" w:sz="4" w:space="0"/>
              <w:right w:val="single" w:color="000000" w:sz="4" w:space="0"/>
            </w:tcBorders>
            <w:vAlign w:val="center"/>
          </w:tcPr>
          <w:p>
            <w:pPr>
              <w:widowControl/>
              <w:tabs>
                <w:tab w:val="center" w:pos="4201"/>
                <w:tab w:val="right" w:leader="dot" w:pos="9298"/>
              </w:tabs>
              <w:autoSpaceDE w:val="0"/>
              <w:autoSpaceDN w:val="0"/>
              <w:jc w:val="center"/>
              <w:rPr>
                <w:color w:val="000000"/>
                <w:kern w:val="0"/>
              </w:rPr>
            </w:pPr>
            <w:r>
              <w:rPr>
                <w:color w:val="000000"/>
                <w:kern w:val="0"/>
              </w:rPr>
              <w:t>6h膨胀率</w:t>
            </w:r>
            <w:r>
              <w:rPr>
                <w:rFonts w:hint="eastAsia" w:ascii="宋体" w:hAnsi="宋体" w:cs="宋体"/>
                <w:color w:val="000000"/>
                <w:kern w:val="0"/>
              </w:rPr>
              <w:t>≤</w:t>
            </w:r>
            <w:r>
              <w:rPr>
                <w:color w:val="000000"/>
                <w:kern w:val="0"/>
              </w:rPr>
              <w:t>0.50%</w:t>
            </w:r>
          </w:p>
        </w:tc>
        <w:tc>
          <w:tcPr>
            <w:tcW w:w="1723" w:type="pct"/>
            <w:vMerge w:val="continue"/>
            <w:tcBorders>
              <w:left w:val="nil"/>
              <w:bottom w:val="single" w:color="auto" w:sz="4" w:space="0"/>
              <w:right w:val="single" w:color="000000" w:sz="4" w:space="0"/>
            </w:tcBorders>
            <w:vAlign w:val="center"/>
          </w:tcPr>
          <w:p>
            <w:pPr>
              <w:widowControl/>
              <w:tabs>
                <w:tab w:val="center" w:pos="4201"/>
                <w:tab w:val="right" w:leader="dot" w:pos="9298"/>
              </w:tabs>
              <w:autoSpaceDE w:val="0"/>
              <w:autoSpaceDN w:val="0"/>
              <w:ind w:firstLine="420" w:firstLineChars="200"/>
              <w:jc w:val="left"/>
              <w:rPr>
                <w:color w:val="000000"/>
                <w:kern w:val="0"/>
              </w:rPr>
            </w:pPr>
          </w:p>
        </w:tc>
      </w:tr>
      <w:tr>
        <w:tblPrEx>
          <w:tblCellMar>
            <w:top w:w="0" w:type="dxa"/>
            <w:left w:w="108" w:type="dxa"/>
            <w:bottom w:w="0" w:type="dxa"/>
            <w:right w:w="108" w:type="dxa"/>
          </w:tblCellMar>
        </w:tblPrEx>
        <w:trPr>
          <w:trHeight w:val="567" w:hRule="atLeast"/>
          <w:jc w:val="center"/>
        </w:trPr>
        <w:tc>
          <w:tcPr>
            <w:tcW w:w="5000" w:type="pct"/>
            <w:gridSpan w:val="5"/>
            <w:tcBorders>
              <w:top w:val="single" w:color="000000" w:sz="4" w:space="0"/>
              <w:left w:val="single" w:color="000000" w:sz="4" w:space="0"/>
              <w:bottom w:val="single" w:color="000000" w:sz="4" w:space="0"/>
              <w:right w:val="single" w:color="000000" w:sz="4" w:space="0"/>
            </w:tcBorders>
            <w:vAlign w:val="center"/>
          </w:tcPr>
          <w:p>
            <w:pPr>
              <w:widowControl/>
              <w:tabs>
                <w:tab w:val="center" w:pos="4201"/>
                <w:tab w:val="right" w:leader="dot" w:pos="9298"/>
              </w:tabs>
              <w:autoSpaceDE w:val="0"/>
              <w:autoSpaceDN w:val="0"/>
              <w:ind w:firstLine="420" w:firstLineChars="200"/>
              <w:jc w:val="left"/>
              <w:rPr>
                <w:color w:val="000000"/>
                <w:kern w:val="0"/>
              </w:rPr>
            </w:pPr>
            <w:r>
              <w:rPr>
                <w:color w:val="000000"/>
                <w:kern w:val="0"/>
              </w:rPr>
              <w:t>a 如果钢渣粉中MgO含量不大于5%时，可不检验压蒸安定性</w:t>
            </w:r>
            <w:r>
              <w:rPr>
                <w:rFonts w:hint="eastAsia"/>
                <w:color w:val="000000"/>
                <w:kern w:val="0"/>
                <w:lang w:eastAsia="zh-CN"/>
              </w:rPr>
              <w:t>；</w:t>
            </w:r>
            <w:r>
              <w:rPr>
                <w:rFonts w:hint="eastAsia"/>
                <w:color w:val="000000"/>
                <w:kern w:val="0"/>
                <w:lang w:val="en-US" w:eastAsia="zh-CN"/>
              </w:rPr>
              <w:t>当</w:t>
            </w:r>
            <w:r>
              <w:rPr>
                <w:color w:val="000000"/>
                <w:kern w:val="0"/>
              </w:rPr>
              <w:t>钢渣粉中MgO含量大于</w:t>
            </w:r>
            <w:r>
              <w:rPr>
                <w:rFonts w:hint="eastAsia"/>
                <w:color w:val="000000"/>
                <w:kern w:val="0"/>
                <w:lang w:val="en-US" w:eastAsia="zh-CN"/>
              </w:rPr>
              <w:t>13</w:t>
            </w:r>
            <w:r>
              <w:rPr>
                <w:color w:val="000000"/>
                <w:kern w:val="0"/>
              </w:rPr>
              <w:t>%时，压蒸安定性</w:t>
            </w:r>
            <w:r>
              <w:rPr>
                <w:rFonts w:hint="eastAsia"/>
                <w:color w:val="000000"/>
                <w:kern w:val="0"/>
                <w:lang w:val="en-US" w:eastAsia="zh-CN"/>
              </w:rPr>
              <w:t>应检验合格</w:t>
            </w:r>
            <w:r>
              <w:rPr>
                <w:rFonts w:hint="eastAsia"/>
                <w:color w:val="000000"/>
                <w:kern w:val="0"/>
              </w:rPr>
              <w:t>。</w:t>
            </w:r>
          </w:p>
        </w:tc>
      </w:tr>
    </w:tbl>
    <w:p>
      <w:pPr>
        <w:keepNext w:val="0"/>
        <w:keepLines w:val="0"/>
        <w:pageBreakBefore w:val="0"/>
        <w:widowControl w:val="0"/>
        <w:numPr>
          <w:ilvl w:val="0"/>
          <w:numId w:val="0"/>
        </w:numPr>
        <w:kinsoku/>
        <w:wordWrap/>
        <w:overflowPunct/>
        <w:topLinePunct w:val="0"/>
        <w:autoSpaceDE/>
        <w:autoSpaceDN/>
        <w:bidi w:val="0"/>
        <w:adjustRightInd w:val="0"/>
        <w:snapToGrid w:val="0"/>
        <w:spacing w:before="157" w:beforeLines="50" w:line="360" w:lineRule="auto"/>
        <w:ind w:firstLine="480" w:firstLineChars="200"/>
        <w:jc w:val="both"/>
        <w:textAlignment w:val="auto"/>
        <w:rPr>
          <w:rFonts w:hint="default" w:eastAsia="宋体"/>
          <w:sz w:val="24"/>
          <w:szCs w:val="24"/>
          <w:highlight w:val="none"/>
          <w:u w:val="none"/>
          <w:lang w:val="en-US" w:eastAsia="zh-CN"/>
        </w:rPr>
      </w:pPr>
      <w:r>
        <w:rPr>
          <w:rFonts w:hint="eastAsia"/>
          <w:sz w:val="24"/>
          <w:szCs w:val="24"/>
          <w:highlight w:val="none"/>
          <w:u w:val="none"/>
          <w:lang w:val="en-US" w:eastAsia="zh-CN"/>
        </w:rPr>
        <w:t>钢渣粉</w:t>
      </w:r>
      <w:bookmarkEnd w:id="28"/>
      <w:r>
        <w:rPr>
          <w:rFonts w:hint="default" w:eastAsia="宋体"/>
          <w:sz w:val="24"/>
          <w:szCs w:val="24"/>
          <w:highlight w:val="none"/>
          <w:u w:val="none"/>
          <w:lang w:val="en-US" w:eastAsia="zh-CN"/>
        </w:rPr>
        <w:t>作为矿物掺合料用于混凝土，</w:t>
      </w:r>
      <w:r>
        <w:rPr>
          <w:rFonts w:hint="eastAsia"/>
          <w:sz w:val="24"/>
          <w:szCs w:val="24"/>
          <w:highlight w:val="none"/>
          <w:u w:val="none"/>
          <w:lang w:val="en-US" w:eastAsia="zh-CN"/>
        </w:rPr>
        <w:t>比表面积</w:t>
      </w:r>
      <w:r>
        <w:rPr>
          <w:rFonts w:hint="default" w:eastAsia="宋体"/>
          <w:sz w:val="24"/>
          <w:szCs w:val="24"/>
          <w:highlight w:val="none"/>
          <w:u w:val="none"/>
          <w:lang w:val="en-US" w:eastAsia="zh-CN"/>
        </w:rPr>
        <w:t>是至关重要的指标，研究表明，随着</w:t>
      </w:r>
      <w:r>
        <w:rPr>
          <w:rFonts w:hint="eastAsia"/>
          <w:sz w:val="24"/>
          <w:szCs w:val="24"/>
          <w:highlight w:val="none"/>
          <w:u w:val="none"/>
          <w:lang w:val="en-US" w:eastAsia="zh-CN"/>
        </w:rPr>
        <w:t>比表面积</w:t>
      </w:r>
      <w:r>
        <w:rPr>
          <w:rFonts w:hint="default" w:eastAsia="宋体"/>
          <w:sz w:val="24"/>
          <w:szCs w:val="24"/>
          <w:highlight w:val="none"/>
          <w:u w:val="none"/>
          <w:lang w:val="en-US" w:eastAsia="zh-CN"/>
        </w:rPr>
        <w:t>变</w:t>
      </w:r>
      <w:r>
        <w:rPr>
          <w:rFonts w:hint="eastAsia"/>
          <w:sz w:val="24"/>
          <w:szCs w:val="24"/>
          <w:highlight w:val="none"/>
          <w:u w:val="none"/>
          <w:lang w:val="en-US" w:eastAsia="zh-CN"/>
        </w:rPr>
        <w:t>大</w:t>
      </w:r>
      <w:r>
        <w:rPr>
          <w:rFonts w:hint="default" w:eastAsia="宋体"/>
          <w:sz w:val="24"/>
          <w:szCs w:val="24"/>
          <w:highlight w:val="none"/>
          <w:u w:val="none"/>
          <w:lang w:val="en-US" w:eastAsia="zh-CN"/>
        </w:rPr>
        <w:t>，</w:t>
      </w:r>
      <w:r>
        <w:rPr>
          <w:rFonts w:hint="eastAsia"/>
          <w:sz w:val="24"/>
          <w:szCs w:val="24"/>
          <w:highlight w:val="none"/>
          <w:u w:val="none"/>
          <w:lang w:val="en-US" w:eastAsia="zh-CN"/>
        </w:rPr>
        <w:t>钢渣粉</w:t>
      </w:r>
      <w:r>
        <w:rPr>
          <w:rFonts w:hint="default" w:eastAsia="宋体"/>
          <w:sz w:val="24"/>
          <w:szCs w:val="24"/>
          <w:highlight w:val="none"/>
          <w:u w:val="none"/>
          <w:lang w:val="en-US" w:eastAsia="zh-CN"/>
        </w:rPr>
        <w:t>活性指数提高，流动度比提高，因此，作为矿物掺合料</w:t>
      </w:r>
      <w:r>
        <w:rPr>
          <w:rFonts w:hint="eastAsia"/>
          <w:sz w:val="24"/>
          <w:szCs w:val="24"/>
          <w:highlight w:val="none"/>
          <w:u w:val="none"/>
          <w:lang w:val="en-US" w:eastAsia="zh-CN"/>
        </w:rPr>
        <w:t>钢渣粉</w:t>
      </w:r>
      <w:r>
        <w:rPr>
          <w:rFonts w:hint="default" w:eastAsia="宋体"/>
          <w:sz w:val="24"/>
          <w:szCs w:val="24"/>
          <w:highlight w:val="none"/>
          <w:u w:val="none"/>
          <w:lang w:val="en-US" w:eastAsia="zh-CN"/>
        </w:rPr>
        <w:t>越细越好，然而</w:t>
      </w:r>
      <w:r>
        <w:rPr>
          <w:rFonts w:hint="eastAsia"/>
          <w:sz w:val="24"/>
          <w:szCs w:val="24"/>
          <w:highlight w:val="none"/>
          <w:u w:val="none"/>
          <w:lang w:val="en-US" w:eastAsia="zh-CN"/>
        </w:rPr>
        <w:t>比表面积变大</w:t>
      </w:r>
      <w:r>
        <w:rPr>
          <w:rFonts w:hint="default" w:eastAsia="宋体"/>
          <w:sz w:val="24"/>
          <w:szCs w:val="24"/>
          <w:highlight w:val="none"/>
          <w:u w:val="none"/>
          <w:lang w:val="en-US" w:eastAsia="zh-CN"/>
        </w:rPr>
        <w:t>即意味着能耗增加，且随着</w:t>
      </w:r>
      <w:r>
        <w:rPr>
          <w:rFonts w:hint="eastAsia"/>
          <w:sz w:val="24"/>
          <w:szCs w:val="24"/>
          <w:highlight w:val="none"/>
          <w:u w:val="none"/>
          <w:lang w:val="en-US" w:eastAsia="zh-CN"/>
        </w:rPr>
        <w:t>比表面积变大</w:t>
      </w:r>
      <w:r>
        <w:rPr>
          <w:rFonts w:hint="default" w:eastAsia="宋体"/>
          <w:sz w:val="24"/>
          <w:szCs w:val="24"/>
          <w:highlight w:val="none"/>
          <w:u w:val="none"/>
          <w:lang w:val="en-US" w:eastAsia="zh-CN"/>
        </w:rPr>
        <w:t>，</w:t>
      </w:r>
      <w:r>
        <w:rPr>
          <w:rFonts w:hint="eastAsia"/>
          <w:sz w:val="24"/>
          <w:szCs w:val="24"/>
          <w:highlight w:val="none"/>
          <w:u w:val="none"/>
          <w:lang w:val="en-US" w:eastAsia="zh-CN"/>
        </w:rPr>
        <w:t>钢渣粉</w:t>
      </w:r>
      <w:r>
        <w:rPr>
          <w:rFonts w:hint="default" w:eastAsia="宋体"/>
          <w:sz w:val="24"/>
          <w:szCs w:val="24"/>
          <w:highlight w:val="none"/>
          <w:u w:val="none"/>
          <w:lang w:val="en-US" w:eastAsia="zh-CN"/>
        </w:rPr>
        <w:t>愈加难磨，因此，宜从平衡</w:t>
      </w:r>
      <w:r>
        <w:rPr>
          <w:rFonts w:hint="eastAsia"/>
          <w:sz w:val="24"/>
          <w:szCs w:val="24"/>
          <w:highlight w:val="none"/>
          <w:u w:val="none"/>
          <w:lang w:val="en-US" w:eastAsia="zh-CN"/>
        </w:rPr>
        <w:t>钢渣粉</w:t>
      </w:r>
      <w:r>
        <w:rPr>
          <w:rFonts w:hint="default" w:eastAsia="宋体"/>
          <w:sz w:val="24"/>
          <w:szCs w:val="24"/>
          <w:highlight w:val="none"/>
          <w:u w:val="none"/>
          <w:lang w:val="en-US" w:eastAsia="zh-CN"/>
        </w:rPr>
        <w:t>性能和生产能耗两方面综合考虑，制定</w:t>
      </w:r>
      <w:r>
        <w:rPr>
          <w:rFonts w:hint="eastAsia"/>
          <w:sz w:val="24"/>
          <w:szCs w:val="24"/>
          <w:highlight w:val="none"/>
          <w:u w:val="none"/>
          <w:lang w:val="en-US" w:eastAsia="zh-CN"/>
        </w:rPr>
        <w:t>钢渣粉</w:t>
      </w:r>
      <w:r>
        <w:rPr>
          <w:rFonts w:hint="default" w:eastAsia="宋体"/>
          <w:sz w:val="24"/>
          <w:szCs w:val="24"/>
          <w:highlight w:val="none"/>
          <w:u w:val="none"/>
          <w:lang w:val="en-US" w:eastAsia="zh-CN"/>
        </w:rPr>
        <w:t>的</w:t>
      </w:r>
      <w:r>
        <w:rPr>
          <w:rFonts w:hint="eastAsia"/>
          <w:sz w:val="24"/>
          <w:szCs w:val="24"/>
          <w:highlight w:val="none"/>
          <w:u w:val="none"/>
          <w:lang w:val="en-US" w:eastAsia="zh-CN"/>
        </w:rPr>
        <w:t>比表面积</w:t>
      </w:r>
      <w:r>
        <w:rPr>
          <w:rFonts w:hint="default" w:eastAsia="宋体"/>
          <w:sz w:val="24"/>
          <w:szCs w:val="24"/>
          <w:highlight w:val="none"/>
          <w:u w:val="none"/>
          <w:lang w:val="en-US" w:eastAsia="zh-CN"/>
        </w:rPr>
        <w:t>指标。</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eastAsia="宋体"/>
          <w:sz w:val="24"/>
          <w:szCs w:val="24"/>
          <w:highlight w:val="none"/>
          <w:u w:val="none"/>
          <w:lang w:val="en-US" w:eastAsia="zh-CN"/>
        </w:rPr>
      </w:pPr>
      <w:r>
        <w:rPr>
          <w:rFonts w:hint="default" w:eastAsia="宋体"/>
          <w:sz w:val="24"/>
          <w:szCs w:val="24"/>
          <w:highlight w:val="none"/>
          <w:u w:val="none"/>
          <w:lang w:val="en-US" w:eastAsia="zh-CN"/>
        </w:rPr>
        <w:t>流动度比与需水量比都是反映</w:t>
      </w:r>
      <w:r>
        <w:rPr>
          <w:rFonts w:hint="eastAsia"/>
          <w:sz w:val="24"/>
          <w:szCs w:val="24"/>
          <w:highlight w:val="none"/>
          <w:u w:val="none"/>
          <w:lang w:val="en-US" w:eastAsia="zh-CN"/>
        </w:rPr>
        <w:t>钢渣粉</w:t>
      </w:r>
      <w:r>
        <w:rPr>
          <w:rFonts w:hint="default" w:eastAsia="宋体"/>
          <w:sz w:val="24"/>
          <w:szCs w:val="24"/>
          <w:highlight w:val="none"/>
          <w:u w:val="none"/>
          <w:lang w:val="en-US" w:eastAsia="zh-CN"/>
        </w:rPr>
        <w:t>同一性能的指标，由于流动度比测定起来相对快捷方便，因此本规程采用流动度比指标。流动度比是衡量</w:t>
      </w:r>
      <w:r>
        <w:rPr>
          <w:rFonts w:hint="eastAsia"/>
          <w:sz w:val="24"/>
          <w:szCs w:val="24"/>
          <w:highlight w:val="none"/>
          <w:u w:val="none"/>
          <w:lang w:val="en-US" w:eastAsia="zh-CN"/>
        </w:rPr>
        <w:t>钢渣粉</w:t>
      </w:r>
      <w:r>
        <w:rPr>
          <w:rFonts w:hint="default" w:eastAsia="宋体"/>
          <w:sz w:val="24"/>
          <w:szCs w:val="24"/>
          <w:highlight w:val="none"/>
          <w:u w:val="none"/>
          <w:lang w:val="en-US" w:eastAsia="zh-CN"/>
        </w:rPr>
        <w:t>在混凝土中应用是否具有技术价值的重要指标，该指标越高，说明</w:t>
      </w:r>
      <w:r>
        <w:rPr>
          <w:rFonts w:hint="eastAsia"/>
          <w:sz w:val="24"/>
          <w:szCs w:val="24"/>
          <w:highlight w:val="none"/>
          <w:u w:val="none"/>
          <w:lang w:val="en-US" w:eastAsia="zh-CN"/>
        </w:rPr>
        <w:t>钢渣粉</w:t>
      </w:r>
      <w:r>
        <w:rPr>
          <w:rFonts w:hint="default" w:eastAsia="宋体"/>
          <w:sz w:val="24"/>
          <w:szCs w:val="24"/>
          <w:highlight w:val="none"/>
          <w:u w:val="none"/>
          <w:lang w:val="en-US" w:eastAsia="zh-CN"/>
        </w:rPr>
        <w:t>对混凝土工作性的负面影响越小。</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eastAsia="宋体"/>
          <w:sz w:val="24"/>
          <w:szCs w:val="24"/>
          <w:highlight w:val="none"/>
          <w:u w:val="none"/>
          <w:lang w:val="en-US" w:eastAsia="zh-CN"/>
        </w:rPr>
      </w:pPr>
      <w:r>
        <w:rPr>
          <w:rFonts w:hint="default" w:eastAsia="宋体"/>
          <w:sz w:val="24"/>
          <w:szCs w:val="24"/>
          <w:highlight w:val="none"/>
          <w:u w:val="none"/>
          <w:lang w:val="en-US" w:eastAsia="zh-CN"/>
        </w:rPr>
        <w:t>试验表明：</w:t>
      </w:r>
      <w:r>
        <w:rPr>
          <w:rFonts w:hint="eastAsia"/>
          <w:sz w:val="24"/>
          <w:szCs w:val="24"/>
          <w:highlight w:val="none"/>
          <w:u w:val="none"/>
          <w:lang w:val="en-US" w:eastAsia="zh-CN"/>
        </w:rPr>
        <w:t>活性较高的钢渣粉7d活性指数一般大于65%，</w:t>
      </w:r>
      <w:r>
        <w:rPr>
          <w:rFonts w:hint="default" w:eastAsia="宋体"/>
          <w:sz w:val="24"/>
          <w:szCs w:val="24"/>
          <w:highlight w:val="none"/>
          <w:u w:val="none"/>
          <w:lang w:val="en-US" w:eastAsia="zh-CN"/>
        </w:rPr>
        <w:t>28d</w:t>
      </w:r>
      <w:r>
        <w:rPr>
          <w:rFonts w:hint="eastAsia"/>
          <w:sz w:val="24"/>
          <w:szCs w:val="24"/>
          <w:highlight w:val="none"/>
          <w:u w:val="none"/>
          <w:lang w:val="en-US" w:eastAsia="zh-CN"/>
        </w:rPr>
        <w:t>活性指数</w:t>
      </w:r>
      <w:r>
        <w:rPr>
          <w:rFonts w:hint="default" w:eastAsia="宋体"/>
          <w:sz w:val="24"/>
          <w:szCs w:val="24"/>
          <w:highlight w:val="none"/>
          <w:u w:val="none"/>
          <w:lang w:val="en-US" w:eastAsia="zh-CN"/>
        </w:rPr>
        <w:t>一般大于</w:t>
      </w:r>
      <w:r>
        <w:rPr>
          <w:rFonts w:hint="eastAsia"/>
          <w:sz w:val="24"/>
          <w:szCs w:val="24"/>
          <w:highlight w:val="none"/>
          <w:u w:val="none"/>
          <w:lang w:val="en-US" w:eastAsia="zh-CN"/>
        </w:rPr>
        <w:t>80</w:t>
      </w:r>
      <w:r>
        <w:rPr>
          <w:rFonts w:hint="default" w:eastAsia="宋体"/>
          <w:sz w:val="24"/>
          <w:szCs w:val="24"/>
          <w:highlight w:val="none"/>
          <w:u w:val="none"/>
          <w:lang w:val="en-US" w:eastAsia="zh-CN"/>
        </w:rPr>
        <w:t>%</w:t>
      </w:r>
      <w:r>
        <w:rPr>
          <w:rFonts w:hint="eastAsia"/>
          <w:sz w:val="24"/>
          <w:szCs w:val="24"/>
          <w:highlight w:val="none"/>
          <w:u w:val="none"/>
          <w:lang w:val="en-US" w:eastAsia="zh-CN"/>
        </w:rPr>
        <w:t>，此类钢渣粉为</w:t>
      </w:r>
      <w:r>
        <w:rPr>
          <w:rFonts w:hint="eastAsia" w:ascii="宋体" w:hAnsi="宋体" w:eastAsia="宋体" w:cs="宋体"/>
          <w:color w:val="000000"/>
          <w:kern w:val="0"/>
          <w:lang w:val="en-US" w:eastAsia="zh-CN"/>
        </w:rPr>
        <w:t>Ⅰ</w:t>
      </w:r>
      <w:r>
        <w:rPr>
          <w:rFonts w:hint="eastAsia"/>
          <w:sz w:val="24"/>
          <w:szCs w:val="24"/>
          <w:highlight w:val="none"/>
          <w:u w:val="none"/>
          <w:lang w:val="en-US" w:eastAsia="zh-CN"/>
        </w:rPr>
        <w:t>级；活性较低的钢渣粉7d活性指数一般大于55%，</w:t>
      </w:r>
      <w:r>
        <w:rPr>
          <w:rFonts w:hint="default" w:eastAsia="宋体"/>
          <w:sz w:val="24"/>
          <w:szCs w:val="24"/>
          <w:highlight w:val="none"/>
          <w:u w:val="none"/>
          <w:lang w:val="en-US" w:eastAsia="zh-CN"/>
        </w:rPr>
        <w:t>28d</w:t>
      </w:r>
      <w:r>
        <w:rPr>
          <w:rFonts w:hint="eastAsia"/>
          <w:sz w:val="24"/>
          <w:szCs w:val="24"/>
          <w:highlight w:val="none"/>
          <w:u w:val="none"/>
          <w:lang w:val="en-US" w:eastAsia="zh-CN"/>
        </w:rPr>
        <w:t>活性指数</w:t>
      </w:r>
      <w:r>
        <w:rPr>
          <w:rFonts w:hint="default" w:eastAsia="宋体"/>
          <w:sz w:val="24"/>
          <w:szCs w:val="24"/>
          <w:highlight w:val="none"/>
          <w:u w:val="none"/>
          <w:lang w:val="en-US" w:eastAsia="zh-CN"/>
        </w:rPr>
        <w:t>一般大于</w:t>
      </w:r>
      <w:r>
        <w:rPr>
          <w:rFonts w:hint="eastAsia"/>
          <w:sz w:val="24"/>
          <w:szCs w:val="24"/>
          <w:highlight w:val="none"/>
          <w:u w:val="none"/>
          <w:lang w:val="en-US" w:eastAsia="zh-CN"/>
        </w:rPr>
        <w:t>65</w:t>
      </w:r>
      <w:r>
        <w:rPr>
          <w:rFonts w:hint="default" w:eastAsia="宋体"/>
          <w:sz w:val="24"/>
          <w:szCs w:val="24"/>
          <w:highlight w:val="none"/>
          <w:u w:val="none"/>
          <w:lang w:val="en-US" w:eastAsia="zh-CN"/>
        </w:rPr>
        <w:t>%</w:t>
      </w:r>
      <w:r>
        <w:rPr>
          <w:rFonts w:hint="eastAsia"/>
          <w:sz w:val="24"/>
          <w:szCs w:val="24"/>
          <w:highlight w:val="none"/>
          <w:u w:val="none"/>
          <w:lang w:val="en-US" w:eastAsia="zh-CN"/>
        </w:rPr>
        <w:t>，此类钢渣粉为</w:t>
      </w:r>
      <w:r>
        <w:rPr>
          <w:rFonts w:hint="eastAsia" w:ascii="宋体" w:hAnsi="宋体" w:eastAsia="宋体" w:cs="宋体"/>
          <w:color w:val="000000"/>
          <w:kern w:val="0"/>
          <w:lang w:val="en-US" w:eastAsia="zh-CN"/>
        </w:rPr>
        <w:t>Ⅱ</w:t>
      </w:r>
      <w:r>
        <w:rPr>
          <w:rFonts w:hint="eastAsia"/>
          <w:sz w:val="24"/>
          <w:szCs w:val="24"/>
          <w:highlight w:val="none"/>
          <w:u w:val="none"/>
          <w:lang w:val="en-US" w:eastAsia="zh-CN"/>
        </w:rPr>
        <w:t>级</w:t>
      </w:r>
      <w:r>
        <w:rPr>
          <w:rFonts w:hint="default" w:eastAsia="宋体"/>
          <w:sz w:val="24"/>
          <w:szCs w:val="24"/>
          <w:highlight w:val="none"/>
          <w:u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jc w:val="both"/>
        <w:textAlignment w:val="auto"/>
        <w:rPr>
          <w:rFonts w:hint="default" w:eastAsia="宋体"/>
          <w:sz w:val="24"/>
          <w:szCs w:val="24"/>
          <w:highlight w:val="none"/>
          <w:u w:val="none"/>
          <w:lang w:val="en-US" w:eastAsia="zh-CN"/>
        </w:rPr>
      </w:pPr>
      <w:r>
        <w:rPr>
          <w:rFonts w:hint="default" w:eastAsia="宋体"/>
          <w:sz w:val="24"/>
          <w:szCs w:val="24"/>
          <w:highlight w:val="none"/>
          <w:u w:val="none"/>
          <w:lang w:val="en-US" w:eastAsia="zh-CN"/>
        </w:rPr>
        <w:t>一般情况下，优先选用细度适宜、流动度比大、抗压强度比高的</w:t>
      </w:r>
      <w:r>
        <w:rPr>
          <w:rFonts w:hint="eastAsia"/>
          <w:sz w:val="24"/>
          <w:szCs w:val="24"/>
          <w:highlight w:val="none"/>
          <w:u w:val="none"/>
          <w:lang w:val="en-US" w:eastAsia="zh-CN"/>
        </w:rPr>
        <w:t>钢渣粉</w:t>
      </w:r>
      <w:r>
        <w:rPr>
          <w:rFonts w:hint="default" w:eastAsia="宋体"/>
          <w:sz w:val="24"/>
          <w:szCs w:val="24"/>
          <w:highlight w:val="none"/>
          <w:u w:val="none"/>
          <w:lang w:val="en-US" w:eastAsia="zh-CN"/>
        </w:rPr>
        <w:t>。一般来说，</w:t>
      </w:r>
      <w:r>
        <w:rPr>
          <w:rFonts w:hint="eastAsia"/>
          <w:sz w:val="24"/>
          <w:szCs w:val="24"/>
          <w:highlight w:val="none"/>
          <w:u w:val="none"/>
          <w:lang w:val="en-US" w:eastAsia="zh-CN"/>
        </w:rPr>
        <w:t>钢渣粉比表面积越大</w:t>
      </w:r>
      <w:r>
        <w:rPr>
          <w:rFonts w:hint="default" w:eastAsia="宋体"/>
          <w:sz w:val="24"/>
          <w:szCs w:val="24"/>
          <w:highlight w:val="none"/>
          <w:u w:val="none"/>
          <w:lang w:val="en-US" w:eastAsia="zh-CN"/>
        </w:rPr>
        <w:t>，在混凝土中的填充效应越明显，有利于改善混凝土的性能，但应考虑</w:t>
      </w:r>
      <w:r>
        <w:rPr>
          <w:rFonts w:hint="eastAsia"/>
          <w:sz w:val="24"/>
          <w:szCs w:val="24"/>
          <w:highlight w:val="none"/>
          <w:u w:val="none"/>
          <w:lang w:val="en-US" w:eastAsia="zh-CN"/>
        </w:rPr>
        <w:t>比表面积</w:t>
      </w:r>
      <w:r>
        <w:rPr>
          <w:rFonts w:hint="default" w:eastAsia="宋体"/>
          <w:sz w:val="24"/>
          <w:szCs w:val="24"/>
          <w:highlight w:val="none"/>
          <w:u w:val="none"/>
          <w:lang w:val="en-US" w:eastAsia="zh-CN"/>
        </w:rPr>
        <w:t>、性能和能耗之间的平衡关系，选择适宜的</w:t>
      </w:r>
      <w:r>
        <w:rPr>
          <w:rFonts w:hint="eastAsia"/>
          <w:sz w:val="24"/>
          <w:szCs w:val="24"/>
          <w:highlight w:val="none"/>
          <w:u w:val="none"/>
          <w:lang w:val="en-US" w:eastAsia="zh-CN"/>
        </w:rPr>
        <w:t>比表面积</w:t>
      </w:r>
      <w:r>
        <w:rPr>
          <w:rFonts w:hint="default" w:eastAsia="宋体"/>
          <w:sz w:val="24"/>
          <w:szCs w:val="24"/>
          <w:highlight w:val="none"/>
          <w:u w:val="none"/>
          <w:lang w:val="en-US" w:eastAsia="zh-CN"/>
        </w:rPr>
        <w:t>也是需要综合考虑的。</w:t>
      </w:r>
    </w:p>
    <w:p>
      <w:pPr>
        <w:keepNext w:val="0"/>
        <w:keepLines w:val="0"/>
        <w:pageBreakBefore w:val="0"/>
        <w:widowControl w:val="0"/>
        <w:numPr>
          <w:ilvl w:val="1"/>
          <w:numId w:val="7"/>
        </w:numPr>
        <w:kinsoku/>
        <w:wordWrap/>
        <w:overflowPunct/>
        <w:topLinePunct w:val="0"/>
        <w:autoSpaceDE/>
        <w:autoSpaceDN/>
        <w:bidi w:val="0"/>
        <w:adjustRightInd w:val="0"/>
        <w:snapToGrid w:val="0"/>
        <w:spacing w:line="360" w:lineRule="auto"/>
        <w:ind w:left="0" w:leftChars="0" w:firstLine="480" w:firstLineChars="200"/>
        <w:textAlignment w:val="auto"/>
        <w:rPr>
          <w:rFonts w:hint="default" w:ascii="Times New Roman" w:hAnsi="Times New Roman" w:eastAsia="宋体" w:cs="Times New Roman"/>
          <w:b w:val="0"/>
          <w:bCs w:val="0"/>
          <w:color w:val="000000"/>
          <w:kern w:val="2"/>
          <w:sz w:val="24"/>
          <w:szCs w:val="24"/>
          <w:highlight w:val="none"/>
          <w:lang w:val="en-US" w:eastAsia="zh-CN" w:bidi="ar-SA"/>
        </w:rPr>
      </w:pPr>
      <w:r>
        <w:rPr>
          <w:rFonts w:hint="default" w:ascii="Times New Roman" w:hAnsi="Times New Roman" w:eastAsia="宋体" w:cs="Times New Roman"/>
          <w:b w:val="0"/>
          <w:bCs w:val="0"/>
          <w:color w:val="000000"/>
          <w:kern w:val="2"/>
          <w:sz w:val="24"/>
          <w:szCs w:val="24"/>
          <w:highlight w:val="none"/>
          <w:lang w:val="en-US" w:eastAsia="zh-CN" w:bidi="ar-SA"/>
        </w:rPr>
        <w:t>混凝土其他原材料</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olor w:val="000000"/>
          <w:kern w:val="2"/>
          <w:sz w:val="24"/>
          <w:szCs w:val="24"/>
          <w:highlight w:val="none"/>
          <w:lang w:val="en-US" w:eastAsia="zh-CN" w:bidi="ar-SA"/>
        </w:rPr>
      </w:pPr>
      <w:r>
        <w:rPr>
          <w:rFonts w:hint="eastAsia" w:ascii="Times New Roman" w:hAnsi="Times New Roman" w:eastAsia="宋体" w:cs="Times New Roman"/>
          <w:b w:val="0"/>
          <w:bCs w:val="0"/>
          <w:color w:val="000000"/>
          <w:kern w:val="2"/>
          <w:sz w:val="24"/>
          <w:szCs w:val="24"/>
          <w:highlight w:val="none"/>
          <w:lang w:val="en-US" w:eastAsia="zh-CN" w:bidi="ar-SA"/>
        </w:rPr>
        <w:t>对混凝土常用原材料（水泥、矿物掺合料、粗细骨料、外加剂、拌合用水）技术要求进行规定。</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color w:val="000000"/>
          <w:kern w:val="2"/>
          <w:sz w:val="24"/>
          <w:szCs w:val="24"/>
          <w:highlight w:val="none"/>
          <w:lang w:val="en-US" w:eastAsia="zh-CN" w:bidi="ar-SA"/>
        </w:rPr>
      </w:pPr>
      <w:r>
        <w:rPr>
          <w:rFonts w:hint="eastAsia" w:ascii="Times New Roman" w:hAnsi="Times New Roman" w:eastAsia="宋体" w:cs="Times New Roman"/>
          <w:b w:val="0"/>
          <w:bCs w:val="0"/>
          <w:color w:val="000000"/>
          <w:kern w:val="2"/>
          <w:sz w:val="24"/>
          <w:szCs w:val="24"/>
          <w:highlight w:val="none"/>
          <w:lang w:val="en-US" w:eastAsia="zh-CN" w:bidi="ar-SA"/>
        </w:rPr>
        <w:t>鉴于硅酸盐水泥、普通硅酸盐水泥具有较高的水化活性和强度发展潜力，与</w:t>
      </w:r>
      <w:r>
        <w:rPr>
          <w:rFonts w:hint="eastAsia"/>
          <w:sz w:val="24"/>
          <w:szCs w:val="24"/>
          <w:highlight w:val="none"/>
          <w:u w:val="none"/>
          <w:lang w:val="en-US" w:eastAsia="zh-CN"/>
        </w:rPr>
        <w:t>钢渣粉</w:t>
      </w:r>
      <w:r>
        <w:rPr>
          <w:rFonts w:hint="eastAsia" w:ascii="Times New Roman" w:hAnsi="Times New Roman" w:eastAsia="宋体" w:cs="Times New Roman"/>
          <w:b w:val="0"/>
          <w:bCs w:val="0"/>
          <w:color w:val="000000"/>
          <w:kern w:val="2"/>
          <w:sz w:val="24"/>
          <w:szCs w:val="24"/>
          <w:highlight w:val="none"/>
          <w:lang w:val="en-US" w:eastAsia="zh-CN" w:bidi="ar-SA"/>
        </w:rPr>
        <w:t>需依靠水泥水化产生的氢氧化钙激发活性相容性好，能充分发挥</w:t>
      </w:r>
      <w:r>
        <w:rPr>
          <w:rFonts w:hint="eastAsia" w:cs="Times New Roman"/>
          <w:b w:val="0"/>
          <w:bCs w:val="0"/>
          <w:color w:val="000000"/>
          <w:kern w:val="2"/>
          <w:sz w:val="24"/>
          <w:szCs w:val="24"/>
          <w:highlight w:val="none"/>
          <w:lang w:val="en-US" w:eastAsia="zh-CN" w:bidi="ar-SA"/>
        </w:rPr>
        <w:t>水化</w:t>
      </w:r>
      <w:r>
        <w:rPr>
          <w:rFonts w:hint="eastAsia" w:ascii="Times New Roman" w:hAnsi="Times New Roman" w:eastAsia="宋体" w:cs="Times New Roman"/>
          <w:b w:val="0"/>
          <w:bCs w:val="0"/>
          <w:color w:val="000000"/>
          <w:kern w:val="2"/>
          <w:sz w:val="24"/>
          <w:szCs w:val="24"/>
          <w:highlight w:val="none"/>
          <w:lang w:val="en-US" w:eastAsia="zh-CN" w:bidi="ar-SA"/>
        </w:rPr>
        <w:t>反应对混凝土强度及耐久性的提升作用，因此本标准还是建议采用</w:t>
      </w:r>
      <w:r>
        <w:rPr>
          <w:rFonts w:hint="default" w:ascii="Times New Roman" w:hAnsi="Times New Roman" w:eastAsia="宋体" w:cs="Times New Roman"/>
          <w:color w:val="000000"/>
          <w:kern w:val="2"/>
          <w:sz w:val="24"/>
          <w:szCs w:val="24"/>
          <w:highlight w:val="none"/>
          <w:lang w:val="en-US" w:eastAsia="zh-CN" w:bidi="ar-SA"/>
        </w:rPr>
        <w:t>硅酸盐水泥</w:t>
      </w:r>
      <w:r>
        <w:rPr>
          <w:rFonts w:hint="eastAsia" w:ascii="Times New Roman" w:hAnsi="Times New Roman" w:eastAsia="宋体" w:cs="Times New Roman"/>
          <w:color w:val="000000"/>
          <w:kern w:val="2"/>
          <w:sz w:val="24"/>
          <w:szCs w:val="24"/>
          <w:highlight w:val="none"/>
          <w:lang w:val="en-US" w:eastAsia="zh-CN" w:bidi="ar-SA"/>
        </w:rPr>
        <w:t>和</w:t>
      </w:r>
      <w:r>
        <w:rPr>
          <w:rFonts w:hint="default" w:ascii="Times New Roman" w:hAnsi="Times New Roman" w:eastAsia="宋体" w:cs="Times New Roman"/>
          <w:color w:val="000000"/>
          <w:kern w:val="2"/>
          <w:sz w:val="24"/>
          <w:szCs w:val="24"/>
          <w:highlight w:val="none"/>
          <w:lang w:val="en-US" w:eastAsia="zh-CN" w:bidi="ar-SA"/>
        </w:rPr>
        <w:t>普通硅酸盐水泥</w:t>
      </w:r>
      <w:r>
        <w:rPr>
          <w:rFonts w:hint="eastAsia" w:ascii="Times New Roman" w:hAnsi="Times New Roman" w:eastAsia="宋体" w:cs="Times New Roman"/>
          <w:color w:val="000000"/>
          <w:kern w:val="2"/>
          <w:sz w:val="24"/>
          <w:szCs w:val="24"/>
          <w:highlight w:val="none"/>
          <w:lang w:val="en-US" w:eastAsia="zh-CN" w:bidi="ar-SA"/>
        </w:rPr>
        <w:t>。</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b w:val="0"/>
          <w:bCs w:val="0"/>
          <w:color w:val="000000"/>
          <w:kern w:val="2"/>
          <w:sz w:val="24"/>
          <w:szCs w:val="24"/>
          <w:highlight w:val="none"/>
          <w:lang w:val="en-US" w:eastAsia="zh-CN" w:bidi="ar-SA"/>
        </w:rPr>
      </w:pPr>
      <w:r>
        <w:rPr>
          <w:rFonts w:hint="eastAsia" w:ascii="Times New Roman" w:hAnsi="Times New Roman" w:eastAsia="宋体" w:cs="Times New Roman"/>
          <w:b w:val="0"/>
          <w:bCs w:val="0"/>
          <w:color w:val="000000"/>
          <w:kern w:val="2"/>
          <w:sz w:val="24"/>
          <w:szCs w:val="24"/>
          <w:highlight w:val="none"/>
          <w:lang w:val="en-US" w:eastAsia="zh-CN" w:bidi="ar-SA"/>
        </w:rPr>
        <w:t>对于普通混凝土，其用砂、石可依据《普通混凝土用砂、石质量及检验方法标准》JGJ 52，或《建设用砂》GB/T 14684、《建设用卵石、碎石》GB/T 14685 执行，这些标准对骨料的颗粒级配、含泥量、泥块含量、有害物质含量等关键指标作出了详细规定。</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color w:val="000000"/>
          <w:kern w:val="2"/>
          <w:sz w:val="24"/>
          <w:szCs w:val="24"/>
          <w:highlight w:val="none"/>
          <w:lang w:val="en-US" w:eastAsia="zh-CN" w:bidi="ar-SA"/>
        </w:rPr>
      </w:pPr>
      <w:r>
        <w:rPr>
          <w:rFonts w:hint="eastAsia"/>
          <w:sz w:val="24"/>
          <w:szCs w:val="24"/>
          <w:highlight w:val="none"/>
          <w:u w:val="none"/>
          <w:lang w:val="en-US" w:eastAsia="zh-CN"/>
        </w:rPr>
        <w:t>钢渣粉</w:t>
      </w:r>
      <w:r>
        <w:rPr>
          <w:rFonts w:hint="default" w:ascii="Times New Roman" w:hAnsi="Times New Roman" w:eastAsia="宋体" w:cs="Times New Roman"/>
          <w:b w:val="0"/>
          <w:bCs w:val="0"/>
          <w:color w:val="000000"/>
          <w:kern w:val="2"/>
          <w:sz w:val="24"/>
          <w:szCs w:val="24"/>
          <w:highlight w:val="none"/>
          <w:lang w:val="en-US" w:eastAsia="zh-CN" w:bidi="ar-SA"/>
        </w:rPr>
        <w:t>和粉煤灰、粒化高炉矿渣粉或硅灰等其他矿物掺合料复合使用时</w:t>
      </w:r>
      <w:r>
        <w:rPr>
          <w:rFonts w:hint="eastAsia" w:ascii="Times New Roman" w:hAnsi="Times New Roman" w:eastAsia="宋体" w:cs="Times New Roman"/>
          <w:b w:val="0"/>
          <w:bCs w:val="0"/>
          <w:color w:val="000000"/>
          <w:kern w:val="2"/>
          <w:sz w:val="24"/>
          <w:szCs w:val="24"/>
          <w:highlight w:val="none"/>
          <w:lang w:val="en-US" w:eastAsia="zh-CN" w:bidi="ar-SA"/>
        </w:rPr>
        <w:t>效果更优</w:t>
      </w:r>
      <w:r>
        <w:rPr>
          <w:rFonts w:hint="default" w:ascii="Times New Roman" w:hAnsi="Times New Roman" w:eastAsia="宋体" w:cs="Times New Roman"/>
          <w:b w:val="0"/>
          <w:bCs w:val="0"/>
          <w:color w:val="000000"/>
          <w:kern w:val="2"/>
          <w:sz w:val="24"/>
          <w:szCs w:val="24"/>
          <w:highlight w:val="none"/>
          <w:lang w:val="en-US" w:eastAsia="zh-CN" w:bidi="ar-SA"/>
        </w:rPr>
        <w:t>，其他矿物掺合料</w:t>
      </w:r>
      <w:r>
        <w:rPr>
          <w:rFonts w:hint="eastAsia" w:ascii="Times New Roman" w:hAnsi="Times New Roman" w:eastAsia="宋体" w:cs="Times New Roman"/>
          <w:b w:val="0"/>
          <w:bCs w:val="0"/>
          <w:color w:val="000000"/>
          <w:kern w:val="2"/>
          <w:sz w:val="24"/>
          <w:szCs w:val="24"/>
          <w:highlight w:val="none"/>
          <w:lang w:val="en-US" w:eastAsia="zh-CN" w:bidi="ar-SA"/>
        </w:rPr>
        <w:t>性能指标</w:t>
      </w:r>
      <w:r>
        <w:rPr>
          <w:rFonts w:hint="default" w:ascii="Times New Roman" w:hAnsi="Times New Roman" w:eastAsia="宋体" w:cs="Times New Roman"/>
          <w:b w:val="0"/>
          <w:bCs w:val="0"/>
          <w:color w:val="000000"/>
          <w:kern w:val="2"/>
          <w:sz w:val="24"/>
          <w:szCs w:val="24"/>
          <w:highlight w:val="none"/>
          <w:lang w:val="en-US" w:eastAsia="zh-CN" w:bidi="ar-SA"/>
        </w:rPr>
        <w:t>应满足国家现行有关标准要求。</w:t>
      </w:r>
      <w:r>
        <w:rPr>
          <w:rFonts w:hint="eastAsia" w:ascii="Times New Roman" w:hAnsi="Times New Roman" w:eastAsia="宋体" w:cs="Times New Roman"/>
          <w:b w:val="0"/>
          <w:bCs w:val="0"/>
          <w:color w:val="000000"/>
          <w:kern w:val="2"/>
          <w:sz w:val="24"/>
          <w:szCs w:val="24"/>
          <w:highlight w:val="none"/>
          <w:lang w:val="en-US" w:eastAsia="zh-CN" w:bidi="ar-SA"/>
        </w:rPr>
        <w:t>需</w:t>
      </w:r>
      <w:r>
        <w:rPr>
          <w:rFonts w:hint="default" w:ascii="Times New Roman" w:hAnsi="Times New Roman" w:eastAsia="宋体" w:cs="Times New Roman"/>
          <w:b w:val="0"/>
          <w:bCs w:val="0"/>
          <w:color w:val="000000"/>
          <w:kern w:val="2"/>
          <w:sz w:val="24"/>
          <w:szCs w:val="24"/>
          <w:highlight w:val="none"/>
          <w:lang w:val="en-US" w:eastAsia="zh-CN" w:bidi="ar-SA"/>
        </w:rPr>
        <w:t>确保其他矿物掺合料与</w:t>
      </w:r>
      <w:r>
        <w:rPr>
          <w:rFonts w:hint="eastAsia"/>
          <w:sz w:val="24"/>
          <w:szCs w:val="24"/>
          <w:highlight w:val="none"/>
          <w:u w:val="none"/>
          <w:lang w:val="en-US" w:eastAsia="zh-CN"/>
        </w:rPr>
        <w:t>钢渣粉</w:t>
      </w:r>
      <w:r>
        <w:rPr>
          <w:rFonts w:hint="default" w:ascii="Times New Roman" w:hAnsi="Times New Roman" w:eastAsia="宋体" w:cs="Times New Roman"/>
          <w:b w:val="0"/>
          <w:bCs w:val="0"/>
          <w:color w:val="000000"/>
          <w:kern w:val="2"/>
          <w:sz w:val="24"/>
          <w:szCs w:val="24"/>
          <w:highlight w:val="none"/>
          <w:lang w:val="en-US" w:eastAsia="zh-CN" w:bidi="ar-SA"/>
        </w:rPr>
        <w:t>复掺使用时，不会因自身质量问题影响混凝土性能。</w:t>
      </w:r>
    </w:p>
    <w:p>
      <w:pPr>
        <w:spacing w:line="360" w:lineRule="auto"/>
        <w:ind w:firstLine="480" w:firstLineChars="200"/>
        <w:rPr>
          <w:rFonts w:hint="default" w:ascii="Times New Roman" w:hAnsi="Times New Roman" w:eastAsia="宋体" w:cs="Times New Roman"/>
          <w:sz w:val="24"/>
          <w:highlight w:val="none"/>
          <w:lang w:val="en-US" w:eastAsia="zh-CN"/>
        </w:rPr>
      </w:pPr>
      <w:r>
        <w:rPr>
          <w:rFonts w:hint="eastAsia" w:ascii="Times New Roman" w:hAnsi="Times New Roman" w:eastAsia="宋体" w:cs="Times New Roman"/>
          <w:b w:val="0"/>
          <w:bCs w:val="0"/>
          <w:color w:val="000000"/>
          <w:kern w:val="2"/>
          <w:sz w:val="24"/>
          <w:szCs w:val="24"/>
          <w:highlight w:val="none"/>
          <w:lang w:val="en-US" w:eastAsia="zh-CN" w:bidi="ar-SA"/>
        </w:rPr>
        <w:t>外加剂应满足现行有关标准规定，同时应与水泥、</w:t>
      </w:r>
      <w:r>
        <w:rPr>
          <w:rFonts w:hint="eastAsia"/>
          <w:sz w:val="24"/>
          <w:szCs w:val="24"/>
          <w:highlight w:val="none"/>
          <w:u w:val="none"/>
          <w:lang w:val="en-US" w:eastAsia="zh-CN"/>
        </w:rPr>
        <w:t>钢渣粉</w:t>
      </w:r>
      <w:r>
        <w:rPr>
          <w:rFonts w:hint="eastAsia" w:ascii="Times New Roman" w:hAnsi="Times New Roman" w:eastAsia="宋体" w:cs="Times New Roman"/>
          <w:b w:val="0"/>
          <w:bCs w:val="0"/>
          <w:color w:val="000000"/>
          <w:kern w:val="2"/>
          <w:sz w:val="24"/>
          <w:szCs w:val="24"/>
          <w:highlight w:val="none"/>
          <w:lang w:val="en-US" w:eastAsia="zh-CN" w:bidi="ar-SA"/>
        </w:rPr>
        <w:t>等其他矿物掺合料具有良好的适应性。</w:t>
      </w:r>
    </w:p>
    <w:p>
      <w:pPr>
        <w:numPr>
          <w:ilvl w:val="0"/>
          <w:numId w:val="7"/>
        </w:numPr>
        <w:adjustRightInd w:val="0"/>
        <w:snapToGrid w:val="0"/>
        <w:spacing w:line="360" w:lineRule="auto"/>
        <w:ind w:firstLine="480" w:firstLineChars="200"/>
        <w:rPr>
          <w:rFonts w:hint="default" w:eastAsia="宋体"/>
          <w:sz w:val="24"/>
          <w:highlight w:val="none"/>
          <w:lang w:val="en-US" w:eastAsia="zh-CN"/>
        </w:rPr>
      </w:pPr>
      <w:r>
        <w:rPr>
          <w:rFonts w:hint="eastAsia" w:eastAsia="宋体"/>
          <w:sz w:val="24"/>
          <w:highlight w:val="none"/>
          <w:lang w:val="en-US" w:eastAsia="zh-CN"/>
        </w:rPr>
        <w:t>混凝土性能</w:t>
      </w:r>
    </w:p>
    <w:p>
      <w:pPr>
        <w:numPr>
          <w:ilvl w:val="0"/>
          <w:numId w:val="0"/>
        </w:numPr>
        <w:adjustRightInd w:val="0"/>
        <w:snapToGrid w:val="0"/>
        <w:spacing w:line="360" w:lineRule="auto"/>
        <w:ind w:leftChars="0" w:firstLine="480" w:firstLineChars="200"/>
        <w:rPr>
          <w:rFonts w:hint="eastAsia" w:ascii="Times New Roman" w:hAnsi="Times New Roman" w:eastAsia="宋体" w:cs="Times New Roman"/>
          <w:b w:val="0"/>
          <w:bCs w:val="0"/>
          <w:color w:val="000000"/>
          <w:kern w:val="2"/>
          <w:sz w:val="24"/>
          <w:szCs w:val="24"/>
          <w:highlight w:val="none"/>
          <w:lang w:val="en-US" w:eastAsia="zh-CN" w:bidi="ar-SA"/>
        </w:rPr>
      </w:pPr>
      <w:r>
        <w:rPr>
          <w:rFonts w:hint="eastAsia" w:ascii="Times New Roman" w:hAnsi="Times New Roman" w:eastAsia="宋体" w:cs="Times New Roman"/>
          <w:b w:val="0"/>
          <w:bCs w:val="0"/>
          <w:color w:val="000000"/>
          <w:kern w:val="2"/>
          <w:sz w:val="24"/>
          <w:szCs w:val="24"/>
          <w:highlight w:val="none"/>
          <w:lang w:val="en-US" w:eastAsia="zh-CN" w:bidi="ar-SA"/>
        </w:rPr>
        <w:t>4.1 拌合物性能</w:t>
      </w:r>
    </w:p>
    <w:p>
      <w:pPr>
        <w:numPr>
          <w:ilvl w:val="0"/>
          <w:numId w:val="0"/>
        </w:numPr>
        <w:adjustRightInd w:val="0"/>
        <w:snapToGrid w:val="0"/>
        <w:spacing w:line="360" w:lineRule="auto"/>
        <w:ind w:leftChars="0" w:firstLine="480" w:firstLineChars="200"/>
        <w:rPr>
          <w:rFonts w:hint="eastAsia" w:ascii="Times New Roman" w:hAnsi="Times New Roman" w:eastAsia="宋体" w:cs="Times New Roman"/>
          <w:b w:val="0"/>
          <w:bCs w:val="0"/>
          <w:sz w:val="24"/>
          <w:szCs w:val="24"/>
          <w:highlight w:val="none"/>
          <w:lang w:val="en-US" w:eastAsia="zh-CN"/>
        </w:rPr>
      </w:pPr>
      <w:r>
        <w:rPr>
          <w:rFonts w:hint="eastAsia" w:eastAsia="宋体"/>
          <w:sz w:val="24"/>
          <w:highlight w:val="none"/>
          <w:lang w:val="en-US" w:eastAsia="zh-CN"/>
        </w:rPr>
        <w:t>对掺加</w:t>
      </w:r>
      <w:r>
        <w:rPr>
          <w:rFonts w:hint="eastAsia"/>
          <w:sz w:val="24"/>
          <w:szCs w:val="24"/>
          <w:highlight w:val="none"/>
          <w:u w:val="none"/>
          <w:lang w:val="en-US" w:eastAsia="zh-CN"/>
        </w:rPr>
        <w:t>钢渣粉</w:t>
      </w:r>
      <w:r>
        <w:rPr>
          <w:rFonts w:hint="eastAsia" w:eastAsia="宋体"/>
          <w:sz w:val="24"/>
          <w:highlight w:val="none"/>
          <w:lang w:val="en-US" w:eastAsia="zh-CN"/>
        </w:rPr>
        <w:t>的混凝土拌合物性能（</w:t>
      </w:r>
      <w:r>
        <w:rPr>
          <w:rFonts w:hint="default" w:ascii="Times New Roman" w:hAnsi="Times New Roman" w:eastAsia="宋体" w:cs="Times New Roman"/>
          <w:b w:val="0"/>
          <w:bCs w:val="0"/>
          <w:sz w:val="24"/>
          <w:szCs w:val="24"/>
          <w:highlight w:val="none"/>
        </w:rPr>
        <w:t>凝结时间</w:t>
      </w:r>
      <w:r>
        <w:rPr>
          <w:rFonts w:hint="eastAsia" w:ascii="Times New Roman" w:hAnsi="Times New Roman" w:eastAsia="宋体" w:cs="Times New Roman"/>
          <w:b w:val="0"/>
          <w:bCs w:val="0"/>
          <w:sz w:val="24"/>
          <w:szCs w:val="24"/>
          <w:highlight w:val="none"/>
          <w:lang w:eastAsia="zh-CN"/>
        </w:rPr>
        <w:t>、</w:t>
      </w:r>
      <w:r>
        <w:rPr>
          <w:rFonts w:hint="default" w:ascii="Times New Roman" w:hAnsi="Times New Roman" w:eastAsia="宋体" w:cs="Times New Roman"/>
          <w:b w:val="0"/>
          <w:bCs w:val="0"/>
          <w:sz w:val="24"/>
          <w:szCs w:val="24"/>
          <w:highlight w:val="none"/>
        </w:rPr>
        <w:t>拌合物坍落度和扩展度等级划分</w:t>
      </w:r>
      <w:r>
        <w:rPr>
          <w:rFonts w:hint="eastAsia" w:ascii="Times New Roman" w:hAnsi="Times New Roman" w:eastAsia="宋体" w:cs="Times New Roman"/>
          <w:b w:val="0"/>
          <w:bCs w:val="0"/>
          <w:sz w:val="24"/>
          <w:szCs w:val="24"/>
          <w:highlight w:val="none"/>
          <w:lang w:eastAsia="zh-CN"/>
        </w:rPr>
        <w:t>、</w:t>
      </w:r>
      <w:r>
        <w:rPr>
          <w:rFonts w:hint="default" w:ascii="Times New Roman" w:hAnsi="Times New Roman" w:eastAsia="宋体" w:cs="Times New Roman"/>
          <w:b w:val="0"/>
          <w:bCs w:val="0"/>
          <w:sz w:val="24"/>
          <w:szCs w:val="24"/>
          <w:highlight w:val="none"/>
        </w:rPr>
        <w:t>坍落度和扩展度的</w:t>
      </w:r>
      <w:r>
        <w:rPr>
          <w:rFonts w:hint="default" w:ascii="Times New Roman" w:hAnsi="Times New Roman" w:eastAsia="宋体" w:cs="Times New Roman"/>
          <w:b w:val="0"/>
          <w:bCs w:val="0"/>
          <w:sz w:val="24"/>
          <w:szCs w:val="24"/>
          <w:highlight w:val="none"/>
          <w:lang w:val="en-US" w:eastAsia="zh-CN"/>
        </w:rPr>
        <w:t>实测值与控制目标值允许偏差</w:t>
      </w:r>
      <w:r>
        <w:rPr>
          <w:rFonts w:hint="eastAsia" w:ascii="Times New Roman" w:hAnsi="Times New Roman" w:eastAsia="宋体" w:cs="Times New Roman"/>
          <w:b w:val="0"/>
          <w:bCs w:val="0"/>
          <w:sz w:val="24"/>
          <w:szCs w:val="24"/>
          <w:highlight w:val="none"/>
          <w:lang w:eastAsia="zh-CN"/>
        </w:rPr>
        <w:t>、</w:t>
      </w:r>
      <w:r>
        <w:rPr>
          <w:rFonts w:hint="default" w:ascii="Times New Roman" w:hAnsi="Times New Roman" w:eastAsia="宋体" w:cs="Times New Roman"/>
          <w:b w:val="0"/>
          <w:bCs w:val="0"/>
          <w:sz w:val="24"/>
          <w:szCs w:val="24"/>
          <w:highlight w:val="none"/>
        </w:rPr>
        <w:t>含气量</w:t>
      </w:r>
      <w:r>
        <w:rPr>
          <w:rFonts w:hint="eastAsia" w:ascii="Times New Roman" w:hAnsi="Times New Roman" w:eastAsia="宋体" w:cs="Times New Roman"/>
          <w:b w:val="0"/>
          <w:bCs w:val="0"/>
          <w:sz w:val="24"/>
          <w:szCs w:val="24"/>
          <w:highlight w:val="none"/>
          <w:lang w:eastAsia="zh-CN"/>
        </w:rPr>
        <w:t>、</w:t>
      </w:r>
      <w:r>
        <w:rPr>
          <w:rFonts w:hint="eastAsia" w:ascii="Times New Roman" w:hAnsi="Times New Roman" w:eastAsia="宋体" w:cs="Times New Roman"/>
          <w:color w:val="000000"/>
          <w:sz w:val="24"/>
          <w:szCs w:val="24"/>
          <w:highlight w:val="none"/>
          <w:lang w:eastAsia="zh-CN"/>
        </w:rPr>
        <w:t>水溶性氯离子含量</w:t>
      </w:r>
      <w:r>
        <w:rPr>
          <w:rFonts w:hint="eastAsia" w:eastAsia="宋体"/>
          <w:sz w:val="24"/>
          <w:highlight w:val="none"/>
          <w:lang w:val="en-US" w:eastAsia="zh-CN"/>
        </w:rPr>
        <w:t>）及</w:t>
      </w:r>
      <w:r>
        <w:rPr>
          <w:rFonts w:hint="default" w:ascii="Times New Roman" w:hAnsi="Times New Roman" w:eastAsia="宋体" w:cs="Times New Roman"/>
          <w:b w:val="0"/>
          <w:bCs w:val="0"/>
          <w:sz w:val="24"/>
          <w:szCs w:val="24"/>
          <w:highlight w:val="none"/>
        </w:rPr>
        <w:t>拌合物性能试验方法</w:t>
      </w:r>
      <w:r>
        <w:rPr>
          <w:rFonts w:hint="eastAsia" w:ascii="Times New Roman" w:hAnsi="Times New Roman" w:eastAsia="宋体" w:cs="Times New Roman"/>
          <w:b w:val="0"/>
          <w:bCs w:val="0"/>
          <w:sz w:val="24"/>
          <w:szCs w:val="24"/>
          <w:highlight w:val="none"/>
          <w:lang w:val="en-US" w:eastAsia="zh-CN"/>
        </w:rPr>
        <w:t>进行规定。</w:t>
      </w:r>
    </w:p>
    <w:p>
      <w:pPr>
        <w:numPr>
          <w:ilvl w:val="0"/>
          <w:numId w:val="0"/>
        </w:numPr>
        <w:adjustRightInd w:val="0"/>
        <w:snapToGrid w:val="0"/>
        <w:spacing w:line="360" w:lineRule="auto"/>
        <w:ind w:firstLine="480" w:firstLineChars="200"/>
        <w:rPr>
          <w:rFonts w:hint="default" w:ascii="Times New Roman" w:hAnsi="Times New Roman" w:eastAsia="宋体" w:cs="Times New Roman"/>
          <w:b w:val="0"/>
          <w:bCs w:val="0"/>
          <w:sz w:val="24"/>
          <w:szCs w:val="24"/>
          <w:highlight w:val="none"/>
          <w:lang w:val="en-US" w:eastAsia="zh-CN"/>
        </w:rPr>
      </w:pPr>
      <w:r>
        <w:rPr>
          <w:rFonts w:hint="eastAsia"/>
          <w:sz w:val="24"/>
          <w:szCs w:val="24"/>
          <w:highlight w:val="none"/>
          <w:u w:val="none"/>
          <w:lang w:val="en-US" w:eastAsia="zh-CN"/>
        </w:rPr>
        <w:t>钢渣粉</w:t>
      </w:r>
      <w:r>
        <w:rPr>
          <w:rFonts w:hint="default" w:ascii="Times New Roman" w:hAnsi="Times New Roman" w:eastAsia="宋体" w:cs="Times New Roman"/>
          <w:b w:val="0"/>
          <w:bCs w:val="0"/>
          <w:sz w:val="24"/>
          <w:szCs w:val="24"/>
          <w:highlight w:val="none"/>
          <w:lang w:val="en-US" w:eastAsia="zh-CN"/>
        </w:rPr>
        <w:t>会在一定程度上降低混凝土的粘聚性，对于掺加</w:t>
      </w:r>
      <w:r>
        <w:rPr>
          <w:rFonts w:hint="eastAsia"/>
          <w:sz w:val="24"/>
          <w:szCs w:val="24"/>
          <w:highlight w:val="none"/>
          <w:u w:val="none"/>
          <w:lang w:val="en-US" w:eastAsia="zh-CN"/>
        </w:rPr>
        <w:t>钢渣粉</w:t>
      </w:r>
      <w:r>
        <w:rPr>
          <w:rFonts w:hint="default" w:ascii="Times New Roman" w:hAnsi="Times New Roman" w:eastAsia="宋体" w:cs="Times New Roman"/>
          <w:b w:val="0"/>
          <w:bCs w:val="0"/>
          <w:sz w:val="24"/>
          <w:szCs w:val="24"/>
          <w:highlight w:val="none"/>
          <w:lang w:val="en-US" w:eastAsia="zh-CN"/>
        </w:rPr>
        <w:t>的混凝土应控制拌合物的性能，使混凝土施工时具备良好的流动性、黏聚性等工作性，以便于搅拌、运输、浇筑和振捣。</w:t>
      </w:r>
    </w:p>
    <w:p>
      <w:pPr>
        <w:numPr>
          <w:ilvl w:val="0"/>
          <w:numId w:val="0"/>
        </w:numPr>
        <w:adjustRightInd w:val="0"/>
        <w:snapToGrid w:val="0"/>
        <w:spacing w:line="360" w:lineRule="auto"/>
        <w:ind w:firstLine="480" w:firstLineChars="200"/>
        <w:rPr>
          <w:rFonts w:hint="default" w:ascii="Times New Roman" w:hAnsi="Times New Roman" w:eastAsia="宋体" w:cs="Times New Roman"/>
          <w:b w:val="0"/>
          <w:bCs w:val="0"/>
          <w:sz w:val="24"/>
          <w:szCs w:val="24"/>
          <w:highlight w:val="none"/>
          <w:lang w:val="en-US" w:eastAsia="zh-CN"/>
        </w:rPr>
      </w:pPr>
      <w:r>
        <w:rPr>
          <w:rFonts w:hint="eastAsia" w:ascii="Times New Roman" w:hAnsi="Times New Roman" w:eastAsia="宋体" w:cs="Times New Roman"/>
          <w:b w:val="0"/>
          <w:bCs w:val="0"/>
          <w:sz w:val="24"/>
          <w:szCs w:val="24"/>
          <w:highlight w:val="none"/>
          <w:lang w:val="en-US" w:eastAsia="zh-CN"/>
        </w:rPr>
        <w:t>目前</w:t>
      </w:r>
      <w:r>
        <w:rPr>
          <w:rFonts w:hint="default" w:ascii="Times New Roman" w:hAnsi="Times New Roman" w:eastAsia="宋体" w:cs="Times New Roman"/>
          <w:b w:val="0"/>
          <w:bCs w:val="0"/>
          <w:sz w:val="24"/>
          <w:szCs w:val="24"/>
          <w:highlight w:val="none"/>
          <w:lang w:val="en-US" w:eastAsia="zh-CN"/>
        </w:rPr>
        <w:t>国家标准《预拌混凝土》GB/T 1490</w:t>
      </w:r>
      <w:r>
        <w:rPr>
          <w:rFonts w:hint="eastAsia" w:ascii="Times New Roman" w:hAnsi="Times New Roman" w:eastAsia="宋体" w:cs="Times New Roman"/>
          <w:b w:val="0"/>
          <w:bCs w:val="0"/>
          <w:sz w:val="24"/>
          <w:szCs w:val="24"/>
          <w:highlight w:val="none"/>
          <w:lang w:val="en-US" w:eastAsia="zh-CN"/>
        </w:rPr>
        <w:t>2正在修订，已经报批，等待发布。</w:t>
      </w:r>
      <w:r>
        <w:rPr>
          <w:rFonts w:hint="default" w:ascii="Times New Roman" w:hAnsi="Times New Roman" w:eastAsia="宋体" w:cs="Times New Roman"/>
          <w:b w:val="0"/>
          <w:bCs w:val="0"/>
          <w:sz w:val="24"/>
          <w:szCs w:val="24"/>
          <w:highlight w:val="none"/>
          <w:lang w:val="en-US" w:eastAsia="zh-CN"/>
        </w:rPr>
        <w:t>GB/T 1490</w:t>
      </w:r>
      <w:r>
        <w:rPr>
          <w:rFonts w:hint="eastAsia" w:ascii="Times New Roman" w:hAnsi="Times New Roman" w:eastAsia="宋体" w:cs="Times New Roman"/>
          <w:b w:val="0"/>
          <w:bCs w:val="0"/>
          <w:sz w:val="24"/>
          <w:szCs w:val="24"/>
          <w:highlight w:val="none"/>
          <w:lang w:val="en-US" w:eastAsia="zh-CN"/>
        </w:rPr>
        <w:t>2对</w:t>
      </w:r>
      <w:r>
        <w:rPr>
          <w:rFonts w:hint="default" w:ascii="Times New Roman" w:hAnsi="Times New Roman" w:eastAsia="宋体" w:cs="Times New Roman"/>
          <w:b w:val="0"/>
          <w:bCs w:val="0"/>
          <w:sz w:val="24"/>
          <w:szCs w:val="24"/>
          <w:highlight w:val="none"/>
          <w:lang w:val="en-US" w:eastAsia="zh-CN"/>
        </w:rPr>
        <w:t>混凝土拌合物坍落度和扩展度的等级划分及坍落度和扩展度的实测值与控制目标值的允许偏差</w:t>
      </w:r>
      <w:r>
        <w:rPr>
          <w:rFonts w:hint="eastAsia" w:ascii="Times New Roman" w:hAnsi="Times New Roman" w:eastAsia="宋体" w:cs="Times New Roman"/>
          <w:b w:val="0"/>
          <w:bCs w:val="0"/>
          <w:sz w:val="24"/>
          <w:szCs w:val="24"/>
          <w:highlight w:val="none"/>
          <w:lang w:val="en-US" w:eastAsia="zh-CN"/>
        </w:rPr>
        <w:t>均进行了重新规定</w:t>
      </w:r>
      <w:r>
        <w:rPr>
          <w:rFonts w:hint="default" w:ascii="Times New Roman" w:hAnsi="Times New Roman" w:eastAsia="宋体" w:cs="Times New Roman"/>
          <w:b w:val="0"/>
          <w:bCs w:val="0"/>
          <w:sz w:val="24"/>
          <w:szCs w:val="24"/>
          <w:highlight w:val="none"/>
          <w:lang w:val="en-US" w:eastAsia="zh-CN"/>
        </w:rPr>
        <w:t>，</w:t>
      </w:r>
      <w:r>
        <w:rPr>
          <w:rFonts w:hint="eastAsia" w:ascii="Times New Roman" w:hAnsi="Times New Roman" w:eastAsia="宋体" w:cs="Times New Roman"/>
          <w:b w:val="0"/>
          <w:bCs w:val="0"/>
          <w:sz w:val="24"/>
          <w:szCs w:val="24"/>
          <w:highlight w:val="none"/>
          <w:lang w:val="en-US" w:eastAsia="zh-CN"/>
        </w:rPr>
        <w:t>本标准依据</w:t>
      </w:r>
      <w:r>
        <w:rPr>
          <w:rFonts w:hint="default" w:ascii="Times New Roman" w:hAnsi="Times New Roman" w:eastAsia="宋体" w:cs="Times New Roman"/>
          <w:b w:val="0"/>
          <w:bCs w:val="0"/>
          <w:sz w:val="24"/>
          <w:szCs w:val="24"/>
          <w:highlight w:val="none"/>
          <w:lang w:val="en-US" w:eastAsia="zh-CN"/>
        </w:rPr>
        <w:t>GB/T 1490</w:t>
      </w:r>
      <w:r>
        <w:rPr>
          <w:rFonts w:hint="eastAsia" w:ascii="Times New Roman" w:hAnsi="Times New Roman" w:eastAsia="宋体" w:cs="Times New Roman"/>
          <w:b w:val="0"/>
          <w:bCs w:val="0"/>
          <w:sz w:val="24"/>
          <w:szCs w:val="24"/>
          <w:highlight w:val="none"/>
          <w:lang w:val="en-US" w:eastAsia="zh-CN"/>
        </w:rPr>
        <w:t>2执行</w:t>
      </w:r>
      <w:r>
        <w:rPr>
          <w:rFonts w:hint="default" w:ascii="Times New Roman" w:hAnsi="Times New Roman" w:eastAsia="宋体" w:cs="Times New Roman"/>
          <w:b w:val="0"/>
          <w:bCs w:val="0"/>
          <w:sz w:val="24"/>
          <w:szCs w:val="24"/>
          <w:highlight w:val="none"/>
          <w:lang w:val="en-US" w:eastAsia="zh-CN"/>
        </w:rPr>
        <w:t>。</w:t>
      </w:r>
    </w:p>
    <w:p>
      <w:pPr>
        <w:numPr>
          <w:ilvl w:val="0"/>
          <w:numId w:val="0"/>
        </w:numPr>
        <w:adjustRightInd w:val="0"/>
        <w:snapToGrid w:val="0"/>
        <w:spacing w:line="360" w:lineRule="auto"/>
        <w:ind w:firstLine="480" w:firstLineChars="200"/>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在一般情况下，</w:t>
      </w:r>
      <w:r>
        <w:rPr>
          <w:rFonts w:hint="eastAsia"/>
          <w:sz w:val="24"/>
          <w:szCs w:val="24"/>
          <w:highlight w:val="none"/>
          <w:u w:val="none"/>
          <w:lang w:val="en-US" w:eastAsia="zh-CN"/>
        </w:rPr>
        <w:t>钢渣粉</w:t>
      </w:r>
      <w:r>
        <w:rPr>
          <w:rFonts w:hint="default" w:ascii="Times New Roman" w:hAnsi="Times New Roman" w:eastAsia="宋体" w:cs="Times New Roman"/>
          <w:b w:val="0"/>
          <w:bCs w:val="0"/>
          <w:sz w:val="24"/>
          <w:szCs w:val="24"/>
          <w:highlight w:val="none"/>
          <w:lang w:val="en-US" w:eastAsia="zh-CN"/>
        </w:rPr>
        <w:t>混凝土的含气量不宜超过7%，以避免因含气量过高导致混凝土强度下降。在冻融环境条件下，为保证混凝土的抗冻性能，其含气量应满足《混凝土结构耐久性设计标准》GB/T 50476 的具体要求。而在无抗冻要求的一般环境条件下，如果掺用引气剂或引气型外加剂，则含气量应符合《混凝土质量控制标准》GB 50164 的规定。通过对含气量的限制和控制，能够有效提高混凝土的耐久性和适用性，满足工程需求。</w:t>
      </w:r>
    </w:p>
    <w:p>
      <w:pPr>
        <w:numPr>
          <w:ilvl w:val="0"/>
          <w:numId w:val="0"/>
        </w:numPr>
        <w:adjustRightInd w:val="0"/>
        <w:snapToGrid w:val="0"/>
        <w:spacing w:line="360" w:lineRule="auto"/>
        <w:ind w:firstLine="480" w:firstLineChars="200"/>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混凝土拌合物中水溶性氯离子含量按胶凝材料用量的质量百分比计。计算水溶性氯离子含量时，辅助胶凝材料的量不应大于硅酸盐水泥的量，辅助胶凝材料主要是指粉煤灰、硅灰、粒化矿渣粉等具有胶凝活性的矿物掺合料。当采用P·I型硅酸盐水泥时，硅酸盐水泥的量即为水泥用量；当采用除P·I型硅酸盐水泥以外的其他类型的硅酸盐水泥时，硅酸盐水泥的量以水泥用量减去混合材用量计算。水泥中的混合材掺量应按水泥厂家提供的出厂数据确定。</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eastAsia" w:eastAsia="宋体"/>
          <w:sz w:val="24"/>
          <w:highlight w:val="none"/>
          <w:lang w:val="en-US" w:eastAsia="zh-CN"/>
        </w:rPr>
      </w:pPr>
      <w:r>
        <w:rPr>
          <w:rFonts w:hint="eastAsia" w:eastAsia="宋体"/>
          <w:sz w:val="24"/>
          <w:highlight w:val="none"/>
          <w:lang w:val="en-US" w:eastAsia="zh-CN"/>
        </w:rPr>
        <w:t>4.2 力学性能</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eastAsia" w:eastAsia="宋体"/>
          <w:sz w:val="24"/>
          <w:highlight w:val="none"/>
          <w:lang w:val="en-US" w:eastAsia="zh-CN"/>
        </w:rPr>
      </w:pPr>
      <w:r>
        <w:rPr>
          <w:rFonts w:hint="eastAsia" w:eastAsia="宋体"/>
          <w:sz w:val="24"/>
          <w:highlight w:val="none"/>
          <w:lang w:val="en-US" w:eastAsia="zh-CN"/>
        </w:rPr>
        <w:t>对掺加</w:t>
      </w:r>
      <w:r>
        <w:rPr>
          <w:rFonts w:hint="eastAsia"/>
          <w:sz w:val="24"/>
          <w:szCs w:val="24"/>
          <w:highlight w:val="none"/>
          <w:u w:val="none"/>
          <w:lang w:val="en-US" w:eastAsia="zh-CN"/>
        </w:rPr>
        <w:t>钢渣粉</w:t>
      </w:r>
      <w:r>
        <w:rPr>
          <w:rFonts w:hint="eastAsia" w:eastAsia="宋体"/>
          <w:sz w:val="24"/>
          <w:highlight w:val="none"/>
          <w:lang w:val="en-US" w:eastAsia="zh-CN"/>
        </w:rPr>
        <w:t>的混凝土强度等级、力学性能要求、试验方法及抗压强度检验评定进行规定。</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eastAsia" w:eastAsia="宋体"/>
          <w:sz w:val="24"/>
          <w:highlight w:val="none"/>
          <w:lang w:val="en-US" w:eastAsia="zh-CN"/>
        </w:rPr>
      </w:pPr>
      <w:r>
        <w:rPr>
          <w:rFonts w:hint="eastAsia" w:eastAsia="宋体"/>
          <w:sz w:val="24"/>
          <w:highlight w:val="none"/>
          <w:lang w:val="en-US" w:eastAsia="zh-CN"/>
        </w:rPr>
        <w:t>本条规定了掺加</w:t>
      </w:r>
      <w:r>
        <w:rPr>
          <w:rFonts w:hint="eastAsia"/>
          <w:sz w:val="24"/>
          <w:szCs w:val="24"/>
          <w:highlight w:val="none"/>
          <w:u w:val="none"/>
          <w:lang w:val="en-US" w:eastAsia="zh-CN"/>
        </w:rPr>
        <w:t>钢渣粉</w:t>
      </w:r>
      <w:r>
        <w:rPr>
          <w:rFonts w:hint="eastAsia" w:eastAsia="宋体"/>
          <w:sz w:val="24"/>
          <w:highlight w:val="none"/>
          <w:lang w:val="en-US" w:eastAsia="zh-CN"/>
        </w:rPr>
        <w:t>的混凝土强度等级的划分，掺加</w:t>
      </w:r>
      <w:r>
        <w:rPr>
          <w:rFonts w:hint="eastAsia"/>
          <w:sz w:val="24"/>
          <w:szCs w:val="24"/>
          <w:highlight w:val="none"/>
          <w:u w:val="none"/>
          <w:lang w:val="en-US" w:eastAsia="zh-CN"/>
        </w:rPr>
        <w:t>钢渣粉</w:t>
      </w:r>
      <w:r>
        <w:rPr>
          <w:rFonts w:hint="eastAsia" w:eastAsia="宋体"/>
          <w:sz w:val="24"/>
          <w:highlight w:val="none"/>
          <w:lang w:val="en-US" w:eastAsia="zh-CN"/>
        </w:rPr>
        <w:t>的混凝土最低强度等级规定为C10，低强度混凝土可应用于基础垫层、回填层、非承重结构等场景；结合当前混凝土技术水平，通过优化工艺与配合比可配制 C100及以下强度等级的混凝土，但配制C100以上时，技术难度较大，故将强度等级上限设定为C100。</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eastAsia="宋体"/>
          <w:sz w:val="24"/>
          <w:highlight w:val="none"/>
          <w:lang w:val="en-US" w:eastAsia="zh-CN"/>
        </w:rPr>
      </w:pPr>
      <w:r>
        <w:rPr>
          <w:rFonts w:hint="default" w:eastAsia="宋体"/>
          <w:sz w:val="24"/>
          <w:highlight w:val="none"/>
          <w:lang w:val="en-US" w:eastAsia="zh-CN"/>
        </w:rPr>
        <w:t>强度检验评定需符合《混凝土强度检验评定标准》GB/T 50107的规定，通过统计方法判定强度是否满足设计等级，避免因材料波动导致强度不足；而强度设计取值依据《混凝土结构设计标准》GB/T 50010，确保结构计算与材料实际性能匹配，从根本上保障结构设计的科学性与安全性。</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eastAsia="宋体"/>
          <w:sz w:val="24"/>
          <w:highlight w:val="none"/>
          <w:lang w:val="en-US" w:eastAsia="zh-CN"/>
        </w:rPr>
      </w:pPr>
      <w:r>
        <w:rPr>
          <w:rFonts w:hint="eastAsia" w:eastAsia="宋体"/>
          <w:sz w:val="24"/>
          <w:highlight w:val="none"/>
          <w:lang w:val="en-US" w:eastAsia="zh-CN"/>
        </w:rPr>
        <w:t>4.3 耐久性能</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b w:val="0"/>
          <w:bCs w:val="0"/>
          <w:sz w:val="24"/>
          <w:szCs w:val="24"/>
          <w:highlight w:val="none"/>
          <w:lang w:val="en-US" w:eastAsia="zh-CN" w:bidi="ar-SA"/>
        </w:rPr>
      </w:pPr>
      <w:r>
        <w:rPr>
          <w:rFonts w:hint="eastAsia" w:eastAsia="宋体"/>
          <w:sz w:val="24"/>
          <w:highlight w:val="none"/>
          <w:lang w:val="en-US" w:eastAsia="zh-CN"/>
        </w:rPr>
        <w:t>对掺加</w:t>
      </w:r>
      <w:r>
        <w:rPr>
          <w:rFonts w:hint="eastAsia"/>
          <w:sz w:val="24"/>
          <w:szCs w:val="24"/>
          <w:highlight w:val="none"/>
          <w:u w:val="none"/>
          <w:lang w:val="en-US" w:eastAsia="zh-CN"/>
        </w:rPr>
        <w:t>钢渣粉</w:t>
      </w:r>
      <w:r>
        <w:rPr>
          <w:rFonts w:hint="eastAsia" w:eastAsia="宋体"/>
          <w:sz w:val="24"/>
          <w:highlight w:val="none"/>
          <w:lang w:val="en-US" w:eastAsia="zh-CN"/>
        </w:rPr>
        <w:t>的混凝土耐久性能等级划分、耐久性能要求、试验方法及检验评定进行规定。</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000000"/>
          <w:sz w:val="24"/>
          <w:szCs w:val="24"/>
          <w:highlight w:val="none"/>
          <w:u w:val="none"/>
          <w:lang w:val="en-US" w:eastAsia="zh-CN"/>
        </w:rPr>
        <w:t>《混凝土结构耐久性设计标准》</w:t>
      </w:r>
      <w:r>
        <w:rPr>
          <w:rFonts w:hint="default" w:ascii="Times New Roman" w:hAnsi="Times New Roman" w:eastAsia="宋体" w:cs="Times New Roman"/>
          <w:color w:val="auto"/>
          <w:sz w:val="24"/>
          <w:szCs w:val="24"/>
          <w:highlight w:val="none"/>
          <w:lang w:val="en-US" w:eastAsia="zh-CN"/>
        </w:rPr>
        <w:t>GB/T 50476对混凝土耐久性能等级作出了系统划分，这些等级直接对应不同环境下的耐久性指标要求。规定统一的等级划分标准，可避免因</w:t>
      </w:r>
      <w:r>
        <w:rPr>
          <w:rFonts w:hint="eastAsia"/>
          <w:sz w:val="24"/>
          <w:szCs w:val="24"/>
          <w:highlight w:val="none"/>
          <w:u w:val="none"/>
          <w:lang w:val="en-US" w:eastAsia="zh-CN"/>
        </w:rPr>
        <w:t>钢渣粉</w:t>
      </w:r>
      <w:r>
        <w:rPr>
          <w:rFonts w:hint="default" w:ascii="Times New Roman" w:hAnsi="Times New Roman" w:eastAsia="宋体" w:cs="Times New Roman"/>
          <w:color w:val="auto"/>
          <w:sz w:val="24"/>
          <w:szCs w:val="24"/>
          <w:highlight w:val="none"/>
          <w:lang w:val="en-US" w:eastAsia="zh-CN"/>
        </w:rPr>
        <w:t>的特性差异导致耐久性评价混乱。</w:t>
      </w:r>
    </w:p>
    <w:p>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sz w:val="24"/>
          <w:szCs w:val="24"/>
          <w:highlight w:val="none"/>
          <w:u w:val="none"/>
          <w:lang w:val="en-US" w:eastAsia="zh-CN"/>
        </w:rPr>
        <w:t>钢渣粉</w:t>
      </w:r>
      <w:r>
        <w:rPr>
          <w:rFonts w:hint="default" w:ascii="Times New Roman" w:hAnsi="Times New Roman" w:eastAsia="宋体" w:cs="Times New Roman"/>
          <w:color w:val="auto"/>
          <w:sz w:val="24"/>
          <w:szCs w:val="24"/>
          <w:highlight w:val="none"/>
          <w:lang w:val="en-US" w:eastAsia="zh-CN"/>
        </w:rPr>
        <w:t>虽能优化混凝土微观结构，提升抗渗、抗侵蚀等耐久性，但受材料活性、掺量及工程环境影响，实际耐久性能可能存在差异。因此，明确其耐久性能需首先满足设计对特定环境下的等级要求；同时，检验评定需遵循《混凝土耐久性检验评定标准》JGJ/T 193规定，对混凝土耐久性是否达标作出科学判定，避免因材料特性导致性能误判，确保结构在设计使用年限内的安全性与耐久性。</w:t>
      </w:r>
    </w:p>
    <w:p>
      <w:pPr>
        <w:numPr>
          <w:ilvl w:val="0"/>
          <w:numId w:val="7"/>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eastAsia="宋体"/>
          <w:sz w:val="24"/>
          <w:highlight w:val="none"/>
          <w:lang w:val="en-US" w:eastAsia="zh-CN"/>
        </w:rPr>
        <w:t>配合比设计</w:t>
      </w:r>
    </w:p>
    <w:p>
      <w:pPr>
        <w:spacing w:line="360" w:lineRule="auto"/>
        <w:ind w:firstLine="480" w:firstLineChars="200"/>
        <w:rPr>
          <w:rFonts w:hint="eastAsia"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rPr>
        <w:t>JGJ 55</w:t>
      </w:r>
      <w:r>
        <w:rPr>
          <w:rFonts w:hint="default" w:ascii="Times New Roman" w:hAnsi="Times New Roman" w:eastAsia="宋体" w:cs="Times New Roman"/>
          <w:sz w:val="24"/>
          <w:highlight w:val="none"/>
          <w:lang w:val="en-US" w:eastAsia="zh-CN"/>
        </w:rPr>
        <w:t>-2011《普通混凝土配合比设计规程》</w:t>
      </w:r>
      <w:r>
        <w:rPr>
          <w:rFonts w:hint="eastAsia" w:ascii="Times New Roman" w:hAnsi="Times New Roman" w:eastAsia="宋体" w:cs="Times New Roman"/>
          <w:sz w:val="24"/>
          <w:highlight w:val="none"/>
          <w:lang w:val="en-US" w:eastAsia="zh-CN"/>
        </w:rPr>
        <w:t>规定了</w:t>
      </w:r>
      <w:r>
        <w:rPr>
          <w:rFonts w:hint="default" w:ascii="Times New Roman" w:hAnsi="Times New Roman" w:eastAsia="宋体" w:cs="Times New Roman"/>
          <w:sz w:val="24"/>
          <w:highlight w:val="none"/>
          <w:lang w:val="en-US" w:eastAsia="zh-CN"/>
        </w:rPr>
        <w:t>混凝土配合比试配、调整与确定</w:t>
      </w:r>
      <w:r>
        <w:rPr>
          <w:rFonts w:hint="eastAsia" w:ascii="Times New Roman" w:hAnsi="Times New Roman" w:eastAsia="宋体" w:cs="Times New Roman"/>
          <w:sz w:val="24"/>
          <w:highlight w:val="none"/>
          <w:lang w:val="en-US" w:eastAsia="zh-CN"/>
        </w:rPr>
        <w:t>，但规定的掺合料没有包括</w:t>
      </w:r>
      <w:r>
        <w:rPr>
          <w:rFonts w:hint="eastAsia"/>
          <w:sz w:val="24"/>
          <w:szCs w:val="24"/>
          <w:highlight w:val="none"/>
          <w:u w:val="none"/>
          <w:lang w:val="en-US" w:eastAsia="zh-CN"/>
        </w:rPr>
        <w:t>钢渣粉</w:t>
      </w:r>
      <w:r>
        <w:rPr>
          <w:rFonts w:hint="eastAsia" w:ascii="Times New Roman" w:hAnsi="Times New Roman" w:eastAsia="宋体" w:cs="Times New Roman"/>
          <w:sz w:val="24"/>
          <w:highlight w:val="none"/>
          <w:lang w:val="en-US" w:eastAsia="zh-CN"/>
        </w:rPr>
        <w:t>，但</w:t>
      </w:r>
      <w:r>
        <w:rPr>
          <w:rFonts w:hint="eastAsia" w:eastAsia="宋体"/>
          <w:sz w:val="24"/>
          <w:highlight w:val="none"/>
          <w:lang w:val="en-US" w:eastAsia="zh-CN"/>
        </w:rPr>
        <w:t>掺加</w:t>
      </w:r>
      <w:r>
        <w:rPr>
          <w:rFonts w:hint="eastAsia"/>
          <w:sz w:val="24"/>
          <w:szCs w:val="24"/>
          <w:highlight w:val="none"/>
          <w:u w:val="none"/>
          <w:lang w:val="en-US" w:eastAsia="zh-CN"/>
        </w:rPr>
        <w:t>钢渣粉</w:t>
      </w:r>
      <w:r>
        <w:rPr>
          <w:rFonts w:hint="eastAsia" w:ascii="Times New Roman" w:hAnsi="Times New Roman" w:eastAsia="宋体" w:cs="Times New Roman"/>
          <w:color w:val="auto"/>
          <w:sz w:val="24"/>
          <w:szCs w:val="24"/>
          <w:highlight w:val="none"/>
          <w:lang w:val="en-US" w:eastAsia="zh-CN"/>
        </w:rPr>
        <w:t>的</w:t>
      </w:r>
      <w:r>
        <w:rPr>
          <w:rFonts w:hint="eastAsia" w:ascii="Times New Roman" w:hAnsi="Times New Roman" w:eastAsia="宋体" w:cs="Times New Roman"/>
          <w:sz w:val="24"/>
          <w:highlight w:val="none"/>
          <w:lang w:val="en-US" w:eastAsia="zh-CN"/>
        </w:rPr>
        <w:t>混凝土的配合比设计应符合现行行业标准《普通混凝土配合比设计规程》JGJ 55的规定。</w:t>
      </w:r>
    </w:p>
    <w:p>
      <w:pPr>
        <w:spacing w:line="360" w:lineRule="auto"/>
        <w:ind w:firstLine="480" w:firstLineChars="200"/>
        <w:rPr>
          <w:rFonts w:hint="eastAsia" w:eastAsia="宋体"/>
          <w:sz w:val="24"/>
          <w:highlight w:val="none"/>
          <w:lang w:val="en-US" w:eastAsia="zh-CN"/>
        </w:rPr>
      </w:pPr>
      <w:r>
        <w:rPr>
          <w:rFonts w:hint="eastAsia" w:eastAsia="宋体"/>
          <w:sz w:val="24"/>
          <w:highlight w:val="none"/>
          <w:lang w:val="en-US" w:eastAsia="zh-CN"/>
        </w:rPr>
        <w:t>各类混凝土中</w:t>
      </w:r>
      <w:r>
        <w:rPr>
          <w:rFonts w:hint="eastAsia"/>
          <w:sz w:val="24"/>
          <w:szCs w:val="24"/>
          <w:highlight w:val="none"/>
          <w:u w:val="none"/>
          <w:lang w:val="en-US" w:eastAsia="zh-CN"/>
        </w:rPr>
        <w:t>钢渣粉</w:t>
      </w:r>
      <w:r>
        <w:rPr>
          <w:rFonts w:hint="eastAsia" w:eastAsia="宋体"/>
          <w:sz w:val="24"/>
          <w:highlight w:val="none"/>
          <w:lang w:val="en-US" w:eastAsia="zh-CN"/>
        </w:rPr>
        <w:t>的最大掺量，是根据混凝土结构类型、水胶比及水泥品种确定的。</w:t>
      </w:r>
      <w:r>
        <w:rPr>
          <w:rFonts w:hint="eastAsia"/>
          <w:sz w:val="24"/>
          <w:szCs w:val="24"/>
          <w:highlight w:val="none"/>
          <w:u w:val="none"/>
          <w:lang w:val="en-US" w:eastAsia="zh-CN"/>
        </w:rPr>
        <w:t>钢渣粉</w:t>
      </w:r>
      <w:r>
        <w:rPr>
          <w:rFonts w:hint="eastAsia" w:eastAsia="宋体"/>
          <w:sz w:val="24"/>
          <w:highlight w:val="none"/>
          <w:lang w:val="en-US" w:eastAsia="zh-CN"/>
        </w:rPr>
        <w:t>最大掺量的确定，除了与强度、施工时的环境温度、大体积混凝土等有关外，也关系到混凝土的抗冻性、抗碳化性能等耐久性指标。试验表明，适宜的</w:t>
      </w:r>
      <w:r>
        <w:rPr>
          <w:rFonts w:hint="eastAsia"/>
          <w:sz w:val="24"/>
          <w:szCs w:val="24"/>
          <w:highlight w:val="none"/>
          <w:u w:val="none"/>
          <w:lang w:val="en-US" w:eastAsia="zh-CN"/>
        </w:rPr>
        <w:t>钢渣粉</w:t>
      </w:r>
      <w:r>
        <w:rPr>
          <w:rFonts w:hint="eastAsia" w:eastAsia="宋体"/>
          <w:sz w:val="24"/>
          <w:highlight w:val="none"/>
          <w:lang w:val="en-US" w:eastAsia="zh-CN"/>
        </w:rPr>
        <w:t>掺量可以改善混凝土拌合物性能，降低混凝土水化热，减小收缩，对混凝土强度及耐久性影响不大，掺量过大则会对混凝土的强度及抗冻、抗硫酸盐等耐久性能产生较大影响。</w:t>
      </w:r>
    </w:p>
    <w:p>
      <w:pPr>
        <w:spacing w:line="360" w:lineRule="auto"/>
        <w:ind w:firstLine="480" w:firstLineChars="200"/>
        <w:rPr>
          <w:rFonts w:hint="default" w:ascii="Times New Roman" w:hAnsi="Times New Roman" w:eastAsia="宋体" w:cs="Times New Roman"/>
          <w:sz w:val="24"/>
          <w:highlight w:val="none"/>
          <w:lang w:val="en-US" w:eastAsia="zh-CN"/>
        </w:rPr>
      </w:pPr>
      <w:r>
        <w:rPr>
          <w:rFonts w:hint="eastAsia" w:eastAsia="宋体"/>
          <w:sz w:val="24"/>
          <w:highlight w:val="none"/>
          <w:lang w:val="en-US" w:eastAsia="zh-CN"/>
        </w:rPr>
        <w:t>针对大体积混凝土，允许掺量提高5%～10%，因</w:t>
      </w:r>
      <w:r>
        <w:rPr>
          <w:rFonts w:hint="eastAsia"/>
          <w:sz w:val="24"/>
          <w:szCs w:val="24"/>
          <w:highlight w:val="none"/>
          <w:u w:val="none"/>
          <w:lang w:val="en-US" w:eastAsia="zh-CN"/>
        </w:rPr>
        <w:t>钢渣粉</w:t>
      </w:r>
      <w:r>
        <w:rPr>
          <w:rFonts w:hint="eastAsia" w:eastAsia="宋体"/>
          <w:sz w:val="24"/>
          <w:highlight w:val="none"/>
          <w:lang w:val="en-US" w:eastAsia="zh-CN"/>
        </w:rPr>
        <w:t>水化热低，增加掺量可减少水泥用量，降低温度裂缝风险，同时其后期强度增长能弥补早期强度损失；针对干燥环境和抗冻要求，适当降低掺量可减少干燥收缩、保障早期强度与抗冻性。</w:t>
      </w:r>
    </w:p>
    <w:p>
      <w:pPr>
        <w:spacing w:line="360" w:lineRule="auto"/>
        <w:ind w:firstLine="480" w:firstLineChars="200"/>
        <w:rPr>
          <w:rFonts w:hint="default" w:ascii="Times New Roman" w:hAnsi="Times New Roman" w:eastAsia="宋体" w:cs="Times New Roman"/>
          <w:sz w:val="24"/>
          <w:highlight w:val="none"/>
          <w:lang w:val="en-US" w:eastAsia="zh-CN"/>
        </w:rPr>
      </w:pPr>
      <w:r>
        <w:rPr>
          <w:rFonts w:hint="eastAsia"/>
          <w:sz w:val="24"/>
          <w:szCs w:val="24"/>
          <w:highlight w:val="none"/>
          <w:u w:val="none"/>
          <w:lang w:val="en-US" w:eastAsia="zh-CN"/>
        </w:rPr>
        <w:t>钢渣粉</w:t>
      </w:r>
      <w:r>
        <w:rPr>
          <w:rFonts w:hint="default" w:ascii="Times New Roman" w:hAnsi="Times New Roman" w:eastAsia="宋体" w:cs="Times New Roman"/>
          <w:sz w:val="24"/>
          <w:highlight w:val="none"/>
          <w:lang w:val="en-US" w:eastAsia="zh-CN"/>
        </w:rPr>
        <w:t>宜与其他矿物掺合料复合使用，通过不同掺合料之间的性能互补，进一步优化混凝土的工作性、强度和耐久性。同时，明确规定复合掺合料中</w:t>
      </w:r>
      <w:r>
        <w:rPr>
          <w:rFonts w:hint="eastAsia"/>
          <w:sz w:val="24"/>
          <w:szCs w:val="24"/>
          <w:highlight w:val="none"/>
          <w:u w:val="none"/>
          <w:lang w:val="en-US" w:eastAsia="zh-CN"/>
        </w:rPr>
        <w:t>钢渣粉</w:t>
      </w:r>
      <w:r>
        <w:rPr>
          <w:rFonts w:hint="default" w:ascii="Times New Roman" w:hAnsi="Times New Roman" w:eastAsia="宋体" w:cs="Times New Roman"/>
          <w:sz w:val="24"/>
          <w:highlight w:val="none"/>
          <w:lang w:val="en-US" w:eastAsia="zh-CN"/>
        </w:rPr>
        <w:t>的掺量不得超过其单独掺入混凝土时的最大掺量，以防止因掺量过高导致混凝土性能下降或其他不良后果，从而保障混凝土的质量和施工安全。</w:t>
      </w:r>
    </w:p>
    <w:p>
      <w:pPr>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在混凝土配合比水胶比计算中，胶凝材料28d胶砂抗压强度值应根据试验确定，在试验无实测值时，</w:t>
      </w:r>
      <w:r>
        <w:rPr>
          <w:rFonts w:hint="eastAsia"/>
          <w:sz w:val="24"/>
          <w:szCs w:val="24"/>
          <w:highlight w:val="none"/>
          <w:u w:val="none"/>
          <w:lang w:val="en-US" w:eastAsia="zh-CN"/>
        </w:rPr>
        <w:t>钢渣粉</w:t>
      </w:r>
      <w:r>
        <w:rPr>
          <w:rFonts w:hint="default" w:ascii="Times New Roman" w:hAnsi="Times New Roman" w:eastAsia="宋体" w:cs="Times New Roman"/>
          <w:sz w:val="24"/>
          <w:highlight w:val="none"/>
          <w:lang w:val="en-US" w:eastAsia="zh-CN"/>
        </w:rPr>
        <w:t>影响系数可按本</w:t>
      </w:r>
      <w:r>
        <w:rPr>
          <w:rFonts w:hint="eastAsia" w:ascii="Times New Roman" w:hAnsi="Times New Roman" w:eastAsia="宋体" w:cs="Times New Roman"/>
          <w:sz w:val="24"/>
          <w:highlight w:val="none"/>
          <w:lang w:val="en-US" w:eastAsia="zh-CN"/>
        </w:rPr>
        <w:t>标准</w:t>
      </w:r>
      <w:r>
        <w:rPr>
          <w:rFonts w:hint="default" w:ascii="Times New Roman" w:hAnsi="Times New Roman" w:eastAsia="宋体" w:cs="Times New Roman"/>
          <w:sz w:val="24"/>
          <w:highlight w:val="none"/>
          <w:lang w:val="en-US" w:eastAsia="zh-CN"/>
        </w:rPr>
        <w:t>规定取值。粉煤灰影响系数和粒化高炉矿渣粉影响系数与现行行业标准《普通混凝土配合比设计规程》JGJ55的规定一致。</w:t>
      </w:r>
    </w:p>
    <w:p>
      <w:pPr>
        <w:spacing w:line="360" w:lineRule="auto"/>
        <w:ind w:firstLine="480" w:firstLineChars="200"/>
        <w:rPr>
          <w:rFonts w:hint="eastAsia"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采用设计配合比进行试生产并对配合比进行相应调整是确定施工配合比的重要环节</w:t>
      </w:r>
      <w:r>
        <w:rPr>
          <w:rFonts w:hint="eastAsia" w:ascii="Times New Roman" w:hAnsi="Times New Roman" w:eastAsia="宋体" w:cs="Times New Roman"/>
          <w:sz w:val="24"/>
          <w:highlight w:val="none"/>
          <w:lang w:val="en-US" w:eastAsia="zh-CN"/>
        </w:rPr>
        <w:t>。</w:t>
      </w:r>
    </w:p>
    <w:p>
      <w:pPr>
        <w:spacing w:line="360" w:lineRule="auto"/>
        <w:ind w:firstLine="480" w:firstLineChars="200"/>
        <w:rPr>
          <w:rFonts w:hint="eastAsia"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掺</w:t>
      </w:r>
      <w:r>
        <w:rPr>
          <w:rFonts w:hint="eastAsia"/>
          <w:sz w:val="24"/>
          <w:szCs w:val="24"/>
          <w:highlight w:val="none"/>
          <w:u w:val="none"/>
          <w:lang w:val="en-US" w:eastAsia="zh-CN"/>
        </w:rPr>
        <w:t>钢渣粉</w:t>
      </w:r>
      <w:r>
        <w:rPr>
          <w:rFonts w:hint="eastAsia" w:ascii="Times New Roman" w:hAnsi="Times New Roman" w:eastAsia="宋体" w:cs="Times New Roman"/>
          <w:sz w:val="24"/>
          <w:highlight w:val="none"/>
          <w:lang w:val="en-US" w:eastAsia="zh-CN"/>
        </w:rPr>
        <w:t>的混凝土的生产使用配合比应进行性能验证。进行定期性能验证主要是由于</w:t>
      </w:r>
      <w:r>
        <w:rPr>
          <w:rFonts w:hint="eastAsia"/>
          <w:sz w:val="24"/>
          <w:szCs w:val="24"/>
          <w:highlight w:val="none"/>
          <w:u w:val="none"/>
          <w:lang w:val="en-US" w:eastAsia="zh-CN"/>
        </w:rPr>
        <w:t>钢渣粉</w:t>
      </w:r>
      <w:r>
        <w:rPr>
          <w:rFonts w:hint="eastAsia" w:ascii="Times New Roman" w:hAnsi="Times New Roman" w:eastAsia="宋体" w:cs="Times New Roman"/>
          <w:sz w:val="24"/>
          <w:highlight w:val="none"/>
          <w:lang w:val="en-US" w:eastAsia="zh-CN"/>
        </w:rPr>
        <w:t>的成分及活性易受矿源、加工</w:t>
      </w:r>
      <w:r>
        <w:rPr>
          <w:rFonts w:hint="eastAsia" w:cs="Times New Roman"/>
          <w:sz w:val="24"/>
          <w:highlight w:val="none"/>
          <w:lang w:val="en-US" w:eastAsia="zh-CN"/>
        </w:rPr>
        <w:t>工艺</w:t>
      </w:r>
      <w:r>
        <w:rPr>
          <w:rFonts w:hint="eastAsia" w:ascii="Times New Roman" w:hAnsi="Times New Roman" w:eastAsia="宋体" w:cs="Times New Roman"/>
          <w:sz w:val="24"/>
          <w:highlight w:val="none"/>
          <w:lang w:val="en-US" w:eastAsia="zh-CN"/>
        </w:rPr>
        <w:t>等因素影响而发生波动，可能导致混凝土性能偏离设计要求。</w:t>
      </w:r>
    </w:p>
    <w:p>
      <w:pPr>
        <w:numPr>
          <w:ilvl w:val="0"/>
          <w:numId w:val="7"/>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施工</w:t>
      </w:r>
    </w:p>
    <w:p>
      <w:pPr>
        <w:numPr>
          <w:ilvl w:val="0"/>
          <w:numId w:val="0"/>
        </w:numPr>
        <w:adjustRightInd w:val="0"/>
        <w:snapToGrid w:val="0"/>
        <w:spacing w:line="360" w:lineRule="auto"/>
        <w:ind w:firstLine="480" w:firstLineChars="200"/>
        <w:rPr>
          <w:rFonts w:hint="eastAsia"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6.1一般规定</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规定了掺加</w:t>
      </w:r>
      <w:r>
        <w:rPr>
          <w:rFonts w:hint="eastAsia"/>
          <w:sz w:val="24"/>
          <w:szCs w:val="24"/>
          <w:highlight w:val="none"/>
          <w:u w:val="none"/>
          <w:lang w:val="en-US" w:eastAsia="zh-CN"/>
        </w:rPr>
        <w:t>钢渣粉</w:t>
      </w:r>
      <w:r>
        <w:rPr>
          <w:rFonts w:hint="default" w:ascii="Times New Roman" w:hAnsi="Times New Roman" w:eastAsia="宋体" w:cs="Times New Roman"/>
          <w:sz w:val="24"/>
          <w:highlight w:val="none"/>
          <w:lang w:val="en-US" w:eastAsia="zh-CN"/>
        </w:rPr>
        <w:t>的混凝土生产和施工的标准依据。掺</w:t>
      </w:r>
      <w:r>
        <w:rPr>
          <w:rFonts w:hint="eastAsia"/>
          <w:sz w:val="24"/>
          <w:szCs w:val="24"/>
          <w:highlight w:val="none"/>
          <w:u w:val="none"/>
          <w:lang w:val="en-US" w:eastAsia="zh-CN"/>
        </w:rPr>
        <w:t>钢渣粉</w:t>
      </w:r>
      <w:r>
        <w:rPr>
          <w:rFonts w:hint="default" w:ascii="Times New Roman" w:hAnsi="Times New Roman" w:eastAsia="宋体" w:cs="Times New Roman"/>
          <w:sz w:val="24"/>
          <w:highlight w:val="none"/>
          <w:lang w:val="en-US" w:eastAsia="zh-CN"/>
        </w:rPr>
        <w:t>的混凝土生产需符合现行预拌混凝土通用标准要求，确保材料计量、搅拌及环保控制等环节与常规生产体系协调一致，保障质量稳定和环境合规。</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sz w:val="24"/>
          <w:szCs w:val="24"/>
          <w:highlight w:val="none"/>
          <w:u w:val="none"/>
          <w:lang w:val="en-US" w:eastAsia="zh-CN"/>
        </w:rPr>
        <w:t>钢渣粉</w:t>
      </w:r>
      <w:r>
        <w:rPr>
          <w:rFonts w:hint="default" w:ascii="Times New Roman" w:hAnsi="Times New Roman" w:eastAsia="宋体" w:cs="Times New Roman"/>
          <w:sz w:val="24"/>
          <w:highlight w:val="none"/>
          <w:lang w:val="en-US" w:eastAsia="zh-CN"/>
        </w:rPr>
        <w:t>的掺入可能影响混凝土的凝结时间、早期强度发展等施工性能，但其施工工艺和质量控制原则仍与普通混凝土一致。上述标准已对混凝土浇筑、振捣、养护及质量检验等环节提出系统要求，遵守这些规定可保证施工过程中混凝土的密实性、耐久性和结构安全性，避免因施工操作不当导致性能下降。</w:t>
      </w:r>
    </w:p>
    <w:p>
      <w:pPr>
        <w:numPr>
          <w:ilvl w:val="0"/>
          <w:numId w:val="0"/>
        </w:numPr>
        <w:adjustRightInd w:val="0"/>
        <w:snapToGrid w:val="0"/>
        <w:spacing w:line="360" w:lineRule="auto"/>
        <w:ind w:firstLine="480" w:firstLineChars="200"/>
        <w:rPr>
          <w:rFonts w:hint="eastAsia"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6.2 原材料贮存与计量</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对</w:t>
      </w:r>
      <w:r>
        <w:rPr>
          <w:rFonts w:hint="eastAsia"/>
          <w:sz w:val="24"/>
          <w:szCs w:val="24"/>
          <w:highlight w:val="none"/>
          <w:u w:val="none"/>
          <w:lang w:val="en-US" w:eastAsia="zh-CN"/>
        </w:rPr>
        <w:t>钢渣粉</w:t>
      </w:r>
      <w:r>
        <w:rPr>
          <w:rFonts w:hint="eastAsia" w:ascii="Times New Roman" w:hAnsi="Times New Roman" w:eastAsia="宋体" w:cs="Times New Roman"/>
          <w:sz w:val="24"/>
          <w:highlight w:val="none"/>
          <w:lang w:val="en-US" w:eastAsia="zh-CN"/>
        </w:rPr>
        <w:t>及其他</w:t>
      </w:r>
      <w:r>
        <w:rPr>
          <w:rFonts w:hint="default" w:ascii="Times New Roman" w:hAnsi="Times New Roman" w:eastAsia="宋体" w:cs="Times New Roman"/>
          <w:sz w:val="24"/>
          <w:highlight w:val="none"/>
          <w:lang w:val="en-US" w:eastAsia="zh-CN"/>
        </w:rPr>
        <w:t>混凝土原材料贮存</w:t>
      </w:r>
      <w:r>
        <w:rPr>
          <w:rFonts w:hint="eastAsia" w:ascii="Times New Roman" w:hAnsi="Times New Roman" w:eastAsia="宋体" w:cs="Times New Roman"/>
          <w:sz w:val="24"/>
          <w:highlight w:val="none"/>
          <w:lang w:val="en-US" w:eastAsia="zh-CN"/>
        </w:rPr>
        <w:t>进行要求</w:t>
      </w:r>
      <w:r>
        <w:rPr>
          <w:rFonts w:hint="default" w:ascii="Times New Roman" w:hAnsi="Times New Roman" w:eastAsia="宋体" w:cs="Times New Roman"/>
          <w:sz w:val="24"/>
          <w:highlight w:val="none"/>
          <w:lang w:val="en-US" w:eastAsia="zh-CN"/>
        </w:rPr>
        <w:t>。</w:t>
      </w:r>
      <w:r>
        <w:rPr>
          <w:rFonts w:hint="eastAsia" w:ascii="Times New Roman" w:hAnsi="Times New Roman" w:eastAsia="宋体" w:cs="Times New Roman"/>
          <w:sz w:val="24"/>
          <w:szCs w:val="24"/>
          <w:highlight w:val="none"/>
          <w:lang w:val="en-US" w:eastAsia="zh-CN"/>
        </w:rPr>
        <w:t>提出</w:t>
      </w:r>
      <w:r>
        <w:rPr>
          <w:rFonts w:hint="default" w:ascii="Times New Roman" w:hAnsi="Times New Roman" w:eastAsia="宋体" w:cs="Times New Roman"/>
          <w:sz w:val="24"/>
          <w:szCs w:val="24"/>
          <w:highlight w:val="none"/>
        </w:rPr>
        <w:t>原材料计量应采用电子计量设备</w:t>
      </w:r>
      <w:r>
        <w:rPr>
          <w:rFonts w:hint="eastAsia" w:ascii="Times New Roman" w:hAnsi="Times New Roman" w:eastAsia="宋体" w:cs="Times New Roman"/>
          <w:sz w:val="24"/>
          <w:szCs w:val="24"/>
          <w:highlight w:val="none"/>
          <w:lang w:eastAsia="zh-CN"/>
        </w:rPr>
        <w:t>，</w:t>
      </w:r>
      <w:r>
        <w:rPr>
          <w:rFonts w:hint="default" w:ascii="Times New Roman" w:hAnsi="Times New Roman" w:eastAsia="宋体" w:cs="Times New Roman"/>
          <w:sz w:val="24"/>
          <w:highlight w:val="none"/>
          <w:lang w:val="en-US" w:eastAsia="zh-CN"/>
        </w:rPr>
        <w:t>采用电子计量设备有利于保证计量精度，保证掺加</w:t>
      </w:r>
      <w:r>
        <w:rPr>
          <w:rFonts w:hint="eastAsia" w:cs="Times New Roman"/>
          <w:sz w:val="24"/>
          <w:highlight w:val="none"/>
          <w:lang w:val="en-US" w:eastAsia="zh-CN"/>
        </w:rPr>
        <w:t>钢渣粉</w:t>
      </w:r>
      <w:r>
        <w:rPr>
          <w:rFonts w:hint="default" w:ascii="Times New Roman" w:hAnsi="Times New Roman" w:eastAsia="宋体" w:cs="Times New Roman"/>
          <w:sz w:val="24"/>
          <w:highlight w:val="none"/>
          <w:lang w:val="en-US" w:eastAsia="zh-CN"/>
        </w:rPr>
        <w:t>的混凝土生产质量。</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对</w:t>
      </w:r>
      <w:r>
        <w:rPr>
          <w:rFonts w:hint="default" w:ascii="Times New Roman" w:hAnsi="Times New Roman" w:eastAsia="宋体" w:cs="Times New Roman"/>
          <w:sz w:val="24"/>
          <w:highlight w:val="none"/>
          <w:lang w:val="en-US" w:eastAsia="zh-CN"/>
        </w:rPr>
        <w:t>混凝土原材料的计量允许偏差</w:t>
      </w:r>
      <w:r>
        <w:rPr>
          <w:rFonts w:hint="eastAsia" w:ascii="Times New Roman" w:hAnsi="Times New Roman" w:eastAsia="宋体" w:cs="Times New Roman"/>
          <w:sz w:val="24"/>
          <w:highlight w:val="none"/>
          <w:lang w:val="en-US" w:eastAsia="zh-CN"/>
        </w:rPr>
        <w:t>进行规定</w:t>
      </w:r>
      <w:r>
        <w:rPr>
          <w:rFonts w:hint="default" w:ascii="Times New Roman" w:hAnsi="Times New Roman" w:eastAsia="宋体" w:cs="Times New Roman"/>
          <w:sz w:val="24"/>
          <w:highlight w:val="none"/>
          <w:lang w:val="en-US" w:eastAsia="zh-CN"/>
        </w:rPr>
        <w:t>。过大的偏差可能会导致混凝土性能异常或工程质量问题。此外，要求每班次至少进行一次计量检查，以及时发现并纠正计量设备或操作中可能存在的误差，确保混凝土生产过程的规范性和一致性。</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如果堆场上的粗、细骨料的含水率发生变化，而称量不变，对水胶比和用水量会有影响，从而影响掺加</w:t>
      </w:r>
      <w:r>
        <w:rPr>
          <w:rFonts w:hint="eastAsia" w:cs="Times New Roman"/>
          <w:sz w:val="24"/>
          <w:highlight w:val="none"/>
          <w:lang w:val="en-US" w:eastAsia="zh-CN"/>
        </w:rPr>
        <w:t>钢渣粉</w:t>
      </w:r>
      <w:r>
        <w:rPr>
          <w:rFonts w:hint="default" w:ascii="Times New Roman" w:hAnsi="Times New Roman" w:eastAsia="宋体" w:cs="Times New Roman"/>
          <w:sz w:val="24"/>
          <w:highlight w:val="none"/>
          <w:lang w:val="en-US" w:eastAsia="zh-CN"/>
        </w:rPr>
        <w:t>混凝土的性能。</w:t>
      </w:r>
      <w:r>
        <w:rPr>
          <w:rFonts w:hint="eastAsia" w:ascii="Times New Roman" w:hAnsi="Times New Roman" w:eastAsia="宋体" w:cs="Times New Roman"/>
          <w:sz w:val="24"/>
          <w:highlight w:val="none"/>
          <w:lang w:val="en-US" w:eastAsia="zh-CN"/>
        </w:rPr>
        <w:t>因此，</w:t>
      </w:r>
      <w:r>
        <w:rPr>
          <w:rFonts w:hint="default" w:ascii="Times New Roman" w:hAnsi="Times New Roman" w:cs="Times New Roman"/>
          <w:sz w:val="24"/>
          <w:szCs w:val="24"/>
          <w:highlight w:val="none"/>
        </w:rPr>
        <w:t>原材料计量过程中，应根据粗、细骨料含水率的变化，调整粗、细骨料和拌合用水的用量。</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6.3 搅拌、运输和浇筑</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sz w:val="24"/>
          <w:szCs w:val="24"/>
          <w:highlight w:val="none"/>
          <w:u w:val="none"/>
          <w:lang w:val="en-US" w:eastAsia="zh-CN"/>
        </w:rPr>
        <w:t>钢渣粉</w:t>
      </w:r>
      <w:r>
        <w:rPr>
          <w:rFonts w:hint="default" w:ascii="Times New Roman" w:hAnsi="Times New Roman" w:eastAsia="宋体" w:cs="Times New Roman"/>
          <w:sz w:val="24"/>
          <w:highlight w:val="none"/>
          <w:lang w:val="en-US" w:eastAsia="zh-CN"/>
        </w:rPr>
        <w:t>宜与其他胶凝材料一起投料，适当延长搅拌时间可促进</w:t>
      </w:r>
      <w:r>
        <w:rPr>
          <w:rFonts w:hint="eastAsia"/>
          <w:sz w:val="24"/>
          <w:szCs w:val="24"/>
          <w:highlight w:val="none"/>
          <w:u w:val="none"/>
          <w:lang w:val="en-US" w:eastAsia="zh-CN"/>
        </w:rPr>
        <w:t>钢渣粉</w:t>
      </w:r>
      <w:r>
        <w:rPr>
          <w:rFonts w:hint="default" w:ascii="Times New Roman" w:hAnsi="Times New Roman" w:eastAsia="宋体" w:cs="Times New Roman"/>
          <w:sz w:val="24"/>
          <w:highlight w:val="none"/>
          <w:lang w:val="en-US" w:eastAsia="zh-CN"/>
        </w:rPr>
        <w:t>与水泥颗粒、拌合水的充分接触，确保</w:t>
      </w:r>
      <w:r>
        <w:rPr>
          <w:rFonts w:hint="eastAsia" w:cs="Times New Roman"/>
          <w:sz w:val="24"/>
          <w:highlight w:val="none"/>
          <w:lang w:val="en-US" w:eastAsia="zh-CN"/>
        </w:rPr>
        <w:t>水化</w:t>
      </w:r>
      <w:r>
        <w:rPr>
          <w:rFonts w:hint="default" w:ascii="Times New Roman" w:hAnsi="Times New Roman" w:eastAsia="宋体" w:cs="Times New Roman"/>
          <w:sz w:val="24"/>
          <w:highlight w:val="none"/>
          <w:lang w:val="en-US" w:eastAsia="zh-CN"/>
        </w:rPr>
        <w:t>反应所需的界面条件，同时减少因分散不足导致的拌合物局部干涩或泌水问题，提升工作性均匀性。采用强制式搅拌机有利于</w:t>
      </w:r>
      <w:r>
        <w:rPr>
          <w:rFonts w:hint="eastAsia"/>
          <w:sz w:val="24"/>
          <w:szCs w:val="24"/>
          <w:highlight w:val="none"/>
          <w:u w:val="none"/>
          <w:lang w:val="en-US" w:eastAsia="zh-CN"/>
        </w:rPr>
        <w:t>钢渣粉</w:t>
      </w:r>
      <w:r>
        <w:rPr>
          <w:rFonts w:hint="default" w:ascii="Times New Roman" w:hAnsi="Times New Roman" w:eastAsia="宋体" w:cs="Times New Roman"/>
          <w:sz w:val="24"/>
          <w:highlight w:val="none"/>
          <w:lang w:val="en-US" w:eastAsia="zh-CN"/>
        </w:rPr>
        <w:t>在混凝土中均匀分散。</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混凝土拌合物应搅拌均匀</w:t>
      </w:r>
      <w:r>
        <w:rPr>
          <w:rFonts w:hint="eastAsia" w:ascii="Times New Roman" w:hAnsi="Times New Roman" w:eastAsia="宋体" w:cs="Times New Roman"/>
          <w:sz w:val="24"/>
          <w:highlight w:val="none"/>
          <w:lang w:val="en-US" w:eastAsia="zh-CN"/>
        </w:rPr>
        <w:t>，</w:t>
      </w:r>
      <w:r>
        <w:rPr>
          <w:rFonts w:hint="default" w:ascii="Times New Roman" w:hAnsi="Times New Roman" w:eastAsia="宋体" w:cs="Times New Roman"/>
          <w:sz w:val="24"/>
          <w:highlight w:val="none"/>
          <w:lang w:val="en-US" w:eastAsia="zh-CN"/>
        </w:rPr>
        <w:t>这一要求确保了混凝土每一部分的性能一致，避免了由于拌合不均造成的强度、耐久性等性能不稳定问题</w:t>
      </w:r>
      <w:r>
        <w:rPr>
          <w:rFonts w:hint="eastAsia" w:ascii="Times New Roman" w:hAnsi="Times New Roman" w:eastAsia="宋体" w:cs="Times New Roman"/>
          <w:sz w:val="24"/>
          <w:highlight w:val="none"/>
          <w:lang w:val="en-US" w:eastAsia="zh-CN"/>
        </w:rPr>
        <w:t>。</w:t>
      </w:r>
      <w:r>
        <w:rPr>
          <w:rFonts w:hint="default" w:ascii="Times New Roman" w:hAnsi="Times New Roman" w:eastAsia="宋体" w:cs="Times New Roman"/>
          <w:sz w:val="24"/>
          <w:highlight w:val="none"/>
          <w:lang w:val="en-US" w:eastAsia="zh-CN"/>
        </w:rPr>
        <w:t>现行国家标准GB 50164关于同一盘混凝土的搅拌匀质性的规定有两点：①混凝土中砂浆密度两次测值的相对误差不应大于0.8%；②混凝土稠度两次测值的差值不应大于混凝土拌合物稠度允许偏差的绝对值。</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对混凝土搅拌运输车提出要求，确保混凝土在运输过程中能够保持均匀性，避免出现分层或离析现象，这对控制混凝土质量至关重要。</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在运输过程中不</w:t>
      </w:r>
      <w:r>
        <w:rPr>
          <w:rFonts w:hint="eastAsia" w:ascii="Times New Roman" w:hAnsi="Times New Roman" w:eastAsia="宋体" w:cs="Times New Roman"/>
          <w:sz w:val="24"/>
          <w:highlight w:val="none"/>
          <w:lang w:val="en-US" w:eastAsia="zh-CN"/>
        </w:rPr>
        <w:t>能</w:t>
      </w:r>
      <w:r>
        <w:rPr>
          <w:rFonts w:hint="default" w:ascii="Times New Roman" w:hAnsi="Times New Roman" w:eastAsia="宋体" w:cs="Times New Roman"/>
          <w:sz w:val="24"/>
          <w:highlight w:val="none"/>
          <w:lang w:val="en-US" w:eastAsia="zh-CN"/>
        </w:rPr>
        <w:t>加水，是为了防止在运输过程中增加过多的水分导致混凝土配合比失效，影响最终混凝土的强度和耐久性。</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坍落度是表征混凝土流动性的关键指标，运输过程中受环境温度、运输时间等影响，坍落度可能发生损失。统一允许偏差标准，可避免因坍落度波动过大导致施工困难，保障浇筑、振捣等工序顺利进行。</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混凝土拌合物人模温度过高，对混凝土硬化过程有影响，加大了控制难度，因此，避免高温条件浇筑混凝土是比较合理的选择。</w:t>
      </w:r>
      <w:r>
        <w:rPr>
          <w:rFonts w:hint="eastAsia" w:ascii="Times New Roman" w:hAnsi="Times New Roman" w:eastAsia="宋体" w:cs="Times New Roman"/>
          <w:sz w:val="24"/>
          <w:highlight w:val="none"/>
          <w:lang w:val="en-US" w:eastAsia="zh-CN"/>
        </w:rPr>
        <w:t>因此，规定</w:t>
      </w:r>
      <w:r>
        <w:rPr>
          <w:rFonts w:hint="default" w:ascii="Times New Roman" w:hAnsi="Times New Roman" w:eastAsia="宋体" w:cs="Times New Roman"/>
          <w:sz w:val="24"/>
          <w:szCs w:val="24"/>
          <w:highlight w:val="none"/>
        </w:rPr>
        <w:t>夏季施工时，混凝土拌合物入模温度不应超过35</w:t>
      </w:r>
      <w:r>
        <w:rPr>
          <w:rFonts w:hint="default" w:ascii="Times New Roman" w:hAnsi="Times New Roman" w:eastAsia="宋体" w:cs="Times New Roman"/>
          <w:sz w:val="24"/>
          <w:szCs w:val="24"/>
          <w:highlight w:val="none"/>
          <w:lang w:eastAsia="zh-Hans"/>
        </w:rPr>
        <w:t>°C</w:t>
      </w:r>
      <w:r>
        <w:rPr>
          <w:rFonts w:hint="default" w:ascii="Times New Roman" w:hAnsi="Times New Roman" w:eastAsia="宋体" w:cs="Times New Roman"/>
          <w:sz w:val="24"/>
          <w:szCs w:val="24"/>
          <w:highlight w:val="none"/>
        </w:rPr>
        <w:t>，大体积混凝土拌合物入模温度不宜超过30</w:t>
      </w:r>
      <w:r>
        <w:rPr>
          <w:rFonts w:hint="default" w:ascii="Times New Roman" w:hAnsi="Times New Roman" w:eastAsia="宋体" w:cs="Times New Roman"/>
          <w:sz w:val="24"/>
          <w:szCs w:val="24"/>
          <w:highlight w:val="none"/>
          <w:lang w:eastAsia="zh-Hans"/>
        </w:rPr>
        <w:t>°C</w:t>
      </w:r>
      <w:r>
        <w:rPr>
          <w:rFonts w:hint="default" w:ascii="Times New Roman" w:hAnsi="Times New Roman" w:eastAsia="宋体" w:cs="Times New Roman"/>
          <w:sz w:val="24"/>
          <w:szCs w:val="24"/>
          <w:highlight w:val="none"/>
        </w:rPr>
        <w:t>；施工现场环境温度高于35</w:t>
      </w:r>
      <w:r>
        <w:rPr>
          <w:rFonts w:hint="default" w:ascii="Times New Roman" w:hAnsi="Times New Roman" w:eastAsia="宋体" w:cs="Times New Roman"/>
          <w:sz w:val="24"/>
          <w:szCs w:val="24"/>
          <w:highlight w:val="none"/>
          <w:lang w:eastAsia="zh-Hans"/>
        </w:rPr>
        <w:t>°C</w:t>
      </w:r>
      <w:r>
        <w:rPr>
          <w:rFonts w:hint="default" w:ascii="Times New Roman" w:hAnsi="Times New Roman" w:eastAsia="宋体" w:cs="Times New Roman"/>
          <w:sz w:val="24"/>
          <w:szCs w:val="24"/>
          <w:highlight w:val="none"/>
        </w:rPr>
        <w:t>时，采取遮阳和降温措施或避开高温时段浇筑混凝土</w:t>
      </w:r>
      <w:r>
        <w:rPr>
          <w:rFonts w:hint="eastAsia" w:ascii="Times New Roman" w:hAnsi="Times New Roman" w:eastAsia="宋体" w:cs="Times New Roman"/>
          <w:sz w:val="24"/>
          <w:szCs w:val="24"/>
          <w:highlight w:val="none"/>
          <w:lang w:eastAsia="zh-CN"/>
        </w:rPr>
        <w:t>。</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冬期低温会显著延缓水泥水化，降低混凝土早期强度发展速度，甚至导致冰点以下受冻破坏；同时，低温会使拌合物流动性下降，增加浇筑振捣难度。JGJ/T 104 对冬期施工的温度界定、原材料预热、拌合物出机及入模温度控制、养护措施等作出了规定，通过这些措施可确保混凝土在低温下仍能正常水化、避免早期受冻，并保障拌合物工作性以完成施工操作，最终防止因冬期低温导致结构强度不足、开裂等质量问题，确保工程安全。</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针对混凝土浇筑振捣环节提出明确要求，核心是通过规范振捣操作保障混凝土密实性与结构均匀性。振捣是消除混凝土内部气泡、使骨料紧密排列的关键工序：漏振会导致混凝土局部密实度不足，形成蜂窝、孔洞等缺陷，削弱结构强度与抗渗性；而过振则会使骨料下沉、浆体上浮，引发分层离析，不仅破坏拌合物均匀性，还可能因表面浮浆过厚导致后期收缩开裂。要求振捣后表面无明显浮浆层，正是为了避免过振引发的分层问题，确保混凝土中骨料与浆体分布均衡，从而保障硬化后结构的力学性能与耐久性稳定，为后续养护和使用奠定良好基础。</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6.4 养护</w:t>
      </w:r>
    </w:p>
    <w:p>
      <w:pPr>
        <w:numPr>
          <w:ilvl w:val="0"/>
          <w:numId w:val="0"/>
        </w:numPr>
        <w:adjustRightInd w:val="0"/>
        <w:snapToGrid w:val="0"/>
        <w:spacing w:line="360" w:lineRule="auto"/>
        <w:ind w:firstLine="480" w:firstLineChars="200"/>
        <w:rPr>
          <w:rFonts w:hint="eastAsia" w:ascii="Times New Roman" w:hAnsi="Times New Roman" w:eastAsia="宋体" w:cs="Times New Roman"/>
          <w:sz w:val="24"/>
          <w:highlight w:val="none"/>
          <w:lang w:val="en-US" w:eastAsia="zh-CN"/>
        </w:rPr>
      </w:pPr>
      <w:r>
        <w:rPr>
          <w:rFonts w:hint="eastAsia" w:ascii="Times New Roman" w:hAnsi="Times New Roman" w:eastAsia="宋体" w:cs="Times New Roman"/>
          <w:sz w:val="24"/>
          <w:szCs w:val="24"/>
          <w:highlight w:val="none"/>
          <w:lang w:val="en-US" w:eastAsia="zh-CN"/>
        </w:rPr>
        <w:t>规定了掺加</w:t>
      </w:r>
      <w:r>
        <w:rPr>
          <w:rFonts w:hint="eastAsia"/>
          <w:sz w:val="24"/>
          <w:szCs w:val="24"/>
          <w:highlight w:val="none"/>
          <w:u w:val="none"/>
          <w:lang w:val="en-US" w:eastAsia="zh-CN"/>
        </w:rPr>
        <w:t>钢渣粉</w:t>
      </w:r>
      <w:r>
        <w:rPr>
          <w:rFonts w:hint="eastAsia" w:ascii="Times New Roman" w:hAnsi="Times New Roman" w:eastAsia="宋体" w:cs="Times New Roman"/>
          <w:sz w:val="24"/>
          <w:szCs w:val="24"/>
          <w:highlight w:val="none"/>
          <w:lang w:val="en-US" w:eastAsia="zh-CN"/>
        </w:rPr>
        <w:t>的</w:t>
      </w:r>
      <w:r>
        <w:rPr>
          <w:rFonts w:hint="default" w:ascii="Times New Roman" w:hAnsi="Times New Roman" w:eastAsia="宋体" w:cs="Times New Roman"/>
          <w:sz w:val="24"/>
          <w:szCs w:val="24"/>
          <w:highlight w:val="none"/>
        </w:rPr>
        <w:t>混凝</w:t>
      </w:r>
      <w:r>
        <w:rPr>
          <w:rFonts w:hint="eastAsia" w:ascii="Times New Roman" w:hAnsi="Times New Roman" w:eastAsia="宋体" w:cs="Times New Roman"/>
          <w:sz w:val="24"/>
          <w:szCs w:val="24"/>
          <w:highlight w:val="none"/>
          <w:lang w:val="en-US" w:eastAsia="zh-CN"/>
        </w:rPr>
        <w:t>土</w:t>
      </w:r>
      <w:r>
        <w:rPr>
          <w:rFonts w:hint="default" w:ascii="Times New Roman" w:hAnsi="Times New Roman" w:eastAsia="宋体" w:cs="Times New Roman"/>
          <w:sz w:val="24"/>
          <w:szCs w:val="24"/>
          <w:highlight w:val="none"/>
        </w:rPr>
        <w:t>养护</w:t>
      </w:r>
      <w:r>
        <w:rPr>
          <w:rFonts w:hint="eastAsia" w:ascii="Times New Roman" w:hAnsi="Times New Roman" w:eastAsia="宋体" w:cs="Times New Roman"/>
          <w:sz w:val="24"/>
          <w:szCs w:val="24"/>
          <w:highlight w:val="none"/>
          <w:lang w:val="en-US" w:eastAsia="zh-CN"/>
        </w:rPr>
        <w:t>应符合</w:t>
      </w:r>
      <w:r>
        <w:rPr>
          <w:rFonts w:hint="default" w:ascii="Times New Roman" w:hAnsi="Times New Roman" w:eastAsia="宋体" w:cs="Times New Roman"/>
          <w:sz w:val="24"/>
          <w:szCs w:val="24"/>
          <w:highlight w:val="none"/>
        </w:rPr>
        <w:t>现行国家标准《混凝土质量控制标准》GB 50164和《混凝土结构工程施工规范》GB 50666的有关规定。</w:t>
      </w:r>
      <w:r>
        <w:rPr>
          <w:rFonts w:hint="eastAsia" w:ascii="Times New Roman" w:hAnsi="Times New Roman" w:eastAsia="宋体" w:cs="Times New Roman"/>
          <w:sz w:val="24"/>
          <w:szCs w:val="24"/>
          <w:highlight w:val="none"/>
          <w:lang w:val="en-US" w:eastAsia="zh-CN"/>
        </w:rPr>
        <w:t>对于大体积混凝土，应符合</w:t>
      </w:r>
      <w:r>
        <w:rPr>
          <w:rFonts w:hint="default" w:ascii="Times New Roman" w:hAnsi="Times New Roman" w:eastAsia="宋体" w:cs="Times New Roman"/>
          <w:sz w:val="24"/>
          <w:szCs w:val="24"/>
          <w:highlight w:val="none"/>
        </w:rPr>
        <w:t>现行国家标准《大体积混凝土施工标准》GB 50496的有关规定</w:t>
      </w:r>
      <w:r>
        <w:rPr>
          <w:rFonts w:hint="eastAsia" w:ascii="Times New Roman" w:hAnsi="Times New Roman" w:eastAsia="宋体" w:cs="Times New Roman"/>
          <w:sz w:val="24"/>
          <w:szCs w:val="24"/>
          <w:highlight w:val="none"/>
          <w:lang w:eastAsia="zh-CN"/>
        </w:rPr>
        <w:t>。</w:t>
      </w:r>
      <w:r>
        <w:rPr>
          <w:rFonts w:hint="eastAsia" w:ascii="Times New Roman" w:hAnsi="Times New Roman" w:eastAsia="宋体" w:cs="Times New Roman"/>
          <w:sz w:val="24"/>
          <w:szCs w:val="24"/>
          <w:highlight w:val="none"/>
          <w:lang w:val="en-US" w:eastAsia="zh-CN"/>
        </w:rPr>
        <w:t>大体积混凝土施工更侧重温控措施，防止因内外温差过大引发温度裂缝，同时保障</w:t>
      </w:r>
      <w:r>
        <w:rPr>
          <w:rFonts w:hint="eastAsia" w:cs="Times New Roman"/>
          <w:sz w:val="24"/>
          <w:szCs w:val="24"/>
          <w:highlight w:val="none"/>
          <w:lang w:val="en-US" w:eastAsia="zh-CN"/>
        </w:rPr>
        <w:t>水化</w:t>
      </w:r>
      <w:r>
        <w:rPr>
          <w:rFonts w:hint="eastAsia" w:ascii="Times New Roman" w:hAnsi="Times New Roman" w:eastAsia="宋体" w:cs="Times New Roman"/>
          <w:sz w:val="24"/>
          <w:szCs w:val="24"/>
          <w:highlight w:val="none"/>
          <w:lang w:val="en-US" w:eastAsia="zh-CN"/>
        </w:rPr>
        <w:t>反应充分进行以提升后期强度和耐久性。</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混凝土早期塑性收缩和干燥收缩较大，易于造成混凝土开裂。混凝土养护是补充水分或降低失水速率，防止混凝土产生裂缝，确保达到混凝土各项力学性能指标的重要措施。在混凝土初凝、终凝抹面处理后，应及时进行养护工作。混凝土终凝后至养护开始的时间间隔应尽可能缩短，以保证混凝土养护所需的湿度以及对混凝土进行温度控制。覆盖养护可采用塑料薄膜、麻袋、草帘等进行覆盖；喷涂养护剂养护是通过养护液在混凝土表面形成致密的薄膜层，以达到混凝土保湿目的。洒水、覆盖、喷涂养护剂等养护方式可单独使用，也可同时使用，采用何种养护方式应根据工程实际情况合理选择。</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掺</w:t>
      </w:r>
      <w:r>
        <w:rPr>
          <w:rFonts w:hint="eastAsia"/>
          <w:sz w:val="24"/>
          <w:szCs w:val="24"/>
          <w:highlight w:val="none"/>
          <w:u w:val="none"/>
          <w:lang w:val="en-US" w:eastAsia="zh-CN"/>
        </w:rPr>
        <w:t>钢渣粉</w:t>
      </w:r>
      <w:r>
        <w:rPr>
          <w:rFonts w:hint="default" w:ascii="Times New Roman" w:hAnsi="Times New Roman" w:eastAsia="宋体" w:cs="Times New Roman"/>
          <w:sz w:val="24"/>
          <w:highlight w:val="none"/>
          <w:lang w:val="en-US" w:eastAsia="zh-CN"/>
        </w:rPr>
        <w:t>的混凝土因</w:t>
      </w:r>
      <w:r>
        <w:rPr>
          <w:rFonts w:hint="eastAsia" w:cs="Times New Roman"/>
          <w:sz w:val="24"/>
          <w:highlight w:val="none"/>
          <w:lang w:val="en-US" w:eastAsia="zh-CN"/>
        </w:rPr>
        <w:t>水化</w:t>
      </w:r>
      <w:r>
        <w:rPr>
          <w:rFonts w:hint="default" w:ascii="Times New Roman" w:hAnsi="Times New Roman" w:eastAsia="宋体" w:cs="Times New Roman"/>
          <w:sz w:val="24"/>
          <w:highlight w:val="none"/>
          <w:lang w:val="en-US" w:eastAsia="zh-CN"/>
        </w:rPr>
        <w:t>反应具有滞后性，其后期强度发展和结构密实性提升依赖更持久的湿润环境，因此需适当延长养护时间，以不少于14天为宜，确保</w:t>
      </w:r>
      <w:r>
        <w:rPr>
          <w:rFonts w:hint="eastAsia" w:cs="Times New Roman"/>
          <w:sz w:val="24"/>
          <w:highlight w:val="none"/>
          <w:lang w:val="en-US" w:eastAsia="zh-CN"/>
        </w:rPr>
        <w:t>水化</w:t>
      </w:r>
      <w:r>
        <w:rPr>
          <w:rFonts w:hint="default" w:ascii="Times New Roman" w:hAnsi="Times New Roman" w:eastAsia="宋体" w:cs="Times New Roman"/>
          <w:sz w:val="24"/>
          <w:highlight w:val="none"/>
          <w:lang w:val="en-US" w:eastAsia="zh-CN"/>
        </w:rPr>
        <w:t>反应充分进行；抹面后继续湿养护则能维持湿润环境，保障抹面效果与混凝土水化反应的持续性，最终促进强度稳定增长和耐久性提升。</w:t>
      </w:r>
    </w:p>
    <w:p>
      <w:pPr>
        <w:numPr>
          <w:ilvl w:val="0"/>
          <w:numId w:val="0"/>
        </w:numPr>
        <w:adjustRightInd w:val="0"/>
        <w:snapToGrid w:val="0"/>
        <w:spacing w:line="360" w:lineRule="auto"/>
        <w:ind w:firstLine="480" w:firstLineChars="200"/>
        <w:rPr>
          <w:rFonts w:hint="eastAsia"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7 质量检验</w:t>
      </w:r>
    </w:p>
    <w:p>
      <w:pPr>
        <w:numPr>
          <w:ilvl w:val="0"/>
          <w:numId w:val="0"/>
        </w:numPr>
        <w:adjustRightInd w:val="0"/>
        <w:snapToGrid w:val="0"/>
        <w:spacing w:line="360" w:lineRule="auto"/>
        <w:ind w:firstLine="480" w:firstLineChars="200"/>
        <w:rPr>
          <w:rFonts w:hint="eastAsia"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7.1 原材料质量检验</w:t>
      </w:r>
    </w:p>
    <w:p>
      <w:pPr>
        <w:numPr>
          <w:ilvl w:val="0"/>
          <w:numId w:val="0"/>
        </w:numPr>
        <w:adjustRightInd w:val="0"/>
        <w:snapToGrid w:val="0"/>
        <w:spacing w:line="360" w:lineRule="auto"/>
        <w:ind w:firstLine="480" w:firstLineChars="200"/>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混凝土原材料质量检验应包括出厂检验报告或合格证等质量证明文件的查验和收存。对外加剂产品增加使用说明书要求，是由于其掺量小、影响大，正确的使用方法对保障混凝土性能至关重要。</w:t>
      </w:r>
    </w:p>
    <w:p>
      <w:pPr>
        <w:numPr>
          <w:ilvl w:val="0"/>
          <w:numId w:val="0"/>
        </w:numPr>
        <w:adjustRightInd w:val="0"/>
        <w:snapToGrid w:val="0"/>
        <w:spacing w:line="360" w:lineRule="auto"/>
        <w:ind w:firstLine="480" w:firstLineChars="200"/>
        <w:rPr>
          <w:rFonts w:hint="default" w:ascii="Times New Roman" w:hAnsi="Times New Roman" w:eastAsia="宋体" w:cs="Times New Roman"/>
          <w:b w:val="0"/>
          <w:bCs w:val="0"/>
          <w:sz w:val="24"/>
          <w:szCs w:val="24"/>
          <w:highlight w:val="none"/>
          <w:lang w:val="en-US" w:eastAsia="zh-CN"/>
        </w:rPr>
      </w:pPr>
      <w:r>
        <w:rPr>
          <w:rFonts w:hint="default" w:ascii="Times New Roman" w:hAnsi="Times New Roman" w:eastAsia="宋体" w:cs="Times New Roman"/>
          <w:b w:val="0"/>
          <w:bCs w:val="0"/>
          <w:sz w:val="24"/>
          <w:szCs w:val="24"/>
          <w:highlight w:val="none"/>
          <w:lang w:val="en-US" w:eastAsia="zh-CN"/>
        </w:rPr>
        <w:t>混凝土原材料进场时需要检验把关，</w:t>
      </w:r>
      <w:r>
        <w:rPr>
          <w:rFonts w:hint="eastAsia" w:ascii="Times New Roman" w:hAnsi="Times New Roman" w:eastAsia="宋体" w:cs="Times New Roman"/>
          <w:b w:val="0"/>
          <w:bCs w:val="0"/>
          <w:sz w:val="24"/>
          <w:szCs w:val="24"/>
          <w:highlight w:val="none"/>
          <w:lang w:val="en-US" w:eastAsia="zh-CN"/>
        </w:rPr>
        <w:t>对</w:t>
      </w:r>
      <w:r>
        <w:rPr>
          <w:rFonts w:hint="eastAsia"/>
          <w:sz w:val="24"/>
          <w:szCs w:val="24"/>
          <w:highlight w:val="none"/>
          <w:u w:val="none"/>
          <w:lang w:val="en-US" w:eastAsia="zh-CN"/>
        </w:rPr>
        <w:t>钢渣粉</w:t>
      </w:r>
      <w:r>
        <w:rPr>
          <w:rFonts w:hint="default" w:ascii="Times New Roman" w:hAnsi="Times New Roman" w:eastAsia="宋体" w:cs="Times New Roman"/>
          <w:b w:val="0"/>
          <w:bCs w:val="0"/>
          <w:sz w:val="24"/>
          <w:szCs w:val="24"/>
          <w:highlight w:val="none"/>
          <w:lang w:val="en-US" w:eastAsia="zh-CN"/>
        </w:rPr>
        <w:t>和其他混凝土原材料的进场检验项目、检验批</w:t>
      </w:r>
      <w:r>
        <w:rPr>
          <w:rFonts w:hint="eastAsia" w:ascii="Times New Roman" w:hAnsi="Times New Roman" w:eastAsia="宋体" w:cs="Times New Roman"/>
          <w:b w:val="0"/>
          <w:bCs w:val="0"/>
          <w:sz w:val="24"/>
          <w:szCs w:val="24"/>
          <w:highlight w:val="none"/>
          <w:lang w:val="en-US" w:eastAsia="zh-CN"/>
        </w:rPr>
        <w:t>、</w:t>
      </w:r>
      <w:r>
        <w:rPr>
          <w:rFonts w:hint="default" w:ascii="Times New Roman" w:hAnsi="Times New Roman" w:eastAsia="宋体" w:cs="Times New Roman"/>
          <w:b w:val="0"/>
          <w:bCs w:val="0"/>
          <w:sz w:val="24"/>
          <w:szCs w:val="24"/>
          <w:highlight w:val="none"/>
          <w:lang w:val="en-US" w:eastAsia="zh-CN"/>
        </w:rPr>
        <w:t>合格性判定要求</w:t>
      </w:r>
      <w:r>
        <w:rPr>
          <w:rFonts w:hint="eastAsia" w:ascii="Times New Roman" w:hAnsi="Times New Roman" w:eastAsia="宋体" w:cs="Times New Roman"/>
          <w:b w:val="0"/>
          <w:bCs w:val="0"/>
          <w:sz w:val="24"/>
          <w:szCs w:val="24"/>
          <w:highlight w:val="none"/>
          <w:lang w:val="en-US" w:eastAsia="zh-CN"/>
        </w:rPr>
        <w:t>及复检进行规定</w:t>
      </w:r>
      <w:r>
        <w:rPr>
          <w:rFonts w:hint="default" w:ascii="Times New Roman" w:hAnsi="Times New Roman" w:eastAsia="宋体" w:cs="Times New Roman"/>
          <w:b w:val="0"/>
          <w:bCs w:val="0"/>
          <w:sz w:val="24"/>
          <w:szCs w:val="24"/>
          <w:highlight w:val="none"/>
          <w:lang w:val="en-US" w:eastAsia="zh-CN"/>
        </w:rPr>
        <w:t>。对于不合格的原材料不能进场。</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7.2 混凝土拌合物性能检验</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混凝土拌合物的和易性检验在搅拌地点和浇筑地点都要进行，搅拌地点检验为控制性自检，浇筑地点检验为验收检验，凝结时间检验可以在搅拌地点进行。</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default" w:ascii="Times New Roman" w:hAnsi="Times New Roman" w:eastAsia="宋体" w:cs="Times New Roman"/>
          <w:sz w:val="24"/>
          <w:highlight w:val="none"/>
          <w:lang w:val="en-US" w:eastAsia="zh-CN"/>
        </w:rPr>
        <w:t>混凝土拌合物的检验频率应符合现行国家标准《混凝土结构工程施工质量验收规范》GB 50204的有关规定。</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掺加</w:t>
      </w:r>
      <w:r>
        <w:rPr>
          <w:rFonts w:hint="eastAsia"/>
          <w:sz w:val="24"/>
          <w:szCs w:val="24"/>
          <w:highlight w:val="none"/>
          <w:u w:val="none"/>
          <w:lang w:val="en-US" w:eastAsia="zh-CN"/>
        </w:rPr>
        <w:t>钢渣粉</w:t>
      </w:r>
      <w:r>
        <w:rPr>
          <w:rFonts w:hint="default" w:ascii="Times New Roman" w:hAnsi="Times New Roman" w:eastAsia="宋体" w:cs="Times New Roman"/>
          <w:sz w:val="24"/>
          <w:highlight w:val="none"/>
          <w:lang w:val="en-US" w:eastAsia="zh-CN"/>
        </w:rPr>
        <w:t>混凝土</w:t>
      </w:r>
      <w:r>
        <w:rPr>
          <w:rFonts w:hint="eastAsia" w:ascii="Times New Roman" w:hAnsi="Times New Roman" w:eastAsia="宋体" w:cs="Times New Roman"/>
          <w:sz w:val="24"/>
          <w:highlight w:val="none"/>
          <w:lang w:val="en-US" w:eastAsia="zh-CN"/>
        </w:rPr>
        <w:t>的</w:t>
      </w:r>
      <w:r>
        <w:rPr>
          <w:rFonts w:hint="default" w:ascii="Times New Roman" w:hAnsi="Times New Roman" w:eastAsia="宋体" w:cs="Times New Roman"/>
          <w:sz w:val="24"/>
          <w:highlight w:val="none"/>
          <w:lang w:val="en-US" w:eastAsia="zh-CN"/>
        </w:rPr>
        <w:t>拌合物性能应符合</w:t>
      </w:r>
      <w:r>
        <w:rPr>
          <w:rFonts w:hint="eastAsia" w:ascii="Times New Roman" w:hAnsi="Times New Roman" w:eastAsia="宋体" w:cs="Times New Roman"/>
          <w:sz w:val="24"/>
          <w:highlight w:val="none"/>
          <w:lang w:val="en-US" w:eastAsia="zh-CN"/>
        </w:rPr>
        <w:t>本标准相关规定</w:t>
      </w:r>
      <w:r>
        <w:rPr>
          <w:rFonts w:hint="default" w:ascii="Times New Roman" w:hAnsi="Times New Roman" w:eastAsia="宋体" w:cs="Times New Roman"/>
          <w:sz w:val="24"/>
          <w:highlight w:val="none"/>
          <w:lang w:val="en-US" w:eastAsia="zh-CN"/>
        </w:rPr>
        <w:t>。</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7.3 硬化混凝土性能检验</w:t>
      </w:r>
    </w:p>
    <w:p>
      <w:pPr>
        <w:numPr>
          <w:ilvl w:val="0"/>
          <w:numId w:val="0"/>
        </w:numPr>
        <w:adjustRightInd w:val="0"/>
        <w:snapToGrid w:val="0"/>
        <w:spacing w:line="360" w:lineRule="auto"/>
        <w:ind w:firstLine="480" w:firstLineChars="200"/>
        <w:rPr>
          <w:rFonts w:hint="default" w:ascii="Times New Roman" w:hAnsi="Times New Roman" w:eastAsia="宋体" w:cs="Times New Roman"/>
          <w:sz w:val="24"/>
          <w:highlight w:val="none"/>
          <w:lang w:val="en-US" w:eastAsia="zh-CN"/>
        </w:rPr>
      </w:pPr>
      <w:r>
        <w:rPr>
          <w:rFonts w:hint="eastAsia" w:ascii="Times New Roman" w:hAnsi="Times New Roman" w:eastAsia="宋体" w:cs="Times New Roman"/>
          <w:sz w:val="24"/>
          <w:highlight w:val="none"/>
          <w:lang w:val="en-US" w:eastAsia="zh-CN"/>
        </w:rPr>
        <w:t>规定了掺加</w:t>
      </w:r>
      <w:r>
        <w:rPr>
          <w:rFonts w:hint="eastAsia"/>
          <w:sz w:val="24"/>
          <w:szCs w:val="24"/>
          <w:highlight w:val="none"/>
          <w:u w:val="none"/>
          <w:lang w:val="en-US" w:eastAsia="zh-CN"/>
        </w:rPr>
        <w:t>钢渣粉</w:t>
      </w:r>
      <w:r>
        <w:rPr>
          <w:rFonts w:hint="eastAsia" w:ascii="Times New Roman" w:hAnsi="Times New Roman" w:eastAsia="宋体" w:cs="Times New Roman"/>
          <w:sz w:val="24"/>
          <w:highlight w:val="none"/>
          <w:lang w:val="en-US" w:eastAsia="zh-CN"/>
        </w:rPr>
        <w:t>的混凝土强度检验</w:t>
      </w:r>
      <w:r>
        <w:rPr>
          <w:rFonts w:hint="default" w:ascii="Times New Roman" w:hAnsi="Times New Roman" w:eastAsia="宋体" w:cs="Times New Roman"/>
          <w:sz w:val="24"/>
          <w:highlight w:val="none"/>
          <w:lang w:val="en-US" w:eastAsia="zh-CN"/>
        </w:rPr>
        <w:t>评定及其他力学性能检验的标准依据</w:t>
      </w:r>
      <w:r>
        <w:rPr>
          <w:rFonts w:hint="eastAsia" w:ascii="Times New Roman" w:hAnsi="Times New Roman" w:eastAsia="宋体" w:cs="Times New Roman"/>
          <w:sz w:val="24"/>
          <w:highlight w:val="none"/>
          <w:lang w:val="en-US" w:eastAsia="zh-CN"/>
        </w:rPr>
        <w:t>，</w:t>
      </w:r>
      <w:r>
        <w:rPr>
          <w:rFonts w:hint="default" w:ascii="Times New Roman" w:hAnsi="Times New Roman" w:eastAsia="宋体" w:cs="Times New Roman"/>
          <w:sz w:val="24"/>
          <w:highlight w:val="none"/>
          <w:lang w:val="en-US" w:eastAsia="zh-CN"/>
        </w:rPr>
        <w:t>混凝土耐久性能检验评定</w:t>
      </w:r>
      <w:r>
        <w:rPr>
          <w:rFonts w:hint="eastAsia" w:ascii="Times New Roman" w:hAnsi="Times New Roman" w:eastAsia="宋体" w:cs="Times New Roman"/>
          <w:sz w:val="24"/>
          <w:highlight w:val="none"/>
          <w:lang w:val="en-US" w:eastAsia="zh-CN"/>
        </w:rPr>
        <w:t>和混凝土实体工程检验</w:t>
      </w:r>
      <w:r>
        <w:rPr>
          <w:rFonts w:hint="default" w:ascii="Times New Roman" w:hAnsi="Times New Roman" w:eastAsia="宋体" w:cs="Times New Roman"/>
          <w:sz w:val="24"/>
          <w:highlight w:val="none"/>
          <w:lang w:val="en-US" w:eastAsia="zh-CN"/>
        </w:rPr>
        <w:t>的标准依据。</w:t>
      </w:r>
    </w:p>
    <w:p>
      <w:pPr>
        <w:adjustRightInd w:val="0"/>
        <w:snapToGrid w:val="0"/>
        <w:spacing w:before="156" w:beforeLines="50" w:after="156" w:afterLines="50" w:line="360" w:lineRule="auto"/>
        <w:jc w:val="left"/>
        <w:outlineLvl w:val="1"/>
        <w:rPr>
          <w:rFonts w:hint="eastAsia"/>
          <w:bCs/>
          <w:sz w:val="24"/>
          <w:highlight w:val="none"/>
        </w:rPr>
      </w:pPr>
      <w:bookmarkStart w:id="29" w:name="_Toc13853"/>
      <w:r>
        <w:rPr>
          <w:rFonts w:hint="eastAsia"/>
          <w:b/>
          <w:bCs/>
          <w:sz w:val="24"/>
          <w:highlight w:val="none"/>
        </w:rPr>
        <w:t>2.</w:t>
      </w:r>
      <w:r>
        <w:rPr>
          <w:rFonts w:hint="eastAsia"/>
          <w:b/>
          <w:bCs/>
          <w:sz w:val="24"/>
          <w:highlight w:val="none"/>
          <w:lang w:val="en-US" w:eastAsia="zh-CN"/>
        </w:rPr>
        <w:t>3重点工作及需要研究的内容</w:t>
      </w:r>
      <w:bookmarkEnd w:id="29"/>
    </w:p>
    <w:p>
      <w:pPr>
        <w:numPr>
          <w:ilvl w:val="0"/>
          <w:numId w:val="8"/>
        </w:numPr>
        <w:adjustRightInd w:val="0"/>
        <w:snapToGrid w:val="0"/>
        <w:spacing w:line="360" w:lineRule="auto"/>
        <w:ind w:left="0" w:leftChars="0" w:firstLine="420" w:firstLineChars="0"/>
        <w:rPr>
          <w:rFonts w:ascii="宋体" w:hAnsi="宋体" w:eastAsia="宋体" w:cs="宋体"/>
          <w:sz w:val="24"/>
          <w:szCs w:val="24"/>
          <w:highlight w:val="none"/>
        </w:rPr>
      </w:pPr>
      <w:r>
        <w:rPr>
          <w:rFonts w:hint="eastAsia" w:ascii="宋体" w:hAnsi="宋体" w:eastAsia="宋体" w:cs="宋体"/>
          <w:sz w:val="24"/>
          <w:szCs w:val="24"/>
          <w:highlight w:val="none"/>
          <w:lang w:val="en-US" w:eastAsia="zh-CN"/>
        </w:rPr>
        <w:t>调研</w:t>
      </w:r>
      <w:r>
        <w:rPr>
          <w:rFonts w:ascii="宋体" w:hAnsi="宋体" w:eastAsia="宋体" w:cs="宋体"/>
          <w:sz w:val="24"/>
          <w:szCs w:val="24"/>
          <w:highlight w:val="none"/>
        </w:rPr>
        <w:t>国内外相关文献，</w:t>
      </w:r>
      <w:r>
        <w:rPr>
          <w:rFonts w:hint="eastAsia" w:ascii="宋体" w:hAnsi="宋体" w:eastAsia="宋体" w:cs="宋体"/>
          <w:sz w:val="24"/>
          <w:szCs w:val="24"/>
          <w:highlight w:val="none"/>
          <w:lang w:val="en-US" w:eastAsia="zh-CN"/>
        </w:rPr>
        <w:t>了解</w:t>
      </w:r>
      <w:r>
        <w:rPr>
          <w:rFonts w:hint="eastAsia"/>
          <w:sz w:val="24"/>
          <w:szCs w:val="24"/>
          <w:highlight w:val="none"/>
          <w:u w:val="none"/>
          <w:lang w:val="en-US" w:eastAsia="zh-CN"/>
        </w:rPr>
        <w:t>钢渣粉</w:t>
      </w:r>
      <w:r>
        <w:rPr>
          <w:rFonts w:hint="eastAsia" w:ascii="宋体" w:hAnsi="宋体" w:eastAsia="宋体" w:cs="宋体"/>
          <w:sz w:val="24"/>
          <w:szCs w:val="24"/>
          <w:highlight w:val="none"/>
          <w:lang w:val="en-US" w:eastAsia="zh-CN"/>
        </w:rPr>
        <w:t>作为掺合料对混凝土性能的影响，及如何更好的应用于混凝土中。</w:t>
      </w:r>
      <w:r>
        <w:rPr>
          <w:rFonts w:ascii="宋体" w:hAnsi="宋体" w:eastAsia="宋体" w:cs="宋体"/>
          <w:sz w:val="24"/>
          <w:szCs w:val="24"/>
          <w:highlight w:val="none"/>
        </w:rPr>
        <w:t>通过分析已有标准、规范和技术要求，找出当前的技术空白和难点，为</w:t>
      </w:r>
      <w:r>
        <w:rPr>
          <w:rFonts w:hint="eastAsia"/>
          <w:sz w:val="24"/>
          <w:szCs w:val="24"/>
          <w:highlight w:val="none"/>
          <w:u w:val="none"/>
          <w:lang w:val="en-US" w:eastAsia="zh-CN"/>
        </w:rPr>
        <w:t>钢渣粉</w:t>
      </w:r>
      <w:r>
        <w:rPr>
          <w:rFonts w:ascii="宋体" w:hAnsi="宋体" w:eastAsia="宋体" w:cs="宋体"/>
          <w:sz w:val="24"/>
          <w:szCs w:val="24"/>
          <w:highlight w:val="none"/>
        </w:rPr>
        <w:t>的应用提供理论依据。</w:t>
      </w:r>
    </w:p>
    <w:p>
      <w:pPr>
        <w:numPr>
          <w:ilvl w:val="0"/>
          <w:numId w:val="8"/>
        </w:numPr>
        <w:adjustRightInd w:val="0"/>
        <w:snapToGrid w:val="0"/>
        <w:spacing w:line="360" w:lineRule="auto"/>
        <w:ind w:left="0" w:leftChars="0" w:firstLine="420" w:firstLineChars="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对</w:t>
      </w:r>
      <w:r>
        <w:rPr>
          <w:rFonts w:hint="eastAsia" w:ascii="宋体" w:hAnsi="宋体" w:eastAsia="宋体" w:cs="宋体"/>
          <w:sz w:val="24"/>
          <w:szCs w:val="24"/>
          <w:highlight w:val="none"/>
        </w:rPr>
        <w:t>已经实施</w:t>
      </w:r>
      <w:r>
        <w:rPr>
          <w:rFonts w:hint="eastAsia" w:ascii="宋体" w:hAnsi="宋体" w:eastAsia="宋体" w:cs="宋体"/>
          <w:sz w:val="24"/>
          <w:szCs w:val="24"/>
          <w:highlight w:val="none"/>
          <w:lang w:val="en-US" w:eastAsia="zh-CN"/>
        </w:rPr>
        <w:t>的掺加</w:t>
      </w:r>
      <w:r>
        <w:rPr>
          <w:rFonts w:hint="eastAsia"/>
          <w:sz w:val="24"/>
          <w:szCs w:val="24"/>
          <w:highlight w:val="none"/>
          <w:u w:val="none"/>
          <w:lang w:val="en-US" w:eastAsia="zh-CN"/>
        </w:rPr>
        <w:t>钢渣粉</w:t>
      </w:r>
      <w:r>
        <w:rPr>
          <w:rFonts w:hint="eastAsia" w:ascii="宋体" w:hAnsi="宋体" w:eastAsia="宋体" w:cs="宋体"/>
          <w:sz w:val="24"/>
          <w:szCs w:val="24"/>
          <w:highlight w:val="none"/>
        </w:rPr>
        <w:t>混凝土的工程项目</w:t>
      </w:r>
      <w:r>
        <w:rPr>
          <w:rFonts w:hint="eastAsia" w:ascii="宋体" w:hAnsi="宋体" w:eastAsia="宋体" w:cs="宋体"/>
          <w:sz w:val="24"/>
          <w:szCs w:val="24"/>
          <w:highlight w:val="none"/>
          <w:lang w:val="en-US" w:eastAsia="zh-CN"/>
        </w:rPr>
        <w:t>进行</w:t>
      </w:r>
      <w:r>
        <w:rPr>
          <w:rFonts w:hint="eastAsia" w:ascii="宋体" w:hAnsi="宋体" w:eastAsia="宋体" w:cs="宋体"/>
          <w:sz w:val="24"/>
          <w:szCs w:val="24"/>
          <w:highlight w:val="none"/>
        </w:rPr>
        <w:t>工程调研，分析其施工效果和实际应用情况。同时，与预拌混凝土企业、施工单位等相关方进行沟通，收集他们对</w:t>
      </w:r>
      <w:r>
        <w:rPr>
          <w:rFonts w:hint="eastAsia"/>
          <w:sz w:val="24"/>
          <w:szCs w:val="24"/>
          <w:highlight w:val="none"/>
          <w:u w:val="none"/>
          <w:lang w:val="en-US" w:eastAsia="zh-CN"/>
        </w:rPr>
        <w:t>钢渣粉</w:t>
      </w:r>
      <w:r>
        <w:rPr>
          <w:rFonts w:hint="eastAsia" w:ascii="宋体" w:hAnsi="宋体" w:eastAsia="宋体" w:cs="宋体"/>
          <w:sz w:val="24"/>
          <w:szCs w:val="24"/>
          <w:highlight w:val="none"/>
        </w:rPr>
        <w:t>的使用反馈，了解实际工程中遇到的技术难题和需求。</w:t>
      </w:r>
    </w:p>
    <w:p>
      <w:pPr>
        <w:numPr>
          <w:ilvl w:val="0"/>
          <w:numId w:val="8"/>
        </w:numPr>
        <w:tabs>
          <w:tab w:val="left" w:pos="7560"/>
        </w:tabs>
        <w:adjustRightInd w:val="0"/>
        <w:snapToGrid w:val="0"/>
        <w:spacing w:line="360" w:lineRule="auto"/>
        <w:ind w:left="0" w:leftChars="0" w:firstLine="420" w:firstLineChars="0"/>
        <w:rPr>
          <w:rFonts w:hint="eastAsia"/>
          <w:bCs/>
          <w:sz w:val="24"/>
          <w:highlight w:val="none"/>
          <w:lang w:val="en-US" w:eastAsia="zh-CN"/>
        </w:rPr>
      </w:pPr>
      <w:r>
        <w:rPr>
          <w:rFonts w:hint="eastAsia" w:ascii="宋体" w:hAnsi="宋体" w:eastAsia="宋体" w:cs="宋体"/>
          <w:sz w:val="24"/>
          <w:szCs w:val="24"/>
          <w:highlight w:val="none"/>
          <w:lang w:val="en-US" w:eastAsia="zh-CN"/>
        </w:rPr>
        <w:t>进行重点内容的验证试验</w:t>
      </w:r>
      <w:r>
        <w:rPr>
          <w:rFonts w:hint="eastAsia" w:ascii="宋体" w:hAnsi="宋体" w:eastAsia="宋体" w:cs="宋体"/>
          <w:sz w:val="24"/>
          <w:szCs w:val="24"/>
          <w:highlight w:val="none"/>
        </w:rPr>
        <w:t>，</w:t>
      </w:r>
      <w:r>
        <w:rPr>
          <w:rFonts w:hint="eastAsia" w:ascii="宋体" w:hAnsi="宋体" w:eastAsia="宋体" w:cs="宋体"/>
          <w:sz w:val="24"/>
          <w:szCs w:val="24"/>
          <w:highlight w:val="none"/>
          <w:lang w:val="en-US" w:eastAsia="zh-CN"/>
        </w:rPr>
        <w:t>明确</w:t>
      </w:r>
      <w:r>
        <w:rPr>
          <w:rFonts w:hint="eastAsia"/>
          <w:bCs/>
          <w:sz w:val="24"/>
          <w:highlight w:val="none"/>
        </w:rPr>
        <w:t>不同地区</w:t>
      </w:r>
      <w:r>
        <w:rPr>
          <w:rFonts w:hint="eastAsia"/>
          <w:bCs/>
          <w:sz w:val="24"/>
          <w:highlight w:val="none"/>
          <w:lang w:val="en-US" w:eastAsia="zh-CN"/>
        </w:rPr>
        <w:t>不同厂家</w:t>
      </w:r>
      <w:r>
        <w:rPr>
          <w:rFonts w:hint="eastAsia"/>
          <w:sz w:val="24"/>
          <w:szCs w:val="24"/>
          <w:highlight w:val="none"/>
          <w:u w:val="none"/>
          <w:lang w:val="en-US" w:eastAsia="zh-CN"/>
        </w:rPr>
        <w:t>钢渣粉</w:t>
      </w:r>
      <w:r>
        <w:rPr>
          <w:rFonts w:hint="eastAsia"/>
          <w:bCs/>
          <w:sz w:val="24"/>
          <w:highlight w:val="none"/>
        </w:rPr>
        <w:t>的技术指标及区别</w:t>
      </w:r>
      <w:r>
        <w:rPr>
          <w:rFonts w:hint="eastAsia"/>
          <w:bCs/>
          <w:sz w:val="24"/>
          <w:highlight w:val="none"/>
          <w:lang w:eastAsia="zh-CN"/>
        </w:rPr>
        <w:t>、</w:t>
      </w:r>
      <w:r>
        <w:rPr>
          <w:rFonts w:hint="eastAsia"/>
          <w:sz w:val="24"/>
          <w:szCs w:val="24"/>
          <w:highlight w:val="none"/>
          <w:u w:val="none"/>
          <w:lang w:val="en-US" w:eastAsia="zh-CN"/>
        </w:rPr>
        <w:t>钢渣粉</w:t>
      </w:r>
      <w:r>
        <w:rPr>
          <w:rFonts w:hint="eastAsia"/>
          <w:bCs/>
          <w:sz w:val="24"/>
          <w:highlight w:val="none"/>
          <w:lang w:val="en-US" w:eastAsia="zh-CN"/>
        </w:rPr>
        <w:t>掺量及比表面积等对混凝土性能的影响、</w:t>
      </w:r>
      <w:r>
        <w:rPr>
          <w:rFonts w:hint="eastAsia"/>
          <w:sz w:val="24"/>
          <w:szCs w:val="24"/>
          <w:highlight w:val="none"/>
          <w:u w:val="none"/>
          <w:lang w:val="en-US" w:eastAsia="zh-CN"/>
        </w:rPr>
        <w:t>钢渣粉</w:t>
      </w:r>
      <w:r>
        <w:rPr>
          <w:rFonts w:hint="eastAsia"/>
          <w:bCs/>
          <w:sz w:val="24"/>
          <w:highlight w:val="none"/>
          <w:lang w:val="en-US" w:eastAsia="zh-CN"/>
        </w:rPr>
        <w:t>及混凝土其他原材料技术指标、掺加</w:t>
      </w:r>
      <w:r>
        <w:rPr>
          <w:rFonts w:hint="eastAsia"/>
          <w:sz w:val="24"/>
          <w:szCs w:val="24"/>
          <w:highlight w:val="none"/>
          <w:u w:val="none"/>
          <w:lang w:val="en-US" w:eastAsia="zh-CN"/>
        </w:rPr>
        <w:t>钢渣粉</w:t>
      </w:r>
      <w:r>
        <w:rPr>
          <w:rFonts w:hint="eastAsia"/>
          <w:bCs/>
          <w:sz w:val="24"/>
          <w:highlight w:val="none"/>
          <w:lang w:val="en-US" w:eastAsia="zh-CN"/>
        </w:rPr>
        <w:t>混凝土的配合比设计方法、</w:t>
      </w:r>
      <w:r>
        <w:rPr>
          <w:rFonts w:hint="eastAsia"/>
          <w:sz w:val="24"/>
          <w:szCs w:val="24"/>
          <w:highlight w:val="none"/>
          <w:u w:val="none"/>
          <w:lang w:val="en-US" w:eastAsia="zh-CN"/>
        </w:rPr>
        <w:t>钢渣粉</w:t>
      </w:r>
      <w:r>
        <w:rPr>
          <w:rFonts w:hint="eastAsia"/>
          <w:bCs/>
          <w:sz w:val="24"/>
          <w:highlight w:val="none"/>
          <w:lang w:val="en-US" w:eastAsia="zh-CN"/>
        </w:rPr>
        <w:t>对混凝土的工作性能、力学性能及耐久性能的影响规律，及掺加</w:t>
      </w:r>
      <w:r>
        <w:rPr>
          <w:rFonts w:hint="eastAsia"/>
          <w:sz w:val="24"/>
          <w:szCs w:val="24"/>
          <w:highlight w:val="none"/>
          <w:u w:val="none"/>
          <w:lang w:val="en-US" w:eastAsia="zh-CN"/>
        </w:rPr>
        <w:t>钢渣粉</w:t>
      </w:r>
      <w:r>
        <w:rPr>
          <w:rFonts w:hint="eastAsia"/>
          <w:bCs/>
          <w:sz w:val="24"/>
          <w:highlight w:val="none"/>
          <w:lang w:val="en-US" w:eastAsia="zh-CN"/>
        </w:rPr>
        <w:t>混凝土拌合、运输、浇筑、养护等施工工艺。</w:t>
      </w:r>
    </w:p>
    <w:p>
      <w:pPr>
        <w:numPr>
          <w:ilvl w:val="0"/>
          <w:numId w:val="8"/>
        </w:numPr>
        <w:adjustRightInd w:val="0"/>
        <w:snapToGrid w:val="0"/>
        <w:spacing w:line="360" w:lineRule="auto"/>
        <w:ind w:left="0" w:leftChars="0" w:firstLine="420" w:firstLineChars="0"/>
        <w:rPr>
          <w:rFonts w:ascii="宋体" w:hAnsi="宋体" w:eastAsia="宋体" w:cs="宋体"/>
          <w:color w:val="000000"/>
          <w:sz w:val="24"/>
          <w:szCs w:val="24"/>
          <w:highlight w:val="none"/>
        </w:rPr>
      </w:pPr>
      <w:r>
        <w:rPr>
          <w:rFonts w:ascii="宋体" w:hAnsi="宋体" w:eastAsia="宋体" w:cs="宋体"/>
          <w:b w:val="0"/>
          <w:bCs w:val="0"/>
          <w:color w:val="000000"/>
          <w:sz w:val="24"/>
          <w:szCs w:val="24"/>
          <w:highlight w:val="none"/>
        </w:rPr>
        <w:t>结合文献调研、工程调研和验证试验的结果，编制</w:t>
      </w:r>
      <w:r>
        <w:rPr>
          <w:rFonts w:hint="eastAsia" w:ascii="宋体" w:hAnsi="宋体" w:eastAsia="宋体" w:cs="宋体"/>
          <w:b w:val="0"/>
          <w:bCs w:val="0"/>
          <w:color w:val="000000"/>
          <w:sz w:val="24"/>
          <w:szCs w:val="24"/>
          <w:highlight w:val="none"/>
          <w:lang w:val="en-US" w:eastAsia="zh-CN"/>
        </w:rPr>
        <w:t>行业标准</w:t>
      </w:r>
      <w:r>
        <w:rPr>
          <w:rFonts w:ascii="宋体" w:hAnsi="宋体" w:eastAsia="宋体" w:cs="宋体"/>
          <w:b w:val="0"/>
          <w:bCs w:val="0"/>
          <w:color w:val="000000"/>
          <w:sz w:val="24"/>
          <w:szCs w:val="24"/>
          <w:highlight w:val="none"/>
        </w:rPr>
        <w:t>《</w:t>
      </w:r>
      <w:r>
        <w:rPr>
          <w:rFonts w:hint="eastAsia" w:ascii="Times New Roman" w:hAnsi="Times New Roman" w:eastAsia="宋体" w:cs="Times New Roman"/>
          <w:color w:val="000000"/>
          <w:sz w:val="24"/>
          <w:highlight w:val="none"/>
          <w:lang w:val="en-US" w:eastAsia="zh-CN"/>
        </w:rPr>
        <w:t>钢渣粉在混凝土中应用技术规范</w:t>
      </w:r>
      <w:r>
        <w:rPr>
          <w:rFonts w:ascii="宋体" w:hAnsi="宋体" w:eastAsia="宋体" w:cs="宋体"/>
          <w:b w:val="0"/>
          <w:bCs w:val="0"/>
          <w:color w:val="000000"/>
          <w:sz w:val="24"/>
          <w:szCs w:val="24"/>
          <w:highlight w:val="none"/>
        </w:rPr>
        <w:t>》</w:t>
      </w:r>
      <w:r>
        <w:rPr>
          <w:rFonts w:hint="eastAsia" w:ascii="宋体" w:hAnsi="宋体" w:eastAsia="宋体" w:cs="宋体"/>
          <w:b w:val="0"/>
          <w:bCs w:val="0"/>
          <w:color w:val="000000"/>
          <w:sz w:val="24"/>
          <w:szCs w:val="24"/>
          <w:highlight w:val="none"/>
          <w:lang w:eastAsia="zh-CN"/>
        </w:rPr>
        <w:t>，</w:t>
      </w:r>
      <w:r>
        <w:rPr>
          <w:rFonts w:hint="eastAsia" w:ascii="宋体" w:hAnsi="宋体" w:eastAsia="宋体" w:cs="宋体"/>
          <w:b w:val="0"/>
          <w:bCs w:val="0"/>
          <w:color w:val="000000"/>
          <w:sz w:val="24"/>
          <w:szCs w:val="24"/>
          <w:highlight w:val="none"/>
          <w:lang w:val="en-US" w:eastAsia="zh-CN"/>
        </w:rPr>
        <w:t>确保标准内容具有</w:t>
      </w:r>
      <w:r>
        <w:rPr>
          <w:rFonts w:ascii="宋体" w:hAnsi="宋体" w:eastAsia="宋体" w:cs="宋体"/>
          <w:b w:val="0"/>
          <w:bCs w:val="0"/>
          <w:color w:val="000000"/>
          <w:sz w:val="24"/>
          <w:szCs w:val="24"/>
          <w:highlight w:val="none"/>
        </w:rPr>
        <w:t>科学性、普适性</w:t>
      </w:r>
      <w:r>
        <w:rPr>
          <w:rFonts w:hint="eastAsia" w:ascii="宋体" w:hAnsi="宋体" w:eastAsia="宋体" w:cs="宋体"/>
          <w:b w:val="0"/>
          <w:bCs w:val="0"/>
          <w:color w:val="000000"/>
          <w:sz w:val="24"/>
          <w:szCs w:val="24"/>
          <w:highlight w:val="none"/>
          <w:lang w:val="en-US" w:eastAsia="zh-CN"/>
        </w:rPr>
        <w:t>和</w:t>
      </w:r>
      <w:r>
        <w:rPr>
          <w:rStyle w:val="20"/>
          <w:rFonts w:ascii="宋体" w:hAnsi="宋体" w:eastAsia="宋体" w:cs="宋体"/>
          <w:b w:val="0"/>
          <w:bCs w:val="0"/>
          <w:color w:val="000000"/>
          <w:sz w:val="24"/>
          <w:szCs w:val="24"/>
          <w:highlight w:val="none"/>
        </w:rPr>
        <w:t>可操作性</w:t>
      </w:r>
      <w:r>
        <w:rPr>
          <w:rStyle w:val="20"/>
          <w:rFonts w:hint="eastAsia" w:ascii="宋体" w:hAnsi="宋体" w:eastAsia="宋体" w:cs="宋体"/>
          <w:b w:val="0"/>
          <w:bCs w:val="0"/>
          <w:color w:val="000000"/>
          <w:sz w:val="24"/>
          <w:szCs w:val="24"/>
          <w:highlight w:val="none"/>
          <w:lang w:eastAsia="zh-CN"/>
        </w:rPr>
        <w:t>。</w:t>
      </w:r>
      <w:r>
        <w:rPr>
          <w:rFonts w:hint="eastAsia" w:ascii="宋体" w:hAnsi="宋体" w:eastAsia="宋体" w:cs="宋体"/>
          <w:b w:val="0"/>
          <w:bCs w:val="0"/>
          <w:color w:val="000000"/>
          <w:sz w:val="24"/>
          <w:szCs w:val="24"/>
          <w:highlight w:val="none"/>
          <w:lang w:val="en-US" w:eastAsia="zh-CN"/>
        </w:rPr>
        <w:t>对掺加</w:t>
      </w:r>
      <w:r>
        <w:rPr>
          <w:rFonts w:hint="eastAsia" w:ascii="Times New Roman" w:hAnsi="Times New Roman" w:eastAsia="宋体" w:cs="Times New Roman"/>
          <w:color w:val="000000"/>
          <w:sz w:val="24"/>
          <w:highlight w:val="none"/>
          <w:lang w:val="en-US" w:eastAsia="zh-CN"/>
        </w:rPr>
        <w:t>钢渣粉</w:t>
      </w:r>
      <w:r>
        <w:rPr>
          <w:rFonts w:hint="eastAsia" w:ascii="宋体" w:hAnsi="宋体" w:eastAsia="宋体" w:cs="宋体"/>
          <w:b w:val="0"/>
          <w:bCs w:val="0"/>
          <w:color w:val="000000"/>
          <w:sz w:val="24"/>
          <w:szCs w:val="24"/>
          <w:highlight w:val="none"/>
          <w:lang w:val="en-US" w:eastAsia="zh-CN"/>
        </w:rPr>
        <w:t>混凝土的原材料技术要求</w:t>
      </w:r>
      <w:r>
        <w:rPr>
          <w:rFonts w:ascii="宋体" w:hAnsi="宋体" w:eastAsia="宋体" w:cs="宋体"/>
          <w:b w:val="0"/>
          <w:bCs w:val="0"/>
          <w:color w:val="000000"/>
          <w:sz w:val="24"/>
          <w:szCs w:val="24"/>
          <w:highlight w:val="none"/>
        </w:rPr>
        <w:t>、</w:t>
      </w:r>
      <w:r>
        <w:rPr>
          <w:rFonts w:hint="eastAsia" w:ascii="宋体" w:hAnsi="宋体" w:eastAsia="宋体" w:cs="宋体"/>
          <w:b w:val="0"/>
          <w:bCs w:val="0"/>
          <w:color w:val="000000"/>
          <w:sz w:val="24"/>
          <w:szCs w:val="24"/>
          <w:highlight w:val="none"/>
          <w:lang w:val="en-US" w:eastAsia="zh-CN"/>
        </w:rPr>
        <w:t>混凝土性能要求、配合比设计</w:t>
      </w:r>
      <w:r>
        <w:rPr>
          <w:rFonts w:ascii="宋体" w:hAnsi="宋体" w:eastAsia="宋体" w:cs="宋体"/>
          <w:b w:val="0"/>
          <w:bCs w:val="0"/>
          <w:color w:val="000000"/>
          <w:sz w:val="24"/>
          <w:szCs w:val="24"/>
          <w:highlight w:val="none"/>
        </w:rPr>
        <w:t>及</w:t>
      </w:r>
      <w:r>
        <w:rPr>
          <w:rFonts w:ascii="宋体" w:hAnsi="宋体" w:eastAsia="宋体" w:cs="宋体"/>
          <w:color w:val="000000"/>
          <w:sz w:val="24"/>
          <w:szCs w:val="24"/>
          <w:highlight w:val="none"/>
        </w:rPr>
        <w:t>搅拌、运输、浇筑、养护等</w:t>
      </w:r>
      <w:r>
        <w:rPr>
          <w:rFonts w:hint="eastAsia" w:ascii="宋体" w:hAnsi="宋体" w:eastAsia="宋体" w:cs="宋体"/>
          <w:color w:val="000000"/>
          <w:sz w:val="24"/>
          <w:szCs w:val="24"/>
          <w:highlight w:val="none"/>
          <w:lang w:val="en-US" w:eastAsia="zh-CN"/>
        </w:rPr>
        <w:t>施工环节等进行规定</w:t>
      </w:r>
      <w:r>
        <w:rPr>
          <w:rFonts w:ascii="宋体" w:hAnsi="宋体" w:eastAsia="宋体" w:cs="宋体"/>
          <w:color w:val="000000"/>
          <w:sz w:val="24"/>
          <w:szCs w:val="24"/>
          <w:highlight w:val="none"/>
        </w:rPr>
        <w:t>，</w:t>
      </w:r>
      <w:r>
        <w:rPr>
          <w:rFonts w:hint="eastAsia" w:ascii="宋体" w:hAnsi="宋体" w:eastAsia="宋体" w:cs="宋体"/>
          <w:color w:val="000000"/>
          <w:sz w:val="24"/>
          <w:szCs w:val="24"/>
          <w:highlight w:val="none"/>
          <w:lang w:val="en-US" w:eastAsia="zh-CN"/>
        </w:rPr>
        <w:t>明确其质量控制及检验要求</w:t>
      </w:r>
      <w:r>
        <w:rPr>
          <w:rFonts w:ascii="宋体" w:hAnsi="宋体" w:eastAsia="宋体" w:cs="宋体"/>
          <w:color w:val="000000"/>
          <w:sz w:val="24"/>
          <w:szCs w:val="24"/>
          <w:highlight w:val="none"/>
        </w:rPr>
        <w:t>，确保</w:t>
      </w:r>
      <w:r>
        <w:rPr>
          <w:rFonts w:hint="eastAsia" w:ascii="宋体" w:hAnsi="宋体" w:eastAsia="宋体" w:cs="宋体"/>
          <w:color w:val="000000"/>
          <w:sz w:val="24"/>
          <w:szCs w:val="24"/>
          <w:highlight w:val="none"/>
          <w:lang w:val="en-US" w:eastAsia="zh-CN"/>
        </w:rPr>
        <w:t>掺加</w:t>
      </w:r>
      <w:r>
        <w:rPr>
          <w:rFonts w:hint="eastAsia" w:ascii="Times New Roman" w:hAnsi="Times New Roman" w:eastAsia="宋体" w:cs="Times New Roman"/>
          <w:color w:val="000000"/>
          <w:sz w:val="24"/>
          <w:highlight w:val="none"/>
          <w:lang w:val="en-US" w:eastAsia="zh-CN"/>
        </w:rPr>
        <w:t>钢渣粉</w:t>
      </w:r>
      <w:r>
        <w:rPr>
          <w:rFonts w:hint="eastAsia" w:ascii="宋体" w:hAnsi="宋体" w:eastAsia="宋体" w:cs="宋体"/>
          <w:color w:val="000000"/>
          <w:sz w:val="24"/>
          <w:szCs w:val="24"/>
          <w:highlight w:val="none"/>
          <w:lang w:val="en-US" w:eastAsia="zh-CN"/>
        </w:rPr>
        <w:t>的</w:t>
      </w:r>
      <w:r>
        <w:rPr>
          <w:rFonts w:ascii="宋体" w:hAnsi="宋体" w:eastAsia="宋体" w:cs="宋体"/>
          <w:color w:val="000000"/>
          <w:sz w:val="24"/>
          <w:szCs w:val="24"/>
          <w:highlight w:val="none"/>
        </w:rPr>
        <w:t>混凝土能够满足实际工程的使用需求。</w:t>
      </w:r>
    </w:p>
    <w:p>
      <w:pPr>
        <w:numPr>
          <w:ilvl w:val="0"/>
          <w:numId w:val="8"/>
        </w:numPr>
        <w:adjustRightInd w:val="0"/>
        <w:snapToGrid w:val="0"/>
        <w:spacing w:line="360" w:lineRule="auto"/>
        <w:ind w:left="0" w:leftChars="0" w:firstLine="420" w:firstLineChars="0"/>
        <w:rPr>
          <w:rFonts w:hint="eastAsia" w:ascii="宋体" w:hAnsi="宋体" w:eastAsia="宋体" w:cs="宋体"/>
          <w:sz w:val="24"/>
          <w:szCs w:val="24"/>
          <w:highlight w:val="none"/>
          <w:lang w:val="en-US" w:eastAsia="zh-CN"/>
        </w:rPr>
      </w:pPr>
      <w:r>
        <w:rPr>
          <w:rFonts w:ascii="宋体" w:hAnsi="宋体" w:eastAsia="宋体" w:cs="宋体"/>
          <w:sz w:val="24"/>
          <w:szCs w:val="24"/>
          <w:highlight w:val="none"/>
        </w:rPr>
        <w:t>广泛征求行业专家、学者以及工程实践者的意见。通过组织技术专家座谈会，详细讨论草案的可行性和适用性，针对标准条文的细节部分进行优化调整。同时，还将通过</w:t>
      </w:r>
      <w:r>
        <w:rPr>
          <w:rFonts w:hint="eastAsia" w:ascii="宋体" w:hAnsi="宋体" w:eastAsia="宋体" w:cs="宋体"/>
          <w:sz w:val="24"/>
          <w:szCs w:val="24"/>
          <w:highlight w:val="none"/>
          <w:lang w:val="en-US" w:eastAsia="zh-CN"/>
        </w:rPr>
        <w:t>定向征求专家意见，</w:t>
      </w:r>
      <w:r>
        <w:rPr>
          <w:rFonts w:ascii="宋体" w:hAnsi="宋体" w:eastAsia="宋体" w:cs="宋体"/>
          <w:sz w:val="24"/>
          <w:szCs w:val="24"/>
          <w:highlight w:val="none"/>
        </w:rPr>
        <w:t>收集不同</w:t>
      </w:r>
      <w:r>
        <w:rPr>
          <w:rFonts w:hint="eastAsia" w:ascii="宋体" w:hAnsi="宋体" w:eastAsia="宋体" w:cs="宋体"/>
          <w:sz w:val="24"/>
          <w:szCs w:val="24"/>
          <w:highlight w:val="none"/>
          <w:lang w:val="en-US" w:eastAsia="zh-CN"/>
        </w:rPr>
        <w:t>专家对标准的意见和建议，</w:t>
      </w:r>
      <w:r>
        <w:rPr>
          <w:rFonts w:ascii="宋体" w:hAnsi="宋体" w:eastAsia="宋体" w:cs="宋体"/>
          <w:sz w:val="24"/>
          <w:szCs w:val="24"/>
          <w:highlight w:val="none"/>
        </w:rPr>
        <w:t>进一步完善标准内容，为行业提供一套具有广泛适用性的技术规范。</w:t>
      </w:r>
    </w:p>
    <w:p>
      <w:pPr>
        <w:adjustRightInd w:val="0"/>
        <w:snapToGrid w:val="0"/>
        <w:spacing w:before="156" w:beforeLines="50" w:after="156" w:afterLines="50" w:line="360" w:lineRule="auto"/>
        <w:outlineLvl w:val="0"/>
        <w:rPr>
          <w:rFonts w:hint="eastAsia" w:ascii="黑体" w:hAnsi="黑体" w:eastAsia="黑体"/>
          <w:b/>
          <w:bCs/>
          <w:kern w:val="0"/>
          <w:sz w:val="28"/>
          <w:highlight w:val="none"/>
        </w:rPr>
      </w:pPr>
      <w:bookmarkStart w:id="30" w:name="_Toc30262"/>
      <w:r>
        <w:rPr>
          <w:rFonts w:hint="eastAsia" w:ascii="黑体" w:hAnsi="黑体" w:eastAsia="黑体"/>
          <w:b/>
          <w:bCs/>
          <w:kern w:val="0"/>
          <w:sz w:val="28"/>
          <w:highlight w:val="none"/>
          <w:lang w:val="en-US" w:eastAsia="zh-CN"/>
        </w:rPr>
        <w:t>三</w:t>
      </w:r>
      <w:r>
        <w:rPr>
          <w:rFonts w:hint="eastAsia" w:ascii="黑体" w:hAnsi="黑体" w:eastAsia="黑体"/>
          <w:b/>
          <w:bCs/>
          <w:kern w:val="0"/>
          <w:sz w:val="28"/>
          <w:highlight w:val="none"/>
        </w:rPr>
        <w:t>、标准涉及专利的情况</w:t>
      </w:r>
      <w:bookmarkEnd w:id="30"/>
    </w:p>
    <w:p>
      <w:pPr>
        <w:adjustRightInd w:val="0"/>
        <w:snapToGrid w:val="0"/>
        <w:spacing w:line="360" w:lineRule="auto"/>
        <w:ind w:firstLine="480" w:firstLineChars="200"/>
        <w:jc w:val="left"/>
        <w:rPr>
          <w:sz w:val="24"/>
          <w:highlight w:val="none"/>
        </w:rPr>
      </w:pPr>
      <w:r>
        <w:rPr>
          <w:sz w:val="24"/>
          <w:highlight w:val="none"/>
        </w:rPr>
        <w:t>本标准制定过程中不存在涉及相关专利的情况。</w:t>
      </w:r>
    </w:p>
    <w:p>
      <w:pPr>
        <w:adjustRightInd w:val="0"/>
        <w:snapToGrid w:val="0"/>
        <w:spacing w:before="156" w:beforeLines="50" w:after="156" w:afterLines="50" w:line="360" w:lineRule="auto"/>
        <w:outlineLvl w:val="0"/>
        <w:rPr>
          <w:rFonts w:hint="eastAsia" w:ascii="黑体" w:hAnsi="黑体" w:eastAsia="黑体"/>
          <w:b/>
          <w:bCs/>
          <w:color w:val="auto"/>
          <w:sz w:val="28"/>
          <w:highlight w:val="none"/>
        </w:rPr>
      </w:pPr>
      <w:bookmarkStart w:id="31" w:name="_Toc21532"/>
      <w:r>
        <w:rPr>
          <w:rFonts w:hint="eastAsia" w:ascii="黑体" w:hAnsi="黑体" w:eastAsia="黑体"/>
          <w:b/>
          <w:bCs/>
          <w:color w:val="auto"/>
          <w:kern w:val="0"/>
          <w:sz w:val="28"/>
          <w:highlight w:val="none"/>
          <w:lang w:val="en-US" w:eastAsia="zh-CN"/>
        </w:rPr>
        <w:t>四</w:t>
      </w:r>
      <w:r>
        <w:rPr>
          <w:rFonts w:ascii="黑体" w:hAnsi="黑体" w:eastAsia="黑体"/>
          <w:b/>
          <w:bCs/>
          <w:color w:val="auto"/>
          <w:kern w:val="0"/>
          <w:sz w:val="28"/>
          <w:highlight w:val="none"/>
        </w:rPr>
        <w:t>、</w:t>
      </w:r>
      <w:r>
        <w:rPr>
          <w:rFonts w:hint="eastAsia" w:ascii="黑体" w:hAnsi="黑体" w:eastAsia="黑体"/>
          <w:b/>
          <w:color w:val="auto"/>
          <w:sz w:val="28"/>
          <w:highlight w:val="none"/>
        </w:rPr>
        <w:t>主要试验验证的情况</w:t>
      </w:r>
      <w:bookmarkEnd w:id="31"/>
    </w:p>
    <w:p>
      <w:pPr>
        <w:pStyle w:val="45"/>
        <w:outlineLvl w:val="9"/>
        <w:rPr>
          <w:rFonts w:hint="default" w:ascii="Times New Roman" w:hAnsi="Times New Roman" w:eastAsia="宋体" w:cs="Times New Roman"/>
          <w:highlight w:val="none"/>
          <w:lang w:eastAsia="zh-CN"/>
        </w:rPr>
      </w:pPr>
      <w:r>
        <w:rPr>
          <w:rFonts w:hint="default" w:ascii="Times New Roman" w:hAnsi="Times New Roman" w:eastAsia="宋体" w:cs="Times New Roman"/>
          <w:highlight w:val="none"/>
          <w:lang w:val="en-US" w:eastAsia="zh-CN"/>
        </w:rPr>
        <w:t>为了验证标准技术内容提出的合理性</w:t>
      </w:r>
      <w:r>
        <w:rPr>
          <w:rFonts w:hint="default" w:ascii="Times New Roman" w:hAnsi="Times New Roman" w:eastAsia="宋体" w:cs="Times New Roman"/>
          <w:highlight w:val="none"/>
          <w:lang w:eastAsia="zh-CN"/>
        </w:rPr>
        <w:t>，</w:t>
      </w:r>
      <w:r>
        <w:rPr>
          <w:rFonts w:hint="eastAsia" w:ascii="Times New Roman" w:hAnsi="Times New Roman" w:eastAsia="宋体" w:cs="Times New Roman"/>
          <w:highlight w:val="none"/>
          <w:lang w:val="en-US" w:eastAsia="zh-CN"/>
        </w:rPr>
        <w:t>实现</w:t>
      </w:r>
      <w:r>
        <w:rPr>
          <w:rFonts w:hint="eastAsia" w:ascii="Times New Roman" w:hAnsi="Times New Roman" w:eastAsia="宋体" w:cs="Times New Roman"/>
          <w:color w:val="000000"/>
          <w:sz w:val="24"/>
          <w:highlight w:val="none"/>
          <w:lang w:val="en-US" w:eastAsia="zh-CN"/>
        </w:rPr>
        <w:t>钢渣粉</w:t>
      </w:r>
      <w:r>
        <w:rPr>
          <w:rFonts w:ascii="Segoe UI" w:hAnsi="Segoe UI" w:eastAsia="Segoe UI" w:cs="Segoe UI"/>
          <w:i w:val="0"/>
          <w:iCs w:val="0"/>
          <w:caps w:val="0"/>
          <w:spacing w:val="0"/>
          <w:sz w:val="24"/>
          <w:szCs w:val="24"/>
          <w:highlight w:val="none"/>
          <w:shd w:val="clear" w:color="auto" w:fill="FFFFFF"/>
        </w:rPr>
        <w:t>在混凝土中的</w:t>
      </w:r>
      <w:r>
        <w:rPr>
          <w:rFonts w:hint="eastAsia" w:ascii="Segoe UI" w:hAnsi="Segoe UI" w:eastAsia="宋体" w:cs="Segoe UI"/>
          <w:i w:val="0"/>
          <w:iCs w:val="0"/>
          <w:caps w:val="0"/>
          <w:spacing w:val="0"/>
          <w:sz w:val="24"/>
          <w:szCs w:val="24"/>
          <w:highlight w:val="none"/>
          <w:shd w:val="clear" w:color="auto" w:fill="FFFFFF"/>
          <w:lang w:val="en-US" w:eastAsia="zh-CN"/>
        </w:rPr>
        <w:t>合理</w:t>
      </w:r>
      <w:r>
        <w:rPr>
          <w:rFonts w:ascii="Segoe UI" w:hAnsi="Segoe UI" w:eastAsia="Segoe UI" w:cs="Segoe UI"/>
          <w:i w:val="0"/>
          <w:iCs w:val="0"/>
          <w:caps w:val="0"/>
          <w:spacing w:val="0"/>
          <w:sz w:val="24"/>
          <w:szCs w:val="24"/>
          <w:highlight w:val="none"/>
          <w:shd w:val="clear" w:color="auto" w:fill="FFFFFF"/>
        </w:rPr>
        <w:t>应用，</w:t>
      </w:r>
      <w:r>
        <w:rPr>
          <w:rFonts w:hint="default" w:ascii="Times New Roman" w:hAnsi="Times New Roman" w:eastAsia="宋体" w:cs="Times New Roman"/>
          <w:highlight w:val="none"/>
          <w:lang w:eastAsia="zh-CN"/>
        </w:rPr>
        <w:t>编制组开展了</w:t>
      </w:r>
      <w:r>
        <w:rPr>
          <w:rFonts w:hint="default" w:ascii="Times New Roman" w:hAnsi="Times New Roman" w:eastAsia="宋体" w:cs="Times New Roman"/>
          <w:highlight w:val="none"/>
        </w:rPr>
        <w:t>一系列试验研究与验证工作</w:t>
      </w:r>
      <w:r>
        <w:rPr>
          <w:rFonts w:hint="default" w:ascii="Times New Roman" w:hAnsi="Times New Roman" w:eastAsia="宋体" w:cs="Times New Roman"/>
          <w:highlight w:val="none"/>
          <w:lang w:eastAsia="zh-CN"/>
        </w:rPr>
        <w:t>，</w:t>
      </w:r>
      <w:r>
        <w:rPr>
          <w:rFonts w:hint="default" w:ascii="Times New Roman" w:hAnsi="Times New Roman" w:eastAsia="宋体" w:cs="Times New Roman"/>
          <w:highlight w:val="none"/>
        </w:rPr>
        <w:t>为标准中技术指标的确定提供了试验数据支撑</w:t>
      </w:r>
      <w:r>
        <w:rPr>
          <w:rFonts w:hint="default" w:ascii="Times New Roman" w:hAnsi="Times New Roman" w:eastAsia="宋体" w:cs="Times New Roman"/>
          <w:highlight w:val="none"/>
          <w:lang w:eastAsia="zh-CN"/>
        </w:rPr>
        <w:t>。主要研究内容包括：</w:t>
      </w:r>
    </w:p>
    <w:p>
      <w:pPr>
        <w:pStyle w:val="45"/>
        <w:outlineLvl w:val="9"/>
        <w:rPr>
          <w:rFonts w:hint="default" w:ascii="Times New Roman" w:hAnsi="Times New Roman" w:eastAsia="宋体" w:cs="Times New Roman"/>
          <w:highlight w:val="none"/>
          <w:lang w:eastAsia="zh-CN"/>
        </w:rPr>
      </w:pPr>
      <w:r>
        <w:rPr>
          <w:rFonts w:hint="default" w:ascii="Times New Roman" w:hAnsi="Times New Roman" w:eastAsia="宋体" w:cs="Times New Roman"/>
          <w:highlight w:val="none"/>
          <w:lang w:val="en-US" w:eastAsia="zh-CN"/>
        </w:rPr>
        <w:t>（1）</w:t>
      </w:r>
      <w:r>
        <w:rPr>
          <w:rFonts w:hint="eastAsia" w:ascii="Times New Roman" w:hAnsi="Times New Roman" w:eastAsia="宋体" w:cs="Times New Roman"/>
          <w:color w:val="000000"/>
          <w:sz w:val="24"/>
          <w:highlight w:val="none"/>
          <w:lang w:val="en-US" w:eastAsia="zh-CN"/>
        </w:rPr>
        <w:t>钢渣粉</w:t>
      </w:r>
      <w:r>
        <w:rPr>
          <w:rFonts w:hint="default" w:ascii="Times New Roman" w:hAnsi="Times New Roman" w:eastAsia="宋体" w:cs="Times New Roman"/>
          <w:highlight w:val="none"/>
          <w:lang w:eastAsia="zh-CN"/>
        </w:rPr>
        <w:t>作为</w:t>
      </w:r>
      <w:r>
        <w:rPr>
          <w:rFonts w:hint="default" w:ascii="Times New Roman" w:hAnsi="Times New Roman" w:eastAsia="宋体" w:cs="Times New Roman"/>
          <w:highlight w:val="none"/>
          <w:lang w:val="en-US" w:eastAsia="zh-CN"/>
        </w:rPr>
        <w:t>矿物掺合料的基本性能测试，确定其关键技术指标；</w:t>
      </w:r>
    </w:p>
    <w:p>
      <w:pPr>
        <w:pStyle w:val="45"/>
        <w:outlineLvl w:val="9"/>
        <w:rPr>
          <w:rFonts w:hint="default" w:ascii="Times New Roman" w:hAnsi="Times New Roman" w:eastAsia="宋体" w:cs="Times New Roman"/>
          <w:b w:val="0"/>
          <w:bCs w:val="0"/>
          <w:color w:val="auto"/>
          <w:highlight w:val="none"/>
          <w:lang w:val="en-US" w:eastAsia="zh-CN"/>
        </w:rPr>
      </w:pPr>
      <w:r>
        <w:rPr>
          <w:rFonts w:hint="default" w:ascii="Times New Roman" w:hAnsi="Times New Roman" w:eastAsia="宋体" w:cs="Times New Roman"/>
          <w:b w:val="0"/>
          <w:bCs w:val="0"/>
          <w:color w:val="auto"/>
          <w:highlight w:val="none"/>
          <w:lang w:val="en-US" w:eastAsia="zh-CN"/>
        </w:rPr>
        <w:t>（2）</w:t>
      </w:r>
      <w:r>
        <w:rPr>
          <w:rFonts w:hint="eastAsia" w:ascii="Times New Roman" w:hAnsi="Times New Roman" w:eastAsia="宋体" w:cs="Times New Roman"/>
          <w:color w:val="000000"/>
          <w:sz w:val="24"/>
          <w:highlight w:val="none"/>
          <w:lang w:val="en-US" w:eastAsia="zh-CN"/>
        </w:rPr>
        <w:t>钢渣粉</w:t>
      </w:r>
      <w:r>
        <w:rPr>
          <w:rFonts w:hint="default" w:ascii="Times New Roman" w:hAnsi="Times New Roman" w:eastAsia="宋体" w:cs="Times New Roman"/>
          <w:b w:val="0"/>
          <w:bCs w:val="0"/>
          <w:color w:val="auto"/>
          <w:highlight w:val="none"/>
          <w:lang w:val="en-US" w:eastAsia="zh-CN"/>
        </w:rPr>
        <w:t>在混凝土中的掺量</w:t>
      </w:r>
      <w:r>
        <w:rPr>
          <w:rFonts w:hint="eastAsia" w:ascii="Times New Roman" w:hAnsi="Times New Roman" w:eastAsia="宋体" w:cs="Times New Roman"/>
          <w:b w:val="0"/>
          <w:bCs w:val="0"/>
          <w:color w:val="auto"/>
          <w:highlight w:val="none"/>
          <w:lang w:val="en-US" w:eastAsia="zh-CN"/>
        </w:rPr>
        <w:t>限值</w:t>
      </w:r>
      <w:r>
        <w:rPr>
          <w:rFonts w:hint="default" w:ascii="Times New Roman" w:hAnsi="Times New Roman" w:eastAsia="宋体" w:cs="Times New Roman"/>
          <w:b w:val="0"/>
          <w:bCs w:val="0"/>
          <w:color w:val="auto"/>
          <w:highlight w:val="none"/>
          <w:lang w:val="en-US" w:eastAsia="zh-CN"/>
        </w:rPr>
        <w:t>研究；</w:t>
      </w:r>
    </w:p>
    <w:p>
      <w:pPr>
        <w:pStyle w:val="45"/>
        <w:outlineLvl w:val="9"/>
        <w:rPr>
          <w:rFonts w:hint="default" w:ascii="Times New Roman" w:hAnsi="Times New Roman" w:eastAsia="宋体" w:cs="Times New Roman"/>
          <w:b w:val="0"/>
          <w:bCs w:val="0"/>
          <w:color w:val="auto"/>
          <w:highlight w:val="none"/>
          <w:lang w:val="en-US" w:eastAsia="zh-CN"/>
        </w:rPr>
      </w:pPr>
      <w:r>
        <w:rPr>
          <w:rFonts w:hint="default" w:ascii="Times New Roman" w:hAnsi="Times New Roman" w:eastAsia="宋体" w:cs="Times New Roman"/>
          <w:b w:val="0"/>
          <w:bCs w:val="0"/>
          <w:color w:val="auto"/>
          <w:highlight w:val="none"/>
          <w:lang w:val="en-US" w:eastAsia="zh-CN"/>
        </w:rPr>
        <w:t>（3）</w:t>
      </w:r>
      <w:r>
        <w:rPr>
          <w:rFonts w:hint="eastAsia" w:ascii="Times New Roman" w:hAnsi="Times New Roman" w:eastAsia="宋体" w:cs="Times New Roman"/>
          <w:color w:val="000000"/>
          <w:sz w:val="24"/>
          <w:highlight w:val="none"/>
          <w:lang w:val="en-US" w:eastAsia="zh-CN"/>
        </w:rPr>
        <w:t>钢渣粉</w:t>
      </w:r>
      <w:r>
        <w:rPr>
          <w:rFonts w:hint="default" w:ascii="Times New Roman" w:hAnsi="Times New Roman" w:eastAsia="宋体" w:cs="Times New Roman"/>
          <w:b w:val="0"/>
          <w:bCs w:val="0"/>
          <w:color w:val="auto"/>
          <w:highlight w:val="none"/>
          <w:lang w:val="en-US" w:eastAsia="zh-CN"/>
        </w:rPr>
        <w:t>的影响系数研究；</w:t>
      </w:r>
    </w:p>
    <w:p>
      <w:pPr>
        <w:pStyle w:val="45"/>
        <w:outlineLvl w:val="9"/>
        <w:rPr>
          <w:rFonts w:ascii="Times New Roman" w:hAnsi="Times New Roman"/>
          <w:sz w:val="24"/>
          <w:szCs w:val="24"/>
          <w:highlight w:val="none"/>
        </w:rPr>
      </w:pPr>
      <w:r>
        <w:rPr>
          <w:rFonts w:hint="default" w:ascii="Times New Roman" w:hAnsi="Times New Roman" w:eastAsia="宋体" w:cs="Times New Roman"/>
          <w:b w:val="0"/>
          <w:bCs w:val="0"/>
          <w:color w:val="auto"/>
          <w:highlight w:val="none"/>
          <w:lang w:val="en-US" w:eastAsia="zh-CN"/>
        </w:rPr>
        <w:t>本标准验证试验由</w:t>
      </w:r>
      <w:r>
        <w:rPr>
          <w:rFonts w:hint="default" w:ascii="Times New Roman" w:hAnsi="Times New Roman" w:eastAsia="宋体" w:cs="Times New Roman"/>
          <w:b w:val="0"/>
          <w:bCs w:val="0"/>
          <w:color w:val="auto"/>
          <w:highlight w:val="none"/>
        </w:rPr>
        <w:t>中国建筑科学研究院有限公司</w:t>
      </w:r>
      <w:r>
        <w:rPr>
          <w:rFonts w:hint="default" w:ascii="Times New Roman" w:hAnsi="Times New Roman" w:eastAsia="宋体" w:cs="Times New Roman"/>
          <w:b w:val="0"/>
          <w:bCs w:val="0"/>
          <w:color w:val="auto"/>
          <w:highlight w:val="none"/>
          <w:lang w:val="en-US" w:eastAsia="zh-CN"/>
        </w:rPr>
        <w:t>牵头组织</w:t>
      </w:r>
      <w:r>
        <w:rPr>
          <w:rFonts w:hint="eastAsia" w:ascii="Times New Roman" w:hAnsi="Times New Roman" w:eastAsia="宋体" w:cs="Times New Roman"/>
          <w:b w:val="0"/>
          <w:bCs w:val="0"/>
          <w:color w:val="auto"/>
          <w:highlight w:val="none"/>
          <w:lang w:val="en-US" w:eastAsia="zh-CN"/>
        </w:rPr>
        <w:t>，建研建材有限公司</w:t>
      </w:r>
      <w:r>
        <w:rPr>
          <w:rFonts w:hint="eastAsia" w:ascii="Times New Roman" w:hAnsi="Times New Roman" w:cs="Times New Roman"/>
          <w:b w:val="0"/>
          <w:bCs w:val="0"/>
          <w:color w:val="auto"/>
          <w:highlight w:val="none"/>
          <w:lang w:val="en-US" w:eastAsia="zh-CN"/>
        </w:rPr>
        <w:t>、</w:t>
      </w:r>
      <w:r>
        <w:rPr>
          <w:rFonts w:hint="eastAsia" w:ascii="Times New Roman" w:hAnsi="Times New Roman" w:eastAsia="宋体" w:cs="Times New Roman"/>
          <w:b w:val="0"/>
          <w:bCs w:val="0"/>
          <w:color w:val="auto"/>
          <w:highlight w:val="none"/>
          <w:lang w:val="en-US" w:eastAsia="zh-CN"/>
        </w:rPr>
        <w:t>三明市高速公路建设集团有限公司</w:t>
      </w:r>
      <w:r>
        <w:rPr>
          <w:rFonts w:hint="eastAsia" w:ascii="Times New Roman" w:hAnsi="Times New Roman" w:cs="Times New Roman"/>
          <w:b w:val="0"/>
          <w:bCs w:val="0"/>
          <w:color w:val="auto"/>
          <w:highlight w:val="none"/>
          <w:lang w:val="en-US" w:eastAsia="zh-CN"/>
        </w:rPr>
        <w:t>、</w:t>
      </w:r>
      <w:r>
        <w:rPr>
          <w:rFonts w:hint="eastAsia" w:ascii="Times New Roman" w:hAnsi="Times New Roman" w:eastAsia="宋体" w:cs="Times New Roman"/>
          <w:b w:val="0"/>
          <w:bCs w:val="0"/>
          <w:color w:val="auto"/>
          <w:highlight w:val="none"/>
          <w:lang w:val="en-US" w:eastAsia="zh-CN"/>
        </w:rPr>
        <w:t>上海市政工程设计研究总院（集团）有限公司</w:t>
      </w:r>
      <w:r>
        <w:rPr>
          <w:rFonts w:hint="eastAsia" w:ascii="Times New Roman" w:hAnsi="Times New Roman" w:cs="Times New Roman"/>
          <w:b w:val="0"/>
          <w:bCs w:val="0"/>
          <w:color w:val="auto"/>
          <w:highlight w:val="none"/>
          <w:lang w:val="en-US" w:eastAsia="zh-CN"/>
        </w:rPr>
        <w:t>、</w:t>
      </w:r>
      <w:r>
        <w:rPr>
          <w:rFonts w:hint="eastAsia" w:ascii="Times New Roman" w:hAnsi="Times New Roman" w:eastAsia="宋体" w:cs="Times New Roman"/>
          <w:b w:val="0"/>
          <w:bCs w:val="0"/>
          <w:color w:val="auto"/>
          <w:highlight w:val="none"/>
          <w:lang w:val="en-US" w:eastAsia="zh-CN"/>
        </w:rPr>
        <w:t>清华大学</w:t>
      </w:r>
      <w:r>
        <w:rPr>
          <w:rFonts w:hint="eastAsia" w:ascii="Times New Roman" w:hAnsi="Times New Roman" w:cs="Times New Roman"/>
          <w:b w:val="0"/>
          <w:bCs w:val="0"/>
          <w:color w:val="auto"/>
          <w:highlight w:val="none"/>
          <w:lang w:val="en-US" w:eastAsia="zh-CN"/>
        </w:rPr>
        <w:t>、</w:t>
      </w:r>
      <w:r>
        <w:rPr>
          <w:rFonts w:hint="eastAsia" w:ascii="Times New Roman" w:hAnsi="Times New Roman" w:eastAsia="宋体" w:cs="Times New Roman"/>
          <w:b w:val="0"/>
          <w:bCs w:val="0"/>
          <w:color w:val="auto"/>
          <w:highlight w:val="none"/>
          <w:lang w:val="en-US" w:eastAsia="zh-CN"/>
        </w:rPr>
        <w:t>武汉大学</w:t>
      </w:r>
      <w:r>
        <w:rPr>
          <w:rFonts w:hint="eastAsia" w:ascii="Times New Roman" w:hAnsi="Times New Roman" w:cs="Times New Roman"/>
          <w:b w:val="0"/>
          <w:bCs w:val="0"/>
          <w:color w:val="auto"/>
          <w:highlight w:val="none"/>
          <w:lang w:val="en-US" w:eastAsia="zh-CN"/>
        </w:rPr>
        <w:t>、</w:t>
      </w:r>
      <w:r>
        <w:rPr>
          <w:rFonts w:hint="eastAsia" w:ascii="Times New Roman" w:hAnsi="Times New Roman" w:eastAsia="宋体" w:cs="Times New Roman"/>
          <w:b w:val="0"/>
          <w:bCs w:val="0"/>
          <w:color w:val="auto"/>
          <w:highlight w:val="none"/>
          <w:lang w:val="en-US" w:eastAsia="zh-CN"/>
        </w:rPr>
        <w:t>武汉理工大学</w:t>
      </w:r>
      <w:r>
        <w:rPr>
          <w:rFonts w:hint="eastAsia" w:ascii="Times New Roman" w:hAnsi="Times New Roman" w:cs="Times New Roman"/>
          <w:b w:val="0"/>
          <w:bCs w:val="0"/>
          <w:color w:val="auto"/>
          <w:highlight w:val="none"/>
          <w:lang w:val="en-US" w:eastAsia="zh-CN"/>
        </w:rPr>
        <w:t>、</w:t>
      </w:r>
      <w:r>
        <w:rPr>
          <w:rFonts w:hint="eastAsia" w:ascii="Times New Roman" w:hAnsi="Times New Roman" w:eastAsia="宋体" w:cs="Times New Roman"/>
          <w:b w:val="0"/>
          <w:bCs w:val="0"/>
          <w:color w:val="auto"/>
          <w:highlight w:val="none"/>
          <w:lang w:val="en-US" w:eastAsia="zh-CN"/>
        </w:rPr>
        <w:t>河南交通职业技术学院</w:t>
      </w:r>
      <w:r>
        <w:rPr>
          <w:rFonts w:hint="eastAsia" w:ascii="Times New Roman" w:hAnsi="Times New Roman" w:cs="Times New Roman"/>
          <w:b w:val="0"/>
          <w:bCs w:val="0"/>
          <w:color w:val="auto"/>
          <w:highlight w:val="none"/>
          <w:lang w:val="en-US" w:eastAsia="zh-CN"/>
        </w:rPr>
        <w:t>、</w:t>
      </w:r>
      <w:r>
        <w:rPr>
          <w:rFonts w:hint="eastAsia" w:ascii="Times New Roman" w:hAnsi="Times New Roman" w:eastAsia="宋体" w:cs="Times New Roman"/>
          <w:b w:val="0"/>
          <w:bCs w:val="0"/>
          <w:color w:val="auto"/>
          <w:highlight w:val="none"/>
          <w:lang w:val="en-US" w:eastAsia="zh-CN"/>
        </w:rPr>
        <w:t>太原理工大学</w:t>
      </w:r>
      <w:r>
        <w:rPr>
          <w:rFonts w:hint="eastAsia" w:ascii="Times New Roman" w:hAnsi="Times New Roman" w:cs="Times New Roman"/>
          <w:b w:val="0"/>
          <w:bCs w:val="0"/>
          <w:color w:val="auto"/>
          <w:highlight w:val="none"/>
          <w:lang w:val="en-US" w:eastAsia="zh-CN"/>
        </w:rPr>
        <w:t>、</w:t>
      </w:r>
      <w:r>
        <w:rPr>
          <w:rFonts w:hint="eastAsia" w:ascii="Times New Roman" w:hAnsi="Times New Roman" w:eastAsia="宋体" w:cs="Times New Roman"/>
          <w:b w:val="0"/>
          <w:bCs w:val="0"/>
          <w:color w:val="auto"/>
          <w:highlight w:val="none"/>
          <w:lang w:val="en-US" w:eastAsia="zh-CN"/>
        </w:rPr>
        <w:t>河南理工大学</w:t>
      </w:r>
      <w:r>
        <w:rPr>
          <w:rFonts w:hint="eastAsia" w:ascii="Times New Roman" w:hAnsi="Times New Roman" w:cs="Times New Roman"/>
          <w:b w:val="0"/>
          <w:bCs w:val="0"/>
          <w:color w:val="auto"/>
          <w:highlight w:val="none"/>
          <w:lang w:val="en-US" w:eastAsia="zh-CN"/>
        </w:rPr>
        <w:t>、</w:t>
      </w:r>
      <w:r>
        <w:rPr>
          <w:rFonts w:hint="eastAsia" w:ascii="Times New Roman" w:hAnsi="Times New Roman" w:eastAsia="宋体" w:cs="Times New Roman"/>
          <w:b w:val="0"/>
          <w:bCs w:val="0"/>
          <w:color w:val="auto"/>
          <w:highlight w:val="none"/>
          <w:lang w:val="en-US" w:eastAsia="zh-CN"/>
        </w:rPr>
        <w:t>河北农业大学</w:t>
      </w:r>
      <w:r>
        <w:rPr>
          <w:rFonts w:hint="eastAsia" w:ascii="Times New Roman" w:hAnsi="Times New Roman" w:cs="Times New Roman"/>
          <w:b w:val="0"/>
          <w:bCs w:val="0"/>
          <w:color w:val="auto"/>
          <w:highlight w:val="none"/>
          <w:lang w:val="en-US" w:eastAsia="zh-CN"/>
        </w:rPr>
        <w:t>、</w:t>
      </w:r>
      <w:r>
        <w:rPr>
          <w:rFonts w:hint="eastAsia" w:ascii="Times New Roman" w:hAnsi="Times New Roman" w:eastAsia="宋体" w:cs="Times New Roman"/>
          <w:b w:val="0"/>
          <w:bCs w:val="0"/>
          <w:color w:val="auto"/>
          <w:highlight w:val="none"/>
          <w:lang w:val="en-US" w:eastAsia="zh-CN"/>
        </w:rPr>
        <w:t>山东钢铁股份有限公司</w:t>
      </w:r>
      <w:r>
        <w:rPr>
          <w:rFonts w:hint="eastAsia" w:ascii="Times New Roman" w:hAnsi="Times New Roman" w:cs="Times New Roman"/>
          <w:b w:val="0"/>
          <w:bCs w:val="0"/>
          <w:color w:val="auto"/>
          <w:highlight w:val="none"/>
          <w:lang w:val="en-US" w:eastAsia="zh-CN"/>
        </w:rPr>
        <w:t>、</w:t>
      </w:r>
      <w:r>
        <w:rPr>
          <w:rFonts w:hint="eastAsia" w:ascii="Times New Roman" w:hAnsi="Times New Roman" w:eastAsia="宋体" w:cs="Times New Roman"/>
          <w:b w:val="0"/>
          <w:bCs w:val="0"/>
          <w:color w:val="auto"/>
          <w:highlight w:val="none"/>
          <w:lang w:val="en-US" w:eastAsia="zh-CN"/>
        </w:rPr>
        <w:t>宝武环科武汉金属资源有限责任公司</w:t>
      </w:r>
      <w:r>
        <w:rPr>
          <w:rFonts w:hint="eastAsia" w:ascii="Times New Roman" w:hAnsi="Times New Roman" w:cs="Times New Roman"/>
          <w:b w:val="0"/>
          <w:bCs w:val="0"/>
          <w:color w:val="auto"/>
          <w:highlight w:val="none"/>
          <w:lang w:val="en-US" w:eastAsia="zh-CN"/>
        </w:rPr>
        <w:t>、</w:t>
      </w:r>
      <w:r>
        <w:rPr>
          <w:rFonts w:hint="eastAsia" w:ascii="Times New Roman" w:hAnsi="Times New Roman" w:eastAsia="宋体" w:cs="Times New Roman"/>
          <w:b w:val="0"/>
          <w:bCs w:val="0"/>
          <w:color w:val="auto"/>
          <w:highlight w:val="none"/>
          <w:lang w:val="en-US" w:eastAsia="zh-CN"/>
        </w:rPr>
        <w:t>建研院检测中心有限公司</w:t>
      </w:r>
      <w:r>
        <w:rPr>
          <w:rFonts w:hint="default" w:ascii="Times New Roman" w:hAnsi="Times New Roman" w:eastAsia="宋体" w:cs="Times New Roman"/>
          <w:highlight w:val="none"/>
          <w:lang w:val="en-US" w:eastAsia="zh-CN"/>
        </w:rPr>
        <w:t>等高校及企业参与</w:t>
      </w:r>
      <w:r>
        <w:rPr>
          <w:rFonts w:hint="default" w:ascii="Times New Roman" w:hAnsi="Times New Roman" w:eastAsia="宋体" w:cs="Times New Roman"/>
          <w:highlight w:val="none"/>
        </w:rPr>
        <w:t>。</w:t>
      </w:r>
    </w:p>
    <w:p>
      <w:pPr>
        <w:keepNext w:val="0"/>
        <w:keepLines w:val="0"/>
        <w:pageBreakBefore w:val="0"/>
        <w:widowControl w:val="0"/>
        <w:kinsoku/>
        <w:wordWrap/>
        <w:overflowPunct/>
        <w:topLinePunct w:val="0"/>
        <w:autoSpaceDE/>
        <w:autoSpaceDN/>
        <w:bidi w:val="0"/>
        <w:adjustRightInd/>
        <w:snapToGrid/>
        <w:spacing w:before="157" w:beforeLines="50" w:after="157" w:afterLines="50" w:line="240" w:lineRule="auto"/>
        <w:textAlignment w:val="auto"/>
        <w:rPr>
          <w:rFonts w:hint="default" w:ascii="Times New Roman" w:hAnsi="Times New Roman" w:eastAsia="宋体" w:cs="Times New Roman"/>
          <w:b/>
          <w:bCs w:val="0"/>
          <w:sz w:val="24"/>
          <w:highlight w:val="none"/>
          <w:lang w:val="en-US" w:eastAsia="zh-CN"/>
        </w:rPr>
      </w:pPr>
      <w:r>
        <w:rPr>
          <w:rFonts w:hint="eastAsia" w:ascii="Times New Roman" w:hAnsi="Times New Roman" w:eastAsia="宋体" w:cs="Times New Roman"/>
          <w:b/>
          <w:bCs w:val="0"/>
          <w:sz w:val="24"/>
          <w:highlight w:val="none"/>
          <w:lang w:val="en-US" w:eastAsia="zh-CN"/>
        </w:rPr>
        <w:t xml:space="preserve">3.1 </w:t>
      </w:r>
      <w:r>
        <w:rPr>
          <w:rFonts w:hint="eastAsia" w:cs="Times New Roman"/>
          <w:b/>
          <w:bCs w:val="0"/>
          <w:sz w:val="24"/>
          <w:highlight w:val="none"/>
          <w:lang w:val="en-US" w:eastAsia="zh-CN"/>
        </w:rPr>
        <w:t>钢渣粉</w:t>
      </w:r>
      <w:r>
        <w:rPr>
          <w:rFonts w:hint="eastAsia" w:ascii="Times New Roman" w:hAnsi="Times New Roman" w:eastAsia="宋体" w:cs="Times New Roman"/>
          <w:b/>
          <w:bCs w:val="0"/>
          <w:sz w:val="24"/>
          <w:highlight w:val="none"/>
          <w:lang w:val="en-US" w:eastAsia="zh-CN"/>
        </w:rPr>
        <w:t>技术指标的建立</w:t>
      </w:r>
    </w:p>
    <w:p>
      <w:pPr>
        <w:widowControl/>
        <w:spacing w:line="360" w:lineRule="auto"/>
        <w:ind w:firstLine="480" w:firstLineChars="200"/>
        <w:rPr>
          <w:rFonts w:hint="default" w:ascii="Times New Roman" w:hAnsi="Times New Roman" w:cs="Times New Roman"/>
          <w:sz w:val="24"/>
          <w:szCs w:val="24"/>
          <w:highlight w:val="none"/>
          <w:lang w:val="en-US" w:eastAsia="zh-CN"/>
        </w:rPr>
      </w:pPr>
      <w:r>
        <w:rPr>
          <w:rFonts w:hint="default" w:ascii="Times New Roman" w:hAnsi="Times New Roman" w:eastAsia="宋体" w:cs="Times New Roman"/>
          <w:color w:val="000000"/>
          <w:kern w:val="0"/>
          <w:sz w:val="24"/>
          <w:szCs w:val="24"/>
          <w:highlight w:val="none"/>
          <w:lang w:val="en-US" w:eastAsia="zh-CN" w:bidi="ar-SA"/>
        </w:rPr>
        <w:t>对于</w:t>
      </w:r>
      <w:r>
        <w:rPr>
          <w:rFonts w:hint="eastAsia" w:cs="Times New Roman"/>
          <w:color w:val="000000"/>
          <w:kern w:val="0"/>
          <w:sz w:val="24"/>
          <w:szCs w:val="24"/>
          <w:highlight w:val="none"/>
          <w:lang w:val="en-US" w:eastAsia="zh-CN" w:bidi="ar-SA"/>
        </w:rPr>
        <w:t>钢渣粉</w:t>
      </w:r>
      <w:r>
        <w:rPr>
          <w:rFonts w:hint="eastAsia" w:ascii="Times New Roman" w:hAnsi="Times New Roman" w:eastAsia="宋体" w:cs="Times New Roman"/>
          <w:color w:val="000000"/>
          <w:kern w:val="0"/>
          <w:sz w:val="24"/>
          <w:szCs w:val="24"/>
          <w:highlight w:val="none"/>
          <w:lang w:val="en-US" w:eastAsia="zh-CN" w:bidi="ar-SA"/>
        </w:rPr>
        <w:t>作为混凝土矿物掺合料</w:t>
      </w:r>
      <w:r>
        <w:rPr>
          <w:rFonts w:hint="default" w:ascii="Times New Roman" w:hAnsi="Times New Roman" w:eastAsia="宋体" w:cs="Times New Roman"/>
          <w:color w:val="000000"/>
          <w:kern w:val="0"/>
          <w:sz w:val="24"/>
          <w:szCs w:val="24"/>
          <w:highlight w:val="none"/>
          <w:lang w:val="en-US" w:eastAsia="zh-CN" w:bidi="ar-SA"/>
        </w:rPr>
        <w:t>技术指标</w:t>
      </w:r>
      <w:r>
        <w:rPr>
          <w:rFonts w:hint="eastAsia" w:ascii="Times New Roman" w:hAnsi="Times New Roman" w:eastAsia="宋体" w:cs="Times New Roman"/>
          <w:color w:val="000000"/>
          <w:kern w:val="0"/>
          <w:sz w:val="24"/>
          <w:szCs w:val="24"/>
          <w:highlight w:val="none"/>
          <w:lang w:val="en-US" w:eastAsia="zh-CN" w:bidi="ar-SA"/>
        </w:rPr>
        <w:t>的</w:t>
      </w:r>
      <w:r>
        <w:rPr>
          <w:rFonts w:hint="default" w:ascii="Times New Roman" w:hAnsi="Times New Roman" w:eastAsia="宋体" w:cs="Times New Roman"/>
          <w:color w:val="000000"/>
          <w:kern w:val="0"/>
          <w:sz w:val="24"/>
          <w:szCs w:val="24"/>
          <w:highlight w:val="none"/>
          <w:lang w:val="en-US" w:eastAsia="zh-CN" w:bidi="ar-SA"/>
        </w:rPr>
        <w:t>建立，本标准参考</w:t>
      </w:r>
      <w:r>
        <w:rPr>
          <w:rFonts w:hint="default" w:ascii="Times New Roman" w:hAnsi="Times New Roman" w:eastAsia="宋体" w:cs="Times New Roman"/>
          <w:kern w:val="0"/>
          <w:sz w:val="24"/>
          <w:szCs w:val="24"/>
          <w:highlight w:val="none"/>
          <w:lang w:val="en-US" w:eastAsia="zh-CN" w:bidi="ar-SA"/>
        </w:rPr>
        <w:t>《</w:t>
      </w:r>
      <w:r>
        <w:rPr>
          <w:sz w:val="24"/>
          <w:szCs w:val="24"/>
        </w:rPr>
        <w:t>用于水泥和混凝土中的钢渣粉</w:t>
      </w:r>
      <w:r>
        <w:rPr>
          <w:rFonts w:hint="default" w:ascii="Times New Roman" w:hAnsi="Times New Roman" w:eastAsia="宋体" w:cs="Times New Roman"/>
          <w:kern w:val="0"/>
          <w:sz w:val="24"/>
          <w:szCs w:val="24"/>
          <w:highlight w:val="none"/>
          <w:lang w:val="en-US" w:eastAsia="zh-CN" w:bidi="ar-SA"/>
        </w:rPr>
        <w:t>》</w:t>
      </w:r>
      <w:r>
        <w:rPr>
          <w:sz w:val="24"/>
          <w:szCs w:val="24"/>
        </w:rPr>
        <w:t>GB/T 20491</w:t>
      </w:r>
      <w:r>
        <w:rPr>
          <w:rFonts w:hint="eastAsia" w:ascii="Times New Roman" w:hAnsi="Times New Roman" w:eastAsia="宋体" w:cs="Times New Roman"/>
          <w:kern w:val="0"/>
          <w:sz w:val="24"/>
          <w:szCs w:val="24"/>
          <w:highlight w:val="none"/>
          <w:lang w:val="en-US" w:eastAsia="zh-CN" w:bidi="ar-SA"/>
        </w:rPr>
        <w:t>、《用于水泥中的钢渣》YB/T 022、《钢渣化学分析方法》YB/T 140、《混凝土用复合掺合料》JG/T 486及</w:t>
      </w:r>
      <w:r>
        <w:rPr>
          <w:rFonts w:hint="default" w:ascii="Times New Roman" w:hAnsi="Times New Roman" w:eastAsia="宋体" w:cs="Times New Roman"/>
          <w:kern w:val="0"/>
          <w:sz w:val="24"/>
          <w:szCs w:val="24"/>
          <w:highlight w:val="none"/>
          <w:lang w:val="en-US" w:eastAsia="zh-CN" w:bidi="ar-SA"/>
        </w:rPr>
        <w:t>《矿物掺合料应用技术规范》GB/T 51003等矿物掺合料</w:t>
      </w:r>
      <w:r>
        <w:rPr>
          <w:rFonts w:hint="eastAsia" w:ascii="Times New Roman" w:hAnsi="Times New Roman" w:eastAsia="宋体" w:cs="Times New Roman"/>
          <w:kern w:val="0"/>
          <w:sz w:val="24"/>
          <w:szCs w:val="24"/>
          <w:highlight w:val="none"/>
          <w:lang w:val="en-US" w:eastAsia="zh-CN" w:bidi="ar-SA"/>
        </w:rPr>
        <w:t>标准</w:t>
      </w:r>
      <w:r>
        <w:rPr>
          <w:rFonts w:hint="default" w:ascii="Times New Roman" w:hAnsi="Times New Roman" w:eastAsia="宋体" w:cs="Times New Roman"/>
          <w:kern w:val="0"/>
          <w:sz w:val="24"/>
          <w:szCs w:val="24"/>
          <w:highlight w:val="none"/>
          <w:lang w:val="en-US" w:eastAsia="zh-CN" w:bidi="ar-SA"/>
        </w:rPr>
        <w:t>基础上，开展验证试验。</w:t>
      </w:r>
    </w:p>
    <w:p>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sz w:val="24"/>
          <w:szCs w:val="24"/>
          <w:highlight w:val="none"/>
          <w:lang w:val="en-US" w:eastAsia="zh-CN"/>
        </w:rPr>
      </w:pPr>
      <w:r>
        <w:rPr>
          <w:rFonts w:hint="eastAsia" w:cs="Times New Roman"/>
          <w:sz w:val="24"/>
          <w:szCs w:val="24"/>
          <w:highlight w:val="none"/>
          <w:lang w:val="en-US" w:eastAsia="zh-CN"/>
        </w:rPr>
        <w:t>钢渣粉</w:t>
      </w:r>
      <w:r>
        <w:rPr>
          <w:rFonts w:hint="default" w:ascii="Times New Roman" w:hAnsi="Times New Roman" w:cs="Times New Roman"/>
          <w:sz w:val="24"/>
          <w:szCs w:val="24"/>
          <w:highlight w:val="none"/>
          <w:lang w:val="en-US" w:eastAsia="zh-CN"/>
        </w:rPr>
        <w:t>中</w:t>
      </w:r>
      <w:r>
        <w:rPr>
          <w:rFonts w:hint="eastAsia" w:cs="Times New Roman"/>
          <w:sz w:val="24"/>
          <w:szCs w:val="24"/>
          <w:highlight w:val="none"/>
          <w:lang w:val="en-US" w:eastAsia="zh-CN"/>
        </w:rPr>
        <w:t>的物相组成主要是C</w:t>
      </w:r>
      <w:r>
        <w:rPr>
          <w:rFonts w:hint="eastAsia" w:cs="Times New Roman"/>
          <w:sz w:val="24"/>
          <w:szCs w:val="24"/>
          <w:highlight w:val="none"/>
          <w:vertAlign w:val="subscript"/>
          <w:lang w:val="en-US" w:eastAsia="zh-CN"/>
        </w:rPr>
        <w:t>3</w:t>
      </w:r>
      <w:r>
        <w:rPr>
          <w:rFonts w:hint="eastAsia" w:cs="Times New Roman"/>
          <w:sz w:val="24"/>
          <w:szCs w:val="24"/>
          <w:highlight w:val="none"/>
          <w:lang w:val="en-US" w:eastAsia="zh-CN"/>
        </w:rPr>
        <w:t>S、C</w:t>
      </w:r>
      <w:r>
        <w:rPr>
          <w:rFonts w:hint="eastAsia" w:cs="Times New Roman"/>
          <w:sz w:val="24"/>
          <w:szCs w:val="24"/>
          <w:highlight w:val="none"/>
          <w:vertAlign w:val="subscript"/>
          <w:lang w:val="en-US" w:eastAsia="zh-CN"/>
        </w:rPr>
        <w:t>2</w:t>
      </w:r>
      <w:r>
        <w:rPr>
          <w:rFonts w:hint="eastAsia" w:cs="Times New Roman"/>
          <w:sz w:val="24"/>
          <w:szCs w:val="24"/>
          <w:highlight w:val="none"/>
          <w:lang w:val="en-US" w:eastAsia="zh-CN"/>
        </w:rPr>
        <w:t>S、C</w:t>
      </w:r>
      <w:r>
        <w:rPr>
          <w:rFonts w:hint="eastAsia" w:cs="Times New Roman"/>
          <w:sz w:val="24"/>
          <w:szCs w:val="24"/>
          <w:highlight w:val="none"/>
          <w:vertAlign w:val="subscript"/>
          <w:lang w:val="en-US" w:eastAsia="zh-CN"/>
        </w:rPr>
        <w:t>4</w:t>
      </w:r>
      <w:r>
        <w:rPr>
          <w:rFonts w:hint="eastAsia" w:cs="Times New Roman"/>
          <w:sz w:val="24"/>
          <w:szCs w:val="24"/>
          <w:highlight w:val="none"/>
          <w:lang w:val="en-US" w:eastAsia="zh-CN"/>
        </w:rPr>
        <w:t>AF、RO、</w:t>
      </w:r>
      <w:r>
        <w:rPr>
          <w:rFonts w:hint="eastAsia" w:cs="Times New Roman"/>
          <w:i/>
          <w:iCs/>
          <w:sz w:val="24"/>
          <w:szCs w:val="24"/>
          <w:highlight w:val="none"/>
          <w:lang w:val="en-US" w:eastAsia="zh-CN"/>
        </w:rPr>
        <w:t>f</w:t>
      </w:r>
      <w:r>
        <w:rPr>
          <w:rFonts w:hint="eastAsia" w:cs="Times New Roman"/>
          <w:sz w:val="24"/>
          <w:szCs w:val="24"/>
          <w:highlight w:val="none"/>
          <w:lang w:val="en-US" w:eastAsia="zh-CN"/>
        </w:rPr>
        <w:t>-CaO和</w:t>
      </w:r>
      <w:r>
        <w:rPr>
          <w:rFonts w:hint="eastAsia" w:cs="Times New Roman"/>
          <w:i/>
          <w:iCs/>
          <w:sz w:val="24"/>
          <w:szCs w:val="24"/>
          <w:highlight w:val="none"/>
          <w:lang w:val="en-US" w:eastAsia="zh-CN"/>
        </w:rPr>
        <w:t>f</w:t>
      </w:r>
      <w:r>
        <w:rPr>
          <w:rFonts w:hint="eastAsia" w:cs="Times New Roman"/>
          <w:sz w:val="24"/>
          <w:szCs w:val="24"/>
          <w:highlight w:val="none"/>
          <w:lang w:val="en-US" w:eastAsia="zh-CN"/>
        </w:rPr>
        <w:t>-MgO等，与水泥熟料矿物相相似，因此钢渣粉具有一定的水化活性。</w:t>
      </w:r>
      <w:r>
        <w:rPr>
          <w:rFonts w:hint="default" w:ascii="Times New Roman" w:hAnsi="Times New Roman" w:cs="Times New Roman"/>
          <w:sz w:val="24"/>
          <w:szCs w:val="24"/>
          <w:highlight w:val="none"/>
          <w:lang w:val="en-US" w:eastAsia="zh-CN"/>
        </w:rPr>
        <w:t>氧化硅、氧化铝、氧化铁可与氢氧化钙和碱（钾、钠）反应生成复杂的具有胶凝作用的化合物。</w:t>
      </w:r>
      <w:r>
        <w:rPr>
          <w:rFonts w:hint="eastAsia" w:cs="Times New Roman"/>
          <w:sz w:val="24"/>
          <w:szCs w:val="24"/>
          <w:highlight w:val="none"/>
          <w:lang w:val="en-US" w:eastAsia="zh-CN"/>
        </w:rPr>
        <w:t>钢渣粉</w:t>
      </w:r>
      <w:r>
        <w:rPr>
          <w:rFonts w:hint="default" w:ascii="Times New Roman" w:hAnsi="Times New Roman" w:cs="Times New Roman"/>
          <w:sz w:val="24"/>
          <w:szCs w:val="24"/>
          <w:highlight w:val="none"/>
          <w:lang w:val="en-US" w:eastAsia="zh-CN"/>
        </w:rPr>
        <w:t>反应质量</w:t>
      </w:r>
      <w:r>
        <w:rPr>
          <w:rFonts w:hint="eastAsia" w:ascii="Times New Roman" w:hAnsi="Times New Roman" w:cs="Times New Roman"/>
          <w:sz w:val="24"/>
          <w:szCs w:val="24"/>
          <w:highlight w:val="none"/>
          <w:lang w:val="en-US" w:eastAsia="zh-CN"/>
        </w:rPr>
        <w:t>指数指</w:t>
      </w:r>
      <w:r>
        <w:rPr>
          <w:rFonts w:hint="default" w:ascii="Times New Roman" w:hAnsi="Times New Roman" w:cs="Times New Roman"/>
          <w:sz w:val="24"/>
          <w:szCs w:val="24"/>
          <w:highlight w:val="none"/>
          <w:lang w:val="en-US" w:eastAsia="zh-CN"/>
        </w:rPr>
        <w:t>对</w:t>
      </w:r>
      <w:r>
        <w:rPr>
          <w:rFonts w:hint="eastAsia" w:cs="Times New Roman"/>
          <w:sz w:val="24"/>
          <w:szCs w:val="24"/>
          <w:highlight w:val="none"/>
          <w:lang w:val="en-US" w:eastAsia="zh-CN"/>
        </w:rPr>
        <w:t>水化</w:t>
      </w:r>
      <w:r>
        <w:rPr>
          <w:rFonts w:hint="default" w:ascii="Times New Roman" w:hAnsi="Times New Roman" w:cs="Times New Roman"/>
          <w:sz w:val="24"/>
          <w:szCs w:val="24"/>
          <w:highlight w:val="none"/>
          <w:lang w:val="en-US" w:eastAsia="zh-CN"/>
        </w:rPr>
        <w:t>活性有贡献的氧化物之和，即氧化硅、氧化铝和氧化铁的质量百分数之和。其总量直接反映材料潜在活性的物质基础。尽管活性还与玻璃态含量、细度等相关，但常规试验难以量化非晶态物质，该指数可作为便捷、统一的评判标准，避免因活性不足影响混凝土性能。</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eastAsia="宋体" w:cs="Times New Roman"/>
          <w:kern w:val="2"/>
          <w:sz w:val="24"/>
          <w:szCs w:val="24"/>
          <w:highlight w:val="none"/>
          <w:lang w:val="en-US" w:eastAsia="zh-CN" w:bidi="ar-SA"/>
        </w:rPr>
      </w:pPr>
      <w:r>
        <w:rPr>
          <w:rFonts w:hint="eastAsia" w:ascii="Times New Roman" w:hAnsi="Times New Roman" w:eastAsia="宋体" w:cs="Times New Roman"/>
          <w:kern w:val="2"/>
          <w:sz w:val="24"/>
          <w:szCs w:val="24"/>
          <w:highlight w:val="none"/>
          <w:lang w:val="en-US" w:eastAsia="zh-CN" w:bidi="ar-SA"/>
        </w:rPr>
        <w:t>该指标对混凝土性能影响显著，指数过低会导致</w:t>
      </w:r>
      <w:r>
        <w:rPr>
          <w:rFonts w:hint="eastAsia" w:cs="Times New Roman"/>
          <w:sz w:val="24"/>
          <w:szCs w:val="24"/>
          <w:highlight w:val="none"/>
          <w:lang w:val="en-US" w:eastAsia="zh-CN"/>
        </w:rPr>
        <w:t>水化</w:t>
      </w:r>
      <w:r>
        <w:rPr>
          <w:rFonts w:hint="eastAsia" w:ascii="Times New Roman" w:hAnsi="Times New Roman" w:eastAsia="宋体" w:cs="Times New Roman"/>
          <w:kern w:val="2"/>
          <w:sz w:val="24"/>
          <w:szCs w:val="24"/>
          <w:highlight w:val="none"/>
          <w:lang w:val="en-US" w:eastAsia="zh-CN" w:bidi="ar-SA"/>
        </w:rPr>
        <w:t>反应不充分，使混凝土后期强度增长慢，抗渗、抗碳化等耐久性下降；只有活性氧化物总含量</w:t>
      </w:r>
      <w:r>
        <w:rPr>
          <w:rFonts w:hint="eastAsia" w:ascii="Times New Roman" w:hAnsi="Times New Roman" w:cs="Times New Roman"/>
          <w:sz w:val="24"/>
          <w:szCs w:val="24"/>
          <w:highlight w:val="none"/>
          <w:lang w:val="en-US" w:eastAsia="zh-CN"/>
        </w:rPr>
        <w:t>达到一定总量才</w:t>
      </w:r>
      <w:r>
        <w:rPr>
          <w:rFonts w:hint="eastAsia" w:ascii="Times New Roman" w:hAnsi="Times New Roman" w:eastAsia="宋体" w:cs="Times New Roman"/>
          <w:kern w:val="2"/>
          <w:sz w:val="24"/>
          <w:szCs w:val="24"/>
          <w:highlight w:val="none"/>
          <w:lang w:val="en-US" w:eastAsia="zh-CN" w:bidi="ar-SA"/>
        </w:rPr>
        <w:t>能保障材料在合理掺量下发挥填充与胶凝作用，避免需水量上升、坍落度损失过快等问题。</w:t>
      </w:r>
    </w:p>
    <w:p>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编制组通过文献调研及化学成分分析试验，验证</w:t>
      </w:r>
      <w:r>
        <w:rPr>
          <w:rFonts w:hint="default" w:ascii="Times New Roman" w:hAnsi="Times New Roman" w:cs="Times New Roman"/>
          <w:sz w:val="24"/>
          <w:szCs w:val="24"/>
          <w:highlight w:val="none"/>
          <w:lang w:val="en-US" w:eastAsia="zh-CN"/>
        </w:rPr>
        <w:t>氧化硅、氧化铝、氧化铁</w:t>
      </w:r>
      <w:r>
        <w:rPr>
          <w:rFonts w:hint="eastAsia" w:ascii="Times New Roman" w:hAnsi="Times New Roman" w:cs="Times New Roman"/>
          <w:sz w:val="24"/>
          <w:szCs w:val="24"/>
          <w:highlight w:val="none"/>
          <w:lang w:val="en-US" w:eastAsia="zh-CN"/>
        </w:rPr>
        <w:t>三种活性氧化物总含量（即反应质量指数）达</w:t>
      </w:r>
      <w:r>
        <w:rPr>
          <w:rFonts w:hint="eastAsia" w:ascii="Times New Roman" w:hAnsi="Times New Roman" w:cs="Times New Roman"/>
          <w:b/>
          <w:bCs/>
          <w:sz w:val="24"/>
          <w:szCs w:val="24"/>
          <w:highlight w:val="none"/>
          <w:lang w:val="en-US" w:eastAsia="zh-CN"/>
        </w:rPr>
        <w:t>70%及以上</w:t>
      </w:r>
      <w:r>
        <w:rPr>
          <w:rFonts w:hint="eastAsia" w:ascii="Times New Roman" w:hAnsi="Times New Roman" w:cs="Times New Roman"/>
          <w:sz w:val="24"/>
          <w:szCs w:val="24"/>
          <w:highlight w:val="none"/>
          <w:lang w:val="en-US" w:eastAsia="zh-CN"/>
        </w:rPr>
        <w:t>时，材料</w:t>
      </w:r>
      <w:r>
        <w:rPr>
          <w:rFonts w:hint="eastAsia" w:cs="Times New Roman"/>
          <w:sz w:val="24"/>
          <w:szCs w:val="24"/>
          <w:highlight w:val="none"/>
          <w:lang w:val="en-US" w:eastAsia="zh-CN"/>
        </w:rPr>
        <w:t>水化</w:t>
      </w:r>
      <w:r>
        <w:rPr>
          <w:rFonts w:hint="eastAsia" w:ascii="Times New Roman" w:hAnsi="Times New Roman" w:cs="Times New Roman"/>
          <w:sz w:val="24"/>
          <w:szCs w:val="24"/>
          <w:highlight w:val="none"/>
          <w:lang w:val="en-US" w:eastAsia="zh-CN"/>
        </w:rPr>
        <w:t>反应活性可满足混凝土性能要求，故将其定为关键控制指标。表3.1-1为几种</w:t>
      </w:r>
      <w:r>
        <w:rPr>
          <w:rFonts w:hint="eastAsia" w:cs="Times New Roman"/>
          <w:sz w:val="24"/>
          <w:szCs w:val="24"/>
          <w:highlight w:val="none"/>
          <w:lang w:val="en-US" w:eastAsia="zh-CN"/>
        </w:rPr>
        <w:t>钢渣粉</w:t>
      </w:r>
      <w:r>
        <w:rPr>
          <w:rFonts w:hint="eastAsia" w:ascii="Times New Roman" w:hAnsi="Times New Roman" w:cs="Times New Roman"/>
          <w:sz w:val="24"/>
          <w:szCs w:val="24"/>
          <w:highlight w:val="none"/>
          <w:lang w:val="en-US" w:eastAsia="zh-CN"/>
        </w:rPr>
        <w:t>的化学成分。</w:t>
      </w:r>
    </w:p>
    <w:p>
      <w:pP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br w:type="page"/>
      </w:r>
    </w:p>
    <w:p>
      <w:pPr>
        <w:pStyle w:val="7"/>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sz w:val="21"/>
          <w:szCs w:val="21"/>
          <w:highlight w:val="none"/>
          <w:lang w:val="en-US" w:eastAsia="zh-CN"/>
        </w:rPr>
      </w:pPr>
      <w:r>
        <w:rPr>
          <w:rFonts w:hint="eastAsia" w:ascii="Times New Roman" w:hAnsi="Times New Roman" w:cs="Times New Roman"/>
          <w:sz w:val="21"/>
          <w:szCs w:val="21"/>
          <w:highlight w:val="none"/>
          <w:lang w:val="en-US" w:eastAsia="zh-CN"/>
        </w:rPr>
        <w:t xml:space="preserve">表3.1-1 </w:t>
      </w:r>
      <w:r>
        <w:rPr>
          <w:rFonts w:hint="eastAsia" w:cs="Times New Roman"/>
          <w:sz w:val="21"/>
          <w:szCs w:val="21"/>
          <w:highlight w:val="none"/>
          <w:lang w:val="en-US" w:eastAsia="zh-CN"/>
        </w:rPr>
        <w:t>钢渣粉</w:t>
      </w:r>
      <w:r>
        <w:rPr>
          <w:rFonts w:ascii="Times New Roman" w:hAnsi="Times New Roman" w:cs="Times New Roman"/>
          <w:sz w:val="21"/>
          <w:szCs w:val="21"/>
          <w:highlight w:val="none"/>
        </w:rPr>
        <w:t>化学成分</w:t>
      </w:r>
      <w:r>
        <w:rPr>
          <w:rFonts w:hint="eastAsia" w:cs="Times New Roman"/>
          <w:sz w:val="21"/>
          <w:szCs w:val="21"/>
          <w:highlight w:val="none"/>
          <w:lang w:eastAsia="zh-CN"/>
        </w:rPr>
        <w:t>（</w:t>
      </w:r>
      <w:r>
        <w:rPr>
          <w:rFonts w:hint="eastAsia" w:cs="Times New Roman"/>
          <w:sz w:val="21"/>
          <w:szCs w:val="21"/>
          <w:highlight w:val="none"/>
          <w:lang w:val="en-US" w:eastAsia="zh-CN"/>
        </w:rPr>
        <w:t>%</w:t>
      </w:r>
      <w:r>
        <w:rPr>
          <w:rFonts w:hint="eastAsia" w:cs="Times New Roman"/>
          <w:sz w:val="21"/>
          <w:szCs w:val="21"/>
          <w:highlight w:val="none"/>
          <w:lang w:eastAsia="zh-CN"/>
        </w:rPr>
        <w:t>）</w:t>
      </w:r>
    </w:p>
    <w:tbl>
      <w:tblPr>
        <w:tblStyle w:val="17"/>
        <w:tblW w:w="4631" w:type="pct"/>
        <w:jc w:val="center"/>
        <w:tblBorders>
          <w:top w:val="single" w:color="auto" w:sz="4" w:space="0"/>
          <w:left w:val="none" w:color="auto" w:sz="0" w:space="0"/>
          <w:bottom w:val="single" w:color="auto" w:sz="4"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16"/>
        <w:gridCol w:w="1086"/>
        <w:gridCol w:w="932"/>
        <w:gridCol w:w="932"/>
        <w:gridCol w:w="932"/>
        <w:gridCol w:w="932"/>
        <w:gridCol w:w="932"/>
        <w:gridCol w:w="937"/>
      </w:tblGrid>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769" w:type="pct"/>
            <w:tcBorders>
              <w:top w:val="single" w:color="auto" w:sz="4" w:space="0"/>
              <w:left w:val="single" w:color="auto" w:sz="4" w:space="0"/>
              <w:bottom w:val="single" w:color="auto" w:sz="4" w:space="0"/>
              <w:right w:val="single" w:color="auto" w:sz="4" w:space="0"/>
            </w:tcBorders>
            <w:noWrap w:val="0"/>
            <w:vAlign w:val="center"/>
          </w:tcPr>
          <w:p>
            <w:pPr>
              <w:spacing w:line="400" w:lineRule="exact"/>
              <w:jc w:val="center"/>
              <w:rPr>
                <w:rFonts w:hint="default" w:ascii="Times New Roman" w:hAnsi="Times New Roman" w:eastAsia="宋体" w:cs="Times New Roman"/>
                <w:color w:val="000000"/>
                <w:sz w:val="18"/>
                <w:szCs w:val="18"/>
                <w:highlight w:val="none"/>
              </w:rPr>
            </w:pPr>
            <w:r>
              <w:rPr>
                <w:rFonts w:hint="default" w:ascii="Times New Roman" w:hAnsi="Times New Roman" w:eastAsia="宋体" w:cs="Times New Roman"/>
                <w:color w:val="000000"/>
                <w:sz w:val="18"/>
                <w:szCs w:val="18"/>
                <w:highlight w:val="none"/>
              </w:rPr>
              <w:t>试样</w:t>
            </w:r>
          </w:p>
        </w:tc>
        <w:tc>
          <w:tcPr>
            <w:tcW w:w="687" w:type="pct"/>
            <w:tcBorders>
              <w:top w:val="single" w:color="auto" w:sz="4" w:space="0"/>
              <w:left w:val="single" w:color="auto" w:sz="4" w:space="0"/>
              <w:bottom w:val="single" w:color="auto" w:sz="4" w:space="0"/>
              <w:right w:val="single" w:color="auto" w:sz="4" w:space="0"/>
            </w:tcBorders>
            <w:noWrap w:val="0"/>
            <w:vAlign w:val="center"/>
          </w:tcPr>
          <w:p>
            <w:pPr>
              <w:spacing w:line="400" w:lineRule="exact"/>
              <w:jc w:val="center"/>
              <w:rPr>
                <w:rFonts w:hint="default" w:ascii="Times New Roman" w:hAnsi="Times New Roman" w:eastAsia="宋体" w:cs="Times New Roman"/>
                <w:color w:val="000000"/>
                <w:sz w:val="18"/>
                <w:szCs w:val="18"/>
                <w:highlight w:val="none"/>
              </w:rPr>
            </w:pPr>
            <w:r>
              <w:rPr>
                <w:rFonts w:hint="default" w:ascii="Times New Roman" w:hAnsi="Times New Roman" w:eastAsia="宋体" w:cs="Times New Roman"/>
                <w:color w:val="000000"/>
                <w:sz w:val="18"/>
                <w:szCs w:val="18"/>
                <w:highlight w:val="none"/>
              </w:rPr>
              <w:t>样品地区</w:t>
            </w:r>
          </w:p>
        </w:tc>
        <w:tc>
          <w:tcPr>
            <w:tcW w:w="589" w:type="pct"/>
            <w:tcBorders>
              <w:top w:val="single" w:color="auto" w:sz="4" w:space="0"/>
              <w:left w:val="single" w:color="auto" w:sz="4" w:space="0"/>
              <w:bottom w:val="single" w:color="auto" w:sz="4" w:space="0"/>
              <w:right w:val="single" w:color="auto" w:sz="4" w:space="0"/>
            </w:tcBorders>
            <w:noWrap w:val="0"/>
            <w:vAlign w:val="center"/>
          </w:tcPr>
          <w:p>
            <w:pPr>
              <w:spacing w:line="400" w:lineRule="exact"/>
              <w:jc w:val="center"/>
              <w:rPr>
                <w:rFonts w:hint="default" w:ascii="Times New Roman" w:hAnsi="Times New Roman" w:eastAsia="宋体" w:cs="Times New Roman"/>
                <w:color w:val="000000"/>
                <w:sz w:val="18"/>
                <w:szCs w:val="18"/>
                <w:highlight w:val="none"/>
              </w:rPr>
            </w:pPr>
            <w:r>
              <w:rPr>
                <w:rFonts w:hint="default" w:ascii="Times New Roman" w:hAnsi="Times New Roman" w:eastAsia="宋体" w:cs="Times New Roman"/>
                <w:color w:val="000000"/>
                <w:sz w:val="18"/>
                <w:szCs w:val="18"/>
                <w:highlight w:val="none"/>
              </w:rPr>
              <w:t>CaO</w:t>
            </w:r>
          </w:p>
        </w:tc>
        <w:tc>
          <w:tcPr>
            <w:tcW w:w="589" w:type="pct"/>
            <w:tcBorders>
              <w:top w:val="single" w:color="auto" w:sz="4" w:space="0"/>
              <w:left w:val="single" w:color="auto" w:sz="4" w:space="0"/>
              <w:bottom w:val="single" w:color="auto" w:sz="4" w:space="0"/>
              <w:right w:val="single" w:color="auto" w:sz="4" w:space="0"/>
            </w:tcBorders>
            <w:noWrap w:val="0"/>
            <w:vAlign w:val="center"/>
          </w:tcPr>
          <w:p>
            <w:pPr>
              <w:spacing w:line="400" w:lineRule="exact"/>
              <w:jc w:val="center"/>
              <w:rPr>
                <w:rFonts w:hint="default" w:ascii="Times New Roman" w:hAnsi="Times New Roman" w:eastAsia="宋体" w:cs="Times New Roman"/>
                <w:color w:val="000000"/>
                <w:sz w:val="18"/>
                <w:szCs w:val="18"/>
                <w:highlight w:val="none"/>
              </w:rPr>
            </w:pPr>
            <w:r>
              <w:rPr>
                <w:rFonts w:hint="default" w:ascii="Times New Roman" w:hAnsi="Times New Roman" w:eastAsia="宋体" w:cs="Times New Roman"/>
                <w:color w:val="000000"/>
                <w:sz w:val="18"/>
                <w:szCs w:val="18"/>
                <w:highlight w:val="none"/>
              </w:rPr>
              <w:t>SiO</w:t>
            </w:r>
            <w:r>
              <w:rPr>
                <w:rFonts w:hint="default" w:ascii="Times New Roman" w:hAnsi="Times New Roman" w:eastAsia="宋体" w:cs="Times New Roman"/>
                <w:color w:val="000000"/>
                <w:sz w:val="18"/>
                <w:szCs w:val="18"/>
                <w:highlight w:val="none"/>
                <w:vertAlign w:val="subscript"/>
              </w:rPr>
              <w:t>2</w:t>
            </w:r>
          </w:p>
        </w:tc>
        <w:tc>
          <w:tcPr>
            <w:tcW w:w="589" w:type="pct"/>
            <w:tcBorders>
              <w:top w:val="single" w:color="auto" w:sz="4" w:space="0"/>
              <w:left w:val="single" w:color="auto" w:sz="4" w:space="0"/>
              <w:bottom w:val="single" w:color="auto" w:sz="4" w:space="0"/>
              <w:right w:val="single" w:color="auto" w:sz="4" w:space="0"/>
            </w:tcBorders>
            <w:noWrap w:val="0"/>
            <w:vAlign w:val="center"/>
          </w:tcPr>
          <w:p>
            <w:pPr>
              <w:spacing w:line="400" w:lineRule="exact"/>
              <w:jc w:val="center"/>
              <w:rPr>
                <w:rFonts w:hint="default" w:ascii="Times New Roman" w:hAnsi="Times New Roman" w:eastAsia="宋体" w:cs="Times New Roman"/>
                <w:color w:val="000000"/>
                <w:sz w:val="18"/>
                <w:szCs w:val="18"/>
                <w:highlight w:val="none"/>
              </w:rPr>
            </w:pPr>
            <w:r>
              <w:rPr>
                <w:rFonts w:hint="default" w:ascii="Times New Roman" w:hAnsi="Times New Roman" w:eastAsia="宋体" w:cs="Times New Roman"/>
                <w:color w:val="000000"/>
                <w:sz w:val="18"/>
                <w:szCs w:val="18"/>
                <w:highlight w:val="none"/>
              </w:rPr>
              <w:t>Al</w:t>
            </w:r>
            <w:r>
              <w:rPr>
                <w:rFonts w:hint="default" w:ascii="Times New Roman" w:hAnsi="Times New Roman" w:eastAsia="宋体" w:cs="Times New Roman"/>
                <w:color w:val="000000"/>
                <w:sz w:val="18"/>
                <w:szCs w:val="18"/>
                <w:highlight w:val="none"/>
                <w:vertAlign w:val="subscript"/>
              </w:rPr>
              <w:t>2</w:t>
            </w:r>
            <w:r>
              <w:rPr>
                <w:rFonts w:hint="default" w:ascii="Times New Roman" w:hAnsi="Times New Roman" w:eastAsia="宋体" w:cs="Times New Roman"/>
                <w:color w:val="000000"/>
                <w:sz w:val="18"/>
                <w:szCs w:val="18"/>
                <w:highlight w:val="none"/>
              </w:rPr>
              <w:t>O</w:t>
            </w:r>
            <w:r>
              <w:rPr>
                <w:rFonts w:hint="default" w:ascii="Times New Roman" w:hAnsi="Times New Roman" w:eastAsia="宋体" w:cs="Times New Roman"/>
                <w:color w:val="000000"/>
                <w:sz w:val="18"/>
                <w:szCs w:val="18"/>
                <w:highlight w:val="none"/>
                <w:vertAlign w:val="subscript"/>
              </w:rPr>
              <w:t>3</w:t>
            </w:r>
          </w:p>
        </w:tc>
        <w:tc>
          <w:tcPr>
            <w:tcW w:w="589" w:type="pct"/>
            <w:tcBorders>
              <w:top w:val="single" w:color="auto" w:sz="4" w:space="0"/>
              <w:left w:val="single" w:color="auto" w:sz="4" w:space="0"/>
              <w:bottom w:val="single" w:color="auto" w:sz="4" w:space="0"/>
              <w:right w:val="single" w:color="auto" w:sz="4" w:space="0"/>
            </w:tcBorders>
            <w:noWrap w:val="0"/>
            <w:vAlign w:val="center"/>
          </w:tcPr>
          <w:p>
            <w:pPr>
              <w:spacing w:line="400" w:lineRule="exact"/>
              <w:jc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color w:val="000000"/>
                <w:sz w:val="18"/>
                <w:szCs w:val="18"/>
                <w:highlight w:val="none"/>
              </w:rPr>
              <w:t>Fe</w:t>
            </w:r>
            <w:r>
              <w:rPr>
                <w:rFonts w:hint="default" w:ascii="Times New Roman" w:hAnsi="Times New Roman" w:eastAsia="宋体" w:cs="Times New Roman"/>
                <w:color w:val="000000"/>
                <w:sz w:val="18"/>
                <w:szCs w:val="18"/>
                <w:highlight w:val="none"/>
                <w:vertAlign w:val="subscript"/>
              </w:rPr>
              <w:t>2</w:t>
            </w:r>
            <w:r>
              <w:rPr>
                <w:rFonts w:hint="default" w:ascii="Times New Roman" w:hAnsi="Times New Roman" w:eastAsia="宋体" w:cs="Times New Roman"/>
                <w:color w:val="000000"/>
                <w:sz w:val="18"/>
                <w:szCs w:val="18"/>
                <w:highlight w:val="none"/>
              </w:rPr>
              <w:t>O</w:t>
            </w:r>
            <w:r>
              <w:rPr>
                <w:rFonts w:hint="default" w:ascii="Times New Roman" w:hAnsi="Times New Roman" w:eastAsia="宋体" w:cs="Times New Roman"/>
                <w:color w:val="000000"/>
                <w:sz w:val="18"/>
                <w:szCs w:val="18"/>
                <w:highlight w:val="none"/>
                <w:vertAlign w:val="subscript"/>
              </w:rPr>
              <w:t>3</w:t>
            </w:r>
          </w:p>
        </w:tc>
        <w:tc>
          <w:tcPr>
            <w:tcW w:w="589" w:type="pct"/>
            <w:tcBorders>
              <w:top w:val="single" w:color="auto" w:sz="4" w:space="0"/>
              <w:left w:val="single" w:color="auto" w:sz="4" w:space="0"/>
              <w:bottom w:val="single" w:color="auto" w:sz="4" w:space="0"/>
              <w:right w:val="single" w:color="auto" w:sz="4" w:space="0"/>
            </w:tcBorders>
            <w:noWrap w:val="0"/>
            <w:vAlign w:val="center"/>
          </w:tcPr>
          <w:p>
            <w:pPr>
              <w:spacing w:line="400" w:lineRule="exact"/>
              <w:jc w:val="center"/>
              <w:rPr>
                <w:rFonts w:hint="default" w:ascii="Times New Roman" w:hAnsi="Times New Roman" w:eastAsia="宋体" w:cs="Times New Roman"/>
                <w:color w:val="000000"/>
                <w:sz w:val="18"/>
                <w:szCs w:val="18"/>
                <w:highlight w:val="none"/>
                <w:lang w:val="en-US" w:eastAsia="zh-CN"/>
              </w:rPr>
            </w:pPr>
            <w:r>
              <w:rPr>
                <w:rFonts w:hint="eastAsia" w:cs="Times New Roman"/>
                <w:i/>
                <w:iCs/>
                <w:color w:val="000000"/>
                <w:sz w:val="18"/>
                <w:szCs w:val="18"/>
                <w:highlight w:val="none"/>
                <w:lang w:val="en-US" w:eastAsia="zh-CN"/>
              </w:rPr>
              <w:t>f</w:t>
            </w:r>
            <w:r>
              <w:rPr>
                <w:rFonts w:hint="eastAsia" w:cs="Times New Roman"/>
                <w:color w:val="000000"/>
                <w:sz w:val="18"/>
                <w:szCs w:val="18"/>
                <w:highlight w:val="none"/>
                <w:lang w:val="en-US" w:eastAsia="zh-CN"/>
              </w:rPr>
              <w:t>-</w:t>
            </w:r>
            <w:r>
              <w:rPr>
                <w:rFonts w:hint="default" w:ascii="Times New Roman" w:hAnsi="Times New Roman" w:eastAsia="宋体" w:cs="Times New Roman"/>
                <w:color w:val="000000"/>
                <w:sz w:val="18"/>
                <w:szCs w:val="18"/>
                <w:highlight w:val="none"/>
              </w:rPr>
              <w:t>CaO</w:t>
            </w:r>
          </w:p>
        </w:tc>
        <w:tc>
          <w:tcPr>
            <w:tcW w:w="593" w:type="pct"/>
            <w:tcBorders>
              <w:top w:val="single" w:color="auto" w:sz="4" w:space="0"/>
              <w:left w:val="single" w:color="auto" w:sz="4" w:space="0"/>
              <w:bottom w:val="single" w:color="auto" w:sz="4" w:space="0"/>
              <w:right w:val="single" w:color="auto" w:sz="4" w:space="0"/>
            </w:tcBorders>
            <w:noWrap w:val="0"/>
            <w:vAlign w:val="center"/>
          </w:tcPr>
          <w:p>
            <w:pPr>
              <w:spacing w:line="400" w:lineRule="exact"/>
              <w:jc w:val="center"/>
              <w:rPr>
                <w:rFonts w:hint="default" w:ascii="Times New Roman" w:hAnsi="Times New Roman" w:eastAsia="宋体" w:cs="Times New Roman"/>
                <w:color w:val="000000"/>
                <w:sz w:val="18"/>
                <w:szCs w:val="18"/>
                <w:highlight w:val="none"/>
              </w:rPr>
            </w:pPr>
            <w:r>
              <w:rPr>
                <w:rFonts w:hint="default" w:ascii="Times New Roman" w:hAnsi="Times New Roman" w:eastAsia="宋体" w:cs="Times New Roman"/>
                <w:color w:val="000000"/>
                <w:sz w:val="18"/>
                <w:szCs w:val="18"/>
                <w:highlight w:val="none"/>
              </w:rPr>
              <w:t>MgO</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76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包头钢铁</w:t>
            </w:r>
          </w:p>
        </w:tc>
        <w:tc>
          <w:tcPr>
            <w:tcW w:w="687"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内蒙古</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45.39</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21.04</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1.22</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20.69</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3.21</w:t>
            </w:r>
          </w:p>
        </w:tc>
        <w:tc>
          <w:tcPr>
            <w:tcW w:w="593"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5.66</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76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imes New Roman" w:hAnsi="Times New Roman" w:eastAsia="宋体" w:cs="Times New Roman"/>
                <w:color w:val="000000"/>
                <w:sz w:val="18"/>
                <w:szCs w:val="18"/>
                <w:highlight w:val="none"/>
                <w:lang w:eastAsia="zh-CN"/>
              </w:rPr>
            </w:pPr>
            <w:r>
              <w:rPr>
                <w:rFonts w:hint="eastAsia" w:cs="Times New Roman"/>
                <w:color w:val="000000"/>
                <w:sz w:val="18"/>
                <w:szCs w:val="18"/>
                <w:highlight w:val="none"/>
                <w:lang w:val="en-US" w:eastAsia="zh-CN"/>
              </w:rPr>
              <w:t>邯郸钢铁</w:t>
            </w:r>
          </w:p>
        </w:tc>
        <w:tc>
          <w:tcPr>
            <w:tcW w:w="687"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河北</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44.33</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20.02</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1.71</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22.23</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3.57</w:t>
            </w:r>
          </w:p>
        </w:tc>
        <w:tc>
          <w:tcPr>
            <w:tcW w:w="593"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5.90</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76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imes New Roman" w:hAnsi="Times New Roman" w:eastAsia="宋体" w:cs="Times New Roman"/>
                <w:color w:val="000000"/>
                <w:sz w:val="18"/>
                <w:szCs w:val="18"/>
                <w:highlight w:val="none"/>
                <w:lang w:eastAsia="zh-CN"/>
              </w:rPr>
            </w:pPr>
            <w:r>
              <w:rPr>
                <w:rFonts w:hint="eastAsia" w:cs="Times New Roman"/>
                <w:color w:val="000000"/>
                <w:sz w:val="18"/>
                <w:szCs w:val="18"/>
                <w:highlight w:val="none"/>
                <w:lang w:val="en-US" w:eastAsia="zh-CN"/>
              </w:rPr>
              <w:t>澳森钢铁</w:t>
            </w:r>
          </w:p>
        </w:tc>
        <w:tc>
          <w:tcPr>
            <w:tcW w:w="687"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河北</w:t>
            </w:r>
          </w:p>
        </w:tc>
        <w:tc>
          <w:tcPr>
            <w:tcW w:w="93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44.12</w:t>
            </w:r>
          </w:p>
        </w:tc>
        <w:tc>
          <w:tcPr>
            <w:tcW w:w="93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20.56</w:t>
            </w:r>
          </w:p>
        </w:tc>
        <w:tc>
          <w:tcPr>
            <w:tcW w:w="93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1.68</w:t>
            </w:r>
          </w:p>
        </w:tc>
        <w:tc>
          <w:tcPr>
            <w:tcW w:w="93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23.85</w:t>
            </w:r>
          </w:p>
        </w:tc>
        <w:tc>
          <w:tcPr>
            <w:tcW w:w="93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3.65</w:t>
            </w:r>
          </w:p>
        </w:tc>
        <w:tc>
          <w:tcPr>
            <w:tcW w:w="93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5.72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76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imes New Roman" w:hAnsi="Times New Roman" w:eastAsia="宋体" w:cs="Times New Roman"/>
                <w:color w:val="000000"/>
                <w:sz w:val="18"/>
                <w:szCs w:val="18"/>
                <w:highlight w:val="none"/>
                <w:lang w:eastAsia="zh-CN"/>
              </w:rPr>
            </w:pPr>
            <w:r>
              <w:rPr>
                <w:rFonts w:hint="eastAsia" w:cs="Times New Roman"/>
                <w:color w:val="000000"/>
                <w:sz w:val="18"/>
                <w:szCs w:val="18"/>
                <w:highlight w:val="none"/>
                <w:lang w:val="en-US" w:eastAsia="zh-CN"/>
              </w:rPr>
              <w:t>三明钢铁</w:t>
            </w:r>
          </w:p>
        </w:tc>
        <w:tc>
          <w:tcPr>
            <w:tcW w:w="687"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福建</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43.77</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20.02</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1.53</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24.17</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3.89</w:t>
            </w:r>
          </w:p>
        </w:tc>
        <w:tc>
          <w:tcPr>
            <w:tcW w:w="593"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5.84</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76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imes New Roman" w:hAnsi="Times New Roman" w:eastAsia="宋体" w:cs="Times New Roman"/>
                <w:color w:val="000000"/>
                <w:sz w:val="18"/>
                <w:szCs w:val="18"/>
                <w:highlight w:val="none"/>
                <w:lang w:eastAsia="zh-CN"/>
              </w:rPr>
            </w:pPr>
            <w:r>
              <w:rPr>
                <w:rFonts w:hint="eastAsia" w:cs="Times New Roman"/>
                <w:color w:val="000000"/>
                <w:sz w:val="18"/>
                <w:szCs w:val="18"/>
                <w:highlight w:val="none"/>
                <w:lang w:val="en-US" w:eastAsia="zh-CN"/>
              </w:rPr>
              <w:t>安阳钢铁</w:t>
            </w:r>
          </w:p>
        </w:tc>
        <w:tc>
          <w:tcPr>
            <w:tcW w:w="687"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河南</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42.32</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18.98</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1.61</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23.32</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3.77</w:t>
            </w:r>
          </w:p>
        </w:tc>
        <w:tc>
          <w:tcPr>
            <w:tcW w:w="593"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ascii="Times New Roman" w:hAnsi="Times New Roman" w:eastAsia="宋体" w:cs="Times New Roman"/>
                <w:color w:val="000000"/>
                <w:sz w:val="18"/>
                <w:szCs w:val="18"/>
                <w:highlight w:val="none"/>
                <w:lang w:val="en-US" w:eastAsia="zh-CN"/>
              </w:rPr>
            </w:pPr>
            <w:r>
              <w:rPr>
                <w:rFonts w:hint="eastAsia" w:cs="Times New Roman"/>
                <w:color w:val="000000"/>
                <w:sz w:val="18"/>
                <w:szCs w:val="18"/>
                <w:highlight w:val="none"/>
                <w:lang w:val="en-US" w:eastAsia="zh-CN"/>
              </w:rPr>
              <w:t>5.12</w:t>
            </w:r>
          </w:p>
        </w:tc>
      </w:tr>
      <w:tr>
        <w:tblPrEx>
          <w:tblBorders>
            <w:top w:val="single" w:color="auto" w:sz="4"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76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cs="Times New Roman"/>
                <w:color w:val="000000"/>
                <w:sz w:val="18"/>
                <w:szCs w:val="18"/>
                <w:highlight w:val="none"/>
                <w:lang w:val="en-US" w:eastAsia="zh-CN"/>
              </w:rPr>
            </w:pPr>
            <w:r>
              <w:rPr>
                <w:rFonts w:hint="eastAsia" w:cs="Times New Roman"/>
                <w:color w:val="000000"/>
                <w:sz w:val="18"/>
                <w:szCs w:val="18"/>
                <w:highlight w:val="none"/>
                <w:lang w:val="en-US" w:eastAsia="zh-CN"/>
              </w:rPr>
              <w:t>武钢金资</w:t>
            </w:r>
          </w:p>
        </w:tc>
        <w:tc>
          <w:tcPr>
            <w:tcW w:w="687"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default" w:cs="Times New Roman"/>
                <w:color w:val="000000"/>
                <w:sz w:val="18"/>
                <w:szCs w:val="18"/>
                <w:highlight w:val="none"/>
                <w:lang w:val="en-US" w:eastAsia="zh-CN"/>
              </w:rPr>
            </w:pPr>
            <w:r>
              <w:rPr>
                <w:rFonts w:hint="eastAsia" w:cs="Times New Roman"/>
                <w:color w:val="000000"/>
                <w:sz w:val="18"/>
                <w:szCs w:val="18"/>
                <w:highlight w:val="none"/>
                <w:lang w:val="en-US" w:eastAsia="zh-CN"/>
              </w:rPr>
              <w:t>湖北</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imes New Roman" w:hAnsi="Times New Roman" w:eastAsia="宋体" w:cs="Times New Roman"/>
                <w:color w:val="000000"/>
                <w:kern w:val="2"/>
                <w:sz w:val="18"/>
                <w:szCs w:val="18"/>
                <w:highlight w:val="none"/>
                <w:lang w:val="en-US" w:eastAsia="zh-CN" w:bidi="ar-SA"/>
              </w:rPr>
            </w:pPr>
            <w:r>
              <w:rPr>
                <w:rFonts w:hint="eastAsia" w:cs="Times New Roman"/>
                <w:color w:val="000000"/>
                <w:sz w:val="18"/>
                <w:szCs w:val="18"/>
                <w:highlight w:val="none"/>
                <w:lang w:val="en-US" w:eastAsia="zh-CN"/>
              </w:rPr>
              <w:t>40.28</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imes New Roman" w:hAnsi="Times New Roman" w:eastAsia="宋体" w:cs="Times New Roman"/>
                <w:color w:val="000000"/>
                <w:kern w:val="2"/>
                <w:sz w:val="18"/>
                <w:szCs w:val="18"/>
                <w:highlight w:val="none"/>
                <w:lang w:val="en-US" w:eastAsia="zh-CN" w:bidi="ar-SA"/>
              </w:rPr>
            </w:pPr>
            <w:r>
              <w:rPr>
                <w:rFonts w:hint="eastAsia" w:cs="Times New Roman"/>
                <w:color w:val="000000"/>
                <w:sz w:val="18"/>
                <w:szCs w:val="18"/>
                <w:highlight w:val="none"/>
                <w:lang w:val="en-US" w:eastAsia="zh-CN"/>
              </w:rPr>
              <w:t>17.23</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imes New Roman" w:hAnsi="Times New Roman" w:eastAsia="宋体" w:cs="Times New Roman"/>
                <w:color w:val="000000"/>
                <w:kern w:val="2"/>
                <w:sz w:val="18"/>
                <w:szCs w:val="18"/>
                <w:highlight w:val="none"/>
                <w:lang w:val="en-US" w:eastAsia="zh-CN" w:bidi="ar-SA"/>
              </w:rPr>
            </w:pPr>
            <w:r>
              <w:rPr>
                <w:rFonts w:hint="eastAsia" w:cs="Times New Roman"/>
                <w:color w:val="000000"/>
                <w:sz w:val="18"/>
                <w:szCs w:val="18"/>
                <w:highlight w:val="none"/>
                <w:lang w:val="en-US" w:eastAsia="zh-CN"/>
              </w:rPr>
              <w:t>3.43</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imes New Roman" w:hAnsi="Times New Roman" w:eastAsia="宋体" w:cs="Times New Roman"/>
                <w:color w:val="000000"/>
                <w:kern w:val="2"/>
                <w:sz w:val="18"/>
                <w:szCs w:val="18"/>
                <w:highlight w:val="none"/>
                <w:lang w:val="en-US" w:eastAsia="zh-CN" w:bidi="ar-SA"/>
              </w:rPr>
            </w:pPr>
            <w:r>
              <w:rPr>
                <w:rFonts w:hint="eastAsia" w:cs="Times New Roman"/>
                <w:color w:val="000000"/>
                <w:sz w:val="18"/>
                <w:szCs w:val="18"/>
                <w:highlight w:val="none"/>
                <w:lang w:val="en-US" w:eastAsia="zh-CN"/>
              </w:rPr>
              <w:t>30.91</w:t>
            </w:r>
          </w:p>
        </w:tc>
        <w:tc>
          <w:tcPr>
            <w:tcW w:w="589"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imes New Roman" w:hAnsi="Times New Roman" w:eastAsia="宋体" w:cs="Times New Roman"/>
                <w:color w:val="000000"/>
                <w:kern w:val="2"/>
                <w:sz w:val="18"/>
                <w:szCs w:val="18"/>
                <w:highlight w:val="none"/>
                <w:lang w:val="en-US" w:eastAsia="zh-CN" w:bidi="ar-SA"/>
              </w:rPr>
            </w:pPr>
            <w:r>
              <w:rPr>
                <w:rFonts w:hint="eastAsia" w:cs="Times New Roman"/>
                <w:color w:val="000000"/>
                <w:sz w:val="18"/>
                <w:szCs w:val="18"/>
                <w:highlight w:val="none"/>
                <w:lang w:val="en-US" w:eastAsia="zh-CN"/>
              </w:rPr>
              <w:t>4.12</w:t>
            </w:r>
          </w:p>
        </w:tc>
        <w:tc>
          <w:tcPr>
            <w:tcW w:w="593" w:type="pct"/>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kinsoku/>
              <w:wordWrap/>
              <w:overflowPunct/>
              <w:topLinePunct w:val="0"/>
              <w:autoSpaceDE/>
              <w:autoSpaceDN/>
              <w:bidi w:val="0"/>
              <w:adjustRightInd/>
              <w:snapToGrid/>
              <w:spacing w:line="240" w:lineRule="auto"/>
              <w:jc w:val="center"/>
              <w:rPr>
                <w:rFonts w:hint="eastAsia" w:ascii="Times New Roman" w:hAnsi="Times New Roman" w:eastAsia="宋体" w:cs="Times New Roman"/>
                <w:color w:val="000000"/>
                <w:kern w:val="2"/>
                <w:sz w:val="18"/>
                <w:szCs w:val="18"/>
                <w:highlight w:val="none"/>
                <w:lang w:val="en-US" w:eastAsia="zh-CN" w:bidi="ar-SA"/>
              </w:rPr>
            </w:pPr>
            <w:r>
              <w:rPr>
                <w:rFonts w:hint="eastAsia" w:cs="Times New Roman"/>
                <w:color w:val="000000"/>
                <w:sz w:val="18"/>
                <w:szCs w:val="18"/>
                <w:highlight w:val="none"/>
                <w:lang w:val="en-US" w:eastAsia="zh-CN"/>
              </w:rPr>
              <w:t>4.53</w:t>
            </w:r>
          </w:p>
        </w:tc>
      </w:tr>
    </w:tbl>
    <w:p>
      <w:pPr>
        <w:pStyle w:val="7"/>
        <w:keepNext w:val="0"/>
        <w:keepLines w:val="0"/>
        <w:pageBreakBefore w:val="0"/>
        <w:widowControl w:val="0"/>
        <w:kinsoku/>
        <w:wordWrap/>
        <w:overflowPunct/>
        <w:topLinePunct w:val="0"/>
        <w:autoSpaceDE/>
        <w:autoSpaceDN/>
        <w:bidi w:val="0"/>
        <w:adjustRightInd/>
        <w:snapToGrid/>
        <w:spacing w:before="157" w:beforeLines="50" w:line="360" w:lineRule="auto"/>
        <w:ind w:firstLine="480" w:firstLineChars="200"/>
        <w:textAlignment w:val="auto"/>
        <w:rPr>
          <w:rFonts w:hint="default" w:ascii="Times New Roman" w:hAnsi="Times New Roman" w:cs="Times New Roman"/>
          <w:sz w:val="24"/>
          <w:szCs w:val="24"/>
          <w:highlight w:val="none"/>
          <w:lang w:val="en-US" w:eastAsia="zh-CN"/>
        </w:rPr>
      </w:pPr>
      <w:r>
        <w:rPr>
          <w:rFonts w:hint="eastAsia" w:cs="Times New Roman"/>
          <w:sz w:val="24"/>
          <w:szCs w:val="24"/>
          <w:highlight w:val="none"/>
          <w:lang w:val="en-US" w:eastAsia="zh-CN"/>
        </w:rPr>
        <w:t>比表面积</w:t>
      </w:r>
      <w:r>
        <w:rPr>
          <w:rFonts w:hint="default" w:ascii="Times New Roman" w:hAnsi="Times New Roman" w:cs="Times New Roman"/>
          <w:sz w:val="24"/>
          <w:szCs w:val="24"/>
          <w:highlight w:val="none"/>
          <w:lang w:val="en-US" w:eastAsia="zh-CN"/>
        </w:rPr>
        <w:t>、流动度比、28d</w:t>
      </w:r>
      <w:r>
        <w:rPr>
          <w:rFonts w:hint="eastAsia" w:cs="Times New Roman"/>
          <w:sz w:val="24"/>
          <w:szCs w:val="24"/>
          <w:highlight w:val="none"/>
          <w:lang w:val="en-US" w:eastAsia="zh-CN"/>
        </w:rPr>
        <w:t>活性指数</w:t>
      </w:r>
      <w:r>
        <w:rPr>
          <w:rFonts w:hint="default" w:ascii="Times New Roman" w:hAnsi="Times New Roman" w:cs="Times New Roman"/>
          <w:sz w:val="24"/>
          <w:szCs w:val="24"/>
          <w:highlight w:val="none"/>
          <w:lang w:val="en-US" w:eastAsia="zh-CN"/>
        </w:rPr>
        <w:t>等指标对混凝土性能影响</w:t>
      </w:r>
      <w:r>
        <w:rPr>
          <w:rFonts w:hint="eastAsia" w:ascii="Times New Roman" w:hAnsi="Times New Roman" w:cs="Times New Roman"/>
          <w:sz w:val="24"/>
          <w:szCs w:val="24"/>
          <w:highlight w:val="none"/>
          <w:lang w:val="en-US" w:eastAsia="zh-CN"/>
        </w:rPr>
        <w:t>较大</w:t>
      </w:r>
      <w:r>
        <w:rPr>
          <w:rFonts w:hint="default" w:ascii="Times New Roman" w:hAnsi="Times New Roman" w:cs="Times New Roman"/>
          <w:sz w:val="24"/>
          <w:szCs w:val="24"/>
          <w:highlight w:val="none"/>
          <w:lang w:val="en-US" w:eastAsia="zh-CN"/>
        </w:rPr>
        <w:t>，</w:t>
      </w:r>
      <w:r>
        <w:rPr>
          <w:rFonts w:hint="eastAsia" w:cs="Times New Roman"/>
          <w:sz w:val="24"/>
          <w:szCs w:val="24"/>
          <w:highlight w:val="none"/>
          <w:lang w:val="en-US" w:eastAsia="zh-CN"/>
        </w:rPr>
        <w:t>比表面积</w:t>
      </w:r>
      <w:r>
        <w:rPr>
          <w:rFonts w:hint="default" w:ascii="Times New Roman" w:hAnsi="Times New Roman" w:cs="Times New Roman"/>
          <w:sz w:val="24"/>
          <w:szCs w:val="24"/>
          <w:highlight w:val="none"/>
          <w:lang w:val="en-US" w:eastAsia="zh-CN"/>
        </w:rPr>
        <w:t>直接影响</w:t>
      </w:r>
      <w:r>
        <w:rPr>
          <w:rFonts w:hint="eastAsia" w:cs="Times New Roman"/>
          <w:sz w:val="24"/>
          <w:szCs w:val="24"/>
          <w:highlight w:val="none"/>
          <w:lang w:val="en-US" w:eastAsia="zh-CN"/>
        </w:rPr>
        <w:t>水化</w:t>
      </w:r>
      <w:r>
        <w:rPr>
          <w:rFonts w:hint="default" w:ascii="Times New Roman" w:hAnsi="Times New Roman" w:cs="Times New Roman"/>
          <w:sz w:val="24"/>
          <w:szCs w:val="24"/>
          <w:highlight w:val="none"/>
          <w:lang w:val="en-US" w:eastAsia="zh-CN"/>
        </w:rPr>
        <w:t>的活性发挥和填充效应</w:t>
      </w:r>
      <w:r>
        <w:rPr>
          <w:rFonts w:hint="eastAsia" w:ascii="Times New Roman" w:hAnsi="Times New Roman" w:cs="Times New Roman"/>
          <w:sz w:val="24"/>
          <w:szCs w:val="24"/>
          <w:highlight w:val="none"/>
          <w:lang w:val="en-US" w:eastAsia="zh-CN"/>
        </w:rPr>
        <w:t>，</w:t>
      </w:r>
      <w:r>
        <w:rPr>
          <w:rFonts w:hint="eastAsia" w:cs="Times New Roman"/>
          <w:sz w:val="24"/>
          <w:szCs w:val="24"/>
          <w:highlight w:val="none"/>
          <w:lang w:val="en-US" w:eastAsia="zh-CN"/>
        </w:rPr>
        <w:t>比表面积过小</w:t>
      </w:r>
      <w:r>
        <w:rPr>
          <w:rFonts w:hint="default" w:ascii="Times New Roman" w:hAnsi="Times New Roman" w:cs="Times New Roman"/>
          <w:sz w:val="24"/>
          <w:szCs w:val="24"/>
          <w:highlight w:val="none"/>
          <w:lang w:val="en-US" w:eastAsia="zh-CN"/>
        </w:rPr>
        <w:t>，材料难以充分参与</w:t>
      </w:r>
      <w:r>
        <w:rPr>
          <w:rFonts w:hint="eastAsia" w:cs="Times New Roman"/>
          <w:sz w:val="24"/>
          <w:szCs w:val="24"/>
          <w:highlight w:val="none"/>
          <w:lang w:val="en-US" w:eastAsia="zh-CN"/>
        </w:rPr>
        <w:t>水化</w:t>
      </w:r>
      <w:r>
        <w:rPr>
          <w:rFonts w:hint="default" w:ascii="Times New Roman" w:hAnsi="Times New Roman" w:cs="Times New Roman"/>
          <w:sz w:val="24"/>
          <w:szCs w:val="24"/>
          <w:highlight w:val="none"/>
          <w:lang w:val="en-US" w:eastAsia="zh-CN"/>
        </w:rPr>
        <w:t>反应，降低混凝土强度与耐久性；流动度比反映材料对混凝土工作性的影响，比值过低，混凝土流动性差，不利于浇筑施工，易出现蜂窝、麻面等缺陷；高流动度比则能改善施工性能，保障结构密实度。</w:t>
      </w:r>
    </w:p>
    <w:p>
      <w:pPr>
        <w:keepNext w:val="0"/>
        <w:keepLines w:val="0"/>
        <w:pageBreakBefore w:val="0"/>
        <w:widowControl w:val="0"/>
        <w:kinsoku/>
        <w:wordWrap/>
        <w:overflowPunct/>
        <w:topLinePunct w:val="0"/>
        <w:autoSpaceDE/>
        <w:autoSpaceDN/>
        <w:bidi w:val="0"/>
        <w:adjustRightInd/>
        <w:snapToGrid/>
        <w:spacing w:before="157" w:beforeLines="50" w:after="157" w:afterLines="50" w:line="240" w:lineRule="auto"/>
        <w:textAlignment w:val="auto"/>
        <w:rPr>
          <w:rFonts w:hint="default" w:ascii="Times New Roman" w:hAnsi="Times New Roman" w:cs="Times New Roman"/>
          <w:sz w:val="24"/>
          <w:szCs w:val="24"/>
          <w:highlight w:val="none"/>
          <w:lang w:val="en-US" w:eastAsia="zh-CN"/>
        </w:rPr>
      </w:pPr>
      <w:r>
        <w:rPr>
          <w:rFonts w:hint="eastAsia" w:ascii="Times New Roman" w:hAnsi="Times New Roman" w:eastAsia="宋体" w:cs="Times New Roman"/>
          <w:b/>
          <w:bCs w:val="0"/>
          <w:sz w:val="24"/>
          <w:highlight w:val="none"/>
          <w:lang w:val="en-US" w:eastAsia="zh-CN"/>
        </w:rPr>
        <w:t xml:space="preserve">3.2 </w:t>
      </w:r>
      <w:r>
        <w:rPr>
          <w:rFonts w:hint="eastAsia" w:cs="Times New Roman"/>
          <w:b/>
          <w:bCs w:val="0"/>
          <w:sz w:val="24"/>
          <w:highlight w:val="none"/>
          <w:lang w:val="en-US" w:eastAsia="zh-CN"/>
        </w:rPr>
        <w:t>钢渣粉流动度比及活性指数</w:t>
      </w:r>
      <w:r>
        <w:rPr>
          <w:rFonts w:hint="eastAsia" w:ascii="Times New Roman" w:hAnsi="Times New Roman" w:eastAsia="宋体" w:cs="Times New Roman"/>
          <w:b/>
          <w:bCs w:val="0"/>
          <w:sz w:val="24"/>
          <w:highlight w:val="none"/>
          <w:lang w:val="en-US" w:eastAsia="zh-CN"/>
        </w:rPr>
        <w:t>的确定</w:t>
      </w:r>
    </w:p>
    <w:p>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28d</w:t>
      </w:r>
      <w:r>
        <w:rPr>
          <w:rFonts w:hint="eastAsia" w:cs="Times New Roman"/>
          <w:sz w:val="24"/>
          <w:szCs w:val="24"/>
          <w:highlight w:val="none"/>
          <w:lang w:val="en-US" w:eastAsia="zh-CN"/>
        </w:rPr>
        <w:t>活性指数</w:t>
      </w:r>
      <w:r>
        <w:rPr>
          <w:rFonts w:hint="default" w:ascii="Times New Roman" w:hAnsi="Times New Roman" w:cs="Times New Roman"/>
          <w:sz w:val="24"/>
          <w:szCs w:val="24"/>
          <w:highlight w:val="none"/>
          <w:lang w:val="en-US" w:eastAsia="zh-CN"/>
        </w:rPr>
        <w:t>是评价</w:t>
      </w:r>
      <w:r>
        <w:rPr>
          <w:rFonts w:hint="eastAsia" w:cs="Times New Roman"/>
          <w:sz w:val="24"/>
          <w:szCs w:val="24"/>
          <w:highlight w:val="none"/>
          <w:lang w:val="en-US" w:eastAsia="zh-CN"/>
        </w:rPr>
        <w:t>钢渣粉水化</w:t>
      </w:r>
      <w:r>
        <w:rPr>
          <w:rFonts w:hint="default" w:ascii="Times New Roman" w:hAnsi="Times New Roman" w:cs="Times New Roman"/>
          <w:sz w:val="24"/>
          <w:szCs w:val="24"/>
          <w:highlight w:val="none"/>
          <w:lang w:val="en-US" w:eastAsia="zh-CN"/>
        </w:rPr>
        <w:t>活性贡献的核心指标，直接影响混凝土的力学性能发展。这些指标共同构成了</w:t>
      </w:r>
      <w:r>
        <w:rPr>
          <w:rFonts w:hint="eastAsia" w:cs="Times New Roman"/>
          <w:sz w:val="24"/>
          <w:szCs w:val="24"/>
          <w:highlight w:val="none"/>
          <w:lang w:val="en-US" w:eastAsia="zh-CN"/>
        </w:rPr>
        <w:t>钢渣粉</w:t>
      </w:r>
      <w:r>
        <w:rPr>
          <w:rFonts w:hint="default" w:ascii="Times New Roman" w:hAnsi="Times New Roman" w:cs="Times New Roman"/>
          <w:sz w:val="24"/>
          <w:szCs w:val="24"/>
          <w:highlight w:val="none"/>
          <w:lang w:val="en-US" w:eastAsia="zh-CN"/>
        </w:rPr>
        <w:t>质量控制的技术基础。</w:t>
      </w:r>
    </w:p>
    <w:p>
      <w:pPr>
        <w:pStyle w:val="7"/>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为了</w:t>
      </w:r>
      <w:r>
        <w:rPr>
          <w:rFonts w:hint="default" w:ascii="Times New Roman" w:hAnsi="Times New Roman" w:cs="Times New Roman"/>
          <w:sz w:val="24"/>
          <w:szCs w:val="24"/>
          <w:highlight w:val="none"/>
          <w:lang w:val="en-US" w:eastAsia="zh-CN"/>
        </w:rPr>
        <w:t>充分验证</w:t>
      </w:r>
      <w:r>
        <w:rPr>
          <w:rFonts w:hint="eastAsia" w:ascii="Times New Roman" w:hAnsi="Times New Roman" w:cs="Times New Roman"/>
          <w:sz w:val="24"/>
          <w:szCs w:val="24"/>
          <w:highlight w:val="none"/>
          <w:lang w:val="en-US" w:eastAsia="zh-CN"/>
        </w:rPr>
        <w:t>标准</w:t>
      </w:r>
      <w:r>
        <w:rPr>
          <w:rFonts w:hint="default" w:ascii="Times New Roman" w:hAnsi="Times New Roman" w:cs="Times New Roman"/>
          <w:sz w:val="24"/>
          <w:szCs w:val="24"/>
          <w:highlight w:val="none"/>
          <w:lang w:val="en-US" w:eastAsia="zh-CN"/>
        </w:rPr>
        <w:t>技术指标的</w:t>
      </w:r>
      <w:r>
        <w:rPr>
          <w:rFonts w:hint="eastAsia" w:ascii="Times New Roman" w:hAnsi="Times New Roman" w:cs="Times New Roman"/>
          <w:sz w:val="24"/>
          <w:szCs w:val="24"/>
          <w:highlight w:val="none"/>
          <w:lang w:val="en-US" w:eastAsia="zh-CN"/>
        </w:rPr>
        <w:t>科学性、</w:t>
      </w:r>
      <w:r>
        <w:rPr>
          <w:rFonts w:hint="default" w:ascii="Times New Roman" w:hAnsi="Times New Roman" w:cs="Times New Roman"/>
          <w:sz w:val="24"/>
          <w:szCs w:val="24"/>
          <w:highlight w:val="none"/>
          <w:lang w:val="en-US" w:eastAsia="zh-CN"/>
        </w:rPr>
        <w:t>先进性</w:t>
      </w:r>
      <w:r>
        <w:rPr>
          <w:rFonts w:hint="eastAsia" w:ascii="Times New Roman" w:hAnsi="Times New Roman" w:cs="Times New Roman"/>
          <w:sz w:val="24"/>
          <w:szCs w:val="24"/>
          <w:highlight w:val="none"/>
          <w:lang w:val="en-US" w:eastAsia="zh-CN"/>
        </w:rPr>
        <w:t>和</w:t>
      </w:r>
      <w:r>
        <w:rPr>
          <w:rFonts w:hint="default" w:ascii="Times New Roman" w:hAnsi="Times New Roman" w:cs="Times New Roman"/>
          <w:sz w:val="24"/>
          <w:szCs w:val="24"/>
          <w:highlight w:val="none"/>
          <w:lang w:val="en-US" w:eastAsia="zh-CN"/>
        </w:rPr>
        <w:t>适用性。针对不同产地、成分及特性的</w:t>
      </w:r>
      <w:r>
        <w:rPr>
          <w:rFonts w:hint="eastAsia" w:cs="Times New Roman"/>
          <w:sz w:val="24"/>
          <w:szCs w:val="24"/>
          <w:highlight w:val="none"/>
          <w:lang w:val="en-US" w:eastAsia="zh-CN"/>
        </w:rPr>
        <w:t>钢渣粉</w:t>
      </w:r>
      <w:r>
        <w:rPr>
          <w:rFonts w:hint="default" w:ascii="Times New Roman" w:hAnsi="Times New Roman" w:cs="Times New Roman"/>
          <w:sz w:val="24"/>
          <w:szCs w:val="24"/>
          <w:highlight w:val="none"/>
          <w:lang w:val="en-US" w:eastAsia="zh-CN"/>
        </w:rPr>
        <w:t>，开展大量验证试验。</w:t>
      </w:r>
      <w:r>
        <w:rPr>
          <w:rFonts w:hint="eastAsia" w:cs="Times New Roman"/>
          <w:sz w:val="24"/>
          <w:szCs w:val="24"/>
          <w:highlight w:val="none"/>
          <w:lang w:val="en-US" w:eastAsia="zh-CN"/>
        </w:rPr>
        <w:t>试验采用基准水泥，</w:t>
      </w:r>
      <w:r>
        <w:rPr>
          <w:rFonts w:hint="eastAsia" w:ascii="Times New Roman" w:hAnsi="Times New Roman" w:cs="Times New Roman"/>
          <w:sz w:val="24"/>
          <w:szCs w:val="24"/>
          <w:highlight w:val="none"/>
          <w:lang w:val="en-US" w:eastAsia="zh-CN"/>
        </w:rPr>
        <w:t>结果如表3.1-2所示。</w:t>
      </w:r>
    </w:p>
    <w:p>
      <w:pPr>
        <w:rPr>
          <w:rFonts w:hint="default" w:ascii="Times New Roman" w:hAnsi="Times New Roman" w:eastAsia="宋体" w:cs="Times New Roman"/>
          <w:b/>
          <w:bCs/>
          <w:sz w:val="21"/>
          <w:szCs w:val="21"/>
          <w:highlight w:val="none"/>
        </w:rPr>
      </w:pPr>
      <w:bookmarkStart w:id="32" w:name="_Ref63799070"/>
      <w:bookmarkStart w:id="33" w:name="_Ref63894304"/>
      <w:r>
        <w:rPr>
          <w:rFonts w:hint="default" w:ascii="Times New Roman" w:hAnsi="Times New Roman" w:eastAsia="宋体" w:cs="Times New Roman"/>
          <w:b/>
          <w:bCs/>
          <w:sz w:val="21"/>
          <w:szCs w:val="21"/>
          <w:highlight w:val="none"/>
        </w:rPr>
        <w:br w:type="page"/>
      </w:r>
    </w:p>
    <w:p>
      <w:pPr>
        <w:keepNext w:val="0"/>
        <w:keepLines w:val="0"/>
        <w:pageBreakBefore w:val="0"/>
        <w:widowControl w:val="0"/>
        <w:kinsoku/>
        <w:wordWrap/>
        <w:overflowPunct/>
        <w:topLinePunct w:val="0"/>
        <w:autoSpaceDE/>
        <w:autoSpaceDN/>
        <w:bidi w:val="0"/>
        <w:adjustRightInd/>
        <w:snapToGrid/>
        <w:spacing w:before="157" w:beforeLines="50" w:line="360" w:lineRule="auto"/>
        <w:jc w:val="center"/>
        <w:textAlignment w:val="auto"/>
        <w:rPr>
          <w:rFonts w:hint="default" w:ascii="Times New Roman" w:hAnsi="Times New Roman" w:eastAsia="宋体" w:cs="Times New Roman"/>
          <w:b/>
          <w:bCs/>
          <w:sz w:val="21"/>
          <w:szCs w:val="21"/>
          <w:highlight w:val="none"/>
        </w:rPr>
      </w:pPr>
      <w:r>
        <w:rPr>
          <w:rFonts w:hint="default" w:ascii="Times New Roman" w:hAnsi="Times New Roman" w:eastAsia="宋体" w:cs="Times New Roman"/>
          <w:b/>
          <w:bCs/>
          <w:sz w:val="21"/>
          <w:szCs w:val="21"/>
          <w:highlight w:val="none"/>
        </w:rPr>
        <w:t>表</w:t>
      </w:r>
      <w:bookmarkEnd w:id="32"/>
      <w:r>
        <w:rPr>
          <w:rFonts w:hint="eastAsia" w:ascii="Times New Roman" w:hAnsi="Times New Roman" w:eastAsia="宋体" w:cs="Times New Roman"/>
          <w:b/>
          <w:bCs/>
          <w:sz w:val="21"/>
          <w:szCs w:val="21"/>
          <w:highlight w:val="none"/>
          <w:lang w:val="en-US" w:eastAsia="zh-CN"/>
        </w:rPr>
        <w:t>3</w:t>
      </w:r>
      <w:r>
        <w:rPr>
          <w:rFonts w:hint="default" w:ascii="Times New Roman" w:hAnsi="Times New Roman" w:eastAsia="宋体" w:cs="Times New Roman"/>
          <w:b/>
          <w:bCs/>
          <w:sz w:val="21"/>
          <w:szCs w:val="21"/>
          <w:highlight w:val="none"/>
          <w:lang w:val="en-US" w:eastAsia="zh-CN"/>
        </w:rPr>
        <w:t>.1-</w:t>
      </w:r>
      <w:r>
        <w:rPr>
          <w:rFonts w:hint="eastAsia" w:ascii="Times New Roman" w:hAnsi="Times New Roman" w:eastAsia="宋体" w:cs="Times New Roman"/>
          <w:b/>
          <w:bCs/>
          <w:sz w:val="21"/>
          <w:szCs w:val="21"/>
          <w:highlight w:val="none"/>
          <w:lang w:val="en-US" w:eastAsia="zh-CN"/>
        </w:rPr>
        <w:t>2</w:t>
      </w:r>
      <w:r>
        <w:rPr>
          <w:rFonts w:hint="default" w:ascii="Times New Roman" w:hAnsi="Times New Roman" w:eastAsia="宋体" w:cs="Times New Roman"/>
          <w:b/>
          <w:bCs/>
          <w:sz w:val="21"/>
          <w:szCs w:val="21"/>
          <w:highlight w:val="none"/>
        </w:rPr>
        <w:t xml:space="preserve"> </w:t>
      </w:r>
      <w:r>
        <w:rPr>
          <w:rFonts w:hint="eastAsia" w:cs="Times New Roman"/>
          <w:b/>
          <w:bCs/>
          <w:sz w:val="21"/>
          <w:szCs w:val="21"/>
          <w:highlight w:val="none"/>
          <w:lang w:val="en-US" w:eastAsia="zh-CN"/>
        </w:rPr>
        <w:t xml:space="preserve"> </w:t>
      </w:r>
      <w:r>
        <w:rPr>
          <w:rFonts w:hint="default" w:ascii="Times New Roman" w:hAnsi="Times New Roman" w:eastAsia="宋体" w:cs="Times New Roman"/>
          <w:b/>
          <w:bCs/>
          <w:sz w:val="21"/>
          <w:szCs w:val="21"/>
          <w:highlight w:val="none"/>
          <w:lang w:val="en-US" w:eastAsia="zh-CN"/>
        </w:rPr>
        <w:t>钢渣粉</w:t>
      </w:r>
      <w:r>
        <w:rPr>
          <w:rFonts w:hint="default" w:ascii="Times New Roman" w:hAnsi="Times New Roman" w:eastAsia="宋体" w:cs="Times New Roman"/>
          <w:b/>
          <w:bCs/>
          <w:sz w:val="21"/>
          <w:szCs w:val="21"/>
          <w:highlight w:val="none"/>
        </w:rPr>
        <w:t>基本性能测试结果</w:t>
      </w:r>
      <w:bookmarkEnd w:id="33"/>
    </w:p>
    <w:tbl>
      <w:tblPr>
        <w:tblStyle w:val="17"/>
        <w:tblW w:w="472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7"/>
        <w:gridCol w:w="1186"/>
        <w:gridCol w:w="1186"/>
        <w:gridCol w:w="1186"/>
        <w:gridCol w:w="1186"/>
        <w:gridCol w:w="1186"/>
        <w:gridCol w:w="11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4" w:hRule="atLeast"/>
          <w:jc w:val="center"/>
        </w:trPr>
        <w:tc>
          <w:tcPr>
            <w:tcW w:w="947"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Times New Roman" w:hAnsi="Times New Roman" w:eastAsia="宋体" w:cs="Times New Roman"/>
                <w:color w:val="000000"/>
                <w:sz w:val="18"/>
                <w:szCs w:val="18"/>
                <w:highlight w:val="none"/>
                <w:lang w:eastAsia="zh-CN"/>
              </w:rPr>
            </w:pPr>
            <w:r>
              <w:rPr>
                <w:rFonts w:hint="eastAsia" w:ascii="宋体" w:hAnsi="宋体" w:eastAsia="宋体" w:cs="宋体"/>
                <w:i w:val="0"/>
                <w:iCs w:val="0"/>
                <w:color w:val="000000"/>
                <w:kern w:val="0"/>
                <w:sz w:val="18"/>
                <w:szCs w:val="18"/>
                <w:u w:val="none"/>
                <w:lang w:val="en-US" w:eastAsia="zh-CN" w:bidi="ar"/>
              </w:rPr>
              <w:t>试样</w:t>
            </w:r>
          </w:p>
        </w:tc>
        <w:tc>
          <w:tcPr>
            <w:tcW w:w="1186"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Times New Roman" w:hAnsi="Times New Roman" w:eastAsia="宋体" w:cs="Times New Roman"/>
                <w:color w:val="000000"/>
                <w:sz w:val="18"/>
                <w:szCs w:val="18"/>
                <w:highlight w:val="none"/>
                <w:lang w:val="en-US" w:eastAsia="zh-CN"/>
              </w:rPr>
            </w:pPr>
            <w:r>
              <w:rPr>
                <w:rFonts w:hint="eastAsia" w:ascii="宋体" w:hAnsi="宋体" w:eastAsia="宋体" w:cs="宋体"/>
                <w:i w:val="0"/>
                <w:iCs w:val="0"/>
                <w:color w:val="000000"/>
                <w:kern w:val="0"/>
                <w:sz w:val="18"/>
                <w:szCs w:val="18"/>
                <w:u w:val="none"/>
                <w:lang w:val="en-US" w:eastAsia="zh-CN" w:bidi="ar"/>
              </w:rPr>
              <w:t>密度（</w:t>
            </w:r>
            <w:r>
              <w:rPr>
                <w:rFonts w:hint="default" w:ascii="Times New Roman" w:hAnsi="Times New Roman" w:eastAsia="宋体" w:cs="Times New Roman"/>
                <w:i w:val="0"/>
                <w:iCs w:val="0"/>
                <w:color w:val="000000"/>
                <w:kern w:val="0"/>
                <w:sz w:val="18"/>
                <w:szCs w:val="18"/>
                <w:u w:val="none"/>
                <w:lang w:val="en-US" w:eastAsia="zh-CN" w:bidi="ar"/>
              </w:rPr>
              <w:t>g/cm</w:t>
            </w:r>
            <w:r>
              <w:rPr>
                <w:rFonts w:hint="default" w:ascii="Times New Roman" w:hAnsi="Times New Roman" w:eastAsia="宋体" w:cs="Times New Roman"/>
                <w:i w:val="0"/>
                <w:iCs w:val="0"/>
                <w:color w:val="000000"/>
                <w:kern w:val="0"/>
                <w:sz w:val="18"/>
                <w:szCs w:val="18"/>
                <w:u w:val="none"/>
                <w:vertAlign w:val="superscript"/>
                <w:lang w:val="en-US" w:eastAsia="zh-CN" w:bidi="ar"/>
              </w:rPr>
              <w:t>3</w:t>
            </w:r>
            <w:r>
              <w:rPr>
                <w:rFonts w:hint="eastAsia" w:ascii="宋体" w:hAnsi="宋体" w:eastAsia="宋体" w:cs="宋体"/>
                <w:i w:val="0"/>
                <w:iCs w:val="0"/>
                <w:color w:val="000000"/>
                <w:kern w:val="0"/>
                <w:sz w:val="18"/>
                <w:szCs w:val="18"/>
                <w:u w:val="none"/>
                <w:lang w:val="en-US" w:eastAsia="zh-CN" w:bidi="ar"/>
              </w:rPr>
              <w:t>）</w:t>
            </w:r>
          </w:p>
        </w:tc>
        <w:tc>
          <w:tcPr>
            <w:tcW w:w="1186"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Times New Roman" w:hAnsi="Times New Roman" w:eastAsia="宋体" w:cs="Times New Roman"/>
                <w:color w:val="000000"/>
                <w:sz w:val="18"/>
                <w:szCs w:val="18"/>
                <w:highlight w:val="none"/>
                <w:lang w:val="en-US" w:eastAsia="zh-CN"/>
              </w:rPr>
            </w:pPr>
            <w:r>
              <w:rPr>
                <w:rFonts w:hint="eastAsia" w:ascii="宋体" w:hAnsi="宋体" w:eastAsia="宋体" w:cs="宋体"/>
                <w:i w:val="0"/>
                <w:iCs w:val="0"/>
                <w:color w:val="000000"/>
                <w:kern w:val="0"/>
                <w:sz w:val="18"/>
                <w:szCs w:val="18"/>
                <w:u w:val="none"/>
                <w:lang w:val="en-US" w:eastAsia="zh-CN" w:bidi="ar"/>
              </w:rPr>
              <w:t>比表面积（</w:t>
            </w:r>
            <w:r>
              <w:rPr>
                <w:rFonts w:hint="default" w:ascii="Times New Roman" w:hAnsi="Times New Roman" w:eastAsia="宋体" w:cs="Times New Roman"/>
                <w:i w:val="0"/>
                <w:iCs w:val="0"/>
                <w:color w:val="000000"/>
                <w:kern w:val="0"/>
                <w:sz w:val="18"/>
                <w:szCs w:val="18"/>
                <w:u w:val="none"/>
                <w:lang w:val="en-US" w:eastAsia="zh-CN" w:bidi="ar"/>
              </w:rPr>
              <w:t>m</w:t>
            </w:r>
            <w:r>
              <w:rPr>
                <w:rFonts w:hint="default" w:ascii="Times New Roman" w:hAnsi="Times New Roman" w:eastAsia="宋体" w:cs="Times New Roman"/>
                <w:i w:val="0"/>
                <w:iCs w:val="0"/>
                <w:color w:val="000000"/>
                <w:kern w:val="0"/>
                <w:sz w:val="18"/>
                <w:szCs w:val="18"/>
                <w:u w:val="none"/>
                <w:vertAlign w:val="superscript"/>
                <w:lang w:val="en-US" w:eastAsia="zh-CN" w:bidi="ar"/>
              </w:rPr>
              <w:t>2</w:t>
            </w:r>
            <w:r>
              <w:rPr>
                <w:rFonts w:hint="default" w:ascii="Times New Roman" w:hAnsi="Times New Roman" w:eastAsia="宋体" w:cs="Times New Roman"/>
                <w:i w:val="0"/>
                <w:iCs w:val="0"/>
                <w:color w:val="000000"/>
                <w:kern w:val="0"/>
                <w:sz w:val="18"/>
                <w:szCs w:val="18"/>
                <w:u w:val="none"/>
                <w:lang w:val="en-US" w:eastAsia="zh-CN" w:bidi="ar"/>
              </w:rPr>
              <w:t>/kg</w:t>
            </w:r>
            <w:r>
              <w:rPr>
                <w:rFonts w:hint="eastAsia" w:ascii="宋体" w:hAnsi="宋体" w:eastAsia="宋体" w:cs="宋体"/>
                <w:i w:val="0"/>
                <w:iCs w:val="0"/>
                <w:color w:val="000000"/>
                <w:kern w:val="0"/>
                <w:sz w:val="18"/>
                <w:szCs w:val="18"/>
                <w:u w:val="none"/>
                <w:lang w:val="en-US" w:eastAsia="zh-CN" w:bidi="ar"/>
              </w:rPr>
              <w:t>）</w:t>
            </w:r>
          </w:p>
        </w:tc>
        <w:tc>
          <w:tcPr>
            <w:tcW w:w="1186"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color w:val="000000"/>
                <w:sz w:val="18"/>
                <w:szCs w:val="18"/>
                <w:highlight w:val="none"/>
              </w:rPr>
            </w:pPr>
            <w:r>
              <w:rPr>
                <w:rFonts w:hint="eastAsia" w:ascii="宋体" w:hAnsi="宋体" w:eastAsia="宋体" w:cs="宋体"/>
                <w:i w:val="0"/>
                <w:iCs w:val="0"/>
                <w:color w:val="000000"/>
                <w:kern w:val="0"/>
                <w:sz w:val="18"/>
                <w:szCs w:val="18"/>
                <w:u w:val="none"/>
                <w:lang w:val="en-US" w:eastAsia="zh-CN" w:bidi="ar"/>
              </w:rPr>
              <w:t>流动度比（</w:t>
            </w:r>
            <w:r>
              <w:rPr>
                <w:rFonts w:hint="default" w:ascii="Times New Roman" w:hAnsi="Times New Roman" w:eastAsia="宋体" w:cs="Times New Roman"/>
                <w:i w:val="0"/>
                <w:iCs w:val="0"/>
                <w:color w:val="000000"/>
                <w:kern w:val="0"/>
                <w:sz w:val="18"/>
                <w:szCs w:val="18"/>
                <w:u w:val="none"/>
                <w:lang w:val="en-US" w:eastAsia="zh-CN" w:bidi="ar"/>
              </w:rPr>
              <w:t>%</w:t>
            </w:r>
            <w:r>
              <w:rPr>
                <w:rFonts w:hint="eastAsia" w:ascii="宋体" w:hAnsi="宋体" w:eastAsia="宋体" w:cs="宋体"/>
                <w:i w:val="0"/>
                <w:iCs w:val="0"/>
                <w:color w:val="000000"/>
                <w:kern w:val="0"/>
                <w:sz w:val="18"/>
                <w:szCs w:val="18"/>
                <w:u w:val="none"/>
                <w:lang w:val="en-US" w:eastAsia="zh-CN" w:bidi="ar"/>
              </w:rPr>
              <w:t>）</w:t>
            </w:r>
          </w:p>
        </w:tc>
        <w:tc>
          <w:tcPr>
            <w:tcW w:w="1186"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安定性</w:t>
            </w:r>
          </w:p>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color w:val="000000"/>
                <w:sz w:val="18"/>
                <w:szCs w:val="18"/>
                <w:highlight w:val="none"/>
              </w:rPr>
            </w:pPr>
            <w:r>
              <w:rPr>
                <w:rFonts w:hint="eastAsia" w:ascii="宋体" w:hAnsi="宋体" w:eastAsia="宋体" w:cs="宋体"/>
                <w:i w:val="0"/>
                <w:iCs w:val="0"/>
                <w:color w:val="000000"/>
                <w:kern w:val="0"/>
                <w:sz w:val="18"/>
                <w:szCs w:val="18"/>
                <w:u w:val="none"/>
                <w:lang w:val="en-US" w:eastAsia="zh-CN" w:bidi="ar"/>
              </w:rPr>
              <w:t>沸煮法</w:t>
            </w:r>
          </w:p>
        </w:tc>
        <w:tc>
          <w:tcPr>
            <w:tcW w:w="1186"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color w:val="000000"/>
                <w:sz w:val="18"/>
                <w:szCs w:val="18"/>
                <w:highlight w:val="none"/>
              </w:rPr>
            </w:pPr>
            <w:r>
              <w:rPr>
                <w:rFonts w:hint="default" w:ascii="Times New Roman" w:hAnsi="Times New Roman" w:eastAsia="宋体" w:cs="Times New Roman"/>
                <w:i w:val="0"/>
                <w:iCs w:val="0"/>
                <w:color w:val="000000"/>
                <w:kern w:val="0"/>
                <w:sz w:val="18"/>
                <w:szCs w:val="18"/>
                <w:u w:val="none"/>
                <w:lang w:val="en-US" w:eastAsia="zh-CN" w:bidi="ar"/>
              </w:rPr>
              <w:t>7d</w:t>
            </w:r>
            <w:r>
              <w:rPr>
                <w:rFonts w:hint="eastAsia" w:ascii="宋体" w:hAnsi="宋体" w:eastAsia="宋体" w:cs="宋体"/>
                <w:i w:val="0"/>
                <w:iCs w:val="0"/>
                <w:color w:val="000000"/>
                <w:kern w:val="0"/>
                <w:sz w:val="18"/>
                <w:szCs w:val="18"/>
                <w:u w:val="none"/>
                <w:lang w:val="en-US" w:eastAsia="zh-CN" w:bidi="ar"/>
              </w:rPr>
              <w:t>活性指数（</w:t>
            </w:r>
            <w:r>
              <w:rPr>
                <w:rFonts w:hint="default" w:ascii="Times New Roman" w:hAnsi="Times New Roman" w:eastAsia="宋体" w:cs="Times New Roman"/>
                <w:i w:val="0"/>
                <w:iCs w:val="0"/>
                <w:color w:val="000000"/>
                <w:kern w:val="0"/>
                <w:sz w:val="18"/>
                <w:szCs w:val="18"/>
                <w:u w:val="none"/>
                <w:lang w:val="en-US" w:eastAsia="zh-CN" w:bidi="ar"/>
              </w:rPr>
              <w:t>%</w:t>
            </w:r>
            <w:r>
              <w:rPr>
                <w:rFonts w:hint="eastAsia" w:ascii="宋体" w:hAnsi="宋体" w:eastAsia="宋体" w:cs="宋体"/>
                <w:i w:val="0"/>
                <w:iCs w:val="0"/>
                <w:color w:val="000000"/>
                <w:kern w:val="0"/>
                <w:sz w:val="18"/>
                <w:szCs w:val="18"/>
                <w:u w:val="none"/>
                <w:lang w:val="en-US" w:eastAsia="zh-CN" w:bidi="ar"/>
              </w:rPr>
              <w:t>）</w:t>
            </w:r>
          </w:p>
        </w:tc>
        <w:tc>
          <w:tcPr>
            <w:tcW w:w="1189" w:type="dxa"/>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color w:val="000000"/>
                <w:sz w:val="18"/>
                <w:szCs w:val="18"/>
                <w:highlight w:val="none"/>
              </w:rPr>
            </w:pPr>
            <w:r>
              <w:rPr>
                <w:rFonts w:hint="default" w:ascii="Times New Roman" w:hAnsi="Times New Roman" w:eastAsia="宋体" w:cs="Times New Roman"/>
                <w:i w:val="0"/>
                <w:iCs w:val="0"/>
                <w:color w:val="000000"/>
                <w:kern w:val="0"/>
                <w:sz w:val="18"/>
                <w:szCs w:val="18"/>
                <w:u w:val="none"/>
                <w:lang w:val="en-US" w:eastAsia="zh-CN" w:bidi="ar"/>
              </w:rPr>
              <w:t>28d</w:t>
            </w:r>
            <w:r>
              <w:rPr>
                <w:rFonts w:hint="eastAsia" w:ascii="宋体" w:hAnsi="宋体" w:eastAsia="宋体" w:cs="宋体"/>
                <w:i w:val="0"/>
                <w:iCs w:val="0"/>
                <w:color w:val="000000"/>
                <w:kern w:val="0"/>
                <w:sz w:val="18"/>
                <w:szCs w:val="18"/>
                <w:u w:val="none"/>
                <w:lang w:val="en-US" w:eastAsia="zh-CN" w:bidi="ar"/>
              </w:rPr>
              <w:t>活性指数（</w:t>
            </w:r>
            <w:r>
              <w:rPr>
                <w:rFonts w:hint="default" w:ascii="Times New Roman" w:hAnsi="Times New Roman" w:eastAsia="宋体" w:cs="Times New Roman"/>
                <w:i w:val="0"/>
                <w:iCs w:val="0"/>
                <w:color w:val="000000"/>
                <w:kern w:val="0"/>
                <w:sz w:val="18"/>
                <w:szCs w:val="18"/>
                <w:u w:val="none"/>
                <w:lang w:val="en-US" w:eastAsia="zh-CN" w:bidi="ar"/>
              </w:rPr>
              <w:t>%</w:t>
            </w:r>
            <w:r>
              <w:rPr>
                <w:rFonts w:hint="eastAsia" w:ascii="宋体" w:hAnsi="宋体" w:eastAsia="宋体" w:cs="宋体"/>
                <w:i w:val="0"/>
                <w:iCs w:val="0"/>
                <w:color w:val="000000"/>
                <w:kern w:val="0"/>
                <w:sz w:val="18"/>
                <w:szCs w:val="18"/>
                <w:u w:val="none"/>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47"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rPr>
            </w:pPr>
            <w:r>
              <w:rPr>
                <w:rFonts w:hint="eastAsia" w:ascii="宋体" w:hAnsi="宋体" w:eastAsia="宋体" w:cs="宋体"/>
                <w:i w:val="0"/>
                <w:iCs w:val="0"/>
                <w:color w:val="000000"/>
                <w:kern w:val="0"/>
                <w:sz w:val="18"/>
                <w:szCs w:val="18"/>
                <w:u w:val="none"/>
                <w:lang w:val="en-US" w:eastAsia="zh-CN" w:bidi="ar"/>
              </w:rPr>
              <w:t>包头钢铁</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3.32</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426</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95</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eastAsia" w:ascii="宋体" w:hAnsi="宋体" w:eastAsia="宋体" w:cs="宋体"/>
                <w:i w:val="0"/>
                <w:iCs w:val="0"/>
                <w:color w:val="000000"/>
                <w:kern w:val="0"/>
                <w:sz w:val="18"/>
                <w:szCs w:val="18"/>
                <w:u w:val="none"/>
                <w:lang w:val="en-US" w:eastAsia="zh-CN" w:bidi="ar"/>
              </w:rPr>
              <w:t>合格</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79.82 </w:t>
            </w:r>
          </w:p>
        </w:tc>
        <w:tc>
          <w:tcPr>
            <w:tcW w:w="1189"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75.82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47"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rPr>
            </w:pPr>
            <w:r>
              <w:rPr>
                <w:rFonts w:hint="eastAsia" w:ascii="宋体" w:hAnsi="宋体" w:eastAsia="宋体" w:cs="宋体"/>
                <w:i w:val="0"/>
                <w:iCs w:val="0"/>
                <w:color w:val="000000"/>
                <w:kern w:val="0"/>
                <w:sz w:val="18"/>
                <w:szCs w:val="18"/>
                <w:u w:val="none"/>
                <w:lang w:val="en-US" w:eastAsia="zh-CN" w:bidi="ar"/>
              </w:rPr>
              <w:t>邯郸钢铁</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3.31</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422</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96</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eastAsia" w:ascii="宋体" w:hAnsi="宋体" w:eastAsia="宋体" w:cs="宋体"/>
                <w:i w:val="0"/>
                <w:iCs w:val="0"/>
                <w:color w:val="000000"/>
                <w:kern w:val="0"/>
                <w:sz w:val="18"/>
                <w:szCs w:val="18"/>
                <w:u w:val="none"/>
                <w:lang w:val="en-US" w:eastAsia="zh-CN" w:bidi="ar"/>
              </w:rPr>
              <w:t>合格</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80.11 </w:t>
            </w:r>
          </w:p>
        </w:tc>
        <w:tc>
          <w:tcPr>
            <w:tcW w:w="1189"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91.15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47"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rPr>
            </w:pPr>
            <w:r>
              <w:rPr>
                <w:rFonts w:hint="eastAsia" w:ascii="宋体" w:hAnsi="宋体" w:eastAsia="宋体" w:cs="宋体"/>
                <w:i w:val="0"/>
                <w:iCs w:val="0"/>
                <w:color w:val="000000"/>
                <w:kern w:val="0"/>
                <w:sz w:val="18"/>
                <w:szCs w:val="18"/>
                <w:u w:val="none"/>
                <w:lang w:val="en-US" w:eastAsia="zh-CN" w:bidi="ar"/>
              </w:rPr>
              <w:t>邯郸钢铁</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3.33</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625</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98</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eastAsia" w:ascii="宋体" w:hAnsi="宋体" w:eastAsia="宋体" w:cs="宋体"/>
                <w:i w:val="0"/>
                <w:iCs w:val="0"/>
                <w:color w:val="000000"/>
                <w:kern w:val="0"/>
                <w:sz w:val="18"/>
                <w:szCs w:val="18"/>
                <w:u w:val="none"/>
                <w:lang w:val="en-US" w:eastAsia="zh-CN" w:bidi="ar"/>
              </w:rPr>
              <w:t>合格</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69.73 </w:t>
            </w:r>
          </w:p>
        </w:tc>
        <w:tc>
          <w:tcPr>
            <w:tcW w:w="1189"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65.09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47" w:type="dxa"/>
            <w:noWrap w:val="0"/>
            <w:vAlign w:val="center"/>
          </w:tcPr>
          <w:p>
            <w:pPr>
              <w:keepNext w:val="0"/>
              <w:keepLines w:val="0"/>
              <w:widowControl/>
              <w:suppressLineNumbers w:val="0"/>
              <w:jc w:val="center"/>
              <w:textAlignment w:val="center"/>
              <w:rPr>
                <w:rFonts w:hint="eastAsia" w:ascii="Times New Roman" w:hAnsi="Times New Roman" w:eastAsia="宋体" w:cs="Times New Roman"/>
                <w:color w:val="000000"/>
                <w:sz w:val="18"/>
                <w:szCs w:val="18"/>
                <w:highlight w:val="none"/>
                <w:lang w:eastAsia="zh-CN"/>
              </w:rPr>
            </w:pPr>
            <w:r>
              <w:rPr>
                <w:rFonts w:hint="eastAsia" w:ascii="宋体" w:hAnsi="宋体" w:eastAsia="宋体" w:cs="宋体"/>
                <w:i w:val="0"/>
                <w:iCs w:val="0"/>
                <w:color w:val="000000"/>
                <w:kern w:val="0"/>
                <w:sz w:val="18"/>
                <w:szCs w:val="18"/>
                <w:u w:val="none"/>
                <w:lang w:val="en-US" w:eastAsia="zh-CN" w:bidi="ar"/>
              </w:rPr>
              <w:t>澳森钢铁</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3.28</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425</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92</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eastAsia" w:ascii="宋体" w:hAnsi="宋体" w:eastAsia="宋体" w:cs="宋体"/>
                <w:i w:val="0"/>
                <w:iCs w:val="0"/>
                <w:color w:val="000000"/>
                <w:kern w:val="0"/>
                <w:sz w:val="18"/>
                <w:szCs w:val="18"/>
                <w:u w:val="none"/>
                <w:lang w:val="en-US" w:eastAsia="zh-CN" w:bidi="ar"/>
              </w:rPr>
              <w:t>合格</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78.23 </w:t>
            </w:r>
          </w:p>
        </w:tc>
        <w:tc>
          <w:tcPr>
            <w:tcW w:w="1189" w:type="dxa"/>
            <w:noWrap w:val="0"/>
            <w:vAlign w:val="center"/>
          </w:tcPr>
          <w:p>
            <w:pPr>
              <w:keepNext w:val="0"/>
              <w:keepLines w:val="0"/>
              <w:widowControl/>
              <w:suppressLineNumbers w:val="0"/>
              <w:jc w:val="center"/>
              <w:textAlignment w:val="center"/>
              <w:rPr>
                <w:rFonts w:hint="default" w:ascii="Times New Roman" w:hAnsi="Times New Roman" w:eastAsia="宋体"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77.37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47"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eastAsia" w:ascii="宋体" w:hAnsi="宋体" w:eastAsia="宋体" w:cs="宋体"/>
                <w:i w:val="0"/>
                <w:iCs w:val="0"/>
                <w:color w:val="000000"/>
                <w:kern w:val="0"/>
                <w:sz w:val="18"/>
                <w:szCs w:val="18"/>
                <w:u w:val="none"/>
                <w:lang w:val="en-US" w:eastAsia="zh-CN" w:bidi="ar"/>
              </w:rPr>
              <w:t>澳森钢铁</w:t>
            </w:r>
          </w:p>
        </w:tc>
        <w:tc>
          <w:tcPr>
            <w:tcW w:w="1186"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3.30 </w:t>
            </w:r>
          </w:p>
        </w:tc>
        <w:tc>
          <w:tcPr>
            <w:tcW w:w="1186"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626</w:t>
            </w:r>
          </w:p>
        </w:tc>
        <w:tc>
          <w:tcPr>
            <w:tcW w:w="1186"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101</w:t>
            </w:r>
          </w:p>
        </w:tc>
        <w:tc>
          <w:tcPr>
            <w:tcW w:w="1186"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eastAsia" w:ascii="宋体" w:hAnsi="宋体" w:eastAsia="宋体" w:cs="宋体"/>
                <w:i w:val="0"/>
                <w:iCs w:val="0"/>
                <w:color w:val="000000"/>
                <w:kern w:val="0"/>
                <w:sz w:val="18"/>
                <w:szCs w:val="18"/>
                <w:u w:val="none"/>
                <w:lang w:val="en-US" w:eastAsia="zh-CN" w:bidi="ar"/>
              </w:rPr>
              <w:t>合格</w:t>
            </w:r>
          </w:p>
        </w:tc>
        <w:tc>
          <w:tcPr>
            <w:tcW w:w="1186"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76.45 </w:t>
            </w:r>
          </w:p>
        </w:tc>
        <w:tc>
          <w:tcPr>
            <w:tcW w:w="1189"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80.86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47"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eastAsia" w:ascii="宋体" w:hAnsi="宋体" w:eastAsia="宋体" w:cs="宋体"/>
                <w:i w:val="0"/>
                <w:iCs w:val="0"/>
                <w:color w:val="000000"/>
                <w:kern w:val="0"/>
                <w:sz w:val="18"/>
                <w:szCs w:val="18"/>
                <w:u w:val="none"/>
                <w:lang w:val="en-US" w:eastAsia="zh-CN" w:bidi="ar"/>
              </w:rPr>
              <w:t>三明钢铁</w:t>
            </w:r>
          </w:p>
        </w:tc>
        <w:tc>
          <w:tcPr>
            <w:tcW w:w="1186"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3.29</w:t>
            </w:r>
          </w:p>
        </w:tc>
        <w:tc>
          <w:tcPr>
            <w:tcW w:w="1186"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422</w:t>
            </w:r>
          </w:p>
        </w:tc>
        <w:tc>
          <w:tcPr>
            <w:tcW w:w="1186"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96</w:t>
            </w:r>
          </w:p>
        </w:tc>
        <w:tc>
          <w:tcPr>
            <w:tcW w:w="1186"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eastAsia" w:ascii="宋体" w:hAnsi="宋体" w:eastAsia="宋体" w:cs="宋体"/>
                <w:i w:val="0"/>
                <w:iCs w:val="0"/>
                <w:color w:val="000000"/>
                <w:kern w:val="0"/>
                <w:sz w:val="18"/>
                <w:szCs w:val="18"/>
                <w:u w:val="none"/>
                <w:lang w:val="en-US" w:eastAsia="zh-CN" w:bidi="ar"/>
              </w:rPr>
              <w:t>合格</w:t>
            </w:r>
          </w:p>
        </w:tc>
        <w:tc>
          <w:tcPr>
            <w:tcW w:w="1186"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82.41 </w:t>
            </w:r>
          </w:p>
        </w:tc>
        <w:tc>
          <w:tcPr>
            <w:tcW w:w="1189" w:type="dxa"/>
            <w:noWrap w:val="0"/>
            <w:vAlign w:val="center"/>
          </w:tcPr>
          <w:p>
            <w:pPr>
              <w:keepNext w:val="0"/>
              <w:keepLines w:val="0"/>
              <w:widowControl/>
              <w:suppressLineNumbers w:val="0"/>
              <w:jc w:val="center"/>
              <w:textAlignment w:val="center"/>
              <w:rPr>
                <w:rFonts w:hint="eastAsia" w:cs="Times New Roman"/>
                <w:color w:val="000000"/>
                <w:sz w:val="18"/>
                <w:szCs w:val="18"/>
                <w:highlight w:val="none"/>
                <w:lang w:val="en-US" w:eastAsia="zh-CN"/>
              </w:rPr>
            </w:pPr>
            <w:r>
              <w:rPr>
                <w:rFonts w:hint="default" w:ascii="Times New Roman" w:hAnsi="Times New Roman" w:eastAsia="宋体" w:cs="Times New Roman"/>
                <w:i w:val="0"/>
                <w:iCs w:val="0"/>
                <w:color w:val="000000"/>
                <w:kern w:val="0"/>
                <w:sz w:val="18"/>
                <w:szCs w:val="18"/>
                <w:u w:val="none"/>
                <w:lang w:val="en-US" w:eastAsia="zh-CN" w:bidi="ar"/>
              </w:rPr>
              <w:t xml:space="preserve">77.80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47" w:type="dxa"/>
            <w:noWrap w:val="0"/>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三明钢铁</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3.31</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623</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99</w:t>
            </w:r>
          </w:p>
        </w:tc>
        <w:tc>
          <w:tcPr>
            <w:tcW w:w="1186" w:type="dxa"/>
            <w:noWrap w:val="0"/>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合格</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80.06 </w:t>
            </w:r>
          </w:p>
        </w:tc>
        <w:tc>
          <w:tcPr>
            <w:tcW w:w="1189"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83.48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47" w:type="dxa"/>
            <w:noWrap w:val="0"/>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安阳钢铁</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3.32</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424</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96</w:t>
            </w:r>
          </w:p>
        </w:tc>
        <w:tc>
          <w:tcPr>
            <w:tcW w:w="1186" w:type="dxa"/>
            <w:noWrap w:val="0"/>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合格</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82.46 </w:t>
            </w:r>
          </w:p>
        </w:tc>
        <w:tc>
          <w:tcPr>
            <w:tcW w:w="1189"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79.18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47" w:type="dxa"/>
            <w:noWrap w:val="0"/>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安阳钢铁</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3.33</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628</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98</w:t>
            </w:r>
          </w:p>
        </w:tc>
        <w:tc>
          <w:tcPr>
            <w:tcW w:w="1186" w:type="dxa"/>
            <w:noWrap w:val="0"/>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合格</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76.31 </w:t>
            </w:r>
          </w:p>
        </w:tc>
        <w:tc>
          <w:tcPr>
            <w:tcW w:w="1189"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81.17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47" w:type="dxa"/>
            <w:noWrap w:val="0"/>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武钢金资</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3.31</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3</w:t>
            </w:r>
            <w:r>
              <w:rPr>
                <w:rFonts w:hint="eastAsia" w:cs="Times New Roman"/>
                <w:i w:val="0"/>
                <w:iCs w:val="0"/>
                <w:color w:val="000000"/>
                <w:kern w:val="0"/>
                <w:sz w:val="18"/>
                <w:szCs w:val="18"/>
                <w:u w:val="none"/>
                <w:lang w:val="en-US" w:eastAsia="zh-CN" w:bidi="ar"/>
              </w:rPr>
              <w:t>5</w:t>
            </w:r>
            <w:r>
              <w:rPr>
                <w:rFonts w:hint="default" w:ascii="Times New Roman" w:hAnsi="Times New Roman" w:eastAsia="宋体" w:cs="Times New Roman"/>
                <w:i w:val="0"/>
                <w:iCs w:val="0"/>
                <w:color w:val="000000"/>
                <w:kern w:val="0"/>
                <w:sz w:val="18"/>
                <w:szCs w:val="18"/>
                <w:u w:val="none"/>
                <w:lang w:val="en-US" w:eastAsia="zh-CN" w:bidi="ar"/>
              </w:rPr>
              <w:t>3</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91</w:t>
            </w:r>
          </w:p>
        </w:tc>
        <w:tc>
          <w:tcPr>
            <w:tcW w:w="1186" w:type="dxa"/>
            <w:noWrap w:val="0"/>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合格</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67.08 </w:t>
            </w:r>
          </w:p>
        </w:tc>
        <w:tc>
          <w:tcPr>
            <w:tcW w:w="1189"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73.58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947" w:type="dxa"/>
            <w:noWrap w:val="0"/>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武钢金资</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3.3</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507</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eastAsia" w:cs="Times New Roman"/>
                <w:i w:val="0"/>
                <w:iCs w:val="0"/>
                <w:color w:val="000000"/>
                <w:kern w:val="0"/>
                <w:sz w:val="18"/>
                <w:szCs w:val="18"/>
                <w:u w:val="none"/>
                <w:lang w:val="en-US" w:eastAsia="zh-CN" w:bidi="ar"/>
              </w:rPr>
              <w:t>9</w:t>
            </w:r>
            <w:r>
              <w:rPr>
                <w:rFonts w:hint="default" w:ascii="Times New Roman" w:hAnsi="Times New Roman" w:eastAsia="宋体" w:cs="Times New Roman"/>
                <w:i w:val="0"/>
                <w:iCs w:val="0"/>
                <w:color w:val="000000"/>
                <w:kern w:val="0"/>
                <w:sz w:val="18"/>
                <w:szCs w:val="18"/>
                <w:u w:val="none"/>
                <w:lang w:val="en-US" w:eastAsia="zh-CN" w:bidi="ar"/>
              </w:rPr>
              <w:t>5</w:t>
            </w:r>
          </w:p>
        </w:tc>
        <w:tc>
          <w:tcPr>
            <w:tcW w:w="1186" w:type="dxa"/>
            <w:noWrap w:val="0"/>
            <w:vAlign w:val="center"/>
          </w:tcPr>
          <w:p>
            <w:pPr>
              <w:keepNext w:val="0"/>
              <w:keepLines w:val="0"/>
              <w:widowControl/>
              <w:suppressLineNumbers w:val="0"/>
              <w:jc w:val="center"/>
              <w:textAlignment w:val="center"/>
              <w:rPr>
                <w:rFonts w:hint="eastAsia" w:ascii="宋体" w:hAnsi="宋体" w:eastAsia="宋体" w:cs="宋体"/>
                <w:i w:val="0"/>
                <w:iCs w:val="0"/>
                <w:color w:val="000000"/>
                <w:kern w:val="0"/>
                <w:sz w:val="18"/>
                <w:szCs w:val="18"/>
                <w:u w:val="none"/>
                <w:lang w:val="en-US" w:eastAsia="zh-CN" w:bidi="ar"/>
              </w:rPr>
            </w:pPr>
            <w:r>
              <w:rPr>
                <w:rFonts w:hint="eastAsia" w:ascii="宋体" w:hAnsi="宋体" w:eastAsia="宋体" w:cs="宋体"/>
                <w:i w:val="0"/>
                <w:iCs w:val="0"/>
                <w:color w:val="000000"/>
                <w:kern w:val="0"/>
                <w:sz w:val="18"/>
                <w:szCs w:val="18"/>
                <w:u w:val="none"/>
                <w:lang w:val="en-US" w:eastAsia="zh-CN" w:bidi="ar"/>
              </w:rPr>
              <w:t>合格</w:t>
            </w:r>
          </w:p>
        </w:tc>
        <w:tc>
          <w:tcPr>
            <w:tcW w:w="1186"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63.14 </w:t>
            </w:r>
          </w:p>
        </w:tc>
        <w:tc>
          <w:tcPr>
            <w:tcW w:w="1189" w:type="dxa"/>
            <w:noWrap w:val="0"/>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000000"/>
                <w:kern w:val="0"/>
                <w:sz w:val="18"/>
                <w:szCs w:val="18"/>
                <w:u w:val="none"/>
                <w:lang w:val="en-US" w:eastAsia="zh-CN" w:bidi="ar"/>
              </w:rPr>
            </w:pPr>
            <w:r>
              <w:rPr>
                <w:rFonts w:hint="default" w:ascii="Times New Roman" w:hAnsi="Times New Roman" w:eastAsia="宋体" w:cs="Times New Roman"/>
                <w:i w:val="0"/>
                <w:iCs w:val="0"/>
                <w:color w:val="000000"/>
                <w:kern w:val="0"/>
                <w:sz w:val="18"/>
                <w:szCs w:val="18"/>
                <w:u w:val="none"/>
                <w:lang w:val="en-US" w:eastAsia="zh-CN" w:bidi="ar"/>
              </w:rPr>
              <w:t xml:space="preserve">66.67 </w:t>
            </w:r>
          </w:p>
        </w:tc>
      </w:tr>
    </w:tbl>
    <w:p>
      <w:pPr>
        <w:widowControl/>
        <w:spacing w:line="360" w:lineRule="auto"/>
        <w:ind w:firstLine="480" w:firstLineChars="200"/>
        <w:rPr>
          <w:rFonts w:hint="eastAsia"/>
          <w:sz w:val="24"/>
          <w:highlight w:val="none"/>
        </w:rPr>
      </w:pPr>
      <w:r>
        <w:rPr>
          <w:rFonts w:hint="eastAsia" w:cs="Times New Roman"/>
          <w:color w:val="000000"/>
          <w:kern w:val="0"/>
          <w:sz w:val="24"/>
          <w:szCs w:val="24"/>
          <w:highlight w:val="none"/>
          <w:lang w:val="en-US" w:eastAsia="zh-CN" w:bidi="ar-SA"/>
        </w:rPr>
        <w:t>试验表明，钢渣粉</w:t>
      </w:r>
      <w:r>
        <w:rPr>
          <w:rFonts w:hint="eastAsia" w:ascii="Times New Roman" w:hAnsi="Times New Roman" w:eastAsia="宋体" w:cs="Times New Roman"/>
          <w:color w:val="000000"/>
          <w:kern w:val="0"/>
          <w:sz w:val="24"/>
          <w:szCs w:val="24"/>
          <w:highlight w:val="none"/>
          <w:lang w:val="en-US" w:eastAsia="zh-CN" w:bidi="ar-SA"/>
        </w:rPr>
        <w:t>的流动度比一般均大于</w:t>
      </w:r>
      <w:r>
        <w:rPr>
          <w:rFonts w:hint="eastAsia" w:cs="Times New Roman"/>
          <w:color w:val="000000"/>
          <w:kern w:val="0"/>
          <w:sz w:val="24"/>
          <w:szCs w:val="24"/>
          <w:highlight w:val="none"/>
          <w:lang w:val="en-US" w:eastAsia="zh-CN" w:bidi="ar-SA"/>
        </w:rPr>
        <w:t>9</w:t>
      </w:r>
      <w:r>
        <w:rPr>
          <w:rFonts w:hint="eastAsia" w:ascii="Times New Roman" w:hAnsi="Times New Roman" w:eastAsia="宋体" w:cs="Times New Roman"/>
          <w:color w:val="000000"/>
          <w:kern w:val="0"/>
          <w:sz w:val="24"/>
          <w:szCs w:val="24"/>
          <w:highlight w:val="none"/>
          <w:lang w:val="en-US" w:eastAsia="zh-CN" w:bidi="ar-SA"/>
        </w:rPr>
        <w:t>0%，28d抗压强度比一般均大于</w:t>
      </w:r>
      <w:r>
        <w:rPr>
          <w:rFonts w:hint="eastAsia" w:cs="Times New Roman"/>
          <w:color w:val="000000"/>
          <w:kern w:val="0"/>
          <w:sz w:val="24"/>
          <w:szCs w:val="24"/>
          <w:highlight w:val="none"/>
          <w:lang w:val="en-US" w:eastAsia="zh-CN" w:bidi="ar-SA"/>
        </w:rPr>
        <w:t>65</w:t>
      </w:r>
      <w:r>
        <w:rPr>
          <w:rFonts w:hint="eastAsia" w:ascii="Times New Roman" w:hAnsi="Times New Roman" w:eastAsia="宋体" w:cs="Times New Roman"/>
          <w:color w:val="000000"/>
          <w:kern w:val="0"/>
          <w:sz w:val="24"/>
          <w:szCs w:val="24"/>
          <w:highlight w:val="none"/>
          <w:lang w:val="en-US" w:eastAsia="zh-CN" w:bidi="ar-SA"/>
        </w:rPr>
        <w:t>%。</w:t>
      </w:r>
      <w:r>
        <w:rPr>
          <w:rFonts w:hint="eastAsia" w:cs="Times New Roman"/>
          <w:color w:val="000000"/>
          <w:kern w:val="0"/>
          <w:sz w:val="24"/>
          <w:szCs w:val="24"/>
          <w:highlight w:val="none"/>
          <w:lang w:val="en-US" w:eastAsia="zh-CN" w:bidi="ar-SA"/>
        </w:rPr>
        <w:t>比表面积较大</w:t>
      </w:r>
      <w:r>
        <w:rPr>
          <w:rFonts w:hint="eastAsia" w:ascii="Times New Roman" w:hAnsi="Times New Roman" w:eastAsia="宋体" w:cs="Times New Roman"/>
          <w:color w:val="000000"/>
          <w:kern w:val="0"/>
          <w:sz w:val="24"/>
          <w:szCs w:val="24"/>
          <w:highlight w:val="none"/>
          <w:lang w:val="en-US" w:eastAsia="zh-CN" w:bidi="ar-SA"/>
        </w:rPr>
        <w:t>的</w:t>
      </w:r>
      <w:r>
        <w:rPr>
          <w:rFonts w:hint="eastAsia" w:cs="Times New Roman"/>
          <w:color w:val="000000"/>
          <w:kern w:val="0"/>
          <w:sz w:val="24"/>
          <w:szCs w:val="24"/>
          <w:highlight w:val="none"/>
          <w:lang w:val="en-US" w:eastAsia="zh-CN" w:bidi="ar-SA"/>
        </w:rPr>
        <w:t>钢渣粉</w:t>
      </w:r>
      <w:r>
        <w:rPr>
          <w:rFonts w:hint="eastAsia" w:ascii="Times New Roman" w:hAnsi="Times New Roman" w:eastAsia="宋体" w:cs="Times New Roman"/>
          <w:color w:val="000000"/>
          <w:kern w:val="0"/>
          <w:sz w:val="24"/>
          <w:szCs w:val="24"/>
          <w:highlight w:val="none"/>
          <w:lang w:val="en-US" w:eastAsia="zh-CN" w:bidi="ar-SA"/>
        </w:rPr>
        <w:t>28d</w:t>
      </w:r>
      <w:r>
        <w:rPr>
          <w:rFonts w:hint="eastAsia" w:cs="Times New Roman"/>
          <w:color w:val="000000"/>
          <w:kern w:val="0"/>
          <w:sz w:val="24"/>
          <w:szCs w:val="24"/>
          <w:highlight w:val="none"/>
          <w:lang w:val="en-US" w:eastAsia="zh-CN" w:bidi="ar-SA"/>
        </w:rPr>
        <w:t>活性指数</w:t>
      </w:r>
      <w:r>
        <w:rPr>
          <w:rFonts w:hint="eastAsia" w:ascii="Times New Roman" w:hAnsi="Times New Roman" w:eastAsia="宋体" w:cs="Times New Roman"/>
          <w:color w:val="000000"/>
          <w:kern w:val="0"/>
          <w:sz w:val="24"/>
          <w:szCs w:val="24"/>
          <w:highlight w:val="none"/>
          <w:lang w:val="en-US" w:eastAsia="zh-CN" w:bidi="ar-SA"/>
        </w:rPr>
        <w:t>相对较高且流动度比相对较大。从</w:t>
      </w:r>
      <w:r>
        <w:rPr>
          <w:rFonts w:hint="eastAsia" w:cs="Times New Roman"/>
          <w:color w:val="000000"/>
          <w:kern w:val="0"/>
          <w:sz w:val="24"/>
          <w:szCs w:val="24"/>
          <w:highlight w:val="none"/>
          <w:lang w:val="en-US" w:eastAsia="zh-CN" w:bidi="ar-SA"/>
        </w:rPr>
        <w:t>宝钢样品</w:t>
      </w:r>
      <w:r>
        <w:rPr>
          <w:rFonts w:hint="eastAsia" w:ascii="Times New Roman" w:hAnsi="Times New Roman" w:eastAsia="宋体" w:cs="Times New Roman"/>
          <w:color w:val="000000"/>
          <w:kern w:val="0"/>
          <w:sz w:val="24"/>
          <w:szCs w:val="24"/>
          <w:highlight w:val="none"/>
          <w:lang w:val="en-US" w:eastAsia="zh-CN" w:bidi="ar-SA"/>
        </w:rPr>
        <w:t>和</w:t>
      </w:r>
      <w:r>
        <w:rPr>
          <w:rFonts w:hint="eastAsia" w:cs="Times New Roman"/>
          <w:color w:val="000000"/>
          <w:kern w:val="0"/>
          <w:sz w:val="24"/>
          <w:szCs w:val="24"/>
          <w:highlight w:val="none"/>
          <w:lang w:val="en-US" w:eastAsia="zh-CN" w:bidi="ar-SA"/>
        </w:rPr>
        <w:t>唐钢样品的</w:t>
      </w:r>
      <w:r>
        <w:rPr>
          <w:rFonts w:hint="eastAsia" w:ascii="Times New Roman" w:hAnsi="Times New Roman" w:eastAsia="宋体" w:cs="Times New Roman"/>
          <w:color w:val="000000"/>
          <w:kern w:val="0"/>
          <w:sz w:val="24"/>
          <w:szCs w:val="24"/>
          <w:highlight w:val="none"/>
          <w:lang w:val="en-US" w:eastAsia="zh-CN" w:bidi="ar-SA"/>
        </w:rPr>
        <w:t>数据可以看出，当</w:t>
      </w:r>
      <w:r>
        <w:rPr>
          <w:rFonts w:hint="eastAsia" w:cs="Times New Roman"/>
          <w:color w:val="000000"/>
          <w:kern w:val="0"/>
          <w:sz w:val="24"/>
          <w:szCs w:val="24"/>
          <w:highlight w:val="none"/>
          <w:lang w:val="en-US" w:eastAsia="zh-CN" w:bidi="ar-SA"/>
        </w:rPr>
        <w:t>比表面积大于400m²/kg</w:t>
      </w:r>
      <w:r>
        <w:rPr>
          <w:rFonts w:hint="eastAsia" w:ascii="Times New Roman" w:hAnsi="Times New Roman" w:eastAsia="宋体" w:cs="Times New Roman"/>
          <w:color w:val="000000"/>
          <w:kern w:val="0"/>
          <w:sz w:val="24"/>
          <w:szCs w:val="24"/>
          <w:highlight w:val="none"/>
          <w:lang w:val="en-US" w:eastAsia="zh-CN" w:bidi="ar-SA"/>
        </w:rPr>
        <w:t>时，</w:t>
      </w:r>
      <w:r>
        <w:rPr>
          <w:rFonts w:hint="eastAsia" w:cs="Times New Roman"/>
          <w:color w:val="000000"/>
          <w:kern w:val="0"/>
          <w:sz w:val="24"/>
          <w:szCs w:val="24"/>
          <w:highlight w:val="none"/>
          <w:lang w:val="en-US" w:eastAsia="zh-CN" w:bidi="ar-SA"/>
        </w:rPr>
        <w:t>钢渣粉</w:t>
      </w:r>
      <w:r>
        <w:rPr>
          <w:rFonts w:hint="eastAsia" w:ascii="Times New Roman" w:hAnsi="Times New Roman" w:eastAsia="宋体" w:cs="Times New Roman"/>
          <w:color w:val="000000"/>
          <w:kern w:val="0"/>
          <w:sz w:val="24"/>
          <w:szCs w:val="24"/>
          <w:highlight w:val="none"/>
          <w:lang w:val="en-US" w:eastAsia="zh-CN" w:bidi="ar-SA"/>
        </w:rPr>
        <w:t>的</w:t>
      </w:r>
      <w:r>
        <w:rPr>
          <w:rFonts w:hint="eastAsia" w:cs="Times New Roman"/>
          <w:color w:val="000000"/>
          <w:kern w:val="0"/>
          <w:sz w:val="24"/>
          <w:szCs w:val="24"/>
          <w:highlight w:val="none"/>
          <w:lang w:val="en-US" w:eastAsia="zh-CN" w:bidi="ar-SA"/>
        </w:rPr>
        <w:t>水化</w:t>
      </w:r>
      <w:r>
        <w:rPr>
          <w:rFonts w:hint="eastAsia" w:ascii="Times New Roman" w:hAnsi="Times New Roman" w:eastAsia="宋体" w:cs="Times New Roman"/>
          <w:color w:val="000000"/>
          <w:kern w:val="0"/>
          <w:sz w:val="24"/>
          <w:szCs w:val="24"/>
          <w:highlight w:val="none"/>
          <w:lang w:val="en-US" w:eastAsia="zh-CN" w:bidi="ar-SA"/>
        </w:rPr>
        <w:t>活性发挥和填充效应更明显，对应的流动度比和抗压强度比也更高。</w:t>
      </w:r>
      <w:r>
        <w:rPr>
          <w:rFonts w:hint="eastAsia" w:cs="Times New Roman"/>
          <w:color w:val="000000"/>
          <w:kern w:val="0"/>
          <w:sz w:val="24"/>
          <w:szCs w:val="24"/>
          <w:highlight w:val="none"/>
          <w:lang w:val="en-US" w:eastAsia="zh-CN" w:bidi="ar-SA"/>
        </w:rPr>
        <w:t>结合工程经济性与性能平衡，标准确定钢渣粉比表面积≥400m²/kg。</w:t>
      </w:r>
    </w:p>
    <w:p>
      <w:pPr>
        <w:adjustRightInd w:val="0"/>
        <w:snapToGrid w:val="0"/>
        <w:spacing w:before="156" w:beforeLines="50" w:after="156" w:afterLines="50" w:line="360" w:lineRule="auto"/>
        <w:outlineLvl w:val="0"/>
        <w:rPr>
          <w:rFonts w:ascii="黑体" w:hAnsi="黑体" w:eastAsia="黑体"/>
          <w:b/>
          <w:bCs/>
          <w:kern w:val="0"/>
          <w:sz w:val="28"/>
          <w:highlight w:val="none"/>
        </w:rPr>
      </w:pPr>
      <w:bookmarkStart w:id="34" w:name="_Toc17542"/>
      <w:r>
        <w:rPr>
          <w:rFonts w:hint="eastAsia" w:ascii="黑体" w:hAnsi="黑体" w:eastAsia="黑体"/>
          <w:b/>
          <w:bCs/>
          <w:kern w:val="0"/>
          <w:sz w:val="28"/>
          <w:highlight w:val="none"/>
          <w:lang w:val="en-US" w:eastAsia="zh-CN"/>
        </w:rPr>
        <w:t>五</w:t>
      </w:r>
      <w:r>
        <w:rPr>
          <w:rFonts w:hint="eastAsia" w:ascii="黑体" w:hAnsi="黑体" w:eastAsia="黑体"/>
          <w:b/>
          <w:bCs/>
          <w:kern w:val="0"/>
          <w:sz w:val="28"/>
          <w:highlight w:val="none"/>
        </w:rPr>
        <w:t>、产业化情况、推广应用论证和预期达到的经济效果情况</w:t>
      </w:r>
      <w:bookmarkEnd w:id="34"/>
    </w:p>
    <w:p>
      <w:pPr>
        <w:pStyle w:val="44"/>
        <w:widowControl/>
        <w:spacing w:line="360" w:lineRule="auto"/>
        <w:ind w:firstLine="480"/>
        <w:rPr>
          <w:rFonts w:hint="eastAsia" w:ascii="宋体" w:hAnsi="宋体" w:eastAsia="宋体"/>
          <w:color w:val="auto"/>
          <w:kern w:val="24"/>
          <w:sz w:val="24"/>
          <w:szCs w:val="24"/>
          <w:highlight w:val="none"/>
          <w:lang w:val="en-US" w:eastAsia="zh-CN"/>
        </w:rPr>
      </w:pPr>
      <w:r>
        <w:rPr>
          <w:rFonts w:hint="eastAsia" w:ascii="宋体" w:hAnsi="宋体" w:eastAsia="宋体"/>
          <w:b/>
          <w:bCs/>
          <w:color w:val="000000"/>
          <w:kern w:val="24"/>
          <w:sz w:val="24"/>
          <w:szCs w:val="24"/>
          <w:highlight w:val="none"/>
          <w:lang w:val="en-US" w:eastAsia="zh-CN"/>
        </w:rPr>
        <w:t>1、</w:t>
      </w:r>
      <w:r>
        <w:rPr>
          <w:rFonts w:hint="eastAsia" w:ascii="宋体" w:hAnsi="宋体" w:eastAsia="宋体"/>
          <w:b/>
          <w:bCs/>
          <w:color w:val="000000"/>
          <w:kern w:val="24"/>
          <w:sz w:val="24"/>
          <w:szCs w:val="24"/>
          <w:highlight w:val="none"/>
        </w:rPr>
        <w:t>产业化情况：</w:t>
      </w:r>
    </w:p>
    <w:p>
      <w:pPr>
        <w:pStyle w:val="44"/>
        <w:widowControl/>
        <w:spacing w:line="360" w:lineRule="auto"/>
        <w:ind w:firstLine="480"/>
        <w:rPr>
          <w:rFonts w:hint="eastAsia" w:ascii="宋体" w:hAnsi="宋体" w:eastAsia="宋体"/>
          <w:color w:val="auto"/>
          <w:kern w:val="24"/>
          <w:sz w:val="24"/>
          <w:szCs w:val="24"/>
          <w:highlight w:val="none"/>
          <w:lang w:val="en-US" w:eastAsia="zh-CN"/>
        </w:rPr>
      </w:pPr>
      <w:r>
        <w:rPr>
          <w:rFonts w:hint="eastAsia" w:ascii="宋体" w:hAnsi="宋体" w:eastAsia="宋体"/>
          <w:color w:val="auto"/>
          <w:kern w:val="24"/>
          <w:sz w:val="24"/>
          <w:szCs w:val="24"/>
          <w:highlight w:val="none"/>
          <w:lang w:val="en-US" w:eastAsia="zh-CN"/>
        </w:rPr>
        <w:t>在我国，基础设施建设、房地产开发以及各类大型工程项目的推进，对混凝土的需求急剧增加，进一步加剧了传统矿物掺合料的供需矛盾。在此背景下，寻找可替代的矿物掺合料已成为混凝土行业亟待解决的关键问题。</w:t>
      </w:r>
    </w:p>
    <w:p>
      <w:pPr>
        <w:pStyle w:val="44"/>
        <w:widowControl/>
        <w:spacing w:line="360" w:lineRule="auto"/>
        <w:ind w:firstLine="480"/>
        <w:rPr>
          <w:rFonts w:hint="eastAsia" w:ascii="宋体" w:hAnsi="宋体" w:eastAsia="宋体"/>
          <w:color w:val="000000"/>
          <w:kern w:val="24"/>
          <w:sz w:val="24"/>
          <w:szCs w:val="24"/>
          <w:highlight w:val="none"/>
        </w:rPr>
      </w:pPr>
      <w:r>
        <w:rPr>
          <w:rFonts w:hint="eastAsia" w:ascii="宋体" w:hAnsi="宋体" w:eastAsia="宋体"/>
          <w:color w:val="auto"/>
          <w:kern w:val="24"/>
          <w:sz w:val="24"/>
          <w:szCs w:val="24"/>
          <w:highlight w:val="none"/>
          <w:lang w:val="en-US" w:eastAsia="zh-CN"/>
        </w:rPr>
        <w:t>我国拥有丰富的钢铁资源，钢铁冶炼过程中产生大量的钢渣。这些</w:t>
      </w:r>
      <w:r>
        <w:rPr>
          <w:rFonts w:hint="eastAsia" w:ascii="宋体" w:hAnsi="宋体" w:eastAsia="宋体"/>
          <w:color w:val="000000"/>
          <w:kern w:val="24"/>
          <w:sz w:val="24"/>
          <w:szCs w:val="24"/>
          <w:highlight w:val="none"/>
          <w:lang w:eastAsia="zh-CN"/>
        </w:rPr>
        <w:t>钢渣</w:t>
      </w:r>
      <w:r>
        <w:rPr>
          <w:rFonts w:hint="eastAsia" w:ascii="宋体" w:hAnsi="宋体" w:eastAsia="宋体"/>
          <w:color w:val="000000"/>
          <w:kern w:val="24"/>
          <w:sz w:val="24"/>
          <w:szCs w:val="24"/>
          <w:highlight w:val="none"/>
          <w:lang w:val="en-US" w:eastAsia="zh-CN"/>
        </w:rPr>
        <w:t>磨细成</w:t>
      </w:r>
      <w:r>
        <w:rPr>
          <w:rFonts w:hint="eastAsia" w:ascii="宋体" w:hAnsi="宋体" w:eastAsia="宋体"/>
          <w:color w:val="000000"/>
          <w:kern w:val="24"/>
          <w:sz w:val="24"/>
          <w:szCs w:val="24"/>
          <w:highlight w:val="none"/>
          <w:lang w:eastAsia="zh-CN"/>
        </w:rPr>
        <w:t>粉</w:t>
      </w:r>
      <w:r>
        <w:rPr>
          <w:rFonts w:hint="eastAsia" w:ascii="宋体" w:hAnsi="宋体" w:eastAsia="宋体"/>
          <w:color w:val="auto"/>
          <w:kern w:val="24"/>
          <w:sz w:val="24"/>
          <w:szCs w:val="24"/>
          <w:highlight w:val="none"/>
          <w:lang w:val="en-US" w:eastAsia="zh-CN"/>
        </w:rPr>
        <w:t>，自身虽只有微弱的水化活性，但在常温且有水的条件下，能与氢氧化钙发生反应，生成凝胶性物质，进而改善混凝土的性能。与粉煤灰类似，</w:t>
      </w:r>
      <w:r>
        <w:rPr>
          <w:rFonts w:hint="eastAsia" w:ascii="宋体" w:hAnsi="宋体" w:eastAsia="宋体"/>
          <w:color w:val="000000"/>
          <w:kern w:val="24"/>
          <w:sz w:val="24"/>
          <w:szCs w:val="24"/>
          <w:highlight w:val="none"/>
          <w:lang w:eastAsia="zh-CN"/>
        </w:rPr>
        <w:t>钢渣粉</w:t>
      </w:r>
      <w:r>
        <w:rPr>
          <w:rFonts w:hint="eastAsia" w:ascii="宋体" w:hAnsi="宋体" w:eastAsia="宋体"/>
          <w:color w:val="auto"/>
          <w:kern w:val="24"/>
          <w:sz w:val="24"/>
          <w:szCs w:val="24"/>
          <w:highlight w:val="none"/>
          <w:lang w:val="en-US" w:eastAsia="zh-CN"/>
        </w:rPr>
        <w:t>具有形态效应、微集料效应和火山灰效应，这为其作为矿物掺合料应用于混凝土提供了可行性依据。将其部分或全部取代粉煤灰等传统矿物掺合料，不仅能够改善和提高混凝土的性能，还能在一定程度上降低工程造价，缓解传统矿物掺合料紧缺的局面，具有显著的经济和环境效益。</w:t>
      </w:r>
      <w:r>
        <w:rPr>
          <w:rFonts w:hint="eastAsia" w:ascii="宋体" w:hAnsi="宋体" w:eastAsia="宋体"/>
          <w:color w:val="000000"/>
          <w:kern w:val="24"/>
          <w:sz w:val="24"/>
          <w:szCs w:val="24"/>
          <w:highlight w:val="none"/>
        </w:rPr>
        <w:t>然而，由于缺乏统一的行业标准和技术规范，</w:t>
      </w:r>
      <w:r>
        <w:rPr>
          <w:rFonts w:hint="eastAsia" w:ascii="宋体" w:hAnsi="宋体" w:eastAsia="宋体"/>
          <w:color w:val="000000"/>
          <w:kern w:val="24"/>
          <w:sz w:val="24"/>
          <w:szCs w:val="24"/>
          <w:highlight w:val="none"/>
          <w:lang w:eastAsia="zh-CN"/>
        </w:rPr>
        <w:t>钢渣粉</w:t>
      </w:r>
      <w:r>
        <w:rPr>
          <w:rFonts w:hint="eastAsia" w:ascii="宋体" w:hAnsi="宋体" w:eastAsia="宋体"/>
          <w:color w:val="000000"/>
          <w:kern w:val="24"/>
          <w:sz w:val="24"/>
          <w:szCs w:val="24"/>
          <w:highlight w:val="none"/>
        </w:rPr>
        <w:t>混凝土尚未</w:t>
      </w:r>
      <w:r>
        <w:rPr>
          <w:rFonts w:hint="eastAsia" w:ascii="宋体" w:hAnsi="宋体" w:eastAsia="宋体"/>
          <w:color w:val="000000"/>
          <w:kern w:val="24"/>
          <w:sz w:val="24"/>
          <w:szCs w:val="24"/>
          <w:highlight w:val="none"/>
          <w:lang w:val="en-US" w:eastAsia="zh-CN"/>
        </w:rPr>
        <w:t>实现</w:t>
      </w:r>
      <w:r>
        <w:rPr>
          <w:rFonts w:hint="eastAsia" w:ascii="宋体" w:hAnsi="宋体" w:eastAsia="宋体"/>
          <w:color w:val="000000"/>
          <w:kern w:val="24"/>
          <w:sz w:val="24"/>
          <w:szCs w:val="24"/>
          <w:highlight w:val="none"/>
        </w:rPr>
        <w:t>大规模产业化</w:t>
      </w:r>
      <w:r>
        <w:rPr>
          <w:rFonts w:hint="eastAsia" w:ascii="宋体" w:hAnsi="宋体" w:eastAsia="宋体"/>
          <w:color w:val="000000"/>
          <w:kern w:val="24"/>
          <w:sz w:val="24"/>
          <w:szCs w:val="24"/>
          <w:highlight w:val="none"/>
          <w:lang w:val="en-US" w:eastAsia="zh-CN"/>
        </w:rPr>
        <w:t>应用</w:t>
      </w:r>
      <w:r>
        <w:rPr>
          <w:rFonts w:hint="eastAsia" w:ascii="宋体" w:hAnsi="宋体" w:eastAsia="宋体"/>
          <w:color w:val="000000"/>
          <w:kern w:val="24"/>
          <w:sz w:val="24"/>
          <w:szCs w:val="24"/>
          <w:highlight w:val="none"/>
        </w:rPr>
        <w:t>。许多混凝土生产</w:t>
      </w:r>
      <w:r>
        <w:rPr>
          <w:rFonts w:hint="eastAsia" w:ascii="宋体" w:hAnsi="宋体" w:eastAsia="宋体"/>
          <w:color w:val="000000"/>
          <w:kern w:val="24"/>
          <w:sz w:val="24"/>
          <w:szCs w:val="24"/>
          <w:highlight w:val="none"/>
          <w:lang w:val="en-US" w:eastAsia="zh-CN"/>
        </w:rPr>
        <w:t>和施工</w:t>
      </w:r>
      <w:r>
        <w:rPr>
          <w:rFonts w:hint="eastAsia" w:ascii="宋体" w:hAnsi="宋体" w:eastAsia="宋体"/>
          <w:color w:val="000000"/>
          <w:kern w:val="24"/>
          <w:sz w:val="24"/>
          <w:szCs w:val="24"/>
          <w:highlight w:val="none"/>
        </w:rPr>
        <w:t>企业对其性能和应用方式还没有充分的认识，且技术不成熟、市场接受度较低，制约了产业化进程。</w:t>
      </w:r>
    </w:p>
    <w:p>
      <w:pPr>
        <w:pStyle w:val="44"/>
        <w:widowControl/>
        <w:spacing w:line="360" w:lineRule="auto"/>
        <w:ind w:firstLine="480"/>
        <w:rPr>
          <w:rFonts w:hint="eastAsia" w:ascii="宋体" w:hAnsi="宋体" w:eastAsia="宋体"/>
          <w:color w:val="000000"/>
          <w:kern w:val="24"/>
          <w:sz w:val="24"/>
          <w:szCs w:val="24"/>
          <w:highlight w:val="none"/>
        </w:rPr>
      </w:pPr>
      <w:r>
        <w:rPr>
          <w:rFonts w:hint="eastAsia" w:ascii="宋体" w:hAnsi="宋体" w:eastAsia="宋体"/>
          <w:color w:val="000000"/>
          <w:kern w:val="24"/>
          <w:sz w:val="24"/>
          <w:szCs w:val="24"/>
          <w:highlight w:val="none"/>
        </w:rPr>
        <w:t>编制</w:t>
      </w:r>
      <w:r>
        <w:rPr>
          <w:rFonts w:hint="eastAsia" w:ascii="宋体" w:hAnsi="宋体" w:eastAsia="宋体"/>
          <w:color w:val="000000"/>
          <w:kern w:val="24"/>
          <w:sz w:val="24"/>
          <w:szCs w:val="24"/>
          <w:highlight w:val="none"/>
          <w:lang w:val="en-US" w:eastAsia="zh-CN"/>
        </w:rPr>
        <w:t>行业</w:t>
      </w:r>
      <w:r>
        <w:rPr>
          <w:rFonts w:hint="eastAsia" w:ascii="宋体" w:hAnsi="宋体" w:eastAsia="宋体"/>
          <w:color w:val="000000"/>
          <w:kern w:val="24"/>
          <w:sz w:val="24"/>
          <w:szCs w:val="24"/>
          <w:highlight w:val="none"/>
        </w:rPr>
        <w:t>标准《</w:t>
      </w:r>
      <w:r>
        <w:rPr>
          <w:rFonts w:hint="eastAsia" w:ascii="宋体" w:hAnsi="宋体" w:eastAsia="宋体"/>
          <w:color w:val="000000"/>
          <w:kern w:val="24"/>
          <w:sz w:val="24"/>
          <w:szCs w:val="24"/>
          <w:highlight w:val="none"/>
          <w:lang w:eastAsia="zh-CN"/>
        </w:rPr>
        <w:t>钢渣粉在混凝土中应用技术规范</w:t>
      </w:r>
      <w:r>
        <w:rPr>
          <w:rFonts w:hint="eastAsia" w:ascii="宋体" w:hAnsi="宋体" w:eastAsia="宋体"/>
          <w:color w:val="000000"/>
          <w:kern w:val="24"/>
          <w:sz w:val="24"/>
          <w:szCs w:val="24"/>
          <w:highlight w:val="none"/>
        </w:rPr>
        <w:t>》对于促进</w:t>
      </w:r>
      <w:r>
        <w:rPr>
          <w:rFonts w:hint="eastAsia" w:ascii="宋体" w:hAnsi="宋体" w:eastAsia="宋体"/>
          <w:color w:val="000000"/>
          <w:kern w:val="24"/>
          <w:sz w:val="24"/>
          <w:szCs w:val="24"/>
          <w:highlight w:val="none"/>
          <w:lang w:eastAsia="zh-CN"/>
        </w:rPr>
        <w:t>钢渣粉</w:t>
      </w:r>
      <w:r>
        <w:rPr>
          <w:rFonts w:hint="eastAsia" w:ascii="宋体" w:hAnsi="宋体" w:eastAsia="宋体"/>
          <w:color w:val="000000"/>
          <w:kern w:val="24"/>
          <w:sz w:val="24"/>
          <w:szCs w:val="24"/>
          <w:highlight w:val="none"/>
        </w:rPr>
        <w:t>混凝土的产业化发展具有重要作用，主要体现在以下几个方面：</w:t>
      </w:r>
    </w:p>
    <w:p>
      <w:pPr>
        <w:pStyle w:val="44"/>
        <w:widowControl/>
        <w:spacing w:line="360" w:lineRule="auto"/>
        <w:ind w:firstLine="480"/>
        <w:rPr>
          <w:rFonts w:hint="eastAsia" w:ascii="宋体" w:hAnsi="宋体" w:eastAsia="宋体"/>
          <w:color w:val="000000"/>
          <w:kern w:val="24"/>
          <w:sz w:val="24"/>
          <w:szCs w:val="24"/>
          <w:highlight w:val="none"/>
        </w:rPr>
      </w:pPr>
      <w:r>
        <w:rPr>
          <w:rFonts w:hint="eastAsia" w:ascii="宋体" w:hAnsi="宋体" w:eastAsia="宋体"/>
          <w:color w:val="000000"/>
          <w:kern w:val="24"/>
          <w:sz w:val="24"/>
          <w:szCs w:val="24"/>
          <w:highlight w:val="none"/>
        </w:rPr>
        <w:t>推动技术进步：标准的制定将推动企业在</w:t>
      </w:r>
      <w:r>
        <w:rPr>
          <w:rFonts w:hint="eastAsia" w:ascii="宋体" w:hAnsi="宋体" w:eastAsia="宋体"/>
          <w:color w:val="000000"/>
          <w:kern w:val="24"/>
          <w:sz w:val="24"/>
          <w:szCs w:val="24"/>
          <w:highlight w:val="none"/>
          <w:lang w:val="en-US" w:eastAsia="zh-CN"/>
        </w:rPr>
        <w:t>钢渣粉</w:t>
      </w:r>
      <w:r>
        <w:rPr>
          <w:rFonts w:hint="eastAsia" w:ascii="宋体" w:hAnsi="宋体" w:eastAsia="宋体"/>
          <w:color w:val="000000"/>
          <w:kern w:val="24"/>
          <w:sz w:val="24"/>
          <w:szCs w:val="24"/>
          <w:highlight w:val="none"/>
        </w:rPr>
        <w:t>混凝土</w:t>
      </w:r>
      <w:r>
        <w:rPr>
          <w:rFonts w:hint="eastAsia" w:ascii="宋体" w:hAnsi="宋体" w:eastAsia="宋体"/>
          <w:color w:val="000000"/>
          <w:kern w:val="24"/>
          <w:sz w:val="24"/>
          <w:szCs w:val="24"/>
          <w:highlight w:val="none"/>
          <w:lang w:val="en-US" w:eastAsia="zh-CN"/>
        </w:rPr>
        <w:t>制备及应用</w:t>
      </w:r>
      <w:r>
        <w:rPr>
          <w:rFonts w:hint="eastAsia" w:ascii="宋体" w:hAnsi="宋体" w:eastAsia="宋体"/>
          <w:color w:val="000000"/>
          <w:kern w:val="24"/>
          <w:sz w:val="24"/>
          <w:szCs w:val="24"/>
          <w:highlight w:val="none"/>
        </w:rPr>
        <w:t>方面的技术研究与创新。不仅有助于提高</w:t>
      </w:r>
      <w:r>
        <w:rPr>
          <w:rFonts w:hint="eastAsia" w:ascii="宋体" w:hAnsi="宋体" w:eastAsia="宋体"/>
          <w:color w:val="000000"/>
          <w:kern w:val="24"/>
          <w:sz w:val="24"/>
          <w:szCs w:val="24"/>
          <w:highlight w:val="none"/>
          <w:lang w:val="en-US" w:eastAsia="zh-CN"/>
        </w:rPr>
        <w:t>钢渣粉</w:t>
      </w:r>
      <w:r>
        <w:rPr>
          <w:rFonts w:hint="eastAsia" w:ascii="宋体" w:hAnsi="宋体" w:eastAsia="宋体"/>
          <w:color w:val="000000"/>
          <w:kern w:val="24"/>
          <w:sz w:val="24"/>
          <w:szCs w:val="24"/>
          <w:highlight w:val="none"/>
        </w:rPr>
        <w:t>混凝土的性能，还能够进一步降低生产成本，推动行业在原材料替代和绿色建材领域的技术进步。</w:t>
      </w:r>
    </w:p>
    <w:p>
      <w:pPr>
        <w:pStyle w:val="44"/>
        <w:widowControl/>
        <w:spacing w:line="360" w:lineRule="auto"/>
        <w:ind w:firstLine="480"/>
        <w:rPr>
          <w:rFonts w:hint="eastAsia" w:ascii="宋体" w:hAnsi="宋体" w:eastAsia="宋体"/>
          <w:color w:val="000000"/>
          <w:kern w:val="24"/>
          <w:sz w:val="24"/>
          <w:szCs w:val="24"/>
          <w:highlight w:val="none"/>
        </w:rPr>
      </w:pPr>
      <w:r>
        <w:rPr>
          <w:rFonts w:hint="eastAsia" w:ascii="宋体" w:hAnsi="宋体" w:eastAsia="宋体"/>
          <w:color w:val="000000"/>
          <w:kern w:val="24"/>
          <w:sz w:val="24"/>
          <w:szCs w:val="24"/>
          <w:highlight w:val="none"/>
        </w:rPr>
        <w:t>提高市场认可度：制定行业标准将为</w:t>
      </w:r>
      <w:r>
        <w:rPr>
          <w:rFonts w:hint="eastAsia" w:ascii="宋体" w:hAnsi="宋体" w:eastAsia="宋体"/>
          <w:color w:val="000000"/>
          <w:kern w:val="24"/>
          <w:sz w:val="24"/>
          <w:szCs w:val="24"/>
          <w:highlight w:val="none"/>
          <w:lang w:val="en-US" w:eastAsia="zh-CN"/>
        </w:rPr>
        <w:t>钢渣粉</w:t>
      </w:r>
      <w:r>
        <w:rPr>
          <w:rFonts w:hint="eastAsia" w:ascii="宋体" w:hAnsi="宋体" w:eastAsia="宋体"/>
          <w:color w:val="000000"/>
          <w:kern w:val="24"/>
          <w:sz w:val="24"/>
          <w:szCs w:val="24"/>
          <w:highlight w:val="none"/>
        </w:rPr>
        <w:t>在混凝土中的应用提供权威性保障，增强市场对其应用效果和性能的信任，促使更多的建筑商、工程单位和设计单位认可</w:t>
      </w:r>
      <w:r>
        <w:rPr>
          <w:rFonts w:hint="eastAsia" w:ascii="宋体" w:hAnsi="宋体" w:eastAsia="宋体"/>
          <w:color w:val="000000"/>
          <w:kern w:val="24"/>
          <w:sz w:val="24"/>
          <w:szCs w:val="24"/>
          <w:highlight w:val="none"/>
          <w:lang w:val="en-US" w:eastAsia="zh-CN"/>
        </w:rPr>
        <w:t>钢渣粉</w:t>
      </w:r>
      <w:r>
        <w:rPr>
          <w:rFonts w:hint="eastAsia" w:ascii="宋体" w:hAnsi="宋体" w:eastAsia="宋体"/>
          <w:color w:val="000000"/>
          <w:kern w:val="24"/>
          <w:sz w:val="24"/>
          <w:szCs w:val="24"/>
          <w:highlight w:val="none"/>
        </w:rPr>
        <w:t>的应用价值。这将推动市场的接受度，促进</w:t>
      </w:r>
      <w:r>
        <w:rPr>
          <w:rFonts w:hint="eastAsia" w:ascii="宋体" w:hAnsi="宋体" w:eastAsia="宋体"/>
          <w:color w:val="000000"/>
          <w:kern w:val="24"/>
          <w:sz w:val="24"/>
          <w:szCs w:val="24"/>
          <w:highlight w:val="none"/>
          <w:lang w:val="en-US" w:eastAsia="zh-CN"/>
        </w:rPr>
        <w:t>钢渣粉</w:t>
      </w:r>
      <w:r>
        <w:rPr>
          <w:rFonts w:hint="eastAsia" w:ascii="宋体" w:hAnsi="宋体" w:eastAsia="宋体"/>
          <w:color w:val="000000"/>
          <w:kern w:val="24"/>
          <w:sz w:val="24"/>
          <w:szCs w:val="24"/>
          <w:highlight w:val="none"/>
        </w:rPr>
        <w:t>在更大规模的项目中得到应用。</w:t>
      </w:r>
    </w:p>
    <w:p>
      <w:pPr>
        <w:pStyle w:val="44"/>
        <w:widowControl/>
        <w:spacing w:line="360" w:lineRule="auto"/>
        <w:ind w:firstLine="480"/>
        <w:rPr>
          <w:rFonts w:hint="eastAsia" w:ascii="宋体" w:hAnsi="宋体" w:eastAsia="宋体"/>
          <w:color w:val="000000"/>
          <w:kern w:val="24"/>
          <w:sz w:val="24"/>
          <w:szCs w:val="24"/>
          <w:highlight w:val="none"/>
        </w:rPr>
      </w:pPr>
      <w:r>
        <w:rPr>
          <w:rFonts w:hint="eastAsia" w:ascii="宋体" w:hAnsi="宋体" w:eastAsia="宋体"/>
          <w:color w:val="000000"/>
          <w:kern w:val="24"/>
          <w:sz w:val="24"/>
          <w:szCs w:val="24"/>
          <w:highlight w:val="none"/>
        </w:rPr>
        <w:t>规范</w:t>
      </w:r>
      <w:r>
        <w:rPr>
          <w:rFonts w:hint="eastAsia" w:ascii="宋体" w:hAnsi="宋体" w:eastAsia="宋体"/>
          <w:color w:val="000000"/>
          <w:kern w:val="24"/>
          <w:sz w:val="24"/>
          <w:szCs w:val="24"/>
          <w:highlight w:val="none"/>
          <w:lang w:val="en-US" w:eastAsia="zh-CN"/>
        </w:rPr>
        <w:t>产品使用</w:t>
      </w:r>
      <w:r>
        <w:rPr>
          <w:rFonts w:hint="eastAsia" w:ascii="宋体" w:hAnsi="宋体" w:eastAsia="宋体"/>
          <w:color w:val="000000"/>
          <w:kern w:val="24"/>
          <w:sz w:val="24"/>
          <w:szCs w:val="24"/>
          <w:highlight w:val="none"/>
        </w:rPr>
        <w:t>：</w:t>
      </w:r>
      <w:r>
        <w:rPr>
          <w:rFonts w:ascii="宋体" w:hAnsi="宋体" w:eastAsia="宋体" w:cs="宋体"/>
          <w:sz w:val="24"/>
          <w:szCs w:val="24"/>
          <w:highlight w:val="none"/>
        </w:rPr>
        <w:t>有助于规范</w:t>
      </w:r>
      <w:r>
        <w:rPr>
          <w:rFonts w:hint="eastAsia" w:ascii="宋体" w:hAnsi="宋体" w:eastAsia="宋体"/>
          <w:color w:val="000000"/>
          <w:kern w:val="24"/>
          <w:sz w:val="24"/>
          <w:szCs w:val="24"/>
          <w:highlight w:val="none"/>
          <w:lang w:val="en-US" w:eastAsia="zh-CN"/>
        </w:rPr>
        <w:t>钢渣粉</w:t>
      </w:r>
      <w:r>
        <w:rPr>
          <w:rFonts w:ascii="宋体" w:hAnsi="宋体" w:eastAsia="宋体" w:cs="宋体"/>
          <w:sz w:val="24"/>
          <w:szCs w:val="24"/>
          <w:highlight w:val="none"/>
        </w:rPr>
        <w:t>及其在混凝土中的应用，明确</w:t>
      </w:r>
      <w:r>
        <w:rPr>
          <w:rFonts w:hint="eastAsia" w:ascii="宋体" w:hAnsi="宋体" w:eastAsia="宋体"/>
          <w:color w:val="000000"/>
          <w:kern w:val="24"/>
          <w:sz w:val="24"/>
          <w:szCs w:val="24"/>
          <w:highlight w:val="none"/>
          <w:lang w:val="en-US" w:eastAsia="zh-CN"/>
        </w:rPr>
        <w:t>钢渣粉</w:t>
      </w:r>
      <w:r>
        <w:rPr>
          <w:rFonts w:ascii="宋体" w:hAnsi="宋体" w:eastAsia="宋体" w:cs="宋体"/>
          <w:sz w:val="24"/>
          <w:szCs w:val="24"/>
          <w:highlight w:val="none"/>
        </w:rPr>
        <w:t>质量要求、使用</w:t>
      </w:r>
      <w:r>
        <w:rPr>
          <w:rFonts w:hint="eastAsia" w:ascii="宋体" w:hAnsi="宋体" w:eastAsia="宋体" w:cs="宋体"/>
          <w:sz w:val="24"/>
          <w:szCs w:val="24"/>
          <w:highlight w:val="none"/>
          <w:lang w:val="en-US" w:eastAsia="zh-CN"/>
        </w:rPr>
        <w:t>掺量及混凝土</w:t>
      </w:r>
      <w:r>
        <w:rPr>
          <w:rFonts w:ascii="宋体" w:hAnsi="宋体" w:eastAsia="宋体" w:cs="宋体"/>
          <w:sz w:val="24"/>
          <w:szCs w:val="24"/>
          <w:highlight w:val="none"/>
        </w:rPr>
        <w:t>配合比设计</w:t>
      </w:r>
      <w:r>
        <w:rPr>
          <w:rFonts w:hint="eastAsia" w:ascii="宋体" w:hAnsi="宋体" w:eastAsia="宋体" w:cs="宋体"/>
          <w:sz w:val="24"/>
          <w:szCs w:val="24"/>
          <w:highlight w:val="none"/>
          <w:lang w:val="en-US" w:eastAsia="zh-CN"/>
        </w:rPr>
        <w:t>及施工工艺</w:t>
      </w:r>
      <w:r>
        <w:rPr>
          <w:rFonts w:ascii="宋体" w:hAnsi="宋体" w:eastAsia="宋体" w:cs="宋体"/>
          <w:sz w:val="24"/>
          <w:szCs w:val="24"/>
          <w:highlight w:val="none"/>
        </w:rPr>
        <w:t>。通过制定统一的技术规范，能够指导生产企业和施工单位在实际应用中遵循</w:t>
      </w:r>
      <w:r>
        <w:rPr>
          <w:rFonts w:hint="eastAsia" w:ascii="宋体" w:hAnsi="宋体" w:eastAsia="宋体" w:cs="宋体"/>
          <w:sz w:val="24"/>
          <w:szCs w:val="24"/>
          <w:highlight w:val="none"/>
          <w:lang w:val="en-US" w:eastAsia="zh-CN"/>
        </w:rPr>
        <w:t>标准要求</w:t>
      </w:r>
      <w:r>
        <w:rPr>
          <w:rFonts w:ascii="宋体" w:hAnsi="宋体" w:eastAsia="宋体" w:cs="宋体"/>
          <w:sz w:val="24"/>
          <w:szCs w:val="24"/>
          <w:highlight w:val="none"/>
        </w:rPr>
        <w:t>，从而提升</w:t>
      </w:r>
      <w:r>
        <w:rPr>
          <w:rFonts w:hint="eastAsia" w:ascii="宋体" w:hAnsi="宋体" w:eastAsia="宋体"/>
          <w:color w:val="000000"/>
          <w:kern w:val="24"/>
          <w:sz w:val="24"/>
          <w:szCs w:val="24"/>
          <w:highlight w:val="none"/>
          <w:lang w:val="en-US" w:eastAsia="zh-CN"/>
        </w:rPr>
        <w:t>钢渣粉</w:t>
      </w:r>
      <w:r>
        <w:rPr>
          <w:rFonts w:ascii="宋体" w:hAnsi="宋体" w:eastAsia="宋体" w:cs="宋体"/>
          <w:sz w:val="24"/>
          <w:szCs w:val="24"/>
          <w:highlight w:val="none"/>
        </w:rPr>
        <w:t>混凝土的质量，确保其在不同工程环境下的适用性和耐久性，推动其广泛应用。</w:t>
      </w:r>
    </w:p>
    <w:p>
      <w:pPr>
        <w:pStyle w:val="44"/>
        <w:widowControl/>
        <w:spacing w:line="360" w:lineRule="auto"/>
        <w:ind w:firstLine="480"/>
        <w:rPr>
          <w:rFonts w:hint="eastAsia" w:ascii="宋体" w:hAnsi="宋体" w:eastAsia="宋体"/>
          <w:color w:val="000000"/>
          <w:kern w:val="24"/>
          <w:sz w:val="24"/>
          <w:szCs w:val="24"/>
          <w:highlight w:val="none"/>
        </w:rPr>
      </w:pPr>
      <w:r>
        <w:rPr>
          <w:rFonts w:hint="eastAsia" w:ascii="宋体" w:hAnsi="宋体" w:eastAsia="宋体"/>
          <w:color w:val="000000"/>
          <w:kern w:val="24"/>
          <w:sz w:val="24"/>
          <w:szCs w:val="24"/>
          <w:highlight w:val="none"/>
        </w:rPr>
        <w:t>促进资源回收与环保：随着行业标准的实施，</w:t>
      </w:r>
      <w:r>
        <w:rPr>
          <w:rFonts w:hint="eastAsia" w:ascii="宋体" w:hAnsi="宋体" w:eastAsia="宋体"/>
          <w:color w:val="000000"/>
          <w:kern w:val="24"/>
          <w:sz w:val="24"/>
          <w:szCs w:val="24"/>
          <w:highlight w:val="none"/>
          <w:lang w:val="en-US" w:eastAsia="zh-CN"/>
        </w:rPr>
        <w:t>钢渣粉</w:t>
      </w:r>
      <w:r>
        <w:rPr>
          <w:rFonts w:hint="eastAsia" w:ascii="宋体" w:hAnsi="宋体" w:eastAsia="宋体"/>
          <w:color w:val="000000"/>
          <w:kern w:val="24"/>
          <w:sz w:val="24"/>
          <w:szCs w:val="24"/>
          <w:highlight w:val="none"/>
        </w:rPr>
        <w:t>的生产和应用将逐步规模化，有效推动</w:t>
      </w:r>
      <w:r>
        <w:rPr>
          <w:rFonts w:hint="eastAsia" w:ascii="宋体" w:hAnsi="宋体" w:eastAsia="宋体"/>
          <w:color w:val="000000"/>
          <w:kern w:val="24"/>
          <w:sz w:val="24"/>
          <w:szCs w:val="24"/>
          <w:highlight w:val="none"/>
          <w:lang w:val="en-US" w:eastAsia="zh-CN"/>
        </w:rPr>
        <w:t>钢渣粉</w:t>
      </w:r>
      <w:r>
        <w:rPr>
          <w:rFonts w:hint="eastAsia" w:ascii="宋体" w:hAnsi="宋体" w:eastAsia="宋体"/>
          <w:color w:val="000000"/>
          <w:kern w:val="24"/>
          <w:sz w:val="24"/>
          <w:szCs w:val="24"/>
          <w:highlight w:val="none"/>
        </w:rPr>
        <w:t>的回收利用</w:t>
      </w:r>
      <w:r>
        <w:rPr>
          <w:rFonts w:hint="eastAsia" w:ascii="宋体" w:hAnsi="宋体" w:eastAsia="宋体"/>
          <w:color w:val="000000"/>
          <w:kern w:val="24"/>
          <w:sz w:val="24"/>
          <w:szCs w:val="24"/>
          <w:highlight w:val="none"/>
          <w:lang w:eastAsia="zh-CN"/>
        </w:rPr>
        <w:t>，</w:t>
      </w:r>
      <w:r>
        <w:rPr>
          <w:rFonts w:hint="eastAsia" w:ascii="宋体" w:hAnsi="宋体" w:eastAsia="宋体"/>
          <w:color w:val="000000"/>
          <w:kern w:val="24"/>
          <w:sz w:val="24"/>
          <w:szCs w:val="24"/>
          <w:highlight w:val="none"/>
        </w:rPr>
        <w:t>符合绿色</w:t>
      </w:r>
      <w:r>
        <w:rPr>
          <w:rFonts w:hint="eastAsia" w:ascii="宋体" w:hAnsi="宋体" w:eastAsia="宋体"/>
          <w:color w:val="000000"/>
          <w:kern w:val="24"/>
          <w:sz w:val="24"/>
          <w:szCs w:val="24"/>
          <w:highlight w:val="none"/>
          <w:lang w:val="en-US" w:eastAsia="zh-CN"/>
        </w:rPr>
        <w:t>低碳</w:t>
      </w:r>
      <w:r>
        <w:rPr>
          <w:rFonts w:hint="eastAsia" w:ascii="宋体" w:hAnsi="宋体" w:eastAsia="宋体"/>
          <w:color w:val="000000"/>
          <w:kern w:val="24"/>
          <w:sz w:val="24"/>
          <w:szCs w:val="24"/>
          <w:highlight w:val="none"/>
        </w:rPr>
        <w:t>和可持续发展的战略目标。</w:t>
      </w:r>
    </w:p>
    <w:p>
      <w:pPr>
        <w:pStyle w:val="44"/>
        <w:widowControl/>
        <w:spacing w:line="360" w:lineRule="auto"/>
        <w:ind w:firstLine="480"/>
        <w:rPr>
          <w:rFonts w:hint="eastAsia" w:ascii="宋体" w:hAnsi="宋体" w:eastAsia="宋体"/>
          <w:b/>
          <w:bCs/>
          <w:color w:val="000000"/>
          <w:kern w:val="24"/>
          <w:sz w:val="24"/>
          <w:szCs w:val="24"/>
          <w:highlight w:val="none"/>
        </w:rPr>
      </w:pPr>
      <w:r>
        <w:rPr>
          <w:rFonts w:hint="eastAsia" w:ascii="宋体" w:hAnsi="宋体" w:eastAsia="宋体"/>
          <w:b/>
          <w:bCs/>
          <w:color w:val="000000"/>
          <w:kern w:val="24"/>
          <w:sz w:val="24"/>
          <w:szCs w:val="24"/>
          <w:highlight w:val="none"/>
        </w:rPr>
        <w:t>推广应用论证：</w:t>
      </w:r>
    </w:p>
    <w:p>
      <w:pPr>
        <w:pStyle w:val="44"/>
        <w:widowControl/>
        <w:spacing w:line="360" w:lineRule="auto"/>
        <w:ind w:firstLine="480"/>
        <w:rPr>
          <w:rFonts w:hint="eastAsia" w:ascii="宋体" w:hAnsi="宋体" w:eastAsia="宋体"/>
          <w:color w:val="000000"/>
          <w:kern w:val="24"/>
          <w:sz w:val="24"/>
          <w:szCs w:val="24"/>
          <w:highlight w:val="none"/>
        </w:rPr>
      </w:pPr>
      <w:r>
        <w:rPr>
          <w:rFonts w:hint="eastAsia" w:ascii="宋体" w:hAnsi="宋体" w:eastAsia="宋体"/>
          <w:color w:val="000000"/>
          <w:kern w:val="24"/>
          <w:sz w:val="24"/>
          <w:szCs w:val="24"/>
          <w:highlight w:val="none"/>
        </w:rPr>
        <w:t>通过文献调研和验证试验，已</w:t>
      </w:r>
      <w:r>
        <w:rPr>
          <w:rFonts w:hint="eastAsia" w:ascii="宋体" w:hAnsi="宋体" w:eastAsia="宋体"/>
          <w:color w:val="000000"/>
          <w:kern w:val="24"/>
          <w:sz w:val="24"/>
          <w:szCs w:val="24"/>
          <w:highlight w:val="none"/>
          <w:lang w:val="en-US" w:eastAsia="zh-CN"/>
        </w:rPr>
        <w:t>表明钢渣粉作为矿物掺合料</w:t>
      </w:r>
      <w:r>
        <w:rPr>
          <w:rFonts w:hint="eastAsia" w:ascii="宋体" w:hAnsi="宋体" w:eastAsia="宋体"/>
          <w:color w:val="000000"/>
          <w:kern w:val="24"/>
          <w:sz w:val="24"/>
          <w:szCs w:val="24"/>
          <w:highlight w:val="none"/>
        </w:rPr>
        <w:t>可有效改善混凝土</w:t>
      </w:r>
      <w:r>
        <w:rPr>
          <w:rFonts w:hint="eastAsia" w:ascii="宋体" w:hAnsi="宋体" w:eastAsia="宋体"/>
          <w:color w:val="000000"/>
          <w:kern w:val="24"/>
          <w:sz w:val="24"/>
          <w:szCs w:val="24"/>
          <w:highlight w:val="none"/>
          <w:lang w:val="en-US" w:eastAsia="zh-CN"/>
        </w:rPr>
        <w:t>性能</w:t>
      </w:r>
      <w:r>
        <w:rPr>
          <w:rFonts w:hint="eastAsia" w:ascii="宋体" w:hAnsi="宋体" w:eastAsia="宋体"/>
          <w:color w:val="000000"/>
          <w:kern w:val="24"/>
          <w:sz w:val="24"/>
          <w:szCs w:val="24"/>
          <w:highlight w:val="none"/>
        </w:rPr>
        <w:t>等，</w:t>
      </w:r>
      <w:r>
        <w:rPr>
          <w:rFonts w:hint="eastAsia" w:ascii="宋体" w:hAnsi="宋体" w:eastAsia="宋体"/>
          <w:color w:val="000000"/>
          <w:kern w:val="24"/>
          <w:sz w:val="24"/>
          <w:szCs w:val="24"/>
          <w:highlight w:val="none"/>
          <w:lang w:val="en-US" w:eastAsia="zh-CN"/>
        </w:rPr>
        <w:t>且降低成本</w:t>
      </w:r>
      <w:r>
        <w:rPr>
          <w:rFonts w:hint="eastAsia" w:ascii="宋体" w:hAnsi="宋体" w:eastAsia="宋体"/>
          <w:color w:val="000000"/>
          <w:kern w:val="24"/>
          <w:sz w:val="24"/>
          <w:szCs w:val="24"/>
          <w:highlight w:val="none"/>
          <w:lang w:eastAsia="zh-CN"/>
        </w:rPr>
        <w:t>；</w:t>
      </w:r>
      <w:r>
        <w:rPr>
          <w:rFonts w:hint="eastAsia" w:ascii="宋体" w:hAnsi="宋体" w:eastAsia="宋体"/>
          <w:color w:val="000000"/>
          <w:kern w:val="24"/>
          <w:sz w:val="24"/>
          <w:szCs w:val="24"/>
          <w:highlight w:val="none"/>
          <w:lang w:val="en-US" w:eastAsia="zh-CN"/>
        </w:rPr>
        <w:t>同时，钢渣粉的正确使用可以缓解当前传统矿物掺合料紧缺的现状，避免了由于钢渣粉堆积而产生的环境污染；</w:t>
      </w:r>
      <w:r>
        <w:rPr>
          <w:rFonts w:hint="eastAsia" w:ascii="宋体" w:hAnsi="宋体" w:eastAsia="宋体"/>
          <w:color w:val="000000"/>
          <w:kern w:val="24"/>
          <w:sz w:val="24"/>
          <w:szCs w:val="24"/>
          <w:highlight w:val="none"/>
        </w:rPr>
        <w:t>此外，采用</w:t>
      </w:r>
      <w:r>
        <w:rPr>
          <w:rFonts w:hint="eastAsia" w:ascii="宋体" w:hAnsi="宋体" w:eastAsia="宋体"/>
          <w:color w:val="000000"/>
          <w:kern w:val="24"/>
          <w:sz w:val="24"/>
          <w:szCs w:val="24"/>
          <w:highlight w:val="none"/>
          <w:lang w:val="en-US" w:eastAsia="zh-CN"/>
        </w:rPr>
        <w:t>钢渣粉替代部分水泥</w:t>
      </w:r>
      <w:r>
        <w:rPr>
          <w:rFonts w:hint="eastAsia" w:ascii="宋体" w:hAnsi="宋体" w:eastAsia="宋体"/>
          <w:color w:val="000000"/>
          <w:kern w:val="24"/>
          <w:sz w:val="24"/>
          <w:szCs w:val="24"/>
          <w:highlight w:val="none"/>
        </w:rPr>
        <w:t>还可降低碳排放，减少混凝土生产过程中对环境的影响。因此，推广</w:t>
      </w:r>
      <w:r>
        <w:rPr>
          <w:rFonts w:hint="eastAsia" w:ascii="宋体" w:hAnsi="宋体" w:eastAsia="宋体"/>
          <w:color w:val="000000"/>
          <w:kern w:val="24"/>
          <w:sz w:val="24"/>
          <w:szCs w:val="24"/>
          <w:highlight w:val="none"/>
          <w:lang w:val="en-US" w:eastAsia="zh-CN"/>
        </w:rPr>
        <w:t>钢渣粉</w:t>
      </w:r>
      <w:r>
        <w:rPr>
          <w:rFonts w:hint="eastAsia" w:ascii="宋体" w:hAnsi="宋体" w:eastAsia="宋体"/>
          <w:color w:val="000000"/>
          <w:kern w:val="24"/>
          <w:sz w:val="24"/>
          <w:szCs w:val="24"/>
          <w:highlight w:val="none"/>
        </w:rPr>
        <w:t>在混凝土中的应用，不仅符合行业发展的需求，还有助于推动绿色建材的普及。</w:t>
      </w:r>
    </w:p>
    <w:p>
      <w:pPr>
        <w:pStyle w:val="44"/>
        <w:widowControl/>
        <w:spacing w:line="360" w:lineRule="auto"/>
        <w:ind w:firstLine="480"/>
        <w:rPr>
          <w:rFonts w:hint="eastAsia" w:ascii="宋体" w:hAnsi="宋体" w:eastAsia="宋体"/>
          <w:b/>
          <w:bCs/>
          <w:color w:val="000000"/>
          <w:kern w:val="24"/>
          <w:sz w:val="24"/>
          <w:szCs w:val="24"/>
          <w:highlight w:val="none"/>
          <w:lang w:val="en-US" w:eastAsia="zh-CN"/>
        </w:rPr>
      </w:pPr>
      <w:r>
        <w:rPr>
          <w:rFonts w:hint="eastAsia" w:ascii="宋体" w:hAnsi="宋体" w:eastAsia="宋体"/>
          <w:b/>
          <w:bCs/>
          <w:color w:val="000000"/>
          <w:kern w:val="24"/>
          <w:sz w:val="24"/>
          <w:szCs w:val="24"/>
          <w:highlight w:val="none"/>
          <w:lang w:val="en-US" w:eastAsia="zh-CN"/>
        </w:rPr>
        <w:t>工程案例:</w:t>
      </w:r>
    </w:p>
    <w:p>
      <w:pPr>
        <w:pStyle w:val="44"/>
        <w:widowControl/>
        <w:spacing w:line="360" w:lineRule="auto"/>
        <w:ind w:firstLine="480"/>
        <w:rPr>
          <w:rFonts w:hint="eastAsia" w:ascii="宋体" w:hAnsi="宋体" w:eastAsia="宋体" w:cs="Times New Roman"/>
          <w:color w:val="000000"/>
          <w:kern w:val="24"/>
          <w:sz w:val="24"/>
          <w:szCs w:val="24"/>
          <w:highlight w:val="none"/>
        </w:rPr>
      </w:pPr>
      <w:r>
        <w:rPr>
          <w:rFonts w:hint="eastAsia" w:ascii="宋体" w:hAnsi="宋体" w:eastAsia="宋体" w:cs="Times New Roman"/>
          <w:color w:val="000000"/>
          <w:kern w:val="24"/>
          <w:sz w:val="24"/>
          <w:szCs w:val="24"/>
          <w:highlight w:val="none"/>
        </w:rPr>
        <w:t>项目组在国内多个典型工程中开展了示范应用，涵盖公路、桥梁等领域，取得了良好的技术经济效益。现将部分典型工程案例总结如下：</w:t>
      </w:r>
    </w:p>
    <w:p>
      <w:pPr>
        <w:pStyle w:val="44"/>
        <w:widowControl/>
        <w:numPr>
          <w:ilvl w:val="0"/>
          <w:numId w:val="9"/>
        </w:numPr>
        <w:spacing w:line="360" w:lineRule="auto"/>
        <w:ind w:left="0" w:leftChars="0" w:firstLine="420" w:firstLineChars="0"/>
        <w:rPr>
          <w:rFonts w:hint="default" w:ascii="Times New Roman" w:hAnsi="Times New Roman" w:eastAsia="宋体" w:cs="Times New Roman"/>
          <w:b/>
          <w:bCs/>
          <w:color w:val="000000"/>
          <w:kern w:val="24"/>
          <w:sz w:val="24"/>
          <w:szCs w:val="24"/>
          <w:highlight w:val="none"/>
          <w:lang w:val="en-US" w:eastAsia="zh-CN"/>
        </w:rPr>
      </w:pPr>
      <w:r>
        <w:rPr>
          <w:rFonts w:hint="default" w:ascii="Times New Roman" w:hAnsi="Times New Roman" w:eastAsia="宋体" w:cs="Times New Roman"/>
          <w:b/>
          <w:bCs/>
          <w:color w:val="000000"/>
          <w:kern w:val="24"/>
          <w:sz w:val="24"/>
          <w:szCs w:val="24"/>
          <w:highlight w:val="none"/>
          <w:lang w:val="en-US" w:eastAsia="zh-CN"/>
        </w:rPr>
        <w:t>河北迁安蔡园镇——钢铁公司东门北侧道路工程项目</w:t>
      </w:r>
    </w:p>
    <w:p>
      <w:pPr>
        <w:pStyle w:val="44"/>
        <w:widowControl/>
        <w:spacing w:line="360" w:lineRule="auto"/>
        <w:ind w:firstLine="480"/>
        <w:rPr>
          <w:rFonts w:hint="default" w:ascii="Times New Roman" w:hAnsi="Times New Roman" w:eastAsia="宋体" w:cs="Times New Roman"/>
          <w:color w:val="000000"/>
          <w:kern w:val="24"/>
          <w:sz w:val="24"/>
          <w:szCs w:val="24"/>
          <w:highlight w:val="none"/>
        </w:rPr>
      </w:pPr>
      <w:r>
        <w:rPr>
          <w:rFonts w:hint="default" w:ascii="Times New Roman" w:hAnsi="Times New Roman" w:eastAsia="宋体" w:cs="Times New Roman"/>
          <w:color w:val="000000"/>
          <w:kern w:val="24"/>
          <w:sz w:val="24"/>
          <w:szCs w:val="24"/>
          <w:highlight w:val="none"/>
        </w:rPr>
        <w:t>河北迁安蔡园镇——钢铁公司东门北侧道路工程示范应用道路1km，共计15200平方米路面，混凝土用料4180立方米。</w:t>
      </w:r>
    </w:p>
    <w:p>
      <w:pPr>
        <w:pStyle w:val="44"/>
        <w:widowControl/>
        <w:spacing w:line="360" w:lineRule="auto"/>
        <w:ind w:firstLine="480"/>
        <w:rPr>
          <w:rFonts w:hint="default" w:ascii="Times New Roman" w:hAnsi="Times New Roman" w:eastAsia="宋体" w:cs="Times New Roman"/>
          <w:color w:val="000000"/>
          <w:kern w:val="24"/>
          <w:sz w:val="24"/>
          <w:szCs w:val="24"/>
          <w:highlight w:val="none"/>
        </w:rPr>
      </w:pPr>
      <w:r>
        <w:rPr>
          <w:rFonts w:hint="default" w:ascii="Times New Roman" w:hAnsi="Times New Roman" w:eastAsia="宋体" w:cs="Times New Roman"/>
          <w:color w:val="000000"/>
          <w:kern w:val="24"/>
          <w:sz w:val="24"/>
          <w:szCs w:val="24"/>
          <w:highlight w:val="none"/>
        </w:rPr>
        <w:t>钢渣复合料混凝土技术采用选铁后不需陈化、不用干燥处理、不需粉磨的尾渣直接用作钢渣复合料组成材料，砂粒状钢渣与复合剂组成胶结材，代替水泥，生产不同强度等级和有特定要求的高强度、高抗折性能的钢渣复合混凝土。</w:t>
      </w:r>
    </w:p>
    <w:p>
      <w:pPr>
        <w:pStyle w:val="44"/>
        <w:widowControl/>
        <w:spacing w:line="360" w:lineRule="auto"/>
        <w:ind w:firstLine="480"/>
        <w:rPr>
          <w:rFonts w:hint="default" w:ascii="Times New Roman" w:hAnsi="Times New Roman" w:eastAsia="宋体" w:cs="Times New Roman"/>
          <w:color w:val="000000"/>
          <w:kern w:val="24"/>
          <w:sz w:val="24"/>
          <w:szCs w:val="24"/>
          <w:highlight w:val="none"/>
        </w:rPr>
      </w:pPr>
      <w:r>
        <w:rPr>
          <w:rFonts w:hint="default" w:ascii="Times New Roman" w:hAnsi="Times New Roman" w:eastAsia="宋体" w:cs="Times New Roman"/>
          <w:color w:val="000000"/>
          <w:kern w:val="24"/>
          <w:sz w:val="24"/>
          <w:szCs w:val="24"/>
          <w:highlight w:val="none"/>
        </w:rPr>
        <w:t>经迁安市交通局道路材料测试中心检测，3天抗压强度44.8MPa，抗折9.1MPa。</w:t>
      </w:r>
    </w:p>
    <w:p>
      <w:pPr>
        <w:pStyle w:val="44"/>
        <w:widowControl/>
        <w:numPr>
          <w:ilvl w:val="0"/>
          <w:numId w:val="9"/>
        </w:numPr>
        <w:spacing w:line="360" w:lineRule="auto"/>
        <w:ind w:left="0" w:leftChars="0" w:firstLine="420" w:firstLineChars="0"/>
        <w:rPr>
          <w:rFonts w:hint="default" w:ascii="Times New Roman" w:hAnsi="Times New Roman" w:eastAsia="宋体" w:cs="Times New Roman"/>
          <w:b/>
          <w:bCs/>
          <w:color w:val="000000"/>
          <w:kern w:val="24"/>
          <w:sz w:val="24"/>
          <w:szCs w:val="24"/>
          <w:highlight w:val="none"/>
          <w:lang w:val="en-US" w:eastAsia="zh-CN"/>
        </w:rPr>
      </w:pPr>
      <w:r>
        <w:rPr>
          <w:rFonts w:hint="default" w:ascii="Times New Roman" w:hAnsi="Times New Roman" w:eastAsia="宋体" w:cs="Times New Roman"/>
          <w:b/>
          <w:bCs/>
          <w:color w:val="000000"/>
          <w:kern w:val="24"/>
          <w:sz w:val="24"/>
          <w:szCs w:val="24"/>
          <w:highlight w:val="none"/>
          <w:lang w:val="en-US" w:eastAsia="zh-CN"/>
        </w:rPr>
        <w:t>上海钢渣粉混凝土制备隔离墩</w:t>
      </w:r>
    </w:p>
    <w:p>
      <w:pPr>
        <w:pStyle w:val="44"/>
        <w:widowControl/>
        <w:spacing w:line="360" w:lineRule="auto"/>
        <w:ind w:firstLine="480"/>
        <w:rPr>
          <w:rFonts w:hint="default" w:ascii="Times New Roman" w:hAnsi="Times New Roman" w:eastAsia="宋体" w:cs="Times New Roman"/>
          <w:color w:val="000000"/>
          <w:kern w:val="24"/>
          <w:sz w:val="24"/>
          <w:szCs w:val="24"/>
          <w:highlight w:val="none"/>
          <w:lang w:val="en-US" w:eastAsia="zh-CN"/>
        </w:rPr>
      </w:pPr>
      <w:r>
        <w:rPr>
          <w:rFonts w:hint="default" w:ascii="Times New Roman" w:hAnsi="Times New Roman" w:eastAsia="宋体" w:cs="Times New Roman"/>
          <w:color w:val="000000"/>
          <w:kern w:val="24"/>
          <w:sz w:val="24"/>
          <w:szCs w:val="24"/>
          <w:highlight w:val="none"/>
          <w:lang w:val="en-US" w:eastAsia="zh-CN"/>
        </w:rPr>
        <w:t>上海采用宝钢生产的钢渣粉制备混凝土凝结正常（隔离墩浇筑尺寸：隔离墩长2.0m、高0.8m、上宽0.2m、下宽0.4m，隔离墩数量为100个），拆模后正常养护，性能发展和表观质量基本和普通混凝土相似。交付使用一年后，没有发现爆裂现象，得到各方的认可和鉴定通过。此外，浇筑了部分厂区道路，水下灌注桩，河道挡墙等结构，性能优异。</w:t>
      </w:r>
    </w:p>
    <w:p>
      <w:pPr>
        <w:pStyle w:val="44"/>
        <w:widowControl/>
        <w:spacing w:line="360" w:lineRule="auto"/>
        <w:ind w:firstLine="480"/>
        <w:rPr>
          <w:rFonts w:hint="eastAsia" w:ascii="宋体" w:hAnsi="宋体" w:eastAsia="宋体"/>
          <w:b/>
          <w:bCs/>
          <w:color w:val="000000"/>
          <w:kern w:val="24"/>
          <w:sz w:val="24"/>
          <w:szCs w:val="24"/>
          <w:highlight w:val="none"/>
        </w:rPr>
      </w:pPr>
      <w:r>
        <w:rPr>
          <w:rFonts w:hint="eastAsia" w:ascii="宋体" w:hAnsi="宋体" w:eastAsia="宋体"/>
          <w:b/>
          <w:bCs/>
          <w:color w:val="000000"/>
          <w:kern w:val="24"/>
          <w:sz w:val="24"/>
          <w:szCs w:val="24"/>
          <w:highlight w:val="none"/>
        </w:rPr>
        <w:t>预期达到的经济效果情况：</w:t>
      </w:r>
    </w:p>
    <w:p>
      <w:pPr>
        <w:pStyle w:val="44"/>
        <w:widowControl/>
        <w:spacing w:line="360" w:lineRule="auto"/>
        <w:ind w:firstLine="480"/>
        <w:rPr>
          <w:rFonts w:hint="default" w:ascii="Times New Roman" w:hAnsi="Times New Roman" w:eastAsia="宋体" w:cs="Times New Roman"/>
          <w:color w:val="000000"/>
          <w:kern w:val="24"/>
          <w:sz w:val="24"/>
          <w:szCs w:val="24"/>
          <w:highlight w:val="none"/>
        </w:rPr>
      </w:pPr>
      <w:r>
        <w:rPr>
          <w:rFonts w:hint="default" w:ascii="Times New Roman" w:hAnsi="Times New Roman" w:eastAsia="宋体" w:cs="Times New Roman"/>
          <w:sz w:val="24"/>
          <w:szCs w:val="24"/>
          <w:highlight w:val="none"/>
        </w:rPr>
        <w:t>通过规范</w:t>
      </w:r>
      <w:r>
        <w:rPr>
          <w:rFonts w:hint="default" w:ascii="Times New Roman" w:hAnsi="Times New Roman" w:eastAsia="宋体" w:cs="Times New Roman"/>
          <w:sz w:val="24"/>
          <w:szCs w:val="24"/>
          <w:highlight w:val="none"/>
          <w:lang w:val="en-US" w:eastAsia="zh-CN"/>
        </w:rPr>
        <w:t>钢渣粉</w:t>
      </w:r>
      <w:r>
        <w:rPr>
          <w:rFonts w:hint="default" w:ascii="Times New Roman" w:hAnsi="Times New Roman" w:eastAsia="宋体" w:cs="Times New Roman"/>
          <w:sz w:val="24"/>
          <w:szCs w:val="24"/>
          <w:highlight w:val="none"/>
        </w:rPr>
        <w:t>的合理应用，减少对</w:t>
      </w:r>
      <w:r>
        <w:rPr>
          <w:rFonts w:hint="default" w:ascii="Times New Roman" w:hAnsi="Times New Roman" w:eastAsia="宋体" w:cs="Times New Roman"/>
          <w:sz w:val="24"/>
          <w:szCs w:val="24"/>
          <w:highlight w:val="none"/>
          <w:lang w:val="en-US" w:eastAsia="zh-CN"/>
        </w:rPr>
        <w:t>水泥和传统矿物掺合料（如粉煤灰、矿渣粉等）</w:t>
      </w:r>
      <w:r>
        <w:rPr>
          <w:rFonts w:hint="default" w:ascii="Times New Roman" w:hAnsi="Times New Roman" w:eastAsia="宋体" w:cs="Times New Roman"/>
          <w:sz w:val="24"/>
          <w:szCs w:val="24"/>
          <w:highlight w:val="none"/>
        </w:rPr>
        <w:t>的依赖，推动</w:t>
      </w:r>
      <w:r>
        <w:rPr>
          <w:rFonts w:hint="default" w:ascii="Times New Roman" w:hAnsi="Times New Roman" w:eastAsia="宋体" w:cs="Times New Roman"/>
          <w:sz w:val="24"/>
          <w:szCs w:val="24"/>
          <w:highlight w:val="none"/>
          <w:lang w:val="en-US" w:eastAsia="zh-CN"/>
        </w:rPr>
        <w:t>钢渣粉</w:t>
      </w:r>
      <w:r>
        <w:rPr>
          <w:rFonts w:hint="default" w:ascii="Times New Roman" w:hAnsi="Times New Roman" w:eastAsia="宋体" w:cs="Times New Roman"/>
          <w:sz w:val="24"/>
          <w:szCs w:val="24"/>
          <w:highlight w:val="none"/>
        </w:rPr>
        <w:t>的资源化利用，提高废弃物处理效率</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color w:val="000000"/>
          <w:kern w:val="24"/>
          <w:sz w:val="24"/>
          <w:szCs w:val="24"/>
          <w:highlight w:val="none"/>
        </w:rPr>
        <w:t>减少原材料的采购成本，降低整体混凝土生产成本。根据试验数据和工程反馈，预计</w:t>
      </w:r>
      <w:r>
        <w:rPr>
          <w:rFonts w:hint="default" w:ascii="Times New Roman" w:hAnsi="Times New Roman" w:eastAsia="宋体" w:cs="Times New Roman"/>
          <w:sz w:val="24"/>
          <w:szCs w:val="24"/>
          <w:highlight w:val="none"/>
          <w:lang w:val="en-US" w:eastAsia="zh-CN"/>
        </w:rPr>
        <w:t>钢渣粉</w:t>
      </w:r>
      <w:r>
        <w:rPr>
          <w:rFonts w:hint="default" w:ascii="Times New Roman" w:hAnsi="Times New Roman" w:eastAsia="宋体" w:cs="Times New Roman"/>
          <w:color w:val="000000"/>
          <w:kern w:val="24"/>
          <w:sz w:val="24"/>
          <w:szCs w:val="24"/>
          <w:highlight w:val="none"/>
        </w:rPr>
        <w:t>混凝土的成本降低可达10～20%</w:t>
      </w:r>
      <w:r>
        <w:rPr>
          <w:rFonts w:hint="default" w:ascii="Times New Roman" w:hAnsi="Times New Roman" w:eastAsia="宋体" w:cs="Times New Roman"/>
          <w:color w:val="000000"/>
          <w:kern w:val="24"/>
          <w:sz w:val="24"/>
          <w:szCs w:val="24"/>
          <w:highlight w:val="none"/>
          <w:lang w:eastAsia="zh-CN"/>
        </w:rPr>
        <w:t>。</w:t>
      </w:r>
      <w:r>
        <w:rPr>
          <w:rFonts w:hint="default" w:ascii="Times New Roman" w:hAnsi="Times New Roman" w:eastAsia="宋体" w:cs="Times New Roman"/>
          <w:sz w:val="24"/>
          <w:szCs w:val="24"/>
          <w:highlight w:val="none"/>
        </w:rPr>
        <w:t>此外，标准的实施将优化混凝土配合比设计，提高生产效率，减少施工过程中的浪费和返工，带动相关产业（如矿产加工、混凝土生产、物流等）的发展，形成新的产业链条，推动绿色建筑材料的广泛应用，进而促进地方经济的发展，整体提升社会经济效益。</w:t>
      </w:r>
    </w:p>
    <w:p>
      <w:pPr>
        <w:adjustRightInd w:val="0"/>
        <w:snapToGrid w:val="0"/>
        <w:spacing w:before="156" w:beforeLines="50" w:after="156" w:afterLines="50" w:line="360" w:lineRule="auto"/>
        <w:outlineLvl w:val="0"/>
        <w:rPr>
          <w:rFonts w:hint="eastAsia" w:ascii="黑体" w:hAnsi="黑体" w:eastAsia="黑体"/>
          <w:b/>
          <w:bCs/>
          <w:kern w:val="0"/>
          <w:sz w:val="28"/>
          <w:highlight w:val="none"/>
        </w:rPr>
      </w:pPr>
      <w:bookmarkStart w:id="35" w:name="_Toc26341"/>
      <w:r>
        <w:rPr>
          <w:rFonts w:hint="eastAsia" w:ascii="黑体" w:hAnsi="黑体" w:eastAsia="黑体"/>
          <w:b/>
          <w:bCs/>
          <w:kern w:val="0"/>
          <w:sz w:val="28"/>
          <w:highlight w:val="none"/>
          <w:lang w:val="en-US" w:eastAsia="zh-CN"/>
        </w:rPr>
        <w:t>六</w:t>
      </w:r>
      <w:r>
        <w:rPr>
          <w:rFonts w:hint="eastAsia" w:ascii="黑体" w:hAnsi="黑体" w:eastAsia="黑体"/>
          <w:b/>
          <w:bCs/>
          <w:kern w:val="0"/>
          <w:sz w:val="28"/>
          <w:highlight w:val="none"/>
        </w:rPr>
        <w:t>、采用国际标准和同外先进标准的情况</w:t>
      </w:r>
      <w:bookmarkEnd w:id="35"/>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jc w:val="left"/>
        <w:textAlignment w:val="auto"/>
        <w:rPr>
          <w:rFonts w:hint="eastAsia"/>
          <w:sz w:val="24"/>
          <w:highlight w:val="none"/>
          <w:lang w:eastAsia="zh-CN"/>
        </w:rPr>
      </w:pPr>
      <w:r>
        <w:rPr>
          <w:rFonts w:hint="eastAsia"/>
          <w:sz w:val="24"/>
          <w:highlight w:val="none"/>
          <w:lang w:val="en-US" w:eastAsia="zh-CN"/>
        </w:rPr>
        <w:t>国外没有关于钢渣粉的标准。</w:t>
      </w:r>
    </w:p>
    <w:p>
      <w:pPr>
        <w:adjustRightInd w:val="0"/>
        <w:snapToGrid w:val="0"/>
        <w:spacing w:before="156" w:beforeLines="50" w:after="156" w:afterLines="50" w:line="360" w:lineRule="auto"/>
        <w:outlineLvl w:val="0"/>
        <w:rPr>
          <w:rFonts w:hint="eastAsia" w:ascii="黑体" w:hAnsi="黑体" w:eastAsia="黑体"/>
          <w:b/>
          <w:bCs/>
          <w:kern w:val="0"/>
          <w:sz w:val="28"/>
          <w:highlight w:val="none"/>
        </w:rPr>
      </w:pPr>
      <w:bookmarkStart w:id="36" w:name="_Toc12065"/>
      <w:r>
        <w:rPr>
          <w:rFonts w:hint="eastAsia" w:ascii="黑体" w:hAnsi="黑体" w:eastAsia="黑体"/>
          <w:b/>
          <w:bCs/>
          <w:kern w:val="0"/>
          <w:sz w:val="28"/>
          <w:highlight w:val="none"/>
          <w:lang w:val="en-US" w:eastAsia="zh-CN"/>
        </w:rPr>
        <w:t>七</w:t>
      </w:r>
      <w:r>
        <w:rPr>
          <w:rFonts w:hint="eastAsia" w:ascii="黑体" w:hAnsi="黑体" w:eastAsia="黑体"/>
          <w:b/>
          <w:bCs/>
          <w:kern w:val="0"/>
          <w:sz w:val="28"/>
          <w:highlight w:val="none"/>
        </w:rPr>
        <w:t>、与现行标准的协调性情况</w:t>
      </w:r>
      <w:bookmarkEnd w:id="36"/>
      <w:bookmarkStart w:id="42" w:name="_GoBack"/>
      <w:bookmarkEnd w:id="42"/>
    </w:p>
    <w:p>
      <w:pPr>
        <w:adjustRightInd w:val="0"/>
        <w:snapToGrid w:val="0"/>
        <w:spacing w:line="360" w:lineRule="auto"/>
        <w:ind w:firstLine="482" w:firstLineChars="200"/>
        <w:jc w:val="left"/>
        <w:rPr>
          <w:rFonts w:hint="eastAsia"/>
          <w:b/>
          <w:bCs/>
          <w:sz w:val="24"/>
          <w:highlight w:val="none"/>
        </w:rPr>
      </w:pPr>
      <w:r>
        <w:rPr>
          <w:rFonts w:hint="eastAsia"/>
          <w:b/>
          <w:bCs/>
          <w:sz w:val="24"/>
          <w:highlight w:val="none"/>
        </w:rPr>
        <w:t>现行混凝土用矿物掺合料相关标准有：</w:t>
      </w:r>
    </w:p>
    <w:p>
      <w:pPr>
        <w:numPr>
          <w:ilvl w:val="0"/>
          <w:numId w:val="10"/>
        </w:numPr>
        <w:adjustRightInd w:val="0"/>
        <w:snapToGrid w:val="0"/>
        <w:spacing w:line="360" w:lineRule="auto"/>
        <w:ind w:left="0" w:leftChars="0" w:firstLine="480" w:firstLineChars="200"/>
        <w:jc w:val="left"/>
        <w:rPr>
          <w:rFonts w:hint="default" w:eastAsia="宋体"/>
          <w:sz w:val="24"/>
          <w:highlight w:val="none"/>
          <w:lang w:val="en-US" w:eastAsia="zh-CN"/>
        </w:rPr>
      </w:pPr>
      <w:r>
        <w:rPr>
          <w:rFonts w:hint="eastAsia"/>
          <w:sz w:val="24"/>
          <w:highlight w:val="none"/>
        </w:rPr>
        <w:t>《矿物掺合料应用技术规范》GB/T 51003</w:t>
      </w:r>
    </w:p>
    <w:p>
      <w:pPr>
        <w:numPr>
          <w:ilvl w:val="0"/>
          <w:numId w:val="0"/>
        </w:numPr>
        <w:adjustRightInd w:val="0"/>
        <w:snapToGrid w:val="0"/>
        <w:spacing w:line="360" w:lineRule="auto"/>
        <w:ind w:firstLine="480" w:firstLineChars="200"/>
        <w:jc w:val="left"/>
        <w:rPr>
          <w:rFonts w:hint="default" w:eastAsia="宋体"/>
          <w:sz w:val="24"/>
          <w:highlight w:val="none"/>
          <w:lang w:val="en-US" w:eastAsia="zh-CN"/>
        </w:rPr>
      </w:pPr>
      <w:r>
        <w:rPr>
          <w:rFonts w:hint="eastAsia"/>
          <w:sz w:val="24"/>
          <w:highlight w:val="none"/>
          <w:lang w:eastAsia="zh-CN"/>
        </w:rPr>
        <w:t>（</w:t>
      </w:r>
      <w:r>
        <w:rPr>
          <w:rFonts w:hint="eastAsia"/>
          <w:sz w:val="24"/>
          <w:highlight w:val="none"/>
          <w:lang w:val="en-US" w:eastAsia="zh-CN"/>
        </w:rPr>
        <w:t>该标准涉及的掺合料包括：</w:t>
      </w:r>
      <w:r>
        <w:rPr>
          <w:rFonts w:hint="eastAsia"/>
          <w:sz w:val="24"/>
          <w:highlight w:val="none"/>
        </w:rPr>
        <w:t>粉煤灰、粒化高炉矿渣粉、硅灰、石灰石粉、钢渣粉、磷渣粉、沸石粉、复合矿物掺合料</w:t>
      </w:r>
      <w:r>
        <w:rPr>
          <w:rFonts w:hint="eastAsia"/>
          <w:sz w:val="24"/>
          <w:highlight w:val="none"/>
          <w:lang w:eastAsia="zh-CN"/>
        </w:rPr>
        <w:t>）</w:t>
      </w:r>
      <w:r>
        <w:rPr>
          <w:rFonts w:hint="eastAsia"/>
          <w:sz w:val="24"/>
          <w:highlight w:val="none"/>
          <w:lang w:val="en-US" w:eastAsia="zh-CN"/>
        </w:rPr>
        <w:t>。</w:t>
      </w:r>
    </w:p>
    <w:p>
      <w:pPr>
        <w:numPr>
          <w:ilvl w:val="0"/>
          <w:numId w:val="10"/>
        </w:numPr>
        <w:adjustRightInd w:val="0"/>
        <w:snapToGrid w:val="0"/>
        <w:spacing w:line="360" w:lineRule="auto"/>
        <w:ind w:left="0" w:leftChars="0" w:firstLine="480" w:firstLineChars="200"/>
        <w:jc w:val="left"/>
        <w:rPr>
          <w:rFonts w:hint="eastAsia"/>
          <w:sz w:val="24"/>
          <w:highlight w:val="none"/>
        </w:rPr>
      </w:pPr>
      <w:r>
        <w:rPr>
          <w:rFonts w:hint="eastAsia"/>
          <w:sz w:val="24"/>
          <w:highlight w:val="none"/>
        </w:rPr>
        <w:t>《混凝土用复合矿物掺合料》JG/T 486</w:t>
      </w:r>
    </w:p>
    <w:p>
      <w:pPr>
        <w:numPr>
          <w:ilvl w:val="0"/>
          <w:numId w:val="0"/>
        </w:numPr>
        <w:adjustRightInd w:val="0"/>
        <w:snapToGrid w:val="0"/>
        <w:spacing w:line="360" w:lineRule="auto"/>
        <w:ind w:firstLine="480" w:firstLineChars="200"/>
        <w:jc w:val="left"/>
        <w:rPr>
          <w:rFonts w:hint="eastAsia"/>
          <w:sz w:val="24"/>
          <w:highlight w:val="none"/>
          <w:lang w:eastAsia="zh-CN"/>
        </w:rPr>
      </w:pPr>
      <w:r>
        <w:rPr>
          <w:rFonts w:hint="eastAsia"/>
          <w:sz w:val="24"/>
          <w:highlight w:val="none"/>
          <w:lang w:eastAsia="zh-CN"/>
        </w:rPr>
        <w:t>（</w:t>
      </w:r>
      <w:r>
        <w:rPr>
          <w:rFonts w:hint="eastAsia"/>
          <w:sz w:val="24"/>
          <w:highlight w:val="none"/>
          <w:lang w:val="en-US" w:eastAsia="zh-CN"/>
        </w:rPr>
        <w:t>该标准涉及的掺合料包括：</w:t>
      </w:r>
      <w:r>
        <w:rPr>
          <w:rFonts w:hint="eastAsia"/>
          <w:sz w:val="24"/>
          <w:highlight w:val="none"/>
        </w:rPr>
        <w:t>粉煤灰、粒化高炉矿渣粉、硅灰、磨细火山灰或火山渣、石灰石粉、粒化电炉磷渣、钢渣粉</w:t>
      </w:r>
      <w:r>
        <w:rPr>
          <w:rFonts w:hint="eastAsia"/>
          <w:sz w:val="24"/>
          <w:highlight w:val="none"/>
          <w:lang w:eastAsia="zh-CN"/>
        </w:rPr>
        <w:t>）</w:t>
      </w:r>
    </w:p>
    <w:p>
      <w:pPr>
        <w:numPr>
          <w:ilvl w:val="0"/>
          <w:numId w:val="10"/>
        </w:numPr>
        <w:adjustRightInd w:val="0"/>
        <w:snapToGrid w:val="0"/>
        <w:spacing w:line="360" w:lineRule="auto"/>
        <w:ind w:left="0" w:leftChars="0" w:firstLine="480" w:firstLineChars="200"/>
        <w:jc w:val="left"/>
        <w:rPr>
          <w:rFonts w:hint="eastAsia"/>
          <w:sz w:val="24"/>
          <w:highlight w:val="none"/>
          <w:lang w:eastAsia="zh-CN"/>
        </w:rPr>
      </w:pPr>
      <w:r>
        <w:rPr>
          <w:rFonts w:hint="eastAsia"/>
          <w:sz w:val="24"/>
          <w:highlight w:val="none"/>
          <w:lang w:eastAsia="zh-CN"/>
        </w:rPr>
        <w:t>《用于水泥和混凝土中</w:t>
      </w:r>
      <w:r>
        <w:rPr>
          <w:rFonts w:hint="eastAsia"/>
          <w:sz w:val="24"/>
          <w:highlight w:val="none"/>
          <w:lang w:val="en-US" w:eastAsia="zh-CN"/>
        </w:rPr>
        <w:t>的</w:t>
      </w:r>
      <w:r>
        <w:rPr>
          <w:rFonts w:hint="eastAsia"/>
          <w:sz w:val="24"/>
          <w:highlight w:val="none"/>
          <w:lang w:eastAsia="zh-CN"/>
        </w:rPr>
        <w:t xml:space="preserve">粉煤灰》GB/T </w:t>
      </w:r>
      <w:r>
        <w:rPr>
          <w:rFonts w:hint="eastAsia"/>
          <w:sz w:val="24"/>
          <w:highlight w:val="none"/>
          <w:lang w:val="en-US" w:eastAsia="zh-CN"/>
        </w:rPr>
        <w:t>1596</w:t>
      </w:r>
    </w:p>
    <w:p>
      <w:pPr>
        <w:numPr>
          <w:ilvl w:val="0"/>
          <w:numId w:val="10"/>
        </w:numPr>
        <w:adjustRightInd w:val="0"/>
        <w:snapToGrid w:val="0"/>
        <w:spacing w:line="360" w:lineRule="auto"/>
        <w:ind w:left="0" w:leftChars="0" w:firstLine="480" w:firstLineChars="200"/>
        <w:jc w:val="left"/>
        <w:rPr>
          <w:rFonts w:hint="eastAsia"/>
          <w:sz w:val="24"/>
          <w:highlight w:val="none"/>
          <w:lang w:eastAsia="zh-CN"/>
        </w:rPr>
      </w:pPr>
      <w:r>
        <w:rPr>
          <w:rFonts w:hint="eastAsia"/>
          <w:sz w:val="24"/>
          <w:highlight w:val="none"/>
          <w:lang w:eastAsia="zh-CN"/>
        </w:rPr>
        <w:t>《粉煤灰混凝土应用技术规范》GB/T 50146</w:t>
      </w:r>
    </w:p>
    <w:p>
      <w:pPr>
        <w:numPr>
          <w:ilvl w:val="0"/>
          <w:numId w:val="10"/>
        </w:numPr>
        <w:adjustRightInd w:val="0"/>
        <w:snapToGrid w:val="0"/>
        <w:spacing w:line="360" w:lineRule="auto"/>
        <w:ind w:left="0" w:leftChars="0" w:firstLine="480" w:firstLineChars="200"/>
        <w:jc w:val="left"/>
        <w:rPr>
          <w:rFonts w:hint="eastAsia"/>
          <w:sz w:val="24"/>
          <w:highlight w:val="none"/>
          <w:lang w:eastAsia="zh-CN"/>
        </w:rPr>
      </w:pPr>
      <w:r>
        <w:rPr>
          <w:rFonts w:hint="eastAsia"/>
          <w:sz w:val="24"/>
          <w:highlight w:val="none"/>
          <w:lang w:eastAsia="zh-CN"/>
        </w:rPr>
        <w:t>《用于水泥和混凝土中的粒化高炉矿渣粉》GB/T 18046</w:t>
      </w:r>
    </w:p>
    <w:p>
      <w:pPr>
        <w:numPr>
          <w:ilvl w:val="0"/>
          <w:numId w:val="10"/>
        </w:numPr>
        <w:adjustRightInd w:val="0"/>
        <w:snapToGrid w:val="0"/>
        <w:spacing w:line="360" w:lineRule="auto"/>
        <w:ind w:left="0" w:leftChars="0" w:firstLine="480" w:firstLineChars="200"/>
        <w:jc w:val="left"/>
        <w:rPr>
          <w:rFonts w:hint="eastAsia"/>
          <w:sz w:val="24"/>
          <w:highlight w:val="none"/>
          <w:lang w:eastAsia="zh-CN"/>
        </w:rPr>
      </w:pPr>
      <w:r>
        <w:rPr>
          <w:rFonts w:hint="eastAsia"/>
          <w:sz w:val="24"/>
          <w:highlight w:val="none"/>
          <w:lang w:eastAsia="zh-CN"/>
        </w:rPr>
        <w:t>《砂浆和混凝土用硅灰》GB/T 27690</w:t>
      </w:r>
    </w:p>
    <w:p>
      <w:pPr>
        <w:numPr>
          <w:ilvl w:val="0"/>
          <w:numId w:val="10"/>
        </w:numPr>
        <w:adjustRightInd w:val="0"/>
        <w:snapToGrid w:val="0"/>
        <w:spacing w:line="360" w:lineRule="auto"/>
        <w:ind w:left="0" w:leftChars="0" w:firstLine="480" w:firstLineChars="200"/>
        <w:jc w:val="left"/>
        <w:rPr>
          <w:rFonts w:hint="eastAsia"/>
          <w:sz w:val="24"/>
          <w:highlight w:val="none"/>
          <w:lang w:eastAsia="zh-CN"/>
        </w:rPr>
      </w:pPr>
      <w:r>
        <w:rPr>
          <w:rFonts w:hint="eastAsia"/>
          <w:sz w:val="24"/>
          <w:highlight w:val="none"/>
          <w:lang w:eastAsia="zh-CN"/>
        </w:rPr>
        <w:t>《用于水泥、砂浆和混凝土中的石灰石粉》GB/T 35164</w:t>
      </w:r>
    </w:p>
    <w:p>
      <w:pPr>
        <w:numPr>
          <w:ilvl w:val="0"/>
          <w:numId w:val="10"/>
        </w:numPr>
        <w:adjustRightInd w:val="0"/>
        <w:snapToGrid w:val="0"/>
        <w:spacing w:line="360" w:lineRule="auto"/>
        <w:ind w:left="0" w:leftChars="0" w:firstLine="480" w:firstLineChars="200"/>
        <w:jc w:val="left"/>
        <w:rPr>
          <w:rFonts w:hint="eastAsia"/>
          <w:sz w:val="24"/>
          <w:highlight w:val="none"/>
          <w:lang w:eastAsia="zh-CN"/>
        </w:rPr>
      </w:pPr>
      <w:r>
        <w:rPr>
          <w:rFonts w:hint="eastAsia"/>
          <w:sz w:val="24"/>
          <w:highlight w:val="none"/>
          <w:lang w:eastAsia="zh-CN"/>
        </w:rPr>
        <w:t>《石灰石粉混凝土》GB/T 30190</w:t>
      </w:r>
    </w:p>
    <w:p>
      <w:pPr>
        <w:numPr>
          <w:ilvl w:val="0"/>
          <w:numId w:val="10"/>
        </w:numPr>
        <w:adjustRightInd w:val="0"/>
        <w:snapToGrid w:val="0"/>
        <w:spacing w:line="360" w:lineRule="auto"/>
        <w:ind w:left="0" w:leftChars="0" w:firstLine="480" w:firstLineChars="200"/>
        <w:jc w:val="left"/>
        <w:rPr>
          <w:rFonts w:hint="eastAsia"/>
          <w:sz w:val="24"/>
          <w:highlight w:val="none"/>
          <w:lang w:eastAsia="zh-CN"/>
        </w:rPr>
      </w:pPr>
      <w:r>
        <w:rPr>
          <w:rFonts w:hint="eastAsia"/>
          <w:sz w:val="24"/>
          <w:highlight w:val="none"/>
          <w:lang w:eastAsia="zh-CN"/>
        </w:rPr>
        <w:t>《石灰石粉在混凝土中应用技术规程》JGJ</w:t>
      </w:r>
      <w:r>
        <w:rPr>
          <w:rFonts w:hint="eastAsia"/>
          <w:sz w:val="24"/>
          <w:highlight w:val="none"/>
          <w:lang w:val="en-US" w:eastAsia="zh-CN"/>
        </w:rPr>
        <w:t>/</w:t>
      </w:r>
      <w:r>
        <w:rPr>
          <w:rFonts w:hint="eastAsia"/>
          <w:sz w:val="24"/>
          <w:highlight w:val="none"/>
          <w:lang w:eastAsia="zh-CN"/>
        </w:rPr>
        <w:t>T318</w:t>
      </w:r>
    </w:p>
    <w:p>
      <w:pPr>
        <w:numPr>
          <w:ilvl w:val="0"/>
          <w:numId w:val="10"/>
        </w:numPr>
        <w:adjustRightInd w:val="0"/>
        <w:snapToGrid w:val="0"/>
        <w:spacing w:line="360" w:lineRule="auto"/>
        <w:ind w:left="0" w:leftChars="0" w:firstLine="480" w:firstLineChars="200"/>
        <w:jc w:val="left"/>
        <w:rPr>
          <w:rFonts w:hint="eastAsia"/>
          <w:sz w:val="24"/>
          <w:highlight w:val="none"/>
          <w:lang w:val="en-US" w:eastAsia="zh-CN"/>
        </w:rPr>
      </w:pPr>
      <w:r>
        <w:rPr>
          <w:rFonts w:hint="eastAsia"/>
          <w:sz w:val="24"/>
          <w:highlight w:val="none"/>
          <w:lang w:eastAsia="zh-CN"/>
        </w:rPr>
        <w:t>《用于水泥和混凝土中的精炼渣粉》GB/T 33813</w:t>
      </w:r>
    </w:p>
    <w:p>
      <w:pPr>
        <w:adjustRightInd w:val="0"/>
        <w:snapToGrid w:val="0"/>
        <w:spacing w:line="360" w:lineRule="auto"/>
        <w:ind w:firstLine="482" w:firstLineChars="200"/>
        <w:jc w:val="left"/>
        <w:rPr>
          <w:rFonts w:hint="eastAsia"/>
          <w:b/>
          <w:bCs/>
          <w:sz w:val="24"/>
          <w:highlight w:val="none"/>
        </w:rPr>
      </w:pPr>
      <w:r>
        <w:rPr>
          <w:rFonts w:hint="eastAsia"/>
          <w:b/>
          <w:bCs/>
          <w:sz w:val="24"/>
          <w:highlight w:val="none"/>
        </w:rPr>
        <w:t>现行</w:t>
      </w:r>
      <w:r>
        <w:rPr>
          <w:rFonts w:hint="eastAsia"/>
          <w:b/>
          <w:bCs/>
          <w:sz w:val="24"/>
          <w:highlight w:val="none"/>
          <w:lang w:val="en-US" w:eastAsia="zh-CN"/>
        </w:rPr>
        <w:t>钢渣粉</w:t>
      </w:r>
      <w:r>
        <w:rPr>
          <w:rFonts w:hint="eastAsia"/>
          <w:b/>
          <w:bCs/>
          <w:sz w:val="24"/>
          <w:highlight w:val="none"/>
        </w:rPr>
        <w:t>相关标准有：</w:t>
      </w:r>
    </w:p>
    <w:p>
      <w:pPr>
        <w:numPr>
          <w:ilvl w:val="0"/>
          <w:numId w:val="11"/>
        </w:numPr>
        <w:adjustRightInd w:val="0"/>
        <w:snapToGrid w:val="0"/>
        <w:spacing w:line="360" w:lineRule="auto"/>
        <w:ind w:left="0" w:leftChars="0" w:firstLine="480" w:firstLineChars="200"/>
        <w:jc w:val="left"/>
        <w:rPr>
          <w:rFonts w:hint="eastAsia"/>
          <w:b w:val="0"/>
          <w:bCs w:val="0"/>
          <w:sz w:val="24"/>
          <w:highlight w:val="none"/>
        </w:rPr>
      </w:pPr>
      <w:r>
        <w:rPr>
          <w:rFonts w:hint="eastAsia"/>
          <w:b w:val="0"/>
          <w:bCs w:val="0"/>
          <w:sz w:val="24"/>
          <w:highlight w:val="none"/>
          <w:lang w:eastAsia="zh-CN"/>
        </w:rPr>
        <w:t>《</w:t>
      </w:r>
      <w:r>
        <w:rPr>
          <w:rFonts w:hint="eastAsia"/>
          <w:b w:val="0"/>
          <w:bCs w:val="0"/>
          <w:sz w:val="24"/>
          <w:highlight w:val="none"/>
        </w:rPr>
        <w:t>用于水泥和混凝土中的钢渣粉</w:t>
      </w:r>
      <w:r>
        <w:rPr>
          <w:rFonts w:hint="eastAsia"/>
          <w:b w:val="0"/>
          <w:bCs w:val="0"/>
          <w:sz w:val="24"/>
          <w:highlight w:val="none"/>
          <w:lang w:eastAsia="zh-CN"/>
        </w:rPr>
        <w:t>》</w:t>
      </w:r>
      <w:r>
        <w:rPr>
          <w:rFonts w:hint="eastAsia"/>
          <w:b w:val="0"/>
          <w:bCs w:val="0"/>
          <w:sz w:val="24"/>
          <w:highlight w:val="none"/>
        </w:rPr>
        <w:t xml:space="preserve">GB/T 20491 </w:t>
      </w:r>
    </w:p>
    <w:p>
      <w:pPr>
        <w:numPr>
          <w:ilvl w:val="0"/>
          <w:numId w:val="11"/>
        </w:numPr>
        <w:adjustRightInd w:val="0"/>
        <w:snapToGrid w:val="0"/>
        <w:spacing w:line="360" w:lineRule="auto"/>
        <w:ind w:left="0" w:leftChars="0" w:firstLine="480" w:firstLineChars="200"/>
        <w:jc w:val="left"/>
        <w:rPr>
          <w:rFonts w:hint="eastAsia"/>
          <w:b/>
          <w:bCs/>
          <w:sz w:val="24"/>
          <w:highlight w:val="none"/>
        </w:rPr>
      </w:pPr>
      <w:r>
        <w:rPr>
          <w:rFonts w:hint="eastAsia"/>
          <w:b w:val="0"/>
          <w:bCs w:val="0"/>
          <w:sz w:val="24"/>
          <w:highlight w:val="none"/>
          <w:lang w:eastAsia="zh-CN"/>
        </w:rPr>
        <w:t>《</w:t>
      </w:r>
      <w:r>
        <w:rPr>
          <w:rFonts w:hint="eastAsia"/>
          <w:b w:val="0"/>
          <w:bCs w:val="0"/>
          <w:sz w:val="24"/>
          <w:highlight w:val="none"/>
        </w:rPr>
        <w:t>用于水泥中的钢渣</w:t>
      </w:r>
      <w:r>
        <w:rPr>
          <w:rFonts w:hint="eastAsia"/>
          <w:b w:val="0"/>
          <w:bCs w:val="0"/>
          <w:sz w:val="24"/>
          <w:highlight w:val="none"/>
          <w:lang w:eastAsia="zh-CN"/>
        </w:rPr>
        <w:t>》</w:t>
      </w:r>
      <w:r>
        <w:rPr>
          <w:rFonts w:hint="eastAsia"/>
          <w:b w:val="0"/>
          <w:bCs w:val="0"/>
          <w:sz w:val="24"/>
          <w:highlight w:val="none"/>
        </w:rPr>
        <w:t>YB/T 022</w:t>
      </w:r>
    </w:p>
    <w:p>
      <w:pPr>
        <w:adjustRightInd w:val="0"/>
        <w:snapToGrid w:val="0"/>
        <w:spacing w:line="360" w:lineRule="auto"/>
        <w:ind w:firstLine="480" w:firstLineChars="200"/>
        <w:jc w:val="left"/>
        <w:rPr>
          <w:rFonts w:hint="eastAsia"/>
          <w:b w:val="0"/>
          <w:bCs w:val="0"/>
          <w:sz w:val="24"/>
          <w:highlight w:val="none"/>
        </w:rPr>
      </w:pPr>
      <w:r>
        <w:rPr>
          <w:rFonts w:hint="eastAsia" w:ascii="Times New Roman" w:hAnsi="Times New Roman" w:cs="Times New Roman"/>
          <w:b w:val="0"/>
          <w:bCs w:val="0"/>
          <w:sz w:val="24"/>
          <w:highlight w:val="none"/>
          <w:lang w:val="en-US" w:eastAsia="zh-CN"/>
        </w:rPr>
        <w:t>经过调研，目前还没有关于</w:t>
      </w:r>
      <w:r>
        <w:rPr>
          <w:rFonts w:hint="eastAsia"/>
          <w:b w:val="0"/>
          <w:bCs w:val="0"/>
          <w:sz w:val="24"/>
          <w:highlight w:val="none"/>
          <w:lang w:val="en-US" w:eastAsia="zh-CN"/>
        </w:rPr>
        <w:t>钢渣粉在混凝土中应用的</w:t>
      </w:r>
      <w:r>
        <w:rPr>
          <w:rFonts w:hint="eastAsia" w:ascii="Times New Roman" w:hAnsi="Times New Roman"/>
          <w:b w:val="0"/>
          <w:bCs w:val="0"/>
          <w:sz w:val="24"/>
          <w:szCs w:val="24"/>
          <w:highlight w:val="none"/>
          <w:lang w:val="en-US" w:eastAsia="zh-CN"/>
        </w:rPr>
        <w:t>工程建设标准。</w:t>
      </w:r>
      <w:r>
        <w:rPr>
          <w:rFonts w:ascii="Times New Roman" w:hAnsi="Times New Roman" w:cs="Times New Roman"/>
          <w:b w:val="0"/>
          <w:bCs w:val="0"/>
          <w:sz w:val="24"/>
          <w:highlight w:val="none"/>
        </w:rPr>
        <w:t>本标准是</w:t>
      </w:r>
      <w:r>
        <w:rPr>
          <w:rFonts w:hint="eastAsia" w:ascii="Times New Roman" w:hAnsi="Times New Roman" w:cs="Times New Roman"/>
          <w:b w:val="0"/>
          <w:bCs w:val="0"/>
          <w:sz w:val="24"/>
          <w:highlight w:val="none"/>
          <w:lang w:val="en-US" w:eastAsia="zh-CN"/>
        </w:rPr>
        <w:t>在文献、工程调研及验证试验基础上，</w:t>
      </w:r>
      <w:r>
        <w:rPr>
          <w:rFonts w:ascii="Times New Roman" w:hAnsi="Times New Roman" w:cs="Times New Roman"/>
          <w:b w:val="0"/>
          <w:bCs w:val="0"/>
          <w:sz w:val="24"/>
          <w:highlight w:val="none"/>
        </w:rPr>
        <w:t>参考</w:t>
      </w:r>
      <w:r>
        <w:rPr>
          <w:rFonts w:hint="eastAsia" w:ascii="Times New Roman" w:hAnsi="Times New Roman" w:cs="Times New Roman"/>
          <w:b w:val="0"/>
          <w:bCs w:val="0"/>
          <w:kern w:val="0"/>
          <w:sz w:val="24"/>
          <w:szCs w:val="24"/>
          <w:highlight w:val="none"/>
          <w:lang w:val="en-US" w:eastAsia="zh-CN"/>
        </w:rPr>
        <w:t>以上相关</w:t>
      </w:r>
      <w:r>
        <w:rPr>
          <w:rFonts w:ascii="Times New Roman" w:hAnsi="Times New Roman" w:cs="Times New Roman"/>
          <w:b w:val="0"/>
          <w:bCs w:val="0"/>
          <w:sz w:val="24"/>
          <w:highlight w:val="none"/>
        </w:rPr>
        <w:t>标准编制</w:t>
      </w:r>
      <w:r>
        <w:rPr>
          <w:rFonts w:hint="eastAsia" w:ascii="Times New Roman" w:hAnsi="Times New Roman" w:cs="Times New Roman"/>
          <w:b w:val="0"/>
          <w:bCs w:val="0"/>
          <w:sz w:val="24"/>
          <w:highlight w:val="none"/>
          <w:lang w:val="en-US" w:eastAsia="zh-CN"/>
        </w:rPr>
        <w:t>而成</w:t>
      </w:r>
      <w:r>
        <w:rPr>
          <w:rFonts w:ascii="Times New Roman" w:hAnsi="Times New Roman" w:cs="Times New Roman"/>
          <w:b w:val="0"/>
          <w:bCs w:val="0"/>
          <w:sz w:val="24"/>
          <w:highlight w:val="none"/>
        </w:rPr>
        <w:t>，标准技术指标先进与其他标准协调性好。与相关的强制性标准无冲突</w:t>
      </w:r>
      <w:r>
        <w:rPr>
          <w:rFonts w:hint="eastAsia" w:ascii="Times New Roman" w:hAnsi="Times New Roman" w:cs="Times New Roman"/>
          <w:b w:val="0"/>
          <w:bCs w:val="0"/>
          <w:sz w:val="24"/>
          <w:highlight w:val="none"/>
          <w:lang w:eastAsia="zh-CN"/>
        </w:rPr>
        <w:t>。</w:t>
      </w:r>
    </w:p>
    <w:p>
      <w:pPr>
        <w:adjustRightInd w:val="0"/>
        <w:snapToGrid w:val="0"/>
        <w:spacing w:before="156" w:beforeLines="50" w:after="156" w:afterLines="50" w:line="360" w:lineRule="auto"/>
        <w:outlineLvl w:val="0"/>
        <w:rPr>
          <w:rFonts w:hint="eastAsia" w:ascii="黑体" w:hAnsi="黑体" w:eastAsia="黑体"/>
          <w:b/>
          <w:bCs/>
          <w:kern w:val="0"/>
          <w:sz w:val="28"/>
          <w:highlight w:val="none"/>
        </w:rPr>
      </w:pPr>
      <w:bookmarkStart w:id="37" w:name="_Toc27090"/>
      <w:r>
        <w:rPr>
          <w:rFonts w:hint="eastAsia" w:ascii="黑体" w:hAnsi="黑体" w:eastAsia="黑体"/>
          <w:b/>
          <w:bCs/>
          <w:kern w:val="0"/>
          <w:sz w:val="28"/>
          <w:highlight w:val="none"/>
          <w:lang w:val="en-US" w:eastAsia="zh-CN"/>
        </w:rPr>
        <w:t>八</w:t>
      </w:r>
      <w:r>
        <w:rPr>
          <w:rFonts w:hint="eastAsia" w:ascii="黑体" w:hAnsi="黑体" w:eastAsia="黑体"/>
          <w:b/>
          <w:bCs/>
          <w:kern w:val="0"/>
          <w:sz w:val="28"/>
          <w:highlight w:val="none"/>
        </w:rPr>
        <w:t>、重大分歧意见的处理经过和依据</w:t>
      </w:r>
      <w:bookmarkEnd w:id="37"/>
    </w:p>
    <w:p>
      <w:pPr>
        <w:adjustRightInd w:val="0"/>
        <w:snapToGrid w:val="0"/>
        <w:spacing w:line="360" w:lineRule="auto"/>
        <w:ind w:firstLine="480" w:firstLineChars="200"/>
        <w:jc w:val="left"/>
        <w:rPr>
          <w:rFonts w:hint="eastAsia" w:eastAsia="宋体"/>
          <w:sz w:val="24"/>
          <w:highlight w:val="none"/>
          <w:lang w:eastAsia="zh-CN"/>
        </w:rPr>
      </w:pPr>
      <w:r>
        <w:rPr>
          <w:rFonts w:hint="eastAsia"/>
          <w:sz w:val="24"/>
          <w:highlight w:val="none"/>
        </w:rPr>
        <w:t>本标准</w:t>
      </w:r>
      <w:r>
        <w:rPr>
          <w:rFonts w:hint="eastAsia"/>
          <w:sz w:val="24"/>
          <w:highlight w:val="none"/>
          <w:lang w:eastAsia="zh-CN"/>
        </w:rPr>
        <w:t>制定</w:t>
      </w:r>
      <w:r>
        <w:rPr>
          <w:rFonts w:hint="eastAsia"/>
          <w:sz w:val="24"/>
          <w:highlight w:val="none"/>
        </w:rPr>
        <w:t>过程中对具体指标和内容没有重大分歧</w:t>
      </w:r>
      <w:r>
        <w:rPr>
          <w:rFonts w:hint="eastAsia"/>
          <w:sz w:val="24"/>
          <w:highlight w:val="none"/>
          <w:lang w:eastAsia="zh-CN"/>
        </w:rPr>
        <w:t>。</w:t>
      </w:r>
    </w:p>
    <w:p>
      <w:pPr>
        <w:adjustRightInd w:val="0"/>
        <w:snapToGrid w:val="0"/>
        <w:spacing w:before="156" w:beforeLines="50" w:after="156" w:afterLines="50" w:line="360" w:lineRule="auto"/>
        <w:outlineLvl w:val="0"/>
        <w:rPr>
          <w:rFonts w:hint="eastAsia" w:ascii="黑体" w:hAnsi="黑体" w:eastAsia="黑体"/>
          <w:b/>
          <w:bCs/>
          <w:kern w:val="0"/>
          <w:sz w:val="28"/>
          <w:highlight w:val="none"/>
        </w:rPr>
      </w:pPr>
      <w:bookmarkStart w:id="38" w:name="_Toc23365"/>
      <w:r>
        <w:rPr>
          <w:rFonts w:hint="eastAsia" w:ascii="黑体" w:hAnsi="黑体" w:eastAsia="黑体"/>
          <w:b/>
          <w:bCs/>
          <w:kern w:val="0"/>
          <w:sz w:val="28"/>
          <w:highlight w:val="none"/>
          <w:lang w:val="en-US" w:eastAsia="zh-CN"/>
        </w:rPr>
        <w:t>九</w:t>
      </w:r>
      <w:r>
        <w:rPr>
          <w:rFonts w:hint="eastAsia" w:ascii="黑体" w:hAnsi="黑体" w:eastAsia="黑体"/>
          <w:b/>
          <w:bCs/>
          <w:kern w:val="0"/>
          <w:sz w:val="28"/>
          <w:highlight w:val="none"/>
        </w:rPr>
        <w:t>、标准性质的建议说明</w:t>
      </w:r>
      <w:bookmarkEnd w:id="38"/>
    </w:p>
    <w:p>
      <w:pPr>
        <w:adjustRightInd w:val="0"/>
        <w:snapToGrid w:val="0"/>
        <w:spacing w:line="360" w:lineRule="auto"/>
        <w:ind w:firstLine="480" w:firstLineChars="200"/>
        <w:jc w:val="left"/>
        <w:rPr>
          <w:sz w:val="24"/>
          <w:highlight w:val="none"/>
        </w:rPr>
      </w:pPr>
      <w:r>
        <w:rPr>
          <w:rFonts w:hint="eastAsia"/>
          <w:iCs/>
          <w:color w:val="auto"/>
          <w:sz w:val="24"/>
          <w:highlight w:val="none"/>
        </w:rPr>
        <w:t>建议</w:t>
      </w:r>
      <w:r>
        <w:rPr>
          <w:iCs/>
          <w:color w:val="auto"/>
          <w:sz w:val="24"/>
          <w:highlight w:val="none"/>
        </w:rPr>
        <w:t>作为</w:t>
      </w:r>
      <w:r>
        <w:rPr>
          <w:rFonts w:hint="eastAsia"/>
          <w:iCs/>
          <w:color w:val="auto"/>
          <w:sz w:val="24"/>
          <w:highlight w:val="none"/>
        </w:rPr>
        <w:t>建材行业推荐标准实施</w:t>
      </w:r>
      <w:r>
        <w:rPr>
          <w:rFonts w:hint="eastAsia"/>
          <w:sz w:val="24"/>
          <w:highlight w:val="none"/>
        </w:rPr>
        <w:t>。</w:t>
      </w:r>
    </w:p>
    <w:p>
      <w:pPr>
        <w:adjustRightInd w:val="0"/>
        <w:snapToGrid w:val="0"/>
        <w:spacing w:before="156" w:beforeLines="50" w:after="156" w:afterLines="50" w:line="360" w:lineRule="auto"/>
        <w:outlineLvl w:val="0"/>
        <w:rPr>
          <w:rFonts w:hint="eastAsia" w:ascii="黑体" w:hAnsi="黑体" w:eastAsia="黑体"/>
          <w:b/>
          <w:bCs/>
          <w:kern w:val="0"/>
          <w:sz w:val="28"/>
          <w:highlight w:val="none"/>
        </w:rPr>
      </w:pPr>
      <w:bookmarkStart w:id="39" w:name="_Toc20298"/>
      <w:r>
        <w:rPr>
          <w:rFonts w:hint="eastAsia" w:ascii="黑体" w:hAnsi="黑体" w:eastAsia="黑体"/>
          <w:b/>
          <w:bCs/>
          <w:kern w:val="0"/>
          <w:sz w:val="28"/>
          <w:highlight w:val="none"/>
        </w:rPr>
        <w:t>十、贯彻标准的要求和措施建议</w:t>
      </w:r>
      <w:bookmarkEnd w:id="39"/>
    </w:p>
    <w:p>
      <w:pPr>
        <w:adjustRightInd w:val="0"/>
        <w:snapToGrid w:val="0"/>
        <w:spacing w:line="360" w:lineRule="auto"/>
        <w:ind w:firstLine="480" w:firstLineChars="200"/>
        <w:jc w:val="left"/>
        <w:rPr>
          <w:rFonts w:hint="eastAsia"/>
          <w:sz w:val="24"/>
          <w:highlight w:val="none"/>
        </w:rPr>
      </w:pPr>
      <w:r>
        <w:rPr>
          <w:rFonts w:hint="eastAsia"/>
          <w:sz w:val="24"/>
          <w:highlight w:val="none"/>
        </w:rPr>
        <w:t>建议在本标准正式发布后，针对</w:t>
      </w:r>
      <w:r>
        <w:rPr>
          <w:rFonts w:hint="eastAsia"/>
          <w:sz w:val="24"/>
          <w:highlight w:val="none"/>
          <w:lang w:val="en-US" w:eastAsia="zh-CN"/>
        </w:rPr>
        <w:t>钢渣粉生产企业及混凝土搅拌站、设计单位、</w:t>
      </w:r>
      <w:r>
        <w:rPr>
          <w:rFonts w:hint="eastAsia"/>
          <w:sz w:val="24"/>
          <w:highlight w:val="none"/>
        </w:rPr>
        <w:t>施工企业</w:t>
      </w:r>
      <w:r>
        <w:rPr>
          <w:rFonts w:hint="eastAsia"/>
          <w:sz w:val="24"/>
          <w:highlight w:val="none"/>
          <w:lang w:eastAsia="zh-CN"/>
        </w:rPr>
        <w:t>、</w:t>
      </w:r>
      <w:r>
        <w:rPr>
          <w:rFonts w:hint="eastAsia"/>
          <w:sz w:val="24"/>
          <w:highlight w:val="none"/>
          <w:lang w:val="en-US" w:eastAsia="zh-CN"/>
        </w:rPr>
        <w:t>检测单位等</w:t>
      </w:r>
      <w:r>
        <w:rPr>
          <w:rFonts w:hint="eastAsia"/>
          <w:sz w:val="24"/>
          <w:highlight w:val="none"/>
        </w:rPr>
        <w:t>进行宣贯。具体实施措施建议补如下：</w:t>
      </w:r>
    </w:p>
    <w:p>
      <w:pPr>
        <w:adjustRightInd w:val="0"/>
        <w:snapToGrid w:val="0"/>
        <w:spacing w:line="360" w:lineRule="auto"/>
        <w:ind w:firstLine="480" w:firstLineChars="200"/>
        <w:jc w:val="left"/>
        <w:rPr>
          <w:rFonts w:hint="eastAsia"/>
          <w:sz w:val="24"/>
          <w:highlight w:val="none"/>
        </w:rPr>
      </w:pPr>
      <w:r>
        <w:rPr>
          <w:rFonts w:hint="eastAsia"/>
          <w:sz w:val="24"/>
          <w:highlight w:val="none"/>
        </w:rPr>
        <w:t>（1）加大标准宣传力度，提高认知度，建立信息公共平台，将有参考价值的案例、好的做法和经验等在行业内部公开发布，引起有关部门领导和相关企业单位的重视，使相关单位能够积极主动的购买标准和资料、参加培训、结合本单位实际情况学习研究标准并准备贯彻实施标准。</w:t>
      </w:r>
    </w:p>
    <w:p>
      <w:pPr>
        <w:adjustRightInd w:val="0"/>
        <w:snapToGrid w:val="0"/>
        <w:spacing w:line="360" w:lineRule="auto"/>
        <w:ind w:firstLine="480" w:firstLineChars="200"/>
        <w:jc w:val="left"/>
        <w:rPr>
          <w:rFonts w:hint="eastAsia"/>
          <w:sz w:val="24"/>
          <w:highlight w:val="none"/>
        </w:rPr>
      </w:pPr>
      <w:r>
        <w:rPr>
          <w:rFonts w:hint="eastAsia"/>
          <w:sz w:val="24"/>
          <w:highlight w:val="none"/>
        </w:rPr>
        <w:t>（2）标准归口单位进行贯标指导，组织标准宣贯培训班，由标准制定人员主讲。设立专门的答疑或咨询部门或网站，为贯标企业排忧解难，组织有关人员积极参加行业协会组织的各项活动，培训班等。及时了解标准制、修订信息。</w:t>
      </w:r>
    </w:p>
    <w:p>
      <w:pPr>
        <w:adjustRightInd w:val="0"/>
        <w:snapToGrid w:val="0"/>
        <w:spacing w:line="360" w:lineRule="auto"/>
        <w:ind w:firstLine="480" w:firstLineChars="200"/>
        <w:jc w:val="left"/>
        <w:rPr>
          <w:rFonts w:hint="eastAsia"/>
          <w:sz w:val="24"/>
          <w:highlight w:val="none"/>
        </w:rPr>
      </w:pPr>
      <w:r>
        <w:rPr>
          <w:rFonts w:hint="eastAsia"/>
          <w:sz w:val="24"/>
          <w:highlight w:val="none"/>
        </w:rPr>
        <w:t>（3）鼓励行业相关企业或项目部成立标准贯彻实施小组，组员由技术负责人、质量负责人、标准化技术人员、设计人员、质检人员、施工技术人员等技术相关工作人员组成，进行明确的分工合作，适时组织标准宣贯会，使有关人员拥有标准、了解标准、熟悉标准，执行标准。</w:t>
      </w:r>
    </w:p>
    <w:p>
      <w:pPr>
        <w:adjustRightInd w:val="0"/>
        <w:snapToGrid w:val="0"/>
        <w:spacing w:line="360" w:lineRule="auto"/>
        <w:ind w:firstLine="480" w:firstLineChars="200"/>
        <w:jc w:val="left"/>
        <w:rPr>
          <w:rFonts w:hint="eastAsia"/>
          <w:sz w:val="24"/>
          <w:highlight w:val="none"/>
        </w:rPr>
      </w:pPr>
      <w:r>
        <w:rPr>
          <w:rFonts w:hint="eastAsia"/>
          <w:sz w:val="24"/>
          <w:highlight w:val="none"/>
        </w:rPr>
        <w:t>（4）标准化技术人员全面负责贯标实施工作，跟踪服务对贯标中出现的技术问题进行协调处理作好贯标记录，并进行长期监督检查工作。</w:t>
      </w:r>
    </w:p>
    <w:p>
      <w:pPr>
        <w:adjustRightInd w:val="0"/>
        <w:snapToGrid w:val="0"/>
        <w:spacing w:before="156" w:beforeLines="50" w:after="156" w:afterLines="50" w:line="360" w:lineRule="auto"/>
        <w:outlineLvl w:val="0"/>
        <w:rPr>
          <w:rFonts w:hint="eastAsia" w:ascii="黑体" w:hAnsi="黑体" w:eastAsia="黑体" w:cs="Times New Roman"/>
          <w:b/>
          <w:bCs/>
          <w:kern w:val="0"/>
          <w:sz w:val="28"/>
          <w:highlight w:val="none"/>
        </w:rPr>
      </w:pPr>
      <w:bookmarkStart w:id="40" w:name="_Toc21333"/>
      <w:r>
        <w:rPr>
          <w:rFonts w:hint="eastAsia" w:ascii="黑体" w:hAnsi="黑体" w:eastAsia="黑体" w:cs="Times New Roman"/>
          <w:b/>
          <w:bCs/>
          <w:kern w:val="0"/>
          <w:sz w:val="28"/>
          <w:highlight w:val="none"/>
        </w:rPr>
        <w:t>十一、废止现行相关标准的建议</w:t>
      </w:r>
      <w:bookmarkEnd w:id="40"/>
    </w:p>
    <w:p>
      <w:pPr>
        <w:adjustRightInd w:val="0"/>
        <w:snapToGrid w:val="0"/>
        <w:spacing w:line="360" w:lineRule="auto"/>
        <w:ind w:firstLine="480" w:firstLineChars="200"/>
        <w:jc w:val="left"/>
        <w:rPr>
          <w:rFonts w:hint="eastAsia"/>
          <w:sz w:val="24"/>
          <w:highlight w:val="none"/>
        </w:rPr>
      </w:pPr>
      <w:r>
        <w:rPr>
          <w:rFonts w:hint="eastAsia"/>
          <w:sz w:val="24"/>
          <w:highlight w:val="none"/>
        </w:rPr>
        <w:t>无。</w:t>
      </w:r>
    </w:p>
    <w:p>
      <w:pPr>
        <w:adjustRightInd w:val="0"/>
        <w:snapToGrid w:val="0"/>
        <w:spacing w:before="156" w:beforeLines="50" w:after="156" w:afterLines="50" w:line="360" w:lineRule="auto"/>
        <w:outlineLvl w:val="0"/>
        <w:rPr>
          <w:rFonts w:hint="eastAsia" w:ascii="黑体" w:hAnsi="黑体" w:eastAsia="黑体" w:cs="Times New Roman"/>
          <w:b/>
          <w:bCs/>
          <w:kern w:val="0"/>
          <w:sz w:val="28"/>
          <w:highlight w:val="none"/>
        </w:rPr>
      </w:pPr>
      <w:bookmarkStart w:id="41" w:name="_Toc15189"/>
      <w:r>
        <w:rPr>
          <w:rFonts w:hint="eastAsia" w:ascii="黑体" w:hAnsi="黑体" w:eastAsia="黑体" w:cs="Times New Roman"/>
          <w:b/>
          <w:bCs/>
          <w:kern w:val="0"/>
          <w:sz w:val="28"/>
          <w:highlight w:val="none"/>
        </w:rPr>
        <w:t>十二、其它应予说明的事项</w:t>
      </w:r>
      <w:bookmarkEnd w:id="41"/>
    </w:p>
    <w:p>
      <w:pPr>
        <w:adjustRightInd w:val="0"/>
        <w:snapToGrid w:val="0"/>
        <w:spacing w:line="360" w:lineRule="auto"/>
        <w:ind w:firstLine="480" w:firstLineChars="200"/>
        <w:jc w:val="left"/>
        <w:rPr>
          <w:rFonts w:hint="eastAsia"/>
          <w:sz w:val="24"/>
          <w:highlight w:val="none"/>
        </w:rPr>
      </w:pPr>
      <w:r>
        <w:rPr>
          <w:rFonts w:hint="eastAsia"/>
          <w:sz w:val="24"/>
          <w:highlight w:val="none"/>
        </w:rPr>
        <w:t>无。</w:t>
      </w:r>
    </w:p>
    <w:sectPr>
      <w:headerReference r:id="rId7" w:type="first"/>
      <w:footerReference r:id="rId9" w:type="first"/>
      <w:headerReference r:id="rId6" w:type="default"/>
      <w:footerReference r:id="rId8" w:type="default"/>
      <w:pgSz w:w="11906" w:h="16838"/>
      <w:pgMar w:top="1440" w:right="1797" w:bottom="1440" w:left="1797" w:header="851" w:footer="992" w:gutter="0"/>
      <w:pgBorders>
        <w:top w:val="none" w:sz="0" w:space="0"/>
        <w:left w:val="none" w:sz="0" w:space="0"/>
        <w:bottom w:val="none" w:sz="0" w:space="0"/>
        <w:right w:val="none" w:sz="0" w:space="0"/>
      </w:pgBorders>
      <w:pgNumType w:fmt="decimal"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imes New Roman (标题 CS)">
    <w:altName w:val="宋体"/>
    <w:panose1 w:val="020B0604020202020204"/>
    <w:charset w:val="86"/>
    <w:family w:val="roman"/>
    <w:pitch w:val="default"/>
    <w:sig w:usb0="00000000" w:usb1="00000000" w:usb2="00000000" w:usb3="00000000" w:csb0="00040001" w:csb1="00000000"/>
  </w:font>
  <w:font w:name="Cambria">
    <w:panose1 w:val="02040503050406030204"/>
    <w:charset w:val="00"/>
    <w:family w:val="auto"/>
    <w:pitch w:val="default"/>
    <w:sig w:usb0="E00006FF" w:usb1="420024FF" w:usb2="02000000" w:usb3="00000000" w:csb0="2000019F" w:csb1="00000000"/>
  </w:font>
  <w:font w:name="FZSSJW--GB1-0">
    <w:altName w:val="Cambria"/>
    <w:panose1 w:val="00000000000000000000"/>
    <w:charset w:val="00"/>
    <w:family w:val="roman"/>
    <w:pitch w:val="default"/>
    <w:sig w:usb0="00000000" w:usb1="00000000" w:usb2="00000000" w:usb3="00000000" w:csb0="00040001"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center" w:y="1"/>
      <w:rPr>
        <w:rStyle w:val="21"/>
      </w:rPr>
    </w:pPr>
    <w:r>
      <w:fldChar w:fldCharType="begin"/>
    </w:r>
    <w:r>
      <w:rPr>
        <w:rStyle w:val="21"/>
      </w:rPr>
      <w:instrText xml:space="preserve">PAGE  </w:instrText>
    </w:r>
    <w:r>
      <w:fldChar w:fldCharType="separate"/>
    </w:r>
    <w:r>
      <w:rPr>
        <w:rStyle w:val="21"/>
      </w:rPr>
      <w:t>5</w:t>
    </w:r>
    <w:r>
      <w:fldChar w:fldCharType="end"/>
    </w:r>
  </w:p>
  <w:p>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framePr w:wrap="around" w:vAnchor="text" w:hAnchor="margin" w:xAlign="center" w:y="1"/>
      <w:rPr>
        <w:rStyle w:val="21"/>
      </w:rPr>
    </w:pPr>
    <w:r>
      <w:fldChar w:fldCharType="begin"/>
    </w:r>
    <w:r>
      <w:rPr>
        <w:rStyle w:val="21"/>
      </w:rPr>
      <w:instrText xml:space="preserve">PAGE  </w:instrText>
    </w:r>
    <w:r>
      <w:fldChar w:fldCharType="separate"/>
    </w:r>
    <w:r>
      <w:fldChar w:fldCharType="end"/>
    </w:r>
  </w:p>
  <w:p>
    <w:pPr>
      <w:pStyle w:val="1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jc w:val="center"/>
    </w:pPr>
    <w:r>
      <w:fldChar w:fldCharType="begin"/>
    </w:r>
    <w:r>
      <w:instrText xml:space="preserve">PAGE   \* MERGEFORMAT</w:instrText>
    </w:r>
    <w:r>
      <w:fldChar w:fldCharType="separate"/>
    </w:r>
    <w:r>
      <w:rPr>
        <w:lang w:val="zh-CN"/>
      </w:rPr>
      <w:t>1</w:t>
    </w:r>
    <w:r>
      <w:fldChar w:fldCharType="end"/>
    </w:r>
  </w:p>
  <w:p>
    <w:pPr>
      <w:pStyle w:val="1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tabs>
        <w:tab w:val="left" w:pos="5854"/>
      </w:tabs>
      <w:ind w:firstLine="0" w:firstLineChars="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11"/>
                          </w:pPr>
                          <w:r>
                            <w:fldChar w:fldCharType="begin"/>
                          </w:r>
                          <w:r>
                            <w:instrText xml:space="preserve"> PAGE  \* MERGEFORMAT </w:instrText>
                          </w:r>
                          <w:r>
                            <w:fldChar w:fldCharType="separate"/>
                          </w:r>
                          <w:r>
                            <w:t>2</w:t>
                          </w:r>
                          <w:r>
                            <w:fldChar w:fldCharType="end"/>
                          </w:r>
                        </w:p>
                      </w:txbxContent>
                    </wps:txbx>
                    <wps:bodyPr vert="horz" wrap="none" lIns="0" tIns="0" rIns="0" bIns="0" anchor="t" anchorCtr="0" upright="0">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6pebnPAAAABQEAAA8AAAAAAAAAAQAg&#10;AAAAIgAAAGRycy9kb3ducmV2LnhtbFBLAQIUABQAAAAIAIdO4kAcouw43gEAAL4DAAAOAAAAAAAA&#10;AAEAIAAAAB4BAABkcnMvZTJvRG9jLnhtbFBLBQYAAAAABgAGAFkBAABuBQAAAAA=&#10;">
              <v:fill on="f" focussize="0,0"/>
              <v:stroke on="f"/>
              <v:imagedata o:title=""/>
              <o:lock v:ext="edit" aspectratio="f"/>
              <v:textbox inset="0mm,0mm,0mm,0mm" style="mso-fit-shape-to-text:t;">
                <w:txbxContent>
                  <w:p>
                    <w:pPr>
                      <w:pStyle w:val="11"/>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11"/>
                          </w:pPr>
                          <w:r>
                            <w:fldChar w:fldCharType="begin"/>
                          </w:r>
                          <w:r>
                            <w:instrText xml:space="preserve"> PAGE  \* MERGEFORMAT </w:instrText>
                          </w:r>
                          <w:r>
                            <w:fldChar w:fldCharType="separate"/>
                          </w:r>
                          <w:r>
                            <w:t>1</w:t>
                          </w:r>
                          <w:r>
                            <w:fldChar w:fldCharType="end"/>
                          </w:r>
                        </w:p>
                      </w:txbxContent>
                    </wps:txbx>
                    <wps:bodyPr vert="horz" wrap="none" lIns="0" tIns="0" rIns="0" bIns="0" anchor="t" anchorCtr="0" upright="0">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6pebnPAAAABQEAAA8AAAAAAAAAAQAg&#10;AAAAIgAAAGRycy9kb3ducmV2LnhtbFBLAQIUABQAAAAIAIdO4kBpfq/Z3gEAAL4DAAAOAAAAAAAA&#10;AAEAIAAAAB4BAABkcnMvZTJvRG9jLnhtbFBLBQYAAAAABgAGAFkBAABuBQAAAAA=&#10;">
              <v:fill on="f" focussize="0,0"/>
              <v:stroke on="f"/>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10CB1E"/>
    <w:multiLevelType w:val="singleLevel"/>
    <w:tmpl w:val="AF10CB1E"/>
    <w:lvl w:ilvl="0" w:tentative="0">
      <w:start w:val="1"/>
      <w:numFmt w:val="decimal"/>
      <w:suff w:val="nothing"/>
      <w:lvlText w:val="（%1）"/>
      <w:lvlJc w:val="left"/>
      <w:pPr>
        <w:ind w:left="0" w:firstLine="420"/>
      </w:pPr>
      <w:rPr>
        <w:rFonts w:hint="default"/>
      </w:rPr>
    </w:lvl>
  </w:abstractNum>
  <w:abstractNum w:abstractNumId="1">
    <w:nsid w:val="B90095ED"/>
    <w:multiLevelType w:val="singleLevel"/>
    <w:tmpl w:val="B90095ED"/>
    <w:lvl w:ilvl="0" w:tentative="0">
      <w:start w:val="1"/>
      <w:numFmt w:val="decimal"/>
      <w:suff w:val="nothing"/>
      <w:lvlText w:val="%1"/>
      <w:lvlJc w:val="center"/>
      <w:pPr>
        <w:tabs>
          <w:tab w:val="left" w:pos="397"/>
        </w:tabs>
        <w:ind w:left="454" w:hanging="454"/>
      </w:pPr>
      <w:rPr>
        <w:rFonts w:hint="default"/>
      </w:rPr>
    </w:lvl>
  </w:abstractNum>
  <w:abstractNum w:abstractNumId="2">
    <w:nsid w:val="00000000"/>
    <w:multiLevelType w:val="multilevel"/>
    <w:tmpl w:val="00000000"/>
    <w:lvl w:ilvl="0" w:tentative="0">
      <w:start w:val="5"/>
      <w:numFmt w:val="decimal"/>
      <w:lvlText w:val="%1"/>
      <w:lvlJc w:val="left"/>
      <w:pPr>
        <w:tabs>
          <w:tab w:val="left" w:pos="840"/>
        </w:tabs>
        <w:ind w:left="84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pStyle w:val="38"/>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00000001"/>
    <w:multiLevelType w:val="multilevel"/>
    <w:tmpl w:val="00000001"/>
    <w:lvl w:ilvl="0" w:tentative="0">
      <w:start w:val="1"/>
      <w:numFmt w:val="none"/>
      <w:lvlText w:val="%1注："/>
      <w:lvlJc w:val="left"/>
      <w:pPr>
        <w:tabs>
          <w:tab w:val="left" w:pos="1140"/>
        </w:tabs>
        <w:ind w:left="840" w:hanging="420"/>
      </w:pPr>
      <w:rPr>
        <w:rFonts w:hint="eastAsia" w:ascii="宋体" w:hAnsi="Times New Roman" w:eastAsia="宋体"/>
        <w:b w:val="0"/>
        <w:i w:val="0"/>
        <w:sz w:val="18"/>
      </w:rPr>
    </w:lvl>
    <w:lvl w:ilvl="1" w:tentative="0">
      <w:start w:val="1"/>
      <w:numFmt w:val="decimal"/>
      <w:lvlText w:val="%2."/>
      <w:lvlJc w:val="left"/>
      <w:pPr>
        <w:tabs>
          <w:tab w:val="left" w:pos="1440"/>
        </w:tabs>
        <w:ind w:left="1440" w:hanging="360"/>
      </w:pPr>
    </w:lvl>
    <w:lvl w:ilvl="2" w:tentative="0">
      <w:start w:val="1"/>
      <w:numFmt w:val="decimal"/>
      <w:pStyle w:val="39"/>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00000003"/>
    <w:multiLevelType w:val="multilevel"/>
    <w:tmpl w:val="00000003"/>
    <w:lvl w:ilvl="0" w:tentative="0">
      <w:start w:val="1"/>
      <w:numFmt w:val="upperLetter"/>
      <w:pStyle w:val="37"/>
      <w:suff w:val="nothing"/>
      <w:lvlText w:val="附　录　%1"/>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eastAsia" w:ascii="黑体" w:hAnsi="Times New Roman" w:eastAsia="黑体"/>
        <w:b w:val="0"/>
        <w:i w:val="0"/>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5">
    <w:nsid w:val="00000004"/>
    <w:multiLevelType w:val="multilevel"/>
    <w:tmpl w:val="00000004"/>
    <w:lvl w:ilvl="0" w:tentative="0">
      <w:start w:val="1"/>
      <w:numFmt w:val="decimal"/>
      <w:pStyle w:val="42"/>
      <w:suff w:val="nothing"/>
      <w:lvlText w:val="表%1　"/>
      <w:lvlJc w:val="left"/>
      <w:pPr>
        <w:ind w:left="0" w:firstLine="0"/>
      </w:pPr>
      <w:rPr>
        <w:rFonts w:hint="eastAsia" w:ascii="黑体" w:hAnsi="Times New Roman" w:eastAsia="黑体"/>
        <w:b w:val="0"/>
        <w:i w:val="0"/>
        <w:sz w:val="21"/>
      </w:rPr>
    </w:lvl>
    <w:lvl w:ilvl="1" w:tentative="0">
      <w:start w:val="1"/>
      <w:numFmt w:val="decimal"/>
      <w:pStyle w:val="36"/>
      <w:lvlText w:val="%1.%2"/>
      <w:lvlJc w:val="left"/>
      <w:pPr>
        <w:tabs>
          <w:tab w:val="left" w:pos="992"/>
        </w:tabs>
        <w:ind w:left="992" w:hanging="567"/>
      </w:pPr>
    </w:lvl>
    <w:lvl w:ilvl="2" w:tentative="0">
      <w:start w:val="1"/>
      <w:numFmt w:val="decimal"/>
      <w:lvlText w:val="%1.%2.%3"/>
      <w:lvlJc w:val="left"/>
      <w:pPr>
        <w:tabs>
          <w:tab w:val="left" w:pos="1418"/>
        </w:tabs>
        <w:ind w:left="1418"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6">
    <w:nsid w:val="1B8D0FB5"/>
    <w:multiLevelType w:val="singleLevel"/>
    <w:tmpl w:val="1B8D0FB5"/>
    <w:lvl w:ilvl="0" w:tentative="0">
      <w:start w:val="1"/>
      <w:numFmt w:val="decimalEnclosedCircleChinese"/>
      <w:suff w:val="nothing"/>
      <w:lvlText w:val="%1　"/>
      <w:lvlJc w:val="left"/>
      <w:pPr>
        <w:ind w:left="0" w:firstLine="400"/>
      </w:pPr>
      <w:rPr>
        <w:rFonts w:hint="eastAsia" w:ascii="Times New Roman" w:hAnsi="Times New Roman" w:cs="Times New Roman"/>
      </w:rPr>
    </w:lvl>
  </w:abstractNum>
  <w:abstractNum w:abstractNumId="7">
    <w:nsid w:val="21DA2065"/>
    <w:multiLevelType w:val="singleLevel"/>
    <w:tmpl w:val="21DA2065"/>
    <w:lvl w:ilvl="0" w:tentative="0">
      <w:start w:val="1"/>
      <w:numFmt w:val="decimalEnclosedCircleChinese"/>
      <w:suff w:val="nothing"/>
      <w:lvlText w:val="%1　"/>
      <w:lvlJc w:val="left"/>
      <w:pPr>
        <w:ind w:left="0" w:firstLine="400"/>
      </w:pPr>
      <w:rPr>
        <w:rFonts w:hint="eastAsia" w:ascii="Times New Roman" w:hAnsi="Times New Roman" w:cs="Times New Roman"/>
      </w:rPr>
    </w:lvl>
  </w:abstractNum>
  <w:abstractNum w:abstractNumId="8">
    <w:nsid w:val="2E0F8287"/>
    <w:multiLevelType w:val="singleLevel"/>
    <w:tmpl w:val="2E0F8287"/>
    <w:lvl w:ilvl="0" w:tentative="0">
      <w:start w:val="1"/>
      <w:numFmt w:val="decimal"/>
      <w:suff w:val="nothing"/>
      <w:lvlText w:val="（%1）"/>
      <w:lvlJc w:val="left"/>
      <w:pPr>
        <w:ind w:left="0" w:firstLine="420"/>
      </w:pPr>
      <w:rPr>
        <w:rFonts w:hint="default"/>
      </w:rPr>
    </w:lvl>
  </w:abstractNum>
  <w:abstractNum w:abstractNumId="9">
    <w:nsid w:val="5F95A047"/>
    <w:multiLevelType w:val="multilevel"/>
    <w:tmpl w:val="5F95A047"/>
    <w:lvl w:ilvl="0" w:tentative="0">
      <w:start w:val="1"/>
      <w:numFmt w:val="decimal"/>
      <w:suff w:val="space"/>
      <w:lvlText w:val="%1."/>
      <w:lvlJc w:val="left"/>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10">
    <w:nsid w:val="602C6D2E"/>
    <w:multiLevelType w:val="singleLevel"/>
    <w:tmpl w:val="602C6D2E"/>
    <w:lvl w:ilvl="0" w:tentative="0">
      <w:start w:val="1"/>
      <w:numFmt w:val="decimal"/>
      <w:suff w:val="space"/>
      <w:lvlText w:val="（%1）"/>
      <w:lvlJc w:val="left"/>
    </w:lvl>
  </w:abstractNum>
  <w:num w:numId="1">
    <w:abstractNumId w:val="5"/>
  </w:num>
  <w:num w:numId="2">
    <w:abstractNumId w:val="4"/>
  </w:num>
  <w:num w:numId="3">
    <w:abstractNumId w:val="2"/>
  </w:num>
  <w:num w:numId="4">
    <w:abstractNumId w:val="3"/>
  </w:num>
  <w:num w:numId="5">
    <w:abstractNumId w:val="1"/>
  </w:num>
  <w:num w:numId="6">
    <w:abstractNumId w:val="10"/>
  </w:num>
  <w:num w:numId="7">
    <w:abstractNumId w:val="9"/>
  </w:num>
  <w:num w:numId="8">
    <w:abstractNumId w:val="8"/>
  </w:num>
  <w:num w:numId="9">
    <w:abstractNumId w:val="0"/>
  </w:num>
  <w:num w:numId="10">
    <w:abstractNumId w:val="7"/>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doNotValidateAgainstSchema/>
  <w:doNotDemarcateInvalidXml/>
  <w:hdrShapeDefaults>
    <o:shapelayout v:ext="edit">
      <o:idmap v:ext="edit" data="3"/>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YwMGE1NDRlOTdmZDMyZjE1YzM4OWExMWRkYzhhY2QifQ=="/>
  </w:docVars>
  <w:rsids>
    <w:rsidRoot w:val="00172A27"/>
    <w:rsid w:val="000010A6"/>
    <w:rsid w:val="00013197"/>
    <w:rsid w:val="00036F0C"/>
    <w:rsid w:val="00066481"/>
    <w:rsid w:val="0007262F"/>
    <w:rsid w:val="0007347A"/>
    <w:rsid w:val="00081FFE"/>
    <w:rsid w:val="00086D7B"/>
    <w:rsid w:val="00091B0D"/>
    <w:rsid w:val="00096792"/>
    <w:rsid w:val="000A32BE"/>
    <w:rsid w:val="000B32D9"/>
    <w:rsid w:val="000B5FF3"/>
    <w:rsid w:val="000D02FA"/>
    <w:rsid w:val="000D4D3F"/>
    <w:rsid w:val="000D77C1"/>
    <w:rsid w:val="000E75DC"/>
    <w:rsid w:val="000F092F"/>
    <w:rsid w:val="000F36B2"/>
    <w:rsid w:val="000F37F6"/>
    <w:rsid w:val="000F3CC0"/>
    <w:rsid w:val="00101D9B"/>
    <w:rsid w:val="00105D0D"/>
    <w:rsid w:val="00122FF1"/>
    <w:rsid w:val="00125B3C"/>
    <w:rsid w:val="001336F7"/>
    <w:rsid w:val="001373E8"/>
    <w:rsid w:val="00141C5D"/>
    <w:rsid w:val="00142116"/>
    <w:rsid w:val="00150F4E"/>
    <w:rsid w:val="00154272"/>
    <w:rsid w:val="00155F94"/>
    <w:rsid w:val="00156BE0"/>
    <w:rsid w:val="00157049"/>
    <w:rsid w:val="0016499A"/>
    <w:rsid w:val="00174BF9"/>
    <w:rsid w:val="001864AF"/>
    <w:rsid w:val="00187752"/>
    <w:rsid w:val="0019007A"/>
    <w:rsid w:val="001A68CD"/>
    <w:rsid w:val="001B211E"/>
    <w:rsid w:val="001B526F"/>
    <w:rsid w:val="001B6B35"/>
    <w:rsid w:val="001B7809"/>
    <w:rsid w:val="001B7D11"/>
    <w:rsid w:val="001F131A"/>
    <w:rsid w:val="00202CD6"/>
    <w:rsid w:val="00204EE4"/>
    <w:rsid w:val="002065CE"/>
    <w:rsid w:val="00211C10"/>
    <w:rsid w:val="00234552"/>
    <w:rsid w:val="002709CF"/>
    <w:rsid w:val="00272F79"/>
    <w:rsid w:val="00273CD7"/>
    <w:rsid w:val="00283DCF"/>
    <w:rsid w:val="002959E7"/>
    <w:rsid w:val="00295CC5"/>
    <w:rsid w:val="002C06A3"/>
    <w:rsid w:val="002F50F7"/>
    <w:rsid w:val="002F65E5"/>
    <w:rsid w:val="00302290"/>
    <w:rsid w:val="00305537"/>
    <w:rsid w:val="0030641C"/>
    <w:rsid w:val="00315461"/>
    <w:rsid w:val="00331170"/>
    <w:rsid w:val="0033232F"/>
    <w:rsid w:val="00342798"/>
    <w:rsid w:val="0035407D"/>
    <w:rsid w:val="00364D82"/>
    <w:rsid w:val="0036506E"/>
    <w:rsid w:val="00365C49"/>
    <w:rsid w:val="003726B8"/>
    <w:rsid w:val="003830A0"/>
    <w:rsid w:val="00394E97"/>
    <w:rsid w:val="003B4738"/>
    <w:rsid w:val="003C1774"/>
    <w:rsid w:val="003D45D5"/>
    <w:rsid w:val="003D5DA2"/>
    <w:rsid w:val="003E02F1"/>
    <w:rsid w:val="003F1CAF"/>
    <w:rsid w:val="003F501C"/>
    <w:rsid w:val="003F7DBC"/>
    <w:rsid w:val="00400B29"/>
    <w:rsid w:val="00407996"/>
    <w:rsid w:val="0041632E"/>
    <w:rsid w:val="00430201"/>
    <w:rsid w:val="00434A51"/>
    <w:rsid w:val="004352F0"/>
    <w:rsid w:val="0044713B"/>
    <w:rsid w:val="00447860"/>
    <w:rsid w:val="00457ECB"/>
    <w:rsid w:val="00460C6A"/>
    <w:rsid w:val="004644DC"/>
    <w:rsid w:val="004667DB"/>
    <w:rsid w:val="004675FE"/>
    <w:rsid w:val="00470675"/>
    <w:rsid w:val="00471FEA"/>
    <w:rsid w:val="00476BA4"/>
    <w:rsid w:val="004776A2"/>
    <w:rsid w:val="00495070"/>
    <w:rsid w:val="00495356"/>
    <w:rsid w:val="004A1BC2"/>
    <w:rsid w:val="004A3996"/>
    <w:rsid w:val="004A4AFB"/>
    <w:rsid w:val="004B2480"/>
    <w:rsid w:val="004B593F"/>
    <w:rsid w:val="004B7EA1"/>
    <w:rsid w:val="004C1F5C"/>
    <w:rsid w:val="004C48AF"/>
    <w:rsid w:val="004C73F2"/>
    <w:rsid w:val="004C76FC"/>
    <w:rsid w:val="004D2960"/>
    <w:rsid w:val="004D46E2"/>
    <w:rsid w:val="004F23F6"/>
    <w:rsid w:val="004F4BA4"/>
    <w:rsid w:val="00501D76"/>
    <w:rsid w:val="00520FA2"/>
    <w:rsid w:val="00524340"/>
    <w:rsid w:val="00532F02"/>
    <w:rsid w:val="005444CB"/>
    <w:rsid w:val="00546A5B"/>
    <w:rsid w:val="00547797"/>
    <w:rsid w:val="005528CC"/>
    <w:rsid w:val="00554799"/>
    <w:rsid w:val="00554821"/>
    <w:rsid w:val="0055620F"/>
    <w:rsid w:val="00565719"/>
    <w:rsid w:val="00574868"/>
    <w:rsid w:val="00581F92"/>
    <w:rsid w:val="00583635"/>
    <w:rsid w:val="0059533A"/>
    <w:rsid w:val="005A0589"/>
    <w:rsid w:val="005A2FCB"/>
    <w:rsid w:val="005A40A2"/>
    <w:rsid w:val="005A7631"/>
    <w:rsid w:val="005C376C"/>
    <w:rsid w:val="005C5D82"/>
    <w:rsid w:val="005C62E9"/>
    <w:rsid w:val="005D4577"/>
    <w:rsid w:val="005E1EC5"/>
    <w:rsid w:val="005E3A68"/>
    <w:rsid w:val="005F7E38"/>
    <w:rsid w:val="006234DD"/>
    <w:rsid w:val="0064423E"/>
    <w:rsid w:val="00645141"/>
    <w:rsid w:val="00646176"/>
    <w:rsid w:val="00651A9D"/>
    <w:rsid w:val="0065360A"/>
    <w:rsid w:val="0065563C"/>
    <w:rsid w:val="00667A89"/>
    <w:rsid w:val="00672623"/>
    <w:rsid w:val="006776B4"/>
    <w:rsid w:val="00691D39"/>
    <w:rsid w:val="006B3794"/>
    <w:rsid w:val="006B5366"/>
    <w:rsid w:val="006C553F"/>
    <w:rsid w:val="006C5E93"/>
    <w:rsid w:val="006C7CAE"/>
    <w:rsid w:val="006D4599"/>
    <w:rsid w:val="006E45A8"/>
    <w:rsid w:val="006F187F"/>
    <w:rsid w:val="007022B0"/>
    <w:rsid w:val="0071387B"/>
    <w:rsid w:val="0072114E"/>
    <w:rsid w:val="00730082"/>
    <w:rsid w:val="00730ECC"/>
    <w:rsid w:val="00736981"/>
    <w:rsid w:val="00747A5D"/>
    <w:rsid w:val="00757BCE"/>
    <w:rsid w:val="00761B78"/>
    <w:rsid w:val="00765BAE"/>
    <w:rsid w:val="00766F2B"/>
    <w:rsid w:val="00787E89"/>
    <w:rsid w:val="00791464"/>
    <w:rsid w:val="007A35B0"/>
    <w:rsid w:val="007B199C"/>
    <w:rsid w:val="007B2BF7"/>
    <w:rsid w:val="007B4CC2"/>
    <w:rsid w:val="007C3933"/>
    <w:rsid w:val="007C6049"/>
    <w:rsid w:val="007E0738"/>
    <w:rsid w:val="007E0EE5"/>
    <w:rsid w:val="007F59C9"/>
    <w:rsid w:val="007F7612"/>
    <w:rsid w:val="00802312"/>
    <w:rsid w:val="00806AC8"/>
    <w:rsid w:val="008201D1"/>
    <w:rsid w:val="008203D9"/>
    <w:rsid w:val="008265FF"/>
    <w:rsid w:val="00833D65"/>
    <w:rsid w:val="00834749"/>
    <w:rsid w:val="008378D4"/>
    <w:rsid w:val="00841BB8"/>
    <w:rsid w:val="008442DE"/>
    <w:rsid w:val="00844B11"/>
    <w:rsid w:val="00846B55"/>
    <w:rsid w:val="00846DD8"/>
    <w:rsid w:val="00855DAA"/>
    <w:rsid w:val="008619B7"/>
    <w:rsid w:val="0086772D"/>
    <w:rsid w:val="00871A8F"/>
    <w:rsid w:val="00877627"/>
    <w:rsid w:val="008858F1"/>
    <w:rsid w:val="008A2C90"/>
    <w:rsid w:val="008A42CE"/>
    <w:rsid w:val="008B1E21"/>
    <w:rsid w:val="008B22A0"/>
    <w:rsid w:val="008B2D6D"/>
    <w:rsid w:val="008B3756"/>
    <w:rsid w:val="008B3EF5"/>
    <w:rsid w:val="008B650E"/>
    <w:rsid w:val="008B78D2"/>
    <w:rsid w:val="008D4507"/>
    <w:rsid w:val="008D7DDF"/>
    <w:rsid w:val="008E1CC2"/>
    <w:rsid w:val="008E4F48"/>
    <w:rsid w:val="008E5FB4"/>
    <w:rsid w:val="008E7160"/>
    <w:rsid w:val="008F14DC"/>
    <w:rsid w:val="008F7D1D"/>
    <w:rsid w:val="00904414"/>
    <w:rsid w:val="0090549E"/>
    <w:rsid w:val="00905569"/>
    <w:rsid w:val="00905794"/>
    <w:rsid w:val="0090780C"/>
    <w:rsid w:val="009113BB"/>
    <w:rsid w:val="00934A6D"/>
    <w:rsid w:val="009369FE"/>
    <w:rsid w:val="00940B27"/>
    <w:rsid w:val="00955018"/>
    <w:rsid w:val="00987295"/>
    <w:rsid w:val="009910A1"/>
    <w:rsid w:val="009A773F"/>
    <w:rsid w:val="009B5FE7"/>
    <w:rsid w:val="009B66A9"/>
    <w:rsid w:val="009C3063"/>
    <w:rsid w:val="009C522A"/>
    <w:rsid w:val="009D45ED"/>
    <w:rsid w:val="009D7CB0"/>
    <w:rsid w:val="009E16EC"/>
    <w:rsid w:val="009E3F2D"/>
    <w:rsid w:val="009F64B5"/>
    <w:rsid w:val="009F69E3"/>
    <w:rsid w:val="00A07EC5"/>
    <w:rsid w:val="00A11B69"/>
    <w:rsid w:val="00A14D82"/>
    <w:rsid w:val="00A27932"/>
    <w:rsid w:val="00A3031F"/>
    <w:rsid w:val="00A3068F"/>
    <w:rsid w:val="00A32A6D"/>
    <w:rsid w:val="00A32C07"/>
    <w:rsid w:val="00A369BF"/>
    <w:rsid w:val="00A41399"/>
    <w:rsid w:val="00A53BEB"/>
    <w:rsid w:val="00A67257"/>
    <w:rsid w:val="00A7232B"/>
    <w:rsid w:val="00A740E6"/>
    <w:rsid w:val="00A80BE6"/>
    <w:rsid w:val="00A90E8B"/>
    <w:rsid w:val="00A9418B"/>
    <w:rsid w:val="00A95895"/>
    <w:rsid w:val="00AA0F32"/>
    <w:rsid w:val="00AA4615"/>
    <w:rsid w:val="00AA79E7"/>
    <w:rsid w:val="00AA7A29"/>
    <w:rsid w:val="00AB2130"/>
    <w:rsid w:val="00AC3104"/>
    <w:rsid w:val="00AC52A3"/>
    <w:rsid w:val="00AD60AB"/>
    <w:rsid w:val="00AE1909"/>
    <w:rsid w:val="00AE19D2"/>
    <w:rsid w:val="00AE2799"/>
    <w:rsid w:val="00AF34DE"/>
    <w:rsid w:val="00AF5369"/>
    <w:rsid w:val="00AF53AF"/>
    <w:rsid w:val="00B0414F"/>
    <w:rsid w:val="00B12B53"/>
    <w:rsid w:val="00B12F7A"/>
    <w:rsid w:val="00B16F3D"/>
    <w:rsid w:val="00B240C0"/>
    <w:rsid w:val="00B31A5D"/>
    <w:rsid w:val="00B60767"/>
    <w:rsid w:val="00B62A75"/>
    <w:rsid w:val="00B66F5F"/>
    <w:rsid w:val="00B75159"/>
    <w:rsid w:val="00B76A53"/>
    <w:rsid w:val="00B81E7B"/>
    <w:rsid w:val="00B930B4"/>
    <w:rsid w:val="00BA1742"/>
    <w:rsid w:val="00BA7C9C"/>
    <w:rsid w:val="00BB438E"/>
    <w:rsid w:val="00BB7E0C"/>
    <w:rsid w:val="00BC7CEC"/>
    <w:rsid w:val="00BC7D54"/>
    <w:rsid w:val="00BD15A6"/>
    <w:rsid w:val="00C07260"/>
    <w:rsid w:val="00C15288"/>
    <w:rsid w:val="00C25DC7"/>
    <w:rsid w:val="00C37D46"/>
    <w:rsid w:val="00C45C93"/>
    <w:rsid w:val="00C503CC"/>
    <w:rsid w:val="00C50453"/>
    <w:rsid w:val="00C542C9"/>
    <w:rsid w:val="00C62413"/>
    <w:rsid w:val="00C70120"/>
    <w:rsid w:val="00C704ED"/>
    <w:rsid w:val="00C70D99"/>
    <w:rsid w:val="00C83EB4"/>
    <w:rsid w:val="00C856C2"/>
    <w:rsid w:val="00C90219"/>
    <w:rsid w:val="00C950E3"/>
    <w:rsid w:val="00C96E17"/>
    <w:rsid w:val="00CA0BA4"/>
    <w:rsid w:val="00CA337F"/>
    <w:rsid w:val="00CB0FB5"/>
    <w:rsid w:val="00CB3FF3"/>
    <w:rsid w:val="00CB7B55"/>
    <w:rsid w:val="00CC4928"/>
    <w:rsid w:val="00CC615E"/>
    <w:rsid w:val="00CC6576"/>
    <w:rsid w:val="00CD2361"/>
    <w:rsid w:val="00CD75C2"/>
    <w:rsid w:val="00CE470C"/>
    <w:rsid w:val="00CE512B"/>
    <w:rsid w:val="00CE5668"/>
    <w:rsid w:val="00CF7B51"/>
    <w:rsid w:val="00D05ADC"/>
    <w:rsid w:val="00D07417"/>
    <w:rsid w:val="00D16975"/>
    <w:rsid w:val="00D16AFC"/>
    <w:rsid w:val="00D16F03"/>
    <w:rsid w:val="00D2655F"/>
    <w:rsid w:val="00D30F38"/>
    <w:rsid w:val="00D31604"/>
    <w:rsid w:val="00D34A95"/>
    <w:rsid w:val="00D360E9"/>
    <w:rsid w:val="00D4443A"/>
    <w:rsid w:val="00D54BE3"/>
    <w:rsid w:val="00D550F3"/>
    <w:rsid w:val="00D741C3"/>
    <w:rsid w:val="00D8453B"/>
    <w:rsid w:val="00D85B4D"/>
    <w:rsid w:val="00D87901"/>
    <w:rsid w:val="00D92812"/>
    <w:rsid w:val="00DA26F8"/>
    <w:rsid w:val="00DD189F"/>
    <w:rsid w:val="00DD6685"/>
    <w:rsid w:val="00DE087A"/>
    <w:rsid w:val="00DE2B49"/>
    <w:rsid w:val="00DE6543"/>
    <w:rsid w:val="00DF7223"/>
    <w:rsid w:val="00E06281"/>
    <w:rsid w:val="00E329B6"/>
    <w:rsid w:val="00E33758"/>
    <w:rsid w:val="00E353B2"/>
    <w:rsid w:val="00E355AF"/>
    <w:rsid w:val="00E46FB7"/>
    <w:rsid w:val="00E52090"/>
    <w:rsid w:val="00E576F4"/>
    <w:rsid w:val="00E625DC"/>
    <w:rsid w:val="00E631A0"/>
    <w:rsid w:val="00E759A3"/>
    <w:rsid w:val="00E87A2B"/>
    <w:rsid w:val="00E90CA9"/>
    <w:rsid w:val="00E93953"/>
    <w:rsid w:val="00EA42E0"/>
    <w:rsid w:val="00EA7893"/>
    <w:rsid w:val="00EB672B"/>
    <w:rsid w:val="00EC0630"/>
    <w:rsid w:val="00EC0932"/>
    <w:rsid w:val="00EC3074"/>
    <w:rsid w:val="00EC6AEE"/>
    <w:rsid w:val="00EC7710"/>
    <w:rsid w:val="00ED1EF1"/>
    <w:rsid w:val="00ED2193"/>
    <w:rsid w:val="00EE3E40"/>
    <w:rsid w:val="00EE602D"/>
    <w:rsid w:val="00EF1CB8"/>
    <w:rsid w:val="00F05B60"/>
    <w:rsid w:val="00F11FA6"/>
    <w:rsid w:val="00F22211"/>
    <w:rsid w:val="00F255EC"/>
    <w:rsid w:val="00F44046"/>
    <w:rsid w:val="00F500FB"/>
    <w:rsid w:val="00F73165"/>
    <w:rsid w:val="00F76ABA"/>
    <w:rsid w:val="00F83426"/>
    <w:rsid w:val="00F91965"/>
    <w:rsid w:val="00F94E04"/>
    <w:rsid w:val="00FA061A"/>
    <w:rsid w:val="00FA3BD3"/>
    <w:rsid w:val="00FB46EC"/>
    <w:rsid w:val="00FB5420"/>
    <w:rsid w:val="00FB7896"/>
    <w:rsid w:val="00FC43B0"/>
    <w:rsid w:val="00FC4BD7"/>
    <w:rsid w:val="00FE1E74"/>
    <w:rsid w:val="00FE3DAD"/>
    <w:rsid w:val="00FF3E2C"/>
    <w:rsid w:val="00FF53A5"/>
    <w:rsid w:val="00FF553B"/>
    <w:rsid w:val="015E3387"/>
    <w:rsid w:val="01866883"/>
    <w:rsid w:val="01D92E6A"/>
    <w:rsid w:val="025D4D8E"/>
    <w:rsid w:val="032847BA"/>
    <w:rsid w:val="03316036"/>
    <w:rsid w:val="036827CE"/>
    <w:rsid w:val="04323463"/>
    <w:rsid w:val="04936845"/>
    <w:rsid w:val="049C65F3"/>
    <w:rsid w:val="06194897"/>
    <w:rsid w:val="06F832D7"/>
    <w:rsid w:val="076E27BD"/>
    <w:rsid w:val="08D25696"/>
    <w:rsid w:val="09BA2382"/>
    <w:rsid w:val="09F4161E"/>
    <w:rsid w:val="0A0879F1"/>
    <w:rsid w:val="0B830405"/>
    <w:rsid w:val="0B9C6927"/>
    <w:rsid w:val="0C6B5C35"/>
    <w:rsid w:val="0CC74D1D"/>
    <w:rsid w:val="0CCB0610"/>
    <w:rsid w:val="0CF66E7F"/>
    <w:rsid w:val="0CFF53BF"/>
    <w:rsid w:val="0D691E42"/>
    <w:rsid w:val="0DE820C8"/>
    <w:rsid w:val="0E8865B6"/>
    <w:rsid w:val="0E9E1C44"/>
    <w:rsid w:val="0EB8157A"/>
    <w:rsid w:val="10D66437"/>
    <w:rsid w:val="116B35A7"/>
    <w:rsid w:val="133D2A89"/>
    <w:rsid w:val="1367529E"/>
    <w:rsid w:val="1420265E"/>
    <w:rsid w:val="153177BF"/>
    <w:rsid w:val="157E6309"/>
    <w:rsid w:val="15A20DE0"/>
    <w:rsid w:val="164178B5"/>
    <w:rsid w:val="16B03286"/>
    <w:rsid w:val="18055854"/>
    <w:rsid w:val="181C12A4"/>
    <w:rsid w:val="186802BC"/>
    <w:rsid w:val="18842C1C"/>
    <w:rsid w:val="18B82524"/>
    <w:rsid w:val="18ED6A14"/>
    <w:rsid w:val="19927FDD"/>
    <w:rsid w:val="1A163D48"/>
    <w:rsid w:val="1AB65239"/>
    <w:rsid w:val="1B4F6D4C"/>
    <w:rsid w:val="1BDE65FF"/>
    <w:rsid w:val="1BED2887"/>
    <w:rsid w:val="1C711EAF"/>
    <w:rsid w:val="1DCA745E"/>
    <w:rsid w:val="1E90231B"/>
    <w:rsid w:val="1EEF294F"/>
    <w:rsid w:val="1F3A068B"/>
    <w:rsid w:val="1FE87BE6"/>
    <w:rsid w:val="200C50E2"/>
    <w:rsid w:val="20344F28"/>
    <w:rsid w:val="21030C2B"/>
    <w:rsid w:val="21262AC3"/>
    <w:rsid w:val="22D80B14"/>
    <w:rsid w:val="2408140A"/>
    <w:rsid w:val="2409047A"/>
    <w:rsid w:val="24E430D1"/>
    <w:rsid w:val="25506360"/>
    <w:rsid w:val="295F1CBD"/>
    <w:rsid w:val="2B6E41C7"/>
    <w:rsid w:val="2BDB2E99"/>
    <w:rsid w:val="2C5A1872"/>
    <w:rsid w:val="2D07287B"/>
    <w:rsid w:val="2D4A35A5"/>
    <w:rsid w:val="2D5F1886"/>
    <w:rsid w:val="2D69488E"/>
    <w:rsid w:val="2D754371"/>
    <w:rsid w:val="2EF02BCB"/>
    <w:rsid w:val="2FB70112"/>
    <w:rsid w:val="300E2193"/>
    <w:rsid w:val="303E6180"/>
    <w:rsid w:val="30AE6DA3"/>
    <w:rsid w:val="30D61298"/>
    <w:rsid w:val="30F5393C"/>
    <w:rsid w:val="31433A8A"/>
    <w:rsid w:val="32284465"/>
    <w:rsid w:val="324C730B"/>
    <w:rsid w:val="331D2F17"/>
    <w:rsid w:val="3345101B"/>
    <w:rsid w:val="336F7604"/>
    <w:rsid w:val="337221FF"/>
    <w:rsid w:val="33F32791"/>
    <w:rsid w:val="3510116D"/>
    <w:rsid w:val="3578405D"/>
    <w:rsid w:val="35C6462D"/>
    <w:rsid w:val="367174C0"/>
    <w:rsid w:val="36C82D48"/>
    <w:rsid w:val="37E81CC5"/>
    <w:rsid w:val="38523D46"/>
    <w:rsid w:val="39225E0E"/>
    <w:rsid w:val="39B06F76"/>
    <w:rsid w:val="39D7105F"/>
    <w:rsid w:val="39EC3D26"/>
    <w:rsid w:val="3A1B7AB0"/>
    <w:rsid w:val="3AAA5A8A"/>
    <w:rsid w:val="3B4037D4"/>
    <w:rsid w:val="3B422B4A"/>
    <w:rsid w:val="3B6E533A"/>
    <w:rsid w:val="3B8F3656"/>
    <w:rsid w:val="3B987B3F"/>
    <w:rsid w:val="3C926E07"/>
    <w:rsid w:val="402045D7"/>
    <w:rsid w:val="40493C80"/>
    <w:rsid w:val="408C7CC0"/>
    <w:rsid w:val="40AE2715"/>
    <w:rsid w:val="40B648AA"/>
    <w:rsid w:val="40BD1E2F"/>
    <w:rsid w:val="40D45C40"/>
    <w:rsid w:val="40F10099"/>
    <w:rsid w:val="41E07D3E"/>
    <w:rsid w:val="433F15C8"/>
    <w:rsid w:val="43776D56"/>
    <w:rsid w:val="439D4A0F"/>
    <w:rsid w:val="43A82CD9"/>
    <w:rsid w:val="43DB5D75"/>
    <w:rsid w:val="44496BC8"/>
    <w:rsid w:val="44E7585D"/>
    <w:rsid w:val="4599483E"/>
    <w:rsid w:val="46C40504"/>
    <w:rsid w:val="471B6A06"/>
    <w:rsid w:val="47CB7671"/>
    <w:rsid w:val="47E23876"/>
    <w:rsid w:val="4840005F"/>
    <w:rsid w:val="489D100D"/>
    <w:rsid w:val="49000B27"/>
    <w:rsid w:val="497C7C92"/>
    <w:rsid w:val="4B14091A"/>
    <w:rsid w:val="4B4B11F4"/>
    <w:rsid w:val="4BE419F5"/>
    <w:rsid w:val="4C0A385A"/>
    <w:rsid w:val="4C3E48B5"/>
    <w:rsid w:val="4CAC321C"/>
    <w:rsid w:val="4DD57A29"/>
    <w:rsid w:val="4E4563CA"/>
    <w:rsid w:val="4E662B03"/>
    <w:rsid w:val="4E932B3F"/>
    <w:rsid w:val="4EFF3B10"/>
    <w:rsid w:val="4F725B5E"/>
    <w:rsid w:val="503C110B"/>
    <w:rsid w:val="50942CF5"/>
    <w:rsid w:val="50EF43D0"/>
    <w:rsid w:val="515545A9"/>
    <w:rsid w:val="519B6306"/>
    <w:rsid w:val="53FD32A8"/>
    <w:rsid w:val="552F37E4"/>
    <w:rsid w:val="553F329A"/>
    <w:rsid w:val="5628228F"/>
    <w:rsid w:val="56414378"/>
    <w:rsid w:val="573B0321"/>
    <w:rsid w:val="576D3CD7"/>
    <w:rsid w:val="57BF3558"/>
    <w:rsid w:val="57E91496"/>
    <w:rsid w:val="57FA7EBF"/>
    <w:rsid w:val="587C4291"/>
    <w:rsid w:val="592D3CE7"/>
    <w:rsid w:val="5B5831B9"/>
    <w:rsid w:val="5B8B13B4"/>
    <w:rsid w:val="5BB26585"/>
    <w:rsid w:val="5C001B87"/>
    <w:rsid w:val="5D0F738E"/>
    <w:rsid w:val="5D4F4914"/>
    <w:rsid w:val="5D577585"/>
    <w:rsid w:val="5DCD2A54"/>
    <w:rsid w:val="5E4A70E9"/>
    <w:rsid w:val="5E6B057D"/>
    <w:rsid w:val="5E8903CF"/>
    <w:rsid w:val="5E912664"/>
    <w:rsid w:val="5EF6339F"/>
    <w:rsid w:val="5FF612D7"/>
    <w:rsid w:val="612C0D28"/>
    <w:rsid w:val="616E0F9E"/>
    <w:rsid w:val="61A6039D"/>
    <w:rsid w:val="621E66C3"/>
    <w:rsid w:val="63285EEB"/>
    <w:rsid w:val="635510C6"/>
    <w:rsid w:val="635A3287"/>
    <w:rsid w:val="63C4267A"/>
    <w:rsid w:val="65EA1718"/>
    <w:rsid w:val="660B1854"/>
    <w:rsid w:val="67B603A3"/>
    <w:rsid w:val="67CC5BAB"/>
    <w:rsid w:val="68AB69D7"/>
    <w:rsid w:val="698C1E85"/>
    <w:rsid w:val="6AEB14D5"/>
    <w:rsid w:val="6C1B4394"/>
    <w:rsid w:val="6D44111A"/>
    <w:rsid w:val="6E132DD6"/>
    <w:rsid w:val="6FEE712B"/>
    <w:rsid w:val="700F364C"/>
    <w:rsid w:val="704C6B77"/>
    <w:rsid w:val="709D2A9A"/>
    <w:rsid w:val="72627F1B"/>
    <w:rsid w:val="7295497F"/>
    <w:rsid w:val="73572453"/>
    <w:rsid w:val="738B5D82"/>
    <w:rsid w:val="73DA0CAB"/>
    <w:rsid w:val="74A80670"/>
    <w:rsid w:val="75181399"/>
    <w:rsid w:val="75695C4F"/>
    <w:rsid w:val="77D64225"/>
    <w:rsid w:val="77D870BC"/>
    <w:rsid w:val="781466A2"/>
    <w:rsid w:val="79167E9C"/>
    <w:rsid w:val="79573474"/>
    <w:rsid w:val="79DD0F5B"/>
    <w:rsid w:val="7A291E51"/>
    <w:rsid w:val="7AC8166A"/>
    <w:rsid w:val="7AD70F6E"/>
    <w:rsid w:val="7ADC7044"/>
    <w:rsid w:val="7B346058"/>
    <w:rsid w:val="7B4B6523"/>
    <w:rsid w:val="7BC72529"/>
    <w:rsid w:val="7C283C9E"/>
    <w:rsid w:val="7DAA73C6"/>
    <w:rsid w:val="7E9316F5"/>
    <w:rsid w:val="7FB126CD"/>
    <w:rsid w:val="7FE536E9"/>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nhideWhenUsed="0" w:uiPriority="0" w:semiHidden="0" w:name="Default Paragraph Font"/>
    <w:lsdException w:qFormat="1"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semiHidden="0" w:name="Body Text Indent 2"/>
    <w:lsdException w:uiPriority="99" w:name="Body Text Indent 3"/>
    <w:lsdException w:uiPriority="99"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9"/>
    <w:pPr>
      <w:keepNext/>
      <w:keepLines/>
      <w:ind w:firstLine="0" w:firstLineChars="0"/>
      <w:outlineLvl w:val="0"/>
    </w:pPr>
    <w:rPr>
      <w:b/>
      <w:bCs/>
      <w:kern w:val="44"/>
      <w:sz w:val="28"/>
      <w:szCs w:val="44"/>
    </w:rPr>
  </w:style>
  <w:style w:type="paragraph" w:styleId="3">
    <w:name w:val="heading 2"/>
    <w:basedOn w:val="1"/>
    <w:next w:val="1"/>
    <w:unhideWhenUsed/>
    <w:qFormat/>
    <w:uiPriority w:val="9"/>
    <w:pPr>
      <w:keepNext/>
      <w:keepLines/>
      <w:ind w:firstLine="0" w:firstLineChars="0"/>
      <w:outlineLvl w:val="1"/>
    </w:pPr>
    <w:rPr>
      <w:rFonts w:eastAsia="宋体" w:cs="Times New Roman (标题 CS)"/>
      <w:bCs/>
      <w:sz w:val="24"/>
      <w:szCs w:val="32"/>
    </w:rPr>
  </w:style>
  <w:style w:type="paragraph" w:styleId="4">
    <w:name w:val="heading 3"/>
    <w:basedOn w:val="1"/>
    <w:next w:val="1"/>
    <w:unhideWhenUsed/>
    <w:qFormat/>
    <w:uiPriority w:val="9"/>
    <w:pPr>
      <w:spacing w:before="100" w:beforeAutospacing="1" w:after="100" w:afterAutospacing="1"/>
      <w:jc w:val="left"/>
      <w:outlineLvl w:val="2"/>
    </w:pPr>
    <w:rPr>
      <w:rFonts w:hint="eastAsia" w:ascii="宋体" w:hAnsi="宋体" w:eastAsia="宋体" w:cs="宋体"/>
      <w:b/>
      <w:bCs/>
      <w:kern w:val="0"/>
      <w:sz w:val="27"/>
      <w:szCs w:val="27"/>
      <w:lang w:val="en-US" w:eastAsia="zh-CN" w:bidi="ar"/>
    </w:rPr>
  </w:style>
  <w:style w:type="character" w:default="1" w:styleId="19">
    <w:name w:val="Default Paragraph Font"/>
    <w:qFormat/>
    <w:uiPriority w:val="0"/>
  </w:style>
  <w:style w:type="table" w:default="1" w:styleId="17">
    <w:name w:val="Normal Table"/>
    <w:unhideWhenUsed/>
    <w:qFormat/>
    <w:uiPriority w:val="99"/>
    <w:tblPr>
      <w:tblCellMar>
        <w:top w:w="0" w:type="dxa"/>
        <w:left w:w="108" w:type="dxa"/>
        <w:bottom w:w="0" w:type="dxa"/>
        <w:right w:w="108" w:type="dxa"/>
      </w:tblCellMar>
    </w:tblPr>
  </w:style>
  <w:style w:type="paragraph" w:styleId="5">
    <w:name w:val="caption"/>
    <w:basedOn w:val="1"/>
    <w:next w:val="1"/>
    <w:unhideWhenUsed/>
    <w:qFormat/>
    <w:uiPriority w:val="35"/>
    <w:rPr>
      <w:rFonts w:ascii="Cambria" w:hAnsi="Cambria" w:eastAsia="黑体" w:cs="Times New Roman"/>
      <w:sz w:val="20"/>
      <w:szCs w:val="20"/>
    </w:rPr>
  </w:style>
  <w:style w:type="paragraph" w:styleId="6">
    <w:name w:val="annotation text"/>
    <w:basedOn w:val="1"/>
    <w:qFormat/>
    <w:uiPriority w:val="0"/>
    <w:pPr>
      <w:tabs>
        <w:tab w:val="center" w:pos="4201"/>
        <w:tab w:val="right" w:leader="dot" w:pos="9298"/>
      </w:tabs>
      <w:jc w:val="left"/>
    </w:pPr>
  </w:style>
  <w:style w:type="paragraph" w:styleId="7">
    <w:name w:val="Body Text"/>
    <w:basedOn w:val="1"/>
    <w:unhideWhenUsed/>
    <w:qFormat/>
    <w:uiPriority w:val="99"/>
    <w:rPr>
      <w:rFonts w:eastAsia="宋体" w:cs="Times New Roman"/>
    </w:rPr>
  </w:style>
  <w:style w:type="paragraph" w:styleId="8">
    <w:name w:val="Body Text Indent"/>
    <w:basedOn w:val="1"/>
    <w:qFormat/>
    <w:uiPriority w:val="0"/>
    <w:pPr>
      <w:ind w:firstLine="540" w:firstLineChars="225"/>
    </w:pPr>
    <w:rPr>
      <w:sz w:val="24"/>
    </w:rPr>
  </w:style>
  <w:style w:type="paragraph" w:styleId="9">
    <w:name w:val="Body Text Indent 2"/>
    <w:basedOn w:val="1"/>
    <w:link w:val="24"/>
    <w:unhideWhenUsed/>
    <w:uiPriority w:val="99"/>
    <w:pPr>
      <w:spacing w:after="120" w:line="480" w:lineRule="auto"/>
      <w:ind w:left="420" w:leftChars="200"/>
    </w:pPr>
  </w:style>
  <w:style w:type="paragraph" w:styleId="10">
    <w:name w:val="Balloon Text"/>
    <w:basedOn w:val="1"/>
    <w:link w:val="25"/>
    <w:unhideWhenUsed/>
    <w:qFormat/>
    <w:uiPriority w:val="99"/>
    <w:rPr>
      <w:sz w:val="18"/>
      <w:szCs w:val="18"/>
    </w:rPr>
  </w:style>
  <w:style w:type="paragraph" w:styleId="11">
    <w:name w:val="footer"/>
    <w:basedOn w:val="1"/>
    <w:link w:val="26"/>
    <w:qFormat/>
    <w:uiPriority w:val="99"/>
    <w:pPr>
      <w:tabs>
        <w:tab w:val="center" w:pos="4153"/>
        <w:tab w:val="right" w:pos="8306"/>
      </w:tabs>
      <w:snapToGrid w:val="0"/>
      <w:jc w:val="left"/>
    </w:pPr>
    <w:rPr>
      <w:sz w:val="18"/>
      <w:szCs w:val="18"/>
    </w:rPr>
  </w:style>
  <w:style w:type="paragraph" w:styleId="12">
    <w:name w:val="header"/>
    <w:basedOn w:val="1"/>
    <w:link w:val="27"/>
    <w:qFormat/>
    <w:uiPriority w:val="0"/>
    <w:pPr>
      <w:pBdr>
        <w:bottom w:val="single" w:color="auto" w:sz="6" w:space="1"/>
      </w:pBdr>
      <w:tabs>
        <w:tab w:val="center" w:pos="4153"/>
        <w:tab w:val="right" w:pos="8306"/>
      </w:tabs>
      <w:snapToGrid w:val="0"/>
      <w:jc w:val="center"/>
    </w:pPr>
    <w:rPr>
      <w:kern w:val="2"/>
      <w:sz w:val="18"/>
      <w:szCs w:val="18"/>
    </w:rPr>
  </w:style>
  <w:style w:type="paragraph" w:styleId="13">
    <w:name w:val="toc 1"/>
    <w:basedOn w:val="1"/>
    <w:next w:val="1"/>
    <w:unhideWhenUsed/>
    <w:qFormat/>
    <w:uiPriority w:val="39"/>
  </w:style>
  <w:style w:type="paragraph" w:styleId="14">
    <w:name w:val="toc 2"/>
    <w:basedOn w:val="1"/>
    <w:next w:val="1"/>
    <w:unhideWhenUsed/>
    <w:qFormat/>
    <w:uiPriority w:val="39"/>
    <w:pPr>
      <w:ind w:left="420" w:leftChars="200"/>
    </w:pPr>
  </w:style>
  <w:style w:type="paragraph" w:styleId="15">
    <w:name w:val="HTML Preformatted"/>
    <w:basedOn w:val="1"/>
    <w:link w:val="28"/>
    <w:qFormat/>
    <w:uiPriority w:val="0"/>
    <w:rPr>
      <w:rFonts w:ascii="Courier New" w:hAnsi="Courier New" w:cs="Courier New"/>
      <w:sz w:val="20"/>
      <w:szCs w:val="20"/>
    </w:rPr>
  </w:style>
  <w:style w:type="paragraph" w:styleId="16">
    <w:name w:val="Normal (Web)"/>
    <w:basedOn w:val="1"/>
    <w:link w:val="29"/>
    <w:qFormat/>
    <w:uiPriority w:val="99"/>
    <w:pPr>
      <w:widowControl/>
      <w:spacing w:before="100" w:beforeAutospacing="1" w:after="100" w:afterAutospacing="1"/>
      <w:jc w:val="left"/>
    </w:pPr>
    <w:rPr>
      <w:rFonts w:ascii="宋体" w:hAnsi="宋体" w:cs="宋体"/>
      <w:kern w:val="0"/>
      <w:sz w:val="24"/>
    </w:rPr>
  </w:style>
  <w:style w:type="table" w:styleId="18">
    <w:name w:val="Table Grid"/>
    <w:basedOn w:val="17"/>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Strong"/>
    <w:qFormat/>
    <w:uiPriority w:val="22"/>
    <w:rPr>
      <w:b/>
      <w:bCs/>
    </w:rPr>
  </w:style>
  <w:style w:type="character" w:styleId="21">
    <w:name w:val="page number"/>
    <w:basedOn w:val="19"/>
    <w:qFormat/>
    <w:uiPriority w:val="0"/>
    <w:rPr>
      <w:rFonts w:ascii="Times New Roman" w:hAnsi="Times New Roman" w:eastAsia="宋体"/>
      <w:sz w:val="18"/>
    </w:rPr>
  </w:style>
  <w:style w:type="character" w:styleId="22">
    <w:name w:val="FollowedHyperlink"/>
    <w:qFormat/>
    <w:uiPriority w:val="0"/>
    <w:rPr>
      <w:color w:val="800080"/>
      <w:u w:val="single"/>
    </w:rPr>
  </w:style>
  <w:style w:type="character" w:styleId="23">
    <w:name w:val="Hyperlink"/>
    <w:basedOn w:val="19"/>
    <w:unhideWhenUsed/>
    <w:qFormat/>
    <w:uiPriority w:val="99"/>
    <w:rPr>
      <w:color w:val="0000FF"/>
      <w:u w:val="single"/>
    </w:rPr>
  </w:style>
  <w:style w:type="character" w:customStyle="1" w:styleId="24">
    <w:name w:val="正文文本缩进 2 字符"/>
    <w:link w:val="9"/>
    <w:semiHidden/>
    <w:qFormat/>
    <w:uiPriority w:val="99"/>
    <w:rPr>
      <w:kern w:val="2"/>
      <w:sz w:val="21"/>
      <w:szCs w:val="24"/>
    </w:rPr>
  </w:style>
  <w:style w:type="character" w:customStyle="1" w:styleId="25">
    <w:name w:val="批注框文本 字符"/>
    <w:link w:val="10"/>
    <w:semiHidden/>
    <w:qFormat/>
    <w:uiPriority w:val="99"/>
    <w:rPr>
      <w:kern w:val="2"/>
      <w:sz w:val="18"/>
      <w:szCs w:val="18"/>
    </w:rPr>
  </w:style>
  <w:style w:type="character" w:customStyle="1" w:styleId="26">
    <w:name w:val="页脚 字符"/>
    <w:link w:val="11"/>
    <w:qFormat/>
    <w:uiPriority w:val="99"/>
    <w:rPr>
      <w:kern w:val="2"/>
      <w:sz w:val="18"/>
      <w:szCs w:val="18"/>
    </w:rPr>
  </w:style>
  <w:style w:type="character" w:customStyle="1" w:styleId="27">
    <w:name w:val="页眉 字符"/>
    <w:link w:val="12"/>
    <w:qFormat/>
    <w:uiPriority w:val="0"/>
    <w:rPr>
      <w:kern w:val="2"/>
      <w:sz w:val="18"/>
      <w:szCs w:val="18"/>
    </w:rPr>
  </w:style>
  <w:style w:type="character" w:customStyle="1" w:styleId="28">
    <w:name w:val="HTML 预设格式 字符"/>
    <w:link w:val="15"/>
    <w:qFormat/>
    <w:uiPriority w:val="0"/>
    <w:rPr>
      <w:rFonts w:ascii="Courier New" w:hAnsi="Courier New" w:cs="Courier New"/>
      <w:kern w:val="2"/>
    </w:rPr>
  </w:style>
  <w:style w:type="character" w:customStyle="1" w:styleId="29">
    <w:name w:val="普通(网站) 字符"/>
    <w:link w:val="16"/>
    <w:qFormat/>
    <w:uiPriority w:val="99"/>
    <w:rPr>
      <w:rFonts w:ascii="宋体" w:hAnsi="宋体" w:cs="宋体"/>
      <w:sz w:val="24"/>
      <w:szCs w:val="24"/>
    </w:rPr>
  </w:style>
  <w:style w:type="character" w:customStyle="1" w:styleId="30">
    <w:name w:val="page number"/>
    <w:basedOn w:val="19"/>
    <w:qFormat/>
    <w:uiPriority w:val="0"/>
  </w:style>
  <w:style w:type="character" w:customStyle="1" w:styleId="31">
    <w:name w:val="fontstyle01"/>
    <w:qFormat/>
    <w:uiPriority w:val="0"/>
    <w:rPr>
      <w:rFonts w:hint="default" w:ascii="FZSSJW--GB1-0" w:hAnsi="FZSSJW--GB1-0"/>
      <w:color w:val="242021"/>
      <w:sz w:val="18"/>
      <w:szCs w:val="18"/>
    </w:rPr>
  </w:style>
  <w:style w:type="character" w:customStyle="1" w:styleId="32">
    <w:name w:val="topic"/>
    <w:basedOn w:val="19"/>
    <w:qFormat/>
    <w:uiPriority w:val="0"/>
  </w:style>
  <w:style w:type="paragraph" w:customStyle="1" w:styleId="33">
    <w:name w:val="列出段落1"/>
    <w:basedOn w:val="1"/>
    <w:qFormat/>
    <w:uiPriority w:val="34"/>
    <w:pPr>
      <w:ind w:firstLine="420" w:firstLineChars="200"/>
    </w:pPr>
    <w:rPr>
      <w:rFonts w:ascii="Calibri" w:hAnsi="Calibri"/>
      <w:szCs w:val="22"/>
    </w:rPr>
  </w:style>
  <w:style w:type="paragraph" w:customStyle="1" w:styleId="34">
    <w:name w:val="段"/>
    <w:qFormat/>
    <w:uiPriority w:val="0"/>
    <w:pPr>
      <w:autoSpaceDE w:val="0"/>
      <w:autoSpaceDN w:val="0"/>
      <w:ind w:firstLine="200" w:firstLineChars="200"/>
      <w:jc w:val="both"/>
    </w:pPr>
    <w:rPr>
      <w:rFonts w:hint="eastAsia" w:ascii="宋体" w:hAnsi="Times New Roman" w:eastAsia="宋体" w:cs="Times New Roman"/>
      <w:sz w:val="21"/>
      <w:lang w:val="en-US" w:eastAsia="zh-CN" w:bidi="ar-SA"/>
    </w:rPr>
  </w:style>
  <w:style w:type="paragraph" w:customStyle="1" w:styleId="35">
    <w:name w:val="正文 + 首行缩进:  2 字符"/>
    <w:basedOn w:val="1"/>
    <w:qFormat/>
    <w:uiPriority w:val="0"/>
    <w:pPr>
      <w:ind w:firstLine="420" w:firstLineChars="200"/>
    </w:pPr>
  </w:style>
  <w:style w:type="paragraph" w:customStyle="1" w:styleId="36">
    <w:name w:val="章标题"/>
    <w:next w:val="34"/>
    <w:qFormat/>
    <w:uiPriority w:val="0"/>
    <w:pPr>
      <w:numPr>
        <w:ilvl w:val="1"/>
        <w:numId w:val="1"/>
      </w:numPr>
      <w:spacing w:before="156" w:beforeLines="50" w:after="156" w:afterLines="50"/>
      <w:ind w:left="0" w:firstLine="0"/>
      <w:jc w:val="both"/>
      <w:outlineLvl w:val="1"/>
    </w:pPr>
    <w:rPr>
      <w:rFonts w:hint="eastAsia" w:ascii="黑体" w:hAnsi="Times New Roman" w:eastAsia="黑体" w:cs="Times New Roman"/>
      <w:sz w:val="21"/>
      <w:lang w:val="en-US" w:eastAsia="zh-CN" w:bidi="ar-SA"/>
    </w:rPr>
  </w:style>
  <w:style w:type="paragraph" w:customStyle="1" w:styleId="37">
    <w:name w:val="示例"/>
    <w:next w:val="34"/>
    <w:qFormat/>
    <w:uiPriority w:val="0"/>
    <w:pPr>
      <w:numPr>
        <w:ilvl w:val="0"/>
        <w:numId w:val="2"/>
      </w:numPr>
      <w:tabs>
        <w:tab w:val="left" w:pos="816"/>
      </w:tabs>
      <w:ind w:firstLine="419" w:firstLineChars="233"/>
      <w:jc w:val="both"/>
    </w:pPr>
    <w:rPr>
      <w:rFonts w:hint="eastAsia" w:ascii="宋体" w:hAnsi="Times New Roman" w:eastAsia="宋体" w:cs="Times New Roman"/>
      <w:sz w:val="18"/>
      <w:lang w:val="en-US" w:eastAsia="zh-CN" w:bidi="ar-SA"/>
    </w:rPr>
  </w:style>
  <w:style w:type="paragraph" w:customStyle="1" w:styleId="38">
    <w:name w:val="二级条标题"/>
    <w:basedOn w:val="39"/>
    <w:next w:val="34"/>
    <w:qFormat/>
    <w:uiPriority w:val="0"/>
    <w:pPr>
      <w:numPr>
        <w:ilvl w:val="3"/>
        <w:numId w:val="3"/>
      </w:numPr>
      <w:tabs>
        <w:tab w:val="left" w:pos="2160"/>
      </w:tabs>
      <w:outlineLvl w:val="3"/>
    </w:pPr>
  </w:style>
  <w:style w:type="paragraph" w:customStyle="1" w:styleId="39">
    <w:name w:val="一级条标题"/>
    <w:basedOn w:val="36"/>
    <w:next w:val="34"/>
    <w:qFormat/>
    <w:uiPriority w:val="0"/>
    <w:pPr>
      <w:numPr>
        <w:ilvl w:val="2"/>
        <w:numId w:val="4"/>
      </w:numPr>
      <w:tabs>
        <w:tab w:val="clear" w:pos="992"/>
      </w:tabs>
      <w:ind w:left="315" w:firstLine="0"/>
      <w:outlineLvl w:val="2"/>
    </w:pPr>
  </w:style>
  <w:style w:type="paragraph" w:styleId="40">
    <w:name w:val="No Spacing"/>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1">
    <w:name w:val="标准书脚_偶数页"/>
    <w:qFormat/>
    <w:uiPriority w:val="0"/>
    <w:pPr>
      <w:spacing w:before="120"/>
    </w:pPr>
    <w:rPr>
      <w:rFonts w:ascii="Times New Roman" w:hAnsi="Times New Roman" w:eastAsia="宋体" w:cs="Times New Roman"/>
      <w:sz w:val="18"/>
      <w:lang w:val="en-US" w:eastAsia="zh-CN" w:bidi="ar-SA"/>
    </w:rPr>
  </w:style>
  <w:style w:type="paragraph" w:customStyle="1" w:styleId="42">
    <w:name w:val="正文表标题"/>
    <w:next w:val="34"/>
    <w:qFormat/>
    <w:uiPriority w:val="0"/>
    <w:pPr>
      <w:numPr>
        <w:ilvl w:val="0"/>
        <w:numId w:val="1"/>
      </w:numPr>
      <w:jc w:val="center"/>
    </w:pPr>
    <w:rPr>
      <w:rFonts w:hint="eastAsia" w:ascii="黑体" w:hAnsi="Times New Roman" w:eastAsia="黑体" w:cs="Times New Roman"/>
      <w:sz w:val="21"/>
      <w:lang w:val="en-US" w:eastAsia="zh-CN" w:bidi="ar-SA"/>
    </w:rPr>
  </w:style>
  <w:style w:type="paragraph" w:customStyle="1" w:styleId="43">
    <w:name w:val="标准书脚_奇数页"/>
    <w:qFormat/>
    <w:uiPriority w:val="0"/>
    <w:pPr>
      <w:spacing w:before="120"/>
      <w:jc w:val="right"/>
    </w:pPr>
    <w:rPr>
      <w:rFonts w:ascii="Times New Roman" w:hAnsi="Times New Roman" w:eastAsia="宋体" w:cs="Times New Roman"/>
      <w:sz w:val="18"/>
      <w:lang w:val="en-US" w:eastAsia="zh-CN" w:bidi="ar-SA"/>
    </w:rPr>
  </w:style>
  <w:style w:type="paragraph" w:styleId="44">
    <w:name w:val="List Paragraph"/>
    <w:basedOn w:val="1"/>
    <w:qFormat/>
    <w:uiPriority w:val="34"/>
    <w:pPr>
      <w:ind w:firstLine="420" w:firstLineChars="200"/>
    </w:pPr>
    <w:rPr>
      <w:rFonts w:ascii="等线" w:hAnsi="等线" w:eastAsia="等线" w:cs="Times New Roman"/>
      <w:szCs w:val="22"/>
    </w:rPr>
  </w:style>
  <w:style w:type="paragraph" w:customStyle="1" w:styleId="45">
    <w:name w:val="博士论文正文"/>
    <w:basedOn w:val="1"/>
    <w:qFormat/>
    <w:uiPriority w:val="0"/>
    <w:pPr>
      <w:spacing w:line="360" w:lineRule="auto"/>
      <w:ind w:firstLine="471"/>
      <w:outlineLvl w:val="0"/>
    </w:pPr>
    <w:rPr>
      <w:rFonts w:ascii="宋体" w:hAnsi="宋体" w:cs="Times New Roman"/>
      <w:kern w:val="0"/>
      <w:sz w:val="24"/>
      <w:szCs w:val="24"/>
    </w:rPr>
  </w:style>
  <w:style w:type="paragraph" w:customStyle="1" w:styleId="46">
    <w:name w:val="郑大表序表名"/>
    <w:basedOn w:val="1"/>
    <w:qFormat/>
    <w:uiPriority w:val="0"/>
    <w:pPr>
      <w:spacing w:before="120" w:after="120"/>
      <w:ind w:firstLine="200" w:firstLineChars="200"/>
      <w:jc w:val="center"/>
    </w:pPr>
    <w:rPr>
      <w:rFonts w:ascii="Times New Roman" w:hAnsi="Times New Roman" w:eastAsia="宋体"/>
    </w:rPr>
  </w:style>
  <w:style w:type="paragraph" w:customStyle="1" w:styleId="47">
    <w:name w:val="样式 样式 样式 样式 正文2 + 左侧:  0.56 厘米 首行缩进:  2 字符 右侧:  -0.01 厘米 + 首行缩进:...3"/>
    <w:basedOn w:val="48"/>
    <w:qFormat/>
    <w:uiPriority w:val="0"/>
  </w:style>
  <w:style w:type="paragraph" w:customStyle="1" w:styleId="48">
    <w:name w:val="样式 样式 样式 正文2 + 左侧:  0.56 厘米 首行缩进:  2 字符 右侧:  -0.01 厘米 + 首行缩进:  2..."/>
    <w:basedOn w:val="49"/>
    <w:qFormat/>
    <w:uiPriority w:val="0"/>
  </w:style>
  <w:style w:type="paragraph" w:customStyle="1" w:styleId="49">
    <w:name w:val="样式 样式 正文2 + 左侧:  0.56 厘米 首行缩进:  2 字符 右侧:  -0.01 厘米 + 首行缩进:  2 字符"/>
    <w:basedOn w:val="50"/>
    <w:qFormat/>
    <w:uiPriority w:val="0"/>
  </w:style>
  <w:style w:type="paragraph" w:customStyle="1" w:styleId="50">
    <w:name w:val="样式 正文2 + 左侧:  0.56 厘米 首行缩进:  2 字符 右侧:  -0.01 厘米"/>
    <w:basedOn w:val="51"/>
    <w:qFormat/>
    <w:uiPriority w:val="0"/>
    <w:rPr>
      <w:rFonts w:cs="宋体"/>
      <w:szCs w:val="20"/>
    </w:rPr>
  </w:style>
  <w:style w:type="paragraph" w:customStyle="1" w:styleId="51">
    <w:name w:val="正文2"/>
    <w:basedOn w:val="1"/>
    <w:next w:val="1"/>
    <w:qFormat/>
    <w:uiPriority w:val="0"/>
    <w:pPr>
      <w:spacing w:line="360" w:lineRule="auto"/>
      <w:ind w:firstLine="200" w:firstLineChars="200"/>
    </w:pPr>
    <w:rPr>
      <w:kern w:val="0"/>
      <w:sz w:val="24"/>
    </w:rPr>
  </w:style>
  <w:style w:type="paragraph" w:customStyle="1" w:styleId="52">
    <w:name w:val="标准正文"/>
    <w:qFormat/>
    <w:uiPriority w:val="0"/>
    <w:pPr>
      <w:spacing w:line="400" w:lineRule="exact"/>
    </w:pPr>
    <w:rPr>
      <w:rFonts w:ascii="Times New Roman" w:hAnsi="Times New Roman" w:eastAsia="宋体" w:cs="Times New Roman"/>
      <w:color w:val="000000"/>
      <w:kern w:val="2"/>
      <w:sz w:val="21"/>
      <w:szCs w:val="24"/>
      <w:lang w:val="en-US" w:eastAsia="zh-CN" w:bidi="ar-SA"/>
    </w:rPr>
  </w:style>
  <w:style w:type="paragraph" w:customStyle="1" w:styleId="53">
    <w:name w:val="TOC Heading"/>
    <w:basedOn w:val="2"/>
    <w:next w:val="1"/>
    <w:unhideWhenUsed/>
    <w:qFormat/>
    <w:uiPriority w:val="39"/>
    <w:pPr>
      <w:widowControl/>
      <w:spacing w:before="480" w:line="276" w:lineRule="auto"/>
      <w:jc w:val="left"/>
      <w:outlineLvl w:val="9"/>
    </w:pPr>
    <w:rPr>
      <w:rFonts w:ascii="Cambria" w:hAnsi="Cambria" w:eastAsia="宋体" w:cs="Times New Roman"/>
      <w:color w:val="366091"/>
      <w:kern w:val="0"/>
      <w:szCs w:val="28"/>
    </w:rPr>
  </w:style>
  <w:style w:type="character" w:customStyle="1" w:styleId="54">
    <w:name w:val="font41"/>
    <w:basedOn w:val="19"/>
    <w:uiPriority w:val="0"/>
    <w:rPr>
      <w:rFonts w:hint="default" w:ascii="Times New Roman" w:hAnsi="Times New Roman" w:cs="Times New Roman"/>
      <w:color w:val="000000"/>
      <w:sz w:val="21"/>
      <w:szCs w:val="21"/>
      <w:u w:val="none"/>
    </w:rPr>
  </w:style>
  <w:style w:type="character" w:customStyle="1" w:styleId="55">
    <w:name w:val="font51"/>
    <w:basedOn w:val="19"/>
    <w:uiPriority w:val="0"/>
    <w:rPr>
      <w:rFonts w:hint="default" w:ascii="Times New Roman" w:hAnsi="Times New Roman" w:cs="Times New Roman"/>
      <w:color w:val="000000"/>
      <w:sz w:val="21"/>
      <w:szCs w:val="21"/>
      <w:u w:val="none"/>
      <w:vertAlign w:val="superscript"/>
    </w:rPr>
  </w:style>
  <w:style w:type="character" w:customStyle="1" w:styleId="56">
    <w:name w:val="font21"/>
    <w:basedOn w:val="19"/>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header" Target="header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jujumao</Company>
  <Pages>28</Pages>
  <Words>18493</Words>
  <Characters>19938</Characters>
  <Lines>85</Lines>
  <Paragraphs>23</Paragraphs>
  <TotalTime>29</TotalTime>
  <ScaleCrop>false</ScaleCrop>
  <LinksUpToDate>false</LinksUpToDate>
  <CharactersWithSpaces>20113</CharactersWithSpaces>
  <Application>WPS Office_11.1.0.12165_F1E327BC-269C-435d-A152-05C5408002CA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2022-07-03T15:22:00Z</dcterms:created>
  <dc:creator>user</dc:creator>
  <cp:lastModifiedBy>Xinxin Ma</cp:lastModifiedBy>
  <cp:lastPrinted>2024-08-28T07:30:00Z</cp:lastPrinted>
  <dcterms:modified xsi:type="dcterms:W3CDTF">2026-02-27T01:49:03Z</dcterms:modified>
  <dc:title>《预应力钢筒混凝土管接头用型钢》行标制定项目资料之二</dc:title>
  <cp:revision>415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2052-11.1.0.12165</vt:lpwstr>
  </property>
  <property fmtid="{D5CDD505-2E9C-101B-9397-08002B2CF9AE}" pid="3" name="KSOTemplateDocerSaveRecord">
    <vt:lpwstr>eyJoZGlkIjoiMzNiYjI1YzNiNTBlMTdkZWZiZjI1M2M4NzA1N2Y4NDgiLCJ1c2VySWQiOiI1MDY1OTQ3ODUifQ==</vt:lpwstr>
  </property>
  <property fmtid="{D5CDD505-2E9C-101B-9397-08002B2CF9AE}" pid="4" name="ICV">
    <vt:lpwstr>7D82671D810D426DA3AADABB442B6E08_13</vt:lpwstr>
  </property>
</Properties>
</file>