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AE569">
      <w:pPr>
        <w:ind w:firstLine="665"/>
        <w:jc w:val="center"/>
        <w:rPr>
          <w:rFonts w:hint="eastAsia" w:ascii="黑体" w:hAnsi="黑体" w:eastAsia="黑体"/>
          <w:b/>
          <w:bCs/>
          <w:sz w:val="32"/>
          <w:szCs w:val="32"/>
        </w:rPr>
      </w:pPr>
      <w:r>
        <w:rPr>
          <w:rFonts w:hint="eastAsia" w:ascii="黑体" w:hAnsi="黑体" w:eastAsia="黑体"/>
          <w:b/>
          <w:bCs/>
          <w:sz w:val="32"/>
          <w:szCs w:val="32"/>
        </w:rPr>
        <w:t>协会标准项目建议书</w:t>
      </w:r>
    </w:p>
    <w:tbl>
      <w:tblPr>
        <w:tblStyle w:val="8"/>
        <w:tblW w:w="909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76"/>
        <w:gridCol w:w="1080"/>
        <w:gridCol w:w="983"/>
        <w:gridCol w:w="1134"/>
        <w:gridCol w:w="1483"/>
        <w:gridCol w:w="76"/>
        <w:gridCol w:w="1305"/>
        <w:gridCol w:w="44"/>
        <w:gridCol w:w="1517"/>
      </w:tblGrid>
      <w:tr w14:paraId="3D06FC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F409B23">
            <w:pPr>
              <w:ind w:firstLine="0" w:firstLineChars="0"/>
              <w:rPr>
                <w:szCs w:val="18"/>
              </w:rPr>
            </w:pPr>
            <w:r>
              <w:rPr>
                <w:rFonts w:hint="eastAsia"/>
                <w:szCs w:val="18"/>
              </w:rPr>
              <w:t>建议项目名称</w:t>
            </w:r>
          </w:p>
          <w:p w14:paraId="757F2B26">
            <w:pPr>
              <w:ind w:firstLine="0" w:firstLineChars="0"/>
              <w:rPr>
                <w:szCs w:val="18"/>
              </w:rPr>
            </w:pPr>
            <w:r>
              <w:rPr>
                <w:szCs w:val="18"/>
              </w:rPr>
              <w:t>(</w:t>
            </w:r>
            <w:r>
              <w:rPr>
                <w:rFonts w:hint="eastAsia"/>
                <w:szCs w:val="18"/>
              </w:rPr>
              <w:t>中文</w:t>
            </w:r>
            <w:r>
              <w:rPr>
                <w:szCs w:val="18"/>
              </w:rPr>
              <w:t>)</w:t>
            </w:r>
          </w:p>
        </w:tc>
        <w:tc>
          <w:tcPr>
            <w:tcW w:w="3197" w:type="dxa"/>
            <w:gridSpan w:val="3"/>
            <w:tcBorders>
              <w:top w:val="single" w:color="auto" w:sz="4" w:space="0"/>
              <w:left w:val="single" w:color="auto" w:sz="4" w:space="0"/>
              <w:bottom w:val="single" w:color="auto" w:sz="4" w:space="0"/>
              <w:right w:val="single" w:color="auto" w:sz="4" w:space="0"/>
            </w:tcBorders>
            <w:vAlign w:val="center"/>
          </w:tcPr>
          <w:p w14:paraId="331CAB1B">
            <w:pPr>
              <w:ind w:firstLine="0" w:firstLineChars="0"/>
              <w:rPr>
                <w:rFonts w:hint="default" w:eastAsia="宋体"/>
                <w:szCs w:val="18"/>
                <w:lang w:val="en-US" w:eastAsia="zh-CN"/>
              </w:rPr>
            </w:pPr>
            <w:r>
              <w:rPr>
                <w:rFonts w:hint="eastAsia"/>
                <w:szCs w:val="18"/>
                <w:lang w:val="en-US" w:eastAsia="zh-CN"/>
              </w:rPr>
              <w:t>电熔法玄武岩纤维原料均质化要求</w:t>
            </w:r>
          </w:p>
        </w:tc>
        <w:tc>
          <w:tcPr>
            <w:tcW w:w="1483" w:type="dxa"/>
            <w:tcBorders>
              <w:top w:val="single" w:color="auto" w:sz="4" w:space="0"/>
              <w:left w:val="single" w:color="auto" w:sz="4" w:space="0"/>
              <w:bottom w:val="single" w:color="auto" w:sz="4" w:space="0"/>
              <w:right w:val="single" w:color="auto" w:sz="4" w:space="0"/>
            </w:tcBorders>
            <w:vAlign w:val="center"/>
          </w:tcPr>
          <w:p w14:paraId="5D5F9D8A">
            <w:pPr>
              <w:ind w:firstLine="0" w:firstLineChars="0"/>
              <w:rPr>
                <w:szCs w:val="18"/>
              </w:rPr>
            </w:pPr>
            <w:r>
              <w:rPr>
                <w:rFonts w:hint="eastAsia"/>
                <w:szCs w:val="18"/>
              </w:rPr>
              <w:t>建议项目名称</w:t>
            </w:r>
          </w:p>
          <w:p w14:paraId="286837A1">
            <w:pPr>
              <w:ind w:firstLine="0" w:firstLineChars="0"/>
              <w:rPr>
                <w:szCs w:val="18"/>
              </w:rPr>
            </w:pPr>
            <w:r>
              <w:rPr>
                <w:szCs w:val="18"/>
              </w:rPr>
              <w:t>(</w:t>
            </w:r>
            <w:r>
              <w:rPr>
                <w:rFonts w:hint="eastAsia"/>
                <w:szCs w:val="18"/>
              </w:rPr>
              <w:t>英文</w:t>
            </w:r>
            <w:r>
              <w:rPr>
                <w:szCs w:val="18"/>
              </w:rPr>
              <w:t>)</w:t>
            </w:r>
          </w:p>
        </w:tc>
        <w:tc>
          <w:tcPr>
            <w:tcW w:w="2942" w:type="dxa"/>
            <w:gridSpan w:val="4"/>
            <w:tcBorders>
              <w:top w:val="single" w:color="auto" w:sz="4" w:space="0"/>
              <w:left w:val="single" w:color="auto" w:sz="4" w:space="0"/>
              <w:bottom w:val="single" w:color="auto" w:sz="4" w:space="0"/>
              <w:right w:val="single" w:color="auto" w:sz="4" w:space="0"/>
            </w:tcBorders>
            <w:vAlign w:val="center"/>
          </w:tcPr>
          <w:p w14:paraId="0E72DF36">
            <w:pPr>
              <w:ind w:firstLine="0" w:firstLineChars="0"/>
              <w:rPr>
                <w:szCs w:val="18"/>
              </w:rPr>
            </w:pPr>
            <w:r>
              <w:rPr>
                <w:rFonts w:hint="eastAsia" w:ascii="Segoe UI Emoji" w:hAnsi="Segoe UI Emoji" w:eastAsia="Segoe UI Emoji" w:cs="Segoe UI Emoji"/>
                <w:i w:val="0"/>
                <w:iCs w:val="0"/>
                <w:caps w:val="0"/>
                <w:color w:val="000000"/>
                <w:spacing w:val="0"/>
                <w:sz w:val="16"/>
                <w:szCs w:val="16"/>
              </w:rPr>
              <w:t>Homogenization Requirements for Raw Materials of Electric Melting Basalt Fiber</w:t>
            </w:r>
          </w:p>
        </w:tc>
      </w:tr>
      <w:tr w14:paraId="148816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2E6667FD">
            <w:pPr>
              <w:ind w:firstLine="0" w:firstLineChars="0"/>
              <w:rPr>
                <w:szCs w:val="18"/>
              </w:rPr>
            </w:pPr>
            <w:r>
              <w:rPr>
                <w:rFonts w:hint="eastAsia"/>
                <w:szCs w:val="18"/>
              </w:rPr>
              <w:t>制定或修订</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4C1669C5">
            <w:pPr>
              <w:ind w:firstLine="0" w:firstLineChars="0"/>
              <w:rPr>
                <w:szCs w:val="18"/>
              </w:rPr>
            </w:pPr>
            <w:r>
              <w:rPr>
                <w:rFonts w:hint="eastAsia" w:ascii="宋体" w:hAnsi="宋体"/>
                <w:szCs w:val="18"/>
              </w:rPr>
              <w:t>■</w:t>
            </w:r>
            <w:r>
              <w:rPr>
                <w:rFonts w:hint="eastAsia"/>
                <w:szCs w:val="18"/>
              </w:rPr>
              <w:t>制定</w:t>
            </w:r>
          </w:p>
        </w:tc>
        <w:tc>
          <w:tcPr>
            <w:tcW w:w="1134" w:type="dxa"/>
            <w:tcBorders>
              <w:top w:val="single" w:color="auto" w:sz="4" w:space="0"/>
              <w:left w:val="single" w:color="auto" w:sz="4" w:space="0"/>
              <w:bottom w:val="single" w:color="auto" w:sz="4" w:space="0"/>
              <w:right w:val="single" w:color="auto" w:sz="4" w:space="0"/>
            </w:tcBorders>
            <w:vAlign w:val="center"/>
          </w:tcPr>
          <w:p w14:paraId="13516B4C">
            <w:pPr>
              <w:ind w:firstLine="0" w:firstLineChars="0"/>
              <w:rPr>
                <w:szCs w:val="18"/>
              </w:rPr>
            </w:pPr>
            <w:r>
              <w:rPr>
                <w:rFonts w:hint="eastAsia" w:ascii="宋体" w:hAnsi="宋体"/>
                <w:szCs w:val="18"/>
              </w:rPr>
              <w:t>□</w:t>
            </w:r>
            <w:r>
              <w:rPr>
                <w:rFonts w:hint="eastAsia"/>
                <w:szCs w:val="18"/>
              </w:rPr>
              <w:t>修订</w:t>
            </w:r>
          </w:p>
        </w:tc>
        <w:tc>
          <w:tcPr>
            <w:tcW w:w="1483" w:type="dxa"/>
            <w:tcBorders>
              <w:top w:val="single" w:color="auto" w:sz="4" w:space="0"/>
              <w:left w:val="single" w:color="auto" w:sz="4" w:space="0"/>
              <w:bottom w:val="single" w:color="auto" w:sz="4" w:space="0"/>
              <w:right w:val="single" w:color="auto" w:sz="4" w:space="0"/>
            </w:tcBorders>
            <w:vAlign w:val="center"/>
          </w:tcPr>
          <w:p w14:paraId="3B2FEE8E">
            <w:pPr>
              <w:ind w:firstLine="0" w:firstLineChars="0"/>
              <w:rPr>
                <w:szCs w:val="18"/>
              </w:rPr>
            </w:pPr>
            <w:r>
              <w:rPr>
                <w:rFonts w:hint="eastAsia"/>
                <w:szCs w:val="18"/>
              </w:rPr>
              <w:t>被修订标准号</w:t>
            </w:r>
          </w:p>
        </w:tc>
        <w:tc>
          <w:tcPr>
            <w:tcW w:w="2942" w:type="dxa"/>
            <w:gridSpan w:val="4"/>
            <w:tcBorders>
              <w:top w:val="single" w:color="auto" w:sz="4" w:space="0"/>
              <w:left w:val="single" w:color="auto" w:sz="4" w:space="0"/>
              <w:bottom w:val="single" w:color="auto" w:sz="4" w:space="0"/>
              <w:right w:val="single" w:color="auto" w:sz="4" w:space="0"/>
            </w:tcBorders>
            <w:vAlign w:val="center"/>
          </w:tcPr>
          <w:p w14:paraId="2569CAD8">
            <w:pPr>
              <w:ind w:firstLine="0" w:firstLineChars="0"/>
              <w:rPr>
                <w:szCs w:val="18"/>
              </w:rPr>
            </w:pPr>
          </w:p>
        </w:tc>
      </w:tr>
      <w:tr w14:paraId="7FAF9D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174D080A">
            <w:pPr>
              <w:ind w:firstLine="0" w:firstLineChars="0"/>
              <w:rPr>
                <w:szCs w:val="18"/>
              </w:rPr>
            </w:pPr>
            <w:r>
              <w:rPr>
                <w:rFonts w:hint="eastAsia"/>
                <w:szCs w:val="18"/>
              </w:rPr>
              <w:t>采用程度</w:t>
            </w:r>
          </w:p>
        </w:tc>
        <w:tc>
          <w:tcPr>
            <w:tcW w:w="1080" w:type="dxa"/>
            <w:tcBorders>
              <w:top w:val="single" w:color="auto" w:sz="4" w:space="0"/>
              <w:left w:val="single" w:color="auto" w:sz="4" w:space="0"/>
              <w:bottom w:val="single" w:color="auto" w:sz="4" w:space="0"/>
              <w:right w:val="single" w:color="auto" w:sz="4" w:space="0"/>
            </w:tcBorders>
            <w:vAlign w:val="center"/>
          </w:tcPr>
          <w:p w14:paraId="24CE2445">
            <w:pPr>
              <w:ind w:firstLine="0" w:firstLineChars="0"/>
              <w:rPr>
                <w:szCs w:val="18"/>
              </w:rPr>
            </w:pPr>
            <w:r>
              <w:rPr>
                <w:rFonts w:hint="eastAsia" w:ascii="宋体" w:hAnsi="宋体"/>
                <w:szCs w:val="18"/>
              </w:rPr>
              <w:t>□</w:t>
            </w:r>
            <w:r>
              <w:rPr>
                <w:szCs w:val="18"/>
              </w:rPr>
              <w:t>IDT</w:t>
            </w:r>
          </w:p>
        </w:tc>
        <w:tc>
          <w:tcPr>
            <w:tcW w:w="983" w:type="dxa"/>
            <w:tcBorders>
              <w:top w:val="single" w:color="auto" w:sz="4" w:space="0"/>
              <w:left w:val="single" w:color="auto" w:sz="4" w:space="0"/>
              <w:bottom w:val="single" w:color="auto" w:sz="4" w:space="0"/>
              <w:right w:val="single" w:color="auto" w:sz="4" w:space="0"/>
            </w:tcBorders>
            <w:vAlign w:val="center"/>
          </w:tcPr>
          <w:p w14:paraId="3B466364">
            <w:pPr>
              <w:ind w:firstLine="0" w:firstLineChars="0"/>
              <w:rPr>
                <w:szCs w:val="18"/>
              </w:rPr>
            </w:pPr>
            <w:r>
              <w:rPr>
                <w:rFonts w:hint="eastAsia" w:ascii="宋体" w:hAnsi="宋体"/>
                <w:szCs w:val="18"/>
              </w:rPr>
              <w:t>□</w:t>
            </w:r>
            <w:r>
              <w:rPr>
                <w:szCs w:val="18"/>
              </w:rPr>
              <w:t>MOD</w:t>
            </w:r>
          </w:p>
        </w:tc>
        <w:tc>
          <w:tcPr>
            <w:tcW w:w="1134" w:type="dxa"/>
            <w:tcBorders>
              <w:top w:val="single" w:color="auto" w:sz="4" w:space="0"/>
              <w:left w:val="single" w:color="auto" w:sz="4" w:space="0"/>
              <w:bottom w:val="single" w:color="auto" w:sz="4" w:space="0"/>
              <w:right w:val="single" w:color="auto" w:sz="4" w:space="0"/>
            </w:tcBorders>
            <w:vAlign w:val="center"/>
          </w:tcPr>
          <w:p w14:paraId="46F10F57">
            <w:pPr>
              <w:ind w:firstLine="0" w:firstLineChars="0"/>
              <w:rPr>
                <w:szCs w:val="18"/>
              </w:rPr>
            </w:pPr>
            <w:r>
              <w:rPr>
                <w:rFonts w:hint="eastAsia" w:ascii="宋体" w:hAnsi="宋体"/>
                <w:szCs w:val="18"/>
              </w:rPr>
              <w:t>□</w:t>
            </w:r>
            <w:r>
              <w:rPr>
                <w:szCs w:val="18"/>
              </w:rPr>
              <w:t>NEQ</w:t>
            </w:r>
          </w:p>
        </w:tc>
        <w:tc>
          <w:tcPr>
            <w:tcW w:w="1483" w:type="dxa"/>
            <w:tcBorders>
              <w:top w:val="single" w:color="auto" w:sz="4" w:space="0"/>
              <w:left w:val="single" w:color="auto" w:sz="4" w:space="0"/>
              <w:bottom w:val="single" w:color="auto" w:sz="4" w:space="0"/>
              <w:right w:val="single" w:color="auto" w:sz="4" w:space="0"/>
            </w:tcBorders>
            <w:vAlign w:val="center"/>
          </w:tcPr>
          <w:p w14:paraId="04BEEC6C">
            <w:pPr>
              <w:ind w:firstLine="0" w:firstLineChars="0"/>
              <w:rPr>
                <w:szCs w:val="18"/>
              </w:rPr>
            </w:pPr>
            <w:r>
              <w:rPr>
                <w:rFonts w:hint="eastAsia"/>
                <w:szCs w:val="18"/>
              </w:rPr>
              <w:t>采标号</w:t>
            </w:r>
          </w:p>
        </w:tc>
        <w:tc>
          <w:tcPr>
            <w:tcW w:w="2942" w:type="dxa"/>
            <w:gridSpan w:val="4"/>
            <w:tcBorders>
              <w:top w:val="single" w:color="auto" w:sz="4" w:space="0"/>
              <w:left w:val="single" w:color="auto" w:sz="4" w:space="0"/>
              <w:bottom w:val="single" w:color="auto" w:sz="4" w:space="0"/>
              <w:right w:val="single" w:color="auto" w:sz="4" w:space="0"/>
            </w:tcBorders>
            <w:vAlign w:val="center"/>
          </w:tcPr>
          <w:p w14:paraId="2029BB8B">
            <w:pPr>
              <w:ind w:firstLine="0" w:firstLineChars="0"/>
              <w:rPr>
                <w:szCs w:val="18"/>
              </w:rPr>
            </w:pPr>
          </w:p>
        </w:tc>
      </w:tr>
      <w:tr w14:paraId="76DEC2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33DDDE5E">
            <w:pPr>
              <w:ind w:firstLine="0" w:firstLineChars="0"/>
              <w:rPr>
                <w:szCs w:val="18"/>
              </w:rPr>
            </w:pPr>
            <w:r>
              <w:rPr>
                <w:rFonts w:hint="eastAsia"/>
                <w:szCs w:val="18"/>
              </w:rPr>
              <w:t>国际标准名称</w:t>
            </w:r>
          </w:p>
          <w:p w14:paraId="557AB572">
            <w:pPr>
              <w:ind w:firstLine="0" w:firstLineChars="0"/>
              <w:rPr>
                <w:szCs w:val="18"/>
              </w:rPr>
            </w:pPr>
            <w:r>
              <w:rPr>
                <w:szCs w:val="18"/>
              </w:rPr>
              <w:t>(</w:t>
            </w:r>
            <w:r>
              <w:rPr>
                <w:rFonts w:hint="eastAsia"/>
                <w:szCs w:val="18"/>
              </w:rPr>
              <w:t>中文</w:t>
            </w:r>
            <w:r>
              <w:rPr>
                <w:szCs w:val="18"/>
              </w:rPr>
              <w:t>)</w:t>
            </w:r>
          </w:p>
        </w:tc>
        <w:tc>
          <w:tcPr>
            <w:tcW w:w="3197" w:type="dxa"/>
            <w:gridSpan w:val="3"/>
            <w:tcBorders>
              <w:top w:val="single" w:color="auto" w:sz="4" w:space="0"/>
              <w:left w:val="single" w:color="auto" w:sz="4" w:space="0"/>
              <w:bottom w:val="single" w:color="auto" w:sz="4" w:space="0"/>
              <w:right w:val="single" w:color="auto" w:sz="4" w:space="0"/>
            </w:tcBorders>
            <w:vAlign w:val="center"/>
          </w:tcPr>
          <w:p w14:paraId="2DDDB619">
            <w:pPr>
              <w:ind w:firstLine="0" w:firstLineChars="0"/>
              <w:rPr>
                <w:szCs w:val="18"/>
              </w:rPr>
            </w:pPr>
            <w:r>
              <w:rPr>
                <w:rFonts w:hint="eastAsia"/>
                <w:szCs w:val="18"/>
              </w:rPr>
              <w:t>无</w:t>
            </w:r>
          </w:p>
        </w:tc>
        <w:tc>
          <w:tcPr>
            <w:tcW w:w="1483" w:type="dxa"/>
            <w:tcBorders>
              <w:top w:val="single" w:color="auto" w:sz="4" w:space="0"/>
              <w:left w:val="single" w:color="auto" w:sz="4" w:space="0"/>
              <w:bottom w:val="single" w:color="auto" w:sz="4" w:space="0"/>
              <w:right w:val="single" w:color="auto" w:sz="4" w:space="0"/>
            </w:tcBorders>
            <w:vAlign w:val="center"/>
          </w:tcPr>
          <w:p w14:paraId="49E31A62">
            <w:pPr>
              <w:ind w:firstLine="0" w:firstLineChars="0"/>
              <w:rPr>
                <w:szCs w:val="18"/>
              </w:rPr>
            </w:pPr>
            <w:r>
              <w:rPr>
                <w:rFonts w:hint="eastAsia"/>
                <w:szCs w:val="18"/>
              </w:rPr>
              <w:t>国际标准名称</w:t>
            </w:r>
          </w:p>
          <w:p w14:paraId="63EF822F">
            <w:pPr>
              <w:ind w:firstLine="0" w:firstLineChars="0"/>
              <w:rPr>
                <w:szCs w:val="18"/>
              </w:rPr>
            </w:pPr>
            <w:r>
              <w:rPr>
                <w:szCs w:val="18"/>
              </w:rPr>
              <w:t>(</w:t>
            </w:r>
            <w:r>
              <w:rPr>
                <w:rFonts w:hint="eastAsia"/>
                <w:szCs w:val="18"/>
              </w:rPr>
              <w:t>英文</w:t>
            </w:r>
            <w:r>
              <w:rPr>
                <w:szCs w:val="18"/>
              </w:rPr>
              <w:t>)</w:t>
            </w:r>
          </w:p>
        </w:tc>
        <w:tc>
          <w:tcPr>
            <w:tcW w:w="2942" w:type="dxa"/>
            <w:gridSpan w:val="4"/>
            <w:tcBorders>
              <w:top w:val="single" w:color="auto" w:sz="4" w:space="0"/>
              <w:left w:val="single" w:color="auto" w:sz="4" w:space="0"/>
              <w:bottom w:val="single" w:color="auto" w:sz="4" w:space="0"/>
              <w:right w:val="single" w:color="auto" w:sz="4" w:space="0"/>
            </w:tcBorders>
            <w:vAlign w:val="center"/>
          </w:tcPr>
          <w:p w14:paraId="2C80F73B">
            <w:pPr>
              <w:ind w:firstLine="0" w:firstLineChars="0"/>
              <w:rPr>
                <w:szCs w:val="18"/>
              </w:rPr>
            </w:pPr>
            <w:r>
              <w:rPr>
                <w:rFonts w:hint="eastAsia"/>
                <w:szCs w:val="18"/>
              </w:rPr>
              <w:t>无</w:t>
            </w:r>
          </w:p>
        </w:tc>
      </w:tr>
      <w:tr w14:paraId="441403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9"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6AC19539">
            <w:pPr>
              <w:ind w:firstLine="0" w:firstLineChars="0"/>
              <w:rPr>
                <w:szCs w:val="18"/>
              </w:rPr>
            </w:pPr>
            <w:r>
              <w:rPr>
                <w:rFonts w:hint="eastAsia"/>
                <w:szCs w:val="18"/>
              </w:rPr>
              <w:t>采用快速程序</w:t>
            </w:r>
          </w:p>
        </w:tc>
        <w:tc>
          <w:tcPr>
            <w:tcW w:w="3197" w:type="dxa"/>
            <w:gridSpan w:val="3"/>
            <w:tcBorders>
              <w:top w:val="single" w:color="auto" w:sz="4" w:space="0"/>
              <w:left w:val="single" w:color="auto" w:sz="4" w:space="0"/>
              <w:bottom w:val="single" w:color="auto" w:sz="4" w:space="0"/>
              <w:right w:val="single" w:color="auto" w:sz="4" w:space="0"/>
            </w:tcBorders>
            <w:vAlign w:val="center"/>
          </w:tcPr>
          <w:p w14:paraId="62CA56F1">
            <w:pPr>
              <w:ind w:firstLine="0" w:firstLineChars="0"/>
              <w:rPr>
                <w:szCs w:val="18"/>
              </w:rPr>
            </w:pPr>
            <w:r>
              <w:rPr>
                <w:rFonts w:hint="eastAsia" w:ascii="宋体" w:hAnsi="宋体"/>
                <w:szCs w:val="18"/>
              </w:rPr>
              <w:t>□</w:t>
            </w:r>
            <w:r>
              <w:rPr>
                <w:szCs w:val="18"/>
              </w:rPr>
              <w:t>FTP</w:t>
            </w:r>
          </w:p>
        </w:tc>
        <w:tc>
          <w:tcPr>
            <w:tcW w:w="1483" w:type="dxa"/>
            <w:tcBorders>
              <w:top w:val="single" w:color="auto" w:sz="4" w:space="0"/>
              <w:left w:val="single" w:color="auto" w:sz="4" w:space="0"/>
              <w:bottom w:val="single" w:color="auto" w:sz="4" w:space="0"/>
              <w:right w:val="single" w:color="auto" w:sz="4" w:space="0"/>
            </w:tcBorders>
            <w:vAlign w:val="center"/>
          </w:tcPr>
          <w:p w14:paraId="48A604FB">
            <w:pPr>
              <w:ind w:firstLine="0" w:firstLineChars="0"/>
              <w:rPr>
                <w:szCs w:val="18"/>
              </w:rPr>
            </w:pPr>
            <w:r>
              <w:rPr>
                <w:rFonts w:hint="eastAsia"/>
                <w:szCs w:val="18"/>
              </w:rPr>
              <w:t>快速程序代码</w:t>
            </w:r>
          </w:p>
        </w:tc>
        <w:tc>
          <w:tcPr>
            <w:tcW w:w="1381" w:type="dxa"/>
            <w:gridSpan w:val="2"/>
            <w:tcBorders>
              <w:top w:val="single" w:color="auto" w:sz="4" w:space="0"/>
              <w:left w:val="single" w:color="auto" w:sz="4" w:space="0"/>
              <w:bottom w:val="single" w:color="auto" w:sz="4" w:space="0"/>
              <w:right w:val="single" w:color="auto" w:sz="4" w:space="0"/>
            </w:tcBorders>
            <w:vAlign w:val="center"/>
          </w:tcPr>
          <w:p w14:paraId="63015782">
            <w:pPr>
              <w:ind w:firstLine="0" w:firstLineChars="0"/>
              <w:rPr>
                <w:szCs w:val="18"/>
              </w:rPr>
            </w:pPr>
            <w:r>
              <w:rPr>
                <w:rFonts w:hint="eastAsia" w:ascii="宋体" w:hAnsi="宋体"/>
                <w:szCs w:val="18"/>
              </w:rPr>
              <w:t>□</w:t>
            </w:r>
            <w:r>
              <w:rPr>
                <w:szCs w:val="18"/>
              </w:rPr>
              <w:t>B</w:t>
            </w:r>
          </w:p>
        </w:tc>
        <w:tc>
          <w:tcPr>
            <w:tcW w:w="1561" w:type="dxa"/>
            <w:gridSpan w:val="2"/>
            <w:tcBorders>
              <w:top w:val="single" w:color="auto" w:sz="4" w:space="0"/>
              <w:left w:val="single" w:color="auto" w:sz="4" w:space="0"/>
              <w:bottom w:val="single" w:color="auto" w:sz="4" w:space="0"/>
              <w:right w:val="single" w:color="auto" w:sz="4" w:space="0"/>
            </w:tcBorders>
            <w:vAlign w:val="center"/>
          </w:tcPr>
          <w:p w14:paraId="20357FF5">
            <w:pPr>
              <w:ind w:firstLine="0" w:firstLineChars="0"/>
              <w:rPr>
                <w:szCs w:val="18"/>
              </w:rPr>
            </w:pPr>
            <w:r>
              <w:rPr>
                <w:rFonts w:hint="eastAsia" w:ascii="宋体" w:hAnsi="宋体"/>
                <w:szCs w:val="18"/>
              </w:rPr>
              <w:t>□</w:t>
            </w:r>
            <w:r>
              <w:rPr>
                <w:szCs w:val="18"/>
              </w:rPr>
              <w:t>C</w:t>
            </w:r>
          </w:p>
        </w:tc>
      </w:tr>
      <w:tr w14:paraId="0C815C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37147FF8">
            <w:pPr>
              <w:ind w:firstLine="0" w:firstLineChars="0"/>
              <w:rPr>
                <w:szCs w:val="18"/>
              </w:rPr>
            </w:pPr>
            <w:r>
              <w:rPr>
                <w:szCs w:val="18"/>
              </w:rPr>
              <w:t>ICS</w:t>
            </w:r>
            <w:r>
              <w:rPr>
                <w:rFonts w:hint="eastAsia"/>
                <w:szCs w:val="18"/>
              </w:rPr>
              <w:t>分类号</w:t>
            </w:r>
          </w:p>
        </w:tc>
        <w:tc>
          <w:tcPr>
            <w:tcW w:w="3197" w:type="dxa"/>
            <w:gridSpan w:val="3"/>
            <w:tcBorders>
              <w:top w:val="single" w:color="auto" w:sz="4" w:space="0"/>
              <w:left w:val="single" w:color="auto" w:sz="4" w:space="0"/>
              <w:bottom w:val="single" w:color="auto" w:sz="4" w:space="0"/>
              <w:right w:val="single" w:color="auto" w:sz="4" w:space="0"/>
            </w:tcBorders>
            <w:vAlign w:val="center"/>
          </w:tcPr>
          <w:p w14:paraId="0542C0FC">
            <w:pPr>
              <w:ind w:firstLine="0" w:firstLineChars="0"/>
              <w:rPr>
                <w:szCs w:val="18"/>
              </w:rPr>
            </w:pPr>
            <w:r>
              <w:rPr>
                <w:rFonts w:hint="eastAsia"/>
                <w:szCs w:val="18"/>
              </w:rPr>
              <w:t>59.10</w:t>
            </w:r>
            <w:r>
              <w:rPr>
                <w:szCs w:val="18"/>
              </w:rPr>
              <w:t>0</w:t>
            </w:r>
            <w:r>
              <w:rPr>
                <w:rFonts w:hint="eastAsia"/>
                <w:szCs w:val="18"/>
              </w:rPr>
              <w:t>.01</w:t>
            </w:r>
          </w:p>
        </w:tc>
        <w:tc>
          <w:tcPr>
            <w:tcW w:w="1483" w:type="dxa"/>
            <w:tcBorders>
              <w:top w:val="single" w:color="auto" w:sz="4" w:space="0"/>
              <w:left w:val="single" w:color="auto" w:sz="4" w:space="0"/>
              <w:bottom w:val="single" w:color="auto" w:sz="4" w:space="0"/>
              <w:right w:val="single" w:color="auto" w:sz="4" w:space="0"/>
            </w:tcBorders>
            <w:vAlign w:val="center"/>
          </w:tcPr>
          <w:p w14:paraId="7281D59A">
            <w:pPr>
              <w:ind w:firstLine="0" w:firstLineChars="0"/>
              <w:rPr>
                <w:szCs w:val="18"/>
              </w:rPr>
            </w:pPr>
            <w:r>
              <w:rPr>
                <w:rFonts w:hint="eastAsia"/>
                <w:szCs w:val="18"/>
              </w:rPr>
              <w:t>中国标准分类号</w:t>
            </w:r>
          </w:p>
        </w:tc>
        <w:tc>
          <w:tcPr>
            <w:tcW w:w="2942" w:type="dxa"/>
            <w:gridSpan w:val="4"/>
            <w:tcBorders>
              <w:top w:val="single" w:color="auto" w:sz="4" w:space="0"/>
              <w:left w:val="single" w:color="auto" w:sz="4" w:space="0"/>
              <w:bottom w:val="single" w:color="auto" w:sz="4" w:space="0"/>
              <w:right w:val="single" w:color="auto" w:sz="4" w:space="0"/>
            </w:tcBorders>
            <w:vAlign w:val="center"/>
          </w:tcPr>
          <w:p w14:paraId="54CCC7C0">
            <w:pPr>
              <w:ind w:firstLine="0" w:firstLineChars="0"/>
              <w:rPr>
                <w:szCs w:val="18"/>
              </w:rPr>
            </w:pPr>
            <w:r>
              <w:rPr>
                <w:rFonts w:hint="eastAsia"/>
                <w:szCs w:val="18"/>
              </w:rPr>
              <w:t>Q23</w:t>
            </w:r>
          </w:p>
        </w:tc>
      </w:tr>
      <w:tr w14:paraId="6D9B65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4"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8FA9498">
            <w:pPr>
              <w:ind w:firstLine="0" w:firstLineChars="0"/>
              <w:rPr>
                <w:szCs w:val="18"/>
              </w:rPr>
            </w:pPr>
            <w:r>
              <w:rPr>
                <w:rFonts w:hint="eastAsia" w:ascii="宋体" w:hAnsi="宋体" w:eastAsia="宋体"/>
                <w:sz w:val="18"/>
                <w:szCs w:val="18"/>
              </w:rPr>
              <w:t>标准主要起草单位</w:t>
            </w:r>
          </w:p>
        </w:tc>
        <w:tc>
          <w:tcPr>
            <w:tcW w:w="3197" w:type="dxa"/>
            <w:gridSpan w:val="3"/>
            <w:tcBorders>
              <w:top w:val="single" w:color="auto" w:sz="4" w:space="0"/>
              <w:left w:val="single" w:color="auto" w:sz="4" w:space="0"/>
              <w:bottom w:val="single" w:color="auto" w:sz="4" w:space="0"/>
              <w:right w:val="single" w:color="auto" w:sz="4" w:space="0"/>
            </w:tcBorders>
            <w:vAlign w:val="center"/>
          </w:tcPr>
          <w:p w14:paraId="0EF84D02">
            <w:pPr>
              <w:ind w:firstLine="0" w:firstLineChars="0"/>
              <w:rPr>
                <w:rFonts w:hint="eastAsia" w:eastAsia="宋体"/>
                <w:szCs w:val="18"/>
                <w:lang w:eastAsia="zh-CN"/>
              </w:rPr>
            </w:pPr>
            <w:r>
              <w:rPr>
                <w:rFonts w:hint="eastAsia"/>
                <w:szCs w:val="18"/>
                <w:lang w:val="en-US" w:eastAsia="zh-CN"/>
              </w:rPr>
              <w:t>汝阳县玄武岩产业研究院、</w:t>
            </w:r>
            <w:r>
              <w:rPr>
                <w:rFonts w:hint="eastAsia"/>
                <w:szCs w:val="18"/>
              </w:rPr>
              <w:t>中纤复材再生资源咨询服务（北京）有限公司</w:t>
            </w:r>
            <w:r>
              <w:rPr>
                <w:rFonts w:hint="eastAsia"/>
                <w:szCs w:val="18"/>
                <w:lang w:eastAsia="zh-CN"/>
              </w:rPr>
              <w:t>、</w:t>
            </w:r>
            <w:r>
              <w:rPr>
                <w:rFonts w:hint="eastAsia"/>
                <w:szCs w:val="18"/>
                <w:lang w:val="en-US" w:eastAsia="zh-CN"/>
              </w:rPr>
              <w:t>中国建筑材料工业规划研究院</w:t>
            </w:r>
          </w:p>
        </w:tc>
        <w:tc>
          <w:tcPr>
            <w:tcW w:w="1483" w:type="dxa"/>
            <w:tcBorders>
              <w:top w:val="single" w:color="auto" w:sz="4" w:space="0"/>
              <w:left w:val="single" w:color="auto" w:sz="4" w:space="0"/>
              <w:bottom w:val="single" w:color="auto" w:sz="4" w:space="0"/>
              <w:right w:val="single" w:color="auto" w:sz="4" w:space="0"/>
            </w:tcBorders>
            <w:vAlign w:val="center"/>
          </w:tcPr>
          <w:p w14:paraId="341E3AE5">
            <w:pPr>
              <w:ind w:firstLine="0" w:firstLineChars="0"/>
              <w:rPr>
                <w:szCs w:val="18"/>
              </w:rPr>
            </w:pPr>
            <w:r>
              <w:rPr>
                <w:rFonts w:hint="eastAsia"/>
                <w:szCs w:val="18"/>
              </w:rPr>
              <w:t>计划起止时间</w:t>
            </w:r>
          </w:p>
        </w:tc>
        <w:tc>
          <w:tcPr>
            <w:tcW w:w="2942" w:type="dxa"/>
            <w:gridSpan w:val="4"/>
            <w:tcBorders>
              <w:top w:val="single" w:color="auto" w:sz="4" w:space="0"/>
              <w:left w:val="single" w:color="auto" w:sz="4" w:space="0"/>
              <w:bottom w:val="single" w:color="auto" w:sz="4" w:space="0"/>
              <w:right w:val="single" w:color="auto" w:sz="4" w:space="0"/>
            </w:tcBorders>
            <w:vAlign w:val="center"/>
          </w:tcPr>
          <w:p w14:paraId="69A6D3A0">
            <w:pPr>
              <w:ind w:firstLine="0" w:firstLineChars="0"/>
              <w:rPr>
                <w:szCs w:val="18"/>
              </w:rPr>
            </w:pPr>
            <w:r>
              <w:rPr>
                <w:rFonts w:hint="eastAsia"/>
                <w:szCs w:val="18"/>
              </w:rPr>
              <w:t>2</w:t>
            </w:r>
            <w:r>
              <w:rPr>
                <w:szCs w:val="18"/>
              </w:rPr>
              <w:t>02</w:t>
            </w:r>
            <w:r>
              <w:rPr>
                <w:rFonts w:hint="eastAsia"/>
                <w:szCs w:val="18"/>
                <w:lang w:val="en-US" w:eastAsia="zh-CN"/>
              </w:rPr>
              <w:t>6</w:t>
            </w:r>
            <w:r>
              <w:rPr>
                <w:rFonts w:hint="eastAsia"/>
                <w:szCs w:val="18"/>
              </w:rPr>
              <w:t>年6月~</w:t>
            </w:r>
            <w:r>
              <w:rPr>
                <w:szCs w:val="18"/>
              </w:rPr>
              <w:t>202</w:t>
            </w:r>
            <w:r>
              <w:rPr>
                <w:rFonts w:hint="eastAsia"/>
                <w:szCs w:val="18"/>
              </w:rPr>
              <w:t>6年</w:t>
            </w:r>
            <w:r>
              <w:rPr>
                <w:rFonts w:hint="eastAsia"/>
                <w:szCs w:val="18"/>
                <w:lang w:val="en-US" w:eastAsia="zh-CN"/>
              </w:rPr>
              <w:t>11</w:t>
            </w:r>
            <w:r>
              <w:rPr>
                <w:rFonts w:hint="eastAsia"/>
                <w:szCs w:val="18"/>
              </w:rPr>
              <w:t>月</w:t>
            </w:r>
          </w:p>
        </w:tc>
      </w:tr>
      <w:tr w14:paraId="1115B3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2"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6E43D1E">
            <w:pPr>
              <w:ind w:firstLine="0" w:firstLineChars="0"/>
              <w:rPr>
                <w:szCs w:val="18"/>
              </w:rPr>
            </w:pPr>
            <w:bookmarkStart w:id="0" w:name="_GoBack"/>
            <w:bookmarkEnd w:id="0"/>
            <w:r>
              <w:rPr>
                <w:rFonts w:hint="eastAsia"/>
                <w:szCs w:val="18"/>
              </w:rPr>
              <w:t>目的、意义或必要性</w:t>
            </w:r>
          </w:p>
        </w:tc>
        <w:tc>
          <w:tcPr>
            <w:tcW w:w="7622" w:type="dxa"/>
            <w:gridSpan w:val="8"/>
            <w:tcBorders>
              <w:top w:val="single" w:color="auto" w:sz="4" w:space="0"/>
              <w:left w:val="single" w:color="auto" w:sz="4" w:space="0"/>
              <w:bottom w:val="single" w:color="auto" w:sz="4" w:space="0"/>
              <w:right w:val="single" w:color="auto" w:sz="4" w:space="0"/>
            </w:tcBorders>
            <w:vAlign w:val="center"/>
          </w:tcPr>
          <w:p w14:paraId="2BF6BB65">
            <w:pPr>
              <w:pStyle w:val="7"/>
              <w:keepNext w:val="0"/>
              <w:keepLines w:val="0"/>
              <w:widowControl/>
              <w:suppressLineNumbers w:val="0"/>
              <w:spacing w:before="0" w:beforeAutospacing="0" w:after="0" w:afterAutospacing="0" w:line="15" w:lineRule="atLeast"/>
              <w:ind w:left="0" w:right="0" w:firstLine="420"/>
              <w:jc w:val="both"/>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玄武岩连续纤维作为新型无机非金属材料的代表，凭借高强度、耐高温、耐腐蚀等卓越性能，深度融入航空航天、高端装备制造、建筑增强、新能源等战略性产业领域，已然成为推动我国新材料产业转型升级的核心要素。当前，我国玄武岩纤维产业步入规模化发展快车道，但原料端的标准碎片化困境，正成为产业高质量发展的瓶颈。因缺乏统一的原料标准要求，各生产企业主要参照企业内控标准或地方标准开展原料采购与质量管控，致使不同企业的原料化学成分波动显著、均质化水平偏低。据调研数据显示，部分企业使用的玄武岩矿石块料中SiO₂含量偏差可达±5%，Fe3+，Fe2+含量不稳定，从5%-18%</w:t>
            </w:r>
            <w:r>
              <w:rPr>
                <w:rFonts w:hint="eastAsia" w:cs="Times New Roman"/>
                <w:kern w:val="2"/>
                <w:sz w:val="18"/>
                <w:szCs w:val="24"/>
                <w:lang w:val="en-US" w:eastAsia="zh-CN" w:bidi="ar-SA"/>
              </w:rPr>
              <w:t>不等</w:t>
            </w:r>
            <w:r>
              <w:rPr>
                <w:rFonts w:hint="eastAsia" w:ascii="Times New Roman" w:hAnsi="Times New Roman" w:eastAsia="宋体" w:cs="Times New Roman"/>
                <w:kern w:val="2"/>
                <w:sz w:val="18"/>
                <w:szCs w:val="24"/>
                <w:lang w:val="en-US" w:eastAsia="zh-CN" w:bidi="ar-SA"/>
              </w:rPr>
              <w:t>，直接引发后续拉丝工艺稳定性下降，导致纤维产品断裂强度变异系数超过15%，难以满足高端应用场景严苛的质量标准要求。</w:t>
            </w:r>
          </w:p>
          <w:p w14:paraId="6476FC65">
            <w:pPr>
              <w:pStyle w:val="7"/>
              <w:keepNext w:val="0"/>
              <w:keepLines w:val="0"/>
              <w:widowControl/>
              <w:suppressLineNumbers w:val="0"/>
              <w:spacing w:before="0" w:beforeAutospacing="0" w:after="0" w:afterAutospacing="0" w:line="15" w:lineRule="atLeast"/>
              <w:ind w:left="0" w:right="0" w:firstLine="420"/>
              <w:jc w:val="both"/>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玄武岩纤维作为绿色环保材料，市场需求呈现强劲增长态势。2024年下半年，由于新疆阿拉尔的玄武岩纤维管道项目的推进，导致全国玄武岩纤维出现了库存清空的情况，2025年初，在中国玻璃纤维工业协会的引导下，玄武岩纤维产业出现了第三次的快速发展，合并产业经济环境的影响，玄武岩纤维成为了投资的重点方向，根据中国玻璃纤维工业协会玄武岩纤维及制品分会的统计，截止到2026年6月份，全国已经有超过270万吨的规划产能。然而，规划产能中还是有70%左右的以坩埚法</w:t>
            </w:r>
            <w:r>
              <w:rPr>
                <w:rFonts w:hint="eastAsia" w:cs="Times New Roman"/>
                <w:kern w:val="2"/>
                <w:sz w:val="18"/>
                <w:szCs w:val="24"/>
                <w:lang w:val="en-US" w:eastAsia="zh-CN" w:bidi="ar-SA"/>
              </w:rPr>
              <w:t>和小电窑</w:t>
            </w:r>
            <w:r>
              <w:rPr>
                <w:rFonts w:hint="eastAsia" w:ascii="Times New Roman" w:hAnsi="Times New Roman" w:eastAsia="宋体" w:cs="Times New Roman"/>
                <w:kern w:val="2"/>
                <w:sz w:val="18"/>
                <w:szCs w:val="24"/>
                <w:lang w:val="en-US" w:eastAsia="zh-CN" w:bidi="ar-SA"/>
              </w:rPr>
              <w:t>为主。玄武岩纤维从产业发展初期到现在已经25年了，国内大多数的产能还是以坩埚法为主，在发展过程中成立了近40家企业，然而，截止到目前为止，坩埚法拉丝仅存的也就3-5家；小电窑拉丝的也就3家左右。导致产业无法发展的根本原因，就是原料不均匀导致的产品性能的不稳定以及高额的成本。国家市场监督管理总局2023年对玄武岩纤维生产企业的抽检数据表明，因原料质量不稳定导致的产品合格率普遍偏低，部分企业产品合格率仅为70%。这种状况不仅显著增加了企业生产成本，还严重限制了产品在航空航天、国防军工等高端领域的应用拓展。通过制定国家标准统一原料质量门槛，能够有效推动产业从“低端产能扩张”向“高端质量提升”转型，与我国制造业高质量发展的战略需求高度契合。</w:t>
            </w:r>
          </w:p>
          <w:p w14:paraId="2F7A6727">
            <w:pPr>
              <w:pStyle w:val="7"/>
              <w:keepNext w:val="0"/>
              <w:keepLines w:val="0"/>
              <w:widowControl/>
              <w:suppressLineNumbers w:val="0"/>
              <w:spacing w:before="0" w:beforeAutospacing="0" w:after="0" w:afterAutospacing="0" w:line="15" w:lineRule="atLeast"/>
              <w:ind w:left="0" w:right="0" w:firstLine="420"/>
              <w:jc w:val="both"/>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在国家政策层面，《“十四五”原材料工业发展规划》明确指出，需加快推进玄武岩纤维等高性能纤维及复合材料标准体系建设，从而增强产业链供应链的稳定性与竞争力；《新产业标准化领航工程实施方案（2023─2035年）》更是将“制修订连续玄武岩纤维等高性能纤维及制品标准”列为重点攻坚任务，旨在通过标准引领，有效破解产业发展进程中的“卡脖子”难题。此外，依据《中华人民共和国标准化法》，国家积极鼓励制定契合产业发展需求</w:t>
            </w:r>
            <w:r>
              <w:rPr>
                <w:rFonts w:hint="eastAsia" w:cs="Times New Roman"/>
                <w:kern w:val="2"/>
                <w:sz w:val="18"/>
                <w:szCs w:val="24"/>
                <w:lang w:val="en-US" w:eastAsia="zh-CN" w:bidi="ar-SA"/>
              </w:rPr>
              <w:t>，推动</w:t>
            </w:r>
            <w:r>
              <w:rPr>
                <w:rFonts w:hint="eastAsia" w:ascii="Times New Roman" w:hAnsi="Times New Roman" w:eastAsia="宋体" w:cs="Times New Roman"/>
                <w:kern w:val="2"/>
                <w:sz w:val="18"/>
                <w:szCs w:val="24"/>
                <w:lang w:val="en-US" w:eastAsia="zh-CN" w:bidi="ar-SA"/>
              </w:rPr>
              <w:t>团体标准在适用范围与</w:t>
            </w:r>
            <w:r>
              <w:rPr>
                <w:rFonts w:hint="eastAsia" w:cs="Times New Roman"/>
                <w:kern w:val="2"/>
                <w:sz w:val="18"/>
                <w:szCs w:val="24"/>
                <w:lang w:val="en-US" w:eastAsia="zh-CN" w:bidi="ar-SA"/>
              </w:rPr>
              <w:t>专业领域的合理发展</w:t>
            </w:r>
            <w:r>
              <w:rPr>
                <w:rFonts w:hint="eastAsia" w:ascii="Times New Roman" w:hAnsi="Times New Roman" w:eastAsia="宋体" w:cs="Times New Roman"/>
                <w:kern w:val="2"/>
                <w:sz w:val="18"/>
                <w:szCs w:val="24"/>
                <w:lang w:val="en-US" w:eastAsia="zh-CN" w:bidi="ar-SA"/>
              </w:rPr>
              <w:t>。</w:t>
            </w:r>
          </w:p>
          <w:p w14:paraId="6C597C43">
            <w:pPr>
              <w:ind w:firstLine="360" w:firstLineChars="200"/>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目前，我国已形成完整的玄武岩纤维产业链，上游拥有玄武岩矿资源储备超100亿吨（主要分布在四川、内蒙古、山东等地），现有产能3万吨，规划产能超过270万吨；市场需求迫切而旺盛，玄武岩纤维因其良好的耐腐蚀、耐高温、高模量等特点得到广泛的需求，如海洋复合材料、盐碱地材料应用、防火隔离的应用，高模量产品以及建筑路桥等工程材料的应用等等；航空航天领域对高强度玄武岩纤维的需求年均增长30%，建筑增强领域需求年均增长25%，为标准实施提供了广阔的应用场景。</w:t>
            </w:r>
          </w:p>
          <w:p w14:paraId="500D432F">
            <w:pPr>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另外，玄武岩矿在原料检测技术方面，化学成分测定可依据 GB/T 40915（X 射线荧光光谱法）、GB/T 1549（纤维玻璃化学分析方法）等现行国家标准，这些方法已在玻璃纤维、陶瓷等行业广泛应用，检测精度可达±0.1%，能够满足玄武岩原料成分分析的需求；粒度测定采用GB/T 21524（筛分法），设备普及率高（行业内90%以上企业已配备相关设备），操作简便。</w:t>
            </w:r>
          </w:p>
          <w:p w14:paraId="173C9399">
            <w:pPr>
              <w:ind w:firstLine="360" w:firstLineChars="200"/>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在原料加工技术方面，均质化混合技术（如双螺旋混合机、气流混合技术）已实现产业化应用，可使原料成分均匀度达到98%以上；破碎技术（如颚式破碎机、冲击式破碎机）能够稳定控制矿石块料粒径偏差在±1mm以内，满足标准对原料粒度的要求。相关技术已通过长期生产验证，成熟度高，无需额外研发投入。</w:t>
            </w:r>
          </w:p>
          <w:p w14:paraId="6A424B63">
            <w:pPr>
              <w:pStyle w:val="7"/>
              <w:keepNext w:val="0"/>
              <w:keepLines w:val="0"/>
              <w:widowControl/>
              <w:suppressLineNumbers w:val="0"/>
              <w:spacing w:before="0" w:beforeAutospacing="0" w:after="0" w:afterAutospacing="0" w:line="15" w:lineRule="atLeast"/>
              <w:ind w:left="0" w:right="0" w:firstLine="420"/>
              <w:jc w:val="both"/>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本团体标准的制定将是</w:t>
            </w:r>
            <w:r>
              <w:rPr>
                <w:rFonts w:hint="eastAsia" w:cs="Times New Roman"/>
                <w:kern w:val="2"/>
                <w:sz w:val="18"/>
                <w:szCs w:val="24"/>
                <w:lang w:val="en-US" w:eastAsia="zh-CN" w:bidi="ar-SA"/>
              </w:rPr>
              <w:t>以小电窑及</w:t>
            </w:r>
            <w:r>
              <w:rPr>
                <w:rFonts w:hint="eastAsia" w:ascii="Times New Roman" w:hAnsi="Times New Roman" w:eastAsia="宋体" w:cs="Times New Roman"/>
                <w:kern w:val="2"/>
                <w:sz w:val="18"/>
                <w:szCs w:val="24"/>
                <w:lang w:val="en-US" w:eastAsia="zh-CN" w:bidi="ar-SA"/>
              </w:rPr>
              <w:t>坩埚拉丝的企业开展拉丝工作的基础依据，标准实施后可产生显著的经济、社会与生态效益。首先，标准实施后，将提高原料成分均匀度，可减少拉丝工艺中的断丝率，使纤维产品合格率提升至90%以上。</w:t>
            </w:r>
          </w:p>
          <w:p w14:paraId="72FC8B9A">
            <w:pPr>
              <w:pStyle w:val="7"/>
              <w:keepNext w:val="0"/>
              <w:keepLines w:val="0"/>
              <w:widowControl/>
              <w:suppressLineNumbers w:val="0"/>
              <w:spacing w:before="0" w:beforeAutospacing="0" w:after="0" w:afterAutospacing="0" w:line="15" w:lineRule="atLeast"/>
              <w:ind w:left="0" w:right="0" w:firstLine="420"/>
              <w:jc w:val="both"/>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通过精准锚定关键指标（如Fe₂O₃+FeO含量≥7.5%、烧失量≤8.0%），本标准将有效引导企业深耕优质矿源开发，加大均质化技术研发投入，切实增强产业链供应链的自主可控水平，为行业稳健发展筑牢安全基石。</w:t>
            </w:r>
          </w:p>
          <w:p w14:paraId="50115EA2">
            <w:pPr>
              <w:pStyle w:val="7"/>
              <w:keepNext w:val="0"/>
              <w:keepLines w:val="0"/>
              <w:widowControl/>
              <w:suppressLineNumbers w:val="0"/>
              <w:spacing w:before="0" w:beforeAutospacing="0" w:after="0" w:afterAutospacing="0" w:line="15" w:lineRule="atLeast"/>
              <w:ind w:left="0" w:right="0" w:firstLine="420"/>
              <w:jc w:val="both"/>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标准落地实施后，在稳定产品质量的基础上，推动产业规划化、工业化发展，将驱动原料加工企业向规模化、集约化方向转型升级，预计带动上下游产业新增就业岗位超5万个。同时，依托四川、内蒙古、云南等玄武岩矿资源富集地区，加速形成以优质矿源为核心的产业集群，为区域经济协同发展注入强劲动能。</w:t>
            </w:r>
          </w:p>
          <w:p w14:paraId="2ECAFFFA">
            <w:pPr>
              <w:ind w:firstLine="360" w:firstLineChars="200"/>
              <w:rPr>
                <w:rFonts w:hint="eastAsia" w:ascii="Times New Roman" w:hAnsi="Times New Roman" w:eastAsia="宋体" w:cs="Times New Roman"/>
                <w:kern w:val="2"/>
                <w:sz w:val="18"/>
                <w:szCs w:val="24"/>
                <w:lang w:val="en-US" w:eastAsia="zh-CN" w:bidi="ar-SA"/>
              </w:rPr>
            </w:pPr>
          </w:p>
        </w:tc>
      </w:tr>
      <w:tr w14:paraId="777A04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763184B5">
            <w:pPr>
              <w:ind w:firstLine="0" w:firstLineChars="0"/>
              <w:rPr>
                <w:szCs w:val="18"/>
              </w:rPr>
            </w:pPr>
            <w:r>
              <w:rPr>
                <w:rFonts w:hint="eastAsia"/>
                <w:szCs w:val="18"/>
              </w:rPr>
              <w:t>范围和主要</w:t>
            </w:r>
          </w:p>
          <w:p w14:paraId="620A7F84">
            <w:pPr>
              <w:ind w:firstLine="0" w:firstLineChars="0"/>
              <w:rPr>
                <w:szCs w:val="18"/>
              </w:rPr>
            </w:pPr>
            <w:r>
              <w:rPr>
                <w:rFonts w:hint="eastAsia"/>
                <w:szCs w:val="18"/>
              </w:rPr>
              <w:t>技术内容</w:t>
            </w:r>
          </w:p>
        </w:tc>
        <w:tc>
          <w:tcPr>
            <w:tcW w:w="7622" w:type="dxa"/>
            <w:gridSpan w:val="8"/>
            <w:tcBorders>
              <w:top w:val="single" w:color="auto" w:sz="4" w:space="0"/>
              <w:left w:val="single" w:color="auto" w:sz="4" w:space="0"/>
              <w:bottom w:val="single" w:color="auto" w:sz="4" w:space="0"/>
              <w:right w:val="single" w:color="auto" w:sz="4" w:space="0"/>
            </w:tcBorders>
            <w:vAlign w:val="center"/>
          </w:tcPr>
          <w:p w14:paraId="2465E942">
            <w:pPr>
              <w:pStyle w:val="16"/>
              <w:numPr>
                <w:ilvl w:val="0"/>
                <w:numId w:val="0"/>
              </w:numPr>
              <w:ind w:leftChars="0"/>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一、范围</w:t>
            </w:r>
          </w:p>
          <w:p w14:paraId="3CB75588">
            <w:pPr>
              <w:pStyle w:val="16"/>
              <w:numPr>
                <w:ilvl w:val="0"/>
                <w:numId w:val="0"/>
              </w:numPr>
              <w:ind w:leftChars="0" w:firstLine="360" w:firstLineChars="200"/>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规定了</w:t>
            </w:r>
            <w:r>
              <w:rPr>
                <w:rFonts w:hint="eastAsia" w:ascii="Times New Roman" w:hAnsi="Times New Roman" w:cs="Times New Roman"/>
                <w:kern w:val="2"/>
                <w:sz w:val="18"/>
                <w:szCs w:val="24"/>
                <w:lang w:val="en-US" w:eastAsia="zh-CN" w:bidi="ar-SA"/>
              </w:rPr>
              <w:t>电熔法</w:t>
            </w:r>
            <w:r>
              <w:rPr>
                <w:rFonts w:hint="eastAsia" w:ascii="Times New Roman" w:hAnsi="Times New Roman" w:eastAsia="宋体" w:cs="Times New Roman"/>
                <w:kern w:val="2"/>
                <w:sz w:val="18"/>
                <w:szCs w:val="24"/>
                <w:lang w:val="en-US" w:eastAsia="zh-CN" w:bidi="ar-SA"/>
              </w:rPr>
              <w:t>玄武岩</w:t>
            </w:r>
            <w:r>
              <w:rPr>
                <w:rFonts w:hint="eastAsia" w:ascii="Times New Roman" w:hAnsi="Times New Roman" w:cs="Times New Roman"/>
                <w:kern w:val="2"/>
                <w:sz w:val="18"/>
                <w:szCs w:val="24"/>
                <w:lang w:val="en-US" w:eastAsia="zh-CN" w:bidi="ar-SA"/>
              </w:rPr>
              <w:t>纤维均质化</w:t>
            </w:r>
            <w:r>
              <w:rPr>
                <w:rFonts w:hint="eastAsia" w:ascii="Times New Roman" w:hAnsi="Times New Roman" w:eastAsia="宋体" w:cs="Times New Roman"/>
                <w:kern w:val="2"/>
                <w:sz w:val="18"/>
                <w:szCs w:val="24"/>
                <w:lang w:val="en-US" w:eastAsia="zh-CN" w:bidi="ar-SA"/>
              </w:rPr>
              <w:t>原料的代号、技术要求、试验方法、检验规则、标志和包装、运输和贮存要求。适用于坩埚拉丝</w:t>
            </w:r>
            <w:r>
              <w:rPr>
                <w:rFonts w:hint="eastAsia" w:ascii="Times New Roman" w:hAnsi="Times New Roman" w:cs="Times New Roman"/>
                <w:kern w:val="2"/>
                <w:sz w:val="18"/>
                <w:szCs w:val="24"/>
                <w:lang w:val="en-US" w:eastAsia="zh-CN" w:bidi="ar-SA"/>
              </w:rPr>
              <w:t>和小电窑拉丝</w:t>
            </w:r>
            <w:r>
              <w:rPr>
                <w:rFonts w:hint="eastAsia" w:ascii="Times New Roman" w:hAnsi="Times New Roman" w:eastAsia="宋体" w:cs="Times New Roman"/>
                <w:kern w:val="2"/>
                <w:sz w:val="18"/>
                <w:szCs w:val="24"/>
                <w:lang w:val="en-US" w:eastAsia="zh-CN" w:bidi="ar-SA"/>
              </w:rPr>
              <w:t>用玄武岩原料，包括拉丝用玄武岩矿石块料、拉丝用玄武岩矿石粉料和拉丝用玄武岩矿石配合料。</w:t>
            </w:r>
          </w:p>
          <w:p w14:paraId="3F246A21">
            <w:pPr>
              <w:pStyle w:val="16"/>
              <w:numPr>
                <w:ilvl w:val="0"/>
                <w:numId w:val="0"/>
              </w:numPr>
              <w:ind w:leftChars="0"/>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二、主要技术内容</w:t>
            </w:r>
          </w:p>
          <w:p w14:paraId="1EB76813">
            <w:pPr>
              <w:pStyle w:val="16"/>
              <w:numPr>
                <w:ilvl w:val="0"/>
                <w:numId w:val="0"/>
              </w:numPr>
              <w:ind w:leftChars="0" w:firstLine="360" w:firstLineChars="200"/>
              <w:rPr>
                <w:rFonts w:hint="eastAsia"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明确了</w:t>
            </w:r>
            <w:r>
              <w:rPr>
                <w:rFonts w:hint="eastAsia" w:ascii="Times New Roman" w:hAnsi="Times New Roman" w:cs="Times New Roman"/>
                <w:kern w:val="2"/>
                <w:sz w:val="18"/>
                <w:szCs w:val="24"/>
                <w:lang w:val="en-US" w:eastAsia="zh-CN" w:bidi="ar-SA"/>
              </w:rPr>
              <w:t>坩埚</w:t>
            </w:r>
            <w:r>
              <w:rPr>
                <w:rFonts w:hint="eastAsia" w:ascii="Times New Roman" w:hAnsi="Times New Roman" w:eastAsia="宋体" w:cs="Times New Roman"/>
                <w:kern w:val="2"/>
                <w:sz w:val="18"/>
                <w:szCs w:val="24"/>
                <w:lang w:val="en-US" w:eastAsia="zh-CN" w:bidi="ar-SA"/>
              </w:rPr>
              <w:t>法拉丝</w:t>
            </w:r>
            <w:r>
              <w:rPr>
                <w:rFonts w:hint="eastAsia" w:ascii="Times New Roman" w:hAnsi="Times New Roman" w:cs="Times New Roman"/>
                <w:kern w:val="2"/>
                <w:sz w:val="18"/>
                <w:szCs w:val="24"/>
                <w:lang w:val="en-US" w:eastAsia="zh-CN" w:bidi="ar-SA"/>
              </w:rPr>
              <w:t>、小电窑拉丝</w:t>
            </w:r>
            <w:r>
              <w:rPr>
                <w:rFonts w:hint="eastAsia" w:ascii="Times New Roman" w:hAnsi="Times New Roman" w:eastAsia="宋体" w:cs="Times New Roman"/>
                <w:kern w:val="2"/>
                <w:sz w:val="18"/>
                <w:szCs w:val="24"/>
                <w:lang w:val="en-US" w:eastAsia="zh-CN" w:bidi="ar-SA"/>
              </w:rPr>
              <w:t>用玄武岩原料（块料、粉料、配合料）的代号构成要素；规定了技术要求，包括块料的主要成分区间，以及配合料的化学成分、成分均匀度、外观、粒度要求；确定了试验方法，其中化学成分按GB/T 40915或GB/T 1549测定，烧失量按GB/T 3286.11-2022相关规定测定；同时涵盖了原料的检验规则，以及标志和包装要求，为原料的标识、质量管控提供了标准依据。</w:t>
            </w:r>
          </w:p>
          <w:p w14:paraId="32552202">
            <w:pPr>
              <w:pStyle w:val="16"/>
              <w:numPr>
                <w:ilvl w:val="0"/>
                <w:numId w:val="0"/>
              </w:numPr>
              <w:ind w:leftChars="0"/>
              <w:rPr>
                <w:rFonts w:hint="eastAsia" w:ascii="Times New Roman" w:hAnsi="Times New Roman" w:eastAsia="宋体" w:cs="Times New Roman"/>
                <w:kern w:val="2"/>
                <w:sz w:val="18"/>
                <w:szCs w:val="24"/>
                <w:lang w:val="en-US" w:eastAsia="zh-CN" w:bidi="ar-SA"/>
              </w:rPr>
            </w:pPr>
          </w:p>
        </w:tc>
      </w:tr>
      <w:tr w14:paraId="773A59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67"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3EEF4C4B">
            <w:pPr>
              <w:ind w:firstLine="0" w:firstLineChars="0"/>
              <w:rPr>
                <w:szCs w:val="18"/>
              </w:rPr>
            </w:pPr>
            <w:r>
              <w:rPr>
                <w:rFonts w:hint="eastAsia"/>
                <w:szCs w:val="18"/>
              </w:rPr>
              <w:t>国内外情况</w:t>
            </w:r>
          </w:p>
          <w:p w14:paraId="5A4B877F">
            <w:pPr>
              <w:ind w:firstLine="0" w:firstLineChars="0"/>
              <w:rPr>
                <w:szCs w:val="18"/>
              </w:rPr>
            </w:pPr>
            <w:r>
              <w:rPr>
                <w:rFonts w:hint="eastAsia"/>
                <w:szCs w:val="18"/>
              </w:rPr>
              <w:t>简要说明</w:t>
            </w:r>
          </w:p>
        </w:tc>
        <w:tc>
          <w:tcPr>
            <w:tcW w:w="7622" w:type="dxa"/>
            <w:gridSpan w:val="8"/>
            <w:tcBorders>
              <w:top w:val="single" w:color="auto" w:sz="4" w:space="0"/>
              <w:left w:val="single" w:color="auto" w:sz="4" w:space="0"/>
              <w:bottom w:val="single" w:color="auto" w:sz="4" w:space="0"/>
              <w:right w:val="single" w:color="auto" w:sz="4" w:space="0"/>
            </w:tcBorders>
            <w:vAlign w:val="center"/>
          </w:tcPr>
          <w:p w14:paraId="675D6F50">
            <w:pPr>
              <w:numPr>
                <w:ilvl w:val="0"/>
                <w:numId w:val="1"/>
              </w:numPr>
              <w:spacing w:line="276" w:lineRule="auto"/>
              <w:ind w:firstLineChars="0"/>
            </w:pPr>
            <w:r>
              <w:rPr>
                <w:rFonts w:hint="eastAsia"/>
                <w:u w:val="single"/>
              </w:rPr>
              <w:t>国内外对该技术研究情况简要说明</w:t>
            </w:r>
            <w:r>
              <w:rPr>
                <w:rFonts w:hint="eastAsia"/>
              </w:rPr>
              <w:t>：</w:t>
            </w:r>
          </w:p>
          <w:p w14:paraId="39591E09">
            <w:pPr>
              <w:spacing w:line="276" w:lineRule="auto"/>
              <w:ind w:left="360"/>
              <w:rPr>
                <w:rFonts w:hint="default" w:eastAsia="宋体"/>
                <w:lang w:val="en-US" w:eastAsia="zh-CN"/>
              </w:rPr>
            </w:pPr>
            <w:r>
              <w:rPr>
                <w:rFonts w:hint="eastAsia"/>
                <w:lang w:val="en-US" w:eastAsia="zh-CN"/>
              </w:rPr>
              <w:t>国内坩埚法经历了20多年时间，我国玻璃纤维工业已经发展了70余年，对于坩埚、池窑拉丝技术已经成熟。现阶段坩埚法玄武岩纤维的根本是配料不稳定，成品率低，应用可靠性差，导致价格高居不下，产能和产量无法增长。矿石原料的均质化问题的解决，将会从根本上解决相关技术和市场问题。</w:t>
            </w:r>
          </w:p>
          <w:p w14:paraId="65EBFEB1">
            <w:pPr>
              <w:numPr>
                <w:ilvl w:val="0"/>
                <w:numId w:val="1"/>
              </w:numPr>
              <w:spacing w:line="276" w:lineRule="auto"/>
              <w:ind w:firstLineChars="0"/>
            </w:pPr>
            <w:r>
              <w:rPr>
                <w:rFonts w:hint="eastAsia"/>
                <w:u w:val="single"/>
              </w:rPr>
              <w:t>项目与国际标准或国外先进标准采用程度的考虑：</w:t>
            </w:r>
          </w:p>
          <w:p w14:paraId="60986837">
            <w:pPr>
              <w:spacing w:line="276" w:lineRule="auto"/>
              <w:ind w:left="360"/>
            </w:pPr>
            <w:r>
              <w:rPr>
                <w:rFonts w:hint="eastAsia"/>
              </w:rPr>
              <w:t>该项目没有发现对应的国际标准或国外先进标准。</w:t>
            </w:r>
          </w:p>
          <w:p w14:paraId="5A2F67FC">
            <w:pPr>
              <w:numPr>
                <w:ilvl w:val="0"/>
                <w:numId w:val="1"/>
              </w:numPr>
              <w:spacing w:line="276" w:lineRule="auto"/>
              <w:ind w:firstLineChars="0"/>
            </w:pPr>
            <w:r>
              <w:rPr>
                <w:rFonts w:hint="eastAsia"/>
                <w:u w:val="single"/>
              </w:rPr>
              <w:t>与国内相关标准间的关系：</w:t>
            </w:r>
          </w:p>
          <w:p w14:paraId="2385D871">
            <w:pPr>
              <w:pStyle w:val="7"/>
              <w:keepNext w:val="0"/>
              <w:keepLines w:val="0"/>
              <w:widowControl/>
              <w:suppressLineNumbers w:val="0"/>
              <w:spacing w:before="0" w:beforeAutospacing="0" w:after="0" w:afterAutospacing="0" w:line="15" w:lineRule="atLeast"/>
              <w:ind w:left="0" w:right="0" w:firstLine="420"/>
              <w:jc w:val="both"/>
              <w:rPr>
                <w:rFonts w:hint="default" w:ascii="Times New Roman" w:hAnsi="Times New Roman" w:eastAsia="宋体" w:cs="Times New Roman"/>
                <w:kern w:val="2"/>
                <w:sz w:val="18"/>
                <w:szCs w:val="24"/>
                <w:u w:val="single"/>
                <w:lang w:val="en-US" w:eastAsia="zh-CN" w:bidi="ar-SA"/>
              </w:rPr>
            </w:pPr>
            <w:r>
              <w:rPr>
                <w:rFonts w:hint="eastAsia" w:ascii="Times New Roman" w:hAnsi="Times New Roman" w:eastAsia="宋体" w:cs="Times New Roman"/>
                <w:kern w:val="2"/>
                <w:sz w:val="18"/>
                <w:szCs w:val="24"/>
                <w:u w:val="single"/>
                <w:lang w:val="en-US" w:eastAsia="zh-CN" w:bidi="ar-SA"/>
              </w:rPr>
              <w:t>由四川省市场监督及管理局提出并归口的</w:t>
            </w:r>
            <w:r>
              <w:rPr>
                <w:rFonts w:hint="default" w:ascii="Times New Roman" w:hAnsi="Times New Roman" w:eastAsia="宋体" w:cs="Times New Roman"/>
                <w:kern w:val="2"/>
                <w:sz w:val="18"/>
                <w:szCs w:val="24"/>
                <w:u w:val="single"/>
                <w:lang w:val="en-US" w:eastAsia="zh-CN" w:bidi="ar-SA"/>
              </w:rPr>
              <w:t>DB51/T 2845—2021</w:t>
            </w:r>
            <w:r>
              <w:rPr>
                <w:rFonts w:hint="eastAsia" w:ascii="Times New Roman" w:hAnsi="Times New Roman" w:eastAsia="宋体" w:cs="Times New Roman"/>
                <w:kern w:val="2"/>
                <w:sz w:val="18"/>
                <w:szCs w:val="24"/>
                <w:u w:val="single"/>
                <w:lang w:val="en-US" w:eastAsia="zh-CN" w:bidi="ar-SA"/>
              </w:rPr>
              <w:t>《</w:t>
            </w:r>
            <w:r>
              <w:rPr>
                <w:rFonts w:hint="default" w:ascii="Times New Roman" w:hAnsi="Times New Roman" w:eastAsia="宋体" w:cs="Times New Roman"/>
                <w:kern w:val="2"/>
                <w:sz w:val="18"/>
                <w:szCs w:val="24"/>
                <w:u w:val="single"/>
                <w:lang w:val="en-US" w:eastAsia="zh-CN" w:bidi="ar-SA"/>
              </w:rPr>
              <w:t>连续玄武岩纤维生产原料技术规范</w:t>
            </w:r>
            <w:r>
              <w:rPr>
                <w:rFonts w:hint="eastAsia" w:ascii="Times New Roman" w:hAnsi="Times New Roman" w:eastAsia="宋体" w:cs="Times New Roman"/>
                <w:kern w:val="2"/>
                <w:sz w:val="18"/>
                <w:szCs w:val="24"/>
                <w:u w:val="single"/>
                <w:lang w:val="en-US" w:eastAsia="zh-CN" w:bidi="ar-SA"/>
              </w:rPr>
              <w:t>》已经作废，作废原因也是因无法适应产业发展。</w:t>
            </w:r>
          </w:p>
          <w:p w14:paraId="287FC1E9">
            <w:pPr>
              <w:pStyle w:val="7"/>
              <w:keepNext w:val="0"/>
              <w:keepLines w:val="0"/>
              <w:widowControl/>
              <w:suppressLineNumbers w:val="0"/>
              <w:spacing w:before="0" w:beforeAutospacing="0" w:after="0" w:afterAutospacing="0" w:line="15" w:lineRule="atLeast"/>
              <w:ind w:left="0" w:right="0" w:firstLine="420"/>
              <w:jc w:val="both"/>
              <w:rPr>
                <w:rFonts w:hint="default" w:ascii="Times New Roman" w:hAnsi="Times New Roman" w:eastAsia="宋体" w:cs="Times New Roman"/>
                <w:kern w:val="2"/>
                <w:sz w:val="18"/>
                <w:szCs w:val="24"/>
                <w:lang w:val="en-US" w:eastAsia="zh-CN" w:bidi="ar-SA"/>
              </w:rPr>
            </w:pPr>
            <w:r>
              <w:rPr>
                <w:rFonts w:hint="eastAsia" w:ascii="Times New Roman" w:hAnsi="Times New Roman" w:eastAsia="宋体" w:cs="Times New Roman"/>
                <w:kern w:val="2"/>
                <w:sz w:val="18"/>
                <w:szCs w:val="24"/>
                <w:lang w:val="en-US" w:eastAsia="zh-CN" w:bidi="ar-SA"/>
              </w:rPr>
              <w:t>国内现行的《池窑法拉丝用玄武岩原料规范》为中国玻璃纤维工业协会于2023年11月15日发布、12月10日实施的T/CFIA M1—2023团体标准。该标准由四川玄武岩纤维新材料研究院（创新中心）等单位牵头起草，</w:t>
            </w:r>
            <w:r>
              <w:rPr>
                <w:rFonts w:hint="eastAsia" w:cs="Times New Roman"/>
                <w:kern w:val="2"/>
                <w:sz w:val="18"/>
                <w:szCs w:val="24"/>
                <w:lang w:val="en-US" w:eastAsia="zh-CN" w:bidi="ar-SA"/>
              </w:rPr>
              <w:t>该标准是以池窑拉丝为主要工艺的标准，和坩埚法有一定的区别，本标准制定过程中可参考借鉴</w:t>
            </w:r>
            <w:r>
              <w:rPr>
                <w:rFonts w:hint="eastAsia" w:ascii="Times New Roman" w:hAnsi="Times New Roman" w:eastAsia="宋体" w:cs="Times New Roman"/>
                <w:kern w:val="2"/>
                <w:sz w:val="18"/>
                <w:szCs w:val="24"/>
                <w:lang w:val="en-US" w:eastAsia="zh-CN" w:bidi="ar-SA"/>
              </w:rPr>
              <w:t>的T/CFIA M1—2023团体标准</w:t>
            </w:r>
            <w:r>
              <w:rPr>
                <w:rFonts w:hint="eastAsia" w:cs="Times New Roman"/>
                <w:kern w:val="2"/>
                <w:sz w:val="18"/>
                <w:szCs w:val="24"/>
                <w:lang w:val="en-US" w:eastAsia="zh-CN" w:bidi="ar-SA"/>
              </w:rPr>
              <w:t>。</w:t>
            </w:r>
          </w:p>
          <w:p w14:paraId="3C48E0B9">
            <w:pPr>
              <w:numPr>
                <w:ilvl w:val="0"/>
                <w:numId w:val="1"/>
              </w:numPr>
              <w:spacing w:line="276" w:lineRule="auto"/>
              <w:ind w:firstLineChars="0"/>
            </w:pPr>
            <w:r>
              <w:rPr>
                <w:rFonts w:hint="eastAsia"/>
                <w:u w:val="single"/>
              </w:rPr>
              <w:t>指出是否发现有知识产权的问题</w:t>
            </w:r>
            <w:r>
              <w:rPr>
                <w:rFonts w:hint="eastAsia"/>
              </w:rPr>
              <w:t>：</w:t>
            </w:r>
          </w:p>
          <w:p w14:paraId="077B13A3">
            <w:pPr>
              <w:ind w:left="360" w:firstLine="0" w:firstLineChars="0"/>
              <w:rPr>
                <w:szCs w:val="18"/>
              </w:rPr>
            </w:pPr>
            <w:r>
              <w:rPr>
                <w:rFonts w:hint="eastAsia"/>
              </w:rPr>
              <w:t>该标准项目暂未发现知识产问题。</w:t>
            </w:r>
          </w:p>
        </w:tc>
      </w:tr>
      <w:tr w14:paraId="02E3E8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5" w:hRule="atLeast"/>
          <w:jc w:val="center"/>
        </w:trPr>
        <w:tc>
          <w:tcPr>
            <w:tcW w:w="1476" w:type="dxa"/>
            <w:tcBorders>
              <w:top w:val="single" w:color="auto" w:sz="4" w:space="0"/>
              <w:left w:val="single" w:color="auto" w:sz="4" w:space="0"/>
              <w:bottom w:val="single" w:color="auto" w:sz="4" w:space="0"/>
              <w:right w:val="single" w:color="auto" w:sz="4" w:space="0"/>
            </w:tcBorders>
            <w:vAlign w:val="center"/>
          </w:tcPr>
          <w:p w14:paraId="4E12E6CE">
            <w:pPr>
              <w:ind w:firstLine="0" w:firstLineChars="0"/>
              <w:rPr>
                <w:szCs w:val="18"/>
              </w:rPr>
            </w:pPr>
            <w:r>
              <w:rPr>
                <w:rFonts w:hint="eastAsia"/>
                <w:szCs w:val="18"/>
              </w:rPr>
              <w:t>牵头单位</w:t>
            </w:r>
          </w:p>
        </w:tc>
        <w:tc>
          <w:tcPr>
            <w:tcW w:w="2063" w:type="dxa"/>
            <w:gridSpan w:val="2"/>
            <w:tcBorders>
              <w:top w:val="single" w:color="auto" w:sz="4" w:space="0"/>
              <w:left w:val="single" w:color="auto" w:sz="4" w:space="0"/>
              <w:bottom w:val="single" w:color="auto" w:sz="4" w:space="0"/>
              <w:right w:val="single" w:color="auto" w:sz="4" w:space="0"/>
            </w:tcBorders>
            <w:vAlign w:val="center"/>
          </w:tcPr>
          <w:p w14:paraId="42644B2A">
            <w:pPr>
              <w:pStyle w:val="6"/>
              <w:ind w:firstLine="0" w:firstLineChars="0"/>
            </w:pPr>
          </w:p>
          <w:p w14:paraId="613354F0">
            <w:pPr>
              <w:pStyle w:val="6"/>
              <w:ind w:firstLine="0" w:firstLineChars="0"/>
            </w:pPr>
            <w:r>
              <w:rPr>
                <w:rFonts w:hint="eastAsia"/>
              </w:rPr>
              <w:t>（签字、盖公章）</w:t>
            </w:r>
          </w:p>
          <w:p w14:paraId="4F8A82CE">
            <w:pPr>
              <w:pStyle w:val="6"/>
              <w:ind w:firstLine="0" w:firstLineChars="0"/>
            </w:pPr>
            <w:r>
              <w:rPr>
                <w:rFonts w:hint="eastAsia"/>
                <w:lang w:val="en-US" w:eastAsia="zh-CN"/>
              </w:rPr>
              <w:t>6</w:t>
            </w:r>
            <w:r>
              <w:rPr>
                <w:rFonts w:hint="eastAsia"/>
              </w:rPr>
              <w:t>月2</w:t>
            </w:r>
            <w:r>
              <w:rPr>
                <w:rFonts w:hint="eastAsia"/>
                <w:lang w:val="en-US" w:eastAsia="zh-CN"/>
              </w:rPr>
              <w:t>2</w:t>
            </w:r>
            <w:r>
              <w:rPr>
                <w:rFonts w:hint="eastAsia"/>
              </w:rPr>
              <w:t>日</w:t>
            </w:r>
          </w:p>
        </w:tc>
        <w:tc>
          <w:tcPr>
            <w:tcW w:w="1134" w:type="dxa"/>
            <w:tcBorders>
              <w:top w:val="single" w:color="auto" w:sz="4" w:space="0"/>
              <w:left w:val="single" w:color="auto" w:sz="4" w:space="0"/>
              <w:bottom w:val="single" w:color="auto" w:sz="4" w:space="0"/>
              <w:right w:val="single" w:color="auto" w:sz="4" w:space="0"/>
            </w:tcBorders>
            <w:vAlign w:val="center"/>
          </w:tcPr>
          <w:p w14:paraId="060842BE">
            <w:pPr>
              <w:ind w:firstLine="0" w:firstLineChars="0"/>
              <w:rPr>
                <w:szCs w:val="18"/>
              </w:rPr>
            </w:pPr>
            <w:r>
              <w:rPr>
                <w:rFonts w:hint="eastAsia"/>
                <w:szCs w:val="18"/>
              </w:rPr>
              <w:t>标准化技术组织</w:t>
            </w:r>
          </w:p>
        </w:tc>
        <w:tc>
          <w:tcPr>
            <w:tcW w:w="1559" w:type="dxa"/>
            <w:gridSpan w:val="2"/>
            <w:tcBorders>
              <w:top w:val="single" w:color="auto" w:sz="4" w:space="0"/>
              <w:left w:val="single" w:color="auto" w:sz="4" w:space="0"/>
              <w:bottom w:val="single" w:color="auto" w:sz="4" w:space="0"/>
              <w:right w:val="single" w:color="auto" w:sz="4" w:space="0"/>
            </w:tcBorders>
            <w:vAlign w:val="center"/>
          </w:tcPr>
          <w:p w14:paraId="17C404A8">
            <w:pPr>
              <w:pStyle w:val="6"/>
              <w:ind w:firstLine="0" w:firstLineChars="0"/>
            </w:pPr>
            <w:r>
              <w:rPr>
                <w:rFonts w:hint="eastAsia"/>
              </w:rPr>
              <w:t>（签字、盖公章）</w:t>
            </w:r>
          </w:p>
          <w:p w14:paraId="7D54318B">
            <w:pPr>
              <w:pStyle w:val="6"/>
              <w:ind w:firstLine="0" w:firstLineChars="0"/>
            </w:pPr>
          </w:p>
          <w:p w14:paraId="055B2902">
            <w:pPr>
              <w:pStyle w:val="6"/>
              <w:ind w:firstLine="0" w:firstLineChars="0"/>
            </w:pPr>
            <w:r>
              <w:rPr>
                <w:rFonts w:hint="eastAsia"/>
              </w:rPr>
              <w:t>月</w:t>
            </w:r>
            <w:r>
              <w:t xml:space="preserve">    </w:t>
            </w:r>
            <w:r>
              <w:rPr>
                <w:rFonts w:hint="eastAsia"/>
              </w:rPr>
              <w:t>日</w:t>
            </w:r>
          </w:p>
        </w:tc>
        <w:tc>
          <w:tcPr>
            <w:tcW w:w="1349" w:type="dxa"/>
            <w:gridSpan w:val="2"/>
            <w:tcBorders>
              <w:top w:val="single" w:color="auto" w:sz="4" w:space="0"/>
              <w:left w:val="single" w:color="auto" w:sz="4" w:space="0"/>
              <w:bottom w:val="single" w:color="auto" w:sz="4" w:space="0"/>
              <w:right w:val="single" w:color="auto" w:sz="4" w:space="0"/>
            </w:tcBorders>
            <w:vAlign w:val="center"/>
          </w:tcPr>
          <w:p w14:paraId="0C85A583">
            <w:pPr>
              <w:ind w:firstLine="0" w:firstLineChars="0"/>
              <w:rPr>
                <w:szCs w:val="18"/>
              </w:rPr>
            </w:pPr>
            <w:r>
              <w:rPr>
                <w:rFonts w:hint="eastAsia"/>
                <w:szCs w:val="18"/>
              </w:rPr>
              <w:t>部委托机构</w:t>
            </w:r>
          </w:p>
        </w:tc>
        <w:tc>
          <w:tcPr>
            <w:tcW w:w="1517" w:type="dxa"/>
            <w:tcBorders>
              <w:top w:val="single" w:color="auto" w:sz="4" w:space="0"/>
              <w:left w:val="single" w:color="auto" w:sz="4" w:space="0"/>
              <w:bottom w:val="single" w:color="auto" w:sz="4" w:space="0"/>
              <w:right w:val="single" w:color="auto" w:sz="4" w:space="0"/>
            </w:tcBorders>
            <w:vAlign w:val="center"/>
          </w:tcPr>
          <w:p w14:paraId="460A2345">
            <w:pPr>
              <w:pStyle w:val="6"/>
              <w:ind w:firstLine="0" w:firstLineChars="0"/>
            </w:pPr>
            <w:r>
              <w:rPr>
                <w:rFonts w:hint="eastAsia"/>
              </w:rPr>
              <w:t>（签字、盖公章）</w:t>
            </w:r>
          </w:p>
          <w:p w14:paraId="180162D8">
            <w:pPr>
              <w:pStyle w:val="6"/>
              <w:ind w:firstLine="0" w:firstLineChars="0"/>
            </w:pPr>
          </w:p>
          <w:p w14:paraId="4101B377">
            <w:pPr>
              <w:pStyle w:val="6"/>
              <w:ind w:firstLine="0" w:firstLineChars="0"/>
            </w:pPr>
            <w:r>
              <w:rPr>
                <w:rFonts w:hint="eastAsia"/>
              </w:rPr>
              <w:t>月</w:t>
            </w:r>
            <w:r>
              <w:t xml:space="preserve">    </w:t>
            </w:r>
            <w:r>
              <w:rPr>
                <w:rFonts w:hint="eastAsia"/>
              </w:rPr>
              <w:t>日</w:t>
            </w:r>
          </w:p>
        </w:tc>
      </w:tr>
    </w:tbl>
    <w:p w14:paraId="3D895BB9">
      <w:r>
        <w:rPr>
          <w:rFonts w:hint="eastAsia"/>
        </w:rPr>
        <w:t>注：1.填写制定或修订项目中，若选择修订必须填写被修订标准号；</w:t>
      </w:r>
    </w:p>
    <w:p w14:paraId="1215318A">
      <w:r>
        <w:rPr>
          <w:rFonts w:hint="eastAsia"/>
        </w:rPr>
        <w:t>2.选择采用国际标准，必须填写采标号及采用程度；</w:t>
      </w:r>
    </w:p>
    <w:p w14:paraId="7DE42D9B">
      <w:r>
        <w:rPr>
          <w:rFonts w:hint="eastAsia"/>
        </w:rPr>
        <w:t>3.选择采用快速程序，必须填写快速程序代码。</w:t>
      </w:r>
    </w:p>
    <w:sectPr>
      <w:pgSz w:w="11906" w:h="16838"/>
      <w:pgMar w:top="1440" w:right="1800" w:bottom="851"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372"/>
      </w:pPr>
      <w:r>
        <w:separator/>
      </w:r>
    </w:p>
  </w:endnote>
  <w:endnote w:type="continuationSeparator" w:id="1">
    <w:p>
      <w:pPr>
        <w:ind w:firstLine="3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egoe UI Emoji">
    <w:panose1 w:val="020B0502040204020203"/>
    <w:charset w:val="00"/>
    <w:family w:val="auto"/>
    <w:pitch w:val="default"/>
    <w:sig w:usb0="00000001" w:usb1="02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372"/>
      </w:pPr>
      <w:r>
        <w:separator/>
      </w:r>
    </w:p>
  </w:footnote>
  <w:footnote w:type="continuationSeparator" w:id="1">
    <w:p>
      <w:pPr>
        <w:ind w:firstLine="372"/>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DE0"/>
    <w:rsid w:val="0000164B"/>
    <w:rsid w:val="00013B7F"/>
    <w:rsid w:val="00015BB4"/>
    <w:rsid w:val="00016372"/>
    <w:rsid w:val="000304BA"/>
    <w:rsid w:val="00033829"/>
    <w:rsid w:val="00053B84"/>
    <w:rsid w:val="00054C59"/>
    <w:rsid w:val="00056956"/>
    <w:rsid w:val="00057FF9"/>
    <w:rsid w:val="0008089A"/>
    <w:rsid w:val="000832BB"/>
    <w:rsid w:val="00086D9D"/>
    <w:rsid w:val="00100549"/>
    <w:rsid w:val="001169B1"/>
    <w:rsid w:val="00121B06"/>
    <w:rsid w:val="00122ABC"/>
    <w:rsid w:val="00126298"/>
    <w:rsid w:val="00167473"/>
    <w:rsid w:val="00192639"/>
    <w:rsid w:val="001965E8"/>
    <w:rsid w:val="001A6DCF"/>
    <w:rsid w:val="001B6728"/>
    <w:rsid w:val="001E4E03"/>
    <w:rsid w:val="0021784F"/>
    <w:rsid w:val="002207F4"/>
    <w:rsid w:val="00224404"/>
    <w:rsid w:val="00224DE1"/>
    <w:rsid w:val="00250DCC"/>
    <w:rsid w:val="00254D78"/>
    <w:rsid w:val="0026218D"/>
    <w:rsid w:val="002641B5"/>
    <w:rsid w:val="002771C1"/>
    <w:rsid w:val="0028751B"/>
    <w:rsid w:val="002C737B"/>
    <w:rsid w:val="002E12F0"/>
    <w:rsid w:val="002E5D42"/>
    <w:rsid w:val="002F009B"/>
    <w:rsid w:val="0031195C"/>
    <w:rsid w:val="00315D0D"/>
    <w:rsid w:val="00326A03"/>
    <w:rsid w:val="00336314"/>
    <w:rsid w:val="0034483D"/>
    <w:rsid w:val="003561A9"/>
    <w:rsid w:val="003630CA"/>
    <w:rsid w:val="00366C97"/>
    <w:rsid w:val="0038263B"/>
    <w:rsid w:val="00395B85"/>
    <w:rsid w:val="003A0750"/>
    <w:rsid w:val="003A75D7"/>
    <w:rsid w:val="003D4C98"/>
    <w:rsid w:val="0040384B"/>
    <w:rsid w:val="004064CB"/>
    <w:rsid w:val="0041281D"/>
    <w:rsid w:val="0042628E"/>
    <w:rsid w:val="00442EAC"/>
    <w:rsid w:val="00446705"/>
    <w:rsid w:val="004508A6"/>
    <w:rsid w:val="0045176C"/>
    <w:rsid w:val="0045195C"/>
    <w:rsid w:val="00466F7D"/>
    <w:rsid w:val="00487A4D"/>
    <w:rsid w:val="004B2D4F"/>
    <w:rsid w:val="004D1B11"/>
    <w:rsid w:val="004D79F2"/>
    <w:rsid w:val="004E0EF0"/>
    <w:rsid w:val="004E547A"/>
    <w:rsid w:val="004F66AC"/>
    <w:rsid w:val="00515E4E"/>
    <w:rsid w:val="0052112D"/>
    <w:rsid w:val="00532046"/>
    <w:rsid w:val="00533AB0"/>
    <w:rsid w:val="00543738"/>
    <w:rsid w:val="00550284"/>
    <w:rsid w:val="00570087"/>
    <w:rsid w:val="00571BD1"/>
    <w:rsid w:val="00571C58"/>
    <w:rsid w:val="005727EE"/>
    <w:rsid w:val="005753E1"/>
    <w:rsid w:val="00581B55"/>
    <w:rsid w:val="00594090"/>
    <w:rsid w:val="005A5867"/>
    <w:rsid w:val="005B4CF4"/>
    <w:rsid w:val="005D12B5"/>
    <w:rsid w:val="005E4D88"/>
    <w:rsid w:val="005F7A3D"/>
    <w:rsid w:val="00623469"/>
    <w:rsid w:val="006306F4"/>
    <w:rsid w:val="00630EB8"/>
    <w:rsid w:val="00640AE6"/>
    <w:rsid w:val="006745F5"/>
    <w:rsid w:val="00674F8E"/>
    <w:rsid w:val="006870B5"/>
    <w:rsid w:val="00687F31"/>
    <w:rsid w:val="006973BA"/>
    <w:rsid w:val="006A58D8"/>
    <w:rsid w:val="006B609B"/>
    <w:rsid w:val="006E3B8E"/>
    <w:rsid w:val="006F1CE0"/>
    <w:rsid w:val="00700D08"/>
    <w:rsid w:val="00712F61"/>
    <w:rsid w:val="00713CF1"/>
    <w:rsid w:val="00724CD2"/>
    <w:rsid w:val="00736E3F"/>
    <w:rsid w:val="007414F0"/>
    <w:rsid w:val="007456EC"/>
    <w:rsid w:val="00746C53"/>
    <w:rsid w:val="00754F03"/>
    <w:rsid w:val="0075640B"/>
    <w:rsid w:val="00762C08"/>
    <w:rsid w:val="0078368E"/>
    <w:rsid w:val="00784B19"/>
    <w:rsid w:val="007B3143"/>
    <w:rsid w:val="007C17FA"/>
    <w:rsid w:val="007E593F"/>
    <w:rsid w:val="0082017D"/>
    <w:rsid w:val="00831AA8"/>
    <w:rsid w:val="0083522C"/>
    <w:rsid w:val="00850476"/>
    <w:rsid w:val="0085256C"/>
    <w:rsid w:val="00852F6F"/>
    <w:rsid w:val="00862BA9"/>
    <w:rsid w:val="00867396"/>
    <w:rsid w:val="00886BA3"/>
    <w:rsid w:val="00893AC0"/>
    <w:rsid w:val="008977E3"/>
    <w:rsid w:val="008B1A5F"/>
    <w:rsid w:val="008B34A6"/>
    <w:rsid w:val="008F458B"/>
    <w:rsid w:val="00901284"/>
    <w:rsid w:val="00903787"/>
    <w:rsid w:val="009055BA"/>
    <w:rsid w:val="00924061"/>
    <w:rsid w:val="00925C13"/>
    <w:rsid w:val="009551D0"/>
    <w:rsid w:val="00977181"/>
    <w:rsid w:val="009822F5"/>
    <w:rsid w:val="00983CDC"/>
    <w:rsid w:val="009D571F"/>
    <w:rsid w:val="009D61BD"/>
    <w:rsid w:val="009E1E2B"/>
    <w:rsid w:val="009E22FB"/>
    <w:rsid w:val="009E604A"/>
    <w:rsid w:val="00A04A23"/>
    <w:rsid w:val="00A05A44"/>
    <w:rsid w:val="00A06A1C"/>
    <w:rsid w:val="00A10120"/>
    <w:rsid w:val="00A11612"/>
    <w:rsid w:val="00A437B0"/>
    <w:rsid w:val="00A5650B"/>
    <w:rsid w:val="00A76534"/>
    <w:rsid w:val="00A837F8"/>
    <w:rsid w:val="00A8416D"/>
    <w:rsid w:val="00AA1355"/>
    <w:rsid w:val="00AA7591"/>
    <w:rsid w:val="00AC0FE3"/>
    <w:rsid w:val="00AD2578"/>
    <w:rsid w:val="00AD3E93"/>
    <w:rsid w:val="00AE118C"/>
    <w:rsid w:val="00AE6150"/>
    <w:rsid w:val="00AF02E3"/>
    <w:rsid w:val="00AF2156"/>
    <w:rsid w:val="00AF5E73"/>
    <w:rsid w:val="00B7395E"/>
    <w:rsid w:val="00B82573"/>
    <w:rsid w:val="00BB401D"/>
    <w:rsid w:val="00BD4A73"/>
    <w:rsid w:val="00BF7852"/>
    <w:rsid w:val="00C07F17"/>
    <w:rsid w:val="00C116BE"/>
    <w:rsid w:val="00C14564"/>
    <w:rsid w:val="00C65EC9"/>
    <w:rsid w:val="00C7251D"/>
    <w:rsid w:val="00C72811"/>
    <w:rsid w:val="00C7782E"/>
    <w:rsid w:val="00C97D87"/>
    <w:rsid w:val="00CB65A3"/>
    <w:rsid w:val="00CD535A"/>
    <w:rsid w:val="00CF2E75"/>
    <w:rsid w:val="00D10F4D"/>
    <w:rsid w:val="00D15C39"/>
    <w:rsid w:val="00D16496"/>
    <w:rsid w:val="00D340FB"/>
    <w:rsid w:val="00D360E2"/>
    <w:rsid w:val="00D50E22"/>
    <w:rsid w:val="00D57670"/>
    <w:rsid w:val="00D63FF4"/>
    <w:rsid w:val="00D800D6"/>
    <w:rsid w:val="00D94DE0"/>
    <w:rsid w:val="00D979D5"/>
    <w:rsid w:val="00DA6C37"/>
    <w:rsid w:val="00DB075F"/>
    <w:rsid w:val="00DB07EE"/>
    <w:rsid w:val="00DB08F1"/>
    <w:rsid w:val="00DC2F35"/>
    <w:rsid w:val="00DC534E"/>
    <w:rsid w:val="00DD04E2"/>
    <w:rsid w:val="00DD79B3"/>
    <w:rsid w:val="00DE1AAF"/>
    <w:rsid w:val="00E11F2E"/>
    <w:rsid w:val="00E1372C"/>
    <w:rsid w:val="00E15386"/>
    <w:rsid w:val="00E34165"/>
    <w:rsid w:val="00E553DB"/>
    <w:rsid w:val="00E66CED"/>
    <w:rsid w:val="00E7595E"/>
    <w:rsid w:val="00E807D4"/>
    <w:rsid w:val="00E909EE"/>
    <w:rsid w:val="00E92D87"/>
    <w:rsid w:val="00EA01FA"/>
    <w:rsid w:val="00EB255E"/>
    <w:rsid w:val="00ED270D"/>
    <w:rsid w:val="00ED37F2"/>
    <w:rsid w:val="00EE4EDE"/>
    <w:rsid w:val="00F06C3D"/>
    <w:rsid w:val="00F14C9E"/>
    <w:rsid w:val="00F24B53"/>
    <w:rsid w:val="00F2545C"/>
    <w:rsid w:val="00F418E0"/>
    <w:rsid w:val="00F8053D"/>
    <w:rsid w:val="00F80F72"/>
    <w:rsid w:val="00FD7914"/>
    <w:rsid w:val="00FF1193"/>
    <w:rsid w:val="035C6B10"/>
    <w:rsid w:val="041F611E"/>
    <w:rsid w:val="216A11D5"/>
    <w:rsid w:val="24B55B7B"/>
    <w:rsid w:val="2BBF1770"/>
    <w:rsid w:val="54B71D2F"/>
    <w:rsid w:val="5D0C3727"/>
    <w:rsid w:val="5FC17237"/>
    <w:rsid w:val="604913B6"/>
    <w:rsid w:val="680E43F9"/>
    <w:rsid w:val="6A8473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ind w:firstLine="373" w:firstLineChars="207"/>
      <w:jc w:val="both"/>
    </w:pPr>
    <w:rPr>
      <w:rFonts w:ascii="Times New Roman" w:hAnsi="Times New Roman" w:eastAsia="宋体" w:cs="Times New Roman"/>
      <w:kern w:val="2"/>
      <w:sz w:val="18"/>
      <w:szCs w:val="24"/>
      <w:lang w:val="en-US" w:eastAsia="zh-CN" w:bidi="ar-SA"/>
    </w:rPr>
  </w:style>
  <w:style w:type="paragraph" w:styleId="2">
    <w:name w:val="heading 2"/>
    <w:basedOn w:val="1"/>
    <w:next w:val="1"/>
    <w:semiHidden/>
    <w:unhideWhenUsed/>
    <w:qFormat/>
    <w:uiPriority w:val="9"/>
    <w:pPr>
      <w:spacing w:beforeAutospacing="1" w:afterAutospacing="1"/>
      <w:jc w:val="left"/>
      <w:outlineLvl w:val="1"/>
    </w:pPr>
    <w:rPr>
      <w:rFonts w:hint="eastAsia" w:ascii="宋体" w:hAnsi="宋体"/>
      <w:b/>
      <w:bCs/>
      <w:kern w:val="0"/>
      <w:sz w:val="36"/>
      <w:szCs w:val="36"/>
    </w:rPr>
  </w:style>
  <w:style w:type="paragraph" w:styleId="3">
    <w:name w:val="heading 3"/>
    <w:basedOn w:val="1"/>
    <w:next w:val="1"/>
    <w:link w:val="12"/>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autoRedefine/>
    <w:semiHidden/>
    <w:unhideWhenUsed/>
    <w:qFormat/>
    <w:uiPriority w:val="99"/>
    <w:pPr>
      <w:jc w:val="left"/>
    </w:pPr>
  </w:style>
  <w:style w:type="paragraph" w:styleId="5">
    <w:name w:val="footer"/>
    <w:basedOn w:val="1"/>
    <w:link w:val="18"/>
    <w:autoRedefine/>
    <w:unhideWhenUsed/>
    <w:qFormat/>
    <w:uiPriority w:val="99"/>
    <w:pPr>
      <w:tabs>
        <w:tab w:val="center" w:pos="4153"/>
        <w:tab w:val="right" w:pos="8306"/>
      </w:tabs>
      <w:snapToGrid w:val="0"/>
      <w:jc w:val="left"/>
    </w:pPr>
    <w:rPr>
      <w:szCs w:val="18"/>
    </w:rPr>
  </w:style>
  <w:style w:type="paragraph" w:styleId="6">
    <w:name w:val="header"/>
    <w:basedOn w:val="1"/>
    <w:link w:val="17"/>
    <w:autoRedefine/>
    <w:qFormat/>
    <w:uiPriority w:val="0"/>
    <w:pPr>
      <w:pBdr>
        <w:bottom w:val="single" w:color="auto" w:sz="6" w:space="1"/>
      </w:pBdr>
      <w:tabs>
        <w:tab w:val="center" w:pos="4153"/>
        <w:tab w:val="right" w:pos="8306"/>
      </w:tabs>
      <w:snapToGrid w:val="0"/>
      <w:jc w:val="center"/>
    </w:pPr>
    <w:rPr>
      <w:szCs w:val="18"/>
    </w:rPr>
  </w:style>
  <w:style w:type="paragraph" w:styleId="7">
    <w:name w:val="Normal (Web)"/>
    <w:basedOn w:val="1"/>
    <w:autoRedefine/>
    <w:semiHidden/>
    <w:unhideWhenUsed/>
    <w:qFormat/>
    <w:uiPriority w:val="99"/>
    <w:rPr>
      <w:sz w:val="24"/>
    </w:rPr>
  </w:style>
  <w:style w:type="character" w:styleId="10">
    <w:name w:val="Strong"/>
    <w:basedOn w:val="9"/>
    <w:autoRedefine/>
    <w:qFormat/>
    <w:uiPriority w:val="22"/>
    <w:rPr>
      <w:b/>
    </w:rPr>
  </w:style>
  <w:style w:type="character" w:styleId="11">
    <w:name w:val="annotation reference"/>
    <w:basedOn w:val="9"/>
    <w:autoRedefine/>
    <w:semiHidden/>
    <w:unhideWhenUsed/>
    <w:qFormat/>
    <w:uiPriority w:val="99"/>
    <w:rPr>
      <w:sz w:val="21"/>
      <w:szCs w:val="21"/>
    </w:rPr>
  </w:style>
  <w:style w:type="character" w:customStyle="1" w:styleId="12">
    <w:name w:val="标题 3 字符"/>
    <w:basedOn w:val="9"/>
    <w:link w:val="3"/>
    <w:semiHidden/>
    <w:qFormat/>
    <w:uiPriority w:val="9"/>
    <w:rPr>
      <w:b/>
      <w:bCs/>
      <w:kern w:val="2"/>
      <w:sz w:val="32"/>
      <w:szCs w:val="32"/>
    </w:rPr>
  </w:style>
  <w:style w:type="character" w:customStyle="1" w:styleId="13">
    <w:name w:val="段 Char"/>
    <w:link w:val="14"/>
    <w:autoRedefine/>
    <w:qFormat/>
    <w:uiPriority w:val="0"/>
    <w:rPr>
      <w:rFonts w:ascii="宋体" w:hAnsiTheme="minorHAnsi" w:eastAsiaTheme="minorEastAsia" w:cstheme="minorBidi"/>
      <w:sz w:val="21"/>
    </w:rPr>
  </w:style>
  <w:style w:type="paragraph" w:customStyle="1" w:styleId="14">
    <w:name w:val="段"/>
    <w:link w:val="13"/>
    <w:autoRedefine/>
    <w:qFormat/>
    <w:uiPriority w:val="0"/>
    <w:pPr>
      <w:tabs>
        <w:tab w:val="center" w:pos="4201"/>
        <w:tab w:val="right" w:leader="dot" w:pos="9298"/>
      </w:tabs>
      <w:autoSpaceDE w:val="0"/>
      <w:autoSpaceDN w:val="0"/>
      <w:ind w:firstLine="360" w:firstLineChars="200"/>
    </w:pPr>
    <w:rPr>
      <w:rFonts w:ascii="宋体" w:hAnsiTheme="minorHAnsi" w:eastAsiaTheme="minorEastAsia" w:cstheme="minorBidi"/>
      <w:sz w:val="21"/>
      <w:lang w:val="en-US" w:eastAsia="zh-CN" w:bidi="ar-SA"/>
    </w:rPr>
  </w:style>
  <w:style w:type="paragraph" w:customStyle="1" w:styleId="15">
    <w:name w:val="1 Char Char Char Char"/>
    <w:basedOn w:val="1"/>
    <w:qFormat/>
    <w:uiPriority w:val="0"/>
    <w:pPr>
      <w:widowControl/>
      <w:spacing w:after="160" w:line="240" w:lineRule="exact"/>
      <w:ind w:firstLine="0" w:firstLineChars="0"/>
      <w:jc w:val="left"/>
    </w:pPr>
    <w:rPr>
      <w:rFonts w:ascii="Tahoma" w:hAnsi="Tahoma" w:eastAsia="Times New Roman"/>
      <w:kern w:val="0"/>
      <w:sz w:val="28"/>
      <w:lang w:eastAsia="en-US"/>
    </w:rPr>
  </w:style>
  <w:style w:type="paragraph" w:styleId="16">
    <w:name w:val="List Paragraph"/>
    <w:basedOn w:val="1"/>
    <w:autoRedefine/>
    <w:qFormat/>
    <w:uiPriority w:val="34"/>
    <w:pPr>
      <w:widowControl/>
      <w:spacing w:line="276" w:lineRule="auto"/>
      <w:ind w:firstLine="0" w:firstLineChars="0"/>
      <w:jc w:val="left"/>
    </w:pPr>
    <w:rPr>
      <w:rFonts w:ascii="宋体" w:hAnsi="宋体" w:cs="宋体"/>
      <w:kern w:val="0"/>
      <w:szCs w:val="18"/>
    </w:rPr>
  </w:style>
  <w:style w:type="character" w:customStyle="1" w:styleId="17">
    <w:name w:val="页眉 字符"/>
    <w:basedOn w:val="9"/>
    <w:link w:val="6"/>
    <w:qFormat/>
    <w:uiPriority w:val="0"/>
    <w:rPr>
      <w:rFonts w:ascii="Times New Roman" w:hAnsi="Times New Roman" w:eastAsia="宋体" w:cs="Times New Roman"/>
      <w:sz w:val="18"/>
      <w:szCs w:val="18"/>
    </w:rPr>
  </w:style>
  <w:style w:type="character" w:customStyle="1" w:styleId="18">
    <w:name w:val="页脚 字符"/>
    <w:basedOn w:val="9"/>
    <w:link w:val="5"/>
    <w:autoRedefine/>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2970</Words>
  <Characters>3221</Characters>
  <TotalTime>0</TotalTime>
  <ScaleCrop>false</ScaleCrop>
  <LinksUpToDate>false</LinksUpToDate>
  <CharactersWithSpaces>3249</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2026-06-21T12:08:00Z</dcterms:created>
  <dc:creator>Administrator</dc:creator>
  <cp:lastModifiedBy>毛毛雨</cp:lastModifiedBy>
  <dcterms:modified xsi:type="dcterms:W3CDTF">2026-06-29T09:34:52Z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C34C52CFA16440158DDE7893A7F70D73_13</vt:lpwstr>
  </property>
  <property fmtid="{D5CDD505-2E9C-101B-9397-08002B2CF9AE}" pid="4" name="KSOTemplateDocerSaveRecord">
    <vt:lpwstr>eyJoZGlkIjoiZTE1NTU3Y2EwZmU0OTAzNGMzZjI2ZWE5NmE3ZTkzMTEiLCJ1c2VySWQiOiI0NTA5NzM2NTMifQ==</vt:lpwstr>
  </property>
</Properties>
</file>