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4E156">
      <w:pPr>
        <w:snapToGrid w:val="0"/>
        <w:spacing w:line="360" w:lineRule="auto"/>
        <w:ind w:firstLine="630" w:firstLineChars="196"/>
        <w:rPr>
          <w:rFonts w:ascii="宋体" w:hAnsi="宋体" w:eastAsia="宋体"/>
          <w:b/>
          <w:sz w:val="32"/>
          <w:szCs w:val="32"/>
        </w:rPr>
      </w:pPr>
    </w:p>
    <w:p w14:paraId="032E0023">
      <w:pPr>
        <w:snapToGrid w:val="0"/>
        <w:spacing w:line="360" w:lineRule="auto"/>
        <w:rPr>
          <w:rFonts w:ascii="仿宋" w:hAnsi="仿宋" w:eastAsia="仿宋"/>
          <w:b/>
          <w:szCs w:val="28"/>
        </w:rPr>
      </w:pPr>
      <w:r>
        <w:rPr>
          <w:rFonts w:hint="eastAsia" w:ascii="仿宋" w:hAnsi="仿宋" w:eastAsia="仿宋"/>
          <w:b/>
          <w:szCs w:val="28"/>
        </w:rPr>
        <w:t>附表1</w:t>
      </w:r>
    </w:p>
    <w:p w14:paraId="705DEF8C">
      <w:pPr>
        <w:snapToGrid w:val="0"/>
        <w:spacing w:line="360" w:lineRule="auto"/>
        <w:jc w:val="center"/>
        <w:rPr>
          <w:rFonts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4"/>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6E2B7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14:paraId="68A4E913">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1EBE4366">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14:paraId="3A3AEABA">
            <w:pPr>
              <w:snapToGrid w:val="0"/>
              <w:spacing w:line="360" w:lineRule="auto"/>
              <w:rPr>
                <w:rFonts w:hint="eastAsia" w:ascii="宋体" w:hAnsi="宋体" w:eastAsia="宋体"/>
                <w:sz w:val="18"/>
                <w:szCs w:val="18"/>
                <w:lang w:eastAsia="zh-CN"/>
              </w:rPr>
            </w:pPr>
            <w:r>
              <w:rPr>
                <w:rFonts w:ascii="宋体" w:hAnsi="宋体" w:eastAsia="宋体"/>
                <w:sz w:val="18"/>
                <w:szCs w:val="18"/>
              </w:rPr>
              <w:t>全装配式轻质混凝土组合结构技术</w:t>
            </w:r>
            <w:r>
              <w:rPr>
                <w:rFonts w:hint="eastAsia" w:ascii="宋体" w:hAnsi="宋体" w:eastAsia="宋体"/>
                <w:sz w:val="18"/>
                <w:szCs w:val="18"/>
                <w:lang w:val="en-US" w:eastAsia="zh-CN"/>
              </w:rPr>
              <w:t>规范</w:t>
            </w:r>
          </w:p>
        </w:tc>
        <w:tc>
          <w:tcPr>
            <w:tcW w:w="1843" w:type="dxa"/>
            <w:gridSpan w:val="2"/>
            <w:vAlign w:val="center"/>
          </w:tcPr>
          <w:p w14:paraId="6063B8DA">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15CDEA4C">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14:paraId="4314E734">
            <w:pPr>
              <w:snapToGrid w:val="0"/>
              <w:spacing w:line="360" w:lineRule="auto"/>
              <w:jc w:val="left"/>
              <w:rPr>
                <w:rFonts w:ascii="宋体" w:hAnsi="宋体" w:eastAsia="宋体"/>
                <w:sz w:val="18"/>
                <w:szCs w:val="18"/>
              </w:rPr>
            </w:pPr>
            <w:r>
              <w:rPr>
                <w:rFonts w:hint="eastAsia" w:ascii="宋体" w:hAnsi="宋体" w:eastAsia="宋体"/>
                <w:sz w:val="18"/>
                <w:szCs w:val="18"/>
              </w:rPr>
              <w:t>Technical Standard for Fully Prefabricated Lightweight Concrete Composite Structures</w:t>
            </w:r>
          </w:p>
        </w:tc>
      </w:tr>
      <w:tr w14:paraId="0523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14:paraId="1193C262">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14:paraId="18E974DD">
            <w:pPr>
              <w:snapToGrid w:val="0"/>
              <w:spacing w:line="360" w:lineRule="auto"/>
              <w:rPr>
                <w:rFonts w:ascii="宋体" w:hAnsi="宋体" w:eastAsia="宋体"/>
                <w:sz w:val="18"/>
                <w:szCs w:val="18"/>
              </w:rPr>
            </w:pPr>
            <w:r>
              <w:rPr>
                <w:rFonts w:hint="eastAsia" w:ascii="宋体" w:hAnsi="宋体" w:eastAsia="宋体"/>
                <w:sz w:val="18"/>
                <w:szCs w:val="18"/>
              </w:rPr>
              <w:t>☑ 制定</w:t>
            </w:r>
          </w:p>
        </w:tc>
        <w:tc>
          <w:tcPr>
            <w:tcW w:w="1468" w:type="dxa"/>
            <w:gridSpan w:val="2"/>
            <w:vAlign w:val="center"/>
          </w:tcPr>
          <w:p w14:paraId="3AB20E00">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14:paraId="5A635CEE">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14:paraId="721BF780">
            <w:pPr>
              <w:snapToGrid w:val="0"/>
              <w:spacing w:line="360" w:lineRule="auto"/>
              <w:rPr>
                <w:rFonts w:ascii="宋体" w:hAnsi="宋体" w:eastAsia="宋体"/>
                <w:sz w:val="18"/>
                <w:szCs w:val="18"/>
              </w:rPr>
            </w:pPr>
          </w:p>
        </w:tc>
      </w:tr>
      <w:tr w14:paraId="0B1C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6C6C8229">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14:paraId="55151A78">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14:paraId="5266603C">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928" w:type="dxa"/>
            <w:vAlign w:val="center"/>
          </w:tcPr>
          <w:p w14:paraId="04AC8968">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843" w:type="dxa"/>
            <w:gridSpan w:val="2"/>
            <w:vAlign w:val="center"/>
          </w:tcPr>
          <w:p w14:paraId="0D918076">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vAlign w:val="center"/>
          </w:tcPr>
          <w:p w14:paraId="6EAD389C">
            <w:pPr>
              <w:snapToGrid w:val="0"/>
              <w:spacing w:line="360" w:lineRule="auto"/>
              <w:rPr>
                <w:rFonts w:ascii="宋体" w:hAnsi="宋体" w:eastAsia="宋体"/>
                <w:sz w:val="18"/>
                <w:szCs w:val="18"/>
              </w:rPr>
            </w:pPr>
          </w:p>
        </w:tc>
      </w:tr>
      <w:tr w14:paraId="4626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44D1A482">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14:paraId="3B2ACCF0">
            <w:pPr>
              <w:snapToGrid w:val="0"/>
              <w:spacing w:line="360" w:lineRule="auto"/>
              <w:rPr>
                <w:rFonts w:ascii="宋体" w:hAnsi="宋体" w:eastAsia="宋体"/>
                <w:sz w:val="18"/>
                <w:szCs w:val="18"/>
              </w:rPr>
            </w:pPr>
          </w:p>
        </w:tc>
        <w:tc>
          <w:tcPr>
            <w:tcW w:w="1843" w:type="dxa"/>
            <w:gridSpan w:val="2"/>
            <w:vAlign w:val="center"/>
          </w:tcPr>
          <w:p w14:paraId="45C8DC85">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14:paraId="3E81CABF">
            <w:pPr>
              <w:snapToGrid w:val="0"/>
              <w:spacing w:line="360" w:lineRule="auto"/>
              <w:rPr>
                <w:rFonts w:ascii="宋体" w:hAnsi="宋体" w:eastAsia="宋体"/>
                <w:sz w:val="18"/>
                <w:szCs w:val="18"/>
              </w:rPr>
            </w:pPr>
          </w:p>
        </w:tc>
      </w:tr>
      <w:tr w14:paraId="1A32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14551CFA">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14:paraId="688C1741">
            <w:pPr>
              <w:snapToGrid w:val="0"/>
              <w:spacing w:line="360" w:lineRule="auto"/>
              <w:rPr>
                <w:rFonts w:ascii="宋体" w:hAnsi="宋体" w:eastAsia="宋体"/>
                <w:sz w:val="18"/>
                <w:szCs w:val="18"/>
              </w:rPr>
            </w:pPr>
            <w:r>
              <w:rPr>
                <w:rFonts w:hint="eastAsia" w:ascii="宋体" w:hAnsi="宋体" w:eastAsia="宋体"/>
                <w:sz w:val="18"/>
                <w:szCs w:val="18"/>
              </w:rPr>
              <w:t>91.100.30</w:t>
            </w:r>
          </w:p>
        </w:tc>
        <w:tc>
          <w:tcPr>
            <w:tcW w:w="1843" w:type="dxa"/>
            <w:gridSpan w:val="2"/>
            <w:vAlign w:val="center"/>
          </w:tcPr>
          <w:p w14:paraId="11CD5407">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14:paraId="2ED5A148">
            <w:pPr>
              <w:snapToGrid w:val="0"/>
              <w:spacing w:line="360" w:lineRule="auto"/>
              <w:rPr>
                <w:rFonts w:ascii="宋体" w:hAnsi="宋体" w:eastAsia="宋体"/>
                <w:sz w:val="18"/>
                <w:szCs w:val="18"/>
              </w:rPr>
            </w:pPr>
            <w:r>
              <w:rPr>
                <w:rFonts w:hint="eastAsia" w:ascii="宋体" w:hAnsi="宋体" w:eastAsia="宋体"/>
                <w:sz w:val="18"/>
                <w:szCs w:val="18"/>
              </w:rPr>
              <w:t>Q13</w:t>
            </w:r>
          </w:p>
        </w:tc>
      </w:tr>
      <w:tr w14:paraId="55ADD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14:paraId="086D88F8">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14:paraId="6D48E038">
            <w:pPr>
              <w:snapToGrid w:val="0"/>
              <w:spacing w:line="360" w:lineRule="auto"/>
              <w:rPr>
                <w:rFonts w:ascii="宋体" w:hAnsi="宋体" w:eastAsia="宋体"/>
                <w:sz w:val="18"/>
                <w:szCs w:val="18"/>
              </w:rPr>
            </w:pPr>
            <w:r>
              <w:rPr>
                <w:rFonts w:hint="eastAsia" w:ascii="宋体" w:hAnsi="宋体" w:eastAsia="宋体"/>
                <w:sz w:val="18"/>
                <w:szCs w:val="18"/>
              </w:rPr>
              <w:t>中铁建设集团有限公司，清华大学，中铁第一勘察设计院集团有限公司，北京中铁建建筑科技有限公司，中铁建设集团建筑发展有限公司</w:t>
            </w:r>
          </w:p>
        </w:tc>
        <w:tc>
          <w:tcPr>
            <w:tcW w:w="1843" w:type="dxa"/>
            <w:gridSpan w:val="2"/>
            <w:vAlign w:val="center"/>
          </w:tcPr>
          <w:p w14:paraId="3CBECCC0">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14:paraId="2C9F440D">
            <w:pPr>
              <w:snapToGrid w:val="0"/>
              <w:spacing w:line="360" w:lineRule="auto"/>
              <w:rPr>
                <w:rFonts w:ascii="宋体" w:hAnsi="宋体" w:eastAsia="宋体"/>
                <w:sz w:val="18"/>
                <w:szCs w:val="18"/>
              </w:rPr>
            </w:pPr>
            <w:r>
              <w:rPr>
                <w:rFonts w:hint="eastAsia" w:ascii="宋体" w:hAnsi="宋体" w:eastAsia="宋体"/>
                <w:sz w:val="18"/>
                <w:szCs w:val="18"/>
              </w:rPr>
              <w:t>202</w:t>
            </w:r>
            <w:r>
              <w:rPr>
                <w:rFonts w:ascii="宋体" w:hAnsi="宋体" w:eastAsia="宋体"/>
                <w:sz w:val="18"/>
                <w:szCs w:val="18"/>
              </w:rPr>
              <w:t>6</w:t>
            </w:r>
            <w:r>
              <w:rPr>
                <w:rFonts w:hint="eastAsia" w:ascii="宋体" w:hAnsi="宋体" w:eastAsia="宋体"/>
                <w:sz w:val="18"/>
                <w:szCs w:val="18"/>
              </w:rPr>
              <w:t>.</w:t>
            </w:r>
            <w:r>
              <w:rPr>
                <w:rFonts w:ascii="宋体" w:hAnsi="宋体" w:eastAsia="宋体"/>
                <w:sz w:val="18"/>
                <w:szCs w:val="18"/>
              </w:rPr>
              <w:t>7</w:t>
            </w:r>
            <w:r>
              <w:rPr>
                <w:rFonts w:hint="eastAsia" w:ascii="宋体" w:hAnsi="宋体" w:eastAsia="宋体"/>
                <w:sz w:val="18"/>
                <w:szCs w:val="18"/>
              </w:rPr>
              <w:t>.</w:t>
            </w:r>
            <w:r>
              <w:rPr>
                <w:rFonts w:ascii="宋体" w:hAnsi="宋体" w:eastAsia="宋体"/>
                <w:sz w:val="18"/>
                <w:szCs w:val="18"/>
              </w:rPr>
              <w:t>1</w:t>
            </w:r>
            <w:r>
              <w:rPr>
                <w:rFonts w:hint="eastAsia" w:ascii="宋体" w:hAnsi="宋体" w:eastAsia="宋体"/>
                <w:sz w:val="18"/>
                <w:szCs w:val="18"/>
              </w:rPr>
              <w:t>-202</w:t>
            </w:r>
            <w:r>
              <w:rPr>
                <w:rFonts w:ascii="宋体" w:hAnsi="宋体" w:eastAsia="宋体"/>
                <w:sz w:val="18"/>
                <w:szCs w:val="18"/>
              </w:rPr>
              <w:t>7</w:t>
            </w:r>
            <w:r>
              <w:rPr>
                <w:rFonts w:hint="eastAsia" w:ascii="宋体" w:hAnsi="宋体" w:eastAsia="宋体"/>
                <w:sz w:val="18"/>
                <w:szCs w:val="18"/>
              </w:rPr>
              <w:t>.</w:t>
            </w:r>
            <w:r>
              <w:rPr>
                <w:rFonts w:ascii="宋体" w:hAnsi="宋体" w:eastAsia="宋体"/>
                <w:sz w:val="18"/>
                <w:szCs w:val="18"/>
              </w:rPr>
              <w:t>7</w:t>
            </w:r>
            <w:r>
              <w:rPr>
                <w:rFonts w:hint="eastAsia" w:ascii="宋体" w:hAnsi="宋体" w:eastAsia="宋体"/>
                <w:sz w:val="18"/>
                <w:szCs w:val="18"/>
              </w:rPr>
              <w:t>.</w:t>
            </w:r>
            <w:r>
              <w:rPr>
                <w:rFonts w:ascii="宋体" w:hAnsi="宋体" w:eastAsia="宋体"/>
                <w:sz w:val="18"/>
                <w:szCs w:val="18"/>
              </w:rPr>
              <w:t>1</w:t>
            </w:r>
          </w:p>
        </w:tc>
      </w:tr>
      <w:tr w14:paraId="7D6E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14:paraId="39F977DD">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03327F33">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14:paraId="3E9472DC">
            <w:pPr>
              <w:snapToGrid w:val="0"/>
              <w:spacing w:line="360" w:lineRule="auto"/>
              <w:rPr>
                <w:rFonts w:ascii="宋体" w:hAnsi="宋体" w:eastAsia="宋体"/>
                <w:sz w:val="18"/>
                <w:szCs w:val="18"/>
              </w:rPr>
            </w:pPr>
          </w:p>
          <w:p w14:paraId="5D5F44BD">
            <w:pPr>
              <w:snapToGrid w:val="0"/>
              <w:spacing w:line="360" w:lineRule="auto"/>
              <w:rPr>
                <w:rFonts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283490D0">
            <w:pPr>
              <w:ind w:firstLine="360" w:firstLineChars="200"/>
              <w:rPr>
                <w:rFonts w:ascii="宋体" w:hAnsi="宋体" w:eastAsia="宋体" w:cs="宋体"/>
                <w:sz w:val="18"/>
                <w:szCs w:val="18"/>
              </w:rPr>
            </w:pPr>
            <w:r>
              <w:rPr>
                <w:rFonts w:hint="eastAsia" w:ascii="宋体" w:hAnsi="宋体" w:eastAsia="宋体" w:cs="宋体"/>
                <w:sz w:val="18"/>
                <w:szCs w:val="18"/>
              </w:rPr>
              <w:t>模块化轻质混凝土组合结构是一种基于“构件模块化”的新型轻质混凝土装配式结构体系，该体系将内部骨架和密度700~1000kg/m</w:t>
            </w:r>
            <w:r>
              <w:rPr>
                <w:rFonts w:hint="eastAsia" w:ascii="宋体" w:hAnsi="宋体" w:eastAsia="宋体" w:cs="宋体"/>
                <w:sz w:val="18"/>
                <w:szCs w:val="18"/>
                <w:vertAlign w:val="superscript"/>
              </w:rPr>
              <w:t>2</w:t>
            </w:r>
            <w:r>
              <w:rPr>
                <w:rFonts w:hint="eastAsia" w:ascii="宋体" w:hAnsi="宋体" w:eastAsia="宋体" w:cs="宋体"/>
                <w:sz w:val="18"/>
                <w:szCs w:val="18"/>
              </w:rPr>
              <w:t>的轻质混凝土制作成标准化组合受力构件，现场进行全干式组拼(每个连接处四颗螺栓，没有湿作业)。从计算分析和试验结果来看，该技术可以显著降低设计荷载中结构自重的占比，同时由于轻质混凝土的包裹约束，提高了内部钢构件的稳定性，进一步降低用钢量。另外，轻质混凝土的存在可以增加楼盖刚度，提高结构的耐久性和防火性能。由于具有构件轻(两人可搬运、安装)、连接高效等优势，该技术已在融合项目中的城市作战训练设施中实现了多个项目应用。同时，临哈铁路穿越阿拉善戈壁滩地区的苏宏图附近完成了实体样板建设。</w:t>
            </w:r>
          </w:p>
          <w:p w14:paraId="414256BE">
            <w:pPr>
              <w:ind w:firstLine="360" w:firstLineChars="200"/>
              <w:rPr>
                <w:rFonts w:ascii="宋体" w:hAnsi="宋体" w:eastAsia="宋体" w:cs="宋体"/>
                <w:sz w:val="18"/>
                <w:szCs w:val="18"/>
              </w:rPr>
            </w:pPr>
            <w:r>
              <w:rPr>
                <w:rFonts w:hint="eastAsia" w:ascii="宋体" w:hAnsi="宋体" w:eastAsia="宋体" w:cs="宋体"/>
                <w:sz w:val="18"/>
                <w:szCs w:val="18"/>
              </w:rPr>
              <w:t>为规范模块化轻质混凝土组合结构的应用，做到安全适用、技术先进、经济合理、保证质量，制定本规程。本标准编制可填补当前模块化轻质混凝土组合结构领域规范标准的空白，规范模块化轻质混凝土组合结构的设计、生产、施工、验收及运维全流程技术要求，统一技术管控尺度和质量评价标准，为行业提供技术指引，引导企业规范从业行为，提升模块化轻质混凝土组合结构的工程质量和安全性能，推动该类建筑技术的标准化、规范化发展，助力建筑业转型升级和绿色低碳发展战略落地实施。</w:t>
            </w:r>
          </w:p>
          <w:p w14:paraId="1F3C95A4">
            <w:pPr>
              <w:snapToGrid w:val="0"/>
              <w:spacing w:line="360" w:lineRule="auto"/>
              <w:rPr>
                <w:rFonts w:ascii="宋体" w:hAnsi="宋体" w:eastAsia="宋体"/>
                <w:sz w:val="18"/>
                <w:szCs w:val="18"/>
              </w:rPr>
            </w:pPr>
          </w:p>
        </w:tc>
      </w:tr>
      <w:tr w14:paraId="3B23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14:paraId="20F9E9FE">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14:paraId="242EC546">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14:paraId="6DCF4508">
            <w:pPr>
              <w:snapToGrid w:val="0"/>
              <w:spacing w:line="360" w:lineRule="auto"/>
              <w:rPr>
                <w:rFonts w:ascii="宋体" w:hAnsi="宋体" w:eastAsia="宋体"/>
                <w:sz w:val="18"/>
                <w:szCs w:val="18"/>
                <w:u w:val="single"/>
              </w:rPr>
            </w:pPr>
          </w:p>
          <w:p w14:paraId="075FD978">
            <w:pPr>
              <w:snapToGrid w:val="0"/>
              <w:spacing w:line="360" w:lineRule="auto"/>
              <w:rPr>
                <w:rFonts w:ascii="宋体" w:hAnsi="宋体" w:eastAsia="宋体"/>
                <w:sz w:val="18"/>
                <w:szCs w:val="18"/>
                <w:u w:val="single"/>
              </w:rPr>
            </w:pPr>
            <w:r>
              <w:rPr>
                <w:rFonts w:hint="eastAsia" w:ascii="宋体" w:hAnsi="宋体" w:eastAsia="宋体"/>
                <w:sz w:val="18"/>
                <w:szCs w:val="18"/>
                <w:u w:val="single"/>
              </w:rPr>
              <w:t>标准的技术内容与适用范围；</w:t>
            </w:r>
          </w:p>
          <w:p w14:paraId="3ECFEDF3">
            <w:pPr>
              <w:snapToGrid w:val="0"/>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本规范适用于本标准适用采用全装配式轻质混凝土建筑的设计、制作与运输、施工安装、验收。</w:t>
            </w:r>
          </w:p>
          <w:p w14:paraId="267E2C0F">
            <w:pPr>
              <w:snapToGrid w:val="0"/>
              <w:spacing w:line="360" w:lineRule="auto"/>
              <w:ind w:firstLine="360" w:firstLineChars="200"/>
              <w:rPr>
                <w:rFonts w:ascii="宋体" w:hAnsi="宋体" w:eastAsia="宋体"/>
                <w:sz w:val="18"/>
                <w:szCs w:val="18"/>
              </w:rPr>
            </w:pPr>
            <w:r>
              <w:rPr>
                <w:rFonts w:hint="eastAsia" w:ascii="宋体" w:hAnsi="宋体" w:eastAsia="宋体" w:cs="宋体"/>
                <w:sz w:val="18"/>
                <w:szCs w:val="18"/>
              </w:rPr>
              <w:t>主要章节内容为：1、总则；2、术语；3、基本规定；4、材料；5、建筑设计；6、结构设计；7、构件制作与运输；8、施工安装；9、验收。</w:t>
            </w:r>
          </w:p>
        </w:tc>
      </w:tr>
      <w:tr w14:paraId="4B28F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167" w:type="dxa"/>
            <w:vAlign w:val="center"/>
          </w:tcPr>
          <w:p w14:paraId="34E1E06A">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14:paraId="566A48EF">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14:paraId="3D780D4A">
            <w:pPr>
              <w:numPr>
                <w:ilvl w:val="0"/>
                <w:numId w:val="1"/>
              </w:numPr>
              <w:rPr>
                <w:rFonts w:ascii="宋体" w:hAnsi="宋体" w:eastAsia="宋体"/>
                <w:sz w:val="18"/>
                <w:szCs w:val="18"/>
              </w:rPr>
            </w:pPr>
            <w:r>
              <w:rPr>
                <w:rFonts w:hint="eastAsia" w:ascii="宋体" w:hAnsi="宋体" w:eastAsia="宋体"/>
                <w:sz w:val="18"/>
                <w:szCs w:val="18"/>
                <w:u w:val="single"/>
              </w:rPr>
              <w:t>国内外对该技术研究情况简要说明：</w:t>
            </w:r>
          </w:p>
          <w:p w14:paraId="05431013">
            <w:pPr>
              <w:snapToGrid w:val="0"/>
              <w:spacing w:line="360" w:lineRule="auto"/>
              <w:ind w:firstLine="360" w:firstLineChars="200"/>
              <w:rPr>
                <w:rFonts w:ascii="宋体" w:hAnsi="宋体" w:eastAsia="宋体"/>
                <w:sz w:val="18"/>
                <w:szCs w:val="18"/>
              </w:rPr>
            </w:pPr>
          </w:p>
          <w:p w14:paraId="4E663EF0">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模块化轻质混凝土组合结构以重量轻、预制装配、绿色低碳为核心特征，是建筑工业化与高性能材料融合的重要方向，凭借构件轻量化、安装便捷化、成本可控化的优势，适配功能用房、住宅、公共建筑等多场景需求。目前，国内外围绕装配式建筑的材料研发、结构体系、连接技术等开展大量工作，但对于构件层级的模块化建筑体系研究较少，各企业逐步形成了差异化发展格局，具体情况如下。</w:t>
            </w:r>
          </w:p>
          <w:p w14:paraId="6CAD5DF8">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国内方面，以工程应用驱动、政策支持为导向，聚焦高层化、高装配率与本土化技术体系构建。应用场景上，针对边远地区极端条件下房屋建设等痛点场景，中铁建设2024年提出的金属骨架与泡沫混凝土模块化体系，有效解决运输不便、造价高昂问题；清华大学、中建海龙等开发轻质高强箱型模块，自重较传统混凝土模块降低 25%–40%，适配高层模块化建造。结构体系与连接上，形成框架式、剪力墙式、箱模式、叠合式四大模块体系，其中箱模–现浇剪力墙体系应用于百米级住宅，预制率超 80%。连接技术以螺栓连接、套筒灌浆、后浇节点为主，攻克 “强连接、防水、抗震” 难题，广州建筑 G-MiC 体系实现 “免模板、免外架、免支撑”。轻质混凝土长期耐久性、节点疲劳性能、高层抗风抗震理论研究滞后于工程实践；标准化不足、运输吊装限制、成本偏高制约推广。</w:t>
            </w:r>
          </w:p>
          <w:p w14:paraId="42380992">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欧美、日韩、新加坡研究起步早，侧重材料创新、低碳性能、智能建造与标准化体系，技术体系成熟。材料方面，欧盟、美国聚焦纤维增强轻质混凝土、地质聚合物轻质混凝土、3D 打印轻质混凝土，强度与韧性提升，掺工业固废降低碳排放。香港大学研究表明，轻质混凝土用于非结构构件可减碳 10.1%；德国研发发泡混凝土复合楼盖，密度 1600kg/m³，性能接近普通混凝土。结构与连接方面，新加坡 PPVC、香港 MiC 体系全球领先，全预制箱型模块高层应用成熟。欧洲侧重干式螺栓连接、预应力连接，现场无湿作业，装配效率提升 40%。美国、日本聚焦抗震与抗风，建立完善轻质模块结构设计标准。低碳与智能方面，欧美以全生命周期低碳为核心，优化配合比与模块设计，碳排降低 30% 以上。德国、日本将AI、物联网用于生产质控与施工监控，精度达 ±1mm。</w:t>
            </w:r>
          </w:p>
          <w:p w14:paraId="04C3C69A">
            <w:pPr>
              <w:snapToGrid w:val="0"/>
              <w:spacing w:line="360" w:lineRule="auto"/>
              <w:ind w:left="0" w:leftChars="0" w:firstLine="559" w:firstLineChars="311"/>
              <w:rPr>
                <w:rFonts w:hint="eastAsia" w:ascii="宋体" w:hAnsi="宋体" w:eastAsia="宋体"/>
                <w:sz w:val="18"/>
                <w:szCs w:val="18"/>
                <w:lang w:val="en-US" w:eastAsia="zh-CN"/>
              </w:rPr>
            </w:pPr>
            <w:r>
              <w:rPr>
                <w:rFonts w:hint="eastAsia" w:ascii="宋体" w:hAnsi="宋体" w:eastAsia="宋体"/>
                <w:sz w:val="18"/>
                <w:szCs w:val="18"/>
              </w:rPr>
              <w:t>总体而言，国内装配式工程应用进展快、突破多，在特殊场景适配与性能提升上针对性强，但基础研究与标准化有待加强；国外基础研究深、技术先进、标准完善，却存在经济性短板。两者共同趋势为聚焦轻质高强材料、干式连接、数字化应用、全生命周期低碳及可循环可拆卸。现有的成果、规范、标准多针对传统装配式及mic模块的研究，对于构件层级的研究成果、标准较少，中铁建设集团研发的基于构件层级的模块化轻质混凝土组合结构填补了目前研究成果的空白，标准的建立，将推动模块化轻质混凝土组合结构向高效、安全、绿色可持续方向发展。</w:t>
            </w:r>
            <w:r>
              <w:rPr>
                <w:rFonts w:hint="eastAsia" w:ascii="宋体" w:hAnsi="宋体" w:eastAsia="宋体"/>
                <w:sz w:val="18"/>
                <w:szCs w:val="18"/>
                <w:lang w:val="en-US" w:eastAsia="zh-CN"/>
              </w:rPr>
              <w:t xml:space="preserve">    </w:t>
            </w:r>
          </w:p>
          <w:p w14:paraId="6E3D6D59">
            <w:pPr>
              <w:snapToGrid w:val="0"/>
              <w:spacing w:line="360" w:lineRule="auto"/>
              <w:ind w:left="0" w:leftChars="0" w:firstLine="559" w:firstLineChars="311"/>
              <w:rPr>
                <w:rFonts w:ascii="宋体" w:hAnsi="宋体" w:eastAsia="宋体"/>
                <w:sz w:val="18"/>
                <w:szCs w:val="18"/>
              </w:rPr>
            </w:pPr>
            <w:r>
              <w:rPr>
                <w:rFonts w:hint="eastAsia" w:ascii="宋体" w:hAnsi="宋体" w:eastAsia="宋体"/>
                <w:sz w:val="18"/>
                <w:szCs w:val="18"/>
              </w:rPr>
              <w:t>本标准为中国铁建重点研发计划课题“模块化劲性轻质混凝土结构体系研发与应用”及中铁建设集团有限公司研发计划课题“模块化轻质混凝土-铝合金组合结构研发及示范”及“铁路区间用房模块化轻质组合建筑研发”的科技成果转化。</w:t>
            </w:r>
            <w:bookmarkStart w:id="0" w:name="_GoBack"/>
            <w:bookmarkEnd w:id="0"/>
          </w:p>
          <w:p w14:paraId="4F76C0F1">
            <w:pPr>
              <w:snapToGrid w:val="0"/>
              <w:spacing w:line="360" w:lineRule="auto"/>
              <w:rPr>
                <w:rFonts w:ascii="宋体" w:hAnsi="宋体" w:eastAsia="宋体"/>
                <w:sz w:val="18"/>
                <w:szCs w:val="18"/>
              </w:rPr>
            </w:pPr>
          </w:p>
          <w:p w14:paraId="2FA8850E">
            <w:pPr>
              <w:numPr>
                <w:ilvl w:val="0"/>
                <w:numId w:val="1"/>
              </w:numPr>
              <w:snapToGrid w:val="0"/>
              <w:spacing w:line="360" w:lineRule="auto"/>
              <w:rPr>
                <w:rFonts w:ascii="宋体" w:hAnsi="宋体" w:eastAsia="宋体"/>
                <w:sz w:val="18"/>
                <w:szCs w:val="18"/>
              </w:rPr>
            </w:pPr>
            <w:r>
              <w:rPr>
                <w:rFonts w:hint="eastAsia" w:ascii="宋体" w:hAnsi="宋体" w:eastAsia="宋体"/>
                <w:sz w:val="18"/>
                <w:szCs w:val="18"/>
                <w:u w:val="single"/>
              </w:rPr>
              <w:t>项目与国际标准或国外先进标准采用程度的考虑：</w:t>
            </w:r>
            <w:r>
              <w:rPr>
                <w:rFonts w:hint="eastAsia" w:ascii="宋体" w:hAnsi="宋体" w:eastAsia="宋体"/>
                <w:sz w:val="18"/>
                <w:szCs w:val="18"/>
              </w:rPr>
              <w:t>无。</w:t>
            </w:r>
          </w:p>
          <w:p w14:paraId="16984D0E">
            <w:pPr>
              <w:snapToGrid w:val="0"/>
              <w:spacing w:line="360" w:lineRule="auto"/>
              <w:rPr>
                <w:rFonts w:ascii="宋体" w:hAnsi="宋体" w:eastAsia="宋体"/>
                <w:sz w:val="18"/>
                <w:szCs w:val="18"/>
              </w:rPr>
            </w:pPr>
          </w:p>
          <w:p w14:paraId="5F794AA0">
            <w:pPr>
              <w:numPr>
                <w:ilvl w:val="0"/>
                <w:numId w:val="1"/>
              </w:numPr>
              <w:snapToGrid w:val="0"/>
              <w:spacing w:line="360" w:lineRule="auto"/>
              <w:rPr>
                <w:rFonts w:ascii="宋体" w:hAnsi="宋体" w:eastAsia="宋体"/>
                <w:sz w:val="18"/>
                <w:szCs w:val="18"/>
              </w:rPr>
            </w:pPr>
            <w:r>
              <w:rPr>
                <w:rFonts w:hint="eastAsia" w:ascii="宋体" w:hAnsi="宋体" w:eastAsia="宋体"/>
                <w:sz w:val="18"/>
                <w:szCs w:val="18"/>
                <w:u w:val="single"/>
              </w:rPr>
              <w:t>与国内相关标准间的关系：</w:t>
            </w:r>
          </w:p>
          <w:p w14:paraId="4BF4A235">
            <w:pPr>
              <w:snapToGrid w:val="0"/>
              <w:spacing w:line="360" w:lineRule="auto"/>
              <w:ind w:firstLine="360" w:firstLineChars="200"/>
              <w:rPr>
                <w:rFonts w:ascii="宋体" w:hAnsi="宋体" w:eastAsia="宋体" w:cs="宋体"/>
                <w:sz w:val="18"/>
                <w:szCs w:val="18"/>
              </w:rPr>
            </w:pPr>
          </w:p>
          <w:p w14:paraId="7B45CDB5">
            <w:pPr>
              <w:snapToGrid w:val="0"/>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该标准项目尚无相关的国家或行业标准。</w:t>
            </w:r>
          </w:p>
          <w:p w14:paraId="5F46913A">
            <w:pPr>
              <w:snapToGrid w:val="0"/>
              <w:spacing w:line="360" w:lineRule="auto"/>
              <w:ind w:firstLine="360" w:firstLineChars="200"/>
              <w:rPr>
                <w:rFonts w:ascii="宋体" w:hAnsi="宋体" w:eastAsia="宋体" w:cs="宋体"/>
                <w:color w:val="0000FF"/>
                <w:sz w:val="18"/>
                <w:szCs w:val="18"/>
              </w:rPr>
            </w:pPr>
          </w:p>
          <w:p w14:paraId="7884156E">
            <w:pPr>
              <w:snapToGrid w:val="0"/>
              <w:spacing w:line="360" w:lineRule="auto"/>
              <w:rPr>
                <w:rFonts w:ascii="宋体" w:hAnsi="宋体" w:eastAsia="宋体"/>
                <w:sz w:val="18"/>
                <w:szCs w:val="18"/>
              </w:rPr>
            </w:pPr>
          </w:p>
          <w:p w14:paraId="571D684D">
            <w:pPr>
              <w:snapToGrid w:val="0"/>
              <w:spacing w:line="360" w:lineRule="auto"/>
              <w:rPr>
                <w:rFonts w:ascii="宋体" w:hAnsi="宋体" w:eastAsia="宋体"/>
                <w:sz w:val="18"/>
                <w:szCs w:val="18"/>
              </w:rPr>
            </w:pPr>
            <w:r>
              <w:rPr>
                <w:rFonts w:hint="eastAsia" w:ascii="宋体" w:hAnsi="宋体" w:eastAsia="宋体"/>
                <w:sz w:val="18"/>
                <w:szCs w:val="18"/>
              </w:rPr>
              <w:t xml:space="preserve">4. </w:t>
            </w:r>
            <w:r>
              <w:rPr>
                <w:rFonts w:hint="eastAsia" w:ascii="宋体" w:hAnsi="宋体" w:eastAsia="宋体"/>
                <w:sz w:val="18"/>
                <w:szCs w:val="18"/>
                <w:u w:val="single"/>
              </w:rPr>
              <w:t>指出是否发现有知识产权的问题：</w:t>
            </w:r>
            <w:r>
              <w:rPr>
                <w:rFonts w:hint="eastAsia" w:ascii="宋体" w:hAnsi="宋体" w:eastAsia="宋体"/>
                <w:sz w:val="18"/>
                <w:szCs w:val="18"/>
              </w:rPr>
              <w:t>未发现知识产权问题。</w:t>
            </w:r>
          </w:p>
        </w:tc>
      </w:tr>
      <w:tr w14:paraId="72D2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14:paraId="13EC6211">
            <w:pPr>
              <w:pStyle w:val="3"/>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vAlign w:val="center"/>
          </w:tcPr>
          <w:p w14:paraId="3806BBE4">
            <w:pPr>
              <w:snapToGrid w:val="0"/>
              <w:spacing w:line="360" w:lineRule="auto"/>
              <w:jc w:val="center"/>
              <w:rPr>
                <w:rFonts w:ascii="宋体" w:hAnsi="宋体" w:eastAsia="宋体"/>
                <w:sz w:val="18"/>
                <w:szCs w:val="18"/>
              </w:rPr>
            </w:pPr>
          </w:p>
          <w:p w14:paraId="33310705">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14:paraId="6C68454A">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vAlign w:val="center"/>
          </w:tcPr>
          <w:p w14:paraId="05D812DC">
            <w:pPr>
              <w:snapToGrid w:val="0"/>
              <w:spacing w:line="360" w:lineRule="auto"/>
              <w:rPr>
                <w:rFonts w:ascii="宋体" w:hAnsi="宋体" w:eastAsia="宋体"/>
                <w:sz w:val="18"/>
                <w:szCs w:val="18"/>
              </w:rPr>
            </w:pPr>
          </w:p>
          <w:p w14:paraId="5BF0C3DA">
            <w:pPr>
              <w:snapToGrid w:val="0"/>
              <w:rPr>
                <w:rFonts w:ascii="宋体" w:hAnsi="宋体" w:eastAsia="宋体"/>
                <w:sz w:val="18"/>
                <w:szCs w:val="18"/>
              </w:rPr>
            </w:pPr>
            <w:r>
              <w:rPr>
                <w:rFonts w:hint="eastAsia" w:ascii="宋体" w:hAnsi="宋体" w:eastAsia="宋体"/>
                <w:sz w:val="18"/>
                <w:szCs w:val="18"/>
              </w:rPr>
              <w:t>（签字、盖公章）</w:t>
            </w:r>
          </w:p>
          <w:p w14:paraId="7321DC41">
            <w:pPr>
              <w:snapToGrid w:val="0"/>
              <w:rPr>
                <w:rFonts w:ascii="宋体" w:hAnsi="宋体" w:eastAsia="宋体"/>
                <w:sz w:val="18"/>
                <w:szCs w:val="18"/>
              </w:rPr>
            </w:pPr>
            <w:r>
              <w:rPr>
                <w:rFonts w:hint="eastAsia" w:ascii="宋体" w:hAnsi="宋体" w:eastAsia="宋体"/>
                <w:sz w:val="18"/>
                <w:szCs w:val="18"/>
              </w:rPr>
              <w:t xml:space="preserve">    月     日</w:t>
            </w:r>
          </w:p>
        </w:tc>
      </w:tr>
    </w:tbl>
    <w:p w14:paraId="332DB022">
      <w:pPr>
        <w:snapToGrid w:val="0"/>
        <w:spacing w:before="156"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46979A89">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48EC7DA0">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76154C30">
      <w:pPr>
        <w:snapToGrid w:val="0"/>
        <w:rPr>
          <w:sz w:val="18"/>
          <w:szCs w:val="18"/>
        </w:rPr>
      </w:pPr>
    </w:p>
    <w:p w14:paraId="45D1F9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1112FA"/>
    <w:multiLevelType w:val="singleLevel"/>
    <w:tmpl w:val="7F1112F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499"/>
    <w:rsid w:val="00314295"/>
    <w:rsid w:val="00631028"/>
    <w:rsid w:val="00685F50"/>
    <w:rsid w:val="00747499"/>
    <w:rsid w:val="00FC5186"/>
    <w:rsid w:val="03261624"/>
    <w:rsid w:val="057A17A1"/>
    <w:rsid w:val="060043AE"/>
    <w:rsid w:val="07241FF5"/>
    <w:rsid w:val="08713341"/>
    <w:rsid w:val="0C540FAF"/>
    <w:rsid w:val="191617D7"/>
    <w:rsid w:val="1BF12B1E"/>
    <w:rsid w:val="1C175AD5"/>
    <w:rsid w:val="1C2F4C4D"/>
    <w:rsid w:val="1D3A646D"/>
    <w:rsid w:val="1DA358F3"/>
    <w:rsid w:val="1E6658C1"/>
    <w:rsid w:val="21101501"/>
    <w:rsid w:val="236F3ABB"/>
    <w:rsid w:val="250372FE"/>
    <w:rsid w:val="27F51441"/>
    <w:rsid w:val="28096575"/>
    <w:rsid w:val="28750222"/>
    <w:rsid w:val="28EC449E"/>
    <w:rsid w:val="29697DC7"/>
    <w:rsid w:val="32E349BA"/>
    <w:rsid w:val="35B04BF9"/>
    <w:rsid w:val="3652180C"/>
    <w:rsid w:val="3EB76FF8"/>
    <w:rsid w:val="42770F78"/>
    <w:rsid w:val="445A645C"/>
    <w:rsid w:val="48977677"/>
    <w:rsid w:val="4DF47921"/>
    <w:rsid w:val="4F813436"/>
    <w:rsid w:val="52B4142D"/>
    <w:rsid w:val="54A6749B"/>
    <w:rsid w:val="5AE049A4"/>
    <w:rsid w:val="5AE76118"/>
    <w:rsid w:val="628C38A3"/>
    <w:rsid w:val="64095400"/>
    <w:rsid w:val="64A6511C"/>
    <w:rsid w:val="65F33E9E"/>
    <w:rsid w:val="69883FA5"/>
    <w:rsid w:val="69B970E2"/>
    <w:rsid w:val="704C22FA"/>
    <w:rsid w:val="72330169"/>
    <w:rsid w:val="75E7084F"/>
    <w:rsid w:val="7AA40061"/>
    <w:rsid w:val="7AC3298E"/>
    <w:rsid w:val="7C961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0"/>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2271</Words>
  <Characters>2428</Characters>
  <Lines>69</Lines>
  <Paragraphs>58</Paragraphs>
  <TotalTime>0</TotalTime>
  <ScaleCrop>false</ScaleCrop>
  <LinksUpToDate>false</LinksUpToDate>
  <CharactersWithSpaces>2479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郑云生</cp:lastModifiedBy>
  <dcterms:modified xsi:type="dcterms:W3CDTF">2026-06-30T10:06:54Z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eyJoZGlkIjoiYmNkMDNiODg2ODk5Yjk3OGRhMDE2MjQ0ZDI5ODk2ODIiLCJ1c2VySWQiOiI1NDc3NzQyMDYifQ==</vt:lpwstr>
  </property>
  <property fmtid="{D5CDD505-2E9C-101B-9397-08002B2CF9AE}" pid="3" name="KSOProductBuildVer">
    <vt:lpwstr>2052-12.1.0.26895</vt:lpwstr>
  </property>
  <property fmtid="{D5CDD505-2E9C-101B-9397-08002B2CF9AE}" pid="4" name="ICV">
    <vt:lpwstr>F1DEC72FF8EC48CD9A8D10EDF0BD1625_13</vt:lpwstr>
  </property>
</Properties>
</file>