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951D3">
      <w:pPr>
        <w:jc w:val="center"/>
        <w:rPr>
          <w:rFonts w:ascii="宋体" w:hAnsi="宋体" w:eastAsia="宋体"/>
          <w:sz w:val="36"/>
          <w:szCs w:val="36"/>
        </w:rPr>
      </w:pPr>
    </w:p>
    <w:p w14:paraId="5D0A2D35">
      <w:pPr>
        <w:jc w:val="center"/>
        <w:rPr>
          <w:rFonts w:ascii="宋体" w:hAnsi="宋体" w:eastAsia="宋体"/>
          <w:sz w:val="36"/>
          <w:szCs w:val="36"/>
        </w:rPr>
      </w:pPr>
    </w:p>
    <w:p w14:paraId="39FEE214">
      <w:pPr>
        <w:jc w:val="center"/>
        <w:rPr>
          <w:rFonts w:ascii="宋体" w:hAnsi="宋体" w:eastAsia="宋体"/>
          <w:sz w:val="36"/>
          <w:szCs w:val="36"/>
        </w:rPr>
      </w:pPr>
    </w:p>
    <w:p w14:paraId="1C8E88E0">
      <w:pPr>
        <w:jc w:val="center"/>
        <w:rPr>
          <w:rFonts w:ascii="宋体" w:hAnsi="宋体" w:eastAsia="宋体"/>
          <w:sz w:val="36"/>
          <w:szCs w:val="36"/>
        </w:rPr>
      </w:pPr>
    </w:p>
    <w:p w14:paraId="62CC20F3">
      <w:pPr>
        <w:jc w:val="center"/>
        <w:rPr>
          <w:rFonts w:ascii="宋体" w:hAnsi="宋体" w:eastAsia="宋体"/>
          <w:sz w:val="44"/>
          <w:szCs w:val="44"/>
        </w:rPr>
      </w:pPr>
    </w:p>
    <w:p w14:paraId="0076BAFF">
      <w:pPr>
        <w:jc w:val="center"/>
        <w:rPr>
          <w:rFonts w:ascii="宋体" w:hAnsi="宋体" w:eastAsia="宋体"/>
          <w:sz w:val="44"/>
          <w:szCs w:val="44"/>
        </w:rPr>
      </w:pPr>
    </w:p>
    <w:p w14:paraId="1460BF46">
      <w:pPr>
        <w:jc w:val="center"/>
        <w:rPr>
          <w:rFonts w:ascii="黑体" w:hAnsi="黑体" w:eastAsia="黑体"/>
          <w:sz w:val="44"/>
          <w:szCs w:val="44"/>
        </w:rPr>
      </w:pPr>
      <w:r>
        <w:rPr>
          <w:rFonts w:hint="eastAsia" w:ascii="黑体" w:hAnsi="黑体" w:eastAsia="黑体"/>
          <w:sz w:val="44"/>
          <w:szCs w:val="44"/>
        </w:rPr>
        <w:t>《建筑</w:t>
      </w:r>
      <w:r>
        <w:rPr>
          <w:rFonts w:hint="eastAsia" w:ascii="黑体" w:hAnsi="黑体" w:eastAsia="黑体"/>
          <w:sz w:val="44"/>
          <w:szCs w:val="44"/>
          <w:lang w:val="en-US" w:eastAsia="zh-Hans"/>
        </w:rPr>
        <w:t>材料行业企业环境</w:t>
      </w:r>
      <w:r>
        <w:rPr>
          <w:rFonts w:hint="default" w:ascii="黑体" w:hAnsi="黑体" w:eastAsia="黑体"/>
          <w:sz w:val="44"/>
          <w:szCs w:val="44"/>
          <w:lang w:eastAsia="zh-Hans"/>
        </w:rPr>
        <w:t>、</w:t>
      </w:r>
      <w:r>
        <w:rPr>
          <w:rFonts w:hint="eastAsia" w:ascii="黑体" w:hAnsi="黑体" w:eastAsia="黑体"/>
          <w:sz w:val="44"/>
          <w:szCs w:val="44"/>
          <w:lang w:val="en-US" w:eastAsia="zh-Hans"/>
        </w:rPr>
        <w:t>社会和公司治理</w:t>
      </w:r>
      <w:r>
        <w:rPr>
          <w:rFonts w:hint="default" w:ascii="黑体" w:hAnsi="黑体" w:eastAsia="黑体"/>
          <w:sz w:val="44"/>
          <w:szCs w:val="44"/>
          <w:lang w:eastAsia="zh-Hans"/>
        </w:rPr>
        <w:t>（ESG）</w:t>
      </w:r>
      <w:r>
        <w:rPr>
          <w:rFonts w:hint="eastAsia" w:ascii="黑体" w:hAnsi="黑体" w:eastAsia="黑体"/>
          <w:sz w:val="44"/>
          <w:szCs w:val="44"/>
          <w:lang w:val="en-US" w:eastAsia="zh-Hans"/>
        </w:rPr>
        <w:t>指南</w:t>
      </w:r>
      <w:r>
        <w:rPr>
          <w:rFonts w:hint="default" w:ascii="黑体" w:hAnsi="黑体" w:eastAsia="黑体"/>
          <w:sz w:val="44"/>
          <w:szCs w:val="44"/>
          <w:lang w:eastAsia="zh-Hans"/>
        </w:rPr>
        <w:t xml:space="preserve"> </w:t>
      </w:r>
      <w:r>
        <w:rPr>
          <w:rFonts w:hint="eastAsia" w:ascii="黑体" w:hAnsi="黑体" w:eastAsia="黑体"/>
          <w:sz w:val="44"/>
          <w:szCs w:val="44"/>
          <w:lang w:val="en-US" w:eastAsia="zh-Hans"/>
        </w:rPr>
        <w:t>第</w:t>
      </w:r>
      <w:r>
        <w:rPr>
          <w:rFonts w:hint="eastAsia" w:ascii="黑体" w:hAnsi="黑体" w:eastAsia="黑体"/>
          <w:sz w:val="44"/>
          <w:szCs w:val="44"/>
          <w:lang w:val="en-US" w:eastAsia="zh-CN"/>
        </w:rPr>
        <w:t>3</w:t>
      </w:r>
      <w:r>
        <w:rPr>
          <w:rFonts w:hint="eastAsia" w:ascii="黑体" w:hAnsi="黑体" w:eastAsia="黑体"/>
          <w:sz w:val="44"/>
          <w:szCs w:val="44"/>
          <w:lang w:val="en-US" w:eastAsia="zh-Hans"/>
        </w:rPr>
        <w:t>部分</w:t>
      </w:r>
      <w:r>
        <w:rPr>
          <w:rFonts w:hint="default" w:ascii="黑体" w:hAnsi="黑体" w:eastAsia="黑体"/>
          <w:sz w:val="44"/>
          <w:szCs w:val="44"/>
          <w:lang w:eastAsia="zh-Hans"/>
        </w:rPr>
        <w:t>：</w:t>
      </w:r>
      <w:r>
        <w:rPr>
          <w:rFonts w:hint="eastAsia" w:ascii="黑体" w:hAnsi="黑体" w:eastAsia="黑体"/>
          <w:sz w:val="44"/>
          <w:szCs w:val="44"/>
          <w:lang w:val="en-US" w:eastAsia="zh-CN"/>
        </w:rPr>
        <w:t>报告编制</w:t>
      </w:r>
      <w:r>
        <w:rPr>
          <w:rFonts w:hint="eastAsia" w:ascii="黑体" w:hAnsi="黑体" w:eastAsia="黑体"/>
          <w:sz w:val="44"/>
          <w:szCs w:val="44"/>
        </w:rPr>
        <w:t>》</w:t>
      </w:r>
    </w:p>
    <w:p w14:paraId="05630D57">
      <w:pPr>
        <w:jc w:val="center"/>
        <w:rPr>
          <w:rFonts w:ascii="黑体" w:hAnsi="黑体" w:eastAsia="黑体"/>
          <w:sz w:val="44"/>
          <w:szCs w:val="44"/>
        </w:rPr>
      </w:pPr>
      <w:r>
        <w:rPr>
          <w:rFonts w:hint="eastAsia" w:ascii="黑体" w:hAnsi="黑体" w:eastAsia="黑体"/>
          <w:sz w:val="44"/>
          <w:szCs w:val="44"/>
        </w:rPr>
        <w:t>编制说明</w:t>
      </w:r>
    </w:p>
    <w:p w14:paraId="36B529A8">
      <w:pPr>
        <w:jc w:val="center"/>
        <w:rPr>
          <w:rFonts w:ascii="黑体" w:hAnsi="黑体" w:eastAsia="黑体"/>
          <w:sz w:val="44"/>
          <w:szCs w:val="44"/>
        </w:rPr>
      </w:pPr>
      <w:r>
        <w:rPr>
          <w:rFonts w:hint="eastAsia" w:ascii="黑体" w:hAnsi="黑体" w:eastAsia="黑体"/>
          <w:sz w:val="44"/>
          <w:szCs w:val="44"/>
        </w:rPr>
        <w:t>（</w:t>
      </w:r>
      <w:r>
        <w:rPr>
          <w:rFonts w:hint="eastAsia" w:ascii="黑体" w:hAnsi="黑体" w:eastAsia="黑体"/>
          <w:sz w:val="44"/>
          <w:szCs w:val="44"/>
          <w:lang w:val="en-US" w:eastAsia="zh-CN"/>
        </w:rPr>
        <w:t>征求意见</w:t>
      </w:r>
      <w:r>
        <w:rPr>
          <w:rFonts w:hint="eastAsia" w:ascii="黑体" w:hAnsi="黑体" w:eastAsia="黑体"/>
          <w:sz w:val="44"/>
          <w:szCs w:val="44"/>
        </w:rPr>
        <w:t>）</w:t>
      </w:r>
    </w:p>
    <w:p w14:paraId="712357B3">
      <w:pPr>
        <w:jc w:val="center"/>
        <w:rPr>
          <w:rFonts w:ascii="宋体" w:hAnsi="宋体" w:eastAsia="宋体"/>
          <w:sz w:val="44"/>
          <w:szCs w:val="44"/>
        </w:rPr>
      </w:pPr>
    </w:p>
    <w:p w14:paraId="1DA10BF3">
      <w:pPr>
        <w:jc w:val="center"/>
        <w:rPr>
          <w:rFonts w:ascii="宋体" w:hAnsi="宋体" w:eastAsia="宋体"/>
          <w:sz w:val="44"/>
          <w:szCs w:val="44"/>
        </w:rPr>
      </w:pPr>
    </w:p>
    <w:p w14:paraId="09BEE102">
      <w:pPr>
        <w:jc w:val="center"/>
        <w:rPr>
          <w:rFonts w:ascii="宋体" w:hAnsi="宋体" w:eastAsia="宋体"/>
          <w:sz w:val="44"/>
          <w:szCs w:val="44"/>
        </w:rPr>
      </w:pPr>
    </w:p>
    <w:p w14:paraId="75CEB8B7">
      <w:pPr>
        <w:jc w:val="center"/>
        <w:rPr>
          <w:rFonts w:ascii="宋体" w:hAnsi="宋体" w:eastAsia="宋体"/>
          <w:sz w:val="44"/>
          <w:szCs w:val="44"/>
        </w:rPr>
      </w:pPr>
    </w:p>
    <w:p w14:paraId="06C94BAF">
      <w:pPr>
        <w:jc w:val="center"/>
        <w:rPr>
          <w:rFonts w:ascii="宋体" w:hAnsi="宋体" w:eastAsia="宋体"/>
          <w:sz w:val="44"/>
          <w:szCs w:val="44"/>
        </w:rPr>
      </w:pPr>
    </w:p>
    <w:p w14:paraId="38086EDB">
      <w:pPr>
        <w:jc w:val="center"/>
        <w:rPr>
          <w:rFonts w:ascii="宋体" w:hAnsi="宋体" w:eastAsia="宋体"/>
          <w:sz w:val="44"/>
          <w:szCs w:val="44"/>
        </w:rPr>
      </w:pPr>
    </w:p>
    <w:p w14:paraId="79758A03">
      <w:pPr>
        <w:jc w:val="center"/>
        <w:rPr>
          <w:rFonts w:ascii="宋体" w:hAnsi="宋体" w:eastAsia="宋体"/>
          <w:sz w:val="44"/>
          <w:szCs w:val="44"/>
        </w:rPr>
      </w:pPr>
    </w:p>
    <w:p w14:paraId="11FF5FCD">
      <w:pPr>
        <w:jc w:val="center"/>
        <w:rPr>
          <w:rFonts w:ascii="宋体" w:hAnsi="宋体" w:eastAsia="宋体"/>
          <w:sz w:val="44"/>
          <w:szCs w:val="44"/>
        </w:rPr>
      </w:pPr>
    </w:p>
    <w:p w14:paraId="7ED55688">
      <w:pPr>
        <w:jc w:val="center"/>
        <w:rPr>
          <w:rFonts w:ascii="宋体" w:hAnsi="宋体" w:eastAsia="宋体"/>
          <w:sz w:val="44"/>
          <w:szCs w:val="44"/>
        </w:rPr>
      </w:pPr>
    </w:p>
    <w:p w14:paraId="1903A8B3">
      <w:pPr>
        <w:jc w:val="both"/>
        <w:rPr>
          <w:rFonts w:ascii="宋体" w:hAnsi="宋体" w:eastAsia="宋体"/>
          <w:sz w:val="24"/>
          <w:szCs w:val="24"/>
        </w:rPr>
      </w:pPr>
    </w:p>
    <w:p w14:paraId="3EF9D263">
      <w:pPr>
        <w:jc w:val="center"/>
        <w:rPr>
          <w:rFonts w:hint="eastAsia" w:ascii="宋体" w:hAnsi="宋体" w:eastAsia="宋体"/>
          <w:sz w:val="24"/>
          <w:szCs w:val="24"/>
        </w:rPr>
      </w:pPr>
    </w:p>
    <w:p w14:paraId="212B8B95">
      <w:pPr>
        <w:jc w:val="center"/>
        <w:rPr>
          <w:rFonts w:ascii="宋体" w:hAnsi="宋体" w:eastAsia="宋体"/>
          <w:sz w:val="24"/>
          <w:szCs w:val="24"/>
        </w:rPr>
      </w:pPr>
      <w:r>
        <w:rPr>
          <w:rFonts w:hint="eastAsia" w:ascii="宋体" w:hAnsi="宋体" w:eastAsia="宋体"/>
          <w:sz w:val="24"/>
          <w:szCs w:val="24"/>
        </w:rPr>
        <w:t>编制组</w:t>
      </w:r>
    </w:p>
    <w:p w14:paraId="7C168A5D">
      <w:pPr>
        <w:jc w:val="center"/>
        <w:rPr>
          <w:rFonts w:ascii="宋体" w:hAnsi="宋体" w:eastAsia="宋体"/>
          <w:sz w:val="24"/>
          <w:szCs w:val="24"/>
        </w:rPr>
        <w:sectPr>
          <w:footerReference r:id="rId5" w:type="first"/>
          <w:pgSz w:w="11906" w:h="16838"/>
          <w:pgMar w:top="1440" w:right="1800" w:bottom="1440" w:left="1800" w:header="851" w:footer="992" w:gutter="0"/>
          <w:cols w:space="425" w:num="1"/>
          <w:docGrid w:type="lines" w:linePitch="312" w:charSpace="0"/>
        </w:sectPr>
      </w:pPr>
      <w:r>
        <w:rPr>
          <w:rFonts w:hint="eastAsia" w:ascii="宋体" w:hAnsi="宋体" w:eastAsia="宋体"/>
          <w:sz w:val="24"/>
          <w:szCs w:val="24"/>
        </w:rPr>
        <w:t>20</w:t>
      </w:r>
      <w:r>
        <w:rPr>
          <w:rFonts w:ascii="宋体" w:hAnsi="宋体" w:eastAsia="宋体"/>
          <w:sz w:val="24"/>
          <w:szCs w:val="24"/>
        </w:rPr>
        <w:t>2</w:t>
      </w:r>
      <w:r>
        <w:rPr>
          <w:rFonts w:hint="eastAsia" w:ascii="宋体" w:hAnsi="宋体"/>
          <w:sz w:val="24"/>
          <w:szCs w:val="24"/>
          <w:lang w:val="en-US" w:eastAsia="zh-CN"/>
        </w:rPr>
        <w:t>5</w:t>
      </w:r>
      <w:r>
        <w:rPr>
          <w:rFonts w:hint="eastAsia" w:ascii="宋体" w:hAnsi="宋体" w:eastAsia="宋体"/>
          <w:sz w:val="24"/>
          <w:szCs w:val="24"/>
        </w:rPr>
        <w:t>年</w:t>
      </w:r>
      <w:r>
        <w:rPr>
          <w:rFonts w:hint="eastAsia" w:ascii="宋体" w:hAnsi="宋体"/>
          <w:sz w:val="24"/>
          <w:szCs w:val="24"/>
          <w:lang w:val="en-US" w:eastAsia="zh-CN"/>
        </w:rPr>
        <w:t>5</w:t>
      </w:r>
      <w:bookmarkStart w:id="8" w:name="_GoBack"/>
      <w:bookmarkEnd w:id="8"/>
      <w:r>
        <w:rPr>
          <w:rFonts w:hint="eastAsia" w:ascii="宋体" w:hAnsi="宋体" w:eastAsia="宋体"/>
          <w:sz w:val="24"/>
          <w:szCs w:val="24"/>
        </w:rPr>
        <w:t>月</w:t>
      </w:r>
    </w:p>
    <w:p w14:paraId="189CFC5D">
      <w:pPr>
        <w:pStyle w:val="2"/>
        <w:spacing w:line="360" w:lineRule="auto"/>
      </w:pPr>
      <w:r>
        <w:rPr>
          <w:rFonts w:hint="eastAsia"/>
        </w:rPr>
        <w:t>1.</w:t>
      </w:r>
      <w:r>
        <w:t xml:space="preserve"> </w:t>
      </w:r>
      <w:r>
        <w:rPr>
          <w:rFonts w:hint="eastAsia"/>
        </w:rPr>
        <w:t>工作简况</w:t>
      </w:r>
    </w:p>
    <w:p w14:paraId="2D87306F">
      <w:pPr>
        <w:pStyle w:val="3"/>
        <w:spacing w:line="360" w:lineRule="auto"/>
      </w:pPr>
      <w:r>
        <w:rPr>
          <w:rFonts w:hint="eastAsia"/>
        </w:rPr>
        <w:t>1.</w:t>
      </w:r>
      <w:r>
        <w:t xml:space="preserve">1 </w:t>
      </w:r>
      <w:r>
        <w:rPr>
          <w:rFonts w:hint="eastAsia"/>
        </w:rPr>
        <w:t>任务来源</w:t>
      </w:r>
    </w:p>
    <w:p w14:paraId="678CD572">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20</w:t>
      </w:r>
      <w:r>
        <w:rPr>
          <w:rFonts w:hint="eastAsia" w:cs="Times New Roman"/>
          <w:sz w:val="24"/>
          <w:szCs w:val="24"/>
          <w:lang w:val="en-US" w:eastAsia="zh-CN"/>
        </w:rPr>
        <w:t>25</w:t>
      </w:r>
      <w:r>
        <w:rPr>
          <w:rFonts w:hint="eastAsia" w:ascii="Times New Roman" w:hAnsi="Times New Roman" w:eastAsia="宋体" w:cs="Times New Roman"/>
          <w:sz w:val="24"/>
          <w:szCs w:val="24"/>
          <w:lang w:val="en-US" w:eastAsia="zh-Hans"/>
        </w:rPr>
        <w:t>年</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Hans"/>
        </w:rPr>
        <w:t>月</w:t>
      </w:r>
      <w:r>
        <w:rPr>
          <w:rFonts w:hint="eastAsia" w:cs="Times New Roman"/>
          <w:sz w:val="24"/>
          <w:szCs w:val="24"/>
          <w:lang w:val="en-US" w:eastAsia="zh-CN"/>
        </w:rPr>
        <w:t>12</w:t>
      </w:r>
      <w:r>
        <w:rPr>
          <w:rFonts w:hint="eastAsia" w:ascii="Times New Roman" w:hAnsi="Times New Roman" w:eastAsia="宋体" w:cs="Times New Roman"/>
          <w:sz w:val="24"/>
          <w:szCs w:val="24"/>
          <w:lang w:val="en-US" w:eastAsia="zh-Hans"/>
        </w:rPr>
        <w:t>日</w:t>
      </w:r>
      <w:r>
        <w:rPr>
          <w:rFonts w:hint="default" w:ascii="Times New Roman" w:hAnsi="Times New Roman" w:eastAsia="宋体" w:cs="Times New Roman"/>
          <w:sz w:val="24"/>
          <w:szCs w:val="24"/>
          <w:lang w:eastAsia="zh-Hans"/>
        </w:rPr>
        <w:t>，</w:t>
      </w:r>
      <w:r>
        <w:rPr>
          <w:rFonts w:hint="eastAsia" w:ascii="Times New Roman" w:hAnsi="Times New Roman" w:eastAsia="宋体" w:cs="Times New Roman"/>
          <w:sz w:val="24"/>
          <w:szCs w:val="24"/>
          <w:lang w:val="en-US" w:eastAsia="zh-Hans"/>
        </w:rPr>
        <w:t>中国建筑材料联合会</w:t>
      </w:r>
      <w:r>
        <w:rPr>
          <w:rFonts w:hint="default" w:ascii="Times New Roman" w:hAnsi="Times New Roman" w:eastAsia="宋体" w:cs="Times New Roman"/>
          <w:sz w:val="24"/>
          <w:szCs w:val="24"/>
          <w:lang w:eastAsia="zh-Hans"/>
        </w:rPr>
        <w:t>《</w:t>
      </w:r>
      <w:r>
        <w:rPr>
          <w:rFonts w:hint="eastAsia" w:ascii="Times New Roman" w:hAnsi="Times New Roman" w:eastAsia="宋体" w:cs="Times New Roman"/>
          <w:sz w:val="24"/>
          <w:szCs w:val="24"/>
          <w:lang w:val="en-US" w:eastAsia="zh-Hans"/>
        </w:rPr>
        <w:t>关于下达</w:t>
      </w:r>
      <w:r>
        <w:rPr>
          <w:rFonts w:hint="default" w:ascii="Times New Roman" w:hAnsi="Times New Roman" w:eastAsia="宋体" w:cs="Times New Roman"/>
          <w:sz w:val="24"/>
          <w:szCs w:val="24"/>
          <w:lang w:eastAsia="zh-Hans"/>
        </w:rPr>
        <w:t>202</w:t>
      </w:r>
      <w:r>
        <w:rPr>
          <w:rFonts w:hint="eastAsia" w:cs="Times New Roman"/>
          <w:sz w:val="24"/>
          <w:szCs w:val="24"/>
          <w:lang w:val="en-US" w:eastAsia="zh-CN"/>
        </w:rPr>
        <w:t>5</w:t>
      </w:r>
      <w:r>
        <w:rPr>
          <w:rFonts w:hint="eastAsia" w:ascii="Times New Roman" w:hAnsi="Times New Roman" w:eastAsia="宋体" w:cs="Times New Roman"/>
          <w:sz w:val="24"/>
          <w:szCs w:val="24"/>
          <w:lang w:val="en-US" w:eastAsia="zh-Hans"/>
        </w:rPr>
        <w:t>年第</w:t>
      </w:r>
      <w:r>
        <w:rPr>
          <w:rFonts w:hint="eastAsia" w:cs="Times New Roman"/>
          <w:sz w:val="24"/>
          <w:szCs w:val="24"/>
          <w:lang w:val="en-US" w:eastAsia="zh-CN"/>
        </w:rPr>
        <w:t>一</w:t>
      </w:r>
      <w:r>
        <w:rPr>
          <w:rFonts w:hint="eastAsia" w:ascii="Times New Roman" w:hAnsi="Times New Roman" w:eastAsia="宋体" w:cs="Times New Roman"/>
          <w:sz w:val="24"/>
          <w:szCs w:val="24"/>
          <w:lang w:val="en-US" w:eastAsia="zh-Hans"/>
        </w:rPr>
        <w:t>批协会标准制定计划的通知</w:t>
      </w:r>
      <w:r>
        <w:rPr>
          <w:rFonts w:hint="default" w:ascii="Times New Roman" w:hAnsi="Times New Roman" w:eastAsia="宋体" w:cs="Times New Roman"/>
          <w:sz w:val="24"/>
          <w:szCs w:val="24"/>
          <w:lang w:eastAsia="zh-Hans"/>
        </w:rPr>
        <w:t>》（</w:t>
      </w:r>
      <w:r>
        <w:rPr>
          <w:rFonts w:hint="eastAsia" w:ascii="Times New Roman" w:hAnsi="Times New Roman" w:eastAsia="宋体" w:cs="Times New Roman"/>
          <w:sz w:val="24"/>
          <w:szCs w:val="24"/>
          <w:lang w:val="en-US" w:eastAsia="zh-Hans"/>
        </w:rPr>
        <w:t>中建材联标发</w:t>
      </w:r>
      <w:r>
        <w:rPr>
          <w:rFonts w:hint="eastAsia" w:ascii="仿宋" w:hAnsi="仿宋" w:eastAsia="仿宋" w:cs="仿宋"/>
          <w:sz w:val="24"/>
          <w:szCs w:val="24"/>
          <w:lang w:eastAsia="zh-Hans"/>
        </w:rPr>
        <w:t>〔</w:t>
      </w:r>
      <w:r>
        <w:rPr>
          <w:rFonts w:hint="default" w:ascii="Times New Roman" w:hAnsi="Times New Roman" w:eastAsia="宋体" w:cs="Times New Roman"/>
          <w:sz w:val="24"/>
          <w:szCs w:val="24"/>
          <w:lang w:eastAsia="zh-Hans"/>
        </w:rPr>
        <w:t>202</w:t>
      </w:r>
      <w:r>
        <w:rPr>
          <w:rFonts w:hint="eastAsia" w:cs="Times New Roman"/>
          <w:sz w:val="24"/>
          <w:szCs w:val="24"/>
          <w:lang w:val="en-US" w:eastAsia="zh-CN"/>
        </w:rPr>
        <w:t>5</w:t>
      </w:r>
      <w:r>
        <w:rPr>
          <w:rFonts w:hint="eastAsia" w:ascii="仿宋" w:hAnsi="仿宋" w:eastAsia="仿宋" w:cs="仿宋"/>
          <w:sz w:val="24"/>
          <w:szCs w:val="24"/>
          <w:lang w:eastAsia="zh-Hans"/>
        </w:rPr>
        <w:t>〕</w:t>
      </w:r>
      <w:r>
        <w:rPr>
          <w:rFonts w:hint="eastAsia" w:cs="Times New Roman"/>
          <w:sz w:val="24"/>
          <w:szCs w:val="24"/>
          <w:lang w:val="en-US" w:eastAsia="zh-CN"/>
        </w:rPr>
        <w:t>13</w:t>
      </w:r>
      <w:r>
        <w:rPr>
          <w:rFonts w:hint="eastAsia" w:ascii="Times New Roman" w:hAnsi="Times New Roman" w:eastAsia="宋体" w:cs="Times New Roman"/>
          <w:sz w:val="24"/>
          <w:szCs w:val="24"/>
          <w:lang w:val="en-US" w:eastAsia="zh-Hans"/>
        </w:rPr>
        <w:t>号</w:t>
      </w:r>
      <w:r>
        <w:rPr>
          <w:rFonts w:hint="default" w:ascii="Times New Roman" w:hAnsi="Times New Roman" w:eastAsia="宋体" w:cs="Times New Roman"/>
          <w:sz w:val="24"/>
          <w:szCs w:val="24"/>
          <w:lang w:eastAsia="zh-Hans"/>
        </w:rPr>
        <w:t>），《</w:t>
      </w:r>
      <w:r>
        <w:rPr>
          <w:rFonts w:hint="eastAsia" w:ascii="Times New Roman" w:hAnsi="Times New Roman" w:eastAsia="宋体" w:cs="Times New Roman"/>
          <w:sz w:val="24"/>
          <w:szCs w:val="24"/>
          <w:lang w:val="en-US" w:eastAsia="zh-Hans"/>
        </w:rPr>
        <w:t>建筑材料行业企业环境</w:t>
      </w:r>
      <w:r>
        <w:rPr>
          <w:rFonts w:hint="default" w:ascii="Times New Roman" w:hAnsi="Times New Roman" w:eastAsia="宋体" w:cs="Times New Roman"/>
          <w:sz w:val="24"/>
          <w:szCs w:val="24"/>
          <w:lang w:eastAsia="zh-Hans"/>
        </w:rPr>
        <w:t>、</w:t>
      </w:r>
      <w:r>
        <w:rPr>
          <w:rFonts w:hint="eastAsia" w:ascii="Times New Roman" w:hAnsi="Times New Roman" w:eastAsia="宋体" w:cs="Times New Roman"/>
          <w:sz w:val="24"/>
          <w:szCs w:val="24"/>
          <w:lang w:val="en-US" w:eastAsia="zh-Hans"/>
        </w:rPr>
        <w:t>社会和公司治理</w:t>
      </w:r>
      <w:r>
        <w:rPr>
          <w:rFonts w:hint="default" w:ascii="Times New Roman" w:hAnsi="Times New Roman" w:eastAsia="宋体" w:cs="Times New Roman"/>
          <w:sz w:val="24"/>
          <w:szCs w:val="24"/>
          <w:lang w:eastAsia="zh-Hans"/>
        </w:rPr>
        <w:t>（ESG）</w:t>
      </w:r>
      <w:r>
        <w:rPr>
          <w:rFonts w:hint="eastAsia" w:ascii="Times New Roman" w:hAnsi="Times New Roman" w:eastAsia="宋体" w:cs="Times New Roman"/>
          <w:sz w:val="24"/>
          <w:szCs w:val="24"/>
          <w:lang w:val="en-US" w:eastAsia="zh-Hans"/>
        </w:rPr>
        <w:t>指南</w:t>
      </w:r>
      <w:r>
        <w:rPr>
          <w:rFonts w:hint="default" w:ascii="Times New Roman" w:hAnsi="Times New Roman" w:eastAsia="宋体" w:cs="Times New Roman"/>
          <w:sz w:val="24"/>
          <w:szCs w:val="24"/>
          <w:lang w:eastAsia="zh-Hans"/>
        </w:rPr>
        <w:t xml:space="preserve"> </w:t>
      </w:r>
      <w:r>
        <w:rPr>
          <w:rFonts w:hint="eastAsia" w:ascii="Times New Roman" w:hAnsi="Times New Roman" w:eastAsia="宋体" w:cs="Times New Roman"/>
          <w:sz w:val="24"/>
          <w:szCs w:val="24"/>
          <w:lang w:val="en-US" w:eastAsia="zh-Hans"/>
        </w:rPr>
        <w:t>第</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Hans"/>
        </w:rPr>
        <w:t>部分</w:t>
      </w:r>
      <w:r>
        <w:rPr>
          <w:rFonts w:hint="default" w:ascii="Times New Roman" w:hAnsi="Times New Roman" w:eastAsia="宋体" w:cs="Times New Roman"/>
          <w:sz w:val="24"/>
          <w:szCs w:val="24"/>
          <w:lang w:eastAsia="zh-Hans"/>
        </w:rPr>
        <w:t>：</w:t>
      </w:r>
      <w:r>
        <w:rPr>
          <w:rFonts w:hint="eastAsia" w:cs="Times New Roman"/>
          <w:sz w:val="24"/>
          <w:szCs w:val="24"/>
          <w:lang w:val="en-US" w:eastAsia="zh-CN"/>
        </w:rPr>
        <w:t>报告编制</w:t>
      </w:r>
      <w:r>
        <w:rPr>
          <w:rFonts w:hint="default" w:ascii="Times New Roman" w:hAnsi="Times New Roman" w:eastAsia="宋体" w:cs="Times New Roman"/>
          <w:sz w:val="24"/>
          <w:szCs w:val="24"/>
          <w:lang w:eastAsia="zh-Hans"/>
        </w:rPr>
        <w:t>》（</w:t>
      </w:r>
      <w:r>
        <w:rPr>
          <w:rFonts w:hint="eastAsia" w:ascii="Times New Roman" w:hAnsi="Times New Roman" w:eastAsia="宋体" w:cs="Times New Roman"/>
          <w:sz w:val="24"/>
          <w:szCs w:val="24"/>
          <w:lang w:val="en-US" w:eastAsia="zh-Hans"/>
        </w:rPr>
        <w:t>计划号</w:t>
      </w:r>
      <w:r>
        <w:rPr>
          <w:rFonts w:hint="default" w:ascii="Times New Roman" w:hAnsi="Times New Roman" w:eastAsia="宋体" w:cs="Times New Roman"/>
          <w:sz w:val="24"/>
          <w:szCs w:val="24"/>
          <w:lang w:eastAsia="zh-Hans"/>
        </w:rPr>
        <w:t>：202</w:t>
      </w:r>
      <w:r>
        <w:rPr>
          <w:rFonts w:hint="eastAsia" w:cs="Times New Roman"/>
          <w:sz w:val="24"/>
          <w:szCs w:val="24"/>
          <w:lang w:val="en-US" w:eastAsia="zh-CN"/>
        </w:rPr>
        <w:t>5</w:t>
      </w:r>
      <w:r>
        <w:rPr>
          <w:rFonts w:hint="default" w:ascii="Times New Roman" w:hAnsi="Times New Roman" w:eastAsia="宋体" w:cs="Times New Roman"/>
          <w:sz w:val="24"/>
          <w:szCs w:val="24"/>
          <w:lang w:eastAsia="zh-Hans"/>
        </w:rPr>
        <w:t>-</w:t>
      </w:r>
      <w:r>
        <w:rPr>
          <w:rFonts w:hint="eastAsia" w:cs="Times New Roman"/>
          <w:sz w:val="24"/>
          <w:szCs w:val="24"/>
          <w:lang w:val="en-US" w:eastAsia="zh-CN"/>
        </w:rPr>
        <w:t>0</w:t>
      </w:r>
      <w:r>
        <w:rPr>
          <w:rFonts w:hint="default" w:ascii="Times New Roman" w:hAnsi="Times New Roman" w:eastAsia="宋体" w:cs="Times New Roman"/>
          <w:sz w:val="24"/>
          <w:szCs w:val="24"/>
          <w:lang w:eastAsia="zh-Hans"/>
        </w:rPr>
        <w:t>2-</w:t>
      </w:r>
      <w:r>
        <w:rPr>
          <w:rFonts w:hint="eastAsia" w:ascii="Times New Roman" w:hAnsi="Times New Roman" w:eastAsia="宋体" w:cs="Times New Roman"/>
          <w:sz w:val="24"/>
          <w:szCs w:val="24"/>
          <w:lang w:val="en-US" w:eastAsia="zh-Hans"/>
        </w:rPr>
        <w:t>xbjh</w:t>
      </w:r>
      <w:r>
        <w:rPr>
          <w:rFonts w:hint="default" w:ascii="Times New Roman" w:hAnsi="Times New Roman" w:eastAsia="宋体" w:cs="Times New Roman"/>
          <w:sz w:val="24"/>
          <w:szCs w:val="24"/>
          <w:lang w:eastAsia="zh-Hans"/>
        </w:rPr>
        <w:t>）</w:t>
      </w:r>
      <w:r>
        <w:rPr>
          <w:rFonts w:hint="eastAsia" w:ascii="Times New Roman" w:hAnsi="Times New Roman" w:eastAsia="宋体" w:cs="Times New Roman"/>
          <w:sz w:val="24"/>
          <w:szCs w:val="24"/>
          <w:lang w:val="en-US" w:eastAsia="zh-Hans"/>
        </w:rPr>
        <w:t>作为协会标准立项</w:t>
      </w:r>
      <w:r>
        <w:rPr>
          <w:rFonts w:hint="default" w:ascii="Times New Roman" w:hAnsi="Times New Roman" w:eastAsia="宋体" w:cs="Times New Roman"/>
          <w:sz w:val="24"/>
          <w:szCs w:val="24"/>
          <w:lang w:eastAsia="zh-Hans"/>
        </w:rPr>
        <w:t>。</w:t>
      </w:r>
      <w:r>
        <w:rPr>
          <w:rFonts w:hint="eastAsia" w:ascii="Times New Roman" w:hAnsi="Times New Roman" w:eastAsia="宋体" w:cs="Times New Roman"/>
          <w:sz w:val="24"/>
          <w:szCs w:val="24"/>
          <w:lang w:val="en-US" w:eastAsia="zh-Hans"/>
        </w:rPr>
        <w:t>标准由中国建筑材料联合会提出并归口</w:t>
      </w:r>
      <w:r>
        <w:rPr>
          <w:rFonts w:hint="default" w:ascii="Times New Roman" w:hAnsi="Times New Roman" w:eastAsia="宋体" w:cs="Times New Roman"/>
          <w:sz w:val="24"/>
          <w:szCs w:val="24"/>
          <w:lang w:eastAsia="zh-Hans"/>
        </w:rPr>
        <w:t>，</w:t>
      </w:r>
      <w:r>
        <w:rPr>
          <w:rFonts w:hint="eastAsia" w:ascii="Times New Roman" w:hAnsi="Times New Roman" w:eastAsia="宋体" w:cs="Times New Roman"/>
          <w:sz w:val="24"/>
          <w:szCs w:val="24"/>
          <w:lang w:val="en-US" w:eastAsia="zh-Hans"/>
        </w:rPr>
        <w:t>编制工作由</w:t>
      </w:r>
      <w:r>
        <w:rPr>
          <w:rFonts w:hint="eastAsia" w:cs="Times New Roman"/>
          <w:sz w:val="24"/>
          <w:szCs w:val="24"/>
          <w:lang w:val="en-US" w:eastAsia="zh-CN"/>
        </w:rPr>
        <w:t>中国建筑材料联合会、</w:t>
      </w:r>
      <w:r>
        <w:rPr>
          <w:rFonts w:ascii="Times New Roman" w:hAnsi="Times New Roman" w:eastAsia="宋体" w:cs="Times New Roman"/>
          <w:sz w:val="24"/>
          <w:szCs w:val="24"/>
        </w:rPr>
        <w:t>北京国建联信认证中心有限公司</w:t>
      </w:r>
      <w:r>
        <w:rPr>
          <w:rFonts w:hint="eastAsia" w:ascii="Times New Roman" w:hAnsi="Times New Roman" w:eastAsia="宋体" w:cs="Times New Roman"/>
          <w:sz w:val="24"/>
          <w:szCs w:val="24"/>
        </w:rPr>
        <w:t>等单位</w:t>
      </w:r>
      <w:r>
        <w:rPr>
          <w:rFonts w:ascii="Times New Roman" w:hAnsi="Times New Roman" w:eastAsia="宋体" w:cs="Times New Roman"/>
          <w:sz w:val="24"/>
          <w:szCs w:val="24"/>
        </w:rPr>
        <w:t>负责。</w:t>
      </w:r>
    </w:p>
    <w:p w14:paraId="354B03E4">
      <w:pPr>
        <w:spacing w:line="360" w:lineRule="auto"/>
        <w:ind w:firstLine="480" w:firstLineChars="200"/>
        <w:rPr>
          <w:rFonts w:hint="eastAsia" w:ascii="Times New Roman" w:hAnsi="Times New Roman" w:eastAsia="宋体" w:cs="Times New Roman"/>
          <w:sz w:val="24"/>
          <w:szCs w:val="24"/>
          <w:lang w:val="en-US"/>
        </w:rPr>
      </w:pPr>
      <w:r>
        <w:rPr>
          <w:rFonts w:hint="eastAsia" w:ascii="Times New Roman" w:hAnsi="Times New Roman" w:eastAsia="宋体" w:cs="Times New Roman"/>
          <w:sz w:val="24"/>
          <w:szCs w:val="24"/>
          <w:lang w:val="en-US" w:eastAsia="zh-Hans"/>
        </w:rPr>
        <w:t>本文件的使用将</w:t>
      </w:r>
      <w:r>
        <w:rPr>
          <w:rFonts w:hint="eastAsia" w:cs="Times New Roman"/>
          <w:sz w:val="24"/>
          <w:szCs w:val="24"/>
          <w:lang w:val="en-US" w:eastAsia="zh-CN"/>
        </w:rPr>
        <w:t>CBMF 268.1</w:t>
      </w:r>
      <w:r>
        <w:rPr>
          <w:rFonts w:hint="eastAsia" w:ascii="Times New Roman" w:hAnsi="Times New Roman" w:eastAsia="宋体" w:cs="Times New Roman"/>
          <w:sz w:val="24"/>
          <w:szCs w:val="24"/>
          <w:lang w:val="en-US" w:eastAsia="zh-Hans"/>
        </w:rPr>
        <w:t>《建筑材料行业企业环境、社会和公司治理（ESG）指南 第1部分：信息披露》中的相关披露要求细化为披露要点，提供具体的适用解释，便利建筑材料上市企业规范编制ESG报告，促进企业信息披露实践，提升可持续竞争力。</w:t>
      </w:r>
    </w:p>
    <w:p w14:paraId="297EFB82">
      <w:pPr>
        <w:pStyle w:val="3"/>
        <w:spacing w:line="360" w:lineRule="auto"/>
        <w:rPr>
          <w:rFonts w:hint="default" w:eastAsia="黑体"/>
          <w:lang w:val="en-US" w:eastAsia="zh-CN"/>
        </w:rPr>
      </w:pPr>
      <w:r>
        <w:rPr>
          <w:rFonts w:hint="eastAsia"/>
        </w:rPr>
        <w:t xml:space="preserve">1.2 </w:t>
      </w:r>
      <w:r>
        <w:rPr>
          <w:rFonts w:hint="eastAsia"/>
          <w:lang w:val="en-US" w:eastAsia="zh-CN"/>
        </w:rPr>
        <w:t>编制背景与目的</w:t>
      </w:r>
    </w:p>
    <w:p w14:paraId="1AD5BB52">
      <w:pPr>
        <w:keepNext w:val="0"/>
        <w:keepLines w:val="0"/>
        <w:widowControl/>
        <w:suppressLineNumbers w:val="0"/>
        <w:ind w:firstLine="420" w:firstLineChars="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随着全球可持续发展理念的深化，环境、社会和公司治理（ESG）已成为企业高质量发展的重要评价维度。建筑材料行业作为资源密集型产业，面临节能减排、绿色转型、社会责任履行等多重挑战。然而，行业内企业在ESG信息披露和报告编制中普遍存在标准不统一、披露内容碎片化、数据可比性不足等问题。</w:t>
      </w:r>
    </w:p>
    <w:p w14:paraId="18CE3D9B">
      <w:pPr>
        <w:keepNext w:val="0"/>
        <w:keepLines w:val="0"/>
        <w:widowControl/>
        <w:suppressLineNumbers w:val="0"/>
        <w:ind w:firstLine="420" w:firstLineChars="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为规范建材行业ESG报告编制流程，提升信息披露质量，中国建筑材料联合会组织制定了《建筑材料行业企业环境、社会和公司治理（ESG）指南 第3部分：报告编制》。本文件旨在：</w:t>
      </w:r>
    </w:p>
    <w:p w14:paraId="5B18BC44">
      <w:pPr>
        <w:keepNext w:val="0"/>
        <w:keepLines w:val="0"/>
        <w:widowControl/>
        <w:suppressLineNumbers w:val="0"/>
        <w:ind w:firstLine="420" w:firstLineChars="0"/>
        <w:jc w:val="left"/>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细化ESG报告编制的原则、流程与技术要求，为企业提供操作性指导；</w:t>
      </w:r>
    </w:p>
    <w:p w14:paraId="5ECB1A51">
      <w:pPr>
        <w:keepNext w:val="0"/>
        <w:keepLines w:val="0"/>
        <w:widowControl/>
        <w:suppressLineNumbers w:val="0"/>
        <w:ind w:firstLine="420" w:firstLineChars="0"/>
        <w:jc w:val="left"/>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促进企业ESG信息披露的合规性、实质性、可比性和透明度；</w:t>
      </w:r>
    </w:p>
    <w:p w14:paraId="77F7BCB1">
      <w:pPr>
        <w:keepNext w:val="0"/>
        <w:keepLines w:val="0"/>
        <w:widowControl/>
        <w:suppressLineNumbers w:val="0"/>
        <w:ind w:firstLine="420" w:firstLineChars="0"/>
        <w:jc w:val="left"/>
        <w:rPr>
          <w:rFonts w:hint="eastAsia" w:ascii="Times New Roman" w:hAnsi="Times New Roman" w:eastAsia="宋体" w:cs="Times New Roman"/>
          <w:sz w:val="24"/>
          <w:szCs w:val="24"/>
          <w:lang w:val="en-US" w:eastAsia="zh-CN"/>
        </w:rPr>
      </w:pPr>
      <w:r>
        <w:rPr>
          <w:rFonts w:hint="eastAsia"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支持企业通过高质量ESG报告展现可持续发展绩效，增强利益相关方信任与市场竞争力。</w:t>
      </w:r>
    </w:p>
    <w:p w14:paraId="6F586407">
      <w:pPr>
        <w:pStyle w:val="3"/>
        <w:spacing w:line="360" w:lineRule="auto"/>
        <w:rPr>
          <w:rFonts w:hint="eastAsia"/>
        </w:rPr>
      </w:pPr>
      <w:r>
        <w:rPr>
          <w:rFonts w:hint="eastAsia"/>
        </w:rPr>
        <w:t>1.3工作过程</w:t>
      </w:r>
    </w:p>
    <w:p w14:paraId="3B068766">
      <w:pPr>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2025年1月，标准编制组成立，讨论确定了标准框架及编制思路，由中国建筑材料联合会、北京国建联信认证中心牵头文本编制工作；</w:t>
      </w:r>
    </w:p>
    <w:p w14:paraId="0E2CF7E1">
      <w:pPr>
        <w:spacing w:line="360" w:lineRule="auto"/>
        <w:ind w:firstLine="480" w:firstLineChars="200"/>
        <w:rPr>
          <w:rFonts w:hint="default" w:cs="Times New Roman"/>
          <w:sz w:val="24"/>
          <w:szCs w:val="24"/>
          <w:lang w:val="en-US" w:eastAsia="zh-CN"/>
        </w:rPr>
      </w:pPr>
      <w:r>
        <w:rPr>
          <w:rFonts w:hint="eastAsia" w:cs="Times New Roman"/>
          <w:sz w:val="24"/>
          <w:szCs w:val="24"/>
          <w:lang w:val="en-US" w:eastAsia="zh-CN"/>
        </w:rPr>
        <w:t>2025年1月-2025年3月，对建材上市企业ESG报告编制情况以及国内外标准进行调研，</w:t>
      </w:r>
      <w:r>
        <w:rPr>
          <w:rFonts w:hint="eastAsia" w:eastAsia="宋体" w:cs="Times New Roman"/>
          <w:sz w:val="24"/>
          <w:szCs w:val="24"/>
          <w:lang w:val="en-US" w:eastAsia="zh-Hans"/>
        </w:rPr>
        <w:t>形成标准草案</w:t>
      </w:r>
      <w:r>
        <w:rPr>
          <w:rFonts w:hint="default" w:eastAsia="宋体" w:cs="Times New Roman"/>
          <w:sz w:val="24"/>
          <w:szCs w:val="24"/>
          <w:lang w:eastAsia="zh-Hans"/>
        </w:rPr>
        <w:t>，</w:t>
      </w:r>
      <w:r>
        <w:rPr>
          <w:rFonts w:hint="eastAsia" w:eastAsia="宋体" w:cs="Times New Roman"/>
          <w:sz w:val="24"/>
          <w:szCs w:val="24"/>
          <w:lang w:val="en-US" w:eastAsia="zh-Hans"/>
        </w:rPr>
        <w:t>完善</w:t>
      </w:r>
      <w:r>
        <w:rPr>
          <w:rFonts w:hint="eastAsia" w:cs="Times New Roman"/>
          <w:sz w:val="24"/>
          <w:szCs w:val="24"/>
          <w:lang w:val="en-US" w:eastAsia="zh-CN"/>
        </w:rPr>
        <w:t>报告编制框架；</w:t>
      </w:r>
    </w:p>
    <w:p w14:paraId="416C7184">
      <w:pPr>
        <w:spacing w:line="360" w:lineRule="auto"/>
        <w:ind w:firstLine="480" w:firstLineChars="200"/>
        <w:rPr>
          <w:rFonts w:hint="eastAsia" w:cs="Times New Roman"/>
          <w:sz w:val="24"/>
          <w:szCs w:val="24"/>
          <w:lang w:eastAsia="zh-CN"/>
        </w:rPr>
      </w:pPr>
      <w:r>
        <w:rPr>
          <w:rFonts w:ascii="Times New Roman" w:hAnsi="Times New Roman" w:eastAsia="宋体" w:cs="Times New Roman"/>
          <w:sz w:val="24"/>
          <w:szCs w:val="24"/>
        </w:rPr>
        <w:t>202</w:t>
      </w:r>
      <w:r>
        <w:rPr>
          <w:rFonts w:hint="eastAsia" w:cs="Times New Roman"/>
          <w:sz w:val="24"/>
          <w:szCs w:val="24"/>
          <w:lang w:val="en-US" w:eastAsia="zh-CN"/>
        </w:rPr>
        <w:t>5</w:t>
      </w:r>
      <w:r>
        <w:rPr>
          <w:rFonts w:ascii="Times New Roman" w:hAnsi="Times New Roman" w:eastAsia="宋体" w:cs="Times New Roman"/>
          <w:sz w:val="24"/>
          <w:szCs w:val="24"/>
        </w:rPr>
        <w:t>年</w:t>
      </w:r>
      <w:r>
        <w:rPr>
          <w:rFonts w:hint="eastAsia" w:cs="Times New Roman"/>
          <w:sz w:val="24"/>
          <w:szCs w:val="24"/>
          <w:lang w:val="en-US" w:eastAsia="zh-CN"/>
        </w:rPr>
        <w:t>3</w:t>
      </w:r>
      <w:r>
        <w:rPr>
          <w:rFonts w:ascii="Times New Roman" w:hAnsi="Times New Roman" w:eastAsia="宋体" w:cs="Times New Roman"/>
          <w:sz w:val="24"/>
          <w:szCs w:val="24"/>
        </w:rPr>
        <w:t>月</w:t>
      </w:r>
      <w:r>
        <w:rPr>
          <w:rFonts w:hint="eastAsia" w:cs="Times New Roman"/>
          <w:sz w:val="24"/>
          <w:szCs w:val="24"/>
          <w:lang w:val="en-US" w:eastAsia="zh-CN"/>
        </w:rPr>
        <w:t>12</w:t>
      </w:r>
      <w:r>
        <w:rPr>
          <w:rFonts w:ascii="Times New Roman" w:hAnsi="Times New Roman" w:eastAsia="宋体" w:cs="Times New Roman"/>
          <w:sz w:val="24"/>
          <w:szCs w:val="24"/>
        </w:rPr>
        <w:t>日，《</w:t>
      </w:r>
      <w:r>
        <w:rPr>
          <w:rFonts w:hint="eastAsia" w:ascii="Times New Roman" w:hAnsi="Times New Roman" w:eastAsia="宋体" w:cs="Times New Roman"/>
          <w:sz w:val="24"/>
          <w:szCs w:val="24"/>
          <w:lang w:val="en-US" w:eastAsia="zh-Hans"/>
        </w:rPr>
        <w:t>建筑材料行业企业环境</w:t>
      </w:r>
      <w:r>
        <w:rPr>
          <w:rFonts w:hint="default" w:ascii="Times New Roman" w:hAnsi="Times New Roman" w:eastAsia="宋体" w:cs="Times New Roman"/>
          <w:sz w:val="24"/>
          <w:szCs w:val="24"/>
          <w:lang w:eastAsia="zh-Hans"/>
        </w:rPr>
        <w:t>、</w:t>
      </w:r>
      <w:r>
        <w:rPr>
          <w:rFonts w:hint="eastAsia" w:ascii="Times New Roman" w:hAnsi="Times New Roman" w:eastAsia="宋体" w:cs="Times New Roman"/>
          <w:sz w:val="24"/>
          <w:szCs w:val="24"/>
          <w:lang w:val="en-US" w:eastAsia="zh-Hans"/>
        </w:rPr>
        <w:t>社会和公司治理</w:t>
      </w:r>
      <w:r>
        <w:rPr>
          <w:rFonts w:hint="default" w:ascii="Times New Roman" w:hAnsi="Times New Roman" w:eastAsia="宋体" w:cs="Times New Roman"/>
          <w:sz w:val="24"/>
          <w:szCs w:val="24"/>
          <w:lang w:eastAsia="zh-Hans"/>
        </w:rPr>
        <w:t>（ESG）</w:t>
      </w:r>
      <w:r>
        <w:rPr>
          <w:rFonts w:hint="eastAsia" w:ascii="Times New Roman" w:hAnsi="Times New Roman" w:eastAsia="宋体" w:cs="Times New Roman"/>
          <w:sz w:val="24"/>
          <w:szCs w:val="24"/>
          <w:lang w:val="en-US" w:eastAsia="zh-Hans"/>
        </w:rPr>
        <w:t>指南</w:t>
      </w:r>
      <w:r>
        <w:rPr>
          <w:rFonts w:hint="default" w:ascii="Times New Roman" w:hAnsi="Times New Roman" w:eastAsia="宋体" w:cs="Times New Roman"/>
          <w:sz w:val="24"/>
          <w:szCs w:val="24"/>
          <w:lang w:eastAsia="zh-Hans"/>
        </w:rPr>
        <w:t xml:space="preserve"> </w:t>
      </w:r>
      <w:r>
        <w:rPr>
          <w:rFonts w:hint="eastAsia" w:ascii="Times New Roman" w:hAnsi="Times New Roman" w:eastAsia="宋体" w:cs="Times New Roman"/>
          <w:sz w:val="24"/>
          <w:szCs w:val="24"/>
          <w:lang w:val="en-US" w:eastAsia="zh-Hans"/>
        </w:rPr>
        <w:t>第</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Hans"/>
        </w:rPr>
        <w:t>部分</w:t>
      </w:r>
      <w:r>
        <w:rPr>
          <w:rFonts w:hint="default" w:ascii="Times New Roman" w:hAnsi="Times New Roman" w:eastAsia="宋体" w:cs="Times New Roman"/>
          <w:sz w:val="24"/>
          <w:szCs w:val="24"/>
          <w:lang w:eastAsia="zh-Hans"/>
        </w:rPr>
        <w:t>：</w:t>
      </w:r>
      <w:r>
        <w:rPr>
          <w:rFonts w:hint="eastAsia" w:cs="Times New Roman"/>
          <w:sz w:val="24"/>
          <w:szCs w:val="24"/>
          <w:lang w:val="en-US" w:eastAsia="zh-CN"/>
        </w:rPr>
        <w:t>报告编制</w:t>
      </w:r>
      <w:r>
        <w:rPr>
          <w:rFonts w:ascii="Times New Roman" w:hAnsi="Times New Roman" w:eastAsia="宋体" w:cs="Times New Roman"/>
          <w:sz w:val="24"/>
          <w:szCs w:val="24"/>
        </w:rPr>
        <w:t>》作为协会标准立项</w:t>
      </w:r>
      <w:r>
        <w:rPr>
          <w:rFonts w:hint="eastAsia" w:ascii="Times New Roman" w:hAnsi="Times New Roman" w:eastAsia="宋体" w:cs="Times New Roman"/>
          <w:sz w:val="24"/>
          <w:szCs w:val="24"/>
        </w:rPr>
        <w:t>，</w:t>
      </w:r>
      <w:r>
        <w:rPr>
          <w:rFonts w:ascii="Times New Roman" w:hAnsi="Times New Roman" w:eastAsia="宋体" w:cs="Times New Roman"/>
          <w:sz w:val="24"/>
          <w:szCs w:val="24"/>
        </w:rPr>
        <w:t>计划号：202</w:t>
      </w:r>
      <w:r>
        <w:rPr>
          <w:rFonts w:hint="eastAsia" w:cs="Times New Roman"/>
          <w:sz w:val="24"/>
          <w:szCs w:val="24"/>
          <w:lang w:val="en-US" w:eastAsia="zh-CN"/>
        </w:rPr>
        <w:t>5</w:t>
      </w:r>
      <w:r>
        <w:rPr>
          <w:rFonts w:ascii="Times New Roman" w:hAnsi="Times New Roman" w:eastAsia="宋体" w:cs="Times New Roman"/>
          <w:sz w:val="24"/>
          <w:szCs w:val="24"/>
        </w:rPr>
        <w:t>-</w:t>
      </w:r>
      <w:r>
        <w:rPr>
          <w:rFonts w:hint="eastAsia" w:cs="Times New Roman"/>
          <w:sz w:val="24"/>
          <w:szCs w:val="24"/>
          <w:lang w:val="en-US" w:eastAsia="zh-CN"/>
        </w:rPr>
        <w:t>13</w:t>
      </w:r>
      <w:r>
        <w:rPr>
          <w:rFonts w:ascii="Times New Roman" w:hAnsi="Times New Roman" w:eastAsia="宋体" w:cs="Times New Roman"/>
          <w:sz w:val="24"/>
          <w:szCs w:val="24"/>
        </w:rPr>
        <w:t>-xbjh</w:t>
      </w:r>
      <w:r>
        <w:rPr>
          <w:rFonts w:hint="eastAsia" w:cs="Times New Roman"/>
          <w:sz w:val="24"/>
          <w:szCs w:val="24"/>
          <w:lang w:eastAsia="zh-CN"/>
        </w:rPr>
        <w:t>；</w:t>
      </w:r>
    </w:p>
    <w:p w14:paraId="65F898B3">
      <w:pPr>
        <w:spacing w:line="360" w:lineRule="auto"/>
        <w:ind w:firstLine="480" w:firstLineChars="200"/>
        <w:rPr>
          <w:rFonts w:hint="default" w:cs="Times New Roman"/>
          <w:sz w:val="24"/>
          <w:szCs w:val="24"/>
          <w:lang w:val="en-US" w:eastAsia="zh-CN"/>
        </w:rPr>
      </w:pPr>
      <w:r>
        <w:rPr>
          <w:rFonts w:hint="eastAsia" w:cs="Times New Roman"/>
          <w:sz w:val="24"/>
          <w:szCs w:val="24"/>
          <w:lang w:val="en-US" w:eastAsia="zh-CN"/>
        </w:rPr>
        <w:t>2025年4月，召开标准编制会，讨论草案文稿，并进行完善修改，形成征求意见稿。</w:t>
      </w:r>
    </w:p>
    <w:p w14:paraId="63721D97">
      <w:pPr>
        <w:pStyle w:val="2"/>
        <w:spacing w:line="360" w:lineRule="auto"/>
      </w:pPr>
      <w:r>
        <w:rPr>
          <w:rFonts w:hint="eastAsia"/>
        </w:rPr>
        <w:t>2、标准编制原则和主要内容</w:t>
      </w:r>
    </w:p>
    <w:p w14:paraId="569481BE">
      <w:pPr>
        <w:pStyle w:val="3"/>
        <w:spacing w:line="360" w:lineRule="auto"/>
        <w:rPr>
          <w:rFonts w:hint="eastAsia"/>
        </w:rPr>
      </w:pPr>
      <w:r>
        <w:rPr>
          <w:rFonts w:hint="eastAsia"/>
        </w:rPr>
        <w:t>2.</w:t>
      </w:r>
      <w:r>
        <w:rPr>
          <w:rFonts w:hint="default"/>
        </w:rPr>
        <w:t>1</w:t>
      </w:r>
      <w:r>
        <w:rPr>
          <w:rFonts w:hint="eastAsia"/>
        </w:rPr>
        <w:t xml:space="preserve"> 标准框架</w:t>
      </w:r>
    </w:p>
    <w:p w14:paraId="2AA3310B">
      <w:pPr>
        <w:spacing w:line="360" w:lineRule="auto"/>
        <w:ind w:firstLine="480" w:firstLineChars="200"/>
        <w:rPr>
          <w:rFonts w:ascii="Times New Roman" w:hAnsi="Times New Roman" w:eastAsia="宋体" w:cs="Times New Roman"/>
          <w:sz w:val="24"/>
          <w:szCs w:val="24"/>
        </w:rPr>
      </w:pPr>
      <w:bookmarkStart w:id="0" w:name="_Hlk48569527"/>
      <w:r>
        <w:rPr>
          <w:rFonts w:ascii="Times New Roman" w:hAnsi="Times New Roman" w:eastAsia="宋体" w:cs="Times New Roman"/>
          <w:sz w:val="24"/>
          <w:szCs w:val="24"/>
        </w:rPr>
        <w:t>标准正文内容包括：范围、规范性引用文件、术语和定义、</w:t>
      </w:r>
      <w:r>
        <w:rPr>
          <w:rFonts w:hint="eastAsia" w:cs="Times New Roman"/>
          <w:sz w:val="24"/>
          <w:szCs w:val="24"/>
          <w:lang w:val="en-US" w:eastAsia="zh-CN"/>
        </w:rPr>
        <w:t>报告原则</w:t>
      </w:r>
      <w:r>
        <w:rPr>
          <w:rFonts w:ascii="Times New Roman" w:hAnsi="Times New Roman" w:eastAsia="宋体" w:cs="Times New Roman"/>
          <w:sz w:val="24"/>
          <w:szCs w:val="24"/>
        </w:rPr>
        <w:t>、</w:t>
      </w:r>
      <w:r>
        <w:rPr>
          <w:rFonts w:hint="eastAsia" w:cs="Times New Roman"/>
          <w:sz w:val="24"/>
          <w:szCs w:val="24"/>
          <w:lang w:val="en-US" w:eastAsia="zh-CN"/>
        </w:rPr>
        <w:t>报告范围</w:t>
      </w:r>
      <w:r>
        <w:rPr>
          <w:rFonts w:hint="default" w:eastAsia="宋体" w:cs="Times New Roman"/>
          <w:sz w:val="24"/>
          <w:szCs w:val="24"/>
          <w:lang w:eastAsia="zh-Hans"/>
        </w:rPr>
        <w:t>、</w:t>
      </w:r>
      <w:r>
        <w:rPr>
          <w:rFonts w:hint="eastAsia" w:cs="Times New Roman"/>
          <w:sz w:val="24"/>
          <w:szCs w:val="24"/>
          <w:lang w:val="en-US" w:eastAsia="zh-CN"/>
        </w:rPr>
        <w:t>报告要求、报告内容</w:t>
      </w:r>
      <w:r>
        <w:rPr>
          <w:rFonts w:ascii="Times New Roman" w:hAnsi="Times New Roman" w:eastAsia="宋体" w:cs="Times New Roman"/>
          <w:sz w:val="24"/>
          <w:szCs w:val="24"/>
        </w:rPr>
        <w:t>共</w:t>
      </w:r>
      <w:r>
        <w:rPr>
          <w:rFonts w:hint="eastAsia" w:cs="Times New Roman"/>
          <w:sz w:val="24"/>
          <w:szCs w:val="24"/>
          <w:lang w:val="en-US" w:eastAsia="zh-CN"/>
        </w:rPr>
        <w:t>7</w:t>
      </w:r>
      <w:r>
        <w:rPr>
          <w:rFonts w:ascii="Times New Roman" w:hAnsi="Times New Roman" w:eastAsia="宋体" w:cs="Times New Roman"/>
          <w:sz w:val="24"/>
          <w:szCs w:val="24"/>
        </w:rPr>
        <w:t>个章节，主要阐述</w:t>
      </w:r>
      <w:r>
        <w:rPr>
          <w:rFonts w:hint="eastAsia" w:eastAsia="宋体" w:cs="Times New Roman"/>
          <w:sz w:val="24"/>
          <w:szCs w:val="24"/>
          <w:lang w:val="en-US" w:eastAsia="zh-Hans"/>
        </w:rPr>
        <w:t>建筑材料行业企业</w:t>
      </w:r>
      <w:r>
        <w:rPr>
          <w:rFonts w:hint="default" w:eastAsia="宋体" w:cs="Times New Roman"/>
          <w:sz w:val="24"/>
          <w:szCs w:val="24"/>
          <w:lang w:eastAsia="zh-Hans"/>
        </w:rPr>
        <w:t>ESG</w:t>
      </w:r>
      <w:r>
        <w:rPr>
          <w:rFonts w:hint="eastAsia" w:cs="Times New Roman"/>
          <w:sz w:val="24"/>
          <w:szCs w:val="24"/>
          <w:lang w:val="en-US" w:eastAsia="zh-CN"/>
        </w:rPr>
        <w:t>报告编制</w:t>
      </w:r>
      <w:r>
        <w:rPr>
          <w:rFonts w:ascii="Times New Roman" w:hAnsi="Times New Roman" w:eastAsia="宋体" w:cs="Times New Roman"/>
          <w:sz w:val="24"/>
          <w:szCs w:val="24"/>
        </w:rPr>
        <w:t>的</w:t>
      </w:r>
      <w:r>
        <w:rPr>
          <w:rFonts w:hint="eastAsia" w:eastAsia="宋体" w:cs="Times New Roman"/>
          <w:sz w:val="24"/>
          <w:szCs w:val="24"/>
          <w:lang w:val="en-US" w:eastAsia="zh-Hans"/>
        </w:rPr>
        <w:t>基本原则</w:t>
      </w:r>
      <w:r>
        <w:rPr>
          <w:rFonts w:hint="default" w:eastAsia="宋体" w:cs="Times New Roman"/>
          <w:sz w:val="24"/>
          <w:szCs w:val="24"/>
          <w:lang w:eastAsia="zh-Hans"/>
        </w:rPr>
        <w:t>、</w:t>
      </w:r>
      <w:r>
        <w:rPr>
          <w:rFonts w:hint="eastAsia" w:cs="Times New Roman"/>
          <w:sz w:val="24"/>
          <w:szCs w:val="24"/>
          <w:lang w:val="en-US" w:eastAsia="zh-CN"/>
        </w:rPr>
        <w:t>范围、要求与内容</w:t>
      </w:r>
      <w:r>
        <w:rPr>
          <w:rFonts w:ascii="Times New Roman" w:hAnsi="Times New Roman" w:eastAsia="宋体" w:cs="Times New Roman"/>
          <w:sz w:val="24"/>
          <w:szCs w:val="24"/>
        </w:rPr>
        <w:t>。</w:t>
      </w:r>
      <w:bookmarkEnd w:id="0"/>
    </w:p>
    <w:p w14:paraId="505A466D">
      <w:pPr>
        <w:pStyle w:val="3"/>
        <w:spacing w:line="360" w:lineRule="auto"/>
        <w:rPr>
          <w:rFonts w:hint="eastAsia"/>
        </w:rPr>
      </w:pPr>
      <w:r>
        <w:rPr>
          <w:rFonts w:hint="eastAsia"/>
        </w:rPr>
        <w:t>2.2 适用范围</w:t>
      </w:r>
    </w:p>
    <w:p w14:paraId="16DE94C6">
      <w:pPr>
        <w:spacing w:line="360" w:lineRule="auto"/>
        <w:ind w:firstLine="480" w:firstLineChars="200"/>
        <w:jc w:val="left"/>
        <w:rPr>
          <w:rFonts w:ascii="宋体" w:hAnsi="宋体" w:eastAsia="宋体"/>
          <w:sz w:val="24"/>
          <w:szCs w:val="24"/>
        </w:rPr>
      </w:pPr>
      <w:bookmarkStart w:id="1" w:name="_Hlk48569589"/>
      <w:r>
        <w:rPr>
          <w:rFonts w:hint="eastAsia" w:ascii="宋体" w:hAnsi="宋体"/>
          <w:sz w:val="24"/>
          <w:szCs w:val="24"/>
          <w:lang w:eastAsia="zh-CN"/>
        </w:rPr>
        <w:t>本文件</w:t>
      </w:r>
      <w:r>
        <w:rPr>
          <w:rFonts w:hint="eastAsia" w:ascii="宋体" w:hAnsi="宋体" w:eastAsia="宋体"/>
          <w:sz w:val="24"/>
          <w:szCs w:val="24"/>
        </w:rPr>
        <w:t>适用建筑材料行业企业（除钢材）的环境、社会和公司治理（ESG）</w:t>
      </w:r>
      <w:r>
        <w:rPr>
          <w:rFonts w:hint="eastAsia" w:ascii="宋体" w:hAnsi="宋体"/>
          <w:sz w:val="24"/>
          <w:szCs w:val="24"/>
          <w:lang w:val="en-US" w:eastAsia="zh-CN"/>
        </w:rPr>
        <w:t>报告披露</w:t>
      </w:r>
      <w:r>
        <w:rPr>
          <w:rFonts w:hint="eastAsia" w:ascii="宋体" w:hAnsi="宋体" w:eastAsia="宋体"/>
          <w:sz w:val="24"/>
          <w:szCs w:val="24"/>
        </w:rPr>
        <w:t>。</w:t>
      </w:r>
      <w:bookmarkEnd w:id="1"/>
    </w:p>
    <w:p w14:paraId="2F6994A0">
      <w:pPr>
        <w:pStyle w:val="3"/>
        <w:spacing w:line="360" w:lineRule="auto"/>
        <w:rPr>
          <w:rFonts w:hint="eastAsia"/>
        </w:rPr>
      </w:pPr>
      <w:r>
        <w:rPr>
          <w:rFonts w:hint="eastAsia"/>
        </w:rPr>
        <w:t>2.3 规范性引用文件</w:t>
      </w:r>
    </w:p>
    <w:p w14:paraId="1AB9E195">
      <w:pPr>
        <w:ind w:firstLine="480" w:firstLineChars="200"/>
        <w:rPr>
          <w:rFonts w:hint="eastAsia" w:cs="Times New Roman"/>
          <w:bCs/>
          <w:kern w:val="0"/>
          <w:lang w:eastAsia="zh-CN"/>
        </w:rPr>
      </w:pPr>
      <w:r>
        <w:rPr>
          <w:rFonts w:hint="eastAsia" w:cs="Times New Roman"/>
          <w:bCs/>
          <w:kern w:val="0"/>
        </w:rPr>
        <w:t>详细列出本文件使用时所涉及的规范性文件。凡是注日期的引用文件，仅注日期的版本适用于本文件。凡是不注日期的引用文件，其最新版本（包括所有的修改单）适用于本文件。本文件的主要规范性引用文件有</w:t>
      </w:r>
      <w:r>
        <w:rPr>
          <w:rFonts w:hint="eastAsia" w:cs="Times New Roman"/>
          <w:bCs/>
          <w:kern w:val="0"/>
          <w:lang w:val="en-US" w:eastAsia="zh-CN"/>
        </w:rPr>
        <w:t>GB/T 36000 《社会责任指南》、T/CBMF 268.1《建筑材料行业企业环境、社会和公司治理（ESG）指南 第1部分：信息披露》、T/CBMF 268.2《建筑材料行业企业环境、社会和公司治理（ESG）指南 第2部分：绩效评价》、T/CERDS 4《企业ESG报告编制指南》</w:t>
      </w:r>
      <w:r>
        <w:rPr>
          <w:rFonts w:hint="eastAsia" w:cs="Times New Roman"/>
          <w:bCs/>
          <w:kern w:val="0"/>
          <w:lang w:eastAsia="zh-CN"/>
        </w:rPr>
        <w:t>。</w:t>
      </w:r>
    </w:p>
    <w:p w14:paraId="76AD5892">
      <w:pPr>
        <w:pStyle w:val="3"/>
        <w:spacing w:line="360" w:lineRule="auto"/>
        <w:rPr>
          <w:rFonts w:hint="eastAsia"/>
        </w:rPr>
      </w:pPr>
      <w:r>
        <w:rPr>
          <w:rFonts w:hint="eastAsia"/>
        </w:rPr>
        <w:t>2.4 术语和定义</w:t>
      </w:r>
    </w:p>
    <w:p w14:paraId="0D5AC449">
      <w:pPr>
        <w:ind w:firstLine="420"/>
        <w:rPr>
          <w:rFonts w:hint="eastAsia" w:cs="Times New Roman"/>
          <w:bCs/>
          <w:color w:val="000000"/>
          <w:kern w:val="0"/>
          <w:lang w:val="en-US" w:eastAsia="zh-CN"/>
        </w:rPr>
      </w:pPr>
      <w:bookmarkStart w:id="2" w:name="_Hlk48569664"/>
      <w:r>
        <w:rPr>
          <w:rFonts w:hint="eastAsia" w:eastAsia="宋体" w:cs="Times New Roman"/>
          <w:sz w:val="24"/>
          <w:szCs w:val="24"/>
          <w:lang w:val="en-US" w:eastAsia="zh-Hans"/>
        </w:rPr>
        <w:t>T/CBMF 268.1、T/CERDS 4界定的以及下列术语和定义适用于本文件</w:t>
      </w:r>
      <w:r>
        <w:rPr>
          <w:rFonts w:hint="default" w:eastAsia="宋体" w:cs="Times New Roman"/>
          <w:sz w:val="24"/>
          <w:szCs w:val="24"/>
          <w:lang w:eastAsia="zh-Hans"/>
        </w:rPr>
        <w:t>。</w:t>
      </w:r>
      <w:bookmarkEnd w:id="2"/>
    </w:p>
    <w:p w14:paraId="19AA6FAD">
      <w:pPr>
        <w:pStyle w:val="3"/>
        <w:spacing w:line="360" w:lineRule="auto"/>
        <w:rPr>
          <w:rFonts w:hint="eastAsia" w:eastAsia="黑体"/>
          <w:lang w:val="en-US" w:eastAsia="zh-CN"/>
        </w:rPr>
      </w:pPr>
      <w:r>
        <w:rPr>
          <w:rFonts w:hint="eastAsia"/>
        </w:rPr>
        <w:t xml:space="preserve">2.5 </w:t>
      </w:r>
      <w:r>
        <w:rPr>
          <w:rFonts w:hint="eastAsia"/>
          <w:lang w:val="en-US" w:eastAsia="zh-CN"/>
        </w:rPr>
        <w:t>报告原则</w:t>
      </w:r>
    </w:p>
    <w:p w14:paraId="765809DB">
      <w:pPr>
        <w:pStyle w:val="4"/>
        <w:rPr>
          <w:rFonts w:hint="eastAsia" w:eastAsia="黑体"/>
          <w:lang w:eastAsia="zh-CN"/>
        </w:rPr>
      </w:pPr>
      <w:r>
        <w:rPr>
          <w:rFonts w:hint="eastAsia"/>
        </w:rPr>
        <w:t>2</w:t>
      </w:r>
      <w:r>
        <w:t xml:space="preserve">.5.1 </w:t>
      </w:r>
      <w:r>
        <w:rPr>
          <w:rFonts w:hint="eastAsia"/>
          <w:lang w:val="en-US" w:eastAsia="zh-CN"/>
        </w:rPr>
        <w:t>概述</w:t>
      </w:r>
    </w:p>
    <w:p w14:paraId="70EEABD6">
      <w:pPr>
        <w:spacing w:line="360" w:lineRule="auto"/>
        <w:ind w:firstLine="480" w:firstLineChars="200"/>
        <w:rPr>
          <w:rFonts w:hint="eastAsia" w:cs="Times New Roman"/>
          <w:sz w:val="24"/>
          <w:szCs w:val="24"/>
          <w:lang w:val="en-US" w:eastAsia="zh-CN"/>
        </w:rPr>
      </w:pPr>
      <w:bookmarkStart w:id="3" w:name="_Hlk48569682"/>
      <w:r>
        <w:rPr>
          <w:rFonts w:hint="eastAsia" w:cs="Times New Roman"/>
          <w:sz w:val="24"/>
          <w:szCs w:val="24"/>
          <w:lang w:val="en-US" w:eastAsia="zh-CN"/>
        </w:rPr>
        <w:t>报告原则是实现高质量ESG报告的基础。如果企业宣称其ESG报告是按照本文件编制而成的，该企业必须运用本文件提及的披露原则。报告原则又分为两个维度：界定报告内容的原则和界定报告质量的原则，见表1。</w:t>
      </w:r>
    </w:p>
    <w:p w14:paraId="29D2F039">
      <w:pPr>
        <w:pStyle w:val="8"/>
        <w:keepNext w:val="0"/>
        <w:keepLines w:val="0"/>
        <w:pageBreakBefore w:val="0"/>
        <w:widowControl/>
        <w:kinsoku/>
        <w:wordWrap/>
        <w:overflowPunct/>
        <w:topLinePunct w:val="0"/>
        <w:autoSpaceDE/>
        <w:autoSpaceDN/>
        <w:bidi w:val="0"/>
        <w:adjustRightInd/>
        <w:snapToGrid/>
        <w:spacing w:after="0" w:line="240" w:lineRule="auto"/>
        <w:ind w:firstLine="420" w:firstLineChars="200"/>
        <w:jc w:val="center"/>
        <w:textAlignment w:val="auto"/>
        <w:rPr>
          <w:rFonts w:hint="eastAsia" w:ascii="黑体" w:hAnsi="黑体" w:eastAsia="黑体" w:cs="黑体"/>
          <w:sz w:val="21"/>
          <w:szCs w:val="21"/>
          <w:lang w:val="en-US" w:eastAsia="zh-CN"/>
        </w:rPr>
      </w:pPr>
      <w:r>
        <w:rPr>
          <w:rFonts w:hint="eastAsia" w:ascii="黑体" w:hAnsi="黑体" w:eastAsia="黑体" w:cs="黑体"/>
          <w:b w:val="0"/>
          <w:bCs w:val="0"/>
          <w:color w:val="auto"/>
          <w:kern w:val="2"/>
          <w:sz w:val="21"/>
          <w:szCs w:val="21"/>
          <w:lang w:val="en-US" w:eastAsia="zh-CN" w:bidi="ar-SA"/>
        </w:rPr>
        <w:t xml:space="preserve">表 </w:t>
      </w:r>
      <w:r>
        <w:rPr>
          <w:rFonts w:hint="eastAsia" w:ascii="黑体" w:hAnsi="黑体" w:eastAsia="黑体" w:cs="黑体"/>
          <w:b w:val="0"/>
          <w:bCs w:val="0"/>
          <w:color w:val="auto"/>
          <w:kern w:val="2"/>
          <w:sz w:val="21"/>
          <w:szCs w:val="21"/>
          <w:lang w:val="en-US" w:eastAsia="zh-CN" w:bidi="ar-SA"/>
        </w:rPr>
        <w:fldChar w:fldCharType="begin"/>
      </w:r>
      <w:r>
        <w:rPr>
          <w:rFonts w:hint="eastAsia" w:ascii="黑体" w:hAnsi="黑体" w:eastAsia="黑体" w:cs="黑体"/>
          <w:b w:val="0"/>
          <w:bCs w:val="0"/>
          <w:color w:val="auto"/>
          <w:kern w:val="2"/>
          <w:sz w:val="21"/>
          <w:szCs w:val="21"/>
          <w:lang w:val="en-US" w:eastAsia="zh-CN" w:bidi="ar-SA"/>
        </w:rPr>
        <w:instrText xml:space="preserve"> SEQ 表 \* ARABIC </w:instrText>
      </w:r>
      <w:r>
        <w:rPr>
          <w:rFonts w:hint="eastAsia" w:ascii="黑体" w:hAnsi="黑体" w:eastAsia="黑体" w:cs="黑体"/>
          <w:b w:val="0"/>
          <w:bCs w:val="0"/>
          <w:color w:val="auto"/>
          <w:kern w:val="2"/>
          <w:sz w:val="21"/>
          <w:szCs w:val="21"/>
          <w:lang w:val="en-US" w:eastAsia="zh-CN" w:bidi="ar-SA"/>
        </w:rPr>
        <w:fldChar w:fldCharType="separate"/>
      </w:r>
      <w:r>
        <w:rPr>
          <w:rFonts w:hint="eastAsia" w:ascii="黑体" w:hAnsi="黑体" w:eastAsia="黑体" w:cs="黑体"/>
          <w:b w:val="0"/>
          <w:bCs w:val="0"/>
          <w:color w:val="auto"/>
          <w:kern w:val="2"/>
          <w:sz w:val="21"/>
          <w:szCs w:val="21"/>
          <w:lang w:val="en-US" w:eastAsia="zh-CN" w:bidi="ar-SA"/>
        </w:rPr>
        <w:t>1</w:t>
      </w:r>
      <w:r>
        <w:rPr>
          <w:rFonts w:hint="eastAsia" w:ascii="黑体" w:hAnsi="黑体" w:eastAsia="黑体" w:cs="黑体"/>
          <w:b w:val="0"/>
          <w:bCs w:val="0"/>
          <w:color w:val="auto"/>
          <w:kern w:val="2"/>
          <w:sz w:val="21"/>
          <w:szCs w:val="21"/>
          <w:lang w:val="en-US" w:eastAsia="zh-CN" w:bidi="ar-SA"/>
        </w:rPr>
        <w:fldChar w:fldCharType="end"/>
      </w:r>
      <w:r>
        <w:rPr>
          <w:rFonts w:hint="eastAsia" w:ascii="黑体" w:hAnsi="黑体" w:eastAsia="黑体" w:cs="黑体"/>
          <w:b w:val="0"/>
          <w:bCs w:val="0"/>
          <w:color w:val="auto"/>
          <w:kern w:val="2"/>
          <w:sz w:val="21"/>
          <w:szCs w:val="21"/>
          <w:lang w:val="en-US" w:eastAsia="zh-CN" w:bidi="ar-SA"/>
        </w:rPr>
        <w:t>报告原则的两个维度</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A14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261" w:type="dxa"/>
          </w:tcPr>
          <w:p w14:paraId="7E161FC0">
            <w:pPr>
              <w:spacing w:line="240" w:lineRule="auto"/>
              <w:jc w:val="center"/>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界定</w:t>
            </w:r>
            <w:r>
              <w:rPr>
                <w:rFonts w:hint="eastAsia"/>
                <w:b w:val="0"/>
                <w:bCs w:val="0"/>
                <w:sz w:val="18"/>
                <w:szCs w:val="18"/>
                <w:lang w:val="en-US" w:eastAsia="zh-CN"/>
              </w:rPr>
              <w:t>报告</w:t>
            </w:r>
            <w:r>
              <w:rPr>
                <w:rFonts w:hint="eastAsia" w:ascii="Times New Roman" w:hAnsi="Times New Roman"/>
                <w:b w:val="0"/>
                <w:bCs w:val="0"/>
                <w:sz w:val="18"/>
                <w:szCs w:val="18"/>
                <w:lang w:val="en-US" w:eastAsia="zh-CN"/>
              </w:rPr>
              <w:t>内容的原则</w:t>
            </w:r>
          </w:p>
        </w:tc>
        <w:tc>
          <w:tcPr>
            <w:tcW w:w="4261" w:type="dxa"/>
          </w:tcPr>
          <w:p w14:paraId="412C12A8">
            <w:pPr>
              <w:spacing w:line="240" w:lineRule="auto"/>
              <w:jc w:val="center"/>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界定</w:t>
            </w:r>
            <w:r>
              <w:rPr>
                <w:rFonts w:hint="eastAsia"/>
                <w:b w:val="0"/>
                <w:bCs w:val="0"/>
                <w:sz w:val="18"/>
                <w:szCs w:val="18"/>
                <w:lang w:val="en-US" w:eastAsia="zh-CN"/>
              </w:rPr>
              <w:t>报告</w:t>
            </w:r>
            <w:r>
              <w:rPr>
                <w:rFonts w:hint="eastAsia" w:ascii="Times New Roman" w:hAnsi="Times New Roman"/>
                <w:b w:val="0"/>
                <w:bCs w:val="0"/>
                <w:sz w:val="18"/>
                <w:szCs w:val="18"/>
                <w:lang w:val="en-US" w:eastAsia="zh-CN"/>
              </w:rPr>
              <w:t>质量的原则</w:t>
            </w:r>
          </w:p>
        </w:tc>
      </w:tr>
      <w:tr w14:paraId="7DDA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2380A0A7">
            <w:pPr>
              <w:numPr>
                <w:ilvl w:val="0"/>
                <w:numId w:val="2"/>
              </w:numPr>
              <w:spacing w:line="240" w:lineRule="auto"/>
              <w:ind w:left="420" w:leftChars="0" w:hanging="420" w:firstLineChars="0"/>
              <w:jc w:val="left"/>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实质性</w:t>
            </w:r>
          </w:p>
          <w:p w14:paraId="378A433D">
            <w:pPr>
              <w:numPr>
                <w:ilvl w:val="0"/>
                <w:numId w:val="2"/>
              </w:numPr>
              <w:spacing w:line="240" w:lineRule="auto"/>
              <w:ind w:left="420" w:leftChars="0" w:hanging="420" w:firstLineChars="0"/>
              <w:jc w:val="left"/>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全面性</w:t>
            </w:r>
          </w:p>
        </w:tc>
        <w:tc>
          <w:tcPr>
            <w:tcW w:w="4261" w:type="dxa"/>
            <w:vAlign w:val="top"/>
          </w:tcPr>
          <w:p w14:paraId="64C47C4E">
            <w:pPr>
              <w:numPr>
                <w:ilvl w:val="0"/>
                <w:numId w:val="2"/>
              </w:numPr>
              <w:spacing w:line="240" w:lineRule="auto"/>
              <w:ind w:left="420" w:leftChars="0" w:hanging="420" w:firstLineChars="0"/>
              <w:jc w:val="left"/>
              <w:rPr>
                <w:rFonts w:hint="eastAsia" w:ascii="Times New Roman" w:hAnsi="Times New Roman"/>
                <w:b w:val="0"/>
                <w:bCs w:val="0"/>
                <w:sz w:val="18"/>
                <w:szCs w:val="18"/>
                <w:lang w:val="en-US" w:eastAsia="zh-CN"/>
              </w:rPr>
            </w:pPr>
            <w:r>
              <w:rPr>
                <w:rFonts w:hint="eastAsia"/>
                <w:b w:val="0"/>
                <w:bCs w:val="0"/>
                <w:sz w:val="18"/>
                <w:szCs w:val="18"/>
                <w:lang w:val="en-US" w:eastAsia="zh-CN"/>
              </w:rPr>
              <w:t>合规性</w:t>
            </w:r>
          </w:p>
          <w:p w14:paraId="0ECF4952">
            <w:pPr>
              <w:numPr>
                <w:ilvl w:val="0"/>
                <w:numId w:val="2"/>
              </w:numPr>
              <w:spacing w:line="240" w:lineRule="auto"/>
              <w:ind w:left="420" w:leftChars="0" w:hanging="420" w:firstLineChars="0"/>
              <w:jc w:val="left"/>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真实性</w:t>
            </w:r>
          </w:p>
          <w:p w14:paraId="32843087">
            <w:pPr>
              <w:numPr>
                <w:ilvl w:val="0"/>
                <w:numId w:val="2"/>
              </w:numPr>
              <w:spacing w:line="240" w:lineRule="auto"/>
              <w:ind w:left="420" w:leftChars="0" w:hanging="420" w:firstLineChars="0"/>
              <w:jc w:val="left"/>
              <w:rPr>
                <w:rFonts w:hint="eastAsia" w:ascii="Times New Roman" w:hAnsi="Times New Roman"/>
                <w:b w:val="0"/>
                <w:bCs w:val="0"/>
                <w:sz w:val="18"/>
                <w:szCs w:val="18"/>
                <w:lang w:val="en-US" w:eastAsia="zh-CN"/>
              </w:rPr>
            </w:pPr>
            <w:r>
              <w:rPr>
                <w:rFonts w:hint="eastAsia"/>
                <w:b w:val="0"/>
                <w:bCs w:val="0"/>
                <w:sz w:val="18"/>
                <w:szCs w:val="18"/>
                <w:lang w:val="en-US" w:eastAsia="zh-CN"/>
              </w:rPr>
              <w:t>可验证性</w:t>
            </w:r>
          </w:p>
          <w:p w14:paraId="37AE841B">
            <w:pPr>
              <w:numPr>
                <w:ilvl w:val="0"/>
                <w:numId w:val="2"/>
              </w:numPr>
              <w:spacing w:line="240" w:lineRule="auto"/>
              <w:ind w:left="420" w:leftChars="0" w:hanging="420" w:firstLineChars="0"/>
              <w:jc w:val="left"/>
              <w:rPr>
                <w:rFonts w:hint="eastAsia" w:ascii="Times New Roman" w:hAnsi="Times New Roman"/>
                <w:b w:val="0"/>
                <w:bCs w:val="0"/>
                <w:sz w:val="18"/>
                <w:szCs w:val="18"/>
                <w:lang w:val="en-US" w:eastAsia="zh-CN"/>
              </w:rPr>
            </w:pPr>
            <w:r>
              <w:rPr>
                <w:rFonts w:hint="eastAsia" w:ascii="Times New Roman" w:hAnsi="Times New Roman"/>
                <w:b w:val="0"/>
                <w:bCs w:val="0"/>
                <w:sz w:val="18"/>
                <w:szCs w:val="18"/>
                <w:lang w:val="en-US" w:eastAsia="zh-CN"/>
              </w:rPr>
              <w:t>可比性</w:t>
            </w:r>
          </w:p>
          <w:p w14:paraId="2325C971">
            <w:pPr>
              <w:numPr>
                <w:ilvl w:val="0"/>
                <w:numId w:val="2"/>
              </w:numPr>
              <w:spacing w:line="240" w:lineRule="auto"/>
              <w:ind w:left="420" w:leftChars="0" w:hanging="420" w:firstLineChars="0"/>
              <w:jc w:val="left"/>
              <w:rPr>
                <w:rFonts w:hint="eastAsia" w:ascii="Times New Roman" w:hAnsi="Times New Roman"/>
                <w:b w:val="0"/>
                <w:bCs w:val="0"/>
                <w:sz w:val="18"/>
                <w:szCs w:val="18"/>
                <w:lang w:val="en-US" w:eastAsia="zh-CN"/>
              </w:rPr>
            </w:pPr>
            <w:r>
              <w:rPr>
                <w:rFonts w:hint="eastAsia"/>
                <w:b w:val="0"/>
                <w:bCs w:val="0"/>
                <w:sz w:val="18"/>
                <w:szCs w:val="18"/>
                <w:lang w:val="en-US" w:eastAsia="zh-CN"/>
              </w:rPr>
              <w:t>时效性</w:t>
            </w:r>
          </w:p>
        </w:tc>
      </w:tr>
    </w:tbl>
    <w:p w14:paraId="5B1AFA50">
      <w:pPr>
        <w:pStyle w:val="4"/>
        <w:rPr>
          <w:rFonts w:hint="eastAsia" w:ascii="Times New Roman" w:hAnsi="Times New Roman"/>
          <w:lang w:val="en-US" w:eastAsia="zh-CN"/>
        </w:rPr>
      </w:pPr>
      <w:r>
        <w:rPr>
          <w:rFonts w:hint="eastAsia" w:ascii="Times New Roman" w:hAnsi="Times New Roman"/>
          <w:lang w:val="en-US" w:eastAsia="zh-CN"/>
        </w:rPr>
        <w:t>2.5.2 合规性</w:t>
      </w:r>
    </w:p>
    <w:p w14:paraId="569200E1">
      <w:pPr>
        <w:spacing w:line="360" w:lineRule="auto"/>
        <w:ind w:firstLine="480"/>
        <w:rPr>
          <w:rFonts w:hint="eastAsia" w:cs="Times New Roman"/>
          <w:sz w:val="24"/>
          <w:szCs w:val="24"/>
          <w:lang w:val="en-US" w:eastAsia="zh-CN"/>
        </w:rPr>
      </w:pPr>
      <w:r>
        <w:rPr>
          <w:rFonts w:hint="eastAsia" w:cs="Times New Roman"/>
          <w:sz w:val="24"/>
          <w:szCs w:val="24"/>
          <w:lang w:val="en-US" w:eastAsia="zh-CN"/>
        </w:rPr>
        <w:t>企业披露的ESG信息必须符合国家法律法规（如《环境保护法》《公司法》）、行业政策（如建材行业绿色生产规范）及监管所要求（如三大交易所发布的可持续发展报告编制）。企业应当关注并定期跟踪与ESG相关的信息披露合规要求，建立合规性审查机制，避免因应披未披、违规披露而导致的法律责任，宜在报告中明确标注引用法规条款。</w:t>
      </w:r>
    </w:p>
    <w:p w14:paraId="6A6AA5C5">
      <w:pPr>
        <w:pStyle w:val="4"/>
        <w:rPr>
          <w:rFonts w:hint="default" w:ascii="Times New Roman" w:hAnsi="Times New Roman"/>
          <w:lang w:val="en-US" w:eastAsia="zh-CN"/>
        </w:rPr>
      </w:pPr>
      <w:r>
        <w:rPr>
          <w:rFonts w:hint="default" w:ascii="Times New Roman" w:hAnsi="Times New Roman"/>
          <w:lang w:eastAsia="zh-CN"/>
        </w:rPr>
        <w:t>2</w:t>
      </w:r>
      <w:r>
        <w:rPr>
          <w:rFonts w:hint="eastAsia" w:ascii="Times New Roman" w:hAnsi="Times New Roman"/>
          <w:lang w:val="en-US" w:eastAsia="zh-Hans"/>
        </w:rPr>
        <w:t>.</w:t>
      </w:r>
      <w:r>
        <w:rPr>
          <w:rFonts w:hint="default" w:ascii="Times New Roman" w:hAnsi="Times New Roman"/>
          <w:lang w:eastAsia="zh-Hans"/>
        </w:rPr>
        <w:t>5</w:t>
      </w:r>
      <w:r>
        <w:rPr>
          <w:rFonts w:hint="default" w:ascii="Times New Roman" w:hAnsi="Times New Roman"/>
          <w:lang w:val="en-US" w:eastAsia="zh-CN"/>
        </w:rPr>
        <w:t>.</w:t>
      </w:r>
      <w:r>
        <w:rPr>
          <w:rFonts w:hint="eastAsia"/>
          <w:lang w:val="en-US" w:eastAsia="zh-CN"/>
        </w:rPr>
        <w:t>3</w:t>
      </w:r>
      <w:r>
        <w:rPr>
          <w:rFonts w:hint="default" w:ascii="Times New Roman" w:hAnsi="Times New Roman"/>
          <w:lang w:val="en-US" w:eastAsia="zh-CN"/>
        </w:rPr>
        <w:t xml:space="preserve"> 实质性</w:t>
      </w:r>
    </w:p>
    <w:p w14:paraId="5AD7A602">
      <w:pPr>
        <w:spacing w:line="360" w:lineRule="auto"/>
        <w:ind w:firstLine="420" w:firstLineChars="0"/>
        <w:rPr>
          <w:rFonts w:hint="eastAsia" w:cs="Times New Roman"/>
          <w:sz w:val="24"/>
          <w:szCs w:val="24"/>
          <w:lang w:val="en-US" w:eastAsia="zh-CN"/>
        </w:rPr>
      </w:pPr>
      <w:r>
        <w:rPr>
          <w:rFonts w:hint="default" w:cs="Times New Roman"/>
          <w:sz w:val="24"/>
          <w:szCs w:val="24"/>
          <w:lang w:val="en-US" w:eastAsia="zh-CN"/>
        </w:rPr>
        <w:t>实质性原则主要包含两个维度：一方面能够体现企业价值创造能力，给予利益相关方评估和决策参考；另一方面能够体现企业的重大经济、环境和社会影响。原则上来说，当一个议题满足其中一个维度，就应被认为属于企业的实质性议题并进行披露。</w:t>
      </w:r>
      <w:r>
        <w:rPr>
          <w:rFonts w:hint="eastAsia" w:cs="Times New Roman"/>
          <w:sz w:val="24"/>
          <w:szCs w:val="24"/>
          <w:lang w:val="en-US" w:eastAsia="zh-CN"/>
        </w:rPr>
        <w:t>实质性原则的可视化分析如图1所示。</w:t>
      </w:r>
    </w:p>
    <w:p w14:paraId="04399FA0">
      <w:pPr>
        <w:spacing w:line="360" w:lineRule="auto"/>
        <w:ind w:firstLine="420" w:firstLineChars="0"/>
        <w:jc w:val="center"/>
      </w:pPr>
      <w:r>
        <w:drawing>
          <wp:inline distT="0" distB="0" distL="114300" distR="114300">
            <wp:extent cx="2686050" cy="25266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686050" cy="2526665"/>
                    </a:xfrm>
                    <a:prstGeom prst="rect">
                      <a:avLst/>
                    </a:prstGeom>
                    <a:noFill/>
                    <a:ln>
                      <a:noFill/>
                    </a:ln>
                  </pic:spPr>
                </pic:pic>
              </a:graphicData>
            </a:graphic>
          </wp:inline>
        </w:drawing>
      </w:r>
    </w:p>
    <w:p w14:paraId="331DDE01">
      <w:pPr>
        <w:pStyle w:val="8"/>
        <w:spacing w:line="360" w:lineRule="auto"/>
        <w:ind w:firstLine="420" w:firstLineChars="200"/>
        <w:jc w:val="center"/>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rPr>
        <w:t xml:space="preserve">图 </w:t>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SEQ 图 \* ARABIC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1</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lang w:val="en-US" w:eastAsia="zh-CN"/>
        </w:rPr>
        <w:t xml:space="preserve"> 实质性议题分析的视觉表示</w:t>
      </w:r>
    </w:p>
    <w:p w14:paraId="34A09FCC">
      <w:pPr>
        <w:pStyle w:val="4"/>
        <w:rPr>
          <w:rFonts w:hint="default" w:ascii="Times New Roman" w:hAnsi="Times New Roman"/>
          <w:lang w:val="en-US" w:eastAsia="zh-CN"/>
        </w:rPr>
      </w:pPr>
      <w:r>
        <w:rPr>
          <w:rFonts w:hint="default" w:ascii="Times New Roman" w:hAnsi="Times New Roman"/>
          <w:lang w:eastAsia="zh-CN"/>
        </w:rPr>
        <w:t>2</w:t>
      </w:r>
      <w:r>
        <w:rPr>
          <w:rFonts w:hint="eastAsia" w:ascii="Times New Roman" w:hAnsi="Times New Roman"/>
          <w:lang w:val="en-US" w:eastAsia="zh-Hans"/>
        </w:rPr>
        <w:t>.</w:t>
      </w:r>
      <w:r>
        <w:rPr>
          <w:rFonts w:hint="default" w:ascii="Times New Roman" w:hAnsi="Times New Roman"/>
          <w:lang w:eastAsia="zh-Hans"/>
        </w:rPr>
        <w:t>5</w:t>
      </w:r>
      <w:r>
        <w:rPr>
          <w:rFonts w:hint="default" w:ascii="Times New Roman" w:hAnsi="Times New Roman"/>
          <w:lang w:val="en-US" w:eastAsia="zh-CN"/>
        </w:rPr>
        <w:t>.</w:t>
      </w:r>
      <w:r>
        <w:rPr>
          <w:rFonts w:hint="eastAsia"/>
          <w:lang w:val="en-US" w:eastAsia="zh-CN"/>
        </w:rPr>
        <w:t>4</w:t>
      </w:r>
      <w:r>
        <w:rPr>
          <w:rFonts w:hint="default" w:ascii="Times New Roman" w:hAnsi="Times New Roman"/>
          <w:lang w:val="en-US" w:eastAsia="zh-CN"/>
        </w:rPr>
        <w:t xml:space="preserve"> </w:t>
      </w:r>
      <w:r>
        <w:rPr>
          <w:rFonts w:hint="eastAsia" w:ascii="Times New Roman" w:hAnsi="Times New Roman"/>
          <w:lang w:val="en-US" w:eastAsia="zh-CN"/>
        </w:rPr>
        <w:t>全面</w:t>
      </w:r>
      <w:r>
        <w:rPr>
          <w:rFonts w:hint="default" w:ascii="Times New Roman" w:hAnsi="Times New Roman"/>
          <w:lang w:val="en-US" w:eastAsia="zh-CN"/>
        </w:rPr>
        <w:t>性</w:t>
      </w:r>
    </w:p>
    <w:p w14:paraId="5F48A199">
      <w:pPr>
        <w:ind w:firstLine="420"/>
        <w:rPr>
          <w:rFonts w:hint="eastAsia"/>
          <w:lang w:val="en-US" w:eastAsia="zh-CN"/>
        </w:rPr>
      </w:pPr>
      <w:r>
        <w:rPr>
          <w:rFonts w:hint="eastAsia"/>
          <w:lang w:val="en-US" w:eastAsia="zh-CN"/>
        </w:rPr>
        <w:t>全面性原则是指</w:t>
      </w:r>
      <w:r>
        <w:rPr>
          <w:rFonts w:hint="eastAsia" w:cs="Times New Roman"/>
        </w:rPr>
        <w:t>企业披露的ESG信息应能够全面体现企业重大环境、社会和公司治理绩效。避免因披露不全面造成对利益相关方评估和决策的误导。</w:t>
      </w:r>
      <w:r>
        <w:rPr>
          <w:rFonts w:hint="eastAsia"/>
          <w:lang w:val="en-US" w:eastAsia="zh-CN"/>
        </w:rPr>
        <w:t>全面性主要包括以下维度：报告中涵盖的实质性议题列表、议题边界和时间。另外，全面性概念也指信息收集做法（例如，确保编辑的数据包含影响范围内所有实体的结果）以及信息的呈现是否合理、得当。</w:t>
      </w:r>
    </w:p>
    <w:p w14:paraId="073C1ECF">
      <w:pPr>
        <w:ind w:firstLine="420"/>
        <w:rPr>
          <w:rFonts w:hint="default"/>
          <w:lang w:val="en-US" w:eastAsia="zh-CN"/>
        </w:rPr>
      </w:pPr>
      <w:r>
        <w:rPr>
          <w:rFonts w:hint="eastAsia"/>
          <w:lang w:val="en-US" w:eastAsia="zh-CN"/>
        </w:rPr>
        <w:t>企业应在ESG报告中涵盖所有实质性信息，并根据实质性原则确定这些信息的优先级别；同时确保报告中的信息涵盖报告期内的所有重大影响，以及合理估计重大未来影响何时可合理预见以及何时可能变得不可避免或不可逆转；并确认报告中没有遗漏实质影响利益相关方做出评估和决策所需的相关信息，也没有遗漏反映重大经济、环境和社会影响的信息。另外，企业应采用“全价值链”视角，从采购、生产、运输到废弃处理的全流程识别ESG影响，避免遗漏关键环节。</w:t>
      </w:r>
    </w:p>
    <w:p w14:paraId="1C6DE926">
      <w:pPr>
        <w:pStyle w:val="4"/>
        <w:rPr>
          <w:rFonts w:hint="default" w:ascii="Times New Roman" w:hAnsi="Times New Roman"/>
          <w:lang w:val="en-US" w:eastAsia="zh-CN"/>
        </w:rPr>
      </w:pPr>
      <w:r>
        <w:rPr>
          <w:rFonts w:hint="default" w:ascii="Times New Roman" w:hAnsi="Times New Roman"/>
          <w:lang w:eastAsia="zh-CN"/>
        </w:rPr>
        <w:t>2</w:t>
      </w:r>
      <w:r>
        <w:rPr>
          <w:rFonts w:hint="eastAsia" w:ascii="Times New Roman" w:hAnsi="Times New Roman"/>
          <w:lang w:val="en-US" w:eastAsia="zh-Hans"/>
        </w:rPr>
        <w:t>.</w:t>
      </w:r>
      <w:r>
        <w:rPr>
          <w:rFonts w:hint="default" w:ascii="Times New Roman" w:hAnsi="Times New Roman"/>
          <w:lang w:eastAsia="zh-Hans"/>
        </w:rPr>
        <w:t>5</w:t>
      </w:r>
      <w:r>
        <w:rPr>
          <w:rFonts w:hint="default" w:ascii="Times New Roman" w:hAnsi="Times New Roman"/>
          <w:lang w:val="en-US" w:eastAsia="zh-CN"/>
        </w:rPr>
        <w:t>.</w:t>
      </w:r>
      <w:r>
        <w:rPr>
          <w:rFonts w:hint="eastAsia"/>
          <w:lang w:val="en-US" w:eastAsia="zh-CN"/>
        </w:rPr>
        <w:t>5</w:t>
      </w:r>
      <w:r>
        <w:rPr>
          <w:rFonts w:hint="default" w:ascii="Times New Roman" w:hAnsi="Times New Roman"/>
          <w:lang w:val="en-US" w:eastAsia="zh-CN"/>
        </w:rPr>
        <w:t xml:space="preserve"> </w:t>
      </w:r>
      <w:r>
        <w:rPr>
          <w:rFonts w:hint="eastAsia"/>
          <w:lang w:val="en-US" w:eastAsia="zh-CN"/>
        </w:rPr>
        <w:t>真实</w:t>
      </w:r>
      <w:r>
        <w:rPr>
          <w:rFonts w:hint="default" w:ascii="Times New Roman" w:hAnsi="Times New Roman"/>
          <w:lang w:val="en-US" w:eastAsia="zh-CN"/>
        </w:rPr>
        <w:t>性</w:t>
      </w:r>
    </w:p>
    <w:p w14:paraId="6B8C53BB">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真实性原则是指企业披露的信息应以客观事实或具有事实基础的判断和意见为依据，不应有虚假、不实陈述或隐瞒重要事实。</w:t>
      </w:r>
    </w:p>
    <w:p w14:paraId="38BEB019">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基于信息的性质和适用对象的不同，企业需考虑到准确性的边界差异。进行定性指标披露时，这部分内容需合规准确，并与企业披露的其他信息保持一致。进行定量指标披露时，应做到下述几个方面：</w:t>
      </w:r>
    </w:p>
    <w:p w14:paraId="2B700C37">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a）描述数据的边界；</w:t>
      </w:r>
    </w:p>
    <w:p w14:paraId="663BFD0A">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b）数据已经过测算；</w:t>
      </w:r>
    </w:p>
    <w:p w14:paraId="5A2B5C69">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c）对数据测算和计算依据及方法学进行充分描述，保证其复现性；</w:t>
      </w:r>
    </w:p>
    <w:p w14:paraId="7C77210B">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d）定量数据的误差幅度需在可控范围内。</w:t>
      </w:r>
    </w:p>
    <w:p w14:paraId="4BFA18BE">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以温室气体排放这一定量指标为例，建材企业在进行该项指标信息披露时需明确描述：</w:t>
      </w:r>
    </w:p>
    <w:p w14:paraId="0FA29EA1">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1）温室气体的范畴，是直接（范畴1）温室气体排放、能源间接（范畴2）温室气体排放、其他间接（范畴3）温室气体排放，还是全部包括在内；</w:t>
      </w:r>
    </w:p>
    <w:p w14:paraId="7E299169">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2）温室气体的边界，是CO2、CH4、N2O、HFC、PFC、SF6、NF3，还是全部包括在内；</w:t>
      </w:r>
    </w:p>
    <w:p w14:paraId="11CA668A">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3）用于计算的基准年；</w:t>
      </w:r>
    </w:p>
    <w:p w14:paraId="5E46435C">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4）排放因子的来源，以及使用的全球变暖潜能值（GWP），或对GWP来源的引用；</w:t>
      </w:r>
    </w:p>
    <w:p w14:paraId="021D38C2">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5）使用的标准、方法、假设和计算工具。</w:t>
      </w:r>
    </w:p>
    <w:p w14:paraId="60EE30BA">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建立引入内部审计</w:t>
      </w:r>
      <w:r>
        <w:rPr>
          <w:rFonts w:hint="eastAsia" w:cs="Times New Roman"/>
          <w:sz w:val="24"/>
          <w:szCs w:val="24"/>
          <w:lang w:val="en-US" w:eastAsia="zh-CN"/>
        </w:rPr>
        <w:t>与外部鉴证</w:t>
      </w:r>
      <w:r>
        <w:rPr>
          <w:rFonts w:hint="default" w:cs="Times New Roman"/>
          <w:sz w:val="24"/>
          <w:szCs w:val="24"/>
          <w:lang w:val="en-US" w:eastAsia="zh-CN"/>
        </w:rPr>
        <w:t>，确保数据可追溯。</w:t>
      </w:r>
    </w:p>
    <w:p w14:paraId="0837467A">
      <w:pPr>
        <w:pStyle w:val="4"/>
        <w:rPr>
          <w:rFonts w:hint="eastAsia"/>
          <w:lang w:val="en-US" w:eastAsia="zh-CN"/>
        </w:rPr>
      </w:pPr>
      <w:r>
        <w:rPr>
          <w:rFonts w:hint="default" w:ascii="Times New Roman" w:hAnsi="Times New Roman"/>
          <w:lang w:eastAsia="zh-CN"/>
        </w:rPr>
        <w:t>2</w:t>
      </w:r>
      <w:r>
        <w:rPr>
          <w:rFonts w:hint="eastAsia" w:ascii="Times New Roman" w:hAnsi="Times New Roman"/>
          <w:lang w:val="en-US" w:eastAsia="zh-Hans"/>
        </w:rPr>
        <w:t>.</w:t>
      </w:r>
      <w:r>
        <w:rPr>
          <w:rFonts w:hint="default" w:ascii="Times New Roman" w:hAnsi="Times New Roman"/>
          <w:lang w:eastAsia="zh-Hans"/>
        </w:rPr>
        <w:t>5</w:t>
      </w:r>
      <w:r>
        <w:rPr>
          <w:rFonts w:hint="default" w:ascii="Times New Roman" w:hAnsi="Times New Roman"/>
          <w:lang w:val="en-US" w:eastAsia="zh-CN"/>
        </w:rPr>
        <w:t>.</w:t>
      </w:r>
      <w:r>
        <w:rPr>
          <w:rFonts w:hint="eastAsia"/>
          <w:lang w:val="en-US" w:eastAsia="zh-CN"/>
        </w:rPr>
        <w:t>6</w:t>
      </w:r>
      <w:r>
        <w:rPr>
          <w:rFonts w:hint="default" w:ascii="Times New Roman" w:hAnsi="Times New Roman"/>
          <w:lang w:val="en-US" w:eastAsia="zh-CN"/>
        </w:rPr>
        <w:t xml:space="preserve"> </w:t>
      </w:r>
      <w:r>
        <w:rPr>
          <w:rFonts w:hint="eastAsia"/>
          <w:lang w:val="en-US" w:eastAsia="zh-CN"/>
        </w:rPr>
        <w:t>可验证性</w:t>
      </w:r>
    </w:p>
    <w:p w14:paraId="2ADD5163">
      <w:pPr>
        <w:ind w:firstLine="420" w:firstLineChars="0"/>
        <w:rPr>
          <w:rFonts w:hint="default"/>
          <w:lang w:val="en-US" w:eastAsia="zh-CN"/>
        </w:rPr>
      </w:pPr>
      <w:r>
        <w:rPr>
          <w:rFonts w:hint="default"/>
          <w:lang w:val="en-US" w:eastAsia="zh-CN"/>
        </w:rPr>
        <w:t>企业披露的ESG信息应当能够通过该信息本身或者生成该信息的输入值加以证实</w:t>
      </w:r>
      <w:r>
        <w:rPr>
          <w:rFonts w:hint="eastAsia"/>
          <w:lang w:val="en-US" w:eastAsia="zh-CN"/>
        </w:rPr>
        <w:t>，</w:t>
      </w:r>
      <w:r>
        <w:rPr>
          <w:rFonts w:hint="default"/>
          <w:lang w:val="en-US" w:eastAsia="zh-CN"/>
        </w:rPr>
        <w:t>证明原始数据和信息的准确度及真实性在可接受的误差范围内。对于披露的定量数据，应提供可靠的证据来支持假设或复杂的计算。</w:t>
      </w:r>
      <w:r>
        <w:rPr>
          <w:rFonts w:hint="eastAsia"/>
          <w:lang w:val="en-US" w:eastAsia="zh-CN"/>
        </w:rPr>
        <w:t>企业宜公开关键数据采集工具、计算公式及假设条件，鼓励附外部鉴证报告。</w:t>
      </w:r>
    </w:p>
    <w:p w14:paraId="19895129">
      <w:pPr>
        <w:pStyle w:val="4"/>
        <w:rPr>
          <w:rFonts w:hint="default" w:ascii="Times New Roman" w:hAnsi="Times New Roman"/>
          <w:lang w:val="en-US" w:eastAsia="zh-CN"/>
        </w:rPr>
      </w:pPr>
      <w:r>
        <w:rPr>
          <w:rFonts w:hint="eastAsia"/>
          <w:lang w:val="en-US" w:eastAsia="zh-CN"/>
        </w:rPr>
        <w:t xml:space="preserve">2.5.7 </w:t>
      </w:r>
      <w:r>
        <w:rPr>
          <w:rFonts w:hint="default" w:ascii="Times New Roman" w:hAnsi="Times New Roman"/>
          <w:lang w:val="en-US" w:eastAsia="zh-CN"/>
        </w:rPr>
        <w:t>可比性</w:t>
      </w:r>
    </w:p>
    <w:p w14:paraId="136E6674">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可比性原则是指企业应以一致的方式选择、编辑和披露ESG信息。所披露的信息应满足两个维度：既能让利益相关方纵向分析企业的历史表现，又能相对其他企业进行横向对比分析。</w:t>
      </w:r>
    </w:p>
    <w:p w14:paraId="406864D8">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考虑到企业的规模、地理位置影响等因素，企业在披露信息时，应提供相关背景，以便于读者理解企业之间的差异。</w:t>
      </w:r>
    </w:p>
    <w:p w14:paraId="3E07E0AC">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企业披露的信息应囊括计算数据所使用的方法，并对信息编制所使用的方法和假设进行说明。</w:t>
      </w:r>
    </w:p>
    <w:p w14:paraId="415D3DD5">
      <w:pPr>
        <w:pStyle w:val="3"/>
        <w:spacing w:line="360" w:lineRule="auto"/>
        <w:rPr>
          <w:rFonts w:hint="eastAsia"/>
          <w:lang w:val="en-US" w:eastAsia="zh-CN"/>
        </w:rPr>
      </w:pPr>
      <w:r>
        <w:rPr>
          <w:rFonts w:hint="eastAsia"/>
        </w:rPr>
        <w:t>2.</w:t>
      </w:r>
      <w:r>
        <w:rPr>
          <w:rFonts w:hint="eastAsia"/>
          <w:lang w:val="en-US" w:eastAsia="zh-CN"/>
        </w:rPr>
        <w:t>6</w:t>
      </w:r>
      <w:r>
        <w:rPr>
          <w:rFonts w:hint="eastAsia"/>
        </w:rPr>
        <w:t xml:space="preserve"> </w:t>
      </w:r>
      <w:r>
        <w:rPr>
          <w:rFonts w:hint="eastAsia"/>
          <w:lang w:val="en-US" w:eastAsia="zh-CN"/>
        </w:rPr>
        <w:t>报告范围</w:t>
      </w:r>
    </w:p>
    <w:p w14:paraId="05E871EC">
      <w:pPr>
        <w:pStyle w:val="4"/>
        <w:rPr>
          <w:rFonts w:hint="default" w:ascii="Times New Roman" w:hAnsi="Times New Roman"/>
          <w:lang w:val="en-US" w:eastAsia="zh-CN"/>
        </w:rPr>
      </w:pPr>
      <w:r>
        <w:rPr>
          <w:rFonts w:hint="default" w:ascii="Times New Roman" w:hAnsi="Times New Roman"/>
          <w:lang w:eastAsia="zh-CN"/>
        </w:rPr>
        <w:t>2</w:t>
      </w:r>
      <w:r>
        <w:rPr>
          <w:rFonts w:hint="eastAsia" w:ascii="Times New Roman" w:hAnsi="Times New Roman"/>
          <w:lang w:val="en-US" w:eastAsia="zh-Hans"/>
        </w:rPr>
        <w:t>.</w:t>
      </w:r>
      <w:r>
        <w:rPr>
          <w:rFonts w:hint="eastAsia" w:ascii="Times New Roman" w:hAnsi="Times New Roman"/>
          <w:lang w:val="en-US" w:eastAsia="zh-CN"/>
        </w:rPr>
        <w:t>6.1</w:t>
      </w:r>
      <w:r>
        <w:rPr>
          <w:rFonts w:hint="default" w:ascii="Times New Roman" w:hAnsi="Times New Roman"/>
          <w:lang w:val="en-US" w:eastAsia="zh-CN"/>
        </w:rPr>
        <w:t xml:space="preserve"> </w:t>
      </w:r>
      <w:r>
        <w:rPr>
          <w:rFonts w:hint="eastAsia"/>
          <w:lang w:val="en-US" w:eastAsia="zh-CN"/>
        </w:rPr>
        <w:t>报告主体</w:t>
      </w:r>
    </w:p>
    <w:bookmarkEnd w:id="3"/>
    <w:p w14:paraId="5029A8BE">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上市企业应与年报披露主体一致，涵盖合并报表范围内的所有子公司及关联实体；非上市企业应明确主营业务覆盖的实体范围，宜在报告中列举实际运营点以及分布的地理位置</w:t>
      </w:r>
      <w:r>
        <w:rPr>
          <w:rFonts w:hint="default" w:eastAsia="宋体" w:cs="Times New Roman"/>
          <w:sz w:val="24"/>
          <w:szCs w:val="24"/>
          <w:lang w:eastAsia="zh-Hans"/>
        </w:rPr>
        <w:t>。</w:t>
      </w:r>
    </w:p>
    <w:p w14:paraId="320B88A4">
      <w:pPr>
        <w:pStyle w:val="4"/>
        <w:rPr>
          <w:rFonts w:hint="default" w:ascii="Times New Roman" w:hAnsi="Times New Roman"/>
          <w:lang w:val="en-US" w:eastAsia="zh-CN"/>
        </w:rPr>
      </w:pPr>
      <w:r>
        <w:rPr>
          <w:rFonts w:hint="default" w:ascii="Times New Roman" w:hAnsi="Times New Roman"/>
          <w:lang w:eastAsia="zh-CN"/>
        </w:rPr>
        <w:t>2</w:t>
      </w:r>
      <w:r>
        <w:rPr>
          <w:rFonts w:hint="eastAsia" w:ascii="Times New Roman" w:hAnsi="Times New Roman"/>
          <w:lang w:val="en-US" w:eastAsia="zh-Hans"/>
        </w:rPr>
        <w:t>.</w:t>
      </w:r>
      <w:r>
        <w:rPr>
          <w:rFonts w:hint="eastAsia" w:ascii="Times New Roman" w:hAnsi="Times New Roman"/>
          <w:lang w:val="en-US" w:eastAsia="zh-CN"/>
        </w:rPr>
        <w:t>6.2</w:t>
      </w:r>
      <w:r>
        <w:rPr>
          <w:rFonts w:hint="default" w:ascii="Times New Roman" w:hAnsi="Times New Roman"/>
          <w:lang w:val="en-US" w:eastAsia="zh-CN"/>
        </w:rPr>
        <w:t xml:space="preserve"> </w:t>
      </w:r>
      <w:r>
        <w:rPr>
          <w:rFonts w:hint="eastAsia"/>
          <w:lang w:val="en-US" w:eastAsia="zh-CN"/>
        </w:rPr>
        <w:t>报告期间</w:t>
      </w:r>
    </w:p>
    <w:p w14:paraId="7C77075A">
      <w:pPr>
        <w:ind w:firstLine="420" w:firstLineChars="0"/>
        <w:rPr>
          <w:rFonts w:hint="default"/>
          <w:highlight w:val="none"/>
          <w:lang w:val="en-US" w:eastAsia="zh-CN"/>
        </w:rPr>
      </w:pPr>
      <w:r>
        <w:rPr>
          <w:rFonts w:hint="eastAsia"/>
          <w:sz w:val="24"/>
          <w:szCs w:val="24"/>
          <w:lang w:val="en-US" w:eastAsia="zh-CN"/>
        </w:rPr>
        <w:t>标准周期与会计年度一致（1月1日-12月31日）</w:t>
      </w:r>
      <w:r>
        <w:rPr>
          <w:rFonts w:hint="eastAsia"/>
          <w:highlight w:val="none"/>
          <w:lang w:val="en-US" w:eastAsia="zh-CN"/>
        </w:rPr>
        <w:t>。若企业采用非自然年度，需在报告中说明原因，并调整可比数据的时间范围。</w:t>
      </w:r>
    </w:p>
    <w:p w14:paraId="6D52FE88">
      <w:pPr>
        <w:pStyle w:val="4"/>
        <w:rPr>
          <w:rFonts w:hint="default" w:ascii="Times New Roman" w:hAnsi="Times New Roman"/>
          <w:lang w:val="en-US" w:eastAsia="zh-CN"/>
        </w:rPr>
      </w:pPr>
      <w:bookmarkStart w:id="4" w:name="_Hlk48570118"/>
      <w:r>
        <w:rPr>
          <w:rFonts w:hint="eastAsia" w:ascii="Times New Roman" w:hAnsi="Times New Roman"/>
          <w:lang w:eastAsia="zh-CN"/>
        </w:rPr>
        <w:t>2.</w:t>
      </w:r>
      <w:r>
        <w:rPr>
          <w:rFonts w:hint="eastAsia"/>
          <w:lang w:val="en-US" w:eastAsia="zh-CN"/>
        </w:rPr>
        <w:t>6.3</w:t>
      </w:r>
      <w:r>
        <w:rPr>
          <w:rFonts w:hint="eastAsia" w:ascii="Times New Roman" w:hAnsi="Times New Roman"/>
          <w:lang w:eastAsia="zh-CN"/>
        </w:rPr>
        <w:t xml:space="preserve"> </w:t>
      </w:r>
      <w:bookmarkEnd w:id="4"/>
      <w:r>
        <w:rPr>
          <w:rFonts w:hint="eastAsia" w:ascii="Times New Roman" w:hAnsi="Times New Roman"/>
          <w:lang w:val="en-US" w:eastAsia="zh-CN"/>
        </w:rPr>
        <w:t>披露范围</w:t>
      </w:r>
    </w:p>
    <w:p w14:paraId="29EDE1AB">
      <w:pPr>
        <w:spacing w:line="360" w:lineRule="auto"/>
        <w:ind w:firstLine="480"/>
        <w:rPr>
          <w:rFonts w:hint="eastAsia" w:cs="Times New Roman"/>
          <w:sz w:val="24"/>
          <w:szCs w:val="24"/>
          <w:lang w:val="en-US" w:eastAsia="zh-CN"/>
        </w:rPr>
      </w:pPr>
      <w:r>
        <w:rPr>
          <w:rFonts w:hint="eastAsia" w:cs="Times New Roman"/>
          <w:sz w:val="24"/>
          <w:szCs w:val="24"/>
          <w:lang w:val="en-US" w:eastAsia="zh-CN"/>
        </w:rPr>
        <w:t>通过“自身发展影响重要性”和“利益相关方影响重要性”的双重重要性评估将议题分为三类：</w:t>
      </w:r>
    </w:p>
    <w:p w14:paraId="4834C73D">
      <w:pPr>
        <w:numPr>
          <w:ilvl w:val="0"/>
          <w:numId w:val="3"/>
        </w:numPr>
        <w:spacing w:line="360" w:lineRule="auto"/>
        <w:ind w:firstLine="480"/>
        <w:rPr>
          <w:rFonts w:hint="eastAsia" w:cs="Times New Roman"/>
          <w:sz w:val="24"/>
          <w:szCs w:val="24"/>
          <w:lang w:val="en-US" w:eastAsia="zh-CN"/>
        </w:rPr>
      </w:pPr>
      <w:r>
        <w:rPr>
          <w:rFonts w:hint="eastAsia" w:cs="Times New Roman"/>
          <w:sz w:val="24"/>
          <w:szCs w:val="24"/>
          <w:lang w:val="en-US" w:eastAsia="zh-CN"/>
        </w:rPr>
        <w:t>强制披露：符合T/CBMF 268.1《建筑材料行业企业环境、社会和公司治理（ESG）指南 第1部分：信息披露》（以下简称《信息披露》）13项议题且对自身发展或利益相关方具有影响重要性的议题；</w:t>
      </w:r>
    </w:p>
    <w:p w14:paraId="107135E9">
      <w:pPr>
        <w:numPr>
          <w:ilvl w:val="0"/>
          <w:numId w:val="3"/>
        </w:numPr>
        <w:spacing w:line="360" w:lineRule="auto"/>
        <w:ind w:firstLine="480"/>
        <w:rPr>
          <w:rFonts w:hint="default" w:cs="Times New Roman"/>
          <w:sz w:val="24"/>
          <w:szCs w:val="24"/>
          <w:lang w:val="en-US" w:eastAsia="zh-CN"/>
        </w:rPr>
      </w:pPr>
      <w:r>
        <w:rPr>
          <w:rFonts w:hint="eastAsia" w:cs="Times New Roman"/>
          <w:sz w:val="24"/>
          <w:szCs w:val="24"/>
          <w:lang w:val="en-US" w:eastAsia="zh-CN"/>
        </w:rPr>
        <w:t>选择性披露：企业自主识别且对自身发展或利益相关方具有影响重要性的议题，需说明判定依据；</w:t>
      </w:r>
    </w:p>
    <w:p w14:paraId="0D070DB2">
      <w:pPr>
        <w:numPr>
          <w:ilvl w:val="0"/>
          <w:numId w:val="3"/>
        </w:numPr>
        <w:spacing w:line="360" w:lineRule="auto"/>
        <w:ind w:firstLine="480"/>
        <w:rPr>
          <w:rFonts w:hint="default" w:cs="Times New Roman"/>
          <w:sz w:val="24"/>
          <w:szCs w:val="24"/>
          <w:lang w:val="en-US" w:eastAsia="zh-CN"/>
        </w:rPr>
      </w:pPr>
      <w:r>
        <w:rPr>
          <w:rFonts w:hint="eastAsia" w:cs="Times New Roman"/>
          <w:sz w:val="24"/>
          <w:szCs w:val="24"/>
          <w:lang w:val="en-US" w:eastAsia="zh-CN"/>
        </w:rPr>
        <w:t>豁免披露：涉及国家秘密或商业秘密的议题，需注明原因，调整披露内容或者采取替代措施（汇总概括、代码化）。</w:t>
      </w:r>
    </w:p>
    <w:p w14:paraId="3AAD67D0">
      <w:pPr>
        <w:numPr>
          <w:ilvl w:val="0"/>
          <w:numId w:val="0"/>
        </w:numPr>
        <w:spacing w:line="360" w:lineRule="auto"/>
        <w:ind w:firstLine="420" w:firstLineChars="0"/>
        <w:rPr>
          <w:rFonts w:hint="default" w:cs="Times New Roman"/>
          <w:sz w:val="24"/>
          <w:szCs w:val="24"/>
          <w:lang w:val="en-US" w:eastAsia="zh-CN"/>
        </w:rPr>
      </w:pPr>
      <w:r>
        <w:rPr>
          <w:rFonts w:hint="eastAsia" w:cs="Times New Roman"/>
          <w:sz w:val="24"/>
          <w:szCs w:val="24"/>
          <w:lang w:val="en-US" w:eastAsia="zh-CN"/>
        </w:rPr>
        <w:t>企业在开展具体披露时，若识别到某个议题对自身发展影响具有重要性时，通过识别敞口-设定目标-构建指标-制定举措，即四阶法进行披露，可很好地管理该议题可能的风险和机遇。若某议题仅涉及到影响利益相关方，则可采用《信息披露》具体议题的规定，采取“战略-目标-指标-举措”四要素内容。</w:t>
      </w:r>
    </w:p>
    <w:p w14:paraId="7F7C4D69">
      <w:pPr>
        <w:pStyle w:val="3"/>
        <w:spacing w:line="360" w:lineRule="auto"/>
        <w:rPr>
          <w:rFonts w:hint="eastAsia"/>
          <w:lang w:val="en-US" w:eastAsia="zh-CN"/>
        </w:rPr>
      </w:pPr>
      <w:r>
        <w:rPr>
          <w:rFonts w:hint="eastAsia"/>
        </w:rPr>
        <w:t>2.</w:t>
      </w:r>
      <w:r>
        <w:rPr>
          <w:rFonts w:hint="eastAsia"/>
          <w:lang w:val="en-US" w:eastAsia="zh-CN"/>
        </w:rPr>
        <w:t>7</w:t>
      </w:r>
      <w:r>
        <w:rPr>
          <w:rFonts w:hint="eastAsia"/>
        </w:rPr>
        <w:t xml:space="preserve"> </w:t>
      </w:r>
      <w:r>
        <w:rPr>
          <w:rFonts w:hint="eastAsia"/>
          <w:lang w:val="en-US" w:eastAsia="zh-CN"/>
        </w:rPr>
        <w:t>报告要求</w:t>
      </w:r>
    </w:p>
    <w:p w14:paraId="38F926BD">
      <w:pPr>
        <w:pStyle w:val="4"/>
        <w:rPr>
          <w:rFonts w:hint="eastAsia"/>
          <w:lang w:val="en-US" w:eastAsia="zh-Hans"/>
        </w:rPr>
      </w:pPr>
      <w:r>
        <w:rPr>
          <w:rFonts w:hint="default"/>
          <w:lang w:eastAsia="zh-Hans"/>
        </w:rPr>
        <w:t>2</w:t>
      </w:r>
      <w:r>
        <w:rPr>
          <w:rFonts w:hint="eastAsia"/>
          <w:lang w:val="en-US" w:eastAsia="zh-Hans"/>
        </w:rPr>
        <w:t>.</w:t>
      </w:r>
      <w:r>
        <w:rPr>
          <w:rFonts w:hint="eastAsia"/>
          <w:lang w:val="en-US" w:eastAsia="zh-CN"/>
        </w:rPr>
        <w:t>7</w:t>
      </w:r>
      <w:r>
        <w:rPr>
          <w:rFonts w:hint="eastAsia"/>
          <w:lang w:val="en-US" w:eastAsia="zh-Hans"/>
        </w:rPr>
        <w:t>.</w:t>
      </w:r>
      <w:r>
        <w:rPr>
          <w:rFonts w:hint="default"/>
          <w:lang w:eastAsia="zh-Hans"/>
        </w:rPr>
        <w:t>1</w:t>
      </w:r>
      <w:r>
        <w:rPr>
          <w:rFonts w:hint="eastAsia"/>
          <w:lang w:val="en-US" w:eastAsia="zh-Hans"/>
        </w:rPr>
        <w:t xml:space="preserve"> 重要性议题识别与绩效分析</w:t>
      </w:r>
    </w:p>
    <w:p w14:paraId="245F84A0">
      <w:pPr>
        <w:ind w:firstLine="420" w:firstLineChars="0"/>
        <w:rPr>
          <w:rFonts w:hint="eastAsia" w:ascii="宋体" w:hAnsi="宋体" w:cs="宋体"/>
          <w:sz w:val="24"/>
          <w:szCs w:val="24"/>
          <w:lang w:val="en-US" w:eastAsia="zh-CN"/>
        </w:rPr>
      </w:pPr>
      <w:r>
        <w:rPr>
          <w:rFonts w:hint="eastAsia" w:ascii="宋体" w:hAnsi="宋体" w:cs="宋体"/>
          <w:sz w:val="24"/>
          <w:szCs w:val="24"/>
          <w:lang w:val="en-US" w:eastAsia="zh-CN"/>
        </w:rPr>
        <w:t>重要性议题识别与绩效分析旨在识别对企业运营及价值创造具有实质性影响，以及利益相关方重点关注的ESG议题，确保企业报告内容能够聚焦核心风险与机遇。基于《信息披露》中的13项基础议题，结合行业特点、企业自身发展阶段及利益相关方诉求开展重要性议题识别与绩效分析。企业可参照如下步骤开展识别及分析：</w:t>
      </w:r>
    </w:p>
    <w:p w14:paraId="72A6E7C8">
      <w:pPr>
        <w:numPr>
          <w:ilvl w:val="0"/>
          <w:numId w:val="4"/>
        </w:numPr>
        <w:ind w:firstLine="420" w:firstLineChars="0"/>
        <w:rPr>
          <w:rFonts w:hint="eastAsia" w:ascii="宋体" w:hAnsi="宋体" w:cs="宋体"/>
          <w:sz w:val="24"/>
          <w:szCs w:val="24"/>
          <w:lang w:val="en-US" w:eastAsia="zh-CN"/>
        </w:rPr>
      </w:pPr>
      <w:r>
        <w:rPr>
          <w:rFonts w:hint="eastAsia" w:ascii="宋体" w:hAnsi="宋体" w:cs="宋体"/>
          <w:sz w:val="24"/>
          <w:szCs w:val="24"/>
          <w:lang w:val="en-US" w:eastAsia="zh-CN"/>
        </w:rPr>
        <w:t>基础议题筛选：参考《信息披露》13项议题，初步筛选与企业相关性高的议题；</w:t>
      </w:r>
    </w:p>
    <w:p w14:paraId="02B35E2F">
      <w:pPr>
        <w:numPr>
          <w:ilvl w:val="0"/>
          <w:numId w:val="4"/>
        </w:numPr>
        <w:ind w:firstLine="420" w:firstLineChars="0"/>
        <w:rPr>
          <w:rFonts w:hint="default" w:ascii="宋体" w:hAnsi="宋体" w:cs="宋体"/>
          <w:sz w:val="24"/>
          <w:szCs w:val="24"/>
          <w:lang w:val="en-US" w:eastAsia="zh-CN"/>
        </w:rPr>
      </w:pPr>
      <w:r>
        <w:rPr>
          <w:rFonts w:hint="eastAsia" w:ascii="宋体" w:hAnsi="宋体" w:cs="宋体"/>
          <w:sz w:val="24"/>
          <w:szCs w:val="24"/>
          <w:lang w:val="en-US" w:eastAsia="zh-CN"/>
        </w:rPr>
        <w:t>利益相关方沟通：构建利益相关方参与机制，涵盖问卷调查、焦点小组、公开咨询、咨询委员会、研讨会、圆桌会议、伙伴关系与合作、一对一会议、公考报告和披露等多种形式，明确利益相关方关注的ESG议题；</w:t>
      </w:r>
    </w:p>
    <w:p w14:paraId="79D11416">
      <w:pPr>
        <w:numPr>
          <w:ilvl w:val="0"/>
          <w:numId w:val="4"/>
        </w:numPr>
        <w:ind w:firstLine="420" w:firstLineChars="0"/>
        <w:rPr>
          <w:rFonts w:hint="default" w:ascii="宋体" w:hAnsi="宋体" w:cs="宋体"/>
          <w:sz w:val="24"/>
          <w:szCs w:val="24"/>
          <w:lang w:val="en-US" w:eastAsia="zh-CN"/>
        </w:rPr>
      </w:pPr>
      <w:r>
        <w:rPr>
          <w:rFonts w:hint="eastAsia" w:ascii="宋体" w:hAnsi="宋体" w:cs="宋体"/>
          <w:sz w:val="24"/>
          <w:szCs w:val="24"/>
          <w:lang w:val="en-US" w:eastAsia="zh-CN"/>
        </w:rPr>
        <w:t>构建重要性举证：横轴可为议题对企业的影响程度，纵轴可为对利益相关方的影响程度，优先披露双高象限议题。</w:t>
      </w:r>
    </w:p>
    <w:p w14:paraId="07CBB384">
      <w:pPr>
        <w:numPr>
          <w:ilvl w:val="0"/>
          <w:numId w:val="0"/>
        </w:numPr>
        <w:ind w:firstLine="420" w:firstLineChars="0"/>
        <w:rPr>
          <w:rFonts w:hint="default" w:ascii="宋体" w:hAnsi="宋体" w:cs="宋体"/>
          <w:sz w:val="24"/>
          <w:szCs w:val="24"/>
          <w:lang w:val="en-US" w:eastAsia="zh-CN"/>
        </w:rPr>
      </w:pPr>
      <w:r>
        <w:rPr>
          <w:rFonts w:hint="eastAsia" w:ascii="宋体" w:hAnsi="宋体" w:cs="宋体"/>
          <w:sz w:val="24"/>
          <w:szCs w:val="24"/>
          <w:lang w:val="en-US" w:eastAsia="zh-CN"/>
        </w:rPr>
        <w:t>若涉及到行业特有议题，如单位产品碳排放强度，宜补充行业规范要求。</w:t>
      </w:r>
    </w:p>
    <w:p w14:paraId="30383FA0">
      <w:pPr>
        <w:ind w:firstLine="420" w:firstLineChars="0"/>
        <w:rPr>
          <w:rFonts w:hint="default" w:cs="Times New Roman"/>
          <w:sz w:val="24"/>
          <w:szCs w:val="24"/>
          <w:lang w:val="en-US" w:eastAsia="zh-CN"/>
        </w:rPr>
      </w:pPr>
      <w:r>
        <w:rPr>
          <w:rFonts w:hint="eastAsia" w:cs="Times New Roman"/>
          <w:sz w:val="24"/>
          <w:szCs w:val="24"/>
          <w:lang w:val="en-US" w:eastAsia="zh-CN"/>
        </w:rPr>
        <w:t>通过“敞口-管理”模式，系统分析企业应对ESG风险与机遇的能力，并展示管理成效。敞口维度从“业务韧性”和“公司韧性”进行评估，业务韧性涉及企业的业务构成、净利润率、科研投入指标，公司韧性涉及地理位置、股权结构、人员多样性指标。管理维度涉及“战略-目标-指标-举措”四层面，企业应判断ESG目标是否融入企业长期战略，量化目标是否明确，反映企业ESG现状的指标体系以及此昂管举措和行动方案。</w:t>
      </w:r>
    </w:p>
    <w:p w14:paraId="2450792E">
      <w:pPr>
        <w:pStyle w:val="4"/>
        <w:rPr>
          <w:rFonts w:hint="eastAsia"/>
          <w:lang w:val="en-US" w:eastAsia="zh-CN"/>
        </w:rPr>
      </w:pPr>
      <w:r>
        <w:rPr>
          <w:rFonts w:hint="default"/>
          <w:lang w:eastAsia="zh-Hans"/>
        </w:rPr>
        <w:t>2</w:t>
      </w:r>
      <w:r>
        <w:rPr>
          <w:rFonts w:hint="eastAsia"/>
          <w:lang w:val="en-US" w:eastAsia="zh-Hans"/>
        </w:rPr>
        <w:t>.</w:t>
      </w:r>
      <w:r>
        <w:rPr>
          <w:rFonts w:hint="eastAsia"/>
          <w:lang w:val="en-US" w:eastAsia="zh-CN"/>
        </w:rPr>
        <w:t>7.2</w:t>
      </w:r>
      <w:r>
        <w:rPr>
          <w:rFonts w:hint="eastAsia"/>
          <w:lang w:val="en-US" w:eastAsia="zh-Hans"/>
        </w:rPr>
        <w:t xml:space="preserve"> </w:t>
      </w:r>
      <w:r>
        <w:rPr>
          <w:rFonts w:hint="eastAsia"/>
          <w:lang w:val="en-US" w:eastAsia="zh-CN"/>
        </w:rPr>
        <w:t>治理</w:t>
      </w:r>
    </w:p>
    <w:p w14:paraId="2A4996FE">
      <w:pPr>
        <w:pStyle w:val="5"/>
        <w:rPr>
          <w:rFonts w:hint="eastAsia"/>
          <w:lang w:val="en-US" w:eastAsia="zh-CN"/>
        </w:rPr>
      </w:pPr>
      <w:r>
        <w:rPr>
          <w:rFonts w:hint="eastAsia"/>
          <w:lang w:val="en-US" w:eastAsia="zh-CN"/>
        </w:rPr>
        <w:t>2.7.2.1治理架构</w:t>
      </w:r>
    </w:p>
    <w:p w14:paraId="722B212D">
      <w:pPr>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建立科学、清晰的ESG治理架构，明确各层级职责,确保ESG战略有效落地</w:t>
      </w:r>
      <w:r>
        <w:rPr>
          <w:rFonts w:ascii="宋体" w:hAnsi="宋体" w:eastAsia="宋体" w:cs="宋体"/>
          <w:sz w:val="24"/>
          <w:szCs w:val="24"/>
        </w:rPr>
        <w:t>。</w:t>
      </w:r>
      <w:r>
        <w:rPr>
          <w:rFonts w:hint="eastAsia" w:ascii="宋体" w:hAnsi="宋体" w:cs="宋体"/>
          <w:sz w:val="24"/>
          <w:szCs w:val="24"/>
          <w:lang w:val="en-US" w:eastAsia="zh-CN"/>
        </w:rPr>
        <w:t>企业应遵循“决策-管理-执行”三级架构设计，兼顾灵活性与规范性，适配企业规模与业务特点，参考架构见图2。决策层一般由董事会或ESG专门委员会，负责审批ESG战略、目标及报告，监督重大风险与机遇。管理层主要包含高级管理人员及跨部门负责人，制定ESG工作计划、分配资源、推动目标实施。执行层由专职岗位或跨部门小组构成，一般负责数据收集、利益相关方沟通、具体举措执行及报告编制。在具体实操过程中，大型企业建立设立专职部门（如“可持续发展部”）及岗位，小型企业则可灵活处理，将ESG职责融入现有部门。企业应在报告中清晰说明各层级的核心职责。</w:t>
      </w:r>
    </w:p>
    <w:p w14:paraId="1935085A">
      <w:pPr>
        <w:ind w:firstLine="480" w:firstLineChars="200"/>
        <w:rPr>
          <w:rFonts w:hint="eastAsia" w:ascii="宋体" w:hAnsi="宋体" w:cs="宋体"/>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1554480</wp:posOffset>
                </wp:positionH>
                <wp:positionV relativeFrom="paragraph">
                  <wp:posOffset>187960</wp:posOffset>
                </wp:positionV>
                <wp:extent cx="2428240" cy="388620"/>
                <wp:effectExtent l="6350" t="6350" r="22860" b="24130"/>
                <wp:wrapNone/>
                <wp:docPr id="4" name="圆角矩形 4"/>
                <wp:cNvGraphicFramePr/>
                <a:graphic xmlns:a="http://schemas.openxmlformats.org/drawingml/2006/main">
                  <a:graphicData uri="http://schemas.microsoft.com/office/word/2010/wordprocessingShape">
                    <wps:wsp>
                      <wps:cNvSpPr/>
                      <wps:spPr>
                        <a:xfrm>
                          <a:off x="3308350" y="6504940"/>
                          <a:ext cx="2428240" cy="388620"/>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1DFA6E94">
                            <w:pPr>
                              <w:jc w:val="center"/>
                              <w:rPr>
                                <w:rFonts w:hint="default" w:eastAsia="宋体"/>
                                <w:lang w:val="en-US" w:eastAsia="zh-CN"/>
                              </w:rPr>
                            </w:pPr>
                            <w:r>
                              <w:rPr>
                                <w:rFonts w:hint="eastAsia"/>
                                <w:lang w:val="en-US" w:eastAsia="zh-CN"/>
                              </w:rPr>
                              <w:t>决策层：董事会/ESG委员会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2.4pt;margin-top:14.8pt;height:30.6pt;width:191.2pt;z-index:251659264;v-text-anchor:middle;mso-width-relative:page;mso-height-relative:page;" fillcolor="#4472C4 [3204]" filled="t" stroked="t" coordsize="21600,21600" arcsize="0.166666666666667" o:gfxdata="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sTidgAAAAJAQAADwAAAAAAAAABACAAAAAiAAAAZHJzL2Rv&#10;d25yZXYueG1sUEsBAhQAFAAAAAgAh07iQPp//UesAgAAOAUAAA4AAAAAAAAAAQAgAAAAJwEAAGRy&#10;cy9lMm9Eb2MueG1sUEsFBgAAAAAGAAYAWQEAAEUGAAAAAA==&#10;">
                <v:fill on="t" focussize="0,0"/>
                <v:stroke weight="1pt" color="#2F5597 [2404]" miterlimit="8" joinstyle="miter"/>
                <v:imagedata o:title=""/>
                <o:lock v:ext="edit" aspectratio="f"/>
                <v:textbox>
                  <w:txbxContent>
                    <w:p w14:paraId="1DFA6E94">
                      <w:pPr>
                        <w:jc w:val="center"/>
                        <w:rPr>
                          <w:rFonts w:hint="default" w:eastAsia="宋体"/>
                          <w:lang w:val="en-US" w:eastAsia="zh-CN"/>
                        </w:rPr>
                      </w:pPr>
                      <w:r>
                        <w:rPr>
                          <w:rFonts w:hint="eastAsia"/>
                          <w:lang w:val="en-US" w:eastAsia="zh-CN"/>
                        </w:rPr>
                        <w:t>决策层：董事会/ESG委员会</w:t>
                      </w:r>
                    </w:p>
                  </w:txbxContent>
                </v:textbox>
              </v:roundrect>
            </w:pict>
          </mc:Fallback>
        </mc:AlternateContent>
      </w:r>
    </w:p>
    <w:p w14:paraId="41723D46">
      <w:pPr>
        <w:ind w:firstLine="480" w:firstLineChars="200"/>
        <w:jc w:val="center"/>
        <w:rPr>
          <w:rFonts w:hint="eastAsia" w:ascii="宋体" w:hAnsi="宋体" w:cs="宋体"/>
          <w:sz w:val="24"/>
          <w:szCs w:val="24"/>
          <w:lang w:val="en-US" w:eastAsia="zh-CN"/>
        </w:rPr>
      </w:pPr>
      <w:r>
        <w:rPr>
          <w:rFonts w:hint="eastAsia" w:ascii="宋体" w:hAnsi="宋体" w:cs="宋体"/>
          <w:sz w:val="24"/>
          <w:szCs w:val="24"/>
          <w:lang w:val="en-US" w:eastAsia="zh-CN"/>
        </w:rPr>
        <w:t>[决策层：董事会/ESG委员会]</w:t>
      </w:r>
    </w:p>
    <w:p w14:paraId="1AE6FD90">
      <w:pPr>
        <w:ind w:firstLine="480" w:firstLineChars="200"/>
        <w:jc w:val="center"/>
        <w:rPr>
          <w:rFonts w:hint="eastAsia" w:ascii="宋体" w:hAnsi="宋体" w:cs="宋体"/>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1540510</wp:posOffset>
                </wp:positionH>
                <wp:positionV relativeFrom="paragraph">
                  <wp:posOffset>226060</wp:posOffset>
                </wp:positionV>
                <wp:extent cx="2428240" cy="388620"/>
                <wp:effectExtent l="6350" t="6350" r="22860" b="24130"/>
                <wp:wrapNone/>
                <wp:docPr id="5" name="圆角矩形 5"/>
                <wp:cNvGraphicFramePr/>
                <a:graphic xmlns:a="http://schemas.openxmlformats.org/drawingml/2006/main">
                  <a:graphicData uri="http://schemas.microsoft.com/office/word/2010/wordprocessingShape">
                    <wps:wsp>
                      <wps:cNvSpPr/>
                      <wps:spPr>
                        <a:xfrm>
                          <a:off x="0" y="0"/>
                          <a:ext cx="2428240" cy="388620"/>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6DF7A46D">
                            <w:pPr>
                              <w:jc w:val="center"/>
                              <w:rPr>
                                <w:rFonts w:hint="default" w:eastAsia="宋体"/>
                                <w:lang w:val="en-US" w:eastAsia="zh-CN"/>
                              </w:rPr>
                            </w:pPr>
                            <w:r>
                              <w:rPr>
                                <w:rFonts w:hint="eastAsia"/>
                                <w:lang w:val="en-US" w:eastAsia="zh-CN"/>
                              </w:rPr>
                              <w:t>管理层：ESG管理委员会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21.3pt;margin-top:17.8pt;height:30.6pt;width:191.2pt;z-index:251660288;v-text-anchor:middle;mso-width-relative:page;mso-height-relative:page;" fillcolor="#4472C4 [3204]" filled="t" stroked="t" coordsize="21600,21600" arcsize="0.166666666666667" o:gfxdata="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P4FaOXYAAAACQEAAA8AAAAAAAAAAQAgAAAAIgAAAGRycy9kb3ducmV2LnhtbFBLAQIU&#10;ABQAAAAIAIdO4kCvh/u4ngIAACwFAAAOAAAAAAAAAAEAIAAAACcBAABkcnMvZTJvRG9jLnhtbFBL&#10;BQYAAAAABgAGAFkBAAA3BgAAAAA=&#10;">
                <v:fill on="t" focussize="0,0"/>
                <v:stroke weight="1pt" color="#2F5597 [2404]" miterlimit="8" joinstyle="miter"/>
                <v:imagedata o:title=""/>
                <o:lock v:ext="edit" aspectratio="f"/>
                <v:textbox>
                  <w:txbxContent>
                    <w:p w14:paraId="6DF7A46D">
                      <w:pPr>
                        <w:jc w:val="center"/>
                        <w:rPr>
                          <w:rFonts w:hint="default" w:eastAsia="宋体"/>
                          <w:lang w:val="en-US" w:eastAsia="zh-CN"/>
                        </w:rPr>
                      </w:pPr>
                      <w:r>
                        <w:rPr>
                          <w:rFonts w:hint="eastAsia"/>
                          <w:lang w:val="en-US" w:eastAsia="zh-CN"/>
                        </w:rPr>
                        <w:t>管理层：ESG管理委员会</w:t>
                      </w:r>
                    </w:p>
                  </w:txbxContent>
                </v:textbox>
              </v:roundrect>
            </w:pict>
          </mc:Fallback>
        </mc:AlternateContent>
      </w:r>
      <w:r>
        <w:rPr>
          <w:rFonts w:hint="eastAsia" w:ascii="宋体" w:hAnsi="宋体" w:cs="宋体"/>
          <w:sz w:val="24"/>
          <w:szCs w:val="24"/>
          <w:lang w:val="en-US" w:eastAsia="zh-CN"/>
        </w:rPr>
        <w:t>↓ 审批战略、监督进展</w:t>
      </w:r>
    </w:p>
    <w:p w14:paraId="790C88DA">
      <w:pPr>
        <w:ind w:firstLine="480" w:firstLineChars="200"/>
        <w:jc w:val="center"/>
        <w:rPr>
          <w:rFonts w:hint="eastAsia" w:ascii="宋体" w:hAnsi="宋体" w:cs="宋体"/>
          <w:sz w:val="24"/>
          <w:szCs w:val="24"/>
          <w:lang w:val="en-US" w:eastAsia="zh-CN"/>
        </w:rPr>
      </w:pPr>
      <w:r>
        <w:rPr>
          <w:rFonts w:hint="eastAsia" w:ascii="宋体" w:hAnsi="宋体" w:cs="宋体"/>
          <w:sz w:val="24"/>
          <w:szCs w:val="24"/>
          <w:lang w:val="en-US" w:eastAsia="zh-CN"/>
        </w:rPr>
        <w:t>[管理层：ESG管理委员会]</w:t>
      </w:r>
    </w:p>
    <w:p w14:paraId="799A901D">
      <w:pPr>
        <w:ind w:firstLine="480" w:firstLineChars="200"/>
        <w:jc w:val="center"/>
        <w:rPr>
          <w:rFonts w:hint="eastAsia" w:ascii="宋体" w:hAnsi="宋体" w:cs="宋体"/>
          <w:sz w:val="24"/>
          <w:szCs w:val="24"/>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1510665</wp:posOffset>
                </wp:positionH>
                <wp:positionV relativeFrom="paragraph">
                  <wp:posOffset>276225</wp:posOffset>
                </wp:positionV>
                <wp:extent cx="2428240" cy="388620"/>
                <wp:effectExtent l="6350" t="6350" r="22860" b="24130"/>
                <wp:wrapNone/>
                <wp:docPr id="6" name="圆角矩形 6"/>
                <wp:cNvGraphicFramePr/>
                <a:graphic xmlns:a="http://schemas.openxmlformats.org/drawingml/2006/main">
                  <a:graphicData uri="http://schemas.microsoft.com/office/word/2010/wordprocessingShape">
                    <wps:wsp>
                      <wps:cNvSpPr/>
                      <wps:spPr>
                        <a:xfrm>
                          <a:off x="0" y="0"/>
                          <a:ext cx="2428240" cy="388620"/>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1B6D9E59">
                            <w:pPr>
                              <w:jc w:val="center"/>
                              <w:rPr>
                                <w:rFonts w:hint="default" w:eastAsia="宋体"/>
                                <w:lang w:val="en-US" w:eastAsia="zh-CN"/>
                              </w:rPr>
                            </w:pPr>
                            <w:r>
                              <w:rPr>
                                <w:rFonts w:hint="eastAsia"/>
                                <w:lang w:val="en-US" w:eastAsia="zh-CN"/>
                              </w:rPr>
                              <w:t>执行层：ESG执行小组/专职岗位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18.95pt;margin-top:21.75pt;height:30.6pt;width:191.2pt;z-index:251661312;v-text-anchor:middle;mso-width-relative:page;mso-height-relative:page;" fillcolor="#4472C4 [3204]" filled="t" stroked="t" coordsize="21600,21600" arcsize="0.166666666666667" o:gfxdata="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vSZnD9kAAAAKAQAADwAAAAAAAAABACAAAAAiAAAAZHJzL2Rvd25yZXYueG1sUEsB&#10;AhQAFAAAAAgAh07iQLNEAnKfAgAALAUAAA4AAAAAAAAAAQAgAAAAKAEAAGRycy9lMm9Eb2MueG1s&#10;UEsFBgAAAAAGAAYAWQEAADkGAAAAAA==&#10;">
                <v:fill on="t" focussize="0,0"/>
                <v:stroke weight="1pt" color="#2F5597 [2404]" miterlimit="8" joinstyle="miter"/>
                <v:imagedata o:title=""/>
                <o:lock v:ext="edit" aspectratio="f"/>
                <v:textbox>
                  <w:txbxContent>
                    <w:p w14:paraId="1B6D9E59">
                      <w:pPr>
                        <w:jc w:val="center"/>
                        <w:rPr>
                          <w:rFonts w:hint="default" w:eastAsia="宋体"/>
                          <w:lang w:val="en-US" w:eastAsia="zh-CN"/>
                        </w:rPr>
                      </w:pPr>
                      <w:r>
                        <w:rPr>
                          <w:rFonts w:hint="eastAsia"/>
                          <w:lang w:val="en-US" w:eastAsia="zh-CN"/>
                        </w:rPr>
                        <w:t>执行层：ESG执行小组/专职岗位</w:t>
                      </w:r>
                    </w:p>
                  </w:txbxContent>
                </v:textbox>
              </v:roundrect>
            </w:pict>
          </mc:Fallback>
        </mc:AlternateContent>
      </w:r>
      <w:r>
        <w:rPr>
          <w:rFonts w:hint="eastAsia" w:ascii="宋体" w:hAnsi="宋体" w:cs="宋体"/>
          <w:sz w:val="24"/>
          <w:szCs w:val="24"/>
          <w:lang w:val="en-US" w:eastAsia="zh-CN"/>
        </w:rPr>
        <w:t>↓ 制定计划、分配资源</w:t>
      </w:r>
    </w:p>
    <w:p w14:paraId="76ED6D56">
      <w:pPr>
        <w:ind w:firstLine="480" w:firstLineChars="200"/>
        <w:jc w:val="center"/>
        <w:rPr>
          <w:rFonts w:hint="eastAsia" w:ascii="宋体" w:hAnsi="宋体" w:cs="宋体"/>
          <w:sz w:val="24"/>
          <w:szCs w:val="24"/>
          <w:lang w:val="en-US" w:eastAsia="zh-CN"/>
        </w:rPr>
      </w:pPr>
      <w:r>
        <w:rPr>
          <w:rFonts w:hint="eastAsia" w:ascii="宋体" w:hAnsi="宋体" w:cs="宋体"/>
          <w:sz w:val="24"/>
          <w:szCs w:val="24"/>
          <w:lang w:val="en-US" w:eastAsia="zh-CN"/>
        </w:rPr>
        <w:t>[执行层：ESG执行小组/专职岗位]</w:t>
      </w:r>
    </w:p>
    <w:p w14:paraId="09781580">
      <w:pPr>
        <w:ind w:firstLine="480" w:firstLineChars="200"/>
        <w:jc w:val="center"/>
        <w:rPr>
          <w:rFonts w:hint="eastAsia" w:ascii="宋体" w:hAnsi="宋体" w:cs="宋体"/>
          <w:sz w:val="24"/>
          <w:szCs w:val="24"/>
          <w:lang w:val="en-US" w:eastAsia="zh-CN"/>
        </w:rPr>
      </w:pPr>
      <w:r>
        <w:rPr>
          <w:rFonts w:hint="eastAsia" w:ascii="宋体" w:hAnsi="宋体" w:cs="宋体"/>
          <w:sz w:val="24"/>
          <w:szCs w:val="24"/>
          <w:lang w:val="en-US" w:eastAsia="zh-CN"/>
        </w:rPr>
        <w:t xml:space="preserve"> 数据收集、举措执行、报告编制</w:t>
      </w:r>
    </w:p>
    <w:p w14:paraId="602C47C6">
      <w:pPr>
        <w:pStyle w:val="8"/>
        <w:spacing w:line="360" w:lineRule="auto"/>
        <w:ind w:firstLine="420" w:firstLineChars="200"/>
        <w:jc w:val="center"/>
        <w:rPr>
          <w:rFonts w:hint="default"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图2 参考治理架构</w:t>
      </w:r>
    </w:p>
    <w:p w14:paraId="312209FA">
      <w:pPr>
        <w:pStyle w:val="5"/>
        <w:rPr>
          <w:rFonts w:hint="eastAsia" w:ascii="宋体" w:hAnsi="宋体" w:cs="宋体"/>
          <w:sz w:val="24"/>
          <w:szCs w:val="24"/>
          <w:lang w:val="en-US" w:eastAsia="zh-CN"/>
        </w:rPr>
      </w:pPr>
      <w:r>
        <w:rPr>
          <w:rFonts w:hint="eastAsia"/>
          <w:lang w:val="en-US" w:eastAsia="zh-CN"/>
        </w:rPr>
        <w:t>2.7.2.2信息报告及监督机制</w:t>
      </w:r>
    </w:p>
    <w:p w14:paraId="4257A9EA">
      <w:pPr>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信息报告及监督机制旨在确保ESG信息传递高效透明，报告方式可选择“专项报告”“进展报表”“汇报会议”等多种形式。监督机制的设立是为了决策层能够通过董事会会议审查ESG相关目标进展，同时设立高管考核监督机制，将ESG目标纳入高管绩效考核项目中，从组织架构层面落实ESG事宜的主体责任。企业在描述信息报告及监督机制时，需明确报告形式与频次、决策层监督流程、目标监控与考核、管理措施有效性。需注意保持权责清晰、报告数据与财务报告、运营数据口径统一，并根据监督结果动态调整治理架构。</w:t>
      </w:r>
    </w:p>
    <w:p w14:paraId="0B71D088">
      <w:pPr>
        <w:pStyle w:val="4"/>
        <w:rPr>
          <w:rFonts w:hint="default" w:eastAsia="黑体"/>
          <w:lang w:val="en-US" w:eastAsia="zh-CN"/>
        </w:rPr>
      </w:pPr>
      <w:r>
        <w:rPr>
          <w:rFonts w:hint="default"/>
          <w:lang w:eastAsia="zh-Hans"/>
        </w:rPr>
        <w:t>2</w:t>
      </w:r>
      <w:r>
        <w:rPr>
          <w:rFonts w:hint="eastAsia"/>
          <w:lang w:val="en-US" w:eastAsia="zh-Hans"/>
        </w:rPr>
        <w:t>.</w:t>
      </w:r>
      <w:r>
        <w:rPr>
          <w:rFonts w:hint="eastAsia"/>
          <w:lang w:val="en-US" w:eastAsia="zh-CN"/>
        </w:rPr>
        <w:t>7.3</w:t>
      </w:r>
      <w:r>
        <w:rPr>
          <w:rFonts w:hint="eastAsia"/>
          <w:lang w:val="en-US" w:eastAsia="zh-Hans"/>
        </w:rPr>
        <w:t xml:space="preserve">  </w:t>
      </w:r>
      <w:r>
        <w:rPr>
          <w:rFonts w:hint="eastAsia"/>
          <w:lang w:val="en-US" w:eastAsia="zh-CN"/>
        </w:rPr>
        <w:t>战略管理</w:t>
      </w:r>
    </w:p>
    <w:p w14:paraId="54553EA4">
      <w:pPr>
        <w:pStyle w:val="5"/>
        <w:rPr>
          <w:rFonts w:hint="default"/>
          <w:lang w:val="en-US" w:eastAsia="zh-CN"/>
        </w:rPr>
      </w:pPr>
      <w:r>
        <w:rPr>
          <w:rFonts w:hint="eastAsia"/>
          <w:lang w:val="en-US" w:eastAsia="zh-CN"/>
        </w:rPr>
        <w:t>2.7.3.1识别ESG风险和机遇</w:t>
      </w:r>
    </w:p>
    <w:p w14:paraId="2FB6E18C">
      <w:pPr>
        <w:numPr>
          <w:ilvl w:val="0"/>
          <w:numId w:val="0"/>
        </w:numPr>
        <w:ind w:firstLine="480"/>
        <w:rPr>
          <w:rFonts w:hint="eastAsia" w:ascii="宋体" w:hAnsi="宋体" w:cs="宋体"/>
          <w:sz w:val="24"/>
          <w:szCs w:val="24"/>
          <w:lang w:val="en-US" w:eastAsia="zh-CN"/>
        </w:rPr>
      </w:pPr>
      <w:r>
        <w:rPr>
          <w:rFonts w:hint="eastAsia" w:ascii="宋体" w:hAnsi="宋体" w:cs="宋体"/>
          <w:sz w:val="24"/>
          <w:szCs w:val="24"/>
          <w:lang w:val="en-US" w:eastAsia="zh-CN"/>
        </w:rPr>
        <w:t>系统识别企业业务模式和价值链中的ESG风险和机遇，明确其影响范围和时间跨度。0-2年为短期，主要风险和机遇包括法规变化以及运营成本波动；2-10年为中期，企业可能面临适应技术升级、行业标准迭代等风险和机遇；长期风险机遇时间跨度超过10年，包括应对气候变化、商业模式重构等风险和机遇。</w:t>
      </w:r>
    </w:p>
    <w:p w14:paraId="734A1153">
      <w:pPr>
        <w:numPr>
          <w:ilvl w:val="0"/>
          <w:numId w:val="0"/>
        </w:numPr>
        <w:ind w:firstLine="480"/>
        <w:rPr>
          <w:rFonts w:hint="default" w:ascii="宋体" w:hAnsi="宋体" w:cs="宋体"/>
          <w:sz w:val="24"/>
          <w:szCs w:val="24"/>
          <w:lang w:val="en-US" w:eastAsia="zh-CN"/>
        </w:rPr>
      </w:pPr>
      <w:r>
        <w:rPr>
          <w:rFonts w:hint="eastAsia" w:ascii="宋体" w:hAnsi="宋体" w:cs="宋体"/>
          <w:sz w:val="24"/>
          <w:szCs w:val="24"/>
          <w:lang w:val="en-US" w:eastAsia="zh-CN"/>
        </w:rPr>
        <w:t>企业可采用图3所示操作步骤与工具，开展风险与机遇识别。</w:t>
      </w:r>
    </w:p>
    <w:p w14:paraId="5DB7250A">
      <w:pPr>
        <w:numPr>
          <w:ilvl w:val="0"/>
          <w:numId w:val="0"/>
        </w:numPr>
        <w:ind w:firstLine="480"/>
      </w:pPr>
      <w:r>
        <w:drawing>
          <wp:inline distT="0" distB="0" distL="114300" distR="114300">
            <wp:extent cx="5266690" cy="3258185"/>
            <wp:effectExtent l="0" t="0" r="10160" b="1841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9"/>
                    <a:stretch>
                      <a:fillRect/>
                    </a:stretch>
                  </pic:blipFill>
                  <pic:spPr>
                    <a:xfrm>
                      <a:off x="0" y="0"/>
                      <a:ext cx="5266690" cy="3258185"/>
                    </a:xfrm>
                    <a:prstGeom prst="rect">
                      <a:avLst/>
                    </a:prstGeom>
                    <a:noFill/>
                    <a:ln>
                      <a:noFill/>
                    </a:ln>
                  </pic:spPr>
                </pic:pic>
              </a:graphicData>
            </a:graphic>
          </wp:inline>
        </w:drawing>
      </w:r>
    </w:p>
    <w:p w14:paraId="17F785B4">
      <w:pPr>
        <w:pStyle w:val="8"/>
        <w:spacing w:line="360" w:lineRule="auto"/>
        <w:ind w:firstLine="420" w:firstLineChars="200"/>
        <w:jc w:val="center"/>
        <w:rPr>
          <w:rFonts w:hint="eastAsia"/>
          <w:lang w:val="en-US" w:eastAsia="zh-CN"/>
        </w:rPr>
      </w:pPr>
      <w:r>
        <w:rPr>
          <w:rFonts w:hint="eastAsia" w:ascii="黑体" w:hAnsi="黑体" w:eastAsia="黑体" w:cs="黑体"/>
          <w:b w:val="0"/>
          <w:bCs w:val="0"/>
          <w:color w:val="auto"/>
          <w:sz w:val="21"/>
          <w:szCs w:val="21"/>
          <w:lang w:val="en-US" w:eastAsia="zh-CN"/>
        </w:rPr>
        <w:t>图3 风险与机遇识别步骤</w:t>
      </w:r>
    </w:p>
    <w:p w14:paraId="69F8CCEC">
      <w:pPr>
        <w:pStyle w:val="5"/>
        <w:rPr>
          <w:rFonts w:hint="eastAsia"/>
          <w:lang w:val="en-US" w:eastAsia="zh-CN"/>
        </w:rPr>
      </w:pPr>
      <w:r>
        <w:rPr>
          <w:rFonts w:hint="eastAsia"/>
          <w:lang w:val="en-US" w:eastAsia="zh-CN"/>
        </w:rPr>
        <w:t>2.7.3.2应对可持续发展风险和机遇的流程与措施</w:t>
      </w:r>
    </w:p>
    <w:p w14:paraId="0DB58A98">
      <w:pPr>
        <w:ind w:firstLine="420" w:firstLineChars="0"/>
        <w:rPr>
          <w:rFonts w:hint="eastAsia"/>
          <w:lang w:val="en-US" w:eastAsia="zh-CN"/>
        </w:rPr>
      </w:pPr>
      <w:r>
        <w:rPr>
          <w:rFonts w:hint="eastAsia"/>
          <w:lang w:val="en-US" w:eastAsia="zh-CN"/>
        </w:rPr>
        <w:t>将ESG因素嵌入战略决策，制定可落地的应对计划，企业可采用图4所示框架开展具体行动。</w:t>
      </w:r>
    </w:p>
    <w:p w14:paraId="5A15A754">
      <w:pPr>
        <w:ind w:firstLine="420" w:firstLineChars="0"/>
        <w:rPr>
          <w:rFonts w:hint="eastAsia"/>
          <w:lang w:val="en-US" w:eastAsia="zh-CN"/>
        </w:rPr>
      </w:pPr>
    </w:p>
    <w:p w14:paraId="0E4B9B94">
      <w:pPr>
        <w:ind w:firstLine="420" w:firstLineChars="0"/>
      </w:pPr>
      <w:r>
        <w:drawing>
          <wp:inline distT="0" distB="0" distL="114300" distR="114300">
            <wp:extent cx="5264785" cy="586740"/>
            <wp:effectExtent l="0" t="0" r="12065" b="381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5264785" cy="586740"/>
                    </a:xfrm>
                    <a:prstGeom prst="rect">
                      <a:avLst/>
                    </a:prstGeom>
                    <a:noFill/>
                    <a:ln>
                      <a:noFill/>
                    </a:ln>
                  </pic:spPr>
                </pic:pic>
              </a:graphicData>
            </a:graphic>
          </wp:inline>
        </w:drawing>
      </w:r>
    </w:p>
    <w:p w14:paraId="091F2CE7">
      <w:pPr>
        <w:ind w:firstLine="420" w:firstLineChars="0"/>
        <w:jc w:val="center"/>
        <w:rPr>
          <w:rFonts w:hint="default"/>
          <w:lang w:val="en-US" w:eastAsia="zh-CN"/>
        </w:rPr>
      </w:pPr>
      <w:r>
        <w:rPr>
          <w:rFonts w:hint="eastAsia" w:ascii="黑体" w:hAnsi="黑体" w:eastAsia="黑体" w:cs="黑体"/>
          <w:b w:val="0"/>
          <w:bCs w:val="0"/>
          <w:color w:val="auto"/>
          <w:sz w:val="21"/>
          <w:szCs w:val="21"/>
          <w:lang w:val="en-US" w:eastAsia="zh-CN"/>
        </w:rPr>
        <w:t>图4 应对可持续发展风险和机遇框架</w:t>
      </w:r>
    </w:p>
    <w:p w14:paraId="216B00EC">
      <w:pPr>
        <w:ind w:firstLine="420" w:firstLineChars="0"/>
        <w:rPr>
          <w:rFonts w:hint="default"/>
          <w:lang w:val="en-US" w:eastAsia="zh-CN"/>
        </w:rPr>
      </w:pPr>
      <w:r>
        <w:rPr>
          <w:rFonts w:hint="eastAsia"/>
          <w:lang w:val="en-US" w:eastAsia="zh-CN"/>
        </w:rPr>
        <w:t>风险识别：基于2.7.3.1的ESG风险与机遇清单，列举风险优先级矩阵，可按出现概率与造成影响进行排序，表2给出某建筑部品制品企业的风险与机遇清单示例。在识别风险时，需说明数据来源，并列出优先级判断依据。</w:t>
      </w:r>
    </w:p>
    <w:p w14:paraId="19132217">
      <w:pPr>
        <w:ind w:firstLine="420" w:firstLineChars="0"/>
        <w:jc w:val="center"/>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表2 风险与机遇清单示例表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058"/>
        <w:gridCol w:w="1349"/>
        <w:gridCol w:w="1704"/>
        <w:gridCol w:w="1704"/>
      </w:tblGrid>
      <w:tr w14:paraId="1BB1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23E9BEF7">
            <w:pPr>
              <w:jc w:val="center"/>
              <w:rPr>
                <w:rFonts w:hint="default"/>
                <w:b/>
                <w:bCs/>
                <w:vertAlign w:val="baseline"/>
                <w:lang w:val="en-US" w:eastAsia="zh-CN"/>
              </w:rPr>
            </w:pPr>
            <w:r>
              <w:rPr>
                <w:rFonts w:hint="eastAsia"/>
                <w:b/>
                <w:bCs/>
                <w:vertAlign w:val="baseline"/>
                <w:lang w:val="en-US" w:eastAsia="zh-CN"/>
              </w:rPr>
              <w:t>类型</w:t>
            </w:r>
          </w:p>
        </w:tc>
        <w:tc>
          <w:tcPr>
            <w:tcW w:w="2058" w:type="dxa"/>
          </w:tcPr>
          <w:p w14:paraId="1E9F7C35">
            <w:pPr>
              <w:jc w:val="center"/>
              <w:rPr>
                <w:rFonts w:hint="default"/>
                <w:b/>
                <w:bCs/>
                <w:vertAlign w:val="baseline"/>
                <w:lang w:val="en-US" w:eastAsia="zh-CN"/>
              </w:rPr>
            </w:pPr>
            <w:r>
              <w:rPr>
                <w:rFonts w:hint="eastAsia"/>
                <w:b/>
                <w:bCs/>
                <w:vertAlign w:val="baseline"/>
                <w:lang w:val="en-US" w:eastAsia="zh-CN"/>
              </w:rPr>
              <w:t>风险/机遇</w:t>
            </w:r>
          </w:p>
        </w:tc>
        <w:tc>
          <w:tcPr>
            <w:tcW w:w="1349" w:type="dxa"/>
          </w:tcPr>
          <w:p w14:paraId="489E9332">
            <w:pPr>
              <w:jc w:val="center"/>
              <w:rPr>
                <w:rFonts w:hint="default"/>
                <w:b/>
                <w:bCs/>
                <w:vertAlign w:val="baseline"/>
                <w:lang w:val="en-US" w:eastAsia="zh-CN"/>
              </w:rPr>
            </w:pPr>
            <w:r>
              <w:rPr>
                <w:rFonts w:hint="eastAsia"/>
                <w:b/>
                <w:bCs/>
                <w:vertAlign w:val="baseline"/>
                <w:lang w:val="en-US" w:eastAsia="zh-CN"/>
              </w:rPr>
              <w:t>造成影响</w:t>
            </w:r>
          </w:p>
        </w:tc>
        <w:tc>
          <w:tcPr>
            <w:tcW w:w="1704" w:type="dxa"/>
          </w:tcPr>
          <w:p w14:paraId="42C508C4">
            <w:pPr>
              <w:jc w:val="center"/>
              <w:rPr>
                <w:rFonts w:hint="default"/>
                <w:b/>
                <w:bCs/>
                <w:vertAlign w:val="baseline"/>
                <w:lang w:val="en-US" w:eastAsia="zh-CN"/>
              </w:rPr>
            </w:pPr>
            <w:r>
              <w:rPr>
                <w:rFonts w:hint="eastAsia"/>
                <w:b/>
                <w:bCs/>
                <w:vertAlign w:val="baseline"/>
                <w:lang w:val="en-US" w:eastAsia="zh-CN"/>
              </w:rPr>
              <w:t>出现概率</w:t>
            </w:r>
          </w:p>
        </w:tc>
        <w:tc>
          <w:tcPr>
            <w:tcW w:w="1704" w:type="dxa"/>
          </w:tcPr>
          <w:p w14:paraId="2079B555">
            <w:pPr>
              <w:jc w:val="center"/>
              <w:rPr>
                <w:rFonts w:hint="default"/>
                <w:b/>
                <w:bCs/>
                <w:vertAlign w:val="baseline"/>
                <w:lang w:val="en-US" w:eastAsia="zh-CN"/>
              </w:rPr>
            </w:pPr>
            <w:r>
              <w:rPr>
                <w:rFonts w:hint="eastAsia"/>
                <w:b/>
                <w:bCs/>
                <w:vertAlign w:val="baseline"/>
                <w:lang w:val="en-US" w:eastAsia="zh-CN"/>
              </w:rPr>
              <w:t>时间范围</w:t>
            </w:r>
          </w:p>
        </w:tc>
      </w:tr>
      <w:tr w14:paraId="02C1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2A10BFD5">
            <w:pPr>
              <w:rPr>
                <w:rFonts w:hint="default"/>
                <w:vertAlign w:val="baseline"/>
                <w:lang w:val="en-US" w:eastAsia="zh-CN"/>
              </w:rPr>
            </w:pPr>
            <w:r>
              <w:rPr>
                <w:rFonts w:hint="eastAsia"/>
                <w:vertAlign w:val="baseline"/>
                <w:lang w:val="en-US" w:eastAsia="zh-CN"/>
              </w:rPr>
              <w:t>高优先级风险</w:t>
            </w:r>
          </w:p>
        </w:tc>
        <w:tc>
          <w:tcPr>
            <w:tcW w:w="2058" w:type="dxa"/>
          </w:tcPr>
          <w:p w14:paraId="0F506052">
            <w:pPr>
              <w:rPr>
                <w:rFonts w:hint="default"/>
                <w:vertAlign w:val="baseline"/>
                <w:lang w:val="en-US" w:eastAsia="zh-CN"/>
              </w:rPr>
            </w:pPr>
            <w:r>
              <w:rPr>
                <w:rFonts w:ascii="Segoe UI" w:hAnsi="Segoe UI" w:eastAsia="Segoe UI" w:cs="Segoe UI"/>
                <w:i w:val="0"/>
                <w:iCs w:val="0"/>
                <w:caps w:val="0"/>
                <w:color w:val="404040"/>
                <w:spacing w:val="0"/>
                <w:sz w:val="24"/>
                <w:szCs w:val="24"/>
                <w:shd w:val="clear" w:fill="FFFFFF"/>
              </w:rPr>
              <w:t>碳排放合规风险</w:t>
            </w:r>
          </w:p>
        </w:tc>
        <w:tc>
          <w:tcPr>
            <w:tcW w:w="1349" w:type="dxa"/>
          </w:tcPr>
          <w:p w14:paraId="12801C2E">
            <w:pPr>
              <w:jc w:val="center"/>
              <w:rPr>
                <w:rFonts w:hint="default"/>
                <w:vertAlign w:val="baseline"/>
                <w:lang w:val="en-US" w:eastAsia="zh-CN"/>
              </w:rPr>
            </w:pPr>
            <w:r>
              <w:rPr>
                <w:rFonts w:hint="eastAsia"/>
                <w:vertAlign w:val="baseline"/>
                <w:lang w:val="en-US" w:eastAsia="zh-CN"/>
              </w:rPr>
              <w:t>高</w:t>
            </w:r>
          </w:p>
        </w:tc>
        <w:tc>
          <w:tcPr>
            <w:tcW w:w="1704" w:type="dxa"/>
          </w:tcPr>
          <w:p w14:paraId="3B6E75E9">
            <w:pPr>
              <w:jc w:val="center"/>
              <w:rPr>
                <w:rFonts w:hint="default"/>
                <w:vertAlign w:val="baseline"/>
                <w:lang w:val="en-US" w:eastAsia="zh-CN"/>
              </w:rPr>
            </w:pPr>
            <w:r>
              <w:rPr>
                <w:rFonts w:hint="eastAsia"/>
                <w:vertAlign w:val="baseline"/>
                <w:lang w:val="en-US" w:eastAsia="zh-CN"/>
              </w:rPr>
              <w:t>大</w:t>
            </w:r>
          </w:p>
        </w:tc>
        <w:tc>
          <w:tcPr>
            <w:tcW w:w="1704" w:type="dxa"/>
          </w:tcPr>
          <w:p w14:paraId="54F37A89">
            <w:pPr>
              <w:jc w:val="center"/>
              <w:rPr>
                <w:rFonts w:hint="default"/>
                <w:vertAlign w:val="baseline"/>
                <w:lang w:val="en-US" w:eastAsia="zh-CN"/>
              </w:rPr>
            </w:pPr>
            <w:r>
              <w:rPr>
                <w:rFonts w:hint="eastAsia"/>
                <w:vertAlign w:val="baseline"/>
                <w:lang w:val="en-US" w:eastAsia="zh-CN"/>
              </w:rPr>
              <w:t>短期</w:t>
            </w:r>
          </w:p>
        </w:tc>
      </w:tr>
      <w:tr w14:paraId="7190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57C5F0E6">
            <w:pPr>
              <w:rPr>
                <w:rFonts w:hint="default"/>
                <w:vertAlign w:val="baseline"/>
                <w:lang w:val="en-US" w:eastAsia="zh-CN"/>
              </w:rPr>
            </w:pPr>
            <w:r>
              <w:rPr>
                <w:rFonts w:hint="eastAsia"/>
                <w:vertAlign w:val="baseline"/>
                <w:lang w:val="en-US" w:eastAsia="zh-CN"/>
              </w:rPr>
              <w:t>高优先级机遇</w:t>
            </w:r>
          </w:p>
        </w:tc>
        <w:tc>
          <w:tcPr>
            <w:tcW w:w="2058" w:type="dxa"/>
          </w:tcPr>
          <w:p w14:paraId="7DD40E7A">
            <w:pPr>
              <w:rPr>
                <w:rFonts w:hint="default"/>
                <w:vertAlign w:val="baseline"/>
                <w:lang w:val="en-US" w:eastAsia="zh-CN"/>
              </w:rPr>
            </w:pPr>
            <w:r>
              <w:rPr>
                <w:rFonts w:hint="default"/>
                <w:vertAlign w:val="baseline"/>
                <w:lang w:val="en-US" w:eastAsia="zh-CN"/>
              </w:rPr>
              <w:t>绿色建材市场需求增长</w:t>
            </w:r>
          </w:p>
        </w:tc>
        <w:tc>
          <w:tcPr>
            <w:tcW w:w="1349" w:type="dxa"/>
            <w:shd w:val="clear" w:color="auto" w:fill="auto"/>
            <w:vAlign w:val="top"/>
          </w:tcPr>
          <w:p w14:paraId="3A309F2C">
            <w:pPr>
              <w:jc w:val="center"/>
              <w:rPr>
                <w:rFonts w:hint="default" w:ascii="Times New Roman" w:hAnsi="Times New Roman" w:eastAsia="宋体" w:cstheme="minorBidi"/>
                <w:kern w:val="2"/>
                <w:sz w:val="24"/>
                <w:szCs w:val="22"/>
                <w:vertAlign w:val="baseline"/>
                <w:lang w:val="en-US" w:eastAsia="zh-CN" w:bidi="ar-SA"/>
              </w:rPr>
            </w:pPr>
            <w:r>
              <w:rPr>
                <w:rFonts w:hint="eastAsia"/>
                <w:vertAlign w:val="baseline"/>
                <w:lang w:val="en-US" w:eastAsia="zh-CN"/>
              </w:rPr>
              <w:t>高</w:t>
            </w:r>
          </w:p>
        </w:tc>
        <w:tc>
          <w:tcPr>
            <w:tcW w:w="1704" w:type="dxa"/>
            <w:shd w:val="clear" w:color="auto" w:fill="auto"/>
            <w:vAlign w:val="top"/>
          </w:tcPr>
          <w:p w14:paraId="5B2AA4DD">
            <w:pPr>
              <w:jc w:val="center"/>
              <w:rPr>
                <w:rFonts w:hint="default" w:ascii="Times New Roman" w:hAnsi="Times New Roman" w:eastAsia="宋体" w:cstheme="minorBidi"/>
                <w:kern w:val="2"/>
                <w:sz w:val="24"/>
                <w:szCs w:val="22"/>
                <w:vertAlign w:val="baseline"/>
                <w:lang w:val="en-US" w:eastAsia="zh-CN" w:bidi="ar-SA"/>
              </w:rPr>
            </w:pPr>
            <w:r>
              <w:rPr>
                <w:rFonts w:hint="eastAsia"/>
                <w:vertAlign w:val="baseline"/>
                <w:lang w:val="en-US" w:eastAsia="zh-CN"/>
              </w:rPr>
              <w:t>大</w:t>
            </w:r>
          </w:p>
        </w:tc>
        <w:tc>
          <w:tcPr>
            <w:tcW w:w="1704" w:type="dxa"/>
            <w:shd w:val="clear" w:color="auto" w:fill="auto"/>
            <w:vAlign w:val="top"/>
          </w:tcPr>
          <w:p w14:paraId="5FD9B61F">
            <w:pPr>
              <w:jc w:val="center"/>
              <w:rPr>
                <w:rFonts w:hint="default" w:ascii="Times New Roman" w:hAnsi="Times New Roman" w:eastAsia="宋体" w:cstheme="minorBidi"/>
                <w:kern w:val="2"/>
                <w:sz w:val="24"/>
                <w:szCs w:val="22"/>
                <w:vertAlign w:val="baseline"/>
                <w:lang w:val="en-US" w:eastAsia="zh-CN" w:bidi="ar-SA"/>
              </w:rPr>
            </w:pPr>
            <w:r>
              <w:rPr>
                <w:rFonts w:hint="eastAsia"/>
                <w:vertAlign w:val="baseline"/>
                <w:lang w:val="en-US" w:eastAsia="zh-CN"/>
              </w:rPr>
              <w:t>中期</w:t>
            </w:r>
          </w:p>
        </w:tc>
      </w:tr>
    </w:tbl>
    <w:p w14:paraId="5BA9264A">
      <w:pPr>
        <w:ind w:firstLine="420" w:firstLineChars="0"/>
        <w:jc w:val="both"/>
        <w:rPr>
          <w:rFonts w:hint="eastAsia"/>
          <w:lang w:val="en-US" w:eastAsia="zh-CN"/>
        </w:rPr>
      </w:pPr>
      <w:r>
        <w:rPr>
          <w:rFonts w:hint="eastAsia"/>
          <w:lang w:val="en-US" w:eastAsia="zh-CN"/>
        </w:rPr>
        <w:t>战略调整：设立战略评审机制，企业可在董事会会议中增设ESG事宜专项讨论，根据ESG因素在重大决策中的占比及权重，确定是否需调整当前战略，并描述战略调整的具体流程，如“ESG委员会参与投决会表决”。</w:t>
      </w:r>
    </w:p>
    <w:p w14:paraId="3BC38EF7">
      <w:pPr>
        <w:ind w:firstLine="420" w:firstLineChars="0"/>
        <w:jc w:val="both"/>
        <w:rPr>
          <w:rFonts w:hint="eastAsia"/>
          <w:lang w:val="en-US" w:eastAsia="zh-CN"/>
        </w:rPr>
      </w:pPr>
      <w:r>
        <w:rPr>
          <w:rFonts w:hint="eastAsia"/>
          <w:lang w:val="en-US" w:eastAsia="zh-CN"/>
        </w:rPr>
        <w:t>目标制定：遵循SMART原则（具体、可衡量、可实现、相关性、时限性）设立量化目标，需公开目标设定依据，说明目标覆盖范围，同时追踪已有目标进展。</w:t>
      </w:r>
    </w:p>
    <w:p w14:paraId="4BF86E73">
      <w:pPr>
        <w:ind w:firstLine="420" w:firstLineChars="0"/>
        <w:jc w:val="both"/>
        <w:rPr>
          <w:rFonts w:hint="eastAsia"/>
          <w:lang w:val="en-US" w:eastAsia="zh-CN"/>
        </w:rPr>
      </w:pPr>
      <w:r>
        <w:rPr>
          <w:rFonts w:hint="eastAsia"/>
          <w:lang w:val="en-US" w:eastAsia="zh-CN"/>
        </w:rPr>
        <w:t>举措实施：制定管理层面与技术层面的具体行动计划，说明举措与目标的关联性，并描述资源分配逻辑。</w:t>
      </w:r>
    </w:p>
    <w:p w14:paraId="024C9941">
      <w:pPr>
        <w:ind w:firstLine="420" w:firstLineChars="0"/>
        <w:jc w:val="both"/>
        <w:rPr>
          <w:rFonts w:hint="default"/>
          <w:lang w:val="en-US" w:eastAsia="zh-CN"/>
        </w:rPr>
      </w:pPr>
      <w:r>
        <w:rPr>
          <w:rFonts w:hint="eastAsia"/>
          <w:lang w:val="en-US" w:eastAsia="zh-CN"/>
        </w:rPr>
        <w:t>进展跟踪：定期向董事会汇报的ESG进展，说明未达标项的整改措施与数据验证机制。</w:t>
      </w:r>
    </w:p>
    <w:p w14:paraId="31482495">
      <w:pPr>
        <w:pStyle w:val="5"/>
        <w:rPr>
          <w:rFonts w:hint="eastAsia"/>
          <w:lang w:val="en-US" w:eastAsia="zh-CN"/>
        </w:rPr>
      </w:pPr>
      <w:r>
        <w:rPr>
          <w:rFonts w:hint="eastAsia"/>
          <w:lang w:val="en-US" w:eastAsia="zh-CN"/>
        </w:rPr>
        <w:t>2.7.3.3 可持续风险和机遇的财务影响</w:t>
      </w:r>
    </w:p>
    <w:p w14:paraId="2ED5BB78">
      <w:pPr>
        <w:ind w:firstLine="480" w:firstLineChars="200"/>
        <w:rPr>
          <w:rFonts w:hint="eastAsia"/>
          <w:highlight w:val="none"/>
          <w:vertAlign w:val="baseline"/>
          <w:lang w:val="en-US" w:eastAsia="zh-CN"/>
        </w:rPr>
      </w:pPr>
      <w:r>
        <w:rPr>
          <w:rFonts w:hint="eastAsia"/>
          <w:highlight w:val="none"/>
          <w:vertAlign w:val="baseline"/>
          <w:lang w:val="en-US" w:eastAsia="zh-CN"/>
        </w:rPr>
        <w:t>企业需系统评估ESG风险与机遇对财务状况、经营成果及现金流的潜在影响，并预测其在下一年度及未来短、中、长期的财务表现变化趋势。具体操作步骤如下：</w:t>
      </w:r>
    </w:p>
    <w:p w14:paraId="05F0E15B">
      <w:pPr>
        <w:numPr>
          <w:ilvl w:val="0"/>
          <w:numId w:val="5"/>
        </w:numPr>
        <w:ind w:firstLine="480" w:firstLineChars="200"/>
        <w:rPr>
          <w:rFonts w:hint="eastAsia"/>
          <w:highlight w:val="none"/>
          <w:vertAlign w:val="baseline"/>
          <w:lang w:val="en-US" w:eastAsia="zh-CN"/>
        </w:rPr>
      </w:pPr>
      <w:r>
        <w:rPr>
          <w:rFonts w:hint="eastAsia"/>
          <w:highlight w:val="none"/>
          <w:vertAlign w:val="baseline"/>
          <w:lang w:val="en-US" w:eastAsia="zh-CN"/>
        </w:rPr>
        <w:t>财务指标分析：分析ESG因素对市场需求的影响。例如，绿色产品溢价可能提升收入，而环境处罚或消费者抵制可能导致收入下降；量化合规成本、技术升级投入或供应链中断导致的额外支出；综合收入与成本变动，评估ESG举措对利润的净影响。</w:t>
      </w:r>
    </w:p>
    <w:p w14:paraId="3E45E8EC">
      <w:pPr>
        <w:numPr>
          <w:ilvl w:val="0"/>
          <w:numId w:val="5"/>
        </w:numPr>
        <w:ind w:firstLine="480" w:firstLineChars="200"/>
        <w:rPr>
          <w:rFonts w:hint="default"/>
          <w:highlight w:val="none"/>
          <w:vertAlign w:val="baseline"/>
          <w:lang w:val="en-US" w:eastAsia="zh-CN"/>
        </w:rPr>
      </w:pPr>
      <w:r>
        <w:rPr>
          <w:rFonts w:hint="eastAsia"/>
          <w:highlight w:val="none"/>
          <w:vertAlign w:val="baseline"/>
          <w:lang w:val="en-US" w:eastAsia="zh-CN"/>
        </w:rPr>
        <w:t>趋势预测：</w:t>
      </w:r>
    </w:p>
    <w:p w14:paraId="5131DA71">
      <w:pPr>
        <w:numPr>
          <w:ilvl w:val="0"/>
          <w:numId w:val="0"/>
        </w:numPr>
        <w:ind w:firstLine="420" w:firstLineChars="0"/>
        <w:rPr>
          <w:rFonts w:hint="eastAsia"/>
          <w:highlight w:val="none"/>
          <w:vertAlign w:val="baseline"/>
          <w:lang w:val="en-US" w:eastAsia="zh-CN"/>
        </w:rPr>
      </w:pPr>
      <w:r>
        <w:rPr>
          <w:rFonts w:hint="eastAsia"/>
          <w:highlight w:val="none"/>
          <w:vertAlign w:val="baseline"/>
          <w:lang w:val="en-US" w:eastAsia="zh-CN"/>
        </w:rPr>
        <w:t>短期（0-2年）：关注政策变化或突发事件对现金流的影响；</w:t>
      </w:r>
    </w:p>
    <w:p w14:paraId="0EA110D9">
      <w:pPr>
        <w:numPr>
          <w:ilvl w:val="0"/>
          <w:numId w:val="0"/>
        </w:numPr>
        <w:ind w:firstLine="420" w:firstLineChars="0"/>
        <w:rPr>
          <w:rFonts w:hint="eastAsia"/>
          <w:highlight w:val="none"/>
          <w:vertAlign w:val="baseline"/>
          <w:lang w:val="en-US" w:eastAsia="zh-CN"/>
        </w:rPr>
      </w:pPr>
      <w:r>
        <w:rPr>
          <w:rFonts w:hint="eastAsia"/>
          <w:highlight w:val="none"/>
          <w:vertAlign w:val="baseline"/>
          <w:lang w:val="en-US" w:eastAsia="zh-CN"/>
        </w:rPr>
        <w:t>中期（2-10年）：预测技术投资回报或市场拓展收益；</w:t>
      </w:r>
    </w:p>
    <w:p w14:paraId="0583171F">
      <w:pPr>
        <w:numPr>
          <w:ilvl w:val="0"/>
          <w:numId w:val="0"/>
        </w:numPr>
        <w:ind w:firstLine="420" w:firstLineChars="0"/>
        <w:rPr>
          <w:rFonts w:hint="default"/>
          <w:highlight w:val="none"/>
          <w:vertAlign w:val="baseline"/>
          <w:lang w:val="en-US" w:eastAsia="zh-CN"/>
        </w:rPr>
      </w:pPr>
      <w:r>
        <w:rPr>
          <w:rFonts w:hint="eastAsia"/>
          <w:highlight w:val="none"/>
          <w:vertAlign w:val="baseline"/>
          <w:lang w:val="en-US" w:eastAsia="zh-CN"/>
        </w:rPr>
        <w:t>长期（10年以上）：评估气候变化或商业模式转型的财务影响。</w:t>
      </w:r>
    </w:p>
    <w:p w14:paraId="71392316">
      <w:pPr>
        <w:numPr>
          <w:ilvl w:val="0"/>
          <w:numId w:val="5"/>
        </w:numPr>
        <w:ind w:left="0" w:leftChars="0" w:firstLine="480" w:firstLineChars="200"/>
        <w:rPr>
          <w:rFonts w:hint="eastAsia"/>
          <w:highlight w:val="none"/>
          <w:vertAlign w:val="baseline"/>
          <w:lang w:val="en-US" w:eastAsia="zh-CN"/>
        </w:rPr>
      </w:pPr>
      <w:r>
        <w:rPr>
          <w:rFonts w:hint="eastAsia"/>
          <w:highlight w:val="none"/>
          <w:vertAlign w:val="baseline"/>
          <w:lang w:val="en-US" w:eastAsia="zh-CN"/>
        </w:rPr>
        <w:t>战略关联分析：将ESG因素纳入投资决策，分析收购或撤资中的ESG风险与机遇，量化业务调整的财务影响。</w:t>
      </w:r>
    </w:p>
    <w:p w14:paraId="561CA390">
      <w:pPr>
        <w:numPr>
          <w:ilvl w:val="0"/>
          <w:numId w:val="5"/>
        </w:numPr>
        <w:ind w:left="0" w:leftChars="0" w:firstLine="480" w:firstLineChars="200"/>
        <w:rPr>
          <w:rFonts w:hint="default"/>
          <w:highlight w:val="none"/>
          <w:vertAlign w:val="baseline"/>
          <w:lang w:val="en-US" w:eastAsia="zh-CN"/>
        </w:rPr>
      </w:pPr>
      <w:r>
        <w:rPr>
          <w:rFonts w:hint="default"/>
          <w:highlight w:val="none"/>
          <w:vertAlign w:val="baseline"/>
          <w:lang w:val="en-US" w:eastAsia="zh-CN"/>
        </w:rPr>
        <w:t>数据引用与整合</w:t>
      </w:r>
      <w:r>
        <w:rPr>
          <w:rFonts w:hint="eastAsia"/>
          <w:highlight w:val="none"/>
          <w:vertAlign w:val="baseline"/>
          <w:lang w:val="en-US" w:eastAsia="zh-CN"/>
        </w:rPr>
        <w:t>：直接关联ESG数据与财务报表项目，通过敏感性分析展示不同ESG场景下的财务结果。</w:t>
      </w:r>
    </w:p>
    <w:p w14:paraId="2C7F4396">
      <w:pPr>
        <w:pStyle w:val="5"/>
        <w:rPr>
          <w:rFonts w:hint="eastAsia"/>
          <w:lang w:val="en-US" w:eastAsia="zh-CN"/>
        </w:rPr>
      </w:pPr>
      <w:r>
        <w:rPr>
          <w:rFonts w:hint="eastAsia"/>
          <w:lang w:val="en-US" w:eastAsia="zh-CN"/>
        </w:rPr>
        <w:t>2.7.3.4 韧性</w:t>
      </w:r>
    </w:p>
    <w:p w14:paraId="39779278">
      <w:pPr>
        <w:ind w:firstLine="420" w:firstLineChars="0"/>
        <w:rPr>
          <w:rFonts w:hint="eastAsia"/>
          <w:lang w:val="en-US" w:eastAsia="zh-CN"/>
        </w:rPr>
      </w:pPr>
      <w:r>
        <w:rPr>
          <w:rFonts w:hint="eastAsia"/>
          <w:lang w:val="en-US" w:eastAsia="zh-CN"/>
        </w:rPr>
        <w:t>韧性是企业应对ESG风险与机遇的核心能力，体现为在外部环境中维持核心业务功能稳定、保障治理体系稳健的能力。企业需从业务韧性与公司韧性两个维度系统评估ESG敞口：</w:t>
      </w:r>
    </w:p>
    <w:p w14:paraId="24A0B9FA">
      <w:pPr>
        <w:numPr>
          <w:ilvl w:val="0"/>
          <w:numId w:val="6"/>
        </w:numPr>
        <w:ind w:firstLine="420" w:firstLineChars="0"/>
        <w:rPr>
          <w:rFonts w:hint="eastAsia"/>
          <w:lang w:val="en-US" w:eastAsia="zh-CN"/>
        </w:rPr>
      </w:pPr>
      <w:r>
        <w:rPr>
          <w:rFonts w:hint="eastAsia"/>
          <w:lang w:val="en-US" w:eastAsia="zh-CN"/>
        </w:rPr>
        <w:t>业务韧性：涉及业务类型、科研投入、净利润；</w:t>
      </w:r>
    </w:p>
    <w:p w14:paraId="23BD14BE">
      <w:pPr>
        <w:numPr>
          <w:ilvl w:val="0"/>
          <w:numId w:val="6"/>
        </w:numPr>
        <w:ind w:firstLine="420" w:firstLineChars="0"/>
        <w:rPr>
          <w:rFonts w:hint="default"/>
          <w:lang w:val="en-US" w:eastAsia="zh-CN"/>
        </w:rPr>
      </w:pPr>
      <w:r>
        <w:rPr>
          <w:rFonts w:hint="eastAsia"/>
          <w:lang w:val="en-US" w:eastAsia="zh-CN"/>
        </w:rPr>
        <w:t>公司韧性：涉及地理位置、股权结构及高管人员构成。</w:t>
      </w:r>
    </w:p>
    <w:p w14:paraId="01D2E828">
      <w:pPr>
        <w:pStyle w:val="4"/>
        <w:rPr>
          <w:rFonts w:hint="default"/>
          <w:lang w:val="en-US" w:eastAsia="zh-CN"/>
        </w:rPr>
      </w:pPr>
      <w:r>
        <w:rPr>
          <w:rFonts w:hint="default"/>
          <w:lang w:eastAsia="zh-Hans"/>
        </w:rPr>
        <w:t>2</w:t>
      </w:r>
      <w:r>
        <w:rPr>
          <w:rFonts w:hint="eastAsia"/>
          <w:lang w:val="en-US" w:eastAsia="zh-Hans"/>
        </w:rPr>
        <w:t>.</w:t>
      </w:r>
      <w:r>
        <w:rPr>
          <w:rFonts w:hint="eastAsia"/>
          <w:lang w:val="en-US" w:eastAsia="zh-CN"/>
        </w:rPr>
        <w:t>7</w:t>
      </w:r>
      <w:r>
        <w:rPr>
          <w:rFonts w:hint="eastAsia"/>
          <w:lang w:val="en-US" w:eastAsia="zh-Hans"/>
        </w:rPr>
        <w:t>.</w:t>
      </w:r>
      <w:r>
        <w:rPr>
          <w:rFonts w:hint="eastAsia"/>
          <w:lang w:val="en-US" w:eastAsia="zh-CN"/>
        </w:rPr>
        <w:t>4</w:t>
      </w:r>
      <w:r>
        <w:rPr>
          <w:rFonts w:hint="eastAsia"/>
          <w:lang w:val="en-US" w:eastAsia="zh-Hans"/>
        </w:rPr>
        <w:t xml:space="preserve"> </w:t>
      </w:r>
      <w:r>
        <w:rPr>
          <w:rFonts w:hint="eastAsia"/>
          <w:lang w:val="en-US" w:eastAsia="zh-CN"/>
        </w:rPr>
        <w:t>目标的设定与管理</w:t>
      </w:r>
    </w:p>
    <w:p w14:paraId="103DF79F">
      <w:pPr>
        <w:ind w:firstLine="420" w:firstLineChars="0"/>
        <w:rPr>
          <w:rFonts w:hint="default"/>
          <w:lang w:val="en-US" w:eastAsia="zh-CN"/>
        </w:rPr>
      </w:pPr>
      <w:r>
        <w:rPr>
          <w:rFonts w:hint="eastAsia"/>
          <w:lang w:val="en-US" w:eastAsia="zh-CN"/>
        </w:rPr>
        <w:t>优先设定可量化的绝对值或相对值目标，并明确基准年、时间范围及计量单位，界定目标涵盖的运营边界。若调整目标（如因技术突破提前达标），需披露原因及影响分析。</w:t>
      </w:r>
    </w:p>
    <w:p w14:paraId="0889618D">
      <w:pPr>
        <w:ind w:firstLine="420" w:firstLineChars="0"/>
        <w:rPr>
          <w:rFonts w:hint="eastAsia"/>
          <w:lang w:val="en-US" w:eastAsia="zh-CN"/>
        </w:rPr>
      </w:pPr>
      <w:r>
        <w:rPr>
          <w:rFonts w:hint="eastAsia"/>
          <w:lang w:val="en-US" w:eastAsia="zh-CN"/>
        </w:rPr>
        <w:t>按年度进行跟踪目标进展，统计目标完成率，未达标的目标应开展原因分析，并视情况制定整改计划，企业宜每年评估一次目标可行性。</w:t>
      </w:r>
    </w:p>
    <w:p w14:paraId="742066F5">
      <w:pPr>
        <w:ind w:firstLine="420" w:firstLineChars="0"/>
        <w:rPr>
          <w:rFonts w:hint="default"/>
          <w:lang w:val="en-US" w:eastAsia="zh-CN"/>
        </w:rPr>
      </w:pPr>
      <w:r>
        <w:rPr>
          <w:rFonts w:hint="eastAsia"/>
          <w:lang w:val="en-US" w:eastAsia="zh-CN"/>
        </w:rPr>
        <w:t>企业应确保目标数据与财务报告、运营记录口径一致。</w:t>
      </w:r>
    </w:p>
    <w:p w14:paraId="316BD8E8">
      <w:pPr>
        <w:pStyle w:val="4"/>
        <w:rPr>
          <w:rFonts w:hint="eastAsia"/>
          <w:lang w:val="en-US" w:eastAsia="zh-CN"/>
        </w:rPr>
      </w:pPr>
      <w:r>
        <w:rPr>
          <w:rFonts w:hint="default"/>
          <w:lang w:eastAsia="zh-Hans"/>
        </w:rPr>
        <w:t>2</w:t>
      </w:r>
      <w:r>
        <w:rPr>
          <w:rFonts w:hint="eastAsia"/>
          <w:lang w:val="en-US" w:eastAsia="zh-Hans"/>
        </w:rPr>
        <w:t>.</w:t>
      </w:r>
      <w:r>
        <w:rPr>
          <w:rFonts w:hint="eastAsia"/>
          <w:lang w:val="en-US" w:eastAsia="zh-CN"/>
        </w:rPr>
        <w:t>7</w:t>
      </w:r>
      <w:r>
        <w:rPr>
          <w:rFonts w:hint="eastAsia"/>
          <w:lang w:val="en-US" w:eastAsia="zh-Hans"/>
        </w:rPr>
        <w:t>.</w:t>
      </w:r>
      <w:r>
        <w:rPr>
          <w:rFonts w:hint="eastAsia"/>
          <w:lang w:val="en-US" w:eastAsia="zh-CN"/>
        </w:rPr>
        <w:t>5</w:t>
      </w:r>
      <w:r>
        <w:rPr>
          <w:rFonts w:hint="eastAsia"/>
          <w:lang w:val="en-US" w:eastAsia="zh-Hans"/>
        </w:rPr>
        <w:t xml:space="preserve"> </w:t>
      </w:r>
      <w:r>
        <w:rPr>
          <w:rFonts w:hint="eastAsia"/>
          <w:lang w:val="en-US" w:eastAsia="zh-CN"/>
        </w:rPr>
        <w:t>指标披露</w:t>
      </w:r>
    </w:p>
    <w:p w14:paraId="2CF982E4">
      <w:pPr>
        <w:ind w:firstLine="420" w:firstLineChars="0"/>
        <w:rPr>
          <w:rFonts w:hint="default"/>
          <w:lang w:val="en-US" w:eastAsia="zh-CN"/>
        </w:rPr>
      </w:pPr>
      <w:r>
        <w:rPr>
          <w:rFonts w:hint="eastAsia"/>
          <w:lang w:val="en-US" w:eastAsia="zh-CN"/>
        </w:rPr>
        <w:t>见CBMF 268.1。</w:t>
      </w:r>
    </w:p>
    <w:p w14:paraId="352600E7">
      <w:pPr>
        <w:pStyle w:val="4"/>
        <w:rPr>
          <w:rFonts w:hint="eastAsia"/>
          <w:lang w:val="en-US" w:eastAsia="zh-CN"/>
        </w:rPr>
      </w:pPr>
      <w:r>
        <w:rPr>
          <w:rFonts w:hint="default"/>
          <w:lang w:eastAsia="zh-Hans"/>
        </w:rPr>
        <w:t>2</w:t>
      </w:r>
      <w:r>
        <w:rPr>
          <w:rFonts w:hint="eastAsia"/>
          <w:lang w:val="en-US" w:eastAsia="zh-Hans"/>
        </w:rPr>
        <w:t>.</w:t>
      </w:r>
      <w:r>
        <w:rPr>
          <w:rFonts w:hint="eastAsia"/>
          <w:lang w:val="en-US" w:eastAsia="zh-CN"/>
        </w:rPr>
        <w:t>7</w:t>
      </w:r>
      <w:r>
        <w:rPr>
          <w:rFonts w:hint="eastAsia"/>
          <w:lang w:val="en-US" w:eastAsia="zh-Hans"/>
        </w:rPr>
        <w:t>.</w:t>
      </w:r>
      <w:r>
        <w:rPr>
          <w:rFonts w:hint="eastAsia"/>
          <w:lang w:val="en-US" w:eastAsia="zh-CN"/>
        </w:rPr>
        <w:t>6</w:t>
      </w:r>
      <w:r>
        <w:rPr>
          <w:rFonts w:hint="eastAsia"/>
          <w:lang w:val="en-US" w:eastAsia="zh-Hans"/>
        </w:rPr>
        <w:t xml:space="preserve"> </w:t>
      </w:r>
      <w:r>
        <w:rPr>
          <w:rFonts w:hint="eastAsia"/>
          <w:lang w:val="en-US" w:eastAsia="zh-CN"/>
        </w:rPr>
        <w:t>举措</w:t>
      </w:r>
    </w:p>
    <w:p w14:paraId="2EF11D47">
      <w:pPr>
        <w:pStyle w:val="5"/>
        <w:rPr>
          <w:rFonts w:hint="eastAsia"/>
          <w:lang w:val="en-US" w:eastAsia="zh-CN"/>
        </w:rPr>
      </w:pPr>
      <w:r>
        <w:rPr>
          <w:rFonts w:hint="eastAsia"/>
          <w:lang w:val="en-US" w:eastAsia="zh-CN"/>
        </w:rPr>
        <w:t>2.7.6.1管理举措</w:t>
      </w:r>
    </w:p>
    <w:p w14:paraId="241ACBEF">
      <w:pPr>
        <w:ind w:firstLine="420" w:firstLineChars="0"/>
        <w:rPr>
          <w:rFonts w:hint="eastAsia"/>
          <w:lang w:val="en-US" w:eastAsia="zh-CN"/>
        </w:rPr>
      </w:pPr>
      <w:r>
        <w:rPr>
          <w:rFonts w:hint="eastAsia"/>
          <w:lang w:val="en-US" w:eastAsia="zh-CN"/>
        </w:rPr>
        <w:t>管理举措旨在通过制度优化、流程重塑及战略协同，系统性提升企业对ESG关键议题的管理能力。制定时应遵循以下原则：</w:t>
      </w:r>
    </w:p>
    <w:p w14:paraId="0EB3FDB9">
      <w:pPr>
        <w:ind w:firstLine="420" w:firstLineChars="0"/>
        <w:rPr>
          <w:rFonts w:hint="eastAsia"/>
          <w:lang w:val="en-US" w:eastAsia="zh-CN"/>
        </w:rPr>
      </w:pPr>
      <w:r>
        <w:rPr>
          <w:rFonts w:hint="eastAsia"/>
          <w:lang w:val="en-US" w:eastAsia="zh-CN"/>
        </w:rPr>
        <w:t>1）战略一致性：确保举措与企业整体战略（如碳中和目标、社会责任承诺）紧密衔接；</w:t>
      </w:r>
    </w:p>
    <w:p w14:paraId="625B0BC9">
      <w:pPr>
        <w:ind w:firstLine="420" w:firstLineChars="0"/>
        <w:rPr>
          <w:rFonts w:hint="eastAsia"/>
          <w:lang w:val="en-US" w:eastAsia="zh-CN"/>
        </w:rPr>
      </w:pPr>
      <w:r>
        <w:rPr>
          <w:rFonts w:hint="eastAsia"/>
          <w:lang w:val="en-US" w:eastAsia="zh-CN"/>
        </w:rPr>
        <w:t>2）可操作性：明确责任部门、资源配置及时间节点，避免空洞化；</w:t>
      </w:r>
    </w:p>
    <w:p w14:paraId="239D4036">
      <w:pPr>
        <w:ind w:firstLine="420" w:firstLineChars="0"/>
        <w:rPr>
          <w:rFonts w:hint="eastAsia"/>
          <w:lang w:val="en-US" w:eastAsia="zh-CN"/>
        </w:rPr>
      </w:pPr>
      <w:r>
        <w:rPr>
          <w:rFonts w:hint="eastAsia"/>
          <w:lang w:val="en-US" w:eastAsia="zh-CN"/>
        </w:rPr>
        <w:t>3）动态调整：根据企业战略调整、外部政策或市场变化及时优化措施。</w:t>
      </w:r>
    </w:p>
    <w:p w14:paraId="53E66EBD">
      <w:pPr>
        <w:pStyle w:val="5"/>
        <w:rPr>
          <w:rFonts w:hint="eastAsia"/>
          <w:lang w:val="en-US" w:eastAsia="zh-CN"/>
        </w:rPr>
      </w:pPr>
      <w:r>
        <w:rPr>
          <w:rFonts w:hint="eastAsia"/>
          <w:lang w:val="en-US" w:eastAsia="zh-CN"/>
        </w:rPr>
        <w:t>2.7.6.2技术举措</w:t>
      </w:r>
    </w:p>
    <w:p w14:paraId="3DB4A5F6">
      <w:pPr>
        <w:ind w:firstLine="420" w:firstLineChars="0"/>
        <w:rPr>
          <w:rFonts w:hint="default" w:eastAsia="宋体"/>
          <w:lang w:val="en-US" w:eastAsia="zh-CN"/>
        </w:rPr>
      </w:pPr>
      <w:r>
        <w:rPr>
          <w:rFonts w:hint="default"/>
          <w:lang w:val="en-US" w:eastAsia="zh-CN"/>
        </w:rPr>
        <w:t>技术举措聚焦通过技术创新解决ESG痛点，</w:t>
      </w:r>
      <w:r>
        <w:rPr>
          <w:rFonts w:hint="eastAsia"/>
          <w:lang w:val="en-US" w:eastAsia="zh-CN"/>
        </w:rPr>
        <w:t>应</w:t>
      </w:r>
      <w:r>
        <w:rPr>
          <w:rFonts w:hint="default"/>
          <w:lang w:val="en-US" w:eastAsia="zh-CN"/>
        </w:rPr>
        <w:t>直接关联ESG议题</w:t>
      </w:r>
      <w:r>
        <w:rPr>
          <w:rFonts w:hint="eastAsia"/>
          <w:lang w:val="en-US" w:eastAsia="zh-CN"/>
        </w:rPr>
        <w:t>，</w:t>
      </w:r>
      <w:r>
        <w:rPr>
          <w:rFonts w:hint="default"/>
          <w:lang w:val="en-US" w:eastAsia="zh-CN"/>
        </w:rPr>
        <w:t>满足目标导向；</w:t>
      </w:r>
      <w:r>
        <w:rPr>
          <w:rFonts w:hint="eastAsia"/>
          <w:lang w:val="en-US" w:eastAsia="zh-CN"/>
        </w:rPr>
        <w:t>宜</w:t>
      </w:r>
      <w:r>
        <w:rPr>
          <w:rFonts w:hint="default"/>
          <w:lang w:val="en-US" w:eastAsia="zh-CN"/>
        </w:rPr>
        <w:t>明确技术应用的预期成果</w:t>
      </w:r>
      <w:r>
        <w:rPr>
          <w:rFonts w:hint="eastAsia"/>
          <w:lang w:val="en-US" w:eastAsia="zh-CN"/>
        </w:rPr>
        <w:t>，量化关键成效。</w:t>
      </w:r>
    </w:p>
    <w:p w14:paraId="3A73B29F">
      <w:pPr>
        <w:pStyle w:val="3"/>
        <w:spacing w:line="360" w:lineRule="auto"/>
        <w:rPr>
          <w:rFonts w:hint="eastAsia"/>
          <w:lang w:val="en-US" w:eastAsia="zh-CN"/>
        </w:rPr>
      </w:pPr>
      <w:r>
        <w:rPr>
          <w:rFonts w:hint="eastAsia"/>
        </w:rPr>
        <w:t>2.</w:t>
      </w:r>
      <w:r>
        <w:rPr>
          <w:rFonts w:hint="eastAsia"/>
          <w:lang w:val="en-US" w:eastAsia="zh-CN"/>
        </w:rPr>
        <w:t>8</w:t>
      </w:r>
      <w:r>
        <w:rPr>
          <w:rFonts w:hint="eastAsia"/>
        </w:rPr>
        <w:t xml:space="preserve"> </w:t>
      </w:r>
      <w:r>
        <w:rPr>
          <w:rFonts w:hint="eastAsia"/>
          <w:lang w:val="en-US" w:eastAsia="zh-CN"/>
        </w:rPr>
        <w:t>报告内容</w:t>
      </w:r>
    </w:p>
    <w:p w14:paraId="148624F3">
      <w:pPr>
        <w:ind w:firstLine="420" w:firstLineChars="0"/>
        <w:rPr>
          <w:rFonts w:hint="default"/>
        </w:rPr>
      </w:pPr>
      <w:r>
        <w:rPr>
          <w:rFonts w:hint="default"/>
        </w:rPr>
        <w:t>企业ESG报告编制遵循“确定</w:t>
      </w:r>
      <w:r>
        <w:rPr>
          <w:rFonts w:hint="eastAsia"/>
          <w:lang w:val="en-US" w:eastAsia="zh-CN"/>
        </w:rPr>
        <w:t>报告</w:t>
      </w:r>
      <w:r>
        <w:rPr>
          <w:rFonts w:hint="default"/>
        </w:rPr>
        <w:t>内容→收集</w:t>
      </w:r>
      <w:r>
        <w:rPr>
          <w:rFonts w:hint="eastAsia"/>
          <w:lang w:val="en-US" w:eastAsia="zh-CN"/>
        </w:rPr>
        <w:t>和整合</w:t>
      </w:r>
      <w:r>
        <w:rPr>
          <w:rFonts w:hint="default"/>
        </w:rPr>
        <w:t>信息→报告撰写→</w:t>
      </w:r>
      <w:r>
        <w:rPr>
          <w:rFonts w:hint="eastAsia"/>
          <w:lang w:val="en-US" w:eastAsia="zh-CN"/>
        </w:rPr>
        <w:t>报告</w:t>
      </w:r>
      <w:r>
        <w:rPr>
          <w:rFonts w:hint="default"/>
        </w:rPr>
        <w:t>审核发布”四步流程，旨在确保报告内容完整、数据可靠、披露合规。</w:t>
      </w:r>
    </w:p>
    <w:p w14:paraId="47768543">
      <w:pPr>
        <w:pStyle w:val="4"/>
        <w:rPr>
          <w:rFonts w:hint="eastAsia"/>
          <w:lang w:val="en-US" w:eastAsia="zh-CN"/>
        </w:rPr>
      </w:pPr>
      <w:r>
        <w:rPr>
          <w:rFonts w:hint="default"/>
          <w:lang w:eastAsia="zh-Hans"/>
        </w:rPr>
        <w:t>2</w:t>
      </w:r>
      <w:r>
        <w:rPr>
          <w:rFonts w:hint="eastAsia"/>
          <w:lang w:val="en-US" w:eastAsia="zh-Hans"/>
        </w:rPr>
        <w:t>.</w:t>
      </w:r>
      <w:r>
        <w:rPr>
          <w:rFonts w:hint="eastAsia"/>
          <w:lang w:val="en-US" w:eastAsia="zh-CN"/>
        </w:rPr>
        <w:t>8</w:t>
      </w:r>
      <w:r>
        <w:rPr>
          <w:rFonts w:hint="eastAsia"/>
          <w:lang w:val="en-US" w:eastAsia="zh-Hans"/>
        </w:rPr>
        <w:t>.</w:t>
      </w:r>
      <w:r>
        <w:rPr>
          <w:rFonts w:hint="eastAsia"/>
          <w:lang w:val="en-US" w:eastAsia="zh-CN"/>
        </w:rPr>
        <w:t>1</w:t>
      </w:r>
      <w:r>
        <w:rPr>
          <w:rFonts w:hint="eastAsia"/>
          <w:lang w:val="en-US" w:eastAsia="zh-Hans"/>
        </w:rPr>
        <w:t xml:space="preserve"> </w:t>
      </w:r>
      <w:r>
        <w:rPr>
          <w:rFonts w:hint="eastAsia"/>
          <w:lang w:val="en-US" w:eastAsia="zh-CN"/>
        </w:rPr>
        <w:t>确定报告主要内容</w:t>
      </w:r>
    </w:p>
    <w:p w14:paraId="23D0310C">
      <w:pPr>
        <w:ind w:firstLine="420" w:firstLineChars="0"/>
        <w:rPr>
          <w:rFonts w:hint="default"/>
        </w:rPr>
      </w:pPr>
      <w:r>
        <w:rPr>
          <w:rFonts w:hint="default"/>
        </w:rPr>
        <w:t>基于“双重要性”评估，</w:t>
      </w:r>
      <w:r>
        <w:rPr>
          <w:rFonts w:hint="eastAsia"/>
          <w:lang w:val="en-US" w:eastAsia="zh-CN"/>
        </w:rPr>
        <w:t>识别实质性议题，列出《信息披露》13项议题及行业特有议题，通过问卷调查、访谈等方式收集利益相关方关注议题，构建“重要性矩阵”，按影响程度与关注度划分优先级。</w:t>
      </w:r>
    </w:p>
    <w:p w14:paraId="4D73EE89">
      <w:pPr>
        <w:ind w:firstLine="420" w:firstLineChars="0"/>
        <w:rPr>
          <w:rFonts w:hint="default"/>
        </w:rPr>
      </w:pPr>
      <w:r>
        <w:rPr>
          <w:rFonts w:hint="default"/>
        </w:rPr>
        <w:t>结合业务构成</w:t>
      </w:r>
      <w:r>
        <w:rPr>
          <w:rFonts w:hint="eastAsia"/>
          <w:lang w:eastAsia="zh-CN"/>
        </w:rPr>
        <w:t>、</w:t>
      </w:r>
      <w:r>
        <w:rPr>
          <w:rFonts w:hint="eastAsia"/>
          <w:lang w:val="en-US" w:eastAsia="zh-CN"/>
        </w:rPr>
        <w:t>财务影响识别议题的业务敞口，结合地理位置、股权结构、人员多样性评估以铁的</w:t>
      </w:r>
      <w:r>
        <w:rPr>
          <w:rFonts w:hint="default"/>
        </w:rPr>
        <w:t>公司敞口；围绕“战略-目标-指标-举措”四要素设计</w:t>
      </w:r>
      <w:r>
        <w:rPr>
          <w:rFonts w:hint="eastAsia"/>
          <w:lang w:val="en-US" w:eastAsia="zh-CN"/>
        </w:rPr>
        <w:t>议题的</w:t>
      </w:r>
      <w:r>
        <w:rPr>
          <w:rFonts w:hint="default"/>
        </w:rPr>
        <w:t>管理框架。</w:t>
      </w:r>
    </w:p>
    <w:p w14:paraId="72E8A925">
      <w:pPr>
        <w:pStyle w:val="4"/>
        <w:rPr>
          <w:rFonts w:hint="eastAsia"/>
          <w:lang w:val="en-US" w:eastAsia="zh-CN"/>
        </w:rPr>
      </w:pPr>
      <w:r>
        <w:rPr>
          <w:rFonts w:hint="default"/>
          <w:lang w:eastAsia="zh-Hans"/>
        </w:rPr>
        <w:t>2</w:t>
      </w:r>
      <w:r>
        <w:rPr>
          <w:rFonts w:hint="eastAsia"/>
          <w:lang w:val="en-US" w:eastAsia="zh-Hans"/>
        </w:rPr>
        <w:t>.</w:t>
      </w:r>
      <w:r>
        <w:rPr>
          <w:rFonts w:hint="eastAsia"/>
          <w:lang w:val="en-US" w:eastAsia="zh-CN"/>
        </w:rPr>
        <w:t>8</w:t>
      </w:r>
      <w:r>
        <w:rPr>
          <w:rFonts w:hint="eastAsia"/>
          <w:lang w:val="en-US" w:eastAsia="zh-Hans"/>
        </w:rPr>
        <w:t>.</w:t>
      </w:r>
      <w:r>
        <w:rPr>
          <w:rFonts w:hint="eastAsia"/>
          <w:lang w:val="en-US" w:eastAsia="zh-CN"/>
        </w:rPr>
        <w:t>2</w:t>
      </w:r>
      <w:r>
        <w:rPr>
          <w:rFonts w:hint="eastAsia"/>
          <w:lang w:val="en-US" w:eastAsia="zh-Hans"/>
        </w:rPr>
        <w:t xml:space="preserve"> </w:t>
      </w:r>
      <w:r>
        <w:rPr>
          <w:rFonts w:hint="eastAsia"/>
          <w:lang w:val="en-US" w:eastAsia="zh-CN"/>
        </w:rPr>
        <w:t>收集和整合信息</w:t>
      </w:r>
    </w:p>
    <w:p w14:paraId="4F4E4D96">
      <w:pPr>
        <w:ind w:firstLine="420" w:firstLineChars="0"/>
        <w:rPr>
          <w:rFonts w:hint="eastAsia"/>
          <w:lang w:val="en-US" w:eastAsia="zh-CN"/>
        </w:rPr>
      </w:pPr>
      <w:r>
        <w:rPr>
          <w:rFonts w:hint="eastAsia"/>
          <w:lang w:val="en-US" w:eastAsia="zh-CN"/>
        </w:rPr>
        <w:t>建材上市企业可通过建筑材料ESG公共服务管理平台，填报建材ESG问卷，开展标准化数据采集；也可通过线下数据收集表或数字平台对定量、定性数据进行收集，企业应采用内部审核的方式控制数据质量，鼓励建材企业开展第三方鉴证。</w:t>
      </w:r>
    </w:p>
    <w:p w14:paraId="7FBBA643">
      <w:pPr>
        <w:pStyle w:val="4"/>
        <w:rPr>
          <w:rFonts w:hint="eastAsia"/>
          <w:lang w:val="en-US" w:eastAsia="zh-CN"/>
        </w:rPr>
      </w:pPr>
      <w:r>
        <w:rPr>
          <w:rFonts w:hint="default"/>
          <w:lang w:eastAsia="zh-Hans"/>
        </w:rPr>
        <w:t>2</w:t>
      </w:r>
      <w:r>
        <w:rPr>
          <w:rFonts w:hint="eastAsia"/>
          <w:lang w:val="en-US" w:eastAsia="zh-Hans"/>
        </w:rPr>
        <w:t>.</w:t>
      </w:r>
      <w:r>
        <w:rPr>
          <w:rFonts w:hint="eastAsia"/>
          <w:lang w:val="en-US" w:eastAsia="zh-CN"/>
        </w:rPr>
        <w:t>8</w:t>
      </w:r>
      <w:r>
        <w:rPr>
          <w:rFonts w:hint="eastAsia"/>
          <w:lang w:val="en-US" w:eastAsia="zh-Hans"/>
        </w:rPr>
        <w:t>.</w:t>
      </w:r>
      <w:r>
        <w:rPr>
          <w:rFonts w:hint="eastAsia"/>
          <w:lang w:val="en-US" w:eastAsia="zh-CN"/>
        </w:rPr>
        <w:t>3</w:t>
      </w:r>
      <w:r>
        <w:rPr>
          <w:rFonts w:hint="eastAsia"/>
          <w:lang w:val="en-US" w:eastAsia="zh-Hans"/>
        </w:rPr>
        <w:t xml:space="preserve"> </w:t>
      </w:r>
      <w:r>
        <w:rPr>
          <w:rFonts w:hint="eastAsia"/>
          <w:lang w:val="en-US" w:eastAsia="zh-CN"/>
        </w:rPr>
        <w:t>报告撰写</w:t>
      </w:r>
    </w:p>
    <w:p w14:paraId="034C4CC2">
      <w:pPr>
        <w:ind w:firstLine="420" w:firstLineChars="0"/>
        <w:rPr>
          <w:rFonts w:hint="eastAsia"/>
          <w:lang w:val="en-US" w:eastAsia="zh-CN"/>
        </w:rPr>
      </w:pPr>
      <w:r>
        <w:rPr>
          <w:rFonts w:hint="eastAsia"/>
          <w:lang w:val="en-US" w:eastAsia="zh-CN"/>
        </w:rPr>
        <w:t>以收集的信息为基础，根据确定的报告内容撰写报告草案。企业可采用可视化的手段增强报告的可读性，报告可包括文字、图片、表格等多种元素。报告应重点明确，确保报告的关键信息不遗漏，以满足报告披露信息的全面性。</w:t>
      </w:r>
    </w:p>
    <w:p w14:paraId="6B14EF78">
      <w:pPr>
        <w:ind w:firstLine="420" w:firstLineChars="0"/>
        <w:rPr>
          <w:rFonts w:hint="eastAsia"/>
          <w:lang w:val="en-US" w:eastAsia="zh-CN"/>
        </w:rPr>
      </w:pPr>
      <w:r>
        <w:rPr>
          <w:rFonts w:hint="eastAsia"/>
          <w:lang w:val="en-US" w:eastAsia="zh-CN"/>
        </w:rPr>
        <w:t>企业可参照图5所示框架，撰写报告。</w:t>
      </w:r>
    </w:p>
    <w:p w14:paraId="3D0F7340">
      <w:pPr>
        <w:ind w:firstLine="420" w:firstLineChars="0"/>
        <w:jc w:val="center"/>
      </w:pPr>
      <w:r>
        <w:drawing>
          <wp:inline distT="0" distB="0" distL="114300" distR="114300">
            <wp:extent cx="4001770" cy="3079115"/>
            <wp:effectExtent l="0" t="0" r="17780" b="698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1"/>
                    <a:stretch>
                      <a:fillRect/>
                    </a:stretch>
                  </pic:blipFill>
                  <pic:spPr>
                    <a:xfrm>
                      <a:off x="0" y="0"/>
                      <a:ext cx="4001770" cy="3079115"/>
                    </a:xfrm>
                    <a:prstGeom prst="rect">
                      <a:avLst/>
                    </a:prstGeom>
                    <a:noFill/>
                    <a:ln>
                      <a:noFill/>
                    </a:ln>
                  </pic:spPr>
                </pic:pic>
              </a:graphicData>
            </a:graphic>
          </wp:inline>
        </w:drawing>
      </w:r>
    </w:p>
    <w:p w14:paraId="1B0693AA">
      <w:pPr>
        <w:spacing w:line="360" w:lineRule="auto"/>
        <w:ind w:left="0" w:leftChars="0" w:firstLine="420" w:firstLineChars="200"/>
        <w:jc w:val="center"/>
        <w:rPr>
          <w:rFonts w:hint="default"/>
          <w:lang w:val="en-US" w:eastAsia="zh-CN"/>
        </w:rPr>
      </w:pPr>
      <w:r>
        <w:rPr>
          <w:rFonts w:hint="eastAsia" w:ascii="黑体" w:hAnsi="黑体" w:eastAsia="黑体" w:cs="黑体"/>
          <w:color w:val="auto"/>
          <w:sz w:val="21"/>
          <w:szCs w:val="21"/>
        </w:rPr>
        <w:t xml:space="preserve">图 </w:t>
      </w:r>
      <w:r>
        <w:rPr>
          <w:rFonts w:hint="eastAsia" w:ascii="黑体" w:hAnsi="黑体" w:eastAsia="黑体" w:cs="黑体"/>
          <w:color w:val="auto"/>
          <w:sz w:val="21"/>
          <w:szCs w:val="21"/>
          <w:lang w:val="en-US" w:eastAsia="zh-CN"/>
        </w:rPr>
        <w:t>5 报告框架设计</w:t>
      </w:r>
    </w:p>
    <w:p w14:paraId="44C78038">
      <w:pPr>
        <w:pStyle w:val="4"/>
        <w:rPr>
          <w:rFonts w:hint="default"/>
          <w:lang w:val="en-US" w:eastAsia="zh-CN"/>
        </w:rPr>
      </w:pPr>
      <w:r>
        <w:rPr>
          <w:rFonts w:hint="default"/>
          <w:lang w:eastAsia="zh-Hans"/>
        </w:rPr>
        <w:t>2</w:t>
      </w:r>
      <w:r>
        <w:rPr>
          <w:rFonts w:hint="eastAsia"/>
          <w:lang w:val="en-US" w:eastAsia="zh-Hans"/>
        </w:rPr>
        <w:t>.</w:t>
      </w:r>
      <w:r>
        <w:rPr>
          <w:rFonts w:hint="eastAsia"/>
          <w:lang w:val="en-US" w:eastAsia="zh-CN"/>
        </w:rPr>
        <w:t>8</w:t>
      </w:r>
      <w:r>
        <w:rPr>
          <w:rFonts w:hint="eastAsia"/>
          <w:lang w:val="en-US" w:eastAsia="zh-Hans"/>
        </w:rPr>
        <w:t>.</w:t>
      </w:r>
      <w:r>
        <w:rPr>
          <w:rFonts w:hint="eastAsia"/>
          <w:lang w:val="en-US" w:eastAsia="zh-CN"/>
        </w:rPr>
        <w:t>4</w:t>
      </w:r>
      <w:r>
        <w:rPr>
          <w:rFonts w:hint="eastAsia"/>
          <w:lang w:val="en-US" w:eastAsia="zh-Hans"/>
        </w:rPr>
        <w:t xml:space="preserve"> </w:t>
      </w:r>
      <w:r>
        <w:rPr>
          <w:rFonts w:hint="eastAsia"/>
          <w:lang w:val="en-US" w:eastAsia="zh-CN"/>
        </w:rPr>
        <w:t>报告审核与发布</w:t>
      </w:r>
    </w:p>
    <w:p w14:paraId="107FBC5C">
      <w:pPr>
        <w:ind w:firstLine="420" w:firstLineChars="0"/>
        <w:rPr>
          <w:rFonts w:hint="eastAsia"/>
          <w:lang w:val="en-US" w:eastAsia="zh-CN"/>
        </w:rPr>
      </w:pPr>
      <w:r>
        <w:rPr>
          <w:rFonts w:hint="eastAsia"/>
          <w:lang w:val="en-US" w:eastAsia="zh-CN"/>
        </w:rPr>
        <w:t>企业宜采用“内部审核+外部鉴证”的模式审核ESG报告，ESG工作组核对数据完整性、逻辑一致性；法务与合规部审查合规性；同时确保与利益相关方开展充分的沟通。另外，鼓励企业选择第三方机构对报告开展鉴证。</w:t>
      </w:r>
    </w:p>
    <w:p w14:paraId="1D5F125F">
      <w:pPr>
        <w:ind w:firstLine="420" w:firstLineChars="0"/>
        <w:rPr>
          <w:rFonts w:hint="eastAsia"/>
          <w:highlight w:val="none"/>
          <w:lang w:val="en-US" w:eastAsia="zh-CN"/>
        </w:rPr>
      </w:pPr>
      <w:r>
        <w:rPr>
          <w:rFonts w:hint="eastAsia"/>
          <w:highlight w:val="none"/>
          <w:lang w:val="en-US" w:eastAsia="zh-CN"/>
        </w:rPr>
        <w:t>企业可通过多种平台对ESG报告进行发布，可通过问卷、访谈等方式收集利益相关方的反馈意见。</w:t>
      </w:r>
    </w:p>
    <w:p w14:paraId="68F80D03">
      <w:pPr>
        <w:pStyle w:val="4"/>
        <w:rPr>
          <w:rFonts w:hint="default"/>
          <w:lang w:val="en-US" w:eastAsia="zh-CN"/>
        </w:rPr>
      </w:pPr>
      <w:r>
        <w:rPr>
          <w:rFonts w:hint="default"/>
          <w:lang w:eastAsia="zh-Hans"/>
        </w:rPr>
        <w:t>2</w:t>
      </w:r>
      <w:r>
        <w:rPr>
          <w:rFonts w:hint="eastAsia"/>
          <w:lang w:val="en-US" w:eastAsia="zh-Hans"/>
        </w:rPr>
        <w:t>.</w:t>
      </w:r>
      <w:r>
        <w:rPr>
          <w:rFonts w:hint="eastAsia"/>
          <w:lang w:val="en-US" w:eastAsia="zh-CN"/>
        </w:rPr>
        <w:t>8</w:t>
      </w:r>
      <w:r>
        <w:rPr>
          <w:rFonts w:hint="eastAsia"/>
          <w:lang w:val="en-US" w:eastAsia="zh-Hans"/>
        </w:rPr>
        <w:t>.</w:t>
      </w:r>
      <w:r>
        <w:rPr>
          <w:rFonts w:hint="eastAsia"/>
          <w:lang w:val="en-US" w:eastAsia="zh-CN"/>
        </w:rPr>
        <w:t>5</w:t>
      </w:r>
      <w:r>
        <w:rPr>
          <w:rFonts w:hint="eastAsia"/>
          <w:lang w:val="en-US" w:eastAsia="zh-Hans"/>
        </w:rPr>
        <w:t xml:space="preserve"> </w:t>
      </w:r>
      <w:r>
        <w:rPr>
          <w:rFonts w:hint="eastAsia"/>
          <w:lang w:val="en-US" w:eastAsia="zh-CN"/>
        </w:rPr>
        <w:t>报告发布时间</w:t>
      </w:r>
    </w:p>
    <w:p w14:paraId="0F3337DF">
      <w:pPr>
        <w:ind w:firstLine="420" w:firstLineChars="0"/>
        <w:rPr>
          <w:rFonts w:hint="default"/>
          <w:lang w:val="en-US" w:eastAsia="zh-CN"/>
        </w:rPr>
      </w:pPr>
      <w:r>
        <w:rPr>
          <w:rFonts w:hint="default"/>
          <w:lang w:val="en-US" w:eastAsia="zh-CN"/>
        </w:rPr>
        <w:t>披露主体应当在每个会计年度结束后4个月内按照《</w:t>
      </w:r>
      <w:r>
        <w:rPr>
          <w:rFonts w:hint="eastAsia"/>
          <w:lang w:val="en-US" w:eastAsia="zh-CN"/>
        </w:rPr>
        <w:t>信息披露</w:t>
      </w:r>
      <w:r>
        <w:rPr>
          <w:rFonts w:hint="default"/>
          <w:lang w:val="en-US" w:eastAsia="zh-CN"/>
        </w:rPr>
        <w:t>》规定编制并披露</w:t>
      </w:r>
      <w:r>
        <w:rPr>
          <w:rFonts w:hint="eastAsia"/>
          <w:lang w:val="en-US" w:eastAsia="zh-CN"/>
        </w:rPr>
        <w:t>ESG</w:t>
      </w:r>
      <w:r>
        <w:rPr>
          <w:rFonts w:hint="default"/>
          <w:lang w:val="en-US" w:eastAsia="zh-CN"/>
        </w:rPr>
        <w:t>报告，披露时间应当不早于年度报告。</w:t>
      </w:r>
    </w:p>
    <w:p w14:paraId="2ADCA958">
      <w:pPr>
        <w:pStyle w:val="4"/>
        <w:rPr>
          <w:rFonts w:hint="default"/>
          <w:lang w:val="en-US" w:eastAsia="zh-CN"/>
        </w:rPr>
      </w:pPr>
      <w:r>
        <w:rPr>
          <w:rFonts w:hint="default"/>
          <w:lang w:eastAsia="zh-Hans"/>
        </w:rPr>
        <w:t>2</w:t>
      </w:r>
      <w:r>
        <w:rPr>
          <w:rFonts w:hint="eastAsia"/>
          <w:lang w:val="en-US" w:eastAsia="zh-Hans"/>
        </w:rPr>
        <w:t>.</w:t>
      </w:r>
      <w:r>
        <w:rPr>
          <w:rFonts w:hint="eastAsia"/>
          <w:lang w:val="en-US" w:eastAsia="zh-CN"/>
        </w:rPr>
        <w:t>8</w:t>
      </w:r>
      <w:r>
        <w:rPr>
          <w:rFonts w:hint="eastAsia"/>
          <w:lang w:val="en-US" w:eastAsia="zh-Hans"/>
        </w:rPr>
        <w:t>.</w:t>
      </w:r>
      <w:r>
        <w:rPr>
          <w:rFonts w:hint="eastAsia"/>
          <w:lang w:val="en-US" w:eastAsia="zh-CN"/>
        </w:rPr>
        <w:t>6</w:t>
      </w:r>
      <w:r>
        <w:rPr>
          <w:rFonts w:hint="eastAsia"/>
          <w:lang w:val="en-US" w:eastAsia="zh-Hans"/>
        </w:rPr>
        <w:t xml:space="preserve"> </w:t>
      </w:r>
      <w:r>
        <w:rPr>
          <w:rFonts w:hint="eastAsia"/>
          <w:lang w:val="en-US" w:eastAsia="zh-CN"/>
        </w:rPr>
        <w:t>报告名称和发布方式</w:t>
      </w:r>
    </w:p>
    <w:p w14:paraId="7F6EA558">
      <w:pPr>
        <w:ind w:firstLine="420" w:firstLineChars="0"/>
        <w:rPr>
          <w:rFonts w:hint="default"/>
          <w:lang w:val="en-US" w:eastAsia="zh-CN"/>
        </w:rPr>
      </w:pPr>
      <w:r>
        <w:rPr>
          <w:rFonts w:hint="default"/>
          <w:lang w:val="en-US" w:eastAsia="zh-CN"/>
        </w:rPr>
        <w:t>报告名称应当为《××公司可持续发展报告》或者《××公司环境、社会和公司治理</w:t>
      </w:r>
      <w:r>
        <w:rPr>
          <w:rFonts w:hint="eastAsia"/>
          <w:lang w:val="en-US" w:eastAsia="zh-CN"/>
        </w:rPr>
        <w:t>（ESG）</w:t>
      </w:r>
      <w:r>
        <w:rPr>
          <w:rFonts w:hint="default"/>
          <w:lang w:val="en-US" w:eastAsia="zh-CN"/>
        </w:rPr>
        <w:t>报告》。报告应当以独立报告形式发布。</w:t>
      </w:r>
    </w:p>
    <w:p w14:paraId="5D7D55BD">
      <w:pPr>
        <w:pStyle w:val="3"/>
        <w:spacing w:line="360" w:lineRule="auto"/>
        <w:rPr>
          <w:rFonts w:hint="eastAsia"/>
          <w:lang w:val="en-US" w:eastAsia="zh-Hans"/>
        </w:rPr>
      </w:pPr>
      <w:r>
        <w:rPr>
          <w:rFonts w:hint="default"/>
        </w:rPr>
        <w:t>2</w:t>
      </w:r>
      <w:r>
        <w:rPr>
          <w:rFonts w:hint="eastAsia"/>
          <w:lang w:val="en-US" w:eastAsia="zh-Hans"/>
        </w:rPr>
        <w:t>.</w:t>
      </w:r>
      <w:r>
        <w:rPr>
          <w:rFonts w:hint="eastAsia"/>
          <w:lang w:val="en-US" w:eastAsia="zh-CN"/>
        </w:rPr>
        <w:t>9</w:t>
      </w:r>
      <w:r>
        <w:rPr>
          <w:rFonts w:hint="default"/>
          <w:lang w:eastAsia="zh-Hans"/>
        </w:rPr>
        <w:t xml:space="preserve"> </w:t>
      </w:r>
      <w:r>
        <w:rPr>
          <w:rFonts w:hint="eastAsia"/>
          <w:lang w:val="en-US" w:eastAsia="zh-Hans"/>
        </w:rPr>
        <w:t>参考文献</w:t>
      </w:r>
    </w:p>
    <w:p w14:paraId="0AC93DEF">
      <w:pPr>
        <w:ind w:left="420" w:leftChars="0" w:firstLine="420" w:firstLineChars="0"/>
        <w:rPr>
          <w:rFonts w:hint="eastAsia"/>
          <w:lang w:eastAsia="zh-Hans"/>
        </w:rPr>
      </w:pPr>
      <w:r>
        <w:rPr>
          <w:rFonts w:hint="default"/>
          <w:lang w:eastAsia="zh-Hans"/>
        </w:rPr>
        <w:t>GRI</w:t>
      </w:r>
      <w:r>
        <w:rPr>
          <w:rFonts w:hint="eastAsia"/>
          <w:lang w:val="en-US" w:eastAsia="zh-Hans"/>
        </w:rPr>
        <w:t>系列标准</w:t>
      </w:r>
      <w:r>
        <w:rPr>
          <w:rFonts w:hint="default"/>
          <w:lang w:eastAsia="zh-Hans"/>
        </w:rPr>
        <w:t xml:space="preserve">、ISO ESG IWA 48 </w:t>
      </w:r>
      <w:r>
        <w:rPr>
          <w:rFonts w:hint="eastAsia"/>
          <w:lang w:eastAsia="zh-CN"/>
        </w:rPr>
        <w:t>、</w:t>
      </w:r>
      <w:r>
        <w:rPr>
          <w:rFonts w:hint="default"/>
          <w:lang w:eastAsia="zh-Hans"/>
        </w:rPr>
        <w:t>ISO14001、ISO14090</w:t>
      </w:r>
      <w:r>
        <w:rPr>
          <w:rFonts w:hint="eastAsia"/>
          <w:lang w:eastAsia="zh-CN"/>
        </w:rPr>
        <w:t>、</w:t>
      </w:r>
      <w:r>
        <w:rPr>
          <w:rFonts w:hint="eastAsia" w:cs="Times New Roman"/>
          <w:lang w:val="en-US" w:eastAsia="zh-CN"/>
        </w:rPr>
        <w:t>IFRS Sustainability Disclosure Standards、Taskforce on Nature-related Financial Disclosures (TNFD) Recommendations</w:t>
      </w:r>
      <w:r>
        <w:rPr>
          <w:rFonts w:hint="eastAsia"/>
          <w:lang w:val="en-US" w:eastAsia="zh-Hans"/>
        </w:rPr>
        <w:t>等国际标准</w:t>
      </w:r>
      <w:r>
        <w:rPr>
          <w:rFonts w:hint="default"/>
          <w:lang w:eastAsia="zh-Hans"/>
        </w:rPr>
        <w:t>，</w:t>
      </w:r>
      <w:r>
        <w:rPr>
          <w:rFonts w:hint="eastAsia"/>
          <w:lang w:val="en-US" w:eastAsia="zh-Hans"/>
        </w:rPr>
        <w:t>包括</w:t>
      </w:r>
      <w:r>
        <w:rPr>
          <w:rFonts w:hint="default"/>
          <w:lang w:eastAsia="zh-Hans"/>
        </w:rPr>
        <w:t>《</w:t>
      </w:r>
      <w:r>
        <w:rPr>
          <w:rFonts w:hint="eastAsia"/>
          <w:lang w:val="en-US" w:eastAsia="zh-Hans"/>
        </w:rPr>
        <w:t>上市公司治理准则</w:t>
      </w:r>
      <w:r>
        <w:rPr>
          <w:rFonts w:hint="default"/>
          <w:lang w:eastAsia="zh-Hans"/>
        </w:rPr>
        <w:t>》、</w:t>
      </w:r>
      <w:r>
        <w:rPr>
          <w:rFonts w:hint="eastAsia"/>
          <w:lang w:eastAsia="zh-CN"/>
        </w:rPr>
        <w:t>《上海证券交易所上市公司自律监管指南第4号——可持续发展报告编制》《企业可持续披露准则——基本准则（试行）》</w:t>
      </w:r>
      <w:r>
        <w:rPr>
          <w:rFonts w:hint="eastAsia"/>
          <w:lang w:val="en-US" w:eastAsia="zh-Hans"/>
        </w:rPr>
        <w:t>等文件</w:t>
      </w:r>
      <w:r>
        <w:rPr>
          <w:rFonts w:hint="default"/>
          <w:lang w:eastAsia="zh-Hans"/>
        </w:rPr>
        <w:t>，</w:t>
      </w:r>
      <w:r>
        <w:rPr>
          <w:rFonts w:hint="eastAsia"/>
          <w:lang w:val="en-US" w:eastAsia="zh-Hans"/>
        </w:rPr>
        <w:t>是建筑材料行业企业进行</w:t>
      </w:r>
      <w:r>
        <w:rPr>
          <w:rFonts w:hint="default"/>
          <w:lang w:eastAsia="zh-Hans"/>
        </w:rPr>
        <w:t>ESG</w:t>
      </w:r>
      <w:r>
        <w:rPr>
          <w:rFonts w:hint="eastAsia"/>
          <w:lang w:val="en-US" w:eastAsia="zh-CN"/>
        </w:rPr>
        <w:t>报告编制</w:t>
      </w:r>
      <w:r>
        <w:rPr>
          <w:rFonts w:hint="eastAsia"/>
          <w:lang w:val="en-US" w:eastAsia="zh-Hans"/>
        </w:rPr>
        <w:t>的重要文件</w:t>
      </w:r>
      <w:r>
        <w:rPr>
          <w:rFonts w:hint="default"/>
          <w:lang w:eastAsia="zh-Hans"/>
        </w:rPr>
        <w:t>，作为本文件的参考文献。</w:t>
      </w:r>
    </w:p>
    <w:p w14:paraId="63EEAEE7">
      <w:pPr>
        <w:pStyle w:val="2"/>
        <w:numPr>
          <w:ilvl w:val="0"/>
          <w:numId w:val="7"/>
        </w:numPr>
        <w:spacing w:line="360" w:lineRule="auto"/>
        <w:rPr>
          <w:rFonts w:hint="eastAsia"/>
        </w:rPr>
      </w:pPr>
      <w:bookmarkStart w:id="5" w:name="_Hlk48570273"/>
      <w:r>
        <w:rPr>
          <w:rFonts w:hint="eastAsia"/>
        </w:rPr>
        <w:t>主要试验（或验证）情况分析</w:t>
      </w:r>
    </w:p>
    <w:bookmarkEnd w:id="5"/>
    <w:p w14:paraId="15B7857F">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基于本文件制定的披露框架，对某家建筑原材料为主营业务的企业开报告编制试点，结合通用议题以及建筑原材料行业特定指南设计披露框架如下图所示。</w:t>
      </w:r>
    </w:p>
    <w:p w14:paraId="4B965F53">
      <w:pPr>
        <w:spacing w:line="360" w:lineRule="auto"/>
        <w:ind w:left="0" w:leftChars="0" w:firstLine="480" w:firstLineChars="200"/>
        <w:jc w:val="both"/>
        <w:rPr>
          <w:rFonts w:hint="default"/>
          <w:lang w:val="en-US" w:eastAsia="zh-CN"/>
        </w:rPr>
      </w:pPr>
      <w:r>
        <w:rPr>
          <w:rFonts w:hint="eastAsia"/>
          <w:lang w:val="en-US" w:eastAsia="zh-CN"/>
        </w:rPr>
        <w:t>结合本报告编制框架，企业完成信息披露并形成披露报告。结合企业在妙盈的历史评级可以看出，2023年4月企业完成验证发布报告后，评级从CCC提升至B。实现有效提升。</w:t>
      </w:r>
    </w:p>
    <w:p w14:paraId="26AC136F">
      <w:pPr>
        <w:spacing w:line="360" w:lineRule="auto"/>
        <w:ind w:left="0" w:leftChars="0" w:firstLine="0" w:firstLineChars="0"/>
        <w:jc w:val="center"/>
        <w:rPr>
          <w:rFonts w:hint="default"/>
          <w:lang w:val="en-US" w:eastAsia="zh-CN"/>
        </w:rPr>
      </w:pPr>
      <w:r>
        <w:rPr>
          <w:rFonts w:hint="default"/>
          <w:lang w:val="en-US" w:eastAsia="zh-CN"/>
        </w:rPr>
        <w:drawing>
          <wp:inline distT="0" distB="0" distL="114300" distR="114300">
            <wp:extent cx="3886200" cy="2558415"/>
            <wp:effectExtent l="0" t="0" r="0" b="0"/>
            <wp:docPr id="3" name="图片 3" descr="171923568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19235684259"/>
                    <pic:cNvPicPr>
                      <a:picLocks noChangeAspect="1"/>
                    </pic:cNvPicPr>
                  </pic:nvPicPr>
                  <pic:blipFill>
                    <a:blip r:embed="rId12"/>
                    <a:srcRect t="14459"/>
                    <a:stretch>
                      <a:fillRect/>
                    </a:stretch>
                  </pic:blipFill>
                  <pic:spPr>
                    <a:xfrm>
                      <a:off x="0" y="0"/>
                      <a:ext cx="3886200" cy="2558415"/>
                    </a:xfrm>
                    <a:prstGeom prst="rect">
                      <a:avLst/>
                    </a:prstGeom>
                  </pic:spPr>
                </pic:pic>
              </a:graphicData>
            </a:graphic>
          </wp:inline>
        </w:drawing>
      </w:r>
    </w:p>
    <w:p w14:paraId="39162CD8">
      <w:pPr>
        <w:spacing w:line="360" w:lineRule="auto"/>
        <w:ind w:left="0" w:leftChars="0" w:firstLine="0" w:firstLineChars="0"/>
        <w:jc w:val="center"/>
        <w:rPr>
          <w:rFonts w:hint="default" w:eastAsia="黑体"/>
          <w:lang w:val="en-US" w:eastAsia="zh-CN"/>
        </w:rPr>
      </w:pPr>
      <w:r>
        <w:rPr>
          <w:rFonts w:hint="eastAsia" w:ascii="黑体" w:hAnsi="黑体" w:eastAsia="黑体" w:cs="黑体"/>
          <w:color w:val="auto"/>
          <w:sz w:val="21"/>
          <w:szCs w:val="21"/>
        </w:rPr>
        <w:t xml:space="preserve">图 </w:t>
      </w:r>
      <w:r>
        <w:rPr>
          <w:rFonts w:hint="eastAsia" w:ascii="黑体" w:hAnsi="黑体" w:eastAsia="黑体" w:cs="黑体"/>
          <w:color w:val="auto"/>
          <w:sz w:val="21"/>
          <w:szCs w:val="21"/>
          <w:lang w:val="en-US" w:eastAsia="zh-CN"/>
        </w:rPr>
        <w:t>6 妙盈评级对比</w:t>
      </w:r>
    </w:p>
    <w:p w14:paraId="60D0A78F">
      <w:pPr>
        <w:pStyle w:val="2"/>
        <w:spacing w:line="360" w:lineRule="auto"/>
      </w:pPr>
      <w:bookmarkStart w:id="6" w:name="_Hlk48571800"/>
      <w:r>
        <w:rPr>
          <w:rFonts w:hint="eastAsia"/>
        </w:rPr>
        <w:t>4.</w:t>
      </w:r>
      <w:r>
        <w:t xml:space="preserve"> 标准中涉及专利</w:t>
      </w:r>
      <w:r>
        <w:rPr>
          <w:rFonts w:hint="eastAsia"/>
        </w:rPr>
        <w:t>情况</w:t>
      </w:r>
    </w:p>
    <w:p w14:paraId="137CE6A3">
      <w:pPr>
        <w:spacing w:line="360" w:lineRule="auto"/>
        <w:ind w:firstLine="480" w:firstLineChars="200"/>
        <w:rPr>
          <w:rFonts w:ascii="宋体" w:hAnsi="宋体" w:eastAsia="宋体"/>
          <w:sz w:val="24"/>
          <w:szCs w:val="24"/>
        </w:rPr>
      </w:pPr>
      <w:r>
        <w:rPr>
          <w:rFonts w:hint="eastAsia" w:ascii="宋体" w:hAnsi="宋体"/>
          <w:sz w:val="24"/>
          <w:szCs w:val="24"/>
          <w:lang w:eastAsia="zh-CN"/>
        </w:rPr>
        <w:t>本文件</w:t>
      </w:r>
      <w:r>
        <w:rPr>
          <w:rFonts w:hint="eastAsia" w:ascii="宋体" w:hAnsi="宋体" w:eastAsia="宋体"/>
          <w:sz w:val="24"/>
          <w:szCs w:val="24"/>
        </w:rPr>
        <w:t>不涉及专利。</w:t>
      </w:r>
    </w:p>
    <w:p w14:paraId="4FC9177E">
      <w:pPr>
        <w:pStyle w:val="2"/>
        <w:spacing w:line="360" w:lineRule="auto"/>
        <w:rPr>
          <w:highlight w:val="yellow"/>
        </w:rPr>
      </w:pPr>
      <w:r>
        <w:rPr>
          <w:rFonts w:hint="eastAsia"/>
        </w:rPr>
        <w:t>5.</w:t>
      </w:r>
      <w:r>
        <w:rPr>
          <w:highlight w:val="none"/>
        </w:rPr>
        <w:t xml:space="preserve"> </w:t>
      </w:r>
      <w:r>
        <w:rPr>
          <w:rFonts w:hint="eastAsia"/>
          <w:highlight w:val="none"/>
        </w:rPr>
        <w:t>产业化情况、推广应用论证和预期达到的经济效果等情况</w:t>
      </w:r>
    </w:p>
    <w:p w14:paraId="5FAA99C5">
      <w:pPr>
        <w:pStyle w:val="3"/>
        <w:spacing w:line="360" w:lineRule="auto"/>
      </w:pPr>
      <w:r>
        <w:rPr>
          <w:rFonts w:hint="eastAsia"/>
        </w:rPr>
        <w:t>5</w:t>
      </w:r>
      <w:r>
        <w:t xml:space="preserve">.1 </w:t>
      </w:r>
      <w:r>
        <w:rPr>
          <w:rFonts w:hint="eastAsia"/>
        </w:rPr>
        <w:t>经济效益、社会效益、产业规模、推广应用、工程应用情况、预期达到的经济、社会效益</w:t>
      </w:r>
    </w:p>
    <w:p w14:paraId="02E622D0">
      <w:pPr>
        <w:spacing w:line="360" w:lineRule="auto"/>
        <w:ind w:firstLine="480" w:firstLineChars="200"/>
        <w:rPr>
          <w:rFonts w:hint="default" w:cs="Times New Roman"/>
          <w:sz w:val="24"/>
          <w:szCs w:val="24"/>
          <w:lang w:eastAsia="zh-Hans"/>
        </w:rPr>
      </w:pPr>
      <w:r>
        <w:rPr>
          <w:rFonts w:hint="eastAsia" w:cs="Times New Roman"/>
          <w:sz w:val="24"/>
          <w:szCs w:val="24"/>
          <w:lang w:val="en-US" w:eastAsia="zh-CN"/>
        </w:rPr>
        <w:t>经济效益层面，ESG报告编制标准的制定有助于提升企业ESG信息披露的规范性和一致性，增强投资者对企业非财务表现的信心，促进绿色金融和长期投资。通过加强信息披露管理，企业能够优化资源配置，提高运营效率，降低潜在风险，进而提升企业价值</w:t>
      </w:r>
      <w:r>
        <w:rPr>
          <w:rFonts w:hint="default" w:cs="Times New Roman"/>
          <w:sz w:val="24"/>
          <w:szCs w:val="24"/>
          <w:lang w:eastAsia="zh-Hans"/>
        </w:rPr>
        <w:t>。</w:t>
      </w:r>
    </w:p>
    <w:p w14:paraId="5F942515">
      <w:pPr>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社会效益层面，推动企业关注环境保护、社会责任和良好治理，促进社会公平和谐，提升利益相关方的信任感和社会认可度。标准实施有助于促进企业履责，支持社会可持续发展目标，增强公众环保意识和社会责任意识。</w:t>
      </w:r>
    </w:p>
    <w:p w14:paraId="2670FB63">
      <w:pPr>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另外，随着ESG理念的深入推广，相关咨询、审计、评级等服务市场迅速扩大。标准的建立为ESG服务产业提供技术规范和操作指南，推动产业链各环节健康发展，带动上下游相关行业协同进步。标准将在重点行业和大型企业中率先推广应用，形成示范效应。通过与资本市场、监管机构、行业协会合作，推动标准在更多企业和行业层面广泛采用。同时结合建材ESG公共服务平台，实现ESG信息的标准化采集、分析、披露与评价，同时引进金融产品与投资方，实现ESG生态系统闭环。</w:t>
      </w:r>
    </w:p>
    <w:p w14:paraId="6FBEA082">
      <w:pPr>
        <w:spacing w:line="360" w:lineRule="auto"/>
        <w:ind w:firstLine="480" w:firstLineChars="200"/>
        <w:rPr>
          <w:rFonts w:hint="default" w:cs="Times New Roman"/>
          <w:sz w:val="24"/>
          <w:szCs w:val="24"/>
          <w:lang w:val="en-US" w:eastAsia="zh-CN"/>
        </w:rPr>
      </w:pPr>
      <w:r>
        <w:rPr>
          <w:rFonts w:hint="default" w:cs="Times New Roman"/>
          <w:sz w:val="24"/>
          <w:szCs w:val="24"/>
          <w:lang w:val="en-US" w:eastAsia="zh-CN"/>
        </w:rPr>
        <w:t>预计通过该标准的广泛实施，能够有效引导企业绿色转型，提升全社会资源利用效率，促进经济高质量发展。在社会层面，将推动企业承担更多社会责任，构建更加公平、透明、可持续的经营环境，提升公众福祉和社会资本。</w:t>
      </w:r>
    </w:p>
    <w:p w14:paraId="4DF258FE">
      <w:pPr>
        <w:pStyle w:val="2"/>
        <w:spacing w:line="360" w:lineRule="auto"/>
        <w:rPr>
          <w:highlight w:val="yellow"/>
        </w:rPr>
      </w:pPr>
      <w:r>
        <w:rPr>
          <w:rFonts w:hint="eastAsia"/>
        </w:rPr>
        <w:t>6.</w:t>
      </w:r>
      <w:r>
        <w:t xml:space="preserve"> </w:t>
      </w:r>
      <w:r>
        <w:rPr>
          <w:highlight w:val="none"/>
        </w:rPr>
        <w:t>采用国际标准和国外先进标准情况，与国际、国外同类标准水平的对比情况，国内外关键指标对比分析或与测试的国外样品、样机的相关数据对比情况</w:t>
      </w:r>
      <w:bookmarkEnd w:id="6"/>
    </w:p>
    <w:p w14:paraId="697D62EF">
      <w:pPr>
        <w:spacing w:line="360" w:lineRule="auto"/>
        <w:ind w:firstLine="420" w:firstLineChars="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本ESG报告编制指南标准在制定过程中，充分借鉴并采用了国际主流ESG框架和标准，特别是国际财务报告准则基金会（IFRS Foundation）发布的IFRS S1《通用披露标准》和IFRS S2《气候相关披露标准》，以及财政部颁布的《企业可持续披露准则——基本准则（试行）》，结合</w:t>
      </w:r>
      <w:r>
        <w:rPr>
          <w:rFonts w:hint="eastAsia" w:cs="Times New Roman"/>
          <w:sz w:val="24"/>
          <w:szCs w:val="24"/>
          <w:lang w:val="en-US" w:eastAsia="zh-CN"/>
        </w:rPr>
        <w:t>证监会</w:t>
      </w:r>
      <w:r>
        <w:rPr>
          <w:rFonts w:hint="eastAsia" w:ascii="Times New Roman" w:hAnsi="Times New Roman" w:eastAsia="宋体" w:cs="Times New Roman"/>
          <w:sz w:val="24"/>
          <w:szCs w:val="24"/>
        </w:rPr>
        <w:t>发布的</w:t>
      </w:r>
      <w:r>
        <w:rPr>
          <w:rFonts w:hint="eastAsia" w:cs="Times New Roman"/>
          <w:sz w:val="24"/>
          <w:szCs w:val="24"/>
          <w:lang w:eastAsia="zh-CN"/>
        </w:rPr>
        <w:t>《</w:t>
      </w:r>
      <w:r>
        <w:rPr>
          <w:rFonts w:hint="eastAsia" w:ascii="Times New Roman" w:hAnsi="Times New Roman" w:eastAsia="宋体" w:cs="Times New Roman"/>
          <w:sz w:val="24"/>
          <w:szCs w:val="24"/>
        </w:rPr>
        <w:t>企业可持续披露准则——基本准则（试行）》。各类标准在核心原则、框架结构及指标体系方面实现了高度协调和兼容。</w:t>
      </w:r>
    </w:p>
    <w:p w14:paraId="07EFBA24">
      <w:pPr>
        <w:spacing w:line="360" w:lineRule="auto"/>
        <w:ind w:firstLine="420" w:firstLineChars="0"/>
        <w:jc w:val="both"/>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核心原则对比：双重重要性</w:t>
      </w:r>
    </w:p>
    <w:p w14:paraId="4EFDC223">
      <w:pPr>
        <w:spacing w:line="360" w:lineRule="auto"/>
        <w:ind w:firstLine="420" w:firstLineChars="0"/>
        <w:jc w:val="both"/>
        <w:rPr>
          <w:rFonts w:hint="eastAsia" w:ascii="Times New Roman" w:hAnsi="Times New Roman" w:eastAsia="宋体" w:cs="Times New Roman"/>
          <w:sz w:val="24"/>
          <w:szCs w:val="24"/>
        </w:rPr>
      </w:pPr>
      <w:r>
        <w:rPr>
          <w:rFonts w:hint="eastAsia" w:cs="Times New Roman"/>
          <w:sz w:val="24"/>
          <w:szCs w:val="24"/>
          <w:lang w:val="en-US" w:eastAsia="zh-CN"/>
        </w:rPr>
        <w:t>本文件以</w:t>
      </w:r>
      <w:r>
        <w:rPr>
          <w:rFonts w:hint="eastAsia" w:ascii="Times New Roman" w:hAnsi="Times New Roman" w:eastAsia="宋体" w:cs="Times New Roman"/>
          <w:sz w:val="24"/>
          <w:szCs w:val="24"/>
        </w:rPr>
        <w:t>国际上广泛认可的双重重要性原则，既关注ESG事项对企业活动对环境和社会的影响，也同等重视</w:t>
      </w:r>
      <w:r>
        <w:rPr>
          <w:rFonts w:hint="eastAsia" w:cs="Times New Roman"/>
          <w:sz w:val="24"/>
          <w:szCs w:val="24"/>
          <w:lang w:val="en-US" w:eastAsia="zh-CN"/>
        </w:rPr>
        <w:t>利益相关方的诉求</w:t>
      </w:r>
      <w:r>
        <w:rPr>
          <w:rFonts w:hint="eastAsia" w:ascii="Times New Roman" w:hAnsi="Times New Roman" w:eastAsia="宋体" w:cs="Times New Roman"/>
          <w:sz w:val="24"/>
          <w:szCs w:val="24"/>
        </w:rPr>
        <w:t>，</w:t>
      </w:r>
      <w:r>
        <w:rPr>
          <w:rFonts w:hint="eastAsia" w:cs="Times New Roman"/>
          <w:sz w:val="24"/>
          <w:szCs w:val="24"/>
          <w:lang w:val="en-US" w:eastAsia="zh-CN"/>
        </w:rPr>
        <w:t>同时，关注ESG事项对企业价值的影响（财务重要性），</w:t>
      </w:r>
      <w:r>
        <w:rPr>
          <w:rFonts w:hint="eastAsia" w:ascii="Times New Roman" w:hAnsi="Times New Roman" w:eastAsia="宋体" w:cs="Times New Roman"/>
          <w:sz w:val="24"/>
          <w:szCs w:val="24"/>
        </w:rPr>
        <w:t>确保披露信息既满足投资者需求，又推动企业社会责任的全面履行。</w:t>
      </w:r>
    </w:p>
    <w:p w14:paraId="7B2B9D66">
      <w:pPr>
        <w:spacing w:line="360" w:lineRule="auto"/>
        <w:ind w:firstLine="420" w:firstLineChars="0"/>
        <w:jc w:val="both"/>
        <w:rPr>
          <w:rFonts w:hint="default" w:ascii="Times New Roman" w:hAnsi="Times New Roman" w:eastAsia="宋体" w:cs="Times New Roman"/>
          <w:b/>
          <w:bCs/>
          <w:sz w:val="24"/>
          <w:szCs w:val="24"/>
          <w:lang w:val="en-US"/>
        </w:rPr>
      </w:pPr>
      <w:r>
        <w:rPr>
          <w:rFonts w:hint="eastAsia" w:ascii="Times New Roman" w:hAnsi="Times New Roman" w:eastAsia="宋体" w:cs="Times New Roman"/>
          <w:b/>
          <w:bCs/>
          <w:sz w:val="24"/>
          <w:szCs w:val="24"/>
        </w:rPr>
        <w:t>框架对比：</w:t>
      </w:r>
      <w:r>
        <w:rPr>
          <w:rFonts w:hint="eastAsia" w:cs="Times New Roman"/>
          <w:b/>
          <w:bCs/>
          <w:sz w:val="24"/>
          <w:szCs w:val="24"/>
          <w:lang w:val="en-US" w:eastAsia="zh-CN"/>
        </w:rPr>
        <w:t>战略、指标、目标、举措</w:t>
      </w:r>
    </w:p>
    <w:p w14:paraId="664C392B">
      <w:pPr>
        <w:spacing w:line="360" w:lineRule="auto"/>
        <w:ind w:firstLine="420" w:firstLineChars="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本指南借鉴IFRS S1/S2</w:t>
      </w:r>
      <w:r>
        <w:rPr>
          <w:rFonts w:hint="eastAsia" w:cs="Times New Roman"/>
          <w:sz w:val="24"/>
          <w:szCs w:val="24"/>
          <w:lang w:eastAsia="zh-CN"/>
        </w:rPr>
        <w:t>、</w:t>
      </w:r>
      <w:r>
        <w:rPr>
          <w:rFonts w:hint="eastAsia" w:cs="Times New Roman"/>
          <w:sz w:val="24"/>
          <w:szCs w:val="24"/>
          <w:lang w:val="en-US" w:eastAsia="zh-CN"/>
        </w:rPr>
        <w:t>财务部《准则》</w:t>
      </w:r>
      <w:r>
        <w:rPr>
          <w:rFonts w:hint="eastAsia" w:ascii="Times New Roman" w:hAnsi="Times New Roman" w:eastAsia="宋体" w:cs="Times New Roman"/>
          <w:sz w:val="24"/>
          <w:szCs w:val="24"/>
        </w:rPr>
        <w:t>强调的将ESG风险与机遇纳入企业整体战略规划，推动企业前瞻性识别并管理环境和社会相关风险。指标体系参照国际标准</w:t>
      </w:r>
      <w:r>
        <w:rPr>
          <w:rFonts w:hint="eastAsia" w:cs="Times New Roman"/>
          <w:sz w:val="24"/>
          <w:szCs w:val="24"/>
          <w:lang w:val="en-US" w:eastAsia="zh-CN"/>
        </w:rPr>
        <w:t>GRI、SASB，以及国内证监会《指南》</w:t>
      </w:r>
      <w:r>
        <w:rPr>
          <w:rFonts w:hint="eastAsia" w:ascii="Times New Roman" w:hAnsi="Times New Roman" w:eastAsia="宋体" w:cs="Times New Roman"/>
          <w:sz w:val="24"/>
          <w:szCs w:val="24"/>
        </w:rPr>
        <w:t>设计，涵盖环境、社会和治理多个维度，确保指标科学、可量化且具备国际可比性。目标设定注重可实现性与挑战性结合，支持企业长期可持续发展。举措方面，指南明确要求企业制定具体、切实可行的</w:t>
      </w:r>
      <w:r>
        <w:rPr>
          <w:rFonts w:hint="eastAsia" w:cs="Times New Roman"/>
          <w:sz w:val="24"/>
          <w:szCs w:val="24"/>
          <w:lang w:val="en-US" w:eastAsia="zh-CN"/>
        </w:rPr>
        <w:t>管理</w:t>
      </w:r>
      <w:r>
        <w:rPr>
          <w:rFonts w:hint="eastAsia" w:ascii="Times New Roman" w:hAnsi="Times New Roman" w:eastAsia="宋体" w:cs="Times New Roman"/>
          <w:sz w:val="24"/>
          <w:szCs w:val="24"/>
        </w:rPr>
        <w:t>行动计划</w:t>
      </w:r>
      <w:r>
        <w:rPr>
          <w:rFonts w:hint="eastAsia" w:cs="Times New Roman"/>
          <w:sz w:val="24"/>
          <w:szCs w:val="24"/>
          <w:lang w:val="en-US" w:eastAsia="zh-CN"/>
        </w:rPr>
        <w:t>与技术路径</w:t>
      </w:r>
      <w:r>
        <w:rPr>
          <w:rFonts w:hint="eastAsia" w:ascii="Times New Roman" w:hAnsi="Times New Roman" w:eastAsia="宋体" w:cs="Times New Roman"/>
          <w:sz w:val="24"/>
          <w:szCs w:val="24"/>
        </w:rPr>
        <w:t>，以实现既定ESG目标，促进战略落地。</w:t>
      </w:r>
    </w:p>
    <w:p w14:paraId="7ED41359">
      <w:pPr>
        <w:spacing w:line="360" w:lineRule="auto"/>
        <w:ind w:firstLine="420" w:firstLineChars="0"/>
        <w:jc w:val="both"/>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结构对比：行业议题的协调</w:t>
      </w:r>
    </w:p>
    <w:p w14:paraId="0AE5EBD0">
      <w:pPr>
        <w:spacing w:line="360" w:lineRule="auto"/>
        <w:ind w:firstLine="420" w:firstLineChars="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本指南在ESG报告结构设计上，遵循国际惯例的行业议题分类，便于跨国企业和投资者进行横向比较。核心行业议题与IFRS及国际主流标准如SASB（现纳入IFRS体系）保持一致，同时结合国内</w:t>
      </w:r>
      <w:r>
        <w:rPr>
          <w:rFonts w:hint="eastAsia" w:cs="Times New Roman"/>
          <w:sz w:val="24"/>
          <w:szCs w:val="24"/>
          <w:lang w:val="en-US" w:eastAsia="zh-CN"/>
        </w:rPr>
        <w:t>建材</w:t>
      </w:r>
      <w:r>
        <w:rPr>
          <w:rFonts w:hint="eastAsia" w:ascii="Times New Roman" w:hAnsi="Times New Roman" w:eastAsia="宋体" w:cs="Times New Roman"/>
          <w:sz w:val="24"/>
          <w:szCs w:val="24"/>
        </w:rPr>
        <w:t>行业的环境和社会特征，进行了有针对性的调整和优化。</w:t>
      </w:r>
    </w:p>
    <w:p w14:paraId="0092A991">
      <w:pPr>
        <w:spacing w:line="360" w:lineRule="auto"/>
        <w:ind w:firstLine="420" w:firstLineChars="0"/>
        <w:jc w:val="both"/>
        <w:rPr>
          <w:rFonts w:hint="default" w:cs="Times New Roman"/>
          <w:sz w:val="24"/>
          <w:szCs w:val="24"/>
          <w:lang w:eastAsia="zh-Hans"/>
        </w:rPr>
      </w:pPr>
      <w:r>
        <w:rPr>
          <w:rFonts w:hint="eastAsia" w:ascii="Times New Roman" w:hAnsi="Times New Roman" w:eastAsia="宋体" w:cs="Times New Roman"/>
          <w:sz w:val="24"/>
          <w:szCs w:val="24"/>
        </w:rPr>
        <w:t>综上，本指南紧密对接国际ESG信息披露标准体系，结合中国实际</w:t>
      </w:r>
      <w:r>
        <w:rPr>
          <w:rFonts w:hint="eastAsia" w:cs="Times New Roman"/>
          <w:sz w:val="24"/>
          <w:szCs w:val="24"/>
          <w:lang w:val="en-US" w:eastAsia="zh-CN"/>
        </w:rPr>
        <w:t>及建材行业特色，</w:t>
      </w:r>
      <w:r>
        <w:rPr>
          <w:rFonts w:hint="eastAsia" w:ascii="Times New Roman" w:hAnsi="Times New Roman" w:eastAsia="宋体" w:cs="Times New Roman"/>
          <w:sz w:val="24"/>
          <w:szCs w:val="24"/>
        </w:rPr>
        <w:t>推动我国</w:t>
      </w:r>
      <w:r>
        <w:rPr>
          <w:rFonts w:hint="eastAsia" w:cs="Times New Roman"/>
          <w:sz w:val="24"/>
          <w:szCs w:val="24"/>
          <w:lang w:val="en-US" w:eastAsia="zh-CN"/>
        </w:rPr>
        <w:t>建材行业</w:t>
      </w:r>
      <w:r>
        <w:rPr>
          <w:rFonts w:hint="eastAsia" w:ascii="Times New Roman" w:hAnsi="Times New Roman" w:eastAsia="宋体" w:cs="Times New Roman"/>
          <w:sz w:val="24"/>
          <w:szCs w:val="24"/>
        </w:rPr>
        <w:t>ESG报告质量和国际接轨水平持续提升，助力</w:t>
      </w:r>
      <w:r>
        <w:rPr>
          <w:rFonts w:hint="eastAsia" w:cs="Times New Roman"/>
          <w:sz w:val="24"/>
          <w:szCs w:val="24"/>
          <w:lang w:val="en-US" w:eastAsia="zh-CN"/>
        </w:rPr>
        <w:t>建材</w:t>
      </w:r>
      <w:r>
        <w:rPr>
          <w:rFonts w:hint="eastAsia" w:ascii="Times New Roman" w:hAnsi="Times New Roman" w:eastAsia="宋体" w:cs="Times New Roman"/>
          <w:sz w:val="24"/>
          <w:szCs w:val="24"/>
        </w:rPr>
        <w:t>企业在全球资本市场中</w:t>
      </w:r>
      <w:r>
        <w:rPr>
          <w:rFonts w:hint="eastAsia" w:cs="Times New Roman"/>
          <w:sz w:val="24"/>
          <w:szCs w:val="24"/>
          <w:lang w:val="en-US" w:eastAsia="zh-CN"/>
        </w:rPr>
        <w:t>提升</w:t>
      </w:r>
      <w:r>
        <w:rPr>
          <w:rFonts w:hint="eastAsia" w:ascii="Times New Roman" w:hAnsi="Times New Roman" w:eastAsia="宋体" w:cs="Times New Roman"/>
          <w:sz w:val="24"/>
          <w:szCs w:val="24"/>
        </w:rPr>
        <w:t>竞争力和影响力。</w:t>
      </w:r>
    </w:p>
    <w:p w14:paraId="27FE51D1">
      <w:pPr>
        <w:pStyle w:val="2"/>
        <w:numPr>
          <w:ilvl w:val="0"/>
          <w:numId w:val="8"/>
        </w:numPr>
        <w:spacing w:line="360" w:lineRule="auto"/>
        <w:rPr>
          <w:highlight w:val="none"/>
        </w:rPr>
      </w:pPr>
      <w:r>
        <w:rPr>
          <w:highlight w:val="none"/>
        </w:rPr>
        <w:t>与现行相关法律、法规、规章及相关标准，特别是强制性标准的协调性</w:t>
      </w:r>
    </w:p>
    <w:p w14:paraId="0A6C5E1B">
      <w:pPr>
        <w:numPr>
          <w:ilvl w:val="0"/>
          <w:numId w:val="0"/>
        </w:numPr>
        <w:ind w:firstLine="420" w:firstLineChars="0"/>
        <w:rPr>
          <w:rFonts w:hint="default"/>
          <w:lang w:eastAsia="zh-Hans"/>
        </w:rPr>
      </w:pPr>
      <w:r>
        <w:rPr>
          <w:rFonts w:hint="eastAsia"/>
          <w:lang w:val="en-US" w:eastAsia="zh-CN"/>
        </w:rPr>
        <w:t>本文件</w:t>
      </w:r>
      <w:r>
        <w:rPr>
          <w:rFonts w:hint="eastAsia"/>
          <w:lang w:val="en-US" w:eastAsia="zh-Hans"/>
        </w:rPr>
        <w:t>充分梳理并参考了现有的</w:t>
      </w:r>
      <w:r>
        <w:rPr>
          <w:rFonts w:hint="eastAsia"/>
          <w:lang w:val="en-US" w:eastAsia="zh-CN"/>
        </w:rPr>
        <w:t>法律法规</w:t>
      </w:r>
      <w:r>
        <w:rPr>
          <w:rFonts w:hint="eastAsia"/>
          <w:lang w:val="en-US" w:eastAsia="zh-Hans"/>
        </w:rPr>
        <w:t>政策文件与</w:t>
      </w:r>
      <w:r>
        <w:rPr>
          <w:rFonts w:hint="eastAsia"/>
          <w:lang w:val="en-US" w:eastAsia="zh-CN"/>
        </w:rPr>
        <w:t>标准</w:t>
      </w:r>
      <w:r>
        <w:rPr>
          <w:rFonts w:hint="eastAsia"/>
          <w:lang w:val="en-US" w:eastAsia="zh-Hans"/>
        </w:rPr>
        <w:t>体系</w:t>
      </w:r>
      <w:r>
        <w:rPr>
          <w:rFonts w:hint="default"/>
          <w:lang w:eastAsia="zh-Hans"/>
        </w:rPr>
        <w:t>，充分考虑了我国现行环境保护法、公司法、证券法等相关法律法规，以及国务院及各部委发布的环保、安全生产、信息披露等规章制度，确保标准内容与法律法规高度吻合，避免冲突和重复，确保企业依法合规履行ESG信息披露义务。</w:t>
      </w:r>
    </w:p>
    <w:p w14:paraId="1596E702">
      <w:pPr>
        <w:numPr>
          <w:ilvl w:val="0"/>
          <w:numId w:val="0"/>
        </w:numPr>
        <w:ind w:firstLine="420" w:firstLineChars="0"/>
        <w:rPr>
          <w:rFonts w:hint="eastAsia"/>
          <w:lang w:val="en-US" w:eastAsia="zh-CN"/>
        </w:rPr>
      </w:pPr>
      <w:r>
        <w:rPr>
          <w:rFonts w:hint="eastAsia"/>
          <w:lang w:val="en-US" w:eastAsia="zh-CN"/>
        </w:rPr>
        <w:t>参照证监会指导三大交易所发布的《上市公司自律监管指引——可持续发展报告（试行）》与财政部同九部委发布《企业可持续披露准则——基本准则（试行）》，时效性要求（会计年度结束后4个月内披露）时限一致、核心原则与标准框架相互协调。</w:t>
      </w:r>
    </w:p>
    <w:p w14:paraId="75987B01">
      <w:pPr>
        <w:numPr>
          <w:ilvl w:val="0"/>
          <w:numId w:val="0"/>
        </w:numPr>
        <w:ind w:firstLine="420" w:firstLineChars="0"/>
        <w:rPr>
          <w:rFonts w:hint="default"/>
          <w:lang w:val="en-US" w:eastAsia="zh-CN"/>
        </w:rPr>
      </w:pPr>
      <w:r>
        <w:rPr>
          <w:rFonts w:hint="eastAsia"/>
          <w:lang w:val="en-US" w:eastAsia="zh-CN"/>
        </w:rPr>
        <w:t>与T/CBMF 268.1《信息披露》及T/CBMF 268.2《绩效评价》作为同系列标准，在报告内容、指标选取上保持一致，形成“披露-评价-报告”完整链条。</w:t>
      </w:r>
    </w:p>
    <w:p w14:paraId="6D88C43D">
      <w:pPr>
        <w:numPr>
          <w:ilvl w:val="0"/>
          <w:numId w:val="0"/>
        </w:numPr>
        <w:ind w:firstLine="420" w:firstLineChars="0"/>
        <w:rPr>
          <w:rFonts w:hint="eastAsia" w:eastAsia="宋体"/>
          <w:lang w:val="en-US" w:eastAsia="zh-Hans"/>
        </w:rPr>
      </w:pPr>
      <w:r>
        <w:rPr>
          <w:rFonts w:hint="eastAsia"/>
          <w:lang w:val="en-US" w:eastAsia="zh-Hans"/>
        </w:rPr>
        <w:t>在双碳背景下</w:t>
      </w:r>
      <w:r>
        <w:rPr>
          <w:rFonts w:hint="default"/>
          <w:lang w:eastAsia="zh-Hans"/>
        </w:rPr>
        <w:t>，</w:t>
      </w:r>
      <w:r>
        <w:rPr>
          <w:rFonts w:hint="eastAsia"/>
          <w:lang w:val="en-US" w:eastAsia="zh-Hans"/>
        </w:rPr>
        <w:t>通过规范建材行业企业</w:t>
      </w:r>
      <w:r>
        <w:rPr>
          <w:rFonts w:hint="eastAsia"/>
          <w:lang w:val="en-US" w:eastAsia="zh-CN"/>
        </w:rPr>
        <w:t>报告编制</w:t>
      </w:r>
      <w:r>
        <w:rPr>
          <w:rFonts w:hint="default"/>
          <w:lang w:eastAsia="zh-Hans"/>
        </w:rPr>
        <w:t>，为企业提供兼具合规性与前瞻性的ESG报告编制依据</w:t>
      </w:r>
      <w:r>
        <w:rPr>
          <w:rFonts w:hint="eastAsia"/>
          <w:lang w:eastAsia="zh-CN"/>
        </w:rPr>
        <w:t>，</w:t>
      </w:r>
      <w:r>
        <w:rPr>
          <w:rFonts w:hint="eastAsia"/>
          <w:lang w:val="en-US" w:eastAsia="zh-Hans"/>
        </w:rPr>
        <w:t>完善建材行业企业</w:t>
      </w:r>
      <w:r>
        <w:rPr>
          <w:rFonts w:hint="eastAsia"/>
          <w:lang w:val="en-US" w:eastAsia="zh-CN"/>
        </w:rPr>
        <w:t>ESG报告编制</w:t>
      </w:r>
      <w:r>
        <w:rPr>
          <w:rFonts w:hint="eastAsia"/>
          <w:lang w:val="en-US" w:eastAsia="zh-Hans"/>
        </w:rPr>
        <w:t>水平</w:t>
      </w:r>
      <w:r>
        <w:rPr>
          <w:rFonts w:hint="default"/>
          <w:lang w:eastAsia="zh-Hans"/>
        </w:rPr>
        <w:t>，</w:t>
      </w:r>
      <w:r>
        <w:rPr>
          <w:rFonts w:hint="eastAsia"/>
          <w:lang w:val="en-US" w:eastAsia="zh-Hans"/>
        </w:rPr>
        <w:t>提高建材行业信息披露质量</w:t>
      </w:r>
      <w:r>
        <w:rPr>
          <w:rFonts w:hint="default"/>
          <w:lang w:eastAsia="zh-Hans"/>
        </w:rPr>
        <w:t>，</w:t>
      </w:r>
      <w:r>
        <w:rPr>
          <w:rFonts w:hint="eastAsia"/>
          <w:lang w:val="en-US" w:eastAsia="zh-Hans"/>
        </w:rPr>
        <w:t>促进建材行业企业可持续发展</w:t>
      </w:r>
      <w:r>
        <w:rPr>
          <w:rFonts w:hint="default"/>
          <w:lang w:eastAsia="zh-Hans"/>
        </w:rPr>
        <w:t>。</w:t>
      </w:r>
    </w:p>
    <w:p w14:paraId="0F48BFAA">
      <w:pPr>
        <w:pStyle w:val="2"/>
        <w:spacing w:line="360" w:lineRule="auto"/>
      </w:pPr>
      <w:bookmarkStart w:id="7" w:name="_Hlk48572379"/>
      <w:r>
        <w:rPr>
          <w:rFonts w:hint="eastAsia"/>
        </w:rPr>
        <w:t>8.</w:t>
      </w:r>
      <w:r>
        <w:t xml:space="preserve"> 重大分歧意见的处理经过和依据</w:t>
      </w:r>
    </w:p>
    <w:p w14:paraId="4A7D9399">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无重大分歧意见。</w:t>
      </w:r>
    </w:p>
    <w:p w14:paraId="6052B6FD">
      <w:pPr>
        <w:pStyle w:val="2"/>
        <w:spacing w:line="360" w:lineRule="auto"/>
      </w:pPr>
      <w:r>
        <w:rPr>
          <w:rFonts w:hint="eastAsia"/>
        </w:rPr>
        <w:t>9.</w:t>
      </w:r>
      <w:r>
        <w:t xml:space="preserve"> 标准性质的建议说明</w:t>
      </w:r>
    </w:p>
    <w:p w14:paraId="435935DF">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建议作为</w:t>
      </w:r>
      <w:r>
        <w:rPr>
          <w:rFonts w:hint="eastAsia" w:ascii="宋体" w:hAnsi="宋体"/>
          <w:sz w:val="24"/>
          <w:szCs w:val="24"/>
          <w:lang w:val="en-US" w:eastAsia="zh-CN"/>
        </w:rPr>
        <w:t>中国建筑材料联合会协会</w:t>
      </w:r>
      <w:r>
        <w:rPr>
          <w:rFonts w:hint="eastAsia" w:ascii="宋体" w:hAnsi="宋体" w:eastAsia="宋体"/>
          <w:sz w:val="24"/>
          <w:szCs w:val="24"/>
        </w:rPr>
        <w:t>标准发布。</w:t>
      </w:r>
    </w:p>
    <w:p w14:paraId="6906E63D">
      <w:pPr>
        <w:pStyle w:val="2"/>
        <w:spacing w:line="360" w:lineRule="auto"/>
      </w:pPr>
      <w:r>
        <w:rPr>
          <w:rFonts w:hint="eastAsia"/>
        </w:rPr>
        <w:t>10.</w:t>
      </w:r>
      <w:r>
        <w:t xml:space="preserve"> 贯彻标准的要求和措施建议（包括组织措施、技术措施、过度办法、实施日期等）</w:t>
      </w:r>
    </w:p>
    <w:p w14:paraId="4459E88D">
      <w:pPr>
        <w:spacing w:line="360" w:lineRule="auto"/>
        <w:ind w:firstLine="480" w:firstLineChars="200"/>
        <w:jc w:val="left"/>
        <w:rPr>
          <w:rFonts w:hint="default" w:ascii="Times New Roman" w:hAnsi="Times New Roman" w:eastAsia="宋体" w:cs="Times New Roman"/>
          <w:sz w:val="24"/>
          <w:szCs w:val="24"/>
          <w:lang w:val="en-US" w:eastAsia="zh-CN"/>
        </w:rPr>
      </w:pPr>
      <w:r>
        <w:rPr>
          <w:rFonts w:hint="eastAsia" w:cs="Times New Roman"/>
          <w:sz w:val="24"/>
          <w:szCs w:val="24"/>
          <w:lang w:eastAsia="zh-CN"/>
        </w:rPr>
        <w:t>本文件</w:t>
      </w:r>
      <w:r>
        <w:rPr>
          <w:rFonts w:ascii="Times New Roman" w:hAnsi="Times New Roman" w:eastAsia="宋体" w:cs="Times New Roman"/>
          <w:sz w:val="24"/>
          <w:szCs w:val="24"/>
        </w:rPr>
        <w:t>是</w:t>
      </w:r>
      <w:r>
        <w:rPr>
          <w:rFonts w:hint="eastAsia" w:cs="Times New Roman"/>
          <w:sz w:val="24"/>
          <w:szCs w:val="24"/>
          <w:lang w:val="en-US" w:eastAsia="zh-Hans"/>
        </w:rPr>
        <w:t>建材行业企业披露</w:t>
      </w:r>
      <w:r>
        <w:rPr>
          <w:rFonts w:hint="default" w:cs="Times New Roman"/>
          <w:sz w:val="24"/>
          <w:szCs w:val="24"/>
          <w:lang w:eastAsia="zh-Hans"/>
        </w:rPr>
        <w:t>ESG</w:t>
      </w:r>
      <w:r>
        <w:rPr>
          <w:rFonts w:hint="eastAsia" w:cs="Times New Roman"/>
          <w:sz w:val="24"/>
          <w:szCs w:val="24"/>
          <w:lang w:val="en-US" w:eastAsia="zh-Hans"/>
        </w:rPr>
        <w:t>信息</w:t>
      </w:r>
      <w:r>
        <w:rPr>
          <w:rFonts w:ascii="Times New Roman" w:hAnsi="Times New Roman" w:eastAsia="宋体" w:cs="Times New Roman"/>
          <w:sz w:val="24"/>
          <w:szCs w:val="24"/>
        </w:rPr>
        <w:t>的</w:t>
      </w:r>
      <w:r>
        <w:rPr>
          <w:rFonts w:hint="eastAsia" w:cs="Times New Roman"/>
          <w:sz w:val="24"/>
          <w:szCs w:val="24"/>
          <w:lang w:val="en-US" w:eastAsia="zh-Hans"/>
        </w:rPr>
        <w:t>指南</w:t>
      </w:r>
      <w:r>
        <w:rPr>
          <w:rFonts w:ascii="Times New Roman" w:hAnsi="Times New Roman" w:eastAsia="宋体" w:cs="Times New Roman"/>
          <w:sz w:val="24"/>
          <w:szCs w:val="24"/>
        </w:rPr>
        <w:t>性文件，建议</w:t>
      </w:r>
      <w:r>
        <w:rPr>
          <w:rFonts w:hint="eastAsia" w:cs="Times New Roman"/>
          <w:sz w:val="24"/>
          <w:szCs w:val="24"/>
          <w:lang w:val="en-US" w:eastAsia="zh-CN"/>
        </w:rPr>
        <w:t>尽快</w:t>
      </w:r>
      <w:r>
        <w:rPr>
          <w:rFonts w:ascii="Times New Roman" w:hAnsi="Times New Roman" w:eastAsia="宋体" w:cs="Times New Roman"/>
          <w:sz w:val="24"/>
          <w:szCs w:val="24"/>
        </w:rPr>
        <w:t>发布实施。</w:t>
      </w:r>
    </w:p>
    <w:p w14:paraId="1388A967">
      <w:pPr>
        <w:pStyle w:val="2"/>
        <w:spacing w:line="360" w:lineRule="auto"/>
      </w:pPr>
      <w:r>
        <w:rPr>
          <w:rFonts w:hint="eastAsia"/>
        </w:rPr>
        <w:t xml:space="preserve">11. </w:t>
      </w:r>
      <w:r>
        <w:t>废止现行相关标准的建议</w:t>
      </w:r>
    </w:p>
    <w:p w14:paraId="11F4E2B3">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无。</w:t>
      </w:r>
    </w:p>
    <w:p w14:paraId="7A533994">
      <w:pPr>
        <w:pStyle w:val="2"/>
        <w:spacing w:line="360" w:lineRule="auto"/>
      </w:pPr>
      <w:r>
        <w:rPr>
          <w:rFonts w:hint="eastAsia"/>
        </w:rPr>
        <w:t>12.</w:t>
      </w:r>
      <w:r>
        <w:t xml:space="preserve"> 其它应予说明的事项</w:t>
      </w:r>
    </w:p>
    <w:p w14:paraId="713995D0">
      <w:pPr>
        <w:spacing w:line="360" w:lineRule="auto"/>
        <w:ind w:firstLine="480" w:firstLineChars="200"/>
        <w:jc w:val="left"/>
      </w:pPr>
      <w:r>
        <w:rPr>
          <w:rFonts w:hint="eastAsia" w:ascii="宋体" w:hAnsi="宋体" w:eastAsia="宋体"/>
          <w:sz w:val="24"/>
          <w:szCs w:val="24"/>
        </w:rPr>
        <w:t>无。</w:t>
      </w:r>
      <w:bookmarkEnd w:id="7"/>
    </w:p>
    <w:sectPr>
      <w:footerReference r:id="rId6" w:type="default"/>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宋体è.....">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
    </w:sdtPr>
    <w:sdtContent>
      <w:p w14:paraId="40B536E0">
        <w:pPr>
          <w:pStyle w:val="16"/>
          <w:jc w:val="center"/>
        </w:pPr>
        <w:r>
          <w:fldChar w:fldCharType="begin"/>
        </w:r>
        <w:r>
          <w:instrText xml:space="preserve">PAGE   \* MERGEFORMAT</w:instrText>
        </w:r>
        <w:r>
          <w:fldChar w:fldCharType="separate"/>
        </w:r>
        <w:r>
          <w:rPr>
            <w:lang w:val="zh-CN"/>
          </w:rPr>
          <w:t>2</w:t>
        </w:r>
        <w:r>
          <w:fldChar w:fldCharType="end"/>
        </w:r>
      </w:p>
    </w:sdtContent>
  </w:sdt>
  <w:p w14:paraId="0BEF1CAC">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
    </w:sdtPr>
    <w:sdtContent>
      <w:p w14:paraId="22EDAE57">
        <w:pPr>
          <w:pStyle w:val="16"/>
          <w:jc w:val="center"/>
        </w:pPr>
        <w:r>
          <w:fldChar w:fldCharType="begin"/>
        </w:r>
        <w:r>
          <w:instrText xml:space="preserve">PAGE   \* MERGEFORMAT</w:instrText>
        </w:r>
        <w:r>
          <w:fldChar w:fldCharType="separate"/>
        </w:r>
        <w:r>
          <w:rPr>
            <w:lang w:val="zh-CN"/>
          </w:rPr>
          <w:t>2</w:t>
        </w:r>
        <w:r>
          <w:fldChar w:fldCharType="end"/>
        </w:r>
      </w:p>
    </w:sdtContent>
  </w:sdt>
  <w:p w14:paraId="00776518">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338DA"/>
    <w:multiLevelType w:val="singleLevel"/>
    <w:tmpl w:val="8A3338DA"/>
    <w:lvl w:ilvl="0" w:tentative="0">
      <w:start w:val="1"/>
      <w:numFmt w:val="bullet"/>
      <w:lvlText w:val=""/>
      <w:lvlJc w:val="left"/>
      <w:pPr>
        <w:ind w:left="420" w:hanging="420"/>
      </w:pPr>
      <w:rPr>
        <w:rFonts w:hint="default" w:ascii="Wingdings" w:hAnsi="Wingdings"/>
      </w:rPr>
    </w:lvl>
  </w:abstractNum>
  <w:abstractNum w:abstractNumId="1">
    <w:nsid w:val="CD898B17"/>
    <w:multiLevelType w:val="singleLevel"/>
    <w:tmpl w:val="CD898B17"/>
    <w:lvl w:ilvl="0" w:tentative="0">
      <w:start w:val="1"/>
      <w:numFmt w:val="decimal"/>
      <w:suff w:val="nothing"/>
      <w:lvlText w:val="%1）"/>
      <w:lvlJc w:val="left"/>
    </w:lvl>
  </w:abstractNum>
  <w:abstractNum w:abstractNumId="2">
    <w:nsid w:val="E407E140"/>
    <w:multiLevelType w:val="singleLevel"/>
    <w:tmpl w:val="E407E140"/>
    <w:lvl w:ilvl="0" w:tentative="0">
      <w:start w:val="1"/>
      <w:numFmt w:val="decimal"/>
      <w:suff w:val="nothing"/>
      <w:lvlText w:val="%1）"/>
      <w:lvlJc w:val="left"/>
    </w:lvl>
  </w:abstractNum>
  <w:abstractNum w:abstractNumId="3">
    <w:nsid w:val="F0F79048"/>
    <w:multiLevelType w:val="singleLevel"/>
    <w:tmpl w:val="F0F79048"/>
    <w:lvl w:ilvl="0" w:tentative="0">
      <w:start w:val="1"/>
      <w:numFmt w:val="decimal"/>
      <w:suff w:val="nothing"/>
      <w:lvlText w:val="%1）"/>
      <w:lvlJc w:val="left"/>
    </w:lvl>
  </w:abstractNum>
  <w:abstractNum w:abstractNumId="4">
    <w:nsid w:val="34D22F92"/>
    <w:multiLevelType w:val="singleLevel"/>
    <w:tmpl w:val="34D22F92"/>
    <w:lvl w:ilvl="0" w:tentative="0">
      <w:start w:val="1"/>
      <w:numFmt w:val="decimal"/>
      <w:suff w:val="nothing"/>
      <w:lvlText w:val="%1）"/>
      <w:lvlJc w:val="left"/>
    </w:lvl>
  </w:abstractNum>
  <w:abstractNum w:abstractNumId="5">
    <w:nsid w:val="637EF085"/>
    <w:multiLevelType w:val="singleLevel"/>
    <w:tmpl w:val="637EF085"/>
    <w:lvl w:ilvl="0" w:tentative="0">
      <w:start w:val="3"/>
      <w:numFmt w:val="decimal"/>
      <w:suff w:val="space"/>
      <w:lvlText w:val="%1."/>
      <w:lvlJc w:val="left"/>
    </w:lvl>
  </w:abstractNum>
  <w:abstractNum w:abstractNumId="6">
    <w:nsid w:val="637F273F"/>
    <w:multiLevelType w:val="singleLevel"/>
    <w:tmpl w:val="637F273F"/>
    <w:lvl w:ilvl="0" w:tentative="0">
      <w:start w:val="7"/>
      <w:numFmt w:val="decimal"/>
      <w:suff w:val="space"/>
      <w:lvlText w:val="%1."/>
      <w:lvlJc w:val="left"/>
    </w:lvl>
  </w:abstractNum>
  <w:abstractNum w:abstractNumId="7">
    <w:nsid w:val="657D3FBC"/>
    <w:multiLevelType w:val="multilevel"/>
    <w:tmpl w:val="657D3FBC"/>
    <w:lvl w:ilvl="0" w:tentative="0">
      <w:start w:val="1"/>
      <w:numFmt w:val="upperLetter"/>
      <w:pStyle w:val="60"/>
      <w:suff w:val="nothing"/>
      <w:lvlText w:val="附　录　%1"/>
      <w:lvlJc w:val="left"/>
      <w:pPr>
        <w:ind w:left="5671" w:firstLine="0"/>
      </w:pPr>
      <w:rPr>
        <w:rFonts w:hint="eastAsia" w:ascii="黑体" w:hAnsi="Times New Roman" w:eastAsia="黑体"/>
        <w:b w:val="0"/>
        <w:i w:val="0"/>
        <w:spacing w:val="0"/>
        <w:w w:val="100"/>
        <w:sz w:val="28"/>
        <w:szCs w:val="28"/>
      </w:rPr>
    </w:lvl>
    <w:lvl w:ilvl="1" w:tentative="0">
      <w:start w:val="1"/>
      <w:numFmt w:val="decimal"/>
      <w:suff w:val="nothing"/>
      <w:lvlText w:val="%1.%2　"/>
      <w:lvlJc w:val="left"/>
      <w:pPr>
        <w:ind w:left="-567"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567" w:firstLine="0"/>
      </w:pPr>
      <w:rPr>
        <w:rFonts w:hint="eastAsia" w:ascii="黑体" w:hAnsi="Times New Roman" w:eastAsia="黑体"/>
        <w:b w:val="0"/>
        <w:i w:val="0"/>
        <w:sz w:val="21"/>
      </w:rPr>
    </w:lvl>
    <w:lvl w:ilvl="4" w:tentative="0">
      <w:start w:val="1"/>
      <w:numFmt w:val="decimal"/>
      <w:suff w:val="nothing"/>
      <w:lvlText w:val="%1.%2.%3.%4.%5　"/>
      <w:lvlJc w:val="left"/>
      <w:pPr>
        <w:ind w:left="-567" w:firstLine="0"/>
      </w:pPr>
      <w:rPr>
        <w:rFonts w:hint="eastAsia" w:ascii="黑体" w:hAnsi="Times New Roman" w:eastAsia="黑体"/>
        <w:b w:val="0"/>
        <w:i w:val="0"/>
        <w:sz w:val="21"/>
      </w:rPr>
    </w:lvl>
    <w:lvl w:ilvl="5" w:tentative="0">
      <w:start w:val="1"/>
      <w:numFmt w:val="decimal"/>
      <w:suff w:val="nothing"/>
      <w:lvlText w:val="%1.%2.%3.%4.%5.%6　"/>
      <w:lvlJc w:val="left"/>
      <w:pPr>
        <w:ind w:left="-567" w:firstLine="0"/>
      </w:pPr>
      <w:rPr>
        <w:rFonts w:hint="eastAsia" w:ascii="黑体" w:hAnsi="Times New Roman" w:eastAsia="黑体"/>
        <w:b w:val="0"/>
        <w:i w:val="0"/>
        <w:sz w:val="21"/>
      </w:rPr>
    </w:lvl>
    <w:lvl w:ilvl="6" w:tentative="0">
      <w:start w:val="1"/>
      <w:numFmt w:val="decimal"/>
      <w:suff w:val="nothing"/>
      <w:lvlText w:val="%1.%2.%3.%4.%5.%6.%7　"/>
      <w:lvlJc w:val="left"/>
      <w:pPr>
        <w:ind w:left="-567" w:firstLine="0"/>
      </w:pPr>
      <w:rPr>
        <w:rFonts w:hint="eastAsia" w:ascii="黑体" w:hAnsi="Times New Roman" w:eastAsia="黑体"/>
        <w:b w:val="0"/>
        <w:i w:val="0"/>
        <w:sz w:val="21"/>
      </w:rPr>
    </w:lvl>
    <w:lvl w:ilvl="7" w:tentative="0">
      <w:start w:val="1"/>
      <w:numFmt w:val="decimal"/>
      <w:lvlText w:val="%1.%2.%3.%4.%5.%6.%7.%8"/>
      <w:lvlJc w:val="left"/>
      <w:pPr>
        <w:tabs>
          <w:tab w:val="left" w:pos="3827"/>
        </w:tabs>
        <w:ind w:left="3827" w:hanging="1418"/>
      </w:pPr>
      <w:rPr>
        <w:rFonts w:hint="eastAsia"/>
      </w:rPr>
    </w:lvl>
    <w:lvl w:ilvl="8" w:tentative="0">
      <w:start w:val="1"/>
      <w:numFmt w:val="decimal"/>
      <w:lvlText w:val="%1.%2.%3.%4.%5.%6.%7.%8.%9"/>
      <w:lvlJc w:val="left"/>
      <w:pPr>
        <w:tabs>
          <w:tab w:val="left" w:pos="4535"/>
        </w:tabs>
        <w:ind w:left="4535" w:hanging="1700"/>
      </w:pPr>
      <w:rPr>
        <w:rFonts w:hint="eastAsia"/>
      </w:rPr>
    </w:lvl>
  </w:abstractNum>
  <w:num w:numId="1">
    <w:abstractNumId w:val="7"/>
  </w:num>
  <w:num w:numId="2">
    <w:abstractNumId w:val="0"/>
  </w:num>
  <w:num w:numId="3">
    <w:abstractNumId w:val="1"/>
  </w:num>
  <w:num w:numId="4">
    <w:abstractNumId w:val="4"/>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lYTViZjc1OThkMGI1NjAwNjI5YzUxZWQzZTNhY2EifQ=="/>
  </w:docVars>
  <w:rsids>
    <w:rsidRoot w:val="00A44740"/>
    <w:rsid w:val="00014B23"/>
    <w:rsid w:val="00052EC3"/>
    <w:rsid w:val="00060E0E"/>
    <w:rsid w:val="0006223B"/>
    <w:rsid w:val="00062DF3"/>
    <w:rsid w:val="00063047"/>
    <w:rsid w:val="00074010"/>
    <w:rsid w:val="00074195"/>
    <w:rsid w:val="00084E29"/>
    <w:rsid w:val="00086A53"/>
    <w:rsid w:val="0008759A"/>
    <w:rsid w:val="0009205C"/>
    <w:rsid w:val="0009706C"/>
    <w:rsid w:val="000A2A16"/>
    <w:rsid w:val="000C25CA"/>
    <w:rsid w:val="000C4985"/>
    <w:rsid w:val="000C70E5"/>
    <w:rsid w:val="000F1C70"/>
    <w:rsid w:val="000F3110"/>
    <w:rsid w:val="00100A22"/>
    <w:rsid w:val="001036EC"/>
    <w:rsid w:val="001056F0"/>
    <w:rsid w:val="00134EDB"/>
    <w:rsid w:val="00135118"/>
    <w:rsid w:val="00147B4B"/>
    <w:rsid w:val="001507FB"/>
    <w:rsid w:val="00152ED0"/>
    <w:rsid w:val="00157539"/>
    <w:rsid w:val="001616F0"/>
    <w:rsid w:val="00173F75"/>
    <w:rsid w:val="0019472C"/>
    <w:rsid w:val="001956D9"/>
    <w:rsid w:val="00197160"/>
    <w:rsid w:val="001B6039"/>
    <w:rsid w:val="001C3128"/>
    <w:rsid w:val="001C3F5F"/>
    <w:rsid w:val="001D10DD"/>
    <w:rsid w:val="001F302C"/>
    <w:rsid w:val="001F4302"/>
    <w:rsid w:val="00204244"/>
    <w:rsid w:val="00204668"/>
    <w:rsid w:val="00207DC0"/>
    <w:rsid w:val="00213E35"/>
    <w:rsid w:val="00216537"/>
    <w:rsid w:val="0023275C"/>
    <w:rsid w:val="00237D75"/>
    <w:rsid w:val="00245A3A"/>
    <w:rsid w:val="00252664"/>
    <w:rsid w:val="00252E9B"/>
    <w:rsid w:val="00262857"/>
    <w:rsid w:val="00265E99"/>
    <w:rsid w:val="00266F5B"/>
    <w:rsid w:val="002701E3"/>
    <w:rsid w:val="002718E9"/>
    <w:rsid w:val="002736A5"/>
    <w:rsid w:val="00275C49"/>
    <w:rsid w:val="00277646"/>
    <w:rsid w:val="0028054B"/>
    <w:rsid w:val="00292851"/>
    <w:rsid w:val="00294E88"/>
    <w:rsid w:val="002971B1"/>
    <w:rsid w:val="002A261A"/>
    <w:rsid w:val="002B4006"/>
    <w:rsid w:val="002B452C"/>
    <w:rsid w:val="002B5907"/>
    <w:rsid w:val="002B5B9F"/>
    <w:rsid w:val="002C1D70"/>
    <w:rsid w:val="002D7767"/>
    <w:rsid w:val="002F3B05"/>
    <w:rsid w:val="002F7C10"/>
    <w:rsid w:val="003042D4"/>
    <w:rsid w:val="00304B33"/>
    <w:rsid w:val="0031147C"/>
    <w:rsid w:val="0032099D"/>
    <w:rsid w:val="00355499"/>
    <w:rsid w:val="00372D33"/>
    <w:rsid w:val="003748B3"/>
    <w:rsid w:val="003829BB"/>
    <w:rsid w:val="00383C67"/>
    <w:rsid w:val="0038434A"/>
    <w:rsid w:val="00391070"/>
    <w:rsid w:val="00397DCB"/>
    <w:rsid w:val="003A436C"/>
    <w:rsid w:val="003B396D"/>
    <w:rsid w:val="003D7A3C"/>
    <w:rsid w:val="003E5AED"/>
    <w:rsid w:val="003E6F5D"/>
    <w:rsid w:val="003F2881"/>
    <w:rsid w:val="003F7066"/>
    <w:rsid w:val="003F753A"/>
    <w:rsid w:val="0040121D"/>
    <w:rsid w:val="00402D94"/>
    <w:rsid w:val="00405A04"/>
    <w:rsid w:val="00407C93"/>
    <w:rsid w:val="00407EF8"/>
    <w:rsid w:val="00410227"/>
    <w:rsid w:val="004119AA"/>
    <w:rsid w:val="00413B70"/>
    <w:rsid w:val="00414736"/>
    <w:rsid w:val="00417CF6"/>
    <w:rsid w:val="00421F00"/>
    <w:rsid w:val="00422525"/>
    <w:rsid w:val="004345FA"/>
    <w:rsid w:val="00435025"/>
    <w:rsid w:val="0044148B"/>
    <w:rsid w:val="00445882"/>
    <w:rsid w:val="00447D76"/>
    <w:rsid w:val="0045694E"/>
    <w:rsid w:val="00463CD4"/>
    <w:rsid w:val="004856D0"/>
    <w:rsid w:val="00490A2C"/>
    <w:rsid w:val="004914F7"/>
    <w:rsid w:val="004922BA"/>
    <w:rsid w:val="00495081"/>
    <w:rsid w:val="00495F00"/>
    <w:rsid w:val="0049639F"/>
    <w:rsid w:val="004A04EB"/>
    <w:rsid w:val="004B3F7E"/>
    <w:rsid w:val="004B5B9E"/>
    <w:rsid w:val="004F0B11"/>
    <w:rsid w:val="004F521C"/>
    <w:rsid w:val="004F6E5D"/>
    <w:rsid w:val="00504FFC"/>
    <w:rsid w:val="00505013"/>
    <w:rsid w:val="00521666"/>
    <w:rsid w:val="00524AD4"/>
    <w:rsid w:val="0053331E"/>
    <w:rsid w:val="00534110"/>
    <w:rsid w:val="00534698"/>
    <w:rsid w:val="00546523"/>
    <w:rsid w:val="00551D66"/>
    <w:rsid w:val="00556128"/>
    <w:rsid w:val="00570D61"/>
    <w:rsid w:val="005715D0"/>
    <w:rsid w:val="0057552F"/>
    <w:rsid w:val="005812FA"/>
    <w:rsid w:val="00583A82"/>
    <w:rsid w:val="00585AEC"/>
    <w:rsid w:val="00590237"/>
    <w:rsid w:val="0059453D"/>
    <w:rsid w:val="00596D7D"/>
    <w:rsid w:val="005A14D6"/>
    <w:rsid w:val="005A2E1A"/>
    <w:rsid w:val="005B5633"/>
    <w:rsid w:val="005B564C"/>
    <w:rsid w:val="005B7B99"/>
    <w:rsid w:val="005C7032"/>
    <w:rsid w:val="005C73AE"/>
    <w:rsid w:val="005D74F8"/>
    <w:rsid w:val="005F0460"/>
    <w:rsid w:val="005F21B9"/>
    <w:rsid w:val="005F4299"/>
    <w:rsid w:val="006003EA"/>
    <w:rsid w:val="0060222E"/>
    <w:rsid w:val="00612DB7"/>
    <w:rsid w:val="006165EC"/>
    <w:rsid w:val="00617411"/>
    <w:rsid w:val="00621DE4"/>
    <w:rsid w:val="00625466"/>
    <w:rsid w:val="00641BAF"/>
    <w:rsid w:val="00642D1D"/>
    <w:rsid w:val="00643DB5"/>
    <w:rsid w:val="0065036F"/>
    <w:rsid w:val="00652233"/>
    <w:rsid w:val="00653CAC"/>
    <w:rsid w:val="00683F9C"/>
    <w:rsid w:val="006A0483"/>
    <w:rsid w:val="006B76FA"/>
    <w:rsid w:val="006B7CF5"/>
    <w:rsid w:val="006C0C9E"/>
    <w:rsid w:val="006E06E8"/>
    <w:rsid w:val="006E769E"/>
    <w:rsid w:val="007067E5"/>
    <w:rsid w:val="0070737E"/>
    <w:rsid w:val="00712C8B"/>
    <w:rsid w:val="0074202B"/>
    <w:rsid w:val="00743A1F"/>
    <w:rsid w:val="00747B8B"/>
    <w:rsid w:val="00753C0C"/>
    <w:rsid w:val="007638C1"/>
    <w:rsid w:val="007643FF"/>
    <w:rsid w:val="00766322"/>
    <w:rsid w:val="007716C7"/>
    <w:rsid w:val="00775070"/>
    <w:rsid w:val="0077565A"/>
    <w:rsid w:val="0079104B"/>
    <w:rsid w:val="007941B3"/>
    <w:rsid w:val="007B106C"/>
    <w:rsid w:val="007B782F"/>
    <w:rsid w:val="007C0E22"/>
    <w:rsid w:val="007C6AAC"/>
    <w:rsid w:val="007D087D"/>
    <w:rsid w:val="007D1A54"/>
    <w:rsid w:val="007D4AFA"/>
    <w:rsid w:val="007E7C3B"/>
    <w:rsid w:val="007F395E"/>
    <w:rsid w:val="007F49D0"/>
    <w:rsid w:val="008170E7"/>
    <w:rsid w:val="00821C88"/>
    <w:rsid w:val="0083350D"/>
    <w:rsid w:val="00840B57"/>
    <w:rsid w:val="00842BB2"/>
    <w:rsid w:val="008505AE"/>
    <w:rsid w:val="008508F8"/>
    <w:rsid w:val="008557FC"/>
    <w:rsid w:val="0087262A"/>
    <w:rsid w:val="0088039C"/>
    <w:rsid w:val="00881CB3"/>
    <w:rsid w:val="0088536A"/>
    <w:rsid w:val="008A4884"/>
    <w:rsid w:val="008B0D5A"/>
    <w:rsid w:val="008B512C"/>
    <w:rsid w:val="008B7A7E"/>
    <w:rsid w:val="008C2AE4"/>
    <w:rsid w:val="008C3F23"/>
    <w:rsid w:val="008D3273"/>
    <w:rsid w:val="008D5F84"/>
    <w:rsid w:val="008E0C2D"/>
    <w:rsid w:val="008E7B26"/>
    <w:rsid w:val="008E7D0D"/>
    <w:rsid w:val="008F3F9D"/>
    <w:rsid w:val="00905A74"/>
    <w:rsid w:val="00920126"/>
    <w:rsid w:val="00924514"/>
    <w:rsid w:val="00925904"/>
    <w:rsid w:val="009326DC"/>
    <w:rsid w:val="00933459"/>
    <w:rsid w:val="00937566"/>
    <w:rsid w:val="009448CC"/>
    <w:rsid w:val="009506BF"/>
    <w:rsid w:val="00962078"/>
    <w:rsid w:val="00972AB0"/>
    <w:rsid w:val="0098228C"/>
    <w:rsid w:val="009A6207"/>
    <w:rsid w:val="009C75BD"/>
    <w:rsid w:val="009C784D"/>
    <w:rsid w:val="009D4D9F"/>
    <w:rsid w:val="009D566A"/>
    <w:rsid w:val="009D6F2B"/>
    <w:rsid w:val="009E761B"/>
    <w:rsid w:val="009F2808"/>
    <w:rsid w:val="00A13BAF"/>
    <w:rsid w:val="00A228B2"/>
    <w:rsid w:val="00A25132"/>
    <w:rsid w:val="00A37E7F"/>
    <w:rsid w:val="00A44740"/>
    <w:rsid w:val="00A53003"/>
    <w:rsid w:val="00A54339"/>
    <w:rsid w:val="00A616D3"/>
    <w:rsid w:val="00A61F59"/>
    <w:rsid w:val="00A75542"/>
    <w:rsid w:val="00A832AC"/>
    <w:rsid w:val="00A83A56"/>
    <w:rsid w:val="00A860F8"/>
    <w:rsid w:val="00A87DF3"/>
    <w:rsid w:val="00A95666"/>
    <w:rsid w:val="00A9756C"/>
    <w:rsid w:val="00AB364F"/>
    <w:rsid w:val="00AB72DE"/>
    <w:rsid w:val="00AD024D"/>
    <w:rsid w:val="00AD5F9B"/>
    <w:rsid w:val="00AD619A"/>
    <w:rsid w:val="00AE2519"/>
    <w:rsid w:val="00AE5316"/>
    <w:rsid w:val="00B005E7"/>
    <w:rsid w:val="00B00A43"/>
    <w:rsid w:val="00B0216D"/>
    <w:rsid w:val="00B1473F"/>
    <w:rsid w:val="00B235C1"/>
    <w:rsid w:val="00B3385A"/>
    <w:rsid w:val="00B36867"/>
    <w:rsid w:val="00B459D5"/>
    <w:rsid w:val="00B46051"/>
    <w:rsid w:val="00B508DE"/>
    <w:rsid w:val="00B548B4"/>
    <w:rsid w:val="00B62EAA"/>
    <w:rsid w:val="00B92CD7"/>
    <w:rsid w:val="00B9456A"/>
    <w:rsid w:val="00B96129"/>
    <w:rsid w:val="00BA1C00"/>
    <w:rsid w:val="00BA38D2"/>
    <w:rsid w:val="00BA67CB"/>
    <w:rsid w:val="00BB57C6"/>
    <w:rsid w:val="00BB7C07"/>
    <w:rsid w:val="00BC5889"/>
    <w:rsid w:val="00BC58D9"/>
    <w:rsid w:val="00BD6845"/>
    <w:rsid w:val="00BE56F5"/>
    <w:rsid w:val="00BF1222"/>
    <w:rsid w:val="00BF1CE3"/>
    <w:rsid w:val="00BF735A"/>
    <w:rsid w:val="00C00A4E"/>
    <w:rsid w:val="00C11112"/>
    <w:rsid w:val="00C1401D"/>
    <w:rsid w:val="00C24A62"/>
    <w:rsid w:val="00C563BE"/>
    <w:rsid w:val="00C61F8B"/>
    <w:rsid w:val="00C71598"/>
    <w:rsid w:val="00C77455"/>
    <w:rsid w:val="00C846A2"/>
    <w:rsid w:val="00C846FA"/>
    <w:rsid w:val="00C8546F"/>
    <w:rsid w:val="00C93490"/>
    <w:rsid w:val="00C95CF5"/>
    <w:rsid w:val="00C97503"/>
    <w:rsid w:val="00CA3085"/>
    <w:rsid w:val="00CA4741"/>
    <w:rsid w:val="00CB67EC"/>
    <w:rsid w:val="00CC1731"/>
    <w:rsid w:val="00CC5D71"/>
    <w:rsid w:val="00CD71AE"/>
    <w:rsid w:val="00CE02F1"/>
    <w:rsid w:val="00CF1475"/>
    <w:rsid w:val="00CF3692"/>
    <w:rsid w:val="00CF47FD"/>
    <w:rsid w:val="00D01824"/>
    <w:rsid w:val="00D026DC"/>
    <w:rsid w:val="00D02A94"/>
    <w:rsid w:val="00D14375"/>
    <w:rsid w:val="00D155F4"/>
    <w:rsid w:val="00D179C3"/>
    <w:rsid w:val="00D20065"/>
    <w:rsid w:val="00D60724"/>
    <w:rsid w:val="00D62F66"/>
    <w:rsid w:val="00D65FE5"/>
    <w:rsid w:val="00DA1A2D"/>
    <w:rsid w:val="00DA4EE1"/>
    <w:rsid w:val="00DA737B"/>
    <w:rsid w:val="00DC4BBB"/>
    <w:rsid w:val="00DE2346"/>
    <w:rsid w:val="00DF1CB2"/>
    <w:rsid w:val="00DF2DCE"/>
    <w:rsid w:val="00E04FBA"/>
    <w:rsid w:val="00E12EDA"/>
    <w:rsid w:val="00E175D9"/>
    <w:rsid w:val="00E23AF0"/>
    <w:rsid w:val="00E25CC8"/>
    <w:rsid w:val="00E30ADE"/>
    <w:rsid w:val="00E35C71"/>
    <w:rsid w:val="00E37336"/>
    <w:rsid w:val="00E403C5"/>
    <w:rsid w:val="00E41BDE"/>
    <w:rsid w:val="00E45FF4"/>
    <w:rsid w:val="00E746A0"/>
    <w:rsid w:val="00E74B67"/>
    <w:rsid w:val="00E814E2"/>
    <w:rsid w:val="00E95ABD"/>
    <w:rsid w:val="00EB4359"/>
    <w:rsid w:val="00EB77DE"/>
    <w:rsid w:val="00EB7C3C"/>
    <w:rsid w:val="00EE01DD"/>
    <w:rsid w:val="00EE415B"/>
    <w:rsid w:val="00F005D9"/>
    <w:rsid w:val="00F031ED"/>
    <w:rsid w:val="00F0444B"/>
    <w:rsid w:val="00F06AB9"/>
    <w:rsid w:val="00F14F47"/>
    <w:rsid w:val="00F17683"/>
    <w:rsid w:val="00F25152"/>
    <w:rsid w:val="00F339C5"/>
    <w:rsid w:val="00F46BD4"/>
    <w:rsid w:val="00F52292"/>
    <w:rsid w:val="00F5318D"/>
    <w:rsid w:val="00F549C6"/>
    <w:rsid w:val="00F71F2F"/>
    <w:rsid w:val="00F73141"/>
    <w:rsid w:val="00F82E92"/>
    <w:rsid w:val="00FB039D"/>
    <w:rsid w:val="00FB4D08"/>
    <w:rsid w:val="00FB65AB"/>
    <w:rsid w:val="00FB7883"/>
    <w:rsid w:val="00FF2B8B"/>
    <w:rsid w:val="00FF37DA"/>
    <w:rsid w:val="00FF4C75"/>
    <w:rsid w:val="00FF5A8D"/>
    <w:rsid w:val="00FF67D8"/>
    <w:rsid w:val="076E3DBC"/>
    <w:rsid w:val="083C335D"/>
    <w:rsid w:val="116E2B13"/>
    <w:rsid w:val="1C7E1373"/>
    <w:rsid w:val="2D692247"/>
    <w:rsid w:val="338D69D1"/>
    <w:rsid w:val="348D73AF"/>
    <w:rsid w:val="36030B89"/>
    <w:rsid w:val="3A243672"/>
    <w:rsid w:val="495C7F9B"/>
    <w:rsid w:val="4EA90E37"/>
    <w:rsid w:val="53254013"/>
    <w:rsid w:val="59B3717A"/>
    <w:rsid w:val="67FC99C4"/>
    <w:rsid w:val="6B117A60"/>
    <w:rsid w:val="6FA02D2E"/>
    <w:rsid w:val="76A15688"/>
    <w:rsid w:val="76FB2B10"/>
    <w:rsid w:val="78E23E78"/>
    <w:rsid w:val="7B981914"/>
    <w:rsid w:val="7DC53574"/>
    <w:rsid w:val="F5FDB0C3"/>
    <w:rsid w:val="FFD9B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rFonts w:eastAsia="黑体"/>
      <w:b/>
      <w:bCs/>
      <w:kern w:val="44"/>
      <w:sz w:val="28"/>
      <w:szCs w:val="44"/>
    </w:rPr>
  </w:style>
  <w:style w:type="paragraph" w:styleId="3">
    <w:name w:val="heading 2"/>
    <w:basedOn w:val="1"/>
    <w:next w:val="1"/>
    <w:link w:val="30"/>
    <w:unhideWhenUsed/>
    <w:qFormat/>
    <w:uiPriority w:val="9"/>
    <w:pPr>
      <w:keepNext/>
      <w:keepLines/>
      <w:spacing w:before="260" w:after="260" w:line="416" w:lineRule="auto"/>
      <w:outlineLvl w:val="1"/>
    </w:pPr>
    <w:rPr>
      <w:rFonts w:eastAsia="黑体" w:asciiTheme="majorHAnsi" w:hAnsiTheme="majorHAnsi" w:cstheme="majorBidi"/>
      <w:b/>
      <w:bCs/>
      <w:sz w:val="24"/>
      <w:szCs w:val="32"/>
    </w:rPr>
  </w:style>
  <w:style w:type="paragraph" w:styleId="4">
    <w:name w:val="heading 3"/>
    <w:basedOn w:val="1"/>
    <w:next w:val="1"/>
    <w:link w:val="31"/>
    <w:unhideWhenUsed/>
    <w:qFormat/>
    <w:uiPriority w:val="9"/>
    <w:pPr>
      <w:keepNext/>
      <w:keepLines/>
      <w:spacing w:before="260" w:after="260" w:line="416" w:lineRule="auto"/>
      <w:outlineLvl w:val="2"/>
    </w:pPr>
    <w:rPr>
      <w:rFonts w:eastAsia="黑体"/>
      <w:b/>
      <w:bCs/>
      <w:sz w:val="24"/>
      <w:szCs w:val="32"/>
    </w:rPr>
  </w:style>
  <w:style w:type="paragraph" w:styleId="5">
    <w:name w:val="heading 4"/>
    <w:basedOn w:val="1"/>
    <w:next w:val="1"/>
    <w:link w:val="32"/>
    <w:unhideWhenUsed/>
    <w:qFormat/>
    <w:uiPriority w:val="0"/>
    <w:pPr>
      <w:keepNext/>
      <w:keepLines/>
      <w:spacing w:before="280" w:after="290" w:line="376" w:lineRule="auto"/>
      <w:outlineLvl w:val="3"/>
    </w:pPr>
    <w:rPr>
      <w:rFonts w:eastAsia="黑体" w:asciiTheme="majorHAnsi" w:hAnsiTheme="majorHAnsi" w:cstheme="majorBidi"/>
      <w:b/>
      <w:bCs/>
      <w:sz w:val="24"/>
      <w:szCs w:val="28"/>
    </w:rPr>
  </w:style>
  <w:style w:type="paragraph" w:styleId="6">
    <w:name w:val="heading 5"/>
    <w:basedOn w:val="1"/>
    <w:next w:val="1"/>
    <w:link w:val="33"/>
    <w:unhideWhenUsed/>
    <w:qFormat/>
    <w:uiPriority w:val="0"/>
    <w:pPr>
      <w:keepNext/>
      <w:keepLines/>
      <w:spacing w:before="280" w:after="290" w:line="376" w:lineRule="auto"/>
      <w:outlineLvl w:val="4"/>
    </w:pPr>
    <w:rPr>
      <w:rFonts w:ascii="Calibri" w:hAnsi="Calibri" w:eastAsia="仿宋" w:cs="Times New Roman"/>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rFonts w:ascii="Calibri" w:hAnsi="Calibri" w:eastAsia="仿宋" w:cs="Times New Roman"/>
      <w:sz w:val="30"/>
    </w:rPr>
  </w:style>
  <w:style w:type="paragraph" w:styleId="8">
    <w:name w:val="caption"/>
    <w:basedOn w:val="1"/>
    <w:next w:val="1"/>
    <w:unhideWhenUsed/>
    <w:qFormat/>
    <w:uiPriority w:val="35"/>
    <w:pPr>
      <w:widowControl/>
      <w:spacing w:after="200"/>
      <w:jc w:val="left"/>
    </w:pPr>
    <w:rPr>
      <w:b/>
      <w:bCs/>
      <w:color w:val="4472C4" w:themeColor="accent1"/>
      <w:kern w:val="0"/>
      <w:sz w:val="18"/>
      <w:szCs w:val="18"/>
      <w:lang w:eastAsia="en-US" w:bidi="en-US"/>
      <w14:textFill>
        <w14:solidFill>
          <w14:schemeClr w14:val="accent1"/>
        </w14:solidFill>
      </w14:textFill>
    </w:rPr>
  </w:style>
  <w:style w:type="paragraph" w:styleId="9">
    <w:name w:val="Document Map"/>
    <w:basedOn w:val="1"/>
    <w:link w:val="36"/>
    <w:unhideWhenUsed/>
    <w:qFormat/>
    <w:uiPriority w:val="99"/>
    <w:rPr>
      <w:rFonts w:ascii="宋体" w:eastAsia="宋体"/>
      <w:sz w:val="18"/>
      <w:szCs w:val="18"/>
    </w:rPr>
  </w:style>
  <w:style w:type="paragraph" w:styleId="10">
    <w:name w:val="annotation text"/>
    <w:basedOn w:val="1"/>
    <w:link w:val="42"/>
    <w:semiHidden/>
    <w:qFormat/>
    <w:uiPriority w:val="99"/>
    <w:pPr>
      <w:spacing w:line="360" w:lineRule="auto"/>
      <w:jc w:val="left"/>
    </w:pPr>
    <w:rPr>
      <w:rFonts w:ascii="Calibri" w:hAnsi="Calibri" w:eastAsia="宋体" w:cs="Calibri"/>
      <w:szCs w:val="21"/>
    </w:rPr>
  </w:style>
  <w:style w:type="paragraph" w:styleId="11">
    <w:name w:val="Body Text"/>
    <w:basedOn w:val="1"/>
    <w:link w:val="38"/>
    <w:qFormat/>
    <w:uiPriority w:val="1"/>
    <w:pPr>
      <w:spacing w:before="116"/>
      <w:ind w:left="117"/>
      <w:jc w:val="left"/>
    </w:pPr>
    <w:rPr>
      <w:rFonts w:ascii="宋体" w:hAnsi="宋体" w:eastAsia="宋体" w:cs="Times New Roman"/>
      <w:kern w:val="0"/>
      <w:szCs w:val="21"/>
      <w:lang w:eastAsia="en-US"/>
    </w:rPr>
  </w:style>
  <w:style w:type="paragraph" w:styleId="12">
    <w:name w:val="toc 3"/>
    <w:basedOn w:val="1"/>
    <w:next w:val="1"/>
    <w:unhideWhenUsed/>
    <w:qFormat/>
    <w:uiPriority w:val="39"/>
    <w:pPr>
      <w:ind w:left="840" w:leftChars="400"/>
    </w:pPr>
  </w:style>
  <w:style w:type="paragraph" w:styleId="13">
    <w:name w:val="Plain Text"/>
    <w:basedOn w:val="1"/>
    <w:link w:val="64"/>
    <w:qFormat/>
    <w:uiPriority w:val="0"/>
    <w:rPr>
      <w:rFonts w:ascii="宋体" w:hAnsi="Courier New" w:eastAsia="仿宋" w:cs="Times New Roman"/>
      <w:sz w:val="24"/>
      <w:szCs w:val="20"/>
    </w:rPr>
  </w:style>
  <w:style w:type="paragraph" w:styleId="14">
    <w:name w:val="endnote text"/>
    <w:basedOn w:val="1"/>
    <w:link w:val="65"/>
    <w:unhideWhenUsed/>
    <w:qFormat/>
    <w:uiPriority w:val="99"/>
    <w:pPr>
      <w:snapToGrid w:val="0"/>
      <w:jc w:val="left"/>
    </w:pPr>
    <w:rPr>
      <w:rFonts w:ascii="Calibri" w:hAnsi="Calibri" w:eastAsia="仿宋" w:cs="Times New Roman"/>
      <w:sz w:val="30"/>
    </w:rPr>
  </w:style>
  <w:style w:type="paragraph" w:styleId="15">
    <w:name w:val="Balloon Text"/>
    <w:basedOn w:val="1"/>
    <w:link w:val="37"/>
    <w:unhideWhenUsed/>
    <w:qFormat/>
    <w:uiPriority w:val="0"/>
    <w:rPr>
      <w:sz w:val="18"/>
      <w:szCs w:val="18"/>
    </w:rPr>
  </w:style>
  <w:style w:type="paragraph" w:styleId="16">
    <w:name w:val="footer"/>
    <w:basedOn w:val="1"/>
    <w:link w:val="35"/>
    <w:unhideWhenUsed/>
    <w:qFormat/>
    <w:uiPriority w:val="99"/>
    <w:pPr>
      <w:tabs>
        <w:tab w:val="center" w:pos="4153"/>
        <w:tab w:val="right" w:pos="8306"/>
      </w:tabs>
      <w:snapToGrid w:val="0"/>
      <w:jc w:val="left"/>
    </w:pPr>
    <w:rPr>
      <w:sz w:val="18"/>
      <w:szCs w:val="18"/>
    </w:rPr>
  </w:style>
  <w:style w:type="paragraph" w:styleId="17">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eastAsia="宋体" w:cs="Times New Roman"/>
      <w:kern w:val="0"/>
      <w:sz w:val="24"/>
      <w:szCs w:val="20"/>
    </w:rPr>
  </w:style>
  <w:style w:type="paragraph" w:styleId="21">
    <w:name w:val="Normal (Web)"/>
    <w:basedOn w:val="1"/>
    <w:unhideWhenUsed/>
    <w:qFormat/>
    <w:uiPriority w:val="99"/>
    <w:rPr>
      <w:rFonts w:ascii="Times New Roman" w:hAnsi="Times New Roman" w:eastAsia="仿宋" w:cs="Times New Roman"/>
      <w:sz w:val="24"/>
      <w:szCs w:val="24"/>
    </w:rPr>
  </w:style>
  <w:style w:type="paragraph" w:styleId="22">
    <w:name w:val="annotation subject"/>
    <w:basedOn w:val="10"/>
    <w:next w:val="10"/>
    <w:link w:val="44"/>
    <w:semiHidden/>
    <w:qFormat/>
    <w:uiPriority w:val="0"/>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FollowedHyperlink"/>
    <w:basedOn w:val="25"/>
    <w:unhideWhenUsed/>
    <w:qFormat/>
    <w:uiPriority w:val="99"/>
    <w:rPr>
      <w:color w:val="954F72" w:themeColor="followedHyperlink"/>
      <w:u w:val="single"/>
      <w14:textFill>
        <w14:solidFill>
          <w14:schemeClr w14:val="folHlink"/>
        </w14:solidFill>
      </w14:textFill>
    </w:rPr>
  </w:style>
  <w:style w:type="character" w:styleId="28">
    <w:name w:val="Hyperlink"/>
    <w:basedOn w:val="25"/>
    <w:unhideWhenUsed/>
    <w:qFormat/>
    <w:uiPriority w:val="99"/>
    <w:rPr>
      <w:color w:val="0563C1" w:themeColor="hyperlink"/>
      <w:u w:val="single"/>
      <w14:textFill>
        <w14:solidFill>
          <w14:schemeClr w14:val="hlink"/>
        </w14:solidFill>
      </w14:textFill>
    </w:rPr>
  </w:style>
  <w:style w:type="character" w:customStyle="1" w:styleId="29">
    <w:name w:val="标题 1 字符"/>
    <w:basedOn w:val="25"/>
    <w:link w:val="2"/>
    <w:qFormat/>
    <w:uiPriority w:val="1"/>
    <w:rPr>
      <w:rFonts w:eastAsia="黑体"/>
      <w:b/>
      <w:bCs/>
      <w:kern w:val="44"/>
      <w:sz w:val="28"/>
      <w:szCs w:val="44"/>
    </w:rPr>
  </w:style>
  <w:style w:type="character" w:customStyle="1" w:styleId="30">
    <w:name w:val="标题 2 字符"/>
    <w:basedOn w:val="25"/>
    <w:link w:val="3"/>
    <w:qFormat/>
    <w:uiPriority w:val="9"/>
    <w:rPr>
      <w:rFonts w:eastAsia="黑体" w:asciiTheme="majorHAnsi" w:hAnsiTheme="majorHAnsi" w:cstheme="majorBidi"/>
      <w:b/>
      <w:bCs/>
      <w:sz w:val="24"/>
      <w:szCs w:val="32"/>
    </w:rPr>
  </w:style>
  <w:style w:type="character" w:customStyle="1" w:styleId="31">
    <w:name w:val="标题 3 字符"/>
    <w:basedOn w:val="25"/>
    <w:link w:val="4"/>
    <w:qFormat/>
    <w:uiPriority w:val="9"/>
    <w:rPr>
      <w:rFonts w:eastAsia="黑体"/>
      <w:b/>
      <w:bCs/>
      <w:sz w:val="24"/>
      <w:szCs w:val="32"/>
    </w:rPr>
  </w:style>
  <w:style w:type="character" w:customStyle="1" w:styleId="32">
    <w:name w:val="标题 4 字符"/>
    <w:basedOn w:val="25"/>
    <w:link w:val="5"/>
    <w:qFormat/>
    <w:uiPriority w:val="0"/>
    <w:rPr>
      <w:rFonts w:eastAsia="黑体" w:asciiTheme="majorHAnsi" w:hAnsiTheme="majorHAnsi" w:cstheme="majorBidi"/>
      <w:b/>
      <w:bCs/>
      <w:sz w:val="24"/>
      <w:szCs w:val="28"/>
    </w:rPr>
  </w:style>
  <w:style w:type="character" w:customStyle="1" w:styleId="33">
    <w:name w:val="标题 5 字符"/>
    <w:basedOn w:val="25"/>
    <w:link w:val="6"/>
    <w:qFormat/>
    <w:uiPriority w:val="0"/>
    <w:rPr>
      <w:rFonts w:ascii="Calibri" w:hAnsi="Calibri" w:eastAsia="仿宋" w:cs="Times New Roman"/>
      <w:b/>
      <w:bCs/>
      <w:sz w:val="28"/>
      <w:szCs w:val="28"/>
    </w:rPr>
  </w:style>
  <w:style w:type="character" w:customStyle="1" w:styleId="34">
    <w:name w:val="页眉 字符"/>
    <w:basedOn w:val="25"/>
    <w:link w:val="17"/>
    <w:qFormat/>
    <w:uiPriority w:val="99"/>
    <w:rPr>
      <w:sz w:val="18"/>
      <w:szCs w:val="18"/>
    </w:rPr>
  </w:style>
  <w:style w:type="character" w:customStyle="1" w:styleId="35">
    <w:name w:val="页脚 字符"/>
    <w:basedOn w:val="25"/>
    <w:link w:val="16"/>
    <w:qFormat/>
    <w:uiPriority w:val="99"/>
    <w:rPr>
      <w:sz w:val="18"/>
      <w:szCs w:val="18"/>
    </w:rPr>
  </w:style>
  <w:style w:type="character" w:customStyle="1" w:styleId="36">
    <w:name w:val="文档结构图 字符"/>
    <w:basedOn w:val="25"/>
    <w:link w:val="9"/>
    <w:semiHidden/>
    <w:qFormat/>
    <w:uiPriority w:val="99"/>
    <w:rPr>
      <w:rFonts w:ascii="宋体" w:eastAsia="宋体"/>
      <w:sz w:val="18"/>
      <w:szCs w:val="18"/>
    </w:rPr>
  </w:style>
  <w:style w:type="character" w:customStyle="1" w:styleId="37">
    <w:name w:val="批注框文本 字符"/>
    <w:basedOn w:val="25"/>
    <w:link w:val="15"/>
    <w:qFormat/>
    <w:uiPriority w:val="0"/>
    <w:rPr>
      <w:sz w:val="18"/>
      <w:szCs w:val="18"/>
    </w:rPr>
  </w:style>
  <w:style w:type="character" w:customStyle="1" w:styleId="38">
    <w:name w:val="正文文本 字符"/>
    <w:basedOn w:val="25"/>
    <w:link w:val="11"/>
    <w:qFormat/>
    <w:uiPriority w:val="1"/>
    <w:rPr>
      <w:rFonts w:ascii="宋体" w:hAnsi="宋体" w:eastAsia="宋体" w:cs="Times New Roman"/>
      <w:kern w:val="0"/>
      <w:szCs w:val="21"/>
      <w:lang w:eastAsia="en-US"/>
    </w:rPr>
  </w:style>
  <w:style w:type="paragraph" w:customStyle="1" w:styleId="39">
    <w:name w:val="Table Paragraph"/>
    <w:basedOn w:val="1"/>
    <w:qFormat/>
    <w:uiPriority w:val="1"/>
    <w:pPr>
      <w:jc w:val="left"/>
    </w:pPr>
    <w:rPr>
      <w:rFonts w:ascii="Calibri" w:hAnsi="Calibri" w:eastAsia="宋体" w:cs="Times New Roman"/>
      <w:kern w:val="0"/>
      <w:sz w:val="22"/>
      <w:lang w:eastAsia="en-US"/>
    </w:rPr>
  </w:style>
  <w:style w:type="paragraph" w:customStyle="1" w:styleId="4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1">
    <w:name w:val="List Paragraph"/>
    <w:basedOn w:val="1"/>
    <w:qFormat/>
    <w:uiPriority w:val="34"/>
    <w:pPr>
      <w:ind w:firstLine="420" w:firstLineChars="200"/>
    </w:pPr>
  </w:style>
  <w:style w:type="character" w:customStyle="1" w:styleId="42">
    <w:name w:val="批注文字 字符"/>
    <w:basedOn w:val="25"/>
    <w:link w:val="10"/>
    <w:semiHidden/>
    <w:qFormat/>
    <w:uiPriority w:val="99"/>
    <w:rPr>
      <w:rFonts w:ascii="Calibri" w:hAnsi="Calibri" w:eastAsia="宋体" w:cs="Calibri"/>
      <w:szCs w:val="21"/>
    </w:rPr>
  </w:style>
  <w:style w:type="character" w:customStyle="1" w:styleId="43">
    <w:name w:val="HTML 预设格式 字符"/>
    <w:basedOn w:val="25"/>
    <w:link w:val="20"/>
    <w:qFormat/>
    <w:uiPriority w:val="0"/>
    <w:rPr>
      <w:rFonts w:ascii="宋体" w:hAnsi="Times New Roman" w:eastAsia="宋体" w:cs="Times New Roman"/>
      <w:kern w:val="0"/>
      <w:sz w:val="24"/>
      <w:szCs w:val="20"/>
    </w:rPr>
  </w:style>
  <w:style w:type="character" w:customStyle="1" w:styleId="44">
    <w:name w:val="批注主题 字符"/>
    <w:basedOn w:val="42"/>
    <w:link w:val="22"/>
    <w:semiHidden/>
    <w:qFormat/>
    <w:uiPriority w:val="0"/>
    <w:rPr>
      <w:rFonts w:ascii="Calibri" w:hAnsi="Calibri" w:eastAsia="宋体" w:cs="Calibri"/>
      <w:b/>
      <w:bCs/>
      <w:szCs w:val="21"/>
    </w:rPr>
  </w:style>
  <w:style w:type="paragraph" w:customStyle="1" w:styleId="45">
    <w:name w:val="列出段落1"/>
    <w:basedOn w:val="1"/>
    <w:qFormat/>
    <w:uiPriority w:val="0"/>
    <w:pPr>
      <w:spacing w:line="360" w:lineRule="auto"/>
      <w:ind w:firstLine="420" w:firstLineChars="200"/>
    </w:pPr>
    <w:rPr>
      <w:rFonts w:ascii="Calibri" w:hAnsi="Calibri" w:eastAsia="宋体" w:cs="Calibri"/>
      <w:szCs w:val="21"/>
    </w:rPr>
  </w:style>
  <w:style w:type="paragraph" w:customStyle="1" w:styleId="46">
    <w:name w:val="Default"/>
    <w:qFormat/>
    <w:uiPriority w:val="0"/>
    <w:pPr>
      <w:widowControl w:val="0"/>
      <w:autoSpaceDE w:val="0"/>
      <w:autoSpaceDN w:val="0"/>
      <w:adjustRightInd w:val="0"/>
    </w:pPr>
    <w:rPr>
      <w:rFonts w:ascii="宋体è....." w:hAnsi="Calibri" w:eastAsia="宋体è....." w:cs="宋体è....."/>
      <w:color w:val="000000"/>
      <w:kern w:val="0"/>
      <w:sz w:val="24"/>
      <w:szCs w:val="24"/>
      <w:lang w:val="en-US" w:eastAsia="zh-CN" w:bidi="ar-SA"/>
    </w:rPr>
  </w:style>
  <w:style w:type="character" w:customStyle="1" w:styleId="47">
    <w:name w:val="段 Char Char"/>
    <w:link w:val="48"/>
    <w:qFormat/>
    <w:locked/>
    <w:uiPriority w:val="0"/>
    <w:rPr>
      <w:rFonts w:ascii="宋体" w:hAnsi="Calibri" w:cs="宋体"/>
      <w:szCs w:val="21"/>
    </w:rPr>
  </w:style>
  <w:style w:type="paragraph" w:customStyle="1" w:styleId="48">
    <w:name w:val="段"/>
    <w:link w:val="47"/>
    <w:qFormat/>
    <w:uiPriority w:val="0"/>
    <w:pPr>
      <w:tabs>
        <w:tab w:val="center" w:pos="4201"/>
        <w:tab w:val="right" w:leader="dot" w:pos="9298"/>
      </w:tabs>
      <w:autoSpaceDE w:val="0"/>
      <w:autoSpaceDN w:val="0"/>
      <w:ind w:firstLine="420" w:firstLineChars="200"/>
      <w:jc w:val="both"/>
    </w:pPr>
    <w:rPr>
      <w:rFonts w:ascii="宋体" w:hAnsi="Calibri" w:cs="宋体" w:eastAsiaTheme="minorEastAsia"/>
      <w:kern w:val="2"/>
      <w:sz w:val="21"/>
      <w:szCs w:val="21"/>
      <w:lang w:val="en-US" w:eastAsia="zh-CN" w:bidi="ar-SA"/>
    </w:rPr>
  </w:style>
  <w:style w:type="paragraph" w:customStyle="1" w:styleId="49">
    <w:name w:val="列出段落2"/>
    <w:basedOn w:val="1"/>
    <w:qFormat/>
    <w:uiPriority w:val="99"/>
    <w:pPr>
      <w:ind w:firstLine="420" w:firstLineChars="200"/>
    </w:pPr>
    <w:rPr>
      <w:rFonts w:ascii="Calibri" w:hAnsi="Calibri" w:eastAsia="宋体" w:cs="Times New Roman"/>
    </w:rPr>
  </w:style>
  <w:style w:type="character" w:customStyle="1" w:styleId="50">
    <w:name w:val="段 Char"/>
    <w:qFormat/>
    <w:uiPriority w:val="0"/>
    <w:rPr>
      <w:rFonts w:ascii="宋体"/>
      <w:sz w:val="21"/>
      <w:lang w:val="en-US" w:eastAsia="zh-CN"/>
    </w:rPr>
  </w:style>
  <w:style w:type="paragraph" w:customStyle="1" w:styleId="51">
    <w:name w:val="一级条标题"/>
    <w:next w:val="48"/>
    <w:qFormat/>
    <w:uiPriority w:val="0"/>
    <w:pPr>
      <w:spacing w:beforeLines="50" w:afterLines="50"/>
      <w:ind w:left="1417"/>
      <w:outlineLvl w:val="2"/>
    </w:pPr>
    <w:rPr>
      <w:rFonts w:ascii="黑体" w:hAnsi="Times New Roman" w:eastAsia="黑体" w:cs="Times New Roman"/>
      <w:kern w:val="0"/>
      <w:sz w:val="21"/>
      <w:szCs w:val="21"/>
      <w:lang w:val="en-US" w:eastAsia="zh-CN" w:bidi="ar-SA"/>
    </w:rPr>
  </w:style>
  <w:style w:type="paragraph" w:customStyle="1" w:styleId="52">
    <w:name w:val="章标题"/>
    <w:next w:val="48"/>
    <w:qFormat/>
    <w:uiPriority w:val="0"/>
    <w:pPr>
      <w:spacing w:beforeLines="100" w:afterLines="100"/>
      <w:ind w:left="2127"/>
      <w:jc w:val="both"/>
      <w:outlineLvl w:val="1"/>
    </w:pPr>
    <w:rPr>
      <w:rFonts w:ascii="黑体" w:hAnsi="Times New Roman" w:eastAsia="黑体" w:cs="Times New Roman"/>
      <w:kern w:val="0"/>
      <w:sz w:val="21"/>
      <w:szCs w:val="20"/>
      <w:lang w:val="en-US" w:eastAsia="zh-CN" w:bidi="ar-SA"/>
    </w:rPr>
  </w:style>
  <w:style w:type="paragraph" w:customStyle="1" w:styleId="53">
    <w:name w:val="二级条标题"/>
    <w:basedOn w:val="51"/>
    <w:next w:val="48"/>
    <w:qFormat/>
    <w:uiPriority w:val="0"/>
    <w:pPr>
      <w:spacing w:before="50" w:after="50"/>
      <w:ind w:left="1275"/>
      <w:outlineLvl w:val="3"/>
    </w:pPr>
  </w:style>
  <w:style w:type="paragraph" w:customStyle="1" w:styleId="54">
    <w:name w:val="三级条标题"/>
    <w:basedOn w:val="53"/>
    <w:next w:val="48"/>
    <w:qFormat/>
    <w:uiPriority w:val="0"/>
    <w:pPr>
      <w:ind w:left="1275"/>
      <w:outlineLvl w:val="4"/>
    </w:pPr>
  </w:style>
  <w:style w:type="paragraph" w:customStyle="1" w:styleId="55">
    <w:name w:val="四级条标题"/>
    <w:basedOn w:val="54"/>
    <w:next w:val="48"/>
    <w:qFormat/>
    <w:uiPriority w:val="0"/>
    <w:pPr>
      <w:ind w:left="1275"/>
      <w:outlineLvl w:val="5"/>
    </w:pPr>
  </w:style>
  <w:style w:type="paragraph" w:customStyle="1" w:styleId="56">
    <w:name w:val="五级条标题"/>
    <w:basedOn w:val="55"/>
    <w:next w:val="48"/>
    <w:qFormat/>
    <w:uiPriority w:val="0"/>
    <w:pPr>
      <w:ind w:left="1275"/>
      <w:outlineLvl w:val="6"/>
    </w:pPr>
  </w:style>
  <w:style w:type="paragraph" w:customStyle="1" w:styleId="57">
    <w:name w:val="标准二级标题"/>
    <w:basedOn w:val="5"/>
    <w:link w:val="58"/>
    <w:qFormat/>
    <w:uiPriority w:val="0"/>
    <w:pPr>
      <w:jc w:val="left"/>
    </w:pPr>
    <w:rPr>
      <w:rFonts w:ascii="Cambria" w:hAnsi="Cambria" w:cs="Times New Roman"/>
      <w:sz w:val="28"/>
    </w:rPr>
  </w:style>
  <w:style w:type="character" w:customStyle="1" w:styleId="58">
    <w:name w:val="标准二级标题 字符"/>
    <w:link w:val="57"/>
    <w:qFormat/>
    <w:locked/>
    <w:uiPriority w:val="0"/>
    <w:rPr>
      <w:rFonts w:ascii="Cambria" w:hAnsi="Cambria" w:eastAsia="黑体" w:cs="Times New Roman"/>
      <w:b/>
      <w:bCs/>
      <w:sz w:val="28"/>
      <w:szCs w:val="28"/>
    </w:rPr>
  </w:style>
  <w:style w:type="paragraph" w:customStyle="1" w:styleId="59">
    <w:name w:val="No Spacing"/>
    <w:qFormat/>
    <w:uiPriority w:val="1"/>
    <w:pPr>
      <w:adjustRightInd w:val="0"/>
      <w:snapToGrid w:val="0"/>
    </w:pPr>
    <w:rPr>
      <w:rFonts w:ascii="Tahoma" w:hAnsi="Tahoma" w:eastAsia="微软雅黑" w:cs="Times New Roman"/>
      <w:kern w:val="0"/>
      <w:sz w:val="22"/>
      <w:szCs w:val="22"/>
      <w:lang w:val="en-US" w:eastAsia="zh-CN" w:bidi="ar-SA"/>
    </w:rPr>
  </w:style>
  <w:style w:type="paragraph" w:customStyle="1" w:styleId="60">
    <w:name w:val="附录标识"/>
    <w:basedOn w:val="1"/>
    <w:next w:val="48"/>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6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Cs w:val="28"/>
    </w:rPr>
  </w:style>
  <w:style w:type="character" w:customStyle="1" w:styleId="62">
    <w:name w:val="批注文字 字符1"/>
    <w:basedOn w:val="25"/>
    <w:semiHidden/>
    <w:qFormat/>
    <w:uiPriority w:val="99"/>
  </w:style>
  <w:style w:type="character" w:customStyle="1" w:styleId="63">
    <w:name w:val="批注主题 字符1"/>
    <w:basedOn w:val="62"/>
    <w:semiHidden/>
    <w:qFormat/>
    <w:uiPriority w:val="0"/>
    <w:rPr>
      <w:b/>
      <w:bCs/>
    </w:rPr>
  </w:style>
  <w:style w:type="character" w:customStyle="1" w:styleId="64">
    <w:name w:val="纯文本 字符"/>
    <w:basedOn w:val="25"/>
    <w:link w:val="13"/>
    <w:qFormat/>
    <w:uiPriority w:val="0"/>
    <w:rPr>
      <w:rFonts w:ascii="宋体" w:hAnsi="Courier New" w:eastAsia="仿宋" w:cs="Times New Roman"/>
      <w:sz w:val="24"/>
      <w:szCs w:val="20"/>
    </w:rPr>
  </w:style>
  <w:style w:type="character" w:customStyle="1" w:styleId="65">
    <w:name w:val="尾注文本 字符"/>
    <w:basedOn w:val="25"/>
    <w:link w:val="14"/>
    <w:semiHidden/>
    <w:qFormat/>
    <w:uiPriority w:val="99"/>
    <w:rPr>
      <w:rFonts w:ascii="Calibri" w:hAnsi="Calibri" w:eastAsia="仿宋" w:cs="Times New Roman"/>
      <w:sz w:val="30"/>
    </w:rPr>
  </w:style>
  <w:style w:type="paragraph" w:customStyle="1" w:styleId="66">
    <w:name w:val="图表"/>
    <w:basedOn w:val="1"/>
    <w:qFormat/>
    <w:uiPriority w:val="0"/>
    <w:pPr>
      <w:spacing w:line="360" w:lineRule="auto"/>
      <w:ind w:firstLine="480" w:firstLineChars="200"/>
      <w:jc w:val="center"/>
    </w:pPr>
    <w:rPr>
      <w:rFonts w:ascii="仿宋" w:hAnsi="仿宋" w:eastAsia="仿宋" w:cs="Times New Roman"/>
      <w:sz w:val="24"/>
      <w:szCs w:val="24"/>
    </w:rPr>
  </w:style>
  <w:style w:type="character" w:customStyle="1" w:styleId="67">
    <w:name w:val="标题 3 Char"/>
    <w:qFormat/>
    <w:uiPriority w:val="0"/>
    <w:rPr>
      <w:rFonts w:ascii="Calibri" w:hAnsi="Calibri" w:cs="黑体"/>
      <w:b/>
      <w:bCs/>
      <w:kern w:val="2"/>
      <w:sz w:val="32"/>
      <w:szCs w:val="32"/>
    </w:rPr>
  </w:style>
  <w:style w:type="character" w:customStyle="1" w:styleId="68">
    <w:name w:val="Subtle Emphasis"/>
    <w:basedOn w:val="25"/>
    <w:qFormat/>
    <w:uiPriority w:val="19"/>
    <w:rPr>
      <w:i/>
      <w:iCs/>
      <w:color w:val="404040" w:themeColor="text1" w:themeTint="BF"/>
      <w14:textFill>
        <w14:solidFill>
          <w14:schemeClr w14:val="tx1">
            <w14:lumMod w14:val="75000"/>
            <w14:lumOff w14:val="25000"/>
          </w14:schemeClr>
        </w14:solidFill>
      </w14:textFill>
    </w:rPr>
  </w:style>
  <w:style w:type="paragraph" w:customStyle="1" w:styleId="69">
    <w:name w:val="列出段落3"/>
    <w:basedOn w:val="1"/>
    <w:qFormat/>
    <w:uiPriority w:val="99"/>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9032</Words>
  <Characters>9747</Characters>
  <Lines>141</Lines>
  <Paragraphs>39</Paragraphs>
  <TotalTime>272</TotalTime>
  <ScaleCrop>false</ScaleCrop>
  <LinksUpToDate>false</LinksUpToDate>
  <CharactersWithSpaces>9844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2021-02-24T09:47:00Z</dcterms:created>
  <dc:creator>张晋</dc:creator>
  <cp:lastModifiedBy>章玮</cp:lastModifiedBy>
  <cp:lastPrinted>2021-03-06T02:15:00Z</cp:lastPrinted>
  <dcterms:modified xsi:type="dcterms:W3CDTF">2025-05-15T01:48:14Z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FF6467943E5943FFB2F6FFE902FC945D_13</vt:lpwstr>
  </property>
  <property fmtid="{D5CDD505-2E9C-101B-9397-08002B2CF9AE}" pid="4" name="KSOTemplateDocerSaveRecord">
    <vt:lpwstr>eyJoZGlkIjoiZWRlYTViZjc1OThkMGI1NjAwNjI5YzUxZWQzZTNhY2EiLCJ1c2VySWQiOiIyODQ1NjQ1NDIifQ==</vt:lpwstr>
  </property>
</Properties>
</file>