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标准项目名称：《建筑材料行业企业环境、社会和公司治理（ESG）指南 第3部分：报告编制》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1E212C3E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2025-06-03T08:06:45Z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FD5845D2C26043B9A37C462DF269F8D8_12</vt:lpwstr>
  </property>
</Properties>
</file>