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B1BD18">
      <w:pPr>
        <w:rPr>
          <w:rFonts w:hint="eastAsia" w:eastAsia="隶书"/>
          <w:u w:val="single"/>
        </w:rPr>
      </w:pPr>
    </w:p>
    <w:p w14:paraId="0101870D">
      <w:pPr>
        <w:rPr>
          <w:rFonts w:hint="eastAsia" w:eastAsia="隶书"/>
          <w:u w:val="single"/>
        </w:rPr>
      </w:pPr>
    </w:p>
    <w:p w14:paraId="7179230F">
      <w:pPr>
        <w:rPr>
          <w:rFonts w:hint="eastAsia" w:eastAsia="隶书"/>
          <w:u w:val="single"/>
        </w:rPr>
      </w:pPr>
    </w:p>
    <w:p w14:paraId="6941CB54">
      <w:pPr>
        <w:rPr>
          <w:rFonts w:hint="eastAsia" w:eastAsia="隶书"/>
          <w:u w:val="single"/>
        </w:rPr>
      </w:pPr>
    </w:p>
    <w:p w14:paraId="1F936F2B">
      <w:pPr>
        <w:rPr>
          <w:rFonts w:hint="eastAsia" w:eastAsia="隶书"/>
          <w:u w:val="single"/>
        </w:rPr>
      </w:pPr>
    </w:p>
    <w:p w14:paraId="4FB3AC24">
      <w:pPr>
        <w:rPr>
          <w:rFonts w:hint="eastAsia" w:eastAsia="隶书"/>
          <w:u w:val="single"/>
        </w:rPr>
      </w:pPr>
    </w:p>
    <w:p w14:paraId="6E4ECB4A">
      <w:pPr>
        <w:rPr>
          <w:rFonts w:hint="eastAsia" w:eastAsia="隶书"/>
          <w:u w:val="single"/>
        </w:rPr>
      </w:pPr>
    </w:p>
    <w:p w14:paraId="51558B5F">
      <w:pPr>
        <w:jc w:val="center"/>
        <w:rPr>
          <w:rFonts w:hint="eastAsia" w:eastAsia="黑体"/>
          <w:b/>
          <w:spacing w:val="40"/>
          <w:sz w:val="52"/>
        </w:rPr>
      </w:pPr>
      <w:r>
        <w:rPr>
          <w:rFonts w:hint="eastAsia" w:eastAsia="黑体"/>
          <w:b/>
          <w:spacing w:val="40"/>
          <w:sz w:val="52"/>
        </w:rPr>
        <w:t>《</w:t>
      </w:r>
      <w:r>
        <w:rPr>
          <w:rFonts w:hint="eastAsia" w:eastAsia="黑体"/>
          <w:b/>
          <w:spacing w:val="40"/>
          <w:sz w:val="52"/>
          <w:lang w:eastAsia="zh-CN"/>
        </w:rPr>
        <w:t>机制砂石生产技术规程</w:t>
      </w:r>
      <w:r>
        <w:rPr>
          <w:rFonts w:hint="eastAsia" w:eastAsia="黑体"/>
          <w:b/>
          <w:spacing w:val="40"/>
          <w:sz w:val="52"/>
        </w:rPr>
        <w:t>》</w:t>
      </w:r>
    </w:p>
    <w:p w14:paraId="16689C2C">
      <w:pPr>
        <w:jc w:val="center"/>
        <w:rPr>
          <w:rFonts w:hint="eastAsia" w:eastAsia="黑体"/>
          <w:sz w:val="52"/>
        </w:rPr>
      </w:pPr>
      <w:r>
        <w:rPr>
          <w:rFonts w:hint="eastAsia" w:eastAsia="黑体"/>
          <w:b/>
          <w:spacing w:val="40"/>
          <w:sz w:val="52"/>
          <w:lang w:eastAsia="zh-CN"/>
        </w:rPr>
        <w:t>建材行业</w:t>
      </w:r>
      <w:r>
        <w:rPr>
          <w:rFonts w:hint="eastAsia" w:eastAsia="黑体"/>
          <w:b/>
          <w:spacing w:val="40"/>
          <w:sz w:val="52"/>
        </w:rPr>
        <w:t>标准</w:t>
      </w:r>
      <w:r>
        <w:rPr>
          <w:rFonts w:hint="eastAsia" w:eastAsia="黑体"/>
          <w:b/>
          <w:sz w:val="52"/>
        </w:rPr>
        <w:t>编制说明</w:t>
      </w:r>
    </w:p>
    <w:p w14:paraId="0E9CEF87">
      <w:pPr>
        <w:jc w:val="center"/>
        <w:rPr>
          <w:rFonts w:hint="eastAsia" w:ascii="宋体" w:hAnsi="宋体"/>
          <w:sz w:val="44"/>
        </w:rPr>
      </w:pPr>
      <w:r>
        <w:rPr>
          <w:rFonts w:hint="eastAsia" w:ascii="宋体" w:hAnsi="宋体"/>
          <w:sz w:val="44"/>
        </w:rPr>
        <w:t>（报批稿）</w:t>
      </w:r>
    </w:p>
    <w:p w14:paraId="58F967F6">
      <w:pPr>
        <w:jc w:val="center"/>
        <w:rPr>
          <w:rFonts w:hint="eastAsia" w:ascii="楷体_GB2312" w:eastAsia="楷体_GB2312"/>
          <w:b/>
          <w:sz w:val="44"/>
        </w:rPr>
      </w:pPr>
    </w:p>
    <w:p w14:paraId="7CB107F6">
      <w:pPr>
        <w:jc w:val="center"/>
        <w:rPr>
          <w:rFonts w:hint="eastAsia"/>
          <w:b/>
          <w:sz w:val="32"/>
        </w:rPr>
      </w:pPr>
    </w:p>
    <w:p w14:paraId="5F95D5F1">
      <w:pPr>
        <w:jc w:val="center"/>
        <w:rPr>
          <w:b/>
          <w:sz w:val="32"/>
        </w:rPr>
      </w:pPr>
    </w:p>
    <w:p w14:paraId="4F03D24C">
      <w:pPr>
        <w:jc w:val="center"/>
        <w:rPr>
          <w:b/>
          <w:sz w:val="32"/>
        </w:rPr>
      </w:pPr>
    </w:p>
    <w:p w14:paraId="3ABB4F0F">
      <w:pPr>
        <w:jc w:val="center"/>
        <w:rPr>
          <w:b/>
          <w:sz w:val="32"/>
        </w:rPr>
      </w:pPr>
    </w:p>
    <w:p w14:paraId="7E7DB087">
      <w:pPr>
        <w:jc w:val="center"/>
        <w:rPr>
          <w:b/>
          <w:sz w:val="32"/>
        </w:rPr>
      </w:pPr>
    </w:p>
    <w:p w14:paraId="58B0A2C7">
      <w:pPr>
        <w:jc w:val="center"/>
        <w:rPr>
          <w:rFonts w:hint="eastAsia"/>
          <w:b/>
          <w:sz w:val="32"/>
        </w:rPr>
      </w:pPr>
    </w:p>
    <w:p w14:paraId="43C5107A">
      <w:pPr>
        <w:jc w:val="center"/>
        <w:rPr>
          <w:rFonts w:hint="eastAsia"/>
          <w:b/>
          <w:sz w:val="32"/>
        </w:rPr>
      </w:pPr>
    </w:p>
    <w:p w14:paraId="17EA4AC4">
      <w:pPr>
        <w:jc w:val="center"/>
        <w:rPr>
          <w:rFonts w:hint="eastAsia"/>
          <w:b/>
          <w:sz w:val="32"/>
        </w:rPr>
      </w:pPr>
    </w:p>
    <w:p w14:paraId="6A947762">
      <w:pPr>
        <w:jc w:val="center"/>
        <w:rPr>
          <w:rFonts w:hint="eastAsia"/>
          <w:b/>
          <w:sz w:val="32"/>
        </w:rPr>
      </w:pPr>
    </w:p>
    <w:p w14:paraId="2D4DB9B5">
      <w:pPr>
        <w:rPr>
          <w:rFonts w:hint="eastAsia"/>
          <w:b/>
        </w:rPr>
      </w:pPr>
    </w:p>
    <w:p w14:paraId="7EC799EF">
      <w:pPr>
        <w:jc w:val="center"/>
        <w:rPr>
          <w:rFonts w:hint="eastAsia"/>
          <w:b/>
          <w:sz w:val="36"/>
        </w:rPr>
      </w:pPr>
      <w:r>
        <w:rPr>
          <w:rFonts w:hint="eastAsia"/>
          <w:b/>
          <w:sz w:val="36"/>
        </w:rPr>
        <w:t>标准修订编制组</w:t>
      </w:r>
    </w:p>
    <w:p w14:paraId="64DF1CC1">
      <w:pPr>
        <w:jc w:val="center"/>
        <w:rPr>
          <w:rFonts w:hint="eastAsia"/>
          <w:b/>
          <w:sz w:val="36"/>
        </w:rPr>
      </w:pPr>
      <w:r>
        <w:rPr>
          <w:rFonts w:hint="eastAsia"/>
          <w:b/>
          <w:sz w:val="36"/>
        </w:rPr>
        <w:t>202</w:t>
      </w:r>
      <w:r>
        <w:rPr>
          <w:rFonts w:hint="eastAsia"/>
          <w:b/>
          <w:sz w:val="36"/>
          <w:lang w:val="en-US" w:eastAsia="zh-CN"/>
        </w:rPr>
        <w:t>5</w:t>
      </w:r>
      <w:r>
        <w:rPr>
          <w:rFonts w:hint="eastAsia"/>
          <w:b/>
          <w:sz w:val="36"/>
        </w:rPr>
        <w:t>年</w:t>
      </w:r>
      <w:r>
        <w:rPr>
          <w:rFonts w:hint="eastAsia"/>
          <w:b/>
          <w:sz w:val="36"/>
          <w:lang w:val="en-US" w:eastAsia="zh-CN"/>
        </w:rPr>
        <w:t>8</w:t>
      </w:r>
      <w:r>
        <w:rPr>
          <w:rFonts w:hint="eastAsia"/>
          <w:b/>
          <w:sz w:val="36"/>
        </w:rPr>
        <w:t>月</w:t>
      </w:r>
    </w:p>
    <w:p w14:paraId="36328010">
      <w:pPr>
        <w:jc w:val="center"/>
        <w:rPr>
          <w:rFonts w:hint="eastAsia"/>
          <w:b/>
        </w:rPr>
      </w:pPr>
    </w:p>
    <w:p w14:paraId="07E49A8B">
      <w:pPr>
        <w:spacing w:line="240" w:lineRule="exact"/>
        <w:jc w:val="center"/>
        <w:rPr>
          <w:rFonts w:hint="eastAsia" w:eastAsia="黑体"/>
          <w:sz w:val="44"/>
        </w:rPr>
      </w:pPr>
      <w:r>
        <w:rPr>
          <w:rFonts w:eastAsia="黑体"/>
          <w:sz w:val="44"/>
        </w:rPr>
        <w:t> </w:t>
      </w:r>
    </w:p>
    <w:p w14:paraId="629D9105">
      <w:pPr>
        <w:ind w:firstLine="420" w:firstLineChars="200"/>
        <w:rPr>
          <w:rFonts w:hint="eastAsia" w:ascii="宋体" w:hAnsi="宋体"/>
          <w:szCs w:val="21"/>
        </w:rPr>
      </w:pPr>
    </w:p>
    <w:p w14:paraId="3CD38B82">
      <w:pPr>
        <w:ind w:firstLine="420" w:firstLineChars="200"/>
        <w:rPr>
          <w:rFonts w:ascii="宋体" w:hAnsi="宋体"/>
          <w:szCs w:val="21"/>
        </w:rPr>
        <w:sectPr>
          <w:footerReference r:id="rId3" w:type="default"/>
          <w:pgSz w:w="11906" w:h="16838"/>
          <w:pgMar w:top="1440" w:right="1800" w:bottom="1440" w:left="1800" w:header="851" w:footer="992" w:gutter="0"/>
          <w:cols w:space="720" w:num="1"/>
          <w:docGrid w:type="lines" w:linePitch="312" w:charSpace="0"/>
        </w:sectPr>
      </w:pPr>
    </w:p>
    <w:p w14:paraId="56FB0ADB">
      <w:pPr>
        <w:ind w:firstLine="723" w:firstLineChars="200"/>
        <w:jc w:val="center"/>
        <w:rPr>
          <w:rFonts w:hint="eastAsia" w:ascii="宋体" w:hAnsi="宋体"/>
          <w:b/>
          <w:sz w:val="36"/>
          <w:szCs w:val="36"/>
        </w:rPr>
      </w:pPr>
      <w:r>
        <w:rPr>
          <w:rFonts w:hint="eastAsia" w:ascii="宋体" w:hAnsi="宋体"/>
          <w:b/>
          <w:sz w:val="36"/>
          <w:szCs w:val="36"/>
        </w:rPr>
        <w:t>目录</w:t>
      </w:r>
    </w:p>
    <w:p w14:paraId="7E552D31">
      <w:pPr>
        <w:pStyle w:val="6"/>
        <w:rPr>
          <w:rFonts w:ascii="Calibri" w:hAnsi="Calibri"/>
          <w:szCs w:val="22"/>
        </w:rPr>
      </w:pPr>
      <w:r>
        <w:fldChar w:fldCharType="begin"/>
      </w:r>
      <w:r>
        <w:instrText xml:space="preserve"> TOC \o "1-3" \h \z \u </w:instrText>
      </w:r>
      <w:r>
        <w:fldChar w:fldCharType="separate"/>
      </w:r>
      <w:r>
        <w:fldChar w:fldCharType="begin"/>
      </w:r>
      <w:r>
        <w:rPr>
          <w:rStyle w:val="10"/>
        </w:rPr>
        <w:instrText xml:space="preserve"> </w:instrText>
      </w:r>
      <w:r>
        <w:instrText xml:space="preserve">HYPERLINK \l "_Toc79653530"</w:instrText>
      </w:r>
      <w:r>
        <w:rPr>
          <w:rStyle w:val="10"/>
        </w:rPr>
        <w:instrText xml:space="preserve"> </w:instrText>
      </w:r>
      <w:r>
        <w:fldChar w:fldCharType="separate"/>
      </w:r>
      <w:r>
        <w:rPr>
          <w:rStyle w:val="10"/>
          <w:rFonts w:hint="eastAsia"/>
        </w:rPr>
        <w:t>一、工作简况</w:t>
      </w:r>
      <w:r>
        <w:tab/>
      </w:r>
      <w:r>
        <w:fldChar w:fldCharType="begin"/>
      </w:r>
      <w:r>
        <w:instrText xml:space="preserve"> PAGEREF _Toc79653530 \h </w:instrText>
      </w:r>
      <w:r>
        <w:fldChar w:fldCharType="separate"/>
      </w:r>
      <w:r>
        <w:t>3</w:t>
      </w:r>
      <w:r>
        <w:fldChar w:fldCharType="end"/>
      </w:r>
      <w:r>
        <w:fldChar w:fldCharType="end"/>
      </w:r>
    </w:p>
    <w:p w14:paraId="658B1153">
      <w:pPr>
        <w:pStyle w:val="7"/>
        <w:tabs>
          <w:tab w:val="right" w:leader="dot" w:pos="8296"/>
        </w:tabs>
        <w:spacing w:line="360" w:lineRule="auto"/>
        <w:rPr>
          <w:rFonts w:ascii="Calibri" w:hAnsi="Calibri"/>
          <w:szCs w:val="22"/>
        </w:rPr>
      </w:pPr>
      <w:r>
        <w:fldChar w:fldCharType="begin"/>
      </w:r>
      <w:r>
        <w:rPr>
          <w:rStyle w:val="10"/>
        </w:rPr>
        <w:instrText xml:space="preserve"> </w:instrText>
      </w:r>
      <w:r>
        <w:instrText xml:space="preserve">HYPERLINK \l "_Toc79653531"</w:instrText>
      </w:r>
      <w:r>
        <w:rPr>
          <w:rStyle w:val="10"/>
        </w:rPr>
        <w:instrText xml:space="preserve"> </w:instrText>
      </w:r>
      <w:r>
        <w:fldChar w:fldCharType="separate"/>
      </w:r>
      <w:r>
        <w:rPr>
          <w:rStyle w:val="10"/>
        </w:rPr>
        <w:t>1</w:t>
      </w:r>
      <w:r>
        <w:rPr>
          <w:rStyle w:val="10"/>
          <w:rFonts w:hint="eastAsia"/>
        </w:rPr>
        <w:t>、任务来源</w:t>
      </w:r>
      <w:r>
        <w:tab/>
      </w:r>
      <w:r>
        <w:fldChar w:fldCharType="begin"/>
      </w:r>
      <w:r>
        <w:instrText xml:space="preserve"> PAGEREF _Toc79653531 \h </w:instrText>
      </w:r>
      <w:r>
        <w:fldChar w:fldCharType="separate"/>
      </w:r>
      <w:r>
        <w:t>3</w:t>
      </w:r>
      <w:r>
        <w:fldChar w:fldCharType="end"/>
      </w:r>
      <w:r>
        <w:fldChar w:fldCharType="end"/>
      </w:r>
    </w:p>
    <w:p w14:paraId="5549CD9B">
      <w:pPr>
        <w:pStyle w:val="7"/>
        <w:tabs>
          <w:tab w:val="right" w:leader="dot" w:pos="8296"/>
        </w:tabs>
        <w:spacing w:line="360" w:lineRule="auto"/>
        <w:rPr>
          <w:rFonts w:ascii="Calibri" w:hAnsi="Calibri"/>
          <w:szCs w:val="22"/>
        </w:rPr>
      </w:pPr>
      <w:r>
        <w:fldChar w:fldCharType="begin"/>
      </w:r>
      <w:r>
        <w:rPr>
          <w:rStyle w:val="10"/>
        </w:rPr>
        <w:instrText xml:space="preserve"> </w:instrText>
      </w:r>
      <w:r>
        <w:instrText xml:space="preserve">HYPERLINK \l "_Toc79653532"</w:instrText>
      </w:r>
      <w:r>
        <w:rPr>
          <w:rStyle w:val="10"/>
        </w:rPr>
        <w:instrText xml:space="preserve"> </w:instrText>
      </w:r>
      <w:r>
        <w:fldChar w:fldCharType="separate"/>
      </w:r>
      <w:r>
        <w:rPr>
          <w:rStyle w:val="10"/>
        </w:rPr>
        <w:t>2</w:t>
      </w:r>
      <w:r>
        <w:rPr>
          <w:rStyle w:val="10"/>
          <w:rFonts w:hint="eastAsia"/>
        </w:rPr>
        <w:t>、工作过程</w:t>
      </w:r>
      <w:r>
        <w:tab/>
      </w:r>
      <w:r>
        <w:fldChar w:fldCharType="begin"/>
      </w:r>
      <w:r>
        <w:instrText xml:space="preserve"> PAGEREF _Toc79653532 \h </w:instrText>
      </w:r>
      <w:r>
        <w:fldChar w:fldCharType="separate"/>
      </w:r>
      <w:r>
        <w:t>3</w:t>
      </w:r>
      <w:r>
        <w:fldChar w:fldCharType="end"/>
      </w:r>
      <w:r>
        <w:fldChar w:fldCharType="end"/>
      </w:r>
    </w:p>
    <w:p w14:paraId="4704E8FE">
      <w:pPr>
        <w:pStyle w:val="7"/>
        <w:tabs>
          <w:tab w:val="right" w:leader="dot" w:pos="8296"/>
        </w:tabs>
        <w:spacing w:line="360" w:lineRule="auto"/>
        <w:rPr>
          <w:rFonts w:ascii="Calibri" w:hAnsi="Calibri"/>
          <w:szCs w:val="22"/>
        </w:rPr>
      </w:pPr>
      <w:r>
        <w:fldChar w:fldCharType="begin"/>
      </w:r>
      <w:r>
        <w:rPr>
          <w:rStyle w:val="10"/>
        </w:rPr>
        <w:instrText xml:space="preserve"> </w:instrText>
      </w:r>
      <w:r>
        <w:instrText xml:space="preserve">HYPERLINK \l "_Toc79653533"</w:instrText>
      </w:r>
      <w:r>
        <w:rPr>
          <w:rStyle w:val="10"/>
        </w:rPr>
        <w:instrText xml:space="preserve"> </w:instrText>
      </w:r>
      <w:r>
        <w:fldChar w:fldCharType="separate"/>
      </w:r>
      <w:r>
        <w:rPr>
          <w:rStyle w:val="10"/>
        </w:rPr>
        <w:t>3</w:t>
      </w:r>
      <w:r>
        <w:rPr>
          <w:rStyle w:val="10"/>
          <w:rFonts w:hint="eastAsia"/>
        </w:rPr>
        <w:t>、主要参加单位及分工</w:t>
      </w:r>
      <w:r>
        <w:tab/>
      </w:r>
      <w:r>
        <w:fldChar w:fldCharType="begin"/>
      </w:r>
      <w:r>
        <w:instrText xml:space="preserve"> PAGEREF _Toc79653533 \h </w:instrText>
      </w:r>
      <w:r>
        <w:fldChar w:fldCharType="separate"/>
      </w:r>
      <w:r>
        <w:t>4</w:t>
      </w:r>
      <w:r>
        <w:fldChar w:fldCharType="end"/>
      </w:r>
      <w:r>
        <w:fldChar w:fldCharType="end"/>
      </w:r>
    </w:p>
    <w:p w14:paraId="0E9F5DED">
      <w:pPr>
        <w:pStyle w:val="6"/>
        <w:rPr>
          <w:rFonts w:ascii="Calibri" w:hAnsi="Calibri"/>
          <w:szCs w:val="22"/>
        </w:rPr>
      </w:pPr>
      <w:r>
        <w:fldChar w:fldCharType="begin"/>
      </w:r>
      <w:r>
        <w:rPr>
          <w:rStyle w:val="10"/>
        </w:rPr>
        <w:instrText xml:space="preserve"> </w:instrText>
      </w:r>
      <w:r>
        <w:instrText xml:space="preserve">HYPERLINK \l "_Toc79653534"</w:instrText>
      </w:r>
      <w:r>
        <w:rPr>
          <w:rStyle w:val="10"/>
        </w:rPr>
        <w:instrText xml:space="preserve"> </w:instrText>
      </w:r>
      <w:r>
        <w:fldChar w:fldCharType="separate"/>
      </w:r>
      <w:r>
        <w:rPr>
          <w:rStyle w:val="10"/>
          <w:rFonts w:hint="eastAsia"/>
        </w:rPr>
        <w:t>二、标准编制原则和主要修订内容</w:t>
      </w:r>
      <w:r>
        <w:tab/>
      </w:r>
      <w:r>
        <w:fldChar w:fldCharType="begin"/>
      </w:r>
      <w:r>
        <w:instrText xml:space="preserve"> PAGEREF _Toc79653534 \h </w:instrText>
      </w:r>
      <w:r>
        <w:fldChar w:fldCharType="separate"/>
      </w:r>
      <w:r>
        <w:t>5</w:t>
      </w:r>
      <w:r>
        <w:fldChar w:fldCharType="end"/>
      </w:r>
      <w:r>
        <w:fldChar w:fldCharType="end"/>
      </w:r>
    </w:p>
    <w:p w14:paraId="1D4774FC">
      <w:pPr>
        <w:pStyle w:val="7"/>
        <w:tabs>
          <w:tab w:val="right" w:leader="dot" w:pos="8296"/>
        </w:tabs>
        <w:spacing w:line="360" w:lineRule="auto"/>
        <w:rPr>
          <w:rFonts w:ascii="Calibri" w:hAnsi="Calibri"/>
          <w:szCs w:val="22"/>
        </w:rPr>
      </w:pPr>
      <w:r>
        <w:fldChar w:fldCharType="begin"/>
      </w:r>
      <w:r>
        <w:rPr>
          <w:rStyle w:val="10"/>
        </w:rPr>
        <w:instrText xml:space="preserve"> </w:instrText>
      </w:r>
      <w:r>
        <w:instrText xml:space="preserve">HYPERLINK \l "_Toc79653535"</w:instrText>
      </w:r>
      <w:r>
        <w:rPr>
          <w:rStyle w:val="10"/>
        </w:rPr>
        <w:instrText xml:space="preserve"> </w:instrText>
      </w:r>
      <w:r>
        <w:fldChar w:fldCharType="separate"/>
      </w:r>
      <w:r>
        <w:rPr>
          <w:rStyle w:val="10"/>
        </w:rPr>
        <w:t>1</w:t>
      </w:r>
      <w:r>
        <w:rPr>
          <w:rStyle w:val="10"/>
          <w:rFonts w:hint="eastAsia"/>
        </w:rPr>
        <w:t>、标准编制目的意义</w:t>
      </w:r>
      <w:r>
        <w:tab/>
      </w:r>
      <w:r>
        <w:fldChar w:fldCharType="begin"/>
      </w:r>
      <w:r>
        <w:instrText xml:space="preserve"> PAGEREF _Toc79653535 \h </w:instrText>
      </w:r>
      <w:r>
        <w:fldChar w:fldCharType="separate"/>
      </w:r>
      <w:r>
        <w:t>5</w:t>
      </w:r>
      <w:r>
        <w:fldChar w:fldCharType="end"/>
      </w:r>
      <w:r>
        <w:fldChar w:fldCharType="end"/>
      </w:r>
    </w:p>
    <w:p w14:paraId="3645B0E3">
      <w:pPr>
        <w:pStyle w:val="7"/>
        <w:tabs>
          <w:tab w:val="right" w:leader="dot" w:pos="8296"/>
        </w:tabs>
        <w:spacing w:line="360" w:lineRule="auto"/>
        <w:rPr>
          <w:rFonts w:ascii="Calibri" w:hAnsi="Calibri"/>
          <w:szCs w:val="22"/>
        </w:rPr>
      </w:pPr>
      <w:r>
        <w:fldChar w:fldCharType="begin"/>
      </w:r>
      <w:r>
        <w:rPr>
          <w:rStyle w:val="10"/>
        </w:rPr>
        <w:instrText xml:space="preserve"> </w:instrText>
      </w:r>
      <w:r>
        <w:instrText xml:space="preserve">HYPERLINK \l "_Toc79653536"</w:instrText>
      </w:r>
      <w:r>
        <w:rPr>
          <w:rStyle w:val="10"/>
        </w:rPr>
        <w:instrText xml:space="preserve"> </w:instrText>
      </w:r>
      <w:r>
        <w:fldChar w:fldCharType="separate"/>
      </w:r>
      <w:r>
        <w:rPr>
          <w:rStyle w:val="10"/>
          <w:bCs/>
        </w:rPr>
        <w:t>2</w:t>
      </w:r>
      <w:r>
        <w:rPr>
          <w:rStyle w:val="10"/>
          <w:rFonts w:hint="eastAsia"/>
          <w:bCs/>
        </w:rPr>
        <w:t>、标准编制原则</w:t>
      </w:r>
      <w:r>
        <w:tab/>
      </w:r>
      <w:r>
        <w:fldChar w:fldCharType="begin"/>
      </w:r>
      <w:r>
        <w:instrText xml:space="preserve"> PAGEREF _Toc79653536 \h </w:instrText>
      </w:r>
      <w:r>
        <w:fldChar w:fldCharType="separate"/>
      </w:r>
      <w:r>
        <w:t>6</w:t>
      </w:r>
      <w:r>
        <w:fldChar w:fldCharType="end"/>
      </w:r>
      <w:r>
        <w:fldChar w:fldCharType="end"/>
      </w:r>
    </w:p>
    <w:p w14:paraId="255C1D23">
      <w:pPr>
        <w:pStyle w:val="7"/>
        <w:tabs>
          <w:tab w:val="right" w:leader="dot" w:pos="8296"/>
        </w:tabs>
        <w:spacing w:line="360" w:lineRule="auto"/>
        <w:rPr>
          <w:rFonts w:ascii="Calibri" w:hAnsi="Calibri"/>
          <w:szCs w:val="22"/>
        </w:rPr>
      </w:pPr>
      <w:r>
        <w:fldChar w:fldCharType="begin"/>
      </w:r>
      <w:r>
        <w:rPr>
          <w:rStyle w:val="10"/>
        </w:rPr>
        <w:instrText xml:space="preserve"> </w:instrText>
      </w:r>
      <w:r>
        <w:instrText xml:space="preserve">HYPERLINK \l "_Toc79653537"</w:instrText>
      </w:r>
      <w:r>
        <w:rPr>
          <w:rStyle w:val="10"/>
        </w:rPr>
        <w:instrText xml:space="preserve"> </w:instrText>
      </w:r>
      <w:r>
        <w:fldChar w:fldCharType="separate"/>
      </w:r>
      <w:r>
        <w:rPr>
          <w:rStyle w:val="10"/>
          <w:bCs/>
        </w:rPr>
        <w:t>3</w:t>
      </w:r>
      <w:r>
        <w:rPr>
          <w:rStyle w:val="10"/>
          <w:rFonts w:hint="eastAsia"/>
          <w:bCs/>
        </w:rPr>
        <w:t>、主要修订内容</w:t>
      </w:r>
      <w:r>
        <w:tab/>
      </w:r>
      <w:r>
        <w:fldChar w:fldCharType="begin"/>
      </w:r>
      <w:r>
        <w:instrText xml:space="preserve"> PAGEREF _Toc79653537 \h </w:instrText>
      </w:r>
      <w:r>
        <w:fldChar w:fldCharType="separate"/>
      </w:r>
      <w:r>
        <w:t>6</w:t>
      </w:r>
      <w:r>
        <w:fldChar w:fldCharType="end"/>
      </w:r>
      <w:r>
        <w:fldChar w:fldCharType="end"/>
      </w:r>
    </w:p>
    <w:p w14:paraId="3F7AC759">
      <w:pPr>
        <w:pStyle w:val="6"/>
        <w:rPr>
          <w:rFonts w:ascii="Calibri" w:hAnsi="Calibri"/>
          <w:szCs w:val="22"/>
        </w:rPr>
      </w:pPr>
      <w:r>
        <w:fldChar w:fldCharType="begin"/>
      </w:r>
      <w:r>
        <w:rPr>
          <w:rStyle w:val="10"/>
        </w:rPr>
        <w:instrText xml:space="preserve"> </w:instrText>
      </w:r>
      <w:r>
        <w:instrText xml:space="preserve">HYPERLINK \l "_Toc79653554"</w:instrText>
      </w:r>
      <w:r>
        <w:rPr>
          <w:rStyle w:val="10"/>
        </w:rPr>
        <w:instrText xml:space="preserve"> </w:instrText>
      </w:r>
      <w:r>
        <w:fldChar w:fldCharType="separate"/>
      </w:r>
      <w:r>
        <w:rPr>
          <w:rStyle w:val="10"/>
          <w:rFonts w:hint="eastAsia"/>
        </w:rPr>
        <w:t>三、主要试验（或验证）情况分析</w:t>
      </w:r>
      <w:r>
        <w:tab/>
      </w:r>
      <w:r>
        <w:fldChar w:fldCharType="begin"/>
      </w:r>
      <w:r>
        <w:instrText xml:space="preserve"> PAGEREF _Toc79653554 \h </w:instrText>
      </w:r>
      <w:r>
        <w:fldChar w:fldCharType="separate"/>
      </w:r>
      <w:r>
        <w:t>11</w:t>
      </w:r>
      <w:r>
        <w:fldChar w:fldCharType="end"/>
      </w:r>
      <w:r>
        <w:fldChar w:fldCharType="end"/>
      </w:r>
    </w:p>
    <w:p w14:paraId="46C2EB78">
      <w:pPr>
        <w:pStyle w:val="6"/>
        <w:rPr>
          <w:rFonts w:ascii="Calibri" w:hAnsi="Calibri"/>
          <w:szCs w:val="22"/>
        </w:rPr>
      </w:pPr>
      <w:r>
        <w:fldChar w:fldCharType="begin"/>
      </w:r>
      <w:r>
        <w:rPr>
          <w:rStyle w:val="10"/>
        </w:rPr>
        <w:instrText xml:space="preserve"> </w:instrText>
      </w:r>
      <w:r>
        <w:instrText xml:space="preserve">HYPERLINK \l "_Toc79653564"</w:instrText>
      </w:r>
      <w:r>
        <w:rPr>
          <w:rStyle w:val="10"/>
        </w:rPr>
        <w:instrText xml:space="preserve"> </w:instrText>
      </w:r>
      <w:r>
        <w:fldChar w:fldCharType="separate"/>
      </w:r>
      <w:r>
        <w:rPr>
          <w:rStyle w:val="10"/>
          <w:rFonts w:hint="eastAsia"/>
        </w:rPr>
        <w:t>四、标准中涉及专利情况</w:t>
      </w:r>
      <w:r>
        <w:tab/>
      </w:r>
      <w:r>
        <w:fldChar w:fldCharType="begin"/>
      </w:r>
      <w:r>
        <w:instrText xml:space="preserve"> PAGEREF _Toc79653564 \h </w:instrText>
      </w:r>
      <w:r>
        <w:fldChar w:fldCharType="separate"/>
      </w:r>
      <w:r>
        <w:t>11</w:t>
      </w:r>
      <w:r>
        <w:fldChar w:fldCharType="end"/>
      </w:r>
      <w:r>
        <w:fldChar w:fldCharType="end"/>
      </w:r>
    </w:p>
    <w:p w14:paraId="023B580C">
      <w:pPr>
        <w:pStyle w:val="6"/>
        <w:rPr>
          <w:rFonts w:ascii="Calibri" w:hAnsi="Calibri"/>
          <w:szCs w:val="22"/>
        </w:rPr>
      </w:pPr>
      <w:r>
        <w:fldChar w:fldCharType="begin"/>
      </w:r>
      <w:r>
        <w:rPr>
          <w:rStyle w:val="10"/>
        </w:rPr>
        <w:instrText xml:space="preserve"> </w:instrText>
      </w:r>
      <w:r>
        <w:instrText xml:space="preserve">HYPERLINK \l "_Toc79653565"</w:instrText>
      </w:r>
      <w:r>
        <w:rPr>
          <w:rStyle w:val="10"/>
        </w:rPr>
        <w:instrText xml:space="preserve"> </w:instrText>
      </w:r>
      <w:r>
        <w:fldChar w:fldCharType="separate"/>
      </w:r>
      <w:r>
        <w:rPr>
          <w:rStyle w:val="10"/>
          <w:rFonts w:hint="eastAsia"/>
        </w:rPr>
        <w:t>五、产业化情况、推广应用论证和预期达到的经济效果等情况</w:t>
      </w:r>
      <w:r>
        <w:tab/>
      </w:r>
      <w:r>
        <w:fldChar w:fldCharType="begin"/>
      </w:r>
      <w:r>
        <w:instrText xml:space="preserve"> PAGEREF _Toc79653565 \h </w:instrText>
      </w:r>
      <w:r>
        <w:fldChar w:fldCharType="separate"/>
      </w:r>
      <w:r>
        <w:t>11</w:t>
      </w:r>
      <w:r>
        <w:fldChar w:fldCharType="end"/>
      </w:r>
      <w:r>
        <w:fldChar w:fldCharType="end"/>
      </w:r>
    </w:p>
    <w:p w14:paraId="0E670898">
      <w:pPr>
        <w:pStyle w:val="6"/>
        <w:rPr>
          <w:rFonts w:ascii="Calibri" w:hAnsi="Calibri"/>
          <w:szCs w:val="22"/>
        </w:rPr>
      </w:pPr>
      <w:r>
        <w:fldChar w:fldCharType="begin"/>
      </w:r>
      <w:r>
        <w:rPr>
          <w:rStyle w:val="10"/>
        </w:rPr>
        <w:instrText xml:space="preserve"> </w:instrText>
      </w:r>
      <w:r>
        <w:instrText xml:space="preserve">HYPERLINK \l "_Toc79653566"</w:instrText>
      </w:r>
      <w:r>
        <w:rPr>
          <w:rStyle w:val="10"/>
        </w:rPr>
        <w:instrText xml:space="preserve"> </w:instrText>
      </w:r>
      <w:r>
        <w:fldChar w:fldCharType="separate"/>
      </w:r>
      <w:r>
        <w:rPr>
          <w:rStyle w:val="10"/>
          <w:rFonts w:hint="eastAsia"/>
        </w:rPr>
        <w:t>六、采用国际标准和国外先进标准的程度，以及与国际、国外同类标准水平的对比</w:t>
      </w:r>
      <w:r>
        <w:tab/>
      </w:r>
      <w:r>
        <w:fldChar w:fldCharType="begin"/>
      </w:r>
      <w:r>
        <w:instrText xml:space="preserve"> PAGEREF _Toc79653566 \h </w:instrText>
      </w:r>
      <w:r>
        <w:fldChar w:fldCharType="separate"/>
      </w:r>
      <w:r>
        <w:t>12</w:t>
      </w:r>
      <w:r>
        <w:fldChar w:fldCharType="end"/>
      </w:r>
      <w:r>
        <w:fldChar w:fldCharType="end"/>
      </w:r>
    </w:p>
    <w:p w14:paraId="32E98E62">
      <w:pPr>
        <w:pStyle w:val="6"/>
        <w:rPr>
          <w:rFonts w:ascii="Calibri" w:hAnsi="Calibri"/>
          <w:szCs w:val="22"/>
        </w:rPr>
      </w:pPr>
      <w:r>
        <w:fldChar w:fldCharType="begin"/>
      </w:r>
      <w:r>
        <w:rPr>
          <w:rStyle w:val="10"/>
        </w:rPr>
        <w:instrText xml:space="preserve"> </w:instrText>
      </w:r>
      <w:r>
        <w:instrText xml:space="preserve">HYPERLINK \l "_Toc79653567"</w:instrText>
      </w:r>
      <w:r>
        <w:rPr>
          <w:rStyle w:val="10"/>
        </w:rPr>
        <w:instrText xml:space="preserve"> </w:instrText>
      </w:r>
      <w:r>
        <w:fldChar w:fldCharType="separate"/>
      </w:r>
      <w:r>
        <w:rPr>
          <w:rStyle w:val="10"/>
          <w:rFonts w:hint="eastAsia"/>
        </w:rPr>
        <w:t>七、与现行相关法律、法规、规章及相关标准协调性</w:t>
      </w:r>
      <w:r>
        <w:tab/>
      </w:r>
      <w:r>
        <w:fldChar w:fldCharType="begin"/>
      </w:r>
      <w:r>
        <w:instrText xml:space="preserve"> PAGEREF _Toc79653567 \h </w:instrText>
      </w:r>
      <w:r>
        <w:fldChar w:fldCharType="separate"/>
      </w:r>
      <w:r>
        <w:t>12</w:t>
      </w:r>
      <w:r>
        <w:fldChar w:fldCharType="end"/>
      </w:r>
      <w:r>
        <w:fldChar w:fldCharType="end"/>
      </w:r>
    </w:p>
    <w:p w14:paraId="7841E6AE">
      <w:pPr>
        <w:pStyle w:val="6"/>
        <w:rPr>
          <w:rFonts w:ascii="Calibri" w:hAnsi="Calibri"/>
          <w:szCs w:val="22"/>
        </w:rPr>
      </w:pPr>
      <w:r>
        <w:fldChar w:fldCharType="begin"/>
      </w:r>
      <w:r>
        <w:rPr>
          <w:rStyle w:val="10"/>
        </w:rPr>
        <w:instrText xml:space="preserve"> </w:instrText>
      </w:r>
      <w:r>
        <w:instrText xml:space="preserve">HYPERLINK \l "_Toc79653568"</w:instrText>
      </w:r>
      <w:r>
        <w:rPr>
          <w:rStyle w:val="10"/>
        </w:rPr>
        <w:instrText xml:space="preserve"> </w:instrText>
      </w:r>
      <w:r>
        <w:fldChar w:fldCharType="separate"/>
      </w:r>
      <w:r>
        <w:rPr>
          <w:rStyle w:val="10"/>
          <w:rFonts w:hint="eastAsia"/>
        </w:rPr>
        <w:t>八、重大分歧意见的处理经过和依据</w:t>
      </w:r>
      <w:r>
        <w:tab/>
      </w:r>
      <w:r>
        <w:fldChar w:fldCharType="begin"/>
      </w:r>
      <w:r>
        <w:instrText xml:space="preserve"> PAGEREF _Toc79653568 \h </w:instrText>
      </w:r>
      <w:r>
        <w:fldChar w:fldCharType="separate"/>
      </w:r>
      <w:r>
        <w:t>12</w:t>
      </w:r>
      <w:r>
        <w:fldChar w:fldCharType="end"/>
      </w:r>
      <w:r>
        <w:fldChar w:fldCharType="end"/>
      </w:r>
    </w:p>
    <w:p w14:paraId="135E6652">
      <w:pPr>
        <w:pStyle w:val="6"/>
        <w:rPr>
          <w:rFonts w:ascii="Calibri" w:hAnsi="Calibri"/>
          <w:szCs w:val="22"/>
        </w:rPr>
      </w:pPr>
      <w:r>
        <w:fldChar w:fldCharType="begin"/>
      </w:r>
      <w:r>
        <w:rPr>
          <w:rStyle w:val="10"/>
        </w:rPr>
        <w:instrText xml:space="preserve"> </w:instrText>
      </w:r>
      <w:r>
        <w:instrText xml:space="preserve">HYPERLINK \l "_Toc79653569"</w:instrText>
      </w:r>
      <w:r>
        <w:rPr>
          <w:rStyle w:val="10"/>
        </w:rPr>
        <w:instrText xml:space="preserve"> </w:instrText>
      </w:r>
      <w:r>
        <w:fldChar w:fldCharType="separate"/>
      </w:r>
      <w:r>
        <w:rPr>
          <w:rStyle w:val="10"/>
          <w:rFonts w:hint="eastAsia"/>
        </w:rPr>
        <w:t>九、标准性质的建议说明</w:t>
      </w:r>
      <w:r>
        <w:tab/>
      </w:r>
      <w:r>
        <w:fldChar w:fldCharType="begin"/>
      </w:r>
      <w:r>
        <w:instrText xml:space="preserve"> PAGEREF _Toc79653569 \h </w:instrText>
      </w:r>
      <w:r>
        <w:fldChar w:fldCharType="separate"/>
      </w:r>
      <w:r>
        <w:t>13</w:t>
      </w:r>
      <w:r>
        <w:fldChar w:fldCharType="end"/>
      </w:r>
      <w:r>
        <w:fldChar w:fldCharType="end"/>
      </w:r>
    </w:p>
    <w:p w14:paraId="1C3EEFB9">
      <w:pPr>
        <w:pStyle w:val="6"/>
        <w:rPr>
          <w:rFonts w:ascii="Calibri" w:hAnsi="Calibri"/>
          <w:szCs w:val="22"/>
        </w:rPr>
      </w:pPr>
      <w:r>
        <w:fldChar w:fldCharType="begin"/>
      </w:r>
      <w:r>
        <w:rPr>
          <w:rStyle w:val="10"/>
        </w:rPr>
        <w:instrText xml:space="preserve"> </w:instrText>
      </w:r>
      <w:r>
        <w:instrText xml:space="preserve">HYPERLINK \l "_Toc79653570"</w:instrText>
      </w:r>
      <w:r>
        <w:rPr>
          <w:rStyle w:val="10"/>
        </w:rPr>
        <w:instrText xml:space="preserve"> </w:instrText>
      </w:r>
      <w:r>
        <w:fldChar w:fldCharType="separate"/>
      </w:r>
      <w:r>
        <w:rPr>
          <w:rStyle w:val="10"/>
          <w:rFonts w:hint="eastAsia"/>
        </w:rPr>
        <w:t>十、贯彻标准的要求和措施建议</w:t>
      </w:r>
      <w:r>
        <w:tab/>
      </w:r>
      <w:r>
        <w:fldChar w:fldCharType="begin"/>
      </w:r>
      <w:r>
        <w:instrText xml:space="preserve"> PAGEREF _Toc79653570 \h </w:instrText>
      </w:r>
      <w:r>
        <w:fldChar w:fldCharType="separate"/>
      </w:r>
      <w:r>
        <w:t>13</w:t>
      </w:r>
      <w:r>
        <w:fldChar w:fldCharType="end"/>
      </w:r>
      <w:r>
        <w:fldChar w:fldCharType="end"/>
      </w:r>
    </w:p>
    <w:p w14:paraId="28FFE1C5">
      <w:pPr>
        <w:pStyle w:val="6"/>
        <w:rPr>
          <w:rFonts w:ascii="Calibri" w:hAnsi="Calibri"/>
          <w:szCs w:val="22"/>
        </w:rPr>
      </w:pPr>
      <w:r>
        <w:fldChar w:fldCharType="begin"/>
      </w:r>
      <w:r>
        <w:rPr>
          <w:rStyle w:val="10"/>
        </w:rPr>
        <w:instrText xml:space="preserve"> </w:instrText>
      </w:r>
      <w:r>
        <w:instrText xml:space="preserve">HYPERLINK \l "_Toc79653571"</w:instrText>
      </w:r>
      <w:r>
        <w:rPr>
          <w:rStyle w:val="10"/>
        </w:rPr>
        <w:instrText xml:space="preserve"> </w:instrText>
      </w:r>
      <w:r>
        <w:fldChar w:fldCharType="separate"/>
      </w:r>
      <w:r>
        <w:rPr>
          <w:rStyle w:val="10"/>
          <w:rFonts w:hint="eastAsia"/>
        </w:rPr>
        <w:t>十一、废止现行相关标准的建议</w:t>
      </w:r>
      <w:r>
        <w:tab/>
      </w:r>
      <w:r>
        <w:fldChar w:fldCharType="begin"/>
      </w:r>
      <w:r>
        <w:instrText xml:space="preserve"> PAGEREF _Toc79653571 \h </w:instrText>
      </w:r>
      <w:r>
        <w:fldChar w:fldCharType="separate"/>
      </w:r>
      <w:r>
        <w:t>13</w:t>
      </w:r>
      <w:r>
        <w:fldChar w:fldCharType="end"/>
      </w:r>
      <w:r>
        <w:fldChar w:fldCharType="end"/>
      </w:r>
    </w:p>
    <w:p w14:paraId="219B5911">
      <w:pPr>
        <w:pStyle w:val="6"/>
        <w:rPr>
          <w:rFonts w:ascii="Calibri" w:hAnsi="Calibri"/>
          <w:szCs w:val="22"/>
        </w:rPr>
      </w:pPr>
      <w:r>
        <w:fldChar w:fldCharType="begin"/>
      </w:r>
      <w:r>
        <w:rPr>
          <w:rStyle w:val="10"/>
        </w:rPr>
        <w:instrText xml:space="preserve"> </w:instrText>
      </w:r>
      <w:r>
        <w:instrText xml:space="preserve">HYPERLINK \l "_Toc79653572"</w:instrText>
      </w:r>
      <w:r>
        <w:rPr>
          <w:rStyle w:val="10"/>
        </w:rPr>
        <w:instrText xml:space="preserve"> </w:instrText>
      </w:r>
      <w:r>
        <w:fldChar w:fldCharType="separate"/>
      </w:r>
      <w:r>
        <w:rPr>
          <w:rStyle w:val="10"/>
          <w:rFonts w:hint="eastAsia"/>
        </w:rPr>
        <w:t>十二、其它应予说明的事项</w:t>
      </w:r>
      <w:r>
        <w:tab/>
      </w:r>
      <w:r>
        <w:fldChar w:fldCharType="begin"/>
      </w:r>
      <w:r>
        <w:instrText xml:space="preserve"> PAGEREF _Toc79653572 \h </w:instrText>
      </w:r>
      <w:r>
        <w:fldChar w:fldCharType="separate"/>
      </w:r>
      <w:r>
        <w:t>13</w:t>
      </w:r>
      <w:r>
        <w:fldChar w:fldCharType="end"/>
      </w:r>
      <w:r>
        <w:fldChar w:fldCharType="end"/>
      </w:r>
    </w:p>
    <w:p w14:paraId="7B4136BB">
      <w:pPr>
        <w:spacing w:line="360" w:lineRule="auto"/>
        <w:rPr>
          <w:rFonts w:hint="eastAsia" w:ascii="宋体" w:hAnsi="宋体"/>
          <w:szCs w:val="21"/>
        </w:rPr>
      </w:pPr>
      <w:r>
        <w:rPr>
          <w:bCs/>
          <w:lang w:val="zh-CN"/>
        </w:rPr>
        <w:fldChar w:fldCharType="end"/>
      </w:r>
    </w:p>
    <w:p w14:paraId="2DA9E018">
      <w:pPr>
        <w:ind w:firstLine="420" w:firstLineChars="200"/>
        <w:rPr>
          <w:rFonts w:ascii="宋体" w:hAnsi="宋体"/>
          <w:szCs w:val="21"/>
        </w:rPr>
        <w:sectPr>
          <w:pgSz w:w="11906" w:h="16838"/>
          <w:pgMar w:top="1440" w:right="1800" w:bottom="1440" w:left="1800" w:header="851" w:footer="992" w:gutter="0"/>
          <w:cols w:space="720" w:num="1"/>
          <w:docGrid w:type="lines" w:linePitch="312" w:charSpace="0"/>
        </w:sectPr>
      </w:pPr>
    </w:p>
    <w:p w14:paraId="67F8231F">
      <w:pPr>
        <w:pStyle w:val="2"/>
        <w:rPr>
          <w:rFonts w:hint="eastAsia"/>
        </w:rPr>
      </w:pPr>
      <w:bookmarkStart w:id="0" w:name="_Toc79653530"/>
      <w:r>
        <w:rPr>
          <w:rFonts w:hint="eastAsia"/>
        </w:rPr>
        <w:t>一、工作简况</w:t>
      </w:r>
      <w:bookmarkEnd w:id="0"/>
      <w:r>
        <w:rPr>
          <w:rFonts w:hint="eastAsia"/>
        </w:rPr>
        <w:t xml:space="preserve"> </w:t>
      </w:r>
    </w:p>
    <w:p w14:paraId="7B083621">
      <w:pPr>
        <w:spacing w:line="360" w:lineRule="auto"/>
        <w:ind w:firstLine="482" w:firstLineChars="200"/>
        <w:outlineLvl w:val="1"/>
        <w:rPr>
          <w:rFonts w:hint="eastAsia"/>
          <w:b/>
          <w:sz w:val="24"/>
        </w:rPr>
      </w:pPr>
      <w:bookmarkStart w:id="1" w:name="_Toc79653531"/>
      <w:r>
        <w:rPr>
          <w:rFonts w:hint="eastAsia"/>
          <w:b/>
          <w:sz w:val="24"/>
        </w:rPr>
        <w:t>1、任务来源</w:t>
      </w:r>
      <w:bookmarkEnd w:id="1"/>
    </w:p>
    <w:p w14:paraId="624EB01E">
      <w:pPr>
        <w:spacing w:line="360" w:lineRule="auto"/>
        <w:ind w:firstLine="480" w:firstLineChars="200"/>
        <w:rPr>
          <w:rFonts w:hint="eastAsia"/>
          <w:sz w:val="24"/>
        </w:rPr>
      </w:pPr>
      <w:r>
        <w:rPr>
          <w:rFonts w:hint="eastAsia"/>
          <w:sz w:val="24"/>
        </w:rPr>
        <w:t>根据《工业和信息化部办公厅关于印发2024年第一批行业标准制修订计划的通知》(工信厅科〔2024〕18号)，</w:t>
      </w:r>
      <w:r>
        <w:rPr>
          <w:rFonts w:hint="eastAsia"/>
          <w:sz w:val="24"/>
          <w:lang w:eastAsia="zh-CN"/>
        </w:rPr>
        <w:t>建材行业标准</w:t>
      </w:r>
      <w:r>
        <w:rPr>
          <w:rFonts w:hint="eastAsia"/>
          <w:sz w:val="24"/>
        </w:rPr>
        <w:t>《机制砂石生产技术规程》(计划号：2024-0410 T-JC)标准修订正式列入2024年产品类行业标准项目</w:t>
      </w:r>
      <w:r>
        <w:rPr>
          <w:rFonts w:hint="eastAsia"/>
          <w:sz w:val="24"/>
          <w:lang w:eastAsia="zh-CN"/>
        </w:rPr>
        <w:t>。标准</w:t>
      </w:r>
      <w:r>
        <w:rPr>
          <w:rFonts w:hint="eastAsia"/>
          <w:sz w:val="24"/>
        </w:rPr>
        <w:t>归口</w:t>
      </w:r>
      <w:r>
        <w:rPr>
          <w:rFonts w:hint="eastAsia"/>
          <w:sz w:val="24"/>
          <w:lang w:eastAsia="zh-CN"/>
        </w:rPr>
        <w:t>单位为</w:t>
      </w:r>
      <w:r>
        <w:rPr>
          <w:rFonts w:hint="eastAsia"/>
          <w:sz w:val="24"/>
        </w:rPr>
        <w:t>由建材工业综合标准化技术委员会，</w:t>
      </w:r>
      <w:r>
        <w:rPr>
          <w:rFonts w:hint="eastAsia"/>
          <w:sz w:val="24"/>
          <w:lang w:eastAsia="zh-CN"/>
        </w:rPr>
        <w:t>负责起草单位为</w:t>
      </w:r>
      <w:r>
        <w:rPr>
          <w:rFonts w:hint="eastAsia"/>
          <w:sz w:val="24"/>
        </w:rPr>
        <w:t>中国砂石协会、北京建筑大学。</w:t>
      </w:r>
    </w:p>
    <w:p w14:paraId="3AEC6E78">
      <w:pPr>
        <w:spacing w:line="360" w:lineRule="auto"/>
        <w:ind w:firstLine="482" w:firstLineChars="200"/>
        <w:outlineLvl w:val="1"/>
        <w:rPr>
          <w:rFonts w:hint="eastAsia"/>
          <w:b/>
          <w:sz w:val="24"/>
        </w:rPr>
      </w:pPr>
      <w:bookmarkStart w:id="2" w:name="_Toc79653532"/>
      <w:r>
        <w:rPr>
          <w:rFonts w:hint="eastAsia"/>
          <w:b/>
          <w:sz w:val="24"/>
        </w:rPr>
        <w:t>2、工作过程</w:t>
      </w:r>
      <w:bookmarkEnd w:id="2"/>
    </w:p>
    <w:p w14:paraId="15CF0A1C">
      <w:pPr>
        <w:spacing w:line="360" w:lineRule="auto"/>
        <w:ind w:firstLine="420"/>
        <w:rPr>
          <w:rFonts w:hint="default" w:ascii="Times New Roman" w:hAnsi="Times New Roman" w:cs="Times New Roman"/>
          <w:sz w:val="24"/>
        </w:rPr>
      </w:pPr>
      <w:r>
        <w:rPr>
          <w:rFonts w:hint="default" w:ascii="Times New Roman" w:hAnsi="Times New Roman" w:cs="Times New Roman"/>
          <w:sz w:val="24"/>
        </w:rPr>
        <w:t>2024年4月</w:t>
      </w:r>
      <w:r>
        <w:rPr>
          <w:rFonts w:hint="eastAsia" w:cs="Times New Roman"/>
          <w:sz w:val="24"/>
          <w:lang w:eastAsia="zh-CN"/>
        </w:rPr>
        <w:t>，</w:t>
      </w:r>
      <w:r>
        <w:rPr>
          <w:rFonts w:hint="default" w:ascii="Times New Roman" w:hAnsi="Times New Roman" w:cs="Times New Roman"/>
          <w:sz w:val="24"/>
        </w:rPr>
        <w:t>中国砂石协会联合北京建筑大学组织召开标准编制预备会，讨论编制大纲，并启动标准编制单位征集工作。会后由北京建筑大学负责完成标准修订初稿。</w:t>
      </w:r>
    </w:p>
    <w:p w14:paraId="6DDBC6E5">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20</w:t>
      </w:r>
      <w:r>
        <w:rPr>
          <w:rFonts w:hint="eastAsia" w:cs="Times New Roman"/>
          <w:sz w:val="24"/>
          <w:lang w:val="en-US" w:eastAsia="zh-CN"/>
        </w:rPr>
        <w:t>24</w:t>
      </w:r>
      <w:r>
        <w:rPr>
          <w:rFonts w:hint="default" w:ascii="Times New Roman" w:hAnsi="Times New Roman" w:cs="Times New Roman"/>
          <w:sz w:val="24"/>
        </w:rPr>
        <w:t>年</w:t>
      </w:r>
      <w:r>
        <w:rPr>
          <w:rFonts w:hint="eastAsia" w:cs="Times New Roman"/>
          <w:sz w:val="24"/>
          <w:lang w:val="en-US" w:eastAsia="zh-CN"/>
        </w:rPr>
        <w:t>9</w:t>
      </w:r>
      <w:r>
        <w:rPr>
          <w:rFonts w:hint="default" w:ascii="Times New Roman" w:hAnsi="Times New Roman" w:cs="Times New Roman"/>
          <w:sz w:val="24"/>
        </w:rPr>
        <w:t>月</w:t>
      </w:r>
      <w:r>
        <w:rPr>
          <w:rFonts w:hint="eastAsia" w:cs="Times New Roman"/>
          <w:sz w:val="24"/>
          <w:lang w:val="en-US" w:eastAsia="zh-CN"/>
        </w:rPr>
        <w:t>11</w:t>
      </w:r>
      <w:r>
        <w:rPr>
          <w:rFonts w:hint="default" w:ascii="Times New Roman" w:hAnsi="Times New Roman" w:cs="Times New Roman"/>
          <w:sz w:val="24"/>
        </w:rPr>
        <w:t>日，《</w:t>
      </w:r>
      <w:r>
        <w:rPr>
          <w:rFonts w:hint="eastAsia"/>
          <w:sz w:val="24"/>
        </w:rPr>
        <w:t>机制砂石生产技术规程</w:t>
      </w:r>
      <w:r>
        <w:rPr>
          <w:rFonts w:hint="default" w:ascii="Times New Roman" w:hAnsi="Times New Roman" w:cs="Times New Roman"/>
          <w:sz w:val="24"/>
        </w:rPr>
        <w:t>》编制组成立暨第一次工作会议在</w:t>
      </w:r>
      <w:r>
        <w:rPr>
          <w:rFonts w:hint="eastAsia" w:cs="Times New Roman"/>
          <w:sz w:val="24"/>
          <w:lang w:eastAsia="zh-CN"/>
        </w:rPr>
        <w:t>北京</w:t>
      </w:r>
      <w:r>
        <w:rPr>
          <w:rFonts w:hint="default" w:ascii="Times New Roman" w:hAnsi="Times New Roman" w:cs="Times New Roman"/>
          <w:sz w:val="24"/>
        </w:rPr>
        <w:t>召开。</w:t>
      </w:r>
      <w:r>
        <w:rPr>
          <w:rFonts w:hint="eastAsia" w:cs="Times New Roman"/>
          <w:sz w:val="24"/>
          <w:lang w:eastAsia="zh-CN"/>
        </w:rPr>
        <w:t>中国建筑材料联合会、</w:t>
      </w:r>
      <w:r>
        <w:rPr>
          <w:rFonts w:hint="default" w:ascii="Times New Roman" w:hAnsi="Times New Roman" w:cs="Times New Roman"/>
          <w:sz w:val="24"/>
        </w:rPr>
        <w:t>中国砂石协会、北京建筑大学、南京工业大学</w:t>
      </w:r>
      <w:r>
        <w:rPr>
          <w:rFonts w:hint="eastAsia" w:cs="Times New Roman"/>
          <w:sz w:val="24"/>
          <w:lang w:eastAsia="zh-CN"/>
        </w:rPr>
        <w:t>、</w:t>
      </w:r>
      <w:r>
        <w:rPr>
          <w:rFonts w:hint="default" w:ascii="Times New Roman" w:hAnsi="Times New Roman" w:cs="Times New Roman"/>
          <w:sz w:val="24"/>
        </w:rPr>
        <w:t>上海建工建材科技集团股份有限公司</w:t>
      </w:r>
      <w:r>
        <w:rPr>
          <w:rFonts w:hint="eastAsia" w:cs="Times New Roman"/>
          <w:sz w:val="24"/>
          <w:lang w:eastAsia="zh-CN"/>
        </w:rPr>
        <w:t>、</w:t>
      </w:r>
      <w:r>
        <w:rPr>
          <w:rFonts w:hint="default" w:ascii="Times New Roman" w:hAnsi="Times New Roman" w:cs="Times New Roman"/>
          <w:sz w:val="24"/>
        </w:rPr>
        <w:t>华新水泥股份有限公司、鹤壁恒源矿业集团有限公司、湖南发展琼湖建材经营有限公司、广州矮岭石场建材有限公司、广东广物金属产业集团有限公司、世邦工业科技集团股份有限公司、广东磊蒙智能装备集团有限公司、江苏山宝集团有限公司、宁波盛泰混凝土有限公司、上海山美环保装备股份有限公司、成都大宏立机器股份有限公司、河南红星矿山机器有限公司、首钢集团有限公司矿业公司、中国电建集团西北勘测设计研究院有限公司、青岛理工大学等</w:t>
      </w:r>
      <w:r>
        <w:rPr>
          <w:rFonts w:hint="eastAsia" w:cs="Times New Roman"/>
          <w:sz w:val="24"/>
          <w:lang w:val="en-US" w:eastAsia="zh-CN"/>
        </w:rPr>
        <w:t>20</w:t>
      </w:r>
      <w:r>
        <w:rPr>
          <w:rFonts w:hint="default" w:ascii="Times New Roman" w:hAnsi="Times New Roman" w:cs="Times New Roman"/>
          <w:sz w:val="24"/>
        </w:rPr>
        <w:t>余家单位的专家代表以及有关部门领导</w:t>
      </w:r>
      <w:r>
        <w:rPr>
          <w:rFonts w:hint="eastAsia" w:cs="Times New Roman"/>
          <w:sz w:val="24"/>
          <w:lang w:eastAsia="zh-CN"/>
        </w:rPr>
        <w:t>约</w:t>
      </w:r>
      <w:r>
        <w:rPr>
          <w:rFonts w:hint="eastAsia" w:cs="Times New Roman"/>
          <w:sz w:val="24"/>
          <w:lang w:val="en-US" w:eastAsia="zh-CN"/>
        </w:rPr>
        <w:t>3</w:t>
      </w:r>
      <w:r>
        <w:rPr>
          <w:rFonts w:hint="default" w:ascii="Times New Roman" w:hAnsi="Times New Roman" w:cs="Times New Roman"/>
          <w:sz w:val="24"/>
        </w:rPr>
        <w:t>0人参加了会议。本次会议成立了《</w:t>
      </w:r>
      <w:r>
        <w:rPr>
          <w:rFonts w:hint="eastAsia"/>
          <w:sz w:val="24"/>
        </w:rPr>
        <w:t>机制砂石生产技术规程</w:t>
      </w:r>
      <w:r>
        <w:rPr>
          <w:rFonts w:hint="default" w:ascii="Times New Roman" w:hAnsi="Times New Roman" w:cs="Times New Roman"/>
          <w:sz w:val="24"/>
        </w:rPr>
        <w:t>》编制组。会上编制组广泛听取了参会专家、领导的意见和建议，明确了需要修改的条款及指标，制定了调研方案。在各参编单位的积极配合下，调研数据陆续反馈回主编单位。</w:t>
      </w:r>
    </w:p>
    <w:p w14:paraId="32D0AB18">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202</w:t>
      </w:r>
      <w:r>
        <w:rPr>
          <w:rFonts w:hint="eastAsia" w:cs="Times New Roman"/>
          <w:sz w:val="24"/>
          <w:lang w:val="en-US" w:eastAsia="zh-CN"/>
        </w:rPr>
        <w:t>4</w:t>
      </w:r>
      <w:r>
        <w:rPr>
          <w:rFonts w:hint="default" w:ascii="Times New Roman" w:hAnsi="Times New Roman" w:cs="Times New Roman"/>
          <w:sz w:val="24"/>
        </w:rPr>
        <w:t>年</w:t>
      </w:r>
      <w:r>
        <w:rPr>
          <w:rFonts w:hint="eastAsia" w:cs="Times New Roman"/>
          <w:sz w:val="24"/>
          <w:lang w:val="en-US" w:eastAsia="zh-CN"/>
        </w:rPr>
        <w:t>10</w:t>
      </w:r>
      <w:r>
        <w:rPr>
          <w:rFonts w:hint="default" w:ascii="Times New Roman" w:hAnsi="Times New Roman" w:cs="Times New Roman"/>
          <w:sz w:val="24"/>
        </w:rPr>
        <w:t>月</w:t>
      </w:r>
      <w:r>
        <w:rPr>
          <w:rFonts w:hint="eastAsia" w:cs="Times New Roman"/>
          <w:sz w:val="24"/>
          <w:lang w:val="en-US" w:eastAsia="zh-CN"/>
        </w:rPr>
        <w:t>-12月</w:t>
      </w:r>
      <w:r>
        <w:rPr>
          <w:rFonts w:hint="default" w:ascii="Times New Roman" w:hAnsi="Times New Roman" w:cs="Times New Roman"/>
          <w:sz w:val="24"/>
        </w:rPr>
        <w:t>，主编单位整理和总结了各参编单位的数据及建议，形成了《</w:t>
      </w:r>
      <w:r>
        <w:rPr>
          <w:rFonts w:hint="eastAsia"/>
          <w:sz w:val="24"/>
        </w:rPr>
        <w:t>机制砂石生产技术规程</w:t>
      </w:r>
      <w:r>
        <w:rPr>
          <w:rFonts w:hint="default" w:ascii="Times New Roman" w:hAnsi="Times New Roman" w:cs="Times New Roman"/>
          <w:sz w:val="24"/>
        </w:rPr>
        <w:t>》参编单位内部征求意见稿，并发往各参编单位。</w:t>
      </w:r>
    </w:p>
    <w:p w14:paraId="4C61BFCF">
      <w:pPr>
        <w:spacing w:line="360" w:lineRule="auto"/>
        <w:ind w:firstLine="480" w:firstLineChars="200"/>
        <w:rPr>
          <w:rFonts w:hint="eastAsia" w:ascii="Times New Roman" w:hAnsi="Times New Roman" w:eastAsia="宋体" w:cs="Times New Roman"/>
          <w:sz w:val="24"/>
          <w:lang w:eastAsia="zh-CN"/>
        </w:rPr>
      </w:pPr>
      <w:r>
        <w:rPr>
          <w:rFonts w:hint="default" w:ascii="Times New Roman" w:hAnsi="Times New Roman" w:cs="Times New Roman"/>
          <w:sz w:val="24"/>
        </w:rPr>
        <w:t>202</w:t>
      </w:r>
      <w:r>
        <w:rPr>
          <w:rFonts w:hint="eastAsia" w:cs="Times New Roman"/>
          <w:sz w:val="24"/>
          <w:lang w:val="en-US" w:eastAsia="zh-CN"/>
        </w:rPr>
        <w:t>5</w:t>
      </w:r>
      <w:r>
        <w:rPr>
          <w:rFonts w:hint="default" w:ascii="Times New Roman" w:hAnsi="Times New Roman" w:cs="Times New Roman"/>
          <w:sz w:val="24"/>
        </w:rPr>
        <w:t>年</w:t>
      </w:r>
      <w:r>
        <w:rPr>
          <w:rFonts w:hint="eastAsia" w:cs="Times New Roman"/>
          <w:sz w:val="24"/>
          <w:lang w:val="en-US" w:eastAsia="zh-CN"/>
        </w:rPr>
        <w:t>1</w:t>
      </w:r>
      <w:r>
        <w:rPr>
          <w:rFonts w:hint="default" w:ascii="Times New Roman" w:hAnsi="Times New Roman" w:cs="Times New Roman"/>
          <w:sz w:val="24"/>
        </w:rPr>
        <w:t>月</w:t>
      </w:r>
      <w:r>
        <w:rPr>
          <w:rFonts w:hint="eastAsia" w:cs="Times New Roman"/>
          <w:sz w:val="24"/>
          <w:lang w:val="en-US" w:eastAsia="zh-CN"/>
        </w:rPr>
        <w:t>-7月</w:t>
      </w:r>
      <w:r>
        <w:rPr>
          <w:rFonts w:hint="default" w:ascii="Times New Roman" w:hAnsi="Times New Roman" w:cs="Times New Roman"/>
          <w:sz w:val="24"/>
        </w:rPr>
        <w:t>，</w:t>
      </w:r>
      <w:r>
        <w:rPr>
          <w:rFonts w:hint="eastAsia" w:cs="Times New Roman"/>
          <w:sz w:val="24"/>
          <w:lang w:eastAsia="zh-CN"/>
        </w:rPr>
        <w:t>在总结有关专家和参编单位内部意见的基础上，形成</w:t>
      </w:r>
      <w:r>
        <w:rPr>
          <w:rFonts w:hint="default" w:ascii="Times New Roman" w:hAnsi="Times New Roman" w:cs="Times New Roman"/>
          <w:sz w:val="24"/>
        </w:rPr>
        <w:t>《</w:t>
      </w:r>
      <w:r>
        <w:rPr>
          <w:rFonts w:hint="eastAsia"/>
          <w:sz w:val="24"/>
        </w:rPr>
        <w:t>机制砂石生产技术规程</w:t>
      </w:r>
      <w:r>
        <w:rPr>
          <w:rFonts w:hint="default" w:ascii="Times New Roman" w:hAnsi="Times New Roman" w:cs="Times New Roman"/>
          <w:sz w:val="24"/>
        </w:rPr>
        <w:t>》</w:t>
      </w:r>
      <w:r>
        <w:rPr>
          <w:rFonts w:hint="eastAsia" w:cs="Times New Roman"/>
          <w:sz w:val="24"/>
          <w:lang w:eastAsia="zh-CN"/>
        </w:rPr>
        <w:t>（征求意见稿）。</w:t>
      </w:r>
    </w:p>
    <w:p w14:paraId="19F0AF00">
      <w:pPr>
        <w:spacing w:line="360" w:lineRule="auto"/>
        <w:ind w:firstLine="482" w:firstLineChars="200"/>
        <w:outlineLvl w:val="1"/>
        <w:rPr>
          <w:rFonts w:hint="eastAsia"/>
          <w:b/>
          <w:sz w:val="24"/>
        </w:rPr>
      </w:pPr>
      <w:bookmarkStart w:id="3" w:name="_Toc79653533"/>
      <w:r>
        <w:rPr>
          <w:rFonts w:hint="eastAsia"/>
          <w:b/>
          <w:sz w:val="24"/>
        </w:rPr>
        <w:t>3、主要参加单位及分工</w:t>
      </w:r>
      <w:bookmarkEnd w:id="3"/>
    </w:p>
    <w:p w14:paraId="7D52A945">
      <w:pPr>
        <w:spacing w:line="360" w:lineRule="auto"/>
        <w:ind w:firstLine="480" w:firstLineChars="200"/>
        <w:rPr>
          <w:sz w:val="24"/>
        </w:rPr>
        <w:sectPr>
          <w:pgSz w:w="11906" w:h="16838"/>
          <w:pgMar w:top="1440" w:right="1800" w:bottom="1440" w:left="1800" w:header="851" w:footer="992" w:gutter="0"/>
          <w:cols w:space="720" w:num="1"/>
          <w:docGrid w:type="lines" w:linePitch="312" w:charSpace="0"/>
        </w:sectPr>
      </w:pPr>
      <w:r>
        <w:rPr>
          <w:rFonts w:hint="eastAsia"/>
          <w:sz w:val="24"/>
        </w:rPr>
        <w:t>来自砂石</w:t>
      </w:r>
      <w:r>
        <w:rPr>
          <w:rFonts w:hint="eastAsia"/>
          <w:sz w:val="24"/>
          <w:lang w:eastAsia="zh-CN"/>
        </w:rPr>
        <w:t>规划</w:t>
      </w:r>
      <w:r>
        <w:rPr>
          <w:rFonts w:hint="eastAsia"/>
          <w:sz w:val="24"/>
        </w:rPr>
        <w:t>、开采、加工、</w:t>
      </w:r>
      <w:r>
        <w:rPr>
          <w:rFonts w:hint="eastAsia"/>
          <w:sz w:val="24"/>
          <w:lang w:eastAsia="zh-CN"/>
        </w:rPr>
        <w:t>装备制造、</w:t>
      </w:r>
      <w:r>
        <w:rPr>
          <w:rFonts w:hint="eastAsia"/>
          <w:sz w:val="24"/>
        </w:rPr>
        <w:t>应用等全流程环节，以及高校研究院等</w:t>
      </w:r>
      <w:r>
        <w:rPr>
          <w:rFonts w:hint="eastAsia"/>
          <w:sz w:val="24"/>
          <w:lang w:eastAsia="zh-CN"/>
        </w:rPr>
        <w:t>近</w:t>
      </w:r>
      <w:r>
        <w:rPr>
          <w:rFonts w:hint="eastAsia"/>
          <w:sz w:val="24"/>
          <w:lang w:val="en-US" w:eastAsia="zh-CN"/>
        </w:rPr>
        <w:t>20</w:t>
      </w:r>
      <w:r>
        <w:rPr>
          <w:rFonts w:hint="eastAsia"/>
          <w:sz w:val="24"/>
        </w:rPr>
        <w:t>家单位，通力协作，共同完成了</w:t>
      </w:r>
      <w:r>
        <w:rPr>
          <w:rFonts w:hint="eastAsia"/>
          <w:sz w:val="24"/>
          <w:lang w:eastAsia="zh-CN"/>
        </w:rPr>
        <w:t>行业标准</w:t>
      </w:r>
      <w:r>
        <w:rPr>
          <w:rFonts w:hint="eastAsia"/>
          <w:sz w:val="24"/>
        </w:rPr>
        <w:t>《</w:t>
      </w:r>
      <w:r>
        <w:rPr>
          <w:rFonts w:hint="eastAsia"/>
          <w:sz w:val="24"/>
          <w:lang w:eastAsia="zh-CN"/>
        </w:rPr>
        <w:t>机制砂石生产技术规程</w:t>
      </w:r>
      <w:r>
        <w:rPr>
          <w:rFonts w:hint="eastAsia"/>
          <w:sz w:val="24"/>
        </w:rPr>
        <w:t>》。其中，中国砂石协会负责标准编制工作的组织协调及行业意见征集，北京建筑大学负责标准相关技术内容的修订，包括技术指标的研究验证、意见汇总及条文修改等；</w:t>
      </w:r>
      <w:r>
        <w:rPr>
          <w:rFonts w:hint="eastAsia"/>
          <w:sz w:val="24"/>
          <w:lang w:eastAsia="zh-CN"/>
        </w:rPr>
        <w:t>南京工业大学</w:t>
      </w:r>
      <w:r>
        <w:rPr>
          <w:rFonts w:hint="eastAsia"/>
          <w:sz w:val="24"/>
        </w:rPr>
        <w:t>等研究单位及高校负责技术指标的调研验证、国内外标准指标对比等；</w:t>
      </w:r>
      <w:r>
        <w:rPr>
          <w:rFonts w:hint="default" w:ascii="Times New Roman" w:hAnsi="Times New Roman" w:cs="Times New Roman"/>
          <w:sz w:val="24"/>
        </w:rPr>
        <w:t>华新水泥股份有限公司</w:t>
      </w:r>
      <w:r>
        <w:rPr>
          <w:rFonts w:hint="eastAsia" w:cs="Times New Roman"/>
          <w:sz w:val="24"/>
          <w:lang w:eastAsia="zh-CN"/>
        </w:rPr>
        <w:t>、中国电建集团西北勘测设计研究院有限公司</w:t>
      </w:r>
      <w:r>
        <w:rPr>
          <w:rFonts w:hint="eastAsia"/>
          <w:sz w:val="24"/>
        </w:rPr>
        <w:t>等砂石</w:t>
      </w:r>
      <w:r>
        <w:rPr>
          <w:rFonts w:hint="eastAsia"/>
          <w:sz w:val="24"/>
          <w:lang w:eastAsia="zh-CN"/>
        </w:rPr>
        <w:t>设计</w:t>
      </w:r>
      <w:r>
        <w:rPr>
          <w:rFonts w:hint="eastAsia"/>
          <w:sz w:val="24"/>
        </w:rPr>
        <w:t>生产及应用单位负责</w:t>
      </w:r>
      <w:r>
        <w:rPr>
          <w:rFonts w:hint="eastAsia"/>
          <w:sz w:val="24"/>
          <w:lang w:eastAsia="zh-CN"/>
        </w:rPr>
        <w:t>技术工艺改进</w:t>
      </w:r>
      <w:r>
        <w:rPr>
          <w:rFonts w:hint="eastAsia"/>
          <w:sz w:val="24"/>
        </w:rPr>
        <w:t>等内容的梳理，</w:t>
      </w:r>
      <w:r>
        <w:rPr>
          <w:rFonts w:hint="default" w:ascii="Times New Roman" w:hAnsi="Times New Roman" w:cs="Times New Roman"/>
          <w:sz w:val="24"/>
        </w:rPr>
        <w:t>世邦工业科技集团股份有限公司</w:t>
      </w:r>
      <w:r>
        <w:rPr>
          <w:rFonts w:hint="eastAsia"/>
          <w:sz w:val="24"/>
        </w:rPr>
        <w:t>等砂石设备企业负责本次重点修订技术指标（级配、</w:t>
      </w:r>
      <w:r>
        <w:rPr>
          <w:rFonts w:hint="eastAsia"/>
          <w:sz w:val="24"/>
          <w:lang w:eastAsia="zh-CN"/>
        </w:rPr>
        <w:t>石粉、</w:t>
      </w:r>
      <w:r>
        <w:rPr>
          <w:rFonts w:hint="eastAsia"/>
          <w:sz w:val="24"/>
        </w:rPr>
        <w:t>粒形）在工艺设备方面配套能力的调研和验证。</w:t>
      </w:r>
    </w:p>
    <w:p w14:paraId="7748B82B">
      <w:pPr>
        <w:pStyle w:val="2"/>
        <w:rPr>
          <w:rFonts w:hint="eastAsia"/>
        </w:rPr>
      </w:pPr>
      <w:bookmarkStart w:id="4" w:name="_Toc79653534"/>
      <w:r>
        <w:rPr>
          <w:rFonts w:hint="eastAsia"/>
        </w:rPr>
        <w:t>二、标准编制原则和主要修订内容</w:t>
      </w:r>
      <w:bookmarkEnd w:id="4"/>
    </w:p>
    <w:p w14:paraId="777D79F3">
      <w:pPr>
        <w:spacing w:line="360" w:lineRule="auto"/>
        <w:ind w:firstLine="482" w:firstLineChars="200"/>
        <w:outlineLvl w:val="1"/>
        <w:rPr>
          <w:rFonts w:hint="eastAsia"/>
          <w:b/>
          <w:sz w:val="24"/>
        </w:rPr>
      </w:pPr>
      <w:bookmarkStart w:id="5" w:name="_Toc79653535"/>
      <w:r>
        <w:rPr>
          <w:rFonts w:hint="eastAsia"/>
          <w:b/>
          <w:sz w:val="24"/>
        </w:rPr>
        <w:t>1、标准编制目的意义</w:t>
      </w:r>
      <w:bookmarkEnd w:id="5"/>
    </w:p>
    <w:p w14:paraId="1ADF61DB">
      <w:pPr>
        <w:spacing w:line="360" w:lineRule="auto"/>
        <w:ind w:firstLine="480" w:firstLineChars="200"/>
        <w:rPr>
          <w:rFonts w:hint="eastAsia" w:ascii="宋体" w:hAnsi="宋体"/>
          <w:sz w:val="24"/>
        </w:rPr>
      </w:pPr>
      <w:r>
        <w:rPr>
          <w:rFonts w:hint="eastAsia" w:ascii="宋体" w:hAnsi="宋体"/>
          <w:sz w:val="24"/>
          <w:lang w:val="en-US" w:eastAsia="zh-CN"/>
        </w:rPr>
        <w:t>2010年以来</w:t>
      </w:r>
      <w:r>
        <w:rPr>
          <w:rFonts w:hint="eastAsia" w:ascii="宋体" w:hAnsi="宋体"/>
          <w:sz w:val="24"/>
        </w:rPr>
        <w:t>，随着建筑行业的快速发展，全国各地区砂石资源短缺问题日益突出，促进了机制砂石的应用和推广，同时也暴露出机制砂石行业存在的问题。为促进机制砂石行业结构调整、规范行业准入、保护资源和环境，提高产业集中度，实现可持续发展，同时指导企业科学生产、提高工艺与装备水平、保证产品质量，在对我国机制砂石现状和主要问题调查研究的基础上，结合行业提升质量和效益，技术进步、节能减排、安全生产、资源综合利用、循环经济和增强社会责任等方面要求，</w:t>
      </w:r>
      <w:r>
        <w:rPr>
          <w:rFonts w:hint="eastAsia" w:ascii="宋体" w:hAnsi="宋体"/>
          <w:sz w:val="24"/>
          <w:lang w:eastAsia="zh-CN"/>
        </w:rPr>
        <w:t>中国砂石协会和北京建筑大学等</w:t>
      </w:r>
      <w:r>
        <w:rPr>
          <w:rFonts w:hint="eastAsia" w:ascii="宋体" w:hAnsi="宋体"/>
          <w:sz w:val="24"/>
        </w:rPr>
        <w:t>开展《机制砂石生产技术规程》的研究和编制工作。</w:t>
      </w:r>
    </w:p>
    <w:p w14:paraId="4C3270F6">
      <w:pPr>
        <w:spacing w:line="360" w:lineRule="auto"/>
        <w:ind w:firstLine="480" w:firstLineChars="200"/>
        <w:rPr>
          <w:rFonts w:hint="eastAsia" w:ascii="宋体" w:hAnsi="宋体"/>
          <w:sz w:val="24"/>
        </w:rPr>
      </w:pPr>
      <w:r>
        <w:rPr>
          <w:rFonts w:hint="eastAsia" w:ascii="宋体" w:hAnsi="宋体"/>
          <w:sz w:val="24"/>
        </w:rPr>
        <w:t>十年来，2014版《机制砂石生产技术规程》行业标准的发布，促进了机制砂石行业的快速发展。随着行业的科技进步和高质量发展，特别是随着机制砂石成为我国建设用砂石的主力料源，机制砂石应用越来越广泛，在不同环境下砂石生产的工艺适用和选择，以及产品整形、粉尘控制等方面，2014版标准中的部分内容不再适用，需要修订调整更新，并补充相关内容。</w:t>
      </w:r>
    </w:p>
    <w:p w14:paraId="4E516D07">
      <w:pPr>
        <w:spacing w:line="360" w:lineRule="auto"/>
        <w:ind w:firstLine="480" w:firstLineChars="200"/>
        <w:rPr>
          <w:rFonts w:hint="eastAsia" w:ascii="宋体" w:hAnsi="宋体"/>
          <w:sz w:val="24"/>
        </w:rPr>
      </w:pPr>
      <w:r>
        <w:rPr>
          <w:rFonts w:hint="default" w:ascii="Times New Roman" w:hAnsi="Times New Roman" w:cs="Times New Roman"/>
          <w:sz w:val="24"/>
        </w:rPr>
        <w:t>在国务院的重视和部署下，2019年11月，《十部门关于推进机制砂石行业高质量发展的若干意见》出台，文件要求大幅度提升高品质骨料的产品比例；2020年</w:t>
      </w:r>
      <w:r>
        <w:rPr>
          <w:rFonts w:hint="eastAsia" w:cs="Times New Roman"/>
          <w:sz w:val="24"/>
          <w:lang w:eastAsia="zh-CN"/>
        </w:rPr>
        <w:t>３</w:t>
      </w:r>
      <w:r>
        <w:rPr>
          <w:rFonts w:hint="default" w:ascii="Times New Roman" w:hAnsi="Times New Roman" w:cs="Times New Roman"/>
          <w:sz w:val="24"/>
        </w:rPr>
        <w:t>月，国家发展改革委等15个部门和单位联合印发了《关于促进砂石行业健康有序发展的指导意见》文件中也强调加快形成机制砂石优质产能，同时要求建立健全砂石工业标准体系，提升质量管控水平和力度。目前砂石行业正面临转型升级的关键时刻，砂石行业的高质量发展对中国混凝土产业和结构工程质量具有战略意义。</w:t>
      </w:r>
    </w:p>
    <w:p w14:paraId="711864B4">
      <w:pPr>
        <w:spacing w:line="360" w:lineRule="auto"/>
        <w:ind w:firstLine="480" w:firstLineChars="200"/>
        <w:rPr>
          <w:rFonts w:hint="default" w:ascii="Times New Roman" w:hAnsi="Times New Roman" w:cs="Times New Roman"/>
          <w:sz w:val="24"/>
        </w:rPr>
      </w:pPr>
      <w:r>
        <w:rPr>
          <w:rFonts w:hint="eastAsia" w:ascii="宋体" w:hAnsi="宋体"/>
          <w:sz w:val="24"/>
          <w:lang w:eastAsia="zh-CN"/>
        </w:rPr>
        <w:t>修订</w:t>
      </w:r>
      <w:r>
        <w:rPr>
          <w:rFonts w:hint="eastAsia" w:ascii="宋体" w:hAnsi="宋体"/>
          <w:sz w:val="24"/>
        </w:rPr>
        <w:t>《机制砂石生产技术规程》是行业发展的迫切需要，势在必行。一是能有效遏制机制砂石行业水平重复建设和短期行为，促进产业结构升级，规范行业发展，维护市场竞争秩序。二是能为国家、地方有关部门对机制砂石生产建设项目进行投资管理，为矿产资源和土地供应，环境评估，信贷融资，电力供应等提供依据。三是能保证清洁生产、保护环境、有效利用资源、提高产品质量、保证工程建设是一件利国利民的好事。</w:t>
      </w:r>
    </w:p>
    <w:p w14:paraId="1E28DA67">
      <w:pPr>
        <w:spacing w:line="360" w:lineRule="auto"/>
        <w:ind w:firstLine="482" w:firstLineChars="200"/>
        <w:outlineLvl w:val="1"/>
        <w:rPr>
          <w:rFonts w:hint="eastAsia"/>
          <w:b/>
          <w:bCs/>
          <w:sz w:val="24"/>
        </w:rPr>
      </w:pPr>
      <w:bookmarkStart w:id="6" w:name="_Toc79653536"/>
      <w:r>
        <w:rPr>
          <w:b/>
          <w:bCs/>
          <w:sz w:val="24"/>
        </w:rPr>
        <w:t>2</w:t>
      </w:r>
      <w:r>
        <w:rPr>
          <w:rFonts w:hint="eastAsia"/>
          <w:b/>
          <w:bCs/>
          <w:sz w:val="24"/>
        </w:rPr>
        <w:t>、标准编制原则</w:t>
      </w:r>
      <w:bookmarkEnd w:id="6"/>
    </w:p>
    <w:p w14:paraId="447439B1">
      <w:pPr>
        <w:spacing w:line="360" w:lineRule="auto"/>
        <w:ind w:firstLine="480" w:firstLineChars="200"/>
        <w:rPr>
          <w:rFonts w:hint="eastAsia" w:ascii="宋体" w:hAnsi="宋体"/>
          <w:sz w:val="24"/>
        </w:rPr>
      </w:pPr>
      <w:r>
        <w:rPr>
          <w:rFonts w:hint="eastAsia" w:ascii="宋体" w:hAnsi="宋体"/>
          <w:sz w:val="24"/>
        </w:rPr>
        <w:t>本标准按</w:t>
      </w:r>
      <w:r>
        <w:rPr>
          <w:rFonts w:hint="default" w:ascii="Times New Roman" w:hAnsi="Times New Roman" w:cs="Times New Roman"/>
          <w:sz w:val="24"/>
        </w:rPr>
        <w:t>照GB/T</w:t>
      </w:r>
      <w:r>
        <w:rPr>
          <w:rFonts w:hint="eastAsia" w:ascii="Times New Roman" w:hAnsi="Times New Roman" w:cs="Times New Roman"/>
          <w:sz w:val="24"/>
          <w:lang w:val="en-US" w:eastAsia="zh-CN"/>
        </w:rPr>
        <w:t xml:space="preserve"> </w:t>
      </w:r>
      <w:r>
        <w:rPr>
          <w:rFonts w:hint="default" w:ascii="Times New Roman" w:hAnsi="Times New Roman" w:cs="Times New Roman"/>
          <w:sz w:val="24"/>
        </w:rPr>
        <w:t>1.1给出的规则起草。标准编制遵循</w:t>
      </w:r>
      <w:r>
        <w:rPr>
          <w:rFonts w:hint="eastAsia" w:cs="Times New Roman"/>
          <w:sz w:val="24"/>
          <w:lang w:eastAsia="zh-CN"/>
        </w:rPr>
        <w:t>“</w:t>
      </w:r>
      <w:r>
        <w:rPr>
          <w:rFonts w:hint="default" w:ascii="Times New Roman" w:hAnsi="Times New Roman" w:cs="Times New Roman"/>
          <w:sz w:val="24"/>
        </w:rPr>
        <w:t>统一性、协调性、适用性、一致性、规范性</w:t>
      </w:r>
      <w:r>
        <w:rPr>
          <w:rFonts w:hint="eastAsia" w:cs="Times New Roman"/>
          <w:sz w:val="24"/>
          <w:lang w:eastAsia="zh-CN"/>
        </w:rPr>
        <w:t>”</w:t>
      </w:r>
      <w:r>
        <w:rPr>
          <w:rFonts w:hint="default" w:ascii="Times New Roman" w:hAnsi="Times New Roman" w:cs="Times New Roman"/>
          <w:sz w:val="24"/>
        </w:rPr>
        <w:t>的</w:t>
      </w:r>
      <w:r>
        <w:rPr>
          <w:rFonts w:hint="eastAsia" w:ascii="宋体" w:hAnsi="宋体"/>
          <w:sz w:val="24"/>
        </w:rPr>
        <w:t>原则。本标准是在广泛调查研究和试验验证的基础上制定的。</w:t>
      </w:r>
    </w:p>
    <w:p w14:paraId="3C09DD11">
      <w:pPr>
        <w:spacing w:line="360" w:lineRule="auto"/>
        <w:ind w:firstLine="482" w:firstLineChars="200"/>
        <w:outlineLvl w:val="1"/>
        <w:rPr>
          <w:b/>
          <w:bCs/>
          <w:sz w:val="24"/>
        </w:rPr>
      </w:pPr>
      <w:bookmarkStart w:id="7" w:name="_Toc79653537"/>
      <w:r>
        <w:rPr>
          <w:rFonts w:hint="eastAsia"/>
          <w:b/>
          <w:bCs/>
          <w:sz w:val="24"/>
        </w:rPr>
        <w:t>3、主要修订内容</w:t>
      </w:r>
      <w:bookmarkEnd w:id="7"/>
    </w:p>
    <w:p w14:paraId="5C60F1AD">
      <w:pPr>
        <w:spacing w:line="360" w:lineRule="auto"/>
        <w:ind w:firstLine="480" w:firstLineChars="200"/>
        <w:rPr>
          <w:rFonts w:hint="eastAsia" w:ascii="宋体" w:hAnsi="宋体"/>
          <w:sz w:val="24"/>
        </w:rPr>
      </w:pPr>
      <w:r>
        <w:rPr>
          <w:rFonts w:hint="eastAsia" w:ascii="宋体" w:hAnsi="宋体"/>
          <w:sz w:val="24"/>
        </w:rPr>
        <w:t>本标准主要修订以下内容</w:t>
      </w:r>
    </w:p>
    <w:p w14:paraId="53F88F60">
      <w:pPr>
        <w:spacing w:line="360" w:lineRule="auto"/>
        <w:ind w:firstLine="480" w:firstLineChars="200"/>
        <w:rPr>
          <w:rFonts w:hint="eastAsia" w:ascii="宋体" w:hAnsi="宋体"/>
          <w:sz w:val="24"/>
        </w:rPr>
      </w:pPr>
      <w:r>
        <w:rPr>
          <w:rFonts w:hint="eastAsia" w:ascii="宋体" w:hAnsi="宋体"/>
          <w:sz w:val="24"/>
        </w:rPr>
        <w:t>本标准规定了机制砂石生产的术语和定义、一般规定、开采和加工、质量控制、储存、综合利用和环境保护。本标准适用于建设用机制砂石的生产。在本次将从以下几个方面进行修订：</w:t>
      </w:r>
    </w:p>
    <w:p w14:paraId="0FB647CA">
      <w:pPr>
        <w:spacing w:line="360" w:lineRule="auto"/>
        <w:ind w:firstLine="480" w:firstLineChars="200"/>
        <w:rPr>
          <w:rFonts w:hint="eastAsia" w:ascii="宋体" w:hAnsi="宋体"/>
          <w:sz w:val="24"/>
        </w:rPr>
      </w:pPr>
      <w:r>
        <w:rPr>
          <w:rFonts w:hint="eastAsia" w:ascii="宋体" w:hAnsi="宋体"/>
          <w:sz w:val="24"/>
        </w:rPr>
        <w:t>1)术语和定义</w:t>
      </w:r>
      <w:r>
        <w:rPr>
          <w:rFonts w:hint="eastAsia" w:ascii="宋体" w:hAnsi="宋体"/>
          <w:sz w:val="24"/>
          <w:lang w:eastAsia="zh-CN"/>
        </w:rPr>
        <w:t>方面</w:t>
      </w:r>
      <w:r>
        <w:rPr>
          <w:rFonts w:hint="eastAsia" w:ascii="宋体" w:hAnsi="宋体"/>
          <w:sz w:val="24"/>
        </w:rPr>
        <w:t>，</w:t>
      </w:r>
      <w:r>
        <w:rPr>
          <w:rFonts w:hint="eastAsia" w:ascii="宋体" w:hAnsi="宋体"/>
          <w:sz w:val="24"/>
          <w:lang w:eastAsia="zh-CN"/>
        </w:rPr>
        <w:t>更改了</w:t>
      </w:r>
      <w:r>
        <w:rPr>
          <w:rFonts w:hint="eastAsia" w:ascii="宋体" w:hAnsi="宋体"/>
          <w:sz w:val="24"/>
        </w:rPr>
        <w:t>机制砂、机制石的定义，增加</w:t>
      </w:r>
      <w:r>
        <w:rPr>
          <w:rFonts w:hint="eastAsia" w:ascii="宋体" w:hAnsi="宋体"/>
          <w:sz w:val="24"/>
          <w:lang w:eastAsia="zh-CN"/>
        </w:rPr>
        <w:t>了破碎、整形等</w:t>
      </w:r>
      <w:r>
        <w:rPr>
          <w:rFonts w:hint="eastAsia" w:ascii="宋体" w:hAnsi="宋体"/>
          <w:sz w:val="24"/>
        </w:rPr>
        <w:t>相关术语及定义；</w:t>
      </w:r>
    </w:p>
    <w:p w14:paraId="4C18B4AF">
      <w:pPr>
        <w:spacing w:line="360" w:lineRule="auto"/>
        <w:ind w:firstLine="480" w:firstLineChars="200"/>
        <w:rPr>
          <w:rFonts w:hint="eastAsia" w:ascii="宋体" w:hAnsi="宋体"/>
          <w:sz w:val="24"/>
        </w:rPr>
      </w:pPr>
      <w:r>
        <w:rPr>
          <w:rFonts w:hint="eastAsia" w:ascii="宋体" w:hAnsi="宋体"/>
          <w:sz w:val="24"/>
        </w:rPr>
        <w:t>2）增加了规划与布置内容；</w:t>
      </w:r>
    </w:p>
    <w:p w14:paraId="17A62128">
      <w:pPr>
        <w:spacing w:line="360" w:lineRule="auto"/>
        <w:ind w:firstLine="480" w:firstLineChars="200"/>
        <w:rPr>
          <w:rFonts w:hint="eastAsia" w:ascii="宋体" w:hAnsi="宋体"/>
          <w:sz w:val="24"/>
        </w:rPr>
      </w:pPr>
      <w:r>
        <w:rPr>
          <w:rFonts w:hint="eastAsia" w:ascii="宋体" w:hAnsi="宋体"/>
          <w:sz w:val="24"/>
        </w:rPr>
        <w:t>3）</w:t>
      </w:r>
      <w:r>
        <w:rPr>
          <w:rFonts w:hint="eastAsia" w:ascii="宋体" w:hAnsi="宋体"/>
          <w:sz w:val="24"/>
          <w:lang w:eastAsia="zh-CN"/>
        </w:rPr>
        <w:t>更改</w:t>
      </w:r>
      <w:r>
        <w:rPr>
          <w:rFonts w:hint="eastAsia" w:ascii="宋体" w:hAnsi="宋体"/>
          <w:sz w:val="24"/>
        </w:rPr>
        <w:t>了砂石加工工艺流程的内容，</w:t>
      </w:r>
      <w:r>
        <w:rPr>
          <w:rFonts w:hint="eastAsia" w:ascii="宋体" w:hAnsi="宋体"/>
          <w:sz w:val="24"/>
          <w:lang w:eastAsia="zh-CN"/>
        </w:rPr>
        <w:t>对</w:t>
      </w:r>
      <w:r>
        <w:rPr>
          <w:rFonts w:hint="eastAsia" w:ascii="宋体" w:hAnsi="宋体"/>
          <w:sz w:val="24"/>
        </w:rPr>
        <w:t>开采和加工</w:t>
      </w:r>
      <w:r>
        <w:rPr>
          <w:rFonts w:hint="eastAsia" w:ascii="宋体" w:hAnsi="宋体"/>
          <w:sz w:val="24"/>
          <w:lang w:eastAsia="zh-CN"/>
        </w:rPr>
        <w:t>技术要求进行</w:t>
      </w:r>
      <w:r>
        <w:rPr>
          <w:rFonts w:hint="eastAsia" w:ascii="宋体" w:hAnsi="宋体"/>
          <w:sz w:val="24"/>
        </w:rPr>
        <w:t>细化，优化</w:t>
      </w:r>
      <w:r>
        <w:rPr>
          <w:rFonts w:hint="eastAsia" w:ascii="宋体" w:hAnsi="宋体"/>
          <w:sz w:val="24"/>
          <w:lang w:eastAsia="zh-CN"/>
        </w:rPr>
        <w:t>了</w:t>
      </w:r>
      <w:r>
        <w:rPr>
          <w:rFonts w:hint="eastAsia" w:ascii="宋体" w:hAnsi="宋体"/>
          <w:sz w:val="24"/>
        </w:rPr>
        <w:t>生产流程及工艺；</w:t>
      </w:r>
    </w:p>
    <w:p w14:paraId="225E5195">
      <w:pPr>
        <w:spacing w:line="360" w:lineRule="auto"/>
        <w:ind w:firstLine="480" w:firstLineChars="200"/>
        <w:rPr>
          <w:rFonts w:hint="eastAsia" w:ascii="宋体" w:hAnsi="宋体"/>
          <w:sz w:val="24"/>
        </w:rPr>
      </w:pPr>
      <w:r>
        <w:rPr>
          <w:rFonts w:hint="eastAsia" w:ascii="宋体" w:hAnsi="宋体"/>
          <w:sz w:val="24"/>
        </w:rPr>
        <w:t>4）</w:t>
      </w:r>
      <w:r>
        <w:rPr>
          <w:rFonts w:hint="eastAsia" w:ascii="宋体" w:hAnsi="宋体"/>
          <w:sz w:val="24"/>
          <w:lang w:eastAsia="zh-CN"/>
        </w:rPr>
        <w:t>更改</w:t>
      </w:r>
      <w:r>
        <w:rPr>
          <w:rFonts w:hint="eastAsia" w:ascii="宋体" w:hAnsi="宋体"/>
          <w:sz w:val="24"/>
        </w:rPr>
        <w:t>了设备选择及布置原则；</w:t>
      </w:r>
    </w:p>
    <w:p w14:paraId="6F4A1EC9">
      <w:pPr>
        <w:spacing w:line="360" w:lineRule="auto"/>
        <w:ind w:firstLine="480" w:firstLineChars="200"/>
        <w:rPr>
          <w:rFonts w:hint="eastAsia" w:ascii="宋体" w:hAnsi="宋体"/>
          <w:sz w:val="24"/>
        </w:rPr>
      </w:pPr>
      <w:r>
        <w:rPr>
          <w:rFonts w:hint="eastAsia" w:ascii="宋体" w:hAnsi="宋体"/>
          <w:sz w:val="24"/>
        </w:rPr>
        <w:t>5）质量控制方面</w:t>
      </w:r>
      <w:r>
        <w:rPr>
          <w:rFonts w:hint="eastAsia" w:ascii="宋体" w:hAnsi="宋体"/>
          <w:sz w:val="24"/>
          <w:lang w:eastAsia="zh-CN"/>
        </w:rPr>
        <w:t>，</w:t>
      </w:r>
      <w:r>
        <w:rPr>
          <w:rFonts w:hint="eastAsia" w:ascii="宋体" w:hAnsi="宋体"/>
          <w:sz w:val="24"/>
        </w:rPr>
        <w:t>细化实验室要求</w:t>
      </w:r>
      <w:r>
        <w:rPr>
          <w:rFonts w:hint="eastAsia" w:ascii="宋体" w:hAnsi="宋体"/>
          <w:sz w:val="24"/>
          <w:lang w:eastAsia="zh-CN"/>
        </w:rPr>
        <w:t>，</w:t>
      </w:r>
      <w:r>
        <w:rPr>
          <w:rFonts w:hint="eastAsia" w:ascii="宋体" w:hAnsi="宋体"/>
          <w:sz w:val="24"/>
        </w:rPr>
        <w:t>增加检测频率与项目；</w:t>
      </w:r>
    </w:p>
    <w:p w14:paraId="1AC54480">
      <w:pPr>
        <w:spacing w:line="360" w:lineRule="auto"/>
        <w:ind w:firstLine="480" w:firstLineChars="200"/>
        <w:rPr>
          <w:rFonts w:hint="eastAsia" w:ascii="宋体" w:hAnsi="宋体" w:eastAsia="宋体"/>
          <w:sz w:val="24"/>
          <w:lang w:eastAsia="zh-CN"/>
        </w:rPr>
      </w:pPr>
      <w:r>
        <w:rPr>
          <w:rFonts w:hint="eastAsia" w:ascii="宋体" w:hAnsi="宋体"/>
          <w:sz w:val="24"/>
        </w:rPr>
        <w:t>6）</w:t>
      </w:r>
      <w:r>
        <w:rPr>
          <w:rFonts w:hint="eastAsia" w:ascii="宋体" w:hAnsi="宋体"/>
          <w:sz w:val="24"/>
          <w:lang w:eastAsia="zh-CN"/>
        </w:rPr>
        <w:t>引用</w:t>
      </w:r>
      <w:r>
        <w:rPr>
          <w:rFonts w:hint="eastAsia" w:ascii="宋体" w:hAnsi="宋体"/>
          <w:sz w:val="24"/>
        </w:rPr>
        <w:t>最新国家</w:t>
      </w:r>
      <w:r>
        <w:rPr>
          <w:rFonts w:hint="eastAsia" w:ascii="宋体" w:hAnsi="宋体"/>
          <w:sz w:val="24"/>
          <w:lang w:eastAsia="zh-CN"/>
        </w:rPr>
        <w:t>政策文件，更改</w:t>
      </w:r>
      <w:r>
        <w:rPr>
          <w:rFonts w:hint="eastAsia" w:ascii="宋体" w:hAnsi="宋体"/>
          <w:sz w:val="24"/>
        </w:rPr>
        <w:t>了综合利用与环境保护的内容</w:t>
      </w:r>
      <w:r>
        <w:rPr>
          <w:rFonts w:hint="eastAsia" w:ascii="宋体" w:hAnsi="宋体"/>
          <w:sz w:val="24"/>
          <w:lang w:eastAsia="zh-CN"/>
        </w:rPr>
        <w:t>；</w:t>
      </w:r>
    </w:p>
    <w:p w14:paraId="64DD65DF">
      <w:pPr>
        <w:spacing w:line="360" w:lineRule="auto"/>
        <w:ind w:firstLine="480" w:firstLineChars="200"/>
        <w:rPr>
          <w:rFonts w:hint="eastAsia" w:ascii="宋体" w:hAnsi="宋体" w:eastAsia="宋体"/>
          <w:sz w:val="24"/>
          <w:lang w:eastAsia="zh-CN"/>
        </w:rPr>
      </w:pPr>
      <w:r>
        <w:rPr>
          <w:rFonts w:hint="eastAsia" w:ascii="宋体" w:hAnsi="宋体"/>
          <w:sz w:val="24"/>
          <w:lang w:val="en-US" w:eastAsia="zh-CN"/>
        </w:rPr>
        <w:t>7</w:t>
      </w:r>
      <w:r>
        <w:rPr>
          <w:rFonts w:hint="eastAsia" w:ascii="宋体" w:hAnsi="宋体"/>
          <w:sz w:val="24"/>
          <w:lang w:eastAsia="zh-CN"/>
        </w:rPr>
        <w:t>）增加了信息化与智能化内容；</w:t>
      </w:r>
    </w:p>
    <w:p w14:paraId="12389A52">
      <w:pPr>
        <w:spacing w:line="360" w:lineRule="auto"/>
        <w:ind w:firstLine="480" w:firstLineChars="200"/>
        <w:rPr>
          <w:rFonts w:hint="eastAsia" w:ascii="宋体" w:hAnsi="宋体" w:eastAsia="宋体"/>
          <w:strike w:val="0"/>
          <w:dstrike w:val="0"/>
          <w:sz w:val="24"/>
          <w:lang w:eastAsia="zh-CN"/>
        </w:rPr>
      </w:pPr>
      <w:r>
        <w:rPr>
          <w:rFonts w:hint="eastAsia" w:ascii="宋体" w:hAnsi="宋体"/>
          <w:strike w:val="0"/>
          <w:dstrike w:val="0"/>
          <w:sz w:val="24"/>
          <w:lang w:val="en-US" w:eastAsia="zh-CN"/>
        </w:rPr>
        <w:t>8</w:t>
      </w:r>
      <w:r>
        <w:rPr>
          <w:rFonts w:hint="eastAsia" w:ascii="宋体" w:hAnsi="宋体"/>
          <w:strike w:val="0"/>
          <w:dstrike w:val="0"/>
          <w:sz w:val="24"/>
          <w:lang w:eastAsia="zh-CN"/>
        </w:rPr>
        <w:t>）</w:t>
      </w:r>
      <w:r>
        <w:rPr>
          <w:rFonts w:hint="eastAsia" w:ascii="宋体" w:hAnsi="宋体"/>
          <w:strike w:val="0"/>
          <w:dstrike w:val="0"/>
          <w:sz w:val="24"/>
        </w:rPr>
        <w:t>增加了磨蚀指数与破碎功指数试验（见附录A）</w:t>
      </w:r>
      <w:r>
        <w:rPr>
          <w:rFonts w:hint="eastAsia" w:ascii="宋体" w:hAnsi="宋体"/>
          <w:strike w:val="0"/>
          <w:dstrike w:val="0"/>
          <w:sz w:val="24"/>
          <w:lang w:eastAsia="zh-CN"/>
        </w:rPr>
        <w:t>；</w:t>
      </w:r>
    </w:p>
    <w:p w14:paraId="2CF64F3B">
      <w:pPr>
        <w:spacing w:line="360" w:lineRule="auto"/>
        <w:ind w:firstLine="480" w:firstLineChars="200"/>
        <w:rPr>
          <w:rFonts w:hint="eastAsia" w:ascii="宋体" w:hAnsi="宋体" w:eastAsia="宋体"/>
          <w:strike w:val="0"/>
          <w:dstrike w:val="0"/>
          <w:sz w:val="24"/>
          <w:lang w:val="en-US" w:eastAsia="zh-CN"/>
        </w:rPr>
      </w:pPr>
      <w:r>
        <w:rPr>
          <w:rFonts w:hint="eastAsia" w:ascii="宋体" w:hAnsi="宋体"/>
          <w:strike w:val="0"/>
          <w:dstrike w:val="0"/>
          <w:sz w:val="24"/>
          <w:lang w:val="en-US" w:eastAsia="zh-CN"/>
        </w:rPr>
        <w:t>9）更改了质量检验实验室的检测项目及相应检测设备，实验室设备中增加“条形孔筛”。</w:t>
      </w:r>
    </w:p>
    <w:p w14:paraId="6B326810">
      <w:pPr>
        <w:spacing w:line="360" w:lineRule="auto"/>
        <w:ind w:firstLine="480" w:firstLineChars="200"/>
        <w:rPr>
          <w:rFonts w:hint="default" w:ascii="Times New Roman" w:hAnsi="Times New Roman" w:cs="Times New Roman"/>
          <w:strike/>
          <w:dstrike w:val="0"/>
          <w:sz w:val="24"/>
        </w:rPr>
      </w:pPr>
      <w:r>
        <w:rPr>
          <w:rFonts w:hint="eastAsia" w:ascii="宋体" w:hAnsi="宋体"/>
          <w:strike w:val="0"/>
          <w:dstrike w:val="0"/>
          <w:sz w:val="24"/>
        </w:rPr>
        <w:t>本次《</w:t>
      </w:r>
      <w:r>
        <w:rPr>
          <w:rFonts w:hint="eastAsia" w:ascii="宋体" w:hAnsi="宋体"/>
          <w:strike w:val="0"/>
          <w:dstrike w:val="0"/>
          <w:sz w:val="24"/>
          <w:lang w:eastAsia="zh-CN"/>
        </w:rPr>
        <w:t>机制砂石生产技术规程</w:t>
      </w:r>
      <w:r>
        <w:rPr>
          <w:rFonts w:hint="eastAsia" w:ascii="宋体" w:hAnsi="宋体"/>
          <w:strike w:val="0"/>
          <w:dstrike w:val="0"/>
          <w:sz w:val="24"/>
        </w:rPr>
        <w:t>》修订在保留了原201</w:t>
      </w:r>
      <w:r>
        <w:rPr>
          <w:rFonts w:hint="eastAsia" w:ascii="宋体" w:hAnsi="宋体"/>
          <w:strike w:val="0"/>
          <w:dstrike w:val="0"/>
          <w:sz w:val="24"/>
          <w:lang w:val="en-US" w:eastAsia="zh-CN"/>
        </w:rPr>
        <w:t>4</w:t>
      </w:r>
      <w:r>
        <w:rPr>
          <w:rFonts w:hint="eastAsia" w:ascii="宋体" w:hAnsi="宋体"/>
          <w:strike w:val="0"/>
          <w:dstrike w:val="0"/>
          <w:sz w:val="24"/>
        </w:rPr>
        <w:t>版标准主要技术要求的基础上，</w:t>
      </w:r>
      <w:r>
        <w:rPr>
          <w:rFonts w:hint="eastAsia" w:ascii="宋体" w:hAnsi="宋体"/>
          <w:strike w:val="0"/>
          <w:dstrike w:val="0"/>
          <w:sz w:val="24"/>
          <w:lang w:eastAsia="zh-CN"/>
        </w:rPr>
        <w:t>根据机制砂石行业近年来在工艺技术、绿色低碳和智能化方面的更高要求，全面优化了加工工艺流程，强化了对高品质机制砂石产品质量的要求，增加了信息化和智能化内容</w:t>
      </w:r>
      <w:r>
        <w:rPr>
          <w:rFonts w:hint="eastAsia" w:ascii="宋体" w:hAnsi="宋体"/>
          <w:strike w:val="0"/>
          <w:dstrike w:val="0"/>
          <w:sz w:val="24"/>
        </w:rPr>
        <w:t>，具体包括以下几</w:t>
      </w:r>
      <w:r>
        <w:rPr>
          <w:rFonts w:hint="default" w:ascii="Times New Roman" w:hAnsi="Times New Roman" w:cs="Times New Roman"/>
          <w:strike w:val="0"/>
          <w:dstrike w:val="0"/>
          <w:sz w:val="24"/>
        </w:rPr>
        <w:t>个方面：</w:t>
      </w:r>
    </w:p>
    <w:p w14:paraId="7C6F4BA2">
      <w:pPr>
        <w:spacing w:line="360" w:lineRule="auto"/>
        <w:ind w:firstLine="480" w:firstLineChars="200"/>
        <w:outlineLvl w:val="2"/>
        <w:rPr>
          <w:rFonts w:hint="default" w:ascii="Times New Roman" w:hAnsi="Times New Roman" w:cs="Times New Roman"/>
          <w:strike w:val="0"/>
          <w:dstrike w:val="0"/>
          <w:sz w:val="24"/>
        </w:rPr>
      </w:pPr>
      <w:bookmarkStart w:id="8" w:name="_Toc79653538"/>
      <w:r>
        <w:rPr>
          <w:rFonts w:hint="default" w:ascii="Times New Roman" w:hAnsi="Times New Roman" w:cs="Times New Roman"/>
          <w:strike w:val="0"/>
          <w:dstrike w:val="0"/>
          <w:sz w:val="24"/>
        </w:rPr>
        <w:t>（1）更改了</w:t>
      </w:r>
      <w:r>
        <w:rPr>
          <w:rFonts w:hint="eastAsia" w:cs="Times New Roman"/>
          <w:strike w:val="0"/>
          <w:dstrike w:val="0"/>
          <w:sz w:val="24"/>
          <w:lang w:eastAsia="zh-CN"/>
        </w:rPr>
        <w:t>机制石</w:t>
      </w:r>
      <w:r>
        <w:rPr>
          <w:rFonts w:hint="default" w:ascii="Times New Roman" w:hAnsi="Times New Roman" w:cs="Times New Roman"/>
          <w:strike w:val="0"/>
          <w:dstrike w:val="0"/>
          <w:sz w:val="24"/>
        </w:rPr>
        <w:t>的</w:t>
      </w:r>
      <w:r>
        <w:rPr>
          <w:rFonts w:hint="eastAsia" w:cs="Times New Roman"/>
          <w:strike w:val="0"/>
          <w:dstrike w:val="0"/>
          <w:sz w:val="24"/>
          <w:lang w:eastAsia="zh-CN"/>
        </w:rPr>
        <w:t>名称和</w:t>
      </w:r>
      <w:r>
        <w:rPr>
          <w:rFonts w:hint="default" w:ascii="Times New Roman" w:hAnsi="Times New Roman" w:cs="Times New Roman"/>
          <w:strike w:val="0"/>
          <w:dstrike w:val="0"/>
          <w:sz w:val="24"/>
        </w:rPr>
        <w:t>定义（见3.1）</w:t>
      </w:r>
      <w:bookmarkEnd w:id="8"/>
    </w:p>
    <w:p w14:paraId="1636EF8C">
      <w:pPr>
        <w:spacing w:line="360" w:lineRule="auto"/>
        <w:ind w:firstLine="480" w:firstLineChars="200"/>
        <w:rPr>
          <w:rFonts w:hint="default" w:ascii="Times New Roman" w:hAnsi="Times New Roman" w:cs="Times New Roman"/>
          <w:strike w:val="0"/>
          <w:dstrike w:val="0"/>
          <w:sz w:val="24"/>
        </w:rPr>
      </w:pPr>
      <w:r>
        <w:rPr>
          <w:rFonts w:hint="eastAsia" w:cs="Times New Roman"/>
          <w:strike w:val="0"/>
          <w:dstrike w:val="0"/>
          <w:sz w:val="24"/>
          <w:lang w:eastAsia="zh-CN"/>
        </w:rPr>
        <w:t>机制石的名称改成“碎石”。机制石</w:t>
      </w:r>
      <w:r>
        <w:rPr>
          <w:rFonts w:hint="default" w:ascii="Times New Roman" w:hAnsi="Times New Roman" w:cs="Times New Roman"/>
          <w:strike w:val="0"/>
          <w:dstrike w:val="0"/>
          <w:sz w:val="24"/>
        </w:rPr>
        <w:t>的定义由“天然岩石、卵石或矿山废石经机械破碎、筛分制成的，粒径大于4.75mm 的颗粒，亦称碎石。”修改为“天然岩石、卵石或废石等原料，经破碎、筛分等机械加工而成的，粒径大于4.75mm的岩石颗粒。”修改后的</w:t>
      </w:r>
      <w:r>
        <w:rPr>
          <w:rFonts w:hint="eastAsia" w:cs="Times New Roman"/>
          <w:strike w:val="0"/>
          <w:dstrike w:val="0"/>
          <w:sz w:val="24"/>
          <w:lang w:eastAsia="zh-CN"/>
        </w:rPr>
        <w:t>名称与</w:t>
      </w:r>
      <w:r>
        <w:rPr>
          <w:rFonts w:hint="eastAsia" w:cs="Times New Roman"/>
          <w:strike w:val="0"/>
          <w:dstrike w:val="0"/>
          <w:sz w:val="24"/>
          <w:lang w:val="en-US" w:eastAsia="zh-CN"/>
        </w:rPr>
        <w:t>2022版本的《建设用卵石、碎石》国家标准表述一致。</w:t>
      </w:r>
    </w:p>
    <w:p w14:paraId="3CEB6B64">
      <w:pPr>
        <w:spacing w:line="360" w:lineRule="auto"/>
        <w:ind w:firstLine="480" w:firstLineChars="200"/>
        <w:outlineLvl w:val="2"/>
        <w:rPr>
          <w:rFonts w:hint="default" w:ascii="Times New Roman" w:hAnsi="Times New Roman" w:cs="Times New Roman"/>
          <w:strike w:val="0"/>
          <w:dstrike w:val="0"/>
          <w:sz w:val="24"/>
        </w:rPr>
      </w:pPr>
      <w:bookmarkStart w:id="9" w:name="_Toc79653539"/>
      <w:r>
        <w:rPr>
          <w:rFonts w:hint="default" w:ascii="Times New Roman" w:hAnsi="Times New Roman" w:cs="Times New Roman"/>
          <w:strike w:val="0"/>
          <w:dstrike w:val="0"/>
          <w:sz w:val="24"/>
        </w:rPr>
        <w:t>（2）更改了机制砂的定义（见3.2）</w:t>
      </w:r>
      <w:bookmarkEnd w:id="9"/>
    </w:p>
    <w:p w14:paraId="272DA797">
      <w:pPr>
        <w:spacing w:line="360" w:lineRule="auto"/>
        <w:ind w:firstLine="480" w:firstLineChars="200"/>
        <w:rPr>
          <w:rFonts w:hint="default" w:ascii="Times New Roman" w:hAnsi="Times New Roman" w:cs="Times New Roman"/>
          <w:strike w:val="0"/>
          <w:dstrike w:val="0"/>
          <w:sz w:val="24"/>
        </w:rPr>
      </w:pPr>
      <w:r>
        <w:rPr>
          <w:rFonts w:hint="default" w:ascii="Times New Roman" w:hAnsi="Times New Roman" w:cs="Times New Roman"/>
          <w:strike w:val="0"/>
          <w:dstrike w:val="0"/>
          <w:sz w:val="24"/>
        </w:rPr>
        <w:t>机制砂的定义由“经除土处理，由机械破碎、筛分制成的，粒径小于4.75mm的岩石、矿山尾矿或工业废渣颗粒，但不包括软质、风化的颗粒，亦称人工砂。”，修改为“岩石、卵石、废石和尾矿等原料，经除土处理、机械破碎、整形、筛分、石粉控制等工艺制成的，级配、粒形和石粉含量满足要求且粒径小于4.75mm的颗粒。注：机制砂不包括软质、风化的颗粒。”</w:t>
      </w:r>
    </w:p>
    <w:p w14:paraId="648ACB9A">
      <w:pPr>
        <w:spacing w:line="360" w:lineRule="auto"/>
        <w:ind w:firstLine="480" w:firstLineChars="200"/>
        <w:rPr>
          <w:rFonts w:hint="default" w:ascii="Times New Roman" w:hAnsi="Times New Roman" w:cs="Times New Roman"/>
          <w:strike w:val="0"/>
          <w:dstrike w:val="0"/>
          <w:sz w:val="24"/>
        </w:rPr>
      </w:pPr>
      <w:r>
        <w:rPr>
          <w:rFonts w:hint="default" w:ascii="Times New Roman" w:hAnsi="Times New Roman" w:cs="Times New Roman"/>
          <w:strike w:val="0"/>
          <w:dstrike w:val="0"/>
          <w:sz w:val="24"/>
        </w:rPr>
        <w:t>考虑到工业废渣来源复杂，对混凝土安定性和耐久性存在较大影响，删除原定义中以工业废渣颗粒为原料，并补充原定义未涉及的以卵石、矿山废石为原料制备机制砂。同时在定义中增加整形和石粉控制等工艺，以强调其对产品质量的重要性。</w:t>
      </w:r>
    </w:p>
    <w:p w14:paraId="782B1326">
      <w:pPr>
        <w:spacing w:line="360" w:lineRule="auto"/>
        <w:ind w:firstLine="480" w:firstLineChars="200"/>
        <w:outlineLvl w:val="2"/>
        <w:rPr>
          <w:rFonts w:hint="eastAsia" w:ascii="Times New Roman" w:hAnsi="Times New Roman" w:eastAsia="宋体" w:cs="Times New Roman"/>
          <w:strike w:val="0"/>
          <w:dstrike w:val="0"/>
          <w:sz w:val="24"/>
          <w:lang w:eastAsia="zh-CN"/>
        </w:rPr>
      </w:pPr>
      <w:bookmarkStart w:id="10" w:name="_Toc79653540"/>
      <w:r>
        <w:rPr>
          <w:rFonts w:hint="eastAsia" w:cs="Times New Roman"/>
          <w:strike w:val="0"/>
          <w:dstrike w:val="0"/>
          <w:sz w:val="24"/>
          <w:lang w:eastAsia="zh-CN"/>
        </w:rPr>
        <w:t>（</w:t>
      </w:r>
      <w:r>
        <w:rPr>
          <w:rFonts w:hint="eastAsia" w:cs="Times New Roman"/>
          <w:strike w:val="0"/>
          <w:dstrike w:val="0"/>
          <w:sz w:val="24"/>
          <w:lang w:val="en-US" w:eastAsia="zh-CN"/>
        </w:rPr>
        <w:t>3</w:t>
      </w:r>
      <w:r>
        <w:rPr>
          <w:rFonts w:hint="eastAsia" w:cs="Times New Roman"/>
          <w:strike w:val="0"/>
          <w:dstrike w:val="0"/>
          <w:sz w:val="24"/>
          <w:lang w:eastAsia="zh-CN"/>
        </w:rPr>
        <w:t>）增加了破碎、粗碎等一系列术语定义</w:t>
      </w:r>
      <w:r>
        <w:rPr>
          <w:rFonts w:hint="default" w:ascii="Times New Roman" w:hAnsi="Times New Roman" w:cs="Times New Roman"/>
          <w:strike w:val="0"/>
          <w:dstrike w:val="0"/>
          <w:sz w:val="24"/>
        </w:rPr>
        <w:t>（见3.</w:t>
      </w:r>
      <w:r>
        <w:rPr>
          <w:rFonts w:hint="eastAsia" w:cs="Times New Roman"/>
          <w:strike w:val="0"/>
          <w:dstrike w:val="0"/>
          <w:sz w:val="24"/>
          <w:lang w:val="en-US" w:eastAsia="zh-CN"/>
        </w:rPr>
        <w:t>4-3.1</w:t>
      </w:r>
      <w:r>
        <w:rPr>
          <w:rFonts w:hint="default" w:ascii="Times New Roman" w:hAnsi="Times New Roman" w:cs="Times New Roman"/>
          <w:strike w:val="0"/>
          <w:dstrike w:val="0"/>
          <w:sz w:val="24"/>
        </w:rPr>
        <w:t>2）</w:t>
      </w:r>
    </w:p>
    <w:p w14:paraId="4F1E3225">
      <w:pPr>
        <w:spacing w:line="360" w:lineRule="auto"/>
        <w:ind w:firstLine="480" w:firstLineChars="200"/>
        <w:outlineLvl w:val="2"/>
        <w:rPr>
          <w:rFonts w:hint="default" w:ascii="Times New Roman" w:hAnsi="Times New Roman" w:cs="Times New Roman"/>
          <w:strike w:val="0"/>
          <w:dstrike w:val="0"/>
          <w:sz w:val="24"/>
        </w:rPr>
      </w:pPr>
      <w:r>
        <w:rPr>
          <w:rFonts w:hint="default" w:ascii="Times New Roman" w:hAnsi="Times New Roman" w:cs="Times New Roman"/>
          <w:strike w:val="0"/>
          <w:dstrike w:val="0"/>
          <w:sz w:val="24"/>
        </w:rPr>
        <w:t>破碎</w:t>
      </w:r>
      <w:r>
        <w:rPr>
          <w:rFonts w:hint="eastAsia" w:cs="Times New Roman"/>
          <w:strike w:val="0"/>
          <w:dstrike w:val="0"/>
          <w:sz w:val="24"/>
          <w:lang w:eastAsia="zh-CN"/>
        </w:rPr>
        <w:t>：</w:t>
      </w:r>
      <w:r>
        <w:rPr>
          <w:rFonts w:hint="default" w:ascii="Times New Roman" w:hAnsi="Times New Roman" w:cs="Times New Roman"/>
          <w:strike w:val="0"/>
          <w:dstrike w:val="0"/>
          <w:sz w:val="24"/>
        </w:rPr>
        <w:t>利用机械设备对固体物料进行挤压、冲击或研磨，使得物料粒度从大到小，从而实现对物料粒度进行细化加工的工序和过程。</w:t>
      </w:r>
    </w:p>
    <w:p w14:paraId="770DA93A">
      <w:pPr>
        <w:spacing w:line="360" w:lineRule="auto"/>
        <w:ind w:firstLine="480" w:firstLineChars="200"/>
        <w:outlineLvl w:val="2"/>
        <w:rPr>
          <w:rFonts w:hint="default" w:ascii="Times New Roman" w:hAnsi="Times New Roman" w:cs="Times New Roman"/>
          <w:strike w:val="0"/>
          <w:dstrike w:val="0"/>
          <w:sz w:val="24"/>
        </w:rPr>
      </w:pPr>
      <w:r>
        <w:rPr>
          <w:rFonts w:hint="default" w:ascii="Times New Roman" w:hAnsi="Times New Roman" w:cs="Times New Roman"/>
          <w:strike w:val="0"/>
          <w:dstrike w:val="0"/>
          <w:sz w:val="24"/>
        </w:rPr>
        <w:t>粗碎</w:t>
      </w:r>
      <w:r>
        <w:rPr>
          <w:rFonts w:hint="eastAsia" w:cs="Times New Roman"/>
          <w:strike w:val="0"/>
          <w:dstrike w:val="0"/>
          <w:sz w:val="24"/>
          <w:lang w:eastAsia="zh-CN"/>
        </w:rPr>
        <w:t>：</w:t>
      </w:r>
      <w:r>
        <w:rPr>
          <w:rFonts w:hint="default" w:ascii="Times New Roman" w:hAnsi="Times New Roman" w:cs="Times New Roman"/>
          <w:strike w:val="0"/>
          <w:dstrike w:val="0"/>
          <w:sz w:val="24"/>
        </w:rPr>
        <w:t>指砂石生产的头道破碎环节,将矿山开采的矿石原料破碎至下一道破碎环节允许的进料粒度的工艺过程。一般给料粒度1500mm-350mm，排料粒度不大于350mm。</w:t>
      </w:r>
    </w:p>
    <w:p w14:paraId="1FEC9221">
      <w:pPr>
        <w:spacing w:line="360" w:lineRule="auto"/>
        <w:ind w:firstLine="480" w:firstLineChars="200"/>
        <w:outlineLvl w:val="2"/>
        <w:rPr>
          <w:rFonts w:hint="default" w:ascii="Times New Roman" w:hAnsi="Times New Roman" w:cs="Times New Roman"/>
          <w:strike w:val="0"/>
          <w:dstrike w:val="0"/>
          <w:sz w:val="24"/>
        </w:rPr>
      </w:pPr>
      <w:r>
        <w:rPr>
          <w:rFonts w:hint="default" w:ascii="Times New Roman" w:hAnsi="Times New Roman" w:cs="Times New Roman"/>
          <w:strike w:val="0"/>
          <w:dstrike w:val="0"/>
          <w:sz w:val="24"/>
        </w:rPr>
        <w:t>中碎</w:t>
      </w:r>
      <w:r>
        <w:rPr>
          <w:rFonts w:hint="eastAsia" w:cs="Times New Roman"/>
          <w:strike w:val="0"/>
          <w:dstrike w:val="0"/>
          <w:sz w:val="24"/>
          <w:lang w:eastAsia="zh-CN"/>
        </w:rPr>
        <w:t>：</w:t>
      </w:r>
      <w:r>
        <w:rPr>
          <w:rFonts w:hint="default" w:ascii="Times New Roman" w:hAnsi="Times New Roman" w:cs="Times New Roman"/>
          <w:strike w:val="0"/>
          <w:dstrike w:val="0"/>
          <w:sz w:val="24"/>
        </w:rPr>
        <w:t>指将粗碎后的物料破碎至下一道破碎环节允许的进料粒度的工艺过程。一般给料粒度350mm-100mm，排料粒度不大于100mm。</w:t>
      </w:r>
    </w:p>
    <w:p w14:paraId="1EC4ECE7">
      <w:pPr>
        <w:spacing w:line="360" w:lineRule="auto"/>
        <w:ind w:firstLine="480" w:firstLineChars="200"/>
        <w:outlineLvl w:val="2"/>
        <w:rPr>
          <w:rFonts w:hint="default" w:ascii="Times New Roman" w:hAnsi="Times New Roman" w:cs="Times New Roman"/>
          <w:strike w:val="0"/>
          <w:dstrike w:val="0"/>
          <w:sz w:val="24"/>
        </w:rPr>
      </w:pPr>
      <w:r>
        <w:rPr>
          <w:rFonts w:hint="default" w:ascii="Times New Roman" w:hAnsi="Times New Roman" w:cs="Times New Roman"/>
          <w:strike w:val="0"/>
          <w:dstrike w:val="0"/>
          <w:sz w:val="24"/>
        </w:rPr>
        <w:t>细碎</w:t>
      </w:r>
      <w:r>
        <w:rPr>
          <w:rFonts w:hint="eastAsia" w:cs="Times New Roman"/>
          <w:strike w:val="0"/>
          <w:dstrike w:val="0"/>
          <w:sz w:val="24"/>
          <w:lang w:eastAsia="zh-CN"/>
        </w:rPr>
        <w:t>：</w:t>
      </w:r>
      <w:r>
        <w:rPr>
          <w:rFonts w:hint="default" w:ascii="Times New Roman" w:hAnsi="Times New Roman" w:cs="Times New Roman"/>
          <w:strike w:val="0"/>
          <w:dstrike w:val="0"/>
          <w:sz w:val="24"/>
        </w:rPr>
        <w:t>是指将中碎后超过目标产品最大粒径的物料进行再次破碎以及对产品级配进行调整破碎的工艺过程一般给料粒度100mm-31.5mm，排料粒度小于40mm。</w:t>
      </w:r>
    </w:p>
    <w:p w14:paraId="02D42DE4">
      <w:pPr>
        <w:spacing w:line="360" w:lineRule="auto"/>
        <w:ind w:firstLine="480" w:firstLineChars="200"/>
        <w:outlineLvl w:val="2"/>
        <w:rPr>
          <w:rFonts w:hint="default" w:ascii="Times New Roman" w:hAnsi="Times New Roman" w:cs="Times New Roman"/>
          <w:strike w:val="0"/>
          <w:dstrike w:val="0"/>
          <w:sz w:val="24"/>
        </w:rPr>
      </w:pPr>
      <w:r>
        <w:rPr>
          <w:rFonts w:hint="default" w:ascii="Times New Roman" w:hAnsi="Times New Roman" w:cs="Times New Roman"/>
          <w:strike w:val="0"/>
          <w:dstrike w:val="0"/>
          <w:sz w:val="24"/>
        </w:rPr>
        <w:t>整形</w:t>
      </w:r>
      <w:r>
        <w:rPr>
          <w:rFonts w:hint="eastAsia" w:cs="Times New Roman"/>
          <w:strike w:val="0"/>
          <w:dstrike w:val="0"/>
          <w:sz w:val="24"/>
          <w:lang w:eastAsia="zh-CN"/>
        </w:rPr>
        <w:t>：</w:t>
      </w:r>
      <w:r>
        <w:rPr>
          <w:rFonts w:hint="default" w:ascii="Times New Roman" w:hAnsi="Times New Roman" w:cs="Times New Roman"/>
          <w:strike w:val="0"/>
          <w:dstrike w:val="0"/>
          <w:sz w:val="24"/>
        </w:rPr>
        <w:t>是指采用机械去除机制砂石颗粒表面锐角，改善砂石颗粒粒形、降低针片状、不规则颗粒含量的工序。</w:t>
      </w:r>
    </w:p>
    <w:p w14:paraId="550D770E">
      <w:pPr>
        <w:spacing w:line="360" w:lineRule="auto"/>
        <w:ind w:firstLine="480" w:firstLineChars="200"/>
        <w:outlineLvl w:val="2"/>
        <w:rPr>
          <w:rFonts w:hint="default" w:ascii="Times New Roman" w:hAnsi="Times New Roman" w:cs="Times New Roman"/>
          <w:strike w:val="0"/>
          <w:dstrike w:val="0"/>
          <w:sz w:val="24"/>
        </w:rPr>
      </w:pPr>
      <w:r>
        <w:rPr>
          <w:rFonts w:hint="default" w:ascii="Times New Roman" w:hAnsi="Times New Roman" w:cs="Times New Roman"/>
          <w:strike w:val="0"/>
          <w:dstrike w:val="0"/>
          <w:sz w:val="24"/>
        </w:rPr>
        <w:t>制砂</w:t>
      </w:r>
      <w:r>
        <w:rPr>
          <w:rFonts w:hint="eastAsia" w:cs="Times New Roman"/>
          <w:strike w:val="0"/>
          <w:dstrike w:val="0"/>
          <w:sz w:val="24"/>
          <w:lang w:eastAsia="zh-CN"/>
        </w:rPr>
        <w:t>：</w:t>
      </w:r>
      <w:r>
        <w:rPr>
          <w:rFonts w:hint="default" w:ascii="Times New Roman" w:hAnsi="Times New Roman" w:cs="Times New Roman"/>
          <w:strike w:val="0"/>
          <w:dstrike w:val="0"/>
          <w:sz w:val="24"/>
        </w:rPr>
        <w:t>是指加工生产机制砂的工艺过程。</w:t>
      </w:r>
    </w:p>
    <w:p w14:paraId="621C6358">
      <w:pPr>
        <w:spacing w:line="360" w:lineRule="auto"/>
        <w:ind w:firstLine="480" w:firstLineChars="200"/>
        <w:outlineLvl w:val="2"/>
        <w:rPr>
          <w:rFonts w:hint="default" w:ascii="Times New Roman" w:hAnsi="Times New Roman" w:cs="Times New Roman"/>
          <w:strike w:val="0"/>
          <w:dstrike w:val="0"/>
          <w:sz w:val="24"/>
        </w:rPr>
      </w:pPr>
      <w:r>
        <w:rPr>
          <w:rFonts w:hint="default" w:ascii="Times New Roman" w:hAnsi="Times New Roman" w:cs="Times New Roman"/>
          <w:strike w:val="0"/>
          <w:dstrike w:val="0"/>
          <w:sz w:val="24"/>
        </w:rPr>
        <w:t>绿色生产</w:t>
      </w:r>
      <w:r>
        <w:rPr>
          <w:rFonts w:hint="eastAsia" w:cs="Times New Roman"/>
          <w:strike w:val="0"/>
          <w:dstrike w:val="0"/>
          <w:sz w:val="24"/>
          <w:lang w:eastAsia="zh-CN"/>
        </w:rPr>
        <w:t>：</w:t>
      </w:r>
      <w:r>
        <w:rPr>
          <w:rFonts w:hint="default" w:ascii="Times New Roman" w:hAnsi="Times New Roman" w:cs="Times New Roman"/>
          <w:strike w:val="0"/>
          <w:dstrike w:val="0"/>
          <w:sz w:val="24"/>
        </w:rPr>
        <w:t>指以矿产资源清洁加工与生态环境协调发展为目标的生产方式，其特点是采用高效、安全、节能环保、智能的生产工艺和设备，生产效率高;采取节能减排措施，使生产中粉尘、废水、噪音的排放达到相关标准要求，实现清洁生产；资源综合利用水平高，产品质量好。</w:t>
      </w:r>
    </w:p>
    <w:p w14:paraId="0302EA6E">
      <w:pPr>
        <w:spacing w:line="360" w:lineRule="auto"/>
        <w:ind w:firstLine="480" w:firstLineChars="200"/>
        <w:outlineLvl w:val="2"/>
        <w:rPr>
          <w:rFonts w:hint="default" w:ascii="Times New Roman" w:hAnsi="Times New Roman" w:cs="Times New Roman"/>
          <w:strike w:val="0"/>
          <w:dstrike w:val="0"/>
          <w:sz w:val="24"/>
        </w:rPr>
      </w:pPr>
      <w:r>
        <w:rPr>
          <w:rFonts w:hint="default" w:ascii="Times New Roman" w:hAnsi="Times New Roman" w:cs="Times New Roman"/>
          <w:strike w:val="0"/>
          <w:dstrike w:val="0"/>
          <w:sz w:val="24"/>
        </w:rPr>
        <w:t>绿色运输</w:t>
      </w:r>
      <w:r>
        <w:rPr>
          <w:rFonts w:hint="eastAsia" w:cs="Times New Roman"/>
          <w:strike w:val="0"/>
          <w:dstrike w:val="0"/>
          <w:sz w:val="24"/>
          <w:lang w:eastAsia="zh-CN"/>
        </w:rPr>
        <w:t>：</w:t>
      </w:r>
      <w:r>
        <w:rPr>
          <w:rFonts w:hint="default" w:ascii="Times New Roman" w:hAnsi="Times New Roman" w:cs="Times New Roman"/>
          <w:strike w:val="0"/>
          <w:dstrike w:val="0"/>
          <w:sz w:val="24"/>
        </w:rPr>
        <w:t>运输工具高效、环保，以节约能源、减少尾气排放或采用新能源为特征的运输;不超载、超限，保证人民群众生命财产安全、道路桥梁等公共基础设施安全。</w:t>
      </w:r>
    </w:p>
    <w:p w14:paraId="38902C88">
      <w:pPr>
        <w:spacing w:line="360" w:lineRule="auto"/>
        <w:ind w:firstLine="480" w:firstLineChars="200"/>
        <w:outlineLvl w:val="2"/>
        <w:rPr>
          <w:rFonts w:hint="default" w:ascii="Times New Roman" w:hAnsi="Times New Roman" w:cs="Times New Roman"/>
          <w:strike w:val="0"/>
          <w:dstrike w:val="0"/>
          <w:sz w:val="24"/>
        </w:rPr>
      </w:pPr>
      <w:r>
        <w:rPr>
          <w:rFonts w:hint="default" w:ascii="Times New Roman" w:hAnsi="Times New Roman" w:cs="Times New Roman"/>
          <w:strike w:val="0"/>
          <w:dstrike w:val="0"/>
          <w:sz w:val="24"/>
        </w:rPr>
        <w:t>成品骨料</w:t>
      </w:r>
      <w:r>
        <w:rPr>
          <w:rFonts w:hint="eastAsia" w:cs="Times New Roman"/>
          <w:strike w:val="0"/>
          <w:dstrike w:val="0"/>
          <w:sz w:val="24"/>
          <w:lang w:eastAsia="zh-CN"/>
        </w:rPr>
        <w:t>：</w:t>
      </w:r>
      <w:r>
        <w:rPr>
          <w:rFonts w:hint="default" w:ascii="Times New Roman" w:hAnsi="Times New Roman" w:cs="Times New Roman"/>
          <w:strike w:val="0"/>
          <w:dstrike w:val="0"/>
          <w:sz w:val="24"/>
        </w:rPr>
        <w:t>是指经过一系列加工处理、筛选和分级后制成的规格齐全、品质合格的砂石产品，粒径0-31.5mm/0-26.5mm。</w:t>
      </w:r>
    </w:p>
    <w:p w14:paraId="2F183869">
      <w:pPr>
        <w:spacing w:line="360" w:lineRule="auto"/>
        <w:ind w:firstLine="480" w:firstLineChars="200"/>
        <w:outlineLvl w:val="2"/>
        <w:rPr>
          <w:rFonts w:hint="eastAsia" w:ascii="Times New Roman" w:hAnsi="Times New Roman" w:eastAsia="宋体" w:cs="Times New Roman"/>
          <w:strike w:val="0"/>
          <w:dstrike w:val="0"/>
          <w:sz w:val="24"/>
          <w:lang w:eastAsia="zh-CN"/>
        </w:rPr>
      </w:pPr>
      <w:r>
        <w:rPr>
          <w:rFonts w:hint="eastAsia" w:cs="Times New Roman"/>
          <w:strike w:val="0"/>
          <w:dstrike w:val="0"/>
          <w:sz w:val="24"/>
          <w:lang w:eastAsia="zh-CN"/>
        </w:rPr>
        <w:t>（</w:t>
      </w:r>
      <w:r>
        <w:rPr>
          <w:rFonts w:hint="eastAsia" w:cs="Times New Roman"/>
          <w:strike w:val="0"/>
          <w:dstrike w:val="0"/>
          <w:sz w:val="24"/>
          <w:lang w:val="en-US" w:eastAsia="zh-CN"/>
        </w:rPr>
        <w:t>4</w:t>
      </w:r>
      <w:r>
        <w:rPr>
          <w:rFonts w:hint="eastAsia" w:cs="Times New Roman"/>
          <w:strike w:val="0"/>
          <w:dstrike w:val="0"/>
          <w:sz w:val="24"/>
          <w:lang w:eastAsia="zh-CN"/>
        </w:rPr>
        <w:t>）更改原标准“一般规定”为“基本规定”（见</w:t>
      </w:r>
      <w:r>
        <w:rPr>
          <w:rFonts w:hint="eastAsia" w:cs="Times New Roman"/>
          <w:strike w:val="0"/>
          <w:dstrike w:val="0"/>
          <w:sz w:val="24"/>
          <w:lang w:val="en-US" w:eastAsia="zh-CN"/>
        </w:rPr>
        <w:t>4</w:t>
      </w:r>
      <w:r>
        <w:rPr>
          <w:rFonts w:hint="eastAsia" w:cs="Times New Roman"/>
          <w:strike w:val="0"/>
          <w:dstrike w:val="0"/>
          <w:sz w:val="24"/>
          <w:lang w:eastAsia="zh-CN"/>
        </w:rPr>
        <w:t>）</w:t>
      </w:r>
    </w:p>
    <w:p w14:paraId="3940A734">
      <w:pPr>
        <w:spacing w:line="360" w:lineRule="auto"/>
        <w:ind w:firstLine="480" w:firstLineChars="200"/>
        <w:outlineLvl w:val="2"/>
        <w:rPr>
          <w:rFonts w:hint="eastAsia" w:ascii="Times New Roman" w:hAnsi="Times New Roman" w:eastAsia="宋体" w:cs="Times New Roman"/>
          <w:strike w:val="0"/>
          <w:dstrike w:val="0"/>
          <w:sz w:val="24"/>
          <w:lang w:eastAsia="zh-CN"/>
        </w:rPr>
      </w:pPr>
      <w:r>
        <w:rPr>
          <w:rFonts w:hint="eastAsia" w:cs="Times New Roman"/>
          <w:strike w:val="0"/>
          <w:dstrike w:val="0"/>
          <w:sz w:val="24"/>
          <w:lang w:eastAsia="zh-CN"/>
        </w:rPr>
        <w:t>该部分内容旨在强调砂石生产必须要满足的有关法律法规、产业政策和标准规范等，以及在开采加工中需要注意的事项和需要贯彻的理念，促进企业合法合规生产，同时树立绿色安全低碳和谐的发展理念。</w:t>
      </w:r>
    </w:p>
    <w:p w14:paraId="0CD17D9B">
      <w:pPr>
        <w:spacing w:line="360" w:lineRule="auto"/>
        <w:ind w:firstLine="480" w:firstLineChars="200"/>
        <w:outlineLvl w:val="2"/>
        <w:rPr>
          <w:rFonts w:hint="eastAsia" w:ascii="Times New Roman" w:hAnsi="Times New Roman" w:eastAsia="宋体" w:cs="Times New Roman"/>
          <w:strike w:val="0"/>
          <w:dstrike w:val="0"/>
          <w:sz w:val="24"/>
          <w:lang w:eastAsia="zh-CN"/>
        </w:rPr>
      </w:pPr>
      <w:r>
        <w:rPr>
          <w:rFonts w:hint="eastAsia" w:cs="Times New Roman"/>
          <w:strike w:val="0"/>
          <w:dstrike w:val="0"/>
          <w:sz w:val="24"/>
          <w:lang w:eastAsia="zh-CN"/>
        </w:rPr>
        <w:t>（</w:t>
      </w:r>
      <w:r>
        <w:rPr>
          <w:rFonts w:hint="eastAsia" w:cs="Times New Roman"/>
          <w:strike w:val="0"/>
          <w:dstrike w:val="0"/>
          <w:sz w:val="24"/>
          <w:lang w:val="en-US" w:eastAsia="zh-CN"/>
        </w:rPr>
        <w:t>5</w:t>
      </w:r>
      <w:r>
        <w:rPr>
          <w:rFonts w:hint="eastAsia" w:cs="Times New Roman"/>
          <w:strike w:val="0"/>
          <w:dstrike w:val="0"/>
          <w:sz w:val="24"/>
          <w:lang w:eastAsia="zh-CN"/>
        </w:rPr>
        <w:t>）</w:t>
      </w:r>
      <w:r>
        <w:rPr>
          <w:rFonts w:hint="eastAsia" w:ascii="宋体" w:hAnsi="宋体"/>
          <w:strike w:val="0"/>
          <w:sz w:val="24"/>
        </w:rPr>
        <w:t>增加了规划与布置内容</w:t>
      </w:r>
      <w:r>
        <w:rPr>
          <w:rFonts w:hint="eastAsia" w:cs="Times New Roman"/>
          <w:strike w:val="0"/>
          <w:dstrike w:val="0"/>
          <w:sz w:val="24"/>
          <w:lang w:eastAsia="zh-CN"/>
        </w:rPr>
        <w:t>（见</w:t>
      </w:r>
      <w:r>
        <w:rPr>
          <w:rFonts w:hint="eastAsia" w:cs="Times New Roman"/>
          <w:strike w:val="0"/>
          <w:dstrike w:val="0"/>
          <w:sz w:val="24"/>
          <w:lang w:val="en-US" w:eastAsia="zh-CN"/>
        </w:rPr>
        <w:t>5</w:t>
      </w:r>
      <w:r>
        <w:rPr>
          <w:rFonts w:hint="eastAsia" w:cs="Times New Roman"/>
          <w:strike w:val="0"/>
          <w:dstrike w:val="0"/>
          <w:sz w:val="24"/>
          <w:lang w:eastAsia="zh-CN"/>
        </w:rPr>
        <w:t>）</w:t>
      </w:r>
    </w:p>
    <w:p w14:paraId="78E4D06E">
      <w:pPr>
        <w:spacing w:line="360" w:lineRule="auto"/>
        <w:ind w:firstLine="480" w:firstLineChars="200"/>
        <w:outlineLvl w:val="2"/>
        <w:rPr>
          <w:rFonts w:hint="eastAsia" w:cs="Times New Roman"/>
          <w:strike w:val="0"/>
          <w:dstrike w:val="0"/>
          <w:sz w:val="24"/>
          <w:lang w:eastAsia="zh-CN"/>
        </w:rPr>
      </w:pPr>
      <w:r>
        <w:rPr>
          <w:rFonts w:hint="eastAsia" w:cs="Times New Roman"/>
          <w:strike w:val="0"/>
          <w:dstrike w:val="0"/>
          <w:sz w:val="24"/>
          <w:lang w:eastAsia="zh-CN"/>
        </w:rPr>
        <w:t>对砂石</w:t>
      </w:r>
      <w:r>
        <w:rPr>
          <w:rFonts w:hint="default" w:ascii="Times New Roman" w:hAnsi="Times New Roman" w:cs="Times New Roman"/>
          <w:strike w:val="0"/>
          <w:dstrike w:val="0"/>
          <w:sz w:val="24"/>
        </w:rPr>
        <w:t>矿（厂）</w:t>
      </w:r>
      <w:r>
        <w:rPr>
          <w:rFonts w:hint="default" w:cs="Times New Roman"/>
          <w:strike w:val="0"/>
          <w:dstrike w:val="0"/>
          <w:sz w:val="24"/>
          <w:lang w:eastAsia="zh-CN"/>
        </w:rPr>
        <w:t>区</w:t>
      </w:r>
      <w:r>
        <w:rPr>
          <w:rFonts w:hint="eastAsia" w:cs="Times New Roman"/>
          <w:strike w:val="0"/>
          <w:dstrike w:val="0"/>
          <w:sz w:val="24"/>
          <w:lang w:eastAsia="zh-CN"/>
        </w:rPr>
        <w:t>的</w:t>
      </w:r>
      <w:r>
        <w:rPr>
          <w:rFonts w:hint="default" w:cs="Times New Roman"/>
          <w:strike w:val="0"/>
          <w:dstrike w:val="0"/>
          <w:sz w:val="24"/>
          <w:lang w:eastAsia="zh-CN"/>
        </w:rPr>
        <w:t>规划与布置</w:t>
      </w:r>
      <w:r>
        <w:rPr>
          <w:rFonts w:hint="eastAsia" w:cs="Times New Roman"/>
          <w:strike w:val="0"/>
          <w:dstrike w:val="0"/>
          <w:sz w:val="24"/>
          <w:lang w:eastAsia="zh-CN"/>
        </w:rPr>
        <w:t>提出了“一般规定”“平面规划”“功能区布置”要求。</w:t>
      </w:r>
    </w:p>
    <w:p w14:paraId="5AB0A3AD">
      <w:pPr>
        <w:spacing w:line="360" w:lineRule="auto"/>
        <w:ind w:firstLine="480" w:firstLineChars="200"/>
        <w:outlineLvl w:val="2"/>
        <w:rPr>
          <w:rFonts w:hint="eastAsia" w:cs="Times New Roman"/>
          <w:strike w:val="0"/>
          <w:dstrike w:val="0"/>
          <w:sz w:val="24"/>
          <w:lang w:eastAsia="zh-CN"/>
        </w:rPr>
      </w:pPr>
      <w:r>
        <w:rPr>
          <w:rFonts w:hint="eastAsia" w:cs="Times New Roman"/>
          <w:strike w:val="0"/>
          <w:dstrike w:val="0"/>
          <w:sz w:val="24"/>
          <w:lang w:eastAsia="zh-CN"/>
        </w:rPr>
        <w:t>如“一般规定”中，除了工厂选址对地理位置和空间的要求，还结合国家“碳达峰、碳中和”最新政策，提出“</w:t>
      </w:r>
      <w:r>
        <w:rPr>
          <w:rFonts w:hint="default" w:cs="Times New Roman"/>
          <w:strike w:val="0"/>
          <w:dstrike w:val="0"/>
          <w:sz w:val="24"/>
          <w:lang w:eastAsia="zh-CN"/>
        </w:rPr>
        <w:t>建立能耗核算体系，采取节能减排措施，降低砂石生产能耗和设备损耗，使三废和噪音排放达到环保标准。</w:t>
      </w:r>
      <w:r>
        <w:rPr>
          <w:rFonts w:hint="eastAsia" w:cs="Times New Roman"/>
          <w:strike w:val="0"/>
          <w:dstrike w:val="0"/>
          <w:sz w:val="24"/>
          <w:lang w:eastAsia="zh-CN"/>
        </w:rPr>
        <w:t>”</w:t>
      </w:r>
    </w:p>
    <w:p w14:paraId="0277685A">
      <w:pPr>
        <w:spacing w:line="360" w:lineRule="auto"/>
        <w:ind w:firstLine="480" w:firstLineChars="200"/>
        <w:outlineLvl w:val="2"/>
        <w:rPr>
          <w:rFonts w:hint="eastAsia" w:ascii="宋体" w:hAnsi="宋体"/>
          <w:strike w:val="0"/>
          <w:sz w:val="24"/>
          <w:lang w:eastAsia="zh-CN"/>
        </w:rPr>
      </w:pPr>
      <w:r>
        <w:rPr>
          <w:rFonts w:hint="eastAsia" w:ascii="宋体" w:hAnsi="宋体"/>
          <w:strike w:val="0"/>
          <w:sz w:val="24"/>
          <w:lang w:eastAsia="zh-CN"/>
        </w:rPr>
        <w:t>（</w:t>
      </w:r>
      <w:r>
        <w:rPr>
          <w:rFonts w:hint="eastAsia" w:ascii="宋体" w:hAnsi="宋体"/>
          <w:strike w:val="0"/>
          <w:sz w:val="24"/>
          <w:lang w:val="en-US" w:eastAsia="zh-CN"/>
        </w:rPr>
        <w:t>6</w:t>
      </w:r>
      <w:r>
        <w:rPr>
          <w:rFonts w:hint="eastAsia" w:ascii="宋体" w:hAnsi="宋体"/>
          <w:strike w:val="0"/>
          <w:sz w:val="24"/>
          <w:lang w:eastAsia="zh-CN"/>
        </w:rPr>
        <w:t>）将原标准的“开采和加工”内容拆分为“开采”和“</w:t>
      </w:r>
      <w:r>
        <w:rPr>
          <w:rFonts w:hint="eastAsia" w:ascii="宋体" w:hAnsi="宋体"/>
          <w:strike w:val="0"/>
          <w:sz w:val="24"/>
        </w:rPr>
        <w:t>机制砂石生产</w:t>
      </w:r>
      <w:r>
        <w:rPr>
          <w:rFonts w:hint="eastAsia" w:ascii="宋体" w:hAnsi="宋体"/>
          <w:strike w:val="0"/>
          <w:sz w:val="24"/>
          <w:lang w:eastAsia="zh-CN"/>
        </w:rPr>
        <w:t>”（见</w:t>
      </w:r>
      <w:r>
        <w:rPr>
          <w:rFonts w:hint="eastAsia" w:ascii="宋体" w:hAnsi="宋体"/>
          <w:strike w:val="0"/>
          <w:sz w:val="24"/>
          <w:lang w:val="en-US" w:eastAsia="zh-CN"/>
        </w:rPr>
        <w:t>6和7</w:t>
      </w:r>
      <w:r>
        <w:rPr>
          <w:rFonts w:hint="eastAsia" w:ascii="宋体" w:hAnsi="宋体"/>
          <w:strike w:val="0"/>
          <w:sz w:val="24"/>
          <w:lang w:eastAsia="zh-CN"/>
        </w:rPr>
        <w:t>）</w:t>
      </w:r>
    </w:p>
    <w:p w14:paraId="16F6729F">
      <w:pPr>
        <w:spacing w:line="360" w:lineRule="auto"/>
        <w:ind w:firstLine="480" w:firstLineChars="200"/>
        <w:outlineLvl w:val="2"/>
        <w:rPr>
          <w:rFonts w:hint="eastAsia" w:ascii="Times New Roman" w:hAnsi="Times New Roman" w:eastAsia="宋体" w:cs="Times New Roman"/>
          <w:strike/>
          <w:dstrike w:val="0"/>
          <w:sz w:val="24"/>
          <w:lang w:eastAsia="zh-CN"/>
        </w:rPr>
      </w:pPr>
      <w:r>
        <w:rPr>
          <w:rFonts w:hint="eastAsia" w:cs="Times New Roman"/>
          <w:strike w:val="0"/>
          <w:dstrike w:val="0"/>
          <w:sz w:val="24"/>
          <w:lang w:eastAsia="zh-CN"/>
        </w:rPr>
        <w:t>其中对</w:t>
      </w:r>
      <w:r>
        <w:rPr>
          <w:rFonts w:hint="eastAsia" w:ascii="宋体" w:hAnsi="宋体"/>
          <w:strike w:val="0"/>
          <w:sz w:val="24"/>
          <w:lang w:eastAsia="zh-CN"/>
        </w:rPr>
        <w:t>“</w:t>
      </w:r>
      <w:r>
        <w:rPr>
          <w:rFonts w:hint="eastAsia" w:ascii="宋体" w:hAnsi="宋体"/>
          <w:strike w:val="0"/>
          <w:sz w:val="24"/>
        </w:rPr>
        <w:t>机制砂石生产</w:t>
      </w:r>
      <w:r>
        <w:rPr>
          <w:rFonts w:hint="eastAsia" w:ascii="宋体" w:hAnsi="宋体"/>
          <w:strike w:val="0"/>
          <w:sz w:val="24"/>
          <w:lang w:eastAsia="zh-CN"/>
        </w:rPr>
        <w:t>”内容改动较大，删除了原标准的“机制石加工工艺流程”“机制砂干法加工工艺”“机制砂湿法加工工艺”三个工艺图。主要原因是随着机制砂石工艺技术进步，原有工艺已经落后，且固有的工艺图会影响企业对机制砂石生产工艺的选择，删除工艺图内容后，改由文字表述工艺选择应遵循的原则，更符合实际生产情况，避免误导。</w:t>
      </w:r>
    </w:p>
    <w:p w14:paraId="7BF003FC">
      <w:pPr>
        <w:spacing w:line="360" w:lineRule="auto"/>
        <w:ind w:firstLine="480" w:firstLineChars="200"/>
        <w:outlineLvl w:val="2"/>
        <w:rPr>
          <w:rFonts w:hint="eastAsia" w:ascii="Times New Roman" w:hAnsi="Times New Roman" w:eastAsia="宋体" w:cs="Times New Roman"/>
          <w:strike w:val="0"/>
          <w:dstrike w:val="0"/>
          <w:sz w:val="24"/>
          <w:lang w:eastAsia="zh-CN"/>
        </w:rPr>
      </w:pPr>
      <w:r>
        <w:rPr>
          <w:rFonts w:hint="eastAsia" w:cs="Times New Roman"/>
          <w:strike w:val="0"/>
          <w:dstrike w:val="0"/>
          <w:sz w:val="24"/>
          <w:lang w:eastAsia="zh-CN"/>
        </w:rPr>
        <w:t>对加工要点，分别表述了“碎石”和“机制砂”的加工要点，内容更清晰明确，更准确指导碎石和机制砂的生产。如“机制砂的生产工艺分为干法、湿法和干湿结合三类。在干燥地区，矿石原料中的泥土及风化物能通过筛分剔除，干法工艺制砂成品的亚甲蓝值、石粉含量能够满足技术要求时，宜采用干法生产。在多雨或水源较为充足地区，干法制砂成品的亚甲蓝值、石粉含量不能满足技术要求时，机制砂生产可采用干湿结合工艺或湿法制砂工艺。”</w:t>
      </w:r>
    </w:p>
    <w:p w14:paraId="0E47DE71">
      <w:pPr>
        <w:spacing w:line="360" w:lineRule="auto"/>
        <w:ind w:firstLine="480" w:firstLineChars="200"/>
        <w:outlineLvl w:val="2"/>
        <w:rPr>
          <w:rFonts w:hint="eastAsia" w:ascii="宋体" w:hAnsi="宋体"/>
          <w:strike w:val="0"/>
          <w:sz w:val="24"/>
          <w:lang w:eastAsia="zh-CN"/>
        </w:rPr>
      </w:pPr>
      <w:bookmarkStart w:id="11" w:name="_Toc353744873"/>
      <w:r>
        <w:rPr>
          <w:rFonts w:hint="eastAsia" w:ascii="宋体" w:hAnsi="宋体"/>
          <w:strike w:val="0"/>
          <w:sz w:val="24"/>
          <w:lang w:eastAsia="zh-CN"/>
        </w:rPr>
        <w:t>（</w:t>
      </w:r>
      <w:r>
        <w:rPr>
          <w:rFonts w:hint="eastAsia" w:ascii="宋体" w:hAnsi="宋体"/>
          <w:strike w:val="0"/>
          <w:sz w:val="24"/>
          <w:lang w:val="en-US" w:eastAsia="zh-CN"/>
        </w:rPr>
        <w:t>7</w:t>
      </w:r>
      <w:r>
        <w:rPr>
          <w:rFonts w:hint="eastAsia" w:ascii="宋体" w:hAnsi="宋体"/>
          <w:strike w:val="0"/>
          <w:sz w:val="24"/>
          <w:lang w:eastAsia="zh-CN"/>
        </w:rPr>
        <w:t>）将</w:t>
      </w:r>
      <w:bookmarkEnd w:id="11"/>
      <w:r>
        <w:rPr>
          <w:rFonts w:hint="eastAsia" w:ascii="宋体" w:hAnsi="宋体"/>
          <w:strike w:val="0"/>
          <w:sz w:val="24"/>
          <w:lang w:eastAsia="zh-CN"/>
        </w:rPr>
        <w:t>“设备选择与布置原则”内容单列，更名“设备选择”，并细化了要求（见</w:t>
      </w:r>
      <w:r>
        <w:rPr>
          <w:rFonts w:hint="eastAsia" w:ascii="宋体" w:hAnsi="宋体"/>
          <w:strike w:val="0"/>
          <w:sz w:val="24"/>
          <w:lang w:val="en-US" w:eastAsia="zh-CN"/>
        </w:rPr>
        <w:t>8</w:t>
      </w:r>
      <w:r>
        <w:rPr>
          <w:rFonts w:hint="eastAsia" w:ascii="宋体" w:hAnsi="宋体"/>
          <w:strike w:val="0"/>
          <w:sz w:val="24"/>
          <w:lang w:eastAsia="zh-CN"/>
        </w:rPr>
        <w:t>）</w:t>
      </w:r>
    </w:p>
    <w:bookmarkEnd w:id="10"/>
    <w:p w14:paraId="1835752F">
      <w:pPr>
        <w:spacing w:line="360" w:lineRule="auto"/>
        <w:ind w:firstLine="480" w:firstLineChars="200"/>
        <w:rPr>
          <w:rFonts w:hint="eastAsia" w:ascii="宋体" w:hAnsi="宋体" w:eastAsia="宋体"/>
          <w:sz w:val="24"/>
          <w:lang w:eastAsia="zh-CN"/>
        </w:rPr>
      </w:pPr>
      <w:r>
        <w:rPr>
          <w:rFonts w:hint="eastAsia" w:ascii="宋体" w:hAnsi="宋体"/>
          <w:sz w:val="24"/>
          <w:lang w:eastAsia="zh-CN"/>
        </w:rPr>
        <w:t>该部分内容是本次标准修订内容最大的环节之一。将原标准的内容增加、拓展，对机制砂石生产用的给料设备、破碎设备、筛分设备、整形设备、除尘设备、输送设备和洗砂细砂回收设备等分别进行要求，还补充分了“工艺布置”和“辅助生产设施”内容。</w:t>
      </w:r>
    </w:p>
    <w:p w14:paraId="4F62B8C7">
      <w:pPr>
        <w:spacing w:line="360" w:lineRule="auto"/>
        <w:ind w:firstLine="480" w:firstLineChars="200"/>
        <w:rPr>
          <w:rFonts w:hint="eastAsia" w:ascii="宋体" w:hAnsi="宋体"/>
          <w:sz w:val="24"/>
        </w:rPr>
      </w:pPr>
      <w:r>
        <w:rPr>
          <w:rFonts w:hint="eastAsia" w:ascii="宋体" w:hAnsi="宋体"/>
          <w:sz w:val="24"/>
          <w:lang w:eastAsia="zh-CN"/>
        </w:rPr>
        <w:t>对于</w:t>
      </w:r>
      <w:r>
        <w:rPr>
          <w:rFonts w:hint="eastAsia" w:ascii="宋体" w:hAnsi="宋体"/>
          <w:sz w:val="24"/>
        </w:rPr>
        <w:t>设备选择和规格确定，</w:t>
      </w:r>
      <w:r>
        <w:rPr>
          <w:rFonts w:hint="eastAsia" w:ascii="宋体" w:hAnsi="宋体"/>
          <w:sz w:val="24"/>
          <w:lang w:eastAsia="zh-CN"/>
        </w:rPr>
        <w:t>标准规定“</w:t>
      </w:r>
      <w:r>
        <w:rPr>
          <w:rFonts w:hint="eastAsia" w:ascii="宋体" w:hAnsi="宋体"/>
          <w:sz w:val="24"/>
        </w:rPr>
        <w:t>应考虑原料的物理性质、产品规格、设计产能、维护和使用成本等因素综合确定，并应遵循成熟先进、节能环保、智能化、备品配件来源可靠的原则，不得选用淘汰产品，应依据母岩工艺性质试验数据合理选择设备。</w:t>
      </w:r>
      <w:r>
        <w:rPr>
          <w:rFonts w:hint="eastAsia" w:ascii="宋体" w:hAnsi="宋体"/>
          <w:sz w:val="24"/>
          <w:lang w:eastAsia="zh-CN"/>
        </w:rPr>
        <w:t>”并结合行业近年来的科技创新成果，提出了</w:t>
      </w:r>
      <w:r>
        <w:rPr>
          <w:rFonts w:hint="eastAsia" w:ascii="宋体" w:hAnsi="宋体"/>
          <w:sz w:val="24"/>
        </w:rPr>
        <w:t>母岩的磨蚀指数与破碎功指数试验方法，</w:t>
      </w:r>
      <w:r>
        <w:rPr>
          <w:rFonts w:hint="eastAsia" w:ascii="宋体" w:hAnsi="宋体"/>
          <w:sz w:val="24"/>
          <w:lang w:eastAsia="zh-CN"/>
        </w:rPr>
        <w:t>相关试验方法在</w:t>
      </w:r>
      <w:r>
        <w:rPr>
          <w:rFonts w:hint="eastAsia" w:ascii="宋体" w:hAnsi="宋体"/>
          <w:sz w:val="24"/>
        </w:rPr>
        <w:t>附录A</w:t>
      </w:r>
      <w:r>
        <w:rPr>
          <w:rFonts w:hint="eastAsia" w:ascii="宋体" w:hAnsi="宋体"/>
          <w:sz w:val="24"/>
          <w:lang w:eastAsia="zh-CN"/>
        </w:rPr>
        <w:t>中单独列出</w:t>
      </w:r>
      <w:r>
        <w:rPr>
          <w:rFonts w:hint="eastAsia" w:ascii="宋体" w:hAnsi="宋体"/>
          <w:sz w:val="24"/>
        </w:rPr>
        <w:t>。</w:t>
      </w:r>
    </w:p>
    <w:p w14:paraId="6AF2897C">
      <w:pPr>
        <w:spacing w:line="360" w:lineRule="auto"/>
        <w:ind w:firstLine="480" w:firstLineChars="200"/>
        <w:rPr>
          <w:rFonts w:hint="eastAsia" w:ascii="宋体" w:hAnsi="宋体" w:eastAsia="宋体"/>
          <w:sz w:val="24"/>
          <w:lang w:eastAsia="zh-CN"/>
        </w:rPr>
      </w:pPr>
      <w:r>
        <w:rPr>
          <w:rFonts w:hint="eastAsia" w:ascii="宋体" w:hAnsi="宋体"/>
          <w:sz w:val="24"/>
        </w:rPr>
        <w:t>磨蚀指数Ai</w:t>
      </w:r>
      <w:r>
        <w:rPr>
          <w:rFonts w:hint="eastAsia" w:ascii="宋体" w:hAnsi="宋体"/>
          <w:sz w:val="24"/>
          <w:lang w:eastAsia="zh-CN"/>
        </w:rPr>
        <w:t>作为</w:t>
      </w:r>
      <w:r>
        <w:rPr>
          <w:rFonts w:hint="eastAsia" w:ascii="宋体" w:hAnsi="宋体"/>
          <w:sz w:val="24"/>
        </w:rPr>
        <w:t>判断碎石原岩磨蚀性</w:t>
      </w:r>
      <w:r>
        <w:rPr>
          <w:rFonts w:hint="eastAsia" w:ascii="宋体" w:hAnsi="宋体"/>
          <w:sz w:val="24"/>
          <w:lang w:eastAsia="zh-CN"/>
        </w:rPr>
        <w:t>的依据。</w:t>
      </w:r>
    </w:p>
    <w:p w14:paraId="73AA0C4E">
      <w:pPr>
        <w:pStyle w:val="11"/>
        <w:jc w:val="center"/>
        <w:rPr>
          <w:rFonts w:hint="default"/>
          <w:highlight w:val="none"/>
        </w:rPr>
      </w:pPr>
      <w:r>
        <w:rPr>
          <w:highlight w:val="none"/>
        </w:rPr>
        <w:t>表1</w:t>
      </w:r>
      <w:r>
        <w:rPr>
          <w:rFonts w:hint="eastAsia"/>
          <w:highlight w:val="none"/>
          <w:lang w:val="en-US" w:eastAsia="zh-CN"/>
        </w:rPr>
        <w:t xml:space="preserve"> </w:t>
      </w:r>
      <w:r>
        <w:rPr>
          <w:highlight w:val="none"/>
        </w:rPr>
        <w:t>Ai磨蚀性指数表</w:t>
      </w: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0" w:type="dxa"/>
          <w:bottom w:w="0" w:type="dxa"/>
          <w:right w:w="0" w:type="dxa"/>
        </w:tblCellMar>
      </w:tblPr>
      <w:tblGrid>
        <w:gridCol w:w="4293"/>
        <w:gridCol w:w="4229"/>
      </w:tblGrid>
      <w:tr w14:paraId="6CE8764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527" w:hRule="atLeast"/>
        </w:trPr>
        <w:tc>
          <w:tcPr>
            <w:tcW w:w="4694" w:type="dxa"/>
            <w:tcBorders>
              <w:top w:val="single" w:color="auto" w:sz="12" w:space="0"/>
              <w:left w:val="single" w:color="auto" w:sz="12" w:space="0"/>
              <w:bottom w:val="single" w:color="auto" w:sz="12" w:space="0"/>
              <w:right w:val="single" w:color="auto" w:sz="12" w:space="0"/>
            </w:tcBorders>
            <w:shd w:val="clear" w:color="auto" w:fill="FFFFFF"/>
            <w:tcMar>
              <w:left w:w="108" w:type="dxa"/>
              <w:right w:w="108" w:type="dxa"/>
            </w:tcMar>
            <w:vAlign w:val="center"/>
          </w:tcPr>
          <w:p w14:paraId="5DA6FCA7">
            <w:pPr>
              <w:pStyle w:val="11"/>
              <w:jc w:val="center"/>
              <w:rPr>
                <w:rFonts w:hint="default"/>
                <w:color w:val="000000"/>
                <w:highlight w:val="none"/>
              </w:rPr>
            </w:pPr>
            <w:r>
              <w:rPr>
                <w:color w:val="000000"/>
                <w:highlight w:val="none"/>
              </w:rPr>
              <w:t>磨蚀性指数（Ai）</w:t>
            </w:r>
          </w:p>
        </w:tc>
        <w:tc>
          <w:tcPr>
            <w:tcW w:w="4694" w:type="dxa"/>
            <w:tcBorders>
              <w:top w:val="single" w:color="auto" w:sz="12" w:space="0"/>
              <w:left w:val="single" w:color="auto" w:sz="12" w:space="0"/>
              <w:bottom w:val="single" w:color="auto" w:sz="12" w:space="0"/>
              <w:right w:val="single" w:color="auto" w:sz="12" w:space="0"/>
            </w:tcBorders>
            <w:shd w:val="clear" w:color="auto" w:fill="FFFFFF"/>
            <w:tcMar>
              <w:left w:w="108" w:type="dxa"/>
              <w:right w:w="108" w:type="dxa"/>
            </w:tcMar>
            <w:vAlign w:val="center"/>
          </w:tcPr>
          <w:p w14:paraId="6A37774B">
            <w:pPr>
              <w:pStyle w:val="11"/>
              <w:jc w:val="center"/>
              <w:rPr>
                <w:rFonts w:hint="default"/>
                <w:color w:val="000000"/>
                <w:highlight w:val="none"/>
              </w:rPr>
            </w:pPr>
            <w:r>
              <w:rPr>
                <w:color w:val="000000"/>
                <w:highlight w:val="none"/>
              </w:rPr>
              <w:t>磨蚀性</w:t>
            </w:r>
          </w:p>
        </w:tc>
      </w:tr>
      <w:tr w14:paraId="5FF837D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527" w:hRule="atLeast"/>
        </w:trPr>
        <w:tc>
          <w:tcPr>
            <w:tcW w:w="4694" w:type="dxa"/>
            <w:tcBorders>
              <w:top w:val="single" w:color="auto" w:sz="12" w:space="0"/>
              <w:left w:val="single" w:color="auto" w:sz="12" w:space="0"/>
              <w:bottom w:val="single" w:color="auto" w:sz="12" w:space="0"/>
              <w:right w:val="single" w:color="auto" w:sz="12" w:space="0"/>
            </w:tcBorders>
            <w:shd w:val="clear" w:color="auto" w:fill="FFFFFF"/>
            <w:tcMar>
              <w:left w:w="108" w:type="dxa"/>
              <w:right w:w="108" w:type="dxa"/>
            </w:tcMar>
            <w:vAlign w:val="center"/>
          </w:tcPr>
          <w:p w14:paraId="2D0E4933">
            <w:pPr>
              <w:pStyle w:val="11"/>
              <w:jc w:val="center"/>
              <w:rPr>
                <w:rFonts w:hint="default"/>
                <w:color w:val="000000"/>
                <w:highlight w:val="none"/>
              </w:rPr>
            </w:pPr>
            <w:r>
              <w:rPr>
                <w:color w:val="000000"/>
                <w:highlight w:val="none"/>
              </w:rPr>
              <w:t>0~0.1</w:t>
            </w:r>
          </w:p>
        </w:tc>
        <w:tc>
          <w:tcPr>
            <w:tcW w:w="4694" w:type="dxa"/>
            <w:tcBorders>
              <w:top w:val="single" w:color="auto" w:sz="12" w:space="0"/>
              <w:left w:val="single" w:color="auto" w:sz="12" w:space="0"/>
              <w:bottom w:val="single" w:color="auto" w:sz="12" w:space="0"/>
              <w:right w:val="single" w:color="auto" w:sz="12" w:space="0"/>
            </w:tcBorders>
            <w:shd w:val="clear" w:color="auto" w:fill="FFFFFF"/>
            <w:tcMar>
              <w:left w:w="108" w:type="dxa"/>
              <w:right w:w="108" w:type="dxa"/>
            </w:tcMar>
            <w:vAlign w:val="center"/>
          </w:tcPr>
          <w:p w14:paraId="181B076A">
            <w:pPr>
              <w:pStyle w:val="11"/>
              <w:jc w:val="center"/>
              <w:rPr>
                <w:rFonts w:hint="default"/>
                <w:color w:val="000000"/>
                <w:highlight w:val="none"/>
              </w:rPr>
            </w:pPr>
            <w:r>
              <w:rPr>
                <w:color w:val="000000"/>
                <w:highlight w:val="none"/>
              </w:rPr>
              <w:t>弱磨蚀性</w:t>
            </w:r>
          </w:p>
        </w:tc>
      </w:tr>
      <w:tr w14:paraId="7D6A4E5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527" w:hRule="atLeast"/>
        </w:trPr>
        <w:tc>
          <w:tcPr>
            <w:tcW w:w="4694" w:type="dxa"/>
            <w:tcBorders>
              <w:top w:val="single" w:color="auto" w:sz="12" w:space="0"/>
              <w:left w:val="single" w:color="auto" w:sz="12" w:space="0"/>
              <w:bottom w:val="single" w:color="auto" w:sz="12" w:space="0"/>
              <w:right w:val="single" w:color="auto" w:sz="12" w:space="0"/>
            </w:tcBorders>
            <w:shd w:val="clear" w:color="auto" w:fill="FFFFFF"/>
            <w:tcMar>
              <w:left w:w="108" w:type="dxa"/>
              <w:right w:w="108" w:type="dxa"/>
            </w:tcMar>
            <w:vAlign w:val="center"/>
          </w:tcPr>
          <w:p w14:paraId="5082EDC6">
            <w:pPr>
              <w:pStyle w:val="11"/>
              <w:jc w:val="center"/>
              <w:rPr>
                <w:rFonts w:hint="default"/>
                <w:color w:val="000000"/>
                <w:highlight w:val="none"/>
              </w:rPr>
            </w:pPr>
            <w:r>
              <w:rPr>
                <w:color w:val="000000"/>
                <w:highlight w:val="none"/>
              </w:rPr>
              <w:t>0.1~0.4</w:t>
            </w:r>
          </w:p>
        </w:tc>
        <w:tc>
          <w:tcPr>
            <w:tcW w:w="4694" w:type="dxa"/>
            <w:tcBorders>
              <w:top w:val="single" w:color="auto" w:sz="12" w:space="0"/>
              <w:left w:val="single" w:color="auto" w:sz="12" w:space="0"/>
              <w:bottom w:val="single" w:color="auto" w:sz="12" w:space="0"/>
              <w:right w:val="single" w:color="auto" w:sz="12" w:space="0"/>
            </w:tcBorders>
            <w:shd w:val="clear" w:color="auto" w:fill="FFFFFF"/>
            <w:tcMar>
              <w:left w:w="108" w:type="dxa"/>
              <w:right w:w="108" w:type="dxa"/>
            </w:tcMar>
            <w:vAlign w:val="center"/>
          </w:tcPr>
          <w:p w14:paraId="49E8A763">
            <w:pPr>
              <w:pStyle w:val="11"/>
              <w:jc w:val="center"/>
              <w:rPr>
                <w:rFonts w:hint="default"/>
                <w:color w:val="000000"/>
                <w:highlight w:val="none"/>
              </w:rPr>
            </w:pPr>
            <w:r>
              <w:rPr>
                <w:color w:val="000000"/>
                <w:highlight w:val="none"/>
              </w:rPr>
              <w:t>较弱磨蚀性</w:t>
            </w:r>
          </w:p>
        </w:tc>
      </w:tr>
      <w:tr w14:paraId="3C7FF00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527" w:hRule="atLeast"/>
        </w:trPr>
        <w:tc>
          <w:tcPr>
            <w:tcW w:w="4694" w:type="dxa"/>
            <w:tcBorders>
              <w:top w:val="single" w:color="auto" w:sz="12" w:space="0"/>
              <w:left w:val="single" w:color="auto" w:sz="12" w:space="0"/>
              <w:bottom w:val="single" w:color="auto" w:sz="12" w:space="0"/>
              <w:right w:val="single" w:color="auto" w:sz="12" w:space="0"/>
            </w:tcBorders>
            <w:shd w:val="clear" w:color="auto" w:fill="FFFFFF"/>
            <w:tcMar>
              <w:left w:w="108" w:type="dxa"/>
              <w:right w:w="108" w:type="dxa"/>
            </w:tcMar>
            <w:vAlign w:val="center"/>
          </w:tcPr>
          <w:p w14:paraId="724D37F9">
            <w:pPr>
              <w:pStyle w:val="11"/>
              <w:jc w:val="center"/>
              <w:rPr>
                <w:rFonts w:hint="default"/>
                <w:color w:val="000000"/>
                <w:highlight w:val="none"/>
              </w:rPr>
            </w:pPr>
            <w:r>
              <w:rPr>
                <w:color w:val="000000"/>
                <w:highlight w:val="none"/>
              </w:rPr>
              <w:t>0.4~0.6</w:t>
            </w:r>
          </w:p>
        </w:tc>
        <w:tc>
          <w:tcPr>
            <w:tcW w:w="4694" w:type="dxa"/>
            <w:tcBorders>
              <w:top w:val="single" w:color="auto" w:sz="12" w:space="0"/>
              <w:left w:val="single" w:color="auto" w:sz="12" w:space="0"/>
              <w:bottom w:val="single" w:color="auto" w:sz="12" w:space="0"/>
              <w:right w:val="single" w:color="auto" w:sz="12" w:space="0"/>
            </w:tcBorders>
            <w:shd w:val="clear" w:color="auto" w:fill="FFFFFF"/>
            <w:tcMar>
              <w:left w:w="108" w:type="dxa"/>
              <w:right w:w="108" w:type="dxa"/>
            </w:tcMar>
            <w:vAlign w:val="center"/>
          </w:tcPr>
          <w:p w14:paraId="176944C5">
            <w:pPr>
              <w:pStyle w:val="11"/>
              <w:jc w:val="center"/>
              <w:rPr>
                <w:rFonts w:hint="default"/>
                <w:color w:val="000000"/>
                <w:highlight w:val="none"/>
              </w:rPr>
            </w:pPr>
            <w:r>
              <w:rPr>
                <w:color w:val="000000"/>
                <w:highlight w:val="none"/>
              </w:rPr>
              <w:t>中等磨蚀性</w:t>
            </w:r>
          </w:p>
        </w:tc>
      </w:tr>
      <w:tr w14:paraId="5DDAFCE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527" w:hRule="atLeast"/>
        </w:trPr>
        <w:tc>
          <w:tcPr>
            <w:tcW w:w="4694" w:type="dxa"/>
            <w:tcBorders>
              <w:top w:val="single" w:color="auto" w:sz="12" w:space="0"/>
              <w:left w:val="single" w:color="auto" w:sz="12" w:space="0"/>
              <w:bottom w:val="single" w:color="auto" w:sz="12" w:space="0"/>
              <w:right w:val="single" w:color="auto" w:sz="12" w:space="0"/>
            </w:tcBorders>
            <w:shd w:val="clear" w:color="auto" w:fill="FFFFFF"/>
            <w:tcMar>
              <w:left w:w="108" w:type="dxa"/>
              <w:right w:w="108" w:type="dxa"/>
            </w:tcMar>
            <w:vAlign w:val="center"/>
          </w:tcPr>
          <w:p w14:paraId="13288B7F">
            <w:pPr>
              <w:pStyle w:val="11"/>
              <w:jc w:val="center"/>
              <w:rPr>
                <w:rFonts w:hint="default"/>
                <w:color w:val="000000"/>
                <w:highlight w:val="none"/>
              </w:rPr>
            </w:pPr>
            <w:r>
              <w:rPr>
                <w:color w:val="000000"/>
                <w:highlight w:val="none"/>
              </w:rPr>
              <w:t>0.6~0.8</w:t>
            </w:r>
          </w:p>
        </w:tc>
        <w:tc>
          <w:tcPr>
            <w:tcW w:w="4694" w:type="dxa"/>
            <w:tcBorders>
              <w:top w:val="single" w:color="auto" w:sz="12" w:space="0"/>
              <w:left w:val="single" w:color="auto" w:sz="12" w:space="0"/>
              <w:bottom w:val="single" w:color="auto" w:sz="12" w:space="0"/>
              <w:right w:val="single" w:color="auto" w:sz="12" w:space="0"/>
            </w:tcBorders>
            <w:shd w:val="clear" w:color="auto" w:fill="FFFFFF"/>
            <w:tcMar>
              <w:left w:w="108" w:type="dxa"/>
              <w:right w:w="108" w:type="dxa"/>
            </w:tcMar>
            <w:vAlign w:val="center"/>
          </w:tcPr>
          <w:p w14:paraId="157C5524">
            <w:pPr>
              <w:pStyle w:val="11"/>
              <w:jc w:val="center"/>
              <w:rPr>
                <w:rFonts w:hint="default"/>
                <w:color w:val="000000"/>
                <w:highlight w:val="none"/>
              </w:rPr>
            </w:pPr>
            <w:r>
              <w:rPr>
                <w:color w:val="000000"/>
                <w:highlight w:val="none"/>
              </w:rPr>
              <w:t>较强磨蚀性</w:t>
            </w:r>
          </w:p>
        </w:tc>
      </w:tr>
      <w:tr w14:paraId="2ADF248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527" w:hRule="atLeast"/>
        </w:trPr>
        <w:tc>
          <w:tcPr>
            <w:tcW w:w="4694" w:type="dxa"/>
            <w:tcBorders>
              <w:top w:val="single" w:color="auto" w:sz="12" w:space="0"/>
              <w:left w:val="single" w:color="auto" w:sz="12" w:space="0"/>
              <w:bottom w:val="single" w:color="auto" w:sz="12" w:space="0"/>
              <w:right w:val="single" w:color="auto" w:sz="12" w:space="0"/>
            </w:tcBorders>
            <w:shd w:val="clear" w:color="auto" w:fill="FFFFFF"/>
            <w:tcMar>
              <w:left w:w="108" w:type="dxa"/>
              <w:right w:w="108" w:type="dxa"/>
            </w:tcMar>
            <w:vAlign w:val="center"/>
          </w:tcPr>
          <w:p w14:paraId="3525E870">
            <w:pPr>
              <w:pStyle w:val="11"/>
              <w:jc w:val="center"/>
              <w:rPr>
                <w:rFonts w:hint="default"/>
                <w:color w:val="000000"/>
                <w:highlight w:val="none"/>
              </w:rPr>
            </w:pPr>
            <w:r>
              <w:rPr>
                <w:color w:val="000000"/>
                <w:highlight w:val="none"/>
              </w:rPr>
              <w:t>＞0.8</w:t>
            </w:r>
          </w:p>
        </w:tc>
        <w:tc>
          <w:tcPr>
            <w:tcW w:w="4694" w:type="dxa"/>
            <w:tcBorders>
              <w:top w:val="single" w:color="auto" w:sz="12" w:space="0"/>
              <w:left w:val="single" w:color="auto" w:sz="12" w:space="0"/>
              <w:bottom w:val="single" w:color="auto" w:sz="12" w:space="0"/>
              <w:right w:val="single" w:color="auto" w:sz="12" w:space="0"/>
            </w:tcBorders>
            <w:shd w:val="clear" w:color="auto" w:fill="FFFFFF"/>
            <w:tcMar>
              <w:left w:w="108" w:type="dxa"/>
              <w:right w:w="108" w:type="dxa"/>
            </w:tcMar>
            <w:vAlign w:val="center"/>
          </w:tcPr>
          <w:p w14:paraId="0A52F073">
            <w:pPr>
              <w:pStyle w:val="11"/>
              <w:jc w:val="center"/>
              <w:rPr>
                <w:rFonts w:hint="default"/>
                <w:color w:val="000000"/>
                <w:highlight w:val="none"/>
              </w:rPr>
            </w:pPr>
            <w:r>
              <w:rPr>
                <w:color w:val="000000"/>
                <w:highlight w:val="none"/>
              </w:rPr>
              <w:t>强磨蚀性</w:t>
            </w:r>
          </w:p>
        </w:tc>
      </w:tr>
    </w:tbl>
    <w:p w14:paraId="2FE56F34">
      <w:pPr>
        <w:spacing w:line="360" w:lineRule="auto"/>
        <w:rPr>
          <w:rFonts w:hint="eastAsia" w:ascii="宋体" w:hAnsi="宋体"/>
          <w:sz w:val="24"/>
        </w:rPr>
      </w:pPr>
    </w:p>
    <w:p w14:paraId="58F24480">
      <w:pPr>
        <w:spacing w:line="360" w:lineRule="auto"/>
        <w:ind w:firstLine="480" w:firstLineChars="200"/>
        <w:rPr>
          <w:rFonts w:hint="eastAsia" w:ascii="宋体" w:hAnsi="宋体" w:eastAsia="宋体"/>
          <w:sz w:val="24"/>
          <w:lang w:eastAsia="zh-CN"/>
        </w:rPr>
      </w:pPr>
      <w:r>
        <w:rPr>
          <w:rFonts w:hint="eastAsia" w:ascii="宋体" w:hAnsi="宋体"/>
          <w:sz w:val="24"/>
        </w:rPr>
        <w:t>破碎功指数Wi</w:t>
      </w:r>
      <w:r>
        <w:rPr>
          <w:rFonts w:hint="eastAsia" w:ascii="宋体" w:hAnsi="宋体"/>
          <w:sz w:val="24"/>
          <w:lang w:eastAsia="zh-CN"/>
        </w:rPr>
        <w:t>作为</w:t>
      </w:r>
      <w:r>
        <w:rPr>
          <w:rFonts w:hint="eastAsia" w:ascii="宋体" w:hAnsi="宋体"/>
          <w:sz w:val="24"/>
        </w:rPr>
        <w:t>判断碎石母岩可破碎性</w:t>
      </w:r>
      <w:r>
        <w:rPr>
          <w:rFonts w:hint="eastAsia" w:ascii="宋体" w:hAnsi="宋体"/>
          <w:sz w:val="24"/>
          <w:lang w:eastAsia="zh-CN"/>
        </w:rPr>
        <w:t>的依据。</w:t>
      </w:r>
    </w:p>
    <w:p w14:paraId="662393CD">
      <w:pPr>
        <w:pStyle w:val="11"/>
        <w:jc w:val="center"/>
        <w:rPr>
          <w:rFonts w:hint="default"/>
          <w:highlight w:val="none"/>
        </w:rPr>
      </w:pPr>
      <w:r>
        <w:rPr>
          <w:highlight w:val="none"/>
        </w:rPr>
        <w:t>表2</w:t>
      </w:r>
      <w:r>
        <w:rPr>
          <w:rFonts w:hint="eastAsia"/>
          <w:highlight w:val="none"/>
          <w:lang w:val="en-US" w:eastAsia="zh-CN"/>
        </w:rPr>
        <w:t xml:space="preserve"> </w:t>
      </w:r>
      <w:r>
        <w:rPr>
          <w:highlight w:val="none"/>
        </w:rPr>
        <w:t>Wi破碎功指数表</w:t>
      </w:r>
    </w:p>
    <w:tbl>
      <w:tblPr>
        <w:tblStyle w:val="8"/>
        <w:tblW w:w="4998" w:type="pct"/>
        <w:tblInd w:w="0" w:type="dxa"/>
        <w:tblLayout w:type="autofit"/>
        <w:tblCellMar>
          <w:top w:w="0" w:type="dxa"/>
          <w:left w:w="108" w:type="dxa"/>
          <w:bottom w:w="0" w:type="dxa"/>
          <w:right w:w="108" w:type="dxa"/>
        </w:tblCellMar>
      </w:tblPr>
      <w:tblGrid>
        <w:gridCol w:w="4259"/>
        <w:gridCol w:w="4260"/>
      </w:tblGrid>
      <w:tr w14:paraId="5FE348DB">
        <w:tblPrEx>
          <w:tblCellMar>
            <w:top w:w="0" w:type="dxa"/>
            <w:left w:w="108" w:type="dxa"/>
            <w:bottom w:w="0" w:type="dxa"/>
            <w:right w:w="108" w:type="dxa"/>
          </w:tblCellMar>
        </w:tblPrEx>
        <w:trPr>
          <w:trHeight w:val="403" w:hRule="atLeast"/>
        </w:trPr>
        <w:tc>
          <w:tcPr>
            <w:tcW w:w="2500" w:type="pct"/>
            <w:tcBorders>
              <w:top w:val="single" w:color="auto" w:sz="12" w:space="0"/>
              <w:left w:val="single" w:color="auto" w:sz="12" w:space="0"/>
              <w:bottom w:val="single" w:color="auto" w:sz="12" w:space="0"/>
              <w:right w:val="single" w:color="auto" w:sz="12" w:space="0"/>
            </w:tcBorders>
            <w:shd w:val="clear" w:color="auto" w:fill="auto"/>
            <w:vAlign w:val="center"/>
          </w:tcPr>
          <w:p w14:paraId="7DEA1E3F">
            <w:pPr>
              <w:pStyle w:val="11"/>
              <w:jc w:val="center"/>
              <w:rPr>
                <w:rFonts w:hint="default"/>
                <w:color w:val="000000"/>
                <w:highlight w:val="none"/>
              </w:rPr>
            </w:pPr>
            <w:r>
              <w:rPr>
                <w:color w:val="000000"/>
                <w:highlight w:val="none"/>
              </w:rPr>
              <w:t>可碎性</w:t>
            </w:r>
          </w:p>
        </w:tc>
        <w:tc>
          <w:tcPr>
            <w:tcW w:w="2500" w:type="pct"/>
            <w:tcBorders>
              <w:top w:val="single" w:color="auto" w:sz="12" w:space="0"/>
              <w:left w:val="single" w:color="auto" w:sz="12" w:space="0"/>
              <w:bottom w:val="single" w:color="auto" w:sz="12" w:space="0"/>
              <w:right w:val="single" w:color="auto" w:sz="12" w:space="0"/>
            </w:tcBorders>
            <w:shd w:val="clear" w:color="auto" w:fill="auto"/>
            <w:vAlign w:val="center"/>
          </w:tcPr>
          <w:p w14:paraId="199763FB">
            <w:pPr>
              <w:pStyle w:val="11"/>
              <w:jc w:val="center"/>
              <w:rPr>
                <w:rFonts w:hint="default"/>
                <w:color w:val="000000"/>
                <w:highlight w:val="none"/>
              </w:rPr>
            </w:pPr>
            <w:r>
              <w:rPr>
                <w:color w:val="000000"/>
                <w:highlight w:val="none"/>
              </w:rPr>
              <w:t>Wi</w:t>
            </w:r>
          </w:p>
        </w:tc>
      </w:tr>
      <w:tr w14:paraId="76A9AD24">
        <w:tblPrEx>
          <w:tblCellMar>
            <w:top w:w="0" w:type="dxa"/>
            <w:left w:w="108" w:type="dxa"/>
            <w:bottom w:w="0" w:type="dxa"/>
            <w:right w:w="108" w:type="dxa"/>
          </w:tblCellMar>
        </w:tblPrEx>
        <w:trPr>
          <w:trHeight w:val="403" w:hRule="atLeast"/>
        </w:trPr>
        <w:tc>
          <w:tcPr>
            <w:tcW w:w="2500" w:type="pct"/>
            <w:tcBorders>
              <w:top w:val="single" w:color="auto" w:sz="12" w:space="0"/>
              <w:left w:val="single" w:color="auto" w:sz="12" w:space="0"/>
              <w:bottom w:val="single" w:color="auto" w:sz="12" w:space="0"/>
              <w:right w:val="single" w:color="auto" w:sz="12" w:space="0"/>
            </w:tcBorders>
            <w:shd w:val="clear" w:color="auto" w:fill="auto"/>
            <w:vAlign w:val="center"/>
          </w:tcPr>
          <w:p w14:paraId="2D6EEE00">
            <w:pPr>
              <w:pStyle w:val="11"/>
              <w:jc w:val="center"/>
              <w:rPr>
                <w:rFonts w:hint="default"/>
                <w:color w:val="000000"/>
                <w:highlight w:val="none"/>
              </w:rPr>
            </w:pPr>
            <w:r>
              <w:rPr>
                <w:color w:val="000000"/>
                <w:highlight w:val="none"/>
              </w:rPr>
              <w:t>易碎性石料</w:t>
            </w:r>
          </w:p>
        </w:tc>
        <w:tc>
          <w:tcPr>
            <w:tcW w:w="2500" w:type="pct"/>
            <w:tcBorders>
              <w:top w:val="single" w:color="auto" w:sz="12" w:space="0"/>
              <w:left w:val="single" w:color="auto" w:sz="12" w:space="0"/>
              <w:bottom w:val="single" w:color="auto" w:sz="12" w:space="0"/>
              <w:right w:val="single" w:color="auto" w:sz="12" w:space="0"/>
            </w:tcBorders>
            <w:shd w:val="clear" w:color="auto" w:fill="auto"/>
            <w:vAlign w:val="center"/>
          </w:tcPr>
          <w:p w14:paraId="13AD33D2">
            <w:pPr>
              <w:pStyle w:val="11"/>
              <w:jc w:val="center"/>
              <w:rPr>
                <w:rFonts w:hint="default"/>
                <w:color w:val="000000"/>
                <w:highlight w:val="none"/>
              </w:rPr>
            </w:pPr>
            <w:r>
              <w:rPr>
                <w:color w:val="000000"/>
                <w:highlight w:val="none"/>
              </w:rPr>
              <w:t>0-10</w:t>
            </w:r>
          </w:p>
        </w:tc>
      </w:tr>
      <w:tr w14:paraId="4B5A3A17">
        <w:tblPrEx>
          <w:tblCellMar>
            <w:top w:w="0" w:type="dxa"/>
            <w:left w:w="108" w:type="dxa"/>
            <w:bottom w:w="0" w:type="dxa"/>
            <w:right w:w="108" w:type="dxa"/>
          </w:tblCellMar>
        </w:tblPrEx>
        <w:trPr>
          <w:trHeight w:val="403" w:hRule="atLeast"/>
        </w:trPr>
        <w:tc>
          <w:tcPr>
            <w:tcW w:w="2500" w:type="pct"/>
            <w:tcBorders>
              <w:top w:val="single" w:color="auto" w:sz="12" w:space="0"/>
              <w:left w:val="single" w:color="auto" w:sz="12" w:space="0"/>
              <w:bottom w:val="single" w:color="auto" w:sz="12" w:space="0"/>
              <w:right w:val="single" w:color="auto" w:sz="12" w:space="0"/>
            </w:tcBorders>
            <w:shd w:val="clear" w:color="auto" w:fill="auto"/>
            <w:vAlign w:val="center"/>
          </w:tcPr>
          <w:p w14:paraId="66644493">
            <w:pPr>
              <w:pStyle w:val="11"/>
              <w:jc w:val="center"/>
              <w:rPr>
                <w:rFonts w:hint="default"/>
                <w:color w:val="000000"/>
                <w:highlight w:val="none"/>
              </w:rPr>
            </w:pPr>
            <w:r>
              <w:rPr>
                <w:color w:val="000000"/>
                <w:highlight w:val="none"/>
              </w:rPr>
              <w:t>较易碎性石料</w:t>
            </w:r>
          </w:p>
        </w:tc>
        <w:tc>
          <w:tcPr>
            <w:tcW w:w="2500" w:type="pct"/>
            <w:tcBorders>
              <w:top w:val="single" w:color="auto" w:sz="12" w:space="0"/>
              <w:left w:val="single" w:color="auto" w:sz="12" w:space="0"/>
              <w:bottom w:val="single" w:color="auto" w:sz="12" w:space="0"/>
              <w:right w:val="single" w:color="auto" w:sz="12" w:space="0"/>
            </w:tcBorders>
            <w:shd w:val="clear" w:color="auto" w:fill="auto"/>
            <w:vAlign w:val="center"/>
          </w:tcPr>
          <w:p w14:paraId="2FA7970A">
            <w:pPr>
              <w:pStyle w:val="11"/>
              <w:jc w:val="center"/>
              <w:rPr>
                <w:rFonts w:hint="default"/>
                <w:color w:val="000000"/>
                <w:highlight w:val="none"/>
              </w:rPr>
            </w:pPr>
            <w:r>
              <w:rPr>
                <w:color w:val="000000"/>
                <w:highlight w:val="none"/>
              </w:rPr>
              <w:t>10-14</w:t>
            </w:r>
          </w:p>
        </w:tc>
      </w:tr>
      <w:tr w14:paraId="2B05492C">
        <w:tblPrEx>
          <w:tblCellMar>
            <w:top w:w="0" w:type="dxa"/>
            <w:left w:w="108" w:type="dxa"/>
            <w:bottom w:w="0" w:type="dxa"/>
            <w:right w:w="108" w:type="dxa"/>
          </w:tblCellMar>
        </w:tblPrEx>
        <w:trPr>
          <w:trHeight w:val="403" w:hRule="atLeast"/>
        </w:trPr>
        <w:tc>
          <w:tcPr>
            <w:tcW w:w="2500" w:type="pct"/>
            <w:tcBorders>
              <w:top w:val="single" w:color="auto" w:sz="12" w:space="0"/>
              <w:left w:val="single" w:color="auto" w:sz="12" w:space="0"/>
              <w:bottom w:val="single" w:color="auto" w:sz="12" w:space="0"/>
              <w:right w:val="single" w:color="auto" w:sz="12" w:space="0"/>
            </w:tcBorders>
            <w:shd w:val="clear" w:color="auto" w:fill="auto"/>
            <w:vAlign w:val="center"/>
          </w:tcPr>
          <w:p w14:paraId="5F736DEE">
            <w:pPr>
              <w:pStyle w:val="11"/>
              <w:jc w:val="center"/>
              <w:rPr>
                <w:rFonts w:hint="default"/>
                <w:color w:val="000000"/>
                <w:highlight w:val="none"/>
              </w:rPr>
            </w:pPr>
            <w:r>
              <w:rPr>
                <w:color w:val="000000"/>
                <w:highlight w:val="none"/>
              </w:rPr>
              <w:t>中等可碎性石料↵</w:t>
            </w:r>
          </w:p>
        </w:tc>
        <w:tc>
          <w:tcPr>
            <w:tcW w:w="2500" w:type="pct"/>
            <w:tcBorders>
              <w:top w:val="single" w:color="auto" w:sz="12" w:space="0"/>
              <w:left w:val="single" w:color="auto" w:sz="12" w:space="0"/>
              <w:bottom w:val="single" w:color="auto" w:sz="12" w:space="0"/>
              <w:right w:val="single" w:color="auto" w:sz="12" w:space="0"/>
            </w:tcBorders>
            <w:shd w:val="clear" w:color="auto" w:fill="auto"/>
            <w:vAlign w:val="center"/>
          </w:tcPr>
          <w:p w14:paraId="6A4D1AAD">
            <w:pPr>
              <w:pStyle w:val="11"/>
              <w:jc w:val="center"/>
              <w:rPr>
                <w:rFonts w:hint="default"/>
                <w:color w:val="000000"/>
                <w:highlight w:val="none"/>
              </w:rPr>
            </w:pPr>
            <w:r>
              <w:rPr>
                <w:color w:val="000000"/>
                <w:highlight w:val="none"/>
              </w:rPr>
              <w:t>14-18</w:t>
            </w:r>
          </w:p>
        </w:tc>
      </w:tr>
      <w:tr w14:paraId="1035C3A6">
        <w:tblPrEx>
          <w:tblCellMar>
            <w:top w:w="0" w:type="dxa"/>
            <w:left w:w="108" w:type="dxa"/>
            <w:bottom w:w="0" w:type="dxa"/>
            <w:right w:w="108" w:type="dxa"/>
          </w:tblCellMar>
        </w:tblPrEx>
        <w:trPr>
          <w:trHeight w:val="403" w:hRule="atLeast"/>
        </w:trPr>
        <w:tc>
          <w:tcPr>
            <w:tcW w:w="2500" w:type="pct"/>
            <w:tcBorders>
              <w:top w:val="single" w:color="auto" w:sz="12" w:space="0"/>
              <w:left w:val="single" w:color="auto" w:sz="12" w:space="0"/>
              <w:bottom w:val="single" w:color="auto" w:sz="12" w:space="0"/>
              <w:right w:val="single" w:color="auto" w:sz="12" w:space="0"/>
            </w:tcBorders>
            <w:shd w:val="clear" w:color="auto" w:fill="auto"/>
            <w:vAlign w:val="center"/>
          </w:tcPr>
          <w:p w14:paraId="04D4ED29">
            <w:pPr>
              <w:pStyle w:val="11"/>
              <w:jc w:val="center"/>
              <w:rPr>
                <w:rFonts w:hint="default"/>
                <w:color w:val="000000"/>
                <w:highlight w:val="none"/>
              </w:rPr>
            </w:pPr>
            <w:r>
              <w:rPr>
                <w:color w:val="000000"/>
                <w:highlight w:val="none"/>
              </w:rPr>
              <w:t>较难碎性石料</w:t>
            </w:r>
          </w:p>
        </w:tc>
        <w:tc>
          <w:tcPr>
            <w:tcW w:w="2500" w:type="pct"/>
            <w:tcBorders>
              <w:top w:val="single" w:color="auto" w:sz="12" w:space="0"/>
              <w:left w:val="single" w:color="auto" w:sz="12" w:space="0"/>
              <w:bottom w:val="single" w:color="auto" w:sz="12" w:space="0"/>
              <w:right w:val="single" w:color="auto" w:sz="12" w:space="0"/>
            </w:tcBorders>
            <w:shd w:val="clear" w:color="auto" w:fill="auto"/>
            <w:vAlign w:val="center"/>
          </w:tcPr>
          <w:p w14:paraId="779AFF01">
            <w:pPr>
              <w:pStyle w:val="11"/>
              <w:jc w:val="center"/>
              <w:rPr>
                <w:rFonts w:hint="default"/>
                <w:color w:val="000000"/>
                <w:highlight w:val="none"/>
              </w:rPr>
            </w:pPr>
            <w:r>
              <w:rPr>
                <w:color w:val="000000"/>
                <w:highlight w:val="none"/>
              </w:rPr>
              <w:t>18-22</w:t>
            </w:r>
          </w:p>
        </w:tc>
      </w:tr>
      <w:tr w14:paraId="16A9B391">
        <w:tblPrEx>
          <w:tblCellMar>
            <w:top w:w="0" w:type="dxa"/>
            <w:left w:w="108" w:type="dxa"/>
            <w:bottom w:w="0" w:type="dxa"/>
            <w:right w:w="108" w:type="dxa"/>
          </w:tblCellMar>
        </w:tblPrEx>
        <w:trPr>
          <w:trHeight w:val="403" w:hRule="atLeast"/>
        </w:trPr>
        <w:tc>
          <w:tcPr>
            <w:tcW w:w="2500" w:type="pct"/>
            <w:tcBorders>
              <w:top w:val="single" w:color="auto" w:sz="12" w:space="0"/>
              <w:left w:val="single" w:color="auto" w:sz="12" w:space="0"/>
              <w:bottom w:val="single" w:color="auto" w:sz="12" w:space="0"/>
              <w:right w:val="single" w:color="auto" w:sz="12" w:space="0"/>
            </w:tcBorders>
            <w:shd w:val="clear" w:color="auto" w:fill="auto"/>
            <w:vAlign w:val="center"/>
          </w:tcPr>
          <w:p w14:paraId="799F7B90">
            <w:pPr>
              <w:pStyle w:val="11"/>
              <w:jc w:val="center"/>
              <w:rPr>
                <w:rFonts w:hint="default"/>
                <w:color w:val="000000"/>
                <w:highlight w:val="none"/>
              </w:rPr>
            </w:pPr>
            <w:r>
              <w:rPr>
                <w:color w:val="000000"/>
                <w:highlight w:val="none"/>
              </w:rPr>
              <w:t>难碎性石料</w:t>
            </w:r>
          </w:p>
        </w:tc>
        <w:tc>
          <w:tcPr>
            <w:tcW w:w="2500" w:type="pct"/>
            <w:tcBorders>
              <w:top w:val="single" w:color="auto" w:sz="12" w:space="0"/>
              <w:left w:val="single" w:color="auto" w:sz="12" w:space="0"/>
              <w:bottom w:val="single" w:color="auto" w:sz="12" w:space="0"/>
              <w:right w:val="single" w:color="auto" w:sz="12" w:space="0"/>
            </w:tcBorders>
            <w:shd w:val="clear" w:color="auto" w:fill="auto"/>
            <w:vAlign w:val="center"/>
          </w:tcPr>
          <w:p w14:paraId="76542F5B">
            <w:pPr>
              <w:pStyle w:val="11"/>
              <w:jc w:val="center"/>
              <w:rPr>
                <w:rFonts w:hint="default"/>
                <w:color w:val="000000"/>
                <w:highlight w:val="none"/>
              </w:rPr>
            </w:pPr>
            <w:r>
              <w:rPr>
                <w:color w:val="000000"/>
                <w:highlight w:val="none"/>
              </w:rPr>
              <w:t>&gt;22</w:t>
            </w:r>
          </w:p>
        </w:tc>
      </w:tr>
    </w:tbl>
    <w:p w14:paraId="199C29E7">
      <w:pPr>
        <w:spacing w:line="360" w:lineRule="auto"/>
        <w:rPr>
          <w:rFonts w:hint="eastAsia" w:ascii="宋体" w:hAnsi="宋体"/>
          <w:sz w:val="24"/>
        </w:rPr>
      </w:pPr>
    </w:p>
    <w:p w14:paraId="29297733">
      <w:pPr>
        <w:spacing w:line="360" w:lineRule="auto"/>
        <w:ind w:firstLine="480" w:firstLineChars="200"/>
        <w:rPr>
          <w:rFonts w:hint="eastAsia" w:ascii="宋体" w:hAnsi="宋体"/>
          <w:sz w:val="24"/>
          <w:lang w:eastAsia="zh-CN"/>
        </w:rPr>
      </w:pPr>
      <w:r>
        <w:rPr>
          <w:rFonts w:hint="eastAsia" w:ascii="宋体" w:hAnsi="宋体"/>
          <w:sz w:val="24"/>
          <w:lang w:eastAsia="zh-CN"/>
        </w:rPr>
        <w:t>（</w:t>
      </w:r>
      <w:r>
        <w:rPr>
          <w:rFonts w:hint="eastAsia" w:ascii="宋体" w:hAnsi="宋体"/>
          <w:sz w:val="24"/>
          <w:lang w:val="en-US" w:eastAsia="zh-CN"/>
        </w:rPr>
        <w:t>8</w:t>
      </w:r>
      <w:r>
        <w:rPr>
          <w:rFonts w:hint="eastAsia" w:ascii="宋体" w:hAnsi="宋体"/>
          <w:sz w:val="24"/>
          <w:lang w:eastAsia="zh-CN"/>
        </w:rPr>
        <w:t>）实验室设备中增加“条形孔筛”</w:t>
      </w:r>
    </w:p>
    <w:p w14:paraId="34F96BCC">
      <w:pPr>
        <w:spacing w:line="360" w:lineRule="auto"/>
        <w:ind w:firstLine="480" w:firstLineChars="200"/>
        <w:rPr>
          <w:rFonts w:hint="default" w:ascii="宋体" w:hAnsi="宋体"/>
          <w:sz w:val="24"/>
          <w:lang w:val="en-US" w:eastAsia="zh-CN"/>
        </w:rPr>
      </w:pPr>
      <w:r>
        <w:rPr>
          <w:rFonts w:hint="eastAsia" w:ascii="宋体" w:hAnsi="宋体"/>
          <w:sz w:val="24"/>
          <w:lang w:eastAsia="zh-CN"/>
        </w:rPr>
        <w:t>在</w:t>
      </w:r>
      <w:r>
        <w:rPr>
          <w:rFonts w:hint="eastAsia" w:ascii="宋体" w:hAnsi="宋体"/>
          <w:sz w:val="24"/>
          <w:lang w:val="en-US" w:eastAsia="zh-CN"/>
        </w:rPr>
        <w:t>2022版的砂石产品国标中，</w:t>
      </w:r>
      <w:r>
        <w:rPr>
          <w:rFonts w:hint="eastAsia" w:ascii="宋体" w:hAnsi="宋体"/>
          <w:sz w:val="24"/>
          <w:lang w:eastAsia="zh-CN"/>
        </w:rPr>
        <w:t>条形孔筛</w:t>
      </w:r>
      <w:r>
        <w:rPr>
          <w:rFonts w:hint="eastAsia" w:ascii="宋体" w:hAnsi="宋体"/>
          <w:sz w:val="24"/>
          <w:lang w:val="en-US" w:eastAsia="zh-CN"/>
        </w:rPr>
        <w:t>用于测量机制砂的片状颗粒含量和碎石的不规则颗粒含量。近年来，随着我国高性能混凝土的发展应用，对高品质机制砂石的需求量和要求越来越高，用</w:t>
      </w:r>
      <w:r>
        <w:rPr>
          <w:rFonts w:hint="eastAsia" w:ascii="宋体" w:hAnsi="宋体"/>
          <w:sz w:val="24"/>
          <w:lang w:eastAsia="zh-CN"/>
        </w:rPr>
        <w:t>条形孔筛来</w:t>
      </w:r>
      <w:r>
        <w:rPr>
          <w:rFonts w:hint="eastAsia" w:ascii="宋体" w:hAnsi="宋体"/>
          <w:sz w:val="24"/>
          <w:lang w:val="en-US" w:eastAsia="zh-CN"/>
        </w:rPr>
        <w:t>控制机制砂的片状颗粒含量和碎石的不规则颗粒含量，有助于提升机制砂石产品质量。</w:t>
      </w:r>
    </w:p>
    <w:p w14:paraId="40D112A6">
      <w:pPr>
        <w:spacing w:line="360" w:lineRule="auto"/>
        <w:ind w:firstLine="480" w:firstLineChars="200"/>
        <w:rPr>
          <w:rFonts w:hint="eastAsia" w:ascii="宋体" w:hAnsi="宋体"/>
          <w:sz w:val="24"/>
          <w:lang w:eastAsia="zh-CN"/>
        </w:rPr>
      </w:pPr>
      <w:r>
        <w:rPr>
          <w:rFonts w:hint="eastAsia" w:ascii="宋体" w:hAnsi="宋体"/>
          <w:sz w:val="24"/>
          <w:lang w:eastAsia="zh-CN"/>
        </w:rPr>
        <w:t>（</w:t>
      </w:r>
      <w:r>
        <w:rPr>
          <w:rFonts w:hint="eastAsia" w:ascii="宋体" w:hAnsi="宋体"/>
          <w:sz w:val="24"/>
          <w:lang w:val="en-US" w:eastAsia="zh-CN"/>
        </w:rPr>
        <w:t>9</w:t>
      </w:r>
      <w:r>
        <w:rPr>
          <w:rFonts w:hint="eastAsia" w:ascii="宋体" w:hAnsi="宋体"/>
          <w:sz w:val="24"/>
          <w:lang w:eastAsia="zh-CN"/>
        </w:rPr>
        <w:t>）增加了机制砂絮凝剂含量监测和数值控制（见</w:t>
      </w:r>
      <w:r>
        <w:rPr>
          <w:rFonts w:hint="eastAsia" w:ascii="宋体" w:hAnsi="宋体"/>
          <w:sz w:val="24"/>
          <w:lang w:val="en-US" w:eastAsia="zh-CN"/>
        </w:rPr>
        <w:t>9.5</w:t>
      </w:r>
      <w:r>
        <w:rPr>
          <w:rFonts w:hint="eastAsia" w:ascii="宋体" w:hAnsi="宋体"/>
          <w:sz w:val="24"/>
          <w:lang w:eastAsia="zh-CN"/>
        </w:rPr>
        <w:t>）</w:t>
      </w:r>
    </w:p>
    <w:p w14:paraId="01E2DFD0">
      <w:pPr>
        <w:spacing w:line="360" w:lineRule="auto"/>
        <w:ind w:firstLine="480" w:firstLineChars="200"/>
        <w:rPr>
          <w:rFonts w:hint="eastAsia" w:ascii="宋体" w:hAnsi="宋体" w:eastAsia="宋体"/>
          <w:sz w:val="24"/>
          <w:lang w:eastAsia="zh-CN"/>
        </w:rPr>
      </w:pPr>
      <w:r>
        <w:rPr>
          <w:rFonts w:hint="eastAsia" w:ascii="宋体" w:hAnsi="宋体"/>
          <w:sz w:val="24"/>
          <w:lang w:eastAsia="zh-CN"/>
        </w:rPr>
        <w:t>针对当前机制砂生产过程中越来越多采用湿法生产的情况，提出“湿法生产机制砂时宜检测和控制机制砂中絮凝剂的残余量。”湿法生产的机制砂在配置混凝土时，残留的絮凝剂会与混凝土外加剂产生化学反应，影响外加剂的使用效果，因此，湿法生产机制砂时控制絮凝剂的残存量至关重要。</w:t>
      </w:r>
    </w:p>
    <w:p w14:paraId="36499972">
      <w:pPr>
        <w:spacing w:line="360" w:lineRule="auto"/>
        <w:ind w:firstLine="480" w:firstLineChars="200"/>
        <w:rPr>
          <w:rFonts w:hint="eastAsia" w:ascii="宋体" w:hAnsi="宋体" w:eastAsia="宋体"/>
          <w:sz w:val="24"/>
          <w:lang w:eastAsia="zh-CN"/>
        </w:rPr>
      </w:pPr>
      <w:r>
        <w:rPr>
          <w:rFonts w:hint="eastAsia" w:ascii="宋体" w:hAnsi="宋体"/>
          <w:sz w:val="24"/>
          <w:lang w:eastAsia="zh-CN"/>
        </w:rPr>
        <w:t>（</w:t>
      </w:r>
      <w:r>
        <w:rPr>
          <w:rFonts w:hint="eastAsia" w:ascii="宋体" w:hAnsi="宋体"/>
          <w:sz w:val="24"/>
          <w:lang w:val="en-US" w:eastAsia="zh-CN"/>
        </w:rPr>
        <w:t>10</w:t>
      </w:r>
      <w:r>
        <w:rPr>
          <w:rFonts w:hint="eastAsia" w:ascii="宋体" w:hAnsi="宋体"/>
          <w:sz w:val="24"/>
          <w:lang w:eastAsia="zh-CN"/>
        </w:rPr>
        <w:t>）增加了信息化与智能化内容（见</w:t>
      </w:r>
      <w:r>
        <w:rPr>
          <w:rFonts w:hint="eastAsia" w:ascii="宋体" w:hAnsi="宋体"/>
          <w:sz w:val="24"/>
          <w:lang w:val="en-US" w:eastAsia="zh-CN"/>
        </w:rPr>
        <w:t>12</w:t>
      </w:r>
      <w:r>
        <w:rPr>
          <w:rFonts w:hint="eastAsia" w:ascii="宋体" w:hAnsi="宋体"/>
          <w:sz w:val="24"/>
          <w:lang w:eastAsia="zh-CN"/>
        </w:rPr>
        <w:t>）</w:t>
      </w:r>
    </w:p>
    <w:p w14:paraId="29902E15">
      <w:pPr>
        <w:spacing w:line="360" w:lineRule="auto"/>
        <w:ind w:firstLine="480" w:firstLineChars="200"/>
        <w:rPr>
          <w:rFonts w:hint="eastAsia" w:ascii="宋体" w:hAnsi="宋体" w:eastAsia="宋体"/>
          <w:sz w:val="24"/>
          <w:lang w:eastAsia="zh-CN"/>
        </w:rPr>
      </w:pPr>
      <w:r>
        <w:rPr>
          <w:rFonts w:hint="eastAsia" w:ascii="宋体" w:hAnsi="宋体"/>
          <w:sz w:val="24"/>
          <w:lang w:eastAsia="zh-CN"/>
        </w:rPr>
        <w:t>这几年，国家对砂石等传统建材发展的要求是智能化升级改造，信息化与智能化是砂石行业发展的未来方向。目前，部分行业领军企业已经做了相关工作，取得一些成绩和经验，这部分内容旨在将行业成熟经验推广，鼓励有条件的企业应用实施。</w:t>
      </w:r>
    </w:p>
    <w:p w14:paraId="3504943E">
      <w:pPr>
        <w:spacing w:line="360" w:lineRule="auto"/>
        <w:ind w:firstLine="480" w:firstLineChars="200"/>
        <w:rPr>
          <w:rFonts w:hint="eastAsia" w:ascii="宋体" w:hAnsi="宋体"/>
          <w:sz w:val="24"/>
        </w:rPr>
      </w:pPr>
    </w:p>
    <w:p w14:paraId="213CEE25">
      <w:pPr>
        <w:pStyle w:val="2"/>
      </w:pPr>
      <w:r>
        <w:rPr>
          <w:b w:val="0"/>
          <w:sz w:val="24"/>
        </w:rPr>
        <w:br w:type="page"/>
      </w:r>
      <w:bookmarkStart w:id="12" w:name="_Toc79653554"/>
      <w:r>
        <w:rPr>
          <w:rFonts w:hint="eastAsia"/>
        </w:rPr>
        <w:t>三、主要试验（或验证）情况分析</w:t>
      </w:r>
      <w:bookmarkEnd w:id="12"/>
    </w:p>
    <w:p w14:paraId="790BD75A">
      <w:pPr>
        <w:tabs>
          <w:tab w:val="center" w:pos="4201"/>
          <w:tab w:val="right" w:leader="dot" w:pos="9298"/>
        </w:tabs>
        <w:autoSpaceDE w:val="0"/>
        <w:autoSpaceDN w:val="0"/>
        <w:adjustRightInd w:val="0"/>
        <w:spacing w:line="360" w:lineRule="auto"/>
        <w:ind w:firstLine="480"/>
        <w:rPr>
          <w:rFonts w:ascii="黑体" w:hAnsi="黑体" w:eastAsia="黑体" w:cs="黑体"/>
          <w:kern w:val="0"/>
          <w:szCs w:val="21"/>
        </w:rPr>
      </w:pPr>
      <w:r>
        <w:rPr>
          <w:rFonts w:hint="eastAsia" w:ascii="宋体" w:hAnsi="宋体" w:cs="宋体"/>
          <w:color w:val="000000"/>
          <w:kern w:val="0"/>
          <w:sz w:val="24"/>
          <w:lang w:val="zh-CN"/>
        </w:rPr>
        <w:t>标准制定过程中开展了充分的调研研究，主要针对磨蚀指数与破碎功指数试验相关内容开展了试验验证。</w:t>
      </w:r>
    </w:p>
    <w:p w14:paraId="35EAA87C">
      <w:pPr>
        <w:pStyle w:val="2"/>
      </w:pPr>
      <w:bookmarkStart w:id="13" w:name="_Toc79653564"/>
      <w:r>
        <w:rPr>
          <w:rFonts w:hint="eastAsia"/>
        </w:rPr>
        <w:t>四、标准中涉及专利情况</w:t>
      </w:r>
      <w:bookmarkEnd w:id="13"/>
    </w:p>
    <w:p w14:paraId="09693B4E">
      <w:pPr>
        <w:tabs>
          <w:tab w:val="center" w:pos="4201"/>
          <w:tab w:val="right" w:leader="dot" w:pos="9298"/>
        </w:tabs>
        <w:autoSpaceDE w:val="0"/>
        <w:autoSpaceDN w:val="0"/>
        <w:adjustRightInd w:val="0"/>
        <w:spacing w:line="360" w:lineRule="auto"/>
        <w:ind w:firstLine="480"/>
        <w:rPr>
          <w:rFonts w:hint="eastAsia" w:ascii="宋体" w:hAnsi="宋体" w:cs="宋体"/>
          <w:color w:val="000000"/>
          <w:kern w:val="0"/>
          <w:sz w:val="24"/>
          <w:lang w:val="zh-CN"/>
        </w:rPr>
      </w:pPr>
      <w:r>
        <w:rPr>
          <w:rFonts w:hint="eastAsia" w:ascii="宋体" w:hAnsi="宋体" w:cs="宋体"/>
          <w:color w:val="000000"/>
          <w:kern w:val="0"/>
          <w:sz w:val="24"/>
          <w:lang w:val="zh-CN"/>
        </w:rPr>
        <w:t>可能涉及附录</w:t>
      </w:r>
      <w:r>
        <w:rPr>
          <w:rFonts w:hint="eastAsia" w:ascii="宋体" w:hAnsi="宋体" w:cs="宋体"/>
          <w:color w:val="000000"/>
          <w:kern w:val="0"/>
          <w:sz w:val="24"/>
          <w:lang w:val="en-US" w:eastAsia="zh-CN"/>
        </w:rPr>
        <w:t>A</w:t>
      </w:r>
      <w:bookmarkStart w:id="22" w:name="_GoBack"/>
      <w:bookmarkEnd w:id="22"/>
      <w:r>
        <w:rPr>
          <w:rFonts w:hint="eastAsia" w:ascii="宋体" w:hAnsi="宋体" w:cs="宋体"/>
          <w:color w:val="000000"/>
          <w:kern w:val="0"/>
          <w:sz w:val="24"/>
          <w:lang w:val="zh-CN"/>
        </w:rPr>
        <w:t>与一种磨蚀试验机同心不同速传动结构、一种岩石磨蚀性指数试验机、一种岩石破碎功指数试验机相关的专利的使用。</w:t>
      </w:r>
    </w:p>
    <w:p w14:paraId="2D7B758D">
      <w:pPr>
        <w:tabs>
          <w:tab w:val="center" w:pos="4201"/>
          <w:tab w:val="right" w:leader="dot" w:pos="9298"/>
        </w:tabs>
        <w:autoSpaceDE w:val="0"/>
        <w:autoSpaceDN w:val="0"/>
        <w:adjustRightInd w:val="0"/>
        <w:spacing w:line="360" w:lineRule="auto"/>
        <w:ind w:firstLine="480"/>
        <w:rPr>
          <w:rFonts w:hint="eastAsia" w:ascii="宋体" w:hAnsi="宋体" w:cs="宋体"/>
          <w:color w:val="000000"/>
          <w:kern w:val="0"/>
          <w:sz w:val="24"/>
          <w:lang w:val="zh-CN"/>
        </w:rPr>
      </w:pPr>
      <w:r>
        <w:rPr>
          <w:rFonts w:hint="eastAsia" w:ascii="宋体" w:hAnsi="宋体" w:cs="宋体"/>
          <w:color w:val="000000"/>
          <w:kern w:val="0"/>
          <w:sz w:val="24"/>
          <w:lang w:val="zh-CN"/>
        </w:rPr>
        <w:t>本文件的发布机构对于该专利的真实性、有效性和范围无任何立场。</w:t>
      </w:r>
    </w:p>
    <w:p w14:paraId="415BA317">
      <w:pPr>
        <w:tabs>
          <w:tab w:val="center" w:pos="4201"/>
          <w:tab w:val="right" w:leader="dot" w:pos="9298"/>
        </w:tabs>
        <w:autoSpaceDE w:val="0"/>
        <w:autoSpaceDN w:val="0"/>
        <w:adjustRightInd w:val="0"/>
        <w:spacing w:line="360" w:lineRule="auto"/>
        <w:ind w:firstLine="480"/>
        <w:rPr>
          <w:rFonts w:hint="eastAsia" w:ascii="宋体" w:hAnsi="宋体" w:cs="宋体"/>
          <w:color w:val="000000"/>
          <w:kern w:val="0"/>
          <w:sz w:val="24"/>
          <w:lang w:val="zh-CN"/>
        </w:rPr>
      </w:pPr>
      <w:r>
        <w:rPr>
          <w:rFonts w:hint="eastAsia" w:ascii="宋体" w:hAnsi="宋体" w:cs="宋体"/>
          <w:color w:val="000000"/>
          <w:kern w:val="0"/>
          <w:sz w:val="24"/>
          <w:lang w:val="zh-CN"/>
        </w:rPr>
        <w:t>该专利的持有人已向本文件的发布机构保证,同意在公平、合理、无歧视基础上,免费许可任何组织或者个人在实施该国家标准时实施专利。该专利持有人的声明已在本文件发布机构备案。相关信息可通过以下联系方式获得:</w:t>
      </w:r>
    </w:p>
    <w:p w14:paraId="6CDC02E4">
      <w:pPr>
        <w:tabs>
          <w:tab w:val="center" w:pos="4201"/>
          <w:tab w:val="right" w:leader="dot" w:pos="9298"/>
        </w:tabs>
        <w:autoSpaceDE w:val="0"/>
        <w:autoSpaceDN w:val="0"/>
        <w:adjustRightInd w:val="0"/>
        <w:spacing w:line="360" w:lineRule="auto"/>
        <w:ind w:firstLine="480"/>
        <w:rPr>
          <w:rFonts w:hint="eastAsia" w:ascii="宋体" w:hAnsi="宋体" w:cs="宋体"/>
          <w:color w:val="000000"/>
          <w:kern w:val="0"/>
          <w:sz w:val="24"/>
          <w:lang w:val="zh-CN"/>
        </w:rPr>
      </w:pPr>
      <w:r>
        <w:rPr>
          <w:rFonts w:hint="eastAsia" w:ascii="宋体" w:hAnsi="宋体" w:cs="宋体"/>
          <w:color w:val="000000"/>
          <w:kern w:val="0"/>
          <w:sz w:val="24"/>
          <w:lang w:val="zh-CN"/>
        </w:rPr>
        <w:t>“一种磨蚀试验机同心不同速传动结构”专利持有人姓名:南昌矿机集团股份有限公司</w:t>
      </w:r>
    </w:p>
    <w:p w14:paraId="03405703">
      <w:pPr>
        <w:tabs>
          <w:tab w:val="center" w:pos="4201"/>
          <w:tab w:val="right" w:leader="dot" w:pos="9298"/>
        </w:tabs>
        <w:autoSpaceDE w:val="0"/>
        <w:autoSpaceDN w:val="0"/>
        <w:adjustRightInd w:val="0"/>
        <w:spacing w:line="360" w:lineRule="auto"/>
        <w:ind w:firstLine="480"/>
        <w:rPr>
          <w:rFonts w:hint="eastAsia" w:ascii="宋体" w:hAnsi="宋体" w:cs="宋体"/>
          <w:color w:val="000000"/>
          <w:kern w:val="0"/>
          <w:sz w:val="24"/>
          <w:lang w:val="zh-CN"/>
        </w:rPr>
      </w:pPr>
      <w:r>
        <w:rPr>
          <w:rFonts w:hint="eastAsia" w:ascii="宋体" w:hAnsi="宋体" w:cs="宋体"/>
          <w:color w:val="000000"/>
          <w:kern w:val="0"/>
          <w:sz w:val="24"/>
          <w:lang w:val="zh-CN"/>
        </w:rPr>
        <w:t>地址:江西省南昌市湾里区红湾大道300号</w:t>
      </w:r>
    </w:p>
    <w:p w14:paraId="2B4B9C48">
      <w:pPr>
        <w:tabs>
          <w:tab w:val="center" w:pos="4201"/>
          <w:tab w:val="right" w:leader="dot" w:pos="9298"/>
        </w:tabs>
        <w:autoSpaceDE w:val="0"/>
        <w:autoSpaceDN w:val="0"/>
        <w:adjustRightInd w:val="0"/>
        <w:spacing w:line="360" w:lineRule="auto"/>
        <w:ind w:firstLine="480"/>
        <w:rPr>
          <w:rFonts w:hint="eastAsia" w:ascii="宋体" w:hAnsi="宋体" w:cs="宋体"/>
          <w:color w:val="000000"/>
          <w:kern w:val="0"/>
          <w:sz w:val="24"/>
          <w:lang w:val="zh-CN"/>
        </w:rPr>
      </w:pPr>
      <w:r>
        <w:rPr>
          <w:rFonts w:hint="eastAsia" w:ascii="宋体" w:hAnsi="宋体" w:cs="宋体"/>
          <w:color w:val="000000"/>
          <w:kern w:val="0"/>
          <w:sz w:val="24"/>
          <w:lang w:val="zh-CN"/>
        </w:rPr>
        <w:t>联系人:方伟</w:t>
      </w:r>
    </w:p>
    <w:p w14:paraId="6B388F1E">
      <w:pPr>
        <w:tabs>
          <w:tab w:val="center" w:pos="4201"/>
          <w:tab w:val="right" w:leader="dot" w:pos="9298"/>
        </w:tabs>
        <w:autoSpaceDE w:val="0"/>
        <w:autoSpaceDN w:val="0"/>
        <w:adjustRightInd w:val="0"/>
        <w:spacing w:line="360" w:lineRule="auto"/>
        <w:ind w:firstLine="480"/>
        <w:rPr>
          <w:rFonts w:hint="eastAsia" w:ascii="宋体" w:hAnsi="宋体" w:cs="宋体"/>
          <w:color w:val="000000"/>
          <w:kern w:val="0"/>
          <w:sz w:val="24"/>
          <w:lang w:val="zh-CN"/>
        </w:rPr>
      </w:pPr>
      <w:r>
        <w:rPr>
          <w:rFonts w:hint="eastAsia" w:ascii="宋体" w:hAnsi="宋体" w:cs="宋体"/>
          <w:color w:val="000000"/>
          <w:kern w:val="0"/>
          <w:sz w:val="24"/>
          <w:lang w:val="zh-CN"/>
        </w:rPr>
        <w:t xml:space="preserve">“一种岩石磨蚀性指数试验机”专利持有人姓名:南昌矿机集团股份有限公司 </w:t>
      </w:r>
    </w:p>
    <w:p w14:paraId="53FE587D">
      <w:pPr>
        <w:tabs>
          <w:tab w:val="center" w:pos="4201"/>
          <w:tab w:val="right" w:leader="dot" w:pos="9298"/>
        </w:tabs>
        <w:autoSpaceDE w:val="0"/>
        <w:autoSpaceDN w:val="0"/>
        <w:adjustRightInd w:val="0"/>
        <w:spacing w:line="360" w:lineRule="auto"/>
        <w:ind w:firstLine="480"/>
        <w:rPr>
          <w:rFonts w:hint="eastAsia" w:ascii="宋体" w:hAnsi="宋体" w:cs="宋体"/>
          <w:color w:val="000000"/>
          <w:kern w:val="0"/>
          <w:sz w:val="24"/>
          <w:lang w:val="zh-CN"/>
        </w:rPr>
      </w:pPr>
      <w:r>
        <w:rPr>
          <w:rFonts w:hint="eastAsia" w:ascii="宋体" w:hAnsi="宋体" w:cs="宋体"/>
          <w:color w:val="000000"/>
          <w:kern w:val="0"/>
          <w:sz w:val="24"/>
          <w:lang w:val="zh-CN"/>
        </w:rPr>
        <w:t>地址:江西省南昌市湾里区红湾大道300号</w:t>
      </w:r>
    </w:p>
    <w:p w14:paraId="48A45529">
      <w:pPr>
        <w:tabs>
          <w:tab w:val="center" w:pos="4201"/>
          <w:tab w:val="right" w:leader="dot" w:pos="9298"/>
        </w:tabs>
        <w:autoSpaceDE w:val="0"/>
        <w:autoSpaceDN w:val="0"/>
        <w:adjustRightInd w:val="0"/>
        <w:spacing w:line="360" w:lineRule="auto"/>
        <w:ind w:firstLine="480"/>
        <w:rPr>
          <w:rFonts w:hint="eastAsia" w:ascii="宋体" w:hAnsi="宋体" w:cs="宋体"/>
          <w:color w:val="000000"/>
          <w:kern w:val="0"/>
          <w:sz w:val="24"/>
          <w:lang w:val="zh-CN"/>
        </w:rPr>
      </w:pPr>
      <w:r>
        <w:rPr>
          <w:rFonts w:hint="eastAsia" w:ascii="宋体" w:hAnsi="宋体" w:cs="宋体"/>
          <w:color w:val="000000"/>
          <w:kern w:val="0"/>
          <w:sz w:val="24"/>
          <w:lang w:val="zh-CN"/>
        </w:rPr>
        <w:t>联系人:方伟</w:t>
      </w:r>
    </w:p>
    <w:p w14:paraId="66041873">
      <w:pPr>
        <w:tabs>
          <w:tab w:val="center" w:pos="4201"/>
          <w:tab w:val="right" w:leader="dot" w:pos="9298"/>
        </w:tabs>
        <w:autoSpaceDE w:val="0"/>
        <w:autoSpaceDN w:val="0"/>
        <w:adjustRightInd w:val="0"/>
        <w:spacing w:line="360" w:lineRule="auto"/>
        <w:ind w:firstLine="480"/>
        <w:rPr>
          <w:rFonts w:hint="eastAsia" w:ascii="宋体" w:hAnsi="宋体" w:cs="宋体"/>
          <w:color w:val="000000"/>
          <w:kern w:val="0"/>
          <w:sz w:val="24"/>
          <w:lang w:val="zh-CN"/>
        </w:rPr>
      </w:pPr>
      <w:r>
        <w:rPr>
          <w:rFonts w:hint="eastAsia" w:ascii="宋体" w:hAnsi="宋体" w:cs="宋体"/>
          <w:color w:val="000000"/>
          <w:kern w:val="0"/>
          <w:sz w:val="24"/>
          <w:lang w:val="zh-CN"/>
        </w:rPr>
        <w:t>“一种岩石破碎功指数试验机”专利持有人姓名:南昌矿机集团股份有限公司</w:t>
      </w:r>
    </w:p>
    <w:p w14:paraId="0AAE35C4">
      <w:pPr>
        <w:tabs>
          <w:tab w:val="center" w:pos="4201"/>
          <w:tab w:val="right" w:leader="dot" w:pos="9298"/>
        </w:tabs>
        <w:autoSpaceDE w:val="0"/>
        <w:autoSpaceDN w:val="0"/>
        <w:adjustRightInd w:val="0"/>
        <w:spacing w:line="360" w:lineRule="auto"/>
        <w:ind w:firstLine="480"/>
        <w:rPr>
          <w:rFonts w:hint="eastAsia" w:ascii="宋体" w:hAnsi="宋体" w:cs="宋体"/>
          <w:color w:val="000000"/>
          <w:kern w:val="0"/>
          <w:sz w:val="24"/>
          <w:lang w:val="zh-CN"/>
        </w:rPr>
      </w:pPr>
      <w:r>
        <w:rPr>
          <w:rFonts w:hint="eastAsia" w:ascii="宋体" w:hAnsi="宋体" w:cs="宋体"/>
          <w:color w:val="000000"/>
          <w:kern w:val="0"/>
          <w:sz w:val="24"/>
          <w:lang w:val="zh-CN"/>
        </w:rPr>
        <w:t>地址:江西省南昌市湾里区红湾大道300号</w:t>
      </w:r>
    </w:p>
    <w:p w14:paraId="20C115A0">
      <w:pPr>
        <w:tabs>
          <w:tab w:val="center" w:pos="4201"/>
          <w:tab w:val="right" w:leader="dot" w:pos="9298"/>
        </w:tabs>
        <w:autoSpaceDE w:val="0"/>
        <w:autoSpaceDN w:val="0"/>
        <w:adjustRightInd w:val="0"/>
        <w:spacing w:line="360" w:lineRule="auto"/>
        <w:ind w:firstLine="480"/>
        <w:rPr>
          <w:rFonts w:hint="eastAsia" w:ascii="宋体" w:hAnsi="宋体" w:cs="宋体"/>
          <w:color w:val="000000"/>
          <w:kern w:val="0"/>
          <w:sz w:val="24"/>
          <w:lang w:val="zh-CN"/>
        </w:rPr>
      </w:pPr>
      <w:r>
        <w:rPr>
          <w:rFonts w:hint="eastAsia" w:ascii="宋体" w:hAnsi="宋体" w:cs="宋体"/>
          <w:color w:val="000000"/>
          <w:kern w:val="0"/>
          <w:sz w:val="24"/>
          <w:lang w:val="zh-CN"/>
        </w:rPr>
        <w:t>联系人:方伟</w:t>
      </w:r>
    </w:p>
    <w:p w14:paraId="1FD1581B">
      <w:pPr>
        <w:tabs>
          <w:tab w:val="center" w:pos="4201"/>
          <w:tab w:val="right" w:leader="dot" w:pos="9298"/>
        </w:tabs>
        <w:autoSpaceDE w:val="0"/>
        <w:autoSpaceDN w:val="0"/>
        <w:adjustRightInd w:val="0"/>
        <w:spacing w:line="360" w:lineRule="auto"/>
        <w:ind w:firstLine="480"/>
        <w:rPr>
          <w:rFonts w:hint="eastAsia" w:ascii="宋体" w:hAnsi="宋体" w:cs="宋体"/>
          <w:color w:val="000000"/>
          <w:kern w:val="0"/>
          <w:sz w:val="24"/>
          <w:lang w:val="zh-CN"/>
        </w:rPr>
      </w:pPr>
      <w:r>
        <w:rPr>
          <w:rFonts w:hint="eastAsia" w:ascii="宋体" w:hAnsi="宋体" w:cs="宋体"/>
          <w:color w:val="000000"/>
          <w:kern w:val="0"/>
          <w:sz w:val="24"/>
          <w:lang w:val="zh-CN"/>
        </w:rPr>
        <w:t>请注意除以上专利外,本文件的某些内容仍可能涉及专利。本文件的发布机构不承担识别专利的责任。</w:t>
      </w:r>
    </w:p>
    <w:p w14:paraId="3638390B">
      <w:pPr>
        <w:pStyle w:val="2"/>
        <w:numPr>
          <w:ilvl w:val="0"/>
          <w:numId w:val="2"/>
        </w:numPr>
        <w:rPr>
          <w:rFonts w:hint="eastAsia"/>
        </w:rPr>
      </w:pPr>
      <w:bookmarkStart w:id="14" w:name="_Toc79653565"/>
      <w:r>
        <w:rPr>
          <w:rFonts w:hint="eastAsia"/>
        </w:rPr>
        <w:t>产业化情况、推广应用论证和预期达到的经济效果等情况</w:t>
      </w:r>
      <w:bookmarkEnd w:id="14"/>
    </w:p>
    <w:p w14:paraId="4917C743">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（1）国家密集发文推进砂石行业高质量和健康有序发展</w:t>
      </w:r>
    </w:p>
    <w:p w14:paraId="20808E4B">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2015年9月1日工信部发布《绿色建材生产与应用行动方案》发展机制砂石。2016年5月18日国务院发布《关于促进建材工业稳增长 调结构 增效益的指导意见》发展机制砂石。2018年6月28日自然资源部发布由中国砂石协会组织专家编制的《砂石行业绿色矿山建设规范》，砂石上升到九大矿业之一。2018年11月26日，国家统计局公布《战略性新兴产业分类—2018》，机制砂、砂石尾矿再利用等被列入我国战略新兴产业的重点产品服务。</w:t>
      </w:r>
    </w:p>
    <w:p w14:paraId="7B0DE1A4">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2019年11月4日，由工信部、国家发改委、自然资源部、生态环境部、住建部、交通运输部、水利部、应急部、市场监管总局、国铁集团10部门联合发布《关于推进机制砂石行业高质量发展的若干意见》。</w:t>
      </w:r>
    </w:p>
    <w:p w14:paraId="5A99C320">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2020年3月25日，由国家发改委、工信部、公安部、财政部、自然资源部、生态环境部、住建部、交通运输部、水利部、商务部、应急管理部、市场监管总局、国家统计局、中国海警局、中国国家铁路集团公司15部门联合发布《关于促进砂石行业健康有序发展的指导意见》。在国家指导意见出台后，各地方政府结合当地的实际情况，也陆续多部门联合发布推进机制砂石发展的相关意见、规范等。</w:t>
      </w:r>
    </w:p>
    <w:p w14:paraId="2B5EDA08">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2019年末至2020初</w:t>
      </w:r>
      <w:r>
        <w:rPr>
          <w:rFonts w:hint="eastAsia" w:cs="Times New Roman"/>
          <w:sz w:val="24"/>
          <w:lang w:eastAsia="zh-CN"/>
        </w:rPr>
        <w:t>，</w:t>
      </w:r>
      <w:r>
        <w:rPr>
          <w:rFonts w:hint="default" w:ascii="Times New Roman" w:hAnsi="Times New Roman" w:cs="Times New Roman"/>
          <w:sz w:val="24"/>
        </w:rPr>
        <w:t>一系列指导意见，给砂石行业发展奠定了基调，机制砂、砂石尾矿再利用等被列入我国战略新兴产业的重点产品服务，国家发展砂石产业的力度史无前例，砂石行业面临前所未有的机遇。</w:t>
      </w:r>
    </w:p>
    <w:p w14:paraId="65DA9D94">
      <w:pPr>
        <w:spacing w:line="360" w:lineRule="auto"/>
        <w:ind w:firstLine="480" w:firstLineChars="200"/>
        <w:rPr>
          <w:rFonts w:hint="default" w:ascii="Times New Roman" w:hAnsi="Times New Roman" w:cs="Times New Roman"/>
          <w:sz w:val="24"/>
        </w:rPr>
      </w:pPr>
      <w:r>
        <w:rPr>
          <w:rFonts w:hint="eastAsia" w:cs="Times New Roman"/>
          <w:sz w:val="24"/>
          <w:lang w:val="en-US" w:eastAsia="zh-CN"/>
        </w:rPr>
        <w:t>2021年至2025年，砂石行业在绿色化、集约化、规模化方面取得显著成绩，砂石供给不断改善，价格趋于平稳，有力保障了国家建设。</w:t>
      </w:r>
    </w:p>
    <w:p w14:paraId="703A63A1">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（2）未来经济发展趋势和砂石市场需求</w:t>
      </w:r>
    </w:p>
    <w:p w14:paraId="538A1512">
      <w:pPr>
        <w:spacing w:line="360" w:lineRule="auto"/>
        <w:ind w:firstLine="480" w:firstLineChars="200"/>
        <w:rPr>
          <w:rFonts w:hint="default" w:cs="Times New Roman"/>
          <w:sz w:val="24"/>
          <w:lang w:val="en-US" w:eastAsia="zh-CN"/>
        </w:rPr>
      </w:pPr>
      <w:r>
        <w:rPr>
          <w:rFonts w:hint="eastAsia" w:cs="Times New Roman"/>
          <w:sz w:val="24"/>
          <w:lang w:eastAsia="zh-CN"/>
        </w:rPr>
        <w:t>“十四五”以来，我国砂石产能迅速提升，但是随着房地产政策调整，房地产行业的砂石需求大幅下降，我国砂石年产销量从</w:t>
      </w:r>
      <w:r>
        <w:rPr>
          <w:rFonts w:hint="eastAsia" w:cs="Times New Roman"/>
          <w:sz w:val="24"/>
          <w:lang w:val="en-US" w:eastAsia="zh-CN"/>
        </w:rPr>
        <w:t>2021年的197亿吨，下滑到2024年的152亿吨。</w:t>
      </w:r>
    </w:p>
    <w:p w14:paraId="00A29407">
      <w:pPr>
        <w:spacing w:line="360" w:lineRule="auto"/>
        <w:ind w:firstLine="480" w:firstLineChars="200"/>
        <w:rPr>
          <w:rFonts w:hint="default" w:ascii="Times New Roman" w:hAnsi="Times New Roman" w:eastAsia="宋体" w:cs="Times New Roman"/>
          <w:sz w:val="24"/>
          <w:lang w:val="en-US" w:eastAsia="zh-CN"/>
        </w:rPr>
      </w:pPr>
      <w:r>
        <w:rPr>
          <w:rFonts w:hint="eastAsia" w:cs="Times New Roman"/>
          <w:sz w:val="24"/>
          <w:lang w:eastAsia="zh-CN"/>
        </w:rPr>
        <w:t>从目前来看，</w:t>
      </w:r>
      <w:r>
        <w:rPr>
          <w:rFonts w:hint="eastAsia" w:cs="Times New Roman"/>
          <w:sz w:val="24"/>
          <w:lang w:val="en-US" w:eastAsia="zh-CN"/>
        </w:rPr>
        <w:t>2025年我国砂石需求量还将进一步下降，市场供大于求的形势还将进一步延续，市场竞争加剧引发各个企业更加重视产品质量，砂石生产工艺改造和产品品质提升已经成为行业普遍关心的事情。</w:t>
      </w:r>
    </w:p>
    <w:p w14:paraId="002313B5">
      <w:pPr>
        <w:spacing w:line="360" w:lineRule="auto"/>
        <w:ind w:firstLine="480" w:firstLineChars="200"/>
        <w:rPr>
          <w:rFonts w:hint="eastAsia" w:ascii="宋体" w:hAnsi="宋体" w:cs="宋体"/>
          <w:color w:val="000000"/>
          <w:kern w:val="0"/>
          <w:sz w:val="24"/>
        </w:rPr>
      </w:pPr>
      <w:r>
        <w:rPr>
          <w:rFonts w:hint="eastAsia" w:cs="Times New Roman"/>
          <w:sz w:val="24"/>
          <w:lang w:eastAsia="zh-CN"/>
        </w:rPr>
        <w:t>面对砂石行业进入深度调整时期的大背景</w:t>
      </w:r>
      <w:r>
        <w:rPr>
          <w:rFonts w:hint="default" w:ascii="Times New Roman" w:hAnsi="Times New Roman" w:cs="Times New Roman"/>
          <w:sz w:val="24"/>
        </w:rPr>
        <w:t>，标</w:t>
      </w:r>
      <w:r>
        <w:rPr>
          <w:rFonts w:hint="eastAsia" w:ascii="宋体" w:hAnsi="宋体"/>
          <w:sz w:val="24"/>
        </w:rPr>
        <w:t>准的实施，</w:t>
      </w:r>
      <w:r>
        <w:rPr>
          <w:rFonts w:hint="eastAsia" w:ascii="宋体" w:hAnsi="宋体"/>
          <w:sz w:val="24"/>
          <w:lang w:eastAsia="zh-CN"/>
        </w:rPr>
        <w:t>对砂石生产企业提质增效具有重要意义，</w:t>
      </w:r>
      <w:r>
        <w:rPr>
          <w:rFonts w:hint="eastAsia" w:ascii="宋体" w:hAnsi="宋体"/>
          <w:sz w:val="24"/>
        </w:rPr>
        <w:t>对促进砂石行业的健康有序发展，助力高质量发展具有非常重要的作用，具有显著的经济和社会效果。</w:t>
      </w:r>
    </w:p>
    <w:p w14:paraId="32E562D2">
      <w:pPr>
        <w:pStyle w:val="2"/>
        <w:rPr>
          <w:rFonts w:hint="eastAsia"/>
        </w:rPr>
      </w:pPr>
      <w:bookmarkStart w:id="15" w:name="_Toc79653566"/>
      <w:r>
        <w:rPr>
          <w:rFonts w:hint="eastAsia"/>
        </w:rPr>
        <w:t>六、采用国际标准和国外先进标准的程度，以及与国际、国外同类标准水平的对比情况。</w:t>
      </w:r>
      <w:bookmarkEnd w:id="15"/>
    </w:p>
    <w:p w14:paraId="0024E8D2">
      <w:pPr>
        <w:spacing w:line="360" w:lineRule="auto"/>
        <w:ind w:firstLine="480" w:firstLineChars="200"/>
        <w:rPr>
          <w:rFonts w:hint="eastAsia" w:ascii="宋体" w:hAnsi="宋体"/>
          <w:sz w:val="24"/>
        </w:rPr>
      </w:pPr>
      <w:r>
        <w:rPr>
          <w:rFonts w:hint="eastAsia" w:ascii="宋体" w:hAnsi="宋体"/>
          <w:sz w:val="24"/>
        </w:rPr>
        <w:t>本标准未采用国际和国外标准。</w:t>
      </w:r>
    </w:p>
    <w:p w14:paraId="59515C1D">
      <w:pPr>
        <w:pStyle w:val="2"/>
      </w:pPr>
      <w:bookmarkStart w:id="16" w:name="_Toc79653567"/>
      <w:r>
        <w:rPr>
          <w:rFonts w:hint="eastAsia"/>
        </w:rPr>
        <w:t>七、与现行相关法律、法规、规章及相关标准协调性</w:t>
      </w:r>
      <w:bookmarkEnd w:id="16"/>
    </w:p>
    <w:p w14:paraId="1569E791">
      <w:pPr>
        <w:tabs>
          <w:tab w:val="center" w:pos="4201"/>
          <w:tab w:val="right" w:leader="dot" w:pos="9298"/>
        </w:tabs>
        <w:autoSpaceDE w:val="0"/>
        <w:autoSpaceDN w:val="0"/>
        <w:adjustRightInd w:val="0"/>
        <w:spacing w:line="360" w:lineRule="auto"/>
        <w:ind w:firstLine="480"/>
        <w:rPr>
          <w:rFonts w:ascii="宋体" w:hAnsi="宋体" w:cs="宋体"/>
          <w:color w:val="000000"/>
          <w:kern w:val="0"/>
          <w:sz w:val="24"/>
          <w:lang w:val="zh-CN"/>
        </w:rPr>
      </w:pPr>
      <w:r>
        <w:rPr>
          <w:rFonts w:hint="eastAsia" w:ascii="宋体" w:hAnsi="宋体" w:cs="宋体"/>
          <w:color w:val="000000"/>
          <w:kern w:val="0"/>
          <w:sz w:val="24"/>
          <w:lang w:val="zh-CN"/>
        </w:rPr>
        <w:t>与现行相关法律、法规、规章及强制性标准协调。</w:t>
      </w:r>
    </w:p>
    <w:p w14:paraId="6576B524">
      <w:pPr>
        <w:pStyle w:val="2"/>
      </w:pPr>
      <w:bookmarkStart w:id="17" w:name="_Toc79653568"/>
      <w:r>
        <w:rPr>
          <w:rFonts w:hint="eastAsia"/>
        </w:rPr>
        <w:t>八、重大分歧意见的处理经过和依据</w:t>
      </w:r>
      <w:bookmarkEnd w:id="17"/>
    </w:p>
    <w:p w14:paraId="282E056F">
      <w:pPr>
        <w:tabs>
          <w:tab w:val="center" w:pos="4201"/>
          <w:tab w:val="right" w:leader="dot" w:pos="9298"/>
        </w:tabs>
        <w:autoSpaceDE w:val="0"/>
        <w:autoSpaceDN w:val="0"/>
        <w:adjustRightInd w:val="0"/>
        <w:spacing w:line="360" w:lineRule="auto"/>
        <w:ind w:firstLine="480"/>
        <w:rPr>
          <w:rFonts w:hint="eastAsia" w:eastAsia="宋体"/>
          <w:sz w:val="24"/>
          <w:szCs w:val="32"/>
          <w:lang w:eastAsia="zh-CN"/>
        </w:rPr>
      </w:pPr>
      <w:r>
        <w:rPr>
          <w:rFonts w:hint="eastAsia"/>
          <w:sz w:val="24"/>
          <w:szCs w:val="32"/>
        </w:rPr>
        <w:t>无重大分歧</w:t>
      </w:r>
      <w:r>
        <w:rPr>
          <w:rFonts w:hint="eastAsia"/>
          <w:sz w:val="24"/>
          <w:szCs w:val="32"/>
          <w:lang w:eastAsia="zh-CN"/>
        </w:rPr>
        <w:t>。</w:t>
      </w:r>
    </w:p>
    <w:p w14:paraId="359970FE">
      <w:pPr>
        <w:pStyle w:val="2"/>
      </w:pPr>
      <w:bookmarkStart w:id="18" w:name="_Toc79653569"/>
      <w:r>
        <w:rPr>
          <w:rFonts w:hint="eastAsia"/>
        </w:rPr>
        <w:t>九、标准性质的建议说明</w:t>
      </w:r>
      <w:bookmarkEnd w:id="18"/>
    </w:p>
    <w:p w14:paraId="5A7F00C3">
      <w:pPr>
        <w:tabs>
          <w:tab w:val="center" w:pos="4201"/>
          <w:tab w:val="right" w:leader="dot" w:pos="9298"/>
        </w:tabs>
        <w:autoSpaceDE w:val="0"/>
        <w:autoSpaceDN w:val="0"/>
        <w:adjustRightInd w:val="0"/>
        <w:spacing w:line="360" w:lineRule="auto"/>
        <w:ind w:firstLine="480"/>
        <w:rPr>
          <w:rFonts w:hint="eastAsia" w:eastAsia="宋体"/>
          <w:sz w:val="24"/>
          <w:szCs w:val="32"/>
          <w:lang w:eastAsia="zh-CN"/>
        </w:rPr>
      </w:pPr>
      <w:r>
        <w:rPr>
          <w:rFonts w:hint="eastAsia"/>
          <w:sz w:val="24"/>
          <w:szCs w:val="32"/>
          <w:lang w:eastAsia="zh-CN"/>
        </w:rPr>
        <w:t>建材行业</w:t>
      </w:r>
      <w:r>
        <w:rPr>
          <w:rFonts w:hint="eastAsia"/>
          <w:sz w:val="24"/>
          <w:szCs w:val="32"/>
        </w:rPr>
        <w:t>推荐性标准</w:t>
      </w:r>
      <w:r>
        <w:rPr>
          <w:rFonts w:hint="eastAsia"/>
          <w:sz w:val="24"/>
          <w:szCs w:val="32"/>
          <w:lang w:eastAsia="zh-CN"/>
        </w:rPr>
        <w:t>。</w:t>
      </w:r>
    </w:p>
    <w:p w14:paraId="0FD928C7">
      <w:pPr>
        <w:pStyle w:val="2"/>
      </w:pPr>
      <w:bookmarkStart w:id="19" w:name="_Toc79653570"/>
      <w:r>
        <w:rPr>
          <w:rFonts w:hint="eastAsia"/>
        </w:rPr>
        <w:t>十、贯彻标准的要求和措施建议</w:t>
      </w:r>
      <w:bookmarkEnd w:id="19"/>
    </w:p>
    <w:p w14:paraId="66A7C2A1">
      <w:pPr>
        <w:spacing w:line="360" w:lineRule="auto"/>
        <w:ind w:firstLine="480" w:firstLineChars="200"/>
        <w:rPr>
          <w:rFonts w:hint="default" w:ascii="Times New Roman" w:hAnsi="Times New Roman" w:eastAsia="宋体" w:cs="Times New Roman"/>
          <w:sz w:val="24"/>
        </w:rPr>
      </w:pPr>
      <w:r>
        <w:rPr>
          <w:rFonts w:hint="eastAsia" w:ascii="Times New Roman" w:hAnsi="Times New Roman" w:eastAsia="宋体" w:cs="Times New Roman"/>
          <w:sz w:val="24"/>
        </w:rPr>
        <w:t>标准颁布后通过标准发布公告、中国砂石协会官方宣传、组织专题培训等途径加强宣贯。</w:t>
      </w:r>
    </w:p>
    <w:p w14:paraId="78A4E869">
      <w:pPr>
        <w:pStyle w:val="2"/>
      </w:pPr>
      <w:bookmarkStart w:id="20" w:name="_Toc79653571"/>
      <w:r>
        <w:rPr>
          <w:rFonts w:hint="eastAsia"/>
        </w:rPr>
        <w:t>十一、废止现行相关标准的建议</w:t>
      </w:r>
      <w:bookmarkEnd w:id="20"/>
    </w:p>
    <w:p w14:paraId="4CCB611D">
      <w:pPr>
        <w:tabs>
          <w:tab w:val="center" w:pos="4201"/>
          <w:tab w:val="right" w:leader="dot" w:pos="9298"/>
        </w:tabs>
        <w:autoSpaceDE w:val="0"/>
        <w:autoSpaceDN w:val="0"/>
        <w:adjustRightInd w:val="0"/>
        <w:spacing w:line="360" w:lineRule="auto"/>
        <w:ind w:firstLine="480"/>
        <w:rPr>
          <w:b/>
          <w:bCs/>
          <w:kern w:val="44"/>
          <w:sz w:val="24"/>
        </w:rPr>
      </w:pPr>
      <w:r>
        <w:rPr>
          <w:rFonts w:hint="eastAsia"/>
          <w:sz w:val="24"/>
          <w:szCs w:val="32"/>
        </w:rPr>
        <w:t>本标准颁布实施后，建议《</w:t>
      </w:r>
      <w:r>
        <w:rPr>
          <w:rFonts w:hint="eastAsia"/>
          <w:sz w:val="24"/>
          <w:szCs w:val="32"/>
          <w:lang w:eastAsia="zh-CN"/>
        </w:rPr>
        <w:t>机制砂石生产技术规程</w:t>
      </w:r>
      <w:r>
        <w:rPr>
          <w:rFonts w:hint="eastAsia"/>
          <w:sz w:val="24"/>
          <w:szCs w:val="32"/>
        </w:rPr>
        <w:t>》JC/T 2299-2014废止</w:t>
      </w:r>
    </w:p>
    <w:p w14:paraId="6535B127">
      <w:pPr>
        <w:pStyle w:val="2"/>
      </w:pPr>
      <w:bookmarkStart w:id="21" w:name="_Toc79653572"/>
      <w:r>
        <w:rPr>
          <w:rFonts w:hint="eastAsia"/>
        </w:rPr>
        <w:t>十二、其它应予说明的事项</w:t>
      </w:r>
      <w:bookmarkEnd w:id="21"/>
    </w:p>
    <w:p w14:paraId="3082E39F">
      <w:pPr>
        <w:tabs>
          <w:tab w:val="center" w:pos="4201"/>
          <w:tab w:val="right" w:leader="dot" w:pos="9298"/>
        </w:tabs>
        <w:autoSpaceDE w:val="0"/>
        <w:autoSpaceDN w:val="0"/>
        <w:adjustRightInd w:val="0"/>
        <w:spacing w:line="360" w:lineRule="auto"/>
        <w:ind w:firstLine="480"/>
        <w:rPr>
          <w:rFonts w:hint="eastAsia" w:ascii="宋体" w:hAnsi="宋体" w:eastAsia="宋体"/>
          <w:sz w:val="24"/>
          <w:lang w:eastAsia="zh-CN"/>
        </w:rPr>
      </w:pPr>
      <w:r>
        <w:rPr>
          <w:rFonts w:hint="eastAsia"/>
          <w:sz w:val="24"/>
        </w:rPr>
        <w:t>无</w:t>
      </w:r>
      <w:r>
        <w:rPr>
          <w:rFonts w:hint="eastAsia"/>
          <w:sz w:val="24"/>
          <w:lang w:eastAsia="zh-CN"/>
        </w:rPr>
        <w:t>。</w:t>
      </w:r>
    </w:p>
    <w:p w14:paraId="2E715C35"/>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隶书">
    <w:panose1 w:val="0201050906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ECE279">
    <w:pPr>
      <w:pStyle w:val="5"/>
      <w:wordWrap w:val="0"/>
      <w:jc w:val="right"/>
    </w:pPr>
    <w:r>
      <w:rPr>
        <w:rFonts w:hint="eastAsia"/>
      </w:rPr>
      <w:t xml:space="preserve">   </w:t>
    </w:r>
    <w:r>
      <w:fldChar w:fldCharType="begin"/>
    </w:r>
    <w:r>
      <w:instrText xml:space="preserve">PAGE   \* MERGEFORMAT</w:instrText>
    </w:r>
    <w:r>
      <w:fldChar w:fldCharType="separate"/>
    </w:r>
    <w:r>
      <w:rPr>
        <w:lang w:val="zh-CN"/>
      </w:rPr>
      <w:t>39</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AAE24C"/>
    <w:multiLevelType w:val="singleLevel"/>
    <w:tmpl w:val="F2AAE24C"/>
    <w:lvl w:ilvl="0" w:tentative="0">
      <w:start w:val="5"/>
      <w:numFmt w:val="chineseCounting"/>
      <w:suff w:val="nothing"/>
      <w:lvlText w:val="%1、"/>
      <w:lvlJc w:val="left"/>
      <w:rPr>
        <w:rFonts w:hint="eastAsia"/>
      </w:rPr>
    </w:lvl>
  </w:abstractNum>
  <w:abstractNum w:abstractNumId="1">
    <w:nsid w:val="3A917AD2"/>
    <w:multiLevelType w:val="multilevel"/>
    <w:tmpl w:val="3A917AD2"/>
    <w:lvl w:ilvl="0" w:tentative="0">
      <w:start w:val="1"/>
      <w:numFmt w:val="decimal"/>
      <w:pStyle w:val="12"/>
      <w:suff w:val="nothing"/>
      <w:lvlText w:val="%1　"/>
      <w:lvlJc w:val="left"/>
      <w:pPr>
        <w:ind w:left="0" w:firstLine="0"/>
      </w:pPr>
      <w:rPr>
        <w:rFonts w:hint="eastAsia" w:ascii="黑体" w:hAnsi="Times New Roman" w:eastAsia="黑体" w:cs="黑体"/>
        <w:b w:val="0"/>
        <w:i w:val="0"/>
        <w:sz w:val="21"/>
        <w:szCs w:val="21"/>
      </w:rPr>
    </w:lvl>
    <w:lvl w:ilvl="1" w:tentative="0">
      <w:start w:val="1"/>
      <w:numFmt w:val="decimal"/>
      <w:suff w:val="nothing"/>
      <w:lvlText w:val="%1.%2　"/>
      <w:lvlJc w:val="left"/>
      <w:pPr>
        <w:ind w:left="0" w:firstLine="0"/>
        <w:textAlignment w:val="baseline"/>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rPr>
    </w:lvl>
    <w:lvl w:ilvl="2" w:tentative="0">
      <w:start w:val="1"/>
      <w:numFmt w:val="decimal"/>
      <w:suff w:val="nothing"/>
      <w:lvlText w:val="%1.%2.%3　"/>
      <w:lvlJc w:val="left"/>
      <w:pPr>
        <w:ind w:left="0" w:firstLine="0"/>
      </w:pPr>
      <w:rPr>
        <w:rFonts w:hint="eastAsia" w:ascii="黑体" w:hAnsi="Times New Roman" w:eastAsia="黑体" w:cs="黑体"/>
        <w:b w:val="0"/>
        <w:i w:val="0"/>
        <w:sz w:val="21"/>
      </w:rPr>
    </w:lvl>
    <w:lvl w:ilvl="3" w:tentative="0">
      <w:start w:val="1"/>
      <w:numFmt w:val="decimal"/>
      <w:suff w:val="nothing"/>
      <w:lvlText w:val="%1.%2.%3.%4　"/>
      <w:lvlJc w:val="left"/>
      <w:pPr>
        <w:ind w:left="0"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B47515"/>
    <w:rsid w:val="1738335E"/>
    <w:rsid w:val="1C9A2A0F"/>
    <w:rsid w:val="1DCF493A"/>
    <w:rsid w:val="1E3429EF"/>
    <w:rsid w:val="1E806358"/>
    <w:rsid w:val="2C8B2374"/>
    <w:rsid w:val="2E8F74A9"/>
    <w:rsid w:val="33E800AC"/>
    <w:rsid w:val="34AA7AFA"/>
    <w:rsid w:val="43A21908"/>
    <w:rsid w:val="47E524E0"/>
    <w:rsid w:val="492553A2"/>
    <w:rsid w:val="498B5309"/>
    <w:rsid w:val="52020C2A"/>
    <w:rsid w:val="568D0E17"/>
    <w:rsid w:val="5B3E13DB"/>
    <w:rsid w:val="5EB506B9"/>
    <w:rsid w:val="61F81027"/>
    <w:rsid w:val="65841133"/>
    <w:rsid w:val="65E437D7"/>
    <w:rsid w:val="675124AD"/>
    <w:rsid w:val="6FA61B3A"/>
    <w:rsid w:val="70831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outlineLvl w:val="0"/>
    </w:pPr>
    <w:rPr>
      <w:b/>
      <w:bCs/>
      <w:kern w:val="44"/>
      <w:sz w:val="28"/>
      <w:szCs w:val="4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Date"/>
    <w:basedOn w:val="1"/>
    <w:next w:val="1"/>
    <w:qFormat/>
    <w:uiPriority w:val="0"/>
    <w:rPr>
      <w:rFonts w:ascii="宋体"/>
      <w:szCs w:val="20"/>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toc 1"/>
    <w:basedOn w:val="1"/>
    <w:next w:val="1"/>
    <w:qFormat/>
    <w:uiPriority w:val="39"/>
    <w:pPr>
      <w:tabs>
        <w:tab w:val="right" w:leader="dot" w:pos="8296"/>
      </w:tabs>
      <w:spacing w:line="360" w:lineRule="auto"/>
    </w:pPr>
  </w:style>
  <w:style w:type="paragraph" w:styleId="7">
    <w:name w:val="toc 2"/>
    <w:basedOn w:val="1"/>
    <w:next w:val="1"/>
    <w:qFormat/>
    <w:uiPriority w:val="39"/>
    <w:pPr>
      <w:ind w:left="420" w:leftChars="200"/>
    </w:pPr>
  </w:style>
  <w:style w:type="character" w:styleId="10">
    <w:name w:val="Hyperlink"/>
    <w:unhideWhenUsed/>
    <w:qFormat/>
    <w:uiPriority w:val="99"/>
    <w:rPr>
      <w:color w:val="0000FF"/>
      <w:u w:val="single"/>
    </w:rPr>
  </w:style>
  <w:style w:type="paragraph" w:customStyle="1" w:styleId="1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2">
    <w:name w:val="章标题"/>
    <w:basedOn w:val="1"/>
    <w:next w:val="11"/>
    <w:qFormat/>
    <w:uiPriority w:val="0"/>
    <w:pPr>
      <w:widowControl/>
      <w:numPr>
        <w:ilvl w:val="0"/>
        <w:numId w:val="1"/>
      </w:numPr>
      <w:spacing w:before="312" w:beforeLines="100" w:after="312" w:afterLines="100"/>
      <w:outlineLvl w:val="1"/>
    </w:pPr>
    <w:rPr>
      <w:rFonts w:hint="eastAsia" w:ascii="黑体" w:eastAsia="黑体" w:cs="Times New Roman"/>
      <w:kern w:val="0"/>
      <w:sz w:val="21"/>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6722</Words>
  <Characters>7028</Characters>
  <Lines>0</Lines>
  <Paragraphs>0</Paragraphs>
  <TotalTime>4</TotalTime>
  <ScaleCrop>false</ScaleCrop>
  <LinksUpToDate>false</LinksUpToDate>
  <CharactersWithSpaces>7056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2025-03-24T03:04:00Z</dcterms:created>
  <dc:creator>SWX</dc:creator>
  <cp:lastModifiedBy>小葱伴豆腐</cp:lastModifiedBy>
  <dcterms:modified xsi:type="dcterms:W3CDTF">2025-09-01T07:32:42Z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eyJoZGlkIjoiNmExNDFjODAwYzY5MGJmZGI2OTYyOWU2YTM0MjJiM2IiLCJ1c2VySWQiOiI1OTgwNTYzNTAifQ==</vt:lpwstr>
  </property>
  <property fmtid="{D5CDD505-2E9C-101B-9397-08002B2CF9AE}" pid="4" name="ICV">
    <vt:lpwstr>A9833F6948F34C95A2A3CE6904D27ADA_12</vt:lpwstr>
  </property>
</Properties>
</file>